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4020E" w14:textId="77777777" w:rsidR="006B6987" w:rsidRPr="006B6987" w:rsidRDefault="006B6987" w:rsidP="00524934">
      <w:pPr>
        <w:spacing w:after="0" w:line="240" w:lineRule="auto"/>
        <w:rPr>
          <w:rFonts w:ascii="Verdana" w:hAnsi="Verdana" w:cs="Arial"/>
          <w:b/>
          <w:bCs/>
          <w:lang w:val="es-MX" w:eastAsia="es-ES"/>
        </w:rPr>
      </w:pPr>
      <w:bookmarkStart w:id="0" w:name="_Hlk143780582"/>
      <w:r w:rsidRPr="006B6987">
        <w:rPr>
          <w:rFonts w:ascii="Verdana" w:hAnsi="Verdana" w:cs="Arial"/>
          <w:b/>
          <w:bCs/>
          <w:lang w:val="es-MX" w:eastAsia="es-ES"/>
        </w:rPr>
        <w:t xml:space="preserve">SELECCIÓN OBJETIVA – Ofrecimiento más favorable </w:t>
      </w:r>
    </w:p>
    <w:p w14:paraId="05422A54" w14:textId="03BFFC55" w:rsidR="006B6987" w:rsidRDefault="006B6987" w:rsidP="00524934">
      <w:pPr>
        <w:spacing w:after="0" w:line="240" w:lineRule="auto"/>
        <w:rPr>
          <w:rFonts w:ascii="Verdana" w:hAnsi="Verdana" w:cs="Arial"/>
          <w:bCs/>
          <w:lang w:val="es-MX" w:eastAsia="es-ES"/>
        </w:rPr>
      </w:pPr>
    </w:p>
    <w:p w14:paraId="43F005F4" w14:textId="77777777" w:rsidR="006B6987" w:rsidRPr="006B6987" w:rsidRDefault="006B6987" w:rsidP="00524934">
      <w:pPr>
        <w:spacing w:after="0" w:line="240" w:lineRule="auto"/>
        <w:jc w:val="both"/>
        <w:rPr>
          <w:rFonts w:ascii="Verdana" w:hAnsi="Verdana" w:cs="Arial"/>
          <w:bCs/>
          <w:sz w:val="20"/>
          <w:lang w:eastAsia="es-ES"/>
        </w:rPr>
      </w:pPr>
      <w:r w:rsidRPr="006B6987">
        <w:rPr>
          <w:rFonts w:ascii="Verdana" w:hAnsi="Verdana" w:cs="Arial"/>
          <w:bCs/>
          <w:sz w:val="20"/>
          <w:lang w:eastAsia="es-ES"/>
        </w:rPr>
        <w:t xml:space="preserve">De acuerdo con el artículo 5 de la Ley 1150 de 2007,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773FF250" w14:textId="252491E7" w:rsidR="006B6987" w:rsidRPr="006B6987" w:rsidRDefault="006B6987" w:rsidP="00524934">
      <w:pPr>
        <w:spacing w:after="0" w:line="240" w:lineRule="auto"/>
        <w:rPr>
          <w:rFonts w:ascii="Verdana" w:hAnsi="Verdana" w:cs="Arial"/>
          <w:bCs/>
          <w:lang w:eastAsia="es-ES"/>
        </w:rPr>
      </w:pPr>
    </w:p>
    <w:p w14:paraId="72075D74" w14:textId="77777777" w:rsidR="006B6987" w:rsidRPr="006B6987" w:rsidRDefault="006B6987" w:rsidP="00524934">
      <w:pPr>
        <w:spacing w:after="0" w:line="240" w:lineRule="auto"/>
        <w:jc w:val="both"/>
        <w:rPr>
          <w:rFonts w:ascii="Verdana" w:hAnsi="Verdana" w:cs="Arial"/>
          <w:b/>
          <w:bCs/>
          <w:lang w:val="es-MX" w:eastAsia="es-ES"/>
        </w:rPr>
      </w:pPr>
      <w:r w:rsidRPr="006B6987">
        <w:rPr>
          <w:rFonts w:ascii="Verdana" w:hAnsi="Verdana" w:cs="Arial"/>
          <w:b/>
          <w:bCs/>
          <w:lang w:val="es-MX" w:eastAsia="es-ES"/>
        </w:rPr>
        <w:t xml:space="preserve">FACTORES DE CALIDAD – Decreto 142 de 2023 – Decreto 1082 de 2015 – Artículo 2.2.1.1.2.2.2 </w:t>
      </w:r>
    </w:p>
    <w:p w14:paraId="39370D9E" w14:textId="7EA1BA95" w:rsidR="006B6987" w:rsidRPr="006B6987" w:rsidRDefault="006B6987" w:rsidP="00524934">
      <w:pPr>
        <w:spacing w:after="0" w:line="240" w:lineRule="auto"/>
        <w:jc w:val="both"/>
        <w:rPr>
          <w:rFonts w:ascii="Verdana" w:hAnsi="Verdana" w:cs="Arial"/>
          <w:bCs/>
          <w:sz w:val="20"/>
          <w:lang w:val="es-MX" w:eastAsia="es-ES"/>
        </w:rPr>
      </w:pPr>
    </w:p>
    <w:p w14:paraId="47A64B30" w14:textId="5FBBF668" w:rsidR="006B6987" w:rsidRPr="006B6987" w:rsidRDefault="006B6987" w:rsidP="00524934">
      <w:pPr>
        <w:spacing w:after="0" w:line="240" w:lineRule="auto"/>
        <w:jc w:val="both"/>
        <w:rPr>
          <w:rFonts w:ascii="Verdana" w:hAnsi="Verdana" w:cs="Arial"/>
          <w:bCs/>
          <w:sz w:val="20"/>
          <w:lang w:eastAsia="es-ES"/>
        </w:rPr>
      </w:pPr>
      <w:r w:rsidRPr="006B6987">
        <w:rPr>
          <w:rFonts w:ascii="Verdana" w:hAnsi="Verdana" w:cs="Arial"/>
          <w:bCs/>
          <w:sz w:val="20"/>
          <w:lang w:eastAsia="es-ES"/>
        </w:rPr>
        <w:t xml:space="preserve">Es necesario destacar que las reglas para establecer la oferta más favorable conforme al artículo 5 de la Ley 1150 de 2007, se encuentran reglamentadas en el artículo 2.2.1.1.2.2.2 del Decreto 1082 de 2015, modificado recientemente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w:t>
      </w:r>
      <w:proofErr w:type="spellStart"/>
      <w:r w:rsidRPr="006B6987">
        <w:rPr>
          <w:rFonts w:ascii="Verdana" w:hAnsi="Verdana" w:cs="Arial"/>
          <w:bCs/>
          <w:sz w:val="20"/>
          <w:lang w:eastAsia="es-ES"/>
        </w:rPr>
        <w:t>ii</w:t>
      </w:r>
      <w:proofErr w:type="spellEnd"/>
      <w:r w:rsidRPr="006B6987">
        <w:rPr>
          <w:rFonts w:ascii="Verdana" w:hAnsi="Verdana" w:cs="Arial"/>
          <w:bCs/>
          <w:sz w:val="20"/>
          <w:lang w:eastAsia="es-ES"/>
        </w:rPr>
        <w:t xml:space="preserve">) las condiciones técnicas adicionales que representan ventajas de calidad o de funcionamiento; </w:t>
      </w:r>
      <w:proofErr w:type="spellStart"/>
      <w:r w:rsidRPr="006B6987">
        <w:rPr>
          <w:rFonts w:ascii="Verdana" w:hAnsi="Verdana" w:cs="Arial"/>
          <w:bCs/>
          <w:sz w:val="20"/>
          <w:lang w:eastAsia="es-ES"/>
        </w:rPr>
        <w:t>iii</w:t>
      </w:r>
      <w:proofErr w:type="spellEnd"/>
      <w:r w:rsidRPr="006B6987">
        <w:rPr>
          <w:rFonts w:ascii="Verdana" w:hAnsi="Verdana" w:cs="Arial"/>
          <w:bCs/>
          <w:sz w:val="20"/>
          <w:lang w:eastAsia="es-ES"/>
        </w:rPr>
        <w:t xml:space="preserve">) las condiciones económicas adicionales que representen ventajas en términos de economía, eficiencia y eficacia; y </w:t>
      </w:r>
      <w:proofErr w:type="spellStart"/>
      <w:r w:rsidRPr="006B6987">
        <w:rPr>
          <w:rFonts w:ascii="Verdana" w:hAnsi="Verdana" w:cs="Arial"/>
          <w:bCs/>
          <w:sz w:val="20"/>
          <w:lang w:eastAsia="es-ES"/>
        </w:rPr>
        <w:t>iv</w:t>
      </w:r>
      <w:proofErr w:type="spellEnd"/>
      <w:r w:rsidRPr="006B6987">
        <w:rPr>
          <w:rFonts w:ascii="Verdana" w:hAnsi="Verdana" w:cs="Arial"/>
          <w:bCs/>
          <w:sz w:val="20"/>
          <w:lang w:eastAsia="es-ES"/>
        </w:rPr>
        <w:t>)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79875EB3" w14:textId="77777777" w:rsidR="00524934" w:rsidRDefault="00524934" w:rsidP="00524934">
      <w:pPr>
        <w:spacing w:after="0" w:line="240" w:lineRule="auto"/>
        <w:jc w:val="both"/>
        <w:rPr>
          <w:rFonts w:ascii="Verdana" w:hAnsi="Verdana" w:cs="Arial"/>
          <w:bCs/>
          <w:sz w:val="20"/>
          <w:lang w:eastAsia="es-ES"/>
        </w:rPr>
      </w:pPr>
    </w:p>
    <w:p w14:paraId="519F5B0F" w14:textId="358D6420" w:rsidR="006B6987" w:rsidRPr="006B6987" w:rsidRDefault="006B6987" w:rsidP="00524934">
      <w:pPr>
        <w:spacing w:after="0" w:line="240" w:lineRule="auto"/>
        <w:jc w:val="both"/>
        <w:rPr>
          <w:rFonts w:ascii="Verdana" w:hAnsi="Verdana" w:cs="Arial"/>
          <w:bCs/>
          <w:sz w:val="20"/>
          <w:lang w:eastAsia="es-ES"/>
        </w:rPr>
      </w:pPr>
      <w:r w:rsidRPr="006B6987">
        <w:rPr>
          <w:rFonts w:ascii="Verdana" w:hAnsi="Verdana" w:cs="Arial"/>
          <w:bCs/>
          <w:sz w:val="20"/>
          <w:lang w:eastAsia="es-ES"/>
        </w:rPr>
        <w:t xml:space="preserve">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w:t>
      </w:r>
    </w:p>
    <w:p w14:paraId="1D7FD8EC" w14:textId="77777777" w:rsidR="006B6987" w:rsidRPr="00524934" w:rsidRDefault="006B6987" w:rsidP="006B6987">
      <w:pPr>
        <w:spacing w:after="0" w:line="240" w:lineRule="auto"/>
        <w:rPr>
          <w:rFonts w:ascii="Verdana" w:hAnsi="Verdana" w:cs="Arial"/>
          <w:b/>
          <w:bCs/>
          <w:lang w:eastAsia="es-ES"/>
        </w:rPr>
      </w:pPr>
    </w:p>
    <w:p w14:paraId="2A362A81" w14:textId="77777777" w:rsidR="006B6987" w:rsidRPr="00524934" w:rsidRDefault="006B6987" w:rsidP="006B6987">
      <w:pPr>
        <w:spacing w:after="0" w:line="240" w:lineRule="auto"/>
        <w:rPr>
          <w:rFonts w:ascii="Verdana" w:hAnsi="Verdana" w:cs="Arial"/>
          <w:b/>
          <w:bCs/>
          <w:lang w:val="es-MX" w:eastAsia="es-ES"/>
        </w:rPr>
      </w:pPr>
      <w:r w:rsidRPr="00524934">
        <w:rPr>
          <w:rFonts w:ascii="Verdana" w:hAnsi="Verdana" w:cs="Arial"/>
          <w:b/>
          <w:bCs/>
          <w:lang w:val="es-MX" w:eastAsia="es-ES"/>
        </w:rPr>
        <w:t xml:space="preserve">FACTORES DE CALIDAD – Calidad – Precio – proporcionalidad </w:t>
      </w:r>
    </w:p>
    <w:p w14:paraId="6E9A0D98" w14:textId="28F6E3B5" w:rsidR="006B6987" w:rsidRDefault="006B6987" w:rsidP="006B6987">
      <w:pPr>
        <w:spacing w:after="0" w:line="240" w:lineRule="auto"/>
        <w:rPr>
          <w:rFonts w:ascii="Verdana" w:hAnsi="Verdana" w:cs="Arial"/>
          <w:bCs/>
          <w:lang w:val="es-MX" w:eastAsia="es-ES"/>
        </w:rPr>
      </w:pPr>
    </w:p>
    <w:p w14:paraId="4FB57003" w14:textId="77777777" w:rsidR="00524934" w:rsidRPr="00524934" w:rsidRDefault="00524934" w:rsidP="00524934">
      <w:pPr>
        <w:spacing w:after="0" w:line="240" w:lineRule="auto"/>
        <w:jc w:val="both"/>
        <w:rPr>
          <w:rFonts w:ascii="Verdana" w:hAnsi="Verdana" w:cs="Arial"/>
          <w:bCs/>
          <w:sz w:val="20"/>
          <w:lang w:eastAsia="es-ES"/>
        </w:rPr>
      </w:pPr>
      <w:r w:rsidRPr="00524934">
        <w:rPr>
          <w:rFonts w:ascii="Verdana" w:hAnsi="Verdana" w:cs="Arial"/>
          <w:bCs/>
          <w:sz w:val="20"/>
          <w:lang w:val="es-ES_tradnl" w:eastAsia="es-ES"/>
        </w:rPr>
        <w:t xml:space="preserve">En este sentido, </w:t>
      </w:r>
      <w:r w:rsidRPr="00524934">
        <w:rPr>
          <w:rFonts w:ascii="Verdana" w:hAnsi="Verdana" w:cs="Arial"/>
          <w:bCs/>
          <w:sz w:val="20"/>
          <w:lang w:eastAsia="es-ES"/>
        </w:rPr>
        <w:t xml:space="preserve">los factores de calidad aluden a los criterios y características que una entidad estatal considera para evaluar y comparar las diferentes propuestas que se presentan dentro de un proceso de contratación. Estos factores van más allá del precio y evalúan aspectos técnicos, económicos y de valor agregado que la oferta pueda aportar. En cuanto a los aspectos técnicos adicionales deben establecer ventajas en la calidad o funcionamiento de la oferta, como ocurre con la calidad de los materiales que se emplearán en la construcción de la obra, los procedimientos constructivos aplicables, las características estéticas o funcionales, cuadrilla adicional, garantía suplementaria, </w:t>
      </w:r>
      <w:r w:rsidRPr="00524934">
        <w:rPr>
          <w:rFonts w:ascii="Verdana" w:hAnsi="Verdana" w:cs="Arial"/>
          <w:bCs/>
          <w:sz w:val="20"/>
          <w:lang w:eastAsia="es-ES"/>
        </w:rPr>
        <w:lastRenderedPageBreak/>
        <w:t>implementación del programa de gerencia de proyectos, la adopción del plan de calidad. En cuanto a los aspectos económicos puede asignar ventajas adicionales en términos de eficiencia o eficacia.</w:t>
      </w:r>
    </w:p>
    <w:p w14:paraId="76C56958" w14:textId="62712B26" w:rsidR="00524934" w:rsidRPr="00524934" w:rsidRDefault="00524934" w:rsidP="00524934">
      <w:pPr>
        <w:spacing w:after="0" w:line="240" w:lineRule="auto"/>
        <w:jc w:val="both"/>
        <w:rPr>
          <w:rFonts w:ascii="Verdana" w:hAnsi="Verdana" w:cs="Arial"/>
          <w:bCs/>
          <w:sz w:val="20"/>
          <w:lang w:eastAsia="es-ES"/>
        </w:rPr>
      </w:pPr>
      <w:r>
        <w:rPr>
          <w:rFonts w:ascii="Verdana" w:hAnsi="Verdana" w:cs="Arial"/>
          <w:bCs/>
          <w:sz w:val="20"/>
          <w:lang w:eastAsia="es-ES"/>
        </w:rPr>
        <w:t>[..]</w:t>
      </w:r>
    </w:p>
    <w:p w14:paraId="59A13485" w14:textId="77777777" w:rsidR="00524934" w:rsidRPr="00524934" w:rsidRDefault="00524934" w:rsidP="00524934">
      <w:pPr>
        <w:spacing w:after="0" w:line="240" w:lineRule="auto"/>
        <w:jc w:val="both"/>
        <w:rPr>
          <w:rFonts w:ascii="Verdana" w:hAnsi="Verdana" w:cs="Arial"/>
          <w:bCs/>
          <w:sz w:val="20"/>
          <w:lang w:eastAsia="es-ES"/>
        </w:rPr>
      </w:pPr>
      <w:r w:rsidRPr="00524934">
        <w:rPr>
          <w:rFonts w:ascii="Verdana" w:hAnsi="Verdana" w:cs="Arial"/>
          <w:bCs/>
          <w:sz w:val="20"/>
          <w:lang w:eastAsia="es-ES"/>
        </w:rPr>
        <w:t xml:space="preserve">Teniendo en cuenta estas precisiones, en el supuesto genérico que nos incumbe, es importante señalar que la exigencia de cierto tipo de profesionales como factor de calidad dentro del pliego de condiciones deben atender a la relación calidad-precio, pues deben ser criterios que permitan con precisión la oferta más ventajosa, considerando no solo el precio, sino también aspectos técnicos, económicos y de valor agregado que contribuyan a la eficiencia y eficacia de la contratación y al cumplimiento de sus fines. En tal sentido, si bien la definición de cuáles son las condiciones para evaluar el factor de calidad se trata de una potestad discrecional de la entidad, no significa una elección administrativa, que tienda a ser una decisión irracional o arbitraria, pues debe tener en cuenta lo prescrito en el artículo 5 de la Ley 1150 de 2007, así como lo dispuesto en el artículo 2.2.1.1.2.2.2. del Decreto 1082 de 2015 modificado por el artículo 3 del Decreto 142 de 2023, esto es, que si atiendan a la mejor relación calidad –precio. </w:t>
      </w:r>
    </w:p>
    <w:p w14:paraId="228A6D13" w14:textId="77777777" w:rsidR="00524934" w:rsidRPr="00524934" w:rsidRDefault="00524934" w:rsidP="006B6987">
      <w:pPr>
        <w:spacing w:after="0" w:line="240" w:lineRule="auto"/>
        <w:rPr>
          <w:rFonts w:ascii="Verdana" w:hAnsi="Verdana" w:cs="Arial"/>
          <w:bCs/>
          <w:lang w:eastAsia="es-ES"/>
        </w:rPr>
      </w:pPr>
    </w:p>
    <w:p w14:paraId="36D568F5" w14:textId="44B8773B" w:rsidR="006B6987" w:rsidRPr="00524934" w:rsidRDefault="006B6987" w:rsidP="006B6987">
      <w:pPr>
        <w:spacing w:after="0" w:line="240" w:lineRule="auto"/>
        <w:rPr>
          <w:rFonts w:ascii="Verdana" w:hAnsi="Verdana" w:cs="Arial"/>
          <w:b/>
          <w:bCs/>
          <w:lang w:val="es-MX" w:eastAsia="es-ES"/>
        </w:rPr>
      </w:pPr>
      <w:r w:rsidRPr="00524934">
        <w:rPr>
          <w:rFonts w:ascii="Verdana" w:hAnsi="Verdana" w:cs="Arial"/>
          <w:b/>
          <w:bCs/>
          <w:lang w:val="es-MX" w:eastAsia="es-ES"/>
        </w:rPr>
        <w:t>FACTORES DE CALIDAD – Acreditación – proporcionalidad – deber de vigilancia –ejecución contractual</w:t>
      </w:r>
    </w:p>
    <w:p w14:paraId="73C2EE98" w14:textId="77777777" w:rsidR="00524934" w:rsidRDefault="00524934" w:rsidP="006B6987">
      <w:pPr>
        <w:spacing w:after="0" w:line="240" w:lineRule="auto"/>
        <w:rPr>
          <w:rFonts w:ascii="Verdana" w:hAnsi="Verdana" w:cs="Arial"/>
          <w:bCs/>
          <w:lang w:val="es-MX" w:eastAsia="es-ES"/>
        </w:rPr>
      </w:pPr>
    </w:p>
    <w:p w14:paraId="614738BA" w14:textId="50D0CC14" w:rsidR="00524934" w:rsidRDefault="00524934" w:rsidP="00524934">
      <w:pPr>
        <w:spacing w:after="0" w:line="240" w:lineRule="auto"/>
        <w:jc w:val="both"/>
        <w:rPr>
          <w:rFonts w:ascii="Verdana" w:hAnsi="Verdana" w:cs="Arial"/>
          <w:bCs/>
          <w:sz w:val="20"/>
          <w:lang w:eastAsia="es-ES"/>
        </w:rPr>
      </w:pPr>
      <w:r w:rsidRPr="00524934">
        <w:rPr>
          <w:rFonts w:ascii="Verdana" w:hAnsi="Verdana" w:cs="Arial"/>
          <w:bCs/>
          <w:sz w:val="20"/>
          <w:lang w:eastAsia="es-ES"/>
        </w:rPr>
        <w:t xml:space="preserve">Ahora bien, en torno a la acreditación de los perfiles que son las condiciones establecidas en el factor calidad dentro del pliego de condiciones, es preciso señalar, que si bien hay una discrecionalidad de la entidad frente a la forma de acreditación, en el sentido de exigir que el personal específico deba estar vinculado previamente con el Proponente, no significa que no sea posible, que se suscriba un acta compromiso, o el documento que permita comprobar el deber del proponente de cumplir con este tipo de perfiles, para acreditar dicho factor. En efecto, es importante tener en cuenta que la finalidad de exigir más documentos de lo que verdaderamente que se requiere no contradiga lo prescrito en el artículo 5° del Decreto Ley 019 de 2012 “por el cual se dictan normas para suprimir o reformar regulaciones, procedimientos y trámites innecesarios existentes en la Administración Pública”, que dispone en uno de sus apartes: “[…] los procedimientos se deben adelantar en el menor tiempo y con la menor cantidad de gastos de quienes intervienen en ellos; </w:t>
      </w:r>
      <w:r w:rsidRPr="00524934">
        <w:rPr>
          <w:rFonts w:ascii="Verdana" w:hAnsi="Verdana" w:cs="Arial"/>
          <w:bCs/>
          <w:i/>
          <w:sz w:val="20"/>
          <w:lang w:eastAsia="es-ES"/>
        </w:rPr>
        <w:t>las autoridades administrativas y los particulares que cumplen funciones administrativas no deben exigir más documentos y copias que los estrictamente necesarios […]</w:t>
      </w:r>
      <w:r w:rsidRPr="00524934">
        <w:rPr>
          <w:rFonts w:ascii="Verdana" w:hAnsi="Verdana" w:cs="Arial"/>
          <w:bCs/>
          <w:sz w:val="20"/>
          <w:lang w:eastAsia="es-ES"/>
        </w:rPr>
        <w:t xml:space="preserve">” (énfasis fuera de texto). </w:t>
      </w:r>
    </w:p>
    <w:p w14:paraId="7531F759" w14:textId="77777777" w:rsidR="00524934" w:rsidRPr="00524934" w:rsidRDefault="00524934" w:rsidP="00524934">
      <w:pPr>
        <w:spacing w:after="0" w:line="240" w:lineRule="auto"/>
        <w:jc w:val="both"/>
        <w:rPr>
          <w:rFonts w:ascii="Verdana" w:hAnsi="Verdana" w:cs="Arial"/>
          <w:bCs/>
          <w:sz w:val="20"/>
          <w:lang w:eastAsia="es-ES"/>
        </w:rPr>
      </w:pPr>
    </w:p>
    <w:p w14:paraId="0458238C" w14:textId="27B51E22" w:rsidR="00524934" w:rsidRPr="00524934" w:rsidRDefault="00524934" w:rsidP="00524934">
      <w:pPr>
        <w:spacing w:after="0" w:line="240" w:lineRule="auto"/>
        <w:jc w:val="both"/>
        <w:rPr>
          <w:rFonts w:ascii="Verdana" w:hAnsi="Verdana" w:cs="Arial"/>
          <w:bCs/>
          <w:sz w:val="20"/>
          <w:lang w:val="es-ES" w:eastAsia="es-ES"/>
        </w:rPr>
      </w:pPr>
      <w:r w:rsidRPr="00524934">
        <w:rPr>
          <w:rFonts w:ascii="Verdana" w:hAnsi="Verdana" w:cs="Arial"/>
          <w:bCs/>
          <w:sz w:val="20"/>
          <w:lang w:eastAsia="es-ES"/>
        </w:rPr>
        <w:t xml:space="preserve">Bajo esta perspectiva, la acreditación de perfiles específicos como factor de calidad deben atender a un criterio de proporcionalidad y razonabilidad, lo cual permita la selección objetiva. En todo caso, la entidad en el momento de la celebración y ejecución del contrato estatal debe verificar que si se cumplan con los perfiles específicos que se acreditaron en el factor de calidad, teniendo en cuenta que el pliego de condiciones </w:t>
      </w:r>
      <w:r w:rsidRPr="00524934">
        <w:rPr>
          <w:rFonts w:ascii="Verdana" w:hAnsi="Verdana" w:cs="Arial"/>
          <w:bCs/>
          <w:sz w:val="20"/>
          <w:lang w:val="es-ES" w:eastAsia="es-ES"/>
        </w:rPr>
        <w:t xml:space="preserve">ostenta una doble naturaleza jurídica, pues, por un lado, antes de la celebración del contrato y de la expedición del acto administrativo de adjudicación se considera como un acto administrativo de carácter general que rige el desarrollo del proceso de selección, por otro lado, una vez se celebre el contrato, el pliego de condiciones pasa hacer parte del marco jurídico de la relación contractual determinando el contenido y el alcance del negocio jurídico. </w:t>
      </w:r>
    </w:p>
    <w:p w14:paraId="69D25DC4" w14:textId="130483FD" w:rsidR="006B6987" w:rsidRDefault="006B6987" w:rsidP="004F60D2">
      <w:pPr>
        <w:spacing w:after="0"/>
        <w:rPr>
          <w:rFonts w:ascii="Verdana" w:hAnsi="Verdana" w:cs="Arial"/>
          <w:bCs/>
          <w:lang w:val="es-MX" w:eastAsia="es-ES"/>
        </w:rPr>
      </w:pPr>
    </w:p>
    <w:p w14:paraId="6A645FCE" w14:textId="0304CA52" w:rsidR="004F60D2" w:rsidRDefault="006B6987" w:rsidP="004F60D2">
      <w:pPr>
        <w:spacing w:after="0"/>
        <w:rPr>
          <w:rFonts w:ascii="Verdana" w:hAnsi="Verdana"/>
        </w:rPr>
      </w:pPr>
      <w:r w:rsidRPr="006B6987">
        <w:rPr>
          <w:rFonts w:ascii="Verdana" w:hAnsi="Verdana"/>
          <w:noProof/>
          <w:lang w:val="en-US"/>
        </w:rPr>
        <w:lastRenderedPageBreak/>
        <w:drawing>
          <wp:anchor distT="0" distB="0" distL="114300" distR="114300" simplePos="0" relativeHeight="251658240" behindDoc="0" locked="0" layoutInCell="1" allowOverlap="1" wp14:anchorId="1F2FDA96" wp14:editId="05CCEDB6">
            <wp:simplePos x="0" y="0"/>
            <wp:positionH relativeFrom="margin">
              <wp:align>right</wp:align>
            </wp:positionH>
            <wp:positionV relativeFrom="paragraph">
              <wp:posOffset>10795</wp:posOffset>
            </wp:positionV>
            <wp:extent cx="2921635" cy="8096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2163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Bogotá D.C., 18 de julio de 2025</w:t>
      </w:r>
      <w:r w:rsidR="004F60D2" w:rsidRPr="0044528D">
        <w:rPr>
          <w:rFonts w:ascii="Verdana" w:hAnsi="Verdana"/>
        </w:rPr>
        <w:tab/>
      </w:r>
      <w:bookmarkEnd w:id="0"/>
      <w:r w:rsidR="004F60D2">
        <w:rPr>
          <w:rFonts w:ascii="Verdana" w:hAnsi="Verdana"/>
        </w:rPr>
        <w:t xml:space="preserve"> </w:t>
      </w:r>
    </w:p>
    <w:p w14:paraId="27BC3EE6" w14:textId="77777777" w:rsidR="004F60D2" w:rsidRPr="0044528D" w:rsidRDefault="004F60D2" w:rsidP="004F60D2">
      <w:pPr>
        <w:spacing w:after="0"/>
        <w:rPr>
          <w:rFonts w:ascii="Verdana" w:hAnsi="Verdana"/>
        </w:rPr>
      </w:pPr>
    </w:p>
    <w:p w14:paraId="7BC5C7F5" w14:textId="77777777" w:rsidR="004F60D2" w:rsidRDefault="004F60D2" w:rsidP="004F60D2">
      <w:pPr>
        <w:spacing w:after="0"/>
        <w:jc w:val="both"/>
        <w:rPr>
          <w:rStyle w:val="Hipervnculo"/>
          <w:rFonts w:ascii="Verdana" w:hAnsi="Verdana"/>
        </w:rPr>
      </w:pPr>
    </w:p>
    <w:p w14:paraId="6D94EA00" w14:textId="77777777" w:rsidR="004F60D2" w:rsidRPr="00185EE9" w:rsidRDefault="004F60D2" w:rsidP="004F60D2">
      <w:pPr>
        <w:spacing w:after="0" w:line="240" w:lineRule="auto"/>
        <w:rPr>
          <w:rFonts w:ascii="Verdana" w:eastAsia="Calibri" w:hAnsi="Verdana" w:cs="Times New Roman"/>
          <w:lang w:val="es-MX"/>
        </w:rPr>
      </w:pPr>
      <w:r w:rsidRPr="00185EE9">
        <w:rPr>
          <w:rFonts w:ascii="Verdana" w:eastAsia="Calibri" w:hAnsi="Verdana" w:cs="Times New Roman"/>
          <w:lang w:val="es-MX"/>
        </w:rPr>
        <w:t>Señor</w:t>
      </w:r>
    </w:p>
    <w:p w14:paraId="04E206B4" w14:textId="77777777" w:rsidR="004F60D2" w:rsidRPr="00185EE9" w:rsidRDefault="004F60D2" w:rsidP="004F60D2">
      <w:pPr>
        <w:spacing w:after="0" w:line="240" w:lineRule="auto"/>
        <w:rPr>
          <w:rFonts w:ascii="Verdana" w:eastAsia="Calibri" w:hAnsi="Verdana" w:cs="Times New Roman"/>
          <w:b/>
        </w:rPr>
      </w:pPr>
      <w:r>
        <w:rPr>
          <w:rFonts w:ascii="Verdana" w:eastAsia="Calibri" w:hAnsi="Verdana" w:cs="Times New Roman"/>
          <w:b/>
        </w:rPr>
        <w:t>Guillermo Andrés Peralta Pérez</w:t>
      </w:r>
    </w:p>
    <w:p w14:paraId="6E27CEE0" w14:textId="77777777" w:rsidR="004F60D2" w:rsidRDefault="004F60D2" w:rsidP="004F60D2">
      <w:pPr>
        <w:spacing w:after="0" w:line="240" w:lineRule="auto"/>
        <w:rPr>
          <w:rFonts w:ascii="Verdana" w:eastAsia="Calibri" w:hAnsi="Verdana" w:cs="Times New Roman"/>
        </w:rPr>
      </w:pPr>
      <w:hyperlink r:id="rId12" w:history="1">
        <w:r w:rsidRPr="00996DB8">
          <w:rPr>
            <w:rStyle w:val="Hipervnculo"/>
            <w:rFonts w:ascii="Verdana" w:eastAsia="Calibri" w:hAnsi="Verdana" w:cs="Times New Roman"/>
          </w:rPr>
          <w:t>gappks@gmail.com</w:t>
        </w:r>
      </w:hyperlink>
      <w:r>
        <w:rPr>
          <w:rFonts w:ascii="Verdana" w:eastAsia="Calibri" w:hAnsi="Verdana" w:cs="Times New Roman"/>
        </w:rPr>
        <w:t xml:space="preserve"> </w:t>
      </w:r>
    </w:p>
    <w:p w14:paraId="08385D04" w14:textId="77777777" w:rsidR="004F60D2" w:rsidRDefault="004F60D2" w:rsidP="004F60D2">
      <w:pPr>
        <w:spacing w:after="0" w:line="240" w:lineRule="auto"/>
        <w:rPr>
          <w:rFonts w:ascii="Verdana" w:eastAsia="Calibri" w:hAnsi="Verdana" w:cs="Times New Roman"/>
        </w:rPr>
      </w:pPr>
      <w:r>
        <w:rPr>
          <w:rFonts w:ascii="Verdana" w:eastAsia="Calibri" w:hAnsi="Verdana" w:cs="Times New Roman"/>
        </w:rPr>
        <w:t>Cajicá, Cundinamarca</w:t>
      </w:r>
    </w:p>
    <w:p w14:paraId="75551CD2" w14:textId="77777777" w:rsidR="004F60D2" w:rsidRDefault="004F60D2" w:rsidP="004F60D2">
      <w:pPr>
        <w:spacing w:after="0" w:line="256" w:lineRule="auto"/>
        <w:rPr>
          <w:rFonts w:ascii="Verdana" w:eastAsia="Calibri" w:hAnsi="Verdana" w:cs="Times New Roman"/>
        </w:rPr>
      </w:pPr>
    </w:p>
    <w:p w14:paraId="5D3F913C" w14:textId="77777777" w:rsidR="004F60D2" w:rsidRPr="00185EE9" w:rsidRDefault="004F60D2" w:rsidP="004F60D2">
      <w:pPr>
        <w:spacing w:after="0" w:line="256" w:lineRule="auto"/>
        <w:rPr>
          <w:rFonts w:ascii="Verdana" w:eastAsia="Calibri" w:hAnsi="Verdana" w:cs="Times New Roman"/>
        </w:rPr>
      </w:pPr>
    </w:p>
    <w:p w14:paraId="6AB388D4" w14:textId="77777777" w:rsidR="004F60D2" w:rsidRPr="00185EE9" w:rsidRDefault="004F60D2" w:rsidP="004F60D2">
      <w:pPr>
        <w:spacing w:after="0" w:line="256" w:lineRule="auto"/>
        <w:rPr>
          <w:rFonts w:ascii="Verdana" w:eastAsia="Calibri" w:hAnsi="Verdana" w:cs="Times New Roman"/>
          <w:b/>
          <w:bCs/>
          <w:lang w:val="es-ES"/>
        </w:rPr>
      </w:pPr>
      <w:r w:rsidRPr="00185EE9">
        <w:rPr>
          <w:rFonts w:ascii="Verdana" w:eastAsia="Calibri" w:hAnsi="Verdana" w:cs="Times New Roman"/>
          <w:b/>
          <w:bCs/>
          <w:lang w:val="es-ES"/>
        </w:rPr>
        <w:t xml:space="preserve">                                    </w:t>
      </w:r>
      <w:r w:rsidRPr="00F611E3">
        <w:rPr>
          <w:rFonts w:ascii="Verdana" w:eastAsia="Calibri" w:hAnsi="Verdana" w:cs="Times New Roman"/>
          <w:b/>
          <w:bCs/>
          <w:lang w:val="es-ES"/>
        </w:rPr>
        <w:t>Concepto C–</w:t>
      </w:r>
      <w:r>
        <w:rPr>
          <w:rFonts w:ascii="Verdana" w:eastAsia="Calibri" w:hAnsi="Verdana" w:cs="Times New Roman"/>
          <w:b/>
          <w:bCs/>
          <w:lang w:val="es-ES"/>
        </w:rPr>
        <w:t>768</w:t>
      </w:r>
      <w:r w:rsidRPr="00F611E3">
        <w:rPr>
          <w:rFonts w:ascii="Verdana" w:eastAsia="Calibri" w:hAnsi="Verdana" w:cs="Times New Roman"/>
          <w:b/>
          <w:bCs/>
          <w:lang w:val="es-ES"/>
        </w:rPr>
        <w:t xml:space="preserve"> de 2025</w:t>
      </w:r>
    </w:p>
    <w:p w14:paraId="04952BA6" w14:textId="77777777" w:rsidR="004F60D2" w:rsidRPr="00185EE9" w:rsidRDefault="004F60D2" w:rsidP="004F60D2">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4F60D2" w:rsidRPr="00185EE9" w14:paraId="2C5874D1" w14:textId="77777777" w:rsidTr="008A7300">
        <w:trPr>
          <w:trHeight w:val="884"/>
        </w:trPr>
        <w:tc>
          <w:tcPr>
            <w:tcW w:w="2685" w:type="dxa"/>
            <w:hideMark/>
          </w:tcPr>
          <w:p w14:paraId="69B831BB" w14:textId="77777777" w:rsidR="004F60D2" w:rsidRPr="00185EE9" w:rsidRDefault="004F60D2" w:rsidP="008A7300">
            <w:pPr>
              <w:spacing w:line="256" w:lineRule="auto"/>
              <w:rPr>
                <w:rFonts w:ascii="Verdana" w:hAnsi="Verdana"/>
                <w:b/>
                <w:bCs/>
                <w:lang w:val="es-ES_tradnl"/>
              </w:rPr>
            </w:pPr>
            <w:r w:rsidRPr="00185EE9">
              <w:rPr>
                <w:rFonts w:ascii="Verdana" w:hAnsi="Verdana"/>
                <w:b/>
                <w:bCs/>
                <w:lang w:val="es-ES_tradnl"/>
              </w:rPr>
              <w:t xml:space="preserve">Temas:                   </w:t>
            </w:r>
          </w:p>
        </w:tc>
        <w:tc>
          <w:tcPr>
            <w:tcW w:w="6241" w:type="dxa"/>
            <w:hideMark/>
          </w:tcPr>
          <w:p w14:paraId="5A58B623" w14:textId="77777777" w:rsidR="004F60D2" w:rsidRPr="00081978" w:rsidRDefault="004F60D2" w:rsidP="008A7300">
            <w:pPr>
              <w:spacing w:line="276" w:lineRule="auto"/>
              <w:jc w:val="both"/>
              <w:rPr>
                <w:rFonts w:ascii="Verdana" w:hAnsi="Verdana" w:cs="Arial"/>
                <w:bCs/>
                <w:lang w:val="es-MX" w:eastAsia="es-ES"/>
              </w:rPr>
            </w:pPr>
            <w:r w:rsidRPr="00081978">
              <w:rPr>
                <w:rFonts w:ascii="Verdana" w:hAnsi="Verdana" w:cs="Arial"/>
                <w:bCs/>
                <w:lang w:val="es-MX" w:eastAsia="es-ES"/>
              </w:rPr>
              <w:t>SELECCIÓN OBJETIVA – Ofrecimiento más favorable / FACTORES DE CALIDAD – Decreto 142 de 2023 – Decreto 1082 de 2015 – Artículo 2.2.1.1.2.2.2 / FACTORES DE CALIDAD – C</w:t>
            </w:r>
            <w:r>
              <w:rPr>
                <w:rFonts w:ascii="Verdana" w:hAnsi="Verdana" w:cs="Arial"/>
                <w:bCs/>
                <w:lang w:val="es-MX" w:eastAsia="es-ES"/>
              </w:rPr>
              <w:t>alidad</w:t>
            </w:r>
            <w:r w:rsidRPr="00081978">
              <w:rPr>
                <w:rFonts w:ascii="Verdana" w:hAnsi="Verdana" w:cs="Arial"/>
                <w:bCs/>
                <w:lang w:val="es-MX" w:eastAsia="es-ES"/>
              </w:rPr>
              <w:t xml:space="preserve"> –</w:t>
            </w:r>
            <w:r>
              <w:rPr>
                <w:rFonts w:ascii="Verdana" w:hAnsi="Verdana" w:cs="Arial"/>
                <w:bCs/>
                <w:lang w:val="es-MX" w:eastAsia="es-ES"/>
              </w:rPr>
              <w:t xml:space="preserve"> Precio – proporcionalidad / FACTORES DE CALIDAD – Acreditación – proporcionalidad – deber de vigilancia –ejecución contractual. </w:t>
            </w:r>
          </w:p>
          <w:p w14:paraId="18504970" w14:textId="77777777" w:rsidR="004F60D2" w:rsidRPr="00A027B7" w:rsidRDefault="004F60D2" w:rsidP="008A7300">
            <w:pPr>
              <w:spacing w:line="276" w:lineRule="auto"/>
              <w:jc w:val="both"/>
              <w:rPr>
                <w:rFonts w:ascii="Verdana" w:hAnsi="Verdana" w:cs="Arial"/>
                <w:bCs/>
                <w:lang w:val="es-ES" w:eastAsia="es-ES"/>
              </w:rPr>
            </w:pPr>
          </w:p>
        </w:tc>
        <w:tc>
          <w:tcPr>
            <w:tcW w:w="6237" w:type="dxa"/>
          </w:tcPr>
          <w:p w14:paraId="5B1E16AB" w14:textId="77777777" w:rsidR="004F60D2" w:rsidRPr="003778AA" w:rsidRDefault="004F60D2" w:rsidP="008A7300">
            <w:pPr>
              <w:spacing w:line="256" w:lineRule="auto"/>
              <w:rPr>
                <w:rFonts w:ascii="Verdana" w:hAnsi="Verdana"/>
                <w:lang w:val="es-ES"/>
              </w:rPr>
            </w:pPr>
            <w:r>
              <w:rPr>
                <w:rFonts w:ascii="Verdana" w:hAnsi="Verdana"/>
                <w:lang w:val="es-ES"/>
              </w:rPr>
              <w:t xml:space="preserve"> </w:t>
            </w:r>
          </w:p>
        </w:tc>
      </w:tr>
      <w:tr w:rsidR="004F60D2" w:rsidRPr="00185EE9" w14:paraId="5AA48FD1" w14:textId="77777777" w:rsidTr="008A7300">
        <w:tc>
          <w:tcPr>
            <w:tcW w:w="2685" w:type="dxa"/>
          </w:tcPr>
          <w:p w14:paraId="58862F78" w14:textId="77777777" w:rsidR="004F60D2" w:rsidRPr="00185EE9" w:rsidRDefault="004F60D2" w:rsidP="008A7300">
            <w:pPr>
              <w:spacing w:line="256" w:lineRule="auto"/>
              <w:rPr>
                <w:rFonts w:ascii="Verdana" w:hAnsi="Verdana"/>
                <w:lang w:val="es-ES_tradnl"/>
              </w:rPr>
            </w:pPr>
          </w:p>
          <w:p w14:paraId="2ED7FB9E" w14:textId="77777777" w:rsidR="004F60D2" w:rsidRPr="00185EE9" w:rsidRDefault="004F60D2" w:rsidP="008A7300">
            <w:pPr>
              <w:spacing w:line="256" w:lineRule="auto"/>
              <w:rPr>
                <w:rFonts w:ascii="Verdana" w:hAnsi="Verdana"/>
                <w:b/>
                <w:bCs/>
                <w:lang w:val="es-ES_tradnl"/>
              </w:rPr>
            </w:pPr>
            <w:r w:rsidRPr="00185EE9">
              <w:rPr>
                <w:rFonts w:ascii="Verdana" w:hAnsi="Verdana"/>
                <w:b/>
                <w:bCs/>
                <w:lang w:val="es-ES_tradnl"/>
              </w:rPr>
              <w:t xml:space="preserve">Radicación:               </w:t>
            </w:r>
          </w:p>
        </w:tc>
        <w:tc>
          <w:tcPr>
            <w:tcW w:w="6241" w:type="dxa"/>
          </w:tcPr>
          <w:p w14:paraId="2EDC9AE4" w14:textId="77777777" w:rsidR="004F60D2" w:rsidRPr="00185EE9" w:rsidRDefault="004F60D2" w:rsidP="008A7300">
            <w:pPr>
              <w:spacing w:line="257" w:lineRule="auto"/>
              <w:rPr>
                <w:rFonts w:ascii="Verdana" w:hAnsi="Verdana"/>
                <w:lang w:val="es-ES_tradnl"/>
              </w:rPr>
            </w:pPr>
          </w:p>
          <w:p w14:paraId="602EE309" w14:textId="77777777" w:rsidR="004F60D2" w:rsidRPr="00FD2E94" w:rsidRDefault="004F60D2" w:rsidP="008A7300">
            <w:pPr>
              <w:spacing w:line="257" w:lineRule="auto"/>
              <w:jc w:val="both"/>
              <w:rPr>
                <w:rFonts w:ascii="Verdana" w:hAnsi="Verdana"/>
                <w:highlight w:val="yellow"/>
                <w:lang w:val="es-ES_tradnl"/>
              </w:rPr>
            </w:pPr>
            <w:r w:rsidRPr="00185EE9">
              <w:rPr>
                <w:rFonts w:ascii="Verdana" w:hAnsi="Verdana"/>
                <w:lang w:val="es-ES_tradnl"/>
              </w:rPr>
              <w:t xml:space="preserve">Respuesta a consulta con radicado No. </w:t>
            </w:r>
            <w:r w:rsidRPr="00A870F1">
              <w:rPr>
                <w:rFonts w:ascii="Verdana" w:hAnsi="Verdana"/>
              </w:rPr>
              <w:t>1_2025_06_11_005786</w:t>
            </w:r>
            <w:r>
              <w:rPr>
                <w:rFonts w:ascii="Verdana" w:hAnsi="Verdana"/>
              </w:rPr>
              <w:t xml:space="preserve"> </w:t>
            </w:r>
          </w:p>
          <w:p w14:paraId="01C8B1AE" w14:textId="77777777" w:rsidR="004F60D2" w:rsidRPr="00185EE9" w:rsidRDefault="004F60D2" w:rsidP="008A7300">
            <w:pPr>
              <w:spacing w:line="257" w:lineRule="auto"/>
              <w:jc w:val="both"/>
              <w:rPr>
                <w:rFonts w:ascii="Verdana" w:hAnsi="Verdana"/>
              </w:rPr>
            </w:pPr>
          </w:p>
        </w:tc>
        <w:tc>
          <w:tcPr>
            <w:tcW w:w="6237" w:type="dxa"/>
          </w:tcPr>
          <w:p w14:paraId="0B5518C9" w14:textId="77777777" w:rsidR="004F60D2" w:rsidRPr="00185EE9" w:rsidRDefault="004F60D2" w:rsidP="008A7300">
            <w:pPr>
              <w:spacing w:line="256" w:lineRule="auto"/>
              <w:rPr>
                <w:rFonts w:ascii="Verdana" w:hAnsi="Verdana"/>
                <w:lang w:val="es-ES_tradnl"/>
              </w:rPr>
            </w:pPr>
          </w:p>
        </w:tc>
      </w:tr>
    </w:tbl>
    <w:p w14:paraId="762E299E" w14:textId="77777777" w:rsidR="004F60D2" w:rsidRPr="00185EE9" w:rsidRDefault="004F60D2" w:rsidP="004F60D2">
      <w:pPr>
        <w:spacing w:after="0" w:line="256" w:lineRule="auto"/>
        <w:rPr>
          <w:rFonts w:ascii="Verdana" w:eastAsia="Calibri" w:hAnsi="Verdana" w:cs="Times New Roman"/>
          <w:lang w:val="es-ES_tradnl"/>
        </w:rPr>
      </w:pPr>
    </w:p>
    <w:p w14:paraId="63FF881C" w14:textId="77777777" w:rsidR="004F60D2" w:rsidRPr="00185EE9" w:rsidRDefault="004F60D2" w:rsidP="004F60D2">
      <w:pPr>
        <w:spacing w:after="0" w:line="256" w:lineRule="auto"/>
        <w:rPr>
          <w:rFonts w:ascii="Verdana" w:eastAsia="Calibri" w:hAnsi="Verdana" w:cs="Times New Roman"/>
          <w:lang w:val="es-ES"/>
        </w:rPr>
      </w:pPr>
      <w:r>
        <w:rPr>
          <w:rFonts w:ascii="Verdana" w:eastAsia="Calibri" w:hAnsi="Verdana" w:cs="Times New Roman"/>
          <w:lang w:val="es-ES"/>
        </w:rPr>
        <w:t>Estimado Señor Guillermo:</w:t>
      </w:r>
      <w:r w:rsidRPr="00185EE9">
        <w:rPr>
          <w:rFonts w:ascii="Verdana" w:eastAsia="Calibri" w:hAnsi="Verdana" w:cs="Times New Roman"/>
          <w:lang w:val="es-ES"/>
        </w:rPr>
        <w:t xml:space="preserve"> </w:t>
      </w:r>
    </w:p>
    <w:p w14:paraId="5D1581CC" w14:textId="77777777" w:rsidR="004F60D2" w:rsidRPr="00185EE9" w:rsidRDefault="004F60D2" w:rsidP="004F60D2">
      <w:pPr>
        <w:spacing w:after="0" w:line="256" w:lineRule="auto"/>
        <w:rPr>
          <w:rFonts w:ascii="Verdana" w:eastAsia="Calibri" w:hAnsi="Verdana" w:cs="Times New Roman"/>
          <w:lang w:val="es-ES"/>
        </w:rPr>
      </w:pPr>
    </w:p>
    <w:p w14:paraId="1D2150F8" w14:textId="77777777" w:rsidR="004F60D2" w:rsidRPr="00185EE9" w:rsidRDefault="004F60D2" w:rsidP="004F60D2">
      <w:pPr>
        <w:spacing w:after="0" w:line="276" w:lineRule="auto"/>
        <w:jc w:val="both"/>
        <w:rPr>
          <w:rFonts w:ascii="Verdana" w:eastAsia="Calibri" w:hAnsi="Verdana" w:cs="Times New Roman"/>
          <w:lang w:val="es-ES"/>
        </w:rPr>
      </w:pPr>
      <w:r w:rsidRPr="00185EE9">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w:t>
      </w:r>
      <w:r>
        <w:rPr>
          <w:rFonts w:ascii="Verdana" w:eastAsia="Calibri" w:hAnsi="Verdana" w:cs="Times New Roman"/>
          <w:lang w:val="es-ES"/>
        </w:rPr>
        <w:t>nde la solicitud de consulta presentada el 11 de junio de 2025</w:t>
      </w:r>
      <w:r w:rsidRPr="00185EE9">
        <w:rPr>
          <w:rFonts w:ascii="Verdana" w:eastAsia="Calibri" w:hAnsi="Verdana" w:cs="Times New Roman"/>
          <w:lang w:val="es-ES"/>
        </w:rPr>
        <w:t>, en</w:t>
      </w:r>
      <w:r>
        <w:rPr>
          <w:rFonts w:ascii="Verdana" w:eastAsia="Calibri" w:hAnsi="Verdana" w:cs="Times New Roman"/>
          <w:lang w:val="es-ES"/>
        </w:rPr>
        <w:t xml:space="preserve"> la cual manifiesta</w:t>
      </w:r>
      <w:r w:rsidRPr="00185EE9">
        <w:rPr>
          <w:rFonts w:ascii="Verdana" w:eastAsia="Calibri" w:hAnsi="Verdana" w:cs="Times New Roman"/>
          <w:lang w:val="es-ES"/>
        </w:rPr>
        <w:t>:</w:t>
      </w:r>
    </w:p>
    <w:p w14:paraId="222BF61D" w14:textId="77777777" w:rsidR="004F60D2" w:rsidRPr="0097354A" w:rsidRDefault="004F60D2" w:rsidP="004F60D2">
      <w:pPr>
        <w:spacing w:after="0" w:line="240" w:lineRule="auto"/>
        <w:jc w:val="both"/>
        <w:rPr>
          <w:rFonts w:ascii="Verdana" w:eastAsia="Calibri" w:hAnsi="Verdana" w:cs="Times New Roman"/>
          <w:i/>
          <w:lang w:val="es-ES"/>
        </w:rPr>
      </w:pPr>
    </w:p>
    <w:p w14:paraId="0B8D7CF9" w14:textId="77777777" w:rsidR="004F60D2" w:rsidRPr="0048232F" w:rsidRDefault="004F60D2" w:rsidP="004F60D2">
      <w:pPr>
        <w:spacing w:after="0" w:line="240" w:lineRule="auto"/>
        <w:ind w:left="709" w:right="709"/>
        <w:jc w:val="both"/>
        <w:rPr>
          <w:rFonts w:ascii="Verdana" w:eastAsia="Calibri" w:hAnsi="Verdana" w:cs="Times New Roman"/>
          <w:i/>
          <w:sz w:val="20"/>
          <w:szCs w:val="20"/>
        </w:rPr>
      </w:pPr>
      <w:r w:rsidRPr="0097354A">
        <w:rPr>
          <w:rFonts w:ascii="Verdana" w:eastAsia="Calibri" w:hAnsi="Verdana" w:cs="Times New Roman"/>
          <w:i/>
          <w:sz w:val="20"/>
          <w:szCs w:val="20"/>
          <w:lang w:val="es-ES"/>
        </w:rPr>
        <w:t>“</w:t>
      </w:r>
      <w:r w:rsidRPr="0048232F">
        <w:rPr>
          <w:rFonts w:ascii="Verdana" w:eastAsia="Calibri" w:hAnsi="Verdana" w:cs="Times New Roman"/>
          <w:i/>
          <w:sz w:val="20"/>
          <w:szCs w:val="20"/>
        </w:rPr>
        <w:t xml:space="preserve">Entonces mi Pregunta es qué Si la entidad puede Contractualmente pedir un Perfil especifico con sus soportes como son: </w:t>
      </w:r>
    </w:p>
    <w:p w14:paraId="4E00060B" w14:textId="77777777" w:rsidR="004F60D2" w:rsidRPr="0048232F" w:rsidRDefault="004F60D2" w:rsidP="004F60D2">
      <w:pPr>
        <w:spacing w:after="0" w:line="240" w:lineRule="auto"/>
        <w:ind w:left="709" w:right="709"/>
        <w:jc w:val="both"/>
        <w:rPr>
          <w:rFonts w:ascii="Verdana" w:eastAsia="Calibri" w:hAnsi="Verdana" w:cs="Times New Roman"/>
          <w:i/>
          <w:sz w:val="20"/>
          <w:szCs w:val="20"/>
        </w:rPr>
      </w:pPr>
      <w:r w:rsidRPr="0048232F">
        <w:rPr>
          <w:rFonts w:ascii="Verdana" w:eastAsia="Calibri" w:hAnsi="Verdana" w:cs="Times New Roman"/>
          <w:i/>
          <w:sz w:val="20"/>
          <w:szCs w:val="20"/>
        </w:rPr>
        <w:t xml:space="preserve">Tarjeta profesional (antigüedad mínima 10 años). </w:t>
      </w:r>
    </w:p>
    <w:p w14:paraId="71F4A690" w14:textId="77777777" w:rsidR="004F60D2" w:rsidRPr="0048232F" w:rsidRDefault="004F60D2" w:rsidP="004F60D2">
      <w:pPr>
        <w:spacing w:after="0" w:line="240" w:lineRule="auto"/>
        <w:ind w:left="709" w:right="709"/>
        <w:jc w:val="both"/>
        <w:rPr>
          <w:rFonts w:ascii="Verdana" w:eastAsia="Calibri" w:hAnsi="Verdana" w:cs="Times New Roman"/>
          <w:i/>
          <w:sz w:val="20"/>
          <w:szCs w:val="20"/>
        </w:rPr>
      </w:pPr>
      <w:r w:rsidRPr="0048232F">
        <w:rPr>
          <w:rFonts w:ascii="Verdana" w:eastAsia="Calibri" w:hAnsi="Verdana" w:cs="Times New Roman"/>
          <w:i/>
          <w:sz w:val="20"/>
          <w:szCs w:val="20"/>
        </w:rPr>
        <w:t xml:space="preserve">COPNIA firmado por el profesional </w:t>
      </w:r>
    </w:p>
    <w:p w14:paraId="51A6E8F5" w14:textId="77777777" w:rsidR="004F60D2" w:rsidRPr="0048232F" w:rsidRDefault="004F60D2" w:rsidP="004F60D2">
      <w:pPr>
        <w:spacing w:after="0" w:line="240" w:lineRule="auto"/>
        <w:ind w:left="709" w:right="709"/>
        <w:jc w:val="both"/>
        <w:rPr>
          <w:rFonts w:ascii="Verdana" w:eastAsia="Calibri" w:hAnsi="Verdana" w:cs="Times New Roman"/>
          <w:i/>
          <w:sz w:val="20"/>
          <w:szCs w:val="20"/>
        </w:rPr>
      </w:pPr>
      <w:r w:rsidRPr="0048232F">
        <w:rPr>
          <w:rFonts w:ascii="Verdana" w:eastAsia="Calibri" w:hAnsi="Verdana" w:cs="Times New Roman"/>
          <w:i/>
          <w:sz w:val="20"/>
          <w:szCs w:val="20"/>
        </w:rPr>
        <w:t xml:space="preserve">Cedula del profesional </w:t>
      </w:r>
    </w:p>
    <w:p w14:paraId="0B43E895" w14:textId="77777777" w:rsidR="004F60D2" w:rsidRPr="0048232F" w:rsidRDefault="004F60D2" w:rsidP="004F60D2">
      <w:pPr>
        <w:spacing w:after="0" w:line="240" w:lineRule="auto"/>
        <w:ind w:left="709" w:right="709"/>
        <w:jc w:val="both"/>
        <w:rPr>
          <w:rFonts w:ascii="Verdana" w:eastAsia="Calibri" w:hAnsi="Verdana" w:cs="Times New Roman"/>
          <w:i/>
          <w:sz w:val="20"/>
          <w:szCs w:val="20"/>
        </w:rPr>
      </w:pPr>
      <w:r w:rsidRPr="0048232F">
        <w:rPr>
          <w:rFonts w:ascii="Verdana" w:eastAsia="Calibri" w:hAnsi="Verdana" w:cs="Times New Roman"/>
          <w:i/>
          <w:sz w:val="20"/>
          <w:szCs w:val="20"/>
        </w:rPr>
        <w:t xml:space="preserve">Hoja de Vida </w:t>
      </w:r>
    </w:p>
    <w:p w14:paraId="473E4CFB" w14:textId="77777777" w:rsidR="004F60D2" w:rsidRPr="0048232F" w:rsidRDefault="004F60D2" w:rsidP="004F60D2">
      <w:pPr>
        <w:spacing w:after="0" w:line="240" w:lineRule="auto"/>
        <w:ind w:left="709" w:right="709"/>
        <w:jc w:val="both"/>
        <w:rPr>
          <w:rFonts w:ascii="Verdana" w:eastAsia="Calibri" w:hAnsi="Verdana" w:cs="Times New Roman"/>
          <w:i/>
          <w:sz w:val="20"/>
          <w:szCs w:val="20"/>
        </w:rPr>
      </w:pPr>
      <w:r w:rsidRPr="0048232F">
        <w:rPr>
          <w:rFonts w:ascii="Verdana" w:eastAsia="Calibri" w:hAnsi="Verdana" w:cs="Times New Roman"/>
          <w:i/>
          <w:sz w:val="20"/>
          <w:szCs w:val="20"/>
        </w:rPr>
        <w:t xml:space="preserve">Acta de grado y diploma de especialización (10 años) </w:t>
      </w:r>
    </w:p>
    <w:p w14:paraId="3C1C2382" w14:textId="77777777" w:rsidR="004F60D2" w:rsidRPr="0048232F" w:rsidRDefault="004F60D2" w:rsidP="004F60D2">
      <w:pPr>
        <w:spacing w:after="0" w:line="240" w:lineRule="auto"/>
        <w:ind w:left="709" w:right="709"/>
        <w:jc w:val="both"/>
        <w:rPr>
          <w:rFonts w:ascii="Verdana" w:eastAsia="Calibri" w:hAnsi="Verdana" w:cs="Times New Roman"/>
          <w:i/>
          <w:sz w:val="20"/>
          <w:szCs w:val="20"/>
        </w:rPr>
      </w:pPr>
      <w:r w:rsidRPr="0048232F">
        <w:rPr>
          <w:rFonts w:ascii="Verdana" w:eastAsia="Calibri" w:hAnsi="Verdana" w:cs="Times New Roman"/>
          <w:i/>
          <w:sz w:val="20"/>
          <w:szCs w:val="20"/>
        </w:rPr>
        <w:t xml:space="preserve">Curso de conocimientos básicos de carpintería mínimo 60 horas. </w:t>
      </w:r>
    </w:p>
    <w:p w14:paraId="1E8B0267" w14:textId="77777777" w:rsidR="004F60D2" w:rsidRPr="0048232F" w:rsidRDefault="004F60D2" w:rsidP="004F60D2">
      <w:pPr>
        <w:spacing w:after="0" w:line="240" w:lineRule="auto"/>
        <w:ind w:left="709" w:right="709"/>
        <w:jc w:val="both"/>
        <w:rPr>
          <w:rFonts w:ascii="Verdana" w:eastAsia="Calibri" w:hAnsi="Verdana" w:cs="Times New Roman"/>
          <w:i/>
          <w:sz w:val="20"/>
          <w:szCs w:val="20"/>
        </w:rPr>
      </w:pPr>
      <w:r w:rsidRPr="0048232F">
        <w:rPr>
          <w:rFonts w:ascii="Verdana" w:eastAsia="Calibri" w:hAnsi="Verdana" w:cs="Times New Roman"/>
          <w:i/>
          <w:sz w:val="20"/>
          <w:szCs w:val="20"/>
        </w:rPr>
        <w:t xml:space="preserve">Esto Solo Para Presentar la Oferta, mas no para Firmar el Contrato. </w:t>
      </w:r>
    </w:p>
    <w:p w14:paraId="55E7EA88" w14:textId="77777777" w:rsidR="004F60D2" w:rsidRPr="0048232F" w:rsidRDefault="004F60D2" w:rsidP="004F60D2">
      <w:pPr>
        <w:spacing w:after="0" w:line="240" w:lineRule="auto"/>
        <w:ind w:left="709" w:right="709"/>
        <w:jc w:val="both"/>
        <w:rPr>
          <w:rFonts w:ascii="Verdana" w:eastAsia="Calibri" w:hAnsi="Verdana" w:cs="Times New Roman"/>
          <w:i/>
          <w:sz w:val="20"/>
          <w:szCs w:val="20"/>
        </w:rPr>
      </w:pPr>
      <w:r w:rsidRPr="0048232F">
        <w:rPr>
          <w:rFonts w:ascii="Verdana" w:eastAsia="Calibri" w:hAnsi="Verdana" w:cs="Times New Roman"/>
          <w:i/>
          <w:sz w:val="20"/>
          <w:szCs w:val="20"/>
        </w:rPr>
        <w:t xml:space="preserve">Porque según YO tengo entendido solo se puede pedir esa Información Cuando ya queda elegido el Proponente y No para presentación de Oferta </w:t>
      </w:r>
      <w:r w:rsidRPr="0048232F">
        <w:rPr>
          <w:rFonts w:ascii="Verdana" w:eastAsia="Calibri" w:hAnsi="Verdana" w:cs="Times New Roman"/>
          <w:i/>
          <w:sz w:val="20"/>
          <w:szCs w:val="20"/>
        </w:rPr>
        <w:lastRenderedPageBreak/>
        <w:t xml:space="preserve">como Factor de Calidad el cual da Puntaje, y creo que solo se puede Pedir una Carta Compromiso, de Los perfiles futuros a Contratar, entonces creo que no se Cumpliendo el Principio de Transparencia en este Proceso. </w:t>
      </w:r>
    </w:p>
    <w:p w14:paraId="3D1D3754" w14:textId="77777777" w:rsidR="004F60D2" w:rsidRPr="0097354A" w:rsidRDefault="004F60D2" w:rsidP="004F60D2">
      <w:pPr>
        <w:spacing w:after="0" w:line="240" w:lineRule="auto"/>
        <w:ind w:left="709" w:right="709"/>
        <w:jc w:val="both"/>
        <w:rPr>
          <w:rFonts w:ascii="Verdana" w:eastAsia="Calibri" w:hAnsi="Verdana" w:cs="Times New Roman"/>
          <w:i/>
          <w:sz w:val="20"/>
          <w:szCs w:val="20"/>
        </w:rPr>
      </w:pPr>
      <w:r w:rsidRPr="0048232F">
        <w:rPr>
          <w:rFonts w:ascii="Verdana" w:eastAsia="Calibri" w:hAnsi="Verdana" w:cs="Times New Roman"/>
          <w:i/>
          <w:sz w:val="20"/>
          <w:szCs w:val="20"/>
        </w:rPr>
        <w:t>Quisiera Saber si alguna ley de Contratación o Sentencia que me dé la razón gracias y si el Proceso no es Valido anularlo</w:t>
      </w:r>
      <w:r w:rsidRPr="0097354A">
        <w:rPr>
          <w:rFonts w:ascii="Verdana" w:eastAsia="Calibri" w:hAnsi="Verdana" w:cs="Times New Roman"/>
          <w:i/>
          <w:sz w:val="20"/>
          <w:szCs w:val="20"/>
          <w:lang w:val="es-ES"/>
        </w:rPr>
        <w:t xml:space="preserve">”. </w:t>
      </w:r>
    </w:p>
    <w:p w14:paraId="24E055C7" w14:textId="77777777" w:rsidR="004F60D2" w:rsidRPr="00185EE9" w:rsidRDefault="004F60D2" w:rsidP="004F60D2">
      <w:pPr>
        <w:spacing w:after="0" w:line="256" w:lineRule="auto"/>
        <w:jc w:val="both"/>
        <w:rPr>
          <w:rFonts w:ascii="Verdana" w:eastAsia="Calibri" w:hAnsi="Verdana" w:cs="Times New Roman"/>
          <w:lang w:val="es-ES"/>
        </w:rPr>
      </w:pPr>
    </w:p>
    <w:p w14:paraId="4D4778FA" w14:textId="77777777" w:rsidR="004F60D2" w:rsidRPr="00A94D14" w:rsidRDefault="004F60D2" w:rsidP="004F60D2">
      <w:pPr>
        <w:spacing w:after="120" w:line="276" w:lineRule="auto"/>
        <w:ind w:firstLine="709"/>
        <w:jc w:val="both"/>
        <w:rPr>
          <w:rFonts w:ascii="Verdana" w:eastAsia="Calibri" w:hAnsi="Verdana" w:cs="Times New Roman"/>
          <w:lang w:val="es-ES"/>
        </w:rPr>
      </w:pPr>
      <w:r w:rsidRPr="00A94D14">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9F8E5D0" w14:textId="77777777" w:rsidR="004F60D2" w:rsidRPr="00A32373" w:rsidRDefault="004F60D2" w:rsidP="004F60D2">
      <w:pPr>
        <w:spacing w:after="0" w:line="276" w:lineRule="auto"/>
        <w:ind w:firstLine="708"/>
        <w:jc w:val="both"/>
        <w:rPr>
          <w:rFonts w:ascii="Verdana" w:eastAsia="Calibri" w:hAnsi="Verdana" w:cs="Times New Roman"/>
          <w:lang w:val="es-ES"/>
        </w:rPr>
      </w:pPr>
      <w:r w:rsidRPr="00A32373">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6C9531FA" w14:textId="77777777" w:rsidR="004F60D2" w:rsidRPr="00A32373" w:rsidRDefault="004F60D2" w:rsidP="004F60D2">
      <w:pPr>
        <w:spacing w:after="0" w:line="256" w:lineRule="auto"/>
        <w:rPr>
          <w:rFonts w:ascii="Verdana" w:eastAsia="Calibri" w:hAnsi="Verdana" w:cs="Times New Roman"/>
          <w:lang w:val="es-ES"/>
        </w:rPr>
      </w:pPr>
    </w:p>
    <w:p w14:paraId="32AB46B9" w14:textId="77777777" w:rsidR="004F60D2" w:rsidRPr="00A32373" w:rsidRDefault="004F60D2" w:rsidP="004F60D2">
      <w:pPr>
        <w:pStyle w:val="Prrafodelista"/>
        <w:numPr>
          <w:ilvl w:val="0"/>
          <w:numId w:val="19"/>
        </w:numPr>
        <w:spacing w:after="0" w:line="256" w:lineRule="auto"/>
        <w:rPr>
          <w:rFonts w:ascii="Verdana" w:eastAsia="Calibri" w:hAnsi="Verdana" w:cs="Times New Roman"/>
          <w:b/>
          <w:bCs/>
        </w:rPr>
      </w:pPr>
      <w:r w:rsidRPr="00A32373">
        <w:rPr>
          <w:rFonts w:ascii="Verdana" w:eastAsia="Calibri" w:hAnsi="Verdana" w:cs="Times New Roman"/>
          <w:b/>
          <w:bCs/>
        </w:rPr>
        <w:t>Problema planteado:</w:t>
      </w:r>
    </w:p>
    <w:p w14:paraId="6FC4E745" w14:textId="77777777" w:rsidR="004F60D2" w:rsidRPr="00A32373" w:rsidRDefault="004F60D2" w:rsidP="004F60D2">
      <w:pPr>
        <w:spacing w:after="0" w:line="256" w:lineRule="auto"/>
        <w:rPr>
          <w:rFonts w:ascii="Verdana" w:eastAsia="Calibri" w:hAnsi="Verdana" w:cs="Times New Roman"/>
        </w:rPr>
      </w:pPr>
    </w:p>
    <w:p w14:paraId="6FE92784" w14:textId="77777777" w:rsidR="004F60D2" w:rsidRPr="0023665D" w:rsidRDefault="004F60D2" w:rsidP="004F60D2">
      <w:pPr>
        <w:spacing w:after="0" w:line="276" w:lineRule="auto"/>
        <w:jc w:val="both"/>
        <w:rPr>
          <w:rFonts w:ascii="Verdana" w:eastAsia="Calibri" w:hAnsi="Verdana" w:cs="Times New Roman"/>
          <w:lang w:val="es-ES"/>
        </w:rPr>
      </w:pPr>
      <w:r w:rsidRPr="00A32373">
        <w:rPr>
          <w:rFonts w:ascii="Verdana" w:eastAsia="Calibri" w:hAnsi="Verdana" w:cs="Times New Roman"/>
        </w:rPr>
        <w:t>De acuerdo con el contenido de su solicitud, esta Agencia procede a resolver</w:t>
      </w:r>
      <w:r>
        <w:rPr>
          <w:rFonts w:ascii="Verdana" w:eastAsia="Calibri" w:hAnsi="Verdana" w:cs="Times New Roman"/>
        </w:rPr>
        <w:t xml:space="preserve"> sus inquietudes en los dos problemas jurídicos: ¿Es procedente dentro de un pliego de condiciones establecer como factor de calidad los perfiles específicos que se requieren dentro de un proceso de contratación pública</w:t>
      </w:r>
      <w:r w:rsidRPr="0097354A">
        <w:rPr>
          <w:rFonts w:ascii="Verdana" w:eastAsia="Calibri" w:hAnsi="Verdana" w:cs="Times New Roman"/>
          <w:i/>
          <w:lang w:val="es-ES"/>
        </w:rPr>
        <w:t>?</w:t>
      </w:r>
      <w:r>
        <w:rPr>
          <w:rFonts w:ascii="Verdana" w:eastAsia="Calibri" w:hAnsi="Verdana" w:cs="Times New Roman"/>
          <w:i/>
          <w:lang w:val="es-ES"/>
        </w:rPr>
        <w:t xml:space="preserve"> </w:t>
      </w:r>
      <w:r w:rsidRPr="0023665D">
        <w:rPr>
          <w:rFonts w:ascii="Verdana" w:eastAsia="Calibri" w:hAnsi="Verdana" w:cs="Times New Roman"/>
          <w:lang w:val="es-ES"/>
        </w:rPr>
        <w:t>¿Cómo debe acreditar</w:t>
      </w:r>
      <w:r>
        <w:rPr>
          <w:rFonts w:ascii="Verdana" w:eastAsia="Calibri" w:hAnsi="Verdana" w:cs="Times New Roman"/>
          <w:lang w:val="es-ES"/>
        </w:rPr>
        <w:t>se</w:t>
      </w:r>
      <w:r w:rsidRPr="0023665D">
        <w:rPr>
          <w:rFonts w:ascii="Verdana" w:eastAsia="Calibri" w:hAnsi="Verdana" w:cs="Times New Roman"/>
          <w:lang w:val="es-ES"/>
        </w:rPr>
        <w:t xml:space="preserve"> los perfiles específicos </w:t>
      </w:r>
      <w:r>
        <w:rPr>
          <w:rFonts w:ascii="Verdana" w:eastAsia="Calibri" w:hAnsi="Verdana" w:cs="Times New Roman"/>
          <w:lang w:val="es-ES"/>
        </w:rPr>
        <w:t xml:space="preserve">establecidos </w:t>
      </w:r>
      <w:r w:rsidRPr="0023665D">
        <w:rPr>
          <w:rFonts w:ascii="Verdana" w:eastAsia="Calibri" w:hAnsi="Verdana" w:cs="Times New Roman"/>
          <w:lang w:val="es-ES"/>
        </w:rPr>
        <w:t>como factor de calidad en un proceso de contratación pública?</w:t>
      </w:r>
    </w:p>
    <w:p w14:paraId="5E9DF10E" w14:textId="77777777" w:rsidR="004F60D2" w:rsidRDefault="004F60D2" w:rsidP="004F60D2">
      <w:pPr>
        <w:spacing w:after="0" w:line="256" w:lineRule="auto"/>
        <w:rPr>
          <w:rFonts w:ascii="Verdana" w:eastAsia="Calibri" w:hAnsi="Verdana" w:cs="Times New Roman"/>
        </w:rPr>
      </w:pPr>
    </w:p>
    <w:p w14:paraId="6C359AE6" w14:textId="7E27372D" w:rsidR="004F60D2" w:rsidRDefault="004F60D2" w:rsidP="004F60D2">
      <w:pPr>
        <w:spacing w:after="0" w:line="256" w:lineRule="auto"/>
        <w:rPr>
          <w:rFonts w:ascii="Verdana" w:eastAsia="Calibri" w:hAnsi="Verdana" w:cs="Times New Roman"/>
        </w:rPr>
      </w:pPr>
    </w:p>
    <w:p w14:paraId="417CBAD3" w14:textId="77777777" w:rsidR="00524934" w:rsidRPr="00A32373" w:rsidRDefault="00524934" w:rsidP="004F60D2">
      <w:pPr>
        <w:spacing w:after="0" w:line="256" w:lineRule="auto"/>
        <w:rPr>
          <w:rFonts w:ascii="Verdana" w:eastAsia="Calibri" w:hAnsi="Verdana" w:cs="Times New Roman"/>
        </w:rPr>
      </w:pPr>
    </w:p>
    <w:p w14:paraId="5F844A36" w14:textId="77777777" w:rsidR="004F60D2" w:rsidRPr="00A32373" w:rsidRDefault="004F60D2" w:rsidP="004F60D2">
      <w:pPr>
        <w:pStyle w:val="Prrafodelista"/>
        <w:numPr>
          <w:ilvl w:val="0"/>
          <w:numId w:val="19"/>
        </w:numPr>
        <w:spacing w:after="0" w:line="256" w:lineRule="auto"/>
        <w:rPr>
          <w:rFonts w:ascii="Verdana" w:eastAsia="Calibri" w:hAnsi="Verdana" w:cs="Times New Roman"/>
          <w:b/>
          <w:bCs/>
        </w:rPr>
      </w:pPr>
      <w:r w:rsidRPr="00A32373">
        <w:rPr>
          <w:rFonts w:ascii="Verdana" w:eastAsia="Calibri" w:hAnsi="Verdana" w:cs="Times New Roman"/>
          <w:b/>
          <w:bCs/>
        </w:rPr>
        <w:t>Respuesta:</w:t>
      </w:r>
    </w:p>
    <w:p w14:paraId="711FDFBE" w14:textId="77777777" w:rsidR="004F60D2" w:rsidRDefault="004F60D2" w:rsidP="004F60D2">
      <w:pPr>
        <w:spacing w:after="0" w:line="25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4F60D2" w:rsidRPr="009B3595" w14:paraId="150024C7" w14:textId="77777777" w:rsidTr="008A7300">
        <w:trPr>
          <w:trHeight w:val="207"/>
          <w:jc w:val="center"/>
        </w:trPr>
        <w:tc>
          <w:tcPr>
            <w:tcW w:w="8784" w:type="dxa"/>
          </w:tcPr>
          <w:p w14:paraId="6ED76BF7" w14:textId="77777777" w:rsidR="004F60D2" w:rsidRDefault="004F60D2" w:rsidP="008A7300">
            <w:pPr>
              <w:spacing w:before="120" w:line="276" w:lineRule="auto"/>
              <w:jc w:val="both"/>
              <w:rPr>
                <w:rFonts w:ascii="Verdana" w:eastAsia="Arial" w:hAnsi="Verdana" w:cs="Arial"/>
                <w:color w:val="000000"/>
                <w:lang w:val="es-ES"/>
              </w:rPr>
            </w:pPr>
            <w:r>
              <w:rPr>
                <w:rFonts w:ascii="Verdana" w:eastAsia="Arial" w:hAnsi="Verdana" w:cs="Arial"/>
                <w:color w:val="000000"/>
                <w:lang w:val="es-ES"/>
              </w:rPr>
              <w:t>En tornos a los problemas jurídicos, objeto de consulta, se expresa lo siguiente:</w:t>
            </w:r>
          </w:p>
          <w:p w14:paraId="5955CAF4" w14:textId="77777777" w:rsidR="004F60D2" w:rsidRDefault="004F60D2" w:rsidP="008A7300">
            <w:pPr>
              <w:spacing w:line="276" w:lineRule="auto"/>
              <w:jc w:val="both"/>
              <w:rPr>
                <w:rFonts w:ascii="Verdana" w:eastAsia="Arial" w:hAnsi="Verdana" w:cs="Arial"/>
                <w:color w:val="000000"/>
                <w:lang w:val="es-ES"/>
              </w:rPr>
            </w:pPr>
          </w:p>
          <w:p w14:paraId="4B57E5F4" w14:textId="77777777" w:rsidR="004F60D2" w:rsidRDefault="004F60D2" w:rsidP="008A7300">
            <w:pPr>
              <w:spacing w:after="120" w:line="276" w:lineRule="auto"/>
              <w:jc w:val="both"/>
              <w:rPr>
                <w:rFonts w:ascii="Verdana" w:eastAsia="Arial" w:hAnsi="Verdana" w:cs="Arial"/>
                <w:color w:val="000000"/>
                <w:lang w:val="es-ES_tradnl"/>
              </w:rPr>
            </w:pPr>
            <w:r>
              <w:rPr>
                <w:rFonts w:ascii="Verdana" w:eastAsia="Arial" w:hAnsi="Verdana" w:cs="Arial"/>
                <w:color w:val="000000"/>
                <w:lang w:val="es-ES"/>
              </w:rPr>
              <w:t>i) S</w:t>
            </w:r>
            <w:proofErr w:type="spellStart"/>
            <w:r>
              <w:rPr>
                <w:rFonts w:ascii="Verdana" w:eastAsia="Arial" w:hAnsi="Verdana" w:cs="Arial"/>
                <w:color w:val="000000"/>
              </w:rPr>
              <w:t>obre</w:t>
            </w:r>
            <w:proofErr w:type="spellEnd"/>
            <w:r>
              <w:rPr>
                <w:rFonts w:ascii="Verdana" w:eastAsia="Arial" w:hAnsi="Verdana" w:cs="Arial"/>
                <w:color w:val="000000"/>
              </w:rPr>
              <w:t xml:space="preserve"> la procedencia de establecer </w:t>
            </w:r>
            <w:r w:rsidRPr="00DD5997">
              <w:rPr>
                <w:rFonts w:ascii="Verdana" w:eastAsia="Arial" w:hAnsi="Verdana" w:cs="Arial"/>
                <w:color w:val="000000"/>
              </w:rPr>
              <w:t>como factor de calidad</w:t>
            </w:r>
            <w:r>
              <w:rPr>
                <w:rFonts w:ascii="Verdana" w:eastAsia="Arial" w:hAnsi="Verdana" w:cs="Arial"/>
                <w:color w:val="000000"/>
              </w:rPr>
              <w:t xml:space="preserve">, un determinado tipo </w:t>
            </w:r>
            <w:r w:rsidRPr="00DD5997">
              <w:rPr>
                <w:rFonts w:ascii="Verdana" w:eastAsia="Arial" w:hAnsi="Verdana" w:cs="Arial"/>
                <w:color w:val="000000"/>
              </w:rPr>
              <w:t>perfiles específicos que se requieren dentro de un proceso de contratación pública</w:t>
            </w:r>
            <w:r>
              <w:rPr>
                <w:rFonts w:ascii="Verdana" w:eastAsia="Arial" w:hAnsi="Verdana" w:cs="Arial"/>
                <w:i/>
                <w:color w:val="000000"/>
                <w:lang w:val="es-ES"/>
              </w:rPr>
              <w:t xml:space="preserve">, </w:t>
            </w:r>
            <w:r>
              <w:rPr>
                <w:rFonts w:ascii="Verdana" w:eastAsia="Arial" w:hAnsi="Verdana" w:cs="Arial"/>
                <w:color w:val="000000"/>
                <w:lang w:val="es-ES"/>
              </w:rPr>
              <w:t>hay que tener en cuenta que los factores de calidad tienen como propósito evaluar la mejor relación calidad-precio, en las que podrán incluirse c</w:t>
            </w:r>
            <w:proofErr w:type="spellStart"/>
            <w:r w:rsidRPr="00395238">
              <w:rPr>
                <w:rFonts w:ascii="Verdana" w:eastAsia="Arial" w:hAnsi="Verdana" w:cs="Arial"/>
                <w:color w:val="000000"/>
              </w:rPr>
              <w:t>riterios</w:t>
            </w:r>
            <w:proofErr w:type="spellEnd"/>
            <w:r w:rsidRPr="00395238">
              <w:rPr>
                <w:rFonts w:ascii="Verdana" w:eastAsia="Arial" w:hAnsi="Verdana" w:cs="Arial"/>
                <w:color w:val="000000"/>
              </w:rPr>
              <w:t xml:space="preserve"> ambientales o sociales vinculados al objeto del contrato</w:t>
            </w:r>
            <w:r>
              <w:rPr>
                <w:rFonts w:ascii="Verdana" w:eastAsia="Arial" w:hAnsi="Verdana" w:cs="Arial"/>
                <w:color w:val="000000"/>
              </w:rPr>
              <w:t>, de acuerdo a lo establecido en el parágrafo del artículo 2.2.1.1.2.2.2.2 del Decreto 1082 de 2015</w:t>
            </w:r>
            <w:r>
              <w:rPr>
                <w:rFonts w:ascii="Verdana" w:eastAsia="Arial" w:hAnsi="Verdana" w:cs="Arial"/>
                <w:color w:val="000000"/>
                <w:lang w:val="es-ES"/>
              </w:rPr>
              <w:t xml:space="preserve">. En efecto, para entender el factor de calidad hay que tener en cuenta </w:t>
            </w:r>
            <w:r>
              <w:rPr>
                <w:rFonts w:ascii="Verdana" w:eastAsia="Arial" w:hAnsi="Verdana" w:cs="Arial"/>
                <w:color w:val="000000"/>
              </w:rPr>
              <w:t xml:space="preserve">que estos deben relacionarse </w:t>
            </w:r>
            <w:r w:rsidRPr="0047463D">
              <w:rPr>
                <w:rFonts w:ascii="Verdana" w:eastAsia="Arial" w:hAnsi="Verdana" w:cs="Arial"/>
                <w:color w:val="000000"/>
                <w:lang w:val="es-ES_tradnl"/>
              </w:rPr>
              <w:t>con las características del objeto a contratar y con el principio de proporcionalidad y razon</w:t>
            </w:r>
            <w:r>
              <w:rPr>
                <w:rFonts w:ascii="Verdana" w:eastAsia="Arial" w:hAnsi="Verdana" w:cs="Arial"/>
                <w:color w:val="000000"/>
                <w:lang w:val="es-ES_tradnl"/>
              </w:rPr>
              <w:t>abilidad la Entidad debe establecer condiciones</w:t>
            </w:r>
            <w:r w:rsidRPr="0047463D">
              <w:rPr>
                <w:rFonts w:ascii="Verdana" w:eastAsia="Arial" w:hAnsi="Verdana" w:cs="Arial"/>
                <w:color w:val="000000"/>
                <w:lang w:val="es-ES_tradnl"/>
              </w:rPr>
              <w:t xml:space="preserve"> para otorgar el </w:t>
            </w:r>
            <w:r>
              <w:rPr>
                <w:rFonts w:ascii="Verdana" w:eastAsia="Arial" w:hAnsi="Verdana" w:cs="Arial"/>
                <w:color w:val="000000"/>
                <w:lang w:val="es-ES_tradnl"/>
              </w:rPr>
              <w:t>puntaje del factor de calidad</w:t>
            </w:r>
            <w:r w:rsidRPr="0047463D">
              <w:rPr>
                <w:rFonts w:ascii="Verdana" w:eastAsia="Arial" w:hAnsi="Verdana" w:cs="Arial"/>
                <w:color w:val="000000"/>
                <w:lang w:val="es-ES_tradnl"/>
              </w:rPr>
              <w:t xml:space="preserve">. </w:t>
            </w:r>
          </w:p>
          <w:p w14:paraId="061DB063" w14:textId="77777777" w:rsidR="004F60D2" w:rsidRDefault="004F60D2" w:rsidP="008A7300">
            <w:pPr>
              <w:spacing w:before="120" w:after="120" w:line="276" w:lineRule="auto"/>
              <w:ind w:firstLine="709"/>
              <w:jc w:val="both"/>
              <w:rPr>
                <w:rFonts w:ascii="Verdana" w:eastAsia="Arial" w:hAnsi="Verdana" w:cs="Arial"/>
                <w:color w:val="000000"/>
              </w:rPr>
            </w:pPr>
            <w:r w:rsidRPr="0047463D">
              <w:rPr>
                <w:rFonts w:ascii="Verdana" w:eastAsia="Arial" w:hAnsi="Verdana" w:cs="Arial"/>
                <w:color w:val="000000"/>
                <w:lang w:val="es-ES_tradnl"/>
              </w:rPr>
              <w:t xml:space="preserve">En este sentido, </w:t>
            </w:r>
            <w:r w:rsidRPr="004B1E87">
              <w:rPr>
                <w:rFonts w:ascii="Verdana" w:eastAsia="Arial" w:hAnsi="Verdana" w:cs="Arial"/>
                <w:color w:val="000000"/>
              </w:rPr>
              <w:t xml:space="preserve">los factores de </w:t>
            </w:r>
            <w:r>
              <w:rPr>
                <w:rFonts w:ascii="Verdana" w:eastAsia="Arial" w:hAnsi="Verdana" w:cs="Arial"/>
                <w:color w:val="000000"/>
              </w:rPr>
              <w:t xml:space="preserve">calidad aluden </w:t>
            </w:r>
            <w:r w:rsidRPr="004B1E87">
              <w:rPr>
                <w:rFonts w:ascii="Verdana" w:eastAsia="Arial" w:hAnsi="Verdana" w:cs="Arial"/>
                <w:color w:val="000000"/>
              </w:rPr>
              <w:t>a los criterios y características que una entidad estatal considera para evaluar y comparar las diferentes propuestas</w:t>
            </w:r>
            <w:r>
              <w:rPr>
                <w:rFonts w:ascii="Verdana" w:eastAsia="Arial" w:hAnsi="Verdana" w:cs="Arial"/>
                <w:color w:val="000000"/>
              </w:rPr>
              <w:t xml:space="preserve"> que se presentan dentro de un proceso de contratación</w:t>
            </w:r>
            <w:r w:rsidRPr="004B1E87">
              <w:rPr>
                <w:rFonts w:ascii="Verdana" w:eastAsia="Arial" w:hAnsi="Verdana" w:cs="Arial"/>
                <w:color w:val="000000"/>
              </w:rPr>
              <w:t>. Estos factores van más allá del precio y evalúan aspectos técnicos, económicos y de valor agregado que la oferta pueda aportar.</w:t>
            </w:r>
            <w:r>
              <w:rPr>
                <w:rFonts w:ascii="Verdana" w:eastAsia="Arial" w:hAnsi="Verdana" w:cs="Arial"/>
                <w:color w:val="000000"/>
              </w:rPr>
              <w:t xml:space="preserve"> En cuanto a los aspectos técnicos adicionales deben establecer </w:t>
            </w:r>
            <w:r w:rsidRPr="004B1E87">
              <w:rPr>
                <w:rFonts w:ascii="Verdana" w:eastAsia="Arial" w:hAnsi="Verdana" w:cs="Arial"/>
                <w:color w:val="000000"/>
              </w:rPr>
              <w:t>ventajas en la calida</w:t>
            </w:r>
            <w:r>
              <w:rPr>
                <w:rFonts w:ascii="Verdana" w:eastAsia="Arial" w:hAnsi="Verdana" w:cs="Arial"/>
                <w:color w:val="000000"/>
              </w:rPr>
              <w:t xml:space="preserve">d o funcionamiento de la oferta, como ocurre con </w:t>
            </w:r>
            <w:r w:rsidRPr="008B52C6">
              <w:rPr>
                <w:rFonts w:ascii="Verdana" w:eastAsia="Arial" w:hAnsi="Verdana" w:cs="Arial"/>
                <w:color w:val="000000"/>
              </w:rPr>
              <w:t>la calidad de los materiales que se empleará</w:t>
            </w:r>
            <w:r>
              <w:rPr>
                <w:rFonts w:ascii="Verdana" w:eastAsia="Arial" w:hAnsi="Verdana" w:cs="Arial"/>
                <w:color w:val="000000"/>
              </w:rPr>
              <w:t>n en la construcción de la obra,</w:t>
            </w:r>
            <w:r w:rsidRPr="008B52C6">
              <w:rPr>
                <w:rFonts w:ascii="Verdana" w:eastAsia="Arial" w:hAnsi="Verdana" w:cs="Arial"/>
                <w:color w:val="000000"/>
              </w:rPr>
              <w:t xml:space="preserve"> los procedimientos constructivos </w:t>
            </w:r>
            <w:r>
              <w:rPr>
                <w:rFonts w:ascii="Verdana" w:eastAsia="Arial" w:hAnsi="Verdana" w:cs="Arial"/>
                <w:color w:val="000000"/>
              </w:rPr>
              <w:t>aplicables,</w:t>
            </w:r>
            <w:r w:rsidRPr="008B52C6">
              <w:rPr>
                <w:rFonts w:ascii="Verdana" w:eastAsia="Arial" w:hAnsi="Verdana" w:cs="Arial"/>
                <w:color w:val="000000"/>
              </w:rPr>
              <w:t xml:space="preserve"> las características estéticas o funcionales</w:t>
            </w:r>
            <w:r>
              <w:rPr>
                <w:rFonts w:ascii="Verdana" w:eastAsia="Arial" w:hAnsi="Verdana" w:cs="Arial"/>
                <w:color w:val="000000"/>
              </w:rPr>
              <w:t xml:space="preserve">, cuadrilla adicional, garantía suplementaria, implementación del programa de gerencia de proyectos, la adopción del plan de calidad. En cuanto a los aspectos económicos puede asignar </w:t>
            </w:r>
            <w:r w:rsidRPr="004B1E87">
              <w:rPr>
                <w:rFonts w:ascii="Verdana" w:eastAsia="Arial" w:hAnsi="Verdana" w:cs="Arial"/>
                <w:color w:val="000000"/>
              </w:rPr>
              <w:t>ventajas</w:t>
            </w:r>
            <w:r>
              <w:rPr>
                <w:rFonts w:ascii="Verdana" w:eastAsia="Arial" w:hAnsi="Verdana" w:cs="Arial"/>
                <w:color w:val="000000"/>
              </w:rPr>
              <w:t xml:space="preserve"> adicionales</w:t>
            </w:r>
            <w:r w:rsidRPr="004B1E87">
              <w:rPr>
                <w:rFonts w:ascii="Verdana" w:eastAsia="Arial" w:hAnsi="Verdana" w:cs="Arial"/>
                <w:color w:val="000000"/>
              </w:rPr>
              <w:t xml:space="preserve"> en términos de eficiencia o eficacia.</w:t>
            </w:r>
          </w:p>
          <w:p w14:paraId="3C048B46" w14:textId="77777777" w:rsidR="004F60D2" w:rsidRDefault="004F60D2" w:rsidP="008A7300">
            <w:pPr>
              <w:spacing w:before="120" w:after="120" w:line="276" w:lineRule="auto"/>
              <w:ind w:firstLine="709"/>
              <w:jc w:val="both"/>
              <w:rPr>
                <w:rFonts w:ascii="Verdana" w:eastAsia="Arial" w:hAnsi="Verdana" w:cs="Arial"/>
                <w:color w:val="000000"/>
              </w:rPr>
            </w:pPr>
            <w:r>
              <w:rPr>
                <w:rFonts w:ascii="Verdana" w:eastAsia="Arial" w:hAnsi="Verdana" w:cs="Arial"/>
                <w:color w:val="000000"/>
              </w:rPr>
              <w:t xml:space="preserve">Teniendo en cuenta estas precisiones, en el supuesto genérico que nos incumbe, es importante señalar que la exigencia de cierto tipo de profesionales como factor de calidad dentro del pliego de condiciones deben atender a la relación calidad-precio, pues deben ser criterios que permitan con precisión la </w:t>
            </w:r>
            <w:r w:rsidRPr="004B1E87">
              <w:rPr>
                <w:rFonts w:ascii="Verdana" w:eastAsia="Arial" w:hAnsi="Verdana" w:cs="Arial"/>
                <w:color w:val="000000"/>
              </w:rPr>
              <w:t>oferta más ventajosa, considerando no solo el precio, sino también aspectos técnicos, económicos y de valor agregado que contribuyan a la eficiencia y eficacia de la contratación y</w:t>
            </w:r>
            <w:r>
              <w:rPr>
                <w:rFonts w:ascii="Verdana" w:eastAsia="Arial" w:hAnsi="Verdana" w:cs="Arial"/>
                <w:color w:val="000000"/>
              </w:rPr>
              <w:t xml:space="preserve"> al cumplimiento de sus fines</w:t>
            </w:r>
            <w:r w:rsidRPr="004B1E87">
              <w:rPr>
                <w:rFonts w:ascii="Verdana" w:eastAsia="Arial" w:hAnsi="Verdana" w:cs="Arial"/>
                <w:color w:val="000000"/>
              </w:rPr>
              <w:t>.</w:t>
            </w:r>
            <w:r>
              <w:rPr>
                <w:rFonts w:ascii="Verdana" w:eastAsia="Arial" w:hAnsi="Verdana" w:cs="Arial"/>
                <w:color w:val="000000"/>
              </w:rPr>
              <w:t xml:space="preserve"> En tal sentido, si bien la definición de cuáles son las condiciones para evaluar el factor de calidad</w:t>
            </w:r>
            <w:r w:rsidRPr="00DD5997">
              <w:rPr>
                <w:rFonts w:ascii="Verdana" w:eastAsia="Arial" w:hAnsi="Verdana" w:cs="Arial"/>
                <w:color w:val="000000"/>
              </w:rPr>
              <w:t xml:space="preserve"> se trata de una p</w:t>
            </w:r>
            <w:r>
              <w:rPr>
                <w:rFonts w:ascii="Verdana" w:eastAsia="Arial" w:hAnsi="Verdana" w:cs="Arial"/>
                <w:color w:val="000000"/>
              </w:rPr>
              <w:t xml:space="preserve">otestad discrecional de la entidad, no significa una </w:t>
            </w:r>
            <w:r w:rsidRPr="00DD5997">
              <w:rPr>
                <w:rFonts w:ascii="Verdana" w:eastAsia="Arial" w:hAnsi="Verdana" w:cs="Arial"/>
                <w:color w:val="000000"/>
              </w:rPr>
              <w:t xml:space="preserve">elección administrativa, </w:t>
            </w:r>
            <w:r>
              <w:rPr>
                <w:rFonts w:ascii="Verdana" w:eastAsia="Arial" w:hAnsi="Verdana" w:cs="Arial"/>
                <w:color w:val="000000"/>
              </w:rPr>
              <w:t xml:space="preserve">que tienda a ser </w:t>
            </w:r>
            <w:r w:rsidRPr="00DD5997">
              <w:rPr>
                <w:rFonts w:ascii="Verdana" w:eastAsia="Arial" w:hAnsi="Verdana" w:cs="Arial"/>
                <w:color w:val="000000"/>
              </w:rPr>
              <w:t xml:space="preserve">una decisión irracional </w:t>
            </w:r>
            <w:r w:rsidRPr="00DD5997">
              <w:rPr>
                <w:rFonts w:ascii="Verdana" w:eastAsia="Arial" w:hAnsi="Verdana" w:cs="Arial"/>
                <w:color w:val="000000"/>
              </w:rPr>
              <w:lastRenderedPageBreak/>
              <w:t>o arbitraria</w:t>
            </w:r>
            <w:r>
              <w:rPr>
                <w:rFonts w:ascii="Verdana" w:eastAsia="Arial" w:hAnsi="Verdana" w:cs="Arial"/>
                <w:color w:val="000000"/>
              </w:rPr>
              <w:t xml:space="preserve">, pues debe tener en cuenta lo prescrito en el artículo 5 de la Ley 1150 de 2007, así como lo dispuesto en el artículo 2.2.1.1.2.2.2. del Decreto 1082 de 2015 modificado por el artículo 3 del Decreto 142 de 2023, esto es, que si atiendan a la mejor relación calidad –precio. </w:t>
            </w:r>
          </w:p>
          <w:p w14:paraId="155FD6F2" w14:textId="77777777" w:rsidR="004F60D2" w:rsidRPr="006A5798" w:rsidRDefault="004F60D2" w:rsidP="008A7300">
            <w:pPr>
              <w:spacing w:after="120" w:line="276" w:lineRule="auto"/>
              <w:jc w:val="both"/>
              <w:rPr>
                <w:rFonts w:ascii="Verdana" w:eastAsia="Calibri" w:hAnsi="Verdana" w:cs="Arial"/>
                <w:bCs/>
              </w:rPr>
            </w:pPr>
            <w:proofErr w:type="spellStart"/>
            <w:r>
              <w:rPr>
                <w:rFonts w:ascii="Verdana" w:eastAsia="Calibri" w:hAnsi="Verdana" w:cs="Arial"/>
                <w:bCs/>
              </w:rPr>
              <w:t>ii</w:t>
            </w:r>
            <w:proofErr w:type="spellEnd"/>
            <w:r>
              <w:rPr>
                <w:rFonts w:ascii="Verdana" w:eastAsia="Calibri" w:hAnsi="Verdana" w:cs="Arial"/>
                <w:bCs/>
              </w:rPr>
              <w:t>) Ahora bien</w:t>
            </w:r>
            <w:r w:rsidRPr="006A5798">
              <w:rPr>
                <w:rFonts w:ascii="Verdana" w:eastAsia="Calibri" w:hAnsi="Verdana" w:cs="Arial"/>
                <w:bCs/>
              </w:rPr>
              <w:t xml:space="preserve">, </w:t>
            </w:r>
            <w:r>
              <w:rPr>
                <w:rFonts w:ascii="Verdana" w:eastAsia="Calibri" w:hAnsi="Verdana" w:cs="Arial"/>
                <w:bCs/>
              </w:rPr>
              <w:t xml:space="preserve">en torno </w:t>
            </w:r>
            <w:r w:rsidRPr="006A5798">
              <w:rPr>
                <w:rFonts w:ascii="Verdana" w:eastAsia="Calibri" w:hAnsi="Verdana" w:cs="Arial"/>
                <w:bCs/>
              </w:rPr>
              <w:t xml:space="preserve">a la acreditación de los perfiles que son las condiciones establecidas en el factor calidad dentro del pliego de condiciones, es preciso señalar, que si bien hay una discrecionalidad de la entidad frente a la forma de acreditación, en el sentido de exigir que el personal específico deba estar vinculado previamente con el Proponente, no significa que no sea posible, que se suscriba un acta compromiso, o el documento que </w:t>
            </w:r>
            <w:r>
              <w:rPr>
                <w:rFonts w:ascii="Verdana" w:eastAsia="Calibri" w:hAnsi="Verdana" w:cs="Arial"/>
                <w:bCs/>
              </w:rPr>
              <w:t xml:space="preserve">permita comprobar el deber del proponente de cumplir con este tipo de perfiles, </w:t>
            </w:r>
            <w:r w:rsidRPr="006A5798">
              <w:rPr>
                <w:rFonts w:ascii="Verdana" w:eastAsia="Calibri" w:hAnsi="Verdana" w:cs="Arial"/>
                <w:bCs/>
              </w:rPr>
              <w:t xml:space="preserve">para acreditar dicho factor. En efecto, es importante tener en cuenta que la finalidad de exigir más documentos de lo que verdaderamente </w:t>
            </w:r>
            <w:r>
              <w:rPr>
                <w:rFonts w:ascii="Verdana" w:eastAsia="Calibri" w:hAnsi="Verdana" w:cs="Arial"/>
                <w:bCs/>
              </w:rPr>
              <w:t>que se requiere no contradiga lo prescrito en</w:t>
            </w:r>
            <w:r w:rsidRPr="006A5798">
              <w:rPr>
                <w:rFonts w:ascii="Verdana" w:eastAsia="Calibri" w:hAnsi="Verdana" w:cs="Arial"/>
                <w:bCs/>
              </w:rPr>
              <w:t xml:space="preserve"> el artículo 5° del Decreto Ley 019 de 2012 “por el cual se dictan normas para suprimir o reformar regulaciones, procedimientos y trámites innecesarios existentes en la Administración Pública”, que dispone en uno de sus apartes: “[…] los procedimientos se deben adelantar en el menor tiempo y con la menor cantidad de gastos de quienes intervienen en ellos; </w:t>
            </w:r>
            <w:r w:rsidRPr="004D34C4">
              <w:rPr>
                <w:rFonts w:ascii="Verdana" w:eastAsia="Calibri" w:hAnsi="Verdana" w:cs="Arial"/>
                <w:bCs/>
                <w:i/>
              </w:rPr>
              <w:t>las autoridades administrativas y los particulares que cumplen funciones administrativas no deben exigir más documentos y copias que los estrictamente necesarios […]</w:t>
            </w:r>
            <w:r>
              <w:rPr>
                <w:rFonts w:ascii="Verdana" w:eastAsia="Calibri" w:hAnsi="Verdana" w:cs="Arial"/>
                <w:bCs/>
              </w:rPr>
              <w:t xml:space="preserve">” (énfasis fuera de texto). </w:t>
            </w:r>
          </w:p>
          <w:p w14:paraId="18C5C594" w14:textId="77777777" w:rsidR="004F60D2" w:rsidRPr="00135463" w:rsidRDefault="004F60D2" w:rsidP="008A7300">
            <w:pPr>
              <w:spacing w:after="120" w:line="276" w:lineRule="auto"/>
              <w:ind w:firstLine="709"/>
              <w:jc w:val="both"/>
              <w:rPr>
                <w:rFonts w:ascii="Verdana" w:eastAsia="Calibri" w:hAnsi="Verdana" w:cs="Arial"/>
                <w:bCs/>
                <w:lang w:val="es-ES"/>
              </w:rPr>
            </w:pPr>
            <w:r>
              <w:rPr>
                <w:rFonts w:ascii="Verdana" w:eastAsia="Calibri" w:hAnsi="Verdana" w:cs="Arial"/>
                <w:bCs/>
              </w:rPr>
              <w:t xml:space="preserve">Bajo esta perspectiva, la acreditación de perfiles específicos como factor de calidad deben atender a un criterio de proporcionalidad y razonabilidad, lo cual permita la selección objetiva. En todo caso, la entidad en el momento de la celebración y ejecución del contrato estatal debe verificar que si se cumplan con los perfiles específicos que se acreditaron en el factor de calidad, teniendo en cuenta que el pliego de condiciones </w:t>
            </w:r>
            <w:r w:rsidRPr="00135463">
              <w:rPr>
                <w:rFonts w:ascii="Verdana" w:eastAsia="Calibri" w:hAnsi="Verdana" w:cs="Arial"/>
                <w:bCs/>
                <w:lang w:val="es-ES"/>
              </w:rPr>
              <w:t>ostenta una doble naturaleza jurídica, pues, por un lado, antes de la celebración del contrato y de la expedición del acto administrativo de adjudicación se considera como un acto administrativo de carácter general que rige el desarrollo del p</w:t>
            </w:r>
            <w:r>
              <w:rPr>
                <w:rFonts w:ascii="Verdana" w:eastAsia="Calibri" w:hAnsi="Verdana" w:cs="Arial"/>
                <w:bCs/>
                <w:lang w:val="es-ES"/>
              </w:rPr>
              <w:t>roceso de selección, por otro lado</w:t>
            </w:r>
            <w:r w:rsidRPr="00135463">
              <w:rPr>
                <w:rFonts w:ascii="Verdana" w:eastAsia="Calibri" w:hAnsi="Verdana" w:cs="Arial"/>
                <w:bCs/>
                <w:lang w:val="es-ES"/>
              </w:rPr>
              <w:t>, una vez se celebre el contrato, el pliego de condiciones pasa hacer parte del marco jurídico de la relación contractual determinando el contenido y el alcance del negocio jurídico</w:t>
            </w:r>
            <w:r>
              <w:rPr>
                <w:rFonts w:ascii="Verdana" w:eastAsia="Calibri" w:hAnsi="Verdana" w:cs="Arial"/>
                <w:bCs/>
                <w:lang w:val="es-ES"/>
              </w:rPr>
              <w:t xml:space="preserve">. En estos términos, en el marco de la vigilancia y control del contrato estatal deben verificar que si se estén cumpliendo con dichos factores de calidad en la ejecución contractual. </w:t>
            </w:r>
          </w:p>
          <w:p w14:paraId="76397310" w14:textId="77777777" w:rsidR="004F60D2" w:rsidRPr="00674D48" w:rsidRDefault="004F60D2" w:rsidP="008A7300">
            <w:pPr>
              <w:spacing w:after="120" w:line="276" w:lineRule="auto"/>
              <w:ind w:firstLine="709"/>
              <w:jc w:val="both"/>
              <w:rPr>
                <w:rFonts w:ascii="Verdana" w:eastAsia="Calibri" w:hAnsi="Verdana" w:cs="Arial"/>
                <w:bCs/>
              </w:rPr>
            </w:pPr>
            <w:r>
              <w:rPr>
                <w:rFonts w:ascii="Verdana" w:eastAsia="Calibri" w:hAnsi="Verdana" w:cs="Arial"/>
                <w:bCs/>
              </w:rPr>
              <w:t>En todo caso, se recuerda a las entidades públicas que</w:t>
            </w:r>
            <w:r w:rsidRPr="006A5798">
              <w:rPr>
                <w:rFonts w:ascii="Verdana" w:eastAsia="Calibri" w:hAnsi="Verdana" w:cs="Arial"/>
                <w:bCs/>
              </w:rPr>
              <w:t xml:space="preserve"> el ordenamiento impone una carga de motivación en el ejercicio de este tipo de facultades, </w:t>
            </w:r>
            <w:r w:rsidRPr="006A5798">
              <w:rPr>
                <w:rFonts w:ascii="Verdana" w:eastAsia="Calibri" w:hAnsi="Verdana" w:cs="Arial"/>
                <w:bCs/>
              </w:rPr>
              <w:lastRenderedPageBreak/>
              <w:t xml:space="preserve">pues –teniendo en cuenta la remisión del artículo 77 de la Ley 80 de 1993 a las normas que rigen los procedimientos y actuaciones en la función administrativa– el artículo 44 de la Ley 1437 de 2011 dispone: “En la medida en que el contenido de una decisión de carácter general o particular sea discrecional, debe ser adecuada a los fines de la norma que la autoriza, y proporcional a los hechos que le sirven de causa”. Así las cosas, el cumplimiento de las exigencias derivadas del principio de proporcionalidad es una condición ineludible para la admisibilidad de cualquier criterio de adjudicación del contrato, así como para su acreditación dentro de un proceso de acreditación. </w:t>
            </w:r>
            <w:r>
              <w:rPr>
                <w:rFonts w:ascii="Verdana" w:eastAsia="Arial" w:hAnsi="Verdana" w:cs="Arial"/>
                <w:color w:val="000000"/>
              </w:rPr>
              <w:t xml:space="preserve"> </w:t>
            </w:r>
          </w:p>
        </w:tc>
      </w:tr>
    </w:tbl>
    <w:p w14:paraId="418F926D" w14:textId="77777777" w:rsidR="004F60D2" w:rsidRPr="00185EE9" w:rsidRDefault="004F60D2" w:rsidP="004F60D2">
      <w:pPr>
        <w:tabs>
          <w:tab w:val="left" w:pos="567"/>
        </w:tabs>
        <w:spacing w:after="120" w:line="276" w:lineRule="auto"/>
        <w:jc w:val="both"/>
        <w:rPr>
          <w:rFonts w:ascii="Verdana" w:eastAsia="Calibri" w:hAnsi="Verdana" w:cs="Arial"/>
          <w:bCs/>
          <w:color w:val="000000" w:themeColor="text1"/>
        </w:rPr>
      </w:pPr>
    </w:p>
    <w:p w14:paraId="3BF138EA" w14:textId="77777777" w:rsidR="004F60D2" w:rsidRPr="00185EE9" w:rsidRDefault="004F60D2" w:rsidP="004F60D2">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Razones de la respuesta:</w:t>
      </w:r>
    </w:p>
    <w:p w14:paraId="30213044" w14:textId="77777777" w:rsidR="004F60D2" w:rsidRPr="00185EE9" w:rsidRDefault="004F60D2" w:rsidP="004F60D2">
      <w:pPr>
        <w:spacing w:after="0" w:line="256" w:lineRule="auto"/>
        <w:rPr>
          <w:rFonts w:ascii="Verdana" w:eastAsia="Calibri" w:hAnsi="Verdana" w:cs="Times New Roman"/>
          <w:b/>
          <w:bCs/>
          <w:lang w:val="es-ES"/>
        </w:rPr>
      </w:pPr>
    </w:p>
    <w:p w14:paraId="04457095" w14:textId="77777777" w:rsidR="004F60D2" w:rsidRDefault="004F60D2" w:rsidP="004F60D2">
      <w:pPr>
        <w:spacing w:after="0" w:line="276" w:lineRule="auto"/>
        <w:jc w:val="both"/>
        <w:rPr>
          <w:rFonts w:ascii="Verdana" w:eastAsia="Calibri" w:hAnsi="Verdana" w:cs="Arial"/>
          <w:lang w:val="es-ES"/>
        </w:rPr>
      </w:pPr>
      <w:r w:rsidRPr="00185EE9">
        <w:rPr>
          <w:rFonts w:ascii="Verdana" w:eastAsia="Calibri" w:hAnsi="Verdana" w:cs="Arial"/>
          <w:lang w:val="es-ES"/>
        </w:rPr>
        <w:t xml:space="preserve">Lo anterior se sustenta en </w:t>
      </w:r>
      <w:r>
        <w:rPr>
          <w:rFonts w:ascii="Verdana" w:eastAsia="Calibri" w:hAnsi="Verdana" w:cs="Arial"/>
          <w:lang w:val="es-ES"/>
        </w:rPr>
        <w:t>las siguientes consideraciones:</w:t>
      </w:r>
    </w:p>
    <w:p w14:paraId="76FCA95E" w14:textId="77777777" w:rsidR="004F60D2" w:rsidRPr="00654462" w:rsidRDefault="004F60D2" w:rsidP="004F60D2">
      <w:pPr>
        <w:spacing w:after="0" w:line="276" w:lineRule="auto"/>
        <w:jc w:val="both"/>
        <w:rPr>
          <w:rFonts w:ascii="Verdana" w:eastAsia="Calibri" w:hAnsi="Verdana" w:cs="Arial"/>
          <w:lang w:val="es-ES"/>
        </w:rPr>
      </w:pPr>
    </w:p>
    <w:p w14:paraId="55FA5F8D" w14:textId="77777777" w:rsidR="004F60D2" w:rsidRPr="00654462" w:rsidRDefault="004F60D2" w:rsidP="004F60D2">
      <w:pPr>
        <w:spacing w:after="0" w:line="276" w:lineRule="auto"/>
        <w:jc w:val="both"/>
        <w:rPr>
          <w:rFonts w:ascii="Verdana" w:eastAsia="Arial" w:hAnsi="Verdana" w:cs="Arial"/>
          <w:color w:val="000000"/>
        </w:rPr>
      </w:pPr>
      <w:r w:rsidRPr="00654462">
        <w:rPr>
          <w:rFonts w:ascii="Verdana" w:eastAsia="Calibri" w:hAnsi="Verdana" w:cs="Arial"/>
          <w:bCs/>
          <w:lang w:val="es-ES_tradnl"/>
        </w:rPr>
        <w:t xml:space="preserve">i. </w:t>
      </w:r>
      <w:r w:rsidRPr="00654462">
        <w:rPr>
          <w:rFonts w:ascii="Verdana" w:eastAsia="Arial" w:hAnsi="Verdana" w:cs="Arial"/>
          <w:color w:val="000000"/>
        </w:rPr>
        <w:t xml:space="preserve">Uno de los principios transversales de los procedimientos de selección es el de </w:t>
      </w:r>
      <w:r w:rsidRPr="00654462">
        <w:rPr>
          <w:rFonts w:ascii="Verdana" w:eastAsia="Arial" w:hAnsi="Verdana" w:cs="Arial"/>
          <w:i/>
          <w:color w:val="000000"/>
        </w:rPr>
        <w:t>selección objetiva</w:t>
      </w:r>
      <w:r w:rsidRPr="00654462">
        <w:rPr>
          <w:rFonts w:ascii="Verdana" w:eastAsia="Arial" w:hAnsi="Verdana" w:cs="Arial"/>
          <w:color w:val="000000"/>
        </w:rPr>
        <w:t>. Se trata del postulado que exige que la escogencia de la oferta ganadora deba fundamentarse en factores objetivos, de carácter técnico, jurídico y financiero, y no en criterios subjetivos, como el afecto, la amistad, el ánimo de</w:t>
      </w:r>
      <w:r>
        <w:rPr>
          <w:rFonts w:ascii="Verdana" w:eastAsia="Arial" w:hAnsi="Verdana" w:cs="Arial"/>
          <w:color w:val="000000"/>
        </w:rPr>
        <w:t xml:space="preserve"> ayuda, el interés personal, entre otros</w:t>
      </w:r>
      <w:r w:rsidRPr="00654462">
        <w:rPr>
          <w:rFonts w:ascii="Verdana" w:eastAsia="Arial" w:hAnsi="Verdana" w:cs="Arial"/>
          <w:color w:val="000000"/>
        </w:rPr>
        <w:t>. Si bien dentro de la historia de la contratación pública en Colombia se vislumbran antecedentes normativos que consagraban dicho principio</w:t>
      </w:r>
      <w:r w:rsidRPr="00654462">
        <w:rPr>
          <w:rFonts w:ascii="Verdana" w:eastAsia="Arial" w:hAnsi="Verdana" w:cs="Arial"/>
          <w:color w:val="000000"/>
          <w:vertAlign w:val="superscript"/>
        </w:rPr>
        <w:footnoteReference w:id="2"/>
      </w:r>
      <w:r w:rsidRPr="00654462">
        <w:rPr>
          <w:rFonts w:ascii="Verdana" w:eastAsia="Arial" w:hAnsi="Verdana" w:cs="Arial"/>
          <w:color w:val="000000"/>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01308D5A" w14:textId="77777777" w:rsidR="004F60D2" w:rsidRPr="00654462" w:rsidRDefault="004F60D2" w:rsidP="004F60D2">
      <w:pPr>
        <w:spacing w:after="0" w:line="276" w:lineRule="auto"/>
        <w:jc w:val="both"/>
        <w:rPr>
          <w:rFonts w:ascii="Verdana" w:eastAsia="Arial" w:hAnsi="Verdana" w:cs="Arial"/>
          <w:color w:val="000000"/>
        </w:rPr>
      </w:pPr>
    </w:p>
    <w:p w14:paraId="3EAB631A" w14:textId="77777777" w:rsidR="004F60D2" w:rsidRDefault="004F60D2" w:rsidP="004F60D2">
      <w:pPr>
        <w:spacing w:after="0" w:line="240" w:lineRule="auto"/>
        <w:ind w:left="709" w:right="709"/>
        <w:jc w:val="both"/>
        <w:rPr>
          <w:rFonts w:ascii="Verdana" w:eastAsia="Arial" w:hAnsi="Verdana" w:cs="Arial"/>
          <w:color w:val="000000" w:themeColor="text1"/>
          <w:sz w:val="21"/>
          <w:szCs w:val="21"/>
        </w:rPr>
      </w:pPr>
      <w:r w:rsidRPr="00654462">
        <w:rPr>
          <w:rFonts w:ascii="Verdana" w:eastAsia="Arial" w:hAnsi="Verdana" w:cs="Arial"/>
          <w:color w:val="000000" w:themeColor="text1"/>
          <w:sz w:val="21"/>
          <w:szCs w:val="21"/>
        </w:rPr>
        <w:lastRenderedPageBreak/>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005B922"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p>
    <w:p w14:paraId="069C26BF" w14:textId="77777777" w:rsidR="004F60D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2F871540"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p>
    <w:p w14:paraId="6C470400" w14:textId="77777777" w:rsidR="004F60D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B716656"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p>
    <w:p w14:paraId="486FF8A3" w14:textId="77777777" w:rsidR="004F60D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En los procesos de selección en los que se tenga en cuenta los factores técnicos y económicos, la oferta más ventajosa será la que resulte de aplicar alguna de las siguientes alternativas:</w:t>
      </w:r>
    </w:p>
    <w:p w14:paraId="0AA267C0"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p>
    <w:p w14:paraId="1372DEC2"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a) La ponderación de los elementos de calidad y precio soportados en puntajes o fórmulas señaladas en el pliego de condiciones; o</w:t>
      </w:r>
    </w:p>
    <w:p w14:paraId="38D8802F"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b) La ponderación de los elementos de calidad y precio que representen la mejor relación de costo-beneficio para la entidad.</w:t>
      </w:r>
    </w:p>
    <w:p w14:paraId="64BA5E64" w14:textId="77777777" w:rsidR="004F60D2" w:rsidRDefault="004F60D2" w:rsidP="004F60D2">
      <w:pPr>
        <w:spacing w:after="0" w:line="240" w:lineRule="auto"/>
        <w:ind w:left="709" w:right="709"/>
        <w:jc w:val="both"/>
        <w:rPr>
          <w:rFonts w:ascii="Verdana" w:eastAsia="Arial" w:hAnsi="Verdana" w:cs="Arial"/>
          <w:color w:val="000000"/>
          <w:sz w:val="21"/>
          <w:szCs w:val="21"/>
        </w:rPr>
      </w:pPr>
    </w:p>
    <w:p w14:paraId="5CC421EE"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 xml:space="preserve">3. Sin perjuicio de lo previsto en el numeral 1 del presente artículo, en los pliegos de condiciones para las contrataciones cuyo objeto sea la adquisición o suministro de bienes y servicios de características </w:t>
      </w:r>
      <w:r w:rsidRPr="00654462">
        <w:rPr>
          <w:rFonts w:ascii="Verdana" w:eastAsia="Arial" w:hAnsi="Verdana" w:cs="Arial"/>
          <w:color w:val="000000"/>
          <w:sz w:val="21"/>
          <w:szCs w:val="21"/>
        </w:rPr>
        <w:lastRenderedPageBreak/>
        <w:t>técnicas uniformes y común utilización, las entidades estatales incluirán como único factor de evaluación el menor precio ofrecido.</w:t>
      </w:r>
    </w:p>
    <w:p w14:paraId="6B568E1C" w14:textId="77777777" w:rsidR="004F60D2" w:rsidRDefault="004F60D2" w:rsidP="004F60D2">
      <w:pPr>
        <w:spacing w:after="0" w:line="240" w:lineRule="auto"/>
        <w:ind w:left="709" w:right="709"/>
        <w:jc w:val="both"/>
        <w:rPr>
          <w:rFonts w:ascii="Verdana" w:eastAsia="Arial" w:hAnsi="Verdana" w:cs="Arial"/>
          <w:color w:val="000000"/>
          <w:sz w:val="21"/>
          <w:szCs w:val="21"/>
        </w:rPr>
      </w:pPr>
    </w:p>
    <w:p w14:paraId="7296C287"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1CB1A6B6"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En ningún caso se podrá incluir el precio, como factor de escogencia para la selección de consultores.</w:t>
      </w:r>
    </w:p>
    <w:p w14:paraId="66555CB8" w14:textId="77777777" w:rsidR="004F60D2" w:rsidRDefault="004F60D2" w:rsidP="004F60D2">
      <w:pPr>
        <w:spacing w:after="0" w:line="240" w:lineRule="auto"/>
        <w:ind w:left="709" w:right="709"/>
        <w:jc w:val="both"/>
        <w:rPr>
          <w:rFonts w:ascii="Verdana" w:eastAsia="Arial" w:hAnsi="Verdana" w:cs="Arial"/>
          <w:color w:val="000000"/>
          <w:sz w:val="21"/>
          <w:szCs w:val="21"/>
        </w:rPr>
      </w:pPr>
    </w:p>
    <w:p w14:paraId="73D2FF6B"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009DA064"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Durante el término otorgado para subsanar las ofertas, los proponentes no podrán acreditar circunstancias ocurridas con posterioridad al cierre del proceso.</w:t>
      </w:r>
    </w:p>
    <w:p w14:paraId="3A1EBAD3" w14:textId="77777777" w:rsidR="004F60D2" w:rsidRDefault="004F60D2" w:rsidP="004F60D2">
      <w:pPr>
        <w:spacing w:after="0" w:line="240" w:lineRule="auto"/>
        <w:ind w:left="709" w:right="709"/>
        <w:jc w:val="both"/>
        <w:rPr>
          <w:rFonts w:ascii="Verdana" w:eastAsia="Arial" w:hAnsi="Verdana" w:cs="Arial"/>
          <w:color w:val="000000"/>
          <w:sz w:val="21"/>
          <w:szCs w:val="21"/>
        </w:rPr>
      </w:pPr>
    </w:p>
    <w:p w14:paraId="47F207B8"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PARÁGRAFO 2o. Las certificaciones de sistemas de gestión de calidad no serán objeto de calificación, ni podrán establecerse como documento habilitante para participar en licitaciones o concursos.</w:t>
      </w:r>
    </w:p>
    <w:p w14:paraId="2B1F05B2" w14:textId="77777777" w:rsidR="004F60D2" w:rsidRDefault="004F60D2" w:rsidP="004F60D2">
      <w:pPr>
        <w:spacing w:after="0" w:line="240" w:lineRule="auto"/>
        <w:ind w:left="709" w:right="709"/>
        <w:jc w:val="both"/>
        <w:rPr>
          <w:rFonts w:ascii="Verdana" w:eastAsia="Arial" w:hAnsi="Verdana" w:cs="Arial"/>
          <w:color w:val="000000"/>
          <w:sz w:val="21"/>
          <w:szCs w:val="21"/>
        </w:rPr>
      </w:pPr>
    </w:p>
    <w:p w14:paraId="602A4E0F"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PARÁGRAFO 3o. &lt;Parágrafo adicionado por el artículo 5 de la Ley 1882 de 2018. El nuevo texto es el siguiente:&gt; La no entrega de la garantía de seriedad junto con la propuesta no será subsanable y será causal de rechazo de la misma.</w:t>
      </w:r>
    </w:p>
    <w:p w14:paraId="520191D4" w14:textId="77777777" w:rsidR="004F60D2" w:rsidRDefault="004F60D2" w:rsidP="004F60D2">
      <w:pPr>
        <w:spacing w:after="0" w:line="240" w:lineRule="auto"/>
        <w:ind w:left="709" w:right="709"/>
        <w:jc w:val="both"/>
        <w:rPr>
          <w:rFonts w:ascii="Verdana" w:eastAsia="Arial" w:hAnsi="Verdana" w:cs="Arial"/>
          <w:color w:val="000000"/>
          <w:sz w:val="21"/>
          <w:szCs w:val="21"/>
        </w:rPr>
      </w:pPr>
    </w:p>
    <w:p w14:paraId="21445FF0"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57213F92" w14:textId="77777777" w:rsidR="004F60D2" w:rsidRDefault="004F60D2" w:rsidP="004F60D2">
      <w:pPr>
        <w:spacing w:after="0" w:line="240" w:lineRule="auto"/>
        <w:ind w:left="709" w:right="709"/>
        <w:jc w:val="both"/>
        <w:rPr>
          <w:rFonts w:ascii="Verdana" w:eastAsia="Arial" w:hAnsi="Verdana" w:cs="Arial"/>
          <w:color w:val="000000" w:themeColor="text1"/>
          <w:sz w:val="21"/>
          <w:szCs w:val="21"/>
        </w:rPr>
      </w:pPr>
    </w:p>
    <w:p w14:paraId="3190A586" w14:textId="77777777" w:rsidR="004F60D2" w:rsidRPr="00654462" w:rsidRDefault="004F60D2" w:rsidP="004F60D2">
      <w:pPr>
        <w:spacing w:after="0" w:line="240" w:lineRule="auto"/>
        <w:ind w:left="709" w:right="709"/>
        <w:jc w:val="both"/>
        <w:rPr>
          <w:rFonts w:ascii="Verdana" w:eastAsia="Arial" w:hAnsi="Verdana" w:cs="Arial"/>
          <w:color w:val="000000"/>
        </w:rPr>
      </w:pPr>
      <w:r w:rsidRPr="00654462">
        <w:rPr>
          <w:rFonts w:ascii="Verdana" w:eastAsia="Arial" w:hAnsi="Verdana" w:cs="Arial"/>
          <w:color w:val="000000" w:themeColor="text1"/>
          <w:sz w:val="21"/>
          <w:szCs w:val="21"/>
        </w:rPr>
        <w:lastRenderedPageBreak/>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654462">
        <w:rPr>
          <w:rFonts w:ascii="Verdana" w:eastAsia="Arial" w:hAnsi="Verdana" w:cs="Arial"/>
          <w:color w:val="000000" w:themeColor="text1"/>
        </w:rPr>
        <w:t xml:space="preserve"> </w:t>
      </w:r>
    </w:p>
    <w:p w14:paraId="152AC539" w14:textId="77777777" w:rsidR="004F60D2" w:rsidRPr="00654462" w:rsidRDefault="004F60D2" w:rsidP="004F60D2">
      <w:pPr>
        <w:spacing w:after="0" w:line="276" w:lineRule="auto"/>
        <w:jc w:val="both"/>
        <w:rPr>
          <w:rFonts w:ascii="Verdana" w:eastAsia="Arial" w:hAnsi="Verdana" w:cs="Arial"/>
          <w:color w:val="000000"/>
        </w:rPr>
      </w:pPr>
    </w:p>
    <w:p w14:paraId="24DCD062" w14:textId="77777777" w:rsidR="004F60D2" w:rsidRPr="00654462" w:rsidRDefault="004F60D2" w:rsidP="004F60D2">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De acuerdo con el artículo 5 de la Ley 1150 de 2007,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46330DAD" w14:textId="77777777" w:rsidR="004F60D2" w:rsidRPr="00654462" w:rsidRDefault="004F60D2" w:rsidP="004F60D2">
      <w:pPr>
        <w:tabs>
          <w:tab w:val="left" w:pos="0"/>
        </w:tabs>
        <w:spacing w:after="120" w:line="276" w:lineRule="auto"/>
        <w:jc w:val="both"/>
        <w:rPr>
          <w:rFonts w:ascii="Verdana" w:eastAsia="Arial" w:hAnsi="Verdana" w:cs="Arial"/>
          <w:color w:val="000000"/>
        </w:rPr>
      </w:pPr>
      <w:bookmarkStart w:id="1" w:name="_1fob9te" w:colFirst="0" w:colLast="0"/>
      <w:bookmarkEnd w:id="1"/>
      <w:r w:rsidRPr="00654462">
        <w:rPr>
          <w:rFonts w:ascii="Verdana" w:eastAsia="Arial" w:hAnsi="Verdana" w:cs="Arial"/>
          <w:color w:val="000000"/>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654462">
        <w:rPr>
          <w:rFonts w:ascii="Verdana" w:eastAsia="Arial" w:hAnsi="Verdana" w:cs="Arial"/>
          <w:color w:val="000000"/>
          <w:vertAlign w:val="superscript"/>
        </w:rPr>
        <w:footnoteReference w:id="3"/>
      </w:r>
      <w:r w:rsidRPr="00654462">
        <w:rPr>
          <w:rFonts w:ascii="Verdana" w:eastAsia="Arial" w:hAnsi="Verdana" w:cs="Arial"/>
          <w:color w:val="000000"/>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654462">
        <w:rPr>
          <w:rFonts w:ascii="Verdana" w:eastAsia="Arial" w:hAnsi="Verdana" w:cs="Arial"/>
          <w:i/>
          <w:color w:val="000000"/>
        </w:rPr>
        <w:t xml:space="preserve">habilitantes </w:t>
      </w:r>
      <w:r w:rsidRPr="00654462">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2FA08A07" w14:textId="77777777" w:rsidR="004F60D2" w:rsidRPr="00654462" w:rsidRDefault="004F60D2" w:rsidP="004F60D2">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w:t>
      </w:r>
      <w:r w:rsidRPr="00654462">
        <w:rPr>
          <w:rFonts w:ascii="Verdana" w:eastAsia="Arial" w:hAnsi="Verdana" w:cs="Arial"/>
          <w:color w:val="000000"/>
        </w:rPr>
        <w:lastRenderedPageBreak/>
        <w:t xml:space="preserve">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w:t>
      </w:r>
      <w:r>
        <w:rPr>
          <w:rFonts w:ascii="Verdana" w:eastAsia="Arial" w:hAnsi="Verdana" w:cs="Arial"/>
          <w:color w:val="000000"/>
        </w:rPr>
        <w:t xml:space="preserve">se refiere </w:t>
      </w:r>
      <w:r w:rsidRPr="00654462">
        <w:rPr>
          <w:rFonts w:ascii="Verdana" w:eastAsia="Arial" w:hAnsi="Verdana" w:cs="Arial"/>
          <w:color w:val="000000"/>
        </w:rPr>
        <w:t xml:space="preserve">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3CDC02C3" w14:textId="77777777" w:rsidR="004F60D2" w:rsidRPr="00654462" w:rsidRDefault="004F60D2" w:rsidP="004F60D2">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5F62D2F9" w14:textId="77777777" w:rsidR="004F60D2" w:rsidRPr="00654462" w:rsidRDefault="004F60D2" w:rsidP="004F60D2">
      <w:pPr>
        <w:tabs>
          <w:tab w:val="left" w:pos="0"/>
        </w:tabs>
        <w:spacing w:after="0" w:line="276" w:lineRule="auto"/>
        <w:jc w:val="both"/>
        <w:rPr>
          <w:rFonts w:ascii="Verdana" w:eastAsia="Arial" w:hAnsi="Verdana" w:cs="Arial"/>
          <w:color w:val="000000"/>
        </w:rPr>
      </w:pPr>
      <w:r w:rsidRPr="00654462">
        <w:rPr>
          <w:rFonts w:ascii="Verdana" w:eastAsia="Arial" w:hAnsi="Verdana" w:cs="Arial"/>
          <w:color w:val="000000"/>
        </w:rPr>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 </w:t>
      </w:r>
      <w:r w:rsidRPr="00654462">
        <w:rPr>
          <w:rFonts w:ascii="Verdana" w:eastAsia="Arial" w:hAnsi="Verdana" w:cs="Arial"/>
          <w:color w:val="000000"/>
          <w:vertAlign w:val="superscript"/>
        </w:rPr>
        <w:footnoteReference w:id="4"/>
      </w:r>
      <w:r w:rsidRPr="00654462">
        <w:rPr>
          <w:rFonts w:ascii="Verdana" w:eastAsia="Arial" w:hAnsi="Verdana" w:cs="Arial"/>
          <w:color w:val="000000"/>
        </w:rPr>
        <w:t xml:space="preserve">. Todas estas categorías designan los “[…] factores a los cuales cabe otorgarles puntajes o que pueden ser ponderados, precisamente, pues estos son los factores que en últimas permiten una comparación de ofertas y una diferenciación entre ellas” </w:t>
      </w:r>
      <w:r w:rsidRPr="00654462">
        <w:rPr>
          <w:rFonts w:ascii="Verdana" w:eastAsia="Arial" w:hAnsi="Verdana" w:cs="Arial"/>
          <w:color w:val="000000"/>
          <w:vertAlign w:val="superscript"/>
        </w:rPr>
        <w:footnoteReference w:id="5"/>
      </w:r>
      <w:r w:rsidRPr="00654462">
        <w:rPr>
          <w:rFonts w:ascii="Verdana" w:eastAsia="Arial" w:hAnsi="Verdana" w:cs="Arial"/>
          <w:color w:val="000000"/>
        </w:rPr>
        <w:t>. Conforme a esto, la doctrina explica que:</w:t>
      </w:r>
    </w:p>
    <w:p w14:paraId="6D447604" w14:textId="77777777" w:rsidR="004F60D2" w:rsidRPr="00654462" w:rsidRDefault="004F60D2" w:rsidP="004F60D2">
      <w:pPr>
        <w:tabs>
          <w:tab w:val="left" w:pos="0"/>
        </w:tabs>
        <w:spacing w:after="0" w:line="276" w:lineRule="auto"/>
        <w:ind w:left="709" w:right="709"/>
        <w:jc w:val="both"/>
        <w:rPr>
          <w:rFonts w:ascii="Verdana" w:eastAsia="Arial" w:hAnsi="Verdana" w:cs="Arial"/>
          <w:color w:val="000000"/>
          <w:sz w:val="21"/>
          <w:szCs w:val="21"/>
        </w:rPr>
      </w:pPr>
    </w:p>
    <w:p w14:paraId="7670764E" w14:textId="77777777" w:rsidR="004F60D2" w:rsidRPr="00654462" w:rsidRDefault="004F60D2" w:rsidP="004F60D2">
      <w:pPr>
        <w:spacing w:after="12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themeColor="text1"/>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w:t>
      </w:r>
      <w:r w:rsidRPr="00654462">
        <w:rPr>
          <w:rFonts w:ascii="Verdana" w:eastAsia="Arial" w:hAnsi="Verdana" w:cs="Arial"/>
          <w:color w:val="000000" w:themeColor="text1"/>
          <w:sz w:val="21"/>
          <w:szCs w:val="21"/>
        </w:rPr>
        <w:lastRenderedPageBreak/>
        <w:t xml:space="preserve">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53777C1B" w14:textId="77777777" w:rsidR="004F60D2" w:rsidRPr="00654462" w:rsidRDefault="004F60D2" w:rsidP="004F60D2">
      <w:pPr>
        <w:tabs>
          <w:tab w:val="left" w:pos="0"/>
        </w:tabs>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29E0F5B2" w14:textId="77777777" w:rsidR="004F60D2" w:rsidRPr="00654462" w:rsidRDefault="004F60D2" w:rsidP="004F60D2">
      <w:pPr>
        <w:tabs>
          <w:tab w:val="left" w:pos="0"/>
        </w:tabs>
        <w:spacing w:after="12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w:t>
      </w:r>
    </w:p>
    <w:p w14:paraId="363E77FE" w14:textId="77777777" w:rsidR="004F60D2" w:rsidRPr="00654462" w:rsidRDefault="004F60D2" w:rsidP="004F60D2">
      <w:pPr>
        <w:spacing w:after="0" w:line="240" w:lineRule="auto"/>
        <w:ind w:left="709" w:right="709"/>
        <w:jc w:val="both"/>
        <w:rPr>
          <w:rFonts w:ascii="Verdana" w:eastAsia="Arial" w:hAnsi="Verdana" w:cs="Arial"/>
          <w:color w:val="000000"/>
          <w:sz w:val="21"/>
          <w:szCs w:val="21"/>
        </w:rPr>
      </w:pPr>
      <w:r w:rsidRPr="00654462">
        <w:rPr>
          <w:rFonts w:ascii="Verdana" w:eastAsia="Arial" w:hAnsi="Verdana" w:cs="Arial"/>
          <w:color w:val="000000"/>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654462">
        <w:rPr>
          <w:rFonts w:ascii="Verdana" w:eastAsia="Arial" w:hAnsi="Verdana" w:cs="Arial"/>
          <w:color w:val="000000"/>
          <w:sz w:val="21"/>
          <w:szCs w:val="21"/>
          <w:vertAlign w:val="superscript"/>
        </w:rPr>
        <w:footnoteReference w:id="6"/>
      </w:r>
      <w:r w:rsidRPr="00654462">
        <w:rPr>
          <w:rFonts w:ascii="Verdana" w:eastAsia="Arial" w:hAnsi="Verdana" w:cs="Arial"/>
          <w:color w:val="000000"/>
          <w:sz w:val="21"/>
          <w:szCs w:val="21"/>
        </w:rPr>
        <w:t>.</w:t>
      </w:r>
    </w:p>
    <w:p w14:paraId="158E2C4F" w14:textId="77777777" w:rsidR="004F60D2" w:rsidRPr="00654462" w:rsidRDefault="004F60D2" w:rsidP="004F60D2">
      <w:pPr>
        <w:tabs>
          <w:tab w:val="left" w:pos="0"/>
        </w:tabs>
        <w:spacing w:after="0" w:line="276" w:lineRule="auto"/>
        <w:ind w:left="709" w:right="709"/>
        <w:jc w:val="both"/>
        <w:rPr>
          <w:rFonts w:ascii="Verdana" w:eastAsia="Arial" w:hAnsi="Verdana" w:cs="Arial"/>
          <w:color w:val="000000"/>
          <w:sz w:val="21"/>
          <w:szCs w:val="21"/>
        </w:rPr>
      </w:pPr>
    </w:p>
    <w:p w14:paraId="0A468ECC" w14:textId="77777777" w:rsidR="004F60D2" w:rsidRPr="00654462" w:rsidRDefault="004F60D2" w:rsidP="004F60D2">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4FE0CF25" w14:textId="77777777" w:rsidR="004F60D2" w:rsidRPr="00654462" w:rsidRDefault="004F60D2" w:rsidP="004F60D2">
      <w:pPr>
        <w:tabs>
          <w:tab w:val="left" w:pos="0"/>
        </w:tabs>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En ese sentido, la asignación de puntaje es un mecanismo mediante el cual las entidades ponderan los factores de calificación </w:t>
      </w:r>
      <w:r w:rsidRPr="00654462">
        <w:rPr>
          <w:rFonts w:ascii="Arial" w:eastAsia="Tahoma" w:hAnsi="Arial" w:cs="Arial"/>
          <w:color w:val="000000"/>
        </w:rPr>
        <w:t>ꟷ</w:t>
      </w:r>
      <w:r w:rsidRPr="00654462">
        <w:rPr>
          <w:rFonts w:ascii="Verdana" w:eastAsia="Arial" w:hAnsi="Verdana" w:cs="Arial"/>
          <w:i/>
          <w:color w:val="000000"/>
        </w:rPr>
        <w:t>v.g.</w:t>
      </w:r>
      <w:r w:rsidRPr="00654462">
        <w:rPr>
          <w:rFonts w:ascii="Verdana" w:eastAsia="Arial" w:hAnsi="Verdana" w:cs="Arial"/>
          <w:color w:val="000000"/>
        </w:rPr>
        <w:t xml:space="preserve"> técnicos y económicos, de calidad y precio, etc.</w:t>
      </w:r>
      <w:r w:rsidRPr="00654462">
        <w:rPr>
          <w:rFonts w:ascii="Arial" w:eastAsia="Tahoma" w:hAnsi="Arial" w:cs="Arial"/>
          <w:color w:val="000000"/>
        </w:rPr>
        <w:t>ꟷ</w:t>
      </w:r>
      <w:r w:rsidRPr="00654462">
        <w:rPr>
          <w:rFonts w:ascii="Verdana" w:eastAsia="Arial" w:hAnsi="Verdana" w:cs="Arial"/>
          <w:color w:val="000000"/>
        </w:rPr>
        <w:t xml:space="preserve"> en un determinado proceso de selección, como se desprende del literal a) del numeral 2 del artículo 5 de la Ley 1150 de 2007, en el que expresamente se alude al puntaje. Sin embargo, no es este el único mecanismo de ponderación que tienen a su alcance las entidades estatales </w:t>
      </w:r>
      <w:r w:rsidRPr="00654462">
        <w:rPr>
          <w:rFonts w:ascii="Verdana" w:eastAsia="Arial" w:hAnsi="Verdana" w:cs="Arial"/>
          <w:color w:val="000000"/>
        </w:rPr>
        <w:lastRenderedPageBreak/>
        <w:t>para determinar el ofrecimiento más favorable, pues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 o relaciones costo beneficio.</w:t>
      </w:r>
    </w:p>
    <w:p w14:paraId="7E77B0A1" w14:textId="77777777" w:rsidR="004F60D2" w:rsidRPr="00654462" w:rsidRDefault="004F60D2" w:rsidP="004F60D2">
      <w:pPr>
        <w:spacing w:after="120" w:line="276" w:lineRule="auto"/>
        <w:jc w:val="both"/>
        <w:rPr>
          <w:rFonts w:ascii="Verdana" w:eastAsia="Arial" w:hAnsi="Verdana" w:cs="Arial"/>
          <w:color w:val="000000"/>
        </w:rPr>
      </w:pPr>
      <w:r w:rsidRPr="00654462">
        <w:rPr>
          <w:rFonts w:ascii="Verdana" w:eastAsia="Arial" w:hAnsi="Verdana" w:cs="Arial"/>
          <w:color w:val="000000"/>
        </w:rPr>
        <w:tab/>
        <w:t xml:space="preserve">Es necesario destacar que las reglas para establecer la oferta más favorable conforme al artículo 5 de la Ley 1150 de 2007, se encuentran reglamentadas en el artículo 2.2.1.1.2.2.2 del Decreto 1082 de 2015, modificado recientemente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w:t>
      </w:r>
      <w:proofErr w:type="spellStart"/>
      <w:r w:rsidRPr="00654462">
        <w:rPr>
          <w:rFonts w:ascii="Verdana" w:eastAsia="Arial" w:hAnsi="Verdana" w:cs="Arial"/>
          <w:color w:val="000000"/>
        </w:rPr>
        <w:t>ii</w:t>
      </w:r>
      <w:proofErr w:type="spellEnd"/>
      <w:r w:rsidRPr="00654462">
        <w:rPr>
          <w:rFonts w:ascii="Verdana" w:eastAsia="Arial" w:hAnsi="Verdana" w:cs="Arial"/>
          <w:color w:val="000000"/>
        </w:rPr>
        <w:t xml:space="preserve">) las condiciones técnicas adicionales que representan ventajas de calidad o de funcionamiento; </w:t>
      </w:r>
      <w:proofErr w:type="spellStart"/>
      <w:r w:rsidRPr="00654462">
        <w:rPr>
          <w:rFonts w:ascii="Verdana" w:eastAsia="Arial" w:hAnsi="Verdana" w:cs="Arial"/>
          <w:color w:val="000000"/>
        </w:rPr>
        <w:t>iii</w:t>
      </w:r>
      <w:proofErr w:type="spellEnd"/>
      <w:r w:rsidRPr="00654462">
        <w:rPr>
          <w:rFonts w:ascii="Verdana" w:eastAsia="Arial" w:hAnsi="Verdana" w:cs="Arial"/>
          <w:color w:val="000000"/>
        </w:rPr>
        <w:t xml:space="preserve">) las condiciones económicas adicionales que representen ventajas en términos de economía, eficiencia y eficacia; y </w:t>
      </w:r>
      <w:proofErr w:type="spellStart"/>
      <w:r w:rsidRPr="00654462">
        <w:rPr>
          <w:rFonts w:ascii="Verdana" w:eastAsia="Arial" w:hAnsi="Verdana" w:cs="Arial"/>
          <w:color w:val="000000"/>
        </w:rPr>
        <w:t>iv</w:t>
      </w:r>
      <w:proofErr w:type="spellEnd"/>
      <w:r w:rsidRPr="00654462">
        <w:rPr>
          <w:rFonts w:ascii="Verdana" w:eastAsia="Arial" w:hAnsi="Verdana" w:cs="Arial"/>
          <w:color w:val="000000"/>
        </w:rPr>
        <w:t>)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654462">
        <w:rPr>
          <w:rFonts w:ascii="Verdana" w:eastAsia="Arial" w:hAnsi="Verdana" w:cs="Arial"/>
          <w:color w:val="000000"/>
          <w:vertAlign w:val="superscript"/>
        </w:rPr>
        <w:footnoteReference w:id="7"/>
      </w:r>
      <w:r w:rsidRPr="00654462">
        <w:rPr>
          <w:rFonts w:ascii="Verdana" w:eastAsia="Arial" w:hAnsi="Verdana" w:cs="Arial"/>
          <w:color w:val="000000"/>
        </w:rPr>
        <w:t>.</w:t>
      </w:r>
    </w:p>
    <w:p w14:paraId="50C009CC" w14:textId="77777777" w:rsidR="004F60D2" w:rsidRPr="00654462" w:rsidRDefault="004F60D2" w:rsidP="004F60D2">
      <w:pPr>
        <w:spacing w:after="120" w:line="276" w:lineRule="auto"/>
        <w:ind w:firstLine="709"/>
        <w:jc w:val="both"/>
        <w:rPr>
          <w:rFonts w:ascii="Verdana" w:eastAsia="Arial" w:hAnsi="Verdana" w:cs="Arial"/>
          <w:color w:val="000000"/>
        </w:rPr>
      </w:pPr>
      <w:r w:rsidRPr="00654462">
        <w:rPr>
          <w:rFonts w:ascii="Verdana" w:eastAsia="Arial" w:hAnsi="Verdana" w:cs="Arial"/>
          <w:color w:val="000000" w:themeColor="text1"/>
        </w:rPr>
        <w:lastRenderedPageBreak/>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7244B3F1" w14:textId="77777777" w:rsidR="004F60D2" w:rsidRPr="00654462" w:rsidRDefault="004F60D2" w:rsidP="004F60D2">
      <w:pPr>
        <w:spacing w:after="120" w:line="276" w:lineRule="auto"/>
        <w:ind w:firstLine="709"/>
        <w:jc w:val="both"/>
        <w:rPr>
          <w:rFonts w:ascii="Verdana" w:eastAsia="Arial" w:hAnsi="Verdana" w:cs="Arial"/>
          <w:color w:val="000000"/>
        </w:rPr>
      </w:pPr>
      <w:r w:rsidRPr="00654462">
        <w:rPr>
          <w:rFonts w:ascii="Verdana" w:eastAsia="Arial" w:hAnsi="Verdana" w:cs="Arial"/>
          <w:color w:val="000000"/>
        </w:rPr>
        <w:t xml:space="preserve">Retomando otros fundamentos jurídicos del deber de “selección objetiva”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 </w:t>
      </w:r>
      <w:proofErr w:type="spellStart"/>
      <w:r w:rsidRPr="00654462">
        <w:rPr>
          <w:rFonts w:ascii="Verdana" w:eastAsia="Arial" w:hAnsi="Verdana" w:cs="Arial"/>
          <w:color w:val="000000"/>
        </w:rPr>
        <w:t>ii</w:t>
      </w:r>
      <w:proofErr w:type="spellEnd"/>
      <w:r w:rsidRPr="00654462">
        <w:rPr>
          <w:rFonts w:ascii="Verdana" w:eastAsia="Arial" w:hAnsi="Verdana" w:cs="Arial"/>
          <w:color w:val="000000"/>
        </w:rPr>
        <w:t xml:space="preserve">) el artículo 24, numeral 5º, literal a), que manda que en los pliegos de condiciones se indiquen “[…] los requisitos objetivos necesarios para participar en el correspondiente proceso de selección”, </w:t>
      </w:r>
      <w:proofErr w:type="spellStart"/>
      <w:r w:rsidRPr="00654462">
        <w:rPr>
          <w:rFonts w:ascii="Verdana" w:eastAsia="Arial" w:hAnsi="Verdana" w:cs="Arial"/>
          <w:color w:val="000000"/>
        </w:rPr>
        <w:t>iii</w:t>
      </w:r>
      <w:proofErr w:type="spellEnd"/>
      <w:r w:rsidRPr="00654462">
        <w:rPr>
          <w:rFonts w:ascii="Verdana" w:eastAsia="Arial" w:hAnsi="Verdana" w:cs="Arial"/>
          <w:color w:val="000000"/>
        </w:rPr>
        <w:t xml:space="preserve">) el artículo 24, numeral 5º, literal b), que establece que en los pliegos de condiciones se deben definir “[…] reglas </w:t>
      </w:r>
      <w:r w:rsidRPr="00654462">
        <w:rPr>
          <w:rFonts w:ascii="Verdana" w:eastAsia="Arial" w:hAnsi="Verdana" w:cs="Arial"/>
          <w:color w:val="000000"/>
        </w:rPr>
        <w:lastRenderedPageBreak/>
        <w:t xml:space="preserve">objetivas, justas, claras y completas que permitan la confección de ofrecimientos de la misma índole, aseguren una escogencia objetiva y eviten la declaratoria de desierta de la licitación”, </w:t>
      </w:r>
      <w:proofErr w:type="spellStart"/>
      <w:r w:rsidRPr="00654462">
        <w:rPr>
          <w:rFonts w:ascii="Verdana" w:eastAsia="Arial" w:hAnsi="Verdana" w:cs="Arial"/>
          <w:color w:val="000000"/>
        </w:rPr>
        <w:t>iv</w:t>
      </w:r>
      <w:proofErr w:type="spellEnd"/>
      <w:r w:rsidRPr="00654462">
        <w:rPr>
          <w:rFonts w:ascii="Verdana" w:eastAsia="Arial" w:hAnsi="Verdana" w:cs="Arial"/>
          <w:color w:val="000000"/>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654462">
        <w:rPr>
          <w:rFonts w:ascii="Verdana" w:eastAsia="Arial" w:hAnsi="Verdana" w:cs="Arial"/>
          <w:color w:val="000000"/>
        </w:rPr>
        <w:t>vii</w:t>
      </w:r>
      <w:proofErr w:type="spellEnd"/>
      <w:r w:rsidRPr="00654462">
        <w:rPr>
          <w:rFonts w:ascii="Verdana" w:eastAsia="Arial" w:hAnsi="Verdana" w:cs="Arial"/>
          <w:color w:val="000000"/>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654462">
        <w:rPr>
          <w:rFonts w:ascii="Verdana" w:eastAsia="Arial" w:hAnsi="Verdana" w:cs="Arial"/>
          <w:color w:val="000000"/>
        </w:rPr>
        <w:t>viii</w:t>
      </w:r>
      <w:proofErr w:type="spellEnd"/>
      <w:r w:rsidRPr="00654462">
        <w:rPr>
          <w:rFonts w:ascii="Verdana" w:eastAsia="Arial" w:hAnsi="Verdana" w:cs="Arial"/>
          <w:color w:val="000000"/>
        </w:rPr>
        <w:t xml:space="preserve">) el inciso final del artículo 38, que obliga a las entidades estatales que tengan como objeto la prestación de servicios y actividades de telecomunicaciones a respetar el principio de selección objetiva, y </w:t>
      </w:r>
      <w:proofErr w:type="spellStart"/>
      <w:r w:rsidRPr="00654462">
        <w:rPr>
          <w:rFonts w:ascii="Verdana" w:eastAsia="Arial" w:hAnsi="Verdana" w:cs="Arial"/>
          <w:color w:val="000000"/>
        </w:rPr>
        <w:t>ix</w:t>
      </w:r>
      <w:proofErr w:type="spellEnd"/>
      <w:r w:rsidRPr="00654462">
        <w:rPr>
          <w:rFonts w:ascii="Verdana" w:eastAsia="Arial" w:hAnsi="Verdana" w:cs="Arial"/>
          <w:color w:val="000000"/>
        </w:rPr>
        <w:t xml:space="preserve">) el segundo inciso del artículo 76, que ordena cumplir también con dicho principio a las entidades que tengan por objeto la exploración, explotación y comercialización de recursos naturales renovables y no renovables. </w:t>
      </w:r>
    </w:p>
    <w:p w14:paraId="50B826C7" w14:textId="77777777" w:rsidR="004F60D2" w:rsidRPr="00654462" w:rsidRDefault="004F60D2" w:rsidP="004F60D2">
      <w:pPr>
        <w:spacing w:after="120" w:line="276" w:lineRule="auto"/>
        <w:ind w:firstLine="709"/>
        <w:jc w:val="both"/>
        <w:rPr>
          <w:rFonts w:ascii="Verdana" w:eastAsia="Arial" w:hAnsi="Verdana" w:cs="Arial"/>
          <w:color w:val="000000"/>
        </w:rPr>
      </w:pPr>
      <w:r w:rsidRPr="00654462">
        <w:rPr>
          <w:rFonts w:ascii="Verdana" w:eastAsia="Arial" w:hAnsi="Verdana" w:cs="Arial"/>
          <w:color w:val="000000"/>
        </w:rPr>
        <w:t>Por su parte, a nivel reglamentario, e</w:t>
      </w:r>
      <w:r>
        <w:rPr>
          <w:rFonts w:ascii="Verdana" w:eastAsia="Arial" w:hAnsi="Verdana" w:cs="Arial"/>
          <w:color w:val="000000"/>
        </w:rPr>
        <w:t>l Decreto 1082 de 2015 también se refiere</w:t>
      </w:r>
      <w:r w:rsidRPr="00654462">
        <w:rPr>
          <w:rFonts w:ascii="Verdana" w:eastAsia="Arial" w:hAnsi="Verdana" w:cs="Arial"/>
          <w:color w:val="000000"/>
        </w:rPr>
        <w:t xml:space="preserve">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w:t>
      </w:r>
      <w:proofErr w:type="spellStart"/>
      <w:r w:rsidRPr="00654462">
        <w:rPr>
          <w:rFonts w:ascii="Verdana" w:eastAsia="Arial" w:hAnsi="Verdana" w:cs="Arial"/>
          <w:color w:val="000000"/>
        </w:rPr>
        <w:t>ii</w:t>
      </w:r>
      <w:proofErr w:type="spellEnd"/>
      <w:r w:rsidRPr="00654462">
        <w:rPr>
          <w:rFonts w:ascii="Verdana" w:eastAsia="Arial" w:hAnsi="Verdana" w:cs="Arial"/>
          <w:color w:val="000000"/>
        </w:rPr>
        <w:t>)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43B46E71" w14:textId="77777777" w:rsidR="004F60D2" w:rsidRDefault="004F60D2" w:rsidP="004F60D2">
      <w:pPr>
        <w:spacing w:after="120" w:line="276" w:lineRule="auto"/>
        <w:ind w:firstLine="709"/>
        <w:jc w:val="both"/>
        <w:rPr>
          <w:rFonts w:ascii="Verdana" w:eastAsia="Arial" w:hAnsi="Verdana" w:cs="Arial"/>
          <w:color w:val="000000"/>
        </w:rPr>
      </w:pPr>
      <w:r w:rsidRPr="00654462">
        <w:rPr>
          <w:rFonts w:ascii="Verdana" w:eastAsia="Arial" w:hAnsi="Verdana" w:cs="Arial"/>
          <w:color w:val="000000"/>
        </w:rPr>
        <w:lastRenderedPageBreak/>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654462">
        <w:rPr>
          <w:rFonts w:ascii="Verdana" w:eastAsia="Arial" w:hAnsi="Verdana" w:cs="Arial"/>
          <w:color w:val="000000"/>
          <w:vertAlign w:val="superscript"/>
        </w:rPr>
        <w:footnoteReference w:id="8"/>
      </w:r>
      <w:r w:rsidRPr="00654462">
        <w:rPr>
          <w:rFonts w:ascii="Verdana" w:eastAsia="Arial" w:hAnsi="Verdana" w:cs="Arial"/>
          <w:color w:val="000000"/>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w:t>
      </w:r>
      <w:r>
        <w:rPr>
          <w:rFonts w:ascii="Verdana" w:eastAsia="Arial" w:hAnsi="Verdana" w:cs="Arial"/>
          <w:color w:val="000000"/>
        </w:rPr>
        <w:t>, ley 80</w:t>
      </w:r>
      <w:r w:rsidRPr="00654462">
        <w:rPr>
          <w:rFonts w:ascii="Verdana" w:eastAsia="Arial" w:hAnsi="Verdana" w:cs="Arial"/>
          <w:color w:val="000000"/>
        </w:rPr>
        <w:t>) por parte de los servidores públicos”</w:t>
      </w:r>
      <w:r w:rsidRPr="00654462">
        <w:rPr>
          <w:rFonts w:ascii="Verdana" w:eastAsia="Arial" w:hAnsi="Verdana" w:cs="Arial"/>
          <w:color w:val="000000"/>
          <w:vertAlign w:val="superscript"/>
        </w:rPr>
        <w:footnoteReference w:id="9"/>
      </w:r>
      <w:r w:rsidRPr="00654462">
        <w:rPr>
          <w:rFonts w:ascii="Verdana" w:eastAsia="Arial" w:hAnsi="Verdana" w:cs="Arial"/>
          <w:color w:val="000000"/>
        </w:rPr>
        <w:t>.</w:t>
      </w:r>
    </w:p>
    <w:p w14:paraId="7BFDD032" w14:textId="77777777" w:rsidR="004F60D2" w:rsidRDefault="004F60D2" w:rsidP="004F60D2">
      <w:pPr>
        <w:spacing w:after="120" w:line="276" w:lineRule="auto"/>
        <w:ind w:firstLine="709"/>
        <w:jc w:val="both"/>
        <w:rPr>
          <w:rFonts w:ascii="Verdana" w:eastAsia="Arial" w:hAnsi="Verdana" w:cs="Arial"/>
          <w:color w:val="000000"/>
          <w:lang w:val="es-ES_tradnl"/>
        </w:rPr>
      </w:pPr>
      <w:r>
        <w:rPr>
          <w:rFonts w:ascii="Verdana" w:eastAsia="Arial" w:hAnsi="Verdana" w:cs="Arial"/>
          <w:color w:val="000000"/>
        </w:rPr>
        <w:t xml:space="preserve">Ahora bien, respecto a uno de los problemas jurídicos, objeto de consulta, en torno a la procedencia de establecer </w:t>
      </w:r>
      <w:r w:rsidRPr="00DD5997">
        <w:rPr>
          <w:rFonts w:ascii="Verdana" w:eastAsia="Arial" w:hAnsi="Verdana" w:cs="Arial"/>
          <w:color w:val="000000"/>
        </w:rPr>
        <w:t>como factor de calidad</w:t>
      </w:r>
      <w:r>
        <w:rPr>
          <w:rFonts w:ascii="Verdana" w:eastAsia="Arial" w:hAnsi="Verdana" w:cs="Arial"/>
          <w:color w:val="000000"/>
        </w:rPr>
        <w:t>,</w:t>
      </w:r>
      <w:r w:rsidRPr="00DD5997">
        <w:rPr>
          <w:rFonts w:ascii="Verdana" w:eastAsia="Arial" w:hAnsi="Verdana" w:cs="Arial"/>
          <w:color w:val="000000"/>
        </w:rPr>
        <w:t xml:space="preserve"> los perfiles específicos que se requieren dentro de un proceso de contratación pública</w:t>
      </w:r>
      <w:r>
        <w:rPr>
          <w:rFonts w:ascii="Verdana" w:eastAsia="Arial" w:hAnsi="Verdana" w:cs="Arial"/>
          <w:i/>
          <w:color w:val="000000"/>
          <w:lang w:val="es-ES"/>
        </w:rPr>
        <w:t xml:space="preserve">, </w:t>
      </w:r>
      <w:r>
        <w:rPr>
          <w:rFonts w:ascii="Verdana" w:eastAsia="Arial" w:hAnsi="Verdana" w:cs="Arial"/>
          <w:color w:val="000000"/>
          <w:lang w:val="es-ES"/>
        </w:rPr>
        <w:t>hay que tener en cuenta que los factores de calidad tienen como propósito evaluar la mejor relación calidad-precio, en las que podrán incluirse c</w:t>
      </w:r>
      <w:proofErr w:type="spellStart"/>
      <w:r w:rsidRPr="00395238">
        <w:rPr>
          <w:rFonts w:ascii="Verdana" w:eastAsia="Arial" w:hAnsi="Verdana" w:cs="Arial"/>
          <w:color w:val="000000"/>
        </w:rPr>
        <w:t>riterios</w:t>
      </w:r>
      <w:proofErr w:type="spellEnd"/>
      <w:r w:rsidRPr="00395238">
        <w:rPr>
          <w:rFonts w:ascii="Verdana" w:eastAsia="Arial" w:hAnsi="Verdana" w:cs="Arial"/>
          <w:color w:val="000000"/>
        </w:rPr>
        <w:t xml:space="preserve"> ambientales o sociales vinculados al objeto del contrato</w:t>
      </w:r>
      <w:r>
        <w:rPr>
          <w:rFonts w:ascii="Verdana" w:eastAsia="Arial" w:hAnsi="Verdana" w:cs="Arial"/>
          <w:color w:val="000000"/>
        </w:rPr>
        <w:t>, de acuerdo a lo establecido en el parágrafo del artículo 2.2.1.1.2.2.2.2 del Decreto 1082 de 2015</w:t>
      </w:r>
      <w:r>
        <w:rPr>
          <w:rFonts w:ascii="Verdana" w:eastAsia="Arial" w:hAnsi="Verdana" w:cs="Arial"/>
          <w:color w:val="000000"/>
          <w:lang w:val="es-ES"/>
        </w:rPr>
        <w:t xml:space="preserve">. En efecto, para entender el factor de calidad hay que tener en cuenta </w:t>
      </w:r>
      <w:r>
        <w:rPr>
          <w:rFonts w:ascii="Verdana" w:eastAsia="Arial" w:hAnsi="Verdana" w:cs="Arial"/>
          <w:color w:val="000000"/>
        </w:rPr>
        <w:t xml:space="preserve">que estos deben relacionarse </w:t>
      </w:r>
      <w:r w:rsidRPr="0047463D">
        <w:rPr>
          <w:rFonts w:ascii="Verdana" w:eastAsia="Arial" w:hAnsi="Verdana" w:cs="Arial"/>
          <w:color w:val="000000"/>
          <w:lang w:val="es-ES_tradnl"/>
        </w:rPr>
        <w:t>con las características del objeto a contratar y con el principio de proporcionalidad y razon</w:t>
      </w:r>
      <w:r>
        <w:rPr>
          <w:rFonts w:ascii="Verdana" w:eastAsia="Arial" w:hAnsi="Verdana" w:cs="Arial"/>
          <w:color w:val="000000"/>
          <w:lang w:val="es-ES_tradnl"/>
        </w:rPr>
        <w:t>abilidad la Entidad debe establecer condiciones</w:t>
      </w:r>
      <w:r w:rsidRPr="0047463D">
        <w:rPr>
          <w:rFonts w:ascii="Verdana" w:eastAsia="Arial" w:hAnsi="Verdana" w:cs="Arial"/>
          <w:color w:val="000000"/>
          <w:lang w:val="es-ES_tradnl"/>
        </w:rPr>
        <w:t xml:space="preserve"> para otorgar el </w:t>
      </w:r>
      <w:r>
        <w:rPr>
          <w:rFonts w:ascii="Verdana" w:eastAsia="Arial" w:hAnsi="Verdana" w:cs="Arial"/>
          <w:color w:val="000000"/>
          <w:lang w:val="es-ES_tradnl"/>
        </w:rPr>
        <w:t>puntaje del factor de calidad</w:t>
      </w:r>
      <w:r w:rsidRPr="0047463D">
        <w:rPr>
          <w:rFonts w:ascii="Verdana" w:eastAsia="Arial" w:hAnsi="Verdana" w:cs="Arial"/>
          <w:color w:val="000000"/>
          <w:lang w:val="es-ES_tradnl"/>
        </w:rPr>
        <w:t xml:space="preserve">. </w:t>
      </w:r>
    </w:p>
    <w:p w14:paraId="532904A0" w14:textId="77777777" w:rsidR="004F60D2" w:rsidRDefault="004F60D2" w:rsidP="004F60D2">
      <w:pPr>
        <w:spacing w:before="120" w:after="120" w:line="276" w:lineRule="auto"/>
        <w:ind w:firstLine="709"/>
        <w:jc w:val="both"/>
        <w:rPr>
          <w:rFonts w:ascii="Verdana" w:eastAsia="Arial" w:hAnsi="Verdana" w:cs="Arial"/>
          <w:color w:val="000000"/>
        </w:rPr>
      </w:pPr>
      <w:r w:rsidRPr="0047463D">
        <w:rPr>
          <w:rFonts w:ascii="Verdana" w:eastAsia="Arial" w:hAnsi="Verdana" w:cs="Arial"/>
          <w:color w:val="000000"/>
          <w:lang w:val="es-ES_tradnl"/>
        </w:rPr>
        <w:t xml:space="preserve">En este sentido, </w:t>
      </w:r>
      <w:r w:rsidRPr="004B1E87">
        <w:rPr>
          <w:rFonts w:ascii="Verdana" w:eastAsia="Arial" w:hAnsi="Verdana" w:cs="Arial"/>
          <w:color w:val="000000"/>
        </w:rPr>
        <w:t xml:space="preserve">los factores de </w:t>
      </w:r>
      <w:r>
        <w:rPr>
          <w:rFonts w:ascii="Verdana" w:eastAsia="Arial" w:hAnsi="Verdana" w:cs="Arial"/>
          <w:color w:val="000000"/>
        </w:rPr>
        <w:t xml:space="preserve">calidad aluden </w:t>
      </w:r>
      <w:r w:rsidRPr="004B1E87">
        <w:rPr>
          <w:rFonts w:ascii="Verdana" w:eastAsia="Arial" w:hAnsi="Verdana" w:cs="Arial"/>
          <w:color w:val="000000"/>
        </w:rPr>
        <w:t>a los criterios y características que una entidad estatal considera para evaluar y comparar las diferentes propuestas</w:t>
      </w:r>
      <w:r>
        <w:rPr>
          <w:rFonts w:ascii="Verdana" w:eastAsia="Arial" w:hAnsi="Verdana" w:cs="Arial"/>
          <w:color w:val="000000"/>
        </w:rPr>
        <w:t xml:space="preserve"> que se presentan dentro de un proceso de </w:t>
      </w:r>
      <w:r>
        <w:rPr>
          <w:rFonts w:ascii="Verdana" w:eastAsia="Arial" w:hAnsi="Verdana" w:cs="Arial"/>
          <w:color w:val="000000"/>
        </w:rPr>
        <w:lastRenderedPageBreak/>
        <w:t>contratación</w:t>
      </w:r>
      <w:r w:rsidRPr="004B1E87">
        <w:rPr>
          <w:rFonts w:ascii="Verdana" w:eastAsia="Arial" w:hAnsi="Verdana" w:cs="Arial"/>
          <w:color w:val="000000"/>
        </w:rPr>
        <w:t>. Estos factores van más allá del precio y evalúan aspectos técnicos, económicos y de valor agregado que la oferta pueda aportar.</w:t>
      </w:r>
      <w:r>
        <w:rPr>
          <w:rFonts w:ascii="Verdana" w:eastAsia="Arial" w:hAnsi="Verdana" w:cs="Arial"/>
          <w:color w:val="000000"/>
        </w:rPr>
        <w:t xml:space="preserve"> En cuanto a los aspectos técnicos adicionales deben establecer </w:t>
      </w:r>
      <w:r w:rsidRPr="004B1E87">
        <w:rPr>
          <w:rFonts w:ascii="Verdana" w:eastAsia="Arial" w:hAnsi="Verdana" w:cs="Arial"/>
          <w:color w:val="000000"/>
        </w:rPr>
        <w:t>ventajas en la calida</w:t>
      </w:r>
      <w:r>
        <w:rPr>
          <w:rFonts w:ascii="Verdana" w:eastAsia="Arial" w:hAnsi="Verdana" w:cs="Arial"/>
          <w:color w:val="000000"/>
        </w:rPr>
        <w:t xml:space="preserve">d o funcionamiento de la oferta, como ocurre con </w:t>
      </w:r>
      <w:r w:rsidRPr="008B52C6">
        <w:rPr>
          <w:rFonts w:ascii="Verdana" w:eastAsia="Arial" w:hAnsi="Verdana" w:cs="Arial"/>
          <w:color w:val="000000"/>
        </w:rPr>
        <w:t>la calidad de los materiales que se empleará</w:t>
      </w:r>
      <w:r>
        <w:rPr>
          <w:rFonts w:ascii="Verdana" w:eastAsia="Arial" w:hAnsi="Verdana" w:cs="Arial"/>
          <w:color w:val="000000"/>
        </w:rPr>
        <w:t>n en la construcción de la obra,</w:t>
      </w:r>
      <w:r w:rsidRPr="008B52C6">
        <w:rPr>
          <w:rFonts w:ascii="Verdana" w:eastAsia="Arial" w:hAnsi="Verdana" w:cs="Arial"/>
          <w:color w:val="000000"/>
        </w:rPr>
        <w:t xml:space="preserve"> los procedimientos constructivos </w:t>
      </w:r>
      <w:r>
        <w:rPr>
          <w:rFonts w:ascii="Verdana" w:eastAsia="Arial" w:hAnsi="Verdana" w:cs="Arial"/>
          <w:color w:val="000000"/>
        </w:rPr>
        <w:t>aplicables,</w:t>
      </w:r>
      <w:r w:rsidRPr="008B52C6">
        <w:rPr>
          <w:rFonts w:ascii="Verdana" w:eastAsia="Arial" w:hAnsi="Verdana" w:cs="Arial"/>
          <w:color w:val="000000"/>
        </w:rPr>
        <w:t xml:space="preserve"> las características estéticas o funcionales</w:t>
      </w:r>
      <w:r>
        <w:rPr>
          <w:rFonts w:ascii="Verdana" w:eastAsia="Arial" w:hAnsi="Verdana" w:cs="Arial"/>
          <w:color w:val="000000"/>
        </w:rPr>
        <w:t xml:space="preserve">, cuadrilla adicional, garantía suplementaria, implementación del programa de gerencia de proyectos, la adopción del plan de calidad. En cuanto a los aspectos económicos puede asignar </w:t>
      </w:r>
      <w:r w:rsidRPr="004B1E87">
        <w:rPr>
          <w:rFonts w:ascii="Verdana" w:eastAsia="Arial" w:hAnsi="Verdana" w:cs="Arial"/>
          <w:color w:val="000000"/>
        </w:rPr>
        <w:t>ventajas</w:t>
      </w:r>
      <w:r>
        <w:rPr>
          <w:rFonts w:ascii="Verdana" w:eastAsia="Arial" w:hAnsi="Verdana" w:cs="Arial"/>
          <w:color w:val="000000"/>
        </w:rPr>
        <w:t xml:space="preserve"> adicionales</w:t>
      </w:r>
      <w:r w:rsidRPr="004B1E87">
        <w:rPr>
          <w:rFonts w:ascii="Verdana" w:eastAsia="Arial" w:hAnsi="Verdana" w:cs="Arial"/>
          <w:color w:val="000000"/>
        </w:rPr>
        <w:t xml:space="preserve"> en términos de eficiencia o eficacia.</w:t>
      </w:r>
    </w:p>
    <w:p w14:paraId="67A34EB5" w14:textId="77777777" w:rsidR="004F60D2" w:rsidRDefault="004F60D2" w:rsidP="004F60D2">
      <w:pPr>
        <w:spacing w:after="120" w:line="276" w:lineRule="auto"/>
        <w:ind w:firstLine="709"/>
        <w:jc w:val="both"/>
        <w:rPr>
          <w:rFonts w:ascii="Verdana" w:eastAsia="Arial" w:hAnsi="Verdana" w:cs="Arial"/>
          <w:color w:val="000000"/>
        </w:rPr>
      </w:pPr>
      <w:r>
        <w:rPr>
          <w:rFonts w:ascii="Verdana" w:eastAsia="Arial" w:hAnsi="Verdana" w:cs="Arial"/>
          <w:color w:val="000000"/>
        </w:rPr>
        <w:t>Al respecto, se destaca que el inciso segundo del artículo 7 de la Ley 2020 de 2020 dispone: “</w:t>
      </w:r>
      <w:r w:rsidRPr="00E35E27">
        <w:rPr>
          <w:rFonts w:ascii="Verdana" w:eastAsia="Arial" w:hAnsi="Verdana" w:cs="Arial"/>
          <w:color w:val="000000"/>
        </w:rPr>
        <w:t xml:space="preserve">Durante los procesos de selección objetiva para contratistas de obra o interventores, se tendrán en cuenta las anotaciones vigentes en el Registro Nacional de Obras Civiles Inconclusas al momento de evaluar </w:t>
      </w:r>
      <w:r w:rsidRPr="00E35E27">
        <w:rPr>
          <w:rFonts w:ascii="Verdana" w:eastAsia="Arial" w:hAnsi="Verdana" w:cs="Arial"/>
          <w:i/>
          <w:color w:val="000000"/>
        </w:rPr>
        <w:t>los factores de ponderación de calidad</w:t>
      </w:r>
      <w:r w:rsidRPr="00E35E27">
        <w:rPr>
          <w:rFonts w:ascii="Verdana" w:eastAsia="Arial" w:hAnsi="Verdana" w:cs="Arial"/>
          <w:color w:val="000000"/>
        </w:rPr>
        <w:t>, establecidos en el literal a) del artículo 5° de la Ley 1150 de 2007 o la norma que la modifique</w:t>
      </w:r>
      <w:r>
        <w:rPr>
          <w:rFonts w:ascii="Verdana" w:eastAsia="Arial" w:hAnsi="Verdana" w:cs="Arial"/>
          <w:color w:val="000000"/>
        </w:rPr>
        <w:t>” (énfasis fuera de texto) Es decir, debe tenerse en cuenta cuando se exija en el pliego de condiciones: “</w:t>
      </w:r>
      <w:r w:rsidRPr="00E35E27">
        <w:rPr>
          <w:rFonts w:ascii="Verdana" w:eastAsia="Arial" w:hAnsi="Verdana" w:cs="Arial"/>
          <w:color w:val="000000"/>
        </w:rPr>
        <w:t>a) La ponderación de los elementos de calidad y precio soportados en puntajes o fórmulas señaladas en el pliego de condiciones</w:t>
      </w:r>
      <w:r>
        <w:rPr>
          <w:rFonts w:ascii="Verdana" w:eastAsia="Arial" w:hAnsi="Verdana" w:cs="Arial"/>
          <w:color w:val="000000"/>
        </w:rPr>
        <w:t>”.</w:t>
      </w:r>
    </w:p>
    <w:p w14:paraId="7F0F54C2" w14:textId="77777777" w:rsidR="004F60D2" w:rsidRPr="005F4E34" w:rsidRDefault="004F60D2" w:rsidP="004F60D2">
      <w:pPr>
        <w:spacing w:after="120" w:line="276" w:lineRule="auto"/>
        <w:ind w:firstLine="709"/>
        <w:jc w:val="both"/>
        <w:rPr>
          <w:rFonts w:ascii="Verdana" w:eastAsia="Arial" w:hAnsi="Verdana" w:cs="Arial"/>
          <w:color w:val="000000"/>
        </w:rPr>
      </w:pPr>
      <w:r>
        <w:rPr>
          <w:rFonts w:ascii="Verdana" w:eastAsia="Arial" w:hAnsi="Verdana" w:cs="Arial"/>
          <w:color w:val="000000"/>
        </w:rPr>
        <w:t>En torno a la exigencia de quien debe establecer las condiciones técnicas y económicas adicionales, la doctrina expresa: ”</w:t>
      </w:r>
      <w:r w:rsidRPr="005F4E34">
        <w:rPr>
          <w:rFonts w:ascii="Verdana" w:eastAsia="Arial" w:hAnsi="Verdana" w:cs="Arial"/>
          <w:color w:val="000000"/>
          <w:sz w:val="21"/>
          <w:szCs w:val="21"/>
        </w:rPr>
        <w:t>En todo caso, se insiste en que no es el proponente quien puede determinar qué condiciones técnicas y económicas adicionales ofrece, sino que es la Administración, la que establece en el pliego de</w:t>
      </w:r>
      <w:r>
        <w:rPr>
          <w:rFonts w:ascii="Verdana" w:eastAsia="Arial" w:hAnsi="Verdana" w:cs="Arial"/>
          <w:color w:val="000000"/>
          <w:sz w:val="21"/>
          <w:szCs w:val="21"/>
        </w:rPr>
        <w:t xml:space="preserve"> </w:t>
      </w:r>
      <w:r w:rsidRPr="005F4E34">
        <w:rPr>
          <w:rFonts w:ascii="Verdana" w:eastAsia="Arial" w:hAnsi="Verdana" w:cs="Arial"/>
          <w:color w:val="000000"/>
          <w:sz w:val="21"/>
          <w:szCs w:val="21"/>
        </w:rPr>
        <w:t>condiciones qué aspectos adicionales está dispuesta a calificar, tanto desde una perspectiva técnica como desde una económica</w:t>
      </w:r>
      <w:r>
        <w:rPr>
          <w:rFonts w:ascii="Verdana" w:eastAsia="Arial" w:hAnsi="Verdana" w:cs="Arial"/>
          <w:color w:val="000000"/>
          <w:sz w:val="21"/>
          <w:szCs w:val="21"/>
        </w:rPr>
        <w:t>”</w:t>
      </w:r>
      <w:r>
        <w:rPr>
          <w:rStyle w:val="Refdenotaalpie"/>
          <w:rFonts w:ascii="Verdana" w:eastAsia="Arial" w:hAnsi="Verdana" w:cs="Arial"/>
          <w:color w:val="000000"/>
          <w:sz w:val="21"/>
          <w:szCs w:val="21"/>
        </w:rPr>
        <w:footnoteReference w:id="10"/>
      </w:r>
      <w:r w:rsidRPr="005F4E34">
        <w:rPr>
          <w:rFonts w:ascii="Verdana" w:eastAsia="Arial" w:hAnsi="Verdana" w:cs="Arial"/>
          <w:color w:val="000000"/>
          <w:sz w:val="21"/>
          <w:szCs w:val="21"/>
        </w:rPr>
        <w:t xml:space="preserve">. </w:t>
      </w:r>
    </w:p>
    <w:p w14:paraId="0A33A2F9" w14:textId="77777777" w:rsidR="004F60D2" w:rsidRDefault="004F60D2" w:rsidP="004F60D2">
      <w:pPr>
        <w:spacing w:before="120" w:after="120" w:line="276" w:lineRule="auto"/>
        <w:ind w:firstLine="709"/>
        <w:jc w:val="both"/>
        <w:rPr>
          <w:rFonts w:ascii="Verdana" w:eastAsia="Arial" w:hAnsi="Verdana" w:cs="Arial"/>
          <w:color w:val="000000"/>
        </w:rPr>
      </w:pPr>
      <w:r>
        <w:rPr>
          <w:rFonts w:ascii="Verdana" w:eastAsia="Arial" w:hAnsi="Verdana" w:cs="Arial"/>
          <w:color w:val="000000"/>
        </w:rPr>
        <w:t xml:space="preserve">Teniendo en cuenta estas precisiones, en el supuesto genérico que nos incumbe, es importante señalar que la exigencia de cierto tipo de profesionales como factor de calidad dentro del pliego de condiciones deben atender a la relación calidad-precio, pues deben ser criterios que permitan con precisión la </w:t>
      </w:r>
      <w:r w:rsidRPr="004B1E87">
        <w:rPr>
          <w:rFonts w:ascii="Verdana" w:eastAsia="Arial" w:hAnsi="Verdana" w:cs="Arial"/>
          <w:color w:val="000000"/>
        </w:rPr>
        <w:t>oferta más ventajosa, considerando no solo el precio, sino también aspectos técnicos, económicos y de valor agregado que contribuyan a la eficiencia y eficacia de la contratación y</w:t>
      </w:r>
      <w:r>
        <w:rPr>
          <w:rFonts w:ascii="Verdana" w:eastAsia="Arial" w:hAnsi="Verdana" w:cs="Arial"/>
          <w:color w:val="000000"/>
        </w:rPr>
        <w:t xml:space="preserve"> al cumplimiento de sus fines</w:t>
      </w:r>
      <w:r w:rsidRPr="004B1E87">
        <w:rPr>
          <w:rFonts w:ascii="Verdana" w:eastAsia="Arial" w:hAnsi="Verdana" w:cs="Arial"/>
          <w:color w:val="000000"/>
        </w:rPr>
        <w:t>.</w:t>
      </w:r>
      <w:r>
        <w:rPr>
          <w:rFonts w:ascii="Verdana" w:eastAsia="Arial" w:hAnsi="Verdana" w:cs="Arial"/>
          <w:color w:val="000000"/>
        </w:rPr>
        <w:t xml:space="preserve"> En tal sentido, si bien la definición de cuáles son las condiciones para evaluar el factor de calidad</w:t>
      </w:r>
      <w:r w:rsidRPr="00DD5997">
        <w:rPr>
          <w:rFonts w:ascii="Verdana" w:eastAsia="Arial" w:hAnsi="Verdana" w:cs="Arial"/>
          <w:color w:val="000000"/>
        </w:rPr>
        <w:t xml:space="preserve"> se trata de una p</w:t>
      </w:r>
      <w:r>
        <w:rPr>
          <w:rFonts w:ascii="Verdana" w:eastAsia="Arial" w:hAnsi="Verdana" w:cs="Arial"/>
          <w:color w:val="000000"/>
        </w:rPr>
        <w:t xml:space="preserve">otestad discrecional de la entidad, no significa una </w:t>
      </w:r>
      <w:r w:rsidRPr="00DD5997">
        <w:rPr>
          <w:rFonts w:ascii="Verdana" w:eastAsia="Arial" w:hAnsi="Verdana" w:cs="Arial"/>
          <w:color w:val="000000"/>
        </w:rPr>
        <w:t xml:space="preserve">elección administrativa, </w:t>
      </w:r>
      <w:r>
        <w:rPr>
          <w:rFonts w:ascii="Verdana" w:eastAsia="Arial" w:hAnsi="Verdana" w:cs="Arial"/>
          <w:color w:val="000000"/>
        </w:rPr>
        <w:t xml:space="preserve">que tienda a ser </w:t>
      </w:r>
      <w:r w:rsidRPr="00DD5997">
        <w:rPr>
          <w:rFonts w:ascii="Verdana" w:eastAsia="Arial" w:hAnsi="Verdana" w:cs="Arial"/>
          <w:color w:val="000000"/>
        </w:rPr>
        <w:t>una decisión irracional o arbitraria</w:t>
      </w:r>
      <w:r>
        <w:rPr>
          <w:rFonts w:ascii="Verdana" w:eastAsia="Arial" w:hAnsi="Verdana" w:cs="Arial"/>
          <w:color w:val="000000"/>
        </w:rPr>
        <w:t xml:space="preserve">, pues debe </w:t>
      </w:r>
      <w:r>
        <w:rPr>
          <w:rFonts w:ascii="Verdana" w:eastAsia="Arial" w:hAnsi="Verdana" w:cs="Arial"/>
          <w:color w:val="000000"/>
        </w:rPr>
        <w:lastRenderedPageBreak/>
        <w:t xml:space="preserve">tener en cuenta lo prescrito en el artículo 5 de la Ley 1150 de 2007, así como lo dispuesto en el artículo 2.2.1.1.2.2.2. del Decreto 1082 de 2015 modificado por el artículo 3 del Decreto 142 de 2023, esto es, que si atiendan a la mejor relación calidad –precio. </w:t>
      </w:r>
    </w:p>
    <w:p w14:paraId="6585076E" w14:textId="472B40A6" w:rsidR="004F60D2" w:rsidRPr="006A5798" w:rsidRDefault="004F60D2" w:rsidP="00524934">
      <w:pPr>
        <w:spacing w:after="120" w:line="276" w:lineRule="auto"/>
        <w:ind w:firstLine="709"/>
        <w:jc w:val="both"/>
        <w:rPr>
          <w:rFonts w:ascii="Verdana" w:eastAsia="Calibri" w:hAnsi="Verdana" w:cs="Arial"/>
          <w:bCs/>
        </w:rPr>
      </w:pPr>
      <w:r>
        <w:rPr>
          <w:rFonts w:ascii="Verdana" w:eastAsia="Calibri" w:hAnsi="Verdana" w:cs="Arial"/>
          <w:bCs/>
        </w:rPr>
        <w:t>Ahora bien</w:t>
      </w:r>
      <w:r w:rsidRPr="006A5798">
        <w:rPr>
          <w:rFonts w:ascii="Verdana" w:eastAsia="Calibri" w:hAnsi="Verdana" w:cs="Arial"/>
          <w:bCs/>
        </w:rPr>
        <w:t xml:space="preserve">, </w:t>
      </w:r>
      <w:r>
        <w:rPr>
          <w:rFonts w:ascii="Verdana" w:eastAsia="Calibri" w:hAnsi="Verdana" w:cs="Arial"/>
          <w:bCs/>
        </w:rPr>
        <w:t xml:space="preserve">en torno </w:t>
      </w:r>
      <w:r w:rsidRPr="006A5798">
        <w:rPr>
          <w:rFonts w:ascii="Verdana" w:eastAsia="Calibri" w:hAnsi="Verdana" w:cs="Arial"/>
          <w:bCs/>
        </w:rPr>
        <w:t xml:space="preserve">a la acreditación de los perfiles que son las condiciones establecidas en el factor calidad dentro del pliego de condiciones, es preciso señalar, que si bien hay una discrecionalidad de la entidad frente a la forma de acreditación, en el sentido de exigir que el personal específico deba estar vinculado previamente con el Proponente, no significa que no sea posible, que se suscriba un acta compromiso, o el documento que </w:t>
      </w:r>
      <w:r>
        <w:rPr>
          <w:rFonts w:ascii="Verdana" w:eastAsia="Calibri" w:hAnsi="Verdana" w:cs="Arial"/>
          <w:bCs/>
        </w:rPr>
        <w:t xml:space="preserve">permita comprobar el deber del proponente de cumplir con este tipo de perfiles, </w:t>
      </w:r>
      <w:r w:rsidRPr="006A5798">
        <w:rPr>
          <w:rFonts w:ascii="Verdana" w:eastAsia="Calibri" w:hAnsi="Verdana" w:cs="Arial"/>
          <w:bCs/>
        </w:rPr>
        <w:t xml:space="preserve">para acreditar dicho factor. En efecto, es importante tener en cuenta que la finalidad de exigir más documentos de lo que verdaderamente </w:t>
      </w:r>
      <w:r>
        <w:rPr>
          <w:rFonts w:ascii="Verdana" w:eastAsia="Calibri" w:hAnsi="Verdana" w:cs="Arial"/>
          <w:bCs/>
        </w:rPr>
        <w:t>que se requiere no contradiga lo prescrito en</w:t>
      </w:r>
      <w:r w:rsidRPr="006A5798">
        <w:rPr>
          <w:rFonts w:ascii="Verdana" w:eastAsia="Calibri" w:hAnsi="Verdana" w:cs="Arial"/>
          <w:bCs/>
        </w:rPr>
        <w:t xml:space="preserve"> el artículo 5° del Decreto Ley 019 de 2012 “por el cual se dictan normas para suprimir o reformar regulaciones, procedimientos y trámites innecesarios existentes en la Administración Pública”, que dispone en uno de sus apartes: “[…] los procedimientos se deben adelantar en el menor tiempo y con la menor cantidad de gastos de quienes intervienen en ellos; </w:t>
      </w:r>
      <w:r w:rsidRPr="004D34C4">
        <w:rPr>
          <w:rFonts w:ascii="Verdana" w:eastAsia="Calibri" w:hAnsi="Verdana" w:cs="Arial"/>
          <w:bCs/>
          <w:i/>
        </w:rPr>
        <w:t>las autoridades administrativas y los particulares que cumplen funciones administrativas no deben exigir más documentos y copias que los estrictamente necesarios […]</w:t>
      </w:r>
      <w:r>
        <w:rPr>
          <w:rFonts w:ascii="Verdana" w:eastAsia="Calibri" w:hAnsi="Verdana" w:cs="Arial"/>
          <w:bCs/>
        </w:rPr>
        <w:t xml:space="preserve">” (énfasis fuera de texto). </w:t>
      </w:r>
    </w:p>
    <w:p w14:paraId="3B7AE84B" w14:textId="77777777" w:rsidR="004F60D2" w:rsidRPr="00135463" w:rsidRDefault="004F60D2" w:rsidP="004F60D2">
      <w:pPr>
        <w:spacing w:after="120" w:line="276" w:lineRule="auto"/>
        <w:ind w:firstLine="709"/>
        <w:jc w:val="both"/>
        <w:rPr>
          <w:rFonts w:ascii="Verdana" w:eastAsia="Calibri" w:hAnsi="Verdana" w:cs="Arial"/>
          <w:bCs/>
          <w:lang w:val="es-ES"/>
        </w:rPr>
      </w:pPr>
      <w:r>
        <w:rPr>
          <w:rFonts w:ascii="Verdana" w:eastAsia="Calibri" w:hAnsi="Verdana" w:cs="Arial"/>
          <w:bCs/>
        </w:rPr>
        <w:t xml:space="preserve">Bajo esta perspectiva, la acreditación de perfiles específicos como factor de calidad deben atender a un criterio de proporcionalidad y razonabilidad, lo cual permita la selección objetiva. En todo caso, la entidad en el momento de la celebración y ejecución del contrato estatal debe verificar que si se cumplan con los perfiles específicos que se acreditaron en el factor de calidad, teniendo en cuenta que el pliego de condiciones </w:t>
      </w:r>
      <w:r w:rsidRPr="00135463">
        <w:rPr>
          <w:rFonts w:ascii="Verdana" w:eastAsia="Calibri" w:hAnsi="Verdana" w:cs="Arial"/>
          <w:bCs/>
          <w:lang w:val="es-ES"/>
        </w:rPr>
        <w:t>ostenta una doble naturaleza jurídica, pues, por un lado, antes de la celebración del contrato y de la expedición del acto administrativo de adjudicación se considera como un acto administrativo de carácter general que rige el desarrollo del p</w:t>
      </w:r>
      <w:r>
        <w:rPr>
          <w:rFonts w:ascii="Verdana" w:eastAsia="Calibri" w:hAnsi="Verdana" w:cs="Arial"/>
          <w:bCs/>
          <w:lang w:val="es-ES"/>
        </w:rPr>
        <w:t>roceso de selección, por otro lado</w:t>
      </w:r>
      <w:r w:rsidRPr="00135463">
        <w:rPr>
          <w:rFonts w:ascii="Verdana" w:eastAsia="Calibri" w:hAnsi="Verdana" w:cs="Arial"/>
          <w:bCs/>
          <w:lang w:val="es-ES"/>
        </w:rPr>
        <w:t>, una vez se celebre el contrato, el pliego de condiciones pasa hacer parte del marco jurídico de la relación contractual determinando el contenido y el alcance del negocio jurídico</w:t>
      </w:r>
      <w:r>
        <w:rPr>
          <w:rFonts w:ascii="Verdana" w:eastAsia="Calibri" w:hAnsi="Verdana" w:cs="Arial"/>
          <w:bCs/>
          <w:lang w:val="es-ES"/>
        </w:rPr>
        <w:t xml:space="preserve">. En estos términos, en el marco de la vigilancia y control del contrato estatal deben verificar que si se estén cumpliendo con dichos factores de calidad en la ejecución contractual. </w:t>
      </w:r>
    </w:p>
    <w:p w14:paraId="752E5D36" w14:textId="77777777" w:rsidR="004F60D2" w:rsidRDefault="004F60D2" w:rsidP="004F60D2">
      <w:pPr>
        <w:spacing w:after="120" w:line="276" w:lineRule="auto"/>
        <w:ind w:firstLine="709"/>
        <w:jc w:val="both"/>
        <w:rPr>
          <w:rFonts w:ascii="Verdana" w:eastAsia="Calibri" w:hAnsi="Verdana" w:cs="Arial"/>
          <w:bCs/>
        </w:rPr>
      </w:pPr>
      <w:r>
        <w:rPr>
          <w:rFonts w:ascii="Verdana" w:eastAsia="Calibri" w:hAnsi="Verdana" w:cs="Arial"/>
          <w:bCs/>
        </w:rPr>
        <w:t>En todo caso, se recuerda a las entidades públicas que</w:t>
      </w:r>
      <w:r w:rsidRPr="006A5798">
        <w:rPr>
          <w:rFonts w:ascii="Verdana" w:eastAsia="Calibri" w:hAnsi="Verdana" w:cs="Arial"/>
          <w:bCs/>
        </w:rPr>
        <w:t xml:space="preserve"> el ordenamiento impone una carga de motivación en el ejercicio de este tipo de facultades, pues </w:t>
      </w:r>
      <w:r w:rsidRPr="006A5798">
        <w:rPr>
          <w:rFonts w:ascii="Verdana" w:eastAsia="Calibri" w:hAnsi="Verdana" w:cs="Arial"/>
          <w:bCs/>
        </w:rPr>
        <w:lastRenderedPageBreak/>
        <w:t xml:space="preserve">–teniendo en cuenta la remisión del artículo 77 de la Ley 80 de 1993 a las normas que rigen los procedimientos y actuaciones en la función administrativa– el artículo 44 de la Ley 1437 de 2011 dispone: “En la medida en que el contenido de una decisión de carácter general o particular sea discrecional, debe ser adecuada a los fines de la norma que la autoriza, y proporcional a los hechos que le sirven de causa”. Así las cosas, el cumplimiento de las exigencias derivadas del principio de proporcionalidad es una condición ineludible para la admisibilidad de cualquier criterio de adjudicación del contrato, así como para su acreditación dentro de un proceso de acreditación. </w:t>
      </w:r>
    </w:p>
    <w:p w14:paraId="0EBAC3E7" w14:textId="77777777" w:rsidR="004F60D2" w:rsidRPr="005E0C91" w:rsidRDefault="004F60D2" w:rsidP="004F60D2">
      <w:pPr>
        <w:spacing w:after="120" w:line="240" w:lineRule="auto"/>
        <w:ind w:right="900"/>
        <w:jc w:val="both"/>
        <w:textAlignment w:val="baseline"/>
        <w:rPr>
          <w:rFonts w:ascii="Verdana" w:eastAsia="Arial" w:hAnsi="Verdana" w:cs="Arial"/>
          <w:sz w:val="20"/>
          <w:szCs w:val="20"/>
        </w:rPr>
      </w:pPr>
    </w:p>
    <w:p w14:paraId="2DFA1BF5" w14:textId="77777777" w:rsidR="004F60D2" w:rsidRPr="002B5C7D" w:rsidRDefault="004F60D2" w:rsidP="004F60D2">
      <w:pPr>
        <w:numPr>
          <w:ilvl w:val="0"/>
          <w:numId w:val="19"/>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t>Referencias normativas, jurisprudenciales y otras fuentes:</w:t>
      </w:r>
    </w:p>
    <w:p w14:paraId="6F0F51D4" w14:textId="77777777" w:rsidR="004F60D2" w:rsidRDefault="004F60D2" w:rsidP="004F60D2">
      <w:pPr>
        <w:spacing w:after="0" w:line="240" w:lineRule="auto"/>
        <w:rPr>
          <w:rFonts w:ascii="Verdana" w:eastAsia="Calibri" w:hAnsi="Verdana" w:cs="Times New Roman"/>
          <w:bCs/>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F60D2" w:rsidRPr="001205D1" w14:paraId="24CADD44" w14:textId="77777777" w:rsidTr="008A7300">
        <w:trPr>
          <w:trHeight w:val="870"/>
          <w:jc w:val="center"/>
        </w:trPr>
        <w:tc>
          <w:tcPr>
            <w:tcW w:w="8647" w:type="dxa"/>
          </w:tcPr>
          <w:p w14:paraId="39C32B53" w14:textId="77777777" w:rsidR="004F60D2" w:rsidRPr="002E2C7E"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rPr>
            </w:pPr>
            <w:r w:rsidRPr="00367ED9">
              <w:rPr>
                <w:rFonts w:ascii="Verdana" w:hAnsi="Verdana" w:cs="Arial"/>
              </w:rPr>
              <w:t xml:space="preserve"> </w:t>
            </w:r>
            <w:r>
              <w:rPr>
                <w:rFonts w:ascii="Verdana" w:hAnsi="Verdana" w:cs="Arial"/>
              </w:rPr>
              <w:t xml:space="preserve">Ley 80 de 1993, artículos 24, </w:t>
            </w:r>
            <w:r w:rsidRPr="002E2C7E">
              <w:rPr>
                <w:rFonts w:ascii="Verdana" w:hAnsi="Verdana" w:cs="Arial"/>
              </w:rPr>
              <w:t>25</w:t>
            </w:r>
            <w:r>
              <w:rPr>
                <w:rFonts w:ascii="Verdana" w:hAnsi="Verdana" w:cs="Arial"/>
              </w:rPr>
              <w:t xml:space="preserve"> y 77</w:t>
            </w:r>
            <w:r w:rsidRPr="002E2C7E">
              <w:rPr>
                <w:rFonts w:ascii="Verdana" w:hAnsi="Verdana" w:cs="Arial"/>
              </w:rPr>
              <w:t xml:space="preserve">. </w:t>
            </w:r>
          </w:p>
          <w:p w14:paraId="0F61EBFE" w14:textId="77777777" w:rsidR="004F60D2"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rPr>
            </w:pPr>
            <w:r w:rsidRPr="002E2C7E">
              <w:rPr>
                <w:rFonts w:ascii="Verdana" w:hAnsi="Verdana" w:cs="Arial"/>
              </w:rPr>
              <w:t xml:space="preserve">Ley 1150 de 2007, artículo 5. </w:t>
            </w:r>
          </w:p>
          <w:p w14:paraId="3AA724C6" w14:textId="77777777" w:rsidR="004F60D2"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rPr>
            </w:pPr>
            <w:r>
              <w:rPr>
                <w:rFonts w:ascii="Verdana" w:hAnsi="Verdana" w:cs="Arial"/>
              </w:rPr>
              <w:t>Ley 1437 de 2011, artículo 44.</w:t>
            </w:r>
          </w:p>
          <w:p w14:paraId="393A8DEE" w14:textId="77777777" w:rsidR="004F60D2"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rPr>
            </w:pPr>
            <w:r>
              <w:rPr>
                <w:rFonts w:ascii="Verdana" w:hAnsi="Verdana" w:cs="Arial"/>
              </w:rPr>
              <w:t xml:space="preserve">Decreto Ley 019 de 2012, artículo 5. </w:t>
            </w:r>
          </w:p>
          <w:p w14:paraId="1663C0AD" w14:textId="77777777" w:rsidR="004F60D2" w:rsidRPr="002E2C7E"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rPr>
            </w:pPr>
            <w:r>
              <w:rPr>
                <w:rFonts w:ascii="Verdana" w:hAnsi="Verdana" w:cs="Arial"/>
              </w:rPr>
              <w:t xml:space="preserve">Ley 2020 de 2020, artículo 7. </w:t>
            </w:r>
          </w:p>
          <w:p w14:paraId="0BE35ED4" w14:textId="77777777" w:rsidR="004F60D2" w:rsidRPr="002E2C7E"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rPr>
            </w:pPr>
            <w:r w:rsidRPr="002E2C7E">
              <w:rPr>
                <w:rFonts w:ascii="Verdana" w:hAnsi="Verdana" w:cs="Arial"/>
              </w:rPr>
              <w:t>Decreto 1082 de 2015, artículos 2.2.1.1.2.2.2., 2.2.1.1.2.1.3, 2.2.1.2.1.3.13</w:t>
            </w:r>
          </w:p>
          <w:p w14:paraId="2CB9A46A" w14:textId="77777777" w:rsidR="004F60D2" w:rsidRPr="002E2C7E"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lang w:val="es-ES"/>
              </w:rPr>
            </w:pPr>
            <w:r w:rsidRPr="002E2C7E">
              <w:rPr>
                <w:rFonts w:ascii="Verdana" w:hAnsi="Verdana" w:cs="Arial"/>
                <w:lang w:val="es-ES"/>
              </w:rPr>
              <w:t xml:space="preserve">CONSEJO DE ESTADO. Sección Tercera. Subsección A. Sentencia del 25 de octubre de 2019. </w:t>
            </w:r>
            <w:proofErr w:type="spellStart"/>
            <w:r w:rsidRPr="002E2C7E">
              <w:rPr>
                <w:rFonts w:ascii="Verdana" w:hAnsi="Verdana" w:cs="Arial"/>
                <w:lang w:val="es-ES"/>
              </w:rPr>
              <w:t>Exp</w:t>
            </w:r>
            <w:proofErr w:type="spellEnd"/>
            <w:r w:rsidRPr="002E2C7E">
              <w:rPr>
                <w:rFonts w:ascii="Verdana" w:hAnsi="Verdana" w:cs="Arial"/>
                <w:lang w:val="es-ES"/>
              </w:rPr>
              <w:t>. 39.945. C.P. María Adriana Marín.</w:t>
            </w:r>
          </w:p>
          <w:p w14:paraId="68E52F3A" w14:textId="77777777" w:rsidR="004F60D2"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lang w:val="es-ES"/>
              </w:rPr>
            </w:pPr>
            <w:r w:rsidRPr="002E2C7E">
              <w:rPr>
                <w:rFonts w:ascii="Verdana" w:hAnsi="Verdana" w:cs="Arial"/>
                <w:lang w:val="es-ES"/>
              </w:rPr>
              <w:t xml:space="preserve">CONSEJO DE ESTADO. Sección Tercera. Subsección A. Sentencia del 5 de julio de 2018. </w:t>
            </w:r>
            <w:proofErr w:type="spellStart"/>
            <w:r w:rsidRPr="002E2C7E">
              <w:rPr>
                <w:rFonts w:ascii="Verdana" w:hAnsi="Verdana" w:cs="Arial"/>
                <w:lang w:val="es-ES"/>
              </w:rPr>
              <w:t>Exp</w:t>
            </w:r>
            <w:proofErr w:type="spellEnd"/>
            <w:r w:rsidRPr="002E2C7E">
              <w:rPr>
                <w:rFonts w:ascii="Verdana" w:hAnsi="Verdana" w:cs="Arial"/>
                <w:lang w:val="es-ES"/>
              </w:rPr>
              <w:t>. 37.834. C.P. Carlos Alberto Zambrano Barrera.</w:t>
            </w:r>
          </w:p>
          <w:p w14:paraId="3B51B12B" w14:textId="77777777" w:rsidR="004F60D2" w:rsidRPr="002E2C7E"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lang w:val="es-ES"/>
              </w:rPr>
            </w:pPr>
            <w:r w:rsidRPr="002E2C7E">
              <w:rPr>
                <w:rFonts w:ascii="Verdana" w:hAnsi="Verdana" w:cs="Arial"/>
                <w:lang w:val="es-ES"/>
              </w:rPr>
              <w:t>DÁVILA VINUEZA, Luis Guillermo. Régimen jurídico de la contratación estatal. Tercera edición, Bogotá: Legis, 2016. p. 355.</w:t>
            </w:r>
          </w:p>
          <w:p w14:paraId="48068414" w14:textId="77777777" w:rsidR="004F60D2" w:rsidRPr="002E2C7E"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lang w:val="es-ES"/>
              </w:rPr>
            </w:pPr>
            <w:r w:rsidRPr="002E2C7E">
              <w:rPr>
                <w:rFonts w:ascii="Verdana" w:hAnsi="Verdana" w:cs="Arial"/>
                <w:lang w:val="es-ES"/>
              </w:rPr>
              <w:t>EXPÓSITO VELEZ, Juan C., El deber de selección objetiva, en: Del contrato estatal a los sistemas de compras públicas, por COVILLA MARTINEZ Juan C. y LOZANO VILLEGAS Germán (Eds.). Universidad Externado de Colombia, Bogotá, 2019. pp. 118-184.</w:t>
            </w:r>
          </w:p>
          <w:p w14:paraId="3D05DBB7" w14:textId="77777777" w:rsidR="004F60D2" w:rsidRPr="00CE3B27" w:rsidRDefault="004F60D2" w:rsidP="004F60D2">
            <w:pPr>
              <w:widowControl w:val="0"/>
              <w:numPr>
                <w:ilvl w:val="0"/>
                <w:numId w:val="20"/>
              </w:numPr>
              <w:autoSpaceDE w:val="0"/>
              <w:autoSpaceDN w:val="0"/>
              <w:spacing w:before="120" w:after="120" w:line="276" w:lineRule="auto"/>
              <w:ind w:left="714" w:hanging="357"/>
              <w:jc w:val="both"/>
              <w:rPr>
                <w:rFonts w:ascii="Verdana" w:hAnsi="Verdana" w:cs="Arial"/>
                <w:lang w:val="es-ES"/>
              </w:rPr>
            </w:pPr>
            <w:r w:rsidRPr="002E2C7E">
              <w:rPr>
                <w:rFonts w:ascii="Verdana" w:hAnsi="Verdana" w:cs="Arial"/>
                <w:lang w:val="es-ES"/>
              </w:rPr>
              <w:t>RODRÍGUEZ TAMAYO, Mauricio F. Evaluación y rechazo de ofertas en la Ley 80 de 1993. Primera edición. Medellín: Librería Jurídica Sánchez, 2016. pp. 110-111.</w:t>
            </w:r>
          </w:p>
        </w:tc>
      </w:tr>
    </w:tbl>
    <w:p w14:paraId="15972EC1" w14:textId="77777777" w:rsidR="004F60D2" w:rsidRPr="00CE3B27" w:rsidRDefault="004F60D2" w:rsidP="004F60D2">
      <w:pPr>
        <w:spacing w:line="276" w:lineRule="auto"/>
        <w:ind w:right="709"/>
        <w:contextualSpacing/>
        <w:jc w:val="both"/>
        <w:rPr>
          <w:rFonts w:ascii="Verdana" w:hAnsi="Verdana" w:cs="Arial"/>
          <w:color w:val="000000" w:themeColor="text1"/>
        </w:rPr>
      </w:pPr>
    </w:p>
    <w:p w14:paraId="63E96CAA" w14:textId="77777777" w:rsidR="004F60D2" w:rsidRPr="002B5C7D" w:rsidRDefault="004F60D2" w:rsidP="004F60D2">
      <w:pPr>
        <w:numPr>
          <w:ilvl w:val="0"/>
          <w:numId w:val="19"/>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t>Doctrina de la Agencia Nacional de Contratación Pública:</w:t>
      </w:r>
    </w:p>
    <w:p w14:paraId="0CFAABB3" w14:textId="77777777" w:rsidR="004F60D2" w:rsidRPr="002B5C7D" w:rsidRDefault="004F60D2" w:rsidP="004F60D2">
      <w:pPr>
        <w:spacing w:after="0" w:line="256" w:lineRule="auto"/>
        <w:rPr>
          <w:rFonts w:ascii="Verdana" w:eastAsia="Calibri" w:hAnsi="Verdana" w:cs="Times New Roman"/>
          <w:lang w:val="es-ES"/>
        </w:rPr>
      </w:pPr>
    </w:p>
    <w:p w14:paraId="0799A1C3" w14:textId="77777777" w:rsidR="004F60D2" w:rsidRPr="009726F0" w:rsidRDefault="004F60D2" w:rsidP="004F60D2">
      <w:pPr>
        <w:widowControl w:val="0"/>
        <w:autoSpaceDE w:val="0"/>
        <w:autoSpaceDN w:val="0"/>
        <w:spacing w:after="0" w:line="276" w:lineRule="auto"/>
        <w:jc w:val="both"/>
        <w:rPr>
          <w:rFonts w:ascii="Verdana" w:hAnsi="Verdana" w:cs="Arial"/>
          <w:bCs/>
          <w:shd w:val="clear" w:color="auto" w:fill="FFFFFF"/>
        </w:rPr>
      </w:pPr>
      <w:r w:rsidRPr="00185EE9">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 xml:space="preserve">el principio de Selección Objetiva </w:t>
      </w:r>
      <w:r>
        <w:rPr>
          <w:rFonts w:ascii="Verdana" w:eastAsia="Calibri" w:hAnsi="Verdana" w:cs="Arial"/>
          <w:color w:val="000000"/>
        </w:rPr>
        <w:t>en</w:t>
      </w:r>
      <w:r w:rsidRPr="00954359">
        <w:rPr>
          <w:rFonts w:ascii="Verdana" w:eastAsia="Calibri" w:hAnsi="Verdana" w:cs="Arial"/>
          <w:color w:val="000000"/>
        </w:rPr>
        <w:t xml:space="preserve"> los conceptos</w:t>
      </w:r>
      <w:r>
        <w:rPr>
          <w:rFonts w:ascii="Verdana" w:eastAsia="Calibri" w:hAnsi="Verdana" w:cs="Arial"/>
          <w:color w:val="000000"/>
        </w:rPr>
        <w:t xml:space="preserve"> </w:t>
      </w:r>
      <w:r w:rsidRPr="00954359">
        <w:rPr>
          <w:rFonts w:ascii="Verdana" w:eastAsia="Calibri" w:hAnsi="Verdana" w:cs="Arial"/>
          <w:color w:val="000000"/>
        </w:rPr>
        <w:t>C-218 del 2 de abril</w:t>
      </w:r>
      <w:r w:rsidRPr="00954359">
        <w:rPr>
          <w:rFonts w:ascii="Verdana" w:eastAsia="Arial" w:hAnsi="Verdana" w:cs="Arial"/>
          <w:bCs/>
          <w:lang w:val="es-ES_tradnl" w:eastAsia="es-ES_tradnl"/>
        </w:rPr>
        <w:t xml:space="preserve"> de 2020,</w:t>
      </w:r>
      <w:r>
        <w:rPr>
          <w:rFonts w:ascii="Verdana" w:eastAsia="Arial" w:hAnsi="Verdana" w:cs="Arial"/>
          <w:bCs/>
          <w:lang w:val="es-ES_tradnl" w:eastAsia="es-ES_tradnl"/>
        </w:rPr>
        <w:t xml:space="preserve"> </w:t>
      </w:r>
      <w:r w:rsidRPr="00954359">
        <w:rPr>
          <w:rFonts w:ascii="Verdana" w:eastAsia="Arial" w:hAnsi="Verdana" w:cs="Arial"/>
          <w:bCs/>
          <w:lang w:val="es-ES_tradnl" w:eastAsia="es-ES_tradnl"/>
        </w:rPr>
        <w:t>C-083 del 18 de marzo de 2021, C-691 del 28 de diciembre de 202</w:t>
      </w:r>
      <w:r>
        <w:rPr>
          <w:rFonts w:ascii="Verdana" w:eastAsia="Arial" w:hAnsi="Verdana" w:cs="Arial"/>
          <w:bCs/>
          <w:lang w:val="es-ES_tradnl" w:eastAsia="es-ES_tradnl"/>
        </w:rPr>
        <w:t>1, C-431 del 7 de julio de 2022, C-457 del 24 de septiembre de 2024, C-597 del 8 de noviembre de 2024, C-625 del 29 de noviembre de 2024, C-232 del 1 de abril de 2025, C-442 del 21 de mayo de 2025, C-722 del 7 de julio de 2025, entre otros.</w:t>
      </w:r>
      <w:r>
        <w:rPr>
          <w:rFonts w:ascii="Verdana" w:hAnsi="Verdana" w:cs="Arial"/>
          <w:bCs/>
          <w:shd w:val="clear" w:color="auto" w:fill="FFFFFF"/>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BDF5E01" w14:textId="77777777" w:rsidR="004F60D2" w:rsidRPr="00185EE9" w:rsidRDefault="004F60D2" w:rsidP="004F60D2">
      <w:pPr>
        <w:spacing w:after="0" w:line="256" w:lineRule="auto"/>
        <w:jc w:val="both"/>
        <w:rPr>
          <w:rFonts w:ascii="Verdana" w:eastAsia="Calibri" w:hAnsi="Verdana" w:cs="Times New Roman"/>
        </w:rPr>
      </w:pPr>
      <w:hyperlink r:id="rId13" w:history="1">
        <w:r w:rsidRPr="00185EE9">
          <w:rPr>
            <w:rFonts w:ascii="Verdana" w:eastAsia="Calibri" w:hAnsi="Verdana" w:cs="Times New Roman"/>
            <w:color w:val="0000FF"/>
            <w:u w:val="single"/>
            <w:lang w:val="es-ES"/>
          </w:rPr>
          <w:t>https://relatoria.colombiacompra.gov.co/busqueda/conceptos</w:t>
        </w:r>
      </w:hyperlink>
      <w:r w:rsidRPr="00185EE9">
        <w:rPr>
          <w:rFonts w:ascii="Verdana" w:eastAsia="Calibri" w:hAnsi="Verdana" w:cs="Times New Roman"/>
        </w:rPr>
        <w:t xml:space="preserve">. </w:t>
      </w:r>
    </w:p>
    <w:p w14:paraId="33260DA0" w14:textId="77777777" w:rsidR="004F60D2" w:rsidRDefault="004F60D2" w:rsidP="004F60D2">
      <w:pPr>
        <w:spacing w:after="0"/>
        <w:jc w:val="both"/>
        <w:rPr>
          <w:rFonts w:ascii="Verdana" w:hAnsi="Verdana"/>
        </w:rPr>
      </w:pPr>
    </w:p>
    <w:p w14:paraId="55E594FB" w14:textId="77777777" w:rsidR="004F60D2" w:rsidRPr="0044528D" w:rsidRDefault="004F60D2" w:rsidP="004F60D2">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3914390" w14:textId="77777777" w:rsidR="004F60D2" w:rsidRPr="0044528D" w:rsidRDefault="004F60D2" w:rsidP="004F60D2">
      <w:pPr>
        <w:spacing w:after="0" w:line="240" w:lineRule="auto"/>
        <w:jc w:val="both"/>
        <w:rPr>
          <w:rFonts w:ascii="Verdana" w:hAnsi="Verdana"/>
        </w:rPr>
      </w:pPr>
    </w:p>
    <w:p w14:paraId="56D9D81B" w14:textId="77777777" w:rsidR="004F60D2" w:rsidRPr="0044528D" w:rsidRDefault="004F60D2" w:rsidP="004F60D2">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7E447A1E" w14:textId="77777777" w:rsidR="004F60D2" w:rsidRPr="0044528D" w:rsidRDefault="004F60D2" w:rsidP="004F60D2">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240DC9D6" w14:textId="77777777" w:rsidR="004F60D2" w:rsidRPr="0044528D" w:rsidRDefault="004F60D2" w:rsidP="004F60D2">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4004D0D0" w14:textId="77777777" w:rsidR="004F60D2" w:rsidRPr="0044528D" w:rsidRDefault="004F60D2" w:rsidP="004F60D2">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4" w:history="1">
        <w:r w:rsidRPr="0044528D">
          <w:rPr>
            <w:rStyle w:val="Hipervnculo"/>
            <w:rFonts w:ascii="Verdana" w:hAnsi="Verdana"/>
          </w:rPr>
          <w:t>www.colombiacompra.gov.co</w:t>
        </w:r>
      </w:hyperlink>
    </w:p>
    <w:p w14:paraId="13CB8CA3" w14:textId="77777777" w:rsidR="004F60D2" w:rsidRPr="0044528D" w:rsidRDefault="004F60D2" w:rsidP="004F60D2">
      <w:pPr>
        <w:pStyle w:val="Prrafodelista"/>
        <w:spacing w:after="0" w:line="240" w:lineRule="auto"/>
        <w:ind w:left="785"/>
        <w:jc w:val="both"/>
        <w:rPr>
          <w:rFonts w:ascii="Verdana" w:hAnsi="Verdana"/>
        </w:rPr>
      </w:pPr>
    </w:p>
    <w:p w14:paraId="02DF113A" w14:textId="77777777" w:rsidR="004F60D2" w:rsidRPr="0044528D" w:rsidRDefault="004F60D2" w:rsidP="004F60D2">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42A4808A" w14:textId="77777777" w:rsidR="004F60D2" w:rsidRPr="0044528D" w:rsidRDefault="004F60D2" w:rsidP="004F60D2">
      <w:pPr>
        <w:spacing w:after="0" w:line="240" w:lineRule="auto"/>
        <w:jc w:val="both"/>
        <w:rPr>
          <w:rFonts w:ascii="Verdana" w:hAnsi="Verdana"/>
        </w:rPr>
      </w:pPr>
    </w:p>
    <w:p w14:paraId="3BE3F6E4" w14:textId="77777777" w:rsidR="004F60D2" w:rsidRPr="0044528D" w:rsidRDefault="004F60D2" w:rsidP="004F60D2">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3383619F" w14:textId="77777777" w:rsidR="004F60D2" w:rsidRPr="0044528D" w:rsidRDefault="004F60D2" w:rsidP="004F60D2">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5244CD9A" w14:textId="77777777" w:rsidR="004F60D2" w:rsidRPr="0044528D" w:rsidRDefault="004F60D2" w:rsidP="004F60D2">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349079AB" w14:textId="77777777" w:rsidR="004F60D2" w:rsidRDefault="004F60D2" w:rsidP="004F60D2">
      <w:pPr>
        <w:spacing w:after="0" w:line="240" w:lineRule="auto"/>
        <w:jc w:val="both"/>
        <w:rPr>
          <w:rFonts w:ascii="Verdana" w:hAnsi="Verdana"/>
        </w:rPr>
      </w:pPr>
    </w:p>
    <w:p w14:paraId="25985E1A" w14:textId="77777777" w:rsidR="004F60D2" w:rsidRPr="00A12CB6" w:rsidRDefault="004F60D2" w:rsidP="004F60D2">
      <w:pPr>
        <w:spacing w:after="0" w:line="256" w:lineRule="auto"/>
        <w:jc w:val="both"/>
        <w:rPr>
          <w:rFonts w:ascii="Verdana" w:eastAsia="Calibri" w:hAnsi="Verdana" w:cs="Times New Roman"/>
          <w:bCs/>
          <w:lang w:val="es-ES_tradnl"/>
        </w:rPr>
      </w:pPr>
      <w:r w:rsidRPr="00A12CB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15EE223" w14:textId="77777777" w:rsidR="004F60D2" w:rsidRPr="001358C0" w:rsidRDefault="004F60D2" w:rsidP="004F60D2">
      <w:pPr>
        <w:spacing w:after="0" w:line="240" w:lineRule="auto"/>
        <w:jc w:val="both"/>
        <w:rPr>
          <w:rFonts w:ascii="Verdana" w:hAnsi="Verdana"/>
          <w:lang w:val="es-ES_tradnl"/>
        </w:rPr>
      </w:pPr>
    </w:p>
    <w:p w14:paraId="101638A0" w14:textId="77777777" w:rsidR="004F60D2" w:rsidRDefault="004F60D2" w:rsidP="004F60D2">
      <w:pPr>
        <w:spacing w:after="0" w:line="240" w:lineRule="auto"/>
        <w:jc w:val="both"/>
        <w:rPr>
          <w:rFonts w:ascii="Verdana" w:hAnsi="Verdana"/>
          <w:lang w:val="es-MX"/>
        </w:rPr>
      </w:pPr>
      <w:r w:rsidRPr="0044528D">
        <w:rPr>
          <w:rFonts w:ascii="Verdana" w:hAnsi="Verdana"/>
          <w:lang w:val="es-MX"/>
        </w:rPr>
        <w:t>Cordialmente,</w:t>
      </w:r>
    </w:p>
    <w:p w14:paraId="3CCE9583" w14:textId="186944A0" w:rsidR="004F60D2" w:rsidRDefault="004F60D2" w:rsidP="00524934">
      <w:pPr>
        <w:spacing w:after="0" w:line="240" w:lineRule="auto"/>
        <w:rPr>
          <w:rFonts w:ascii="Verdana" w:eastAsia="Times New Roman" w:hAnsi="Verdana" w:cs="Arial"/>
          <w:noProof/>
          <w:sz w:val="24"/>
          <w:szCs w:val="24"/>
          <w:lang w:val="en-US"/>
        </w:rPr>
      </w:pPr>
    </w:p>
    <w:p w14:paraId="2D768A1B" w14:textId="11DFA7CD" w:rsidR="00524934" w:rsidRDefault="00524934" w:rsidP="004F60D2">
      <w:pPr>
        <w:spacing w:after="0" w:line="240" w:lineRule="auto"/>
        <w:jc w:val="center"/>
        <w:rPr>
          <w:rFonts w:ascii="Verdana" w:hAnsi="Verdana"/>
          <w:b/>
          <w:bCs/>
          <w:lang w:val="es-MX"/>
        </w:rPr>
      </w:pPr>
      <w:r w:rsidRPr="002C3AD6">
        <w:rPr>
          <w:rFonts w:ascii="Century Gothic" w:hAnsi="Century Gothic"/>
          <w:noProof/>
          <w:lang w:val="en-US"/>
        </w:rPr>
        <w:lastRenderedPageBreak/>
        <w:drawing>
          <wp:inline distT="0" distB="0" distL="0" distR="0" wp14:anchorId="4C352615" wp14:editId="2E02DFD4">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p>
    <w:p w14:paraId="5C4A88CC" w14:textId="77777777" w:rsidR="004F60D2" w:rsidRPr="0044528D" w:rsidRDefault="004F60D2" w:rsidP="004F60D2">
      <w:pPr>
        <w:spacing w:after="0" w:line="240" w:lineRule="auto"/>
        <w:rPr>
          <w:rFonts w:ascii="Verdana" w:hAnsi="Verdana"/>
          <w:b/>
          <w:bCs/>
          <w:lang w:val="es-MX"/>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F60D2" w:rsidRPr="002B5C7D" w14:paraId="4A51DBD3" w14:textId="77777777" w:rsidTr="008A7300">
        <w:trPr>
          <w:trHeight w:val="409"/>
        </w:trPr>
        <w:tc>
          <w:tcPr>
            <w:tcW w:w="817" w:type="dxa"/>
            <w:tcBorders>
              <w:top w:val="nil"/>
              <w:left w:val="nil"/>
              <w:bottom w:val="nil"/>
              <w:right w:val="nil"/>
            </w:tcBorders>
            <w:vAlign w:val="center"/>
            <w:hideMark/>
          </w:tcPr>
          <w:p w14:paraId="326EDB84" w14:textId="77777777" w:rsidR="004F60D2" w:rsidRPr="002B5C7D" w:rsidRDefault="004F60D2" w:rsidP="008A730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61E835E3" w14:textId="77777777" w:rsidR="004F60D2" w:rsidRPr="002B5C7D" w:rsidRDefault="004F60D2" w:rsidP="008A730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José Luis Sánchez Cardona</w:t>
            </w:r>
          </w:p>
          <w:p w14:paraId="246824A0" w14:textId="77777777" w:rsidR="004F60D2" w:rsidRPr="002B5C7D" w:rsidRDefault="004F60D2" w:rsidP="008A730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Contratista de la Subdirección de Gestión Contractual</w:t>
            </w:r>
          </w:p>
        </w:tc>
      </w:tr>
      <w:tr w:rsidR="004F60D2" w:rsidRPr="002B5C7D" w14:paraId="321EC693" w14:textId="77777777" w:rsidTr="008A7300">
        <w:trPr>
          <w:trHeight w:val="409"/>
        </w:trPr>
        <w:tc>
          <w:tcPr>
            <w:tcW w:w="817" w:type="dxa"/>
            <w:tcBorders>
              <w:top w:val="nil"/>
              <w:left w:val="nil"/>
              <w:bottom w:val="nil"/>
              <w:right w:val="nil"/>
            </w:tcBorders>
            <w:vAlign w:val="center"/>
            <w:hideMark/>
          </w:tcPr>
          <w:p w14:paraId="416B155A" w14:textId="77777777" w:rsidR="004F60D2" w:rsidRPr="002B5C7D" w:rsidRDefault="004F60D2" w:rsidP="008A730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41F0685" w14:textId="77777777" w:rsidR="004F60D2" w:rsidRPr="002B5C7D" w:rsidRDefault="004F60D2" w:rsidP="008A730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Alejandro Sarmiento Cantillo</w:t>
            </w:r>
          </w:p>
          <w:p w14:paraId="7549FA93" w14:textId="77777777" w:rsidR="004F60D2" w:rsidRPr="002B5C7D" w:rsidRDefault="004F60D2" w:rsidP="008A730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Gestor T1-15 de la Subdirección de Gestión Contractual </w:t>
            </w:r>
          </w:p>
        </w:tc>
      </w:tr>
      <w:tr w:rsidR="004F60D2" w:rsidRPr="002B5C7D" w14:paraId="6DA7F3CB" w14:textId="77777777" w:rsidTr="008A7300">
        <w:trPr>
          <w:trHeight w:val="389"/>
        </w:trPr>
        <w:tc>
          <w:tcPr>
            <w:tcW w:w="817" w:type="dxa"/>
            <w:tcBorders>
              <w:top w:val="nil"/>
              <w:left w:val="nil"/>
              <w:bottom w:val="nil"/>
              <w:right w:val="nil"/>
            </w:tcBorders>
            <w:vAlign w:val="center"/>
            <w:hideMark/>
          </w:tcPr>
          <w:p w14:paraId="61B4C1E7" w14:textId="77777777" w:rsidR="004F60D2" w:rsidRPr="002B5C7D" w:rsidRDefault="004F60D2" w:rsidP="008A730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E7FA636" w14:textId="77777777" w:rsidR="004F60D2" w:rsidRPr="002B5C7D" w:rsidRDefault="004F60D2" w:rsidP="008A730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 xml:space="preserve">Carolina Quintero </w:t>
            </w:r>
            <w:proofErr w:type="spellStart"/>
            <w:r w:rsidRPr="002B5C7D">
              <w:rPr>
                <w:rFonts w:ascii="Verdana" w:eastAsia="Calibri" w:hAnsi="Verdana" w:cs="Times New Roman"/>
                <w:sz w:val="16"/>
                <w:szCs w:val="16"/>
              </w:rPr>
              <w:t>Gacharná</w:t>
            </w:r>
            <w:proofErr w:type="spellEnd"/>
          </w:p>
          <w:p w14:paraId="32186A04" w14:textId="77777777" w:rsidR="004F60D2" w:rsidRPr="002B5C7D" w:rsidRDefault="004F60D2" w:rsidP="008A730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Subdirectora de Gestión Contractual ANCP – CCE</w:t>
            </w:r>
          </w:p>
        </w:tc>
      </w:tr>
    </w:tbl>
    <w:p w14:paraId="5F409281" w14:textId="77777777" w:rsidR="004F60D2" w:rsidRDefault="004F60D2" w:rsidP="004F60D2"/>
    <w:p w14:paraId="4B413E19" w14:textId="77777777" w:rsidR="004F60D2" w:rsidRPr="00395FAF" w:rsidRDefault="004F60D2" w:rsidP="004F60D2">
      <w:pPr>
        <w:rPr>
          <w:rStyle w:val="Hipervnculo"/>
          <w:color w:val="auto"/>
          <w:u w:val="none"/>
          <w:lang w:val="es-ES"/>
        </w:rPr>
      </w:pPr>
    </w:p>
    <w:p w14:paraId="72CB8584" w14:textId="77777777" w:rsidR="00D73AD4" w:rsidRPr="004F60D2" w:rsidRDefault="00D73AD4" w:rsidP="004F60D2">
      <w:pPr>
        <w:rPr>
          <w:lang w:val="es-ES"/>
        </w:rPr>
      </w:pPr>
    </w:p>
    <w:sectPr w:rsidR="00D73AD4" w:rsidRPr="004F60D2"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057B" w14:textId="77777777" w:rsidR="00BC3CEC" w:rsidRDefault="00BC3CEC" w:rsidP="004A1847">
      <w:pPr>
        <w:spacing w:after="0" w:line="240" w:lineRule="auto"/>
      </w:pPr>
      <w:r>
        <w:separator/>
      </w:r>
    </w:p>
  </w:endnote>
  <w:endnote w:type="continuationSeparator" w:id="0">
    <w:p w14:paraId="6A2F3143" w14:textId="77777777" w:rsidR="00BC3CEC" w:rsidRDefault="00BC3CEC" w:rsidP="004A1847">
      <w:pPr>
        <w:spacing w:after="0" w:line="240" w:lineRule="auto"/>
      </w:pPr>
      <w:r>
        <w:continuationSeparator/>
      </w:r>
    </w:p>
  </w:endnote>
  <w:endnote w:type="continuationNotice" w:id="1">
    <w:p w14:paraId="20F7DB09" w14:textId="77777777" w:rsidR="00BC3CEC" w:rsidRDefault="00BC3C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265DB522"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24934" w:rsidRPr="00524934">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3666C" w14:textId="77777777" w:rsidR="00BC3CEC" w:rsidRDefault="00BC3CEC" w:rsidP="004A1847">
      <w:pPr>
        <w:spacing w:after="0" w:line="240" w:lineRule="auto"/>
      </w:pPr>
      <w:r>
        <w:separator/>
      </w:r>
    </w:p>
  </w:footnote>
  <w:footnote w:type="continuationSeparator" w:id="0">
    <w:p w14:paraId="1C40FB4E" w14:textId="77777777" w:rsidR="00BC3CEC" w:rsidRDefault="00BC3CEC" w:rsidP="004A1847">
      <w:pPr>
        <w:spacing w:after="0" w:line="240" w:lineRule="auto"/>
      </w:pPr>
      <w:r>
        <w:continuationSeparator/>
      </w:r>
    </w:p>
  </w:footnote>
  <w:footnote w:type="continuationNotice" w:id="1">
    <w:p w14:paraId="025E0116" w14:textId="77777777" w:rsidR="00BC3CEC" w:rsidRDefault="00BC3CEC">
      <w:pPr>
        <w:spacing w:after="0" w:line="240" w:lineRule="auto"/>
      </w:pPr>
    </w:p>
  </w:footnote>
  <w:footnote w:id="2">
    <w:p w14:paraId="5C9285B7" w14:textId="77777777" w:rsidR="004F60D2" w:rsidRPr="003F54E8" w:rsidRDefault="004F60D2" w:rsidP="004F60D2">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7C209837" w14:textId="77777777" w:rsidR="004F60D2" w:rsidRPr="003F54E8" w:rsidRDefault="004F60D2" w:rsidP="004F60D2">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097C74EA" w14:textId="77777777" w:rsidR="004F60D2" w:rsidRPr="003F54E8" w:rsidRDefault="004F60D2" w:rsidP="004F60D2">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 .</w:t>
      </w:r>
    </w:p>
    <w:p w14:paraId="069DDD19" w14:textId="77777777" w:rsidR="004F60D2" w:rsidRPr="003F54E8" w:rsidRDefault="004F60D2" w:rsidP="004F60D2">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7137C260" w14:textId="77777777" w:rsidR="004F60D2" w:rsidRPr="003F54E8" w:rsidRDefault="004F60D2" w:rsidP="004F60D2">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3">
    <w:p w14:paraId="0328C2DB" w14:textId="77777777" w:rsidR="004F60D2" w:rsidRPr="003F54E8" w:rsidRDefault="004F60D2" w:rsidP="004F60D2">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4">
    <w:p w14:paraId="4DC80747" w14:textId="77777777" w:rsidR="004F60D2" w:rsidRPr="003F54E8" w:rsidRDefault="004F60D2" w:rsidP="004F60D2">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p w14:paraId="0DCBFFB9" w14:textId="77777777" w:rsidR="004F60D2" w:rsidRPr="003F54E8" w:rsidRDefault="004F60D2" w:rsidP="004F60D2">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p>
  </w:footnote>
  <w:footnote w:id="5">
    <w:p w14:paraId="661E06EA" w14:textId="77777777" w:rsidR="004F60D2" w:rsidRPr="003F54E8" w:rsidRDefault="004F60D2" w:rsidP="004F60D2">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EXPÓSITO VELEZ, Juan Carlos. El deber de selección objetiva, en: Del contrato estatal a los sistemas de compras públicas, por COVILLA MARTINEZ Juan C. y LOZANO VILLEGAS Germán (Eds.). Universidad Externado de Colombia, Bogotá, 2019. p. 152. </w:t>
      </w:r>
    </w:p>
  </w:footnote>
  <w:footnote w:id="6">
    <w:p w14:paraId="28FC2D61" w14:textId="77777777" w:rsidR="004F60D2" w:rsidRPr="003F54E8" w:rsidRDefault="004F60D2" w:rsidP="004F60D2">
      <w:pPr>
        <w:pBdr>
          <w:top w:val="nil"/>
          <w:left w:val="nil"/>
          <w:bottom w:val="nil"/>
          <w:right w:val="nil"/>
          <w:between w:val="nil"/>
        </w:pBdr>
        <w:spacing w:after="0" w:line="240" w:lineRule="auto"/>
        <w:ind w:firstLine="708"/>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i/>
          <w:color w:val="000000"/>
          <w:sz w:val="16"/>
          <w:szCs w:val="16"/>
        </w:rPr>
        <w:t xml:space="preserve"> </w:t>
      </w:r>
      <w:proofErr w:type="spellStart"/>
      <w:r w:rsidRPr="003F54E8">
        <w:rPr>
          <w:rFonts w:ascii="Verdana" w:eastAsia="Arial" w:hAnsi="Verdana" w:cs="Arial"/>
          <w:i/>
          <w:color w:val="000000"/>
          <w:sz w:val="16"/>
          <w:szCs w:val="16"/>
        </w:rPr>
        <w:t>Ibídem</w:t>
      </w:r>
      <w:proofErr w:type="spellEnd"/>
      <w:r w:rsidRPr="003F54E8">
        <w:rPr>
          <w:rFonts w:ascii="Verdana" w:eastAsia="Arial" w:hAnsi="Verdana" w:cs="Arial"/>
          <w:i/>
          <w:color w:val="000000"/>
          <w:sz w:val="16"/>
          <w:szCs w:val="16"/>
        </w:rPr>
        <w:t>.</w:t>
      </w:r>
    </w:p>
  </w:footnote>
  <w:footnote w:id="7">
    <w:p w14:paraId="6D65AB11"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hAnsi="Verdana" w:cs="Arial"/>
          <w:sz w:val="16"/>
          <w:szCs w:val="16"/>
          <w:vertAlign w:val="superscript"/>
        </w:rPr>
        <w:footnoteRef/>
      </w:r>
      <w:r w:rsidRPr="003F54E8">
        <w:rPr>
          <w:rFonts w:ascii="Verdana" w:eastAsia="Arial" w:hAnsi="Verdana" w:cs="Arial"/>
          <w:sz w:val="16"/>
          <w:szCs w:val="16"/>
        </w:rPr>
        <w:t xml:space="preserve"> Decreto 1082 de 2015 “Artículo 2.2.1.1.2.2.2. </w:t>
      </w:r>
      <w:bookmarkStart w:id="2" w:name="_Hlk127183858"/>
      <w:r w:rsidRPr="003F54E8">
        <w:rPr>
          <w:rFonts w:ascii="Verdana" w:eastAsia="Arial" w:hAnsi="Verdana" w:cs="Arial"/>
          <w:sz w:val="16"/>
          <w:szCs w:val="16"/>
        </w:rPr>
        <w:t>Modificado por el </w:t>
      </w:r>
      <w:bookmarkEnd w:id="2"/>
      <w:r w:rsidRPr="003F54E8">
        <w:rPr>
          <w:rFonts w:ascii="Verdana" w:eastAsia="Arial" w:hAnsi="Verdana" w:cs="Arial"/>
          <w:sz w:val="16"/>
          <w:szCs w:val="16"/>
        </w:rPr>
        <w:t>Decreto 142 de 2023, artículo 4º. Ofrecimiento más favorable.</w:t>
      </w:r>
      <w:r w:rsidRPr="003F54E8">
        <w:rPr>
          <w:rFonts w:ascii="Verdana" w:eastAsia="Arial" w:hAnsi="Verdana" w:cs="Arial"/>
          <w:b/>
          <w:bCs/>
          <w:sz w:val="16"/>
          <w:szCs w:val="16"/>
        </w:rPr>
        <w:t xml:space="preserve"> </w:t>
      </w:r>
      <w:r w:rsidRPr="003F54E8">
        <w:rPr>
          <w:rFonts w:ascii="Verdana" w:eastAsia="Arial" w:hAnsi="Verdana" w:cs="Arial"/>
          <w:sz w:val="16"/>
          <w:szCs w:val="16"/>
          <w:lang w:val="es-MX"/>
        </w:rPr>
        <w:t>La Entidad Estatal debe determinar la oferta más favorable teniendo en cuenta las normas aplicables a cada modalidad de selección del contratista.</w:t>
      </w:r>
    </w:p>
    <w:p w14:paraId="70609A4B"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450C1779"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1. Las condiciones técnicas y económicas mínimas de la oferta.</w:t>
      </w:r>
    </w:p>
    <w:p w14:paraId="7BED49E8"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2. Las condiciones técnicas adicionales que representan ventajas de calidad o de funcionamiento, tales como el uso de tecnología o materiales que generen mayor eficiencia, rendimiento o duración del bien, obra o servicio.</w:t>
      </w:r>
    </w:p>
    <w:p w14:paraId="59393806"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03272A01"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4. El valor en dinero que la Entidad Estatal asigna a cada ofrecimiento técnico o económico adicional, para permitir la ponderación de las ofertas presentadas.</w:t>
      </w:r>
    </w:p>
    <w:p w14:paraId="10832A74"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13005F90"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La Entidad Estatal debe adjudicar al oferente que presentó la oferta con la mejor relación costo-beneficio y suscribir el contrato por el precio total ofrecido.</w:t>
      </w:r>
    </w:p>
    <w:p w14:paraId="105EE35E"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14:paraId="23454EA3" w14:textId="77777777" w:rsidR="004F60D2" w:rsidRPr="003F54E8" w:rsidRDefault="004F60D2" w:rsidP="004F60D2">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14:paraId="34E6939D" w14:textId="77777777" w:rsidR="004F60D2" w:rsidRPr="003F54E8" w:rsidRDefault="004F60D2" w:rsidP="004F60D2">
      <w:pPr>
        <w:spacing w:after="0" w:line="240" w:lineRule="auto"/>
        <w:ind w:firstLine="708"/>
        <w:jc w:val="both"/>
        <w:rPr>
          <w:rFonts w:ascii="Verdana" w:eastAsia="Arial" w:hAnsi="Verdana" w:cs="Arial"/>
          <w:sz w:val="16"/>
          <w:szCs w:val="16"/>
        </w:rPr>
      </w:pPr>
      <w:r w:rsidRPr="003F54E8">
        <w:rPr>
          <w:rFonts w:ascii="Verdana" w:eastAsia="Arial" w:hAnsi="Verdana" w:cs="Arial"/>
          <w:sz w:val="16"/>
          <w:szCs w:val="16"/>
        </w:rPr>
        <w:t>[…]”. </w:t>
      </w:r>
    </w:p>
  </w:footnote>
  <w:footnote w:id="8">
    <w:p w14:paraId="0CB9C40E" w14:textId="77777777" w:rsidR="004F60D2" w:rsidRPr="003F54E8" w:rsidRDefault="004F60D2" w:rsidP="004F60D2">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CONSEJO DE ESTADO. Sección Tercera. Subsección A. Sentencia del 25 de octubre de 2019. </w:t>
      </w:r>
      <w:proofErr w:type="spellStart"/>
      <w:r w:rsidRPr="003F54E8">
        <w:rPr>
          <w:rFonts w:ascii="Verdana" w:eastAsia="Arial" w:hAnsi="Verdana" w:cs="Arial"/>
          <w:color w:val="000000"/>
          <w:sz w:val="16"/>
          <w:szCs w:val="16"/>
        </w:rPr>
        <w:t>Exp</w:t>
      </w:r>
      <w:proofErr w:type="spellEnd"/>
      <w:r w:rsidRPr="003F54E8">
        <w:rPr>
          <w:rFonts w:ascii="Verdana" w:eastAsia="Arial" w:hAnsi="Verdana" w:cs="Arial"/>
          <w:color w:val="000000"/>
          <w:sz w:val="16"/>
          <w:szCs w:val="16"/>
        </w:rPr>
        <w:t>. 39.945. C.P. María Adriana Marín.</w:t>
      </w:r>
    </w:p>
    <w:p w14:paraId="4DA314A4" w14:textId="77777777" w:rsidR="004F60D2" w:rsidRPr="003F54E8" w:rsidRDefault="004F60D2" w:rsidP="004F60D2">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9">
    <w:p w14:paraId="045BC354" w14:textId="77777777" w:rsidR="004F60D2" w:rsidRPr="003F54E8" w:rsidRDefault="004F60D2" w:rsidP="004F60D2">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vertAlign w:val="superscript"/>
        </w:rPr>
        <w:t xml:space="preserve"> </w:t>
      </w:r>
      <w:r w:rsidRPr="003F54E8">
        <w:rPr>
          <w:rFonts w:ascii="Verdana" w:eastAsia="Arial" w:hAnsi="Verdana" w:cs="Arial"/>
          <w:color w:val="000000"/>
          <w:sz w:val="16"/>
          <w:szCs w:val="16"/>
        </w:rPr>
        <w:t xml:space="preserve">CONSEJO DE ESTADO. Sección Tercera. Subsección A. Sentencia del 5 de julio de 2018. </w:t>
      </w:r>
      <w:proofErr w:type="spellStart"/>
      <w:r w:rsidRPr="003F54E8">
        <w:rPr>
          <w:rFonts w:ascii="Verdana" w:eastAsia="Arial" w:hAnsi="Verdana" w:cs="Arial"/>
          <w:color w:val="000000"/>
          <w:sz w:val="16"/>
          <w:szCs w:val="16"/>
        </w:rPr>
        <w:t>Exp</w:t>
      </w:r>
      <w:proofErr w:type="spellEnd"/>
      <w:r w:rsidRPr="003F54E8">
        <w:rPr>
          <w:rFonts w:ascii="Verdana" w:eastAsia="Arial" w:hAnsi="Verdana" w:cs="Arial"/>
          <w:color w:val="000000"/>
          <w:sz w:val="16"/>
          <w:szCs w:val="16"/>
        </w:rPr>
        <w:t>. 37.834. C.P. Carlos Alberto Zambrano Barrera.</w:t>
      </w:r>
    </w:p>
  </w:footnote>
  <w:footnote w:id="10">
    <w:p w14:paraId="4F6128A2" w14:textId="77777777" w:rsidR="004F60D2" w:rsidRPr="003F54E8" w:rsidRDefault="004F60D2" w:rsidP="004F60D2">
      <w:pPr>
        <w:pStyle w:val="Textonotapie"/>
        <w:ind w:firstLine="708"/>
        <w:jc w:val="both"/>
        <w:rPr>
          <w:rFonts w:ascii="Verdana" w:hAnsi="Verdana"/>
          <w:sz w:val="16"/>
          <w:szCs w:val="16"/>
          <w:lang w:val="es-ES"/>
        </w:rPr>
      </w:pPr>
      <w:r w:rsidRPr="003F54E8">
        <w:rPr>
          <w:rStyle w:val="Refdenotaalpie"/>
          <w:rFonts w:ascii="Verdana" w:hAnsi="Verdana"/>
          <w:sz w:val="16"/>
          <w:szCs w:val="16"/>
        </w:rPr>
        <w:footnoteRef/>
      </w:r>
      <w:r w:rsidRPr="003F54E8">
        <w:rPr>
          <w:rFonts w:ascii="Verdana" w:hAnsi="Verdana"/>
          <w:sz w:val="16"/>
          <w:szCs w:val="16"/>
        </w:rPr>
        <w:t xml:space="preserve"> </w:t>
      </w:r>
      <w:r w:rsidRPr="003F54E8">
        <w:rPr>
          <w:rFonts w:ascii="Verdana" w:eastAsia="Arial" w:hAnsi="Verdana" w:cs="Arial"/>
          <w:color w:val="000000"/>
          <w:sz w:val="16"/>
          <w:szCs w:val="16"/>
        </w:rPr>
        <w:t xml:space="preserve">EXPÓSITO VELEZ, Juan Carlos. El deber de selección objetiva, en: Del contrato estatal a los sistemas de compras públicas, por COVILLA MARTINEZ Juan C. y LOZANO VILLEGAS Germán (Eds.). Universidad Externado de Colombia, Bogotá, 2019. p. 157.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4.5pt;height:14.5pt" o:bullet="t">
        <v:imagedata r:id="rId1" o:title="mso1B13"/>
      </v:shape>
    </w:pict>
  </w:numPicBullet>
  <w:abstractNum w:abstractNumId="0" w15:restartNumberingAfterBreak="0">
    <w:nsid w:val="8F5DCA1F"/>
    <w:multiLevelType w:val="hybridMultilevel"/>
    <w:tmpl w:val="EA4963F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F9BA34"/>
    <w:multiLevelType w:val="hybridMultilevel"/>
    <w:tmpl w:val="DB3A347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251F4A53"/>
    <w:multiLevelType w:val="hybridMultilevel"/>
    <w:tmpl w:val="C9F0B1E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489BC7"/>
    <w:multiLevelType w:val="hybridMultilevel"/>
    <w:tmpl w:val="6C64DB9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3BD23FB"/>
    <w:multiLevelType w:val="multilevel"/>
    <w:tmpl w:val="16E6B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2EA5AA3"/>
    <w:multiLevelType w:val="hybridMultilevel"/>
    <w:tmpl w:val="F1968C6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9" w15:restartNumberingAfterBreak="0">
    <w:nsid w:val="5543359C"/>
    <w:multiLevelType w:val="hybridMultilevel"/>
    <w:tmpl w:val="4CD80C0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E9CC98B"/>
    <w:multiLevelType w:val="hybridMultilevel"/>
    <w:tmpl w:val="93ED4B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EC30B0"/>
    <w:multiLevelType w:val="multilevel"/>
    <w:tmpl w:val="24DEA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1771BE"/>
    <w:multiLevelType w:val="multilevel"/>
    <w:tmpl w:val="C9F4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915242046">
    <w:abstractNumId w:val="12"/>
  </w:num>
  <w:num w:numId="2" w16cid:durableId="1324049583">
    <w:abstractNumId w:val="4"/>
  </w:num>
  <w:num w:numId="3" w16cid:durableId="1100176367">
    <w:abstractNumId w:val="10"/>
  </w:num>
  <w:num w:numId="4" w16cid:durableId="10276085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8770042">
    <w:abstractNumId w:val="4"/>
  </w:num>
  <w:num w:numId="6" w16cid:durableId="620572338">
    <w:abstractNumId w:val="25"/>
  </w:num>
  <w:num w:numId="7" w16cid:durableId="1928687881">
    <w:abstractNumId w:val="11"/>
  </w:num>
  <w:num w:numId="8" w16cid:durableId="2111580930">
    <w:abstractNumId w:val="24"/>
  </w:num>
  <w:num w:numId="9" w16cid:durableId="814420786">
    <w:abstractNumId w:val="14"/>
  </w:num>
  <w:num w:numId="10" w16cid:durableId="1160462471">
    <w:abstractNumId w:val="23"/>
  </w:num>
  <w:num w:numId="11" w16cid:durableId="1717729940">
    <w:abstractNumId w:val="15"/>
  </w:num>
  <w:num w:numId="12" w16cid:durableId="1189872339">
    <w:abstractNumId w:val="3"/>
  </w:num>
  <w:num w:numId="13" w16cid:durableId="408771984">
    <w:abstractNumId w:val="7"/>
  </w:num>
  <w:num w:numId="14" w16cid:durableId="1595044161">
    <w:abstractNumId w:val="26"/>
  </w:num>
  <w:num w:numId="15" w16cid:durableId="2079551214">
    <w:abstractNumId w:val="22"/>
  </w:num>
  <w:num w:numId="16" w16cid:durableId="436678355">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870804">
    <w:abstractNumId w:val="5"/>
  </w:num>
  <w:num w:numId="18" w16cid:durableId="1813254490">
    <w:abstractNumId w:val="20"/>
  </w:num>
  <w:num w:numId="19" w16cid:durableId="1933589813">
    <w:abstractNumId w:val="9"/>
  </w:num>
  <w:num w:numId="20" w16cid:durableId="1902209460">
    <w:abstractNumId w:val="16"/>
  </w:num>
  <w:num w:numId="21" w16cid:durableId="320618084">
    <w:abstractNumId w:val="29"/>
  </w:num>
  <w:num w:numId="22" w16cid:durableId="543299053">
    <w:abstractNumId w:val="13"/>
  </w:num>
  <w:num w:numId="23" w16cid:durableId="278487986">
    <w:abstractNumId w:val="6"/>
  </w:num>
  <w:num w:numId="24" w16cid:durableId="1756708839">
    <w:abstractNumId w:val="27"/>
  </w:num>
  <w:num w:numId="25" w16cid:durableId="75245361">
    <w:abstractNumId w:val="17"/>
  </w:num>
  <w:num w:numId="26" w16cid:durableId="283314604">
    <w:abstractNumId w:val="18"/>
  </w:num>
  <w:num w:numId="27" w16cid:durableId="837691143">
    <w:abstractNumId w:val="8"/>
  </w:num>
  <w:num w:numId="28" w16cid:durableId="588467902">
    <w:abstractNumId w:val="1"/>
  </w:num>
  <w:num w:numId="29" w16cid:durableId="355622028">
    <w:abstractNumId w:val="0"/>
  </w:num>
  <w:num w:numId="30" w16cid:durableId="1384600643">
    <w:abstractNumId w:val="19"/>
  </w:num>
  <w:num w:numId="31" w16cid:durableId="1758164336">
    <w:abstractNumId w:val="21"/>
  </w:num>
  <w:num w:numId="32" w16cid:durableId="166436000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6CD3"/>
    <w:rsid w:val="0000797D"/>
    <w:rsid w:val="0001094A"/>
    <w:rsid w:val="0001328B"/>
    <w:rsid w:val="000224F2"/>
    <w:rsid w:val="00023C3E"/>
    <w:rsid w:val="0004434A"/>
    <w:rsid w:val="0005281E"/>
    <w:rsid w:val="00053149"/>
    <w:rsid w:val="0005682C"/>
    <w:rsid w:val="00056D71"/>
    <w:rsid w:val="00061B2A"/>
    <w:rsid w:val="00062BAF"/>
    <w:rsid w:val="000630B9"/>
    <w:rsid w:val="000643B2"/>
    <w:rsid w:val="00064E96"/>
    <w:rsid w:val="0007022C"/>
    <w:rsid w:val="000707E6"/>
    <w:rsid w:val="00077439"/>
    <w:rsid w:val="000774B8"/>
    <w:rsid w:val="00081978"/>
    <w:rsid w:val="00082362"/>
    <w:rsid w:val="0008328D"/>
    <w:rsid w:val="00083765"/>
    <w:rsid w:val="0008766D"/>
    <w:rsid w:val="00092FC8"/>
    <w:rsid w:val="0009313A"/>
    <w:rsid w:val="0009387A"/>
    <w:rsid w:val="0009387B"/>
    <w:rsid w:val="000963C6"/>
    <w:rsid w:val="000A31B9"/>
    <w:rsid w:val="000A3D63"/>
    <w:rsid w:val="000A52A1"/>
    <w:rsid w:val="000A683A"/>
    <w:rsid w:val="000A683E"/>
    <w:rsid w:val="000B19B9"/>
    <w:rsid w:val="000C46FD"/>
    <w:rsid w:val="000C669A"/>
    <w:rsid w:val="000D0152"/>
    <w:rsid w:val="000D0334"/>
    <w:rsid w:val="000D07D8"/>
    <w:rsid w:val="000D3B29"/>
    <w:rsid w:val="000E06F4"/>
    <w:rsid w:val="000E4CE4"/>
    <w:rsid w:val="000F6486"/>
    <w:rsid w:val="000F6679"/>
    <w:rsid w:val="000F669F"/>
    <w:rsid w:val="001063B3"/>
    <w:rsid w:val="0011055F"/>
    <w:rsid w:val="001114A9"/>
    <w:rsid w:val="00111979"/>
    <w:rsid w:val="00116537"/>
    <w:rsid w:val="001202C6"/>
    <w:rsid w:val="00120766"/>
    <w:rsid w:val="001240BD"/>
    <w:rsid w:val="00125105"/>
    <w:rsid w:val="00127233"/>
    <w:rsid w:val="00135463"/>
    <w:rsid w:val="001358C0"/>
    <w:rsid w:val="0013649F"/>
    <w:rsid w:val="00143E81"/>
    <w:rsid w:val="00143FD9"/>
    <w:rsid w:val="00145047"/>
    <w:rsid w:val="00146C57"/>
    <w:rsid w:val="0016332F"/>
    <w:rsid w:val="001717E9"/>
    <w:rsid w:val="00183253"/>
    <w:rsid w:val="00185EE9"/>
    <w:rsid w:val="00187F79"/>
    <w:rsid w:val="00197274"/>
    <w:rsid w:val="001A237A"/>
    <w:rsid w:val="001A26CF"/>
    <w:rsid w:val="001A2919"/>
    <w:rsid w:val="001B40AA"/>
    <w:rsid w:val="001C222E"/>
    <w:rsid w:val="001C22F9"/>
    <w:rsid w:val="001D1C29"/>
    <w:rsid w:val="001E4177"/>
    <w:rsid w:val="001F4EFD"/>
    <w:rsid w:val="001F5E13"/>
    <w:rsid w:val="001F6D11"/>
    <w:rsid w:val="001F7DC6"/>
    <w:rsid w:val="00202886"/>
    <w:rsid w:val="00215CEF"/>
    <w:rsid w:val="00217A08"/>
    <w:rsid w:val="00220B77"/>
    <w:rsid w:val="00237233"/>
    <w:rsid w:val="002421BB"/>
    <w:rsid w:val="00245E40"/>
    <w:rsid w:val="00246A81"/>
    <w:rsid w:val="00251A5F"/>
    <w:rsid w:val="00253843"/>
    <w:rsid w:val="0025796E"/>
    <w:rsid w:val="002603E5"/>
    <w:rsid w:val="00261BD5"/>
    <w:rsid w:val="002638B2"/>
    <w:rsid w:val="002660F2"/>
    <w:rsid w:val="002664BB"/>
    <w:rsid w:val="002707A2"/>
    <w:rsid w:val="002835A6"/>
    <w:rsid w:val="002844ED"/>
    <w:rsid w:val="002951A0"/>
    <w:rsid w:val="002962BC"/>
    <w:rsid w:val="002A093D"/>
    <w:rsid w:val="002A0DD0"/>
    <w:rsid w:val="002A49AC"/>
    <w:rsid w:val="002A64FD"/>
    <w:rsid w:val="002A6BBF"/>
    <w:rsid w:val="002B1E57"/>
    <w:rsid w:val="002C110E"/>
    <w:rsid w:val="002C2A72"/>
    <w:rsid w:val="002C379A"/>
    <w:rsid w:val="002C765E"/>
    <w:rsid w:val="002C7A84"/>
    <w:rsid w:val="002D13A1"/>
    <w:rsid w:val="002D3F0D"/>
    <w:rsid w:val="002E1D98"/>
    <w:rsid w:val="002E2C3F"/>
    <w:rsid w:val="002E2C7E"/>
    <w:rsid w:val="002E4FD9"/>
    <w:rsid w:val="002E6F15"/>
    <w:rsid w:val="002F13FD"/>
    <w:rsid w:val="00303544"/>
    <w:rsid w:val="003039C1"/>
    <w:rsid w:val="00310DBE"/>
    <w:rsid w:val="0031430F"/>
    <w:rsid w:val="00320BBD"/>
    <w:rsid w:val="00322A85"/>
    <w:rsid w:val="00322BD5"/>
    <w:rsid w:val="00324168"/>
    <w:rsid w:val="0033032A"/>
    <w:rsid w:val="00334C6A"/>
    <w:rsid w:val="00336C05"/>
    <w:rsid w:val="00337496"/>
    <w:rsid w:val="00342675"/>
    <w:rsid w:val="00343512"/>
    <w:rsid w:val="003448F4"/>
    <w:rsid w:val="00345330"/>
    <w:rsid w:val="003528DF"/>
    <w:rsid w:val="00352C12"/>
    <w:rsid w:val="0035440D"/>
    <w:rsid w:val="00354BCA"/>
    <w:rsid w:val="003612F8"/>
    <w:rsid w:val="00363836"/>
    <w:rsid w:val="0036594E"/>
    <w:rsid w:val="003665EE"/>
    <w:rsid w:val="00367ED9"/>
    <w:rsid w:val="0037010E"/>
    <w:rsid w:val="0037221D"/>
    <w:rsid w:val="003734F4"/>
    <w:rsid w:val="00374F5E"/>
    <w:rsid w:val="00377E3E"/>
    <w:rsid w:val="003815E8"/>
    <w:rsid w:val="00392A49"/>
    <w:rsid w:val="00395238"/>
    <w:rsid w:val="003A26D1"/>
    <w:rsid w:val="003A3B30"/>
    <w:rsid w:val="003A779E"/>
    <w:rsid w:val="003B005A"/>
    <w:rsid w:val="003C3FA5"/>
    <w:rsid w:val="003C41DB"/>
    <w:rsid w:val="003D0F4D"/>
    <w:rsid w:val="003D2E82"/>
    <w:rsid w:val="003D5B0D"/>
    <w:rsid w:val="003D6525"/>
    <w:rsid w:val="003E0499"/>
    <w:rsid w:val="003E40F2"/>
    <w:rsid w:val="003E6AC6"/>
    <w:rsid w:val="003F3941"/>
    <w:rsid w:val="003F5ED1"/>
    <w:rsid w:val="00400676"/>
    <w:rsid w:val="00406575"/>
    <w:rsid w:val="00410906"/>
    <w:rsid w:val="0041655A"/>
    <w:rsid w:val="0042722E"/>
    <w:rsid w:val="00427DA0"/>
    <w:rsid w:val="00440391"/>
    <w:rsid w:val="00442C7F"/>
    <w:rsid w:val="0044528D"/>
    <w:rsid w:val="00445908"/>
    <w:rsid w:val="00450920"/>
    <w:rsid w:val="00454D48"/>
    <w:rsid w:val="004554F9"/>
    <w:rsid w:val="0046004D"/>
    <w:rsid w:val="004633DE"/>
    <w:rsid w:val="00465E71"/>
    <w:rsid w:val="004734BD"/>
    <w:rsid w:val="0047463D"/>
    <w:rsid w:val="00474CB2"/>
    <w:rsid w:val="0048232F"/>
    <w:rsid w:val="00482608"/>
    <w:rsid w:val="00483749"/>
    <w:rsid w:val="00484809"/>
    <w:rsid w:val="00496AA6"/>
    <w:rsid w:val="004971D4"/>
    <w:rsid w:val="004A0980"/>
    <w:rsid w:val="004A1847"/>
    <w:rsid w:val="004A305D"/>
    <w:rsid w:val="004A3312"/>
    <w:rsid w:val="004A48F7"/>
    <w:rsid w:val="004B1E87"/>
    <w:rsid w:val="004B740F"/>
    <w:rsid w:val="004C4B37"/>
    <w:rsid w:val="004D026D"/>
    <w:rsid w:val="004D34C4"/>
    <w:rsid w:val="004E221E"/>
    <w:rsid w:val="004E2892"/>
    <w:rsid w:val="004E4C0B"/>
    <w:rsid w:val="004E505B"/>
    <w:rsid w:val="004F21C4"/>
    <w:rsid w:val="004F3012"/>
    <w:rsid w:val="004F5559"/>
    <w:rsid w:val="004F60D2"/>
    <w:rsid w:val="004F685F"/>
    <w:rsid w:val="004F7EC9"/>
    <w:rsid w:val="00514598"/>
    <w:rsid w:val="005163B5"/>
    <w:rsid w:val="00524934"/>
    <w:rsid w:val="0052543A"/>
    <w:rsid w:val="0052785C"/>
    <w:rsid w:val="0053104D"/>
    <w:rsid w:val="00540C2D"/>
    <w:rsid w:val="00551BD7"/>
    <w:rsid w:val="00552502"/>
    <w:rsid w:val="005566E8"/>
    <w:rsid w:val="00560CB5"/>
    <w:rsid w:val="00574122"/>
    <w:rsid w:val="00574867"/>
    <w:rsid w:val="00577D09"/>
    <w:rsid w:val="00591460"/>
    <w:rsid w:val="00592628"/>
    <w:rsid w:val="00597C75"/>
    <w:rsid w:val="005A0868"/>
    <w:rsid w:val="005A0CFB"/>
    <w:rsid w:val="005A282F"/>
    <w:rsid w:val="005A2AC9"/>
    <w:rsid w:val="005B2CCE"/>
    <w:rsid w:val="005B58C1"/>
    <w:rsid w:val="005B6033"/>
    <w:rsid w:val="005C21F1"/>
    <w:rsid w:val="005C3777"/>
    <w:rsid w:val="005C5CDC"/>
    <w:rsid w:val="005D2B2B"/>
    <w:rsid w:val="005D476C"/>
    <w:rsid w:val="005D4ADB"/>
    <w:rsid w:val="005D5F91"/>
    <w:rsid w:val="005D7B25"/>
    <w:rsid w:val="005E0C91"/>
    <w:rsid w:val="005F0A6A"/>
    <w:rsid w:val="005F4E34"/>
    <w:rsid w:val="005F7C43"/>
    <w:rsid w:val="00605A00"/>
    <w:rsid w:val="00610812"/>
    <w:rsid w:val="00612CE7"/>
    <w:rsid w:val="006219F8"/>
    <w:rsid w:val="0063165E"/>
    <w:rsid w:val="00632C08"/>
    <w:rsid w:val="006423B6"/>
    <w:rsid w:val="00646F0E"/>
    <w:rsid w:val="00650FF7"/>
    <w:rsid w:val="00652217"/>
    <w:rsid w:val="00654462"/>
    <w:rsid w:val="00665D70"/>
    <w:rsid w:val="00671DAC"/>
    <w:rsid w:val="006747C7"/>
    <w:rsid w:val="00674D48"/>
    <w:rsid w:val="006773FC"/>
    <w:rsid w:val="006827AC"/>
    <w:rsid w:val="006859A3"/>
    <w:rsid w:val="006900D9"/>
    <w:rsid w:val="006A0008"/>
    <w:rsid w:val="006A10DF"/>
    <w:rsid w:val="006A3147"/>
    <w:rsid w:val="006A5798"/>
    <w:rsid w:val="006B6987"/>
    <w:rsid w:val="006B6B1E"/>
    <w:rsid w:val="006B6CAE"/>
    <w:rsid w:val="006C0240"/>
    <w:rsid w:val="006C2F05"/>
    <w:rsid w:val="006C5595"/>
    <w:rsid w:val="006D12F8"/>
    <w:rsid w:val="006F2501"/>
    <w:rsid w:val="00704D9B"/>
    <w:rsid w:val="00705E5F"/>
    <w:rsid w:val="00706C16"/>
    <w:rsid w:val="00711C85"/>
    <w:rsid w:val="0071458F"/>
    <w:rsid w:val="00715D5A"/>
    <w:rsid w:val="00723A7F"/>
    <w:rsid w:val="00737C53"/>
    <w:rsid w:val="00737DFA"/>
    <w:rsid w:val="00756841"/>
    <w:rsid w:val="00762AA9"/>
    <w:rsid w:val="007649AB"/>
    <w:rsid w:val="00771D0C"/>
    <w:rsid w:val="007814FE"/>
    <w:rsid w:val="007833AC"/>
    <w:rsid w:val="00784D58"/>
    <w:rsid w:val="00786FBF"/>
    <w:rsid w:val="00790AB7"/>
    <w:rsid w:val="00791769"/>
    <w:rsid w:val="00796340"/>
    <w:rsid w:val="007A23EA"/>
    <w:rsid w:val="007A5189"/>
    <w:rsid w:val="007B1611"/>
    <w:rsid w:val="007B268C"/>
    <w:rsid w:val="007B7171"/>
    <w:rsid w:val="007B7D02"/>
    <w:rsid w:val="007C0C0F"/>
    <w:rsid w:val="007C3DC2"/>
    <w:rsid w:val="007D0457"/>
    <w:rsid w:val="007D43C9"/>
    <w:rsid w:val="007D719F"/>
    <w:rsid w:val="007E0279"/>
    <w:rsid w:val="007E5497"/>
    <w:rsid w:val="007F28CA"/>
    <w:rsid w:val="007F52A4"/>
    <w:rsid w:val="007F60FB"/>
    <w:rsid w:val="007F7B94"/>
    <w:rsid w:val="00804981"/>
    <w:rsid w:val="0080589D"/>
    <w:rsid w:val="00806F5F"/>
    <w:rsid w:val="008163D7"/>
    <w:rsid w:val="00820278"/>
    <w:rsid w:val="008265B5"/>
    <w:rsid w:val="00834554"/>
    <w:rsid w:val="00834B31"/>
    <w:rsid w:val="00836323"/>
    <w:rsid w:val="00837BA0"/>
    <w:rsid w:val="00840ADC"/>
    <w:rsid w:val="00843BF7"/>
    <w:rsid w:val="008449B3"/>
    <w:rsid w:val="00846276"/>
    <w:rsid w:val="00850E23"/>
    <w:rsid w:val="00851137"/>
    <w:rsid w:val="00853978"/>
    <w:rsid w:val="0085432F"/>
    <w:rsid w:val="00864209"/>
    <w:rsid w:val="0087325B"/>
    <w:rsid w:val="00880003"/>
    <w:rsid w:val="00881ABA"/>
    <w:rsid w:val="008843B6"/>
    <w:rsid w:val="008849FF"/>
    <w:rsid w:val="00886C89"/>
    <w:rsid w:val="00891928"/>
    <w:rsid w:val="00894B8B"/>
    <w:rsid w:val="008A00A4"/>
    <w:rsid w:val="008A1C75"/>
    <w:rsid w:val="008A446D"/>
    <w:rsid w:val="008A4801"/>
    <w:rsid w:val="008A7F08"/>
    <w:rsid w:val="008B2F0E"/>
    <w:rsid w:val="008B52C6"/>
    <w:rsid w:val="008B5A2E"/>
    <w:rsid w:val="008C6451"/>
    <w:rsid w:val="008D180B"/>
    <w:rsid w:val="008D298A"/>
    <w:rsid w:val="008D7227"/>
    <w:rsid w:val="008E1F92"/>
    <w:rsid w:val="008E7333"/>
    <w:rsid w:val="008E7B09"/>
    <w:rsid w:val="008F0EA7"/>
    <w:rsid w:val="008F7BB9"/>
    <w:rsid w:val="00904692"/>
    <w:rsid w:val="00905E69"/>
    <w:rsid w:val="00910097"/>
    <w:rsid w:val="0091561E"/>
    <w:rsid w:val="00917880"/>
    <w:rsid w:val="00923EEF"/>
    <w:rsid w:val="009411F5"/>
    <w:rsid w:val="009419F9"/>
    <w:rsid w:val="00953AA4"/>
    <w:rsid w:val="00955305"/>
    <w:rsid w:val="0095685E"/>
    <w:rsid w:val="009572D9"/>
    <w:rsid w:val="00961409"/>
    <w:rsid w:val="00961B09"/>
    <w:rsid w:val="00962300"/>
    <w:rsid w:val="00965334"/>
    <w:rsid w:val="0097093E"/>
    <w:rsid w:val="009726F0"/>
    <w:rsid w:val="00976025"/>
    <w:rsid w:val="009800BE"/>
    <w:rsid w:val="00982E41"/>
    <w:rsid w:val="00984649"/>
    <w:rsid w:val="009858BE"/>
    <w:rsid w:val="00995D3B"/>
    <w:rsid w:val="009A06CB"/>
    <w:rsid w:val="009A0DFA"/>
    <w:rsid w:val="009A3C2C"/>
    <w:rsid w:val="009A4A40"/>
    <w:rsid w:val="009B138C"/>
    <w:rsid w:val="009B2D26"/>
    <w:rsid w:val="009B780F"/>
    <w:rsid w:val="009C2AD6"/>
    <w:rsid w:val="009C2DD0"/>
    <w:rsid w:val="009C3AC7"/>
    <w:rsid w:val="009C71FA"/>
    <w:rsid w:val="009C72E7"/>
    <w:rsid w:val="009D0555"/>
    <w:rsid w:val="009D3058"/>
    <w:rsid w:val="009D3A11"/>
    <w:rsid w:val="009D44C4"/>
    <w:rsid w:val="009D67FD"/>
    <w:rsid w:val="009E1BFC"/>
    <w:rsid w:val="009E5A30"/>
    <w:rsid w:val="009E7C05"/>
    <w:rsid w:val="009F3831"/>
    <w:rsid w:val="009F3832"/>
    <w:rsid w:val="009F3A13"/>
    <w:rsid w:val="009F4AB2"/>
    <w:rsid w:val="009F73F7"/>
    <w:rsid w:val="00A02465"/>
    <w:rsid w:val="00A027B7"/>
    <w:rsid w:val="00A03415"/>
    <w:rsid w:val="00A04A81"/>
    <w:rsid w:val="00A104A4"/>
    <w:rsid w:val="00A122D3"/>
    <w:rsid w:val="00A14D3D"/>
    <w:rsid w:val="00A17F13"/>
    <w:rsid w:val="00A20739"/>
    <w:rsid w:val="00A211D0"/>
    <w:rsid w:val="00A23361"/>
    <w:rsid w:val="00A24433"/>
    <w:rsid w:val="00A2443A"/>
    <w:rsid w:val="00A32373"/>
    <w:rsid w:val="00A332DD"/>
    <w:rsid w:val="00A339A9"/>
    <w:rsid w:val="00A33C78"/>
    <w:rsid w:val="00A34B38"/>
    <w:rsid w:val="00A34D87"/>
    <w:rsid w:val="00A35538"/>
    <w:rsid w:val="00A37BC4"/>
    <w:rsid w:val="00A43292"/>
    <w:rsid w:val="00A445C0"/>
    <w:rsid w:val="00A56FCA"/>
    <w:rsid w:val="00A6004A"/>
    <w:rsid w:val="00A613C2"/>
    <w:rsid w:val="00A61857"/>
    <w:rsid w:val="00A74DE6"/>
    <w:rsid w:val="00A8086A"/>
    <w:rsid w:val="00A80F32"/>
    <w:rsid w:val="00A870F1"/>
    <w:rsid w:val="00A87F7D"/>
    <w:rsid w:val="00A9244C"/>
    <w:rsid w:val="00A94D14"/>
    <w:rsid w:val="00AB0ADB"/>
    <w:rsid w:val="00AB3FD1"/>
    <w:rsid w:val="00AC0EAB"/>
    <w:rsid w:val="00AC4701"/>
    <w:rsid w:val="00AC49A2"/>
    <w:rsid w:val="00AD73E2"/>
    <w:rsid w:val="00AE2631"/>
    <w:rsid w:val="00AF1BEC"/>
    <w:rsid w:val="00AF342C"/>
    <w:rsid w:val="00B009B8"/>
    <w:rsid w:val="00B01B1A"/>
    <w:rsid w:val="00B14E03"/>
    <w:rsid w:val="00B24620"/>
    <w:rsid w:val="00B26B98"/>
    <w:rsid w:val="00B35ADC"/>
    <w:rsid w:val="00B37C24"/>
    <w:rsid w:val="00B40FBC"/>
    <w:rsid w:val="00B47FD7"/>
    <w:rsid w:val="00B51F75"/>
    <w:rsid w:val="00B53E27"/>
    <w:rsid w:val="00B558AF"/>
    <w:rsid w:val="00B615BA"/>
    <w:rsid w:val="00B61690"/>
    <w:rsid w:val="00B62D8B"/>
    <w:rsid w:val="00B72CD3"/>
    <w:rsid w:val="00B72FFF"/>
    <w:rsid w:val="00B76CEB"/>
    <w:rsid w:val="00B8257D"/>
    <w:rsid w:val="00B82B8B"/>
    <w:rsid w:val="00B91186"/>
    <w:rsid w:val="00B93423"/>
    <w:rsid w:val="00B976CC"/>
    <w:rsid w:val="00BB42FC"/>
    <w:rsid w:val="00BC0036"/>
    <w:rsid w:val="00BC05A6"/>
    <w:rsid w:val="00BC2AD3"/>
    <w:rsid w:val="00BC3CEC"/>
    <w:rsid w:val="00BC3D36"/>
    <w:rsid w:val="00BD787A"/>
    <w:rsid w:val="00BD7F72"/>
    <w:rsid w:val="00BE03BC"/>
    <w:rsid w:val="00BE0A18"/>
    <w:rsid w:val="00BF1201"/>
    <w:rsid w:val="00BF1D4A"/>
    <w:rsid w:val="00BF230F"/>
    <w:rsid w:val="00BF2EE7"/>
    <w:rsid w:val="00C002E3"/>
    <w:rsid w:val="00C012CC"/>
    <w:rsid w:val="00C02BEA"/>
    <w:rsid w:val="00C04FB3"/>
    <w:rsid w:val="00C050E7"/>
    <w:rsid w:val="00C159C1"/>
    <w:rsid w:val="00C16346"/>
    <w:rsid w:val="00C21B15"/>
    <w:rsid w:val="00C32523"/>
    <w:rsid w:val="00C330EB"/>
    <w:rsid w:val="00C34430"/>
    <w:rsid w:val="00C34D2C"/>
    <w:rsid w:val="00C371C9"/>
    <w:rsid w:val="00C40E9F"/>
    <w:rsid w:val="00C41481"/>
    <w:rsid w:val="00C42469"/>
    <w:rsid w:val="00C4268F"/>
    <w:rsid w:val="00C47A07"/>
    <w:rsid w:val="00C57281"/>
    <w:rsid w:val="00C65D65"/>
    <w:rsid w:val="00C67703"/>
    <w:rsid w:val="00C7173F"/>
    <w:rsid w:val="00C730B6"/>
    <w:rsid w:val="00C754BE"/>
    <w:rsid w:val="00C76466"/>
    <w:rsid w:val="00C76B1C"/>
    <w:rsid w:val="00C915DD"/>
    <w:rsid w:val="00C93D4D"/>
    <w:rsid w:val="00CA6A9D"/>
    <w:rsid w:val="00CA7F6B"/>
    <w:rsid w:val="00CB6357"/>
    <w:rsid w:val="00CC0FA3"/>
    <w:rsid w:val="00CC1B26"/>
    <w:rsid w:val="00CC4164"/>
    <w:rsid w:val="00CC49F7"/>
    <w:rsid w:val="00CC54DB"/>
    <w:rsid w:val="00CD087D"/>
    <w:rsid w:val="00CD41CB"/>
    <w:rsid w:val="00CE3B27"/>
    <w:rsid w:val="00CE5414"/>
    <w:rsid w:val="00CF7826"/>
    <w:rsid w:val="00D0157A"/>
    <w:rsid w:val="00D036D8"/>
    <w:rsid w:val="00D038ED"/>
    <w:rsid w:val="00D06D26"/>
    <w:rsid w:val="00D10B75"/>
    <w:rsid w:val="00D13351"/>
    <w:rsid w:val="00D15E25"/>
    <w:rsid w:val="00D17953"/>
    <w:rsid w:val="00D20368"/>
    <w:rsid w:val="00D22361"/>
    <w:rsid w:val="00D22598"/>
    <w:rsid w:val="00D26924"/>
    <w:rsid w:val="00D413F6"/>
    <w:rsid w:val="00D4231B"/>
    <w:rsid w:val="00D423A2"/>
    <w:rsid w:val="00D4506B"/>
    <w:rsid w:val="00D520D8"/>
    <w:rsid w:val="00D52961"/>
    <w:rsid w:val="00D55048"/>
    <w:rsid w:val="00D57FA4"/>
    <w:rsid w:val="00D62DE7"/>
    <w:rsid w:val="00D63AC2"/>
    <w:rsid w:val="00D7383B"/>
    <w:rsid w:val="00D73AD4"/>
    <w:rsid w:val="00D7609E"/>
    <w:rsid w:val="00D76710"/>
    <w:rsid w:val="00D81A63"/>
    <w:rsid w:val="00D81D25"/>
    <w:rsid w:val="00D94C40"/>
    <w:rsid w:val="00DA231B"/>
    <w:rsid w:val="00DA23A0"/>
    <w:rsid w:val="00DA7F66"/>
    <w:rsid w:val="00DB186F"/>
    <w:rsid w:val="00DC38D1"/>
    <w:rsid w:val="00DC39FC"/>
    <w:rsid w:val="00DC4385"/>
    <w:rsid w:val="00DC484F"/>
    <w:rsid w:val="00DC4C27"/>
    <w:rsid w:val="00DC51BC"/>
    <w:rsid w:val="00DC793F"/>
    <w:rsid w:val="00DD5328"/>
    <w:rsid w:val="00DD5997"/>
    <w:rsid w:val="00DF5254"/>
    <w:rsid w:val="00E07B2B"/>
    <w:rsid w:val="00E12426"/>
    <w:rsid w:val="00E16408"/>
    <w:rsid w:val="00E20894"/>
    <w:rsid w:val="00E245AB"/>
    <w:rsid w:val="00E26239"/>
    <w:rsid w:val="00E2764C"/>
    <w:rsid w:val="00E27F2E"/>
    <w:rsid w:val="00E3576F"/>
    <w:rsid w:val="00E35E27"/>
    <w:rsid w:val="00E413EA"/>
    <w:rsid w:val="00E47F28"/>
    <w:rsid w:val="00E50AFE"/>
    <w:rsid w:val="00E52E49"/>
    <w:rsid w:val="00E577AC"/>
    <w:rsid w:val="00E578B6"/>
    <w:rsid w:val="00E61547"/>
    <w:rsid w:val="00E61702"/>
    <w:rsid w:val="00E62DAE"/>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A0E3D"/>
    <w:rsid w:val="00EA1CD8"/>
    <w:rsid w:val="00EA393B"/>
    <w:rsid w:val="00EA39A5"/>
    <w:rsid w:val="00EA74F5"/>
    <w:rsid w:val="00EB2C4B"/>
    <w:rsid w:val="00EB7E00"/>
    <w:rsid w:val="00EC1A2C"/>
    <w:rsid w:val="00EC1FE1"/>
    <w:rsid w:val="00EC38A7"/>
    <w:rsid w:val="00EC6158"/>
    <w:rsid w:val="00ED042A"/>
    <w:rsid w:val="00ED0D4A"/>
    <w:rsid w:val="00ED1C7A"/>
    <w:rsid w:val="00EE13B9"/>
    <w:rsid w:val="00EE1AA8"/>
    <w:rsid w:val="00EE7F94"/>
    <w:rsid w:val="00EF26C3"/>
    <w:rsid w:val="00EF489F"/>
    <w:rsid w:val="00F10211"/>
    <w:rsid w:val="00F10558"/>
    <w:rsid w:val="00F11213"/>
    <w:rsid w:val="00F11BAA"/>
    <w:rsid w:val="00F15862"/>
    <w:rsid w:val="00F238F2"/>
    <w:rsid w:val="00F25C35"/>
    <w:rsid w:val="00F260AA"/>
    <w:rsid w:val="00F27B26"/>
    <w:rsid w:val="00F31EDC"/>
    <w:rsid w:val="00F34D02"/>
    <w:rsid w:val="00F34E84"/>
    <w:rsid w:val="00F40BAD"/>
    <w:rsid w:val="00F462B3"/>
    <w:rsid w:val="00F5184B"/>
    <w:rsid w:val="00F55081"/>
    <w:rsid w:val="00F55168"/>
    <w:rsid w:val="00F56046"/>
    <w:rsid w:val="00F5664F"/>
    <w:rsid w:val="00F606C2"/>
    <w:rsid w:val="00F611E3"/>
    <w:rsid w:val="00F626C4"/>
    <w:rsid w:val="00F64D9E"/>
    <w:rsid w:val="00F666C4"/>
    <w:rsid w:val="00F7684C"/>
    <w:rsid w:val="00F76AFC"/>
    <w:rsid w:val="00F80CBE"/>
    <w:rsid w:val="00F85198"/>
    <w:rsid w:val="00F939CB"/>
    <w:rsid w:val="00F9479C"/>
    <w:rsid w:val="00F965EE"/>
    <w:rsid w:val="00F97949"/>
    <w:rsid w:val="00FA1046"/>
    <w:rsid w:val="00FA1110"/>
    <w:rsid w:val="00FA358D"/>
    <w:rsid w:val="00FA47C0"/>
    <w:rsid w:val="00FB4425"/>
    <w:rsid w:val="00FB5615"/>
    <w:rsid w:val="00FB5DD1"/>
    <w:rsid w:val="00FB7F81"/>
    <w:rsid w:val="00FC07B5"/>
    <w:rsid w:val="00FC19CC"/>
    <w:rsid w:val="00FC2B5D"/>
    <w:rsid w:val="00FD00E9"/>
    <w:rsid w:val="00FD1F19"/>
    <w:rsid w:val="00FD2E94"/>
    <w:rsid w:val="00FE122A"/>
    <w:rsid w:val="00FE20E6"/>
    <w:rsid w:val="00FF0C0E"/>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0D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table" w:customStyle="1" w:styleId="Tablaconcuadrcula2">
    <w:name w:val="Tabla con cuadrícula2"/>
    <w:basedOn w:val="Tablanormal"/>
    <w:next w:val="Tablaconcuadrcula"/>
    <w:uiPriority w:val="39"/>
    <w:qFormat/>
    <w:rsid w:val="0036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qFormat/>
    <w:rsid w:val="003612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Fuentedeprrafopredeter"/>
    <w:uiPriority w:val="99"/>
    <w:semiHidden/>
    <w:unhideWhenUsed/>
    <w:rsid w:val="00496A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56652">
      <w:bodyDiv w:val="1"/>
      <w:marLeft w:val="0"/>
      <w:marRight w:val="0"/>
      <w:marTop w:val="0"/>
      <w:marBottom w:val="0"/>
      <w:divBdr>
        <w:top w:val="none" w:sz="0" w:space="0" w:color="auto"/>
        <w:left w:val="none" w:sz="0" w:space="0" w:color="auto"/>
        <w:bottom w:val="none" w:sz="0" w:space="0" w:color="auto"/>
        <w:right w:val="none" w:sz="0" w:space="0" w:color="auto"/>
      </w:divBdr>
      <w:divsChild>
        <w:div w:id="1321419152">
          <w:marLeft w:val="0"/>
          <w:marRight w:val="0"/>
          <w:marTop w:val="0"/>
          <w:marBottom w:val="0"/>
          <w:divBdr>
            <w:top w:val="none" w:sz="0" w:space="0" w:color="auto"/>
            <w:left w:val="none" w:sz="0" w:space="0" w:color="auto"/>
            <w:bottom w:val="none" w:sz="0" w:space="0" w:color="auto"/>
            <w:right w:val="none" w:sz="0" w:space="0" w:color="auto"/>
          </w:divBdr>
          <w:divsChild>
            <w:div w:id="1858886965">
              <w:marLeft w:val="0"/>
              <w:marRight w:val="0"/>
              <w:marTop w:val="0"/>
              <w:marBottom w:val="0"/>
              <w:divBdr>
                <w:top w:val="none" w:sz="0" w:space="0" w:color="auto"/>
                <w:left w:val="none" w:sz="0" w:space="0" w:color="auto"/>
                <w:bottom w:val="none" w:sz="0" w:space="0" w:color="auto"/>
                <w:right w:val="none" w:sz="0" w:space="0" w:color="auto"/>
              </w:divBdr>
              <w:divsChild>
                <w:div w:id="10757392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843075">
          <w:marLeft w:val="0"/>
          <w:marRight w:val="0"/>
          <w:marTop w:val="0"/>
          <w:marBottom w:val="0"/>
          <w:divBdr>
            <w:top w:val="none" w:sz="0" w:space="0" w:color="auto"/>
            <w:left w:val="none" w:sz="0" w:space="0" w:color="auto"/>
            <w:bottom w:val="none" w:sz="0" w:space="0" w:color="auto"/>
            <w:right w:val="none" w:sz="0" w:space="0" w:color="auto"/>
          </w:divBdr>
          <w:divsChild>
            <w:div w:id="1112676437">
              <w:marLeft w:val="0"/>
              <w:marRight w:val="0"/>
              <w:marTop w:val="0"/>
              <w:marBottom w:val="0"/>
              <w:divBdr>
                <w:top w:val="none" w:sz="0" w:space="0" w:color="auto"/>
                <w:left w:val="none" w:sz="0" w:space="0" w:color="auto"/>
                <w:bottom w:val="none" w:sz="0" w:space="0" w:color="auto"/>
                <w:right w:val="none" w:sz="0" w:space="0" w:color="auto"/>
              </w:divBdr>
              <w:divsChild>
                <w:div w:id="133904023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05693166">
          <w:marLeft w:val="0"/>
          <w:marRight w:val="0"/>
          <w:marTop w:val="0"/>
          <w:marBottom w:val="0"/>
          <w:divBdr>
            <w:top w:val="none" w:sz="0" w:space="0" w:color="auto"/>
            <w:left w:val="none" w:sz="0" w:space="0" w:color="auto"/>
            <w:bottom w:val="none" w:sz="0" w:space="0" w:color="auto"/>
            <w:right w:val="none" w:sz="0" w:space="0" w:color="auto"/>
          </w:divBdr>
          <w:divsChild>
            <w:div w:id="474566452">
              <w:marLeft w:val="0"/>
              <w:marRight w:val="0"/>
              <w:marTop w:val="0"/>
              <w:marBottom w:val="0"/>
              <w:divBdr>
                <w:top w:val="none" w:sz="0" w:space="0" w:color="auto"/>
                <w:left w:val="none" w:sz="0" w:space="0" w:color="auto"/>
                <w:bottom w:val="none" w:sz="0" w:space="0" w:color="auto"/>
                <w:right w:val="none" w:sz="0" w:space="0" w:color="auto"/>
              </w:divBdr>
              <w:divsChild>
                <w:div w:id="4217180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30533897">
          <w:marLeft w:val="0"/>
          <w:marRight w:val="0"/>
          <w:marTop w:val="0"/>
          <w:marBottom w:val="0"/>
          <w:divBdr>
            <w:top w:val="none" w:sz="0" w:space="0" w:color="auto"/>
            <w:left w:val="none" w:sz="0" w:space="0" w:color="auto"/>
            <w:bottom w:val="none" w:sz="0" w:space="0" w:color="auto"/>
            <w:right w:val="none" w:sz="0" w:space="0" w:color="auto"/>
          </w:divBdr>
          <w:divsChild>
            <w:div w:id="460920788">
              <w:marLeft w:val="0"/>
              <w:marRight w:val="0"/>
              <w:marTop w:val="0"/>
              <w:marBottom w:val="0"/>
              <w:divBdr>
                <w:top w:val="none" w:sz="0" w:space="0" w:color="auto"/>
                <w:left w:val="none" w:sz="0" w:space="0" w:color="auto"/>
                <w:bottom w:val="none" w:sz="0" w:space="0" w:color="auto"/>
                <w:right w:val="none" w:sz="0" w:space="0" w:color="auto"/>
              </w:divBdr>
              <w:divsChild>
                <w:div w:id="85076186">
                  <w:marLeft w:val="-420"/>
                  <w:marRight w:val="0"/>
                  <w:marTop w:val="0"/>
                  <w:marBottom w:val="0"/>
                  <w:divBdr>
                    <w:top w:val="none" w:sz="0" w:space="0" w:color="auto"/>
                    <w:left w:val="none" w:sz="0" w:space="0" w:color="auto"/>
                    <w:bottom w:val="none" w:sz="0" w:space="0" w:color="auto"/>
                    <w:right w:val="none" w:sz="0" w:space="0" w:color="auto"/>
                  </w:divBdr>
                  <w:divsChild>
                    <w:div w:id="74867382">
                      <w:marLeft w:val="0"/>
                      <w:marRight w:val="0"/>
                      <w:marTop w:val="0"/>
                      <w:marBottom w:val="0"/>
                      <w:divBdr>
                        <w:top w:val="none" w:sz="0" w:space="0" w:color="auto"/>
                        <w:left w:val="none" w:sz="0" w:space="0" w:color="auto"/>
                        <w:bottom w:val="none" w:sz="0" w:space="0" w:color="auto"/>
                        <w:right w:val="none" w:sz="0" w:space="0" w:color="auto"/>
                      </w:divBdr>
                      <w:divsChild>
                        <w:div w:id="787047848">
                          <w:marLeft w:val="0"/>
                          <w:marRight w:val="0"/>
                          <w:marTop w:val="0"/>
                          <w:marBottom w:val="0"/>
                          <w:divBdr>
                            <w:top w:val="none" w:sz="0" w:space="0" w:color="auto"/>
                            <w:left w:val="none" w:sz="0" w:space="0" w:color="auto"/>
                            <w:bottom w:val="none" w:sz="0" w:space="0" w:color="auto"/>
                            <w:right w:val="none" w:sz="0" w:space="0" w:color="auto"/>
                          </w:divBdr>
                          <w:divsChild>
                            <w:div w:id="269167448">
                              <w:marLeft w:val="0"/>
                              <w:marRight w:val="0"/>
                              <w:marTop w:val="0"/>
                              <w:marBottom w:val="0"/>
                              <w:divBdr>
                                <w:top w:val="none" w:sz="0" w:space="0" w:color="auto"/>
                                <w:left w:val="none" w:sz="0" w:space="0" w:color="auto"/>
                                <w:bottom w:val="none" w:sz="0" w:space="0" w:color="auto"/>
                                <w:right w:val="none" w:sz="0" w:space="0" w:color="auto"/>
                              </w:divBdr>
                            </w:div>
                            <w:div w:id="165977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575565">
                  <w:marLeft w:val="-420"/>
                  <w:marRight w:val="0"/>
                  <w:marTop w:val="0"/>
                  <w:marBottom w:val="0"/>
                  <w:divBdr>
                    <w:top w:val="none" w:sz="0" w:space="0" w:color="auto"/>
                    <w:left w:val="none" w:sz="0" w:space="0" w:color="auto"/>
                    <w:bottom w:val="none" w:sz="0" w:space="0" w:color="auto"/>
                    <w:right w:val="none" w:sz="0" w:space="0" w:color="auto"/>
                  </w:divBdr>
                  <w:divsChild>
                    <w:div w:id="1321931935">
                      <w:marLeft w:val="0"/>
                      <w:marRight w:val="0"/>
                      <w:marTop w:val="0"/>
                      <w:marBottom w:val="0"/>
                      <w:divBdr>
                        <w:top w:val="none" w:sz="0" w:space="0" w:color="auto"/>
                        <w:left w:val="none" w:sz="0" w:space="0" w:color="auto"/>
                        <w:bottom w:val="none" w:sz="0" w:space="0" w:color="auto"/>
                        <w:right w:val="none" w:sz="0" w:space="0" w:color="auto"/>
                      </w:divBdr>
                      <w:divsChild>
                        <w:div w:id="1153451185">
                          <w:marLeft w:val="0"/>
                          <w:marRight w:val="0"/>
                          <w:marTop w:val="0"/>
                          <w:marBottom w:val="0"/>
                          <w:divBdr>
                            <w:top w:val="none" w:sz="0" w:space="0" w:color="auto"/>
                            <w:left w:val="none" w:sz="0" w:space="0" w:color="auto"/>
                            <w:bottom w:val="none" w:sz="0" w:space="0" w:color="auto"/>
                            <w:right w:val="none" w:sz="0" w:space="0" w:color="auto"/>
                          </w:divBdr>
                          <w:divsChild>
                            <w:div w:id="1073356219">
                              <w:marLeft w:val="0"/>
                              <w:marRight w:val="0"/>
                              <w:marTop w:val="0"/>
                              <w:marBottom w:val="0"/>
                              <w:divBdr>
                                <w:top w:val="none" w:sz="0" w:space="0" w:color="auto"/>
                                <w:left w:val="none" w:sz="0" w:space="0" w:color="auto"/>
                                <w:bottom w:val="none" w:sz="0" w:space="0" w:color="auto"/>
                                <w:right w:val="none" w:sz="0" w:space="0" w:color="auto"/>
                              </w:divBdr>
                            </w:div>
                            <w:div w:id="35719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401279">
                  <w:marLeft w:val="-420"/>
                  <w:marRight w:val="0"/>
                  <w:marTop w:val="0"/>
                  <w:marBottom w:val="0"/>
                  <w:divBdr>
                    <w:top w:val="none" w:sz="0" w:space="0" w:color="auto"/>
                    <w:left w:val="none" w:sz="0" w:space="0" w:color="auto"/>
                    <w:bottom w:val="none" w:sz="0" w:space="0" w:color="auto"/>
                    <w:right w:val="none" w:sz="0" w:space="0" w:color="auto"/>
                  </w:divBdr>
                  <w:divsChild>
                    <w:div w:id="1202092988">
                      <w:marLeft w:val="0"/>
                      <w:marRight w:val="0"/>
                      <w:marTop w:val="0"/>
                      <w:marBottom w:val="0"/>
                      <w:divBdr>
                        <w:top w:val="none" w:sz="0" w:space="0" w:color="auto"/>
                        <w:left w:val="none" w:sz="0" w:space="0" w:color="auto"/>
                        <w:bottom w:val="none" w:sz="0" w:space="0" w:color="auto"/>
                        <w:right w:val="none" w:sz="0" w:space="0" w:color="auto"/>
                      </w:divBdr>
                      <w:divsChild>
                        <w:div w:id="299462439">
                          <w:marLeft w:val="0"/>
                          <w:marRight w:val="0"/>
                          <w:marTop w:val="0"/>
                          <w:marBottom w:val="0"/>
                          <w:divBdr>
                            <w:top w:val="none" w:sz="0" w:space="0" w:color="auto"/>
                            <w:left w:val="none" w:sz="0" w:space="0" w:color="auto"/>
                            <w:bottom w:val="none" w:sz="0" w:space="0" w:color="auto"/>
                            <w:right w:val="none" w:sz="0" w:space="0" w:color="auto"/>
                          </w:divBdr>
                          <w:divsChild>
                            <w:div w:id="1790853143">
                              <w:marLeft w:val="0"/>
                              <w:marRight w:val="0"/>
                              <w:marTop w:val="0"/>
                              <w:marBottom w:val="0"/>
                              <w:divBdr>
                                <w:top w:val="none" w:sz="0" w:space="0" w:color="auto"/>
                                <w:left w:val="none" w:sz="0" w:space="0" w:color="auto"/>
                                <w:bottom w:val="none" w:sz="0" w:space="0" w:color="auto"/>
                                <w:right w:val="none" w:sz="0" w:space="0" w:color="auto"/>
                              </w:divBdr>
                            </w:div>
                            <w:div w:id="14277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49035">
                  <w:marLeft w:val="-420"/>
                  <w:marRight w:val="0"/>
                  <w:marTop w:val="0"/>
                  <w:marBottom w:val="0"/>
                  <w:divBdr>
                    <w:top w:val="none" w:sz="0" w:space="0" w:color="auto"/>
                    <w:left w:val="none" w:sz="0" w:space="0" w:color="auto"/>
                    <w:bottom w:val="none" w:sz="0" w:space="0" w:color="auto"/>
                    <w:right w:val="none" w:sz="0" w:space="0" w:color="auto"/>
                  </w:divBdr>
                  <w:divsChild>
                    <w:div w:id="1868983239">
                      <w:marLeft w:val="0"/>
                      <w:marRight w:val="0"/>
                      <w:marTop w:val="0"/>
                      <w:marBottom w:val="0"/>
                      <w:divBdr>
                        <w:top w:val="none" w:sz="0" w:space="0" w:color="auto"/>
                        <w:left w:val="none" w:sz="0" w:space="0" w:color="auto"/>
                        <w:bottom w:val="none" w:sz="0" w:space="0" w:color="auto"/>
                        <w:right w:val="none" w:sz="0" w:space="0" w:color="auto"/>
                      </w:divBdr>
                      <w:divsChild>
                        <w:div w:id="900022072">
                          <w:marLeft w:val="0"/>
                          <w:marRight w:val="0"/>
                          <w:marTop w:val="0"/>
                          <w:marBottom w:val="0"/>
                          <w:divBdr>
                            <w:top w:val="none" w:sz="0" w:space="0" w:color="auto"/>
                            <w:left w:val="none" w:sz="0" w:space="0" w:color="auto"/>
                            <w:bottom w:val="none" w:sz="0" w:space="0" w:color="auto"/>
                            <w:right w:val="none" w:sz="0" w:space="0" w:color="auto"/>
                          </w:divBdr>
                          <w:divsChild>
                            <w:div w:id="119765887">
                              <w:marLeft w:val="0"/>
                              <w:marRight w:val="0"/>
                              <w:marTop w:val="0"/>
                              <w:marBottom w:val="0"/>
                              <w:divBdr>
                                <w:top w:val="none" w:sz="0" w:space="0" w:color="auto"/>
                                <w:left w:val="none" w:sz="0" w:space="0" w:color="auto"/>
                                <w:bottom w:val="none" w:sz="0" w:space="0" w:color="auto"/>
                                <w:right w:val="none" w:sz="0" w:space="0" w:color="auto"/>
                              </w:divBdr>
                            </w:div>
                            <w:div w:id="164635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1759">
                  <w:marLeft w:val="-420"/>
                  <w:marRight w:val="0"/>
                  <w:marTop w:val="0"/>
                  <w:marBottom w:val="0"/>
                  <w:divBdr>
                    <w:top w:val="none" w:sz="0" w:space="0" w:color="auto"/>
                    <w:left w:val="none" w:sz="0" w:space="0" w:color="auto"/>
                    <w:bottom w:val="none" w:sz="0" w:space="0" w:color="auto"/>
                    <w:right w:val="none" w:sz="0" w:space="0" w:color="auto"/>
                  </w:divBdr>
                  <w:divsChild>
                    <w:div w:id="147094427">
                      <w:marLeft w:val="0"/>
                      <w:marRight w:val="0"/>
                      <w:marTop w:val="0"/>
                      <w:marBottom w:val="0"/>
                      <w:divBdr>
                        <w:top w:val="none" w:sz="0" w:space="0" w:color="auto"/>
                        <w:left w:val="none" w:sz="0" w:space="0" w:color="auto"/>
                        <w:bottom w:val="none" w:sz="0" w:space="0" w:color="auto"/>
                        <w:right w:val="none" w:sz="0" w:space="0" w:color="auto"/>
                      </w:divBdr>
                      <w:divsChild>
                        <w:div w:id="2050495066">
                          <w:marLeft w:val="0"/>
                          <w:marRight w:val="0"/>
                          <w:marTop w:val="0"/>
                          <w:marBottom w:val="0"/>
                          <w:divBdr>
                            <w:top w:val="none" w:sz="0" w:space="0" w:color="auto"/>
                            <w:left w:val="none" w:sz="0" w:space="0" w:color="auto"/>
                            <w:bottom w:val="none" w:sz="0" w:space="0" w:color="auto"/>
                            <w:right w:val="none" w:sz="0" w:space="0" w:color="auto"/>
                          </w:divBdr>
                          <w:divsChild>
                            <w:div w:id="201673686">
                              <w:marLeft w:val="0"/>
                              <w:marRight w:val="0"/>
                              <w:marTop w:val="0"/>
                              <w:marBottom w:val="0"/>
                              <w:divBdr>
                                <w:top w:val="none" w:sz="0" w:space="0" w:color="auto"/>
                                <w:left w:val="none" w:sz="0" w:space="0" w:color="auto"/>
                                <w:bottom w:val="none" w:sz="0" w:space="0" w:color="auto"/>
                                <w:right w:val="none" w:sz="0" w:space="0" w:color="auto"/>
                              </w:divBdr>
                            </w:div>
                            <w:div w:id="163586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242492">
                  <w:marLeft w:val="-420"/>
                  <w:marRight w:val="0"/>
                  <w:marTop w:val="0"/>
                  <w:marBottom w:val="0"/>
                  <w:divBdr>
                    <w:top w:val="none" w:sz="0" w:space="0" w:color="auto"/>
                    <w:left w:val="none" w:sz="0" w:space="0" w:color="auto"/>
                    <w:bottom w:val="none" w:sz="0" w:space="0" w:color="auto"/>
                    <w:right w:val="none" w:sz="0" w:space="0" w:color="auto"/>
                  </w:divBdr>
                  <w:divsChild>
                    <w:div w:id="794443889">
                      <w:marLeft w:val="0"/>
                      <w:marRight w:val="0"/>
                      <w:marTop w:val="0"/>
                      <w:marBottom w:val="0"/>
                      <w:divBdr>
                        <w:top w:val="none" w:sz="0" w:space="0" w:color="auto"/>
                        <w:left w:val="none" w:sz="0" w:space="0" w:color="auto"/>
                        <w:bottom w:val="none" w:sz="0" w:space="0" w:color="auto"/>
                        <w:right w:val="none" w:sz="0" w:space="0" w:color="auto"/>
                      </w:divBdr>
                      <w:divsChild>
                        <w:div w:id="434593226">
                          <w:marLeft w:val="0"/>
                          <w:marRight w:val="0"/>
                          <w:marTop w:val="0"/>
                          <w:marBottom w:val="0"/>
                          <w:divBdr>
                            <w:top w:val="none" w:sz="0" w:space="0" w:color="auto"/>
                            <w:left w:val="none" w:sz="0" w:space="0" w:color="auto"/>
                            <w:bottom w:val="none" w:sz="0" w:space="0" w:color="auto"/>
                            <w:right w:val="none" w:sz="0" w:space="0" w:color="auto"/>
                          </w:divBdr>
                          <w:divsChild>
                            <w:div w:id="419910499">
                              <w:marLeft w:val="0"/>
                              <w:marRight w:val="0"/>
                              <w:marTop w:val="0"/>
                              <w:marBottom w:val="0"/>
                              <w:divBdr>
                                <w:top w:val="none" w:sz="0" w:space="0" w:color="auto"/>
                                <w:left w:val="none" w:sz="0" w:space="0" w:color="auto"/>
                                <w:bottom w:val="none" w:sz="0" w:space="0" w:color="auto"/>
                                <w:right w:val="none" w:sz="0" w:space="0" w:color="auto"/>
                              </w:divBdr>
                            </w:div>
                            <w:div w:id="8134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487059">
          <w:marLeft w:val="0"/>
          <w:marRight w:val="0"/>
          <w:marTop w:val="0"/>
          <w:marBottom w:val="0"/>
          <w:divBdr>
            <w:top w:val="none" w:sz="0" w:space="0" w:color="auto"/>
            <w:left w:val="none" w:sz="0" w:space="0" w:color="auto"/>
            <w:bottom w:val="none" w:sz="0" w:space="0" w:color="auto"/>
            <w:right w:val="none" w:sz="0" w:space="0" w:color="auto"/>
          </w:divBdr>
          <w:divsChild>
            <w:div w:id="119807459">
              <w:marLeft w:val="0"/>
              <w:marRight w:val="0"/>
              <w:marTop w:val="0"/>
              <w:marBottom w:val="0"/>
              <w:divBdr>
                <w:top w:val="none" w:sz="0" w:space="0" w:color="auto"/>
                <w:left w:val="none" w:sz="0" w:space="0" w:color="auto"/>
                <w:bottom w:val="none" w:sz="0" w:space="0" w:color="auto"/>
                <w:right w:val="none" w:sz="0" w:space="0" w:color="auto"/>
              </w:divBdr>
              <w:divsChild>
                <w:div w:id="160799853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73213923">
      <w:bodyDiv w:val="1"/>
      <w:marLeft w:val="0"/>
      <w:marRight w:val="0"/>
      <w:marTop w:val="0"/>
      <w:marBottom w:val="0"/>
      <w:divBdr>
        <w:top w:val="none" w:sz="0" w:space="0" w:color="auto"/>
        <w:left w:val="none" w:sz="0" w:space="0" w:color="auto"/>
        <w:bottom w:val="none" w:sz="0" w:space="0" w:color="auto"/>
        <w:right w:val="none" w:sz="0" w:space="0" w:color="auto"/>
      </w:divBdr>
      <w:divsChild>
        <w:div w:id="569387282">
          <w:marLeft w:val="0"/>
          <w:marRight w:val="0"/>
          <w:marTop w:val="0"/>
          <w:marBottom w:val="0"/>
          <w:divBdr>
            <w:top w:val="none" w:sz="0" w:space="0" w:color="auto"/>
            <w:left w:val="none" w:sz="0" w:space="0" w:color="auto"/>
            <w:bottom w:val="none" w:sz="0" w:space="0" w:color="auto"/>
            <w:right w:val="none" w:sz="0" w:space="0" w:color="auto"/>
          </w:divBdr>
          <w:divsChild>
            <w:div w:id="2911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04247525">
      <w:bodyDiv w:val="1"/>
      <w:marLeft w:val="0"/>
      <w:marRight w:val="0"/>
      <w:marTop w:val="0"/>
      <w:marBottom w:val="0"/>
      <w:divBdr>
        <w:top w:val="none" w:sz="0" w:space="0" w:color="auto"/>
        <w:left w:val="none" w:sz="0" w:space="0" w:color="auto"/>
        <w:bottom w:val="none" w:sz="0" w:space="0" w:color="auto"/>
        <w:right w:val="none" w:sz="0" w:space="0" w:color="auto"/>
      </w:divBdr>
      <w:divsChild>
        <w:div w:id="798498248">
          <w:marLeft w:val="0"/>
          <w:marRight w:val="0"/>
          <w:marTop w:val="0"/>
          <w:marBottom w:val="0"/>
          <w:divBdr>
            <w:top w:val="none" w:sz="0" w:space="0" w:color="auto"/>
            <w:left w:val="none" w:sz="0" w:space="0" w:color="auto"/>
            <w:bottom w:val="none" w:sz="0" w:space="0" w:color="auto"/>
            <w:right w:val="none" w:sz="0" w:space="0" w:color="auto"/>
          </w:divBdr>
          <w:divsChild>
            <w:div w:id="625507675">
              <w:marLeft w:val="0"/>
              <w:marRight w:val="0"/>
              <w:marTop w:val="0"/>
              <w:marBottom w:val="0"/>
              <w:divBdr>
                <w:top w:val="none" w:sz="0" w:space="0" w:color="auto"/>
                <w:left w:val="none" w:sz="0" w:space="0" w:color="auto"/>
                <w:bottom w:val="none" w:sz="0" w:space="0" w:color="auto"/>
                <w:right w:val="none" w:sz="0" w:space="0" w:color="auto"/>
              </w:divBdr>
            </w:div>
          </w:divsChild>
        </w:div>
        <w:div w:id="263005484">
          <w:marLeft w:val="0"/>
          <w:marRight w:val="0"/>
          <w:marTop w:val="0"/>
          <w:marBottom w:val="0"/>
          <w:divBdr>
            <w:top w:val="none" w:sz="0" w:space="0" w:color="auto"/>
            <w:left w:val="none" w:sz="0" w:space="0" w:color="auto"/>
            <w:bottom w:val="none" w:sz="0" w:space="0" w:color="auto"/>
            <w:right w:val="none" w:sz="0" w:space="0" w:color="auto"/>
          </w:divBdr>
          <w:divsChild>
            <w:div w:id="33383074">
              <w:marLeft w:val="0"/>
              <w:marRight w:val="0"/>
              <w:marTop w:val="0"/>
              <w:marBottom w:val="0"/>
              <w:divBdr>
                <w:top w:val="none" w:sz="0" w:space="0" w:color="auto"/>
                <w:left w:val="none" w:sz="0" w:space="0" w:color="auto"/>
                <w:bottom w:val="none" w:sz="0" w:space="0" w:color="auto"/>
                <w:right w:val="none" w:sz="0" w:space="0" w:color="auto"/>
              </w:divBdr>
            </w:div>
          </w:divsChild>
        </w:div>
        <w:div w:id="1752972562">
          <w:marLeft w:val="0"/>
          <w:marRight w:val="0"/>
          <w:marTop w:val="0"/>
          <w:marBottom w:val="0"/>
          <w:divBdr>
            <w:top w:val="none" w:sz="0" w:space="0" w:color="auto"/>
            <w:left w:val="none" w:sz="0" w:space="0" w:color="auto"/>
            <w:bottom w:val="none" w:sz="0" w:space="0" w:color="auto"/>
            <w:right w:val="none" w:sz="0" w:space="0" w:color="auto"/>
          </w:divBdr>
          <w:divsChild>
            <w:div w:id="403458026">
              <w:marLeft w:val="0"/>
              <w:marRight w:val="0"/>
              <w:marTop w:val="0"/>
              <w:marBottom w:val="0"/>
              <w:divBdr>
                <w:top w:val="none" w:sz="0" w:space="0" w:color="auto"/>
                <w:left w:val="none" w:sz="0" w:space="0" w:color="auto"/>
                <w:bottom w:val="none" w:sz="0" w:space="0" w:color="auto"/>
                <w:right w:val="none" w:sz="0" w:space="0" w:color="auto"/>
              </w:divBdr>
            </w:div>
          </w:divsChild>
        </w:div>
        <w:div w:id="379938772">
          <w:marLeft w:val="0"/>
          <w:marRight w:val="0"/>
          <w:marTop w:val="0"/>
          <w:marBottom w:val="0"/>
          <w:divBdr>
            <w:top w:val="none" w:sz="0" w:space="0" w:color="auto"/>
            <w:left w:val="none" w:sz="0" w:space="0" w:color="auto"/>
            <w:bottom w:val="none" w:sz="0" w:space="0" w:color="auto"/>
            <w:right w:val="none" w:sz="0" w:space="0" w:color="auto"/>
          </w:divBdr>
          <w:divsChild>
            <w:div w:id="179536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558662152">
      <w:bodyDiv w:val="1"/>
      <w:marLeft w:val="0"/>
      <w:marRight w:val="0"/>
      <w:marTop w:val="0"/>
      <w:marBottom w:val="0"/>
      <w:divBdr>
        <w:top w:val="none" w:sz="0" w:space="0" w:color="auto"/>
        <w:left w:val="none" w:sz="0" w:space="0" w:color="auto"/>
        <w:bottom w:val="none" w:sz="0" w:space="0" w:color="auto"/>
        <w:right w:val="none" w:sz="0" w:space="0" w:color="auto"/>
      </w:divBdr>
      <w:divsChild>
        <w:div w:id="1154028147">
          <w:marLeft w:val="0"/>
          <w:marRight w:val="0"/>
          <w:marTop w:val="0"/>
          <w:marBottom w:val="0"/>
          <w:divBdr>
            <w:top w:val="none" w:sz="0" w:space="0" w:color="auto"/>
            <w:left w:val="none" w:sz="0" w:space="0" w:color="auto"/>
            <w:bottom w:val="none" w:sz="0" w:space="0" w:color="auto"/>
            <w:right w:val="none" w:sz="0" w:space="0" w:color="auto"/>
          </w:divBdr>
          <w:divsChild>
            <w:div w:id="1382556312">
              <w:marLeft w:val="0"/>
              <w:marRight w:val="0"/>
              <w:marTop w:val="0"/>
              <w:marBottom w:val="0"/>
              <w:divBdr>
                <w:top w:val="none" w:sz="0" w:space="0" w:color="auto"/>
                <w:left w:val="none" w:sz="0" w:space="0" w:color="auto"/>
                <w:bottom w:val="none" w:sz="0" w:space="0" w:color="auto"/>
                <w:right w:val="none" w:sz="0" w:space="0" w:color="auto"/>
              </w:divBdr>
            </w:div>
          </w:divsChild>
        </w:div>
        <w:div w:id="14963590">
          <w:marLeft w:val="0"/>
          <w:marRight w:val="0"/>
          <w:marTop w:val="0"/>
          <w:marBottom w:val="0"/>
          <w:divBdr>
            <w:top w:val="none" w:sz="0" w:space="0" w:color="auto"/>
            <w:left w:val="none" w:sz="0" w:space="0" w:color="auto"/>
            <w:bottom w:val="none" w:sz="0" w:space="0" w:color="auto"/>
            <w:right w:val="none" w:sz="0" w:space="0" w:color="auto"/>
          </w:divBdr>
          <w:divsChild>
            <w:div w:id="1660697003">
              <w:marLeft w:val="0"/>
              <w:marRight w:val="0"/>
              <w:marTop w:val="0"/>
              <w:marBottom w:val="0"/>
              <w:divBdr>
                <w:top w:val="none" w:sz="0" w:space="0" w:color="auto"/>
                <w:left w:val="none" w:sz="0" w:space="0" w:color="auto"/>
                <w:bottom w:val="none" w:sz="0" w:space="0" w:color="auto"/>
                <w:right w:val="none" w:sz="0" w:space="0" w:color="auto"/>
              </w:divBdr>
            </w:div>
          </w:divsChild>
        </w:div>
        <w:div w:id="227765794">
          <w:marLeft w:val="0"/>
          <w:marRight w:val="0"/>
          <w:marTop w:val="0"/>
          <w:marBottom w:val="0"/>
          <w:divBdr>
            <w:top w:val="none" w:sz="0" w:space="0" w:color="auto"/>
            <w:left w:val="none" w:sz="0" w:space="0" w:color="auto"/>
            <w:bottom w:val="none" w:sz="0" w:space="0" w:color="auto"/>
            <w:right w:val="none" w:sz="0" w:space="0" w:color="auto"/>
          </w:divBdr>
          <w:divsChild>
            <w:div w:id="1447970551">
              <w:marLeft w:val="0"/>
              <w:marRight w:val="0"/>
              <w:marTop w:val="0"/>
              <w:marBottom w:val="0"/>
              <w:divBdr>
                <w:top w:val="none" w:sz="0" w:space="0" w:color="auto"/>
                <w:left w:val="none" w:sz="0" w:space="0" w:color="auto"/>
                <w:bottom w:val="none" w:sz="0" w:space="0" w:color="auto"/>
                <w:right w:val="none" w:sz="0" w:space="0" w:color="auto"/>
              </w:divBdr>
            </w:div>
          </w:divsChild>
        </w:div>
        <w:div w:id="1179153889">
          <w:marLeft w:val="0"/>
          <w:marRight w:val="0"/>
          <w:marTop w:val="0"/>
          <w:marBottom w:val="0"/>
          <w:divBdr>
            <w:top w:val="none" w:sz="0" w:space="0" w:color="auto"/>
            <w:left w:val="none" w:sz="0" w:space="0" w:color="auto"/>
            <w:bottom w:val="none" w:sz="0" w:space="0" w:color="auto"/>
            <w:right w:val="none" w:sz="0" w:space="0" w:color="auto"/>
          </w:divBdr>
          <w:divsChild>
            <w:div w:id="102945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922712180">
      <w:bodyDiv w:val="1"/>
      <w:marLeft w:val="0"/>
      <w:marRight w:val="0"/>
      <w:marTop w:val="0"/>
      <w:marBottom w:val="0"/>
      <w:divBdr>
        <w:top w:val="none" w:sz="0" w:space="0" w:color="auto"/>
        <w:left w:val="none" w:sz="0" w:space="0" w:color="auto"/>
        <w:bottom w:val="none" w:sz="0" w:space="0" w:color="auto"/>
        <w:right w:val="none" w:sz="0" w:space="0" w:color="auto"/>
      </w:divBdr>
      <w:divsChild>
        <w:div w:id="1520007011">
          <w:marLeft w:val="0"/>
          <w:marRight w:val="0"/>
          <w:marTop w:val="0"/>
          <w:marBottom w:val="0"/>
          <w:divBdr>
            <w:top w:val="none" w:sz="0" w:space="0" w:color="auto"/>
            <w:left w:val="none" w:sz="0" w:space="0" w:color="auto"/>
            <w:bottom w:val="none" w:sz="0" w:space="0" w:color="auto"/>
            <w:right w:val="none" w:sz="0" w:space="0" w:color="auto"/>
          </w:divBdr>
          <w:divsChild>
            <w:div w:id="429352846">
              <w:marLeft w:val="0"/>
              <w:marRight w:val="0"/>
              <w:marTop w:val="0"/>
              <w:marBottom w:val="0"/>
              <w:divBdr>
                <w:top w:val="none" w:sz="0" w:space="0" w:color="auto"/>
                <w:left w:val="none" w:sz="0" w:space="0" w:color="auto"/>
                <w:bottom w:val="none" w:sz="0" w:space="0" w:color="auto"/>
                <w:right w:val="none" w:sz="0" w:space="0" w:color="auto"/>
              </w:divBdr>
            </w:div>
          </w:divsChild>
        </w:div>
        <w:div w:id="718822323">
          <w:marLeft w:val="0"/>
          <w:marRight w:val="0"/>
          <w:marTop w:val="0"/>
          <w:marBottom w:val="0"/>
          <w:divBdr>
            <w:top w:val="none" w:sz="0" w:space="0" w:color="auto"/>
            <w:left w:val="none" w:sz="0" w:space="0" w:color="auto"/>
            <w:bottom w:val="none" w:sz="0" w:space="0" w:color="auto"/>
            <w:right w:val="none" w:sz="0" w:space="0" w:color="auto"/>
          </w:divBdr>
          <w:divsChild>
            <w:div w:id="755827950">
              <w:marLeft w:val="0"/>
              <w:marRight w:val="0"/>
              <w:marTop w:val="0"/>
              <w:marBottom w:val="0"/>
              <w:divBdr>
                <w:top w:val="none" w:sz="0" w:space="0" w:color="auto"/>
                <w:left w:val="none" w:sz="0" w:space="0" w:color="auto"/>
                <w:bottom w:val="none" w:sz="0" w:space="0" w:color="auto"/>
                <w:right w:val="none" w:sz="0" w:space="0" w:color="auto"/>
              </w:divBdr>
            </w:div>
          </w:divsChild>
        </w:div>
        <w:div w:id="406615399">
          <w:marLeft w:val="0"/>
          <w:marRight w:val="0"/>
          <w:marTop w:val="0"/>
          <w:marBottom w:val="0"/>
          <w:divBdr>
            <w:top w:val="none" w:sz="0" w:space="0" w:color="auto"/>
            <w:left w:val="none" w:sz="0" w:space="0" w:color="auto"/>
            <w:bottom w:val="none" w:sz="0" w:space="0" w:color="auto"/>
            <w:right w:val="none" w:sz="0" w:space="0" w:color="auto"/>
          </w:divBdr>
          <w:divsChild>
            <w:div w:id="49115181">
              <w:marLeft w:val="0"/>
              <w:marRight w:val="0"/>
              <w:marTop w:val="0"/>
              <w:marBottom w:val="0"/>
              <w:divBdr>
                <w:top w:val="none" w:sz="0" w:space="0" w:color="auto"/>
                <w:left w:val="none" w:sz="0" w:space="0" w:color="auto"/>
                <w:bottom w:val="none" w:sz="0" w:space="0" w:color="auto"/>
                <w:right w:val="none" w:sz="0" w:space="0" w:color="auto"/>
              </w:divBdr>
            </w:div>
          </w:divsChild>
        </w:div>
        <w:div w:id="927617329">
          <w:marLeft w:val="0"/>
          <w:marRight w:val="0"/>
          <w:marTop w:val="0"/>
          <w:marBottom w:val="0"/>
          <w:divBdr>
            <w:top w:val="none" w:sz="0" w:space="0" w:color="auto"/>
            <w:left w:val="none" w:sz="0" w:space="0" w:color="auto"/>
            <w:bottom w:val="none" w:sz="0" w:space="0" w:color="auto"/>
            <w:right w:val="none" w:sz="0" w:space="0" w:color="auto"/>
          </w:divBdr>
          <w:divsChild>
            <w:div w:id="25883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1848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appks@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86541C01-D7FC-407F-A680-0A06EBB5FBDA}">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21</Pages>
  <Words>7477</Words>
  <Characters>41125</Characters>
  <Application>Microsoft Office Word</Application>
  <DocSecurity>0</DocSecurity>
  <Lines>342</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2025-07-21T16:07:00Z</dcterms:created>
  <dcterms:modified xsi:type="dcterms:W3CDTF">2025-07-21T16:07:00Z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