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35A61" w:rsidR="00835A61" w:rsidP="00835A61" w:rsidRDefault="00835A61" w14:paraId="77959FAF" w14:textId="77777777">
      <w:pPr>
        <w:spacing w:line="240" w:lineRule="auto"/>
        <w:jc w:val="both"/>
        <w:rPr>
          <w:rFonts w:ascii="Verdana" w:hAnsi="Verdana" w:eastAsia="Calibri" w:cs="Arial"/>
          <w:b/>
        </w:rPr>
      </w:pPr>
      <w:bookmarkStart w:name="_Hlk181166130" w:id="0"/>
      <w:bookmarkStart w:name="_Hlk143780582" w:id="1"/>
      <w:r w:rsidRPr="00835A61">
        <w:rPr>
          <w:rFonts w:ascii="Verdana" w:hAnsi="Verdana" w:eastAsia="Calibri" w:cs="Arial"/>
          <w:b/>
        </w:rPr>
        <w:t xml:space="preserve">CONTRATO DE TRANSACCIÓN – Noción – Requisitos </w:t>
      </w:r>
    </w:p>
    <w:p w:rsidRPr="00835A61" w:rsidR="00835A61" w:rsidP="07F5D6DA" w:rsidRDefault="00835A61" w14:paraId="421BFA3B" w14:textId="77777777">
      <w:pPr>
        <w:spacing w:line="240" w:lineRule="auto"/>
        <w:jc w:val="both"/>
        <w:rPr>
          <w:rFonts w:ascii="Verdana" w:hAnsi="Verdana" w:eastAsia="Calibri" w:cs="Arial"/>
          <w:sz w:val="20"/>
          <w:szCs w:val="20"/>
          <w:lang w:val="es-ES"/>
        </w:rPr>
      </w:pPr>
      <w:r w:rsidRPr="07F5D6DA" w:rsidR="00835A61">
        <w:rPr>
          <w:rFonts w:ascii="Verdana" w:hAnsi="Verdana" w:eastAsia="Calibri" w:cs="Arial"/>
          <w:sz w:val="20"/>
          <w:szCs w:val="20"/>
          <w:lang w:val="es-ES"/>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y iv) únicamente surte efecto entre las partes. Además, el numeral 3 del artículo 1625 del mismo Código prevé la transacción como uno de los modos de extinción de las obligaciones.</w:t>
      </w:r>
    </w:p>
    <w:p w:rsidRPr="00835A61" w:rsidR="00835A61" w:rsidP="00835A61" w:rsidRDefault="00835A61" w14:paraId="465B7470" w14:textId="7A273202">
      <w:pPr>
        <w:spacing w:line="240" w:lineRule="auto"/>
        <w:jc w:val="both"/>
        <w:rPr>
          <w:rFonts w:ascii="Verdana" w:hAnsi="Verdana" w:eastAsia="Calibri" w:cs="Arial"/>
          <w:b/>
          <w:color w:val="000000"/>
          <w:lang w:val="es-ES_tradnl"/>
        </w:rPr>
      </w:pPr>
      <w:r w:rsidRPr="00835A61">
        <w:rPr>
          <w:rFonts w:ascii="Verdana" w:hAnsi="Verdana" w:eastAsia="Calibri" w:cs="Arial"/>
          <w:b/>
        </w:rPr>
        <w:t>CONTRATO DE TRANSACCIÓN – Mecanismo alternativo de resolución de conflictos – Entidades Estatales</w:t>
      </w:r>
      <w:r w:rsidRPr="00835A61">
        <w:rPr>
          <w:rFonts w:ascii="Verdana" w:hAnsi="Verdana" w:eastAsia="Calibri" w:cs="Arial"/>
          <w:b/>
          <w:color w:val="000000"/>
          <w:lang w:val="es-ES_tradnl"/>
        </w:rPr>
        <w:t xml:space="preserve"> </w:t>
      </w:r>
    </w:p>
    <w:p w:rsidRPr="00835A61" w:rsidR="00835A61" w:rsidP="00835A61" w:rsidRDefault="00835A61" w14:paraId="3D8EBFB5" w14:textId="77777777">
      <w:pPr>
        <w:spacing w:before="120" w:line="240" w:lineRule="auto"/>
        <w:jc w:val="both"/>
        <w:rPr>
          <w:rFonts w:ascii="Verdana" w:hAnsi="Verdana" w:eastAsia="Calibri" w:cs="Arial"/>
          <w:sz w:val="20"/>
          <w:szCs w:val="20"/>
        </w:rPr>
      </w:pPr>
      <w:r w:rsidRPr="00835A61">
        <w:rPr>
          <w:rFonts w:ascii="Verdana" w:hAnsi="Verdana" w:eastAsia="Calibri" w:cs="Arial"/>
          <w:sz w:val="20"/>
          <w:szCs w:val="20"/>
        </w:rPr>
        <w:t xml:space="preserve">Conforme a lo anterior, la transacción es una modalidad contractual que en ejercicio de la autonomía de la voluntad pueden celebrar las entidades estatales con el objeto de precaver litigios eventuales, esto con sustento en la remisión general a las normas civiles y comerciales establecida en el artículo 13, 32 y 40 de la Ley 80 de 1993. […] </w:t>
      </w:r>
    </w:p>
    <w:p w:rsidR="00ED0CF6" w:rsidP="0087031A" w:rsidRDefault="00ED0CF6" w14:paraId="406CA540" w14:textId="77777777">
      <w:pPr>
        <w:spacing w:after="0"/>
        <w:rPr>
          <w:rFonts w:ascii="Verdana" w:hAnsi="Verdana"/>
        </w:rPr>
      </w:pPr>
    </w:p>
    <w:p w:rsidR="00ED0CF6" w:rsidP="0087031A" w:rsidRDefault="00ED0CF6" w14:paraId="2C07EA72" w14:textId="77777777">
      <w:pPr>
        <w:spacing w:after="0"/>
        <w:rPr>
          <w:rFonts w:ascii="Verdana" w:hAnsi="Verdana"/>
        </w:rPr>
      </w:pPr>
    </w:p>
    <w:p w:rsidR="00ED0CF6" w:rsidP="0087031A" w:rsidRDefault="00ED0CF6" w14:paraId="62640A95" w14:textId="77777777">
      <w:pPr>
        <w:spacing w:after="0"/>
        <w:rPr>
          <w:rFonts w:ascii="Verdana" w:hAnsi="Verdana"/>
        </w:rPr>
      </w:pPr>
    </w:p>
    <w:p w:rsidR="00ED0CF6" w:rsidP="0087031A" w:rsidRDefault="00ED0CF6" w14:paraId="44249148" w14:textId="77777777">
      <w:pPr>
        <w:spacing w:after="0"/>
        <w:rPr>
          <w:rFonts w:ascii="Verdana" w:hAnsi="Verdana"/>
        </w:rPr>
      </w:pPr>
    </w:p>
    <w:p w:rsidR="00ED0CF6" w:rsidP="0087031A" w:rsidRDefault="00ED0CF6" w14:paraId="20D879AD" w14:textId="77777777">
      <w:pPr>
        <w:spacing w:after="0"/>
        <w:rPr>
          <w:rFonts w:ascii="Verdana" w:hAnsi="Verdana"/>
        </w:rPr>
      </w:pPr>
    </w:p>
    <w:p w:rsidR="00ED0CF6" w:rsidP="0087031A" w:rsidRDefault="00ED0CF6" w14:paraId="1A383445" w14:textId="77777777">
      <w:pPr>
        <w:spacing w:after="0"/>
        <w:rPr>
          <w:rFonts w:ascii="Verdana" w:hAnsi="Verdana"/>
        </w:rPr>
      </w:pPr>
    </w:p>
    <w:p w:rsidR="00ED0CF6" w:rsidP="0087031A" w:rsidRDefault="00ED0CF6" w14:paraId="4052C738" w14:textId="77777777">
      <w:pPr>
        <w:spacing w:after="0"/>
        <w:rPr>
          <w:rFonts w:ascii="Verdana" w:hAnsi="Verdana"/>
        </w:rPr>
      </w:pPr>
    </w:p>
    <w:p w:rsidR="00ED0CF6" w:rsidP="0087031A" w:rsidRDefault="00ED0CF6" w14:paraId="2D873D2A" w14:textId="77777777">
      <w:pPr>
        <w:spacing w:after="0"/>
        <w:rPr>
          <w:rFonts w:ascii="Verdana" w:hAnsi="Verdana"/>
        </w:rPr>
      </w:pPr>
    </w:p>
    <w:p w:rsidR="00ED0CF6" w:rsidP="0087031A" w:rsidRDefault="00ED0CF6" w14:paraId="615C3688" w14:textId="77777777">
      <w:pPr>
        <w:spacing w:after="0"/>
        <w:rPr>
          <w:rFonts w:ascii="Verdana" w:hAnsi="Verdana"/>
        </w:rPr>
      </w:pPr>
    </w:p>
    <w:p w:rsidR="00835A61" w:rsidP="0087031A" w:rsidRDefault="00835A61" w14:paraId="38764F90" w14:textId="77777777">
      <w:pPr>
        <w:spacing w:after="0"/>
        <w:rPr>
          <w:rFonts w:ascii="Verdana" w:hAnsi="Verdana"/>
        </w:rPr>
      </w:pPr>
    </w:p>
    <w:p w:rsidR="00835A61" w:rsidP="0087031A" w:rsidRDefault="00835A61" w14:paraId="328F964A" w14:textId="77777777">
      <w:pPr>
        <w:spacing w:after="0"/>
        <w:rPr>
          <w:rFonts w:ascii="Verdana" w:hAnsi="Verdana"/>
        </w:rPr>
      </w:pPr>
    </w:p>
    <w:p w:rsidR="00835A61" w:rsidP="0087031A" w:rsidRDefault="00835A61" w14:paraId="1A947352" w14:textId="77777777">
      <w:pPr>
        <w:spacing w:after="0"/>
        <w:rPr>
          <w:rFonts w:ascii="Verdana" w:hAnsi="Verdana"/>
        </w:rPr>
      </w:pPr>
    </w:p>
    <w:p w:rsidR="00835A61" w:rsidP="0087031A" w:rsidRDefault="00835A61" w14:paraId="6C81BE22" w14:textId="77777777">
      <w:pPr>
        <w:spacing w:after="0"/>
        <w:rPr>
          <w:rFonts w:ascii="Verdana" w:hAnsi="Verdana"/>
        </w:rPr>
      </w:pPr>
    </w:p>
    <w:p w:rsidR="00835A61" w:rsidP="0087031A" w:rsidRDefault="00835A61" w14:paraId="5A2764D6" w14:textId="77777777">
      <w:pPr>
        <w:spacing w:after="0"/>
        <w:rPr>
          <w:rFonts w:ascii="Verdana" w:hAnsi="Verdana"/>
        </w:rPr>
      </w:pPr>
    </w:p>
    <w:p w:rsidR="00835A61" w:rsidP="0087031A" w:rsidRDefault="00835A61" w14:paraId="20F25377" w14:textId="77777777">
      <w:pPr>
        <w:spacing w:after="0"/>
        <w:rPr>
          <w:rFonts w:ascii="Verdana" w:hAnsi="Verdana"/>
        </w:rPr>
      </w:pPr>
    </w:p>
    <w:p w:rsidR="00835A61" w:rsidP="0087031A" w:rsidRDefault="00835A61" w14:paraId="317D92F8" w14:textId="77777777">
      <w:pPr>
        <w:spacing w:after="0"/>
        <w:rPr>
          <w:rFonts w:ascii="Verdana" w:hAnsi="Verdana"/>
        </w:rPr>
      </w:pPr>
    </w:p>
    <w:p w:rsidR="00ED0CF6" w:rsidP="0087031A" w:rsidRDefault="00ED0CF6" w14:paraId="34B9115A" w14:textId="77777777">
      <w:pPr>
        <w:spacing w:after="0"/>
        <w:rPr>
          <w:rFonts w:ascii="Verdana" w:hAnsi="Verdana"/>
        </w:rPr>
      </w:pPr>
    </w:p>
    <w:p w:rsidR="00ED0CF6" w:rsidP="0087031A" w:rsidRDefault="00ED0CF6" w14:paraId="115ABB91" w14:textId="77777777">
      <w:pPr>
        <w:spacing w:after="0"/>
        <w:rPr>
          <w:rFonts w:ascii="Verdana" w:hAnsi="Verdana"/>
        </w:rPr>
      </w:pPr>
    </w:p>
    <w:p w:rsidR="00ED0CF6" w:rsidP="0087031A" w:rsidRDefault="00ED0CF6" w14:paraId="3581E3D7" w14:textId="77777777">
      <w:pPr>
        <w:spacing w:after="0"/>
        <w:rPr>
          <w:rFonts w:ascii="Verdana" w:hAnsi="Verdana"/>
        </w:rPr>
      </w:pPr>
    </w:p>
    <w:p w:rsidR="0098015E" w:rsidP="0087031A" w:rsidRDefault="0098015E" w14:paraId="2D2B1509" w14:textId="77777777">
      <w:pPr>
        <w:spacing w:after="0"/>
        <w:rPr>
          <w:rFonts w:ascii="Verdana" w:hAnsi="Verdana"/>
        </w:rPr>
      </w:pPr>
    </w:p>
    <w:p w:rsidR="0098015E" w:rsidP="0087031A" w:rsidRDefault="0098015E" w14:paraId="77E59D06" w14:textId="77777777">
      <w:pPr>
        <w:spacing w:after="0"/>
        <w:rPr>
          <w:rFonts w:ascii="Verdana" w:hAnsi="Verdana"/>
        </w:rPr>
      </w:pPr>
    </w:p>
    <w:p w:rsidR="00ED0CF6" w:rsidP="0087031A" w:rsidRDefault="00ED0CF6" w14:paraId="6CF0DCE1" w14:textId="77777777">
      <w:pPr>
        <w:spacing w:after="0"/>
        <w:rPr>
          <w:rFonts w:ascii="Verdana" w:hAnsi="Verdana"/>
        </w:rPr>
      </w:pPr>
    </w:p>
    <w:p w:rsidR="00ED0CF6" w:rsidP="0087031A" w:rsidRDefault="00ED0CF6" w14:paraId="69C52754" w14:textId="77777777">
      <w:pPr>
        <w:spacing w:after="0"/>
        <w:rPr>
          <w:rFonts w:ascii="Verdana" w:hAnsi="Verdana"/>
        </w:rPr>
      </w:pPr>
    </w:p>
    <w:p w:rsidR="0087031A" w:rsidP="0087031A" w:rsidRDefault="0087031A" w14:paraId="61068EFA" w14:textId="37D65582">
      <w:pPr>
        <w:spacing w:after="0"/>
        <w:rPr>
          <w:rFonts w:ascii="Verdana" w:hAnsi="Verdana"/>
        </w:rPr>
      </w:pPr>
      <w:r>
        <w:rPr>
          <w:rFonts w:ascii="Verdana" w:hAnsi="Verdana"/>
        </w:rPr>
        <w:lastRenderedPageBreak/>
        <w:t>B</w:t>
      </w:r>
      <w:r w:rsidRPr="0044528D">
        <w:rPr>
          <w:rFonts w:ascii="Verdana" w:hAnsi="Verdana"/>
        </w:rPr>
        <w:t xml:space="preserve">ogotá D.C., </w:t>
      </w:r>
      <w:r w:rsidR="0059672A">
        <w:rPr>
          <w:rFonts w:ascii="Verdana" w:hAnsi="Verdana"/>
        </w:rPr>
        <w:t>29 de julio de 2025.</w:t>
      </w:r>
    </w:p>
    <w:p w:rsidR="0087031A" w:rsidP="0087031A" w:rsidRDefault="0087031A" w14:paraId="53A7EAEE" w14:textId="77777777">
      <w:pPr>
        <w:spacing w:after="0"/>
        <w:rPr>
          <w:rFonts w:ascii="Verdana" w:hAnsi="Verdana"/>
        </w:rPr>
      </w:pPr>
      <w:bookmarkStart w:name="_Hlk180638295" w:id="2"/>
      <w:bookmarkEnd w:id="0"/>
    </w:p>
    <w:p w:rsidR="0087031A" w:rsidP="0059672A" w:rsidRDefault="0059672A" w14:paraId="6CB80055" w14:textId="53130B9C">
      <w:pPr>
        <w:spacing w:after="0"/>
        <w:jc w:val="right"/>
        <w:rPr>
          <w:rFonts w:ascii="Verdana" w:hAnsi="Verdana"/>
        </w:rPr>
      </w:pPr>
      <w:r>
        <w:rPr>
          <w:rFonts w:ascii="Verdana" w:hAnsi="Verdana"/>
          <w:noProof/>
        </w:rPr>
        <w:drawing>
          <wp:inline distT="0" distB="0" distL="0" distR="0" wp14:anchorId="365965C6" wp14:editId="278FCF5E">
            <wp:extent cx="3676650" cy="1133475"/>
            <wp:effectExtent l="0" t="0" r="0" b="9525"/>
            <wp:docPr id="1318284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6650" cy="1133475"/>
                    </a:xfrm>
                    <a:prstGeom prst="rect">
                      <a:avLst/>
                    </a:prstGeom>
                    <a:noFill/>
                    <a:ln>
                      <a:noFill/>
                    </a:ln>
                  </pic:spPr>
                </pic:pic>
              </a:graphicData>
            </a:graphic>
          </wp:inline>
        </w:drawing>
      </w:r>
    </w:p>
    <w:p w:rsidR="0059672A" w:rsidP="0087031A" w:rsidRDefault="0059672A" w14:paraId="273345FD" w14:textId="77777777">
      <w:pPr>
        <w:spacing w:after="0"/>
        <w:rPr>
          <w:rFonts w:ascii="Verdana" w:hAnsi="Verdana"/>
        </w:rPr>
      </w:pPr>
    </w:p>
    <w:p w:rsidR="00333FA6" w:rsidP="00333FA6" w:rsidRDefault="0087031A" w14:paraId="0821C733" w14:textId="77777777">
      <w:pPr>
        <w:spacing w:after="0" w:line="240" w:lineRule="auto"/>
        <w:jc w:val="both"/>
        <w:rPr>
          <w:rFonts w:ascii="Verdana" w:hAnsi="Verdana" w:eastAsia="Calibri" w:cs="Arial"/>
          <w:lang w:eastAsia="es-ES"/>
        </w:rPr>
      </w:pPr>
      <w:bookmarkStart w:name="_Hlk181166167" w:id="3"/>
      <w:r w:rsidRPr="005E62E2">
        <w:rPr>
          <w:rFonts w:ascii="Verdana" w:hAnsi="Verdana" w:eastAsia="Calibri" w:cs="Arial"/>
          <w:lang w:eastAsia="es-ES"/>
        </w:rPr>
        <w:t>Señor</w:t>
      </w:r>
      <w:r w:rsidRPr="005E62E2">
        <w:rPr>
          <w:rFonts w:ascii="Verdana" w:hAnsi="Verdana" w:eastAsia="Calibri" w:cs="Arial"/>
          <w:lang w:eastAsia="es-ES"/>
        </w:rPr>
        <w:tab/>
      </w:r>
    </w:p>
    <w:p w:rsidRPr="00333FA6" w:rsidR="00F638F9" w:rsidP="00333FA6" w:rsidRDefault="00333FA6" w14:paraId="4E17345E" w14:textId="0452E342">
      <w:pPr>
        <w:spacing w:after="0" w:line="240" w:lineRule="auto"/>
        <w:jc w:val="both"/>
        <w:rPr>
          <w:rFonts w:ascii="Verdana" w:hAnsi="Verdana" w:eastAsia="Calibri" w:cs="Arial"/>
          <w:b/>
          <w:bCs/>
          <w:lang w:eastAsia="es-ES"/>
        </w:rPr>
      </w:pPr>
      <w:r w:rsidRPr="00333FA6">
        <w:rPr>
          <w:rFonts w:ascii="Verdana" w:hAnsi="Verdana" w:eastAsia="Calibri" w:cs="Arial"/>
          <w:b/>
          <w:bCs/>
          <w:lang w:eastAsia="es-ES"/>
        </w:rPr>
        <w:t>JUAN CAMILO HENAO CARMONA</w:t>
      </w:r>
      <w:r w:rsidRPr="00333FA6" w:rsidR="0096584C">
        <w:rPr>
          <w:rFonts w:ascii="Verdana" w:hAnsi="Verdana" w:eastAsia="Calibri" w:cs="Arial"/>
          <w:b/>
          <w:bCs/>
          <w:lang w:eastAsia="es-ES"/>
        </w:rPr>
        <w:t xml:space="preserve"> </w:t>
      </w:r>
    </w:p>
    <w:p w:rsidRPr="00333FA6" w:rsidR="00333FA6" w:rsidP="0087031A" w:rsidRDefault="00333FA6" w14:paraId="28438976" w14:textId="6D51997D">
      <w:pPr>
        <w:spacing w:after="0" w:line="240" w:lineRule="auto"/>
        <w:rPr>
          <w:rFonts w:ascii="Verdana" w:hAnsi="Verdana"/>
        </w:rPr>
      </w:pPr>
      <w:hyperlink w:history="1" r:id="rId12">
        <w:r w:rsidRPr="00333FA6">
          <w:rPr>
            <w:rStyle w:val="Hipervnculo"/>
            <w:rFonts w:ascii="Verdana" w:hAnsi="Verdana"/>
          </w:rPr>
          <w:t>camilo030398@gmail.com</w:t>
        </w:r>
      </w:hyperlink>
    </w:p>
    <w:p w:rsidR="0087031A" w:rsidP="0087031A" w:rsidRDefault="00333FA6" w14:paraId="20ECB200" w14:textId="40A50D91">
      <w:pPr>
        <w:spacing w:after="0" w:line="240" w:lineRule="auto"/>
        <w:rPr>
          <w:rFonts w:ascii="Verdana" w:hAnsi="Verdana" w:eastAsia="Calibri" w:cs="Arial"/>
          <w:color w:val="000000"/>
          <w:lang w:val="es-ES_tradnl" w:eastAsia="es-ES_tradnl"/>
        </w:rPr>
      </w:pPr>
      <w:r>
        <w:rPr>
          <w:rFonts w:ascii="Verdana" w:hAnsi="Verdana" w:eastAsia="Calibri" w:cs="Arial"/>
          <w:color w:val="000000"/>
          <w:lang w:val="es-ES_tradnl" w:eastAsia="es-ES_tradnl"/>
        </w:rPr>
        <w:t>Cali</w:t>
      </w:r>
      <w:r w:rsidR="00BA1D91">
        <w:rPr>
          <w:rFonts w:ascii="Verdana" w:hAnsi="Verdana" w:eastAsia="Calibri" w:cs="Arial"/>
          <w:color w:val="000000"/>
          <w:lang w:val="es-ES_tradnl" w:eastAsia="es-ES_tradnl"/>
        </w:rPr>
        <w:t xml:space="preserve"> (</w:t>
      </w:r>
      <w:r>
        <w:rPr>
          <w:rFonts w:ascii="Verdana" w:hAnsi="Verdana" w:eastAsia="Calibri" w:cs="Arial"/>
          <w:color w:val="000000"/>
          <w:lang w:val="es-ES_tradnl" w:eastAsia="es-ES_tradnl"/>
        </w:rPr>
        <w:t>Valle del Cauca</w:t>
      </w:r>
      <w:r w:rsidR="00BA1D91">
        <w:rPr>
          <w:rFonts w:ascii="Verdana" w:hAnsi="Verdana" w:eastAsia="Calibri" w:cs="Arial"/>
          <w:color w:val="000000"/>
          <w:lang w:val="es-ES_tradnl" w:eastAsia="es-ES_tradnl"/>
        </w:rPr>
        <w:t>)</w:t>
      </w:r>
    </w:p>
    <w:p w:rsidRPr="00FE3DEC" w:rsidR="0087031A" w:rsidP="0087031A" w:rsidRDefault="0087031A" w14:paraId="33757F92" w14:textId="77777777">
      <w:pPr>
        <w:spacing w:after="0" w:line="240" w:lineRule="auto"/>
        <w:rPr>
          <w:rFonts w:ascii="Verdana" w:hAnsi="Verdana" w:eastAsia="Calibri" w:cs="Arial"/>
          <w:color w:val="000000"/>
          <w:lang w:val="es-ES_tradnl" w:eastAsia="es-ES_tradnl"/>
        </w:rPr>
      </w:pPr>
    </w:p>
    <w:tbl>
      <w:tblPr>
        <w:tblStyle w:val="Tablaconcuadrcula"/>
        <w:tblW w:w="9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6468"/>
        <w:gridCol w:w="336"/>
      </w:tblGrid>
      <w:tr w:rsidRPr="00593A5F" w:rsidR="0087031A" w:rsidTr="00580B7F" w14:paraId="28AFEB3E" w14:textId="77777777">
        <w:trPr>
          <w:trHeight w:val="884"/>
        </w:trPr>
        <w:tc>
          <w:tcPr>
            <w:tcW w:w="2410" w:type="dxa"/>
          </w:tcPr>
          <w:p w:rsidRPr="00E5644F" w:rsidR="0087031A" w:rsidP="00580B7F" w:rsidRDefault="0087031A" w14:paraId="3DABC826" w14:textId="77777777">
            <w:pPr>
              <w:jc w:val="both"/>
              <w:rPr>
                <w:rFonts w:ascii="Verdana" w:hAnsi="Verdana" w:eastAsia="Calibri" w:cs="Arial"/>
                <w:b/>
                <w:bCs/>
                <w:color w:val="7030A0"/>
                <w:lang w:val="es-ES_tradnl" w:eastAsia="es-ES_tradnl"/>
              </w:rPr>
            </w:pPr>
          </w:p>
        </w:tc>
        <w:tc>
          <w:tcPr>
            <w:tcW w:w="6804" w:type="dxa"/>
            <w:gridSpan w:val="2"/>
          </w:tcPr>
          <w:p w:rsidRPr="0096584C" w:rsidR="0087031A" w:rsidP="00580B7F" w:rsidRDefault="0087031A" w14:paraId="022A37EB" w14:textId="153244AC">
            <w:pPr>
              <w:jc w:val="both"/>
              <w:rPr>
                <w:rFonts w:ascii="Verdana" w:hAnsi="Verdana" w:eastAsia="Calibri" w:cs="Arial"/>
                <w:b/>
                <w:bCs/>
                <w:color w:val="7030A0"/>
                <w:lang w:val="es-ES" w:eastAsia="es-ES"/>
              </w:rPr>
            </w:pPr>
            <w:r w:rsidRPr="0096584C">
              <w:rPr>
                <w:rFonts w:ascii="Verdana" w:hAnsi="Verdana" w:eastAsia="Calibri" w:cs="Arial"/>
                <w:b/>
                <w:bCs/>
                <w:lang w:val="es-ES" w:eastAsia="es-ES"/>
              </w:rPr>
              <w:t xml:space="preserve">Concepto C- </w:t>
            </w:r>
            <w:r w:rsidRPr="0096584C" w:rsidR="00C33DBE">
              <w:rPr>
                <w:rFonts w:ascii="Verdana" w:hAnsi="Verdana" w:eastAsia="Calibri" w:cs="Arial"/>
                <w:b/>
                <w:bCs/>
                <w:lang w:val="es-ES" w:eastAsia="es-ES"/>
              </w:rPr>
              <w:t>7</w:t>
            </w:r>
            <w:r w:rsidR="00333FA6">
              <w:rPr>
                <w:rFonts w:ascii="Verdana" w:hAnsi="Verdana" w:eastAsia="Calibri" w:cs="Arial"/>
                <w:b/>
                <w:bCs/>
                <w:lang w:val="es-ES" w:eastAsia="es-ES"/>
              </w:rPr>
              <w:t>70</w:t>
            </w:r>
            <w:r w:rsidRPr="0096584C">
              <w:rPr>
                <w:rFonts w:ascii="Verdana" w:hAnsi="Verdana" w:eastAsia="Calibri" w:cs="Arial"/>
                <w:b/>
                <w:bCs/>
                <w:lang w:val="es-ES" w:eastAsia="es-ES"/>
              </w:rPr>
              <w:t xml:space="preserve"> de 2025</w:t>
            </w:r>
          </w:p>
        </w:tc>
      </w:tr>
      <w:tr w:rsidRPr="00A52DE7" w:rsidR="0087031A" w:rsidTr="00580B7F" w14:paraId="38B6D2DC" w14:textId="77777777">
        <w:trPr>
          <w:trHeight w:val="884"/>
        </w:trPr>
        <w:tc>
          <w:tcPr>
            <w:tcW w:w="2410" w:type="dxa"/>
          </w:tcPr>
          <w:p w:rsidRPr="00593A5F" w:rsidR="0087031A" w:rsidP="00580B7F" w:rsidRDefault="0087031A" w14:paraId="7FE07E31"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804" w:type="dxa"/>
            <w:gridSpan w:val="2"/>
          </w:tcPr>
          <w:p w:rsidRPr="00A52DE7" w:rsidR="00CD0B4A" w:rsidP="00580B7F" w:rsidRDefault="0098015E" w14:paraId="1BF247BD" w14:textId="42A62005">
            <w:pPr>
              <w:jc w:val="both"/>
              <w:rPr>
                <w:rFonts w:ascii="Verdana" w:hAnsi="Verdana" w:eastAsia="Calibri" w:cs="Arial"/>
                <w:b/>
                <w:highlight w:val="yellow"/>
                <w:lang w:val="es-ES" w:eastAsia="es-ES"/>
              </w:rPr>
            </w:pPr>
            <w:r w:rsidRPr="0098015E">
              <w:rPr>
                <w:rFonts w:ascii="Verdana" w:hAnsi="Verdana" w:cs="Arial"/>
                <w:bCs/>
                <w:lang w:val="es-ES" w:eastAsia="es-ES_tradnl"/>
              </w:rPr>
              <w:t>CONTRATO DE TRANSACCIÓN – Noción – Requisitos / CONTRATO DE TRANSACCIÓN – Mecanismo alternativo de resolución de conflictos – Entidades Estatales</w:t>
            </w:r>
            <w:r w:rsidRPr="0098015E">
              <w:rPr>
                <w:rFonts w:ascii="Verdana" w:hAnsi="Verdana" w:cs="Arial"/>
                <w:bCs/>
                <w:highlight w:val="yellow"/>
                <w:lang w:val="es-ES" w:eastAsia="es-ES_tradnl"/>
              </w:rPr>
              <w:t xml:space="preserve"> </w:t>
            </w:r>
          </w:p>
        </w:tc>
      </w:tr>
      <w:tr w:rsidRPr="00593A5F" w:rsidR="0087031A" w:rsidTr="00580B7F" w14:paraId="14D6DDF3" w14:textId="77777777">
        <w:tc>
          <w:tcPr>
            <w:tcW w:w="2410" w:type="dxa"/>
          </w:tcPr>
          <w:p w:rsidRPr="006730E9" w:rsidR="0087031A" w:rsidP="00580B7F" w:rsidRDefault="0087031A" w14:paraId="58C41A69" w14:textId="77777777">
            <w:pPr>
              <w:jc w:val="both"/>
              <w:rPr>
                <w:rFonts w:ascii="Verdana" w:hAnsi="Verdana" w:eastAsia="Calibri" w:cs="Arial"/>
                <w:b/>
                <w:lang w:val="es-ES_tradnl" w:eastAsia="es-ES_tradnl"/>
              </w:rPr>
            </w:pPr>
            <w:r w:rsidRPr="006730E9">
              <w:rPr>
                <w:rFonts w:ascii="Verdana" w:hAnsi="Verdana" w:eastAsia="Calibri" w:cs="Arial"/>
                <w:b/>
                <w:lang w:val="es-ES_tradnl" w:eastAsia="es-ES_tradnl"/>
              </w:rPr>
              <w:t>Radicación:</w:t>
            </w:r>
            <w:r w:rsidRPr="006730E9">
              <w:rPr>
                <w:rFonts w:ascii="Verdana" w:hAnsi="Verdana" w:eastAsia="Calibri" w:cs="Arial"/>
                <w:lang w:val="es-ES_tradnl" w:eastAsia="es-ES_tradnl"/>
              </w:rPr>
              <w:t xml:space="preserve">               </w:t>
            </w:r>
          </w:p>
        </w:tc>
        <w:tc>
          <w:tcPr>
            <w:tcW w:w="6804" w:type="dxa"/>
            <w:gridSpan w:val="2"/>
          </w:tcPr>
          <w:p w:rsidRPr="006730E9" w:rsidR="0087031A" w:rsidP="00580B7F" w:rsidRDefault="0087031A" w14:paraId="76361BD6" w14:textId="62A29F31">
            <w:pPr>
              <w:jc w:val="both"/>
              <w:rPr>
                <w:rFonts w:ascii="Verdana" w:hAnsi="Verdana" w:eastAsia="Calibri" w:cs="Arial"/>
                <w:lang w:val="es-ES_tradnl" w:eastAsia="es-ES_tradnl"/>
              </w:rPr>
            </w:pPr>
            <w:r w:rsidRPr="007121A5">
              <w:rPr>
                <w:rFonts w:ascii="Verdana" w:hAnsi="Verdana" w:eastAsia="Calibri" w:cs="Arial"/>
                <w:lang w:val="es-ES_tradnl" w:eastAsia="es-ES_tradnl"/>
              </w:rPr>
              <w:t xml:space="preserve">Respuesta a consulta con radicado No. </w:t>
            </w:r>
            <w:r w:rsidRPr="00333FA6" w:rsidR="00333FA6">
              <w:rPr>
                <w:rFonts w:ascii="Verdana" w:hAnsi="Verdana" w:eastAsia="Calibri" w:cs="Arial"/>
                <w:lang w:val="es-ES_tradnl" w:eastAsia="es-ES_tradnl"/>
              </w:rPr>
              <w:t>1_2025_06_13_005900</w:t>
            </w:r>
            <w:r>
              <w:rPr>
                <w:rFonts w:ascii="Verdana" w:hAnsi="Verdana" w:eastAsia="Calibri" w:cs="Arial"/>
                <w:lang w:val="es-ES_tradnl" w:eastAsia="es-ES_tradnl"/>
              </w:rPr>
              <w:t>.</w:t>
            </w:r>
          </w:p>
        </w:tc>
      </w:tr>
      <w:tr w:rsidRPr="00DB23D2" w:rsidR="0087031A" w:rsidTr="00580B7F" w14:paraId="2A2E2921" w14:textId="77777777">
        <w:trPr>
          <w:gridAfter w:val="1"/>
          <w:wAfter w:w="336" w:type="dxa"/>
          <w:trHeight w:val="233"/>
        </w:trPr>
        <w:tc>
          <w:tcPr>
            <w:tcW w:w="8878" w:type="dxa"/>
            <w:gridSpan w:val="2"/>
          </w:tcPr>
          <w:p w:rsidRPr="00DB23D2" w:rsidR="0087031A" w:rsidP="00580B7F" w:rsidRDefault="0087031A" w14:paraId="120D7AD6" w14:textId="77777777">
            <w:pPr>
              <w:spacing w:after="120" w:line="276" w:lineRule="auto"/>
              <w:jc w:val="both"/>
              <w:rPr>
                <w:rFonts w:ascii="Verdana" w:hAnsi="Verdana" w:eastAsia="Calibri" w:cs="Arial"/>
                <w:lang w:val="es-ES_tradnl" w:eastAsia="es-ES"/>
              </w:rPr>
            </w:pPr>
          </w:p>
        </w:tc>
      </w:tr>
    </w:tbl>
    <w:p w:rsidRPr="006730E9" w:rsidR="0087031A" w:rsidP="0087031A" w:rsidRDefault="0087031A" w14:paraId="47EC921B" w14:textId="12F02620">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Estimad</w:t>
      </w:r>
      <w:r>
        <w:rPr>
          <w:rFonts w:ascii="Verdana" w:hAnsi="Verdana" w:eastAsia="Calibri" w:cs="Arial"/>
          <w:lang w:val="es-ES" w:eastAsia="es-ES"/>
        </w:rPr>
        <w:t xml:space="preserve">o </w:t>
      </w:r>
      <w:r w:rsidRPr="006730E9">
        <w:rPr>
          <w:rFonts w:ascii="Verdana" w:hAnsi="Verdana" w:eastAsia="Calibri" w:cs="Arial"/>
          <w:lang w:val="es-ES" w:eastAsia="es-ES"/>
        </w:rPr>
        <w:t>señor</w:t>
      </w:r>
      <w:r>
        <w:rPr>
          <w:rFonts w:ascii="Verdana" w:hAnsi="Verdana" w:eastAsia="Calibri" w:cs="Arial"/>
          <w:lang w:val="es-ES" w:eastAsia="es-ES"/>
        </w:rPr>
        <w:t xml:space="preserve"> </w:t>
      </w:r>
      <w:r w:rsidR="00333FA6">
        <w:rPr>
          <w:rFonts w:ascii="Verdana" w:hAnsi="Verdana" w:eastAsia="Calibri" w:cs="Arial"/>
          <w:lang w:val="es-ES" w:eastAsia="es-ES"/>
        </w:rPr>
        <w:t>Henao</w:t>
      </w:r>
      <w:r>
        <w:rPr>
          <w:rFonts w:ascii="Verdana" w:hAnsi="Verdana" w:eastAsia="Calibri" w:cs="Arial"/>
          <w:lang w:val="es-ES" w:eastAsia="es-ES"/>
        </w:rPr>
        <w:t>;</w:t>
      </w:r>
    </w:p>
    <w:p w:rsidR="0087031A" w:rsidP="0087031A" w:rsidRDefault="0087031A" w14:paraId="59ADFBB6"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6730E9" w:rsidR="0087031A" w:rsidP="0087031A" w:rsidRDefault="0087031A" w14:paraId="029E5029" w14:textId="1BCD368F">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En ejercicio de la competencia otorgada por los artículos 3, numeral 5º, y 11, numeral 8º, del Decreto Ley 4170 de 2011,</w:t>
      </w:r>
      <w:r w:rsidRPr="006730E9">
        <w:rPr>
          <w:rFonts w:ascii="Verdana" w:hAnsi="Verdana" w:eastAsia="Arial MT"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hAnsi="Verdana" w:eastAsia="Calibri" w:cs="Arial"/>
          <w:lang w:val="es-ES" w:eastAsia="es-ES"/>
        </w:rPr>
        <w:t xml:space="preserve">la Agencia Nacional de Contratación Pública – Colombia Compra Eficiente– responde su solicitud </w:t>
      </w:r>
      <w:r>
        <w:rPr>
          <w:rFonts w:ascii="Verdana" w:hAnsi="Verdana" w:eastAsia="Calibri" w:cs="Arial"/>
          <w:lang w:val="es-ES" w:eastAsia="es-ES"/>
        </w:rPr>
        <w:t xml:space="preserve">radicada en esta entidad </w:t>
      </w:r>
      <w:r w:rsidRPr="00E5644F">
        <w:rPr>
          <w:rFonts w:ascii="Verdana" w:hAnsi="Verdana" w:eastAsia="Calibri" w:cs="Arial"/>
          <w:lang w:val="es-ES" w:eastAsia="es-ES"/>
        </w:rPr>
        <w:t xml:space="preserve">el </w:t>
      </w:r>
      <w:r w:rsidR="00F638F9">
        <w:rPr>
          <w:rFonts w:ascii="Verdana" w:hAnsi="Verdana" w:eastAsia="Calibri" w:cs="Arial"/>
          <w:lang w:val="es-ES" w:eastAsia="es-ES"/>
        </w:rPr>
        <w:t>12</w:t>
      </w:r>
      <w:r>
        <w:rPr>
          <w:rFonts w:ascii="Verdana" w:hAnsi="Verdana" w:eastAsia="Calibri" w:cs="Arial"/>
          <w:lang w:val="es-ES" w:eastAsia="es-ES"/>
        </w:rPr>
        <w:t xml:space="preserve"> </w:t>
      </w:r>
      <w:r w:rsidRPr="00E5644F">
        <w:rPr>
          <w:rFonts w:ascii="Verdana" w:hAnsi="Verdana" w:eastAsia="Calibri" w:cs="Arial"/>
          <w:lang w:val="es-ES" w:eastAsia="es-ES"/>
        </w:rPr>
        <w:t xml:space="preserve">de </w:t>
      </w:r>
      <w:r w:rsidR="00C33DBE">
        <w:rPr>
          <w:rFonts w:ascii="Verdana" w:hAnsi="Verdana" w:eastAsia="Calibri" w:cs="Arial"/>
          <w:lang w:val="es-ES" w:eastAsia="es-ES"/>
        </w:rPr>
        <w:t>junio</w:t>
      </w:r>
      <w:r w:rsidRPr="00E5644F">
        <w:rPr>
          <w:rFonts w:ascii="Verdana" w:hAnsi="Verdana" w:eastAsia="Calibri" w:cs="Arial"/>
          <w:lang w:val="es-ES" w:eastAsia="es-ES"/>
        </w:rPr>
        <w:t xml:space="preserve"> de</w:t>
      </w:r>
      <w:r>
        <w:rPr>
          <w:rFonts w:ascii="Verdana" w:hAnsi="Verdana" w:eastAsia="Calibri" w:cs="Arial"/>
          <w:lang w:val="es-ES" w:eastAsia="es-ES"/>
        </w:rPr>
        <w:t xml:space="preserve"> </w:t>
      </w:r>
      <w:r w:rsidRPr="00E5644F">
        <w:rPr>
          <w:rFonts w:ascii="Verdana" w:hAnsi="Verdana" w:eastAsia="Calibri" w:cs="Arial"/>
          <w:lang w:val="es-ES" w:eastAsia="es-ES"/>
        </w:rPr>
        <w:t>202</w:t>
      </w:r>
      <w:r>
        <w:rPr>
          <w:rFonts w:ascii="Verdana" w:hAnsi="Verdana" w:eastAsia="Calibri" w:cs="Arial"/>
          <w:lang w:val="es-ES" w:eastAsia="es-ES"/>
        </w:rPr>
        <w:t>5</w:t>
      </w:r>
      <w:r w:rsidRPr="00E5644F">
        <w:rPr>
          <w:rFonts w:ascii="Verdana" w:hAnsi="Verdana" w:eastAsia="Calibri" w:cs="Arial"/>
          <w:lang w:val="es-ES" w:eastAsia="es-ES"/>
        </w:rPr>
        <w:t>, en</w:t>
      </w:r>
      <w:r w:rsidRPr="006730E9">
        <w:rPr>
          <w:rFonts w:ascii="Verdana" w:hAnsi="Verdana" w:eastAsia="Calibri" w:cs="Arial"/>
          <w:lang w:val="es-ES" w:eastAsia="es-ES"/>
        </w:rPr>
        <w:t xml:space="preserve"> la cual manifiesta lo siguiente: </w:t>
      </w:r>
    </w:p>
    <w:p w:rsidRPr="00326382" w:rsidR="0087031A" w:rsidP="0087031A" w:rsidRDefault="0087031A" w14:paraId="0E75DC9C" w14:textId="77777777">
      <w:pPr>
        <w:spacing w:after="0" w:line="240" w:lineRule="auto"/>
        <w:ind w:left="709" w:right="474"/>
        <w:jc w:val="both"/>
        <w:rPr>
          <w:rFonts w:ascii="Verdana" w:hAnsi="Verdana" w:cs="Arial"/>
          <w:sz w:val="20"/>
          <w:szCs w:val="20"/>
          <w:shd w:val="clear" w:color="auto" w:fill="FFFFFF"/>
        </w:rPr>
      </w:pPr>
      <w:bookmarkStart w:name="_Hlk95313578" w:id="4"/>
    </w:p>
    <w:bookmarkEnd w:id="4"/>
    <w:p w:rsidRPr="00CD7324" w:rsidR="0087031A" w:rsidP="00333FA6" w:rsidRDefault="0087031A" w14:paraId="55A848A2" w14:textId="73078721">
      <w:pPr>
        <w:tabs>
          <w:tab w:val="left" w:pos="142"/>
          <w:tab w:val="left" w:pos="567"/>
        </w:tabs>
        <w:ind w:left="709" w:right="709"/>
        <w:jc w:val="both"/>
        <w:rPr>
          <w:rFonts w:ascii="Verdana" w:hAnsi="Verdana" w:eastAsia="Century Gothic" w:cs="Century Gothic"/>
          <w:i/>
          <w:iCs/>
          <w:sz w:val="20"/>
          <w:szCs w:val="20"/>
        </w:rPr>
      </w:pPr>
      <w:r>
        <w:rPr>
          <w:rFonts w:ascii="Verdana" w:hAnsi="Verdana" w:eastAsia="Century Gothic" w:cs="Century Gothic"/>
          <w:i/>
          <w:iCs/>
        </w:rPr>
        <w:t xml:space="preserve"> </w:t>
      </w:r>
      <w:r w:rsidRPr="00C33DBE">
        <w:rPr>
          <w:rFonts w:ascii="Verdana" w:hAnsi="Verdana" w:eastAsia="Century Gothic" w:cs="Century Gothic"/>
          <w:i/>
          <w:iCs/>
          <w:sz w:val="20"/>
          <w:szCs w:val="20"/>
        </w:rPr>
        <w:t xml:space="preserve">“(…) </w:t>
      </w:r>
      <w:bookmarkStart w:name="_Hlk203460035" w:id="5"/>
      <w:r w:rsidR="00333FA6">
        <w:rPr>
          <w:rFonts w:ascii="Verdana" w:hAnsi="Verdana" w:eastAsia="Century Gothic" w:cs="Century Gothic"/>
          <w:i/>
          <w:iCs/>
          <w:sz w:val="20"/>
          <w:szCs w:val="20"/>
        </w:rPr>
        <w:t xml:space="preserve"> </w:t>
      </w:r>
      <w:r w:rsidRPr="00333FA6" w:rsidR="00333FA6">
        <w:rPr>
          <w:rFonts w:ascii="Verdana" w:hAnsi="Verdana" w:eastAsia="Century Gothic" w:cs="Century Gothic"/>
          <w:i/>
          <w:iCs/>
          <w:sz w:val="20"/>
          <w:szCs w:val="20"/>
        </w:rPr>
        <w:t>¿Cómo opera la figura jurídica de la transacción en entidades regidas bajo el</w:t>
      </w:r>
      <w:r w:rsidR="00333FA6">
        <w:rPr>
          <w:rFonts w:ascii="Verdana" w:hAnsi="Verdana" w:eastAsia="Century Gothic" w:cs="Century Gothic"/>
          <w:i/>
          <w:iCs/>
          <w:sz w:val="20"/>
          <w:szCs w:val="20"/>
        </w:rPr>
        <w:t xml:space="preserve"> </w:t>
      </w:r>
      <w:r w:rsidRPr="00333FA6" w:rsidR="00333FA6">
        <w:rPr>
          <w:rFonts w:ascii="Verdana" w:hAnsi="Verdana" w:eastAsia="Century Gothic" w:cs="Century Gothic"/>
          <w:i/>
          <w:iCs/>
          <w:sz w:val="20"/>
          <w:szCs w:val="20"/>
        </w:rPr>
        <w:t>EGCAP?</w:t>
      </w:r>
      <w:r w:rsidRPr="00D86E93" w:rsidR="00D86E93">
        <w:rPr>
          <w:rFonts w:ascii="Verdana" w:hAnsi="Verdana" w:eastAsia="Century Gothic" w:cs="Century Gothic"/>
          <w:i/>
          <w:iCs/>
          <w:sz w:val="20"/>
          <w:szCs w:val="20"/>
        </w:rPr>
        <w:t xml:space="preserve"> </w:t>
      </w:r>
      <w:bookmarkEnd w:id="5"/>
      <w:r w:rsidRPr="00C33DBE">
        <w:rPr>
          <w:rFonts w:ascii="Verdana" w:hAnsi="Verdana" w:eastAsia="Century Gothic" w:cs="Century Gothic"/>
          <w:i/>
          <w:iCs/>
          <w:sz w:val="20"/>
          <w:szCs w:val="20"/>
        </w:rPr>
        <w:t>(…)</w:t>
      </w:r>
      <w:r w:rsidR="0096584C">
        <w:rPr>
          <w:rFonts w:ascii="Verdana" w:hAnsi="Verdana" w:eastAsia="Century Gothic" w:cs="Century Gothic"/>
          <w:i/>
          <w:iCs/>
          <w:sz w:val="20"/>
          <w:szCs w:val="20"/>
        </w:rPr>
        <w:t>”</w:t>
      </w:r>
      <w:r w:rsidRPr="00CD7324">
        <w:rPr>
          <w:rFonts w:ascii="Verdana" w:hAnsi="Verdana" w:eastAsia="Century Gothic" w:cs="Century Gothic"/>
          <w:i/>
          <w:iCs/>
          <w:sz w:val="20"/>
          <w:szCs w:val="20"/>
        </w:rPr>
        <w:t xml:space="preserve"> </w:t>
      </w:r>
    </w:p>
    <w:p w:rsidRPr="00AA3B9F" w:rsidR="0087031A" w:rsidP="0087031A" w:rsidRDefault="0087031A" w14:paraId="33F745EB" w14:textId="77777777">
      <w:pPr>
        <w:spacing w:after="120" w:line="276" w:lineRule="auto"/>
        <w:ind w:firstLine="709"/>
        <w:jc w:val="both"/>
        <w:rPr>
          <w:rFonts w:ascii="Verdana" w:hAnsi="Verdana" w:eastAsia="Calibri" w:cs="Arial"/>
          <w:lang w:val="es-ES_tradnl" w:eastAsia="es-ES_tradnl"/>
        </w:rPr>
      </w:pPr>
      <w:r w:rsidRPr="00AA3B9F">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hAnsi="Verdana" w:eastAsia="Calibri" w:cs="Arial"/>
          <w:lang w:val="es-ES" w:eastAsia="es-ES"/>
        </w:rPr>
        <w:t>E</w:t>
      </w:r>
      <w:r w:rsidRPr="00AA3B9F">
        <w:rPr>
          <w:rFonts w:ascii="Verdana" w:hAnsi="Verdana" w:eastAsia="Calibri" w:cs="Arial"/>
          <w:lang w:val="es-ES" w:eastAsia="es-ES"/>
        </w:rPr>
        <w:t xml:space="preserve">ntidades </w:t>
      </w:r>
      <w:r>
        <w:rPr>
          <w:rFonts w:ascii="Verdana" w:hAnsi="Verdana" w:eastAsia="Calibri" w:cs="Arial"/>
          <w:lang w:val="es-ES" w:eastAsia="es-ES"/>
        </w:rPr>
        <w:t xml:space="preserve">Estatales </w:t>
      </w:r>
      <w:r w:rsidRPr="00AA3B9F">
        <w:rPr>
          <w:rFonts w:ascii="Verdana" w:hAnsi="Verdana" w:eastAsia="Calibri"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rsidRPr="00AA3B9F" w:rsidR="0087031A" w:rsidP="0087031A" w:rsidRDefault="0087031A" w14:paraId="304224C2" w14:textId="77777777">
      <w:pPr>
        <w:spacing w:after="0" w:line="276" w:lineRule="auto"/>
        <w:ind w:firstLine="709"/>
        <w:jc w:val="both"/>
        <w:rPr>
          <w:rFonts w:ascii="Verdana" w:hAnsi="Verdana" w:eastAsia="Calibri" w:cs="Arial"/>
          <w:lang w:val="es-ES" w:eastAsia="es-ES"/>
        </w:rPr>
      </w:pPr>
      <w:r w:rsidRPr="00AA3B9F">
        <w:rPr>
          <w:rFonts w:ascii="Verdana" w:hAnsi="Verdana" w:eastAsia="Calibri"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rsidR="0087031A" w:rsidP="0087031A" w:rsidRDefault="0087031A" w14:paraId="7488FEE4" w14:textId="77777777">
      <w:pPr>
        <w:pStyle w:val="Prrafodelista"/>
        <w:tabs>
          <w:tab w:val="left" w:pos="142"/>
          <w:tab w:val="left" w:pos="284"/>
        </w:tabs>
        <w:spacing w:after="0" w:line="240" w:lineRule="auto"/>
        <w:ind w:left="425" w:right="1185"/>
        <w:jc w:val="both"/>
        <w:rPr>
          <w:rFonts w:ascii="Verdana" w:hAnsi="Verdana" w:eastAsia="Century Gothic" w:cs="Century Gothic"/>
          <w:i/>
          <w:iCs/>
          <w:lang w:val="es-CO"/>
        </w:rPr>
      </w:pPr>
    </w:p>
    <w:p w:rsidR="0087031A" w:rsidP="0087031A" w:rsidRDefault="0087031A" w14:paraId="46A7578E"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w:t>
      </w:r>
      <w:r>
        <w:rPr>
          <w:rFonts w:ascii="Verdana" w:hAnsi="Verdana" w:eastAsia="Century Gothic" w:cs="Century Gothic"/>
          <w:b/>
          <w:bCs/>
        </w:rPr>
        <w:t xml:space="preserve"> jurídico </w:t>
      </w:r>
      <w:r w:rsidRPr="00593A5F">
        <w:rPr>
          <w:rFonts w:ascii="Verdana" w:hAnsi="Verdana" w:eastAsia="Century Gothic" w:cs="Century Gothic"/>
          <w:b/>
          <w:bCs/>
        </w:rPr>
        <w:t>planteado:</w:t>
      </w:r>
    </w:p>
    <w:p w:rsidR="0087031A" w:rsidP="0087031A" w:rsidRDefault="0087031A" w14:paraId="1CD6BDA0"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00233586" w:rsidP="00333FA6" w:rsidRDefault="0087031A" w14:paraId="59414AE2" w14:textId="235C9BEA">
      <w:pPr>
        <w:pStyle w:val="Prrafodelista"/>
        <w:tabs>
          <w:tab w:val="left" w:pos="142"/>
          <w:tab w:val="left" w:pos="284"/>
        </w:tabs>
        <w:spacing w:after="0" w:line="276" w:lineRule="auto"/>
        <w:ind w:left="0"/>
        <w:jc w:val="both"/>
        <w:rPr>
          <w:rFonts w:ascii="Verdana" w:hAnsi="Verdana" w:eastAsia="Century Gothic" w:cs="Century Gothic"/>
          <w:i/>
          <w:iCs/>
          <w:sz w:val="20"/>
          <w:szCs w:val="20"/>
          <w:lang w:val="es-CO"/>
        </w:rPr>
      </w:pPr>
      <w:r w:rsidRPr="00E21BD1">
        <w:rPr>
          <w:rFonts w:ascii="Verdana" w:hAnsi="Verdana" w:eastAsia="Calibri" w:cs="Arial"/>
          <w:lang w:eastAsia="es-ES"/>
        </w:rPr>
        <w:t xml:space="preserve">De acuerdo con el contenido de su solicitud, esta Agencia resolverá </w:t>
      </w:r>
      <w:r w:rsidR="00AE62A4">
        <w:rPr>
          <w:rFonts w:ascii="Verdana" w:hAnsi="Verdana" w:eastAsia="Calibri" w:cs="Arial"/>
          <w:lang w:eastAsia="es-ES"/>
        </w:rPr>
        <w:t>el</w:t>
      </w:r>
      <w:r>
        <w:rPr>
          <w:rFonts w:ascii="Verdana" w:hAnsi="Verdana" w:eastAsia="Calibri" w:cs="Arial"/>
          <w:lang w:eastAsia="es-ES"/>
        </w:rPr>
        <w:t xml:space="preserve"> </w:t>
      </w:r>
      <w:r w:rsidRPr="00E21BD1">
        <w:rPr>
          <w:rFonts w:ascii="Verdana" w:hAnsi="Verdana" w:eastAsia="Calibri" w:cs="Arial"/>
          <w:lang w:eastAsia="es-ES"/>
        </w:rPr>
        <w:t>siguiente problema jurídico</w:t>
      </w:r>
      <w:bookmarkStart w:name="_Hlk196737317" w:id="6"/>
      <w:r w:rsidR="00B15A84">
        <w:rPr>
          <w:rFonts w:ascii="Verdana" w:hAnsi="Verdana" w:eastAsia="Calibri" w:cs="Arial"/>
          <w:lang w:eastAsia="es-ES"/>
        </w:rPr>
        <w:t>:</w:t>
      </w:r>
      <w:r w:rsidR="00333FA6">
        <w:rPr>
          <w:rFonts w:ascii="Verdana" w:hAnsi="Verdana" w:eastAsia="Calibri" w:cs="Arial"/>
          <w:lang w:eastAsia="es-ES"/>
        </w:rPr>
        <w:t xml:space="preserve"> </w:t>
      </w:r>
      <w:r w:rsidRPr="00333FA6" w:rsidR="00333FA6">
        <w:rPr>
          <w:rFonts w:ascii="Verdana" w:hAnsi="Verdana" w:eastAsia="Century Gothic" w:cs="Century Gothic"/>
          <w:i/>
          <w:iCs/>
          <w:lang w:val="es-CO"/>
        </w:rPr>
        <w:t>¿Cuál es la aplicación y alcance de la figura jurídica de la transacción en las entidades sujetas al Estatuto General de Contratación de la Administración Pública (EGCAP)?</w:t>
      </w:r>
    </w:p>
    <w:p w:rsidR="00333FA6" w:rsidP="00333FA6" w:rsidRDefault="00333FA6" w14:paraId="67529D22" w14:textId="77777777">
      <w:pPr>
        <w:pStyle w:val="Prrafodelista"/>
        <w:tabs>
          <w:tab w:val="left" w:pos="142"/>
          <w:tab w:val="left" w:pos="284"/>
        </w:tabs>
        <w:spacing w:after="0" w:line="276" w:lineRule="auto"/>
        <w:ind w:left="0"/>
        <w:jc w:val="both"/>
        <w:rPr>
          <w:rFonts w:ascii="Verdana" w:hAnsi="Verdana" w:eastAsia="Calibri" w:cs="Arial"/>
          <w:lang w:val="es-CO" w:eastAsia="es-ES"/>
        </w:rPr>
      </w:pPr>
    </w:p>
    <w:bookmarkEnd w:id="6"/>
    <w:p w:rsidRPr="00593A5F" w:rsidR="0087031A" w:rsidP="0087031A" w:rsidRDefault="0087031A" w14:paraId="4830150C"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Pr="00593A5F" w:rsidR="0087031A" w:rsidP="0087031A" w:rsidRDefault="0087031A" w14:paraId="77A45475"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87031A" w:rsidTr="00580B7F" w14:paraId="12E3C4B8" w14:textId="77777777">
        <w:tc>
          <w:tcPr>
            <w:tcW w:w="8828" w:type="dxa"/>
            <w:shd w:val="clear" w:color="auto" w:fill="auto"/>
          </w:tcPr>
          <w:p w:rsidR="0086150B" w:rsidP="00333FA6" w:rsidRDefault="00A53EC9" w14:paraId="783B8D9D" w14:textId="2E0807E4">
            <w:pPr>
              <w:spacing w:line="276" w:lineRule="auto"/>
              <w:jc w:val="both"/>
              <w:rPr>
                <w:rFonts w:ascii="Verdana" w:hAnsi="Verdana" w:eastAsia="Calibri" w:cs="Arial"/>
                <w:lang w:val="es-ES"/>
              </w:rPr>
            </w:pPr>
            <w:r>
              <w:rPr>
                <w:rFonts w:ascii="Verdana" w:hAnsi="Verdana" w:eastAsia="Calibri" w:cs="Arial"/>
                <w:lang w:eastAsia="es-ES"/>
              </w:rPr>
              <w:t xml:space="preserve">   </w:t>
            </w:r>
            <w:r w:rsidR="0086150B">
              <w:rPr>
                <w:rFonts w:ascii="Verdana" w:hAnsi="Verdana" w:eastAsia="Calibri" w:cs="Arial"/>
                <w:lang w:eastAsia="es-ES"/>
              </w:rPr>
              <w:t xml:space="preserve">    </w:t>
            </w:r>
            <w:r w:rsidR="009B497C">
              <w:rPr>
                <w:rFonts w:ascii="Verdana" w:hAnsi="Verdana" w:eastAsia="Calibri" w:cs="Arial"/>
                <w:lang w:val="es-ES"/>
              </w:rPr>
              <w:t>De manera preliminar es pertinente indicar que</w:t>
            </w:r>
            <w:r w:rsidRPr="0086150B" w:rsidR="0086150B">
              <w:rPr>
                <w:rFonts w:ascii="Verdana" w:hAnsi="Verdana" w:eastAsia="Calibri" w:cs="Arial"/>
                <w:lang w:val="es-ES"/>
              </w:rPr>
              <w:t xml:space="preserve"> el contrato de transacción se encuentra definido en el Código Civil, específicamente en el artículo 2469, como el contrato en virtud del cual las partes terminan extrajudicialmente un litigio o precaven un litigio eventual, por lo tanto, en estricto sentido, mediante la celebración de dichos contratos las entidades no van a adquirir un bien, servicio u obra, por el contrario mediante la celebración del mismo se acordará la extinción de obligaciones adquiridas previamente por las partes</w:t>
            </w:r>
            <w:r w:rsidR="0086150B">
              <w:rPr>
                <w:rFonts w:ascii="Verdana" w:hAnsi="Verdana" w:eastAsia="Calibri" w:cs="Arial"/>
                <w:lang w:val="es-ES"/>
              </w:rPr>
              <w:t>.</w:t>
            </w:r>
          </w:p>
          <w:p w:rsidR="0086150B" w:rsidP="00333FA6" w:rsidRDefault="0086150B" w14:paraId="70A21F8C" w14:textId="77777777">
            <w:pPr>
              <w:spacing w:line="276" w:lineRule="auto"/>
              <w:jc w:val="both"/>
              <w:rPr>
                <w:rFonts w:ascii="Verdana" w:hAnsi="Verdana" w:eastAsia="Calibri" w:cs="Arial"/>
                <w:lang w:val="es-ES"/>
              </w:rPr>
            </w:pPr>
          </w:p>
          <w:p w:rsidR="009266D6" w:rsidP="00333FA6" w:rsidRDefault="0086150B" w14:paraId="004CD0F0" w14:textId="590D0027">
            <w:pPr>
              <w:spacing w:line="276" w:lineRule="auto"/>
              <w:jc w:val="both"/>
              <w:rPr>
                <w:rFonts w:ascii="Verdana" w:hAnsi="Verdana" w:eastAsia="Calibri" w:cs="Arial"/>
                <w:lang w:val="es-ES"/>
              </w:rPr>
            </w:pPr>
            <w:r>
              <w:rPr>
                <w:rFonts w:ascii="Verdana" w:hAnsi="Verdana" w:eastAsia="Calibri" w:cs="Arial"/>
                <w:lang w:val="es-ES"/>
              </w:rPr>
              <w:t xml:space="preserve">      </w:t>
            </w:r>
            <w:r w:rsidRPr="0086150B">
              <w:rPr>
                <w:rFonts w:ascii="Verdana" w:hAnsi="Verdana" w:eastAsia="Calibri" w:cs="Arial"/>
                <w:lang w:val="es-ES"/>
              </w:rPr>
              <w:t>En el ámbito de la contratación estatal, la jurisprudencia del Consejo de Estado</w:t>
            </w:r>
            <w:r>
              <w:rPr>
                <w:rStyle w:val="Refdenotaalpie"/>
                <w:rFonts w:ascii="Verdana" w:hAnsi="Verdana" w:eastAsia="Calibri" w:cs="Arial"/>
                <w:lang w:val="es-ES"/>
              </w:rPr>
              <w:footnoteReference w:id="1"/>
            </w:r>
            <w:r w:rsidRPr="0086150B">
              <w:rPr>
                <w:rFonts w:ascii="Verdana" w:hAnsi="Verdana" w:eastAsia="Calibri" w:cs="Arial"/>
                <w:lang w:val="es-ES"/>
              </w:rPr>
              <w:t xml:space="preserve"> y la doctrina</w:t>
            </w:r>
            <w:r>
              <w:rPr>
                <w:rStyle w:val="Refdenotaalpie"/>
                <w:rFonts w:ascii="Verdana" w:hAnsi="Verdana" w:eastAsia="Calibri" w:cs="Arial"/>
                <w:lang w:val="es-ES"/>
              </w:rPr>
              <w:footnoteReference w:id="2"/>
            </w:r>
            <w:r w:rsidRPr="0086150B">
              <w:rPr>
                <w:rFonts w:ascii="Verdana" w:hAnsi="Verdana" w:eastAsia="Calibri" w:cs="Arial"/>
                <w:lang w:val="es-ES"/>
              </w:rPr>
              <w:t xml:space="preserve">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w:t>
            </w:r>
            <w:r w:rsidRPr="00B92AD4" w:rsidR="0056783A">
              <w:rPr>
                <w:rFonts w:ascii="Verdana" w:hAnsi="Verdana" w:eastAsia="Calibri" w:cs="Arial"/>
                <w:lang w:val="es-ES"/>
              </w:rPr>
              <w:t xml:space="preserve"> </w:t>
            </w:r>
          </w:p>
          <w:p w:rsidR="009B273C" w:rsidP="00333FA6" w:rsidRDefault="009B273C" w14:paraId="3D89B09A" w14:textId="77777777">
            <w:pPr>
              <w:spacing w:line="276" w:lineRule="auto"/>
              <w:jc w:val="both"/>
              <w:rPr>
                <w:rFonts w:ascii="Verdana" w:hAnsi="Verdana" w:eastAsia="Calibri" w:cs="Arial"/>
                <w:lang w:val="es-ES"/>
              </w:rPr>
            </w:pPr>
          </w:p>
          <w:p w:rsidR="0087031A" w:rsidP="00503135" w:rsidRDefault="00503135" w14:paraId="590CBB75" w14:textId="79CA18B9">
            <w:pPr>
              <w:spacing w:line="276" w:lineRule="auto"/>
              <w:ind w:firstLine="284"/>
              <w:jc w:val="both"/>
            </w:pPr>
            <w:r>
              <w:rPr>
                <w:rFonts w:ascii="Verdana" w:hAnsi="Verdana" w:eastAsia="Calibri" w:cs="Arial"/>
                <w:lang w:val="es-ES" w:eastAsia="es-ES"/>
              </w:rPr>
              <w:t xml:space="preserve">      </w:t>
            </w:r>
            <w:r w:rsidR="00905C1B">
              <w:rPr>
                <w:rFonts w:ascii="Verdana" w:hAnsi="Verdana" w:eastAsia="Calibri" w:cs="Arial"/>
                <w:lang w:val="es-ES" w:eastAsia="es-ES"/>
              </w:rPr>
              <w:t>Finalmente</w:t>
            </w:r>
            <w:r w:rsidR="0087031A">
              <w:rPr>
                <w:rFonts w:ascii="Verdana" w:hAnsi="Verdana" w:eastAsia="Calibri" w:cs="Times New Roman"/>
                <w:lang w:val="es-ES"/>
              </w:rPr>
              <w:t>,</w:t>
            </w:r>
            <w:r w:rsidRPr="00DB4737" w:rsidR="0087031A">
              <w:rPr>
                <w:rFonts w:ascii="Verdana" w:hAnsi="Verdana" w:eastAsia="Calibri" w:cs="Times New Roman"/>
                <w:lang w:val="es-ES"/>
              </w:rPr>
              <w:t xml:space="preserve"> debe advertirse que </w:t>
            </w:r>
            <w:r w:rsidR="009B273C">
              <w:rPr>
                <w:rFonts w:ascii="Verdana" w:hAnsi="Verdana" w:eastAsia="Calibri" w:cs="Times New Roman"/>
                <w:lang w:val="es-ES"/>
              </w:rPr>
              <w:t xml:space="preserve">el análisis de la aplicación de la figura de la transacción </w:t>
            </w:r>
            <w:r w:rsidRPr="00DB4737" w:rsidR="0087031A">
              <w:rPr>
                <w:rFonts w:ascii="Verdana" w:hAnsi="Verdana" w:eastAsia="Calibri" w:cs="Times New Roman"/>
                <w:lang w:val="es-ES"/>
              </w:rPr>
              <w:t xml:space="preserve">en torno </w:t>
            </w:r>
            <w:r w:rsidR="0087031A">
              <w:rPr>
                <w:rFonts w:ascii="Verdana" w:hAnsi="Verdana" w:eastAsia="Calibri" w:cs="Times New Roman"/>
                <w:lang w:val="es-ES"/>
              </w:rPr>
              <w:t>a un proceso de contratación especifico debe</w:t>
            </w:r>
            <w:r w:rsidRPr="0012388D" w:rsidR="0087031A">
              <w:rPr>
                <w:rFonts w:ascii="Verdana" w:hAnsi="Verdana" w:eastAsia="Calibri" w:cs="Times New Roman"/>
                <w:lang w:val="es-ES"/>
              </w:rPr>
              <w:t xml:space="preserve"> ser realizado por quienes tengan interés en ello.</w:t>
            </w:r>
            <w:r w:rsidRPr="00DB4737" w:rsidR="0087031A">
              <w:rPr>
                <w:rFonts w:ascii="Verdana" w:hAnsi="Verdana" w:eastAsia="Calibri"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7031A">
              <w:t xml:space="preserve"> </w:t>
            </w:r>
          </w:p>
          <w:p w:rsidRPr="00503135" w:rsidR="00503135" w:rsidP="00503135" w:rsidRDefault="00503135" w14:paraId="48E8DCDE" w14:textId="77777777">
            <w:pPr>
              <w:spacing w:line="276" w:lineRule="auto"/>
              <w:ind w:firstLine="284"/>
              <w:jc w:val="both"/>
              <w:rPr>
                <w:rFonts w:ascii="Verdana" w:hAnsi="Verdana" w:eastAsia="Calibri" w:cs="Arial"/>
                <w:lang w:eastAsia="es-ES"/>
              </w:rPr>
            </w:pPr>
          </w:p>
          <w:p w:rsidRPr="00831CDD" w:rsidR="0087031A" w:rsidP="00CD7324" w:rsidRDefault="0087031A" w14:paraId="4D8F70B6" w14:textId="77777777">
            <w:pPr>
              <w:spacing w:line="276" w:lineRule="auto"/>
              <w:ind w:firstLine="709"/>
              <w:contextualSpacing/>
              <w:jc w:val="both"/>
              <w:rPr>
                <w:rFonts w:ascii="Verdana" w:hAnsi="Verdana" w:cs="Arial"/>
                <w:bCs/>
                <w:color w:val="000000" w:themeColor="text1"/>
              </w:rPr>
            </w:pP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Pr="00593A5F" w:rsidR="0087031A" w:rsidTr="00580B7F" w14:paraId="2EC3A9A4" w14:textId="77777777">
        <w:tc>
          <w:tcPr>
            <w:tcW w:w="8828" w:type="dxa"/>
            <w:shd w:val="clear" w:color="auto" w:fill="auto"/>
          </w:tcPr>
          <w:p w:rsidRPr="002973E9" w:rsidR="0087031A" w:rsidP="00580B7F" w:rsidRDefault="0087031A" w14:paraId="46FE8F13" w14:textId="77777777">
            <w:pPr>
              <w:spacing w:line="276" w:lineRule="auto"/>
              <w:jc w:val="both"/>
              <w:rPr>
                <w:rFonts w:ascii="Verdana" w:hAnsi="Verdana" w:eastAsia="Calibri" w:cs="Arial"/>
                <w:lang w:val="es-ES"/>
              </w:rPr>
            </w:pPr>
          </w:p>
        </w:tc>
      </w:tr>
    </w:tbl>
    <w:p w:rsidR="0087031A" w:rsidP="0087031A" w:rsidRDefault="0087031A" w14:paraId="234FB4F9" w14:textId="77777777">
      <w:pPr>
        <w:tabs>
          <w:tab w:val="left" w:pos="142"/>
          <w:tab w:val="left" w:pos="284"/>
        </w:tabs>
        <w:spacing w:after="0" w:line="276" w:lineRule="auto"/>
        <w:jc w:val="both"/>
        <w:rPr>
          <w:rFonts w:ascii="Verdana" w:hAnsi="Verdana" w:eastAsia="Century Gothic" w:cs="Century Gothic"/>
          <w:b/>
          <w:bCs/>
          <w:lang w:val="es-ES"/>
        </w:rPr>
      </w:pPr>
    </w:p>
    <w:p w:rsidR="0087031A" w:rsidP="0087031A" w:rsidRDefault="0087031A" w14:paraId="43DE775E"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Pr="00593A5F" w:rsidR="0036525B" w:rsidP="0036525B" w:rsidRDefault="0036525B" w14:paraId="34B6724F"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006F1179" w:rsidP="006F1179" w:rsidRDefault="006F1179" w14:paraId="59596CD1" w14:textId="21CB5CDB">
      <w:pPr>
        <w:spacing w:after="0" w:line="276" w:lineRule="auto"/>
        <w:ind w:firstLine="708"/>
        <w:contextualSpacing/>
        <w:jc w:val="both"/>
        <w:rPr>
          <w:rFonts w:ascii="Verdana" w:hAnsi="Verdana" w:cs="Arial"/>
          <w:bCs/>
        </w:rPr>
      </w:pPr>
      <w:r w:rsidRPr="006F1179">
        <w:rPr>
          <w:rFonts w:ascii="Verdana" w:hAnsi="Verdana" w:cs="Arial"/>
          <w:bCs/>
        </w:rPr>
        <w:t>La transacción es un mecanismo alternativo de resolución de conflictos de carácter autocompositivo. En efecto, mediante la transacción las partes involucradas en una controversia acuerdan directamente la forma de resolverla, esto es, solucionan el conflicto por voluntad propia</w:t>
      </w:r>
      <w:r>
        <w:rPr>
          <w:rFonts w:ascii="Verdana" w:hAnsi="Verdana" w:cs="Arial"/>
          <w:bCs/>
        </w:rPr>
        <w:t xml:space="preserve"> </w:t>
      </w:r>
      <w:r w:rsidRPr="006F1179">
        <w:rPr>
          <w:rFonts w:ascii="Verdana" w:hAnsi="Verdana" w:cs="Arial"/>
          <w:bCs/>
        </w:rPr>
        <w:t>–efectuando concesiones recíprocas– y no por la imposición de un tercero. De ahí que la transacción revista los rasgos de un negocio jurídico o contrato, pues es un acuerdo de voluntades para crear, modificar</w:t>
      </w:r>
      <w:r>
        <w:rPr>
          <w:rFonts w:ascii="Verdana" w:hAnsi="Verdana" w:cs="Arial"/>
          <w:bCs/>
        </w:rPr>
        <w:t xml:space="preserve"> </w:t>
      </w:r>
      <w:r w:rsidRPr="006F1179">
        <w:rPr>
          <w:rFonts w:ascii="Verdana" w:hAnsi="Verdana" w:cs="Arial"/>
          <w:bCs/>
        </w:rPr>
        <w:t>o</w:t>
      </w:r>
      <w:r>
        <w:rPr>
          <w:rFonts w:ascii="Verdana" w:hAnsi="Verdana" w:cs="Arial"/>
          <w:bCs/>
        </w:rPr>
        <w:t xml:space="preserve"> </w:t>
      </w:r>
      <w:r w:rsidRPr="006F1179">
        <w:rPr>
          <w:rFonts w:ascii="Verdana" w:hAnsi="Verdana" w:cs="Arial"/>
          <w:bCs/>
        </w:rPr>
        <w:t>extinguir</w:t>
      </w:r>
      <w:r>
        <w:rPr>
          <w:rFonts w:ascii="Verdana" w:hAnsi="Verdana" w:cs="Arial"/>
          <w:bCs/>
        </w:rPr>
        <w:t xml:space="preserve"> </w:t>
      </w:r>
      <w:r w:rsidRPr="006F1179">
        <w:rPr>
          <w:rFonts w:ascii="Verdana" w:hAnsi="Verdana" w:cs="Arial"/>
          <w:bCs/>
        </w:rPr>
        <w:t>derechos</w:t>
      </w:r>
      <w:r>
        <w:rPr>
          <w:rFonts w:ascii="Verdana" w:hAnsi="Verdana" w:cs="Arial"/>
          <w:bCs/>
        </w:rPr>
        <w:t xml:space="preserve"> </w:t>
      </w:r>
      <w:r w:rsidRPr="006F1179">
        <w:rPr>
          <w:rFonts w:ascii="Verdana" w:hAnsi="Verdana" w:cs="Arial"/>
          <w:bCs/>
        </w:rPr>
        <w:t>obligaciones.</w:t>
      </w:r>
      <w:r>
        <w:rPr>
          <w:rFonts w:ascii="Verdana" w:hAnsi="Verdana" w:cs="Arial"/>
          <w:bCs/>
        </w:rPr>
        <w:t xml:space="preserve"> </w:t>
      </w:r>
      <w:r w:rsidRPr="006F1179">
        <w:rPr>
          <w:rFonts w:ascii="Verdana" w:hAnsi="Verdana" w:cs="Arial"/>
          <w:bCs/>
        </w:rPr>
        <w:t>Esto diferencia a la transacción, como se había dicho, de los mecanismos heterocompositivos, en los que un sujeto distinto a las partes decide con autoridad a cuál de ellas le asiste la razón</w:t>
      </w:r>
      <w:r>
        <w:rPr>
          <w:rFonts w:ascii="Verdana" w:hAnsi="Verdana" w:cs="Arial"/>
          <w:bCs/>
        </w:rPr>
        <w:t>.</w:t>
      </w:r>
    </w:p>
    <w:p w:rsidR="006F1179" w:rsidP="006F1179" w:rsidRDefault="006F1179" w14:paraId="103106CD" w14:textId="77777777">
      <w:pPr>
        <w:spacing w:after="0" w:line="276" w:lineRule="auto"/>
        <w:ind w:firstLine="708"/>
        <w:contextualSpacing/>
        <w:jc w:val="both"/>
        <w:rPr>
          <w:rFonts w:ascii="Verdana" w:hAnsi="Verdana" w:cs="Arial"/>
          <w:bCs/>
        </w:rPr>
      </w:pPr>
    </w:p>
    <w:p w:rsidR="006F1179" w:rsidP="006F1179" w:rsidRDefault="006F1179" w14:paraId="1FC23880" w14:textId="0D31A40F">
      <w:pPr>
        <w:spacing w:after="0" w:line="276" w:lineRule="auto"/>
        <w:ind w:firstLine="708"/>
        <w:contextualSpacing/>
        <w:jc w:val="both"/>
        <w:rPr>
          <w:rFonts w:ascii="Verdana" w:hAnsi="Verdana" w:cs="Arial"/>
          <w:bCs/>
        </w:rPr>
      </w:pPr>
      <w:r w:rsidRPr="006F1179">
        <w:rPr>
          <w:rFonts w:ascii="Verdana" w:hAnsi="Verdana" w:cs="Arial"/>
          <w:bCs/>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r>
        <w:rPr>
          <w:rStyle w:val="Refdenotaalpie"/>
          <w:rFonts w:ascii="Verdana" w:hAnsi="Verdana" w:cs="Arial"/>
          <w:bCs/>
        </w:rPr>
        <w:footnoteReference w:id="3"/>
      </w:r>
      <w:r w:rsidRPr="006F1179">
        <w:rPr>
          <w:rFonts w:ascii="Verdana" w:hAnsi="Verdana" w:cs="Arial"/>
          <w:bCs/>
        </w:rPr>
        <w:t>, ello desde una óptica que implica la prevalencia de la voluntad de las partes.</w:t>
      </w:r>
    </w:p>
    <w:p w:rsidRPr="006F1179" w:rsidR="006F1179" w:rsidP="006F1179" w:rsidRDefault="006F1179" w14:paraId="6BE34BC4" w14:textId="77777777">
      <w:pPr>
        <w:spacing w:after="0" w:line="276" w:lineRule="auto"/>
        <w:ind w:firstLine="708"/>
        <w:contextualSpacing/>
        <w:jc w:val="both"/>
        <w:rPr>
          <w:rFonts w:ascii="Verdana" w:hAnsi="Verdana" w:cs="Arial"/>
          <w:bCs/>
        </w:rPr>
      </w:pPr>
    </w:p>
    <w:p w:rsidR="006F1179" w:rsidP="006F1179" w:rsidRDefault="006F1179" w14:paraId="4EBC05D4" w14:textId="368645AA">
      <w:pPr>
        <w:spacing w:after="0" w:line="276" w:lineRule="auto"/>
        <w:ind w:firstLine="708"/>
        <w:contextualSpacing/>
        <w:jc w:val="both"/>
        <w:rPr>
          <w:rFonts w:ascii="Verdana" w:hAnsi="Verdana" w:cs="Arial"/>
          <w:bCs/>
        </w:rPr>
      </w:pPr>
      <w:r w:rsidRPr="006F1179">
        <w:rPr>
          <w:rFonts w:ascii="Verdana" w:hAnsi="Verdana" w:cs="Arial"/>
          <w:bCs/>
        </w:rPr>
        <w:t>La transacción, como mecanismo alternativo de resolución de conflictos, puede ser judicial o extrajudicial, dependiendo de si se da o no para terminar un proceso judicial vigente. El artículo 2469 del Código Civil es el fundamento jurídico de la transacción extrajudicial, pues indica que mediante este contrato las partes “[…] terminan extrajudicialmente un litigio pendiente o precaven un litigio eventual” (cursiva fuera de texto). A su vez, los códigos procesales han reconocido la transacción judicial como forma de terminación anticipada de los litigios. Verbigracia, el artículo 176 del Código de Procedimiento Administrativo y de lo Contencioso Administrativo –Ley 1437 de 2011– establece que el proceso judicial puede terminar por transacción</w:t>
      </w:r>
      <w:r>
        <w:rPr>
          <w:rStyle w:val="Refdenotaalpie"/>
          <w:rFonts w:ascii="Verdana" w:hAnsi="Verdana" w:cs="Arial"/>
          <w:bCs/>
        </w:rPr>
        <w:footnoteReference w:id="4"/>
      </w:r>
    </w:p>
    <w:p w:rsidR="006F1179" w:rsidP="006F1179" w:rsidRDefault="006F1179" w14:paraId="6B70AED3" w14:textId="77777777">
      <w:pPr>
        <w:spacing w:after="0" w:line="276" w:lineRule="auto"/>
        <w:ind w:firstLine="708"/>
        <w:contextualSpacing/>
        <w:jc w:val="both"/>
        <w:rPr>
          <w:rFonts w:ascii="Verdana" w:hAnsi="Verdana" w:cs="Arial"/>
          <w:bCs/>
        </w:rPr>
      </w:pPr>
    </w:p>
    <w:p w:rsidR="006F1179" w:rsidP="006F1179" w:rsidRDefault="006F1179" w14:paraId="7B692CF8" w14:textId="60BE352A">
      <w:pPr>
        <w:spacing w:after="0" w:line="276" w:lineRule="auto"/>
        <w:ind w:firstLine="708"/>
        <w:contextualSpacing/>
        <w:jc w:val="both"/>
        <w:rPr>
          <w:rFonts w:ascii="Verdana" w:hAnsi="Verdana" w:cs="Arial"/>
          <w:bCs/>
        </w:rPr>
      </w:pPr>
      <w:r w:rsidRPr="006F1179">
        <w:rPr>
          <w:rFonts w:ascii="Verdana" w:hAnsi="Verdana" w:cs="Arial"/>
          <w:bCs/>
        </w:rPr>
        <w:t>De la misma manera, el artículo 103 del Estatuto de Arbitraje Nacional e Internacional –Ley 1563 de 2012– permite la terminación del proceso arbitral por transacción entre las partes</w:t>
      </w:r>
      <w:r>
        <w:rPr>
          <w:rStyle w:val="Refdenotaalpie"/>
          <w:rFonts w:ascii="Verdana" w:hAnsi="Verdana" w:cs="Arial"/>
          <w:bCs/>
        </w:rPr>
        <w:footnoteReference w:id="5"/>
      </w:r>
      <w:r w:rsidRPr="006F1179">
        <w:rPr>
          <w:rFonts w:ascii="Verdana" w:hAnsi="Verdana" w:cs="Arial"/>
          <w:bCs/>
        </w:rPr>
        <w:t>. El artículo</w:t>
      </w:r>
      <w:r>
        <w:rPr>
          <w:rFonts w:ascii="Verdana" w:hAnsi="Verdana" w:cs="Arial"/>
          <w:bCs/>
        </w:rPr>
        <w:t xml:space="preserve"> </w:t>
      </w:r>
      <w:r w:rsidRPr="006F1179">
        <w:rPr>
          <w:rFonts w:ascii="Verdana" w:hAnsi="Verdana" w:cs="Arial"/>
          <w:bCs/>
        </w:rPr>
        <w:t>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p w:rsidRPr="006F1179" w:rsidR="006F1179" w:rsidP="006F1179" w:rsidRDefault="006F1179" w14:paraId="59336258" w14:textId="77777777">
      <w:pPr>
        <w:spacing w:after="0" w:line="276" w:lineRule="auto"/>
        <w:ind w:firstLine="708"/>
        <w:contextualSpacing/>
        <w:jc w:val="both"/>
        <w:rPr>
          <w:rFonts w:ascii="Verdana" w:hAnsi="Verdana" w:cs="Arial"/>
          <w:bCs/>
        </w:rPr>
      </w:pPr>
    </w:p>
    <w:p w:rsidR="006F1179" w:rsidP="006F1179" w:rsidRDefault="006F1179" w14:paraId="0CEF21CE" w14:textId="150B5D38">
      <w:pPr>
        <w:spacing w:after="0" w:line="276" w:lineRule="auto"/>
        <w:ind w:firstLine="708"/>
        <w:contextualSpacing/>
        <w:jc w:val="both"/>
        <w:rPr>
          <w:rFonts w:ascii="Verdana" w:hAnsi="Verdana" w:cs="Arial"/>
          <w:bCs/>
        </w:rPr>
      </w:pPr>
      <w:r w:rsidRPr="006F1179">
        <w:rPr>
          <w:rFonts w:ascii="Verdana" w:hAnsi="Verdana" w:cs="Arial"/>
          <w:bCs/>
        </w:rPr>
        <w:t>En el ámbito de la contratación estatal, la jurisprudencia del Consejo de Estado</w:t>
      </w:r>
      <w:r>
        <w:rPr>
          <w:rStyle w:val="Refdenotaalpie"/>
          <w:rFonts w:ascii="Verdana" w:hAnsi="Verdana" w:cs="Arial"/>
          <w:bCs/>
        </w:rPr>
        <w:footnoteReference w:id="6"/>
      </w:r>
      <w:r w:rsidRPr="006F1179">
        <w:rPr>
          <w:rFonts w:ascii="Verdana" w:hAnsi="Verdana" w:cs="Arial"/>
          <w:bCs/>
        </w:rPr>
        <w:t xml:space="preserve"> y la doctrina</w:t>
      </w:r>
      <w:r>
        <w:rPr>
          <w:rStyle w:val="Refdenotaalpie"/>
          <w:rFonts w:ascii="Verdana" w:hAnsi="Verdana" w:cs="Arial"/>
          <w:bCs/>
        </w:rPr>
        <w:footnoteReference w:id="7"/>
      </w:r>
      <w:r w:rsidRPr="006F1179">
        <w:rPr>
          <w:rFonts w:ascii="Verdana" w:hAnsi="Verdana" w:cs="Arial"/>
          <w:bCs/>
        </w:rPr>
        <w:t xml:space="preserve">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escalen y se generen consecuencias jurídicas y pecuniarias más gravosas para el patrimonio público.</w:t>
      </w:r>
    </w:p>
    <w:p w:rsidRPr="006F1179" w:rsidR="006F1179" w:rsidP="006F1179" w:rsidRDefault="006F1179" w14:paraId="01204C7D" w14:textId="77777777">
      <w:pPr>
        <w:spacing w:after="0" w:line="276" w:lineRule="auto"/>
        <w:ind w:firstLine="708"/>
        <w:contextualSpacing/>
        <w:jc w:val="both"/>
        <w:rPr>
          <w:rFonts w:ascii="Verdana" w:hAnsi="Verdana" w:cs="Arial"/>
          <w:bCs/>
        </w:rPr>
      </w:pPr>
    </w:p>
    <w:p w:rsidR="006F1179" w:rsidP="006F1179" w:rsidRDefault="006F1179" w14:paraId="6C13340C" w14:textId="77777777">
      <w:pPr>
        <w:spacing w:after="0" w:line="276" w:lineRule="auto"/>
        <w:ind w:firstLine="708"/>
        <w:contextualSpacing/>
        <w:jc w:val="both"/>
        <w:rPr>
          <w:rFonts w:ascii="Verdana" w:hAnsi="Verdana" w:cs="Arial"/>
          <w:bCs/>
        </w:rPr>
      </w:pPr>
      <w:r w:rsidRPr="006F1179">
        <w:rPr>
          <w:rFonts w:ascii="Verdana" w:hAnsi="Verdana" w:cs="Arial"/>
          <w:bCs/>
        </w:rPr>
        <w:t>Para ilustrar mejor lo anterior, conviene señalar que la transacción se encuentra consagrada en varias normas de la Ley 80 de 1993, como mecanismo alternativo de resolución de conflictos al que pueden acudir las entidades estatales y los contratistas para poner fin a sus diferencias o</w:t>
      </w:r>
      <w:r>
        <w:rPr>
          <w:rFonts w:ascii="Verdana" w:hAnsi="Verdana" w:cs="Arial"/>
          <w:bCs/>
        </w:rPr>
        <w:t xml:space="preserve"> </w:t>
      </w:r>
      <w:r w:rsidRPr="006F1179">
        <w:rPr>
          <w:rFonts w:ascii="Verdana" w:hAnsi="Verdana" w:cs="Arial"/>
          <w:bCs/>
        </w:rPr>
        <w:t>precaver litigios eventuales, dentro de las cuales se destacan las correspondientes a los artículos 25 y 27 arriba señalados.</w:t>
      </w:r>
    </w:p>
    <w:p w:rsidRPr="006F1179" w:rsidR="006F1179" w:rsidP="006F1179" w:rsidRDefault="006F1179" w14:paraId="5ABB2FF4" w14:textId="77777777">
      <w:pPr>
        <w:spacing w:after="0" w:line="276" w:lineRule="auto"/>
        <w:ind w:firstLine="708"/>
        <w:contextualSpacing/>
        <w:jc w:val="both"/>
        <w:rPr>
          <w:rFonts w:ascii="Verdana" w:hAnsi="Verdana" w:cs="Arial"/>
          <w:bCs/>
        </w:rPr>
      </w:pPr>
    </w:p>
    <w:p w:rsidR="006F1179" w:rsidP="006F1179" w:rsidRDefault="006F1179" w14:paraId="37C0A5D9" w14:textId="067B71C3">
      <w:pPr>
        <w:spacing w:after="0" w:line="276" w:lineRule="auto"/>
        <w:ind w:firstLine="708"/>
        <w:contextualSpacing/>
        <w:jc w:val="both"/>
        <w:rPr>
          <w:rFonts w:ascii="Verdana" w:hAnsi="Verdana" w:cs="Arial"/>
          <w:bCs/>
        </w:rPr>
      </w:pPr>
      <w:r w:rsidRPr="006F1179">
        <w:rPr>
          <w:rFonts w:ascii="Verdana" w:hAnsi="Verdana" w:cs="Arial"/>
          <w:bCs/>
        </w:rPr>
        <w:t>Por otra parte, el artículo 60 de la Ley 80 de 1993 reconoce la procedencia de la transacción en la etapa de liquidación del contrato, estableciendo que “En el acta de liquidación constarán los acuerdos, conciliaciones y transacciones a que llegaren las partes para poner fin a las divergencias presentadas y poder declararse a paz y salvo”. Los beneficios de la transacción en el acta de liquidación bilateral han sido puestos de presente por la doctrina, afirmando que aquella “[…] es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r>
        <w:rPr>
          <w:rStyle w:val="Refdenotaalpie"/>
          <w:rFonts w:ascii="Verdana" w:hAnsi="Verdana" w:cs="Arial"/>
          <w:bCs/>
        </w:rPr>
        <w:footnoteReference w:id="8"/>
      </w:r>
      <w:r w:rsidRPr="006F1179">
        <w:rPr>
          <w:rFonts w:ascii="Verdana" w:hAnsi="Verdana" w:cs="Arial"/>
          <w:bCs/>
        </w:rPr>
        <w:t>.</w:t>
      </w:r>
    </w:p>
    <w:p w:rsidRPr="006F1179" w:rsidR="006F1179" w:rsidP="006F1179" w:rsidRDefault="006F1179" w14:paraId="53131757" w14:textId="77777777">
      <w:pPr>
        <w:spacing w:after="0" w:line="276" w:lineRule="auto"/>
        <w:ind w:firstLine="708"/>
        <w:contextualSpacing/>
        <w:jc w:val="both"/>
        <w:rPr>
          <w:rFonts w:ascii="Verdana" w:hAnsi="Verdana" w:cs="Arial"/>
          <w:bCs/>
        </w:rPr>
      </w:pPr>
    </w:p>
    <w:p w:rsidR="006F1179" w:rsidP="00CB60A8" w:rsidRDefault="006F1179" w14:paraId="50945792" w14:textId="3CCCAFE5">
      <w:pPr>
        <w:spacing w:after="0" w:line="276" w:lineRule="auto"/>
        <w:ind w:firstLine="708"/>
        <w:contextualSpacing/>
        <w:jc w:val="both"/>
        <w:rPr>
          <w:rFonts w:ascii="Verdana" w:hAnsi="Verdana" w:cs="Arial"/>
          <w:bCs/>
        </w:rPr>
      </w:pPr>
      <w:r w:rsidRPr="006F1179">
        <w:rPr>
          <w:rFonts w:ascii="Verdana" w:hAnsi="Verdana" w:cs="Arial"/>
          <w:bCs/>
        </w:rPr>
        <w:t>Adicionalmente, el artículo 25, numeral 5, de la Ley 80 de 1993 dispone que, en virtud del principio de economía, se deben adoptar “[…] procedimientos que garanticen la pronta solución de las diferencias y controversias que con motivo de la celebración y ejecución del contrato se presenten”. Por otra parte, los artículos 32 y 40 permiten a las entidades estatales celebrar todos los contratos que tengan su fuente en el ejercicio de la autonomía de la voluntad, así como en las normas civiles y comerciales. Siendo el de transacción un contrato consagrado en las normas civiles–concretamente, en el artículo 2469 del Código Civil–, es entonces un negocio jurídico que pueden celebrar las entidades estatales en el marco de la ejecución de otro contrato. Además, como se indicó, el artículo 1625, numeral 3, del Código Civil establece que la transacción es un modo de extinguir las obligaciones. Esta norma también resulta aplicable en la contratación estatal, en virtud de la remisión a las normas civiles que realiza el artículo 13 de la Ley 80 de 1993, según el cual: “Los contratos que celebren las entidades a que se refiere el artículo 2o. del presente estatuto se regirán por las disposiciones comerciales y civiles pertinentes, salvo en las materias particularmente reguladas en esta ley”.</w:t>
      </w:r>
    </w:p>
    <w:p w:rsidRPr="006F1179" w:rsidR="006F1179" w:rsidP="006F1179" w:rsidRDefault="006F1179" w14:paraId="79B69E79" w14:textId="77777777">
      <w:pPr>
        <w:spacing w:after="0" w:line="276" w:lineRule="auto"/>
        <w:ind w:firstLine="708"/>
        <w:contextualSpacing/>
        <w:jc w:val="both"/>
        <w:rPr>
          <w:rFonts w:ascii="Verdana" w:hAnsi="Verdana" w:cs="Arial"/>
          <w:bCs/>
        </w:rPr>
      </w:pPr>
    </w:p>
    <w:p w:rsidR="00CB60A8" w:rsidP="00CB60A8" w:rsidRDefault="006F1179" w14:paraId="02167123" w14:textId="67304A29">
      <w:pPr>
        <w:spacing w:after="0" w:line="276" w:lineRule="auto"/>
        <w:ind w:firstLine="708"/>
        <w:contextualSpacing/>
        <w:jc w:val="both"/>
        <w:rPr>
          <w:rFonts w:ascii="Verdana" w:hAnsi="Verdana" w:cs="Arial"/>
          <w:bCs/>
        </w:rPr>
      </w:pPr>
      <w:r w:rsidRPr="006F1179">
        <w:rPr>
          <w:rFonts w:ascii="Verdana" w:hAnsi="Verdana" w:cs="Arial"/>
          <w:bCs/>
        </w:rPr>
        <w:t>Por tal razón, la Sección Tercera del Consejo de Estado sostiene desde hace varios años que “Con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w:t>
      </w:r>
      <w:r w:rsidR="00CB60A8">
        <w:rPr>
          <w:rFonts w:ascii="Verdana" w:hAnsi="Verdana" w:cs="Arial"/>
          <w:bCs/>
        </w:rPr>
        <w:t xml:space="preserve"> </w:t>
      </w:r>
      <w:r w:rsidRPr="00CB60A8" w:rsidR="00CB60A8">
        <w:rPr>
          <w:rFonts w:ascii="Verdana" w:hAnsi="Verdana" w:cs="Arial"/>
          <w:bCs/>
        </w:rPr>
        <w:t>la Administración contratante, la cual a la luz de la ley 80 de 1993 goza de cierta autonomía en la solución de sus eventuales litigios contractuales”</w:t>
      </w:r>
      <w:r w:rsidR="00CB60A8">
        <w:rPr>
          <w:rStyle w:val="Refdenotaalpie"/>
          <w:rFonts w:ascii="Verdana" w:hAnsi="Verdana" w:cs="Arial"/>
          <w:bCs/>
        </w:rPr>
        <w:footnoteReference w:id="9"/>
      </w:r>
      <w:r w:rsidRPr="00CB60A8" w:rsidR="00CB60A8">
        <w:rPr>
          <w:rFonts w:ascii="Verdana" w:hAnsi="Verdana" w:cs="Arial"/>
          <w:bCs/>
        </w:rPr>
        <w:t>.</w:t>
      </w:r>
    </w:p>
    <w:p w:rsidRPr="00CB60A8" w:rsidR="00CB60A8" w:rsidP="00CB60A8" w:rsidRDefault="00CB60A8" w14:paraId="5B200519" w14:textId="77777777">
      <w:pPr>
        <w:spacing w:after="0" w:line="276" w:lineRule="auto"/>
        <w:ind w:firstLine="708"/>
        <w:contextualSpacing/>
        <w:jc w:val="both"/>
        <w:rPr>
          <w:rFonts w:ascii="Verdana" w:hAnsi="Verdana" w:cs="Arial"/>
          <w:bCs/>
        </w:rPr>
      </w:pPr>
    </w:p>
    <w:p w:rsidR="00D20919" w:rsidP="00CB60A8" w:rsidRDefault="00CB60A8" w14:paraId="588A0E3F" w14:textId="1E4DDF6A">
      <w:pPr>
        <w:spacing w:after="0" w:line="276" w:lineRule="auto"/>
        <w:ind w:firstLine="708"/>
        <w:contextualSpacing/>
        <w:jc w:val="both"/>
        <w:rPr>
          <w:rFonts w:ascii="Verdana" w:hAnsi="Verdana" w:cs="Arial"/>
          <w:bCs/>
        </w:rPr>
      </w:pPr>
      <w:r w:rsidRPr="00CB60A8">
        <w:rPr>
          <w:rFonts w:ascii="Verdana" w:hAnsi="Verdana" w:cs="Arial"/>
          <w:bCs/>
        </w:rPr>
        <w:t xml:space="preserve">La transacción se ha destacado así, como un mecanismo alternativo de resolución de conflictos que aporta beneficios a las partes del contrato estatal, cuando es realizada de manera adecuada. En tal sentido, jurisprudencialmente se ha señalado que “[…] uno de los principales efectos que genera el acuerdo transaccional es el de cosa juzgada, por el pacto de voluntades; en consecuencia, cuando se transa sobre la totalidad de los asuntos discutidos, las partes no pueden reavivar el conflicto acudiendo a la jurisdicción o, </w:t>
      </w:r>
      <w:r w:rsidRPr="00CB60A8" w:rsidR="000E241D">
        <w:rPr>
          <w:rFonts w:ascii="Verdana" w:hAnsi="Verdana" w:cs="Arial"/>
          <w:bCs/>
        </w:rPr>
        <w:t>en caso de que</w:t>
      </w:r>
      <w:r w:rsidRPr="00CB60A8">
        <w:rPr>
          <w:rFonts w:ascii="Verdana" w:hAnsi="Verdana" w:cs="Arial"/>
          <w:bCs/>
        </w:rPr>
        <w:t xml:space="preserve"> haya un proceso judicial en curso, habrá lugar a la terminación anormal del mismo”</w:t>
      </w:r>
      <w:r>
        <w:rPr>
          <w:rStyle w:val="Refdenotaalpie"/>
          <w:rFonts w:ascii="Verdana" w:hAnsi="Verdana" w:cs="Arial"/>
          <w:bCs/>
        </w:rPr>
        <w:footnoteReference w:id="10"/>
      </w:r>
      <w:r w:rsidRPr="00CB60A8">
        <w:rPr>
          <w:rFonts w:ascii="Verdana" w:hAnsi="Verdana" w:cs="Arial"/>
          <w:bCs/>
        </w:rPr>
        <w:t>.</w:t>
      </w:r>
    </w:p>
    <w:p w:rsidR="002D3338" w:rsidP="00CB60A8" w:rsidRDefault="002D3338" w14:paraId="5E483594" w14:textId="77777777">
      <w:pPr>
        <w:spacing w:after="0" w:line="276" w:lineRule="auto"/>
        <w:ind w:firstLine="708"/>
        <w:contextualSpacing/>
        <w:jc w:val="both"/>
        <w:rPr>
          <w:rFonts w:ascii="Verdana" w:hAnsi="Verdana" w:cs="Arial"/>
          <w:bCs/>
        </w:rPr>
      </w:pPr>
    </w:p>
    <w:p w:rsidR="00CB60A8" w:rsidP="00CB60A8" w:rsidRDefault="00CB60A8" w14:paraId="1DEA13FA" w14:textId="53F0D0E0">
      <w:pPr>
        <w:spacing w:after="0" w:line="276" w:lineRule="auto"/>
        <w:ind w:firstLine="708"/>
        <w:contextualSpacing/>
        <w:jc w:val="both"/>
        <w:rPr>
          <w:rFonts w:ascii="Verdana" w:hAnsi="Verdana" w:cs="Arial"/>
          <w:bCs/>
        </w:rPr>
      </w:pPr>
      <w:r w:rsidRPr="00CB60A8">
        <w:rPr>
          <w:rFonts w:ascii="Verdana" w:hAnsi="Verdana" w:cs="Arial"/>
          <w:bCs/>
        </w:rPr>
        <w:t>Adicionalmente, se ha indicado que la transacción es un modo válido de llegar a acuerdos sobre los aspectos económicos del contrato estatal</w:t>
      </w:r>
      <w:r w:rsidR="006E5EB7">
        <w:rPr>
          <w:rStyle w:val="Refdenotaalpie"/>
          <w:rFonts w:ascii="Verdana" w:hAnsi="Verdana" w:cs="Arial"/>
          <w:bCs/>
        </w:rPr>
        <w:footnoteReference w:id="11"/>
      </w:r>
      <w:r w:rsidRPr="00CB60A8">
        <w:rPr>
          <w:rFonts w:ascii="Verdana" w:hAnsi="Verdana" w:cs="Arial"/>
          <w:bCs/>
        </w:rPr>
        <w:t>, sin afectar los derechos colectivos a la moralidad administrativa y al patrimonio público</w:t>
      </w:r>
      <w:r w:rsidR="006E5EB7">
        <w:rPr>
          <w:rStyle w:val="Refdenotaalpie"/>
          <w:rFonts w:ascii="Verdana" w:hAnsi="Verdana" w:cs="Arial"/>
          <w:bCs/>
        </w:rPr>
        <w:footnoteReference w:id="12"/>
      </w:r>
      <w:r w:rsidRPr="00CB60A8">
        <w:rPr>
          <w:rFonts w:ascii="Verdana" w:hAnsi="Verdana" w:cs="Arial"/>
          <w:bCs/>
        </w:rPr>
        <w:t>. Específicamente, el Consejo de Estado también ha concebido la transacción como un mecanismo adecuado para restablecer el equilibrio económico del contrato, en cumplimiento del mandato contenido en el artículo 4, numeral 9, de la Ley 80 de 1993</w:t>
      </w:r>
      <w:r w:rsidR="006E5EB7">
        <w:rPr>
          <w:rStyle w:val="Refdenotaalpie"/>
          <w:rFonts w:ascii="Verdana" w:hAnsi="Verdana" w:cs="Arial"/>
          <w:bCs/>
        </w:rPr>
        <w:footnoteReference w:id="13"/>
      </w:r>
      <w:r w:rsidRPr="00CB60A8">
        <w:rPr>
          <w:rFonts w:ascii="Verdana" w:hAnsi="Verdana" w:cs="Arial"/>
          <w:bCs/>
        </w:rPr>
        <w:t>.</w:t>
      </w:r>
    </w:p>
    <w:p w:rsidRPr="00CB60A8" w:rsidR="006E5EB7" w:rsidP="00CB60A8" w:rsidRDefault="006E5EB7" w14:paraId="47AAD58B" w14:textId="77777777">
      <w:pPr>
        <w:spacing w:after="0" w:line="276" w:lineRule="auto"/>
        <w:ind w:firstLine="708"/>
        <w:contextualSpacing/>
        <w:jc w:val="both"/>
        <w:rPr>
          <w:rFonts w:ascii="Verdana" w:hAnsi="Verdana" w:cs="Arial"/>
          <w:bCs/>
        </w:rPr>
      </w:pPr>
    </w:p>
    <w:p w:rsidR="00CB60A8" w:rsidP="00CB60A8" w:rsidRDefault="00CB60A8" w14:paraId="53E6C6AD" w14:textId="37913675">
      <w:pPr>
        <w:spacing w:after="0" w:line="276" w:lineRule="auto"/>
        <w:ind w:firstLine="708"/>
        <w:contextualSpacing/>
        <w:jc w:val="both"/>
        <w:rPr>
          <w:rFonts w:ascii="Verdana" w:hAnsi="Verdana" w:cs="Arial"/>
          <w:bCs/>
        </w:rPr>
      </w:pPr>
      <w:r w:rsidRPr="00CB60A8">
        <w:rPr>
          <w:rFonts w:ascii="Verdana" w:hAnsi="Verdana" w:cs="Arial"/>
          <w:bCs/>
        </w:rPr>
        <w:t>Sin embargo, para que la transacción reporte ventajas a las partes, debe satisfacer las exigencias decantadas por la jurisprudencia. Según el Consejo de Estado: “[…] jurisprudencialmente se ha agregado como elemento esencial de la transacción, las concesiones o sacrificios recíprocos entre las partes”</w:t>
      </w:r>
      <w:r w:rsidR="006E5EB7">
        <w:rPr>
          <w:rStyle w:val="Refdenotaalpie"/>
          <w:rFonts w:ascii="Verdana" w:hAnsi="Verdana" w:cs="Arial"/>
          <w:bCs/>
        </w:rPr>
        <w:footnoteReference w:id="14"/>
      </w:r>
      <w:r w:rsidRPr="00CB60A8">
        <w:rPr>
          <w:rFonts w:ascii="Verdana" w:hAnsi="Verdana" w:cs="Arial"/>
          <w:bCs/>
        </w:rPr>
        <w:t>; es decir, el arreglo directo no puede “[…] mostrarse abiertamente desproporcionado”.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mecanismo.</w:t>
      </w:r>
    </w:p>
    <w:p w:rsidR="00CB60A8" w:rsidP="006F1179" w:rsidRDefault="00CB60A8" w14:paraId="36FD3336" w14:textId="77777777">
      <w:pPr>
        <w:spacing w:after="0" w:line="276" w:lineRule="auto"/>
        <w:ind w:firstLine="708"/>
        <w:contextualSpacing/>
        <w:jc w:val="both"/>
        <w:rPr>
          <w:rFonts w:ascii="Verdana" w:hAnsi="Verdana" w:cs="Arial"/>
          <w:bCs/>
        </w:rPr>
      </w:pPr>
    </w:p>
    <w:p w:rsidR="00CB60A8" w:rsidP="006F1179" w:rsidRDefault="006E5EB7" w14:paraId="329598FA" w14:textId="40764C7F">
      <w:pPr>
        <w:spacing w:after="0" w:line="276" w:lineRule="auto"/>
        <w:ind w:firstLine="708"/>
        <w:contextualSpacing/>
        <w:jc w:val="both"/>
        <w:rPr>
          <w:rFonts w:ascii="Verdana" w:hAnsi="Verdana" w:cs="Arial"/>
          <w:bCs/>
        </w:rPr>
      </w:pPr>
      <w:r w:rsidRPr="006E5EB7">
        <w:rPr>
          <w:rFonts w:ascii="Verdana" w:hAnsi="Verdana" w:cs="Arial"/>
          <w:bCs/>
        </w:rPr>
        <w:t>Por último, se reitera que el artículo 60 de la Ley 80 de 1993 reconoce la procedencia de la transacción en la etapa de liquidación del contrato, estableciendo que “En el acta de liquidación constarán los acuerdos, conciliaciones y transacciones a que llegaren las partes para poner fin a las divergencias presentadas y poder declararse a paz y salvo”. Los beneficios de la transacción en el acta de liquidación bilateral han sido puestos de presente por la doctrina, afirmando que aquella “[…] es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p>
    <w:p w:rsidR="006F1179" w:rsidP="00333FA6" w:rsidRDefault="006F1179" w14:paraId="4C4F706C" w14:textId="77777777">
      <w:pPr>
        <w:spacing w:after="0" w:line="276" w:lineRule="auto"/>
        <w:ind w:firstLine="708"/>
        <w:contextualSpacing/>
        <w:jc w:val="both"/>
        <w:rPr>
          <w:rFonts w:ascii="Verdana" w:hAnsi="Verdana" w:cs="Arial"/>
          <w:bCs/>
        </w:rPr>
      </w:pPr>
    </w:p>
    <w:p w:rsidR="008D5E3D" w:rsidP="008D5E3D" w:rsidRDefault="009B497C" w14:paraId="1EDA62AD" w14:textId="7375A5E1">
      <w:pPr>
        <w:spacing w:line="276" w:lineRule="auto"/>
        <w:ind w:firstLine="284"/>
        <w:jc w:val="both"/>
      </w:pPr>
      <w:r>
        <w:rPr>
          <w:rFonts w:ascii="Verdana" w:hAnsi="Verdana" w:eastAsia="Calibri" w:cs="Arial"/>
          <w:lang w:val="es-ES" w:eastAsia="es-ES"/>
        </w:rPr>
        <w:t xml:space="preserve">     </w:t>
      </w:r>
      <w:r w:rsidR="008D5E3D">
        <w:rPr>
          <w:rFonts w:ascii="Verdana" w:hAnsi="Verdana" w:eastAsia="Calibri" w:cs="Arial"/>
          <w:lang w:val="es-ES" w:eastAsia="es-ES"/>
        </w:rPr>
        <w:t>Finalmente</w:t>
      </w:r>
      <w:r w:rsidR="008D5E3D">
        <w:rPr>
          <w:rFonts w:ascii="Verdana" w:hAnsi="Verdana" w:eastAsia="Calibri" w:cs="Times New Roman"/>
          <w:lang w:val="es-ES"/>
        </w:rPr>
        <w:t>,</w:t>
      </w:r>
      <w:r w:rsidRPr="00DB4737" w:rsidR="008D5E3D">
        <w:rPr>
          <w:rFonts w:ascii="Verdana" w:hAnsi="Verdana" w:eastAsia="Calibri" w:cs="Times New Roman"/>
          <w:lang w:val="es-ES"/>
        </w:rPr>
        <w:t xml:space="preserve"> debe advertirse que </w:t>
      </w:r>
      <w:r w:rsidR="008D5E3D">
        <w:rPr>
          <w:rFonts w:ascii="Verdana" w:hAnsi="Verdana" w:eastAsia="Calibri" w:cs="Times New Roman"/>
          <w:lang w:val="es-ES"/>
        </w:rPr>
        <w:t xml:space="preserve">el análisis de la aplicación de la figura de la transacción </w:t>
      </w:r>
      <w:r w:rsidRPr="00DB4737" w:rsidR="008D5E3D">
        <w:rPr>
          <w:rFonts w:ascii="Verdana" w:hAnsi="Verdana" w:eastAsia="Calibri" w:cs="Times New Roman"/>
          <w:lang w:val="es-ES"/>
        </w:rPr>
        <w:t xml:space="preserve">en torno </w:t>
      </w:r>
      <w:r w:rsidR="008D5E3D">
        <w:rPr>
          <w:rFonts w:ascii="Verdana" w:hAnsi="Verdana" w:eastAsia="Calibri" w:cs="Times New Roman"/>
          <w:lang w:val="es-ES"/>
        </w:rPr>
        <w:t>a un proceso de contratación especifico debe</w:t>
      </w:r>
      <w:r w:rsidRPr="0012388D" w:rsidR="008D5E3D">
        <w:rPr>
          <w:rFonts w:ascii="Verdana" w:hAnsi="Verdana" w:eastAsia="Calibri" w:cs="Times New Roman"/>
          <w:lang w:val="es-ES"/>
        </w:rPr>
        <w:t xml:space="preserve"> ser realizado por quienes tengan interés en ello.</w:t>
      </w:r>
      <w:r w:rsidRPr="00DB4737" w:rsidR="008D5E3D">
        <w:rPr>
          <w:rFonts w:ascii="Verdana" w:hAnsi="Verdana" w:eastAsia="Calibri"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D5E3D">
        <w:t xml:space="preserve"> </w:t>
      </w:r>
    </w:p>
    <w:p w:rsidR="00BA1D91" w:rsidP="008D5E3D" w:rsidRDefault="008D5E3D" w14:paraId="338AD46D" w14:textId="4F23AF45">
      <w:pPr>
        <w:widowControl w:val="0"/>
        <w:autoSpaceDE w:val="0"/>
        <w:autoSpaceDN w:val="0"/>
        <w:spacing w:after="0" w:line="276" w:lineRule="auto"/>
        <w:ind w:right="68" w:firstLine="708"/>
        <w:contextualSpacing/>
        <w:jc w:val="both"/>
        <w:rPr>
          <w:rFonts w:ascii="Verdana" w:hAnsi="Verdana" w:eastAsia="Calibri" w:cs="Times New Roman"/>
          <w:lang w:val="es-ES"/>
        </w:rPr>
      </w:pP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eastAsia="Calibri" w:cs="Times New Roman"/>
          <w:lang w:val="es-ES"/>
        </w:rPr>
        <w:t>.</w:t>
      </w:r>
    </w:p>
    <w:p w:rsidR="008D5E3D" w:rsidP="008D5E3D" w:rsidRDefault="008D5E3D" w14:paraId="70F9012F" w14:textId="77777777">
      <w:pPr>
        <w:widowControl w:val="0"/>
        <w:autoSpaceDE w:val="0"/>
        <w:autoSpaceDN w:val="0"/>
        <w:spacing w:after="0" w:line="276" w:lineRule="auto"/>
        <w:ind w:right="68" w:firstLine="708"/>
        <w:contextualSpacing/>
        <w:jc w:val="both"/>
        <w:rPr>
          <w:rFonts w:ascii="Verdana" w:hAnsi="Verdana" w:eastAsia="Arial MT" w:cs="Arial"/>
          <w:lang w:val="es-ES"/>
        </w:rPr>
      </w:pPr>
    </w:p>
    <w:p w:rsidRPr="0060676F" w:rsidR="0087031A" w:rsidP="0087031A" w:rsidRDefault="0087031A" w14:paraId="10369344" w14:textId="77777777">
      <w:pPr>
        <w:pStyle w:val="Prrafodelista"/>
        <w:numPr>
          <w:ilvl w:val="0"/>
          <w:numId w:val="16"/>
        </w:numPr>
        <w:spacing w:after="120" w:line="276" w:lineRule="auto"/>
        <w:ind w:left="284"/>
        <w:jc w:val="both"/>
        <w:rPr>
          <w:rFonts w:ascii="Verdana" w:hAnsi="Verdana" w:eastAsia="Century Gothic" w:cs="Century Gothic"/>
          <w:b/>
          <w:bCs/>
        </w:rPr>
      </w:pPr>
      <w:r w:rsidRPr="0060676F">
        <w:rPr>
          <w:rFonts w:ascii="Verdana" w:hAnsi="Verdana" w:eastAsia="Century Gothic" w:cs="Century Gothic"/>
          <w:b/>
          <w:bCs/>
        </w:rPr>
        <w:t>Referencias normativas, jurisprudenciales y otras fuentes:</w:t>
      </w:r>
    </w:p>
    <w:p w:rsidRPr="00593A5F" w:rsidR="0087031A" w:rsidP="0087031A" w:rsidRDefault="0087031A" w14:paraId="18BC5F6A"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87031A" w:rsidTr="00580B7F" w14:paraId="42DD39C5" w14:textId="77777777">
        <w:trPr>
          <w:trHeight w:val="870"/>
        </w:trPr>
        <w:tc>
          <w:tcPr>
            <w:tcW w:w="8647" w:type="dxa"/>
          </w:tcPr>
          <w:p w:rsidRPr="00D16A25" w:rsidR="00A8350D" w:rsidP="00D16A25" w:rsidRDefault="00A8350D" w14:paraId="345D0AEF"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Ley 80 de 1993, artículos 4 numeral 9, 13, 25, 25 numeral 5, 27, 32, 39, 40, 41, 60</w:t>
            </w:r>
          </w:p>
          <w:p w:rsidRPr="00D16A25" w:rsidR="00A8350D" w:rsidP="00D16A25" w:rsidRDefault="00A8350D" w14:paraId="7079398E" w14:textId="77777777">
            <w:pPr>
              <w:pStyle w:val="Prrafodelista"/>
              <w:widowControl w:val="0"/>
              <w:autoSpaceDE w:val="0"/>
              <w:autoSpaceDN w:val="0"/>
              <w:spacing w:after="120"/>
              <w:ind w:left="454"/>
              <w:jc w:val="both"/>
              <w:rPr>
                <w:rFonts w:ascii="Verdana" w:hAnsi="Verdana" w:cs="Arial"/>
              </w:rPr>
            </w:pPr>
          </w:p>
          <w:p w:rsidRPr="00D16A25" w:rsidR="00A8350D" w:rsidP="00D16A25" w:rsidRDefault="00A8350D" w14:paraId="75A1E868"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Ley 1437 de 2011, artículo 176</w:t>
            </w:r>
          </w:p>
          <w:p w:rsidRPr="00D16A25" w:rsidR="00A8350D" w:rsidP="00D16A25" w:rsidRDefault="00A8350D" w14:paraId="5F5DC64E" w14:textId="77777777">
            <w:pPr>
              <w:pStyle w:val="Prrafodelista"/>
              <w:widowControl w:val="0"/>
              <w:autoSpaceDE w:val="0"/>
              <w:autoSpaceDN w:val="0"/>
              <w:spacing w:after="120"/>
              <w:ind w:left="454"/>
              <w:jc w:val="both"/>
              <w:rPr>
                <w:rFonts w:ascii="Verdana" w:hAnsi="Verdana" w:cs="Arial"/>
              </w:rPr>
            </w:pPr>
          </w:p>
          <w:p w:rsidRPr="00D16A25" w:rsidR="00A8350D" w:rsidP="00D16A25" w:rsidRDefault="00A8350D" w14:paraId="2B8D872A"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Ley 1563 de 2012, artículo 103</w:t>
            </w:r>
          </w:p>
          <w:p w:rsidRPr="00D16A25" w:rsidR="00A8350D" w:rsidP="00D16A25" w:rsidRDefault="00A8350D" w14:paraId="6F870E27" w14:textId="77777777">
            <w:pPr>
              <w:pStyle w:val="Prrafodelista"/>
              <w:widowControl w:val="0"/>
              <w:autoSpaceDE w:val="0"/>
              <w:autoSpaceDN w:val="0"/>
              <w:spacing w:after="120"/>
              <w:ind w:left="454"/>
              <w:jc w:val="both"/>
              <w:rPr>
                <w:rFonts w:ascii="Verdana" w:hAnsi="Verdana" w:cs="Arial"/>
              </w:rPr>
            </w:pPr>
          </w:p>
          <w:p w:rsidRPr="00D16A25" w:rsidR="00A8350D" w:rsidP="00D16A25" w:rsidRDefault="00A8350D" w14:paraId="2B36DB57"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Ley 1564 de 2012, artículo 313</w:t>
            </w:r>
          </w:p>
          <w:p w:rsidRPr="00D16A25" w:rsidR="00A8350D" w:rsidP="00D16A25" w:rsidRDefault="00A8350D" w14:paraId="7289651B" w14:textId="77777777">
            <w:pPr>
              <w:pStyle w:val="Prrafodelista"/>
              <w:widowControl w:val="0"/>
              <w:autoSpaceDE w:val="0"/>
              <w:autoSpaceDN w:val="0"/>
              <w:spacing w:after="120"/>
              <w:ind w:left="454"/>
              <w:jc w:val="both"/>
              <w:rPr>
                <w:rFonts w:ascii="Verdana" w:hAnsi="Verdana" w:cs="Arial"/>
              </w:rPr>
            </w:pPr>
          </w:p>
          <w:p w:rsidRPr="00D16A25" w:rsidR="0060785D" w:rsidP="00D16A25" w:rsidRDefault="00A8350D" w14:paraId="552BC3BC"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Código Civil, artículos 1625 numeral 3, 2469, 2470 a 2487</w:t>
            </w:r>
            <w:r w:rsidRPr="00D16A25" w:rsidR="00797E96">
              <w:rPr>
                <w:rFonts w:ascii="Verdana" w:hAnsi="Verdana" w:cs="Arial"/>
              </w:rPr>
              <w:t>.</w:t>
            </w:r>
          </w:p>
          <w:p w:rsidRPr="00D16A25" w:rsidR="00A8350D" w:rsidP="00D16A25" w:rsidRDefault="00A8350D" w14:paraId="0B00DC17" w14:textId="77777777">
            <w:pPr>
              <w:pStyle w:val="Prrafodelista"/>
              <w:ind w:left="454"/>
              <w:rPr>
                <w:rFonts w:ascii="Verdana" w:hAnsi="Verdana" w:cs="Arial"/>
              </w:rPr>
            </w:pPr>
          </w:p>
          <w:p w:rsidRPr="00D16A25" w:rsidR="00D16A25" w:rsidP="00D16A25" w:rsidRDefault="00D16A25" w14:paraId="76E3F66B" w14:textId="5927669A">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Consejo </w:t>
            </w:r>
            <w:r>
              <w:rPr>
                <w:rFonts w:ascii="Verdana" w:hAnsi="Verdana" w:cs="Arial"/>
              </w:rPr>
              <w:t>d</w:t>
            </w:r>
            <w:r w:rsidRPr="00D16A25">
              <w:rPr>
                <w:rFonts w:ascii="Verdana" w:hAnsi="Verdana" w:cs="Arial"/>
              </w:rPr>
              <w:t>e Estado. Sección Tercera. Sentencia del 19 de mayo de 2005. Consejera Ponente: María Elena Giraldo Gómez.</w:t>
            </w:r>
          </w:p>
          <w:p w:rsidRPr="00D16A25" w:rsidR="00D16A25" w:rsidP="00D16A25" w:rsidRDefault="00D16A25" w14:paraId="22716E45" w14:textId="77777777">
            <w:pPr>
              <w:pStyle w:val="Prrafodelista"/>
              <w:widowControl w:val="0"/>
              <w:autoSpaceDE w:val="0"/>
              <w:autoSpaceDN w:val="0"/>
              <w:spacing w:after="120"/>
              <w:ind w:left="454"/>
              <w:jc w:val="both"/>
              <w:rPr>
                <w:rFonts w:ascii="Verdana" w:hAnsi="Verdana" w:cs="Arial"/>
              </w:rPr>
            </w:pPr>
            <w:r w:rsidRPr="00D16A25">
              <w:rPr>
                <w:rFonts w:ascii="Verdana" w:hAnsi="Verdana" w:cs="Arial"/>
              </w:rPr>
              <w:t>Radicación número: 63001-23-31-000-2002-00719-02.</w:t>
            </w:r>
          </w:p>
          <w:p w:rsidRPr="00D16A25" w:rsidR="00D16A25" w:rsidP="00D16A25" w:rsidRDefault="00D16A25" w14:paraId="67A1FEB3" w14:textId="77777777">
            <w:pPr>
              <w:pStyle w:val="Prrafodelista"/>
              <w:widowControl w:val="0"/>
              <w:autoSpaceDE w:val="0"/>
              <w:autoSpaceDN w:val="0"/>
              <w:spacing w:after="120"/>
              <w:ind w:left="454"/>
              <w:jc w:val="both"/>
              <w:rPr>
                <w:rFonts w:ascii="Verdana" w:hAnsi="Verdana" w:cs="Arial"/>
              </w:rPr>
            </w:pPr>
          </w:p>
          <w:p w:rsidRPr="00D16A25" w:rsidR="00D16A25" w:rsidP="00D16A25" w:rsidRDefault="00D16A25" w14:paraId="74A0093B" w14:textId="606CD8BD">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Consejo </w:t>
            </w:r>
            <w:r>
              <w:rPr>
                <w:rFonts w:ascii="Verdana" w:hAnsi="Verdana" w:cs="Arial"/>
              </w:rPr>
              <w:t>d</w:t>
            </w:r>
            <w:r w:rsidRPr="00D16A25">
              <w:rPr>
                <w:rFonts w:ascii="Verdana" w:hAnsi="Verdana" w:cs="Arial"/>
              </w:rPr>
              <w:t>e Estado. Sección Tercera. Auto del 25 de octubre de 2019. Consejero Ponente: Carlos Alberto Zambrano Barrera. Expediente: 64.054</w:t>
            </w:r>
          </w:p>
          <w:p w:rsidRPr="00D16A25" w:rsidR="00D16A25" w:rsidP="00D16A25" w:rsidRDefault="00D16A25" w14:paraId="5787E148" w14:textId="77777777">
            <w:pPr>
              <w:pStyle w:val="Prrafodelista"/>
              <w:widowControl w:val="0"/>
              <w:autoSpaceDE w:val="0"/>
              <w:autoSpaceDN w:val="0"/>
              <w:spacing w:after="120"/>
              <w:ind w:left="454"/>
              <w:jc w:val="both"/>
              <w:rPr>
                <w:rFonts w:ascii="Verdana" w:hAnsi="Verdana" w:cs="Arial"/>
              </w:rPr>
            </w:pPr>
          </w:p>
          <w:p w:rsidRPr="00D16A25" w:rsidR="00D16A25" w:rsidP="00D16A25" w:rsidRDefault="00D16A25" w14:paraId="3A8F172B" w14:textId="16394DC0">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Consejo </w:t>
            </w:r>
            <w:r>
              <w:rPr>
                <w:rFonts w:ascii="Verdana" w:hAnsi="Verdana" w:cs="Arial"/>
              </w:rPr>
              <w:t>d</w:t>
            </w:r>
            <w:r w:rsidRPr="00D16A25">
              <w:rPr>
                <w:rFonts w:ascii="Verdana" w:hAnsi="Verdana" w:cs="Arial"/>
              </w:rPr>
              <w:t>e Estado. Sección Tercera. Sentencia del 12 de agosto de 2019. Consejera Ponente: María Adriana Marín. Expediente: 38.603.</w:t>
            </w:r>
          </w:p>
          <w:p w:rsidRPr="00D16A25" w:rsidR="00D16A25" w:rsidP="00D16A25" w:rsidRDefault="00D16A25" w14:paraId="722CAC3E" w14:textId="77777777">
            <w:pPr>
              <w:pStyle w:val="Prrafodelista"/>
              <w:rPr>
                <w:rFonts w:ascii="Verdana" w:hAnsi="Verdana" w:cs="Arial"/>
              </w:rPr>
            </w:pPr>
          </w:p>
          <w:p w:rsidRPr="00D16A25" w:rsidR="00D16A25" w:rsidP="00D16A25" w:rsidRDefault="00D16A25" w14:paraId="63A954F2" w14:textId="77777777">
            <w:pPr>
              <w:pStyle w:val="Prrafodelista"/>
              <w:widowControl w:val="0"/>
              <w:autoSpaceDE w:val="0"/>
              <w:autoSpaceDN w:val="0"/>
              <w:spacing w:after="120"/>
              <w:ind w:left="454"/>
              <w:jc w:val="both"/>
              <w:rPr>
                <w:rFonts w:ascii="Verdana" w:hAnsi="Verdana" w:cs="Arial"/>
              </w:rPr>
            </w:pPr>
          </w:p>
          <w:p w:rsidRPr="00D16A25" w:rsidR="00D16A25" w:rsidP="00D16A25" w:rsidRDefault="00D16A25" w14:paraId="1E78947B" w14:textId="2E55B08F">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Consejo </w:t>
            </w:r>
            <w:r>
              <w:rPr>
                <w:rFonts w:ascii="Verdana" w:hAnsi="Verdana" w:cs="Arial"/>
              </w:rPr>
              <w:t>de</w:t>
            </w:r>
            <w:r w:rsidRPr="00D16A25">
              <w:rPr>
                <w:rFonts w:ascii="Verdana" w:hAnsi="Verdana" w:cs="Arial"/>
              </w:rPr>
              <w:t xml:space="preserve"> Estado. Sección Tercera. Sentencia del 19 de mayo de 2005. Consejera Ponente: María Elena Giraldo Gómez. Radicación número: 63001-23-31-000-2002-00719-02</w:t>
            </w:r>
          </w:p>
          <w:p w:rsidRPr="00D16A25" w:rsidR="00D16A25" w:rsidP="00D16A25" w:rsidRDefault="00D16A25" w14:paraId="5FF89A99" w14:textId="77777777">
            <w:pPr>
              <w:pStyle w:val="Prrafodelista"/>
              <w:widowControl w:val="0"/>
              <w:autoSpaceDE w:val="0"/>
              <w:autoSpaceDN w:val="0"/>
              <w:spacing w:after="120"/>
              <w:ind w:left="454"/>
              <w:jc w:val="both"/>
              <w:rPr>
                <w:rFonts w:ascii="Verdana" w:hAnsi="Verdana" w:cs="Arial"/>
              </w:rPr>
            </w:pPr>
          </w:p>
          <w:p w:rsidRPr="00D16A25" w:rsidR="00D16A25" w:rsidP="00D16A25" w:rsidRDefault="00D16A25" w14:paraId="12E4ED95" w14:textId="56F0D956">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Consejo </w:t>
            </w:r>
            <w:r>
              <w:rPr>
                <w:rFonts w:ascii="Verdana" w:hAnsi="Verdana" w:cs="Arial"/>
              </w:rPr>
              <w:t>d</w:t>
            </w:r>
            <w:r w:rsidRPr="00D16A25">
              <w:rPr>
                <w:rFonts w:ascii="Verdana" w:hAnsi="Verdana" w:cs="Arial"/>
              </w:rPr>
              <w:t>e Estado. Sección Tercera. Auto del 14 de febrero de 2019. Consejera Ponente: Marta Nubia Velásquez Rico.</w:t>
            </w:r>
          </w:p>
          <w:p w:rsidRPr="00D16A25" w:rsidR="00D16A25" w:rsidP="00D16A25" w:rsidRDefault="00D16A25" w14:paraId="737B17C3" w14:textId="77777777">
            <w:pPr>
              <w:pStyle w:val="Prrafodelista"/>
              <w:widowControl w:val="0"/>
              <w:autoSpaceDE w:val="0"/>
              <w:autoSpaceDN w:val="0"/>
              <w:spacing w:after="120"/>
              <w:ind w:left="454"/>
              <w:jc w:val="both"/>
              <w:rPr>
                <w:rFonts w:ascii="Verdana" w:hAnsi="Verdana" w:cs="Arial"/>
              </w:rPr>
            </w:pPr>
            <w:r w:rsidRPr="00D16A25">
              <w:rPr>
                <w:rFonts w:ascii="Verdana" w:hAnsi="Verdana" w:cs="Arial"/>
              </w:rPr>
              <w:t>Expediente: 60.049.</w:t>
            </w:r>
          </w:p>
          <w:p w:rsidRPr="00D16A25" w:rsidR="00D16A25" w:rsidP="00D16A25" w:rsidRDefault="00D16A25" w14:paraId="13FE8E14" w14:textId="77777777">
            <w:pPr>
              <w:pStyle w:val="Prrafodelista"/>
              <w:widowControl w:val="0"/>
              <w:autoSpaceDE w:val="0"/>
              <w:autoSpaceDN w:val="0"/>
              <w:spacing w:after="120"/>
              <w:ind w:left="454"/>
              <w:jc w:val="both"/>
              <w:rPr>
                <w:rFonts w:ascii="Verdana" w:hAnsi="Verdana" w:cs="Arial"/>
              </w:rPr>
            </w:pPr>
          </w:p>
          <w:p w:rsidR="00D16A25" w:rsidP="00D16A25" w:rsidRDefault="00D16A25" w14:paraId="3355924B"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 xml:space="preserve"> Consejo de Estado. Sección Tercera. Sentencia del 25 de junio de 2014. Consejero Ponente: Hernán Andrade Rincón. Expediente: 28.067</w:t>
            </w:r>
            <w:r>
              <w:rPr>
                <w:rFonts w:ascii="Verdana" w:hAnsi="Verdana" w:cs="Arial"/>
              </w:rPr>
              <w:t>.</w:t>
            </w:r>
          </w:p>
          <w:p w:rsidR="00D16A25" w:rsidP="00D16A25" w:rsidRDefault="00D16A25" w14:paraId="6B7CA578" w14:textId="77777777">
            <w:pPr>
              <w:pStyle w:val="Prrafodelista"/>
              <w:widowControl w:val="0"/>
              <w:autoSpaceDE w:val="0"/>
              <w:autoSpaceDN w:val="0"/>
              <w:spacing w:after="120"/>
              <w:ind w:left="454"/>
              <w:jc w:val="both"/>
              <w:rPr>
                <w:rFonts w:ascii="Verdana" w:hAnsi="Verdana" w:cs="Arial"/>
              </w:rPr>
            </w:pPr>
          </w:p>
          <w:p w:rsidR="00D16A25" w:rsidP="00D16A25" w:rsidRDefault="00D16A25" w14:paraId="5CFA7778" w14:textId="77777777">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CARRILLO, Fernando y GÓMEZ, Iván. En: Procuraduría General de la Nación, Op. Cit., pp. 53-60.</w:t>
            </w:r>
          </w:p>
          <w:p w:rsidRPr="00D16A25" w:rsidR="00D16A25" w:rsidP="00D16A25" w:rsidRDefault="00D16A25" w14:paraId="0FC62ABC" w14:textId="77777777">
            <w:pPr>
              <w:pStyle w:val="Prrafodelista"/>
              <w:rPr>
                <w:rFonts w:ascii="Verdana" w:hAnsi="Verdana" w:cs="Arial"/>
              </w:rPr>
            </w:pPr>
          </w:p>
          <w:p w:rsidRPr="00D16A25" w:rsidR="00D16A25" w:rsidP="00D16A25" w:rsidRDefault="00D16A25" w14:paraId="3B8552C4" w14:textId="2659C580">
            <w:pPr>
              <w:pStyle w:val="Prrafodelista"/>
              <w:widowControl w:val="0"/>
              <w:numPr>
                <w:ilvl w:val="0"/>
                <w:numId w:val="29"/>
              </w:numPr>
              <w:autoSpaceDE w:val="0"/>
              <w:autoSpaceDN w:val="0"/>
              <w:spacing w:after="120"/>
              <w:ind w:left="454"/>
              <w:jc w:val="both"/>
              <w:rPr>
                <w:rFonts w:ascii="Verdana" w:hAnsi="Verdana" w:cs="Arial"/>
              </w:rPr>
            </w:pPr>
            <w:r w:rsidRPr="00D16A25">
              <w:rPr>
                <w:rFonts w:ascii="Verdana" w:hAnsi="Verdana" w:cs="Arial"/>
              </w:rPr>
              <w:t>EXPÓSITO VÉLEZ, Juan Carlos. La liquidación bilateral de los contratos estatales: un mecanismo alternativo de solución de conflictos. En: Revista Digital de Derecho Administrativo, No. 1, 2009, pp. 18-19. En: https://revistas.uexternado.edu.co/index.php/Deradm/article/view/2591</w:t>
            </w:r>
          </w:p>
          <w:p w:rsidRPr="00D16A25" w:rsidR="00D16A25" w:rsidP="00D16A25" w:rsidRDefault="00D16A25" w14:paraId="1C1DEB6B" w14:textId="2F686A82">
            <w:pPr>
              <w:widowControl w:val="0"/>
              <w:autoSpaceDE w:val="0"/>
              <w:autoSpaceDN w:val="0"/>
              <w:spacing w:after="120"/>
              <w:jc w:val="both"/>
              <w:rPr>
                <w:rFonts w:ascii="Verdana" w:hAnsi="Verdana" w:cs="Arial"/>
              </w:rPr>
            </w:pPr>
          </w:p>
        </w:tc>
      </w:tr>
    </w:tbl>
    <w:p w:rsidR="0087031A" w:rsidP="0087031A" w:rsidRDefault="0087031A" w14:paraId="3BFE0280"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0087031A" w:rsidP="0087031A" w:rsidRDefault="0087031A" w14:paraId="1AB2AA5D" w14:textId="77777777">
      <w:pPr>
        <w:pStyle w:val="Prrafodelista"/>
        <w:numPr>
          <w:ilvl w:val="0"/>
          <w:numId w:val="16"/>
        </w:numPr>
        <w:tabs>
          <w:tab w:val="left" w:pos="142"/>
          <w:tab w:val="left" w:pos="284"/>
        </w:tabs>
        <w:spacing w:after="0" w:line="276" w:lineRule="auto"/>
        <w:ind w:left="284"/>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Pr="00593A5F" w:rsidR="0087031A" w:rsidP="0087031A" w:rsidRDefault="0087031A" w14:paraId="533E7EA9"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Pr="00C752A0" w:rsidR="004679CF" w:rsidP="004679CF" w:rsidRDefault="00C752A0" w14:paraId="250B4BB0" w14:textId="1D883392">
      <w:pPr>
        <w:widowControl w:val="0"/>
        <w:autoSpaceDE w:val="0"/>
        <w:autoSpaceDN w:val="0"/>
        <w:spacing w:after="0" w:line="276" w:lineRule="auto"/>
        <w:jc w:val="both"/>
        <w:rPr>
          <w:rFonts w:ascii="Verdana" w:hAnsi="Verdana" w:eastAsia="Aptos" w:cs="Arial"/>
          <w:shd w:val="clear" w:color="auto" w:fill="FFFFFF"/>
          <w:lang w:val="es-ES"/>
        </w:rPr>
      </w:pPr>
      <w:r w:rsidRPr="00C752A0">
        <w:rPr>
          <w:rFonts w:ascii="Verdana" w:hAnsi="Verdana"/>
        </w:rPr>
        <w:t>S</w:t>
      </w:r>
      <w:r w:rsidRPr="00C752A0" w:rsidR="008D5E3D">
        <w:rPr>
          <w:rFonts w:ascii="Verdana" w:hAnsi="Verdana"/>
        </w:rPr>
        <w:t xml:space="preserve">obre el mecanismo de resolución de conflictos denominado arreglo directo y el contrato transacción, esta Subdirección </w:t>
      </w:r>
      <w:r w:rsidRPr="00C752A0">
        <w:rPr>
          <w:rFonts w:ascii="Verdana" w:hAnsi="Verdana"/>
        </w:rPr>
        <w:t>se ha referido en los</w:t>
      </w:r>
      <w:r w:rsidRPr="00C752A0" w:rsidR="008D5E3D">
        <w:rPr>
          <w:rFonts w:ascii="Verdana" w:hAnsi="Verdana"/>
        </w:rPr>
        <w:t xml:space="preserve"> conceptos C-465 del 28 de noviembre de 2023, C-400 del 26 de septiembre de 2023, C-494 del 17 de septiembre de 2021</w:t>
      </w:r>
      <w:r w:rsidRPr="00C752A0">
        <w:rPr>
          <w:rFonts w:ascii="Verdana" w:hAnsi="Verdana"/>
        </w:rPr>
        <w:t>, C-142 de 02 de julio de 2024</w:t>
      </w:r>
      <w:r>
        <w:t xml:space="preserve">, </w:t>
      </w:r>
      <w:r w:rsidRPr="00B92AD4" w:rsidR="001C03F2">
        <w:rPr>
          <w:rFonts w:ascii="Verdana" w:hAnsi="Verdana" w:eastAsia="Aptos" w:cs="Arial"/>
          <w:shd w:val="clear" w:color="auto" w:fill="FFFFFF"/>
          <w:lang w:val="es-ES"/>
        </w:rPr>
        <w:t>entre otros</w:t>
      </w:r>
      <w:r w:rsidRPr="000C14B8" w:rsidR="004679CF">
        <w:rPr>
          <w:rFonts w:ascii="Verdana" w:hAnsi="Verdana" w:eastAsia="Calibri" w:cs="Arial"/>
          <w:lang w:val="es-ES" w:eastAsia="es-ES_tradnl"/>
        </w:rPr>
        <w:t>. Estos</w:t>
      </w:r>
      <w:r w:rsidRPr="000C14B8" w:rsidR="004679CF">
        <w:rPr>
          <w:rFonts w:ascii="Verdana" w:hAnsi="Verdana"/>
        </w:rPr>
        <w:t xml:space="preserve"> y otros conceptos se encuentran disponibles para consulta en el Sistema de relatoría de la Agencia, al cual se puede acceder a través del siguiente enlace:</w:t>
      </w:r>
      <w:r w:rsidRPr="000C14B8" w:rsidR="004679CF">
        <w:rPr>
          <w:rFonts w:ascii="Verdana" w:hAnsi="Verdana" w:cs="Arial"/>
          <w:shd w:val="clear" w:color="auto" w:fill="FFFFFF"/>
          <w:lang w:val="es-ES"/>
        </w:rPr>
        <w:t xml:space="preserve"> </w:t>
      </w:r>
      <w:r w:rsidRPr="000C14B8" w:rsidR="004679CF">
        <w:rPr>
          <w:rFonts w:ascii="Verdana" w:hAnsi="Verdana" w:cs="Arial"/>
          <w:color w:val="0563C1" w:themeColor="hyperlink"/>
          <w:u w:val="single"/>
          <w:shd w:val="clear" w:color="auto" w:fill="FFFFFF"/>
          <w:lang w:val="es-ES"/>
        </w:rPr>
        <w:t>https://relatoria.colombiacompra.gov.co</w:t>
      </w:r>
      <w:r w:rsidR="00503135">
        <w:rPr>
          <w:rFonts w:ascii="Verdana" w:hAnsi="Verdana" w:cs="Arial"/>
          <w:color w:val="0563C1" w:themeColor="hyperlink"/>
          <w:u w:val="single"/>
          <w:shd w:val="clear" w:color="auto" w:fill="FFFFFF"/>
          <w:lang w:val="es-ES"/>
        </w:rPr>
        <w:t xml:space="preserve"> </w:t>
      </w:r>
      <w:r w:rsidRPr="000C14B8" w:rsidR="004679CF">
        <w:rPr>
          <w:rFonts w:ascii="Verdana" w:hAnsi="Verdana" w:cs="Arial"/>
          <w:color w:val="0563C1" w:themeColor="hyperlink"/>
          <w:u w:val="single"/>
          <w:shd w:val="clear" w:color="auto" w:fill="FFFFFF"/>
          <w:lang w:val="es-ES"/>
        </w:rPr>
        <w:t>/</w:t>
      </w:r>
      <w:r w:rsidRPr="000C14B8" w:rsidR="00506DF0">
        <w:rPr>
          <w:rFonts w:ascii="Verdana" w:hAnsi="Verdana" w:cs="Arial"/>
          <w:color w:val="0563C1" w:themeColor="hyperlink"/>
          <w:u w:val="single"/>
          <w:shd w:val="clear" w:color="auto" w:fill="FFFFFF"/>
          <w:lang w:val="es-ES"/>
        </w:rPr>
        <w:t>búsqueda</w:t>
      </w:r>
      <w:r w:rsidRPr="000C14B8" w:rsidR="004679CF">
        <w:rPr>
          <w:rFonts w:ascii="Verdana" w:hAnsi="Verdana" w:cs="Arial"/>
          <w:color w:val="0563C1" w:themeColor="hyperlink"/>
          <w:u w:val="single"/>
          <w:shd w:val="clear" w:color="auto" w:fill="FFFFFF"/>
          <w:lang w:val="es-ES"/>
        </w:rPr>
        <w:t>/conceptos</w:t>
      </w:r>
    </w:p>
    <w:p w:rsidRPr="00505CD6" w:rsidR="0087031A" w:rsidP="0087031A" w:rsidRDefault="0087031A" w14:paraId="0208491B"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87031A" w:rsidP="0087031A" w:rsidRDefault="0087031A" w14:paraId="12E9336E" w14:textId="77777777">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3">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rsidR="0087031A" w:rsidP="0087031A" w:rsidRDefault="0087031A" w14:paraId="1766B34B" w14:textId="77777777">
      <w:pPr>
        <w:widowControl w:val="0"/>
        <w:autoSpaceDE w:val="0"/>
        <w:autoSpaceDN w:val="0"/>
        <w:spacing w:after="0" w:line="276" w:lineRule="auto"/>
        <w:jc w:val="both"/>
      </w:pPr>
    </w:p>
    <w:p w:rsidRPr="00505CD6" w:rsidR="0087031A" w:rsidP="0087031A" w:rsidRDefault="0087031A" w14:paraId="59F914CB"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87031A" w:rsidP="0087031A" w:rsidRDefault="0087031A" w14:paraId="439F93B3" w14:textId="77777777">
      <w:pPr>
        <w:widowControl w:val="0"/>
        <w:autoSpaceDE w:val="0"/>
        <w:autoSpaceDN w:val="0"/>
        <w:spacing w:after="0" w:line="276" w:lineRule="auto"/>
        <w:jc w:val="both"/>
        <w:rPr>
          <w:rFonts w:ascii="Verdana" w:hAnsi="Verdana" w:cs="Arial"/>
        </w:rPr>
      </w:pPr>
    </w:p>
    <w:p w:rsidR="0087031A" w:rsidP="0087031A" w:rsidRDefault="0087031A" w14:paraId="5BF21FB4" w14:textId="77777777">
      <w:pPr>
        <w:spacing w:after="0" w:line="276" w:lineRule="auto"/>
        <w:jc w:val="both"/>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F32EC5" w:rsidP="0087031A" w:rsidRDefault="00F32EC5" w14:paraId="7EE00F7B" w14:textId="5A7888C1">
      <w:pPr>
        <w:spacing w:line="276" w:lineRule="auto"/>
        <w:jc w:val="center"/>
        <w:rPr>
          <w:rFonts w:ascii="Verdana" w:hAnsi="Verdana"/>
          <w:noProof/>
        </w:rPr>
      </w:pPr>
    </w:p>
    <w:p w:rsidRPr="0059672A" w:rsidR="0059672A" w:rsidP="0059672A" w:rsidRDefault="0059672A" w14:paraId="41F00F10" w14:textId="1122F508">
      <w:pPr>
        <w:spacing w:line="276" w:lineRule="auto"/>
        <w:jc w:val="center"/>
        <w:rPr>
          <w:rFonts w:ascii="Verdana" w:hAnsi="Verdana"/>
          <w:noProof/>
        </w:rPr>
      </w:pPr>
      <w:r w:rsidRPr="0059672A">
        <w:rPr>
          <w:rFonts w:ascii="Verdana" w:hAnsi="Verdana"/>
          <w:noProof/>
        </w:rPr>
        <w:drawing>
          <wp:inline distT="0" distB="0" distL="0" distR="0" wp14:anchorId="514AE996" wp14:editId="35796992">
            <wp:extent cx="3581400" cy="1501618"/>
            <wp:effectExtent l="0" t="0" r="0" b="3810"/>
            <wp:docPr id="11570360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7193" cy="1504047"/>
                    </a:xfrm>
                    <a:prstGeom prst="rect">
                      <a:avLst/>
                    </a:prstGeom>
                    <a:noFill/>
                    <a:ln>
                      <a:noFill/>
                    </a:ln>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93A5F" w:rsidR="0087031A" w:rsidTr="00580B7F" w14:paraId="7952AB6B" w14:textId="77777777">
        <w:trPr>
          <w:trHeight w:val="315"/>
        </w:trPr>
        <w:tc>
          <w:tcPr>
            <w:tcW w:w="893" w:type="dxa"/>
            <w:vAlign w:val="center"/>
            <w:hideMark/>
          </w:tcPr>
          <w:p w:rsidRPr="003751C7" w:rsidR="0087031A" w:rsidP="00580B7F" w:rsidRDefault="0087031A" w14:paraId="12808F0D"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7911EE" w:rsidR="0087031A" w:rsidP="00580B7F" w:rsidRDefault="00C33DBE" w14:paraId="68FCA52F" w14:textId="5DB4960B">
            <w:pPr>
              <w:contextualSpacing/>
              <w:rPr>
                <w:rFonts w:ascii="Verdana" w:hAnsi="Verdana"/>
                <w:sz w:val="16"/>
                <w:szCs w:val="16"/>
              </w:rPr>
            </w:pPr>
            <w:r>
              <w:rPr>
                <w:rFonts w:ascii="Verdana" w:hAnsi="Verdana"/>
                <w:sz w:val="16"/>
                <w:szCs w:val="16"/>
              </w:rPr>
              <w:t>Daniel Eduardo Rojas</w:t>
            </w:r>
          </w:p>
          <w:p w:rsidRPr="007911EE" w:rsidR="0087031A" w:rsidP="00580B7F" w:rsidRDefault="0087031A" w14:paraId="3F59F682" w14:textId="77777777">
            <w:pPr>
              <w:contextualSpacing/>
              <w:rPr>
                <w:rFonts w:ascii="Verdana" w:hAnsi="Verdana" w:eastAsia="Arial" w:cs="Arial"/>
                <w:sz w:val="16"/>
                <w:szCs w:val="16"/>
              </w:rPr>
            </w:pPr>
            <w:r w:rsidRPr="007911EE">
              <w:rPr>
                <w:rFonts w:ascii="Verdana" w:hAnsi="Verdana"/>
                <w:sz w:val="16"/>
                <w:szCs w:val="16"/>
              </w:rPr>
              <w:t>Contratista de la Subdirección de Gestión Contractual</w:t>
            </w:r>
          </w:p>
        </w:tc>
      </w:tr>
      <w:tr w:rsidRPr="00593A5F" w:rsidR="0087031A" w:rsidTr="00580B7F" w14:paraId="517166CF" w14:textId="77777777">
        <w:trPr>
          <w:trHeight w:val="330"/>
        </w:trPr>
        <w:tc>
          <w:tcPr>
            <w:tcW w:w="893" w:type="dxa"/>
            <w:vAlign w:val="center"/>
            <w:hideMark/>
          </w:tcPr>
          <w:p w:rsidRPr="003751C7" w:rsidR="0087031A" w:rsidP="00580B7F" w:rsidRDefault="0087031A" w14:paraId="73873209"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7911EE" w:rsidR="0087031A" w:rsidP="00580B7F" w:rsidRDefault="00506DF0" w14:paraId="24978160" w14:textId="4387C713">
            <w:pPr>
              <w:spacing w:line="276" w:lineRule="auto"/>
              <w:contextualSpacing/>
              <w:jc w:val="both"/>
              <w:rPr>
                <w:rFonts w:ascii="Verdana" w:hAnsi="Verdana"/>
                <w:sz w:val="16"/>
                <w:szCs w:val="16"/>
              </w:rPr>
            </w:pPr>
            <w:r>
              <w:rPr>
                <w:rFonts w:ascii="Verdana" w:hAnsi="Verdana"/>
                <w:sz w:val="16"/>
                <w:szCs w:val="16"/>
              </w:rPr>
              <w:t>Alejandro Raúl Sarmiento</w:t>
            </w:r>
          </w:p>
          <w:p w:rsidRPr="007911EE" w:rsidR="0087031A" w:rsidP="00580B7F" w:rsidRDefault="00506DF0" w14:paraId="634B0E53" w14:textId="6244D118">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hAnsi="Verdana" w:eastAsia="Arial" w:cs="Arial"/>
                <w:sz w:val="16"/>
                <w:szCs w:val="16"/>
              </w:rPr>
              <w:t xml:space="preserve">Gestor Código T1 grado 15 </w:t>
            </w:r>
            <w:r w:rsidRPr="007911EE" w:rsidR="0087031A">
              <w:rPr>
                <w:rStyle w:val="normaltextrun"/>
                <w:rFonts w:ascii="Verdana" w:hAnsi="Verdana" w:eastAsia="Arial" w:cs="Arial"/>
                <w:sz w:val="16"/>
                <w:szCs w:val="16"/>
              </w:rPr>
              <w:t>Subdirección de Gestión Contractual</w:t>
            </w:r>
          </w:p>
        </w:tc>
      </w:tr>
      <w:tr w:rsidRPr="00593A5F" w:rsidR="0087031A" w:rsidTr="00580B7F" w14:paraId="656F6DA4" w14:textId="77777777">
        <w:trPr>
          <w:trHeight w:val="300"/>
        </w:trPr>
        <w:tc>
          <w:tcPr>
            <w:tcW w:w="893" w:type="dxa"/>
            <w:vAlign w:val="center"/>
          </w:tcPr>
          <w:p w:rsidRPr="003751C7" w:rsidR="0087031A" w:rsidP="00580B7F" w:rsidRDefault="0087031A" w14:paraId="0681F92E"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7911EE" w:rsidR="0084631C" w:rsidP="0084631C" w:rsidRDefault="00F32EC5" w14:paraId="4E9327E0" w14:textId="39642ACF">
            <w:pPr>
              <w:contextualSpacing/>
              <w:rPr>
                <w:rFonts w:ascii="Verdana" w:hAnsi="Verdana" w:eastAsia="Calibri" w:cs="Arial"/>
                <w:sz w:val="16"/>
                <w:szCs w:val="16"/>
                <w:lang w:val="pt-BR" w:eastAsia="es-ES"/>
              </w:rPr>
            </w:pPr>
            <w:r>
              <w:rPr>
                <w:rFonts w:ascii="Verdana" w:hAnsi="Verdana" w:eastAsia="Calibri" w:cs="Arial"/>
                <w:sz w:val="16"/>
                <w:szCs w:val="16"/>
                <w:lang w:val="pt-BR" w:eastAsia="es-ES"/>
              </w:rPr>
              <w:t>Ana Maria Tolosa Rico</w:t>
            </w:r>
          </w:p>
          <w:p w:rsidRPr="007911EE" w:rsidR="0087031A" w:rsidP="0084631C" w:rsidRDefault="0084631C" w14:paraId="32DD0E04" w14:textId="6CFC9202">
            <w:pPr>
              <w:contextualSpacing/>
              <w:rPr>
                <w:rFonts w:ascii="Verdana" w:hAnsi="Verdana" w:eastAsia="Calibri" w:cs="Arial"/>
                <w:sz w:val="16"/>
                <w:szCs w:val="16"/>
                <w:lang w:val="pt-BR" w:eastAsia="es-ES"/>
              </w:rPr>
            </w:pPr>
            <w:r w:rsidRPr="007911EE">
              <w:rPr>
                <w:rFonts w:ascii="Verdana" w:hAnsi="Verdana" w:eastAsia="Calibri" w:cs="Arial"/>
                <w:sz w:val="16"/>
                <w:szCs w:val="16"/>
                <w:lang w:eastAsia="es-ES"/>
              </w:rPr>
              <w:t>Subdirectora</w:t>
            </w:r>
            <w:r w:rsidRPr="007911EE">
              <w:rPr>
                <w:rFonts w:ascii="Verdana" w:hAnsi="Verdana" w:eastAsia="Calibri" w:cs="Arial"/>
                <w:sz w:val="16"/>
                <w:szCs w:val="16"/>
                <w:lang w:val="pt-BR" w:eastAsia="es-ES"/>
              </w:rPr>
              <w:t xml:space="preserve"> de Gestión Contratual </w:t>
            </w:r>
            <w:r w:rsidR="00F32EC5">
              <w:rPr>
                <w:rFonts w:ascii="Verdana" w:hAnsi="Verdana" w:eastAsia="Calibri" w:cs="Arial"/>
                <w:sz w:val="16"/>
                <w:szCs w:val="16"/>
                <w:lang w:val="pt-BR" w:eastAsia="es-ES"/>
              </w:rPr>
              <w:t xml:space="preserve">(E) </w:t>
            </w:r>
            <w:r w:rsidRPr="007911EE">
              <w:rPr>
                <w:rFonts w:ascii="Verdana" w:hAnsi="Verdana" w:eastAsia="Calibri" w:cs="Arial"/>
                <w:sz w:val="16"/>
                <w:szCs w:val="16"/>
                <w:lang w:val="pt-BR" w:eastAsia="es-ES"/>
              </w:rPr>
              <w:t>ANCP – CCE</w:t>
            </w:r>
          </w:p>
        </w:tc>
      </w:tr>
      <w:bookmarkEnd w:id="1"/>
      <w:bookmarkEnd w:id="2"/>
      <w:bookmarkEnd w:id="3"/>
    </w:tbl>
    <w:p w:rsidRPr="0044528D" w:rsidR="0087031A" w:rsidP="0087031A" w:rsidRDefault="0087031A" w14:paraId="7ECE23A3" w14:textId="77777777">
      <w:pPr>
        <w:spacing w:after="0"/>
        <w:rPr>
          <w:rFonts w:ascii="Verdana" w:hAnsi="Verdana"/>
        </w:rPr>
      </w:pPr>
    </w:p>
    <w:p w:rsidRPr="00EA6F8B" w:rsidR="0087031A" w:rsidP="0087031A" w:rsidRDefault="0087031A" w14:paraId="453A161B" w14:textId="77777777"/>
    <w:p w:rsidRPr="00DE435A" w:rsidR="00DE435A" w:rsidP="00DE435A" w:rsidRDefault="00DE435A" w14:paraId="56912649" w14:textId="77777777">
      <w:pPr>
        <w:rPr>
          <w:lang w:val="es-ES"/>
        </w:rPr>
      </w:pPr>
    </w:p>
    <w:sectPr w:rsidRPr="00DE435A" w:rsidR="00DE435A"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C6B27" w:rsidP="004A1847" w:rsidRDefault="004C6B27" w14:paraId="4276ED1D" w14:textId="77777777">
      <w:pPr>
        <w:spacing w:after="0" w:line="240" w:lineRule="auto"/>
      </w:pPr>
      <w:r>
        <w:separator/>
      </w:r>
    </w:p>
  </w:endnote>
  <w:endnote w:type="continuationSeparator" w:id="0">
    <w:p w:rsidR="004C6B27" w:rsidP="004A1847" w:rsidRDefault="004C6B27" w14:paraId="4A31354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C6B27" w:rsidP="004A1847" w:rsidRDefault="004C6B27" w14:paraId="0DE93D5B" w14:textId="77777777">
      <w:pPr>
        <w:spacing w:after="0" w:line="240" w:lineRule="auto"/>
      </w:pPr>
      <w:r>
        <w:separator/>
      </w:r>
    </w:p>
  </w:footnote>
  <w:footnote w:type="continuationSeparator" w:id="0">
    <w:p w:rsidR="004C6B27" w:rsidP="004A1847" w:rsidRDefault="004C6B27" w14:paraId="7E4734F0" w14:textId="77777777">
      <w:pPr>
        <w:spacing w:after="0" w:line="240" w:lineRule="auto"/>
      </w:pPr>
      <w:r>
        <w:continuationSeparator/>
      </w:r>
    </w:p>
  </w:footnote>
  <w:footnote w:id="1">
    <w:p w:rsidRPr="0086150B" w:rsidR="0086150B" w:rsidP="002D3338" w:rsidRDefault="0086150B" w14:paraId="44D96208" w14:textId="37F72364">
      <w:pPr>
        <w:pStyle w:val="Textonotapie"/>
        <w:ind w:firstLine="709"/>
        <w:jc w:val="both"/>
        <w:rPr>
          <w:lang w:val="es-ES"/>
        </w:rPr>
      </w:pPr>
      <w:r>
        <w:rPr>
          <w:rStyle w:val="Refdenotaalpie"/>
        </w:rPr>
        <w:footnoteRef/>
      </w:r>
      <w:r>
        <w:t xml:space="preserve"> </w:t>
      </w:r>
      <w:r w:rsidRPr="0086150B">
        <w:rPr>
          <w:rFonts w:ascii="Verdana" w:hAnsi="Verdana"/>
          <w:sz w:val="16"/>
          <w:szCs w:val="16"/>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footnote>
  <w:footnote w:id="2">
    <w:p w:rsidRPr="0086150B" w:rsidR="0086150B" w:rsidP="002D3338" w:rsidRDefault="0086150B" w14:paraId="770E72D4" w14:textId="443309EA">
      <w:pPr>
        <w:pStyle w:val="Textonotapie"/>
        <w:ind w:firstLine="709"/>
        <w:rPr>
          <w:lang w:val="es-ES"/>
        </w:rPr>
      </w:pPr>
      <w:r>
        <w:rPr>
          <w:rStyle w:val="Refdenotaalpie"/>
        </w:rPr>
        <w:footnoteRef/>
      </w:r>
      <w:r>
        <w:t xml:space="preserve"> </w:t>
      </w:r>
      <w:r w:rsidRPr="0086150B">
        <w:t>CARRILLO, Fernando y GÓMEZ, Iván. En: Procuraduría General de la Nación, Op. Cit., pp. 53-60.</w:t>
      </w:r>
    </w:p>
  </w:footnote>
  <w:footnote w:id="3">
    <w:p w:rsidRPr="006F1179" w:rsidR="006F1179" w:rsidP="002D3338" w:rsidRDefault="006F1179" w14:paraId="3A44AED1" w14:textId="77777777">
      <w:pPr>
        <w:pStyle w:val="Textonotapie"/>
        <w:ind w:firstLine="709"/>
        <w:rPr>
          <w:rFonts w:ascii="Verdana" w:hAnsi="Verdana"/>
          <w:sz w:val="16"/>
          <w:szCs w:val="16"/>
        </w:rPr>
      </w:pPr>
      <w:r w:rsidRPr="006F1179">
        <w:rPr>
          <w:rStyle w:val="Refdenotaalpie"/>
          <w:rFonts w:ascii="Verdana" w:hAnsi="Verdana"/>
          <w:sz w:val="16"/>
          <w:szCs w:val="16"/>
        </w:rPr>
        <w:footnoteRef/>
      </w:r>
      <w:r w:rsidRPr="006F1179">
        <w:rPr>
          <w:rFonts w:ascii="Verdana" w:hAnsi="Verdana"/>
          <w:sz w:val="16"/>
          <w:szCs w:val="16"/>
        </w:rPr>
        <w:t xml:space="preserve"> La redacción del artículo 1.625 es la siguiente: “Toda obligación puede extinguirse por una convención en que las partes interesadas, siendo capaces de disponer libremente de lo suyo, consientan en darla por nula.</w:t>
      </w:r>
    </w:p>
    <w:p w:rsidRPr="006F1179" w:rsidR="006F1179" w:rsidP="002D3338" w:rsidRDefault="006F1179" w14:paraId="77F368CE" w14:textId="77777777">
      <w:pPr>
        <w:pStyle w:val="Textonotapie"/>
        <w:ind w:firstLine="709"/>
        <w:rPr>
          <w:rFonts w:ascii="Verdana" w:hAnsi="Verdana"/>
          <w:sz w:val="16"/>
          <w:szCs w:val="16"/>
        </w:rPr>
      </w:pPr>
      <w:r w:rsidRPr="006F1179">
        <w:rPr>
          <w:rFonts w:ascii="Verdana" w:hAnsi="Verdana"/>
          <w:sz w:val="16"/>
          <w:szCs w:val="16"/>
        </w:rPr>
        <w:t>Las obligaciones se extinguen además en todo o en parte:</w:t>
      </w:r>
    </w:p>
    <w:p w:rsidRPr="006F1179" w:rsidR="006F1179" w:rsidP="002D3338" w:rsidRDefault="006F1179" w14:paraId="5008A1B8" w14:textId="77777777">
      <w:pPr>
        <w:pStyle w:val="Textonotapie"/>
        <w:ind w:firstLine="709"/>
        <w:rPr>
          <w:rFonts w:ascii="Verdana" w:hAnsi="Verdana"/>
          <w:sz w:val="16"/>
          <w:szCs w:val="16"/>
        </w:rPr>
      </w:pPr>
      <w:r w:rsidRPr="006F1179">
        <w:rPr>
          <w:rFonts w:ascii="Verdana" w:hAnsi="Verdana"/>
          <w:sz w:val="16"/>
          <w:szCs w:val="16"/>
        </w:rPr>
        <w:t>1o.) Por la solución o pago efectivo. 2o.) Por la novación.</w:t>
      </w:r>
    </w:p>
    <w:p w:rsidRPr="006F1179" w:rsidR="006F1179" w:rsidP="002D3338" w:rsidRDefault="006F1179" w14:paraId="7630E57C" w14:textId="77777777">
      <w:pPr>
        <w:pStyle w:val="Textonotapie"/>
        <w:ind w:firstLine="709"/>
        <w:rPr>
          <w:rFonts w:ascii="Verdana" w:hAnsi="Verdana"/>
          <w:sz w:val="16"/>
          <w:szCs w:val="16"/>
        </w:rPr>
      </w:pPr>
      <w:r w:rsidRPr="006F1179">
        <w:rPr>
          <w:rFonts w:ascii="Verdana" w:hAnsi="Verdana"/>
          <w:sz w:val="16"/>
          <w:szCs w:val="16"/>
        </w:rPr>
        <w:t>3o.) Por la transacción.</w:t>
      </w:r>
    </w:p>
    <w:p w:rsidRPr="006F1179" w:rsidR="006F1179" w:rsidP="002D3338" w:rsidRDefault="006F1179" w14:paraId="4CE0B77D" w14:textId="77777777">
      <w:pPr>
        <w:pStyle w:val="Textonotapie"/>
        <w:ind w:firstLine="709"/>
        <w:rPr>
          <w:rFonts w:ascii="Verdana" w:hAnsi="Verdana"/>
          <w:sz w:val="16"/>
          <w:szCs w:val="16"/>
        </w:rPr>
      </w:pPr>
      <w:r w:rsidRPr="006F1179">
        <w:rPr>
          <w:rFonts w:ascii="Verdana" w:hAnsi="Verdana"/>
          <w:sz w:val="16"/>
          <w:szCs w:val="16"/>
        </w:rPr>
        <w:t>4o.) Por la remisión.</w:t>
      </w:r>
    </w:p>
    <w:p w:rsidRPr="006F1179" w:rsidR="006F1179" w:rsidP="002D3338" w:rsidRDefault="006F1179" w14:paraId="63EC108C" w14:textId="77777777">
      <w:pPr>
        <w:pStyle w:val="Textonotapie"/>
        <w:ind w:firstLine="709"/>
        <w:rPr>
          <w:rFonts w:ascii="Verdana" w:hAnsi="Verdana"/>
          <w:sz w:val="16"/>
          <w:szCs w:val="16"/>
        </w:rPr>
      </w:pPr>
      <w:r w:rsidRPr="006F1179">
        <w:rPr>
          <w:rFonts w:ascii="Verdana" w:hAnsi="Verdana"/>
          <w:sz w:val="16"/>
          <w:szCs w:val="16"/>
        </w:rPr>
        <w:t>5o.) Por la compensación.</w:t>
      </w:r>
    </w:p>
    <w:p w:rsidRPr="006F1179" w:rsidR="006F1179" w:rsidP="002D3338" w:rsidRDefault="006F1179" w14:paraId="7243B867" w14:textId="77777777">
      <w:pPr>
        <w:pStyle w:val="Textonotapie"/>
        <w:ind w:firstLine="709"/>
        <w:rPr>
          <w:rFonts w:ascii="Verdana" w:hAnsi="Verdana"/>
          <w:sz w:val="16"/>
          <w:szCs w:val="16"/>
        </w:rPr>
      </w:pPr>
      <w:r w:rsidRPr="006F1179">
        <w:rPr>
          <w:rFonts w:ascii="Verdana" w:hAnsi="Verdana"/>
          <w:sz w:val="16"/>
          <w:szCs w:val="16"/>
        </w:rPr>
        <w:t>6o.) Por la confusión.</w:t>
      </w:r>
    </w:p>
    <w:p w:rsidRPr="006F1179" w:rsidR="006F1179" w:rsidP="002D3338" w:rsidRDefault="006F1179" w14:paraId="2B0636B0" w14:textId="77777777">
      <w:pPr>
        <w:pStyle w:val="Textonotapie"/>
        <w:ind w:firstLine="709"/>
        <w:rPr>
          <w:rFonts w:ascii="Verdana" w:hAnsi="Verdana"/>
          <w:sz w:val="16"/>
          <w:szCs w:val="16"/>
        </w:rPr>
      </w:pPr>
      <w:r w:rsidRPr="006F1179">
        <w:rPr>
          <w:rFonts w:ascii="Verdana" w:hAnsi="Verdana"/>
          <w:sz w:val="16"/>
          <w:szCs w:val="16"/>
        </w:rPr>
        <w:t>7o.) Por la pérdida de la cosa que se debe.</w:t>
      </w:r>
    </w:p>
    <w:p w:rsidRPr="006F1179" w:rsidR="006F1179" w:rsidP="002D3338" w:rsidRDefault="006F1179" w14:paraId="286CCDBD" w14:textId="77777777">
      <w:pPr>
        <w:pStyle w:val="Textonotapie"/>
        <w:ind w:firstLine="709"/>
        <w:rPr>
          <w:rFonts w:ascii="Verdana" w:hAnsi="Verdana"/>
          <w:sz w:val="16"/>
          <w:szCs w:val="16"/>
        </w:rPr>
      </w:pPr>
      <w:r w:rsidRPr="006F1179">
        <w:rPr>
          <w:rFonts w:ascii="Verdana" w:hAnsi="Verdana"/>
          <w:sz w:val="16"/>
          <w:szCs w:val="16"/>
        </w:rPr>
        <w:t>8o.) Por la declaración de nulidad o por la rescisión. 9o.) Por el evento de la condición resolutoria.</w:t>
      </w:r>
    </w:p>
    <w:p w:rsidRPr="006F1179" w:rsidR="006F1179" w:rsidP="002D3338" w:rsidRDefault="006F1179" w14:paraId="711D904B" w14:textId="77777777">
      <w:pPr>
        <w:pStyle w:val="Textonotapie"/>
        <w:ind w:firstLine="709"/>
        <w:rPr>
          <w:rFonts w:ascii="Verdana" w:hAnsi="Verdana"/>
          <w:sz w:val="16"/>
          <w:szCs w:val="16"/>
        </w:rPr>
      </w:pPr>
      <w:r w:rsidRPr="006F1179">
        <w:rPr>
          <w:rFonts w:ascii="Verdana" w:hAnsi="Verdana"/>
          <w:sz w:val="16"/>
          <w:szCs w:val="16"/>
        </w:rPr>
        <w:t>10.) Por la prescripción.</w:t>
      </w:r>
    </w:p>
    <w:p w:rsidRPr="006F1179" w:rsidR="006F1179" w:rsidP="002D3338" w:rsidRDefault="006F1179" w14:paraId="446F98C2" w14:textId="163575C6">
      <w:pPr>
        <w:pStyle w:val="Textonotapie"/>
        <w:ind w:firstLine="709"/>
        <w:rPr>
          <w:lang w:val="es-ES"/>
        </w:rPr>
      </w:pPr>
      <w:r w:rsidRPr="006F1179">
        <w:rPr>
          <w:rFonts w:ascii="Verdana" w:hAnsi="Verdana"/>
          <w:sz w:val="16"/>
          <w:szCs w:val="16"/>
        </w:rPr>
        <w:t>De la transacción y la prescripción se tratará al fin de este libro; de la condición resolutoria se ha tratado en el título De las obligaciones condicionales”.</w:t>
      </w:r>
    </w:p>
  </w:footnote>
  <w:footnote w:id="4">
    <w:p w:rsidRPr="006F1179" w:rsidR="006F1179" w:rsidP="002D3338" w:rsidRDefault="006F1179" w14:paraId="582B4AD3" w14:textId="323AA8D5">
      <w:pPr>
        <w:pStyle w:val="Textonotapie"/>
        <w:ind w:firstLine="709"/>
        <w:jc w:val="both"/>
        <w:rPr>
          <w:rFonts w:ascii="Verdana" w:hAnsi="Verdana"/>
          <w:sz w:val="16"/>
          <w:szCs w:val="16"/>
          <w:lang w:val="es-ES"/>
        </w:rPr>
      </w:pPr>
      <w:r>
        <w:rPr>
          <w:rStyle w:val="Refdenotaalpie"/>
        </w:rPr>
        <w:footnoteRef/>
      </w:r>
      <w:r>
        <w:t xml:space="preserve"> </w:t>
      </w:r>
      <w:r w:rsidRPr="006F1179">
        <w:rPr>
          <w:rFonts w:ascii="Verdana" w:hAnsi="Verdana" w:cstheme="minorHAnsi"/>
          <w:sz w:val="16"/>
          <w:szCs w:val="16"/>
        </w:rPr>
        <w:t>Así lo indica la norma: “Cuando la pretensión comprenda aspectos que por su naturaleza son conciliables, para allanarse a la demanda la Nación requerirá autorización del Gobierno Nacional y las demás entidades públicas requerirán previa autorización expresa y escrita del 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 entidad.</w:t>
      </w:r>
    </w:p>
  </w:footnote>
  <w:footnote w:id="5">
    <w:p w:rsidRPr="006F1179" w:rsidR="006F1179" w:rsidP="002D3338" w:rsidRDefault="006F1179" w14:paraId="4358B084" w14:textId="77777777">
      <w:pPr>
        <w:pStyle w:val="Textonotapie"/>
        <w:ind w:firstLine="709"/>
        <w:jc w:val="both"/>
        <w:rPr>
          <w:rFonts w:ascii="Verdana" w:hAnsi="Verdana"/>
          <w:sz w:val="16"/>
          <w:szCs w:val="16"/>
        </w:rPr>
      </w:pPr>
      <w:r w:rsidRPr="006F1179">
        <w:rPr>
          <w:rStyle w:val="Refdenotaalpie"/>
          <w:rFonts w:ascii="Verdana" w:hAnsi="Verdana"/>
          <w:sz w:val="16"/>
          <w:szCs w:val="16"/>
        </w:rPr>
        <w:footnoteRef/>
      </w:r>
      <w:r w:rsidRPr="006F1179">
        <w:rPr>
          <w:rFonts w:ascii="Verdana" w:hAnsi="Verdana"/>
          <w:sz w:val="16"/>
          <w:szCs w:val="16"/>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rsidRPr="006F1179" w:rsidR="006F1179" w:rsidP="002D3338" w:rsidRDefault="006F1179" w14:paraId="7C0A7155" w14:textId="1A1DC1FE">
      <w:pPr>
        <w:pStyle w:val="Textonotapie"/>
        <w:ind w:firstLine="709"/>
        <w:jc w:val="both"/>
        <w:rPr>
          <w:rFonts w:ascii="Verdana" w:hAnsi="Verdana"/>
          <w:sz w:val="16"/>
          <w:szCs w:val="16"/>
          <w:lang w:val="es-ES"/>
        </w:rPr>
      </w:pPr>
      <w:r w:rsidRPr="006F1179">
        <w:rPr>
          <w:rFonts w:ascii="Verdana" w:hAnsi="Verdana"/>
          <w:sz w:val="16"/>
          <w:szCs w:val="16"/>
        </w:rPr>
        <w:t>Dicho laudo tendrá los mismos efectos que cualquier otro laudo dictado sobre el fondo del litigio”.</w:t>
      </w:r>
    </w:p>
  </w:footnote>
  <w:footnote w:id="6">
    <w:p w:rsidRPr="006F1179" w:rsidR="006F1179" w:rsidP="002D3338" w:rsidRDefault="006F1179" w14:paraId="1DC3E976" w14:textId="6C2B9FC8">
      <w:pPr>
        <w:pStyle w:val="Textonotapie"/>
        <w:ind w:firstLine="709"/>
        <w:jc w:val="both"/>
        <w:rPr>
          <w:rFonts w:ascii="Verdana" w:hAnsi="Verdana"/>
          <w:sz w:val="16"/>
          <w:szCs w:val="16"/>
          <w:lang w:val="es-ES"/>
        </w:rPr>
      </w:pPr>
      <w:r w:rsidRPr="006F1179">
        <w:rPr>
          <w:rStyle w:val="Refdenotaalpie"/>
          <w:rFonts w:ascii="Verdana" w:hAnsi="Verdana"/>
          <w:sz w:val="16"/>
          <w:szCs w:val="16"/>
        </w:rPr>
        <w:footnoteRef/>
      </w:r>
      <w:r w:rsidRPr="006F1179">
        <w:rPr>
          <w:rFonts w:ascii="Verdana" w:hAnsi="Verdana"/>
          <w:sz w:val="16"/>
          <w:szCs w:val="16"/>
        </w:rPr>
        <w:t xml:space="preserve"> 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footnote>
  <w:footnote w:id="7">
    <w:p w:rsidRPr="006F1179" w:rsidR="006F1179" w:rsidP="002D3338" w:rsidRDefault="006F1179" w14:paraId="7003F3EC" w14:textId="4CD10226">
      <w:pPr>
        <w:pStyle w:val="Textonotapie"/>
        <w:ind w:firstLine="709"/>
        <w:jc w:val="both"/>
        <w:rPr>
          <w:lang w:val="es-ES"/>
        </w:rPr>
      </w:pPr>
      <w:r w:rsidRPr="006F1179">
        <w:rPr>
          <w:rStyle w:val="Refdenotaalpie"/>
          <w:rFonts w:ascii="Verdana" w:hAnsi="Verdana"/>
          <w:sz w:val="16"/>
          <w:szCs w:val="16"/>
        </w:rPr>
        <w:footnoteRef/>
      </w:r>
      <w:r w:rsidRPr="006F1179">
        <w:rPr>
          <w:rFonts w:ascii="Verdana" w:hAnsi="Verdana"/>
          <w:sz w:val="16"/>
          <w:szCs w:val="16"/>
        </w:rPr>
        <w:t xml:space="preserve"> CARRILLO,</w:t>
      </w:r>
      <w:r w:rsidRPr="006F1179">
        <w:rPr>
          <w:rFonts w:ascii="Verdana" w:hAnsi="Verdana"/>
          <w:spacing w:val="-4"/>
          <w:sz w:val="16"/>
          <w:szCs w:val="16"/>
        </w:rPr>
        <w:t xml:space="preserve"> </w:t>
      </w:r>
      <w:r w:rsidRPr="006F1179">
        <w:rPr>
          <w:rFonts w:ascii="Verdana" w:hAnsi="Verdana"/>
          <w:sz w:val="16"/>
          <w:szCs w:val="16"/>
        </w:rPr>
        <w:t>Fernando</w:t>
      </w:r>
      <w:r w:rsidRPr="006F1179">
        <w:rPr>
          <w:rFonts w:ascii="Verdana" w:hAnsi="Verdana"/>
          <w:spacing w:val="-5"/>
          <w:sz w:val="16"/>
          <w:szCs w:val="16"/>
        </w:rPr>
        <w:t xml:space="preserve"> </w:t>
      </w:r>
      <w:r w:rsidRPr="006F1179">
        <w:rPr>
          <w:rFonts w:ascii="Verdana" w:hAnsi="Verdana"/>
          <w:sz w:val="16"/>
          <w:szCs w:val="16"/>
        </w:rPr>
        <w:t>y</w:t>
      </w:r>
      <w:r w:rsidRPr="006F1179">
        <w:rPr>
          <w:rFonts w:ascii="Verdana" w:hAnsi="Verdana"/>
          <w:spacing w:val="-4"/>
          <w:sz w:val="16"/>
          <w:szCs w:val="16"/>
        </w:rPr>
        <w:t xml:space="preserve"> </w:t>
      </w:r>
      <w:r w:rsidRPr="006F1179">
        <w:rPr>
          <w:rFonts w:ascii="Verdana" w:hAnsi="Verdana"/>
          <w:sz w:val="16"/>
          <w:szCs w:val="16"/>
        </w:rPr>
        <w:t>GÓMEZ,</w:t>
      </w:r>
      <w:r w:rsidRPr="006F1179">
        <w:rPr>
          <w:rFonts w:ascii="Verdana" w:hAnsi="Verdana"/>
          <w:spacing w:val="-5"/>
          <w:sz w:val="16"/>
          <w:szCs w:val="16"/>
        </w:rPr>
        <w:t xml:space="preserve"> </w:t>
      </w:r>
      <w:r w:rsidRPr="006F1179">
        <w:rPr>
          <w:rFonts w:ascii="Verdana" w:hAnsi="Verdana"/>
          <w:sz w:val="16"/>
          <w:szCs w:val="16"/>
        </w:rPr>
        <w:t>Iván.</w:t>
      </w:r>
      <w:r w:rsidRPr="006F1179">
        <w:rPr>
          <w:rFonts w:ascii="Verdana" w:hAnsi="Verdana"/>
          <w:spacing w:val="-4"/>
          <w:sz w:val="16"/>
          <w:szCs w:val="16"/>
        </w:rPr>
        <w:t xml:space="preserve"> </w:t>
      </w:r>
      <w:r w:rsidRPr="006F1179">
        <w:rPr>
          <w:rFonts w:ascii="Verdana" w:hAnsi="Verdana"/>
          <w:sz w:val="16"/>
          <w:szCs w:val="16"/>
        </w:rPr>
        <w:t>En:</w:t>
      </w:r>
      <w:r w:rsidRPr="006F1179">
        <w:rPr>
          <w:rFonts w:ascii="Verdana" w:hAnsi="Verdana"/>
          <w:spacing w:val="-5"/>
          <w:sz w:val="16"/>
          <w:szCs w:val="16"/>
        </w:rPr>
        <w:t xml:space="preserve"> </w:t>
      </w:r>
      <w:r w:rsidRPr="006F1179">
        <w:rPr>
          <w:rFonts w:ascii="Verdana" w:hAnsi="Verdana"/>
          <w:sz w:val="16"/>
          <w:szCs w:val="16"/>
        </w:rPr>
        <w:t>Procuraduría</w:t>
      </w:r>
      <w:r w:rsidRPr="006F1179">
        <w:rPr>
          <w:rFonts w:ascii="Verdana" w:hAnsi="Verdana"/>
          <w:spacing w:val="-4"/>
          <w:sz w:val="16"/>
          <w:szCs w:val="16"/>
        </w:rPr>
        <w:t xml:space="preserve"> </w:t>
      </w:r>
      <w:r w:rsidRPr="006F1179">
        <w:rPr>
          <w:rFonts w:ascii="Verdana" w:hAnsi="Verdana"/>
          <w:sz w:val="16"/>
          <w:szCs w:val="16"/>
        </w:rPr>
        <w:t>General</w:t>
      </w:r>
      <w:r w:rsidRPr="006F1179">
        <w:rPr>
          <w:rFonts w:ascii="Verdana" w:hAnsi="Verdana"/>
          <w:spacing w:val="-5"/>
          <w:sz w:val="16"/>
          <w:szCs w:val="16"/>
        </w:rPr>
        <w:t xml:space="preserve"> </w:t>
      </w:r>
      <w:r w:rsidRPr="006F1179">
        <w:rPr>
          <w:rFonts w:ascii="Verdana" w:hAnsi="Verdana"/>
          <w:sz w:val="16"/>
          <w:szCs w:val="16"/>
        </w:rPr>
        <w:t>de</w:t>
      </w:r>
      <w:r w:rsidRPr="006F1179">
        <w:rPr>
          <w:rFonts w:ascii="Verdana" w:hAnsi="Verdana"/>
          <w:spacing w:val="-4"/>
          <w:sz w:val="16"/>
          <w:szCs w:val="16"/>
        </w:rPr>
        <w:t xml:space="preserve"> </w:t>
      </w:r>
      <w:r w:rsidRPr="006F1179">
        <w:rPr>
          <w:rFonts w:ascii="Verdana" w:hAnsi="Verdana"/>
          <w:sz w:val="16"/>
          <w:szCs w:val="16"/>
        </w:rPr>
        <w:t>la</w:t>
      </w:r>
      <w:r w:rsidRPr="006F1179">
        <w:rPr>
          <w:rFonts w:ascii="Verdana" w:hAnsi="Verdana"/>
          <w:spacing w:val="-5"/>
          <w:sz w:val="16"/>
          <w:szCs w:val="16"/>
        </w:rPr>
        <w:t xml:space="preserve"> </w:t>
      </w:r>
      <w:r w:rsidRPr="006F1179">
        <w:rPr>
          <w:rFonts w:ascii="Verdana" w:hAnsi="Verdana"/>
          <w:sz w:val="16"/>
          <w:szCs w:val="16"/>
        </w:rPr>
        <w:t>Nación,</w:t>
      </w:r>
      <w:r w:rsidRPr="006F1179">
        <w:rPr>
          <w:rFonts w:ascii="Verdana" w:hAnsi="Verdana"/>
          <w:spacing w:val="18"/>
          <w:sz w:val="16"/>
          <w:szCs w:val="16"/>
        </w:rPr>
        <w:t xml:space="preserve"> </w:t>
      </w:r>
      <w:r w:rsidRPr="006F1179">
        <w:rPr>
          <w:rFonts w:ascii="Verdana" w:hAnsi="Verdana"/>
          <w:sz w:val="16"/>
          <w:szCs w:val="16"/>
        </w:rPr>
        <w:t>Op.</w:t>
      </w:r>
      <w:r w:rsidRPr="006F1179">
        <w:rPr>
          <w:rFonts w:ascii="Verdana" w:hAnsi="Verdana"/>
          <w:spacing w:val="-5"/>
          <w:sz w:val="16"/>
          <w:szCs w:val="16"/>
        </w:rPr>
        <w:t xml:space="preserve"> </w:t>
      </w:r>
      <w:r w:rsidRPr="006F1179">
        <w:rPr>
          <w:rFonts w:ascii="Verdana" w:hAnsi="Verdana"/>
          <w:sz w:val="16"/>
          <w:szCs w:val="16"/>
        </w:rPr>
        <w:t>Cit.,</w:t>
      </w:r>
      <w:r w:rsidRPr="006F1179">
        <w:rPr>
          <w:rFonts w:ascii="Verdana" w:hAnsi="Verdana"/>
          <w:spacing w:val="-4"/>
          <w:sz w:val="16"/>
          <w:szCs w:val="16"/>
        </w:rPr>
        <w:t xml:space="preserve"> </w:t>
      </w:r>
      <w:r w:rsidRPr="006F1179">
        <w:rPr>
          <w:rFonts w:ascii="Verdana" w:hAnsi="Verdana"/>
          <w:sz w:val="16"/>
          <w:szCs w:val="16"/>
        </w:rPr>
        <w:t>pp.</w:t>
      </w:r>
      <w:r w:rsidRPr="006F1179">
        <w:rPr>
          <w:rFonts w:ascii="Verdana" w:hAnsi="Verdana"/>
          <w:spacing w:val="-5"/>
          <w:sz w:val="16"/>
          <w:szCs w:val="16"/>
        </w:rPr>
        <w:t xml:space="preserve"> </w:t>
      </w:r>
      <w:r w:rsidRPr="006F1179">
        <w:rPr>
          <w:rFonts w:ascii="Verdana" w:hAnsi="Verdana"/>
          <w:sz w:val="16"/>
          <w:szCs w:val="16"/>
        </w:rPr>
        <w:t>53-60.</w:t>
      </w:r>
    </w:p>
  </w:footnote>
  <w:footnote w:id="8">
    <w:p w:rsidRPr="006F1179" w:rsidR="006F1179" w:rsidP="002D3338" w:rsidRDefault="006F1179" w14:paraId="48C7F798" w14:textId="19655E60">
      <w:pPr>
        <w:pStyle w:val="Textonotapie"/>
        <w:ind w:firstLine="709"/>
        <w:jc w:val="both"/>
        <w:rPr>
          <w:lang w:val="es-ES"/>
        </w:rPr>
      </w:pPr>
      <w:r>
        <w:rPr>
          <w:rStyle w:val="Refdenotaalpie"/>
        </w:rPr>
        <w:footnoteRef/>
      </w:r>
      <w:r>
        <w:t xml:space="preserve"> </w:t>
      </w:r>
      <w:r w:rsidRPr="00CB60A8" w:rsidR="00CB60A8">
        <w:rPr>
          <w:rFonts w:ascii="Verdana" w:hAnsi="Verdana"/>
          <w:sz w:val="16"/>
          <w:szCs w:val="16"/>
        </w:rPr>
        <w:t>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9">
    <w:p w:rsidRPr="00D16A25" w:rsidR="00CB60A8" w:rsidP="002D3338" w:rsidRDefault="00CB60A8" w14:paraId="164CEAEF" w14:textId="77777777">
      <w:pPr>
        <w:pStyle w:val="Textonotapie"/>
        <w:ind w:firstLine="709"/>
        <w:contextualSpacing/>
        <w:rPr>
          <w:rFonts w:ascii="Verdana" w:hAnsi="Verdana"/>
          <w:sz w:val="16"/>
          <w:szCs w:val="16"/>
        </w:rPr>
      </w:pPr>
      <w:r w:rsidRPr="00D16A25">
        <w:rPr>
          <w:rStyle w:val="Refdenotaalpie"/>
          <w:rFonts w:ascii="Verdana" w:hAnsi="Verdana"/>
          <w:sz w:val="16"/>
          <w:szCs w:val="16"/>
        </w:rPr>
        <w:footnoteRef/>
      </w:r>
      <w:r w:rsidRPr="00D16A25">
        <w:rPr>
          <w:rFonts w:ascii="Verdana" w:hAnsi="Verdana"/>
          <w:sz w:val="16"/>
          <w:szCs w:val="16"/>
        </w:rPr>
        <w:t xml:space="preserve"> CONSEJO DE ESTADO. Sección Tercera. Sentencia del 19 de mayo de 2005. Consejera Ponente: María Elena Giraldo Gómez.</w:t>
      </w:r>
    </w:p>
    <w:p w:rsidRPr="00D16A25" w:rsidR="00CB60A8" w:rsidP="002D3338" w:rsidRDefault="00CB60A8" w14:paraId="4299F976" w14:textId="1FDD948A">
      <w:pPr>
        <w:pStyle w:val="Textonotapie"/>
        <w:ind w:firstLine="709"/>
        <w:contextualSpacing/>
        <w:rPr>
          <w:rFonts w:ascii="Verdana" w:hAnsi="Verdana"/>
          <w:sz w:val="16"/>
          <w:szCs w:val="16"/>
          <w:lang w:val="es-ES"/>
        </w:rPr>
      </w:pPr>
      <w:r w:rsidRPr="00D16A25">
        <w:rPr>
          <w:rFonts w:ascii="Verdana" w:hAnsi="Verdana"/>
          <w:sz w:val="16"/>
          <w:szCs w:val="16"/>
        </w:rPr>
        <w:t>Radicación número: 63001-23-31-000-2002-00719-02.</w:t>
      </w:r>
    </w:p>
  </w:footnote>
  <w:footnote w:id="10">
    <w:p w:rsidRPr="00D16A25" w:rsidR="00CB60A8" w:rsidP="002D3338" w:rsidRDefault="00CB60A8" w14:paraId="5675522D" w14:textId="57106B7C">
      <w:pPr>
        <w:pStyle w:val="Textonotapie"/>
        <w:ind w:firstLine="709"/>
        <w:contextualSpacing/>
        <w:rPr>
          <w:rFonts w:ascii="Verdana" w:hAnsi="Verdana"/>
          <w:sz w:val="16"/>
          <w:szCs w:val="16"/>
          <w:lang w:val="es-ES"/>
        </w:rPr>
      </w:pPr>
      <w:r w:rsidRPr="00D16A25">
        <w:rPr>
          <w:rStyle w:val="Refdenotaalpie"/>
          <w:rFonts w:ascii="Verdana" w:hAnsi="Verdana"/>
          <w:sz w:val="16"/>
          <w:szCs w:val="16"/>
        </w:rPr>
        <w:footnoteRef/>
      </w:r>
      <w:r w:rsidRPr="00D16A25">
        <w:rPr>
          <w:rFonts w:ascii="Verdana" w:hAnsi="Verdana"/>
          <w:sz w:val="16"/>
          <w:szCs w:val="16"/>
        </w:rPr>
        <w:t xml:space="preserve"> </w:t>
      </w:r>
      <w:r w:rsidRPr="00D16A25" w:rsidR="006E5EB7">
        <w:rPr>
          <w:rFonts w:ascii="Verdana" w:hAnsi="Verdana"/>
          <w:sz w:val="16"/>
          <w:szCs w:val="16"/>
        </w:rPr>
        <w:t>CONSEJO DE ESTADO. Sección Tercera. Auto del 25 de octubre de 2019. Consejero Ponente: Carlos Alberto Zambrano Barrera. Expediente: 64.054</w:t>
      </w:r>
    </w:p>
  </w:footnote>
  <w:footnote w:id="11">
    <w:p w:rsidRPr="00D16A25" w:rsidR="006E5EB7" w:rsidP="002D3338" w:rsidRDefault="006E5EB7" w14:paraId="01565782" w14:textId="5C7281B6">
      <w:pPr>
        <w:pStyle w:val="Textonotapie"/>
        <w:ind w:firstLine="709"/>
        <w:contextualSpacing/>
        <w:jc w:val="both"/>
        <w:rPr>
          <w:rFonts w:ascii="Verdana" w:hAnsi="Verdana"/>
          <w:sz w:val="16"/>
          <w:szCs w:val="16"/>
          <w:lang w:val="es-ES"/>
        </w:rPr>
      </w:pPr>
      <w:r w:rsidRPr="00D16A25">
        <w:rPr>
          <w:rStyle w:val="Refdenotaalpie"/>
          <w:rFonts w:ascii="Verdana" w:hAnsi="Verdana"/>
          <w:sz w:val="16"/>
          <w:szCs w:val="16"/>
        </w:rPr>
        <w:footnoteRef/>
      </w:r>
      <w:r w:rsidRPr="00D16A25">
        <w:rPr>
          <w:rFonts w:ascii="Verdana" w:hAnsi="Verdana"/>
          <w:sz w:val="16"/>
          <w:szCs w:val="16"/>
        </w:rPr>
        <w:t xml:space="preserve"> CONSEJO DE ESTADO. Sección Tercera. Sentencia del 12 de agosto de 2019. Consejera Ponente: María Adriana Marín. Expediente: 38.603.</w:t>
      </w:r>
    </w:p>
  </w:footnote>
  <w:footnote w:id="12">
    <w:p w:rsidRPr="006E5EB7" w:rsidR="006E5EB7" w:rsidP="002D3338" w:rsidRDefault="006E5EB7" w14:paraId="411AEBE8" w14:textId="7B694330">
      <w:pPr>
        <w:pStyle w:val="Textonotapie"/>
        <w:ind w:firstLine="709"/>
        <w:contextualSpacing/>
        <w:jc w:val="both"/>
        <w:rPr>
          <w:rFonts w:ascii="Verdana" w:hAnsi="Verdana"/>
          <w:sz w:val="16"/>
          <w:szCs w:val="16"/>
          <w:lang w:val="es-ES"/>
        </w:rPr>
      </w:pPr>
      <w:r w:rsidRPr="00D16A25">
        <w:rPr>
          <w:rStyle w:val="Refdenotaalpie"/>
          <w:rFonts w:ascii="Verdana" w:hAnsi="Verdana"/>
          <w:sz w:val="16"/>
          <w:szCs w:val="16"/>
        </w:rPr>
        <w:footnoteRef/>
      </w:r>
      <w:r w:rsidRPr="00D16A25">
        <w:rPr>
          <w:rFonts w:ascii="Verdana" w:hAnsi="Verdana"/>
          <w:sz w:val="16"/>
          <w:szCs w:val="16"/>
        </w:rPr>
        <w:t xml:space="preserve"> CONSEJO DE ESTADO. Sección Tercera. Sentencia del 19 de mayo de 2005. Consejera Ponente: María Elena Giraldo Gómez. Radicación número: 63001-23-31-000-2002-00719-02</w:t>
      </w:r>
    </w:p>
  </w:footnote>
  <w:footnote w:id="13">
    <w:p w:rsidRPr="00A8350D" w:rsidR="006E5EB7" w:rsidP="00A8350D" w:rsidRDefault="006E5EB7" w14:paraId="3EE5815C" w14:textId="77777777">
      <w:pPr>
        <w:pStyle w:val="Textonotapie"/>
        <w:ind w:firstLine="709"/>
        <w:jc w:val="both"/>
        <w:rPr>
          <w:rFonts w:ascii="Verdana" w:hAnsi="Verdana"/>
          <w:sz w:val="16"/>
          <w:szCs w:val="16"/>
        </w:rPr>
      </w:pPr>
      <w:r w:rsidRPr="00A8350D">
        <w:rPr>
          <w:rStyle w:val="Refdenotaalpie"/>
          <w:rFonts w:ascii="Verdana" w:hAnsi="Verdana"/>
          <w:sz w:val="16"/>
          <w:szCs w:val="16"/>
        </w:rPr>
        <w:footnoteRef/>
      </w:r>
      <w:r w:rsidRPr="00A8350D">
        <w:rPr>
          <w:rFonts w:ascii="Verdana" w:hAnsi="Verdana"/>
          <w:sz w:val="16"/>
          <w:szCs w:val="16"/>
        </w:rPr>
        <w:t xml:space="preserve"> CONSEJO DE ESTADO. Sección Tercera. Auto del 14 de febrero de 2019. Consejera Ponente: Marta Nubia Velásquez Rico.</w:t>
      </w:r>
    </w:p>
    <w:p w:rsidRPr="00A8350D" w:rsidR="006E5EB7" w:rsidP="00A8350D" w:rsidRDefault="006E5EB7" w14:paraId="46DF58A7" w14:textId="05A07C5E">
      <w:pPr>
        <w:pStyle w:val="Textonotapie"/>
        <w:ind w:firstLine="709"/>
        <w:jc w:val="both"/>
        <w:rPr>
          <w:rFonts w:ascii="Verdana" w:hAnsi="Verdana"/>
          <w:sz w:val="16"/>
          <w:szCs w:val="16"/>
          <w:lang w:val="es-ES"/>
        </w:rPr>
      </w:pPr>
      <w:r w:rsidRPr="00A8350D">
        <w:rPr>
          <w:rFonts w:ascii="Verdana" w:hAnsi="Verdana"/>
          <w:sz w:val="16"/>
          <w:szCs w:val="16"/>
        </w:rPr>
        <w:t>Expediente: 60.049.</w:t>
      </w:r>
    </w:p>
  </w:footnote>
  <w:footnote w:id="14">
    <w:p w:rsidRPr="006E5EB7" w:rsidR="006E5EB7" w:rsidP="00A8350D" w:rsidRDefault="006E5EB7" w14:paraId="58E30237" w14:textId="0E700B2C">
      <w:pPr>
        <w:pStyle w:val="Textonotapie"/>
        <w:ind w:firstLine="709"/>
        <w:jc w:val="both"/>
        <w:rPr>
          <w:lang w:val="es-ES"/>
        </w:rPr>
      </w:pPr>
      <w:r w:rsidRPr="00A8350D">
        <w:rPr>
          <w:rStyle w:val="Refdenotaalpie"/>
          <w:rFonts w:ascii="Verdana" w:hAnsi="Verdana"/>
          <w:sz w:val="16"/>
          <w:szCs w:val="16"/>
        </w:rPr>
        <w:footnoteRef/>
      </w:r>
      <w:r w:rsidRPr="00A8350D">
        <w:rPr>
          <w:rFonts w:ascii="Verdana" w:hAnsi="Verdana"/>
          <w:sz w:val="16"/>
          <w:szCs w:val="16"/>
        </w:rPr>
        <w:t xml:space="preserve"> Consejo de Estado. Sección Tercera. Sentencia del 25 de junio de 2014. Consejero Ponente: Hernán Andrade Rincón. Expediente: 28.067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7216"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2B5862" w:rsidRDefault="002B5862" w14:paraId="6543F162" w14:textId="77777777">
    <w:pPr>
      <w:pStyle w:val="Encabezado"/>
    </w:pPr>
  </w:p>
  <w:p w:rsidR="002B5862" w:rsidRDefault="002B5862" w14:paraId="4711D484" w14:textId="77777777">
    <w:pPr>
      <w:pStyle w:val="Encabezado"/>
    </w:pPr>
  </w:p>
  <w:p w:rsidR="002B5862" w:rsidRDefault="002B5862" w14:paraId="3D79C711"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02" style="width:11.15pt;height:11.1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380629B"/>
    <w:multiLevelType w:val="hybridMultilevel"/>
    <w:tmpl w:val="28E2EC0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08BA6D35"/>
    <w:multiLevelType w:val="hybridMultilevel"/>
    <w:tmpl w:val="132012E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CD31D0"/>
    <w:multiLevelType w:val="hybridMultilevel"/>
    <w:tmpl w:val="8C702290"/>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8E5AE1"/>
    <w:multiLevelType w:val="hybridMultilevel"/>
    <w:tmpl w:val="98EAC2BA"/>
    <w:lvl w:ilvl="0" w:tplc="FFFFFFFF">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4" w15:restartNumberingAfterBreak="0">
    <w:nsid w:val="46446F6E"/>
    <w:multiLevelType w:val="hybridMultilevel"/>
    <w:tmpl w:val="6302B2F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5" w15:restartNumberingAfterBreak="0">
    <w:nsid w:val="5C753F83"/>
    <w:multiLevelType w:val="hybridMultilevel"/>
    <w:tmpl w:val="7528DA8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6" w15:restartNumberingAfterBreak="0">
    <w:nsid w:val="5E2B5288"/>
    <w:multiLevelType w:val="hybridMultilevel"/>
    <w:tmpl w:val="2690AAB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5E9844E6"/>
    <w:multiLevelType w:val="hybridMultilevel"/>
    <w:tmpl w:val="E25A24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630A419F"/>
    <w:multiLevelType w:val="hybridMultilevel"/>
    <w:tmpl w:val="8ABA74C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9"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20" w15:restartNumberingAfterBreak="0">
    <w:nsid w:val="6B2A6F6B"/>
    <w:multiLevelType w:val="hybridMultilevel"/>
    <w:tmpl w:val="F2CE68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F0422BB"/>
    <w:multiLevelType w:val="hybridMultilevel"/>
    <w:tmpl w:val="676AB10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3"/>
  </w:num>
  <w:num w:numId="7" w16cid:durableId="1946422806">
    <w:abstractNumId w:val="8"/>
  </w:num>
  <w:num w:numId="8" w16cid:durableId="152644682">
    <w:abstractNumId w:val="22"/>
  </w:num>
  <w:num w:numId="9" w16cid:durableId="1317221377">
    <w:abstractNumId w:val="10"/>
  </w:num>
  <w:num w:numId="10" w16cid:durableId="1471245386">
    <w:abstractNumId w:val="21"/>
  </w:num>
  <w:num w:numId="11" w16cid:durableId="289172385">
    <w:abstractNumId w:val="11"/>
  </w:num>
  <w:num w:numId="12" w16cid:durableId="1470781324">
    <w:abstractNumId w:val="1"/>
  </w:num>
  <w:num w:numId="13" w16cid:durableId="1512908409">
    <w:abstractNumId w:val="5"/>
  </w:num>
  <w:num w:numId="14" w16cid:durableId="895897244">
    <w:abstractNumId w:val="24"/>
  </w:num>
  <w:num w:numId="15" w16cid:durableId="390349800">
    <w:abstractNumId w:val="19"/>
  </w:num>
  <w:num w:numId="16" w16cid:durableId="1380713882">
    <w:abstractNumId w:val="0"/>
  </w:num>
  <w:num w:numId="17" w16cid:durableId="1982299905">
    <w:abstractNumId w:val="25"/>
  </w:num>
  <w:num w:numId="18" w16cid:durableId="691802391">
    <w:abstractNumId w:val="13"/>
  </w:num>
  <w:num w:numId="19" w16cid:durableId="336813632">
    <w:abstractNumId w:val="4"/>
  </w:num>
  <w:num w:numId="20" w16cid:durableId="706025072">
    <w:abstractNumId w:val="26"/>
  </w:num>
  <w:num w:numId="21" w16cid:durableId="1140540125">
    <w:abstractNumId w:val="16"/>
  </w:num>
  <w:num w:numId="22" w16cid:durableId="1319575256">
    <w:abstractNumId w:val="20"/>
  </w:num>
  <w:num w:numId="23" w16cid:durableId="679350865">
    <w:abstractNumId w:val="18"/>
  </w:num>
  <w:num w:numId="24" w16cid:durableId="1903329049">
    <w:abstractNumId w:val="14"/>
  </w:num>
  <w:num w:numId="25" w16cid:durableId="456876961">
    <w:abstractNumId w:val="17"/>
  </w:num>
  <w:num w:numId="26" w16cid:durableId="1266187003">
    <w:abstractNumId w:val="12"/>
  </w:num>
  <w:num w:numId="27" w16cid:durableId="774180183">
    <w:abstractNumId w:val="2"/>
  </w:num>
  <w:num w:numId="28" w16cid:durableId="159540047">
    <w:abstractNumId w:val="6"/>
  </w:num>
  <w:num w:numId="29" w16cid:durableId="2051875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4DB"/>
    <w:rsid w:val="00016F78"/>
    <w:rsid w:val="00046945"/>
    <w:rsid w:val="00061B2A"/>
    <w:rsid w:val="0007444E"/>
    <w:rsid w:val="00082362"/>
    <w:rsid w:val="000A683E"/>
    <w:rsid w:val="000B19B9"/>
    <w:rsid w:val="000D0334"/>
    <w:rsid w:val="000E241D"/>
    <w:rsid w:val="000F6486"/>
    <w:rsid w:val="00125105"/>
    <w:rsid w:val="00127233"/>
    <w:rsid w:val="001511A0"/>
    <w:rsid w:val="00162880"/>
    <w:rsid w:val="00174663"/>
    <w:rsid w:val="00177E18"/>
    <w:rsid w:val="001B0A93"/>
    <w:rsid w:val="001C03F2"/>
    <w:rsid w:val="001E190F"/>
    <w:rsid w:val="001E4177"/>
    <w:rsid w:val="001F7DC6"/>
    <w:rsid w:val="0021522F"/>
    <w:rsid w:val="00231D13"/>
    <w:rsid w:val="00233586"/>
    <w:rsid w:val="00237609"/>
    <w:rsid w:val="002421BB"/>
    <w:rsid w:val="00247988"/>
    <w:rsid w:val="0025796E"/>
    <w:rsid w:val="00260213"/>
    <w:rsid w:val="002707A2"/>
    <w:rsid w:val="00275CFF"/>
    <w:rsid w:val="00290004"/>
    <w:rsid w:val="002951A0"/>
    <w:rsid w:val="002962BC"/>
    <w:rsid w:val="002965E2"/>
    <w:rsid w:val="002A093D"/>
    <w:rsid w:val="002A0DD0"/>
    <w:rsid w:val="002A49AC"/>
    <w:rsid w:val="002A64FD"/>
    <w:rsid w:val="002B5862"/>
    <w:rsid w:val="002C5070"/>
    <w:rsid w:val="002C7A84"/>
    <w:rsid w:val="002D3338"/>
    <w:rsid w:val="002E4FD9"/>
    <w:rsid w:val="002E64D0"/>
    <w:rsid w:val="00307BB8"/>
    <w:rsid w:val="00322A85"/>
    <w:rsid w:val="00324168"/>
    <w:rsid w:val="00333FA6"/>
    <w:rsid w:val="0033493C"/>
    <w:rsid w:val="003448F4"/>
    <w:rsid w:val="0036525B"/>
    <w:rsid w:val="00374F5E"/>
    <w:rsid w:val="00377E3E"/>
    <w:rsid w:val="003A779E"/>
    <w:rsid w:val="003A7F17"/>
    <w:rsid w:val="003D0F4D"/>
    <w:rsid w:val="003D2BE6"/>
    <w:rsid w:val="003D5B0D"/>
    <w:rsid w:val="003E0499"/>
    <w:rsid w:val="003F1AD9"/>
    <w:rsid w:val="003F3941"/>
    <w:rsid w:val="003F65DF"/>
    <w:rsid w:val="00406575"/>
    <w:rsid w:val="00414C74"/>
    <w:rsid w:val="0042722E"/>
    <w:rsid w:val="0044228B"/>
    <w:rsid w:val="0044528D"/>
    <w:rsid w:val="0046173D"/>
    <w:rsid w:val="004679CF"/>
    <w:rsid w:val="004A1847"/>
    <w:rsid w:val="004A305D"/>
    <w:rsid w:val="004C6B27"/>
    <w:rsid w:val="004D3F3A"/>
    <w:rsid w:val="004F21C4"/>
    <w:rsid w:val="004F685F"/>
    <w:rsid w:val="00503135"/>
    <w:rsid w:val="00506DF0"/>
    <w:rsid w:val="005566E8"/>
    <w:rsid w:val="0056783A"/>
    <w:rsid w:val="00567A42"/>
    <w:rsid w:val="00574867"/>
    <w:rsid w:val="00591460"/>
    <w:rsid w:val="0059672A"/>
    <w:rsid w:val="005979D7"/>
    <w:rsid w:val="005B3816"/>
    <w:rsid w:val="005C3777"/>
    <w:rsid w:val="005C5CDC"/>
    <w:rsid w:val="005D476C"/>
    <w:rsid w:val="005F5676"/>
    <w:rsid w:val="0060785D"/>
    <w:rsid w:val="00620171"/>
    <w:rsid w:val="006219F8"/>
    <w:rsid w:val="00652513"/>
    <w:rsid w:val="00657B9A"/>
    <w:rsid w:val="00665D70"/>
    <w:rsid w:val="006900D9"/>
    <w:rsid w:val="006E5EB7"/>
    <w:rsid w:val="006F1179"/>
    <w:rsid w:val="00706C16"/>
    <w:rsid w:val="0072759A"/>
    <w:rsid w:val="0073695B"/>
    <w:rsid w:val="00756841"/>
    <w:rsid w:val="007649AB"/>
    <w:rsid w:val="00771D0C"/>
    <w:rsid w:val="007833AC"/>
    <w:rsid w:val="007911EE"/>
    <w:rsid w:val="00797E96"/>
    <w:rsid w:val="007A6EAA"/>
    <w:rsid w:val="007B268C"/>
    <w:rsid w:val="007B3C65"/>
    <w:rsid w:val="007B7171"/>
    <w:rsid w:val="007C0C0F"/>
    <w:rsid w:val="007C3DC2"/>
    <w:rsid w:val="007E5497"/>
    <w:rsid w:val="007E5663"/>
    <w:rsid w:val="007F662E"/>
    <w:rsid w:val="00800596"/>
    <w:rsid w:val="00803B12"/>
    <w:rsid w:val="00806F5F"/>
    <w:rsid w:val="0081553D"/>
    <w:rsid w:val="00820278"/>
    <w:rsid w:val="008318DA"/>
    <w:rsid w:val="00835A61"/>
    <w:rsid w:val="00842788"/>
    <w:rsid w:val="00843CAD"/>
    <w:rsid w:val="0084631C"/>
    <w:rsid w:val="0086150B"/>
    <w:rsid w:val="00865AE0"/>
    <w:rsid w:val="00867F95"/>
    <w:rsid w:val="0087031A"/>
    <w:rsid w:val="0087082B"/>
    <w:rsid w:val="00871A7A"/>
    <w:rsid w:val="00874B80"/>
    <w:rsid w:val="00880A26"/>
    <w:rsid w:val="008843B6"/>
    <w:rsid w:val="00891928"/>
    <w:rsid w:val="008A446D"/>
    <w:rsid w:val="008C7819"/>
    <w:rsid w:val="008D180B"/>
    <w:rsid w:val="008D5E3D"/>
    <w:rsid w:val="008F0EA7"/>
    <w:rsid w:val="00905C1B"/>
    <w:rsid w:val="0091101B"/>
    <w:rsid w:val="0092047B"/>
    <w:rsid w:val="00923EEF"/>
    <w:rsid w:val="009266D6"/>
    <w:rsid w:val="00937FE3"/>
    <w:rsid w:val="009419F9"/>
    <w:rsid w:val="0095685E"/>
    <w:rsid w:val="00961B09"/>
    <w:rsid w:val="00965334"/>
    <w:rsid w:val="0096584C"/>
    <w:rsid w:val="0097093E"/>
    <w:rsid w:val="0098015E"/>
    <w:rsid w:val="00986AC5"/>
    <w:rsid w:val="00995AB5"/>
    <w:rsid w:val="009A0DFA"/>
    <w:rsid w:val="009B273C"/>
    <w:rsid w:val="009B2D26"/>
    <w:rsid w:val="009B497C"/>
    <w:rsid w:val="009C71FA"/>
    <w:rsid w:val="009C72E7"/>
    <w:rsid w:val="009D3058"/>
    <w:rsid w:val="009E1CA3"/>
    <w:rsid w:val="009F3A13"/>
    <w:rsid w:val="00A122D3"/>
    <w:rsid w:val="00A17F13"/>
    <w:rsid w:val="00A20739"/>
    <w:rsid w:val="00A33C78"/>
    <w:rsid w:val="00A53EC9"/>
    <w:rsid w:val="00A66BCC"/>
    <w:rsid w:val="00A8350D"/>
    <w:rsid w:val="00AA5D04"/>
    <w:rsid w:val="00AB0ADB"/>
    <w:rsid w:val="00AD301C"/>
    <w:rsid w:val="00AD7A12"/>
    <w:rsid w:val="00AE025B"/>
    <w:rsid w:val="00AE62A4"/>
    <w:rsid w:val="00B01B1A"/>
    <w:rsid w:val="00B15A84"/>
    <w:rsid w:val="00B16AC3"/>
    <w:rsid w:val="00B3353C"/>
    <w:rsid w:val="00B631FD"/>
    <w:rsid w:val="00B66319"/>
    <w:rsid w:val="00B72CD3"/>
    <w:rsid w:val="00B72FFF"/>
    <w:rsid w:val="00B752E9"/>
    <w:rsid w:val="00B965EB"/>
    <w:rsid w:val="00BA1D91"/>
    <w:rsid w:val="00BC3D36"/>
    <w:rsid w:val="00BC54A9"/>
    <w:rsid w:val="00BD5505"/>
    <w:rsid w:val="00BD7F72"/>
    <w:rsid w:val="00C04FB3"/>
    <w:rsid w:val="00C330EB"/>
    <w:rsid w:val="00C33DBE"/>
    <w:rsid w:val="00C41061"/>
    <w:rsid w:val="00C71A94"/>
    <w:rsid w:val="00C73FF9"/>
    <w:rsid w:val="00C752A0"/>
    <w:rsid w:val="00C754BE"/>
    <w:rsid w:val="00C76B1C"/>
    <w:rsid w:val="00CB5217"/>
    <w:rsid w:val="00CB60A8"/>
    <w:rsid w:val="00CB6357"/>
    <w:rsid w:val="00CB73B2"/>
    <w:rsid w:val="00CC1B26"/>
    <w:rsid w:val="00CD0B4A"/>
    <w:rsid w:val="00CD7324"/>
    <w:rsid w:val="00CE4F67"/>
    <w:rsid w:val="00CF1C1D"/>
    <w:rsid w:val="00D16A25"/>
    <w:rsid w:val="00D20919"/>
    <w:rsid w:val="00D423A2"/>
    <w:rsid w:val="00D520D8"/>
    <w:rsid w:val="00D63AC2"/>
    <w:rsid w:val="00D7383B"/>
    <w:rsid w:val="00D82F75"/>
    <w:rsid w:val="00D86E93"/>
    <w:rsid w:val="00DA231B"/>
    <w:rsid w:val="00DC39FC"/>
    <w:rsid w:val="00DC6148"/>
    <w:rsid w:val="00DD5FB0"/>
    <w:rsid w:val="00DE435A"/>
    <w:rsid w:val="00DF29BC"/>
    <w:rsid w:val="00DF5254"/>
    <w:rsid w:val="00E16408"/>
    <w:rsid w:val="00E20894"/>
    <w:rsid w:val="00E245AB"/>
    <w:rsid w:val="00E2764C"/>
    <w:rsid w:val="00E27F2E"/>
    <w:rsid w:val="00E50A80"/>
    <w:rsid w:val="00E50AFE"/>
    <w:rsid w:val="00E75C92"/>
    <w:rsid w:val="00E771DC"/>
    <w:rsid w:val="00E8772A"/>
    <w:rsid w:val="00E90F6B"/>
    <w:rsid w:val="00E92C27"/>
    <w:rsid w:val="00EA0E3D"/>
    <w:rsid w:val="00EB255D"/>
    <w:rsid w:val="00EB2CED"/>
    <w:rsid w:val="00EB756D"/>
    <w:rsid w:val="00EC38A7"/>
    <w:rsid w:val="00ED0CF6"/>
    <w:rsid w:val="00ED7384"/>
    <w:rsid w:val="00EE1AA8"/>
    <w:rsid w:val="00EE5478"/>
    <w:rsid w:val="00F31EDC"/>
    <w:rsid w:val="00F32EC5"/>
    <w:rsid w:val="00F3779B"/>
    <w:rsid w:val="00F462B3"/>
    <w:rsid w:val="00F5664F"/>
    <w:rsid w:val="00F638F9"/>
    <w:rsid w:val="00F666C4"/>
    <w:rsid w:val="00F76AFC"/>
    <w:rsid w:val="00F83338"/>
    <w:rsid w:val="00FA47C0"/>
    <w:rsid w:val="00FB0145"/>
    <w:rsid w:val="00FB5DD1"/>
    <w:rsid w:val="00FC2B5D"/>
    <w:rsid w:val="00FD21F4"/>
    <w:rsid w:val="00FF1449"/>
    <w:rsid w:val="07F5D6DA"/>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87031A"/>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styleId="TextoindependienteCar" w:customStyle="1">
    <w:name w:val="Texto independiente Car"/>
    <w:basedOn w:val="Fuentedeprrafopredeter"/>
    <w:link w:val="Textoindependiente"/>
    <w:uiPriority w:val="1"/>
    <w:rsid w:val="0087031A"/>
  </w:style>
  <w:style w:type="paragraph" w:styleId="Sinespaciado">
    <w:name w:val="No Spacing"/>
    <w:aliases w:val="No Indent"/>
    <w:uiPriority w:val="3"/>
    <w:qFormat/>
    <w:rsid w:val="0044228B"/>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78659">
      <w:bodyDiv w:val="1"/>
      <w:marLeft w:val="0"/>
      <w:marRight w:val="0"/>
      <w:marTop w:val="0"/>
      <w:marBottom w:val="0"/>
      <w:divBdr>
        <w:top w:val="none" w:sz="0" w:space="0" w:color="auto"/>
        <w:left w:val="none" w:sz="0" w:space="0" w:color="auto"/>
        <w:bottom w:val="none" w:sz="0" w:space="0" w:color="auto"/>
        <w:right w:val="none" w:sz="0" w:space="0" w:color="auto"/>
      </w:divBdr>
    </w:div>
    <w:div w:id="58499970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85077310">
      <w:bodyDiv w:val="1"/>
      <w:marLeft w:val="0"/>
      <w:marRight w:val="0"/>
      <w:marTop w:val="0"/>
      <w:marBottom w:val="0"/>
      <w:divBdr>
        <w:top w:val="none" w:sz="0" w:space="0" w:color="auto"/>
        <w:left w:val="none" w:sz="0" w:space="0" w:color="auto"/>
        <w:bottom w:val="none" w:sz="0" w:space="0" w:color="auto"/>
        <w:right w:val="none" w:sz="0" w:space="0" w:color="auto"/>
      </w:divBdr>
    </w:div>
    <w:div w:id="1626039320">
      <w:bodyDiv w:val="1"/>
      <w:marLeft w:val="0"/>
      <w:marRight w:val="0"/>
      <w:marTop w:val="0"/>
      <w:marBottom w:val="0"/>
      <w:divBdr>
        <w:top w:val="none" w:sz="0" w:space="0" w:color="auto"/>
        <w:left w:val="none" w:sz="0" w:space="0" w:color="auto"/>
        <w:bottom w:val="none" w:sz="0" w:space="0" w:color="auto"/>
        <w:right w:val="none" w:sz="0" w:space="0" w:color="auto"/>
      </w:divBdr>
    </w:div>
    <w:div w:id="1667828610">
      <w:bodyDiv w:val="1"/>
      <w:marLeft w:val="0"/>
      <w:marRight w:val="0"/>
      <w:marTop w:val="0"/>
      <w:marBottom w:val="0"/>
      <w:divBdr>
        <w:top w:val="none" w:sz="0" w:space="0" w:color="auto"/>
        <w:left w:val="none" w:sz="0" w:space="0" w:color="auto"/>
        <w:bottom w:val="none" w:sz="0" w:space="0" w:color="auto"/>
        <w:right w:val="none" w:sz="0" w:space="0" w:color="auto"/>
      </w:divBdr>
    </w:div>
    <w:div w:id="1711343927">
      <w:bodyDiv w:val="1"/>
      <w:marLeft w:val="0"/>
      <w:marRight w:val="0"/>
      <w:marTop w:val="0"/>
      <w:marBottom w:val="0"/>
      <w:divBdr>
        <w:top w:val="none" w:sz="0" w:space="0" w:color="auto"/>
        <w:left w:val="none" w:sz="0" w:space="0" w:color="auto"/>
        <w:bottom w:val="none" w:sz="0" w:space="0" w:color="auto"/>
        <w:right w:val="none" w:sz="0" w:space="0" w:color="auto"/>
      </w:divBdr>
    </w:div>
    <w:div w:id="1980919643">
      <w:bodyDiv w:val="1"/>
      <w:marLeft w:val="0"/>
      <w:marRight w:val="0"/>
      <w:marTop w:val="0"/>
      <w:marBottom w:val="0"/>
      <w:divBdr>
        <w:top w:val="none" w:sz="0" w:space="0" w:color="auto"/>
        <w:left w:val="none" w:sz="0" w:space="0" w:color="auto"/>
        <w:bottom w:val="none" w:sz="0" w:space="0" w:color="auto"/>
        <w:right w:val="none" w:sz="0" w:space="0" w:color="auto"/>
      </w:divBdr>
    </w:div>
    <w:div w:id="1981613652">
      <w:bodyDiv w:val="1"/>
      <w:marLeft w:val="0"/>
      <w:marRight w:val="0"/>
      <w:marTop w:val="0"/>
      <w:marBottom w:val="0"/>
      <w:divBdr>
        <w:top w:val="none" w:sz="0" w:space="0" w:color="auto"/>
        <w:left w:val="none" w:sz="0" w:space="0" w:color="auto"/>
        <w:bottom w:val="none" w:sz="0" w:space="0" w:color="auto"/>
        <w:right w:val="none" w:sz="0" w:space="0" w:color="auto"/>
      </w:divBdr>
    </w:div>
    <w:div w:id="2072195802">
      <w:bodyDiv w:val="1"/>
      <w:marLeft w:val="0"/>
      <w:marRight w:val="0"/>
      <w:marTop w:val="0"/>
      <w:marBottom w:val="0"/>
      <w:divBdr>
        <w:top w:val="none" w:sz="0" w:space="0" w:color="auto"/>
        <w:left w:val="none" w:sz="0" w:space="0" w:color="auto"/>
        <w:bottom w:val="none" w:sz="0" w:space="0" w:color="auto"/>
        <w:right w:val="none" w:sz="0" w:space="0" w:color="auto"/>
      </w:divBdr>
      <w:divsChild>
        <w:div w:id="1164973239">
          <w:marLeft w:val="0"/>
          <w:marRight w:val="0"/>
          <w:marTop w:val="0"/>
          <w:marBottom w:val="0"/>
          <w:divBdr>
            <w:top w:val="none" w:sz="0" w:space="0" w:color="auto"/>
            <w:left w:val="none" w:sz="0" w:space="0" w:color="auto"/>
            <w:bottom w:val="none" w:sz="0" w:space="0" w:color="auto"/>
            <w:right w:val="none" w:sz="0" w:space="0" w:color="auto"/>
          </w:divBdr>
        </w:div>
        <w:div w:id="1270968462">
          <w:marLeft w:val="0"/>
          <w:marRight w:val="0"/>
          <w:marTop w:val="0"/>
          <w:marBottom w:val="0"/>
          <w:divBdr>
            <w:top w:val="none" w:sz="0" w:space="0" w:color="auto"/>
            <w:left w:val="none" w:sz="0" w:space="0" w:color="auto"/>
            <w:bottom w:val="none" w:sz="0" w:space="0" w:color="auto"/>
            <w:right w:val="none" w:sz="0" w:space="0" w:color="auto"/>
          </w:divBdr>
        </w:div>
        <w:div w:id="601569824">
          <w:marLeft w:val="0"/>
          <w:marRight w:val="0"/>
          <w:marTop w:val="0"/>
          <w:marBottom w:val="0"/>
          <w:divBdr>
            <w:top w:val="none" w:sz="0" w:space="0" w:color="auto"/>
            <w:left w:val="none" w:sz="0" w:space="0" w:color="auto"/>
            <w:bottom w:val="none" w:sz="0" w:space="0" w:color="auto"/>
            <w:right w:val="none" w:sz="0" w:space="0" w:color="auto"/>
          </w:divBdr>
        </w:div>
        <w:div w:id="62143960">
          <w:marLeft w:val="0"/>
          <w:marRight w:val="0"/>
          <w:marTop w:val="0"/>
          <w:marBottom w:val="0"/>
          <w:divBdr>
            <w:top w:val="none" w:sz="0" w:space="0" w:color="auto"/>
            <w:left w:val="none" w:sz="0" w:space="0" w:color="auto"/>
            <w:bottom w:val="none" w:sz="0" w:space="0" w:color="auto"/>
            <w:right w:val="none" w:sz="0" w:space="0" w:color="auto"/>
          </w:divBdr>
        </w:div>
        <w:div w:id="530991857">
          <w:marLeft w:val="0"/>
          <w:marRight w:val="0"/>
          <w:marTop w:val="0"/>
          <w:marBottom w:val="0"/>
          <w:divBdr>
            <w:top w:val="none" w:sz="0" w:space="0" w:color="auto"/>
            <w:left w:val="none" w:sz="0" w:space="0" w:color="auto"/>
            <w:bottom w:val="none" w:sz="0" w:space="0" w:color="auto"/>
            <w:right w:val="none" w:sz="0" w:space="0" w:color="auto"/>
          </w:divBdr>
        </w:div>
        <w:div w:id="464396306">
          <w:marLeft w:val="0"/>
          <w:marRight w:val="0"/>
          <w:marTop w:val="0"/>
          <w:marBottom w:val="0"/>
          <w:divBdr>
            <w:top w:val="none" w:sz="0" w:space="0" w:color="auto"/>
            <w:left w:val="none" w:sz="0" w:space="0" w:color="auto"/>
            <w:bottom w:val="none" w:sz="0" w:space="0" w:color="auto"/>
            <w:right w:val="none" w:sz="0" w:space="0" w:color="auto"/>
          </w:divBdr>
        </w:div>
        <w:div w:id="1708018743">
          <w:marLeft w:val="0"/>
          <w:marRight w:val="0"/>
          <w:marTop w:val="0"/>
          <w:marBottom w:val="0"/>
          <w:divBdr>
            <w:top w:val="none" w:sz="0" w:space="0" w:color="auto"/>
            <w:left w:val="none" w:sz="0" w:space="0" w:color="auto"/>
            <w:bottom w:val="none" w:sz="0" w:space="0" w:color="auto"/>
            <w:right w:val="none" w:sz="0" w:space="0" w:color="auto"/>
          </w:divBdr>
        </w:div>
        <w:div w:id="1897161891">
          <w:marLeft w:val="0"/>
          <w:marRight w:val="0"/>
          <w:marTop w:val="0"/>
          <w:marBottom w:val="0"/>
          <w:divBdr>
            <w:top w:val="none" w:sz="0" w:space="0" w:color="auto"/>
            <w:left w:val="none" w:sz="0" w:space="0" w:color="auto"/>
            <w:bottom w:val="none" w:sz="0" w:space="0" w:color="auto"/>
            <w:right w:val="none" w:sz="0" w:space="0" w:color="auto"/>
          </w:divBdr>
        </w:div>
        <w:div w:id="1667783752">
          <w:marLeft w:val="0"/>
          <w:marRight w:val="0"/>
          <w:marTop w:val="0"/>
          <w:marBottom w:val="0"/>
          <w:divBdr>
            <w:top w:val="none" w:sz="0" w:space="0" w:color="auto"/>
            <w:left w:val="none" w:sz="0" w:space="0" w:color="auto"/>
            <w:bottom w:val="none" w:sz="0" w:space="0" w:color="auto"/>
            <w:right w:val="none" w:sz="0" w:space="0" w:color="auto"/>
          </w:divBdr>
        </w:div>
        <w:div w:id="1609309645">
          <w:marLeft w:val="0"/>
          <w:marRight w:val="0"/>
          <w:marTop w:val="0"/>
          <w:marBottom w:val="0"/>
          <w:divBdr>
            <w:top w:val="none" w:sz="0" w:space="0" w:color="auto"/>
            <w:left w:val="none" w:sz="0" w:space="0" w:color="auto"/>
            <w:bottom w:val="none" w:sz="0" w:space="0" w:color="auto"/>
            <w:right w:val="none" w:sz="0" w:space="0" w:color="auto"/>
          </w:divBdr>
        </w:div>
        <w:div w:id="1074887772">
          <w:marLeft w:val="0"/>
          <w:marRight w:val="0"/>
          <w:marTop w:val="0"/>
          <w:marBottom w:val="0"/>
          <w:divBdr>
            <w:top w:val="none" w:sz="0" w:space="0" w:color="auto"/>
            <w:left w:val="none" w:sz="0" w:space="0" w:color="auto"/>
            <w:bottom w:val="none" w:sz="0" w:space="0" w:color="auto"/>
            <w:right w:val="none" w:sz="0" w:space="0" w:color="auto"/>
          </w:divBdr>
        </w:div>
      </w:divsChild>
    </w:div>
    <w:div w:id="2096129406">
      <w:bodyDiv w:val="1"/>
      <w:marLeft w:val="0"/>
      <w:marRight w:val="0"/>
      <w:marTop w:val="0"/>
      <w:marBottom w:val="0"/>
      <w:divBdr>
        <w:top w:val="none" w:sz="0" w:space="0" w:color="auto"/>
        <w:left w:val="none" w:sz="0" w:space="0" w:color="auto"/>
        <w:bottom w:val="none" w:sz="0" w:space="0" w:color="auto"/>
        <w:right w:val="none" w:sz="0" w:space="0" w:color="auto"/>
      </w:divBdr>
      <w:divsChild>
        <w:div w:id="368379825">
          <w:marLeft w:val="0"/>
          <w:marRight w:val="0"/>
          <w:marTop w:val="0"/>
          <w:marBottom w:val="0"/>
          <w:divBdr>
            <w:top w:val="none" w:sz="0" w:space="0" w:color="auto"/>
            <w:left w:val="none" w:sz="0" w:space="0" w:color="auto"/>
            <w:bottom w:val="none" w:sz="0" w:space="0" w:color="auto"/>
            <w:right w:val="none" w:sz="0" w:space="0" w:color="auto"/>
          </w:divBdr>
        </w:div>
        <w:div w:id="203251242">
          <w:marLeft w:val="0"/>
          <w:marRight w:val="0"/>
          <w:marTop w:val="0"/>
          <w:marBottom w:val="0"/>
          <w:divBdr>
            <w:top w:val="none" w:sz="0" w:space="0" w:color="auto"/>
            <w:left w:val="none" w:sz="0" w:space="0" w:color="auto"/>
            <w:bottom w:val="none" w:sz="0" w:space="0" w:color="auto"/>
            <w:right w:val="none" w:sz="0" w:space="0" w:color="auto"/>
          </w:divBdr>
        </w:div>
        <w:div w:id="188033022">
          <w:marLeft w:val="0"/>
          <w:marRight w:val="0"/>
          <w:marTop w:val="0"/>
          <w:marBottom w:val="0"/>
          <w:divBdr>
            <w:top w:val="none" w:sz="0" w:space="0" w:color="auto"/>
            <w:left w:val="none" w:sz="0" w:space="0" w:color="auto"/>
            <w:bottom w:val="none" w:sz="0" w:space="0" w:color="auto"/>
            <w:right w:val="none" w:sz="0" w:space="0" w:color="auto"/>
          </w:divBdr>
        </w:div>
        <w:div w:id="1562710006">
          <w:marLeft w:val="0"/>
          <w:marRight w:val="0"/>
          <w:marTop w:val="0"/>
          <w:marBottom w:val="0"/>
          <w:divBdr>
            <w:top w:val="none" w:sz="0" w:space="0" w:color="auto"/>
            <w:left w:val="none" w:sz="0" w:space="0" w:color="auto"/>
            <w:bottom w:val="none" w:sz="0" w:space="0" w:color="auto"/>
            <w:right w:val="none" w:sz="0" w:space="0" w:color="auto"/>
          </w:divBdr>
        </w:div>
        <w:div w:id="1441295057">
          <w:marLeft w:val="0"/>
          <w:marRight w:val="0"/>
          <w:marTop w:val="0"/>
          <w:marBottom w:val="0"/>
          <w:divBdr>
            <w:top w:val="none" w:sz="0" w:space="0" w:color="auto"/>
            <w:left w:val="none" w:sz="0" w:space="0" w:color="auto"/>
            <w:bottom w:val="none" w:sz="0" w:space="0" w:color="auto"/>
            <w:right w:val="none" w:sz="0" w:space="0" w:color="auto"/>
          </w:divBdr>
        </w:div>
        <w:div w:id="2108041355">
          <w:marLeft w:val="0"/>
          <w:marRight w:val="0"/>
          <w:marTop w:val="0"/>
          <w:marBottom w:val="0"/>
          <w:divBdr>
            <w:top w:val="none" w:sz="0" w:space="0" w:color="auto"/>
            <w:left w:val="none" w:sz="0" w:space="0" w:color="auto"/>
            <w:bottom w:val="none" w:sz="0" w:space="0" w:color="auto"/>
            <w:right w:val="none" w:sz="0" w:space="0" w:color="auto"/>
          </w:divBdr>
        </w:div>
        <w:div w:id="2058158128">
          <w:marLeft w:val="0"/>
          <w:marRight w:val="0"/>
          <w:marTop w:val="0"/>
          <w:marBottom w:val="0"/>
          <w:divBdr>
            <w:top w:val="none" w:sz="0" w:space="0" w:color="auto"/>
            <w:left w:val="none" w:sz="0" w:space="0" w:color="auto"/>
            <w:bottom w:val="none" w:sz="0" w:space="0" w:color="auto"/>
            <w:right w:val="none" w:sz="0" w:space="0" w:color="auto"/>
          </w:divBdr>
        </w:div>
        <w:div w:id="876508328">
          <w:marLeft w:val="0"/>
          <w:marRight w:val="0"/>
          <w:marTop w:val="0"/>
          <w:marBottom w:val="0"/>
          <w:divBdr>
            <w:top w:val="none" w:sz="0" w:space="0" w:color="auto"/>
            <w:left w:val="none" w:sz="0" w:space="0" w:color="auto"/>
            <w:bottom w:val="none" w:sz="0" w:space="0" w:color="auto"/>
            <w:right w:val="none" w:sz="0" w:space="0" w:color="auto"/>
          </w:divBdr>
        </w:div>
        <w:div w:id="2088376270">
          <w:marLeft w:val="0"/>
          <w:marRight w:val="0"/>
          <w:marTop w:val="0"/>
          <w:marBottom w:val="0"/>
          <w:divBdr>
            <w:top w:val="none" w:sz="0" w:space="0" w:color="auto"/>
            <w:left w:val="none" w:sz="0" w:space="0" w:color="auto"/>
            <w:bottom w:val="none" w:sz="0" w:space="0" w:color="auto"/>
            <w:right w:val="none" w:sz="0" w:space="0" w:color="auto"/>
          </w:divBdr>
        </w:div>
        <w:div w:id="1450901967">
          <w:marLeft w:val="0"/>
          <w:marRight w:val="0"/>
          <w:marTop w:val="0"/>
          <w:marBottom w:val="0"/>
          <w:divBdr>
            <w:top w:val="none" w:sz="0" w:space="0" w:color="auto"/>
            <w:left w:val="none" w:sz="0" w:space="0" w:color="auto"/>
            <w:bottom w:val="none" w:sz="0" w:space="0" w:color="auto"/>
            <w:right w:val="none" w:sz="0" w:space="0" w:color="auto"/>
          </w:divBdr>
        </w:div>
        <w:div w:id="1486118445">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camilo030398@gmail.com"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46160C-7F78-4DE9-AAB0-EC8E54513EC3}"/>
</file>

<file path=customXml/itemProps2.xml><?xml version="1.0" encoding="utf-8"?>
<ds:datastoreItem xmlns:ds="http://schemas.openxmlformats.org/officeDocument/2006/customXml" ds:itemID="{9FAF2BF4-0EB2-4EF0-8236-E05227A2EC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63</revision>
  <lastPrinted>2023-01-10T21:18:00.0000000Z</lastPrinted>
  <dcterms:created xsi:type="dcterms:W3CDTF">2025-07-01T23:16:00.0000000Z</dcterms:created>
  <dcterms:modified xsi:type="dcterms:W3CDTF">2025-07-31T21:10:57.3474696Z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