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FF8F7" w14:textId="77777777" w:rsidR="00793AE3" w:rsidRPr="001E25FD" w:rsidRDefault="00793AE3" w:rsidP="00793AE3">
      <w:pPr>
        <w:spacing w:after="0" w:line="240" w:lineRule="auto"/>
        <w:jc w:val="both"/>
        <w:rPr>
          <w:rFonts w:ascii="Arial" w:hAnsi="Arial" w:cs="Arial"/>
          <w:sz w:val="20"/>
          <w:szCs w:val="20"/>
          <w:lang w:val="es-ES_tradnl"/>
        </w:rPr>
      </w:pPr>
      <w:bookmarkStart w:id="0" w:name="_Hlk103947551"/>
    </w:p>
    <w:p w14:paraId="0B2EE128" w14:textId="77777777" w:rsidR="00793AE3" w:rsidRPr="001E25FD" w:rsidRDefault="00793AE3" w:rsidP="00793AE3">
      <w:pPr>
        <w:spacing w:after="0" w:line="240" w:lineRule="auto"/>
        <w:jc w:val="both"/>
        <w:rPr>
          <w:rFonts w:ascii="Arial" w:hAnsi="Arial" w:cs="Arial"/>
          <w:b/>
          <w:bCs/>
          <w:lang w:val="es-ES_tradnl"/>
        </w:rPr>
      </w:pPr>
      <w:r w:rsidRPr="001E25FD">
        <w:rPr>
          <w:rFonts w:ascii="Arial" w:hAnsi="Arial" w:cs="Arial"/>
          <w:b/>
          <w:bCs/>
          <w:lang w:val="es-ES_tradnl"/>
        </w:rPr>
        <w:t>ENTIDADES CON RÉGIMEN ESPECIAL – Definición</w:t>
      </w:r>
    </w:p>
    <w:p w14:paraId="208066FE" w14:textId="77777777" w:rsidR="00793AE3" w:rsidRPr="001E25FD" w:rsidRDefault="00793AE3" w:rsidP="00793AE3">
      <w:pPr>
        <w:spacing w:after="0" w:line="240" w:lineRule="auto"/>
        <w:jc w:val="both"/>
        <w:rPr>
          <w:rFonts w:ascii="Arial" w:hAnsi="Arial" w:cs="Arial"/>
          <w:sz w:val="20"/>
          <w:szCs w:val="20"/>
          <w:lang w:val="es-ES_tradnl"/>
        </w:rPr>
      </w:pPr>
    </w:p>
    <w:p w14:paraId="78FBDF3C" w14:textId="77777777" w:rsidR="00793AE3" w:rsidRPr="001E25FD" w:rsidRDefault="00793AE3" w:rsidP="00793AE3">
      <w:pPr>
        <w:spacing w:after="0" w:line="240" w:lineRule="auto"/>
        <w:jc w:val="both"/>
        <w:rPr>
          <w:rFonts w:ascii="Arial" w:hAnsi="Arial" w:cs="Arial"/>
          <w:sz w:val="20"/>
          <w:szCs w:val="20"/>
          <w:lang w:val="es-ES_tradnl"/>
        </w:rPr>
      </w:pPr>
      <w:r w:rsidRPr="001E25FD">
        <w:rPr>
          <w:rFonts w:ascii="Arial" w:hAnsi="Arial" w:cs="Arial"/>
          <w:sz w:val="20"/>
          <w:szCs w:val="20"/>
          <w:lang w:val="es-ES_tradnl"/>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71AFED24" w14:textId="77777777" w:rsidR="00793AE3" w:rsidRPr="001E25FD" w:rsidRDefault="00793AE3" w:rsidP="00793AE3">
      <w:pPr>
        <w:spacing w:after="0" w:line="240" w:lineRule="auto"/>
        <w:jc w:val="both"/>
        <w:rPr>
          <w:rFonts w:ascii="Arial" w:hAnsi="Arial" w:cs="Arial"/>
          <w:sz w:val="20"/>
          <w:szCs w:val="20"/>
          <w:lang w:val="es-ES_tradnl"/>
        </w:rPr>
      </w:pPr>
    </w:p>
    <w:p w14:paraId="05297119" w14:textId="77777777" w:rsidR="00793AE3" w:rsidRPr="001E25FD" w:rsidRDefault="00793AE3" w:rsidP="00793AE3">
      <w:pPr>
        <w:spacing w:after="0" w:line="240" w:lineRule="auto"/>
        <w:jc w:val="both"/>
        <w:rPr>
          <w:rFonts w:ascii="Arial" w:hAnsi="Arial" w:cs="Arial"/>
          <w:b/>
          <w:bCs/>
          <w:lang w:val="es-ES_tradnl"/>
        </w:rPr>
      </w:pPr>
      <w:r w:rsidRPr="001E25FD">
        <w:rPr>
          <w:rFonts w:ascii="Arial" w:hAnsi="Arial" w:cs="Arial"/>
          <w:b/>
          <w:bCs/>
          <w:lang w:val="es-ES_tradnl"/>
        </w:rPr>
        <w:t>ENTIDADES CON RÉGIMEN ESPECIAL – Reglas aplicables</w:t>
      </w:r>
    </w:p>
    <w:p w14:paraId="21E478AB" w14:textId="77777777" w:rsidR="00793AE3" w:rsidRPr="001E25FD" w:rsidRDefault="00793AE3" w:rsidP="00793AE3">
      <w:pPr>
        <w:spacing w:after="0" w:line="240" w:lineRule="auto"/>
        <w:jc w:val="both"/>
        <w:rPr>
          <w:rFonts w:ascii="Arial" w:hAnsi="Arial" w:cs="Arial"/>
          <w:sz w:val="20"/>
          <w:szCs w:val="20"/>
          <w:lang w:val="es-ES_tradnl"/>
        </w:rPr>
      </w:pPr>
    </w:p>
    <w:p w14:paraId="54F5EE85" w14:textId="77777777" w:rsidR="00793AE3" w:rsidRPr="001E25FD" w:rsidRDefault="00793AE3" w:rsidP="00793AE3">
      <w:pPr>
        <w:spacing w:after="120" w:line="240" w:lineRule="auto"/>
        <w:jc w:val="both"/>
        <w:rPr>
          <w:rFonts w:ascii="Arial" w:hAnsi="Arial" w:cs="Arial"/>
          <w:sz w:val="20"/>
          <w:szCs w:val="20"/>
          <w:lang w:val="es-ES_tradnl"/>
        </w:rPr>
      </w:pPr>
      <w:r w:rsidRPr="001E25FD">
        <w:rPr>
          <w:rFonts w:ascii="Arial" w:hAnsi="Arial" w:cs="Arial"/>
          <w:sz w:val="20"/>
          <w:szCs w:val="20"/>
          <w:lang w:val="es-ES_tradnl"/>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79CC3935" w14:textId="77777777" w:rsidR="00793AE3" w:rsidRPr="001E25FD" w:rsidRDefault="00793AE3" w:rsidP="00793AE3">
      <w:pPr>
        <w:spacing w:before="120" w:after="0" w:line="240" w:lineRule="auto"/>
        <w:jc w:val="both"/>
        <w:rPr>
          <w:rFonts w:ascii="Arial" w:hAnsi="Arial" w:cs="Arial"/>
          <w:sz w:val="20"/>
          <w:szCs w:val="20"/>
          <w:lang w:val="es-ES_tradnl"/>
        </w:rPr>
      </w:pPr>
      <w:r w:rsidRPr="001E25FD">
        <w:rPr>
          <w:rFonts w:ascii="Arial" w:hAnsi="Arial" w:cs="Arial"/>
          <w:sz w:val="20"/>
          <w:szCs w:val="20"/>
          <w:lang w:val="es-ES_tradn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w:t>
      </w:r>
    </w:p>
    <w:p w14:paraId="285D4D07" w14:textId="77777777" w:rsidR="00793AE3" w:rsidRPr="001E25FD" w:rsidRDefault="00793AE3" w:rsidP="002A377F">
      <w:pPr>
        <w:spacing w:after="0" w:line="240" w:lineRule="auto"/>
        <w:jc w:val="both"/>
        <w:rPr>
          <w:rFonts w:ascii="Arial" w:hAnsi="Arial" w:cs="Arial"/>
          <w:sz w:val="20"/>
          <w:szCs w:val="20"/>
          <w:lang w:val="es-ES_tradnl"/>
        </w:rPr>
      </w:pPr>
    </w:p>
    <w:p w14:paraId="53BAC975" w14:textId="77777777" w:rsidR="00793AE3" w:rsidRPr="001E25FD" w:rsidRDefault="00793AE3" w:rsidP="00793AE3">
      <w:pPr>
        <w:spacing w:after="0" w:line="240" w:lineRule="auto"/>
        <w:jc w:val="both"/>
        <w:rPr>
          <w:rFonts w:ascii="Arial" w:hAnsi="Arial" w:cs="Arial"/>
          <w:b/>
          <w:bCs/>
          <w:lang w:val="es-ES_tradnl"/>
        </w:rPr>
      </w:pPr>
      <w:r w:rsidRPr="001E25FD">
        <w:rPr>
          <w:rFonts w:ascii="Arial" w:hAnsi="Arial" w:cs="Arial"/>
          <w:b/>
          <w:bCs/>
          <w:lang w:val="es-ES_tradnl"/>
        </w:rPr>
        <w:t>ENTIDADES CON RÉGIMEN ESPECIAL – Manual de contratación – Contenido</w:t>
      </w:r>
    </w:p>
    <w:p w14:paraId="3FCF671E" w14:textId="77777777" w:rsidR="00793AE3" w:rsidRPr="001E25FD" w:rsidRDefault="00793AE3" w:rsidP="00793AE3">
      <w:pPr>
        <w:spacing w:after="0" w:line="240" w:lineRule="auto"/>
        <w:jc w:val="both"/>
        <w:rPr>
          <w:rFonts w:ascii="Arial" w:hAnsi="Arial" w:cs="Arial"/>
          <w:sz w:val="20"/>
          <w:szCs w:val="20"/>
          <w:lang w:val="es-ES_tradnl"/>
        </w:rPr>
      </w:pPr>
    </w:p>
    <w:p w14:paraId="12B3CD08" w14:textId="6B02958D" w:rsidR="00793AE3" w:rsidRPr="001E25FD" w:rsidRDefault="00793AE3" w:rsidP="009E24F8">
      <w:pPr>
        <w:spacing w:after="0" w:line="240" w:lineRule="auto"/>
        <w:jc w:val="both"/>
        <w:rPr>
          <w:rFonts w:ascii="Arial" w:hAnsi="Arial" w:cs="Arial"/>
          <w:sz w:val="20"/>
          <w:szCs w:val="20"/>
          <w:lang w:val="es-ES_tradnl"/>
        </w:rPr>
      </w:pPr>
      <w:r w:rsidRPr="001E25FD">
        <w:rPr>
          <w:rFonts w:ascii="Arial" w:hAnsi="Arial" w:cs="Arial"/>
          <w:sz w:val="20"/>
          <w:szCs w:val="20"/>
          <w:lang w:val="es-ES_tradn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 </w:t>
      </w:r>
    </w:p>
    <w:p w14:paraId="2C478F10" w14:textId="504834AD" w:rsidR="009E24F8" w:rsidRPr="001E25FD" w:rsidRDefault="009E24F8" w:rsidP="00B7240D">
      <w:pPr>
        <w:spacing w:after="0" w:line="276" w:lineRule="auto"/>
        <w:jc w:val="both"/>
        <w:rPr>
          <w:rFonts w:ascii="Arial" w:hAnsi="Arial" w:cs="Arial"/>
          <w:noProof/>
          <w:color w:val="000000" w:themeColor="text1"/>
        </w:rPr>
      </w:pPr>
    </w:p>
    <w:p w14:paraId="7D199ED8" w14:textId="5AEFC80B" w:rsidR="009E24F8" w:rsidRPr="001E25FD" w:rsidRDefault="009E24F8" w:rsidP="00B7240D">
      <w:pPr>
        <w:spacing w:after="0" w:line="276" w:lineRule="auto"/>
        <w:jc w:val="both"/>
        <w:rPr>
          <w:rFonts w:ascii="Arial" w:hAnsi="Arial" w:cs="Arial"/>
          <w:noProof/>
          <w:color w:val="000000" w:themeColor="text1"/>
        </w:rPr>
      </w:pPr>
    </w:p>
    <w:p w14:paraId="3BDA2656" w14:textId="3AFD9100" w:rsidR="009E24F8" w:rsidRPr="001E25FD" w:rsidRDefault="009E24F8" w:rsidP="00B7240D">
      <w:pPr>
        <w:spacing w:after="0" w:line="276" w:lineRule="auto"/>
        <w:jc w:val="both"/>
        <w:rPr>
          <w:rFonts w:ascii="Arial" w:hAnsi="Arial" w:cs="Arial"/>
          <w:noProof/>
          <w:color w:val="000000" w:themeColor="text1"/>
        </w:rPr>
      </w:pPr>
    </w:p>
    <w:p w14:paraId="2CB08C16" w14:textId="0BFAEEBA" w:rsidR="009E24F8" w:rsidRPr="001E25FD" w:rsidRDefault="009E24F8" w:rsidP="00B7240D">
      <w:pPr>
        <w:spacing w:after="0" w:line="276" w:lineRule="auto"/>
        <w:jc w:val="both"/>
        <w:rPr>
          <w:rFonts w:ascii="Arial" w:hAnsi="Arial" w:cs="Arial"/>
          <w:noProof/>
          <w:color w:val="000000" w:themeColor="text1"/>
        </w:rPr>
      </w:pPr>
    </w:p>
    <w:p w14:paraId="34A51B08" w14:textId="3D0AC3FE" w:rsidR="009E24F8" w:rsidRPr="001E25FD" w:rsidRDefault="009E24F8" w:rsidP="00B7240D">
      <w:pPr>
        <w:spacing w:after="0" w:line="276" w:lineRule="auto"/>
        <w:jc w:val="both"/>
        <w:rPr>
          <w:rFonts w:ascii="Arial" w:hAnsi="Arial" w:cs="Arial"/>
          <w:noProof/>
          <w:color w:val="000000" w:themeColor="text1"/>
        </w:rPr>
      </w:pPr>
    </w:p>
    <w:p w14:paraId="610DC90E" w14:textId="77777777" w:rsidR="009E24F8" w:rsidRPr="001E25FD" w:rsidRDefault="009E24F8" w:rsidP="00B7240D">
      <w:pPr>
        <w:spacing w:after="0" w:line="276" w:lineRule="auto"/>
        <w:jc w:val="both"/>
        <w:rPr>
          <w:rFonts w:ascii="Arial" w:hAnsi="Arial" w:cs="Arial"/>
          <w:noProof/>
          <w:color w:val="000000" w:themeColor="text1"/>
        </w:rPr>
      </w:pPr>
    </w:p>
    <w:p w14:paraId="507AD906" w14:textId="13E4ABBA" w:rsidR="00F008EF" w:rsidRPr="001E25FD" w:rsidRDefault="00F008EF" w:rsidP="00B7240D">
      <w:pPr>
        <w:spacing w:after="0" w:line="276" w:lineRule="auto"/>
        <w:jc w:val="both"/>
        <w:rPr>
          <w:rFonts w:ascii="Arial" w:hAnsi="Arial" w:cs="Arial"/>
          <w:noProof/>
          <w:color w:val="000000" w:themeColor="text1"/>
        </w:rPr>
      </w:pPr>
    </w:p>
    <w:p w14:paraId="469CAB4D" w14:textId="036493AD" w:rsidR="00F008EF" w:rsidRPr="001E25FD" w:rsidRDefault="00F008EF" w:rsidP="00B7240D">
      <w:pPr>
        <w:spacing w:after="0" w:line="276" w:lineRule="auto"/>
        <w:jc w:val="both"/>
        <w:rPr>
          <w:rFonts w:ascii="Arial" w:hAnsi="Arial" w:cs="Arial"/>
          <w:noProof/>
          <w:color w:val="000000" w:themeColor="text1"/>
        </w:rPr>
      </w:pPr>
    </w:p>
    <w:p w14:paraId="4481FA23" w14:textId="43D69B0A" w:rsidR="00F008EF" w:rsidRDefault="00F008EF" w:rsidP="00B7240D">
      <w:pPr>
        <w:spacing w:after="0" w:line="276" w:lineRule="auto"/>
        <w:jc w:val="both"/>
        <w:rPr>
          <w:rFonts w:ascii="Arial" w:hAnsi="Arial" w:cs="Arial"/>
          <w:noProof/>
          <w:color w:val="000000" w:themeColor="text1"/>
        </w:rPr>
      </w:pPr>
    </w:p>
    <w:p w14:paraId="1B06A8ED" w14:textId="7156ABDF" w:rsidR="002557E2" w:rsidRDefault="002557E2" w:rsidP="00B7240D">
      <w:pPr>
        <w:spacing w:after="0" w:line="276" w:lineRule="auto"/>
        <w:jc w:val="both"/>
        <w:rPr>
          <w:rFonts w:ascii="Arial" w:hAnsi="Arial" w:cs="Arial"/>
          <w:noProof/>
          <w:color w:val="000000" w:themeColor="text1"/>
        </w:rPr>
      </w:pPr>
    </w:p>
    <w:p w14:paraId="250C75E9" w14:textId="4517B33B" w:rsidR="002557E2" w:rsidRDefault="002557E2" w:rsidP="00B7240D">
      <w:pPr>
        <w:spacing w:after="0" w:line="276" w:lineRule="auto"/>
        <w:jc w:val="both"/>
        <w:rPr>
          <w:rFonts w:ascii="Arial" w:hAnsi="Arial" w:cs="Arial"/>
          <w:noProof/>
          <w:color w:val="000000" w:themeColor="text1"/>
        </w:rPr>
      </w:pPr>
    </w:p>
    <w:p w14:paraId="5391E5B7" w14:textId="77777777" w:rsidR="00AE2FD2" w:rsidRDefault="00AE2FD2" w:rsidP="00B7240D">
      <w:pPr>
        <w:spacing w:after="0" w:line="276" w:lineRule="auto"/>
        <w:jc w:val="both"/>
        <w:rPr>
          <w:rFonts w:ascii="Arial" w:hAnsi="Arial" w:cs="Arial"/>
          <w:noProof/>
          <w:color w:val="000000" w:themeColor="text1"/>
        </w:rPr>
      </w:pPr>
    </w:p>
    <w:p w14:paraId="72A11B39" w14:textId="278014CA" w:rsidR="002557E2" w:rsidRDefault="001665EA" w:rsidP="001665EA">
      <w:pPr>
        <w:spacing w:after="0" w:line="276" w:lineRule="auto"/>
        <w:jc w:val="right"/>
        <w:rPr>
          <w:rFonts w:ascii="Arial" w:hAnsi="Arial" w:cs="Arial"/>
          <w:noProof/>
          <w:color w:val="000000" w:themeColor="text1"/>
        </w:rPr>
      </w:pPr>
      <w:r w:rsidRPr="001665EA">
        <w:rPr>
          <w:rFonts w:ascii="Arial" w:hAnsi="Arial" w:cs="Arial"/>
          <w:noProof/>
          <w:color w:val="000000" w:themeColor="text1"/>
        </w:rPr>
        <w:lastRenderedPageBreak/>
        <w:drawing>
          <wp:inline distT="0" distB="0" distL="0" distR="0" wp14:anchorId="0D7B2410" wp14:editId="6616CEA2">
            <wp:extent cx="2857500" cy="914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914400"/>
                    </a:xfrm>
                    <a:prstGeom prst="rect">
                      <a:avLst/>
                    </a:prstGeom>
                    <a:noFill/>
                    <a:ln>
                      <a:noFill/>
                    </a:ln>
                  </pic:spPr>
                </pic:pic>
              </a:graphicData>
            </a:graphic>
          </wp:inline>
        </w:drawing>
      </w:r>
    </w:p>
    <w:p w14:paraId="44636100" w14:textId="77777777" w:rsidR="001665EA" w:rsidRPr="001E25FD" w:rsidRDefault="001665EA" w:rsidP="00B7240D">
      <w:pPr>
        <w:spacing w:after="0" w:line="276" w:lineRule="auto"/>
        <w:jc w:val="both"/>
        <w:rPr>
          <w:rFonts w:ascii="Arial" w:hAnsi="Arial" w:cs="Arial"/>
          <w:noProof/>
          <w:color w:val="000000" w:themeColor="text1"/>
        </w:rPr>
      </w:pPr>
    </w:p>
    <w:p w14:paraId="7DD48F49" w14:textId="373A3AEB" w:rsidR="00B95C30" w:rsidRPr="001E25FD" w:rsidRDefault="00B95C30" w:rsidP="00B7240D">
      <w:pPr>
        <w:spacing w:after="0" w:line="276" w:lineRule="auto"/>
        <w:jc w:val="both"/>
        <w:rPr>
          <w:rFonts w:ascii="Arial" w:hAnsi="Arial" w:cs="Arial"/>
          <w:b/>
          <w:color w:val="000000" w:themeColor="text1"/>
        </w:rPr>
      </w:pPr>
      <w:r w:rsidRPr="001E25FD">
        <w:rPr>
          <w:rFonts w:ascii="Arial" w:hAnsi="Arial" w:cs="Arial"/>
          <w:noProof/>
          <w:color w:val="000000" w:themeColor="text1"/>
        </w:rPr>
        <w:t xml:space="preserve">Bogotá D.C., </w:t>
      </w:r>
      <w:r w:rsidR="001665EA" w:rsidRPr="001665EA">
        <w:rPr>
          <w:rFonts w:ascii="Arial" w:hAnsi="Arial" w:cs="Arial"/>
          <w:bCs/>
          <w:color w:val="000000" w:themeColor="text1"/>
        </w:rPr>
        <w:t>30 de noviembre de 2022</w:t>
      </w:r>
    </w:p>
    <w:p w14:paraId="15083641" w14:textId="77777777" w:rsidR="006A3704" w:rsidRPr="001E25FD" w:rsidRDefault="006A3704" w:rsidP="00B7240D">
      <w:pPr>
        <w:spacing w:after="0" w:line="276" w:lineRule="auto"/>
        <w:jc w:val="both"/>
        <w:rPr>
          <w:rFonts w:ascii="Arial" w:hAnsi="Arial" w:cs="Arial"/>
          <w:b/>
          <w:color w:val="000000" w:themeColor="text1"/>
          <w:lang w:val="pt-BR"/>
        </w:rPr>
      </w:pPr>
    </w:p>
    <w:p w14:paraId="5F5AE9EF" w14:textId="7A788A7C" w:rsidR="00B95C30" w:rsidRPr="001E25FD" w:rsidRDefault="00B95C30" w:rsidP="00B7240D">
      <w:pPr>
        <w:spacing w:after="0" w:line="276" w:lineRule="auto"/>
        <w:jc w:val="both"/>
        <w:rPr>
          <w:rFonts w:ascii="Arial" w:hAnsi="Arial" w:cs="Arial"/>
          <w:color w:val="000000" w:themeColor="text1"/>
        </w:rPr>
      </w:pPr>
      <w:bookmarkStart w:id="1" w:name="_Hlk100051121"/>
      <w:r w:rsidRPr="001E25FD">
        <w:rPr>
          <w:rFonts w:ascii="Arial" w:hAnsi="Arial" w:cs="Arial"/>
          <w:color w:val="000000" w:themeColor="text1"/>
        </w:rPr>
        <w:t>Señor</w:t>
      </w:r>
    </w:p>
    <w:p w14:paraId="124C1945" w14:textId="77777777" w:rsidR="00672A28" w:rsidRPr="001E25FD" w:rsidRDefault="00672A28" w:rsidP="00B7240D">
      <w:pPr>
        <w:tabs>
          <w:tab w:val="center" w:pos="4394"/>
        </w:tabs>
        <w:spacing w:after="0" w:line="276" w:lineRule="auto"/>
        <w:jc w:val="both"/>
        <w:rPr>
          <w:rFonts w:ascii="Arial" w:hAnsi="Arial" w:cs="Arial"/>
          <w:b/>
          <w:color w:val="000000" w:themeColor="text1"/>
        </w:rPr>
      </w:pPr>
      <w:r w:rsidRPr="001E25FD">
        <w:rPr>
          <w:rFonts w:ascii="Arial" w:hAnsi="Arial" w:cs="Arial"/>
          <w:b/>
          <w:color w:val="000000" w:themeColor="text1"/>
        </w:rPr>
        <w:t xml:space="preserve">Mauricio Katz García </w:t>
      </w:r>
    </w:p>
    <w:p w14:paraId="62275B85" w14:textId="77777777" w:rsidR="00672A28" w:rsidRPr="001E25FD" w:rsidRDefault="00672A28" w:rsidP="00B7240D">
      <w:pPr>
        <w:tabs>
          <w:tab w:val="center" w:pos="4394"/>
        </w:tabs>
        <w:spacing w:after="0" w:line="276" w:lineRule="auto"/>
        <w:jc w:val="both"/>
        <w:rPr>
          <w:rFonts w:ascii="Arial" w:hAnsi="Arial" w:cs="Arial"/>
          <w:bCs/>
          <w:color w:val="000000" w:themeColor="text1"/>
        </w:rPr>
      </w:pPr>
      <w:r w:rsidRPr="001E25FD">
        <w:rPr>
          <w:rFonts w:ascii="Arial" w:hAnsi="Arial" w:cs="Arial"/>
          <w:bCs/>
          <w:color w:val="000000" w:themeColor="text1"/>
        </w:rPr>
        <w:t>Liquidador</w:t>
      </w:r>
    </w:p>
    <w:p w14:paraId="798A20AC" w14:textId="13B9DE51" w:rsidR="005F5F37" w:rsidRPr="001E25FD" w:rsidRDefault="00672A28" w:rsidP="00B7240D">
      <w:pPr>
        <w:tabs>
          <w:tab w:val="center" w:pos="4394"/>
        </w:tabs>
        <w:spacing w:after="0" w:line="276" w:lineRule="auto"/>
        <w:jc w:val="both"/>
        <w:rPr>
          <w:rFonts w:ascii="Arial" w:hAnsi="Arial" w:cs="Arial"/>
          <w:b/>
          <w:color w:val="000000" w:themeColor="text1"/>
        </w:rPr>
      </w:pPr>
      <w:r w:rsidRPr="001E25FD">
        <w:rPr>
          <w:rFonts w:ascii="Arial" w:hAnsi="Arial" w:cs="Arial"/>
          <w:bCs/>
          <w:color w:val="000000" w:themeColor="text1"/>
        </w:rPr>
        <w:t>Comisión de la Verdad en Liquidación</w:t>
      </w:r>
      <w:r w:rsidRPr="001E25FD">
        <w:rPr>
          <w:rFonts w:ascii="Arial" w:hAnsi="Arial" w:cs="Arial"/>
          <w:b/>
          <w:color w:val="000000" w:themeColor="text1"/>
        </w:rPr>
        <w:t xml:space="preserve"> </w:t>
      </w:r>
      <w:r w:rsidR="00F650A2" w:rsidRPr="001E25FD">
        <w:rPr>
          <w:rFonts w:ascii="Arial" w:hAnsi="Arial" w:cs="Arial"/>
          <w:b/>
          <w:color w:val="000000" w:themeColor="text1"/>
        </w:rPr>
        <w:tab/>
      </w:r>
    </w:p>
    <w:p w14:paraId="122205C3" w14:textId="2B4B2EEA" w:rsidR="000277A2" w:rsidRPr="001E25FD" w:rsidRDefault="00672A28" w:rsidP="00B7240D">
      <w:pPr>
        <w:spacing w:after="0" w:line="276" w:lineRule="auto"/>
        <w:rPr>
          <w:rFonts w:ascii="Arial" w:hAnsi="Arial" w:cs="Arial"/>
          <w:b/>
          <w:bCs/>
          <w:color w:val="000000" w:themeColor="text1"/>
        </w:rPr>
      </w:pPr>
      <w:r w:rsidRPr="001E25FD">
        <w:rPr>
          <w:rFonts w:ascii="Arial" w:hAnsi="Arial" w:cs="Arial"/>
          <w:bCs/>
          <w:color w:val="000000" w:themeColor="text1"/>
        </w:rPr>
        <w:t>Bogotá D.C.</w:t>
      </w:r>
    </w:p>
    <w:p w14:paraId="1BD594F9" w14:textId="67D75117" w:rsidR="00B95C30" w:rsidRPr="001E25FD" w:rsidRDefault="005B1504" w:rsidP="00B7240D">
      <w:pPr>
        <w:spacing w:after="0" w:line="276" w:lineRule="auto"/>
        <w:rPr>
          <w:rFonts w:ascii="Arial" w:hAnsi="Arial" w:cs="Arial"/>
          <w:b/>
          <w:bCs/>
          <w:color w:val="000000" w:themeColor="text1"/>
          <w:lang w:val="pt-BR"/>
        </w:rPr>
      </w:pPr>
      <w:r w:rsidRPr="001E25FD">
        <w:rPr>
          <w:rFonts w:ascii="Arial" w:hAnsi="Arial" w:cs="Arial"/>
          <w:b/>
          <w:bCs/>
          <w:color w:val="000000" w:themeColor="text1"/>
        </w:rPr>
        <w:t xml:space="preserve">                     </w:t>
      </w:r>
      <w:r w:rsidR="00923FA6" w:rsidRPr="001E25FD">
        <w:rPr>
          <w:rFonts w:ascii="Arial" w:hAnsi="Arial" w:cs="Arial"/>
          <w:b/>
          <w:bCs/>
          <w:color w:val="000000" w:themeColor="text1"/>
        </w:rPr>
        <w:t xml:space="preserve">                      </w:t>
      </w:r>
      <w:r w:rsidRPr="001E25FD">
        <w:rPr>
          <w:rFonts w:ascii="Arial" w:hAnsi="Arial" w:cs="Arial"/>
          <w:b/>
          <w:bCs/>
          <w:color w:val="000000" w:themeColor="text1"/>
        </w:rPr>
        <w:t xml:space="preserve"> </w:t>
      </w:r>
      <w:r w:rsidR="00023FA5" w:rsidRPr="001E25FD">
        <w:rPr>
          <w:rFonts w:ascii="Arial" w:hAnsi="Arial" w:cs="Arial"/>
          <w:b/>
          <w:bCs/>
          <w:color w:val="000000" w:themeColor="text1"/>
          <w:lang w:val="pt-BR"/>
        </w:rPr>
        <w:t xml:space="preserve">Concepto C ‒ </w:t>
      </w:r>
      <w:r w:rsidR="00907C90" w:rsidRPr="001E25FD">
        <w:rPr>
          <w:rFonts w:ascii="Arial" w:hAnsi="Arial" w:cs="Arial"/>
          <w:b/>
          <w:bCs/>
          <w:color w:val="000000" w:themeColor="text1"/>
          <w:lang w:val="pt-BR"/>
        </w:rPr>
        <w:t>7</w:t>
      </w:r>
      <w:r w:rsidR="00672A28" w:rsidRPr="001E25FD">
        <w:rPr>
          <w:rFonts w:ascii="Arial" w:hAnsi="Arial" w:cs="Arial"/>
          <w:b/>
          <w:bCs/>
          <w:color w:val="000000" w:themeColor="text1"/>
          <w:lang w:val="pt-BR"/>
        </w:rPr>
        <w:t>74</w:t>
      </w:r>
      <w:r w:rsidR="00907C90" w:rsidRPr="001E25FD">
        <w:rPr>
          <w:rFonts w:ascii="Arial" w:hAnsi="Arial" w:cs="Arial"/>
          <w:b/>
          <w:bCs/>
          <w:color w:val="000000" w:themeColor="text1"/>
          <w:lang w:val="pt-BR"/>
        </w:rPr>
        <w:t xml:space="preserve"> </w:t>
      </w:r>
      <w:r w:rsidR="00275FBF" w:rsidRPr="001E25FD">
        <w:rPr>
          <w:rFonts w:ascii="Arial" w:hAnsi="Arial" w:cs="Arial"/>
          <w:b/>
          <w:bCs/>
          <w:color w:val="000000" w:themeColor="text1"/>
          <w:lang w:val="pt-BR"/>
        </w:rPr>
        <w:t>de 202</w:t>
      </w:r>
      <w:r w:rsidR="00BF4EC5" w:rsidRPr="001E25FD">
        <w:rPr>
          <w:rFonts w:ascii="Arial" w:hAnsi="Arial" w:cs="Arial"/>
          <w:b/>
          <w:bCs/>
          <w:color w:val="000000" w:themeColor="text1"/>
          <w:lang w:val="pt-BR"/>
        </w:rPr>
        <w:t>2</w:t>
      </w:r>
    </w:p>
    <w:p w14:paraId="7063750E" w14:textId="77777777" w:rsidR="005F5F37" w:rsidRPr="001E25FD" w:rsidRDefault="005F5F37" w:rsidP="006A3704">
      <w:pPr>
        <w:spacing w:after="0" w:line="240" w:lineRule="auto"/>
        <w:rPr>
          <w:rFonts w:ascii="Arial" w:hAnsi="Arial"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D55D1" w14:paraId="19DFC051" w14:textId="77777777" w:rsidTr="00C06955">
        <w:trPr>
          <w:trHeight w:val="884"/>
        </w:trPr>
        <w:tc>
          <w:tcPr>
            <w:tcW w:w="2689" w:type="dxa"/>
          </w:tcPr>
          <w:p w14:paraId="6BC0D1AC" w14:textId="569BAEB9" w:rsidR="00B95C30" w:rsidRPr="001E25FD" w:rsidRDefault="00B95C30" w:rsidP="006A3704">
            <w:pPr>
              <w:spacing w:after="0" w:line="240" w:lineRule="auto"/>
              <w:jc w:val="both"/>
              <w:rPr>
                <w:rFonts w:ascii="Arial" w:hAnsi="Arial" w:cs="Arial"/>
                <w:b/>
                <w:color w:val="000000" w:themeColor="text1"/>
                <w:szCs w:val="24"/>
                <w:lang w:val="es-ES_tradnl" w:eastAsia="es-ES_tradnl"/>
              </w:rPr>
            </w:pPr>
            <w:r w:rsidRPr="001E25FD">
              <w:rPr>
                <w:rFonts w:ascii="Arial" w:hAnsi="Arial" w:cs="Arial"/>
                <w:b/>
                <w:color w:val="000000" w:themeColor="text1"/>
                <w:szCs w:val="24"/>
                <w:lang w:val="es-ES_tradnl" w:eastAsia="es-ES_tradnl"/>
              </w:rPr>
              <w:t>Temas:</w:t>
            </w:r>
            <w:r w:rsidR="005B1504" w:rsidRPr="001E25FD">
              <w:rPr>
                <w:rFonts w:ascii="Arial" w:hAnsi="Arial" w:cs="Arial"/>
                <w:b/>
                <w:color w:val="000000" w:themeColor="text1"/>
                <w:szCs w:val="24"/>
                <w:lang w:val="es-ES_tradnl" w:eastAsia="es-ES_tradnl"/>
              </w:rPr>
              <w:t xml:space="preserve">                   </w:t>
            </w:r>
          </w:p>
        </w:tc>
        <w:tc>
          <w:tcPr>
            <w:tcW w:w="6237" w:type="dxa"/>
          </w:tcPr>
          <w:p w14:paraId="4933FDAB" w14:textId="66218D41" w:rsidR="004F0538" w:rsidRPr="001E25FD" w:rsidRDefault="00793AE3" w:rsidP="002A377F">
            <w:pPr>
              <w:spacing w:after="0" w:line="240" w:lineRule="auto"/>
              <w:jc w:val="both"/>
              <w:rPr>
                <w:rFonts w:ascii="Arial" w:hAnsi="Arial" w:cs="Arial"/>
                <w:noProof/>
                <w:lang w:val="es-MX"/>
              </w:rPr>
            </w:pPr>
            <w:r w:rsidRPr="001E25FD">
              <w:rPr>
                <w:rFonts w:ascii="Arial" w:hAnsi="Arial" w:cs="Arial"/>
                <w:noProof/>
                <w:lang w:val="es-MX"/>
              </w:rPr>
              <w:t xml:space="preserve">ENTIDADES CON RÉGIMEN ESPECIAL – Definición / ENTIDADES CON RÉGIMEN ESPECIAL – Reglas aplicables </w:t>
            </w:r>
            <w:r w:rsidR="00452D2A" w:rsidRPr="001E25FD">
              <w:rPr>
                <w:rFonts w:ascii="Arial" w:hAnsi="Arial" w:cs="Arial"/>
                <w:noProof/>
                <w:lang w:val="es-MX"/>
              </w:rPr>
              <w:t xml:space="preserve"> </w:t>
            </w:r>
          </w:p>
          <w:p w14:paraId="5F389CAF" w14:textId="74DC79A7" w:rsidR="00980AF3" w:rsidRPr="001E25FD" w:rsidRDefault="00980AF3" w:rsidP="002A377F">
            <w:pPr>
              <w:spacing w:after="0" w:line="240" w:lineRule="auto"/>
              <w:jc w:val="both"/>
              <w:rPr>
                <w:rFonts w:ascii="Arial" w:hAnsi="Arial" w:cs="Arial"/>
                <w:noProof/>
                <w:lang w:val="es-MX"/>
              </w:rPr>
            </w:pPr>
          </w:p>
        </w:tc>
      </w:tr>
      <w:tr w:rsidR="00B95C30" w:rsidRPr="00DD55D1" w14:paraId="27CD52AB" w14:textId="77777777" w:rsidTr="00D15356">
        <w:tc>
          <w:tcPr>
            <w:tcW w:w="2689" w:type="dxa"/>
          </w:tcPr>
          <w:p w14:paraId="37E195A1" w14:textId="017D9507" w:rsidR="00B95C30" w:rsidRPr="001E25FD" w:rsidRDefault="00B95C30" w:rsidP="006A3704">
            <w:pPr>
              <w:spacing w:after="0" w:line="240" w:lineRule="auto"/>
              <w:jc w:val="both"/>
              <w:rPr>
                <w:rFonts w:ascii="Arial" w:hAnsi="Arial" w:cs="Arial"/>
                <w:b/>
                <w:color w:val="000000" w:themeColor="text1"/>
                <w:szCs w:val="24"/>
                <w:lang w:val="es-ES_tradnl" w:eastAsia="es-ES_tradnl"/>
              </w:rPr>
            </w:pPr>
            <w:r w:rsidRPr="001E25FD">
              <w:rPr>
                <w:rFonts w:ascii="Arial" w:hAnsi="Arial" w:cs="Arial"/>
                <w:b/>
                <w:color w:val="000000" w:themeColor="text1"/>
                <w:szCs w:val="24"/>
                <w:lang w:val="es-ES_tradnl" w:eastAsia="es-ES_tradnl"/>
              </w:rPr>
              <w:t>Radicación:</w:t>
            </w:r>
            <w:r w:rsidR="005B1504" w:rsidRPr="001E25FD">
              <w:rPr>
                <w:rFonts w:ascii="Arial" w:hAnsi="Arial" w:cs="Arial"/>
                <w:b/>
                <w:color w:val="000000" w:themeColor="text1"/>
                <w:szCs w:val="24"/>
                <w:lang w:val="es-ES_tradnl" w:eastAsia="es-ES_tradnl"/>
              </w:rPr>
              <w:t xml:space="preserve">               </w:t>
            </w:r>
          </w:p>
        </w:tc>
        <w:tc>
          <w:tcPr>
            <w:tcW w:w="6237" w:type="dxa"/>
          </w:tcPr>
          <w:p w14:paraId="09088B1B" w14:textId="7B02A778" w:rsidR="00B95C30" w:rsidRPr="001E25FD" w:rsidRDefault="00B95C30" w:rsidP="006A3704">
            <w:pPr>
              <w:spacing w:after="0" w:line="240" w:lineRule="auto"/>
              <w:jc w:val="both"/>
              <w:rPr>
                <w:rFonts w:ascii="Arial" w:hAnsi="Arial" w:cs="Arial"/>
                <w:bCs/>
                <w:color w:val="000000" w:themeColor="text1"/>
                <w:szCs w:val="24"/>
                <w:lang w:val="es-ES_tradnl" w:eastAsia="es-ES_tradnl"/>
              </w:rPr>
            </w:pPr>
            <w:r w:rsidRPr="001E25FD">
              <w:rPr>
                <w:rFonts w:ascii="Arial" w:hAnsi="Arial" w:cs="Arial"/>
                <w:bCs/>
                <w:color w:val="000000" w:themeColor="text1"/>
                <w:szCs w:val="24"/>
                <w:lang w:val="es-ES_tradnl" w:eastAsia="es-ES_tradnl"/>
              </w:rPr>
              <w:t>Respuesta a consulta</w:t>
            </w:r>
            <w:r w:rsidR="000D0CC7" w:rsidRPr="001E25FD">
              <w:rPr>
                <w:rFonts w:ascii="Arial" w:hAnsi="Arial" w:cs="Arial"/>
                <w:bCs/>
                <w:color w:val="000000" w:themeColor="text1"/>
                <w:szCs w:val="24"/>
                <w:lang w:val="es-ES_tradnl" w:eastAsia="es-ES_tradnl"/>
              </w:rPr>
              <w:t xml:space="preserve"> </w:t>
            </w:r>
            <w:r w:rsidR="00672A28" w:rsidRPr="001E25FD">
              <w:rPr>
                <w:rFonts w:ascii="Arial" w:hAnsi="Arial" w:cs="Arial"/>
                <w:bCs/>
                <w:color w:val="000000" w:themeColor="text1"/>
                <w:szCs w:val="24"/>
                <w:lang w:val="es-ES_tradnl" w:eastAsia="es-ES_tradnl"/>
              </w:rPr>
              <w:t>P20221003009924</w:t>
            </w:r>
          </w:p>
        </w:tc>
      </w:tr>
    </w:tbl>
    <w:p w14:paraId="234C0002" w14:textId="62B39031" w:rsidR="005F5F37" w:rsidRPr="001E25FD" w:rsidRDefault="005F5F37" w:rsidP="00B7240D">
      <w:pPr>
        <w:spacing w:after="0" w:line="274" w:lineRule="auto"/>
        <w:jc w:val="both"/>
        <w:rPr>
          <w:rFonts w:ascii="Arial" w:hAnsi="Arial" w:cs="Arial"/>
          <w:color w:val="000000" w:themeColor="text1"/>
          <w:lang w:val="es-ES_tradnl"/>
        </w:rPr>
      </w:pPr>
    </w:p>
    <w:p w14:paraId="1DAF8FE2" w14:textId="77777777" w:rsidR="006A3704" w:rsidRPr="001E25FD" w:rsidRDefault="006A3704" w:rsidP="00B7240D">
      <w:pPr>
        <w:spacing w:after="0" w:line="274" w:lineRule="auto"/>
        <w:jc w:val="both"/>
        <w:rPr>
          <w:rFonts w:ascii="Arial" w:hAnsi="Arial" w:cs="Arial"/>
          <w:color w:val="000000" w:themeColor="text1"/>
          <w:lang w:val="es-ES_tradnl"/>
        </w:rPr>
      </w:pPr>
    </w:p>
    <w:p w14:paraId="1CF4AEA0" w14:textId="158DE40F" w:rsidR="003C3339" w:rsidRPr="001E25FD" w:rsidRDefault="003C3339" w:rsidP="00B7240D">
      <w:pPr>
        <w:spacing w:after="0" w:line="274" w:lineRule="auto"/>
        <w:jc w:val="both"/>
        <w:rPr>
          <w:rFonts w:ascii="Arial" w:hAnsi="Arial" w:cs="Arial"/>
          <w:color w:val="000000" w:themeColor="text1"/>
          <w:lang w:val="es-ES_tradnl"/>
        </w:rPr>
      </w:pPr>
      <w:r w:rsidRPr="001E25FD">
        <w:rPr>
          <w:rFonts w:ascii="Arial" w:hAnsi="Arial" w:cs="Arial"/>
          <w:color w:val="000000" w:themeColor="text1"/>
          <w:lang w:val="es-ES_tradnl"/>
        </w:rPr>
        <w:t>Estimad</w:t>
      </w:r>
      <w:r w:rsidR="000D0CC7" w:rsidRPr="001E25FD">
        <w:rPr>
          <w:rFonts w:ascii="Arial" w:hAnsi="Arial" w:cs="Arial"/>
          <w:color w:val="000000" w:themeColor="text1"/>
          <w:lang w:val="es-ES_tradnl"/>
        </w:rPr>
        <w:t>o</w:t>
      </w:r>
      <w:r w:rsidRPr="001E25FD">
        <w:rPr>
          <w:rFonts w:ascii="Arial" w:hAnsi="Arial" w:cs="Arial"/>
          <w:color w:val="000000" w:themeColor="text1"/>
          <w:lang w:val="es-ES_tradnl"/>
        </w:rPr>
        <w:t xml:space="preserve"> señor</w:t>
      </w:r>
      <w:r w:rsidR="00DA371B" w:rsidRPr="001E25FD">
        <w:rPr>
          <w:rFonts w:ascii="Arial" w:hAnsi="Arial" w:cs="Arial"/>
          <w:color w:val="000000" w:themeColor="text1"/>
          <w:lang w:val="es-ES_tradnl"/>
        </w:rPr>
        <w:t xml:space="preserve"> </w:t>
      </w:r>
      <w:r w:rsidR="00672A28" w:rsidRPr="001E25FD">
        <w:rPr>
          <w:rFonts w:ascii="Arial" w:hAnsi="Arial" w:cs="Arial"/>
          <w:color w:val="000000" w:themeColor="text1"/>
          <w:lang w:val="es-ES_tradnl"/>
        </w:rPr>
        <w:t>Katz</w:t>
      </w:r>
      <w:r w:rsidR="008C3FFC" w:rsidRPr="001E25FD">
        <w:rPr>
          <w:rFonts w:ascii="Arial" w:hAnsi="Arial" w:cs="Arial"/>
          <w:color w:val="000000" w:themeColor="text1"/>
          <w:lang w:val="es-ES_tradnl"/>
        </w:rPr>
        <w:t xml:space="preserve">: </w:t>
      </w:r>
    </w:p>
    <w:p w14:paraId="1EAE5543" w14:textId="37990AD8" w:rsidR="00DD5B04" w:rsidRPr="001E25FD" w:rsidRDefault="00DD5B04" w:rsidP="00B7240D">
      <w:pPr>
        <w:spacing w:after="0" w:line="274" w:lineRule="auto"/>
        <w:jc w:val="both"/>
        <w:rPr>
          <w:rFonts w:ascii="Arial" w:hAnsi="Arial" w:cs="Arial"/>
          <w:color w:val="000000" w:themeColor="text1"/>
          <w:lang w:val="es-ES_tradnl"/>
        </w:rPr>
      </w:pPr>
    </w:p>
    <w:p w14:paraId="2109B2D3" w14:textId="7F06BFE3" w:rsidR="00DD5B04" w:rsidRPr="001E25FD" w:rsidRDefault="00DD5B04" w:rsidP="00B7240D">
      <w:pPr>
        <w:spacing w:after="0" w:line="274" w:lineRule="auto"/>
        <w:jc w:val="both"/>
        <w:rPr>
          <w:rFonts w:ascii="Arial" w:hAnsi="Arial" w:cs="Arial"/>
          <w:color w:val="000000" w:themeColor="text1"/>
          <w:lang w:val="es-ES_tradnl"/>
        </w:rPr>
      </w:pPr>
      <w:r w:rsidRPr="001E25FD">
        <w:rPr>
          <w:rFonts w:ascii="Arial" w:hAnsi="Arial" w:cs="Arial"/>
          <w:color w:val="000000" w:themeColor="text1"/>
          <w:lang w:val="es-ES_tradnl"/>
        </w:rPr>
        <w:t>En ejercicio de la competencia otorgada por el numeral 8 del artículo 11 y el numeral 5 del artículo 3 del Decreto Ley 4170 de 2011,</w:t>
      </w:r>
      <w:r w:rsidR="00B24D49" w:rsidRPr="001E25FD">
        <w:rPr>
          <w:rFonts w:ascii="Arial" w:eastAsia="Arial MT" w:hAnsi="Arial" w:cs="Arial"/>
          <w:lang w:val="es-ES"/>
        </w:rPr>
        <w:t xml:space="preserve"> </w:t>
      </w:r>
      <w:r w:rsidRPr="001E25FD">
        <w:rPr>
          <w:rFonts w:ascii="Arial" w:hAnsi="Arial" w:cs="Arial"/>
          <w:color w:val="000000" w:themeColor="text1"/>
          <w:lang w:val="es-ES_tradnl"/>
        </w:rPr>
        <w:t xml:space="preserve">la Agencia Nacional de Contratación Pública </w:t>
      </w:r>
      <w:r w:rsidR="00C31846" w:rsidRPr="001E25FD">
        <w:rPr>
          <w:rFonts w:ascii="Arial" w:hAnsi="Arial" w:cs="Arial"/>
          <w:color w:val="000000" w:themeColor="text1"/>
          <w:lang w:val="es-ES_tradnl"/>
        </w:rPr>
        <w:t>–</w:t>
      </w:r>
      <w:r w:rsidRPr="001E25FD">
        <w:rPr>
          <w:rFonts w:ascii="Arial" w:hAnsi="Arial" w:cs="Arial"/>
          <w:color w:val="000000" w:themeColor="text1"/>
          <w:lang w:val="es-ES_tradnl"/>
        </w:rPr>
        <w:t xml:space="preserve"> Colombia Compra Eficiente</w:t>
      </w:r>
      <w:r w:rsidR="00CE69CC" w:rsidRPr="001E25FD">
        <w:rPr>
          <w:rFonts w:ascii="Arial" w:hAnsi="Arial" w:cs="Arial"/>
          <w:color w:val="000000" w:themeColor="text1"/>
          <w:lang w:val="es-ES_tradnl"/>
        </w:rPr>
        <w:t xml:space="preserve">, </w:t>
      </w:r>
      <w:r w:rsidRPr="001E25FD">
        <w:rPr>
          <w:rFonts w:ascii="Arial" w:hAnsi="Arial" w:cs="Arial"/>
          <w:color w:val="000000" w:themeColor="text1"/>
          <w:lang w:val="es-ES_tradnl"/>
        </w:rPr>
        <w:t xml:space="preserve">responde </w:t>
      </w:r>
      <w:r w:rsidR="00F14618" w:rsidRPr="001E25FD">
        <w:rPr>
          <w:rFonts w:ascii="Arial" w:hAnsi="Arial" w:cs="Arial"/>
          <w:color w:val="000000" w:themeColor="text1"/>
          <w:lang w:val="es-ES_tradnl"/>
        </w:rPr>
        <w:t>su</w:t>
      </w:r>
      <w:r w:rsidR="003902B1" w:rsidRPr="001E25FD">
        <w:rPr>
          <w:rFonts w:ascii="Arial" w:hAnsi="Arial" w:cs="Arial"/>
          <w:color w:val="000000" w:themeColor="text1"/>
          <w:lang w:val="es-ES_tradnl"/>
        </w:rPr>
        <w:t xml:space="preserve"> </w:t>
      </w:r>
      <w:r w:rsidR="00F14618" w:rsidRPr="001E25FD">
        <w:rPr>
          <w:rFonts w:ascii="Arial" w:hAnsi="Arial" w:cs="Arial"/>
          <w:color w:val="000000" w:themeColor="text1"/>
          <w:lang w:val="es-ES_tradnl"/>
        </w:rPr>
        <w:t>consulta</w:t>
      </w:r>
      <w:r w:rsidR="00150A17" w:rsidRPr="001E25FD">
        <w:rPr>
          <w:rFonts w:ascii="Arial" w:hAnsi="Arial" w:cs="Arial"/>
          <w:color w:val="000000" w:themeColor="text1"/>
          <w:lang w:val="es-ES_tradnl"/>
        </w:rPr>
        <w:t xml:space="preserve"> </w:t>
      </w:r>
      <w:r w:rsidR="005122C5" w:rsidRPr="001E25FD">
        <w:rPr>
          <w:rFonts w:ascii="Arial" w:hAnsi="Arial" w:cs="Arial"/>
          <w:color w:val="000000" w:themeColor="text1"/>
          <w:lang w:val="es-ES_tradnl"/>
        </w:rPr>
        <w:t xml:space="preserve">remitida por </w:t>
      </w:r>
      <w:r w:rsidR="00672A28" w:rsidRPr="001E25FD">
        <w:rPr>
          <w:rFonts w:ascii="Arial" w:hAnsi="Arial" w:cs="Arial"/>
          <w:color w:val="000000" w:themeColor="text1"/>
          <w:lang w:val="es-ES_tradnl"/>
        </w:rPr>
        <w:t xml:space="preserve">el Departamento de la Función Pública </w:t>
      </w:r>
      <w:r w:rsidR="00F14618" w:rsidRPr="001E25FD">
        <w:rPr>
          <w:rFonts w:ascii="Arial" w:hAnsi="Arial" w:cs="Arial"/>
          <w:color w:val="000000" w:themeColor="text1"/>
          <w:lang w:val="es-ES_tradnl"/>
        </w:rPr>
        <w:t xml:space="preserve">el </w:t>
      </w:r>
      <w:r w:rsidR="00672A28" w:rsidRPr="001E25FD">
        <w:rPr>
          <w:rFonts w:ascii="Arial" w:hAnsi="Arial" w:cs="Arial"/>
          <w:color w:val="000000" w:themeColor="text1"/>
          <w:lang w:val="es-ES_tradnl"/>
        </w:rPr>
        <w:t>30</w:t>
      </w:r>
      <w:r w:rsidR="00150A17" w:rsidRPr="001E25FD">
        <w:rPr>
          <w:rFonts w:ascii="Arial" w:hAnsi="Arial" w:cs="Arial"/>
          <w:color w:val="000000" w:themeColor="text1"/>
          <w:lang w:val="es-ES_tradnl"/>
        </w:rPr>
        <w:t xml:space="preserve"> </w:t>
      </w:r>
      <w:r w:rsidR="00F14618" w:rsidRPr="001E25FD">
        <w:rPr>
          <w:rFonts w:ascii="Arial" w:hAnsi="Arial" w:cs="Arial"/>
          <w:color w:val="000000" w:themeColor="text1"/>
          <w:lang w:val="es-ES_tradnl"/>
        </w:rPr>
        <w:t xml:space="preserve">de </w:t>
      </w:r>
      <w:r w:rsidR="00DA371B" w:rsidRPr="001E25FD">
        <w:rPr>
          <w:rFonts w:ascii="Arial" w:hAnsi="Arial" w:cs="Arial"/>
          <w:color w:val="000000" w:themeColor="text1"/>
          <w:lang w:val="es-ES_tradnl"/>
        </w:rPr>
        <w:t>septiembre</w:t>
      </w:r>
      <w:r w:rsidR="00F14618" w:rsidRPr="001E25FD">
        <w:rPr>
          <w:rFonts w:ascii="Arial" w:hAnsi="Arial" w:cs="Arial"/>
          <w:color w:val="000000" w:themeColor="text1"/>
          <w:lang w:val="es-ES_tradnl"/>
        </w:rPr>
        <w:t xml:space="preserve"> de 202</w:t>
      </w:r>
      <w:r w:rsidR="00782354" w:rsidRPr="001E25FD">
        <w:rPr>
          <w:rFonts w:ascii="Arial" w:hAnsi="Arial" w:cs="Arial"/>
          <w:color w:val="000000" w:themeColor="text1"/>
          <w:lang w:val="es-ES_tradnl"/>
        </w:rPr>
        <w:t>2</w:t>
      </w:r>
      <w:r w:rsidR="00F14618" w:rsidRPr="001E25FD">
        <w:rPr>
          <w:rFonts w:ascii="Arial" w:hAnsi="Arial" w:cs="Arial"/>
          <w:color w:val="000000" w:themeColor="text1"/>
          <w:lang w:val="es-ES_tradnl"/>
        </w:rPr>
        <w:t>.</w:t>
      </w:r>
    </w:p>
    <w:p w14:paraId="0C1E0712" w14:textId="77777777" w:rsidR="00DD5B04" w:rsidRPr="001E25FD" w:rsidRDefault="00DD5B04" w:rsidP="00443945">
      <w:pPr>
        <w:spacing w:after="0" w:line="276" w:lineRule="auto"/>
        <w:jc w:val="both"/>
        <w:rPr>
          <w:rFonts w:ascii="Arial" w:hAnsi="Arial" w:cs="Arial"/>
          <w:b/>
          <w:color w:val="000000" w:themeColor="text1"/>
          <w:lang w:val="es-ES_tradnl"/>
        </w:rPr>
      </w:pPr>
    </w:p>
    <w:p w14:paraId="7701FCC7" w14:textId="77777777" w:rsidR="00DD5B04" w:rsidRPr="001E25F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1E25FD">
        <w:rPr>
          <w:rFonts w:ascii="Arial" w:eastAsia="Calibri" w:hAnsi="Arial" w:cs="Arial"/>
          <w:b/>
          <w:color w:val="000000" w:themeColor="text1"/>
          <w:sz w:val="22"/>
          <w:lang w:val="es-ES_tradnl"/>
        </w:rPr>
        <w:t xml:space="preserve">Problema planteado </w:t>
      </w:r>
    </w:p>
    <w:p w14:paraId="224B43D3" w14:textId="23DC0BDF" w:rsidR="00DD5B04" w:rsidRPr="001E25FD" w:rsidRDefault="00DD5B04" w:rsidP="00B7240D">
      <w:pPr>
        <w:tabs>
          <w:tab w:val="left" w:pos="426"/>
        </w:tabs>
        <w:spacing w:after="0" w:line="276" w:lineRule="auto"/>
        <w:jc w:val="both"/>
        <w:rPr>
          <w:rFonts w:ascii="Arial" w:hAnsi="Arial" w:cs="Arial"/>
          <w:b/>
          <w:color w:val="000000" w:themeColor="text1"/>
          <w:lang w:val="es-ES_tradnl"/>
        </w:rPr>
      </w:pPr>
    </w:p>
    <w:p w14:paraId="3E2BEA71" w14:textId="56C9A0E3" w:rsidR="00EA42E3" w:rsidRPr="001E25FD" w:rsidRDefault="000D0CC7" w:rsidP="00B7240D">
      <w:pPr>
        <w:spacing w:after="0" w:line="276" w:lineRule="auto"/>
        <w:jc w:val="both"/>
        <w:rPr>
          <w:rFonts w:ascii="Arial" w:hAnsi="Arial" w:cs="Arial"/>
          <w:bCs/>
        </w:rPr>
      </w:pPr>
      <w:r w:rsidRPr="001E25FD">
        <w:rPr>
          <w:rFonts w:ascii="Arial" w:hAnsi="Arial" w:cs="Arial"/>
          <w:bCs/>
        </w:rPr>
        <w:t>Usted realiza la</w:t>
      </w:r>
      <w:r w:rsidR="00672A28" w:rsidRPr="001E25FD">
        <w:rPr>
          <w:rFonts w:ascii="Arial" w:hAnsi="Arial" w:cs="Arial"/>
          <w:bCs/>
        </w:rPr>
        <w:t>s</w:t>
      </w:r>
      <w:r w:rsidRPr="001E25FD">
        <w:rPr>
          <w:rFonts w:ascii="Arial" w:hAnsi="Arial" w:cs="Arial"/>
          <w:bCs/>
        </w:rPr>
        <w:t xml:space="preserve"> siguiente</w:t>
      </w:r>
      <w:r w:rsidR="00672A28" w:rsidRPr="001E25FD">
        <w:rPr>
          <w:rFonts w:ascii="Arial" w:hAnsi="Arial" w:cs="Arial"/>
          <w:bCs/>
        </w:rPr>
        <w:t>s</w:t>
      </w:r>
      <w:r w:rsidRPr="001E25FD">
        <w:rPr>
          <w:rFonts w:ascii="Arial" w:hAnsi="Arial" w:cs="Arial"/>
          <w:bCs/>
        </w:rPr>
        <w:t xml:space="preserve"> pregunta</w:t>
      </w:r>
      <w:r w:rsidR="00672A28" w:rsidRPr="001E25FD">
        <w:rPr>
          <w:rFonts w:ascii="Arial" w:hAnsi="Arial" w:cs="Arial"/>
          <w:bCs/>
        </w:rPr>
        <w:t>s</w:t>
      </w:r>
      <w:r w:rsidRPr="001E25FD">
        <w:rPr>
          <w:rFonts w:ascii="Arial" w:hAnsi="Arial" w:cs="Arial"/>
          <w:bCs/>
        </w:rPr>
        <w:t xml:space="preserve">: </w:t>
      </w:r>
    </w:p>
    <w:p w14:paraId="72666279" w14:textId="77777777" w:rsidR="00F008EF" w:rsidRPr="001E25FD" w:rsidRDefault="00F008EF" w:rsidP="00B7240D">
      <w:pPr>
        <w:spacing w:after="0" w:line="276" w:lineRule="auto"/>
        <w:jc w:val="both"/>
        <w:rPr>
          <w:rFonts w:ascii="Arial" w:hAnsi="Arial" w:cs="Arial"/>
          <w:bCs/>
        </w:rPr>
      </w:pPr>
    </w:p>
    <w:p w14:paraId="3C20B635" w14:textId="77777777" w:rsidR="00672A28" w:rsidRPr="001E25FD" w:rsidRDefault="00672A28" w:rsidP="006D551F">
      <w:pPr>
        <w:spacing w:after="0" w:line="240" w:lineRule="auto"/>
        <w:ind w:left="709" w:right="709"/>
        <w:jc w:val="both"/>
        <w:rPr>
          <w:rFonts w:ascii="Arial" w:hAnsi="Arial" w:cs="Arial"/>
          <w:bCs/>
          <w:sz w:val="21"/>
          <w:szCs w:val="21"/>
          <w:lang w:val="es-ES_tradnl"/>
        </w:rPr>
      </w:pPr>
      <w:r w:rsidRPr="001E25FD">
        <w:rPr>
          <w:rFonts w:ascii="Arial" w:hAnsi="Arial" w:cs="Arial"/>
          <w:bCs/>
          <w:sz w:val="21"/>
          <w:szCs w:val="21"/>
        </w:rPr>
        <w:t xml:space="preserve">Revisado el Decreto que ordena la liquidación de la extinta Comisión, este dispone en su artículo segundo: </w:t>
      </w:r>
      <w:r w:rsidRPr="001E25FD">
        <w:rPr>
          <w:rFonts w:ascii="Arial" w:hAnsi="Arial" w:cs="Arial"/>
          <w:bCs/>
          <w:i/>
          <w:iCs/>
          <w:sz w:val="21"/>
          <w:szCs w:val="21"/>
        </w:rPr>
        <w:t xml:space="preserve">“Régimen de la liquidación. El régimen aplicable a la liquidación de la Comisión para el Esclarecimiento de la Verdad, la Convivencia y la No Repetición en Liquidación, en los aspectos no contemplados por el presente decreto o por el Decreto-Ley 588 de 2017, será el previsto en el Decreto-Ley 254 de 2000 con las modificaciones de la Ley 1105 de 2006 y en cuanto sean compatibles con la naturaleza de la entidad, se </w:t>
      </w:r>
      <w:r w:rsidRPr="001E25FD">
        <w:rPr>
          <w:rFonts w:ascii="Arial" w:hAnsi="Arial" w:cs="Arial"/>
          <w:bCs/>
          <w:i/>
          <w:iCs/>
          <w:sz w:val="21"/>
          <w:szCs w:val="21"/>
        </w:rPr>
        <w:lastRenderedPageBreak/>
        <w:t xml:space="preserve">aplicarán en lo pertinente las disposiciones sobre liquidación del Estatuto Orgánico del Sistema Financiero y las normas que lo desarrollan.” </w:t>
      </w:r>
    </w:p>
    <w:p w14:paraId="4DFAEEC9" w14:textId="77777777" w:rsidR="00672A28" w:rsidRPr="001E25FD" w:rsidRDefault="00672A28" w:rsidP="006D551F">
      <w:pPr>
        <w:spacing w:after="0" w:line="240" w:lineRule="auto"/>
        <w:ind w:left="709" w:right="709"/>
        <w:jc w:val="both"/>
        <w:rPr>
          <w:rFonts w:ascii="Arial" w:hAnsi="Arial" w:cs="Arial"/>
          <w:bCs/>
          <w:sz w:val="21"/>
          <w:szCs w:val="21"/>
        </w:rPr>
      </w:pPr>
    </w:p>
    <w:p w14:paraId="2EA78590" w14:textId="2F8CC24F" w:rsidR="00672A28" w:rsidRPr="001E25FD" w:rsidRDefault="00672A28"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 xml:space="preserve">De acuerdo con esta norma, entendemos que la Comisión en liquidación, mantendrá su régimen legal propio y en cuanto a los actos que no fueren administrativos y contratos continuará rigiéndose por las normas contenidas en la Constitución, en sus reglamentos y en las normas de derecho privado y específicamente para los temas de liquidación se sujetará a lo previsto en el Decreto-Ley 254 de 2000 con las modificaciones de la Ley 1105 de 2006. </w:t>
      </w:r>
    </w:p>
    <w:p w14:paraId="6BBBB868" w14:textId="77777777" w:rsidR="00672A28" w:rsidRPr="001E25FD" w:rsidRDefault="00672A28" w:rsidP="006D551F">
      <w:pPr>
        <w:spacing w:after="0" w:line="240" w:lineRule="auto"/>
        <w:ind w:left="709" w:right="709"/>
        <w:jc w:val="both"/>
        <w:rPr>
          <w:rFonts w:ascii="Arial" w:hAnsi="Arial" w:cs="Arial"/>
          <w:bCs/>
          <w:sz w:val="21"/>
          <w:szCs w:val="21"/>
        </w:rPr>
      </w:pPr>
    </w:p>
    <w:p w14:paraId="1B9E587B" w14:textId="77777777" w:rsidR="00672A28" w:rsidRPr="001E25FD" w:rsidRDefault="00672A28" w:rsidP="006D551F">
      <w:pPr>
        <w:spacing w:after="0" w:line="240" w:lineRule="auto"/>
        <w:ind w:left="709" w:right="709"/>
        <w:jc w:val="both"/>
        <w:rPr>
          <w:rFonts w:ascii="Arial" w:hAnsi="Arial" w:cs="Arial"/>
          <w:bCs/>
          <w:i/>
          <w:iCs/>
          <w:sz w:val="21"/>
          <w:szCs w:val="21"/>
        </w:rPr>
      </w:pPr>
      <w:r w:rsidRPr="001E25FD">
        <w:rPr>
          <w:rFonts w:ascii="Arial" w:hAnsi="Arial" w:cs="Arial"/>
          <w:bCs/>
          <w:sz w:val="21"/>
          <w:szCs w:val="21"/>
        </w:rPr>
        <w:t>Por su parte, el artículo 4 del Decreto 1776 de 2002, dispone como función del liquidador la de “</w:t>
      </w:r>
      <w:r w:rsidRPr="001E25FD">
        <w:rPr>
          <w:rFonts w:ascii="Arial" w:hAnsi="Arial" w:cs="Arial"/>
          <w:bCs/>
          <w:i/>
          <w:iCs/>
          <w:sz w:val="21"/>
          <w:szCs w:val="21"/>
        </w:rPr>
        <w:t xml:space="preserve">9). Celebrar los actos y contratos requeridos para el debido desarrollo de la liquidación” </w:t>
      </w:r>
      <w:r w:rsidRPr="001E25FD">
        <w:rPr>
          <w:rFonts w:ascii="Arial" w:hAnsi="Arial" w:cs="Arial"/>
          <w:bCs/>
          <w:sz w:val="21"/>
          <w:szCs w:val="21"/>
        </w:rPr>
        <w:t xml:space="preserve">y el artículo 6, establece que: </w:t>
      </w:r>
      <w:r w:rsidRPr="001E25FD">
        <w:rPr>
          <w:rFonts w:ascii="Arial" w:hAnsi="Arial" w:cs="Arial"/>
          <w:bCs/>
          <w:i/>
          <w:iCs/>
          <w:sz w:val="21"/>
          <w:szCs w:val="21"/>
        </w:rPr>
        <w:t>“El liquidador podrá contratar personas especializadas para la realización de las diversas actividades propias del proceso de liquidación, con empresas temporales o de servicios técnicos o administrativos, cuando las necesidades de la liquidación lo requieran”</w:t>
      </w:r>
    </w:p>
    <w:p w14:paraId="24B53356" w14:textId="77777777" w:rsidR="00672A28" w:rsidRPr="001E25FD" w:rsidRDefault="00672A28" w:rsidP="006D551F">
      <w:pPr>
        <w:spacing w:after="0" w:line="240" w:lineRule="auto"/>
        <w:ind w:left="709" w:right="709"/>
        <w:jc w:val="both"/>
        <w:rPr>
          <w:rFonts w:ascii="Arial" w:hAnsi="Arial" w:cs="Arial"/>
          <w:bCs/>
          <w:i/>
          <w:iCs/>
          <w:sz w:val="21"/>
          <w:szCs w:val="21"/>
        </w:rPr>
      </w:pPr>
    </w:p>
    <w:p w14:paraId="567F3D1D" w14:textId="77777777" w:rsidR="00672A28" w:rsidRPr="001E25FD" w:rsidRDefault="00672A28"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Bajo este marco, se consulta, si el liquidador puede celebrar los contratos de prestación de servicios profesionales o de apoyo a la gestión con persona natural o jurídica que estime necesarios para llevar a cabo la liquidación en los términos del Decreto 1776 de 2022, o si de acuerdo con lo establecido en dicho decreto, podría únicamente contratar personal a través de empresas temporales o de servicios técnicos o administrativos.</w:t>
      </w:r>
    </w:p>
    <w:p w14:paraId="6A585753" w14:textId="77777777" w:rsidR="00672A28" w:rsidRPr="001E25FD" w:rsidRDefault="00672A28"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 xml:space="preserve"> </w:t>
      </w:r>
    </w:p>
    <w:p w14:paraId="37CE7226" w14:textId="33B34F48" w:rsidR="00672A28" w:rsidRPr="001E25FD" w:rsidRDefault="00672A28"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De igual manera se consulta si los contratos que requiera celebrar la entidad, conservan el régimen de derecho privado y pueden ser adelantados bajo el último manual de contratación de la Comisión de la Verdad o de un nuevo Manual de Contratación, en caso de que este se requiera</w:t>
      </w:r>
      <w:r w:rsidR="002D02EF" w:rsidRPr="001E25FD">
        <w:rPr>
          <w:rFonts w:ascii="Arial" w:hAnsi="Arial" w:cs="Arial"/>
          <w:bCs/>
          <w:sz w:val="21"/>
          <w:szCs w:val="21"/>
        </w:rPr>
        <w:t>.</w:t>
      </w:r>
    </w:p>
    <w:p w14:paraId="3875CC47" w14:textId="77777777" w:rsidR="00DA371B" w:rsidRPr="001E25FD" w:rsidRDefault="00DA371B" w:rsidP="00B7240D">
      <w:pPr>
        <w:spacing w:after="0" w:line="276" w:lineRule="auto"/>
        <w:jc w:val="both"/>
        <w:rPr>
          <w:rFonts w:ascii="Arial" w:hAnsi="Arial" w:cs="Arial"/>
          <w:bCs/>
        </w:rPr>
      </w:pPr>
    </w:p>
    <w:p w14:paraId="124D2DCA" w14:textId="77777777" w:rsidR="00DD5B04" w:rsidRPr="001E25F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1E25FD">
        <w:rPr>
          <w:rFonts w:ascii="Arial" w:eastAsia="Calibri" w:hAnsi="Arial" w:cs="Arial"/>
          <w:b/>
          <w:color w:val="000000" w:themeColor="text1"/>
          <w:sz w:val="22"/>
          <w:lang w:val="es-ES_tradnl"/>
        </w:rPr>
        <w:t>Consideraciones</w:t>
      </w:r>
    </w:p>
    <w:p w14:paraId="395997FF" w14:textId="77777777" w:rsidR="00621981" w:rsidRPr="001E25FD" w:rsidRDefault="00621981" w:rsidP="00B7240D">
      <w:pPr>
        <w:spacing w:after="0" w:line="276" w:lineRule="auto"/>
        <w:jc w:val="both"/>
        <w:rPr>
          <w:rFonts w:ascii="Arial" w:hAnsi="Arial" w:cs="Arial"/>
          <w:color w:val="000000" w:themeColor="text1"/>
        </w:rPr>
      </w:pPr>
    </w:p>
    <w:p w14:paraId="2E4D4779" w14:textId="77777777" w:rsidR="00051A19" w:rsidRPr="001E25FD" w:rsidRDefault="00051A19" w:rsidP="00051A19">
      <w:pPr>
        <w:spacing w:after="120" w:line="276" w:lineRule="auto"/>
        <w:jc w:val="both"/>
        <w:rPr>
          <w:rFonts w:ascii="Arial" w:hAnsi="Arial" w:cs="Arial"/>
          <w:bCs/>
          <w:color w:val="000000" w:themeColor="text1"/>
          <w:lang w:val="es-ES_tradnl"/>
        </w:rPr>
      </w:pPr>
      <w:r w:rsidRPr="001E25FD">
        <w:rPr>
          <w:rFonts w:ascii="Arial" w:hAnsi="Arial" w:cs="Arial"/>
          <w:bCs/>
          <w:color w:val="000000" w:themeColor="text1"/>
          <w:lang w:val="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2" w:name="_Hlk61701014"/>
      <w:r w:rsidRPr="001E25FD">
        <w:rPr>
          <w:rFonts w:ascii="Arial" w:hAnsi="Arial" w:cs="Arial"/>
          <w:bCs/>
          <w:color w:val="000000" w:themeColor="text1"/>
          <w:lang w:val="es-ES_tradnl"/>
        </w:rPr>
        <w:t xml:space="preserve">Es necesario tener en cuenta que </w:t>
      </w:r>
      <w:bookmarkStart w:id="3" w:name="_Hlk61026958"/>
      <w:r w:rsidRPr="001E25FD">
        <w:rPr>
          <w:rFonts w:ascii="Arial" w:hAnsi="Arial" w:cs="Arial"/>
          <w:bCs/>
          <w:color w:val="000000" w:themeColor="text1"/>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65BBBE1A" w14:textId="77777777" w:rsidR="00051A19" w:rsidRPr="001E25FD" w:rsidRDefault="00051A19" w:rsidP="00051A19">
      <w:pPr>
        <w:spacing w:after="120" w:line="276" w:lineRule="auto"/>
        <w:ind w:firstLine="709"/>
        <w:jc w:val="both"/>
        <w:rPr>
          <w:rFonts w:ascii="Arial" w:hAnsi="Arial" w:cs="Arial"/>
          <w:bCs/>
          <w:color w:val="000000" w:themeColor="text1"/>
          <w:lang w:val="es-ES_tradnl"/>
        </w:rPr>
      </w:pPr>
      <w:r w:rsidRPr="001E25FD">
        <w:rPr>
          <w:rFonts w:ascii="Arial" w:hAnsi="Arial" w:cs="Arial"/>
          <w:bCs/>
          <w:color w:val="000000" w:themeColor="text1"/>
          <w:lang w:val="es-ES_tradnl"/>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E25FD">
        <w:rPr>
          <w:rFonts w:ascii="Arial" w:hAnsi="Arial" w:cs="Arial"/>
          <w:bCs/>
          <w:color w:val="000000" w:themeColor="text1"/>
          <w:vertAlign w:val="superscript"/>
          <w:lang w:val="es-ES_tradnl"/>
        </w:rPr>
        <w:footnoteReference w:id="2"/>
      </w:r>
      <w:r w:rsidRPr="001E25FD">
        <w:rPr>
          <w:rFonts w:ascii="Arial" w:hAnsi="Arial" w:cs="Arial"/>
          <w:bCs/>
          <w:color w:val="000000" w:themeColor="text1"/>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3"/>
      <w:r w:rsidRPr="001E25FD">
        <w:rPr>
          <w:rFonts w:ascii="Arial" w:hAnsi="Arial" w:cs="Arial"/>
          <w:bCs/>
          <w:color w:val="000000" w:themeColor="text1"/>
          <w:lang w:val="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p w14:paraId="6E78E0C8" w14:textId="77777777" w:rsidR="00051A19" w:rsidRPr="001E25FD" w:rsidRDefault="00051A19" w:rsidP="00051A19">
      <w:pPr>
        <w:spacing w:after="120" w:line="276" w:lineRule="auto"/>
        <w:ind w:firstLine="709"/>
        <w:jc w:val="both"/>
        <w:rPr>
          <w:rFonts w:ascii="Arial" w:hAnsi="Arial" w:cs="Arial"/>
          <w:bCs/>
          <w:color w:val="000000" w:themeColor="text1"/>
          <w:lang w:val="es-ES_tradnl"/>
        </w:rPr>
      </w:pPr>
      <w:r w:rsidRPr="001E25FD">
        <w:rPr>
          <w:rFonts w:ascii="Arial" w:hAnsi="Arial" w:cs="Arial"/>
          <w:bCs/>
          <w:color w:val="000000" w:themeColor="text1"/>
          <w:lang w:val="es-ES_tradnl"/>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  los conceptos emitidos por las autoridades como respuestas a peticiones realizadas en ejercicio del derecho a formular consultas no serán de obligatorio cumplimiento o ejecución».  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w:t>
      </w:r>
      <w:r w:rsidRPr="001E25FD">
        <w:rPr>
          <w:rFonts w:ascii="Arial" w:hAnsi="Arial" w:cs="Arial"/>
          <w:bCs/>
          <w:color w:val="000000" w:themeColor="text1"/>
          <w:lang w:val="es-ES_tradnl"/>
        </w:rPr>
        <w:lastRenderedPageBreak/>
        <w:t>que solicita la consulta, circunstancia que no descarta interpretaciones diferentes y, mucho menos, valida la del peticionario, ya que las competencias consultivas no lo permiten</w:t>
      </w:r>
      <w:r w:rsidRPr="001E25FD">
        <w:rPr>
          <w:rFonts w:ascii="Arial" w:hAnsi="Arial" w:cs="Arial"/>
          <w:bCs/>
          <w:color w:val="000000" w:themeColor="text1"/>
          <w:vertAlign w:val="superscript"/>
          <w:lang w:val="es-ES_tradnl"/>
        </w:rPr>
        <w:footnoteReference w:id="3"/>
      </w:r>
      <w:r w:rsidRPr="001E25FD">
        <w:rPr>
          <w:rFonts w:ascii="Arial" w:hAnsi="Arial" w:cs="Arial"/>
          <w:bCs/>
          <w:color w:val="000000" w:themeColor="text1"/>
          <w:lang w:val="es-ES_tradnl"/>
        </w:rPr>
        <w:t>.</w:t>
      </w:r>
    </w:p>
    <w:p w14:paraId="48BD4732" w14:textId="65097CA0" w:rsidR="00051A19" w:rsidRPr="001E25FD" w:rsidRDefault="00051A19" w:rsidP="00051A19">
      <w:pPr>
        <w:spacing w:after="120" w:line="276" w:lineRule="auto"/>
        <w:ind w:firstLine="709"/>
        <w:jc w:val="both"/>
        <w:rPr>
          <w:rFonts w:ascii="Arial" w:hAnsi="Arial" w:cs="Arial"/>
          <w:bCs/>
          <w:color w:val="000000" w:themeColor="text1"/>
          <w:lang w:val="es-ES_tradnl"/>
        </w:rPr>
      </w:pPr>
      <w:r w:rsidRPr="001E25FD">
        <w:rPr>
          <w:rFonts w:ascii="Arial" w:hAnsi="Arial" w:cs="Arial"/>
          <w:bCs/>
          <w:color w:val="000000" w:themeColor="text1"/>
          <w:lang w:val="es-ES_tradnl"/>
        </w:rPr>
        <w:t>Sin perjuicio de lo anterior, dentro de los límites de las atribuciones de la función consultiva atribuida a esta entidad, esto es, interpretando de manera general las normas relevantes, la Agencia absolverá los interrogantes formulados, previo análisis de</w:t>
      </w:r>
      <w:r w:rsidR="00983FA5">
        <w:rPr>
          <w:rFonts w:ascii="Arial" w:hAnsi="Arial" w:cs="Arial"/>
          <w:bCs/>
          <w:color w:val="000000" w:themeColor="text1"/>
          <w:lang w:val="es-ES_tradnl"/>
        </w:rPr>
        <w:t>l</w:t>
      </w:r>
      <w:r w:rsidRPr="001E25FD">
        <w:rPr>
          <w:rFonts w:ascii="Arial" w:hAnsi="Arial" w:cs="Arial"/>
          <w:bCs/>
          <w:color w:val="000000" w:themeColor="text1"/>
          <w:lang w:val="es-ES_tradnl"/>
        </w:rPr>
        <w:t xml:space="preserve"> siguiente tema: i) </w:t>
      </w:r>
      <w:r w:rsidR="005D02AE" w:rsidRPr="001E25FD">
        <w:rPr>
          <w:rFonts w:ascii="Arial" w:hAnsi="Arial" w:cs="Arial"/>
          <w:bCs/>
          <w:color w:val="000000" w:themeColor="text1"/>
        </w:rPr>
        <w:t>l</w:t>
      </w:r>
      <w:r w:rsidRPr="001E25FD">
        <w:rPr>
          <w:rFonts w:ascii="Arial" w:hAnsi="Arial" w:cs="Arial"/>
          <w:bCs/>
          <w:color w:val="000000" w:themeColor="text1"/>
        </w:rPr>
        <w:t>os regímenes especiales de contratación y la libertad de configuración de los manuales internos de contratación</w:t>
      </w:r>
      <w:r w:rsidR="00983FA5">
        <w:rPr>
          <w:rFonts w:ascii="Arial" w:hAnsi="Arial" w:cs="Arial"/>
          <w:bCs/>
          <w:color w:val="000000" w:themeColor="text1"/>
          <w:lang w:val="es-ES_tradnl"/>
        </w:rPr>
        <w:t xml:space="preserve">. </w:t>
      </w:r>
    </w:p>
    <w:p w14:paraId="6E8FD1DB" w14:textId="77777777" w:rsidR="00AE2FD2" w:rsidRDefault="00051A19" w:rsidP="00AE2FD2">
      <w:pPr>
        <w:pStyle w:val="Textoindependiente"/>
        <w:ind w:firstLine="709"/>
        <w:jc w:val="both"/>
        <w:rPr>
          <w:rFonts w:ascii="Arial" w:eastAsia="Calibri" w:hAnsi="Arial" w:cs="Arial"/>
          <w:bCs/>
          <w:color w:val="000000" w:themeColor="text1"/>
          <w:lang w:eastAsia="en-US"/>
        </w:rPr>
      </w:pPr>
      <w:r w:rsidRPr="001E25FD">
        <w:rPr>
          <w:rFonts w:ascii="Arial" w:eastAsia="Calibri" w:hAnsi="Arial" w:cs="Arial"/>
          <w:bCs/>
          <w:color w:val="000000" w:themeColor="text1"/>
          <w:lang w:eastAsia="en-US"/>
        </w:rPr>
        <w:t>La Agencia Nacional de Contratación Pública – Colombia Compra Eficiente en los conceptos del 24 de diciembre de 2019 –radicado No. 4201913000007479–, así como los conceptos C-027 del 13 de febrero de 2020, C-179 del 16 de marzo de 2020, C-362 del 03 de julio del año 2020 y C-462 del 24 de julio de 2020, C-093 del 23 de marzo de 2021, C-062 del 13 de marzo de 2021, C-168 del 21 de marzo de 2022</w:t>
      </w:r>
      <w:r w:rsidR="00A2562F" w:rsidRPr="001E25FD">
        <w:rPr>
          <w:rFonts w:ascii="Arial" w:eastAsia="Calibri" w:hAnsi="Arial" w:cs="Arial"/>
          <w:bCs/>
          <w:color w:val="000000" w:themeColor="text1"/>
          <w:lang w:eastAsia="en-US"/>
        </w:rPr>
        <w:t xml:space="preserve">, </w:t>
      </w:r>
      <w:r w:rsidRPr="001E25FD">
        <w:rPr>
          <w:rFonts w:ascii="Arial" w:eastAsia="Calibri" w:hAnsi="Arial" w:cs="Arial"/>
          <w:bCs/>
          <w:color w:val="000000" w:themeColor="text1"/>
          <w:lang w:eastAsia="en-US"/>
        </w:rPr>
        <w:t>C-215 del 22 de abril de 2022</w:t>
      </w:r>
      <w:r w:rsidR="00A2562F" w:rsidRPr="001E25FD">
        <w:rPr>
          <w:rFonts w:ascii="Arial" w:eastAsia="Calibri" w:hAnsi="Arial" w:cs="Arial"/>
          <w:bCs/>
          <w:color w:val="000000" w:themeColor="text1"/>
          <w:lang w:eastAsia="en-US"/>
        </w:rPr>
        <w:t xml:space="preserve"> y C-497 del 24 de agosto del 2022</w:t>
      </w:r>
      <w:r w:rsidRPr="001E25FD">
        <w:rPr>
          <w:rFonts w:ascii="Arial" w:eastAsia="Calibri" w:hAnsi="Arial" w:cs="Arial"/>
          <w:bCs/>
          <w:color w:val="000000" w:themeColor="text1"/>
          <w:lang w:eastAsia="en-US"/>
        </w:rPr>
        <w:t>, se pronunció sobre los regímenes especiales de contratación</w:t>
      </w:r>
      <w:r w:rsidR="00DB209F" w:rsidRPr="001E25FD">
        <w:rPr>
          <w:rFonts w:ascii="Arial" w:eastAsia="Calibri" w:hAnsi="Arial" w:cs="Arial"/>
          <w:bCs/>
          <w:color w:val="000000" w:themeColor="text1"/>
          <w:vertAlign w:val="superscript"/>
          <w:lang w:eastAsia="en-US"/>
        </w:rPr>
        <w:footnoteReference w:id="4"/>
      </w:r>
      <w:r w:rsidR="00DB209F" w:rsidRPr="001E25FD">
        <w:rPr>
          <w:rFonts w:ascii="Arial" w:eastAsia="Calibri" w:hAnsi="Arial" w:cs="Arial"/>
          <w:bCs/>
          <w:color w:val="000000" w:themeColor="text1"/>
          <w:lang w:eastAsia="en-US"/>
        </w:rPr>
        <w:t xml:space="preserve">. Algunos de los argumentos expuestos en estos conceptos se retoman y se complementan a continuación. </w:t>
      </w:r>
    </w:p>
    <w:p w14:paraId="4C055FC7" w14:textId="236B8310" w:rsidR="00DE3B48" w:rsidRPr="00AE2FD2" w:rsidRDefault="00571301" w:rsidP="00AE2FD2">
      <w:pPr>
        <w:pStyle w:val="Textoindependiente"/>
        <w:spacing w:after="0"/>
        <w:ind w:firstLine="709"/>
        <w:jc w:val="both"/>
        <w:rPr>
          <w:rFonts w:ascii="Arial" w:eastAsia="Calibri" w:hAnsi="Arial" w:cs="Arial"/>
          <w:bCs/>
          <w:color w:val="000000" w:themeColor="text1"/>
          <w:lang w:eastAsia="en-US"/>
        </w:rPr>
      </w:pPr>
      <w:r w:rsidRPr="001E25FD">
        <w:rPr>
          <w:rFonts w:ascii="Arial" w:hAnsi="Arial" w:cs="Arial"/>
          <w:bCs/>
          <w:lang w:val="es-ES_tradnl"/>
        </w:rPr>
        <w:tab/>
      </w:r>
    </w:p>
    <w:p w14:paraId="663F100A" w14:textId="61A92354" w:rsidR="00DB209F" w:rsidRPr="001E25FD" w:rsidRDefault="00DB209F" w:rsidP="00AE2FD2">
      <w:pPr>
        <w:spacing w:after="0" w:line="276" w:lineRule="auto"/>
        <w:jc w:val="both"/>
        <w:rPr>
          <w:rFonts w:ascii="Arial" w:hAnsi="Arial" w:cs="Arial"/>
          <w:b/>
          <w:color w:val="000000" w:themeColor="text1"/>
        </w:rPr>
      </w:pPr>
      <w:r w:rsidRPr="001E25FD">
        <w:rPr>
          <w:rFonts w:ascii="Arial" w:hAnsi="Arial" w:cs="Arial"/>
          <w:b/>
          <w:color w:val="000000" w:themeColor="text1"/>
        </w:rPr>
        <w:t xml:space="preserve">2.1. </w:t>
      </w:r>
      <w:r w:rsidR="00A2562F" w:rsidRPr="001E25FD">
        <w:rPr>
          <w:rFonts w:ascii="Arial" w:hAnsi="Arial" w:cs="Arial"/>
          <w:b/>
          <w:color w:val="000000" w:themeColor="text1"/>
        </w:rPr>
        <w:t>Los regímenes especiales de contratación y la libertad de configuración de los manuales internos de contratación</w:t>
      </w:r>
    </w:p>
    <w:p w14:paraId="471054AA" w14:textId="77777777" w:rsidR="00DB209F" w:rsidRPr="001E25FD" w:rsidRDefault="00DB209F" w:rsidP="00AE2FD2">
      <w:pPr>
        <w:spacing w:after="0" w:line="276" w:lineRule="auto"/>
        <w:jc w:val="both"/>
        <w:rPr>
          <w:rFonts w:ascii="Arial" w:hAnsi="Arial" w:cs="Arial"/>
          <w:b/>
          <w:lang w:val="es-ES_tradnl"/>
        </w:rPr>
      </w:pPr>
    </w:p>
    <w:p w14:paraId="4DD9FF57" w14:textId="77777777" w:rsidR="00A2562F" w:rsidRPr="001E25FD" w:rsidRDefault="00A2562F" w:rsidP="00A2562F">
      <w:pPr>
        <w:spacing w:after="0" w:line="276" w:lineRule="auto"/>
        <w:jc w:val="both"/>
        <w:rPr>
          <w:rFonts w:ascii="Arial" w:hAnsi="Arial" w:cs="Arial"/>
          <w:bCs/>
          <w:lang w:val="es-ES"/>
        </w:rPr>
      </w:pPr>
      <w:r w:rsidRPr="001E25FD">
        <w:rPr>
          <w:rFonts w:ascii="Arial" w:hAnsi="Arial" w:cs="Arial"/>
          <w:bCs/>
          <w:lang w:val="es-ES"/>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3F259581" w14:textId="77777777" w:rsidR="00A2562F" w:rsidRPr="001E25FD" w:rsidRDefault="00A2562F" w:rsidP="00A2562F">
      <w:pPr>
        <w:spacing w:before="120" w:after="0" w:line="276" w:lineRule="auto"/>
        <w:jc w:val="both"/>
        <w:rPr>
          <w:rFonts w:ascii="Arial" w:hAnsi="Arial" w:cs="Arial"/>
          <w:bCs/>
          <w:lang w:val="es-ES"/>
        </w:rPr>
      </w:pPr>
      <w:r w:rsidRPr="001E25FD">
        <w:rPr>
          <w:rFonts w:ascii="Arial" w:hAnsi="Arial" w:cs="Arial"/>
          <w:bCs/>
          <w:lang w:val="es-ES"/>
        </w:rPr>
        <w:lastRenderedPageBreak/>
        <w:tab/>
        <w:t>La decisión hito-fundadora</w:t>
      </w:r>
      <w:r w:rsidRPr="001E25FD">
        <w:rPr>
          <w:rFonts w:ascii="Arial" w:hAnsi="Arial" w:cs="Arial"/>
          <w:bCs/>
          <w:vertAlign w:val="superscript"/>
          <w:lang w:val="es-ES"/>
        </w:rPr>
        <w:footnoteReference w:id="5"/>
      </w:r>
      <w:r w:rsidRPr="001E25FD">
        <w:rPr>
          <w:rFonts w:ascii="Arial" w:hAnsi="Arial" w:cs="Arial"/>
          <w:bCs/>
          <w:lang w:val="es-ES"/>
        </w:rPr>
        <w:t xml:space="preserve"> en este sentido, de acuerdo con lo señalado por la doctrina</w:t>
      </w:r>
      <w:r w:rsidRPr="001E25FD">
        <w:rPr>
          <w:rFonts w:ascii="Arial" w:hAnsi="Arial" w:cs="Arial"/>
          <w:bCs/>
          <w:vertAlign w:val="superscript"/>
          <w:lang w:val="es-ES"/>
        </w:rPr>
        <w:footnoteReference w:id="6"/>
      </w:r>
      <w:r w:rsidRPr="001E25FD">
        <w:rPr>
          <w:rFonts w:ascii="Arial" w:hAnsi="Arial" w:cs="Arial"/>
          <w:bCs/>
          <w:lang w:val="es-ES"/>
        </w:rPr>
        <w:t>, es un auto del 20 de agosto de 1998 del Consejo de Estado, donde se señaló</w:t>
      </w:r>
      <w:r w:rsidRPr="001E25FD">
        <w:rPr>
          <w:rFonts w:ascii="Arial" w:hAnsi="Arial" w:cs="Arial"/>
          <w:bCs/>
          <w:vertAlign w:val="superscript"/>
          <w:lang w:val="es-ES"/>
        </w:rPr>
        <w:footnoteReference w:id="7"/>
      </w:r>
      <w:r w:rsidRPr="001E25FD">
        <w:rPr>
          <w:rFonts w:ascii="Arial" w:hAnsi="Arial" w:cs="Arial"/>
          <w:bCs/>
          <w:lang w:val="es-ES"/>
        </w:rPr>
        <w:t>:</w:t>
      </w:r>
    </w:p>
    <w:p w14:paraId="1D8275DA" w14:textId="77777777" w:rsidR="00DB209F" w:rsidRPr="001E25FD" w:rsidRDefault="00DB209F" w:rsidP="00245784">
      <w:pPr>
        <w:spacing w:after="0" w:line="276" w:lineRule="auto"/>
        <w:jc w:val="both"/>
        <w:rPr>
          <w:rFonts w:ascii="Arial" w:hAnsi="Arial" w:cs="Arial"/>
          <w:lang w:val="es-ES"/>
        </w:rPr>
      </w:pPr>
    </w:p>
    <w:p w14:paraId="3F95DB7B" w14:textId="77777777" w:rsidR="00A2562F" w:rsidRPr="001E25FD" w:rsidRDefault="00A2562F" w:rsidP="00A2562F">
      <w:pPr>
        <w:spacing w:after="120" w:line="240" w:lineRule="auto"/>
        <w:ind w:left="709" w:right="709"/>
        <w:jc w:val="both"/>
        <w:rPr>
          <w:rFonts w:ascii="Arial" w:hAnsi="Arial" w:cs="Arial"/>
          <w:bCs/>
          <w:sz w:val="21"/>
          <w:szCs w:val="21"/>
          <w:lang w:val="es-ES_tradnl"/>
        </w:rPr>
      </w:pPr>
      <w:r w:rsidRPr="001E25FD">
        <w:rPr>
          <w:rFonts w:ascii="Arial" w:hAnsi="Arial" w:cs="Arial"/>
          <w:bCs/>
          <w:sz w:val="21"/>
          <w:szCs w:val="21"/>
          <w:lang w:val="es-ES_tradnl"/>
        </w:rPr>
        <w:t>A juicio de la Sala es preciso reconocer que en las diversas regulaciones normativas sobre contratación de la administración pública, es posible identificar dos grandes categorías de actos contractuales:</w:t>
      </w:r>
    </w:p>
    <w:p w14:paraId="7311C370" w14:textId="77777777" w:rsidR="00A2562F" w:rsidRPr="001E25FD" w:rsidRDefault="00A2562F" w:rsidP="00A2562F">
      <w:pPr>
        <w:spacing w:after="120" w:line="240" w:lineRule="auto"/>
        <w:ind w:left="709" w:right="709"/>
        <w:jc w:val="both"/>
        <w:rPr>
          <w:rFonts w:ascii="Arial" w:hAnsi="Arial" w:cs="Arial"/>
          <w:bCs/>
          <w:sz w:val="21"/>
          <w:szCs w:val="21"/>
          <w:lang w:val="es-ES_tradnl"/>
        </w:rPr>
      </w:pPr>
      <w:r w:rsidRPr="001E25FD">
        <w:rPr>
          <w:rFonts w:ascii="Arial" w:hAnsi="Arial" w:cs="Arial"/>
          <w:bCs/>
          <w:sz w:val="21"/>
          <w:szCs w:val="21"/>
          <w:lang w:val="es-ES_tradnl"/>
        </w:rPr>
        <w:t>1ª Contratos estatales, propiamente dichos, que son aquellos que celebran las entidades públicas a que se refiere la ley 80 de 1993, y que por ende se regulan íntegramente por el régimen establecido en esta ley.  Por regla general, adquieren este carácter en razón del ente público contratante, es decir, se definen desde el punto de vista orgánico. Las controversias que se deriven de este tipo de contratos y de los procesos de ejecución o cumplimiento serán de conocimiento de la jurisdicción contenciosa administrativa.</w:t>
      </w:r>
    </w:p>
    <w:p w14:paraId="0B83A404" w14:textId="77777777" w:rsidR="00A2562F" w:rsidRPr="001E25FD" w:rsidRDefault="00A2562F" w:rsidP="00A2562F">
      <w:pPr>
        <w:spacing w:after="120" w:line="240" w:lineRule="auto"/>
        <w:ind w:left="709" w:right="709"/>
        <w:jc w:val="both"/>
        <w:rPr>
          <w:rFonts w:ascii="Arial" w:hAnsi="Arial" w:cs="Arial"/>
          <w:bCs/>
          <w:sz w:val="21"/>
          <w:szCs w:val="21"/>
          <w:lang w:val="es-ES_tradnl"/>
        </w:rPr>
      </w:pPr>
      <w:r w:rsidRPr="001E25FD">
        <w:rPr>
          <w:rFonts w:ascii="Arial" w:hAnsi="Arial" w:cs="Arial"/>
          <w:bCs/>
          <w:sz w:val="21"/>
          <w:szCs w:val="21"/>
          <w:lang w:val="es-ES_tradnl"/>
        </w:rPr>
        <w:t>2ª Contratos especiales sujetos a un régimen legal propio. Por regla general, el juez a quien compete conocer de sus controversias es el juez administrativo, en razón de que su celebración y ejecución constituye una actividad reglada, es decir, es el ejercicio pleno de una función administrativa, de conformidad con el art. 82 del C.C.A. antes referido.</w:t>
      </w:r>
    </w:p>
    <w:p w14:paraId="67BC2CB5" w14:textId="77777777" w:rsidR="00DB209F" w:rsidRPr="001E25FD" w:rsidRDefault="00DB209F" w:rsidP="00F008EF">
      <w:pPr>
        <w:spacing w:after="0" w:line="240" w:lineRule="auto"/>
        <w:jc w:val="both"/>
        <w:rPr>
          <w:rFonts w:ascii="Arial" w:hAnsi="Arial" w:cs="Arial"/>
          <w:lang w:val="es-ES"/>
        </w:rPr>
      </w:pPr>
      <w:r w:rsidRPr="001E25FD">
        <w:rPr>
          <w:rFonts w:ascii="Arial" w:hAnsi="Arial" w:cs="Arial"/>
          <w:lang w:val="es-ES"/>
        </w:rPr>
        <w:tab/>
      </w:r>
    </w:p>
    <w:p w14:paraId="5E992092" w14:textId="77777777" w:rsidR="00A2562F" w:rsidRPr="001E25FD" w:rsidRDefault="00A2562F" w:rsidP="00A2562F">
      <w:pPr>
        <w:spacing w:after="0" w:line="276" w:lineRule="auto"/>
        <w:ind w:firstLine="680"/>
        <w:jc w:val="both"/>
        <w:rPr>
          <w:rFonts w:ascii="Arial" w:hAnsi="Arial" w:cs="Arial"/>
          <w:bCs/>
          <w:lang w:val="es-ES"/>
        </w:rPr>
      </w:pPr>
      <w:r w:rsidRPr="001E25FD">
        <w:rPr>
          <w:rFonts w:ascii="Arial" w:hAnsi="Arial" w:cs="Arial"/>
          <w:bCs/>
          <w:lang w:val="es-ES"/>
        </w:rPr>
        <w:t xml:space="preserve">El Consejo de Estado identificó la existencia de un único tipo de contrato: </w:t>
      </w:r>
      <w:r w:rsidRPr="001E25FD">
        <w:rPr>
          <w:rFonts w:ascii="Arial" w:hAnsi="Arial" w:cs="Arial"/>
          <w:bCs/>
          <w:i/>
          <w:iCs/>
          <w:lang w:val="es-ES"/>
        </w:rPr>
        <w:t>el contrato estatal</w:t>
      </w:r>
      <w:r w:rsidRPr="001E25FD">
        <w:rPr>
          <w:rFonts w:ascii="Arial" w:hAnsi="Arial" w:cs="Arial"/>
          <w:bCs/>
          <w:lang w:val="es-ES"/>
        </w:rPr>
        <w:t>; pero dos grandes categorías que responden a su régimen jurídico: contrato estatal con un régimen jurídico de derecho público-administrativo y contrato estatal con un régimen jurídico especial, por regla general de derecho privado.</w:t>
      </w:r>
    </w:p>
    <w:p w14:paraId="338375B4" w14:textId="77777777" w:rsidR="00A2562F" w:rsidRPr="001E25FD" w:rsidRDefault="00A2562F" w:rsidP="00A2562F">
      <w:pPr>
        <w:spacing w:before="120" w:after="0" w:line="276" w:lineRule="auto"/>
        <w:ind w:firstLine="680"/>
        <w:jc w:val="both"/>
        <w:rPr>
          <w:rFonts w:ascii="Arial" w:hAnsi="Arial" w:cs="Arial"/>
          <w:bCs/>
          <w:lang w:val="es-ES"/>
        </w:rPr>
      </w:pPr>
      <w:r w:rsidRPr="001E25FD">
        <w:rPr>
          <w:rFonts w:ascii="Arial" w:hAnsi="Arial" w:cs="Arial"/>
          <w:bCs/>
          <w:lang w:val="es-E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55474D1C" w14:textId="38E98B3A" w:rsidR="00A2562F" w:rsidRPr="001E25FD" w:rsidRDefault="00A2562F" w:rsidP="00A2562F">
      <w:pPr>
        <w:spacing w:before="120" w:after="0" w:line="276" w:lineRule="auto"/>
        <w:ind w:firstLine="680"/>
        <w:jc w:val="both"/>
        <w:rPr>
          <w:rFonts w:ascii="Arial" w:hAnsi="Arial" w:cs="Arial"/>
          <w:bCs/>
          <w:lang w:val="es-ES"/>
        </w:rPr>
      </w:pPr>
      <w:r w:rsidRPr="001E25FD">
        <w:rPr>
          <w:rFonts w:ascii="Arial" w:hAnsi="Arial" w:cs="Arial"/>
          <w:bCs/>
          <w:lang w:val="es-ES"/>
        </w:rPr>
        <w:lastRenderedPageBreak/>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1E25FD">
        <w:rPr>
          <w:rFonts w:ascii="Arial" w:hAnsi="Arial" w:cs="Arial"/>
          <w:bCs/>
          <w:vertAlign w:val="superscript"/>
          <w:lang w:val="es-ES"/>
        </w:rPr>
        <w:footnoteReference w:id="8"/>
      </w:r>
      <w:r w:rsidRPr="001E25FD">
        <w:rPr>
          <w:rFonts w:ascii="Arial" w:hAnsi="Arial" w:cs="Arial"/>
          <w:bCs/>
          <w:lang w:val="es-ES"/>
        </w:rPr>
        <w:t xml:space="preserve">, que establece un régimen especial en razón de la consideración que merece el objeto a contratar. Otro ejemplo se encuentra en el Decreto 544 de 2020, que establece el régimen de contratación del derecho privado, para los contratos que «tengan por objeto la adquisición en el mercado internacional de los elementos que a continuación se indican […]». </w:t>
      </w:r>
    </w:p>
    <w:p w14:paraId="2B661965" w14:textId="77777777" w:rsidR="00A2562F" w:rsidRPr="001E25FD" w:rsidRDefault="00A2562F" w:rsidP="00A2562F">
      <w:pPr>
        <w:spacing w:before="120" w:after="0" w:line="276" w:lineRule="auto"/>
        <w:ind w:firstLine="680"/>
        <w:jc w:val="both"/>
        <w:rPr>
          <w:rFonts w:ascii="Arial" w:hAnsi="Arial" w:cs="Arial"/>
          <w:bCs/>
          <w:lang w:val="es-ES"/>
        </w:rPr>
      </w:pPr>
      <w:r w:rsidRPr="001E25FD">
        <w:rPr>
          <w:rFonts w:ascii="Arial" w:hAnsi="Arial" w:cs="Arial"/>
          <w:bCs/>
          <w:lang w:val="es-E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06E8F297" w14:textId="77777777" w:rsidR="00A2562F" w:rsidRPr="001E25FD" w:rsidRDefault="00A2562F" w:rsidP="00A2562F">
      <w:pPr>
        <w:spacing w:before="120" w:after="0" w:line="276" w:lineRule="auto"/>
        <w:ind w:firstLine="680"/>
        <w:jc w:val="both"/>
        <w:rPr>
          <w:rFonts w:ascii="Arial" w:hAnsi="Arial" w:cs="Arial"/>
          <w:bCs/>
          <w:lang w:val="es-ES"/>
        </w:rPr>
      </w:pPr>
      <w:r w:rsidRPr="001E25FD">
        <w:rPr>
          <w:rFonts w:ascii="Arial" w:hAnsi="Arial" w:cs="Arial"/>
          <w:bCs/>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31AF357E" w14:textId="77777777" w:rsidR="00A2562F" w:rsidRPr="001E25FD" w:rsidRDefault="00A2562F" w:rsidP="00A2562F">
      <w:pPr>
        <w:spacing w:before="120" w:after="0" w:line="276" w:lineRule="auto"/>
        <w:ind w:firstLine="680"/>
        <w:jc w:val="both"/>
        <w:rPr>
          <w:rFonts w:ascii="Arial" w:hAnsi="Arial" w:cs="Arial"/>
          <w:bCs/>
          <w:lang w:val="es-ES"/>
        </w:rPr>
      </w:pPr>
      <w:r w:rsidRPr="001E25FD">
        <w:rPr>
          <w:rFonts w:ascii="Arial" w:hAnsi="Arial" w:cs="Arial"/>
          <w:bCs/>
          <w:lang w:val="es-E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71D5CE1C" w14:textId="3251077A" w:rsidR="00A2562F" w:rsidRPr="001E25FD" w:rsidRDefault="00A2562F" w:rsidP="00C0287A">
      <w:pPr>
        <w:spacing w:after="0" w:line="276" w:lineRule="auto"/>
        <w:ind w:firstLine="680"/>
        <w:jc w:val="both"/>
        <w:rPr>
          <w:rFonts w:ascii="Arial" w:hAnsi="Arial" w:cs="Arial"/>
          <w:lang w:val="es-ES"/>
        </w:rPr>
      </w:pPr>
    </w:p>
    <w:p w14:paraId="4E200CEF" w14:textId="77777777" w:rsidR="00A2562F" w:rsidRPr="001E25FD" w:rsidRDefault="00A2562F" w:rsidP="004B3A5A">
      <w:pPr>
        <w:spacing w:after="0" w:line="240" w:lineRule="auto"/>
        <w:ind w:left="709" w:right="709"/>
        <w:jc w:val="both"/>
        <w:rPr>
          <w:rFonts w:ascii="Arial" w:hAnsi="Arial" w:cs="Arial"/>
          <w:bCs/>
          <w:sz w:val="21"/>
          <w:szCs w:val="21"/>
          <w:lang w:val="es-ES_tradnl"/>
        </w:rPr>
      </w:pPr>
      <w:r w:rsidRPr="001E25FD">
        <w:rPr>
          <w:rFonts w:ascii="Arial" w:hAnsi="Arial" w:cs="Arial"/>
          <w:bCs/>
          <w:sz w:val="21"/>
          <w:szCs w:val="21"/>
          <w:lang w:val="es-ES_tradnl"/>
        </w:rPr>
        <w:lastRenderedPageBreak/>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1E25FD">
          <w:rPr>
            <w:rFonts w:ascii="Arial" w:hAnsi="Arial" w:cs="Arial"/>
            <w:bCs/>
            <w:sz w:val="21"/>
            <w:szCs w:val="21"/>
            <w:lang w:val="es-ES_tradnl"/>
          </w:rPr>
          <w:t>209</w:t>
        </w:r>
      </w:hyperlink>
      <w:r w:rsidRPr="001E25FD">
        <w:rPr>
          <w:rFonts w:ascii="Arial" w:hAnsi="Arial" w:cs="Arial"/>
          <w:bCs/>
          <w:sz w:val="21"/>
          <w:szCs w:val="21"/>
          <w:lang w:val="es-ES_tradnl"/>
        </w:rPr>
        <w:t> y </w:t>
      </w:r>
      <w:hyperlink r:id="rId13" w:anchor="267" w:history="1">
        <w:r w:rsidRPr="001E25FD">
          <w:rPr>
            <w:rFonts w:ascii="Arial" w:hAnsi="Arial" w:cs="Arial"/>
            <w:bCs/>
            <w:sz w:val="21"/>
            <w:szCs w:val="21"/>
            <w:lang w:val="es-ES_tradnl"/>
          </w:rPr>
          <w:t>267</w:t>
        </w:r>
      </w:hyperlink>
      <w:r w:rsidRPr="001E25FD">
        <w:rPr>
          <w:rFonts w:ascii="Arial" w:hAnsi="Arial" w:cs="Arial"/>
          <w:bCs/>
          <w:sz w:val="21"/>
          <w:szCs w:val="21"/>
          <w:lang w:val="es-ES_tradnl"/>
        </w:rPr>
        <w:t> de la Constitución Política, respectivamente según sea el caso y estarán sometidas al régimen de inhabilidades e incompatibilidades previsto legalmente para la contratación estatal.</w:t>
      </w:r>
    </w:p>
    <w:p w14:paraId="69989E2C" w14:textId="77777777" w:rsidR="00A2562F" w:rsidRPr="001E25FD" w:rsidRDefault="00A2562F" w:rsidP="00C0287A">
      <w:pPr>
        <w:spacing w:after="0" w:line="276" w:lineRule="auto"/>
        <w:ind w:firstLine="680"/>
        <w:jc w:val="both"/>
        <w:rPr>
          <w:rFonts w:ascii="Arial" w:hAnsi="Arial" w:cs="Arial"/>
          <w:lang w:val="es-ES"/>
        </w:rPr>
      </w:pPr>
    </w:p>
    <w:p w14:paraId="5A4CDCC4" w14:textId="173E7038" w:rsidR="00A2562F" w:rsidRPr="001E25FD" w:rsidRDefault="00A2562F" w:rsidP="00785420">
      <w:pPr>
        <w:spacing w:after="0" w:line="276" w:lineRule="auto"/>
        <w:ind w:firstLine="680"/>
        <w:jc w:val="both"/>
        <w:rPr>
          <w:rFonts w:ascii="Arial" w:hAnsi="Arial" w:cs="Arial"/>
          <w:bCs/>
          <w:lang w:val="es-ES"/>
        </w:rPr>
      </w:pPr>
      <w:r w:rsidRPr="001E25FD">
        <w:rPr>
          <w:rFonts w:ascii="Arial" w:hAnsi="Arial" w:cs="Arial"/>
          <w:bCs/>
          <w:lang w:val="es-ES"/>
        </w:rPr>
        <w:t xml:space="preserve">De conformidad con lo establecido en este artículo, las entidades estatales que cuenten con un régimen contractual excepcional al del EGCAP, esto es, regímenes especiales, </w:t>
      </w:r>
      <w:bookmarkStart w:id="5" w:name="_Hlk118738599"/>
      <w:r w:rsidRPr="001E25FD">
        <w:rPr>
          <w:rFonts w:ascii="Arial" w:hAnsi="Arial" w:cs="Arial"/>
          <w:bCs/>
          <w:lang w:val="es-ES"/>
        </w:rPr>
        <w:t>«</w:t>
      </w:r>
      <w:bookmarkEnd w:id="5"/>
      <w:r w:rsidRPr="001E25FD">
        <w:rPr>
          <w:rFonts w:ascii="Arial" w:hAnsi="Arial" w:cs="Arial"/>
          <w:bCs/>
          <w:lang w:val="es-ES"/>
        </w:rPr>
        <w:t>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cuando la entidad tenga un régimen especial solamente para cierto tipo de contratos, como es el supuesto del artículo 66 de la Ley 1523 de 2012.</w:t>
      </w:r>
      <w:r w:rsidRPr="001E25FD">
        <w:rPr>
          <w:rFonts w:ascii="Arial" w:hAnsi="Arial" w:cs="Arial"/>
          <w:lang w:val="es-MX"/>
        </w:rPr>
        <w:t xml:space="preserve"> </w:t>
      </w:r>
    </w:p>
    <w:p w14:paraId="51BE3FB7" w14:textId="390852E5" w:rsidR="00A2562F" w:rsidRPr="001E25FD" w:rsidRDefault="00785420" w:rsidP="00A2562F">
      <w:pPr>
        <w:spacing w:before="120" w:after="0" w:line="276" w:lineRule="auto"/>
        <w:ind w:firstLine="680"/>
        <w:jc w:val="both"/>
        <w:rPr>
          <w:rFonts w:ascii="Arial" w:hAnsi="Arial" w:cs="Arial"/>
          <w:lang w:val="es-ES_tradnl"/>
        </w:rPr>
      </w:pPr>
      <w:r w:rsidRPr="001E25FD">
        <w:rPr>
          <w:rFonts w:ascii="Arial" w:hAnsi="Arial" w:cs="Arial"/>
          <w:lang w:val="es-ES_tradnl"/>
        </w:rPr>
        <w:t>En este sentido</w:t>
      </w:r>
      <w:r w:rsidR="00A2562F" w:rsidRPr="001E25FD">
        <w:rPr>
          <w:rFonts w:ascii="Arial" w:hAnsi="Arial" w:cs="Arial"/>
          <w:lang w:val="es-ES_tradnl"/>
        </w:rPr>
        <w:t>, las entidades con régimen especial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w:t>
      </w:r>
      <w:r w:rsidRPr="001E25FD">
        <w:rPr>
          <w:rFonts w:ascii="Arial" w:hAnsi="Arial" w:cs="Arial"/>
          <w:lang w:val="es-ES_tradnl"/>
        </w:rPr>
        <w:t xml:space="preserve">. </w:t>
      </w:r>
    </w:p>
    <w:p w14:paraId="0A9F3AA2" w14:textId="4A7EF483" w:rsidR="00A2562F" w:rsidRPr="001E25FD" w:rsidRDefault="00A2562F" w:rsidP="00A2562F">
      <w:pPr>
        <w:spacing w:before="120" w:after="0" w:line="276" w:lineRule="auto"/>
        <w:ind w:firstLine="680"/>
        <w:jc w:val="both"/>
        <w:rPr>
          <w:rFonts w:ascii="Arial" w:hAnsi="Arial" w:cs="Arial"/>
          <w:lang w:val="es-ES_tradnl"/>
        </w:rPr>
      </w:pPr>
      <w:r w:rsidRPr="001E25FD">
        <w:rPr>
          <w:rFonts w:ascii="Arial" w:hAnsi="Arial" w:cs="Arial"/>
          <w:lang w:val="es-ES_tradnl"/>
        </w:rPr>
        <w:t>Lo anterior es reafirmado por el Consejo de Estado en el caso particular de los manuales de contratación, que contiene algunas reglas que deben seguir las entidades con régimen especial en su actividad contractual:</w:t>
      </w:r>
    </w:p>
    <w:p w14:paraId="03771DEF" w14:textId="77777777" w:rsidR="00A2562F" w:rsidRPr="001E25FD" w:rsidRDefault="00A2562F" w:rsidP="004B3A5A">
      <w:pPr>
        <w:spacing w:after="0" w:line="276" w:lineRule="auto"/>
        <w:ind w:firstLine="680"/>
        <w:jc w:val="both"/>
        <w:rPr>
          <w:rFonts w:ascii="Arial" w:hAnsi="Arial" w:cs="Arial"/>
          <w:lang w:val="es-ES_tradnl"/>
        </w:rPr>
      </w:pPr>
    </w:p>
    <w:p w14:paraId="10B38405" w14:textId="77777777" w:rsidR="00A2562F" w:rsidRPr="001E25FD" w:rsidRDefault="00A2562F" w:rsidP="00A2562F">
      <w:pPr>
        <w:spacing w:after="0" w:line="240" w:lineRule="auto"/>
        <w:ind w:left="709" w:right="709"/>
        <w:jc w:val="both"/>
        <w:rPr>
          <w:rFonts w:ascii="Arial" w:hAnsi="Arial" w:cs="Arial"/>
          <w:bCs/>
          <w:sz w:val="21"/>
          <w:szCs w:val="21"/>
          <w:lang w:val="es-ES_tradnl"/>
        </w:rPr>
      </w:pPr>
      <w:r w:rsidRPr="001E25FD">
        <w:rPr>
          <w:rFonts w:ascii="Arial" w:hAnsi="Arial" w:cs="Arial"/>
          <w:bCs/>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1DC61AC" w14:textId="77777777" w:rsidR="00A2562F" w:rsidRPr="001E25FD" w:rsidRDefault="00A2562F" w:rsidP="00A2562F">
      <w:pPr>
        <w:spacing w:before="120" w:after="0" w:line="240" w:lineRule="auto"/>
        <w:ind w:left="709" w:right="709"/>
        <w:jc w:val="both"/>
        <w:rPr>
          <w:rFonts w:ascii="Arial" w:hAnsi="Arial" w:cs="Arial"/>
          <w:bCs/>
          <w:sz w:val="21"/>
          <w:szCs w:val="21"/>
          <w:lang w:val="es-ES_tradnl"/>
        </w:rPr>
      </w:pPr>
      <w:r w:rsidRPr="001E25FD">
        <w:rPr>
          <w:rFonts w:ascii="Arial" w:hAnsi="Arial" w:cs="Arial"/>
          <w:bCs/>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w:t>
      </w:r>
      <w:r w:rsidRPr="001E25FD">
        <w:rPr>
          <w:rFonts w:ascii="Arial" w:hAnsi="Arial" w:cs="Arial"/>
          <w:bCs/>
          <w:sz w:val="21"/>
          <w:szCs w:val="21"/>
          <w:lang w:val="es-ES_tradnl"/>
        </w:rPr>
        <w:lastRenderedPageBreak/>
        <w:t>a ellas, lo que no siempre se logra conservando intacta la institución privada sino introduciéndole modificaciones</w:t>
      </w:r>
      <w:r w:rsidRPr="001E25FD">
        <w:rPr>
          <w:rFonts w:ascii="Arial" w:hAnsi="Arial" w:cs="Arial"/>
          <w:bCs/>
          <w:sz w:val="21"/>
          <w:szCs w:val="21"/>
          <w:vertAlign w:val="superscript"/>
          <w:lang w:val="es-ES_tradnl"/>
        </w:rPr>
        <w:footnoteReference w:id="9"/>
      </w:r>
      <w:r w:rsidRPr="001E25FD">
        <w:rPr>
          <w:rFonts w:ascii="Arial" w:hAnsi="Arial" w:cs="Arial"/>
          <w:bCs/>
          <w:sz w:val="21"/>
          <w:szCs w:val="21"/>
          <w:vertAlign w:val="superscript"/>
          <w:lang w:val="es-ES_tradnl"/>
        </w:rPr>
        <w:t>.</w:t>
      </w:r>
    </w:p>
    <w:p w14:paraId="19990297" w14:textId="77777777" w:rsidR="00A2562F" w:rsidRPr="001E25FD" w:rsidRDefault="00A2562F" w:rsidP="00785420">
      <w:pPr>
        <w:spacing w:after="0" w:line="276" w:lineRule="auto"/>
        <w:ind w:firstLine="680"/>
        <w:jc w:val="both"/>
        <w:rPr>
          <w:rFonts w:ascii="Arial" w:hAnsi="Arial" w:cs="Arial"/>
          <w:bCs/>
          <w:sz w:val="21"/>
          <w:szCs w:val="21"/>
          <w:lang w:val="es-ES_tradnl"/>
        </w:rPr>
      </w:pPr>
    </w:p>
    <w:p w14:paraId="282D8E40" w14:textId="728EF351" w:rsidR="00A2562F" w:rsidRPr="001E25FD" w:rsidRDefault="00A2562F" w:rsidP="004B0135">
      <w:pPr>
        <w:spacing w:after="0" w:line="276" w:lineRule="auto"/>
        <w:ind w:firstLine="680"/>
        <w:jc w:val="both"/>
        <w:rPr>
          <w:rFonts w:ascii="Arial" w:hAnsi="Arial" w:cs="Arial"/>
          <w:lang w:val="es-ES_tradnl"/>
        </w:rPr>
      </w:pPr>
      <w:r w:rsidRPr="001E25FD">
        <w:rPr>
          <w:rFonts w:ascii="Arial" w:hAnsi="Arial" w:cs="Arial"/>
          <w:lang w:val="es-ES_tradnl"/>
        </w:rPr>
        <w:t xml:space="preserve">Sobre este punto particular es preciso destacar que las entidades estatales sometidas a regímenes especiales </w:t>
      </w:r>
      <w:r w:rsidR="00103EA2">
        <w:rPr>
          <w:rFonts w:ascii="Arial" w:hAnsi="Arial" w:cs="Arial"/>
          <w:lang w:val="es-ES_tradnl"/>
        </w:rPr>
        <w:t>tienen la</w:t>
      </w:r>
      <w:r w:rsidRPr="001E25FD">
        <w:rPr>
          <w:rFonts w:ascii="Arial" w:hAnsi="Arial" w:cs="Arial"/>
          <w:lang w:val="es-ES_tradnl"/>
        </w:rPr>
        <w:t xml:space="preserve"> libertad de configuración del contenido del manual de contratación. Esta libertad se deriva del principio de autonomía de la voluntad reconocida a estas entidades, que les permite establecer la manera en que adelantarán sus procesos de contratación</w:t>
      </w:r>
      <w:r w:rsidRPr="001E25FD">
        <w:rPr>
          <w:rFonts w:ascii="Arial" w:hAnsi="Arial" w:cs="Arial"/>
          <w:vertAlign w:val="superscript"/>
          <w:lang w:val="es-ES_tradnl"/>
        </w:rPr>
        <w:footnoteReference w:id="10"/>
      </w:r>
      <w:r w:rsidRPr="001E25FD">
        <w:rPr>
          <w:rFonts w:ascii="Arial" w:hAnsi="Arial" w:cs="Arial"/>
          <w:lang w:val="es-ES_tradnl"/>
        </w:rPr>
        <w:t>. Ahora bien, dicha libertad es similar a la reconocida a los particulares por el derecho privado, pero no es idéntica a aquella, en la medida en que encuentra importantes limitantes, algunos de los cuales fueron previamente expuestos.</w:t>
      </w:r>
    </w:p>
    <w:p w14:paraId="76B7067D" w14:textId="77777777" w:rsidR="00A2562F" w:rsidRPr="001E25FD" w:rsidRDefault="00A2562F" w:rsidP="00A2562F">
      <w:pPr>
        <w:spacing w:before="120" w:after="0" w:line="276" w:lineRule="auto"/>
        <w:ind w:firstLine="680"/>
        <w:jc w:val="both"/>
        <w:rPr>
          <w:rFonts w:ascii="Arial" w:hAnsi="Arial" w:cs="Arial"/>
          <w:lang w:val="es-ES_tradnl"/>
        </w:rPr>
      </w:pPr>
      <w:r w:rsidRPr="001E25FD">
        <w:rPr>
          <w:rFonts w:ascii="Arial" w:hAnsi="Arial" w:cs="Arial"/>
          <w:lang w:val="es-ES_tradn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1E25FD">
        <w:rPr>
          <w:rFonts w:ascii="Arial" w:hAnsi="Arial" w:cs="Arial"/>
          <w:vertAlign w:val="superscript"/>
          <w:lang w:val="es-ES_tradnl"/>
        </w:rPr>
        <w:footnoteReference w:id="11"/>
      </w:r>
      <w:r w:rsidRPr="001E25FD">
        <w:rPr>
          <w:rFonts w:ascii="Arial" w:hAnsi="Arial" w:cs="Arial"/>
          <w:lang w:val="es-ES_tradnl"/>
        </w:rPr>
        <w:t xml:space="preserve">. </w:t>
      </w:r>
    </w:p>
    <w:p w14:paraId="6680D00F" w14:textId="4265EF59" w:rsidR="00A2562F" w:rsidRPr="001E25FD" w:rsidRDefault="00A2562F" w:rsidP="00A2562F">
      <w:pPr>
        <w:spacing w:before="120" w:after="0" w:line="276" w:lineRule="auto"/>
        <w:ind w:firstLine="680"/>
        <w:jc w:val="both"/>
        <w:rPr>
          <w:rFonts w:ascii="Arial" w:hAnsi="Arial" w:cs="Arial"/>
          <w:lang w:val="es-ES"/>
        </w:rPr>
      </w:pPr>
      <w:r w:rsidRPr="001E25FD">
        <w:rPr>
          <w:rFonts w:ascii="Arial" w:hAnsi="Arial" w:cs="Arial"/>
          <w:lang w:val="es-ES"/>
        </w:rPr>
        <w:t xml:space="preserve">De esta forma,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1E25FD">
        <w:rPr>
          <w:rFonts w:ascii="Arial" w:hAnsi="Arial" w:cs="Arial"/>
          <w:i/>
          <w:lang w:val="es-ES"/>
        </w:rPr>
        <w:t>inderogabilidad singular del reglamento</w:t>
      </w:r>
      <w:r w:rsidRPr="001E25FD">
        <w:rPr>
          <w:rFonts w:ascii="Arial" w:hAnsi="Arial" w:cs="Arial"/>
          <w:i/>
          <w:vertAlign w:val="superscript"/>
          <w:lang w:val="es-ES"/>
        </w:rPr>
        <w:footnoteReference w:id="12"/>
      </w:r>
      <w:r w:rsidRPr="001E25FD">
        <w:rPr>
          <w:rFonts w:ascii="Arial" w:hAnsi="Arial" w:cs="Arial"/>
          <w:lang w:val="es-ES"/>
        </w:rPr>
        <w:t xml:space="preserve">. En tal </w:t>
      </w:r>
      <w:r w:rsidRPr="001E25FD">
        <w:rPr>
          <w:rFonts w:ascii="Arial" w:hAnsi="Arial" w:cs="Arial"/>
          <w:lang w:val="es-ES"/>
        </w:rPr>
        <w:lastRenderedPageBreak/>
        <w:t>sentido, su contenido vincula a la propia entidad que lo expidió y no puede desconocerlo a su capricho en casos específicos; sin perjuicio de la posibilidad de expedir un nuevo manual o de modificar el existente.</w:t>
      </w:r>
    </w:p>
    <w:p w14:paraId="76BAC9F4" w14:textId="77777777" w:rsidR="00A2562F" w:rsidRPr="001E25FD" w:rsidRDefault="00A2562F" w:rsidP="00A2562F">
      <w:pPr>
        <w:spacing w:before="120" w:after="0" w:line="276" w:lineRule="auto"/>
        <w:ind w:firstLine="680"/>
        <w:jc w:val="both"/>
        <w:rPr>
          <w:rFonts w:ascii="Arial" w:hAnsi="Arial" w:cs="Arial"/>
          <w:lang w:val="es-ES_tradnl"/>
        </w:rPr>
      </w:pPr>
      <w:r w:rsidRPr="001E25FD">
        <w:rPr>
          <w:rFonts w:ascii="Arial" w:hAnsi="Arial" w:cs="Arial"/>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76E2952A" w14:textId="77777777" w:rsidR="00A2562F" w:rsidRPr="001E25FD" w:rsidRDefault="00A2562F" w:rsidP="00A2562F">
      <w:pPr>
        <w:spacing w:before="120" w:after="0" w:line="276" w:lineRule="auto"/>
        <w:ind w:firstLine="680"/>
        <w:jc w:val="both"/>
        <w:rPr>
          <w:rFonts w:ascii="Arial" w:hAnsi="Arial" w:cs="Arial"/>
          <w:lang w:val="es-ES_tradnl"/>
        </w:rPr>
      </w:pPr>
      <w:r w:rsidRPr="001E25FD">
        <w:rPr>
          <w:rFonts w:ascii="Arial" w:hAnsi="Arial" w:cs="Arial"/>
          <w:lang w:val="es-ES_tradnl"/>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1E25FD">
        <w:rPr>
          <w:rFonts w:ascii="Arial" w:hAnsi="Arial" w:cs="Arial"/>
          <w:vertAlign w:val="superscript"/>
          <w:lang w:val="es-ES_tradnl"/>
        </w:rPr>
        <w:footnoteReference w:id="13"/>
      </w:r>
      <w:r w:rsidRPr="001E25FD">
        <w:rPr>
          <w:rFonts w:ascii="Arial" w:hAnsi="Arial" w:cs="Arial"/>
          <w:lang w:val="es-ES_tradnl"/>
        </w:rPr>
        <w:t>.</w:t>
      </w:r>
    </w:p>
    <w:p w14:paraId="7BDC6083" w14:textId="7B96D17D" w:rsidR="006D551F" w:rsidRPr="001E25FD" w:rsidRDefault="00A2562F" w:rsidP="001E25FD">
      <w:pPr>
        <w:spacing w:before="120" w:after="0" w:line="276" w:lineRule="auto"/>
        <w:ind w:firstLine="680"/>
        <w:jc w:val="both"/>
        <w:rPr>
          <w:rFonts w:ascii="Arial" w:hAnsi="Arial" w:cs="Arial"/>
          <w:lang w:val="es-ES_tradnl"/>
        </w:rPr>
      </w:pPr>
      <w:r w:rsidRPr="001E25FD">
        <w:rPr>
          <w:rFonts w:ascii="Arial" w:hAnsi="Arial" w:cs="Arial"/>
          <w:lang w:val="es-ES_tradnl"/>
        </w:rPr>
        <w:t>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7DCEC12C" w14:textId="77777777" w:rsidR="00DB209F" w:rsidRPr="001E25FD" w:rsidRDefault="00DB209F" w:rsidP="00E41229">
      <w:pPr>
        <w:tabs>
          <w:tab w:val="left" w:pos="0"/>
          <w:tab w:val="left" w:pos="6645"/>
        </w:tabs>
        <w:spacing w:after="0" w:line="276" w:lineRule="auto"/>
        <w:jc w:val="both"/>
        <w:rPr>
          <w:rFonts w:ascii="Arial" w:hAnsi="Arial" w:cs="Arial"/>
          <w:bCs/>
          <w:lang w:val="es-ES_tradnl"/>
        </w:rPr>
      </w:pPr>
    </w:p>
    <w:p w14:paraId="01C0F502" w14:textId="5CEEEEEC" w:rsidR="00F9574A" w:rsidRPr="001E25FD" w:rsidRDefault="004177A6" w:rsidP="00E41229">
      <w:pPr>
        <w:tabs>
          <w:tab w:val="left" w:pos="0"/>
        </w:tabs>
        <w:spacing w:after="0" w:line="276" w:lineRule="auto"/>
        <w:jc w:val="both"/>
        <w:rPr>
          <w:rFonts w:ascii="Arial" w:hAnsi="Arial" w:cs="Arial"/>
          <w:b/>
          <w:color w:val="000000" w:themeColor="text1"/>
          <w:lang w:val="es-ES_tradnl"/>
        </w:rPr>
      </w:pPr>
      <w:r w:rsidRPr="001E25FD">
        <w:rPr>
          <w:rFonts w:ascii="Arial" w:hAnsi="Arial" w:cs="Arial"/>
          <w:b/>
          <w:color w:val="000000" w:themeColor="text1"/>
          <w:lang w:val="es-ES_tradnl"/>
        </w:rPr>
        <w:t>3</w:t>
      </w:r>
      <w:r w:rsidR="00B011A9" w:rsidRPr="001E25FD">
        <w:rPr>
          <w:rFonts w:ascii="Arial" w:hAnsi="Arial" w:cs="Arial"/>
          <w:b/>
          <w:color w:val="000000" w:themeColor="text1"/>
          <w:lang w:val="es-ES_tradnl"/>
        </w:rPr>
        <w:t xml:space="preserve">. </w:t>
      </w:r>
      <w:r w:rsidR="00DD5B04" w:rsidRPr="001E25FD">
        <w:rPr>
          <w:rFonts w:ascii="Arial" w:hAnsi="Arial" w:cs="Arial"/>
          <w:b/>
          <w:color w:val="000000" w:themeColor="text1"/>
          <w:lang w:val="es-ES_tradnl"/>
        </w:rPr>
        <w:t>Respuesta</w:t>
      </w:r>
    </w:p>
    <w:p w14:paraId="5550B511" w14:textId="77777777" w:rsidR="00E41229" w:rsidRPr="001E25FD" w:rsidRDefault="00E41229" w:rsidP="000F7239">
      <w:pPr>
        <w:tabs>
          <w:tab w:val="left" w:pos="0"/>
        </w:tabs>
        <w:spacing w:after="0" w:line="276" w:lineRule="auto"/>
        <w:jc w:val="both"/>
        <w:rPr>
          <w:rFonts w:ascii="Arial" w:hAnsi="Arial" w:cs="Arial"/>
          <w:b/>
          <w:color w:val="000000" w:themeColor="text1"/>
          <w:lang w:val="es-ES_tradnl"/>
        </w:rPr>
      </w:pPr>
    </w:p>
    <w:p w14:paraId="316452BB" w14:textId="77777777" w:rsidR="006D551F" w:rsidRPr="001E25FD" w:rsidRDefault="006D551F" w:rsidP="006D551F">
      <w:pPr>
        <w:spacing w:after="0" w:line="240" w:lineRule="auto"/>
        <w:ind w:left="709" w:right="709"/>
        <w:jc w:val="both"/>
        <w:rPr>
          <w:rFonts w:ascii="Arial" w:hAnsi="Arial" w:cs="Arial"/>
          <w:bCs/>
          <w:sz w:val="21"/>
          <w:szCs w:val="21"/>
          <w:lang w:val="es-ES_tradnl"/>
        </w:rPr>
      </w:pPr>
      <w:r w:rsidRPr="001E25FD">
        <w:rPr>
          <w:rFonts w:ascii="Arial" w:hAnsi="Arial" w:cs="Arial"/>
          <w:bCs/>
          <w:sz w:val="21"/>
          <w:szCs w:val="21"/>
        </w:rPr>
        <w:t xml:space="preserve">Revisado el Decreto que ordena la liquidación de la extinta Comisión, este dispone en su artículo segundo: </w:t>
      </w:r>
      <w:r w:rsidRPr="001E25FD">
        <w:rPr>
          <w:rFonts w:ascii="Arial" w:hAnsi="Arial" w:cs="Arial"/>
          <w:bCs/>
          <w:i/>
          <w:iCs/>
          <w:sz w:val="21"/>
          <w:szCs w:val="21"/>
        </w:rPr>
        <w:t xml:space="preserve">“Régimen de la liquidación. El régimen aplicable a la liquidación de la Comisión para el Esclarecimiento de la Verdad, la Convivencia y la No Repetición en Liquidación, en los aspectos no contemplados por el presente decreto o por el Decreto-Ley 588 de 2017, será el previsto en el Decreto-Ley 254 de 2000 con las modificaciones de la Ley 1105 de 2006 y en cuanto sean compatibles con la naturaleza de la entidad, se aplicarán en lo pertinente las disposiciones sobre liquidación del Estatuto Orgánico del Sistema Financiero y las normas que lo desarrollan.” </w:t>
      </w:r>
    </w:p>
    <w:p w14:paraId="70C6A7BF" w14:textId="77777777" w:rsidR="006D551F" w:rsidRPr="001E25FD" w:rsidRDefault="006D551F" w:rsidP="006D551F">
      <w:pPr>
        <w:spacing w:after="0" w:line="240" w:lineRule="auto"/>
        <w:ind w:left="709" w:right="709"/>
        <w:jc w:val="both"/>
        <w:rPr>
          <w:rFonts w:ascii="Arial" w:hAnsi="Arial" w:cs="Arial"/>
          <w:bCs/>
          <w:sz w:val="21"/>
          <w:szCs w:val="21"/>
        </w:rPr>
      </w:pPr>
    </w:p>
    <w:p w14:paraId="101E4619" w14:textId="77777777" w:rsidR="006D551F" w:rsidRPr="001E25FD" w:rsidRDefault="006D551F"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 xml:space="preserve">De acuerdo con esta norma, entendemos que la Comisión en liquidación, mantendrá su régimen legal propio y en cuanto a los actos que no fueren administrativos y contratos continuará rigiéndose por las normas contenidas en la Constitución, en sus reglamentos y en las normas de derecho privado y específicamente para los temas de liquidación se sujetará a lo previsto en el Decreto-Ley 254 de 2000 con las modificaciones de la Ley 1105 de 2006. </w:t>
      </w:r>
    </w:p>
    <w:p w14:paraId="7473DC5C" w14:textId="77777777" w:rsidR="006D551F" w:rsidRPr="001E25FD" w:rsidRDefault="006D551F" w:rsidP="006D551F">
      <w:pPr>
        <w:spacing w:after="0" w:line="240" w:lineRule="auto"/>
        <w:ind w:left="709" w:right="709"/>
        <w:jc w:val="both"/>
        <w:rPr>
          <w:rFonts w:ascii="Arial" w:hAnsi="Arial" w:cs="Arial"/>
          <w:bCs/>
          <w:sz w:val="21"/>
          <w:szCs w:val="21"/>
        </w:rPr>
      </w:pPr>
    </w:p>
    <w:p w14:paraId="1BD9A6DE" w14:textId="77777777" w:rsidR="006D551F" w:rsidRPr="001E25FD" w:rsidRDefault="006D551F" w:rsidP="006D551F">
      <w:pPr>
        <w:spacing w:after="0" w:line="240" w:lineRule="auto"/>
        <w:ind w:left="709" w:right="709"/>
        <w:jc w:val="both"/>
        <w:rPr>
          <w:rFonts w:ascii="Arial" w:hAnsi="Arial" w:cs="Arial"/>
          <w:bCs/>
          <w:i/>
          <w:iCs/>
          <w:sz w:val="21"/>
          <w:szCs w:val="21"/>
        </w:rPr>
      </w:pPr>
      <w:r w:rsidRPr="001E25FD">
        <w:rPr>
          <w:rFonts w:ascii="Arial" w:hAnsi="Arial" w:cs="Arial"/>
          <w:bCs/>
          <w:sz w:val="21"/>
          <w:szCs w:val="21"/>
        </w:rPr>
        <w:t>Por su parte, el artículo 4 del Decreto 1776 de 2002, dispone como función del liquidador la de “</w:t>
      </w:r>
      <w:r w:rsidRPr="001E25FD">
        <w:rPr>
          <w:rFonts w:ascii="Arial" w:hAnsi="Arial" w:cs="Arial"/>
          <w:bCs/>
          <w:i/>
          <w:iCs/>
          <w:sz w:val="21"/>
          <w:szCs w:val="21"/>
        </w:rPr>
        <w:t xml:space="preserve">9). Celebrar los actos y contratos requeridos para el debido desarrollo de la liquidación” </w:t>
      </w:r>
      <w:r w:rsidRPr="001E25FD">
        <w:rPr>
          <w:rFonts w:ascii="Arial" w:hAnsi="Arial" w:cs="Arial"/>
          <w:bCs/>
          <w:sz w:val="21"/>
          <w:szCs w:val="21"/>
        </w:rPr>
        <w:t xml:space="preserve">y el artículo 6, establece que: </w:t>
      </w:r>
      <w:r w:rsidRPr="001E25FD">
        <w:rPr>
          <w:rFonts w:ascii="Arial" w:hAnsi="Arial" w:cs="Arial"/>
          <w:bCs/>
          <w:i/>
          <w:iCs/>
          <w:sz w:val="21"/>
          <w:szCs w:val="21"/>
        </w:rPr>
        <w:t>“El liquidador podrá contratar personas especializadas para la realización de las diversas actividades propias del proceso de liquidación, con empresas temporales o de servicios técnicos o administrativos, cuando las necesidades de la liquidación lo requieran”</w:t>
      </w:r>
    </w:p>
    <w:p w14:paraId="07E3466D" w14:textId="77777777" w:rsidR="006D551F" w:rsidRPr="001E25FD" w:rsidRDefault="006D551F" w:rsidP="006D551F">
      <w:pPr>
        <w:spacing w:after="0" w:line="240" w:lineRule="auto"/>
        <w:ind w:left="709" w:right="709"/>
        <w:jc w:val="both"/>
        <w:rPr>
          <w:rFonts w:ascii="Arial" w:hAnsi="Arial" w:cs="Arial"/>
          <w:bCs/>
          <w:i/>
          <w:iCs/>
          <w:sz w:val="21"/>
          <w:szCs w:val="21"/>
        </w:rPr>
      </w:pPr>
    </w:p>
    <w:p w14:paraId="35118AC8" w14:textId="77777777" w:rsidR="006D551F" w:rsidRPr="001E25FD" w:rsidRDefault="006D551F"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Bajo este marco, se consulta, si el liquidador puede celebrar los contratos de prestación de servicios profesionales o de apoyo a la gestión con persona natural o jurídica que estime necesarios para llevar a cabo la liquidación en los términos del Decreto 1776 de 2022, o si de acuerdo con lo establecido en dicho decreto, podría únicamente contratar personal a través de empresas temporales o de servicios técnicos o administrativos.</w:t>
      </w:r>
    </w:p>
    <w:p w14:paraId="7D05E38F" w14:textId="77777777" w:rsidR="006D551F" w:rsidRPr="001E25FD" w:rsidRDefault="006D551F"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 xml:space="preserve"> </w:t>
      </w:r>
    </w:p>
    <w:p w14:paraId="65F7DB09" w14:textId="77777777" w:rsidR="006D551F" w:rsidRPr="001E25FD" w:rsidRDefault="006D551F" w:rsidP="006D551F">
      <w:pPr>
        <w:spacing w:after="0" w:line="240" w:lineRule="auto"/>
        <w:ind w:left="709" w:right="709"/>
        <w:jc w:val="both"/>
        <w:rPr>
          <w:rFonts w:ascii="Arial" w:hAnsi="Arial" w:cs="Arial"/>
          <w:bCs/>
          <w:sz w:val="21"/>
          <w:szCs w:val="21"/>
        </w:rPr>
      </w:pPr>
      <w:r w:rsidRPr="001E25FD">
        <w:rPr>
          <w:rFonts w:ascii="Arial" w:hAnsi="Arial" w:cs="Arial"/>
          <w:bCs/>
          <w:sz w:val="21"/>
          <w:szCs w:val="21"/>
        </w:rPr>
        <w:t>De igual manera se consulta si los contratos que requiera celebrar la entidad, conservan el régimen de derecho privado y pueden ser adelantados bajo el último manual de contratación de la Comisión de la Verdad o de un nuevo Manual de Contratación, en caso de que este se requiera</w:t>
      </w:r>
    </w:p>
    <w:p w14:paraId="19B19C08" w14:textId="77777777" w:rsidR="006D551F" w:rsidRPr="001E25FD" w:rsidRDefault="006D551F" w:rsidP="004B0135">
      <w:pPr>
        <w:spacing w:after="0" w:line="276" w:lineRule="auto"/>
        <w:jc w:val="both"/>
        <w:rPr>
          <w:rFonts w:ascii="Arial" w:hAnsi="Arial" w:cs="Arial"/>
          <w:lang w:val="es-ES_tradnl"/>
        </w:rPr>
      </w:pPr>
    </w:p>
    <w:p w14:paraId="5747BB71" w14:textId="77777777" w:rsidR="006D551F" w:rsidRPr="001E25FD" w:rsidRDefault="006D551F" w:rsidP="006D551F">
      <w:pPr>
        <w:spacing w:after="0" w:line="276" w:lineRule="auto"/>
        <w:jc w:val="both"/>
        <w:rPr>
          <w:rFonts w:ascii="Arial" w:hAnsi="Arial" w:cs="Arial"/>
          <w:bCs/>
        </w:rPr>
      </w:pPr>
      <w:r w:rsidRPr="001E25FD">
        <w:rPr>
          <w:rFonts w:ascii="Arial" w:hAnsi="Arial" w:cs="Arial"/>
        </w:rPr>
        <w:t xml:space="preserve">De las preguntas en concreto, se precisa que la Agencia Nacional de Contratación Pública tiene competencia para atender consultas relativas a temas contractuales, pero solo para absolver consultas sobre la aplicación de normas de carácter general. Por ello, </w:t>
      </w:r>
      <w:r w:rsidRPr="001E25FD">
        <w:rPr>
          <w:rFonts w:ascii="Arial" w:hAnsi="Arial" w:cs="Arial"/>
          <w:lang w:val="es-ES"/>
        </w:rPr>
        <w:t xml:space="preserve">resolver casos particulares o conceptuar sobre el alcance de normas ajenas a la contratación estatal desborda las atribuciones asignadas por el legislador extraordinario, que no concibió a Colombia Compra Eficiente como una autoridad para solucionar problemas jurídicos </w:t>
      </w:r>
      <w:r w:rsidRPr="001E25FD">
        <w:rPr>
          <w:rFonts w:ascii="Arial" w:hAnsi="Arial" w:cs="Arial"/>
          <w:lang w:val="es-ES"/>
        </w:rPr>
        <w:lastRenderedPageBreak/>
        <w:t>particulares</w:t>
      </w:r>
      <w:r w:rsidRPr="001E25FD">
        <w:rPr>
          <w:rFonts w:ascii="Arial" w:hAnsi="Arial" w:cs="Arial"/>
          <w:bCs/>
        </w:rPr>
        <w:t xml:space="preserve"> de todos los partícipes de la contratación estatal ni para interpretar el alcance de cualquier norma vigente en el ordenamiento jurídico.</w:t>
      </w:r>
    </w:p>
    <w:p w14:paraId="2FCEE398" w14:textId="15FF12EC" w:rsidR="00771D75" w:rsidRPr="001E25FD" w:rsidRDefault="006D551F" w:rsidP="00771D75">
      <w:pPr>
        <w:spacing w:before="120" w:after="0" w:line="276" w:lineRule="auto"/>
        <w:ind w:firstLine="709"/>
        <w:jc w:val="both"/>
        <w:rPr>
          <w:rFonts w:ascii="Arial" w:hAnsi="Arial" w:cs="Arial"/>
          <w:bCs/>
          <w:lang w:val="es-ES_tradnl"/>
        </w:rPr>
      </w:pPr>
      <w:r w:rsidRPr="001E25FD">
        <w:rPr>
          <w:rFonts w:ascii="Arial" w:hAnsi="Arial" w:cs="Arial"/>
          <w:bCs/>
        </w:rPr>
        <w:t xml:space="preserve">A partir de la precisión anterior, </w:t>
      </w:r>
      <w:r w:rsidR="00A27EA4" w:rsidRPr="001E25FD">
        <w:rPr>
          <w:rFonts w:ascii="Arial" w:hAnsi="Arial" w:cs="Arial"/>
        </w:rPr>
        <w:t xml:space="preserve">es pertinente indicar que </w:t>
      </w:r>
      <w:r w:rsidR="00771D75" w:rsidRPr="001E25FD">
        <w:rPr>
          <w:rFonts w:ascii="Arial" w:hAnsi="Arial" w:cs="Arial"/>
          <w:bCs/>
          <w:lang w:val="es-ES_tradnl"/>
        </w:rPr>
        <w:t>el parágrafo 1 del artículo 2 del Decreto 1776 de 2022 indica expresamente que la CEV conservará su capacidad jurídica únicamente para expedir los actos y contratos necesarios para su liquidación, de lo cual se desprende que podrá celebrar todos los contratos que se consideren necesarios para el efecto. En concordancia, el artículo 4 del Decreto 1776 de 2022 señala que el liquidador tendrá, entre otras funciones, la de celebrar los actos y contratos requeridos para el debido desarrollo de la liquidación. Esto no riñe con lo señalado en el artículo 6</w:t>
      </w:r>
      <w:r w:rsidR="00771D75" w:rsidRPr="001E25FD">
        <w:rPr>
          <w:rFonts w:ascii="Arial" w:hAnsi="Arial" w:cs="Arial"/>
          <w:bCs/>
          <w:i/>
          <w:iCs/>
          <w:lang w:val="es-ES_tradnl"/>
        </w:rPr>
        <w:t xml:space="preserve"> ibidem</w:t>
      </w:r>
      <w:r w:rsidR="00771D75" w:rsidRPr="001E25FD">
        <w:rPr>
          <w:rFonts w:ascii="Arial" w:hAnsi="Arial" w:cs="Arial"/>
          <w:bCs/>
          <w:lang w:val="es-ES_tradnl"/>
        </w:rPr>
        <w:t xml:space="preserve"> en la medida en que dicho norma se refiere específicamente a la vinculación de servidores públicos.  </w:t>
      </w:r>
    </w:p>
    <w:p w14:paraId="581FFE66" w14:textId="5DD31AEF" w:rsidR="00025065" w:rsidRPr="001E25FD" w:rsidRDefault="00A27EA4" w:rsidP="00A27EA4">
      <w:pPr>
        <w:spacing w:before="120" w:after="0" w:line="276" w:lineRule="auto"/>
        <w:ind w:firstLine="709"/>
        <w:jc w:val="both"/>
        <w:rPr>
          <w:rFonts w:ascii="Arial" w:hAnsi="Arial" w:cs="Arial"/>
          <w:lang w:val="es-ES_tradnl"/>
        </w:rPr>
      </w:pPr>
      <w:r w:rsidRPr="001E25FD">
        <w:rPr>
          <w:rFonts w:ascii="Arial" w:hAnsi="Arial" w:cs="Arial"/>
          <w:lang w:val="es-ES_tradnl"/>
        </w:rPr>
        <w:t xml:space="preserve">Finalmente, es pertinente destacar que teniendo en cuenta que la entidad está sometida a un régimen especial tienen una amplia libertad de configuración del contenido del manual de contratación, de manera que podrá revisar la necesidad de modificar su reglamento interno o manual de contratación en lo pertinente para armonizarlo con las normas referentes a la liquidación. </w:t>
      </w:r>
    </w:p>
    <w:p w14:paraId="7C044831" w14:textId="77777777" w:rsidR="00A27EA4" w:rsidRPr="001E25FD" w:rsidRDefault="00A27EA4" w:rsidP="001E25FD">
      <w:pPr>
        <w:spacing w:after="0" w:line="276" w:lineRule="auto"/>
        <w:ind w:firstLine="709"/>
        <w:jc w:val="both"/>
        <w:rPr>
          <w:rFonts w:ascii="Arial" w:hAnsi="Arial" w:cs="Arial"/>
          <w:lang w:val="es-ES_tradnl"/>
        </w:rPr>
      </w:pPr>
    </w:p>
    <w:p w14:paraId="056816F7" w14:textId="36C087E7" w:rsidR="00D40F8B" w:rsidRPr="001E25FD" w:rsidRDefault="00DD5B04" w:rsidP="001E25FD">
      <w:pPr>
        <w:widowControl w:val="0"/>
        <w:autoSpaceDE w:val="0"/>
        <w:autoSpaceDN w:val="0"/>
        <w:spacing w:after="0" w:line="276" w:lineRule="auto"/>
        <w:jc w:val="both"/>
        <w:rPr>
          <w:rFonts w:ascii="Arial" w:hAnsi="Arial" w:cs="Arial"/>
          <w:lang w:val="es-ES_tradnl" w:bidi="es-ES"/>
        </w:rPr>
      </w:pPr>
      <w:r w:rsidRPr="001E25FD">
        <w:rPr>
          <w:rFonts w:ascii="Arial" w:hAnsi="Arial" w:cs="Arial"/>
          <w:color w:val="000000" w:themeColor="text1"/>
          <w:lang w:val="es-ES_tradnl"/>
        </w:rPr>
        <w:t>Este concepto tiene el alcance previsto en el artículo 28 del Código de Procedimiento Administrativo y de</w:t>
      </w:r>
      <w:r w:rsidR="00D40F8B" w:rsidRPr="001E25FD">
        <w:rPr>
          <w:rFonts w:ascii="Arial" w:hAnsi="Arial" w:cs="Arial"/>
          <w:color w:val="000000" w:themeColor="text1"/>
          <w:lang w:val="es-ES_tradnl"/>
        </w:rPr>
        <w:t xml:space="preserve"> lo Contencioso Administrativo.</w:t>
      </w:r>
    </w:p>
    <w:p w14:paraId="6F54E9C9" w14:textId="77777777" w:rsidR="00003233" w:rsidRPr="001E25FD" w:rsidRDefault="00003233" w:rsidP="00D40F8B">
      <w:pPr>
        <w:spacing w:before="120" w:line="276" w:lineRule="auto"/>
        <w:jc w:val="both"/>
        <w:rPr>
          <w:rFonts w:ascii="Arial" w:hAnsi="Arial" w:cs="Arial"/>
          <w:color w:val="000000" w:themeColor="text1"/>
          <w:lang w:val="es-ES_tradnl"/>
        </w:rPr>
      </w:pPr>
    </w:p>
    <w:p w14:paraId="349855C9" w14:textId="4E2C915B" w:rsidR="00D40F8B" w:rsidRPr="001E25FD"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1E25FD">
        <w:rPr>
          <w:rFonts w:ascii="Arial" w:hAnsi="Arial" w:cs="Arial"/>
          <w:color w:val="000000" w:themeColor="text1"/>
          <w:sz w:val="22"/>
          <w:szCs w:val="22"/>
          <w:lang w:val="es-ES_tradnl"/>
        </w:rPr>
        <w:t>Atentamente,</w:t>
      </w:r>
    </w:p>
    <w:p w14:paraId="10A1E411" w14:textId="45524682" w:rsidR="00D40F8B" w:rsidRPr="001E25FD" w:rsidRDefault="001665EA"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067D3EE" wp14:editId="2A39F7C0">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4"/>
                    <a:stretch>
                      <a:fillRect/>
                    </a:stretch>
                  </pic:blipFill>
                  <pic:spPr>
                    <a:xfrm>
                      <a:off x="0" y="0"/>
                      <a:ext cx="2774950" cy="1064260"/>
                    </a:xfrm>
                    <a:prstGeom prst="rect">
                      <a:avLst/>
                    </a:prstGeom>
                  </pic:spPr>
                </pic:pic>
              </a:graphicData>
            </a:graphic>
          </wp:inline>
        </w:drawing>
      </w:r>
    </w:p>
    <w:p w14:paraId="1ED13883" w14:textId="77777777" w:rsidR="00003233" w:rsidRPr="001E25FD" w:rsidRDefault="00003233" w:rsidP="00AD4A51">
      <w:pPr>
        <w:pStyle w:val="NormalWeb"/>
        <w:spacing w:before="0" w:beforeAutospacing="0" w:after="0" w:afterAutospacing="0"/>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D55D1" w14:paraId="0C7DC5F7" w14:textId="77777777" w:rsidTr="00D40F8B">
        <w:trPr>
          <w:trHeight w:val="160"/>
        </w:trPr>
        <w:tc>
          <w:tcPr>
            <w:tcW w:w="812" w:type="dxa"/>
            <w:vAlign w:val="center"/>
            <w:hideMark/>
          </w:tcPr>
          <w:p w14:paraId="5BDB1AC9" w14:textId="77777777" w:rsidR="00DD5B04" w:rsidRPr="001E25FD" w:rsidRDefault="00DD5B04" w:rsidP="00AD4A51">
            <w:pPr>
              <w:spacing w:after="0" w:line="240" w:lineRule="auto"/>
              <w:jc w:val="both"/>
              <w:rPr>
                <w:rFonts w:ascii="Arial" w:hAnsi="Arial" w:cs="Arial"/>
                <w:color w:val="000000" w:themeColor="text1"/>
                <w:sz w:val="16"/>
                <w:szCs w:val="16"/>
                <w:lang w:val="es-ES_tradnl" w:eastAsia="es-ES"/>
              </w:rPr>
            </w:pPr>
            <w:r w:rsidRPr="001E25F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1E25FD" w:rsidRDefault="00F412DF" w:rsidP="00AD4A51">
            <w:pPr>
              <w:spacing w:after="0" w:line="240" w:lineRule="auto"/>
              <w:jc w:val="both"/>
              <w:rPr>
                <w:rFonts w:ascii="Arial" w:hAnsi="Arial" w:cs="Arial"/>
                <w:color w:val="000000" w:themeColor="text1"/>
                <w:sz w:val="16"/>
                <w:szCs w:val="16"/>
                <w:lang w:val="es-ES_tradnl" w:eastAsia="es-ES"/>
              </w:rPr>
            </w:pPr>
            <w:r w:rsidRPr="001E25FD">
              <w:rPr>
                <w:rFonts w:ascii="Arial" w:hAnsi="Arial" w:cs="Arial"/>
                <w:color w:val="000000" w:themeColor="text1"/>
                <w:sz w:val="16"/>
                <w:szCs w:val="16"/>
                <w:lang w:val="es-ES_tradnl" w:eastAsia="es-ES"/>
              </w:rPr>
              <w:t>Tatiana Baquero Iguarán</w:t>
            </w:r>
          </w:p>
          <w:p w14:paraId="240C71FD" w14:textId="31312C95" w:rsidR="00DD5B04" w:rsidRPr="001E25FD" w:rsidRDefault="00DD5B04" w:rsidP="00AD4A51">
            <w:pPr>
              <w:spacing w:after="0" w:line="240" w:lineRule="auto"/>
              <w:jc w:val="both"/>
              <w:rPr>
                <w:rFonts w:ascii="Arial" w:hAnsi="Arial" w:cs="Arial"/>
                <w:color w:val="000000" w:themeColor="text1"/>
                <w:sz w:val="16"/>
                <w:szCs w:val="16"/>
                <w:lang w:val="es-ES_tradnl" w:eastAsia="es-ES"/>
              </w:rPr>
            </w:pPr>
            <w:r w:rsidRPr="001E25FD">
              <w:rPr>
                <w:rFonts w:ascii="Arial" w:hAnsi="Arial" w:cs="Arial"/>
                <w:color w:val="000000" w:themeColor="text1"/>
                <w:sz w:val="16"/>
                <w:szCs w:val="16"/>
                <w:lang w:val="es-ES_tradnl" w:eastAsia="es-ES"/>
              </w:rPr>
              <w:t>Contratista</w:t>
            </w:r>
            <w:r w:rsidR="00FF0050" w:rsidRPr="001E25FD">
              <w:rPr>
                <w:rFonts w:ascii="Arial" w:hAnsi="Arial" w:cs="Arial"/>
                <w:color w:val="000000" w:themeColor="text1"/>
                <w:sz w:val="16"/>
                <w:szCs w:val="16"/>
                <w:lang w:val="es-ES_tradnl" w:eastAsia="es-ES"/>
              </w:rPr>
              <w:t xml:space="preserve"> de la </w:t>
            </w:r>
            <w:r w:rsidRPr="001E25FD">
              <w:rPr>
                <w:rFonts w:ascii="Arial" w:hAnsi="Arial" w:cs="Arial"/>
                <w:color w:val="000000" w:themeColor="text1"/>
                <w:sz w:val="16"/>
                <w:szCs w:val="16"/>
                <w:lang w:val="es-ES_tradnl" w:eastAsia="es-ES"/>
              </w:rPr>
              <w:t>Subdirección de Gestión Contractual</w:t>
            </w:r>
          </w:p>
        </w:tc>
      </w:tr>
      <w:tr w:rsidR="00DD5B04" w:rsidRPr="00DD55D1" w14:paraId="2F8FD650" w14:textId="77777777" w:rsidTr="00D15356">
        <w:trPr>
          <w:trHeight w:val="330"/>
        </w:trPr>
        <w:tc>
          <w:tcPr>
            <w:tcW w:w="812" w:type="dxa"/>
            <w:vAlign w:val="center"/>
            <w:hideMark/>
          </w:tcPr>
          <w:p w14:paraId="50203A0B" w14:textId="77777777" w:rsidR="00DD5B04" w:rsidRPr="001E25FD" w:rsidRDefault="00DD5B04" w:rsidP="00AD4A51">
            <w:pPr>
              <w:spacing w:after="0" w:line="240" w:lineRule="auto"/>
              <w:jc w:val="both"/>
              <w:rPr>
                <w:rFonts w:ascii="Arial" w:hAnsi="Arial" w:cs="Arial"/>
                <w:color w:val="000000" w:themeColor="text1"/>
                <w:sz w:val="16"/>
                <w:szCs w:val="16"/>
                <w:lang w:val="es-ES_tradnl" w:eastAsia="es-ES"/>
              </w:rPr>
            </w:pPr>
            <w:r w:rsidRPr="001E25F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Pr="001E25FD" w:rsidRDefault="0037195B" w:rsidP="00AD4A51">
            <w:pPr>
              <w:spacing w:after="0" w:line="240" w:lineRule="auto"/>
              <w:jc w:val="both"/>
              <w:rPr>
                <w:rFonts w:ascii="Arial" w:hAnsi="Arial" w:cs="Arial"/>
                <w:color w:val="000000" w:themeColor="text1"/>
                <w:sz w:val="16"/>
                <w:szCs w:val="16"/>
                <w:lang w:eastAsia="es-ES"/>
              </w:rPr>
            </w:pPr>
            <w:r w:rsidRPr="001E25FD">
              <w:rPr>
                <w:rFonts w:ascii="Arial" w:hAnsi="Arial" w:cs="Arial"/>
                <w:color w:val="000000" w:themeColor="text1"/>
                <w:sz w:val="16"/>
                <w:szCs w:val="16"/>
                <w:lang w:eastAsia="es-ES"/>
              </w:rPr>
              <w:t xml:space="preserve">Alejandro Sarmiento Cantillo </w:t>
            </w:r>
          </w:p>
          <w:p w14:paraId="130B3228" w14:textId="7B765391" w:rsidR="00DD5B04" w:rsidRPr="001E25FD" w:rsidRDefault="003A07D9" w:rsidP="00AD4A51">
            <w:pPr>
              <w:spacing w:after="0" w:line="240" w:lineRule="auto"/>
              <w:jc w:val="both"/>
              <w:rPr>
                <w:rFonts w:ascii="Arial" w:hAnsi="Arial" w:cs="Arial"/>
                <w:color w:val="000000" w:themeColor="text1"/>
                <w:sz w:val="16"/>
                <w:szCs w:val="16"/>
                <w:lang w:eastAsia="es-ES"/>
              </w:rPr>
            </w:pPr>
            <w:r w:rsidRPr="001E25FD">
              <w:rPr>
                <w:rFonts w:ascii="Arial" w:hAnsi="Arial" w:cs="Arial"/>
                <w:color w:val="000000" w:themeColor="text1"/>
                <w:sz w:val="16"/>
                <w:szCs w:val="16"/>
                <w:lang w:eastAsia="es-ES"/>
              </w:rPr>
              <w:t>Gestor T1-15 de la Subdirección de Gestión Contractual</w:t>
            </w:r>
          </w:p>
        </w:tc>
      </w:tr>
      <w:tr w:rsidR="00DD5B04" w:rsidRPr="00DD55D1" w14:paraId="0FCBCA4A" w14:textId="77777777" w:rsidTr="00D15356">
        <w:trPr>
          <w:trHeight w:val="300"/>
        </w:trPr>
        <w:tc>
          <w:tcPr>
            <w:tcW w:w="812" w:type="dxa"/>
            <w:vAlign w:val="center"/>
            <w:hideMark/>
          </w:tcPr>
          <w:p w14:paraId="3C1D943A" w14:textId="77777777" w:rsidR="00DD5B04" w:rsidRPr="001E25FD" w:rsidRDefault="00DD5B04" w:rsidP="00AD4A51">
            <w:pPr>
              <w:spacing w:after="0" w:line="240" w:lineRule="auto"/>
              <w:jc w:val="both"/>
              <w:rPr>
                <w:rFonts w:ascii="Arial" w:hAnsi="Arial" w:cs="Arial"/>
                <w:color w:val="000000" w:themeColor="text1"/>
                <w:sz w:val="16"/>
                <w:szCs w:val="16"/>
                <w:lang w:val="es-ES_tradnl" w:eastAsia="es-ES"/>
              </w:rPr>
            </w:pPr>
            <w:r w:rsidRPr="001E25F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5D2A6936" w:rsidR="008657C6" w:rsidRPr="001E25FD" w:rsidRDefault="006F0D34" w:rsidP="00AD4A51">
            <w:pPr>
              <w:spacing w:after="0" w:line="240" w:lineRule="auto"/>
              <w:rPr>
                <w:rFonts w:ascii="Arial" w:hAnsi="Arial" w:cs="Arial"/>
                <w:color w:val="000000" w:themeColor="text1"/>
                <w:sz w:val="16"/>
                <w:szCs w:val="16"/>
                <w:lang w:eastAsia="es-ES"/>
              </w:rPr>
            </w:pPr>
            <w:r w:rsidRPr="001E25FD">
              <w:rPr>
                <w:rFonts w:ascii="Arial" w:hAnsi="Arial" w:cs="Arial"/>
                <w:color w:val="000000" w:themeColor="text1"/>
                <w:sz w:val="16"/>
                <w:szCs w:val="16"/>
                <w:lang w:eastAsia="es-ES"/>
              </w:rPr>
              <w:t>Nohelia del Carmen Zawady Palacio</w:t>
            </w:r>
          </w:p>
          <w:p w14:paraId="1ADC483B" w14:textId="0021CE89" w:rsidR="00DD5B04" w:rsidRPr="001E25FD" w:rsidRDefault="008657C6" w:rsidP="00AD4A51">
            <w:pPr>
              <w:spacing w:after="0" w:line="240" w:lineRule="auto"/>
              <w:jc w:val="both"/>
              <w:rPr>
                <w:rFonts w:ascii="Arial" w:hAnsi="Arial" w:cs="Arial"/>
                <w:color w:val="000000" w:themeColor="text1"/>
                <w:sz w:val="16"/>
                <w:szCs w:val="16"/>
                <w:lang w:val="es-ES_tradnl" w:eastAsia="es-ES"/>
              </w:rPr>
            </w:pPr>
            <w:r w:rsidRPr="001E25FD">
              <w:rPr>
                <w:rFonts w:ascii="Arial" w:eastAsia="Arial" w:hAnsi="Arial" w:cs="Arial"/>
                <w:color w:val="000000"/>
                <w:sz w:val="16"/>
                <w:szCs w:val="16"/>
              </w:rPr>
              <w:t>Subdirector</w:t>
            </w:r>
            <w:r w:rsidR="006F0D34" w:rsidRPr="001E25FD">
              <w:rPr>
                <w:rFonts w:ascii="Arial" w:eastAsia="Arial" w:hAnsi="Arial" w:cs="Arial"/>
                <w:color w:val="000000"/>
                <w:sz w:val="16"/>
                <w:szCs w:val="16"/>
              </w:rPr>
              <w:t>a</w:t>
            </w:r>
            <w:r w:rsidRPr="001E25FD">
              <w:rPr>
                <w:rFonts w:ascii="Arial" w:eastAsia="Arial" w:hAnsi="Arial" w:cs="Arial"/>
                <w:color w:val="000000"/>
                <w:sz w:val="16"/>
                <w:szCs w:val="16"/>
              </w:rPr>
              <w:t xml:space="preserve"> de Gestión Contractual</w:t>
            </w:r>
          </w:p>
        </w:tc>
      </w:tr>
      <w:bookmarkEnd w:id="0"/>
      <w:bookmarkEnd w:id="1"/>
    </w:tbl>
    <w:p w14:paraId="575AF8D6" w14:textId="503E82EC" w:rsidR="003A07D9" w:rsidRPr="001E25FD" w:rsidRDefault="003A07D9" w:rsidP="003A07D9">
      <w:pPr>
        <w:tabs>
          <w:tab w:val="left" w:pos="3570"/>
        </w:tabs>
        <w:rPr>
          <w:rFonts w:ascii="Arial" w:hAnsi="Arial" w:cs="Arial"/>
          <w:lang w:val="es-ES_tradnl"/>
        </w:rPr>
      </w:pPr>
    </w:p>
    <w:sectPr w:rsidR="003A07D9" w:rsidRPr="001E25FD" w:rsidSect="001E25FD">
      <w:headerReference w:type="default" r:id="rId15"/>
      <w:footerReference w:type="default" r:id="rId16"/>
      <w:pgSz w:w="12240" w:h="15840"/>
      <w:pgMar w:top="2041" w:right="1750"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55C0C" w14:textId="77777777" w:rsidR="00D22A9B" w:rsidRDefault="00D22A9B">
      <w:r>
        <w:separator/>
      </w:r>
    </w:p>
  </w:endnote>
  <w:endnote w:type="continuationSeparator" w:id="0">
    <w:p w14:paraId="594CA816" w14:textId="77777777" w:rsidR="00D22A9B" w:rsidRDefault="00D22A9B">
      <w:r>
        <w:continuationSeparator/>
      </w:r>
    </w:p>
  </w:endnote>
  <w:endnote w:type="continuationNotice" w:id="1">
    <w:p w14:paraId="65DC523A" w14:textId="77777777" w:rsidR="00D22A9B" w:rsidRDefault="00D22A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02991" w14:textId="77777777" w:rsidR="00D22A9B" w:rsidRDefault="00D22A9B">
      <w:r>
        <w:separator/>
      </w:r>
    </w:p>
  </w:footnote>
  <w:footnote w:type="continuationSeparator" w:id="0">
    <w:p w14:paraId="6ADA42ED" w14:textId="77777777" w:rsidR="00D22A9B" w:rsidRDefault="00D22A9B">
      <w:r>
        <w:continuationSeparator/>
      </w:r>
    </w:p>
  </w:footnote>
  <w:footnote w:type="continuationNotice" w:id="1">
    <w:p w14:paraId="74908B57" w14:textId="77777777" w:rsidR="00D22A9B" w:rsidRDefault="00D22A9B"/>
  </w:footnote>
  <w:footnote w:id="2">
    <w:p w14:paraId="71B72623" w14:textId="77777777" w:rsidR="00051A19" w:rsidRPr="001665EA" w:rsidRDefault="00051A19" w:rsidP="00051A19">
      <w:pPr>
        <w:pStyle w:val="Textonotapie"/>
        <w:ind w:firstLine="708"/>
        <w:jc w:val="both"/>
        <w:rPr>
          <w:rFonts w:ascii="Arial" w:eastAsia="Calibri" w:hAnsi="Arial" w:cs="Arial"/>
          <w:bCs/>
          <w:color w:val="000000" w:themeColor="text1"/>
          <w:sz w:val="16"/>
          <w:szCs w:val="16"/>
          <w:lang w:val="es-ES_tradnl"/>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eastAsia="Calibri" w:hAnsi="Arial" w:cs="Arial"/>
          <w:bCs/>
          <w:color w:val="000000" w:themeColor="text1"/>
          <w:sz w:val="16"/>
          <w:szCs w:val="16"/>
          <w:lang w:val="es-ES_tradnl"/>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A3EF851" w14:textId="77777777" w:rsidR="00051A19" w:rsidRPr="001665EA" w:rsidRDefault="00051A19" w:rsidP="00051A19">
      <w:pPr>
        <w:tabs>
          <w:tab w:val="left" w:pos="709"/>
        </w:tabs>
        <w:spacing w:after="0" w:line="240" w:lineRule="auto"/>
        <w:jc w:val="both"/>
        <w:rPr>
          <w:rFonts w:ascii="Arial" w:hAnsi="Arial" w:cs="Arial"/>
          <w:bCs/>
          <w:color w:val="000000" w:themeColor="text1"/>
          <w:sz w:val="16"/>
          <w:szCs w:val="16"/>
          <w:lang w:val="es-ES_tradnl"/>
        </w:rPr>
      </w:pPr>
      <w:r w:rsidRPr="001665EA">
        <w:rPr>
          <w:rFonts w:ascii="Arial" w:hAnsi="Arial" w:cs="Arial"/>
          <w:bCs/>
          <w:color w:val="000000" w:themeColor="text1"/>
          <w:sz w:val="16"/>
          <w:szCs w:val="16"/>
          <w:lang w:val="es-ES_tradnl"/>
        </w:rPr>
        <w:tab/>
      </w:r>
      <w:r w:rsidRPr="001665EA">
        <w:rPr>
          <w:rFonts w:ascii="Arial" w:hAnsi="Arial" w:cs="Arial"/>
          <w:bCs/>
          <w:color w:val="000000" w:themeColor="text1"/>
          <w:sz w:val="16"/>
          <w:szCs w:val="16"/>
          <w:vertAlign w:val="superscript"/>
          <w:lang w:val="es-ES_tradnl"/>
        </w:rPr>
        <w:footnoteRef/>
      </w:r>
      <w:r w:rsidRPr="001665EA">
        <w:rPr>
          <w:rFonts w:ascii="Arial" w:hAnsi="Arial" w:cs="Arial"/>
          <w:bCs/>
          <w:color w:val="000000" w:themeColor="text1"/>
          <w:sz w:val="16"/>
          <w:szCs w:val="16"/>
          <w:vertAlign w:val="superscript"/>
          <w:lang w:val="es-ES_tradnl"/>
        </w:rPr>
        <w:t xml:space="preserve"> </w:t>
      </w:r>
      <w:r w:rsidRPr="001665EA">
        <w:rPr>
          <w:rFonts w:ascii="Arial" w:hAnsi="Arial" w:cs="Arial"/>
          <w:bCs/>
          <w:color w:val="000000" w:themeColor="text1"/>
          <w:sz w:val="16"/>
          <w:szCs w:val="16"/>
          <w:lang w:val="es-ES_tradnl"/>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no serán de obligatorio cumplimiento o ejecución. De este mandato surgen las siguientes consideraciones: </w:t>
      </w:r>
    </w:p>
    <w:p w14:paraId="7CC8E89B" w14:textId="77777777" w:rsidR="00051A19" w:rsidRPr="001665EA" w:rsidRDefault="00051A19" w:rsidP="00051A19">
      <w:pPr>
        <w:tabs>
          <w:tab w:val="left" w:pos="709"/>
        </w:tabs>
        <w:spacing w:after="0" w:line="240" w:lineRule="auto"/>
        <w:jc w:val="both"/>
        <w:rPr>
          <w:rFonts w:ascii="Arial" w:hAnsi="Arial" w:cs="Arial"/>
          <w:bCs/>
          <w:color w:val="000000" w:themeColor="text1"/>
          <w:sz w:val="16"/>
          <w:szCs w:val="16"/>
          <w:lang w:val="es-ES_tradnl"/>
        </w:rPr>
      </w:pPr>
      <w:r w:rsidRPr="001665EA">
        <w:rPr>
          <w:rFonts w:ascii="Arial" w:hAnsi="Arial" w:cs="Arial"/>
          <w:bCs/>
          <w:color w:val="000000" w:themeColor="text1"/>
          <w:sz w:val="16"/>
          <w:szCs w:val="16"/>
          <w:lang w:val="es-ES_tradnl"/>
        </w:rPr>
        <w:tab/>
      </w:r>
      <w:proofErr w:type="gramStart"/>
      <w:r w:rsidRPr="001665EA">
        <w:rPr>
          <w:rFonts w:ascii="Arial" w:hAnsi="Arial" w:cs="Arial"/>
          <w:bCs/>
          <w:color w:val="000000" w:themeColor="text1"/>
          <w:sz w:val="16"/>
          <w:szCs w:val="16"/>
          <w:lang w:val="es-ES_tradnl"/>
        </w:rPr>
        <w:t>»La</w:t>
      </w:r>
      <w:proofErr w:type="gramEnd"/>
      <w:r w:rsidRPr="001665EA">
        <w:rPr>
          <w:rFonts w:ascii="Arial" w:hAnsi="Arial" w:cs="Arial"/>
          <w:bCs/>
          <w:color w:val="000000" w:themeColor="text1"/>
          <w:sz w:val="16"/>
          <w:szCs w:val="16"/>
          <w:lang w:val="es-ES_tradnl"/>
        </w:rPr>
        <w:t xml:space="preserve">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42907074" w14:textId="77777777" w:rsidR="00051A19" w:rsidRPr="001665EA" w:rsidRDefault="00051A19" w:rsidP="00051A19">
      <w:pPr>
        <w:tabs>
          <w:tab w:val="left" w:pos="709"/>
        </w:tabs>
        <w:spacing w:after="0" w:line="240" w:lineRule="auto"/>
        <w:jc w:val="both"/>
        <w:rPr>
          <w:rFonts w:ascii="Arial" w:hAnsi="Arial" w:cs="Arial"/>
          <w:bCs/>
          <w:color w:val="000000" w:themeColor="text1"/>
          <w:sz w:val="16"/>
          <w:szCs w:val="16"/>
          <w:lang w:val="es-ES_tradnl"/>
        </w:rPr>
      </w:pPr>
      <w:r w:rsidRPr="001665EA">
        <w:rPr>
          <w:rFonts w:ascii="Arial" w:hAnsi="Arial" w:cs="Arial"/>
          <w:bCs/>
          <w:color w:val="000000" w:themeColor="text1"/>
          <w:sz w:val="16"/>
          <w:szCs w:val="16"/>
          <w:lang w:val="es-ES_tradnl"/>
        </w:rPr>
        <w:tab/>
      </w:r>
      <w:proofErr w:type="gramStart"/>
      <w:r w:rsidRPr="001665EA">
        <w:rPr>
          <w:rFonts w:ascii="Arial" w:hAnsi="Arial" w:cs="Arial"/>
          <w:bCs/>
          <w:color w:val="000000" w:themeColor="text1"/>
          <w:sz w:val="16"/>
          <w:szCs w:val="16"/>
          <w:lang w:val="es-ES_tradnl"/>
        </w:rPr>
        <w:t>»La</w:t>
      </w:r>
      <w:proofErr w:type="gramEnd"/>
      <w:r w:rsidRPr="001665EA">
        <w:rPr>
          <w:rFonts w:ascii="Arial" w:hAnsi="Arial" w:cs="Arial"/>
          <w:bCs/>
          <w:color w:val="000000" w:themeColor="text1"/>
          <w:sz w:val="16"/>
          <w:szCs w:val="16"/>
          <w:lang w:val="es-ES_tradnl"/>
        </w:rPr>
        <w:t xml:space="preserve">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681ECCD2" w14:textId="36FFAD36" w:rsidR="00051A19" w:rsidRPr="001665EA" w:rsidRDefault="00051A19" w:rsidP="00051A19">
      <w:pPr>
        <w:pStyle w:val="Textonotapie"/>
        <w:ind w:firstLine="708"/>
        <w:jc w:val="both"/>
        <w:rPr>
          <w:rFonts w:ascii="Arial" w:eastAsia="Calibri" w:hAnsi="Arial" w:cs="Arial"/>
          <w:bCs/>
          <w:color w:val="000000" w:themeColor="text1"/>
          <w:sz w:val="16"/>
          <w:szCs w:val="16"/>
          <w:lang w:val="es-ES_tradnl"/>
        </w:rPr>
      </w:pPr>
      <w:proofErr w:type="gramStart"/>
      <w:r w:rsidRPr="001665EA">
        <w:rPr>
          <w:rFonts w:ascii="Arial" w:eastAsia="Calibri" w:hAnsi="Arial" w:cs="Arial"/>
          <w:bCs/>
          <w:color w:val="000000" w:themeColor="text1"/>
          <w:sz w:val="16"/>
          <w:szCs w:val="16"/>
          <w:lang w:val="es-ES_tradnl"/>
        </w:rPr>
        <w:t>»La</w:t>
      </w:r>
      <w:proofErr w:type="gramEnd"/>
      <w:r w:rsidRPr="001665EA">
        <w:rPr>
          <w:rFonts w:ascii="Arial" w:eastAsia="Calibri" w:hAnsi="Arial" w:cs="Arial"/>
          <w:bCs/>
          <w:color w:val="000000" w:themeColor="text1"/>
          <w:sz w:val="16"/>
          <w:szCs w:val="16"/>
          <w:lang w:val="es-ES_tradnl"/>
        </w:rPr>
        <w:t xml:space="preserve">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ARBOLEDA PERDOMO, Enrique José. Comentarios al Nuevo Código de Procedimiento Administrativo y de lo Contencioso Administrativo (2ª ed.). Editorial Legis. Bogotá. 2012. p.59.</w:t>
      </w:r>
    </w:p>
  </w:footnote>
  <w:footnote w:id="4">
    <w:p w14:paraId="307FFA3A" w14:textId="28E24D81" w:rsidR="00DB209F" w:rsidRPr="001665EA" w:rsidRDefault="00DB209F" w:rsidP="00E438B9">
      <w:pPr>
        <w:pStyle w:val="Textonotapie"/>
        <w:ind w:firstLine="709"/>
        <w:jc w:val="both"/>
        <w:rPr>
          <w:rFonts w:ascii="Arial" w:hAnsi="Arial" w:cs="Arial"/>
          <w:sz w:val="16"/>
          <w:szCs w:val="16"/>
          <w:lang w:val="es-CO"/>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eastAsia="Calibri" w:hAnsi="Arial" w:cs="Arial"/>
          <w:bCs/>
          <w:color w:val="000000" w:themeColor="text1"/>
          <w:sz w:val="16"/>
          <w:szCs w:val="16"/>
          <w:lang w:val="es-ES_tradnl"/>
        </w:rPr>
        <w:t xml:space="preserve">Estos conceptos pueden ser consultados en la Relatoría de esta Agencia en el siguiente </w:t>
      </w:r>
      <w:proofErr w:type="gramStart"/>
      <w:r w:rsidRPr="001665EA">
        <w:rPr>
          <w:rFonts w:ascii="Arial" w:eastAsia="Calibri" w:hAnsi="Arial" w:cs="Arial"/>
          <w:bCs/>
          <w:color w:val="000000" w:themeColor="text1"/>
          <w:sz w:val="16"/>
          <w:szCs w:val="16"/>
          <w:lang w:val="es-ES_tradnl"/>
        </w:rPr>
        <w:t>Link</w:t>
      </w:r>
      <w:proofErr w:type="gramEnd"/>
      <w:r w:rsidRPr="001665EA">
        <w:rPr>
          <w:rFonts w:ascii="Arial" w:eastAsia="Calibri" w:hAnsi="Arial" w:cs="Arial"/>
          <w:bCs/>
          <w:color w:val="000000" w:themeColor="text1"/>
          <w:sz w:val="16"/>
          <w:szCs w:val="16"/>
          <w:lang w:val="es-ES_tradnl"/>
        </w:rPr>
        <w:t>: https://relatoria.colombiacompra.gov.co/busqueda/conceptos</w:t>
      </w:r>
    </w:p>
  </w:footnote>
  <w:footnote w:id="5">
    <w:p w14:paraId="1FE55B18" w14:textId="77777777" w:rsidR="00A2562F" w:rsidRPr="001665EA" w:rsidRDefault="00A2562F" w:rsidP="00A2562F">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MEDINA LÓPEZ, Diego Eduardo. El derecho de los jueces: obligatoriedad del precedente constitucional, análisis de sentencias y líneas jurisprudenciales y teoría del derecho judicial. Bogotá: Legis, 2006.</w:t>
      </w:r>
    </w:p>
    <w:p w14:paraId="3CE46A68" w14:textId="77777777" w:rsidR="00A2562F" w:rsidRPr="001665EA" w:rsidRDefault="00A2562F" w:rsidP="00A2562F">
      <w:pPr>
        <w:pStyle w:val="Textonotapie"/>
        <w:ind w:firstLine="709"/>
        <w:jc w:val="both"/>
        <w:rPr>
          <w:rFonts w:ascii="Arial" w:hAnsi="Arial" w:cs="Arial"/>
          <w:color w:val="000000" w:themeColor="text1"/>
          <w:sz w:val="16"/>
          <w:szCs w:val="16"/>
        </w:rPr>
      </w:pPr>
    </w:p>
  </w:footnote>
  <w:footnote w:id="6">
    <w:p w14:paraId="21D2E496" w14:textId="77777777" w:rsidR="00A2562F" w:rsidRPr="001665EA" w:rsidRDefault="00A2562F" w:rsidP="00A2562F">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w:t>
      </w:r>
      <w:r w:rsidRPr="001665EA">
        <w:rPr>
          <w:rFonts w:ascii="Arial" w:hAnsi="Arial" w:cs="Arial"/>
          <w:color w:val="000000" w:themeColor="text1"/>
          <w:sz w:val="16"/>
          <w:szCs w:val="16"/>
        </w:rPr>
        <w:t xml:space="preserve"> </w:t>
      </w:r>
    </w:p>
    <w:p w14:paraId="329808F0" w14:textId="77777777" w:rsidR="00A2562F" w:rsidRPr="001665EA" w:rsidRDefault="00A2562F" w:rsidP="00A2562F">
      <w:pPr>
        <w:pStyle w:val="Textonotapie"/>
        <w:ind w:firstLine="709"/>
        <w:jc w:val="both"/>
        <w:rPr>
          <w:rFonts w:ascii="Arial" w:hAnsi="Arial" w:cs="Arial"/>
          <w:color w:val="000000" w:themeColor="text1"/>
          <w:sz w:val="16"/>
          <w:szCs w:val="16"/>
        </w:rPr>
      </w:pPr>
    </w:p>
  </w:footnote>
  <w:footnote w:id="7">
    <w:p w14:paraId="0D9BACBE" w14:textId="77777777" w:rsidR="00A2562F" w:rsidRPr="001665EA" w:rsidRDefault="00A2562F" w:rsidP="00A2562F">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CONSEJO DE ESTADO. Sección Tercera. Auto del 20 de agosto de 1998. Exp. 14.202.  C.P. Juan de Dios Montes Bermúdez.</w:t>
      </w:r>
      <w:r w:rsidRPr="001665EA">
        <w:rPr>
          <w:rFonts w:ascii="Arial" w:hAnsi="Arial" w:cs="Arial"/>
          <w:color w:val="000000" w:themeColor="text1"/>
          <w:sz w:val="16"/>
          <w:szCs w:val="16"/>
        </w:rPr>
        <w:t xml:space="preserve"> </w:t>
      </w:r>
    </w:p>
  </w:footnote>
  <w:footnote w:id="8">
    <w:p w14:paraId="3090D2EB" w14:textId="77777777" w:rsidR="00471351" w:rsidRPr="001665EA" w:rsidRDefault="00A2562F" w:rsidP="00471351">
      <w:pPr>
        <w:pStyle w:val="Textonotapie"/>
        <w:ind w:firstLine="709"/>
        <w:jc w:val="both"/>
        <w:rPr>
          <w:rFonts w:ascii="Arial" w:eastAsia="Calibri" w:hAnsi="Arial" w:cs="Arial"/>
          <w:bCs/>
          <w:color w:val="000000" w:themeColor="text1"/>
          <w:sz w:val="16"/>
          <w:szCs w:val="16"/>
          <w:lang w:val="es-ES_tradnl"/>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bookmarkStart w:id="4" w:name="66"/>
      <w:r w:rsidRPr="001665EA">
        <w:rPr>
          <w:rFonts w:ascii="Arial" w:hAnsi="Arial" w:cs="Arial"/>
          <w:color w:val="000000" w:themeColor="text1"/>
          <w:sz w:val="16"/>
          <w:szCs w:val="16"/>
        </w:rPr>
        <w:t>«</w:t>
      </w:r>
      <w:r w:rsidRPr="001665EA">
        <w:rPr>
          <w:rFonts w:ascii="Arial" w:eastAsia="Calibri" w:hAnsi="Arial" w:cs="Arial"/>
          <w:bCs/>
          <w:color w:val="000000" w:themeColor="text1"/>
          <w:sz w:val="16"/>
          <w:szCs w:val="16"/>
          <w:lang w:val="es-ES_tradnl"/>
        </w:rPr>
        <w:t>Artículo 66. Medidas especiales de contratación.</w:t>
      </w:r>
      <w:bookmarkEnd w:id="4"/>
      <w:r w:rsidRPr="001665EA">
        <w:rPr>
          <w:rFonts w:ascii="Arial" w:eastAsia="Calibri" w:hAnsi="Arial" w:cs="Arial"/>
          <w:bCs/>
          <w:color w:val="000000" w:themeColor="text1"/>
          <w:sz w:val="16"/>
          <w:szCs w:val="16"/>
          <w:lang w:val="es-ES_tradnl"/>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1665EA">
          <w:rPr>
            <w:rFonts w:ascii="Arial" w:eastAsia="Calibri" w:hAnsi="Arial" w:cs="Arial"/>
            <w:bCs/>
            <w:sz w:val="16"/>
            <w:szCs w:val="16"/>
            <w:lang w:val="es-ES_tradnl"/>
          </w:rPr>
          <w:t>13</w:t>
        </w:r>
      </w:hyperlink>
      <w:r w:rsidRPr="001665EA">
        <w:rPr>
          <w:rFonts w:ascii="Arial" w:eastAsia="Calibri" w:hAnsi="Arial" w:cs="Arial"/>
          <w:bCs/>
          <w:color w:val="000000" w:themeColor="text1"/>
          <w:sz w:val="16"/>
          <w:szCs w:val="16"/>
          <w:lang w:val="es-ES_tradnl"/>
        </w:rPr>
        <w:t> de la Ley 1150 de 2007, y podrán contemplar cláusulas excepcionales de conformidad con lo dispuesto en los artículos </w:t>
      </w:r>
      <w:hyperlink r:id="rId2" w:anchor="14" w:history="1">
        <w:r w:rsidRPr="001665EA">
          <w:rPr>
            <w:rFonts w:ascii="Arial" w:eastAsia="Calibri" w:hAnsi="Arial" w:cs="Arial"/>
            <w:bCs/>
            <w:sz w:val="16"/>
            <w:szCs w:val="16"/>
            <w:lang w:val="es-ES_tradnl"/>
          </w:rPr>
          <w:t>14</w:t>
        </w:r>
      </w:hyperlink>
      <w:r w:rsidRPr="001665EA">
        <w:rPr>
          <w:rFonts w:ascii="Arial" w:eastAsia="Calibri" w:hAnsi="Arial" w:cs="Arial"/>
          <w:bCs/>
          <w:color w:val="000000" w:themeColor="text1"/>
          <w:sz w:val="16"/>
          <w:szCs w:val="16"/>
          <w:lang w:val="es-ES_tradnl"/>
        </w:rPr>
        <w:t> a </w:t>
      </w:r>
      <w:hyperlink r:id="rId3" w:anchor="18" w:history="1">
        <w:r w:rsidRPr="001665EA">
          <w:rPr>
            <w:rFonts w:ascii="Arial" w:eastAsia="Calibri" w:hAnsi="Arial" w:cs="Arial"/>
            <w:bCs/>
            <w:sz w:val="16"/>
            <w:szCs w:val="16"/>
            <w:lang w:val="es-ES_tradnl"/>
          </w:rPr>
          <w:t>18</w:t>
        </w:r>
      </w:hyperlink>
      <w:r w:rsidRPr="001665EA">
        <w:rPr>
          <w:rFonts w:ascii="Arial" w:eastAsia="Calibri" w:hAnsi="Arial" w:cs="Arial"/>
          <w:bCs/>
          <w:color w:val="000000" w:themeColor="text1"/>
          <w:sz w:val="16"/>
          <w:szCs w:val="16"/>
          <w:lang w:val="es-ES_tradnl"/>
        </w:rPr>
        <w:t> de la Ley 80 de 1993.</w:t>
      </w:r>
    </w:p>
    <w:p w14:paraId="0F676F84" w14:textId="0C2CDFC2" w:rsidR="00A2562F" w:rsidRPr="001665EA" w:rsidRDefault="00A2562F" w:rsidP="00471351">
      <w:pPr>
        <w:pStyle w:val="Textonotapie"/>
        <w:ind w:firstLine="709"/>
        <w:jc w:val="both"/>
        <w:rPr>
          <w:rFonts w:ascii="Arial" w:hAnsi="Arial" w:cs="Arial"/>
          <w:color w:val="000000" w:themeColor="text1"/>
          <w:sz w:val="16"/>
          <w:szCs w:val="16"/>
        </w:rPr>
      </w:pPr>
      <w:r w:rsidRPr="001665EA">
        <w:rPr>
          <w:rFonts w:ascii="Arial" w:eastAsia="Calibri" w:hAnsi="Arial" w:cs="Arial"/>
          <w:bCs/>
          <w:color w:val="000000" w:themeColor="text1"/>
          <w:sz w:val="16"/>
          <w:szCs w:val="16"/>
          <w:lang w:val="es-ES_tradnl"/>
        </w:rPr>
        <w:t>» PARÁGRAFO.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1665EA">
          <w:rPr>
            <w:rFonts w:ascii="Arial" w:eastAsia="Calibri" w:hAnsi="Arial" w:cs="Arial"/>
            <w:bCs/>
            <w:sz w:val="16"/>
            <w:szCs w:val="16"/>
            <w:lang w:val="es-ES_tradnl"/>
          </w:rPr>
          <w:t>42</w:t>
        </w:r>
      </w:hyperlink>
      <w:r w:rsidRPr="001665EA">
        <w:rPr>
          <w:rFonts w:ascii="Arial" w:eastAsia="Calibri" w:hAnsi="Arial" w:cs="Arial"/>
          <w:bCs/>
          <w:color w:val="000000" w:themeColor="text1"/>
          <w:sz w:val="16"/>
          <w:szCs w:val="16"/>
          <w:lang w:val="es-ES_tradnl"/>
        </w:rPr>
        <w:t> y </w:t>
      </w:r>
      <w:hyperlink r:id="rId5" w:anchor="43" w:history="1">
        <w:r w:rsidRPr="001665EA">
          <w:rPr>
            <w:rFonts w:ascii="Arial" w:eastAsia="Calibri" w:hAnsi="Arial" w:cs="Arial"/>
            <w:bCs/>
            <w:sz w:val="16"/>
            <w:szCs w:val="16"/>
            <w:lang w:val="es-ES_tradnl"/>
          </w:rPr>
          <w:t>43</w:t>
        </w:r>
      </w:hyperlink>
      <w:r w:rsidRPr="001665EA">
        <w:rPr>
          <w:rFonts w:ascii="Arial" w:eastAsia="Calibri" w:hAnsi="Arial" w:cs="Arial"/>
          <w:bCs/>
          <w:color w:val="000000" w:themeColor="text1"/>
          <w:sz w:val="16"/>
          <w:szCs w:val="16"/>
          <w:lang w:val="es-ES_tradnl"/>
        </w:rPr>
        <w:t> de la Ley 80 de 1993 y demás normas que la modifiquen».</w:t>
      </w:r>
    </w:p>
  </w:footnote>
  <w:footnote w:id="9">
    <w:p w14:paraId="0E9BE39F" w14:textId="77777777" w:rsidR="00A2562F" w:rsidRPr="001665EA" w:rsidRDefault="00A2562F" w:rsidP="00A2562F">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CONSEJO DE ESTADO. Sección Tercera. Subsección A. Sentencia del 24 de octubre de 2016. Exp. 45.607. C.P. Marta Nubia Velásquez Rico.</w:t>
      </w:r>
    </w:p>
    <w:p w14:paraId="0D77FFF7" w14:textId="77777777" w:rsidR="00A2562F" w:rsidRPr="001665EA" w:rsidRDefault="00A2562F" w:rsidP="00A2562F">
      <w:pPr>
        <w:pStyle w:val="Textonotapie"/>
        <w:ind w:firstLine="709"/>
        <w:jc w:val="both"/>
        <w:rPr>
          <w:rFonts w:ascii="Arial" w:hAnsi="Arial" w:cs="Arial"/>
          <w:color w:val="000000" w:themeColor="text1"/>
          <w:sz w:val="16"/>
          <w:szCs w:val="16"/>
          <w:lang w:val="es-ES"/>
        </w:rPr>
      </w:pPr>
    </w:p>
  </w:footnote>
  <w:footnote w:id="10">
    <w:p w14:paraId="2C6A8659" w14:textId="77777777" w:rsidR="00A2562F" w:rsidRPr="001665EA" w:rsidRDefault="00A2562F" w:rsidP="00A2562F">
      <w:pPr>
        <w:pStyle w:val="Textonotapie"/>
        <w:ind w:firstLine="708"/>
        <w:jc w:val="both"/>
        <w:rPr>
          <w:rFonts w:ascii="Arial" w:eastAsia="Calibri" w:hAnsi="Arial" w:cs="Arial"/>
          <w:bCs/>
          <w:color w:val="000000" w:themeColor="text1"/>
          <w:sz w:val="16"/>
          <w:szCs w:val="16"/>
          <w:lang w:val="es-ES_tradnl"/>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 xml:space="preserve">HINESTROSA FORERO, Fernando. Tratado de las Obligaciones II. De las fuentes de las obligaciones: el negocio jurídico. Volumen I. Bogotá: Universidad Externado de Colombia, 2015. p. 116.  </w:t>
      </w:r>
    </w:p>
    <w:p w14:paraId="0DB0D3C2" w14:textId="77777777" w:rsidR="00A2562F" w:rsidRPr="001665EA" w:rsidRDefault="00A2562F" w:rsidP="00A2562F">
      <w:pPr>
        <w:pStyle w:val="Textonotapie"/>
        <w:ind w:firstLine="708"/>
        <w:jc w:val="both"/>
        <w:rPr>
          <w:rFonts w:ascii="Arial" w:hAnsi="Arial" w:cs="Arial"/>
          <w:color w:val="000000" w:themeColor="text1"/>
          <w:sz w:val="16"/>
          <w:szCs w:val="16"/>
          <w:lang w:val="es-ES"/>
        </w:rPr>
      </w:pPr>
    </w:p>
  </w:footnote>
  <w:footnote w:id="11">
    <w:p w14:paraId="53B881A2" w14:textId="77777777" w:rsidR="00A2562F" w:rsidRPr="001665EA" w:rsidRDefault="00A2562F" w:rsidP="00A2562F">
      <w:pPr>
        <w:pStyle w:val="Textonotapie"/>
        <w:ind w:firstLine="708"/>
        <w:jc w:val="both"/>
        <w:rPr>
          <w:rFonts w:ascii="Arial" w:hAnsi="Arial" w:cs="Arial"/>
          <w:sz w:val="16"/>
          <w:szCs w:val="16"/>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eastAsia="Calibri" w:hAnsi="Arial" w:cs="Arial"/>
          <w:bCs/>
          <w:color w:val="000000" w:themeColor="text1"/>
          <w:sz w:val="16"/>
          <w:szCs w:val="16"/>
          <w:lang w:val="es-ES_tradnl"/>
        </w:rPr>
        <w:t>Cfr. Colombia Compra Eficiente. Subdirección de Gestión Contractual. Concepto C-362 del 3 de julio de 2020. Pág. 9.</w:t>
      </w:r>
    </w:p>
    <w:p w14:paraId="6851FA9E" w14:textId="77777777" w:rsidR="00A2562F" w:rsidRPr="001665EA" w:rsidRDefault="00A2562F" w:rsidP="00A2562F">
      <w:pPr>
        <w:pStyle w:val="Textonotapie"/>
        <w:ind w:firstLine="708"/>
        <w:jc w:val="both"/>
        <w:rPr>
          <w:rFonts w:ascii="Arial" w:hAnsi="Arial" w:cs="Arial"/>
          <w:sz w:val="16"/>
          <w:szCs w:val="16"/>
        </w:rPr>
      </w:pPr>
    </w:p>
  </w:footnote>
  <w:footnote w:id="12">
    <w:p w14:paraId="2C086647" w14:textId="77777777" w:rsidR="00A2562F" w:rsidRPr="001665EA" w:rsidRDefault="00A2562F" w:rsidP="00090A44">
      <w:pPr>
        <w:spacing w:after="0" w:line="240" w:lineRule="auto"/>
        <w:ind w:firstLine="709"/>
        <w:jc w:val="both"/>
        <w:rPr>
          <w:rFonts w:ascii="Arial" w:hAnsi="Arial" w:cs="Arial"/>
          <w:bCs/>
          <w:color w:val="000000" w:themeColor="text1"/>
          <w:sz w:val="16"/>
          <w:szCs w:val="16"/>
          <w:lang w:val="es-ES_tradnl"/>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hAnsi="Arial" w:cs="Arial"/>
          <w:bCs/>
          <w:color w:val="000000" w:themeColor="text1"/>
          <w:sz w:val="16"/>
          <w:szCs w:val="16"/>
          <w:lang w:val="es-ES_tradnl"/>
        </w:rPr>
        <w:t>«La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w:t>
      </w:r>
    </w:p>
    <w:p w14:paraId="59487454" w14:textId="77777777" w:rsidR="00A2562F" w:rsidRPr="001665EA" w:rsidRDefault="00A2562F" w:rsidP="00090A44">
      <w:pPr>
        <w:spacing w:after="0" w:line="240" w:lineRule="auto"/>
        <w:ind w:firstLine="709"/>
        <w:jc w:val="both"/>
        <w:rPr>
          <w:rFonts w:ascii="Arial" w:hAnsi="Arial" w:cs="Arial"/>
          <w:bCs/>
          <w:color w:val="000000" w:themeColor="text1"/>
          <w:sz w:val="16"/>
          <w:szCs w:val="16"/>
          <w:lang w:val="es-ES_tradnl"/>
        </w:rPr>
      </w:pPr>
      <w:r w:rsidRPr="001665EA">
        <w:rPr>
          <w:rFonts w:ascii="Arial" w:hAnsi="Arial" w:cs="Arial"/>
          <w:bCs/>
          <w:color w:val="000000" w:themeColor="text1"/>
          <w:sz w:val="16"/>
          <w:szCs w:val="16"/>
          <w:lang w:val="es-ES_tradnl"/>
        </w:rPr>
        <w:t>» 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w:t>
      </w:r>
    </w:p>
    <w:p w14:paraId="4BA39FBE" w14:textId="77777777" w:rsidR="00A2562F" w:rsidRPr="001665EA" w:rsidRDefault="00A2562F" w:rsidP="00090A44">
      <w:pPr>
        <w:spacing w:after="0" w:line="240" w:lineRule="auto"/>
        <w:ind w:firstLine="709"/>
        <w:jc w:val="both"/>
        <w:rPr>
          <w:rFonts w:ascii="Arial" w:hAnsi="Arial" w:cs="Arial"/>
          <w:sz w:val="16"/>
          <w:szCs w:val="16"/>
        </w:rPr>
      </w:pPr>
      <w:r w:rsidRPr="001665EA">
        <w:rPr>
          <w:rFonts w:ascii="Arial" w:hAnsi="Arial" w:cs="Arial"/>
          <w:bCs/>
          <w:color w:val="000000" w:themeColor="text1"/>
          <w:sz w:val="16"/>
          <w:szCs w:val="16"/>
          <w:lang w:val="es-ES_tradnl"/>
        </w:rPr>
        <w:t>» Esta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3">
    <w:p w14:paraId="5F342512" w14:textId="77777777" w:rsidR="00A2562F" w:rsidRPr="001665EA" w:rsidRDefault="00A2562F" w:rsidP="00A2562F">
      <w:pPr>
        <w:pStyle w:val="Textonotapie"/>
        <w:ind w:firstLine="708"/>
        <w:jc w:val="both"/>
        <w:rPr>
          <w:rFonts w:ascii="Arial" w:hAnsi="Arial" w:cs="Arial"/>
          <w:sz w:val="16"/>
          <w:szCs w:val="16"/>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eastAsia="Calibri" w:hAnsi="Arial" w:cs="Arial"/>
          <w:bCs/>
          <w:color w:val="000000" w:themeColor="text1"/>
          <w:sz w:val="16"/>
          <w:szCs w:val="16"/>
          <w:lang w:val="es-ES_tradnl"/>
        </w:rPr>
        <w:t>Ibíd.</w:t>
      </w:r>
      <w:r w:rsidRPr="001665EA">
        <w:rPr>
          <w:rFonts w:ascii="Arial" w:hAnsi="Arial" w:cs="Arial"/>
          <w:sz w:val="16"/>
          <w:szCs w:val="16"/>
        </w:rPr>
        <w:t xml:space="preserve"> </w:t>
      </w:r>
    </w:p>
    <w:p w14:paraId="6E7F16B4" w14:textId="77777777" w:rsidR="00A2562F" w:rsidRPr="001665EA" w:rsidRDefault="00A2562F" w:rsidP="00A2562F">
      <w:pPr>
        <w:pStyle w:val="Textonotapie"/>
        <w:ind w:firstLine="708"/>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587013D"/>
    <w:multiLevelType w:val="multilevel"/>
    <w:tmpl w:val="3E6284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2"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5"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5"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500619A"/>
    <w:multiLevelType w:val="multilevel"/>
    <w:tmpl w:val="3F92292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5D96BB5"/>
    <w:multiLevelType w:val="hybridMultilevel"/>
    <w:tmpl w:val="A8E62E50"/>
    <w:lvl w:ilvl="0" w:tplc="B60A392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8B1027"/>
    <w:multiLevelType w:val="multilevel"/>
    <w:tmpl w:val="AD88DB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20"/>
  </w:num>
  <w:num w:numId="2" w16cid:durableId="1478569355">
    <w:abstractNumId w:val="18"/>
  </w:num>
  <w:num w:numId="3" w16cid:durableId="1952978564">
    <w:abstractNumId w:val="30"/>
  </w:num>
  <w:num w:numId="4" w16cid:durableId="1315186126">
    <w:abstractNumId w:val="36"/>
  </w:num>
  <w:num w:numId="5" w16cid:durableId="1309093109">
    <w:abstractNumId w:val="42"/>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7"/>
  </w:num>
  <w:num w:numId="8" w16cid:durableId="1008755670">
    <w:abstractNumId w:val="3"/>
  </w:num>
  <w:num w:numId="9" w16cid:durableId="65764095">
    <w:abstractNumId w:val="12"/>
  </w:num>
  <w:num w:numId="10" w16cid:durableId="1349602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9"/>
  </w:num>
  <w:num w:numId="13" w16cid:durableId="1145464557">
    <w:abstractNumId w:val="26"/>
  </w:num>
  <w:num w:numId="14" w16cid:durableId="848450862">
    <w:abstractNumId w:val="15"/>
  </w:num>
  <w:num w:numId="15" w16cid:durableId="1912150784">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4"/>
  </w:num>
  <w:num w:numId="18" w16cid:durableId="718556045">
    <w:abstractNumId w:val="31"/>
  </w:num>
  <w:num w:numId="19" w16cid:durableId="2109496769">
    <w:abstractNumId w:val="11"/>
  </w:num>
  <w:num w:numId="20" w16cid:durableId="1574777690">
    <w:abstractNumId w:val="45"/>
  </w:num>
  <w:num w:numId="21" w16cid:durableId="343829570">
    <w:abstractNumId w:val="33"/>
  </w:num>
  <w:num w:numId="22" w16cid:durableId="1521091477">
    <w:abstractNumId w:val="14"/>
  </w:num>
  <w:num w:numId="23" w16cid:durableId="1406491540">
    <w:abstractNumId w:val="13"/>
  </w:num>
  <w:num w:numId="24" w16cid:durableId="216599317">
    <w:abstractNumId w:val="38"/>
  </w:num>
  <w:num w:numId="25" w16cid:durableId="706416597">
    <w:abstractNumId w:val="22"/>
  </w:num>
  <w:num w:numId="26" w16cid:durableId="270862301">
    <w:abstractNumId w:val="43"/>
  </w:num>
  <w:num w:numId="27" w16cid:durableId="1795712713">
    <w:abstractNumId w:val="47"/>
  </w:num>
  <w:num w:numId="28" w16cid:durableId="969941319">
    <w:abstractNumId w:val="27"/>
  </w:num>
  <w:num w:numId="29" w16cid:durableId="1808891589">
    <w:abstractNumId w:val="2"/>
  </w:num>
  <w:num w:numId="30" w16cid:durableId="1508400274">
    <w:abstractNumId w:val="32"/>
  </w:num>
  <w:num w:numId="31" w16cid:durableId="1848517314">
    <w:abstractNumId w:val="23"/>
  </w:num>
  <w:num w:numId="32" w16cid:durableId="1225678077">
    <w:abstractNumId w:val="35"/>
  </w:num>
  <w:num w:numId="33" w16cid:durableId="283007414">
    <w:abstractNumId w:val="46"/>
  </w:num>
  <w:num w:numId="34" w16cid:durableId="669528079">
    <w:abstractNumId w:val="21"/>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7"/>
    <w:lvlOverride w:ilvl="0"/>
    <w:lvlOverride w:ilvl="1">
      <w:startOverride w:val="1"/>
    </w:lvlOverride>
    <w:lvlOverride w:ilvl="2"/>
    <w:lvlOverride w:ilvl="3"/>
    <w:lvlOverride w:ilvl="4"/>
    <w:lvlOverride w:ilvl="5"/>
    <w:lvlOverride w:ilvl="6"/>
    <w:lvlOverride w:ilvl="7"/>
    <w:lvlOverride w:ilvl="8"/>
  </w:num>
  <w:num w:numId="42" w16cid:durableId="541553631">
    <w:abstractNumId w:val="40"/>
  </w:num>
  <w:num w:numId="43" w16cid:durableId="14161699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41"/>
  </w:num>
  <w:num w:numId="45" w16cid:durableId="1544950817">
    <w:abstractNumId w:val="10"/>
  </w:num>
  <w:num w:numId="46" w16cid:durableId="1353874905">
    <w:abstractNumId w:val="25"/>
  </w:num>
  <w:num w:numId="47" w16cid:durableId="1807813370">
    <w:abstractNumId w:val="29"/>
  </w:num>
  <w:num w:numId="48" w16cid:durableId="618744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54639092">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3547004">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29E6"/>
    <w:rsid w:val="00023DAE"/>
    <w:rsid w:val="00023FA5"/>
    <w:rsid w:val="00024592"/>
    <w:rsid w:val="00024896"/>
    <w:rsid w:val="00024C2F"/>
    <w:rsid w:val="00025065"/>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1A19"/>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3DE"/>
    <w:rsid w:val="00070AF1"/>
    <w:rsid w:val="00070B59"/>
    <w:rsid w:val="000714DE"/>
    <w:rsid w:val="0007191B"/>
    <w:rsid w:val="0007254F"/>
    <w:rsid w:val="000726D1"/>
    <w:rsid w:val="00073C30"/>
    <w:rsid w:val="00074305"/>
    <w:rsid w:val="00074B2A"/>
    <w:rsid w:val="00075057"/>
    <w:rsid w:val="00075108"/>
    <w:rsid w:val="00075A47"/>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2F2"/>
    <w:rsid w:val="00082B74"/>
    <w:rsid w:val="00083099"/>
    <w:rsid w:val="00083222"/>
    <w:rsid w:val="00083EDC"/>
    <w:rsid w:val="00083EE6"/>
    <w:rsid w:val="000847C0"/>
    <w:rsid w:val="00084873"/>
    <w:rsid w:val="00084B97"/>
    <w:rsid w:val="0008508B"/>
    <w:rsid w:val="0008510E"/>
    <w:rsid w:val="000856DE"/>
    <w:rsid w:val="00085F17"/>
    <w:rsid w:val="00085FB3"/>
    <w:rsid w:val="0008686B"/>
    <w:rsid w:val="00086B2A"/>
    <w:rsid w:val="00086ED2"/>
    <w:rsid w:val="00090A44"/>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3F7E"/>
    <w:rsid w:val="000B419B"/>
    <w:rsid w:val="000B4716"/>
    <w:rsid w:val="000B5781"/>
    <w:rsid w:val="000B5891"/>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70CD"/>
    <w:rsid w:val="000F7239"/>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3EA2"/>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4CED"/>
    <w:rsid w:val="00125340"/>
    <w:rsid w:val="0012572D"/>
    <w:rsid w:val="00125BED"/>
    <w:rsid w:val="00125C59"/>
    <w:rsid w:val="00125D4F"/>
    <w:rsid w:val="00126825"/>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577C5"/>
    <w:rsid w:val="00160401"/>
    <w:rsid w:val="00160D4E"/>
    <w:rsid w:val="00161E62"/>
    <w:rsid w:val="00161F1C"/>
    <w:rsid w:val="0016200B"/>
    <w:rsid w:val="00162AEC"/>
    <w:rsid w:val="00163D7A"/>
    <w:rsid w:val="00164281"/>
    <w:rsid w:val="00164AF1"/>
    <w:rsid w:val="001654DF"/>
    <w:rsid w:val="001665EA"/>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F27"/>
    <w:rsid w:val="001850E6"/>
    <w:rsid w:val="0018519B"/>
    <w:rsid w:val="001857D6"/>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28A"/>
    <w:rsid w:val="001A0AF8"/>
    <w:rsid w:val="001A18D5"/>
    <w:rsid w:val="001A192C"/>
    <w:rsid w:val="001A1D4A"/>
    <w:rsid w:val="001A238C"/>
    <w:rsid w:val="001A2BDB"/>
    <w:rsid w:val="001A3011"/>
    <w:rsid w:val="001A325B"/>
    <w:rsid w:val="001A351F"/>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2B27"/>
    <w:rsid w:val="001B40C7"/>
    <w:rsid w:val="001B449C"/>
    <w:rsid w:val="001B4AA2"/>
    <w:rsid w:val="001B4ADE"/>
    <w:rsid w:val="001B5C86"/>
    <w:rsid w:val="001B5EF8"/>
    <w:rsid w:val="001C027C"/>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25F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4ABA"/>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784"/>
    <w:rsid w:val="002459A9"/>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7E2"/>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6D5"/>
    <w:rsid w:val="00262A26"/>
    <w:rsid w:val="0026306A"/>
    <w:rsid w:val="00263101"/>
    <w:rsid w:val="00263201"/>
    <w:rsid w:val="00263336"/>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0929"/>
    <w:rsid w:val="002912D3"/>
    <w:rsid w:val="00291784"/>
    <w:rsid w:val="002929BB"/>
    <w:rsid w:val="00292E64"/>
    <w:rsid w:val="002932BA"/>
    <w:rsid w:val="00293669"/>
    <w:rsid w:val="00294368"/>
    <w:rsid w:val="00294B78"/>
    <w:rsid w:val="00295646"/>
    <w:rsid w:val="002957FA"/>
    <w:rsid w:val="00295820"/>
    <w:rsid w:val="00295949"/>
    <w:rsid w:val="0029624A"/>
    <w:rsid w:val="00296922"/>
    <w:rsid w:val="0029697C"/>
    <w:rsid w:val="00296EAF"/>
    <w:rsid w:val="00296F71"/>
    <w:rsid w:val="00297098"/>
    <w:rsid w:val="002A05D4"/>
    <w:rsid w:val="002A09FF"/>
    <w:rsid w:val="002A0C01"/>
    <w:rsid w:val="002A0E60"/>
    <w:rsid w:val="002A1588"/>
    <w:rsid w:val="002A1A58"/>
    <w:rsid w:val="002A1B02"/>
    <w:rsid w:val="002A1C53"/>
    <w:rsid w:val="002A28FC"/>
    <w:rsid w:val="002A2B44"/>
    <w:rsid w:val="002A2EA5"/>
    <w:rsid w:val="002A377F"/>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2EF"/>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4B5E"/>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24"/>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1AB"/>
    <w:rsid w:val="003254F5"/>
    <w:rsid w:val="00325D98"/>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90088"/>
    <w:rsid w:val="003902B1"/>
    <w:rsid w:val="003903B6"/>
    <w:rsid w:val="00390F32"/>
    <w:rsid w:val="0039135E"/>
    <w:rsid w:val="00391BE4"/>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6F6D"/>
    <w:rsid w:val="003E71CD"/>
    <w:rsid w:val="003E74E5"/>
    <w:rsid w:val="003E76DF"/>
    <w:rsid w:val="003E78DA"/>
    <w:rsid w:val="003E7A8B"/>
    <w:rsid w:val="003E7DF5"/>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14C"/>
    <w:rsid w:val="0041259F"/>
    <w:rsid w:val="00412B4D"/>
    <w:rsid w:val="00412BBF"/>
    <w:rsid w:val="00412C51"/>
    <w:rsid w:val="00413262"/>
    <w:rsid w:val="0041329C"/>
    <w:rsid w:val="004139F4"/>
    <w:rsid w:val="00413E4D"/>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10BD"/>
    <w:rsid w:val="0045159C"/>
    <w:rsid w:val="00451A52"/>
    <w:rsid w:val="00451FC8"/>
    <w:rsid w:val="0045271D"/>
    <w:rsid w:val="00452755"/>
    <w:rsid w:val="00452803"/>
    <w:rsid w:val="004529C6"/>
    <w:rsid w:val="00452D2A"/>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351"/>
    <w:rsid w:val="00471DF7"/>
    <w:rsid w:val="00471F6B"/>
    <w:rsid w:val="00472056"/>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76E"/>
    <w:rsid w:val="004A79F2"/>
    <w:rsid w:val="004B0135"/>
    <w:rsid w:val="004B0F0B"/>
    <w:rsid w:val="004B1501"/>
    <w:rsid w:val="004B1560"/>
    <w:rsid w:val="004B163F"/>
    <w:rsid w:val="004B1D90"/>
    <w:rsid w:val="004B2197"/>
    <w:rsid w:val="004B298A"/>
    <w:rsid w:val="004B3A5A"/>
    <w:rsid w:val="004B459F"/>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BAC"/>
    <w:rsid w:val="004C5EF0"/>
    <w:rsid w:val="004C7226"/>
    <w:rsid w:val="004C74C9"/>
    <w:rsid w:val="004C7D70"/>
    <w:rsid w:val="004D02F9"/>
    <w:rsid w:val="004D03FE"/>
    <w:rsid w:val="004D0446"/>
    <w:rsid w:val="004D0A4F"/>
    <w:rsid w:val="004D0E03"/>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4E8"/>
    <w:rsid w:val="004E2A35"/>
    <w:rsid w:val="004E40CE"/>
    <w:rsid w:val="004E4465"/>
    <w:rsid w:val="004E518D"/>
    <w:rsid w:val="004E5736"/>
    <w:rsid w:val="004E5B36"/>
    <w:rsid w:val="004E6045"/>
    <w:rsid w:val="004E6758"/>
    <w:rsid w:val="004E6A34"/>
    <w:rsid w:val="004E6F4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C5"/>
    <w:rsid w:val="005122F2"/>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33"/>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03"/>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254"/>
    <w:rsid w:val="00554F3F"/>
    <w:rsid w:val="00555084"/>
    <w:rsid w:val="005551AA"/>
    <w:rsid w:val="0055629A"/>
    <w:rsid w:val="005564CA"/>
    <w:rsid w:val="005568EA"/>
    <w:rsid w:val="00557140"/>
    <w:rsid w:val="00557B90"/>
    <w:rsid w:val="00557DE4"/>
    <w:rsid w:val="0056058C"/>
    <w:rsid w:val="00560C87"/>
    <w:rsid w:val="00560EF9"/>
    <w:rsid w:val="00560F51"/>
    <w:rsid w:val="005611CF"/>
    <w:rsid w:val="00561249"/>
    <w:rsid w:val="0056182B"/>
    <w:rsid w:val="00561AF3"/>
    <w:rsid w:val="00561E0B"/>
    <w:rsid w:val="00562141"/>
    <w:rsid w:val="00562D86"/>
    <w:rsid w:val="005640B7"/>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6CF"/>
    <w:rsid w:val="005C3EA3"/>
    <w:rsid w:val="005C5011"/>
    <w:rsid w:val="005C529E"/>
    <w:rsid w:val="005C57BA"/>
    <w:rsid w:val="005C5C52"/>
    <w:rsid w:val="005C5D3D"/>
    <w:rsid w:val="005C5F05"/>
    <w:rsid w:val="005C7497"/>
    <w:rsid w:val="005C7F3E"/>
    <w:rsid w:val="005D02A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5F4"/>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0DAF"/>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435"/>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C4B"/>
    <w:rsid w:val="006573EA"/>
    <w:rsid w:val="006600F9"/>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A28"/>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6EE4"/>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6BD"/>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51F"/>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602F"/>
    <w:rsid w:val="006E6720"/>
    <w:rsid w:val="006E68FA"/>
    <w:rsid w:val="006E7275"/>
    <w:rsid w:val="006E77B8"/>
    <w:rsid w:val="006E7824"/>
    <w:rsid w:val="006F0D34"/>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B18"/>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BE4"/>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87E"/>
    <w:rsid w:val="00763927"/>
    <w:rsid w:val="00764996"/>
    <w:rsid w:val="0076522C"/>
    <w:rsid w:val="00766ECC"/>
    <w:rsid w:val="0076702F"/>
    <w:rsid w:val="007672F3"/>
    <w:rsid w:val="007676A9"/>
    <w:rsid w:val="007677B5"/>
    <w:rsid w:val="007678B1"/>
    <w:rsid w:val="00770317"/>
    <w:rsid w:val="007708A8"/>
    <w:rsid w:val="00771D75"/>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218"/>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05"/>
    <w:rsid w:val="0078286B"/>
    <w:rsid w:val="00782D2C"/>
    <w:rsid w:val="00782FC2"/>
    <w:rsid w:val="007838B5"/>
    <w:rsid w:val="00784FC4"/>
    <w:rsid w:val="00785420"/>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AE3"/>
    <w:rsid w:val="00793B2E"/>
    <w:rsid w:val="007942C3"/>
    <w:rsid w:val="007943FC"/>
    <w:rsid w:val="007948F5"/>
    <w:rsid w:val="00795647"/>
    <w:rsid w:val="007963F6"/>
    <w:rsid w:val="00796418"/>
    <w:rsid w:val="00796485"/>
    <w:rsid w:val="00796576"/>
    <w:rsid w:val="00796E80"/>
    <w:rsid w:val="007977F1"/>
    <w:rsid w:val="007979AD"/>
    <w:rsid w:val="00797A9C"/>
    <w:rsid w:val="00797EB7"/>
    <w:rsid w:val="007A0EAB"/>
    <w:rsid w:val="007A2159"/>
    <w:rsid w:val="007A2341"/>
    <w:rsid w:val="007A31F6"/>
    <w:rsid w:val="007A38A1"/>
    <w:rsid w:val="007A3967"/>
    <w:rsid w:val="007A3BBE"/>
    <w:rsid w:val="007A4629"/>
    <w:rsid w:val="007A4766"/>
    <w:rsid w:val="007A5816"/>
    <w:rsid w:val="007A5947"/>
    <w:rsid w:val="007A6D9B"/>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3D2"/>
    <w:rsid w:val="007C2AD3"/>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2FFF"/>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50F"/>
    <w:rsid w:val="00807666"/>
    <w:rsid w:val="00807C35"/>
    <w:rsid w:val="00807F02"/>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251"/>
    <w:rsid w:val="00815A07"/>
    <w:rsid w:val="00815C82"/>
    <w:rsid w:val="00815DA5"/>
    <w:rsid w:val="00816221"/>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BC"/>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37F"/>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669"/>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2AAC"/>
    <w:rsid w:val="008B3A08"/>
    <w:rsid w:val="008B47A6"/>
    <w:rsid w:val="008B6649"/>
    <w:rsid w:val="008B672C"/>
    <w:rsid w:val="008B7611"/>
    <w:rsid w:val="008C0242"/>
    <w:rsid w:val="008C036D"/>
    <w:rsid w:val="008C0743"/>
    <w:rsid w:val="008C0B4C"/>
    <w:rsid w:val="008C11F0"/>
    <w:rsid w:val="008C1DBA"/>
    <w:rsid w:val="008C20B8"/>
    <w:rsid w:val="008C24E7"/>
    <w:rsid w:val="008C2500"/>
    <w:rsid w:val="008C2792"/>
    <w:rsid w:val="008C2CAC"/>
    <w:rsid w:val="008C3E2A"/>
    <w:rsid w:val="008C3FFC"/>
    <w:rsid w:val="008C45BD"/>
    <w:rsid w:val="008C46E0"/>
    <w:rsid w:val="008C4B19"/>
    <w:rsid w:val="008C5295"/>
    <w:rsid w:val="008C5485"/>
    <w:rsid w:val="008C568F"/>
    <w:rsid w:val="008C62D4"/>
    <w:rsid w:val="008C664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D7DED"/>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6BE2"/>
    <w:rsid w:val="009070AA"/>
    <w:rsid w:val="00907203"/>
    <w:rsid w:val="00907C90"/>
    <w:rsid w:val="00907F8F"/>
    <w:rsid w:val="00910683"/>
    <w:rsid w:val="00910AB1"/>
    <w:rsid w:val="00910E00"/>
    <w:rsid w:val="009111AE"/>
    <w:rsid w:val="009116CE"/>
    <w:rsid w:val="00911714"/>
    <w:rsid w:val="00911A5B"/>
    <w:rsid w:val="0091244B"/>
    <w:rsid w:val="009136D4"/>
    <w:rsid w:val="00913857"/>
    <w:rsid w:val="00913BB9"/>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059"/>
    <w:rsid w:val="009311D1"/>
    <w:rsid w:val="00931451"/>
    <w:rsid w:val="009314FA"/>
    <w:rsid w:val="00931625"/>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4D7"/>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1E04"/>
    <w:rsid w:val="00972470"/>
    <w:rsid w:val="009739A9"/>
    <w:rsid w:val="00973AA2"/>
    <w:rsid w:val="00973DF6"/>
    <w:rsid w:val="0097494E"/>
    <w:rsid w:val="00974B58"/>
    <w:rsid w:val="00975140"/>
    <w:rsid w:val="00975DA3"/>
    <w:rsid w:val="009761ED"/>
    <w:rsid w:val="00976E23"/>
    <w:rsid w:val="009801E7"/>
    <w:rsid w:val="0098022F"/>
    <w:rsid w:val="00980AF3"/>
    <w:rsid w:val="009810CC"/>
    <w:rsid w:val="009810DE"/>
    <w:rsid w:val="009816A2"/>
    <w:rsid w:val="00981D3C"/>
    <w:rsid w:val="009822D7"/>
    <w:rsid w:val="009827E6"/>
    <w:rsid w:val="00982E70"/>
    <w:rsid w:val="00982F84"/>
    <w:rsid w:val="00983FA5"/>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99E"/>
    <w:rsid w:val="009B1D3E"/>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24F8"/>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1EBA"/>
    <w:rsid w:val="009F29A5"/>
    <w:rsid w:val="009F369D"/>
    <w:rsid w:val="009F36FE"/>
    <w:rsid w:val="009F46A9"/>
    <w:rsid w:val="009F4F25"/>
    <w:rsid w:val="009F507A"/>
    <w:rsid w:val="009F59C2"/>
    <w:rsid w:val="009F61DE"/>
    <w:rsid w:val="009F7263"/>
    <w:rsid w:val="009F74FA"/>
    <w:rsid w:val="009F76EA"/>
    <w:rsid w:val="009F78D8"/>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62F"/>
    <w:rsid w:val="00A25B0F"/>
    <w:rsid w:val="00A25BBB"/>
    <w:rsid w:val="00A25F8E"/>
    <w:rsid w:val="00A279D2"/>
    <w:rsid w:val="00A27EA4"/>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DDC"/>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6E9"/>
    <w:rsid w:val="00A5292D"/>
    <w:rsid w:val="00A52CC5"/>
    <w:rsid w:val="00A52D3F"/>
    <w:rsid w:val="00A52EE5"/>
    <w:rsid w:val="00A53037"/>
    <w:rsid w:val="00A532B9"/>
    <w:rsid w:val="00A5351D"/>
    <w:rsid w:val="00A53A2B"/>
    <w:rsid w:val="00A53D84"/>
    <w:rsid w:val="00A53E79"/>
    <w:rsid w:val="00A54031"/>
    <w:rsid w:val="00A5426D"/>
    <w:rsid w:val="00A54E83"/>
    <w:rsid w:val="00A54FC2"/>
    <w:rsid w:val="00A55122"/>
    <w:rsid w:val="00A5696C"/>
    <w:rsid w:val="00A56DE7"/>
    <w:rsid w:val="00A57714"/>
    <w:rsid w:val="00A57EB2"/>
    <w:rsid w:val="00A6009E"/>
    <w:rsid w:val="00A60762"/>
    <w:rsid w:val="00A607A7"/>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B64"/>
    <w:rsid w:val="00A86E0B"/>
    <w:rsid w:val="00A9069B"/>
    <w:rsid w:val="00A90F12"/>
    <w:rsid w:val="00A9106F"/>
    <w:rsid w:val="00A91603"/>
    <w:rsid w:val="00A93101"/>
    <w:rsid w:val="00A94293"/>
    <w:rsid w:val="00A94760"/>
    <w:rsid w:val="00A9496E"/>
    <w:rsid w:val="00A949F0"/>
    <w:rsid w:val="00A94BDE"/>
    <w:rsid w:val="00A94FCA"/>
    <w:rsid w:val="00A95BFB"/>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0C5D"/>
    <w:rsid w:val="00AB11E7"/>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0E4F"/>
    <w:rsid w:val="00AE1772"/>
    <w:rsid w:val="00AE1990"/>
    <w:rsid w:val="00AE1BBA"/>
    <w:rsid w:val="00AE2523"/>
    <w:rsid w:val="00AE25E8"/>
    <w:rsid w:val="00AE2631"/>
    <w:rsid w:val="00AE2AD4"/>
    <w:rsid w:val="00AE2BD9"/>
    <w:rsid w:val="00AE2CA7"/>
    <w:rsid w:val="00AE2F1D"/>
    <w:rsid w:val="00AE2FD2"/>
    <w:rsid w:val="00AE4B2B"/>
    <w:rsid w:val="00AE586F"/>
    <w:rsid w:val="00AE5A78"/>
    <w:rsid w:val="00AE6582"/>
    <w:rsid w:val="00AE6DC5"/>
    <w:rsid w:val="00AE73D7"/>
    <w:rsid w:val="00AE7686"/>
    <w:rsid w:val="00AE799A"/>
    <w:rsid w:val="00AF0514"/>
    <w:rsid w:val="00AF078E"/>
    <w:rsid w:val="00AF0E81"/>
    <w:rsid w:val="00AF117A"/>
    <w:rsid w:val="00AF186E"/>
    <w:rsid w:val="00AF19C6"/>
    <w:rsid w:val="00AF19DF"/>
    <w:rsid w:val="00AF1F4F"/>
    <w:rsid w:val="00AF26CF"/>
    <w:rsid w:val="00AF4761"/>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1C18"/>
    <w:rsid w:val="00B22189"/>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7C1"/>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6783"/>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39D"/>
    <w:rsid w:val="00B80C72"/>
    <w:rsid w:val="00B81964"/>
    <w:rsid w:val="00B81E0A"/>
    <w:rsid w:val="00B81E6F"/>
    <w:rsid w:val="00B82123"/>
    <w:rsid w:val="00B8225B"/>
    <w:rsid w:val="00B82BB5"/>
    <w:rsid w:val="00B83182"/>
    <w:rsid w:val="00B83811"/>
    <w:rsid w:val="00B83B09"/>
    <w:rsid w:val="00B84684"/>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214"/>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2D8D"/>
    <w:rsid w:val="00BC34A3"/>
    <w:rsid w:val="00BC3ED5"/>
    <w:rsid w:val="00BC3FF9"/>
    <w:rsid w:val="00BC4834"/>
    <w:rsid w:val="00BC4A97"/>
    <w:rsid w:val="00BC5A25"/>
    <w:rsid w:val="00BC5FDD"/>
    <w:rsid w:val="00BC68B4"/>
    <w:rsid w:val="00BC6C2D"/>
    <w:rsid w:val="00BC762B"/>
    <w:rsid w:val="00BC7B8D"/>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BC"/>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04"/>
    <w:rsid w:val="00C00713"/>
    <w:rsid w:val="00C009A0"/>
    <w:rsid w:val="00C01F74"/>
    <w:rsid w:val="00C02558"/>
    <w:rsid w:val="00C0285F"/>
    <w:rsid w:val="00C0287A"/>
    <w:rsid w:val="00C02F35"/>
    <w:rsid w:val="00C03305"/>
    <w:rsid w:val="00C03515"/>
    <w:rsid w:val="00C03738"/>
    <w:rsid w:val="00C037A6"/>
    <w:rsid w:val="00C040D6"/>
    <w:rsid w:val="00C043F5"/>
    <w:rsid w:val="00C044E3"/>
    <w:rsid w:val="00C047A8"/>
    <w:rsid w:val="00C04BDB"/>
    <w:rsid w:val="00C052C6"/>
    <w:rsid w:val="00C059D4"/>
    <w:rsid w:val="00C05A61"/>
    <w:rsid w:val="00C06955"/>
    <w:rsid w:val="00C06CCF"/>
    <w:rsid w:val="00C07E8B"/>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0D80"/>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6D9"/>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634C"/>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619A1"/>
    <w:rsid w:val="00C62370"/>
    <w:rsid w:val="00C62545"/>
    <w:rsid w:val="00C627E1"/>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4763"/>
    <w:rsid w:val="00C959BD"/>
    <w:rsid w:val="00C95E49"/>
    <w:rsid w:val="00C95F44"/>
    <w:rsid w:val="00C96D1B"/>
    <w:rsid w:val="00C97106"/>
    <w:rsid w:val="00C97684"/>
    <w:rsid w:val="00CA0031"/>
    <w:rsid w:val="00CA0413"/>
    <w:rsid w:val="00CA043A"/>
    <w:rsid w:val="00CA04F8"/>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301"/>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665F"/>
    <w:rsid w:val="00CF73F8"/>
    <w:rsid w:val="00CF75A1"/>
    <w:rsid w:val="00CF7928"/>
    <w:rsid w:val="00CF7CA2"/>
    <w:rsid w:val="00CF7EA4"/>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A9B"/>
    <w:rsid w:val="00D22CB5"/>
    <w:rsid w:val="00D22DC8"/>
    <w:rsid w:val="00D2435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0D"/>
    <w:rsid w:val="00D55279"/>
    <w:rsid w:val="00D55904"/>
    <w:rsid w:val="00D55C94"/>
    <w:rsid w:val="00D5616F"/>
    <w:rsid w:val="00D568BA"/>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71B"/>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09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0D1A"/>
    <w:rsid w:val="00DC15BA"/>
    <w:rsid w:val="00DC18CD"/>
    <w:rsid w:val="00DC1A68"/>
    <w:rsid w:val="00DC284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5D1"/>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E7CCA"/>
    <w:rsid w:val="00DF0263"/>
    <w:rsid w:val="00DF06D2"/>
    <w:rsid w:val="00DF0EB4"/>
    <w:rsid w:val="00DF1412"/>
    <w:rsid w:val="00DF1E36"/>
    <w:rsid w:val="00DF1FDB"/>
    <w:rsid w:val="00DF236B"/>
    <w:rsid w:val="00DF2656"/>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70"/>
    <w:rsid w:val="00E0631A"/>
    <w:rsid w:val="00E064BC"/>
    <w:rsid w:val="00E07225"/>
    <w:rsid w:val="00E079FF"/>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175E5"/>
    <w:rsid w:val="00E2012A"/>
    <w:rsid w:val="00E205A2"/>
    <w:rsid w:val="00E20BA4"/>
    <w:rsid w:val="00E20BF7"/>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8B9"/>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B2D"/>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0F07"/>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0FAA"/>
    <w:rsid w:val="00EA2726"/>
    <w:rsid w:val="00EA2744"/>
    <w:rsid w:val="00EA2937"/>
    <w:rsid w:val="00EA37B9"/>
    <w:rsid w:val="00EA39F7"/>
    <w:rsid w:val="00EA3B27"/>
    <w:rsid w:val="00EA3DC2"/>
    <w:rsid w:val="00EA42E3"/>
    <w:rsid w:val="00EA434E"/>
    <w:rsid w:val="00EA4757"/>
    <w:rsid w:val="00EA51FF"/>
    <w:rsid w:val="00EA53D3"/>
    <w:rsid w:val="00EA560B"/>
    <w:rsid w:val="00EA5669"/>
    <w:rsid w:val="00EA5C05"/>
    <w:rsid w:val="00EA63EF"/>
    <w:rsid w:val="00EA6750"/>
    <w:rsid w:val="00EB0382"/>
    <w:rsid w:val="00EB0A89"/>
    <w:rsid w:val="00EB0B22"/>
    <w:rsid w:val="00EB151B"/>
    <w:rsid w:val="00EB1573"/>
    <w:rsid w:val="00EB1650"/>
    <w:rsid w:val="00EB17CA"/>
    <w:rsid w:val="00EB1910"/>
    <w:rsid w:val="00EB1D24"/>
    <w:rsid w:val="00EB209B"/>
    <w:rsid w:val="00EB26F2"/>
    <w:rsid w:val="00EB2E97"/>
    <w:rsid w:val="00EB3416"/>
    <w:rsid w:val="00EB3A5C"/>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234F"/>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08EF"/>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4BA"/>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0F0"/>
    <w:rsid w:val="00F245A1"/>
    <w:rsid w:val="00F24644"/>
    <w:rsid w:val="00F24ABF"/>
    <w:rsid w:val="00F256FD"/>
    <w:rsid w:val="00F259F1"/>
    <w:rsid w:val="00F26E83"/>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6B9E"/>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07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6EE"/>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A77"/>
    <w:rsid w:val="00FA5ECF"/>
    <w:rsid w:val="00FA6179"/>
    <w:rsid w:val="00FA6F8B"/>
    <w:rsid w:val="00FA7A30"/>
    <w:rsid w:val="00FA7F7F"/>
    <w:rsid w:val="00FB033F"/>
    <w:rsid w:val="00FB12E3"/>
    <w:rsid w:val="00FB1570"/>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E7CD6"/>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B6B"/>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5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43665026">
      <w:bodyDiv w:val="1"/>
      <w:marLeft w:val="0"/>
      <w:marRight w:val="0"/>
      <w:marTop w:val="0"/>
      <w:marBottom w:val="0"/>
      <w:divBdr>
        <w:top w:val="none" w:sz="0" w:space="0" w:color="auto"/>
        <w:left w:val="none" w:sz="0" w:space="0" w:color="auto"/>
        <w:bottom w:val="none" w:sz="0" w:space="0" w:color="auto"/>
        <w:right w:val="none" w:sz="0" w:space="0" w:color="auto"/>
      </w:divBdr>
    </w:div>
    <w:div w:id="150634424">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7856037">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2268598">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0988880">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4378736">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107039">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0507547">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2325591">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5319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4108089">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6876593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2284684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268468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3821111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76718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3439">
      <w:bodyDiv w:val="1"/>
      <w:marLeft w:val="0"/>
      <w:marRight w:val="0"/>
      <w:marTop w:val="0"/>
      <w:marBottom w:val="0"/>
      <w:divBdr>
        <w:top w:val="none" w:sz="0" w:space="0" w:color="auto"/>
        <w:left w:val="none" w:sz="0" w:space="0" w:color="auto"/>
        <w:bottom w:val="none" w:sz="0" w:space="0" w:color="auto"/>
        <w:right w:val="none" w:sz="0" w:space="0" w:color="auto"/>
      </w:divBdr>
    </w:div>
    <w:div w:id="1709986861">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898312">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7279978">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1176562">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79441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DC1220-7F7D-4699-B3C9-4A58E36652F4}"/>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4067</Words>
  <Characters>22369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2022-11-30T23:37:00Z</dcterms:created>
  <dcterms:modified xsi:type="dcterms:W3CDTF">2022-11-30T23:39:00Z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