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A7DE1" w14:textId="7A22C578" w:rsidR="00293C4B" w:rsidRDefault="00293C4B" w:rsidP="006C6FF6">
      <w:pPr>
        <w:spacing w:after="0" w:line="240" w:lineRule="auto"/>
        <w:contextualSpacing/>
        <w:jc w:val="both"/>
        <w:rPr>
          <w:rFonts w:ascii="Verdana" w:eastAsia="Calibri" w:hAnsi="Verdana" w:cs="Arial"/>
          <w:b/>
          <w:bCs/>
          <w:color w:val="000000" w:themeColor="text1"/>
          <w:lang w:eastAsia="es-ES"/>
        </w:rPr>
      </w:pPr>
      <w:r w:rsidRPr="00293C4B">
        <w:rPr>
          <w:rFonts w:ascii="Verdana" w:eastAsia="Calibri" w:hAnsi="Verdana" w:cs="Arial"/>
          <w:b/>
          <w:bCs/>
          <w:color w:val="000000" w:themeColor="text1"/>
          <w:lang w:eastAsia="es-ES"/>
        </w:rPr>
        <w:t xml:space="preserve">GARANTÍA DE CUMPLIMIENTO – Amparos </w:t>
      </w:r>
    </w:p>
    <w:p w14:paraId="4DE5A5E9" w14:textId="77777777" w:rsidR="006C6FF6" w:rsidRPr="006C6FF6" w:rsidRDefault="006C6FF6" w:rsidP="006C6FF6">
      <w:pPr>
        <w:contextualSpacing/>
        <w:jc w:val="both"/>
        <w:rPr>
          <w:rFonts w:ascii="Verdana" w:hAnsi="Verdana" w:cs="Arial"/>
          <w:color w:val="000000" w:themeColor="text1"/>
          <w:sz w:val="20"/>
          <w:szCs w:val="20"/>
        </w:rPr>
      </w:pPr>
    </w:p>
    <w:p w14:paraId="1C7A69B1" w14:textId="3BB97677" w:rsidR="00293C4B" w:rsidRPr="006C6FF6" w:rsidRDefault="00293C4B" w:rsidP="006C6FF6">
      <w:pPr>
        <w:spacing w:after="0" w:line="240" w:lineRule="auto"/>
        <w:contextualSpacing/>
        <w:jc w:val="both"/>
        <w:rPr>
          <w:rFonts w:ascii="Verdana" w:eastAsia="Times New Roman" w:hAnsi="Verdana" w:cs="Arial"/>
          <w:color w:val="000000" w:themeColor="text1"/>
          <w:sz w:val="20"/>
          <w:szCs w:val="20"/>
          <w:lang w:eastAsia="es-CO"/>
        </w:rPr>
      </w:pPr>
      <w:r w:rsidRPr="006C6FF6">
        <w:rPr>
          <w:rFonts w:ascii="Verdana" w:hAnsi="Verdana" w:cs="Arial"/>
          <w:color w:val="000000" w:themeColor="text1"/>
          <w:sz w:val="20"/>
          <w:szCs w:val="20"/>
        </w:rPr>
        <w:t xml:space="preserve">El artículo 2.2.1.3.1.7 del Decreto 1082 de 2015 señala que </w:t>
      </w:r>
      <w:r w:rsidRPr="006C6FF6">
        <w:rPr>
          <w:rFonts w:ascii="Verdana" w:hAnsi="Verdana" w:cs="Arial"/>
          <w:i/>
          <w:iCs/>
          <w:color w:val="000000" w:themeColor="text1"/>
          <w:sz w:val="20"/>
          <w:szCs w:val="20"/>
        </w:rPr>
        <w:t>la garantía de cumplimiento</w:t>
      </w:r>
      <w:r w:rsidRPr="006C6FF6">
        <w:rPr>
          <w:rFonts w:ascii="Verdana" w:hAnsi="Verdana" w:cs="Arial"/>
          <w:color w:val="000000" w:themeColor="text1"/>
          <w:sz w:val="20"/>
          <w:szCs w:val="20"/>
        </w:rPr>
        <w:t xml:space="preserve"> </w:t>
      </w:r>
      <w:r w:rsidRPr="006C6FF6">
        <w:rPr>
          <w:rFonts w:ascii="Verdana" w:eastAsia="Calibri" w:hAnsi="Verdana" w:cs="Arial"/>
          <w:bCs/>
          <w:color w:val="000000" w:themeColor="text1"/>
          <w:sz w:val="20"/>
          <w:szCs w:val="20"/>
          <w:lang w:val="es-ES_tradnl"/>
        </w:rPr>
        <w:t xml:space="preserve">cuenta con varios </w:t>
      </w:r>
      <w:r w:rsidRPr="006C6FF6">
        <w:rPr>
          <w:rFonts w:ascii="Verdana" w:eastAsia="Calibri" w:hAnsi="Verdana" w:cs="Arial"/>
          <w:bCs/>
          <w:i/>
          <w:iCs/>
          <w:color w:val="000000" w:themeColor="text1"/>
          <w:sz w:val="20"/>
          <w:szCs w:val="20"/>
          <w:lang w:val="es-ES_tradnl"/>
        </w:rPr>
        <w:t>amparos</w:t>
      </w:r>
      <w:r w:rsidRPr="006C6FF6">
        <w:rPr>
          <w:rFonts w:ascii="Verdana" w:eastAsia="Calibri" w:hAnsi="Verdana" w:cs="Arial"/>
          <w:bCs/>
          <w:color w:val="000000" w:themeColor="text1"/>
          <w:sz w:val="20"/>
          <w:szCs w:val="20"/>
          <w:lang w:val="es-ES_tradnl"/>
        </w:rPr>
        <w:t xml:space="preserve"> que cubren: el de buen manejo y correcta inversión del anticipo; la devolución del pago anticipado; el amparo de cumplimiento del contrato; la garantía de pago de salarios, prestaciones sociales legales e indemnizaciones laborales; la</w:t>
      </w:r>
      <w:r w:rsidRPr="006C6FF6">
        <w:rPr>
          <w:rFonts w:ascii="Verdana" w:eastAsia="Calibri" w:hAnsi="Verdana" w:cs="Arial"/>
          <w:bCs/>
          <w:i/>
          <w:iCs/>
          <w:color w:val="000000" w:themeColor="text1"/>
          <w:sz w:val="20"/>
          <w:szCs w:val="20"/>
          <w:lang w:val="es-ES_tradnl"/>
        </w:rPr>
        <w:t xml:space="preserve"> estabilidad y calidad de la obra</w:t>
      </w:r>
      <w:r w:rsidRPr="006C6FF6">
        <w:rPr>
          <w:rFonts w:ascii="Verdana" w:eastAsia="Calibri" w:hAnsi="Verdana" w:cs="Arial"/>
          <w:bCs/>
          <w:color w:val="000000" w:themeColor="text1"/>
          <w:sz w:val="20"/>
          <w:szCs w:val="20"/>
          <w:lang w:val="es-ES_tradnl"/>
        </w:rPr>
        <w:t xml:space="preserve">, y </w:t>
      </w:r>
      <w:r w:rsidRPr="006C6FF6">
        <w:rPr>
          <w:rFonts w:ascii="Verdana" w:eastAsia="Times New Roman" w:hAnsi="Verdana" w:cs="Arial"/>
          <w:color w:val="000000" w:themeColor="text1"/>
          <w:sz w:val="20"/>
          <w:szCs w:val="20"/>
          <w:lang w:eastAsia="es-CO"/>
        </w:rPr>
        <w:t>los demás incumplimientos de las obligaciones que la entidad estatal considere deben ser amparados</w:t>
      </w:r>
      <w:r w:rsidR="006C6FF6">
        <w:rPr>
          <w:rFonts w:ascii="Verdana" w:eastAsia="Times New Roman" w:hAnsi="Verdana" w:cs="Arial"/>
          <w:color w:val="000000" w:themeColor="text1"/>
          <w:sz w:val="20"/>
          <w:szCs w:val="20"/>
          <w:lang w:eastAsia="es-CO"/>
        </w:rPr>
        <w:t>.</w:t>
      </w:r>
    </w:p>
    <w:p w14:paraId="704423AD" w14:textId="77777777" w:rsidR="006C6FF6" w:rsidRDefault="006C6FF6" w:rsidP="006C6FF6">
      <w:pPr>
        <w:contextualSpacing/>
        <w:jc w:val="both"/>
        <w:rPr>
          <w:rFonts w:ascii="Verdana" w:eastAsia="Times New Roman" w:hAnsi="Verdana" w:cs="Arial"/>
          <w:b/>
          <w:bCs/>
          <w:color w:val="000000" w:themeColor="text1"/>
          <w:lang w:eastAsia="es-CO"/>
        </w:rPr>
      </w:pPr>
    </w:p>
    <w:p w14:paraId="0405BEFE" w14:textId="325B3670" w:rsidR="006C6FF6" w:rsidRPr="006C6FF6" w:rsidRDefault="006C6FF6" w:rsidP="006C6FF6">
      <w:pPr>
        <w:spacing w:after="0" w:line="240" w:lineRule="auto"/>
        <w:contextualSpacing/>
        <w:jc w:val="both"/>
        <w:rPr>
          <w:rFonts w:ascii="Verdana" w:eastAsia="Calibri" w:hAnsi="Verdana" w:cs="Arial"/>
          <w:b/>
          <w:bCs/>
          <w:color w:val="000000" w:themeColor="text1"/>
          <w:lang w:eastAsia="es-ES"/>
        </w:rPr>
      </w:pPr>
      <w:r w:rsidRPr="006C6FF6">
        <w:rPr>
          <w:rFonts w:ascii="Verdana" w:eastAsia="Times New Roman" w:hAnsi="Verdana" w:cs="Arial"/>
          <w:b/>
          <w:bCs/>
          <w:color w:val="000000" w:themeColor="text1"/>
          <w:lang w:eastAsia="es-CO"/>
        </w:rPr>
        <w:t>ESTABILIDAD Y CALIDAD DE LA OBRA</w:t>
      </w:r>
      <w:r>
        <w:rPr>
          <w:rFonts w:ascii="Verdana" w:eastAsia="Times New Roman" w:hAnsi="Verdana" w:cs="Arial"/>
          <w:color w:val="000000" w:themeColor="text1"/>
          <w:lang w:eastAsia="es-CO"/>
        </w:rPr>
        <w:t xml:space="preserve"> </w:t>
      </w:r>
      <w:r w:rsidRPr="00293C4B">
        <w:rPr>
          <w:rFonts w:ascii="Verdana" w:eastAsia="Calibri" w:hAnsi="Verdana" w:cs="Arial"/>
          <w:b/>
          <w:bCs/>
          <w:color w:val="000000" w:themeColor="text1"/>
          <w:lang w:eastAsia="es-ES"/>
        </w:rPr>
        <w:t xml:space="preserve">– </w:t>
      </w:r>
      <w:r>
        <w:rPr>
          <w:rFonts w:ascii="Verdana" w:eastAsia="Calibri" w:hAnsi="Verdana" w:cs="Arial"/>
          <w:b/>
          <w:bCs/>
          <w:color w:val="000000" w:themeColor="text1"/>
          <w:lang w:eastAsia="es-ES"/>
        </w:rPr>
        <w:t xml:space="preserve">finalidad </w:t>
      </w:r>
      <w:r w:rsidRPr="00293C4B">
        <w:rPr>
          <w:rFonts w:ascii="Verdana" w:eastAsia="Calibri" w:hAnsi="Verdana" w:cs="Arial"/>
          <w:b/>
          <w:bCs/>
          <w:color w:val="000000" w:themeColor="text1"/>
          <w:lang w:eastAsia="es-ES"/>
        </w:rPr>
        <w:t xml:space="preserve"> –</w:t>
      </w:r>
      <w:r>
        <w:rPr>
          <w:rFonts w:ascii="Verdana" w:eastAsia="Calibri" w:hAnsi="Verdana" w:cs="Arial"/>
          <w:b/>
          <w:bCs/>
          <w:color w:val="000000" w:themeColor="text1"/>
          <w:lang w:eastAsia="es-ES"/>
        </w:rPr>
        <w:t xml:space="preserve"> Indivisibilidad de la suficiencia</w:t>
      </w:r>
    </w:p>
    <w:p w14:paraId="7887D694" w14:textId="77777777" w:rsidR="006C6FF6" w:rsidRDefault="006C6FF6" w:rsidP="006C6FF6">
      <w:pPr>
        <w:contextualSpacing/>
        <w:jc w:val="both"/>
        <w:rPr>
          <w:rFonts w:ascii="Verdana" w:eastAsia="Times New Roman" w:hAnsi="Verdana" w:cs="Arial"/>
          <w:color w:val="000000" w:themeColor="text1"/>
          <w:lang w:eastAsia="es-CO"/>
        </w:rPr>
      </w:pPr>
    </w:p>
    <w:p w14:paraId="5A94E0A1" w14:textId="5B737CCE" w:rsidR="00293C4B" w:rsidRPr="006C6FF6" w:rsidRDefault="00293C4B" w:rsidP="006C6FF6">
      <w:pPr>
        <w:spacing w:after="0" w:line="240" w:lineRule="auto"/>
        <w:contextualSpacing/>
        <w:jc w:val="both"/>
        <w:rPr>
          <w:rFonts w:ascii="Verdana" w:eastAsia="Times New Roman" w:hAnsi="Verdana" w:cs="Arial"/>
          <w:color w:val="000000" w:themeColor="text1"/>
          <w:sz w:val="20"/>
          <w:szCs w:val="20"/>
          <w:lang w:eastAsia="es-CO"/>
        </w:rPr>
      </w:pPr>
      <w:r w:rsidRPr="006C6FF6">
        <w:rPr>
          <w:rFonts w:ascii="Verdana" w:eastAsia="Times New Roman" w:hAnsi="Verdana" w:cs="Arial"/>
          <w:color w:val="000000" w:themeColor="text1"/>
          <w:sz w:val="20"/>
          <w:szCs w:val="20"/>
          <w:lang w:eastAsia="es-CO"/>
        </w:rPr>
        <w:t>El amparo de estabilidad y calidad de la obra cubre la ocurrencia de los vicios, mala calidad, defectos, deficiencias técnicas o fallas que la Administración no detecte al momento de recibir la obra o que descubra con posterioridad a la liquidación del contrato, afectando el cumplimiento de los objetivos que animaron la suscripción. En efecto, el amparo respalda estos riesgos frente a la totalidad del objeto contractual, el cual podrá incluir distintas actividades relacionadas con la obra pública. De esta forma, la entidad exige la constitución de un amparo cuya suficiencia y valor respalda la estabilidad y calidad toda la obra pública que es objeto de contratación, de modo que no resulta adecuado dividir la suficiencia del amparo según las actividades a ejecutar.</w:t>
      </w:r>
    </w:p>
    <w:p w14:paraId="5A6F2761" w14:textId="77777777" w:rsidR="00293C4B" w:rsidRPr="00293C4B" w:rsidRDefault="00293C4B" w:rsidP="006C6FF6">
      <w:pPr>
        <w:spacing w:after="0" w:line="240" w:lineRule="auto"/>
        <w:contextualSpacing/>
        <w:jc w:val="both"/>
        <w:rPr>
          <w:rFonts w:ascii="Verdana" w:eastAsia="Calibri" w:hAnsi="Verdana" w:cs="Arial"/>
          <w:b/>
          <w:bCs/>
          <w:color w:val="000000" w:themeColor="text1"/>
          <w:lang w:eastAsia="es-ES"/>
        </w:rPr>
      </w:pPr>
    </w:p>
    <w:p w14:paraId="10746C89" w14:textId="606BEAC5" w:rsidR="00293C4B" w:rsidRDefault="00293C4B" w:rsidP="006C6FF6">
      <w:pPr>
        <w:spacing w:after="0" w:line="240" w:lineRule="auto"/>
        <w:contextualSpacing/>
        <w:jc w:val="both"/>
        <w:rPr>
          <w:rFonts w:ascii="Verdana" w:eastAsia="Calibri" w:hAnsi="Verdana" w:cs="Arial"/>
          <w:b/>
          <w:bCs/>
          <w:lang w:val="es-ES" w:eastAsia="es-ES"/>
        </w:rPr>
      </w:pPr>
      <w:r w:rsidRPr="00293C4B">
        <w:rPr>
          <w:rFonts w:ascii="Verdana" w:eastAsia="Calibri" w:hAnsi="Verdana" w:cs="Arial"/>
          <w:b/>
          <w:bCs/>
          <w:lang w:val="es-ES" w:eastAsia="es-ES"/>
        </w:rPr>
        <w:t>GARANTÍA DE ESTABILIDAD Y CALIDAD DE LA OBRA – Suficiencia</w:t>
      </w:r>
    </w:p>
    <w:p w14:paraId="46718DA6" w14:textId="77777777" w:rsidR="006C6FF6" w:rsidRDefault="006C6FF6" w:rsidP="006C6FF6">
      <w:pPr>
        <w:contextualSpacing/>
        <w:jc w:val="both"/>
        <w:rPr>
          <w:rFonts w:ascii="Verdana" w:eastAsia="Times New Roman" w:hAnsi="Verdana" w:cs="Arial"/>
          <w:color w:val="000000" w:themeColor="text1"/>
          <w:lang w:eastAsia="es-CO"/>
        </w:rPr>
      </w:pPr>
    </w:p>
    <w:p w14:paraId="28DFB642" w14:textId="0E3FF39D" w:rsidR="006C6FF6" w:rsidRPr="006C6FF6" w:rsidRDefault="006C6FF6" w:rsidP="006C6FF6">
      <w:pPr>
        <w:spacing w:after="0" w:line="240" w:lineRule="auto"/>
        <w:contextualSpacing/>
        <w:jc w:val="both"/>
        <w:rPr>
          <w:rFonts w:ascii="Verdana" w:eastAsia="Times New Roman" w:hAnsi="Verdana" w:cs="Arial"/>
          <w:color w:val="000000" w:themeColor="text1"/>
          <w:sz w:val="20"/>
          <w:szCs w:val="20"/>
          <w:lang w:eastAsia="es-CO"/>
        </w:rPr>
      </w:pPr>
      <w:r w:rsidRPr="006C6FF6">
        <w:rPr>
          <w:rFonts w:ascii="Verdana" w:eastAsia="Times New Roman" w:hAnsi="Verdana" w:cs="Arial"/>
          <w:color w:val="000000" w:themeColor="text1"/>
          <w:sz w:val="20"/>
          <w:szCs w:val="20"/>
          <w:lang w:eastAsia="es-CO"/>
        </w:rPr>
        <w:t xml:space="preserve">[…] </w:t>
      </w:r>
      <w:r w:rsidRPr="006C6FF6">
        <w:rPr>
          <w:rFonts w:ascii="Verdana" w:eastAsia="Times New Roman" w:hAnsi="Verdana" w:cs="Arial"/>
          <w:color w:val="000000" w:themeColor="text1"/>
          <w:sz w:val="20"/>
          <w:szCs w:val="20"/>
          <w:lang w:eastAsia="es-CO"/>
        </w:rPr>
        <w:t xml:space="preserve">el artículo 2.2.1.2.3.1.14 del Decreto 1082 de 2015 establece la suficiencia del </w:t>
      </w:r>
      <w:r w:rsidRPr="006C6FF6">
        <w:rPr>
          <w:rFonts w:ascii="Verdana" w:eastAsia="Times New Roman" w:hAnsi="Verdana" w:cs="Arial"/>
          <w:i/>
          <w:iCs/>
          <w:color w:val="000000" w:themeColor="text1"/>
          <w:sz w:val="20"/>
          <w:szCs w:val="20"/>
          <w:lang w:eastAsia="es-CO"/>
        </w:rPr>
        <w:t>amparo de estabilidad y calidad de la obra</w:t>
      </w:r>
      <w:r w:rsidRPr="006C6FF6">
        <w:rPr>
          <w:rFonts w:ascii="Verdana" w:eastAsia="Times New Roman" w:hAnsi="Verdana" w:cs="Arial"/>
          <w:color w:val="000000" w:themeColor="text1"/>
          <w:sz w:val="20"/>
          <w:szCs w:val="20"/>
          <w:lang w:eastAsia="es-CO"/>
        </w:rPr>
        <w:t xml:space="preserve">. Para efectos de la vigencia y el monto, el inciso primero dispone que debe estar vigente por un término no inferior a cinco (5) años contados a partir de la fecha en la cual la Entidad Estatal recibe a satisfacción la obra. </w:t>
      </w:r>
    </w:p>
    <w:p w14:paraId="69DCF604" w14:textId="77777777" w:rsidR="006C6FF6" w:rsidRPr="006C6FF6" w:rsidRDefault="006C6FF6" w:rsidP="006C6FF6">
      <w:pPr>
        <w:contextualSpacing/>
        <w:jc w:val="both"/>
        <w:rPr>
          <w:rFonts w:ascii="Verdana" w:eastAsia="Times New Roman" w:hAnsi="Verdana" w:cs="Arial"/>
          <w:color w:val="000000" w:themeColor="text1"/>
          <w:sz w:val="20"/>
          <w:szCs w:val="20"/>
          <w:lang w:eastAsia="es-CO"/>
        </w:rPr>
      </w:pPr>
    </w:p>
    <w:p w14:paraId="0497DA7F" w14:textId="0D53FB50" w:rsidR="006C6FF6" w:rsidRPr="006C6FF6" w:rsidRDefault="006C6FF6" w:rsidP="006C6FF6">
      <w:pPr>
        <w:spacing w:after="0" w:line="240" w:lineRule="auto"/>
        <w:contextualSpacing/>
        <w:jc w:val="both"/>
        <w:rPr>
          <w:rFonts w:ascii="Verdana" w:eastAsia="Calibri" w:hAnsi="Verdana"/>
          <w:b/>
          <w:bCs/>
          <w:sz w:val="20"/>
          <w:szCs w:val="20"/>
          <w:lang w:val="es-ES" w:eastAsia="es-ES_tradnl"/>
        </w:rPr>
      </w:pPr>
      <w:r w:rsidRPr="006C6FF6">
        <w:rPr>
          <w:rFonts w:ascii="Verdana" w:eastAsia="Times New Roman" w:hAnsi="Verdana" w:cs="Arial"/>
          <w:color w:val="000000" w:themeColor="text1"/>
          <w:sz w:val="20"/>
          <w:szCs w:val="20"/>
          <w:lang w:eastAsia="es-CO"/>
        </w:rPr>
        <w:t xml:space="preserve">No obstante, la entidad podrá exigir una suficiencia del </w:t>
      </w:r>
      <w:r w:rsidRPr="006C6FF6">
        <w:rPr>
          <w:rFonts w:ascii="Verdana" w:eastAsia="Times New Roman" w:hAnsi="Verdana" w:cs="Arial"/>
          <w:i/>
          <w:iCs/>
          <w:color w:val="000000" w:themeColor="text1"/>
          <w:sz w:val="20"/>
          <w:szCs w:val="20"/>
          <w:lang w:eastAsia="es-CO"/>
        </w:rPr>
        <w:t xml:space="preserve">amparo de estabilidad y calidad de la obra </w:t>
      </w:r>
      <w:r w:rsidRPr="006C6FF6">
        <w:rPr>
          <w:rFonts w:ascii="Verdana" w:eastAsia="Times New Roman" w:hAnsi="Verdana" w:cs="Arial"/>
          <w:color w:val="000000" w:themeColor="text1"/>
          <w:sz w:val="20"/>
          <w:szCs w:val="20"/>
          <w:lang w:eastAsia="es-CO"/>
        </w:rPr>
        <w:t>inferior a (5) cinco años, sin que la misma tenga una duración inferior a uno (1), si un</w:t>
      </w:r>
      <w:r w:rsidRPr="006C6FF6">
        <w:rPr>
          <w:rFonts w:ascii="Verdana" w:eastAsia="Times New Roman" w:hAnsi="Verdana" w:cs="Arial"/>
          <w:i/>
          <w:iCs/>
          <w:color w:val="000000" w:themeColor="text1"/>
          <w:sz w:val="20"/>
          <w:szCs w:val="20"/>
          <w:lang w:eastAsia="es-CO"/>
        </w:rPr>
        <w:t xml:space="preserve"> </w:t>
      </w:r>
      <w:r w:rsidRPr="006C6FF6">
        <w:rPr>
          <w:rFonts w:ascii="Verdana" w:eastAsia="Times New Roman" w:hAnsi="Verdana" w:cs="Arial"/>
          <w:color w:val="000000" w:themeColor="text1"/>
          <w:sz w:val="20"/>
          <w:szCs w:val="20"/>
          <w:lang w:eastAsia="es-CO"/>
        </w:rPr>
        <w:t>experto emite una “justificación”, entendida como la “Prueba convincente de algo”, de acuerdo con su área profesional. Sin limitarse a la cuantía del proceso, la justificación técnica se relaciona con “[…] el tipo de actividades que serán realizadas, la experticia técnica requerida, el alcance físico de las obras, entre otros […]”. Con fundamento en la opinión del experto, la entidad encargada del proceso de selección definirá si existe una justificación razonable para constituir la garantía de estabilidad y calidad de la obra por un término inferior a cinco (5) años. Adicionalmente, este análisis deberá constar en los Documentos del Proceso.</w:t>
      </w:r>
    </w:p>
    <w:p w14:paraId="4FD0986D" w14:textId="77777777" w:rsidR="00293C4B" w:rsidRPr="006C6FF6" w:rsidRDefault="00293C4B" w:rsidP="0032389D">
      <w:pPr>
        <w:spacing w:after="0" w:line="276" w:lineRule="auto"/>
        <w:rPr>
          <w:rFonts w:ascii="Verdana" w:eastAsia="Geomanist Light" w:hAnsi="Verdana" w:cs="Arial"/>
          <w:color w:val="000000" w:themeColor="text1"/>
          <w:sz w:val="20"/>
          <w:szCs w:val="20"/>
          <w:lang w:val="es-ES"/>
        </w:rPr>
      </w:pPr>
    </w:p>
    <w:p w14:paraId="44809136" w14:textId="77777777" w:rsidR="006C6FF6" w:rsidRDefault="006C6FF6" w:rsidP="0032389D">
      <w:pPr>
        <w:spacing w:after="0" w:line="276" w:lineRule="auto"/>
        <w:rPr>
          <w:rFonts w:ascii="Verdana" w:eastAsia="Geomanist Light" w:hAnsi="Verdana" w:cs="Arial"/>
          <w:color w:val="000000" w:themeColor="text1"/>
          <w:lang w:val="es-ES"/>
        </w:rPr>
      </w:pPr>
    </w:p>
    <w:p w14:paraId="7022C450" w14:textId="77777777" w:rsidR="006C6FF6" w:rsidRDefault="006C6FF6" w:rsidP="0032389D">
      <w:pPr>
        <w:spacing w:after="0" w:line="276" w:lineRule="auto"/>
        <w:rPr>
          <w:rFonts w:ascii="Verdana" w:eastAsia="Geomanist Light" w:hAnsi="Verdana" w:cs="Arial"/>
          <w:color w:val="000000" w:themeColor="text1"/>
          <w:lang w:val="es-ES"/>
        </w:rPr>
      </w:pPr>
    </w:p>
    <w:p w14:paraId="176BB579" w14:textId="77777777" w:rsidR="006C6FF6" w:rsidRDefault="006C6FF6" w:rsidP="0032389D">
      <w:pPr>
        <w:spacing w:after="0" w:line="276" w:lineRule="auto"/>
        <w:rPr>
          <w:rFonts w:ascii="Verdana" w:eastAsia="Geomanist Light" w:hAnsi="Verdana" w:cs="Arial"/>
          <w:color w:val="000000" w:themeColor="text1"/>
          <w:lang w:val="es-ES"/>
        </w:rPr>
      </w:pPr>
    </w:p>
    <w:p w14:paraId="0073ABB6" w14:textId="77777777" w:rsidR="006C6FF6" w:rsidRDefault="006C6FF6" w:rsidP="0032389D">
      <w:pPr>
        <w:spacing w:after="0" w:line="276" w:lineRule="auto"/>
        <w:rPr>
          <w:rFonts w:ascii="Verdana" w:eastAsia="Geomanist Light" w:hAnsi="Verdana" w:cs="Arial"/>
          <w:color w:val="000000" w:themeColor="text1"/>
          <w:lang w:val="es-ES"/>
        </w:rPr>
      </w:pPr>
    </w:p>
    <w:p w14:paraId="434DC917" w14:textId="1A1DB349" w:rsidR="0032389D" w:rsidRPr="00856826" w:rsidRDefault="0032389D" w:rsidP="0032389D">
      <w:pPr>
        <w:spacing w:after="0" w:line="276" w:lineRule="auto"/>
        <w:rPr>
          <w:rFonts w:ascii="Verdana" w:eastAsia="Geomanist Light" w:hAnsi="Verdana" w:cs="Arial"/>
          <w:color w:val="201F1E"/>
          <w:lang w:val="es-ES"/>
        </w:rPr>
      </w:pPr>
      <w:r w:rsidRPr="00856826">
        <w:rPr>
          <w:rFonts w:ascii="Verdana" w:eastAsia="Geomanist Light" w:hAnsi="Verdana" w:cs="Arial"/>
          <w:color w:val="000000" w:themeColor="text1"/>
          <w:lang w:val="es-ES"/>
        </w:rPr>
        <w:lastRenderedPageBreak/>
        <w:t>Bogotá D.C., </w:t>
      </w:r>
      <w:r w:rsidR="00D122C9">
        <w:rPr>
          <w:rFonts w:ascii="Verdana" w:eastAsia="Geomanist Light" w:hAnsi="Verdana" w:cs="Arial"/>
          <w:color w:val="201F1E"/>
          <w:lang w:val="es-ES"/>
        </w:rPr>
        <w:t>25 de Julio de 2025</w:t>
      </w:r>
    </w:p>
    <w:p w14:paraId="1A2841E9" w14:textId="3C788A62" w:rsidR="0032389D" w:rsidRPr="00856826" w:rsidRDefault="00D122C9" w:rsidP="0032389D">
      <w:pPr>
        <w:spacing w:after="0" w:line="276" w:lineRule="auto"/>
        <w:jc w:val="both"/>
        <w:rPr>
          <w:rFonts w:ascii="Verdana" w:eastAsia="Calibri" w:hAnsi="Verdana" w:cs="Arial"/>
          <w:lang w:val="es-ES" w:eastAsia="es-ES"/>
        </w:rPr>
      </w:pPr>
      <w:r>
        <w:rPr>
          <w:rFonts w:ascii="Verdana" w:eastAsia="Calibri" w:hAnsi="Verdana" w:cs="Arial"/>
          <w:b/>
          <w:noProof/>
          <w:lang w:eastAsia="es-ES_tradnl"/>
        </w:rPr>
        <w:drawing>
          <wp:anchor distT="0" distB="0" distL="114300" distR="114300" simplePos="0" relativeHeight="251658240" behindDoc="0" locked="0" layoutInCell="1" allowOverlap="1" wp14:anchorId="4DA6ACC6" wp14:editId="789C03FD">
            <wp:simplePos x="0" y="0"/>
            <wp:positionH relativeFrom="column">
              <wp:posOffset>2811145</wp:posOffset>
            </wp:positionH>
            <wp:positionV relativeFrom="paragraph">
              <wp:posOffset>198120</wp:posOffset>
            </wp:positionV>
            <wp:extent cx="2512060" cy="695325"/>
            <wp:effectExtent l="0" t="0" r="2540" b="3175"/>
            <wp:wrapSquare wrapText="bothSides"/>
            <wp:docPr id="438670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70403" name="Picture 438670403"/>
                    <pic:cNvPicPr/>
                  </pic:nvPicPr>
                  <pic:blipFill>
                    <a:blip r:embed="rId10">
                      <a:extLst>
                        <a:ext uri="{28A0092B-C50C-407E-A947-70E740481C1C}">
                          <a14:useLocalDpi xmlns:a14="http://schemas.microsoft.com/office/drawing/2010/main" val="0"/>
                        </a:ext>
                      </a:extLst>
                    </a:blip>
                    <a:stretch>
                      <a:fillRect/>
                    </a:stretch>
                  </pic:blipFill>
                  <pic:spPr>
                    <a:xfrm>
                      <a:off x="0" y="0"/>
                      <a:ext cx="2512060" cy="695325"/>
                    </a:xfrm>
                    <a:prstGeom prst="rect">
                      <a:avLst/>
                    </a:prstGeom>
                  </pic:spPr>
                </pic:pic>
              </a:graphicData>
            </a:graphic>
            <wp14:sizeRelH relativeFrom="page">
              <wp14:pctWidth>0</wp14:pctWidth>
            </wp14:sizeRelH>
            <wp14:sizeRelV relativeFrom="page">
              <wp14:pctHeight>0</wp14:pctHeight>
            </wp14:sizeRelV>
          </wp:anchor>
        </w:drawing>
      </w:r>
    </w:p>
    <w:p w14:paraId="15755739" w14:textId="1F167AFA" w:rsidR="0032389D" w:rsidRPr="00856826" w:rsidRDefault="0032389D" w:rsidP="0032389D">
      <w:pPr>
        <w:spacing w:after="0" w:line="276" w:lineRule="auto"/>
        <w:jc w:val="both"/>
        <w:rPr>
          <w:rFonts w:ascii="Verdana" w:eastAsia="Calibri" w:hAnsi="Verdana" w:cs="Arial"/>
          <w:lang w:val="es-ES" w:eastAsia="es-ES"/>
        </w:rPr>
      </w:pPr>
      <w:r w:rsidRPr="00856826">
        <w:rPr>
          <w:rFonts w:ascii="Verdana" w:eastAsia="Calibri" w:hAnsi="Verdana" w:cs="Arial"/>
          <w:lang w:val="es-ES" w:eastAsia="es-ES"/>
        </w:rPr>
        <w:t>Señora</w:t>
      </w:r>
    </w:p>
    <w:p w14:paraId="519FD570" w14:textId="662A702A" w:rsidR="0032389D" w:rsidRDefault="0032389D" w:rsidP="0032389D">
      <w:pPr>
        <w:spacing w:after="0" w:line="276" w:lineRule="auto"/>
        <w:rPr>
          <w:rFonts w:ascii="Verdana" w:eastAsia="Calibri" w:hAnsi="Verdana" w:cs="Arial"/>
          <w:b/>
          <w:lang w:eastAsia="es-ES_tradnl"/>
        </w:rPr>
      </w:pPr>
      <w:r w:rsidRPr="0025793A">
        <w:rPr>
          <w:rFonts w:ascii="Verdana" w:eastAsia="Calibri" w:hAnsi="Verdana" w:cs="Arial"/>
          <w:b/>
          <w:lang w:eastAsia="es-ES_tradnl"/>
        </w:rPr>
        <w:t>Adriana Mart</w:t>
      </w:r>
      <w:r>
        <w:rPr>
          <w:rFonts w:ascii="Verdana" w:eastAsia="Calibri" w:hAnsi="Verdana" w:cs="Arial"/>
          <w:b/>
          <w:lang w:eastAsia="es-ES_tradnl"/>
        </w:rPr>
        <w:t>í</w:t>
      </w:r>
      <w:r w:rsidRPr="0025793A">
        <w:rPr>
          <w:rFonts w:ascii="Verdana" w:eastAsia="Calibri" w:hAnsi="Verdana" w:cs="Arial"/>
          <w:b/>
          <w:lang w:eastAsia="es-ES_tradnl"/>
        </w:rPr>
        <w:t xml:space="preserve">n </w:t>
      </w:r>
    </w:p>
    <w:p w14:paraId="7BCBF836" w14:textId="77777777" w:rsidR="0032389D" w:rsidRPr="0025793A" w:rsidRDefault="0032389D" w:rsidP="0032389D">
      <w:pPr>
        <w:spacing w:after="0" w:line="276" w:lineRule="auto"/>
        <w:rPr>
          <w:rFonts w:ascii="Verdana" w:eastAsia="Calibri" w:hAnsi="Verdana" w:cs="Arial"/>
          <w:lang w:eastAsia="es-ES_tradnl"/>
        </w:rPr>
      </w:pPr>
      <w:r w:rsidRPr="0025793A">
        <w:rPr>
          <w:rFonts w:ascii="Verdana" w:eastAsia="Calibri" w:hAnsi="Verdana" w:cs="Arial"/>
          <w:lang w:eastAsia="es-ES_tradnl"/>
        </w:rPr>
        <w:t xml:space="preserve">adriasdiaz@yahoo.es </w:t>
      </w:r>
    </w:p>
    <w:p w14:paraId="5AFE173E" w14:textId="77777777" w:rsidR="0032389D" w:rsidRPr="005C57FD" w:rsidRDefault="0032389D" w:rsidP="0032389D">
      <w:pPr>
        <w:spacing w:after="0" w:line="276" w:lineRule="auto"/>
        <w:rPr>
          <w:rFonts w:ascii="Verdana" w:eastAsia="Calibri" w:hAnsi="Verdana" w:cs="Arial"/>
          <w:bCs/>
          <w:lang w:val="es-ES" w:eastAsia="es-ES_tradnl"/>
        </w:rPr>
      </w:pPr>
      <w:r w:rsidRPr="00856826">
        <w:rPr>
          <w:rFonts w:ascii="Verdana" w:eastAsia="Calibri" w:hAnsi="Verdana" w:cs="Arial"/>
          <w:bCs/>
          <w:lang w:val="es-ES" w:eastAsia="es-ES_tradnl"/>
        </w:rPr>
        <w:t>Ciudad</w:t>
      </w:r>
    </w:p>
    <w:p w14:paraId="60CE8774" w14:textId="77777777" w:rsidR="0032389D" w:rsidRPr="00856826" w:rsidRDefault="0032389D" w:rsidP="0032389D">
      <w:pPr>
        <w:spacing w:after="0" w:line="276" w:lineRule="auto"/>
        <w:rPr>
          <w:rFonts w:ascii="Verdana" w:eastAsia="Calibri" w:hAnsi="Verdana" w:cs="Arial"/>
          <w:b/>
          <w:bCs/>
          <w:color w:val="000000"/>
          <w:lang w:val="es-ES"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2389D" w:rsidRPr="00856826" w14:paraId="478F3664" w14:textId="77777777" w:rsidTr="00084CA6">
        <w:trPr>
          <w:trHeight w:val="480"/>
        </w:trPr>
        <w:tc>
          <w:tcPr>
            <w:tcW w:w="2689" w:type="dxa"/>
          </w:tcPr>
          <w:p w14:paraId="6E2F567D" w14:textId="77777777" w:rsidR="0032389D" w:rsidRPr="00856826" w:rsidRDefault="0032389D" w:rsidP="00084CA6">
            <w:pPr>
              <w:spacing w:line="276" w:lineRule="auto"/>
              <w:jc w:val="both"/>
              <w:rPr>
                <w:rFonts w:ascii="Verdana" w:eastAsia="Calibri" w:hAnsi="Verdana" w:cs="Arial"/>
                <w:b/>
                <w:bCs/>
                <w:color w:val="7030A0"/>
                <w:lang w:val="es-ES" w:eastAsia="es-ES_tradnl"/>
              </w:rPr>
            </w:pPr>
          </w:p>
        </w:tc>
        <w:tc>
          <w:tcPr>
            <w:tcW w:w="6100" w:type="dxa"/>
          </w:tcPr>
          <w:p w14:paraId="2915E216" w14:textId="77777777" w:rsidR="0032389D" w:rsidRPr="00856826" w:rsidRDefault="0032389D" w:rsidP="00084CA6">
            <w:pPr>
              <w:spacing w:line="276" w:lineRule="auto"/>
              <w:jc w:val="both"/>
              <w:rPr>
                <w:rFonts w:ascii="Verdana" w:eastAsia="Calibri" w:hAnsi="Verdana" w:cs="Arial"/>
                <w:b/>
                <w:bCs/>
                <w:color w:val="7030A0"/>
                <w:lang w:val="es-ES" w:eastAsia="es-ES"/>
              </w:rPr>
            </w:pPr>
            <w:r w:rsidRPr="00856826">
              <w:rPr>
                <w:rFonts w:ascii="Verdana" w:eastAsia="Calibri" w:hAnsi="Verdana" w:cs="Arial"/>
                <w:b/>
                <w:bCs/>
                <w:lang w:val="es-ES" w:eastAsia="es-ES"/>
              </w:rPr>
              <w:t>Concepto C-</w:t>
            </w:r>
            <w:r>
              <w:rPr>
                <w:rFonts w:ascii="Verdana" w:eastAsia="Calibri" w:hAnsi="Verdana" w:cs="Arial"/>
                <w:b/>
                <w:bCs/>
                <w:lang w:val="es-ES" w:eastAsia="es-ES"/>
              </w:rPr>
              <w:t>780</w:t>
            </w:r>
            <w:r w:rsidRPr="00856826">
              <w:rPr>
                <w:rFonts w:ascii="Verdana" w:eastAsia="Calibri" w:hAnsi="Verdana" w:cs="Arial"/>
                <w:b/>
                <w:bCs/>
                <w:color w:val="7030A0"/>
                <w:lang w:val="es-ES" w:eastAsia="es-ES"/>
              </w:rPr>
              <w:t xml:space="preserve"> </w:t>
            </w:r>
            <w:r w:rsidRPr="00856826">
              <w:rPr>
                <w:rFonts w:ascii="Verdana" w:eastAsia="Calibri" w:hAnsi="Verdana" w:cs="Arial"/>
                <w:b/>
                <w:bCs/>
                <w:lang w:val="es-ES" w:eastAsia="es-ES"/>
              </w:rPr>
              <w:t>de 2025</w:t>
            </w:r>
          </w:p>
        </w:tc>
      </w:tr>
      <w:tr w:rsidR="0032389D" w:rsidRPr="00856826" w14:paraId="48EC1E19" w14:textId="77777777" w:rsidTr="00084CA6">
        <w:trPr>
          <w:trHeight w:val="884"/>
        </w:trPr>
        <w:tc>
          <w:tcPr>
            <w:tcW w:w="2689" w:type="dxa"/>
          </w:tcPr>
          <w:p w14:paraId="5C267058" w14:textId="77777777" w:rsidR="0032389D" w:rsidRPr="00856826" w:rsidRDefault="0032389D" w:rsidP="00084CA6">
            <w:pPr>
              <w:spacing w:line="276" w:lineRule="auto"/>
              <w:jc w:val="both"/>
              <w:rPr>
                <w:rFonts w:ascii="Verdana" w:eastAsia="Calibri" w:hAnsi="Verdana" w:cs="Arial"/>
                <w:color w:val="000000"/>
                <w:lang w:val="es-ES" w:eastAsia="es-ES_tradnl"/>
              </w:rPr>
            </w:pPr>
            <w:r w:rsidRPr="00856826">
              <w:rPr>
                <w:rFonts w:ascii="Verdana" w:eastAsia="Calibri" w:hAnsi="Verdana" w:cs="Arial"/>
                <w:b/>
                <w:color w:val="000000"/>
                <w:lang w:val="es-ES" w:eastAsia="es-ES_tradnl"/>
              </w:rPr>
              <w:t>Temas:</w:t>
            </w:r>
            <w:r w:rsidRPr="00856826">
              <w:rPr>
                <w:rFonts w:ascii="Verdana" w:eastAsia="Calibri" w:hAnsi="Verdana" w:cs="Arial"/>
                <w:color w:val="000000"/>
                <w:lang w:val="es-ES" w:eastAsia="es-ES_tradnl"/>
              </w:rPr>
              <w:t xml:space="preserve">                   </w:t>
            </w:r>
          </w:p>
        </w:tc>
        <w:tc>
          <w:tcPr>
            <w:tcW w:w="6100" w:type="dxa"/>
          </w:tcPr>
          <w:p w14:paraId="49B0CDE3" w14:textId="1655995C" w:rsidR="0032389D" w:rsidRPr="006C6FF6" w:rsidRDefault="0032389D" w:rsidP="006C6FF6">
            <w:pPr>
              <w:spacing w:line="259" w:lineRule="auto"/>
              <w:jc w:val="both"/>
              <w:rPr>
                <w:rFonts w:ascii="Verdana" w:eastAsia="Calibri" w:hAnsi="Verdana" w:cs="Arial"/>
                <w:color w:val="000000" w:themeColor="text1"/>
                <w:lang w:eastAsia="es-ES"/>
              </w:rPr>
            </w:pPr>
            <w:r w:rsidRPr="006C6FF6">
              <w:rPr>
                <w:rFonts w:ascii="Verdana" w:eastAsia="Calibri" w:hAnsi="Verdana" w:cs="Arial"/>
                <w:color w:val="000000" w:themeColor="text1"/>
                <w:lang w:eastAsia="es-ES"/>
              </w:rPr>
              <w:t>GARANTÍA DE CUMPLIMIENTO – Amparos – Finalidad/</w:t>
            </w:r>
            <w:r w:rsidR="006C6FF6" w:rsidRPr="006C6FF6">
              <w:rPr>
                <w:rFonts w:ascii="Verdana" w:eastAsia="Calibri" w:hAnsi="Verdana" w:cs="Arial"/>
                <w:color w:val="000000" w:themeColor="text1"/>
                <w:lang w:eastAsia="es-ES"/>
              </w:rPr>
              <w:t xml:space="preserve"> </w:t>
            </w:r>
            <w:r w:rsidR="006C6FF6" w:rsidRPr="006C6FF6">
              <w:rPr>
                <w:rFonts w:ascii="Verdana" w:eastAsia="Times New Roman" w:hAnsi="Verdana" w:cs="Arial"/>
                <w:color w:val="000000" w:themeColor="text1"/>
                <w:lang w:eastAsia="es-CO"/>
              </w:rPr>
              <w:t xml:space="preserve">ESTABILIDAD Y CALIDAD DE LA OBRA </w:t>
            </w:r>
            <w:r w:rsidR="006C6FF6" w:rsidRPr="006C6FF6">
              <w:rPr>
                <w:rFonts w:ascii="Verdana" w:eastAsia="Calibri" w:hAnsi="Verdana" w:cs="Arial"/>
                <w:color w:val="000000" w:themeColor="text1"/>
                <w:lang w:eastAsia="es-ES"/>
              </w:rPr>
              <w:t>– finalidad  – Indivisibilidad de la suficiencia</w:t>
            </w:r>
            <w:r w:rsidR="006C6FF6" w:rsidRPr="006C6FF6">
              <w:rPr>
                <w:rFonts w:ascii="Verdana" w:eastAsia="Calibri" w:hAnsi="Verdana" w:cs="Arial"/>
                <w:color w:val="000000" w:themeColor="text1"/>
                <w:lang w:eastAsia="es-ES"/>
              </w:rPr>
              <w:t xml:space="preserve"> /</w:t>
            </w:r>
            <w:r w:rsidRPr="006C6FF6">
              <w:rPr>
                <w:rFonts w:ascii="Verdana" w:eastAsia="Calibri" w:hAnsi="Verdana" w:cs="Arial"/>
                <w:color w:val="000000" w:themeColor="text1"/>
                <w:lang w:eastAsia="es-ES"/>
              </w:rPr>
              <w:t xml:space="preserve"> </w:t>
            </w:r>
            <w:r w:rsidRPr="006C6FF6">
              <w:rPr>
                <w:rFonts w:ascii="Verdana" w:eastAsia="Calibri" w:hAnsi="Verdana" w:cs="Arial"/>
                <w:lang w:val="es-ES" w:eastAsia="es-ES"/>
              </w:rPr>
              <w:t>GARANTÍA DE ESTABILIDAD Y CALIDAD DE LA OBRA – Suficiencia</w:t>
            </w:r>
          </w:p>
          <w:p w14:paraId="1ED76937" w14:textId="77777777" w:rsidR="0032389D" w:rsidRPr="006C6FF6" w:rsidRDefault="0032389D" w:rsidP="00084CA6">
            <w:pPr>
              <w:spacing w:line="276" w:lineRule="auto"/>
              <w:jc w:val="both"/>
              <w:rPr>
                <w:rFonts w:ascii="Verdana" w:eastAsia="Calibri" w:hAnsi="Verdana" w:cs="Arial"/>
                <w:lang w:val="es-ES" w:eastAsia="es-ES"/>
              </w:rPr>
            </w:pPr>
          </w:p>
        </w:tc>
      </w:tr>
      <w:tr w:rsidR="0032389D" w:rsidRPr="00856826" w14:paraId="032C0892" w14:textId="77777777" w:rsidTr="00084CA6">
        <w:tc>
          <w:tcPr>
            <w:tcW w:w="2689" w:type="dxa"/>
          </w:tcPr>
          <w:p w14:paraId="254B8AFD" w14:textId="77777777" w:rsidR="0032389D" w:rsidRPr="00931F04" w:rsidRDefault="0032389D" w:rsidP="00084CA6">
            <w:pPr>
              <w:spacing w:line="276" w:lineRule="auto"/>
              <w:jc w:val="both"/>
              <w:rPr>
                <w:rFonts w:ascii="Verdana" w:eastAsia="Calibri" w:hAnsi="Verdana" w:cs="Arial"/>
                <w:b/>
                <w:color w:val="000000" w:themeColor="text1"/>
                <w:lang w:val="es-ES" w:eastAsia="es-ES_tradnl"/>
              </w:rPr>
            </w:pPr>
            <w:r w:rsidRPr="00931F04">
              <w:rPr>
                <w:rFonts w:ascii="Verdana" w:eastAsia="Calibri" w:hAnsi="Verdana" w:cs="Arial"/>
                <w:b/>
                <w:color w:val="000000" w:themeColor="text1"/>
                <w:lang w:val="es-ES" w:eastAsia="es-ES_tradnl"/>
              </w:rPr>
              <w:t>Radicación:</w:t>
            </w:r>
            <w:r w:rsidRPr="00931F04">
              <w:rPr>
                <w:rFonts w:ascii="Verdana" w:eastAsia="Calibri" w:hAnsi="Verdana" w:cs="Arial"/>
                <w:color w:val="000000" w:themeColor="text1"/>
                <w:lang w:val="es-ES" w:eastAsia="es-ES_tradnl"/>
              </w:rPr>
              <w:t xml:space="preserve">               </w:t>
            </w:r>
          </w:p>
        </w:tc>
        <w:tc>
          <w:tcPr>
            <w:tcW w:w="6100" w:type="dxa"/>
          </w:tcPr>
          <w:p w14:paraId="5E1FC095" w14:textId="77777777" w:rsidR="0032389D" w:rsidRPr="00931F04" w:rsidRDefault="0032389D" w:rsidP="00084CA6">
            <w:pPr>
              <w:spacing w:line="276" w:lineRule="auto"/>
              <w:jc w:val="both"/>
              <w:rPr>
                <w:rFonts w:ascii="Verdana" w:eastAsia="Calibri" w:hAnsi="Verdana" w:cs="Arial"/>
                <w:color w:val="000000" w:themeColor="text1"/>
                <w:lang w:val="es-ES" w:eastAsia="es-ES_tradnl"/>
              </w:rPr>
            </w:pPr>
            <w:r w:rsidRPr="00931F04">
              <w:rPr>
                <w:rFonts w:ascii="Verdana" w:eastAsia="Calibri" w:hAnsi="Verdana" w:cs="Arial"/>
                <w:color w:val="000000" w:themeColor="text1"/>
                <w:lang w:val="es-ES" w:eastAsia="es-ES_tradnl"/>
              </w:rPr>
              <w:t>Respuesta a consulta con radicado No.</w:t>
            </w:r>
            <w:r w:rsidRPr="00931F04">
              <w:rPr>
                <w:rFonts w:ascii="Verdana" w:hAnsi="Verdana"/>
                <w:lang w:val="es-ES"/>
              </w:rPr>
              <w:t xml:space="preserve"> 1_2025_06_16_005962</w:t>
            </w:r>
          </w:p>
        </w:tc>
      </w:tr>
    </w:tbl>
    <w:p w14:paraId="11AF53C9" w14:textId="3633E8A8" w:rsidR="0032389D" w:rsidRPr="00856826" w:rsidRDefault="0032389D" w:rsidP="0032389D">
      <w:pPr>
        <w:spacing w:after="0" w:line="276" w:lineRule="auto"/>
        <w:jc w:val="both"/>
        <w:rPr>
          <w:rFonts w:ascii="Verdana" w:eastAsia="Calibri" w:hAnsi="Verdana" w:cs="Arial"/>
          <w:color w:val="000000"/>
          <w:lang w:val="es-ES" w:eastAsia="es-ES_tradnl"/>
        </w:rPr>
      </w:pPr>
      <w:r w:rsidRPr="00856826">
        <w:rPr>
          <w:rFonts w:ascii="Verdana" w:eastAsia="Calibri" w:hAnsi="Verdana" w:cs="Arial"/>
          <w:color w:val="000000"/>
          <w:lang w:val="es-ES" w:eastAsia="es-ES_tradnl"/>
        </w:rPr>
        <w:t xml:space="preserve"> </w:t>
      </w:r>
    </w:p>
    <w:p w14:paraId="0E2DF06F" w14:textId="77777777" w:rsidR="0032389D" w:rsidRPr="00856826" w:rsidRDefault="0032389D" w:rsidP="0032389D">
      <w:pPr>
        <w:spacing w:after="0" w:line="276" w:lineRule="auto"/>
        <w:jc w:val="both"/>
        <w:rPr>
          <w:rFonts w:ascii="Verdana" w:eastAsia="Calibri" w:hAnsi="Verdana" w:cs="Arial"/>
          <w:color w:val="000000" w:themeColor="text1"/>
          <w:lang w:val="es-ES" w:eastAsia="es-ES"/>
        </w:rPr>
      </w:pPr>
      <w:r w:rsidRPr="00856826">
        <w:rPr>
          <w:rFonts w:ascii="Verdana" w:eastAsia="Calibri" w:hAnsi="Verdana" w:cs="Arial"/>
          <w:color w:val="000000" w:themeColor="text1"/>
          <w:lang w:val="es-ES" w:eastAsia="es-ES"/>
        </w:rPr>
        <w:t xml:space="preserve">Estimada </w:t>
      </w:r>
      <w:r w:rsidRPr="00856826">
        <w:rPr>
          <w:rFonts w:ascii="Verdana" w:eastAsia="Calibri" w:hAnsi="Verdana" w:cs="Arial"/>
          <w:color w:val="000000"/>
          <w:lang w:val="es-ES" w:eastAsia="es-ES_tradnl"/>
        </w:rPr>
        <w:t>señora M</w:t>
      </w:r>
      <w:r>
        <w:rPr>
          <w:rFonts w:ascii="Verdana" w:eastAsia="Calibri" w:hAnsi="Verdana" w:cs="Arial"/>
          <w:color w:val="000000"/>
          <w:lang w:val="es-ES" w:eastAsia="es-ES_tradnl"/>
        </w:rPr>
        <w:t>artín</w:t>
      </w:r>
      <w:r w:rsidRPr="00856826">
        <w:rPr>
          <w:rFonts w:ascii="Verdana" w:eastAsia="Calibri" w:hAnsi="Verdana" w:cs="Arial"/>
          <w:color w:val="000000"/>
          <w:lang w:val="es-ES" w:eastAsia="es-ES_tradnl"/>
        </w:rPr>
        <w:t>:</w:t>
      </w:r>
      <w:r w:rsidRPr="00856826">
        <w:rPr>
          <w:rFonts w:ascii="Verdana" w:eastAsia="Calibri" w:hAnsi="Verdana" w:cs="Arial"/>
          <w:color w:val="000000" w:themeColor="text1"/>
          <w:lang w:val="es-ES" w:eastAsia="es-ES"/>
        </w:rPr>
        <w:t xml:space="preserve"> </w:t>
      </w:r>
    </w:p>
    <w:p w14:paraId="136D7E76" w14:textId="77777777" w:rsidR="0032389D" w:rsidRPr="00856826" w:rsidRDefault="0032389D" w:rsidP="0032389D">
      <w:pPr>
        <w:tabs>
          <w:tab w:val="left" w:pos="3768"/>
        </w:tabs>
        <w:spacing w:after="0" w:line="276" w:lineRule="auto"/>
        <w:jc w:val="both"/>
        <w:rPr>
          <w:rFonts w:ascii="Verdana" w:eastAsia="Calibri" w:hAnsi="Verdana" w:cs="Arial"/>
          <w:color w:val="000000" w:themeColor="text1"/>
          <w:lang w:val="es-ES" w:eastAsia="es-ES"/>
        </w:rPr>
      </w:pPr>
      <w:r w:rsidRPr="00856826">
        <w:rPr>
          <w:rFonts w:ascii="Verdana" w:eastAsia="Calibri" w:hAnsi="Verdana" w:cs="Arial"/>
          <w:color w:val="000000" w:themeColor="text1"/>
          <w:lang w:val="es-ES" w:eastAsia="es-ES"/>
        </w:rPr>
        <w:tab/>
      </w:r>
    </w:p>
    <w:p w14:paraId="6A9927D1" w14:textId="77777777" w:rsidR="0032389D" w:rsidRPr="00856826" w:rsidRDefault="0032389D" w:rsidP="0032389D">
      <w:pPr>
        <w:spacing w:after="0" w:line="276" w:lineRule="auto"/>
        <w:jc w:val="both"/>
        <w:rPr>
          <w:rFonts w:ascii="Verdana" w:eastAsia="Calibri" w:hAnsi="Verdana" w:cs="Arial"/>
          <w:color w:val="000000" w:themeColor="text1"/>
          <w:lang w:val="es-ES" w:eastAsia="es-ES"/>
        </w:rPr>
      </w:pPr>
      <w:r w:rsidRPr="00856826">
        <w:rPr>
          <w:rFonts w:ascii="Verdana" w:eastAsia="Calibri" w:hAnsi="Verdana" w:cs="Arial"/>
          <w:color w:val="000000" w:themeColor="text1"/>
          <w:lang w:val="es-ES" w:eastAsia="es-ES"/>
        </w:rPr>
        <w:t>En ejercicio de la competencia otorgada por los artículos 3, numeral 5º, y 11, numeral 8º, del Decreto Ley 4170 de 2011,</w:t>
      </w:r>
      <w:r w:rsidRPr="00856826">
        <w:rPr>
          <w:rFonts w:ascii="Verdana" w:eastAsia="Arial MT" w:hAnsi="Verdana" w:cs="Arial MT"/>
          <w:lang w:val="es-ES" w:eastAsia="es-ES"/>
        </w:rPr>
        <w:t xml:space="preserve"> </w:t>
      </w:r>
      <w:r w:rsidRPr="00856826">
        <w:rPr>
          <w:rFonts w:ascii="Verdana" w:hAnsi="Verdana" w:cs="Arial"/>
          <w:lang w:val="es-ES"/>
        </w:rPr>
        <w:t xml:space="preserve">así como lo establecido en el artículo 4 de la Resolución 1707 de 2018 expedida por esta Entidad, </w:t>
      </w:r>
      <w:r w:rsidRPr="00856826">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w:t>
      </w:r>
      <w:r w:rsidRPr="00856826">
        <w:rPr>
          <w:rFonts w:ascii="Verdana" w:eastAsia="Calibri" w:hAnsi="Verdana" w:cs="Arial"/>
          <w:color w:val="000000" w:themeColor="text1"/>
          <w:lang w:val="es-ES" w:eastAsia="es-ES"/>
        </w:rPr>
        <w:t xml:space="preserve">6 de junio de 2025, en la cual manifiesta lo siguiente: </w:t>
      </w:r>
    </w:p>
    <w:p w14:paraId="10996A8D" w14:textId="77777777" w:rsidR="0032389D" w:rsidRPr="00856826" w:rsidRDefault="0032389D" w:rsidP="0032389D">
      <w:pPr>
        <w:spacing w:after="0" w:line="276" w:lineRule="auto"/>
        <w:jc w:val="both"/>
        <w:rPr>
          <w:rFonts w:ascii="Verdana" w:eastAsia="Calibri" w:hAnsi="Verdana" w:cs="Arial"/>
          <w:color w:val="000000" w:themeColor="text1"/>
          <w:lang w:val="es-ES" w:eastAsia="es-ES"/>
        </w:rPr>
      </w:pPr>
    </w:p>
    <w:p w14:paraId="68994CBB" w14:textId="77777777" w:rsidR="0032389D" w:rsidRPr="00F81859" w:rsidRDefault="0032389D" w:rsidP="0032389D">
      <w:pPr>
        <w:spacing w:after="0" w:line="276" w:lineRule="auto"/>
        <w:ind w:left="720" w:right="709"/>
        <w:rPr>
          <w:rFonts w:ascii="Verdana" w:eastAsia="Century Gothic" w:hAnsi="Verdana" w:cs="Century Gothic"/>
          <w:color w:val="000000" w:themeColor="text1"/>
          <w:sz w:val="20"/>
          <w:szCs w:val="20"/>
        </w:rPr>
      </w:pPr>
      <w:bookmarkStart w:id="0" w:name="_Hlk95313578"/>
      <w:r w:rsidRPr="00856826">
        <w:rPr>
          <w:rFonts w:ascii="Verdana" w:eastAsia="Century Gothic" w:hAnsi="Verdana" w:cs="Century Gothic"/>
          <w:color w:val="000000" w:themeColor="text1"/>
          <w:sz w:val="20"/>
          <w:szCs w:val="20"/>
          <w:lang w:val="es-ES"/>
        </w:rPr>
        <w:t>“</w:t>
      </w:r>
      <w:bookmarkEnd w:id="0"/>
      <w:r w:rsidRPr="00293C4B">
        <w:rPr>
          <w:rFonts w:ascii="Verdana" w:eastAsia="Century Gothic" w:hAnsi="Verdana" w:cs="Century Gothic"/>
          <w:i/>
          <w:iCs/>
          <w:color w:val="000000" w:themeColor="text1"/>
          <w:sz w:val="20"/>
          <w:szCs w:val="20"/>
        </w:rPr>
        <w:t>Solicito, muy comedidamente, se me explique si esto es posible y la normativa al respecto.</w:t>
      </w:r>
      <w:r w:rsidRPr="00293C4B">
        <w:rPr>
          <w:rFonts w:ascii="Verdana" w:eastAsia="Century Gothic" w:hAnsi="Verdana" w:cs="Century Gothic"/>
          <w:i/>
          <w:iCs/>
          <w:color w:val="000000" w:themeColor="text1"/>
          <w:sz w:val="20"/>
          <w:szCs w:val="20"/>
        </w:rPr>
        <w:br/>
        <w:t>¿Un contrato de obra de mejoramiento y mantenimiento vial, puede tener dentro de la misma póliza de estabilidad de obra un cubrimiento de cinco años para el mejoramiento vial y un cubrimiento de por dos años para el mantenimiento vial?”</w:t>
      </w:r>
      <w:r w:rsidRPr="00856826">
        <w:rPr>
          <w:rFonts w:ascii="Verdana" w:eastAsia="Century Gothic" w:hAnsi="Verdana" w:cs="Century Gothic"/>
          <w:color w:val="000000" w:themeColor="text1"/>
          <w:sz w:val="20"/>
          <w:szCs w:val="20"/>
          <w:lang w:val="es-ES"/>
        </w:rPr>
        <w:t xml:space="preserve"> </w:t>
      </w:r>
    </w:p>
    <w:p w14:paraId="5C2193E6" w14:textId="77777777" w:rsidR="0032389D" w:rsidRPr="00856826" w:rsidRDefault="0032389D" w:rsidP="0032389D">
      <w:pPr>
        <w:spacing w:before="120" w:after="120" w:line="276" w:lineRule="auto"/>
        <w:ind w:firstLine="709"/>
        <w:jc w:val="both"/>
        <w:rPr>
          <w:rFonts w:ascii="Verdana" w:eastAsia="Calibri" w:hAnsi="Verdana" w:cs="Arial"/>
          <w:color w:val="000000"/>
          <w:szCs w:val="24"/>
          <w:lang w:val="es-ES" w:eastAsia="es-ES_tradnl"/>
        </w:rPr>
      </w:pPr>
      <w:r w:rsidRPr="0085682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856826">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56826">
        <w:rPr>
          <w:rFonts w:ascii="Verdana" w:eastAsia="Calibri" w:hAnsi="Verdana" w:cs="Arial"/>
          <w:color w:val="000000"/>
          <w:szCs w:val="24"/>
          <w:lang w:val="es-ES" w:eastAsia="es-ES_tradnl"/>
        </w:rPr>
        <w:tab/>
      </w:r>
    </w:p>
    <w:p w14:paraId="0F33C2F6" w14:textId="77777777" w:rsidR="0032389D" w:rsidRPr="00856826" w:rsidRDefault="0032389D" w:rsidP="0032389D">
      <w:pPr>
        <w:spacing w:after="0" w:line="276" w:lineRule="auto"/>
        <w:ind w:firstLine="709"/>
        <w:jc w:val="both"/>
        <w:rPr>
          <w:rFonts w:ascii="Verdana" w:eastAsia="Calibri" w:hAnsi="Verdana" w:cs="Arial"/>
          <w:color w:val="000000"/>
          <w:lang w:val="es-ES" w:eastAsia="es-ES"/>
        </w:rPr>
      </w:pPr>
      <w:r w:rsidRPr="0085682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lang w:val="es-ES" w:eastAsia="es-ES"/>
        </w:rPr>
        <w:t>el</w:t>
      </w:r>
      <w:r w:rsidRPr="00856826">
        <w:rPr>
          <w:rFonts w:ascii="Verdana" w:eastAsia="Calibri" w:hAnsi="Verdana" w:cs="Arial"/>
          <w:color w:val="000000"/>
          <w:lang w:val="es-ES" w:eastAsia="es-ES"/>
        </w:rPr>
        <w:t xml:space="preserve"> problema</w:t>
      </w:r>
      <w:r w:rsidRPr="00856826">
        <w:rPr>
          <w:rFonts w:ascii="Verdana" w:eastAsia="Calibri" w:hAnsi="Verdana" w:cs="Arial"/>
          <w:color w:val="7030A0"/>
          <w:lang w:val="es-ES" w:eastAsia="es-ES"/>
        </w:rPr>
        <w:t xml:space="preserve"> </w:t>
      </w:r>
      <w:r w:rsidRPr="00856826">
        <w:rPr>
          <w:rFonts w:ascii="Verdana" w:eastAsia="Calibri" w:hAnsi="Verdana" w:cs="Arial"/>
          <w:color w:val="000000"/>
          <w:lang w:val="es-ES" w:eastAsia="es-ES"/>
        </w:rPr>
        <w:t>jurídico</w:t>
      </w:r>
      <w:r w:rsidRPr="00856826">
        <w:rPr>
          <w:rFonts w:ascii="Verdana" w:eastAsia="Calibri" w:hAnsi="Verdana" w:cs="Arial"/>
          <w:color w:val="7030A0"/>
          <w:lang w:val="es-ES" w:eastAsia="es-ES"/>
        </w:rPr>
        <w:t xml:space="preserve"> </w:t>
      </w:r>
      <w:r w:rsidRPr="00856826">
        <w:rPr>
          <w:rFonts w:ascii="Verdana" w:eastAsia="Calibri" w:hAnsi="Verdana" w:cs="Arial"/>
          <w:color w:val="000000"/>
          <w:lang w:val="es-ES" w:eastAsia="es-ES"/>
        </w:rPr>
        <w:t xml:space="preserve">de su consulta. </w:t>
      </w:r>
    </w:p>
    <w:p w14:paraId="4FCB1A21" w14:textId="77777777" w:rsidR="0032389D" w:rsidRPr="00856826" w:rsidRDefault="0032389D" w:rsidP="0032389D">
      <w:pPr>
        <w:spacing w:after="0" w:line="276" w:lineRule="auto"/>
        <w:ind w:firstLine="709"/>
        <w:jc w:val="both"/>
        <w:rPr>
          <w:rFonts w:ascii="Verdana" w:eastAsia="Calibri" w:hAnsi="Verdana" w:cs="Arial"/>
          <w:color w:val="000000"/>
          <w:lang w:val="es-ES" w:eastAsia="es-ES"/>
        </w:rPr>
      </w:pPr>
    </w:p>
    <w:p w14:paraId="3DB637C2" w14:textId="77777777" w:rsidR="0032389D" w:rsidRPr="00856826" w:rsidRDefault="0032389D" w:rsidP="0032389D">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56826">
        <w:rPr>
          <w:rFonts w:ascii="Verdana" w:eastAsia="Century Gothic" w:hAnsi="Verdana" w:cs="Century Gothic"/>
          <w:b/>
          <w:bCs/>
        </w:rPr>
        <w:t>Problema planteado:</w:t>
      </w:r>
    </w:p>
    <w:p w14:paraId="1285EA2A" w14:textId="77777777" w:rsidR="0032389D" w:rsidRPr="00856826" w:rsidRDefault="0032389D" w:rsidP="0032389D">
      <w:pPr>
        <w:tabs>
          <w:tab w:val="left" w:pos="426"/>
        </w:tabs>
        <w:spacing w:after="0" w:line="276" w:lineRule="auto"/>
        <w:jc w:val="both"/>
        <w:rPr>
          <w:rFonts w:ascii="Verdana" w:eastAsia="Century Gothic" w:hAnsi="Verdana" w:cs="Century Gothic"/>
          <w:lang w:val="es-ES"/>
        </w:rPr>
      </w:pPr>
    </w:p>
    <w:p w14:paraId="36751B2F" w14:textId="7CA805A5" w:rsidR="0032389D" w:rsidRPr="00856826" w:rsidRDefault="0032389D" w:rsidP="0032389D">
      <w:pPr>
        <w:spacing w:after="0" w:line="276" w:lineRule="auto"/>
        <w:jc w:val="both"/>
        <w:rPr>
          <w:rFonts w:ascii="Verdana" w:eastAsia="Century Gothic" w:hAnsi="Verdana" w:cs="Century Gothic"/>
          <w:color w:val="7030A0"/>
          <w:lang w:val="es-ES"/>
        </w:rPr>
      </w:pPr>
      <w:r w:rsidRPr="00856826">
        <w:rPr>
          <w:rFonts w:ascii="Verdana" w:eastAsia="Century Gothic" w:hAnsi="Verdana" w:cs="Century Gothic"/>
          <w:lang w:val="es-ES"/>
        </w:rPr>
        <w:t xml:space="preserve">De acuerdo con el contenido de su solicitud, esta Agencia resolverá </w:t>
      </w:r>
      <w:r>
        <w:rPr>
          <w:rFonts w:ascii="Verdana" w:eastAsia="Century Gothic" w:hAnsi="Verdana" w:cs="Century Gothic"/>
          <w:lang w:val="es-ES"/>
        </w:rPr>
        <w:t>el</w:t>
      </w:r>
      <w:r w:rsidRPr="00856826">
        <w:rPr>
          <w:rFonts w:ascii="Verdana" w:eastAsia="Century Gothic" w:hAnsi="Verdana" w:cs="Century Gothic"/>
          <w:lang w:val="es-ES"/>
        </w:rPr>
        <w:t xml:space="preserve"> siguiente problema jurídico:</w:t>
      </w:r>
      <w:r>
        <w:rPr>
          <w:rFonts w:ascii="Verdana" w:eastAsia="Century Gothic" w:hAnsi="Verdana" w:cs="Century Gothic"/>
          <w:lang w:val="es-ES"/>
        </w:rPr>
        <w:t xml:space="preserve"> ¿Es posible que el amparo de estabilidad de la obra establezca un cubrimiento </w:t>
      </w:r>
      <w:r w:rsidRPr="00A61793">
        <w:rPr>
          <w:rFonts w:ascii="Verdana" w:eastAsia="Century Gothic" w:hAnsi="Verdana" w:cs="Century Gothic"/>
          <w:lang w:val="es-ES"/>
        </w:rPr>
        <w:t xml:space="preserve">de cinco </w:t>
      </w:r>
      <w:r w:rsidR="009104AC" w:rsidRPr="00A61793">
        <w:rPr>
          <w:rFonts w:ascii="Verdana" w:eastAsia="Century Gothic" w:hAnsi="Verdana" w:cs="Century Gothic"/>
          <w:lang w:val="es-ES"/>
        </w:rPr>
        <w:t>años</w:t>
      </w:r>
      <w:r w:rsidRPr="00A61793">
        <w:rPr>
          <w:rFonts w:ascii="Verdana" w:eastAsia="Century Gothic" w:hAnsi="Verdana" w:cs="Century Gothic"/>
          <w:lang w:val="es-ES"/>
        </w:rPr>
        <w:t xml:space="preserve"> para el mejoramiento vial y un cubrimiento de dos </w:t>
      </w:r>
      <w:r w:rsidR="009104AC" w:rsidRPr="00A61793">
        <w:rPr>
          <w:rFonts w:ascii="Verdana" w:eastAsia="Century Gothic" w:hAnsi="Verdana" w:cs="Century Gothic"/>
          <w:lang w:val="es-ES"/>
        </w:rPr>
        <w:t>años</w:t>
      </w:r>
      <w:r w:rsidRPr="00A61793">
        <w:rPr>
          <w:rFonts w:ascii="Verdana" w:eastAsia="Century Gothic" w:hAnsi="Verdana" w:cs="Century Gothic"/>
          <w:lang w:val="es-ES"/>
        </w:rPr>
        <w:t xml:space="preserve"> para el mantenimiento vial</w:t>
      </w:r>
      <w:r>
        <w:rPr>
          <w:rFonts w:ascii="Verdana" w:eastAsia="Century Gothic" w:hAnsi="Verdana" w:cs="Century Gothic"/>
          <w:lang w:val="es-ES"/>
        </w:rPr>
        <w:t>?</w:t>
      </w:r>
    </w:p>
    <w:p w14:paraId="45A0B051" w14:textId="77777777" w:rsidR="0032389D" w:rsidRPr="00856826" w:rsidRDefault="0032389D" w:rsidP="0032389D">
      <w:pPr>
        <w:spacing w:after="0" w:line="276" w:lineRule="auto"/>
        <w:jc w:val="both"/>
        <w:rPr>
          <w:rFonts w:ascii="Verdana" w:eastAsia="Calibri" w:hAnsi="Verdana" w:cs="Arial"/>
          <w:color w:val="7030A0"/>
          <w:lang w:val="es-ES"/>
        </w:rPr>
      </w:pPr>
    </w:p>
    <w:p w14:paraId="4098EFE3" w14:textId="77777777" w:rsidR="0032389D" w:rsidRPr="00856826" w:rsidRDefault="0032389D" w:rsidP="0032389D">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6826">
        <w:rPr>
          <w:rFonts w:ascii="Verdana" w:eastAsia="Century Gothic" w:hAnsi="Verdana" w:cs="Century Gothic"/>
          <w:b/>
          <w:bCs/>
        </w:rPr>
        <w:t>Respuesta:</w:t>
      </w:r>
    </w:p>
    <w:p w14:paraId="4637B6D9" w14:textId="77777777" w:rsidR="0032389D" w:rsidRPr="00856826" w:rsidRDefault="0032389D" w:rsidP="0032389D">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2389D" w:rsidRPr="00856826" w14:paraId="03B3B95F" w14:textId="77777777" w:rsidTr="00F73E0E">
        <w:tc>
          <w:tcPr>
            <w:tcW w:w="8828" w:type="dxa"/>
          </w:tcPr>
          <w:p w14:paraId="626E8570" w14:textId="77777777" w:rsidR="0032389D" w:rsidRDefault="0032389D" w:rsidP="00C178BC">
            <w:pPr>
              <w:spacing w:before="120" w:line="276" w:lineRule="auto"/>
              <w:jc w:val="both"/>
              <w:rPr>
                <w:rFonts w:ascii="Verdana" w:eastAsia="Times New Roman" w:hAnsi="Verdana" w:cs="Arial"/>
                <w:color w:val="000000" w:themeColor="text1"/>
                <w:lang w:eastAsia="es-CO"/>
              </w:rPr>
            </w:pPr>
            <w:r w:rsidRPr="00FE5A24">
              <w:rPr>
                <w:rFonts w:ascii="Verdana" w:hAnsi="Verdana" w:cs="Arial"/>
                <w:color w:val="000000" w:themeColor="text1"/>
              </w:rPr>
              <w:t xml:space="preserve">El artículo 2.2.1.3.1.7 del Decreto 1082 de 2015 señala que </w:t>
            </w:r>
            <w:r w:rsidRPr="00FE5A24">
              <w:rPr>
                <w:rFonts w:ascii="Verdana" w:hAnsi="Verdana" w:cs="Arial"/>
                <w:i/>
                <w:iCs/>
                <w:color w:val="000000" w:themeColor="text1"/>
              </w:rPr>
              <w:t>la garantía de cumplimiento</w:t>
            </w:r>
            <w:r w:rsidRPr="00FE5A24">
              <w:rPr>
                <w:rFonts w:ascii="Verdana" w:hAnsi="Verdana" w:cs="Arial"/>
                <w:color w:val="000000" w:themeColor="text1"/>
              </w:rPr>
              <w:t xml:space="preserve"> </w:t>
            </w:r>
            <w:r w:rsidRPr="00FE5A24">
              <w:rPr>
                <w:rFonts w:ascii="Verdana" w:eastAsia="Calibri" w:hAnsi="Verdana" w:cs="Arial"/>
                <w:bCs/>
                <w:color w:val="000000" w:themeColor="text1"/>
                <w:lang w:val="es-ES_tradnl"/>
              </w:rPr>
              <w:t xml:space="preserve">cuenta con varios </w:t>
            </w:r>
            <w:r w:rsidRPr="00FE5A24">
              <w:rPr>
                <w:rFonts w:ascii="Verdana" w:eastAsia="Calibri" w:hAnsi="Verdana" w:cs="Arial"/>
                <w:bCs/>
                <w:i/>
                <w:iCs/>
                <w:color w:val="000000" w:themeColor="text1"/>
                <w:lang w:val="es-ES_tradnl"/>
              </w:rPr>
              <w:t>amparos</w:t>
            </w:r>
            <w:r w:rsidRPr="00FE5A24">
              <w:rPr>
                <w:rFonts w:ascii="Verdana" w:eastAsia="Calibri" w:hAnsi="Verdana" w:cs="Arial"/>
                <w:bCs/>
                <w:color w:val="000000" w:themeColor="text1"/>
                <w:lang w:val="es-ES_tradnl"/>
              </w:rPr>
              <w:t xml:space="preserve"> que cubren: el de buen manejo y correcta inversión del anticipo; la devolución del pago anticipado; el amparo de cumplimiento del contrato; la garantía de pago de salarios, prestaciones sociales legales e indemnizaciones laborales; </w:t>
            </w:r>
            <w:r w:rsidRPr="009104AC">
              <w:rPr>
                <w:rFonts w:ascii="Verdana" w:eastAsia="Calibri" w:hAnsi="Verdana" w:cs="Arial"/>
                <w:bCs/>
                <w:color w:val="000000" w:themeColor="text1"/>
                <w:lang w:val="es-ES_tradnl"/>
              </w:rPr>
              <w:t>la</w:t>
            </w:r>
            <w:r w:rsidRPr="00765B86">
              <w:rPr>
                <w:rFonts w:ascii="Verdana" w:eastAsia="Calibri" w:hAnsi="Verdana" w:cs="Arial"/>
                <w:bCs/>
                <w:i/>
                <w:iCs/>
                <w:color w:val="000000" w:themeColor="text1"/>
                <w:lang w:val="es-ES_tradnl"/>
              </w:rPr>
              <w:t xml:space="preserve"> estabilidad y calidad de la obra</w:t>
            </w:r>
            <w:r w:rsidRPr="00FE5A24">
              <w:rPr>
                <w:rFonts w:ascii="Verdana" w:eastAsia="Calibri" w:hAnsi="Verdana" w:cs="Arial"/>
                <w:bCs/>
                <w:color w:val="000000" w:themeColor="text1"/>
                <w:lang w:val="es-ES_tradnl"/>
              </w:rPr>
              <w:t xml:space="preserve">, y </w:t>
            </w:r>
            <w:r w:rsidRPr="00FE5A24">
              <w:rPr>
                <w:rFonts w:ascii="Verdana" w:eastAsia="Times New Roman" w:hAnsi="Verdana" w:cs="Arial"/>
                <w:color w:val="000000" w:themeColor="text1"/>
                <w:lang w:eastAsia="es-CO"/>
              </w:rPr>
              <w:t>los demás incumplimientos de las obligaciones que la entidad estatal considere deben ser amparados</w:t>
            </w:r>
          </w:p>
          <w:p w14:paraId="4501F506" w14:textId="77777777" w:rsidR="0032389D" w:rsidRDefault="0032389D" w:rsidP="00084CA6">
            <w:pPr>
              <w:spacing w:before="120" w:after="120" w:line="276" w:lineRule="auto"/>
              <w:ind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El amparo de estabilidad y calidad de la obra </w:t>
            </w:r>
            <w:r w:rsidRPr="005938A0">
              <w:rPr>
                <w:rFonts w:ascii="Verdana" w:eastAsia="Times New Roman" w:hAnsi="Verdana" w:cs="Arial"/>
                <w:color w:val="000000" w:themeColor="text1"/>
                <w:lang w:eastAsia="es-CO"/>
              </w:rPr>
              <w:t>cubre la ocurrencia de</w:t>
            </w:r>
            <w:r>
              <w:rPr>
                <w:rFonts w:ascii="Verdana" w:eastAsia="Times New Roman" w:hAnsi="Verdana" w:cs="Arial"/>
                <w:color w:val="000000" w:themeColor="text1"/>
                <w:lang w:eastAsia="es-CO"/>
              </w:rPr>
              <w:t xml:space="preserve"> los</w:t>
            </w:r>
            <w:r w:rsidRPr="005938A0">
              <w:rPr>
                <w:rFonts w:ascii="Verdana" w:eastAsia="Times New Roman" w:hAnsi="Verdana" w:cs="Arial"/>
                <w:color w:val="000000" w:themeColor="text1"/>
                <w:lang w:eastAsia="es-CO"/>
              </w:rPr>
              <w:t xml:space="preserve"> vicios, mala calidad, defectos, deficiencias técnicas o fallas que la Administración no detecte al momento de recibir la obra o que descubr</w:t>
            </w:r>
            <w:r>
              <w:rPr>
                <w:rFonts w:ascii="Verdana" w:eastAsia="Times New Roman" w:hAnsi="Verdana" w:cs="Arial"/>
                <w:color w:val="000000" w:themeColor="text1"/>
                <w:lang w:eastAsia="es-CO"/>
              </w:rPr>
              <w:t>a</w:t>
            </w:r>
            <w:r w:rsidRPr="005938A0">
              <w:rPr>
                <w:rFonts w:ascii="Verdana" w:eastAsia="Times New Roman" w:hAnsi="Verdana" w:cs="Arial"/>
                <w:color w:val="000000" w:themeColor="text1"/>
                <w:lang w:eastAsia="es-CO"/>
              </w:rPr>
              <w:t xml:space="preserve"> con posterioridad a la liquidación del contrato, afectando el cumplimiento de los objetivos que animaron la suscripción.</w:t>
            </w:r>
            <w:r>
              <w:rPr>
                <w:rFonts w:ascii="Verdana" w:eastAsia="Times New Roman" w:hAnsi="Verdana" w:cs="Arial"/>
                <w:color w:val="000000" w:themeColor="text1"/>
                <w:lang w:eastAsia="es-CO"/>
              </w:rPr>
              <w:t xml:space="preserve"> En efecto, el amparo respalda estos riesgos frente a la totalidad del objeto contractual, el cual podrá incluir distintas actividades relacionadas con la obra pública. De esta forma, la entidad exige la constitución de un amparo cuya suficiencia y valor respalda la estabilidad y calidad toda la obra pública que es objeto de contratación, de </w:t>
            </w:r>
            <w:r>
              <w:rPr>
                <w:rFonts w:ascii="Verdana" w:eastAsia="Times New Roman" w:hAnsi="Verdana" w:cs="Arial"/>
                <w:color w:val="000000" w:themeColor="text1"/>
                <w:lang w:eastAsia="es-CO"/>
              </w:rPr>
              <w:lastRenderedPageBreak/>
              <w:t>modo que no resulta adecuado dividir la suficiencia del amparo según las actividades a ejecutar.</w:t>
            </w:r>
          </w:p>
          <w:p w14:paraId="7721D120" w14:textId="77777777" w:rsidR="0032389D" w:rsidRDefault="0032389D" w:rsidP="00084CA6">
            <w:pPr>
              <w:spacing w:after="120" w:line="276" w:lineRule="auto"/>
              <w:ind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De cualquier modo, es importante aclarar que el artículo </w:t>
            </w:r>
            <w:r w:rsidRPr="00CA6FDA">
              <w:rPr>
                <w:rFonts w:ascii="Verdana" w:eastAsia="Times New Roman" w:hAnsi="Verdana" w:cs="Arial"/>
                <w:color w:val="000000" w:themeColor="text1"/>
                <w:lang w:eastAsia="es-CO"/>
              </w:rPr>
              <w:t>2.2.1.2.3.1.14</w:t>
            </w:r>
            <w:r>
              <w:rPr>
                <w:rFonts w:ascii="Verdana" w:eastAsia="Times New Roman" w:hAnsi="Verdana" w:cs="Arial"/>
                <w:color w:val="000000" w:themeColor="text1"/>
                <w:lang w:eastAsia="es-CO"/>
              </w:rPr>
              <w:t xml:space="preserve"> del Decreto 1082 de 2015 establece la suficiencia del </w:t>
            </w:r>
            <w:r w:rsidRPr="00765B86">
              <w:rPr>
                <w:rFonts w:ascii="Verdana" w:eastAsia="Times New Roman" w:hAnsi="Verdana" w:cs="Arial"/>
                <w:i/>
                <w:iCs/>
                <w:color w:val="000000" w:themeColor="text1"/>
                <w:lang w:eastAsia="es-CO"/>
              </w:rPr>
              <w:t>amparo de estabilidad y calidad de la obra</w:t>
            </w:r>
            <w:r>
              <w:rPr>
                <w:rFonts w:ascii="Verdana" w:eastAsia="Times New Roman" w:hAnsi="Verdana" w:cs="Arial"/>
                <w:color w:val="000000" w:themeColor="text1"/>
                <w:lang w:eastAsia="es-CO"/>
              </w:rPr>
              <w:t xml:space="preserve">. Para efectos de la vigencia y el monto, el inciso primero dispone que </w:t>
            </w:r>
            <w:r w:rsidRPr="00CA6FDA">
              <w:rPr>
                <w:rFonts w:ascii="Verdana" w:eastAsia="Times New Roman" w:hAnsi="Verdana" w:cs="Arial"/>
                <w:color w:val="000000" w:themeColor="text1"/>
                <w:lang w:eastAsia="es-CO"/>
              </w:rPr>
              <w:t>debe estar vigente por un término no inferior a cinco (5) años contados a partir de la fecha en la cual la Entidad Estatal recibe a satisfacción la obra</w:t>
            </w:r>
            <w:r>
              <w:rPr>
                <w:rFonts w:ascii="Verdana" w:eastAsia="Times New Roman" w:hAnsi="Verdana" w:cs="Arial"/>
                <w:color w:val="000000" w:themeColor="text1"/>
                <w:lang w:eastAsia="es-CO"/>
              </w:rPr>
              <w:t xml:space="preserve">. </w:t>
            </w:r>
          </w:p>
          <w:p w14:paraId="6760B2AE" w14:textId="77777777" w:rsidR="0032389D" w:rsidRPr="00931F04" w:rsidRDefault="0032389D" w:rsidP="00084CA6">
            <w:pPr>
              <w:spacing w:after="120" w:line="276" w:lineRule="auto"/>
              <w:ind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No obstante, la entidad podrá exigir una suficiencia del </w:t>
            </w:r>
            <w:r w:rsidRPr="00765B86">
              <w:rPr>
                <w:rFonts w:ascii="Verdana" w:eastAsia="Times New Roman" w:hAnsi="Verdana" w:cs="Arial"/>
                <w:i/>
                <w:iCs/>
                <w:color w:val="000000" w:themeColor="text1"/>
                <w:lang w:eastAsia="es-CO"/>
              </w:rPr>
              <w:t>amparo de estabilidad y calidad de la obra</w:t>
            </w:r>
            <w:r>
              <w:rPr>
                <w:rFonts w:ascii="Verdana" w:eastAsia="Times New Roman" w:hAnsi="Verdana" w:cs="Arial"/>
                <w:i/>
                <w:iCs/>
                <w:color w:val="000000" w:themeColor="text1"/>
                <w:lang w:eastAsia="es-CO"/>
              </w:rPr>
              <w:t xml:space="preserve"> </w:t>
            </w:r>
            <w:r w:rsidRPr="000076AD">
              <w:rPr>
                <w:rFonts w:ascii="Verdana" w:eastAsia="Times New Roman" w:hAnsi="Verdana" w:cs="Arial"/>
                <w:color w:val="000000" w:themeColor="text1"/>
                <w:lang w:eastAsia="es-CO"/>
              </w:rPr>
              <w:t xml:space="preserve">inferior a </w:t>
            </w:r>
            <w:r>
              <w:rPr>
                <w:rFonts w:ascii="Verdana" w:eastAsia="Times New Roman" w:hAnsi="Verdana" w:cs="Arial"/>
                <w:color w:val="000000" w:themeColor="text1"/>
                <w:lang w:eastAsia="es-CO"/>
              </w:rPr>
              <w:t xml:space="preserve">(5) </w:t>
            </w:r>
            <w:r w:rsidRPr="000076AD">
              <w:rPr>
                <w:rFonts w:ascii="Verdana" w:eastAsia="Times New Roman" w:hAnsi="Verdana" w:cs="Arial"/>
                <w:color w:val="000000" w:themeColor="text1"/>
                <w:lang w:eastAsia="es-CO"/>
              </w:rPr>
              <w:t>cinco años</w:t>
            </w:r>
            <w:r>
              <w:rPr>
                <w:rFonts w:ascii="Verdana" w:eastAsia="Times New Roman" w:hAnsi="Verdana" w:cs="Arial"/>
                <w:color w:val="000000" w:themeColor="text1"/>
                <w:lang w:eastAsia="es-CO"/>
              </w:rPr>
              <w:t>, sin que la misma tenga una duración inferior a uno (1),</w:t>
            </w:r>
            <w:r w:rsidRPr="000076AD">
              <w:rPr>
                <w:rFonts w:ascii="Verdana" w:eastAsia="Times New Roman" w:hAnsi="Verdana" w:cs="Arial"/>
                <w:color w:val="000000" w:themeColor="text1"/>
                <w:lang w:eastAsia="es-CO"/>
              </w:rPr>
              <w:t xml:space="preserve"> s</w:t>
            </w:r>
            <w:r>
              <w:rPr>
                <w:rFonts w:ascii="Verdana" w:eastAsia="Times New Roman" w:hAnsi="Verdana" w:cs="Arial"/>
                <w:color w:val="000000" w:themeColor="text1"/>
                <w:lang w:eastAsia="es-CO"/>
              </w:rPr>
              <w:t>i</w:t>
            </w:r>
            <w:r w:rsidRPr="000076AD">
              <w:rPr>
                <w:rFonts w:ascii="Verdana" w:eastAsia="Times New Roman" w:hAnsi="Verdana" w:cs="Arial"/>
                <w:color w:val="000000" w:themeColor="text1"/>
                <w:lang w:eastAsia="es-CO"/>
              </w:rPr>
              <w:t xml:space="preserve"> u</w:t>
            </w:r>
            <w:r w:rsidRPr="00142005">
              <w:rPr>
                <w:rFonts w:ascii="Verdana" w:eastAsia="Times New Roman" w:hAnsi="Verdana" w:cs="Arial"/>
                <w:color w:val="000000" w:themeColor="text1"/>
                <w:lang w:eastAsia="es-CO"/>
              </w:rPr>
              <w:t>n</w:t>
            </w:r>
            <w:r>
              <w:rPr>
                <w:rFonts w:ascii="Verdana" w:eastAsia="Times New Roman" w:hAnsi="Verdana" w:cs="Arial"/>
                <w:i/>
                <w:iCs/>
                <w:color w:val="000000" w:themeColor="text1"/>
                <w:lang w:eastAsia="es-CO"/>
              </w:rPr>
              <w:t xml:space="preserve"> </w:t>
            </w:r>
            <w:r w:rsidRPr="005938A0">
              <w:rPr>
                <w:rFonts w:ascii="Verdana" w:eastAsia="Times New Roman" w:hAnsi="Verdana" w:cs="Arial"/>
                <w:color w:val="000000" w:themeColor="text1"/>
                <w:lang w:eastAsia="es-CO"/>
              </w:rPr>
              <w:t xml:space="preserve">experto </w:t>
            </w:r>
            <w:r>
              <w:rPr>
                <w:rFonts w:ascii="Verdana" w:eastAsia="Times New Roman" w:hAnsi="Verdana" w:cs="Arial"/>
                <w:color w:val="000000" w:themeColor="text1"/>
                <w:lang w:eastAsia="es-CO"/>
              </w:rPr>
              <w:t xml:space="preserve">emite </w:t>
            </w:r>
            <w:r w:rsidRPr="005938A0">
              <w:rPr>
                <w:rFonts w:ascii="Verdana" w:eastAsia="Times New Roman" w:hAnsi="Verdana" w:cs="Arial"/>
                <w:color w:val="000000" w:themeColor="text1"/>
                <w:lang w:eastAsia="es-CO"/>
              </w:rPr>
              <w:t>una “justificación”, entendida como la “Prueba convincente de algo”, de acuerdo con su área profesional. Sin limitarse a la cuantía del proceso, la justificación técnica se relaciona con “[…] el tipo de actividades que serán realizadas, la experticia técnica requerida, el alcance físico de las obras, entre otros […]”. Con fundamento en la opinión del experto, la entidad encargada del proceso de selección definirá si existe una justificación razonable para constituir la garantía de estabilidad y calidad de la obra por un término inferior a cinco (5) años.</w:t>
            </w:r>
            <w:r>
              <w:rPr>
                <w:rFonts w:ascii="Verdana" w:eastAsia="Times New Roman" w:hAnsi="Verdana" w:cs="Arial"/>
                <w:color w:val="000000" w:themeColor="text1"/>
                <w:lang w:eastAsia="es-CO"/>
              </w:rPr>
              <w:t xml:space="preserve"> Adicionalmente, este análisis deberá constar en los Documentos del Proceso. </w:t>
            </w:r>
          </w:p>
        </w:tc>
      </w:tr>
    </w:tbl>
    <w:p w14:paraId="20DB242A" w14:textId="77777777" w:rsidR="0032389D" w:rsidRPr="00856826" w:rsidRDefault="0032389D" w:rsidP="0032389D">
      <w:pPr>
        <w:tabs>
          <w:tab w:val="left" w:pos="142"/>
          <w:tab w:val="left" w:pos="284"/>
        </w:tabs>
        <w:spacing w:after="0" w:line="276" w:lineRule="auto"/>
        <w:jc w:val="both"/>
        <w:rPr>
          <w:rFonts w:ascii="Verdana" w:eastAsia="Century Gothic" w:hAnsi="Verdana" w:cs="Century Gothic"/>
          <w:b/>
          <w:bCs/>
          <w:lang w:val="es-ES"/>
        </w:rPr>
      </w:pPr>
    </w:p>
    <w:p w14:paraId="12073102" w14:textId="77777777" w:rsidR="0032389D" w:rsidRPr="00856826" w:rsidRDefault="0032389D" w:rsidP="0032389D">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6826">
        <w:rPr>
          <w:rFonts w:ascii="Verdana" w:eastAsia="Century Gothic" w:hAnsi="Verdana" w:cs="Century Gothic"/>
          <w:b/>
          <w:bCs/>
        </w:rPr>
        <w:t>Razones de la respuesta:</w:t>
      </w:r>
    </w:p>
    <w:p w14:paraId="38EFD3B9" w14:textId="77777777" w:rsidR="0032389D" w:rsidRPr="00856826" w:rsidRDefault="0032389D" w:rsidP="0032389D">
      <w:pPr>
        <w:spacing w:after="0" w:line="276" w:lineRule="auto"/>
        <w:jc w:val="both"/>
        <w:rPr>
          <w:rFonts w:ascii="Verdana" w:eastAsia="Calibri" w:hAnsi="Verdana" w:cs="Arial"/>
          <w:color w:val="7030A0"/>
          <w:lang w:val="es-ES"/>
        </w:rPr>
      </w:pPr>
    </w:p>
    <w:p w14:paraId="639A2A4F" w14:textId="77777777" w:rsidR="0032389D" w:rsidRPr="00856826" w:rsidRDefault="0032389D" w:rsidP="0032389D">
      <w:pPr>
        <w:spacing w:after="0" w:line="276" w:lineRule="auto"/>
        <w:jc w:val="both"/>
        <w:rPr>
          <w:rFonts w:ascii="Verdana" w:eastAsia="Calibri" w:hAnsi="Verdana" w:cs="Arial"/>
          <w:lang w:val="es-ES"/>
        </w:rPr>
      </w:pPr>
      <w:r w:rsidRPr="00856826">
        <w:rPr>
          <w:rFonts w:ascii="Verdana" w:eastAsia="Calibri" w:hAnsi="Verdana" w:cs="Arial"/>
          <w:lang w:val="es-ES"/>
        </w:rPr>
        <w:t xml:space="preserve">Lo anterior se sustenta en las siguientes consideraciones: </w:t>
      </w:r>
    </w:p>
    <w:p w14:paraId="2C560B31" w14:textId="77777777" w:rsidR="0032389D" w:rsidRPr="00856826" w:rsidRDefault="0032389D" w:rsidP="0032389D">
      <w:pPr>
        <w:spacing w:after="0" w:line="276" w:lineRule="auto"/>
        <w:jc w:val="both"/>
        <w:rPr>
          <w:rFonts w:ascii="Verdana" w:eastAsia="Calibri" w:hAnsi="Verdana" w:cs="Arial"/>
          <w:lang w:val="es-ES"/>
        </w:rPr>
      </w:pPr>
    </w:p>
    <w:p w14:paraId="7BF81F41" w14:textId="77777777" w:rsidR="0032389D" w:rsidRPr="00FE5A24" w:rsidRDefault="0032389D" w:rsidP="0032389D">
      <w:pPr>
        <w:spacing w:after="120" w:line="276" w:lineRule="auto"/>
        <w:jc w:val="both"/>
        <w:rPr>
          <w:rFonts w:ascii="Verdana" w:hAnsi="Verdana" w:cs="Arial"/>
          <w:color w:val="000000" w:themeColor="text1"/>
          <w:lang w:val="es-ES"/>
        </w:rPr>
      </w:pPr>
      <w:r>
        <w:rPr>
          <w:rFonts w:ascii="Verdana" w:eastAsia="Calibri" w:hAnsi="Verdana" w:cs="Arial"/>
          <w:color w:val="000000" w:themeColor="text1"/>
          <w:lang w:val="es-ES_tradnl" w:eastAsia="es-ES_tradnl"/>
        </w:rPr>
        <w:t xml:space="preserve">i) </w:t>
      </w:r>
      <w:r w:rsidRPr="00FE5A24">
        <w:rPr>
          <w:rFonts w:ascii="Verdana" w:eastAsia="Calibri" w:hAnsi="Verdana" w:cs="Arial"/>
          <w:color w:val="000000" w:themeColor="text1"/>
          <w:lang w:val="es-ES_tradnl" w:eastAsia="es-ES_tradnl"/>
        </w:rPr>
        <w:t xml:space="preserve">El Estatuto General de Contratación de la Administración Pública exige, por regla general, </w:t>
      </w:r>
      <w:r w:rsidRPr="00FE5A24">
        <w:rPr>
          <w:rFonts w:ascii="Verdana" w:eastAsia="Calibri" w:hAnsi="Verdana" w:cs="Arial"/>
          <w:color w:val="000000" w:themeColor="text1"/>
          <w:lang w:eastAsia="es-ES_tradnl"/>
        </w:rPr>
        <w:t xml:space="preserve">la constitución de garantías </w:t>
      </w:r>
      <w:r w:rsidRPr="00FE5A24">
        <w:rPr>
          <w:rFonts w:ascii="Verdana" w:eastAsia="Calibri" w:hAnsi="Verdana" w:cs="Arial"/>
          <w:color w:val="000000" w:themeColor="text1"/>
          <w:lang w:val="es-ES_tradnl" w:eastAsia="es-ES_tradnl"/>
        </w:rPr>
        <w:t xml:space="preserve">en los Procesos de Contratación pública </w:t>
      </w:r>
      <w:r w:rsidRPr="00FE5A24">
        <w:rPr>
          <w:rFonts w:ascii="Verdana" w:eastAsia="Calibri" w:hAnsi="Verdana" w:cs="Arial"/>
          <w:color w:val="000000" w:themeColor="text1"/>
          <w:lang w:eastAsia="es-ES_tradnl"/>
        </w:rPr>
        <w:t>con el fin de evitar o mitigar posibles riesgos</w:t>
      </w:r>
      <w:r w:rsidRPr="00FE5A24">
        <w:rPr>
          <w:rFonts w:ascii="Verdana" w:hAnsi="Verdana" w:cs="Arial"/>
          <w:color w:val="000000" w:themeColor="text1"/>
          <w:shd w:val="clear" w:color="auto" w:fill="FFFFFF"/>
        </w:rPr>
        <w:t xml:space="preserve">. </w:t>
      </w:r>
      <w:r w:rsidRPr="00FE5A24">
        <w:rPr>
          <w:rFonts w:ascii="Verdana" w:hAnsi="Verdana" w:cs="Arial"/>
          <w:color w:val="000000" w:themeColor="text1"/>
          <w:lang w:val="es-ES"/>
        </w:rPr>
        <w:t xml:space="preserve">Desde esta perspectiva, las garantías constituyen una obligación de seguridad, es decir, aquella donde el interés del acreedor no consiste en una utilidad específica y tangible, sino en la tranquilidad frente a ciertos riesgos por la cobertura de sus consecuencias nocivas. </w:t>
      </w:r>
    </w:p>
    <w:p w14:paraId="78D3F340" w14:textId="77777777" w:rsidR="0032389D" w:rsidRPr="00FE5A24" w:rsidRDefault="0032389D" w:rsidP="0032389D">
      <w:pPr>
        <w:spacing w:after="120" w:line="276" w:lineRule="auto"/>
        <w:ind w:firstLine="708"/>
        <w:jc w:val="both"/>
        <w:rPr>
          <w:rFonts w:ascii="Verdana" w:hAnsi="Verdana" w:cs="Arial"/>
          <w:color w:val="000000" w:themeColor="text1"/>
          <w:lang w:val="es-ES"/>
        </w:rPr>
      </w:pPr>
      <w:r w:rsidRPr="00FE5A24">
        <w:rPr>
          <w:rFonts w:ascii="Verdana" w:eastAsia="Calibri" w:hAnsi="Verdana" w:cs="Arial"/>
          <w:color w:val="000000" w:themeColor="text1"/>
          <w:lang w:val="es-ES_tradnl" w:eastAsia="es-ES_tradnl"/>
        </w:rPr>
        <w:t>En este sentido, el artículo 7 de la Ley 1150 de 2007 dispone que los contratistas tienen la obligación de constituir garantías para el cumplimiento de las obligaciones surgidas del contrat</w:t>
      </w:r>
      <w:r>
        <w:rPr>
          <w:rFonts w:ascii="Verdana" w:eastAsia="Calibri" w:hAnsi="Verdana" w:cs="Arial"/>
          <w:color w:val="000000" w:themeColor="text1"/>
          <w:lang w:val="es-ES_tradnl" w:eastAsia="es-ES_tradnl"/>
        </w:rPr>
        <w:t>o</w:t>
      </w:r>
      <w:r w:rsidRPr="00FE5A24">
        <w:rPr>
          <w:rFonts w:ascii="Verdana" w:hAnsi="Verdana" w:cs="Arial"/>
          <w:color w:val="000000" w:themeColor="text1"/>
          <w:lang w:val="es-ES"/>
        </w:rPr>
        <w:t xml:space="preserve">. De acuerdo con el inciso segundo de dicho artículo, las garantías pueden otorgarse a través de: </w:t>
      </w:r>
      <w:r>
        <w:rPr>
          <w:rFonts w:ascii="Verdana" w:hAnsi="Verdana" w:cs="Arial"/>
          <w:color w:val="000000" w:themeColor="text1"/>
          <w:lang w:val="es-ES"/>
        </w:rPr>
        <w:t>(</w:t>
      </w:r>
      <w:r w:rsidRPr="00FE5A24">
        <w:rPr>
          <w:rFonts w:ascii="Verdana" w:hAnsi="Verdana" w:cs="Arial"/>
          <w:color w:val="000000" w:themeColor="text1"/>
          <w:lang w:val="es-ES"/>
        </w:rPr>
        <w:t xml:space="preserve">i) contratos de seguro, </w:t>
      </w:r>
      <w:r>
        <w:rPr>
          <w:rFonts w:ascii="Verdana" w:hAnsi="Verdana" w:cs="Arial"/>
          <w:color w:val="000000" w:themeColor="text1"/>
          <w:lang w:val="es-ES"/>
        </w:rPr>
        <w:t>(</w:t>
      </w:r>
      <w:proofErr w:type="spellStart"/>
      <w:r w:rsidRPr="00FE5A24">
        <w:rPr>
          <w:rFonts w:ascii="Verdana" w:hAnsi="Verdana" w:cs="Arial"/>
          <w:color w:val="000000" w:themeColor="text1"/>
          <w:lang w:val="es-ES"/>
        </w:rPr>
        <w:t>ii</w:t>
      </w:r>
      <w:proofErr w:type="spellEnd"/>
      <w:r w:rsidRPr="00FE5A24">
        <w:rPr>
          <w:rFonts w:ascii="Verdana" w:hAnsi="Verdana" w:cs="Arial"/>
          <w:color w:val="000000" w:themeColor="text1"/>
          <w:lang w:val="es-ES"/>
        </w:rPr>
        <w:t xml:space="preserve">) </w:t>
      </w:r>
      <w:r w:rsidRPr="00FE5A24">
        <w:rPr>
          <w:rFonts w:ascii="Verdana" w:hAnsi="Verdana" w:cs="Arial"/>
          <w:color w:val="000000" w:themeColor="text1"/>
          <w:lang w:val="es-ES"/>
        </w:rPr>
        <w:lastRenderedPageBreak/>
        <w:t xml:space="preserve">garantías bancarias, o </w:t>
      </w:r>
      <w:r>
        <w:rPr>
          <w:rFonts w:ascii="Verdana" w:hAnsi="Verdana" w:cs="Arial"/>
          <w:color w:val="000000" w:themeColor="text1"/>
          <w:lang w:val="es-ES"/>
        </w:rPr>
        <w:t>(</w:t>
      </w:r>
      <w:proofErr w:type="spellStart"/>
      <w:r w:rsidRPr="00FE5A24">
        <w:rPr>
          <w:rFonts w:ascii="Verdana" w:hAnsi="Verdana" w:cs="Arial"/>
          <w:color w:val="000000" w:themeColor="text1"/>
          <w:lang w:val="es-ES"/>
        </w:rPr>
        <w:t>iii</w:t>
      </w:r>
      <w:proofErr w:type="spellEnd"/>
      <w:r w:rsidRPr="00FE5A24">
        <w:rPr>
          <w:rFonts w:ascii="Verdana" w:hAnsi="Verdana" w:cs="Arial"/>
          <w:color w:val="000000" w:themeColor="text1"/>
          <w:lang w:val="es-ES"/>
        </w:rPr>
        <w:t>) los demás mecanismos de cobertura del riesgo que disponga el reglamento. De esta manera, las garantías previstas en la ley tienen como objetivo asegurar la solvencia del garante</w:t>
      </w:r>
      <w:r w:rsidRPr="00FE5A24">
        <w:rPr>
          <w:rStyle w:val="FootnoteReference"/>
          <w:rFonts w:ascii="Verdana" w:hAnsi="Verdana" w:cs="Arial"/>
          <w:color w:val="000000" w:themeColor="text1"/>
          <w:lang w:val="es-ES"/>
        </w:rPr>
        <w:footnoteReference w:id="2"/>
      </w:r>
      <w:r w:rsidRPr="00FE5A24">
        <w:rPr>
          <w:rFonts w:ascii="Verdana" w:hAnsi="Verdana" w:cs="Arial"/>
          <w:color w:val="000000" w:themeColor="text1"/>
          <w:lang w:val="es-ES"/>
        </w:rPr>
        <w:t>.</w:t>
      </w:r>
    </w:p>
    <w:p w14:paraId="7627DB27" w14:textId="77777777" w:rsidR="0032389D" w:rsidRPr="00FE5A24" w:rsidRDefault="0032389D" w:rsidP="0032389D">
      <w:pPr>
        <w:spacing w:after="120" w:line="276" w:lineRule="auto"/>
        <w:ind w:firstLine="708"/>
        <w:jc w:val="both"/>
        <w:rPr>
          <w:rFonts w:ascii="Verdana" w:hAnsi="Verdana" w:cs="Arial"/>
          <w:color w:val="000000" w:themeColor="text1"/>
        </w:rPr>
      </w:pPr>
      <w:r>
        <w:rPr>
          <w:rFonts w:ascii="Verdana" w:eastAsia="Times New Roman" w:hAnsi="Verdana" w:cs="Arial"/>
          <w:color w:val="000000" w:themeColor="text1"/>
          <w:lang w:eastAsia="es-CO"/>
        </w:rPr>
        <w:t>De acuerdo con</w:t>
      </w:r>
      <w:r w:rsidRPr="00FE5A24">
        <w:rPr>
          <w:rFonts w:ascii="Verdana" w:eastAsia="Times New Roman" w:hAnsi="Verdana" w:cs="Arial"/>
          <w:color w:val="000000" w:themeColor="text1"/>
          <w:lang w:eastAsia="es-CO"/>
        </w:rPr>
        <w:t xml:space="preserve"> los artículos 2.2.1.1.1.6.1, 2.2.1.1.2.1.1 y 2.2.1.1.2.1.3 del Decreto 1082 de 2015, las entidades deben realizar el análisis de los riesgos y la forma de mitigarlos en los estudios del sector, en los estudios previos y en el pliego de condiciones, documentos propios de la etapa precontractual. Allí deben precisar la cobertura de las garantías, sin perjuicio de las observaciones que formulen los interesados y de los ajustes realizados al pliego de condiciones definitivo cuando ést</w:t>
      </w:r>
      <w:r>
        <w:rPr>
          <w:rFonts w:ascii="Verdana" w:eastAsia="Times New Roman" w:hAnsi="Verdana" w:cs="Arial"/>
          <w:color w:val="000000" w:themeColor="text1"/>
          <w:lang w:eastAsia="es-CO"/>
        </w:rPr>
        <w:t>o</w:t>
      </w:r>
      <w:r w:rsidRPr="00FE5A24">
        <w:rPr>
          <w:rFonts w:ascii="Verdana" w:eastAsia="Times New Roman" w:hAnsi="Verdana" w:cs="Arial"/>
          <w:color w:val="000000" w:themeColor="text1"/>
          <w:lang w:eastAsia="es-CO"/>
        </w:rPr>
        <w:t>s se acept</w:t>
      </w:r>
      <w:r>
        <w:rPr>
          <w:rFonts w:ascii="Verdana" w:eastAsia="Times New Roman" w:hAnsi="Verdana" w:cs="Arial"/>
          <w:color w:val="000000" w:themeColor="text1"/>
          <w:lang w:eastAsia="es-CO"/>
        </w:rPr>
        <w:t>e</w:t>
      </w:r>
      <w:r w:rsidRPr="00FE5A24">
        <w:rPr>
          <w:rFonts w:ascii="Verdana" w:eastAsia="Times New Roman" w:hAnsi="Verdana" w:cs="Arial"/>
          <w:color w:val="000000" w:themeColor="text1"/>
          <w:lang w:eastAsia="es-CO"/>
        </w:rPr>
        <w:t>n.</w:t>
      </w:r>
      <w:r>
        <w:rPr>
          <w:rFonts w:ascii="Verdana" w:hAnsi="Verdana" w:cs="Arial"/>
          <w:color w:val="000000" w:themeColor="text1"/>
        </w:rPr>
        <w:t xml:space="preserve"> Por su parte, l</w:t>
      </w:r>
      <w:r w:rsidRPr="00FE5A24">
        <w:rPr>
          <w:rFonts w:ascii="Verdana" w:hAnsi="Verdana" w:cs="Arial"/>
          <w:color w:val="000000" w:themeColor="text1"/>
        </w:rPr>
        <w:t>os artículos 2.2.1.2.3.1.1 a 2.2.1.2.3.1.19 reglamenta</w:t>
      </w:r>
      <w:r>
        <w:rPr>
          <w:rFonts w:ascii="Verdana" w:hAnsi="Verdana" w:cs="Arial"/>
          <w:color w:val="000000" w:themeColor="text1"/>
        </w:rPr>
        <w:t>n</w:t>
      </w:r>
      <w:r w:rsidRPr="00FE5A24">
        <w:rPr>
          <w:rFonts w:ascii="Verdana" w:hAnsi="Verdana" w:cs="Arial"/>
          <w:color w:val="000000" w:themeColor="text1"/>
        </w:rPr>
        <w:t xml:space="preserve"> las condiciones en que debe cumplirse </w:t>
      </w:r>
      <w:r>
        <w:rPr>
          <w:rFonts w:ascii="Verdana" w:hAnsi="Verdana" w:cs="Arial"/>
          <w:color w:val="000000" w:themeColor="text1"/>
        </w:rPr>
        <w:t>esta</w:t>
      </w:r>
      <w:r w:rsidRPr="00FE5A24">
        <w:rPr>
          <w:rFonts w:ascii="Verdana" w:hAnsi="Verdana" w:cs="Arial"/>
          <w:color w:val="000000" w:themeColor="text1"/>
        </w:rPr>
        <w:t xml:space="preserve"> obligación </w:t>
      </w:r>
      <w:r>
        <w:rPr>
          <w:rFonts w:ascii="Verdana" w:hAnsi="Verdana" w:cs="Arial"/>
          <w:color w:val="000000" w:themeColor="text1"/>
        </w:rPr>
        <w:t>y establecen</w:t>
      </w:r>
      <w:r w:rsidRPr="00FE5A24">
        <w:rPr>
          <w:rFonts w:ascii="Verdana" w:hAnsi="Verdana" w:cs="Arial"/>
          <w:color w:val="000000" w:themeColor="text1"/>
        </w:rPr>
        <w:t xml:space="preserve"> asuntos como la clase de garantías permitidas, la indivisibilidad de las mismas, los diferentes riesgos que deben ser objeto de garantía, la vigencia y valores mínimos que deben cubrir los amparos, entre otros aspectos. </w:t>
      </w:r>
    </w:p>
    <w:p w14:paraId="720F5F93" w14:textId="77777777" w:rsidR="0032389D" w:rsidRPr="00FE5A24" w:rsidRDefault="0032389D" w:rsidP="0032389D">
      <w:pPr>
        <w:spacing w:after="120" w:line="276" w:lineRule="auto"/>
        <w:ind w:firstLine="708"/>
        <w:jc w:val="both"/>
        <w:rPr>
          <w:rFonts w:ascii="Verdana" w:hAnsi="Verdana" w:cs="Arial"/>
          <w:color w:val="000000" w:themeColor="text1"/>
          <w:lang w:val="es-ES"/>
        </w:rPr>
      </w:pPr>
      <w:r w:rsidRPr="00FE5A24">
        <w:rPr>
          <w:rFonts w:ascii="Verdana" w:hAnsi="Verdana" w:cs="Arial"/>
          <w:color w:val="000000" w:themeColor="text1"/>
          <w:lang w:val="es-ES"/>
        </w:rPr>
        <w:t xml:space="preserve">En particular, mediante </w:t>
      </w:r>
      <w:r w:rsidRPr="00FE5A24">
        <w:rPr>
          <w:rFonts w:ascii="Verdana" w:eastAsia="Calibri" w:hAnsi="Verdana" w:cs="Arial"/>
          <w:color w:val="000000" w:themeColor="text1"/>
          <w:lang w:val="es-ES"/>
        </w:rPr>
        <w:t xml:space="preserve">la </w:t>
      </w:r>
      <w:r w:rsidRPr="00FE5A24">
        <w:rPr>
          <w:rFonts w:ascii="Verdana" w:eastAsia="Calibri" w:hAnsi="Verdana" w:cs="Arial"/>
          <w:i/>
          <w:iCs/>
          <w:color w:val="000000" w:themeColor="text1"/>
          <w:lang w:val="es-ES"/>
        </w:rPr>
        <w:t>garantía única de cumplimiento</w:t>
      </w:r>
      <w:r w:rsidRPr="00FE5A24">
        <w:rPr>
          <w:rFonts w:ascii="Verdana" w:eastAsia="Calibri" w:hAnsi="Verdana" w:cs="Arial"/>
          <w:color w:val="000000" w:themeColor="text1"/>
          <w:lang w:val="es-ES"/>
        </w:rPr>
        <w:t xml:space="preserve"> el contratista debe amparar los perjuicios que le pueda generar a la entidad el incumplimiento de las obligaciones derivadas del contrato por conductas que le sean atribuibles</w:t>
      </w:r>
      <w:r w:rsidRPr="00FE5A24">
        <w:rPr>
          <w:rStyle w:val="FootnoteReference"/>
          <w:rFonts w:ascii="Verdana" w:eastAsia="Calibri" w:hAnsi="Verdana" w:cs="Arial"/>
          <w:color w:val="000000" w:themeColor="text1"/>
        </w:rPr>
        <w:footnoteReference w:id="3"/>
      </w:r>
      <w:r w:rsidRPr="00FE5A24">
        <w:rPr>
          <w:rFonts w:ascii="Verdana" w:eastAsia="Calibri" w:hAnsi="Verdana" w:cs="Arial"/>
          <w:color w:val="000000" w:themeColor="text1"/>
          <w:lang w:val="es-ES"/>
        </w:rPr>
        <w:t xml:space="preserve">. </w:t>
      </w:r>
      <w:r w:rsidRPr="00FE5A24">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FE5A24">
        <w:rPr>
          <w:rStyle w:val="FootnoteReference"/>
          <w:rFonts w:ascii="Verdana" w:hAnsi="Verdana" w:cs="Arial"/>
          <w:color w:val="000000" w:themeColor="text1"/>
          <w:lang w:val="es-ES_tradnl"/>
        </w:rPr>
        <w:footnoteReference w:id="4"/>
      </w:r>
      <w:r w:rsidRPr="00FE5A24">
        <w:rPr>
          <w:rFonts w:ascii="Verdana" w:hAnsi="Verdana" w:cs="Arial"/>
          <w:color w:val="000000" w:themeColor="text1"/>
          <w:lang w:val="es-ES_tradnl"/>
        </w:rPr>
        <w:t xml:space="preserve">.    </w:t>
      </w:r>
    </w:p>
    <w:p w14:paraId="52D286B5" w14:textId="77777777" w:rsidR="0032389D" w:rsidRDefault="0032389D" w:rsidP="0032389D">
      <w:pPr>
        <w:spacing w:after="120" w:line="276" w:lineRule="auto"/>
        <w:ind w:firstLine="708"/>
        <w:jc w:val="both"/>
        <w:rPr>
          <w:rFonts w:ascii="Verdana" w:eastAsia="Times New Roman" w:hAnsi="Verdana" w:cs="Arial"/>
          <w:color w:val="000000" w:themeColor="text1"/>
          <w:lang w:eastAsia="es-CO"/>
        </w:rPr>
      </w:pPr>
      <w:r w:rsidRPr="00FE5A24">
        <w:rPr>
          <w:rFonts w:ascii="Verdana" w:hAnsi="Verdana" w:cs="Arial"/>
          <w:color w:val="000000" w:themeColor="text1"/>
        </w:rPr>
        <w:t xml:space="preserve">El artículo 2.2.1.3.1.7 del Decreto 1082 de 2015 señala que </w:t>
      </w:r>
      <w:r w:rsidRPr="00FE5A24">
        <w:rPr>
          <w:rFonts w:ascii="Verdana" w:hAnsi="Verdana" w:cs="Arial"/>
          <w:i/>
          <w:iCs/>
          <w:color w:val="000000" w:themeColor="text1"/>
        </w:rPr>
        <w:t>la garantía de cumplimiento</w:t>
      </w:r>
      <w:r w:rsidRPr="00FE5A24">
        <w:rPr>
          <w:rFonts w:ascii="Verdana" w:hAnsi="Verdana" w:cs="Arial"/>
          <w:color w:val="000000" w:themeColor="text1"/>
        </w:rPr>
        <w:t xml:space="preserve"> </w:t>
      </w:r>
      <w:r w:rsidRPr="00FE5A24">
        <w:rPr>
          <w:rFonts w:ascii="Verdana" w:eastAsia="Calibri" w:hAnsi="Verdana" w:cs="Arial"/>
          <w:bCs/>
          <w:color w:val="000000" w:themeColor="text1"/>
          <w:lang w:val="es-ES_tradnl"/>
        </w:rPr>
        <w:t xml:space="preserve">cuenta con varios </w:t>
      </w:r>
      <w:r w:rsidRPr="00FE5A24">
        <w:rPr>
          <w:rFonts w:ascii="Verdana" w:eastAsia="Calibri" w:hAnsi="Verdana" w:cs="Arial"/>
          <w:bCs/>
          <w:i/>
          <w:iCs/>
          <w:color w:val="000000" w:themeColor="text1"/>
          <w:lang w:val="es-ES_tradnl"/>
        </w:rPr>
        <w:t>amparos</w:t>
      </w:r>
      <w:r w:rsidRPr="00FE5A24">
        <w:rPr>
          <w:rFonts w:ascii="Verdana" w:eastAsia="Calibri" w:hAnsi="Verdana" w:cs="Arial"/>
          <w:bCs/>
          <w:color w:val="000000" w:themeColor="text1"/>
          <w:lang w:val="es-ES_tradnl"/>
        </w:rPr>
        <w:t xml:space="preserve"> que cubren: el de buen manejo y correcta inversión del anticipo; la devolución del pago anticipado; el amparo de cumplimiento del contrato; la garantía de pago de salarios, prestaciones sociales </w:t>
      </w:r>
      <w:r w:rsidRPr="00FE5A24">
        <w:rPr>
          <w:rFonts w:ascii="Verdana" w:eastAsia="Calibri" w:hAnsi="Verdana" w:cs="Arial"/>
          <w:bCs/>
          <w:color w:val="000000" w:themeColor="text1"/>
          <w:lang w:val="es-ES_tradnl"/>
        </w:rPr>
        <w:lastRenderedPageBreak/>
        <w:t xml:space="preserve">legales e indemnizaciones laborales; </w:t>
      </w:r>
      <w:r w:rsidRPr="00765B86">
        <w:rPr>
          <w:rFonts w:ascii="Verdana" w:eastAsia="Calibri" w:hAnsi="Verdana" w:cs="Arial"/>
          <w:bCs/>
          <w:i/>
          <w:iCs/>
          <w:color w:val="000000" w:themeColor="text1"/>
          <w:lang w:val="es-ES_tradnl"/>
        </w:rPr>
        <w:t>la estabilidad y calidad de la obra</w:t>
      </w:r>
      <w:r w:rsidRPr="00FE5A24">
        <w:rPr>
          <w:rFonts w:ascii="Verdana" w:eastAsia="Calibri" w:hAnsi="Verdana" w:cs="Arial"/>
          <w:bCs/>
          <w:color w:val="000000" w:themeColor="text1"/>
          <w:lang w:val="es-ES_tradnl"/>
        </w:rPr>
        <w:t xml:space="preserve">, y </w:t>
      </w:r>
      <w:r w:rsidRPr="00FE5A24">
        <w:rPr>
          <w:rFonts w:ascii="Verdana" w:eastAsia="Times New Roman" w:hAnsi="Verdana" w:cs="Arial"/>
          <w:color w:val="000000" w:themeColor="text1"/>
          <w:lang w:eastAsia="es-CO"/>
        </w:rPr>
        <w:t>los demás incumplimientos de las obligaciones que la entidad estatal considere deben ser amparados</w:t>
      </w:r>
      <w:r w:rsidRPr="00FE5A24">
        <w:rPr>
          <w:rStyle w:val="FootnoteReference"/>
          <w:rFonts w:ascii="Verdana" w:eastAsia="Times New Roman" w:hAnsi="Verdana" w:cs="Arial"/>
          <w:color w:val="000000" w:themeColor="text1"/>
          <w:lang w:eastAsia="es-CO"/>
        </w:rPr>
        <w:footnoteReference w:id="5"/>
      </w:r>
      <w:r w:rsidRPr="00FE5A24">
        <w:rPr>
          <w:rFonts w:ascii="Verdana" w:eastAsia="Times New Roman" w:hAnsi="Verdana" w:cs="Arial"/>
          <w:color w:val="000000" w:themeColor="text1"/>
          <w:lang w:eastAsia="es-CO"/>
        </w:rPr>
        <w:t>. Esto, además de la póliza de responsabilidad civil extracontractual que es procedente en los contratos de obra, así como en aquellos en que por su objeto o naturaleza se considere necesario con ocasión de los riesgos previstos en el negocio, de acuerdo con el artículo 2.2.1.2.3.1.8</w:t>
      </w:r>
      <w:r w:rsidRPr="00FE5A24">
        <w:rPr>
          <w:rFonts w:ascii="Verdana" w:eastAsia="Times New Roman" w:hAnsi="Verdana" w:cs="Arial"/>
          <w:i/>
          <w:iCs/>
          <w:color w:val="000000" w:themeColor="text1"/>
          <w:lang w:eastAsia="es-CO"/>
        </w:rPr>
        <w:t xml:space="preserve"> </w:t>
      </w:r>
      <w:r w:rsidRPr="00FE5A24">
        <w:rPr>
          <w:rFonts w:ascii="Verdana" w:eastAsia="Times New Roman" w:hAnsi="Verdana" w:cs="Arial"/>
          <w:color w:val="000000" w:themeColor="text1"/>
          <w:lang w:eastAsia="es-CO"/>
        </w:rPr>
        <w:t>del Decreto 1082 de 2015.</w:t>
      </w:r>
    </w:p>
    <w:p w14:paraId="7186B4C7" w14:textId="77777777" w:rsidR="0032389D" w:rsidRDefault="0032389D" w:rsidP="0032389D">
      <w:pPr>
        <w:spacing w:before="120" w:after="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Como se observa, la garantía de cumplimiento es única y su amparo de estabilidad y calidad de la obra </w:t>
      </w:r>
      <w:r w:rsidRPr="005938A0">
        <w:rPr>
          <w:rFonts w:ascii="Verdana" w:eastAsia="Times New Roman" w:hAnsi="Verdana" w:cs="Arial"/>
          <w:color w:val="000000" w:themeColor="text1"/>
          <w:lang w:eastAsia="es-CO"/>
        </w:rPr>
        <w:t>cubre la ocurrencia de</w:t>
      </w:r>
      <w:r>
        <w:rPr>
          <w:rFonts w:ascii="Verdana" w:eastAsia="Times New Roman" w:hAnsi="Verdana" w:cs="Arial"/>
          <w:color w:val="000000" w:themeColor="text1"/>
          <w:lang w:eastAsia="es-CO"/>
        </w:rPr>
        <w:t xml:space="preserve"> los</w:t>
      </w:r>
      <w:r w:rsidRPr="005938A0">
        <w:rPr>
          <w:rFonts w:ascii="Verdana" w:eastAsia="Times New Roman" w:hAnsi="Verdana" w:cs="Arial"/>
          <w:color w:val="000000" w:themeColor="text1"/>
          <w:lang w:eastAsia="es-CO"/>
        </w:rPr>
        <w:t xml:space="preserve"> vicios, mala calidad, defectos, deficiencias técnicas o fallas que la Administración no detecte al momento de recibir la obra o que descubr</w:t>
      </w:r>
      <w:r>
        <w:rPr>
          <w:rFonts w:ascii="Verdana" w:eastAsia="Times New Roman" w:hAnsi="Verdana" w:cs="Arial"/>
          <w:color w:val="000000" w:themeColor="text1"/>
          <w:lang w:eastAsia="es-CO"/>
        </w:rPr>
        <w:t>a</w:t>
      </w:r>
      <w:r w:rsidRPr="005938A0">
        <w:rPr>
          <w:rFonts w:ascii="Verdana" w:eastAsia="Times New Roman" w:hAnsi="Verdana" w:cs="Arial"/>
          <w:color w:val="000000" w:themeColor="text1"/>
          <w:lang w:eastAsia="es-CO"/>
        </w:rPr>
        <w:t xml:space="preserve"> con posterioridad a la liquidación del contrato, afectando el cumplimiento de los objetivos que animaron la suscripción.</w:t>
      </w:r>
      <w:r>
        <w:rPr>
          <w:rFonts w:ascii="Verdana" w:eastAsia="Times New Roman" w:hAnsi="Verdana" w:cs="Arial"/>
          <w:color w:val="000000" w:themeColor="text1"/>
          <w:lang w:eastAsia="es-CO"/>
        </w:rPr>
        <w:t xml:space="preserve"> En efecto, el amparo respalda estos riesgos frente a la totalidad del objeto contractual, el cual podrá incluir distintas actividades relacionadas con la obra pública. De esta forma, la entidad exige la constitución de un amparo cuya suficiencia y valor respalda la estabilidad y calidad toda la obra pública que es </w:t>
      </w:r>
      <w:r>
        <w:rPr>
          <w:rFonts w:ascii="Verdana" w:eastAsia="Times New Roman" w:hAnsi="Verdana" w:cs="Arial"/>
          <w:color w:val="000000" w:themeColor="text1"/>
          <w:lang w:eastAsia="es-CO"/>
        </w:rPr>
        <w:lastRenderedPageBreak/>
        <w:t>objeto de contratación, de modo que no resulta adecuado dividir la suficiencia del amparo según las actividades a ejecutar.</w:t>
      </w:r>
    </w:p>
    <w:p w14:paraId="57D22D21" w14:textId="77777777" w:rsidR="0032389D" w:rsidRDefault="0032389D" w:rsidP="0032389D">
      <w:pPr>
        <w:spacing w:after="0" w:line="276" w:lineRule="auto"/>
        <w:ind w:firstLine="709"/>
        <w:contextualSpacing/>
        <w:jc w:val="both"/>
        <w:rPr>
          <w:rFonts w:ascii="Verdana" w:eastAsia="Times New Roman" w:hAnsi="Verdana" w:cs="Arial"/>
          <w:color w:val="000000" w:themeColor="text1"/>
          <w:lang w:eastAsia="es-CO"/>
        </w:rPr>
      </w:pPr>
    </w:p>
    <w:p w14:paraId="351A2820" w14:textId="77777777" w:rsidR="0032389D" w:rsidRDefault="0032389D" w:rsidP="0032389D">
      <w:pPr>
        <w:spacing w:after="0" w:line="276" w:lineRule="auto"/>
        <w:jc w:val="both"/>
        <w:rPr>
          <w:rFonts w:ascii="Verdana" w:eastAsia="Times New Roman" w:hAnsi="Verdana" w:cs="Arial"/>
          <w:color w:val="000000" w:themeColor="text1"/>
          <w:lang w:eastAsia="es-CO"/>
        </w:rPr>
      </w:pPr>
      <w:proofErr w:type="spellStart"/>
      <w:r>
        <w:rPr>
          <w:rFonts w:ascii="Verdana" w:eastAsia="Times New Roman" w:hAnsi="Verdana" w:cs="Arial"/>
          <w:color w:val="000000" w:themeColor="text1"/>
          <w:lang w:eastAsia="es-CO"/>
        </w:rPr>
        <w:t>ii</w:t>
      </w:r>
      <w:proofErr w:type="spellEnd"/>
      <w:r>
        <w:rPr>
          <w:rFonts w:ascii="Verdana" w:eastAsia="Times New Roman" w:hAnsi="Verdana" w:cs="Arial"/>
          <w:color w:val="000000" w:themeColor="text1"/>
          <w:lang w:eastAsia="es-CO"/>
        </w:rPr>
        <w:t xml:space="preserve">) Por su parte, el artículo </w:t>
      </w:r>
      <w:r w:rsidRPr="00CA6FDA">
        <w:rPr>
          <w:rFonts w:ascii="Verdana" w:eastAsia="Times New Roman" w:hAnsi="Verdana" w:cs="Arial"/>
          <w:color w:val="000000" w:themeColor="text1"/>
          <w:lang w:eastAsia="es-CO"/>
        </w:rPr>
        <w:t>2.2.1.2.3.1.14</w:t>
      </w:r>
      <w:r>
        <w:rPr>
          <w:rFonts w:ascii="Verdana" w:eastAsia="Times New Roman" w:hAnsi="Verdana" w:cs="Arial"/>
          <w:color w:val="000000" w:themeColor="text1"/>
          <w:lang w:eastAsia="es-CO"/>
        </w:rPr>
        <w:t xml:space="preserve"> del Decreto 1082 de 2015 –después de la modificación del artículo 3 del Decreto 399 de 2021– establece la suficiencia del </w:t>
      </w:r>
      <w:r w:rsidRPr="00765B86">
        <w:rPr>
          <w:rFonts w:ascii="Verdana" w:eastAsia="Times New Roman" w:hAnsi="Verdana" w:cs="Arial"/>
          <w:i/>
          <w:iCs/>
          <w:color w:val="000000" w:themeColor="text1"/>
          <w:lang w:eastAsia="es-CO"/>
        </w:rPr>
        <w:t>amparo de estabilidad y calidad de la obra</w:t>
      </w:r>
      <w:r>
        <w:rPr>
          <w:rFonts w:ascii="Verdana" w:eastAsia="Times New Roman" w:hAnsi="Verdana" w:cs="Arial"/>
          <w:color w:val="000000" w:themeColor="text1"/>
          <w:lang w:eastAsia="es-CO"/>
        </w:rPr>
        <w:t xml:space="preserve">. Para efectos de la vigencia y el monto, el inciso primero dispone que </w:t>
      </w:r>
      <w:r w:rsidRPr="00CA6FDA">
        <w:rPr>
          <w:rFonts w:ascii="Verdana" w:eastAsia="Times New Roman" w:hAnsi="Verdana" w:cs="Arial"/>
          <w:color w:val="000000" w:themeColor="text1"/>
          <w:lang w:eastAsia="es-CO"/>
        </w:rPr>
        <w:t>debe estar vigente por un término no inferior a cinco (5) años contados a partir de la fecha en la cual la Entidad Estatal recibe a satisfacción la obra</w:t>
      </w:r>
      <w:r>
        <w:rPr>
          <w:rFonts w:ascii="Verdana" w:eastAsia="Times New Roman" w:hAnsi="Verdana" w:cs="Arial"/>
          <w:color w:val="000000" w:themeColor="text1"/>
          <w:lang w:eastAsia="es-CO"/>
        </w:rPr>
        <w:t xml:space="preserve">. </w:t>
      </w:r>
      <w:r w:rsidRPr="00E945AF">
        <w:rPr>
          <w:rFonts w:ascii="Verdana" w:eastAsia="Times New Roman" w:hAnsi="Verdana" w:cs="Arial"/>
          <w:color w:val="000000" w:themeColor="text1"/>
          <w:lang w:eastAsia="es-CO"/>
        </w:rPr>
        <w:t>La Entidad Estatal debe determinar el valor asegurado de esta garantía en los documentos del proceso, de acuerdo con el objeto, la cuantía, la naturaleza y las obligaciones contenidas en el contrato a celebrar</w:t>
      </w:r>
      <w:r w:rsidRPr="00CA6FDA">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p>
    <w:p w14:paraId="478224FF" w14:textId="77777777" w:rsidR="0032389D" w:rsidRDefault="0032389D" w:rsidP="0032389D">
      <w:pPr>
        <w:spacing w:before="120" w:after="0" w:line="276" w:lineRule="auto"/>
        <w:ind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No obstante, en lo que atañe al plazo, la norma consagra una excepción, puesto que faculta a la entidad para establecer una garantía por un plazo inferior a </w:t>
      </w:r>
      <w:r w:rsidRPr="00CA6FDA">
        <w:rPr>
          <w:rFonts w:ascii="Verdana" w:eastAsia="Times New Roman" w:hAnsi="Verdana" w:cs="Arial"/>
          <w:color w:val="000000" w:themeColor="text1"/>
          <w:lang w:eastAsia="es-CO"/>
        </w:rPr>
        <w:t>cinco (5) años</w:t>
      </w:r>
      <w:r>
        <w:rPr>
          <w:rFonts w:ascii="Verdana" w:eastAsia="Times New Roman" w:hAnsi="Verdana" w:cs="Arial"/>
          <w:color w:val="000000" w:themeColor="text1"/>
          <w:lang w:eastAsia="es-CO"/>
        </w:rPr>
        <w:t>, sin que la misma tenga una duración inferior a uno (1). Para estos efectos, los incisos segundo y tercero del artículo referido disponen lo siguiente:</w:t>
      </w:r>
    </w:p>
    <w:p w14:paraId="66D22E84" w14:textId="77777777" w:rsidR="0032389D" w:rsidRDefault="0032389D" w:rsidP="0032389D">
      <w:pPr>
        <w:spacing w:after="0" w:line="276" w:lineRule="auto"/>
        <w:ind w:firstLine="709"/>
        <w:jc w:val="both"/>
        <w:rPr>
          <w:rFonts w:ascii="Verdana" w:eastAsia="Times New Roman" w:hAnsi="Verdana" w:cs="Arial"/>
          <w:color w:val="000000" w:themeColor="text1"/>
          <w:lang w:eastAsia="es-CO"/>
        </w:rPr>
      </w:pPr>
    </w:p>
    <w:p w14:paraId="284F5CAA" w14:textId="77777777" w:rsidR="0032389D" w:rsidRPr="00DE5648" w:rsidRDefault="0032389D" w:rsidP="0032389D">
      <w:pPr>
        <w:spacing w:after="120" w:line="240" w:lineRule="auto"/>
        <w:ind w:left="709" w:right="709"/>
        <w:jc w:val="both"/>
        <w:rPr>
          <w:rFonts w:ascii="Verdana" w:eastAsia="Times New Roman" w:hAnsi="Verdana" w:cs="Arial"/>
          <w:color w:val="000000" w:themeColor="text1"/>
          <w:sz w:val="21"/>
          <w:szCs w:val="21"/>
          <w:lang w:eastAsia="es-CO"/>
        </w:rPr>
      </w:pPr>
      <w:r w:rsidRPr="00DE5648">
        <w:rPr>
          <w:rFonts w:ascii="Verdana" w:eastAsia="Times New Roman" w:hAnsi="Verdana" w:cs="Arial"/>
          <w:color w:val="000000" w:themeColor="text1"/>
          <w:sz w:val="21"/>
          <w:szCs w:val="21"/>
          <w:lang w:eastAsia="es-CO"/>
        </w:rPr>
        <w:t xml:space="preserve">“La Entidad Estatal puede aceptar que esta garantía tenga una vigencia inferior a cinco (5) años previa justificación técnica de un experto en la materia objeto del contrato, lo cual </w:t>
      </w:r>
      <w:bookmarkStart w:id="4" w:name="_Hlk171000426"/>
      <w:r w:rsidRPr="00DE5648">
        <w:rPr>
          <w:rFonts w:ascii="Verdana" w:eastAsia="Times New Roman" w:hAnsi="Verdana" w:cs="Arial"/>
          <w:color w:val="000000" w:themeColor="text1"/>
          <w:sz w:val="21"/>
          <w:szCs w:val="21"/>
          <w:lang w:eastAsia="es-CO"/>
        </w:rPr>
        <w:t>se debe reflejar en los documentos del proceso</w:t>
      </w:r>
      <w:bookmarkEnd w:id="4"/>
      <w:r w:rsidRPr="00DE5648">
        <w:rPr>
          <w:rFonts w:ascii="Verdana" w:eastAsia="Times New Roman" w:hAnsi="Verdana" w:cs="Arial"/>
          <w:color w:val="000000" w:themeColor="text1"/>
          <w:sz w:val="21"/>
          <w:szCs w:val="21"/>
          <w:lang w:eastAsia="es-CO"/>
        </w:rPr>
        <w:t>. Como consecuencia del análisis anterior y según la complejidad técnica del contrato a celebrar, esta garantía podrá tener una vigencia inferior a cinco (5) años y en todo caso de mínimo un (1) año.</w:t>
      </w:r>
    </w:p>
    <w:p w14:paraId="07A2B004" w14:textId="77777777" w:rsidR="0032389D" w:rsidRPr="003B4AD8" w:rsidRDefault="0032389D" w:rsidP="0032389D">
      <w:pPr>
        <w:spacing w:before="120" w:after="0" w:line="240" w:lineRule="auto"/>
        <w:ind w:left="709" w:right="709"/>
        <w:jc w:val="both"/>
        <w:rPr>
          <w:rFonts w:ascii="Verdana" w:eastAsia="Times New Roman" w:hAnsi="Verdana" w:cs="Arial"/>
          <w:color w:val="000000" w:themeColor="text1"/>
          <w:sz w:val="21"/>
          <w:szCs w:val="21"/>
          <w:lang w:eastAsia="es-CO"/>
        </w:rPr>
      </w:pPr>
      <w:r w:rsidRPr="00DE5648">
        <w:rPr>
          <w:rFonts w:ascii="Verdana" w:eastAsia="Times New Roman" w:hAnsi="Verdana" w:cs="Arial"/>
          <w:color w:val="000000" w:themeColor="text1"/>
          <w:sz w:val="21"/>
          <w:szCs w:val="21"/>
          <w:lang w:eastAsia="es-CO"/>
        </w:rPr>
        <w:t xml:space="preserve">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 </w:t>
      </w:r>
    </w:p>
    <w:p w14:paraId="07473D28" w14:textId="77777777" w:rsidR="0032389D" w:rsidRDefault="0032389D" w:rsidP="0032389D">
      <w:pPr>
        <w:spacing w:after="0" w:line="276" w:lineRule="auto"/>
        <w:ind w:firstLine="709"/>
        <w:jc w:val="both"/>
        <w:rPr>
          <w:rFonts w:ascii="Verdana" w:eastAsia="Times New Roman" w:hAnsi="Verdana" w:cs="Arial"/>
          <w:color w:val="000000" w:themeColor="text1"/>
          <w:lang w:eastAsia="es-CO"/>
        </w:rPr>
      </w:pPr>
    </w:p>
    <w:p w14:paraId="5301E7BE" w14:textId="77777777" w:rsidR="0032389D" w:rsidRPr="005938A0" w:rsidRDefault="0032389D" w:rsidP="0032389D">
      <w:pPr>
        <w:spacing w:after="120" w:line="276" w:lineRule="auto"/>
        <w:ind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En efecto, la entidad solo podrá exigir una suficiencia del </w:t>
      </w:r>
      <w:r w:rsidRPr="00765B86">
        <w:rPr>
          <w:rFonts w:ascii="Verdana" w:eastAsia="Times New Roman" w:hAnsi="Verdana" w:cs="Arial"/>
          <w:i/>
          <w:iCs/>
          <w:color w:val="000000" w:themeColor="text1"/>
          <w:lang w:eastAsia="es-CO"/>
        </w:rPr>
        <w:t>amparo de estabilidad y calidad de la obra</w:t>
      </w:r>
      <w:r>
        <w:rPr>
          <w:rFonts w:ascii="Verdana" w:eastAsia="Times New Roman" w:hAnsi="Verdana" w:cs="Arial"/>
          <w:i/>
          <w:iCs/>
          <w:color w:val="000000" w:themeColor="text1"/>
          <w:lang w:eastAsia="es-CO"/>
        </w:rPr>
        <w:t xml:space="preserve"> </w:t>
      </w:r>
      <w:r w:rsidRPr="000076AD">
        <w:rPr>
          <w:rFonts w:ascii="Verdana" w:eastAsia="Times New Roman" w:hAnsi="Verdana" w:cs="Arial"/>
          <w:color w:val="000000" w:themeColor="text1"/>
          <w:lang w:eastAsia="es-CO"/>
        </w:rPr>
        <w:t xml:space="preserve">inferior a </w:t>
      </w:r>
      <w:r>
        <w:rPr>
          <w:rFonts w:ascii="Verdana" w:eastAsia="Times New Roman" w:hAnsi="Verdana" w:cs="Arial"/>
          <w:color w:val="000000" w:themeColor="text1"/>
          <w:lang w:eastAsia="es-CO"/>
        </w:rPr>
        <w:t xml:space="preserve">(5) </w:t>
      </w:r>
      <w:r w:rsidRPr="000076AD">
        <w:rPr>
          <w:rFonts w:ascii="Verdana" w:eastAsia="Times New Roman" w:hAnsi="Verdana" w:cs="Arial"/>
          <w:color w:val="000000" w:themeColor="text1"/>
          <w:lang w:eastAsia="es-CO"/>
        </w:rPr>
        <w:t>cinco años si u</w:t>
      </w:r>
      <w:r w:rsidRPr="00142005">
        <w:rPr>
          <w:rFonts w:ascii="Verdana" w:eastAsia="Times New Roman" w:hAnsi="Verdana" w:cs="Arial"/>
          <w:color w:val="000000" w:themeColor="text1"/>
          <w:lang w:eastAsia="es-CO"/>
        </w:rPr>
        <w:t>n</w:t>
      </w:r>
      <w:r>
        <w:rPr>
          <w:rFonts w:ascii="Verdana" w:eastAsia="Times New Roman" w:hAnsi="Verdana" w:cs="Arial"/>
          <w:i/>
          <w:iCs/>
          <w:color w:val="000000" w:themeColor="text1"/>
          <w:lang w:eastAsia="es-CO"/>
        </w:rPr>
        <w:t xml:space="preserve"> </w:t>
      </w:r>
      <w:r w:rsidRPr="005938A0">
        <w:rPr>
          <w:rFonts w:ascii="Verdana" w:eastAsia="Times New Roman" w:hAnsi="Verdana" w:cs="Arial"/>
          <w:color w:val="000000" w:themeColor="text1"/>
          <w:lang w:eastAsia="es-CO"/>
        </w:rPr>
        <w:t xml:space="preserve">experto </w:t>
      </w:r>
      <w:r>
        <w:rPr>
          <w:rFonts w:ascii="Verdana" w:eastAsia="Times New Roman" w:hAnsi="Verdana" w:cs="Arial"/>
          <w:color w:val="000000" w:themeColor="text1"/>
          <w:lang w:eastAsia="es-CO"/>
        </w:rPr>
        <w:t xml:space="preserve">emite </w:t>
      </w:r>
      <w:r w:rsidRPr="005938A0">
        <w:rPr>
          <w:rFonts w:ascii="Verdana" w:eastAsia="Times New Roman" w:hAnsi="Verdana" w:cs="Arial"/>
          <w:color w:val="000000" w:themeColor="text1"/>
          <w:lang w:eastAsia="es-CO"/>
        </w:rPr>
        <w:t xml:space="preserve">una “justificación”, entendida como la “Prueba convincente de algo”, de acuerdo con su área profesional. Sin limitarse a la cuantía del proceso, la justificación técnica se relaciona con “[…] el tipo de actividades que serán realizadas, la experticia técnica requerida, el alcance físico de las obras, entre otros […]”. Con </w:t>
      </w:r>
      <w:r w:rsidRPr="005938A0">
        <w:rPr>
          <w:rFonts w:ascii="Verdana" w:eastAsia="Times New Roman" w:hAnsi="Verdana" w:cs="Arial"/>
          <w:color w:val="000000" w:themeColor="text1"/>
          <w:lang w:eastAsia="es-CO"/>
        </w:rPr>
        <w:lastRenderedPageBreak/>
        <w:t>fundamento en la opinión del experto, la entidad encargada del proceso de selección definirá si existe una justificación razonable para constituir la garantía de estabilidad y calidad de la obra por un término inferior a cinco (5) años.</w:t>
      </w:r>
    </w:p>
    <w:p w14:paraId="0B24576B" w14:textId="77777777" w:rsidR="0032389D" w:rsidRDefault="0032389D" w:rsidP="0032389D">
      <w:pPr>
        <w:spacing w:before="120" w:after="0" w:line="276" w:lineRule="auto"/>
        <w:ind w:firstLine="708"/>
        <w:jc w:val="both"/>
        <w:rPr>
          <w:rFonts w:ascii="Verdana" w:eastAsia="Times New Roman" w:hAnsi="Verdana" w:cs="Arial"/>
          <w:color w:val="000000" w:themeColor="text1"/>
          <w:sz w:val="21"/>
          <w:szCs w:val="21"/>
          <w:lang w:eastAsia="es-CO"/>
        </w:rPr>
      </w:pPr>
      <w:r w:rsidRPr="005938A0">
        <w:rPr>
          <w:rFonts w:ascii="Verdana" w:eastAsia="Times New Roman" w:hAnsi="Verdana" w:cs="Arial"/>
          <w:color w:val="000000" w:themeColor="text1"/>
          <w:lang w:eastAsia="es-CO"/>
        </w:rPr>
        <w:t>Como dispone la norma en comento, este análisis “[…] se debe reflejar en los documentos del proceso […]”</w:t>
      </w:r>
      <w:r>
        <w:rPr>
          <w:rFonts w:ascii="Verdana" w:eastAsia="Times New Roman" w:hAnsi="Verdana" w:cs="Arial"/>
          <w:color w:val="000000" w:themeColor="text1"/>
          <w:lang w:eastAsia="es-CO"/>
        </w:rPr>
        <w:t xml:space="preserve"> que, s</w:t>
      </w:r>
      <w:r w:rsidRPr="005938A0">
        <w:rPr>
          <w:rFonts w:ascii="Verdana" w:eastAsia="Times New Roman" w:hAnsi="Verdana" w:cs="Arial"/>
          <w:color w:val="000000" w:themeColor="text1"/>
          <w:lang w:eastAsia="es-CO"/>
        </w:rPr>
        <w:t xml:space="preserve">egún el artículo 2.2.1.1.1.3.1 del Decreto 1082 de 2015, modificado por el artículo 1° del Decreto 142 de 2023,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r>
        <w:rPr>
          <w:rFonts w:ascii="Verdana" w:eastAsia="Times New Roman" w:hAnsi="Verdana" w:cs="Arial"/>
          <w:color w:val="000000" w:themeColor="text1"/>
          <w:lang w:eastAsia="es-CO"/>
        </w:rPr>
        <w:t xml:space="preserve">De modo que la entidad deberá dejar constancia de la justificación para aceptar que </w:t>
      </w:r>
      <w:r w:rsidRPr="00D41063">
        <w:rPr>
          <w:rFonts w:ascii="Verdana" w:eastAsia="Times New Roman" w:hAnsi="Verdana" w:cs="Arial"/>
          <w:color w:val="000000" w:themeColor="text1"/>
          <w:lang w:eastAsia="es-CO"/>
        </w:rPr>
        <w:t>tenga una vigencia inferior a cinco (5) años en dichos documentos.</w:t>
      </w:r>
      <w:r>
        <w:rPr>
          <w:rFonts w:ascii="Verdana" w:eastAsia="Times New Roman" w:hAnsi="Verdana" w:cs="Arial"/>
          <w:color w:val="000000" w:themeColor="text1"/>
          <w:sz w:val="21"/>
          <w:szCs w:val="21"/>
          <w:lang w:eastAsia="es-CO"/>
        </w:rPr>
        <w:t xml:space="preserve"> </w:t>
      </w:r>
    </w:p>
    <w:p w14:paraId="0C3A4CDC" w14:textId="77777777" w:rsidR="0032389D" w:rsidRPr="005938A0" w:rsidRDefault="0032389D" w:rsidP="0032389D">
      <w:pPr>
        <w:spacing w:after="0" w:line="276" w:lineRule="auto"/>
        <w:ind w:firstLine="708"/>
        <w:jc w:val="both"/>
        <w:rPr>
          <w:rFonts w:ascii="Verdana" w:eastAsia="Times New Roman" w:hAnsi="Verdana" w:cs="Arial"/>
          <w:color w:val="000000" w:themeColor="text1"/>
          <w:lang w:eastAsia="es-CO"/>
        </w:rPr>
      </w:pPr>
    </w:p>
    <w:p w14:paraId="33A3551C" w14:textId="77777777" w:rsidR="0032389D" w:rsidRDefault="0032389D" w:rsidP="0032389D">
      <w:pPr>
        <w:spacing w:after="120" w:line="276" w:lineRule="auto"/>
        <w:jc w:val="both"/>
        <w:rPr>
          <w:rFonts w:ascii="Verdana" w:eastAsia="Times New Roman" w:hAnsi="Verdana" w:cs="Arial"/>
          <w:color w:val="000000" w:themeColor="text1"/>
          <w:lang w:eastAsia="es-CO"/>
        </w:rPr>
      </w:pPr>
      <w:proofErr w:type="spellStart"/>
      <w:r w:rsidRPr="005938A0">
        <w:rPr>
          <w:rFonts w:ascii="Verdana" w:eastAsia="Times New Roman" w:hAnsi="Verdana" w:cs="Arial"/>
          <w:color w:val="000000" w:themeColor="text1"/>
          <w:lang w:eastAsia="es-CO"/>
        </w:rPr>
        <w:t>iii</w:t>
      </w:r>
      <w:proofErr w:type="spellEnd"/>
      <w:r w:rsidRPr="005938A0">
        <w:rPr>
          <w:rFonts w:ascii="Verdana" w:eastAsia="Times New Roman" w:hAnsi="Verdana" w:cs="Arial"/>
          <w:color w:val="000000" w:themeColor="text1"/>
          <w:lang w:eastAsia="es-CO"/>
        </w:rPr>
        <w:t xml:space="preserve">)  </w:t>
      </w:r>
      <w:r>
        <w:rPr>
          <w:rFonts w:ascii="Verdana" w:hAnsi="Verdana" w:cs="Arial"/>
          <w:color w:val="000000" w:themeColor="text1"/>
          <w:lang w:val="es-MX"/>
        </w:rPr>
        <w:t>Finalmente, se resalta que el</w:t>
      </w:r>
      <w:r w:rsidRPr="005938A0">
        <w:rPr>
          <w:rFonts w:ascii="Verdana" w:hAnsi="Verdana" w:cs="Arial"/>
          <w:color w:val="000000" w:themeColor="text1"/>
          <w:lang w:val="es-MX"/>
        </w:rPr>
        <w:t xml:space="preserve"> artículo 2.2.1.2.3.1.3</w:t>
      </w:r>
      <w:r>
        <w:rPr>
          <w:rFonts w:ascii="Verdana" w:hAnsi="Verdana" w:cs="Arial"/>
          <w:color w:val="000000" w:themeColor="text1"/>
          <w:lang w:val="es-MX"/>
        </w:rPr>
        <w:t xml:space="preserve"> del Decreto 1082 de 2015</w:t>
      </w:r>
      <w:r w:rsidRPr="005938A0">
        <w:rPr>
          <w:rFonts w:ascii="Verdana" w:hAnsi="Verdana" w:cs="Arial"/>
          <w:color w:val="000000" w:themeColor="text1"/>
          <w:lang w:val="es-MX"/>
        </w:rPr>
        <w:t xml:space="preserve"> establece que la “garantía de cobertura del </w:t>
      </w:r>
      <w:r>
        <w:rPr>
          <w:rFonts w:ascii="Verdana" w:hAnsi="Verdana" w:cs="Arial"/>
          <w:color w:val="000000" w:themeColor="text1"/>
          <w:lang w:val="es-MX"/>
        </w:rPr>
        <w:t>r</w:t>
      </w:r>
      <w:r w:rsidRPr="005938A0">
        <w:rPr>
          <w:rFonts w:ascii="Verdana" w:hAnsi="Verdana" w:cs="Arial"/>
          <w:color w:val="000000" w:themeColor="text1"/>
          <w:lang w:val="es-MX"/>
        </w:rPr>
        <w:t>iesgo es indivisible”, además de la obligación de los contratantes de establecer en los pliegos de condiciones las garantías exigidas para cada periodo contractual.</w:t>
      </w:r>
    </w:p>
    <w:p w14:paraId="1C04EE10" w14:textId="77777777" w:rsidR="0032389D" w:rsidRPr="009B68BD" w:rsidRDefault="0032389D" w:rsidP="0032389D">
      <w:pPr>
        <w:spacing w:after="120" w:line="276" w:lineRule="auto"/>
        <w:ind w:firstLine="705"/>
        <w:jc w:val="both"/>
        <w:rPr>
          <w:rStyle w:val="normaltextrun"/>
          <w:rFonts w:ascii="Verdana" w:eastAsia="Times New Roman" w:hAnsi="Verdana" w:cs="Arial"/>
          <w:color w:val="000000" w:themeColor="text1"/>
          <w:lang w:eastAsia="es-CO"/>
        </w:rPr>
      </w:pPr>
      <w:r w:rsidRPr="005938A0">
        <w:rPr>
          <w:rStyle w:val="normaltextrun"/>
          <w:rFonts w:ascii="Verdana" w:hAnsi="Verdana" w:cs="Arial"/>
          <w:color w:val="000000"/>
        </w:rPr>
        <w:t>En relación con esta exigencia es importante mencionar que</w:t>
      </w:r>
      <w:r>
        <w:rPr>
          <w:rStyle w:val="normaltextrun"/>
          <w:rFonts w:ascii="Verdana" w:hAnsi="Verdana" w:cs="Arial"/>
          <w:color w:val="000000"/>
        </w:rPr>
        <w:t>,</w:t>
      </w:r>
      <w:r w:rsidRPr="005938A0">
        <w:rPr>
          <w:rStyle w:val="normaltextrun"/>
          <w:rFonts w:ascii="Verdana" w:hAnsi="Verdana" w:cs="Arial"/>
          <w:color w:val="000000"/>
        </w:rPr>
        <w:t xml:space="preserve"> por regla general</w:t>
      </w:r>
      <w:r>
        <w:rPr>
          <w:rStyle w:val="normaltextrun"/>
          <w:rFonts w:ascii="Verdana" w:hAnsi="Verdana" w:cs="Arial"/>
          <w:color w:val="000000"/>
        </w:rPr>
        <w:t>,</w:t>
      </w:r>
      <w:r w:rsidRPr="005938A0">
        <w:rPr>
          <w:rStyle w:val="normaltextrun"/>
          <w:rFonts w:ascii="Verdana" w:hAnsi="Verdana" w:cs="Arial"/>
          <w:color w:val="000000"/>
        </w:rPr>
        <w:t xml:space="preserve"> un contrato estatal debe estar amparado mediante una sola garantía, sin perjuicio de algunas excepciones, como la que se deriva de la norma analizada. En efecto, en los contratos cuyo plazo de ejecución sea mayor a cinco (5) años se podrá dividir la garantía, tal como lo prevé el Decreto 1082 de 2015: </w:t>
      </w:r>
      <w:r>
        <w:rPr>
          <w:rStyle w:val="normaltextrun"/>
          <w:rFonts w:ascii="Verdana" w:hAnsi="Verdana" w:cs="Arial"/>
          <w:color w:val="000000"/>
        </w:rPr>
        <w:t>“</w:t>
      </w:r>
      <w:r w:rsidRPr="005938A0">
        <w:rPr>
          <w:rStyle w:val="normaltextrun"/>
          <w:rFonts w:ascii="Verdana" w:hAnsi="Verdana" w:cs="Arial"/>
          <w:color w:val="000000"/>
        </w:rPr>
        <w:t>La garantía de cobertura del Riesgo es indivisible. Sin embargo, en los contratos con un plazo mayor a cinco (5) años las garantías pueden cubrir los Riesgos de la Etapa del Contrato o del Periodo Contractual, de acuerdo con lo previsto en el contrato</w:t>
      </w:r>
      <w:r>
        <w:rPr>
          <w:rStyle w:val="normaltextrun"/>
          <w:rFonts w:ascii="Verdana" w:hAnsi="Verdana" w:cs="Arial"/>
          <w:color w:val="000000"/>
        </w:rPr>
        <w:t>”</w:t>
      </w:r>
      <w:r w:rsidRPr="005938A0">
        <w:rPr>
          <w:rStyle w:val="normaltextrun"/>
          <w:rFonts w:ascii="Verdana" w:hAnsi="Verdana" w:cs="Arial"/>
          <w:color w:val="000000"/>
        </w:rPr>
        <w:t xml:space="preserve">. </w:t>
      </w:r>
    </w:p>
    <w:p w14:paraId="042D9BF5" w14:textId="77777777" w:rsidR="0032389D" w:rsidRPr="005938A0" w:rsidRDefault="0032389D" w:rsidP="0032389D">
      <w:pPr>
        <w:spacing w:before="120" w:after="120" w:line="276" w:lineRule="auto"/>
        <w:ind w:firstLine="705"/>
        <w:jc w:val="both"/>
        <w:rPr>
          <w:rStyle w:val="normaltextrun"/>
          <w:rFonts w:ascii="Verdana" w:hAnsi="Verdana" w:cs="Arial"/>
          <w:color w:val="000000"/>
        </w:rPr>
      </w:pPr>
      <w:r w:rsidRPr="005938A0">
        <w:rPr>
          <w:rStyle w:val="normaltextrun"/>
          <w:rFonts w:ascii="Verdana" w:hAnsi="Verdana" w:cs="Arial"/>
          <w:color w:val="000000"/>
        </w:rPr>
        <w:t xml:space="preserve">Ahora bien, el artículo 2.2.1.2.3.1.3 del Decreto 1082 de 2015 establece que la </w:t>
      </w:r>
      <w:r>
        <w:rPr>
          <w:rStyle w:val="normaltextrun"/>
          <w:rFonts w:ascii="Verdana" w:hAnsi="Verdana" w:cs="Arial"/>
          <w:color w:val="000000"/>
        </w:rPr>
        <w:t>E</w:t>
      </w:r>
      <w:r w:rsidRPr="005938A0">
        <w:rPr>
          <w:rStyle w:val="normaltextrun"/>
          <w:rFonts w:ascii="Verdana" w:hAnsi="Verdana" w:cs="Arial"/>
          <w:color w:val="000000"/>
        </w:rPr>
        <w:t xml:space="preserve">ntidad </w:t>
      </w:r>
      <w:r>
        <w:rPr>
          <w:rStyle w:val="normaltextrun"/>
          <w:rFonts w:ascii="Verdana" w:hAnsi="Verdana" w:cs="Arial"/>
          <w:color w:val="000000"/>
        </w:rPr>
        <w:t>E</w:t>
      </w:r>
      <w:r w:rsidRPr="005938A0">
        <w:rPr>
          <w:rStyle w:val="normaltextrun"/>
          <w:rFonts w:ascii="Verdana" w:hAnsi="Verdana" w:cs="Arial"/>
          <w:color w:val="000000"/>
        </w:rPr>
        <w:t>statal en el pliego de condiciones debe indicar las garantías que exige en cada etapa del contrato o periodo contractual, de acuerdo con las siguientes reglas</w:t>
      </w:r>
      <w:r w:rsidRPr="005938A0">
        <w:rPr>
          <w:rStyle w:val="FootnoteReference"/>
          <w:rFonts w:ascii="Verdana" w:hAnsi="Verdana" w:cs="Arial"/>
          <w:color w:val="000000"/>
        </w:rPr>
        <w:footnoteReference w:id="6"/>
      </w:r>
      <w:r w:rsidRPr="005938A0">
        <w:rPr>
          <w:rStyle w:val="normaltextrun"/>
          <w:rFonts w:ascii="Verdana" w:hAnsi="Verdana" w:cs="Arial"/>
          <w:color w:val="000000"/>
        </w:rPr>
        <w:t xml:space="preserve">: </w:t>
      </w:r>
    </w:p>
    <w:p w14:paraId="64C4A5B2" w14:textId="77777777" w:rsidR="0032389D" w:rsidRPr="005938A0" w:rsidRDefault="0032389D" w:rsidP="0032389D">
      <w:pPr>
        <w:spacing w:before="120" w:after="120" w:line="276" w:lineRule="auto"/>
        <w:ind w:firstLine="705"/>
        <w:jc w:val="both"/>
        <w:rPr>
          <w:rStyle w:val="normaltextrun"/>
          <w:rFonts w:ascii="Verdana" w:hAnsi="Verdana" w:cs="Arial"/>
          <w:color w:val="000000"/>
        </w:rPr>
      </w:pPr>
      <w:r>
        <w:rPr>
          <w:rStyle w:val="normaltextrun"/>
          <w:rFonts w:ascii="Verdana" w:hAnsi="Verdana" w:cs="Arial"/>
          <w:color w:val="000000"/>
        </w:rPr>
        <w:lastRenderedPageBreak/>
        <w:t>1</w:t>
      </w:r>
      <w:r w:rsidRPr="005938A0">
        <w:rPr>
          <w:rStyle w:val="normaltextrun"/>
          <w:rFonts w:ascii="Verdana" w:hAnsi="Verdana" w:cs="Arial"/>
          <w:color w:val="000000"/>
        </w:rPr>
        <w:t xml:space="preserve">) La entidad estatal solicitará una garantía independiente para cada etapa del contrato o cada periodo contractual o cada unidad funcional en el caso de las Asociaciones Público-Privadas, cuya vigencia debe ser por lo menos la misma establecida para la etapa del contrato o periodo contractual respectivo. </w:t>
      </w:r>
    </w:p>
    <w:p w14:paraId="6715977F" w14:textId="77777777" w:rsidR="0032389D" w:rsidRPr="005938A0" w:rsidRDefault="0032389D" w:rsidP="0032389D">
      <w:pPr>
        <w:spacing w:before="120" w:after="120" w:line="276" w:lineRule="auto"/>
        <w:ind w:firstLine="705"/>
        <w:jc w:val="both"/>
        <w:rPr>
          <w:rStyle w:val="normaltextrun"/>
          <w:rFonts w:ascii="Verdana" w:hAnsi="Verdana" w:cs="Arial"/>
          <w:color w:val="000000"/>
        </w:rPr>
      </w:pPr>
      <w:r>
        <w:rPr>
          <w:rStyle w:val="normaltextrun"/>
          <w:rFonts w:ascii="Verdana" w:hAnsi="Verdana" w:cs="Arial"/>
          <w:color w:val="000000"/>
        </w:rPr>
        <w:t>2)</w:t>
      </w:r>
      <w:r w:rsidRPr="005938A0">
        <w:rPr>
          <w:rStyle w:val="normaltextrun"/>
          <w:rFonts w:ascii="Verdana" w:hAnsi="Verdana" w:cs="Arial"/>
          <w:color w:val="000000"/>
        </w:rPr>
        <w:t xml:space="preserve">  La entidad calculará el valor asegurado para cada etapa del contrato, periodo contractual o unidad funcional, tomando el valor de las obligaciones del contratista para cada etapa del contrato, periodo contractual o unidad funcional y de acuerdo con las reglas de suficiencia que establece el Decreto 1082 de 2015 frente a los diferentes amparos de las garantías. </w:t>
      </w:r>
    </w:p>
    <w:p w14:paraId="4261CA50" w14:textId="77777777" w:rsidR="0032389D" w:rsidRPr="005938A0" w:rsidRDefault="0032389D" w:rsidP="0032389D">
      <w:pPr>
        <w:spacing w:before="120" w:after="120" w:line="276" w:lineRule="auto"/>
        <w:ind w:firstLine="705"/>
        <w:jc w:val="both"/>
        <w:rPr>
          <w:rStyle w:val="normaltextrun"/>
          <w:rFonts w:ascii="Verdana" w:hAnsi="Verdana" w:cs="Arial"/>
          <w:color w:val="000000"/>
        </w:rPr>
      </w:pPr>
      <w:r w:rsidRPr="005938A0">
        <w:rPr>
          <w:rStyle w:val="normaltextrun"/>
          <w:rFonts w:ascii="Verdana" w:hAnsi="Verdana" w:cs="Arial"/>
          <w:color w:val="000000"/>
        </w:rPr>
        <w:t xml:space="preserve">Conforme a lo anterior, si la entidad estatal celebra un contrato cuyo plazo de ejecución es mayor a cinco (5) años, puede pactar en el contrato que las garantías cubran los riegos de cada </w:t>
      </w:r>
      <w:r w:rsidRPr="005938A0">
        <w:rPr>
          <w:rStyle w:val="normaltextrun"/>
          <w:rFonts w:ascii="Verdana" w:hAnsi="Verdana" w:cs="Arial"/>
          <w:i/>
          <w:iCs/>
          <w:color w:val="000000"/>
        </w:rPr>
        <w:t>etapa del contrato</w:t>
      </w:r>
      <w:r w:rsidRPr="005938A0">
        <w:rPr>
          <w:rStyle w:val="normaltextrun"/>
          <w:rFonts w:ascii="Verdana" w:hAnsi="Verdana" w:cs="Arial"/>
          <w:color w:val="000000"/>
        </w:rPr>
        <w:t xml:space="preserve">, </w:t>
      </w:r>
      <w:r w:rsidRPr="005938A0">
        <w:rPr>
          <w:rStyle w:val="normaltextrun"/>
          <w:rFonts w:ascii="Verdana" w:hAnsi="Verdana" w:cs="Arial"/>
          <w:i/>
          <w:iCs/>
          <w:color w:val="000000"/>
        </w:rPr>
        <w:t xml:space="preserve">periodo contractual o unidad </w:t>
      </w:r>
      <w:r w:rsidRPr="005938A0">
        <w:rPr>
          <w:rStyle w:val="normaltextrun"/>
          <w:rFonts w:ascii="Verdana" w:hAnsi="Verdana" w:cs="Arial"/>
          <w:color w:val="000000"/>
        </w:rPr>
        <w:t xml:space="preserve">funcional, caso en el cual el pliego de condiciones regulará las garantías teniendo en cuenta lo siguiente: i) se identificará la garantía que ampara los riesgos para cada etapa del contrato o periodo contractual, pero, además, la vigencia que rige para cada uno –que en todo caso no puede ser menor al plazo de ejecución definido para cada etapa del contrato o periodo contractual–, y </w:t>
      </w:r>
      <w:proofErr w:type="spellStart"/>
      <w:r w:rsidRPr="005938A0">
        <w:rPr>
          <w:rStyle w:val="normaltextrun"/>
          <w:rFonts w:ascii="Verdana" w:hAnsi="Verdana" w:cs="Arial"/>
          <w:color w:val="000000"/>
        </w:rPr>
        <w:t>ii</w:t>
      </w:r>
      <w:proofErr w:type="spellEnd"/>
      <w:r w:rsidRPr="005938A0">
        <w:rPr>
          <w:rStyle w:val="normaltextrun"/>
          <w:rFonts w:ascii="Verdana" w:hAnsi="Verdana" w:cs="Arial"/>
          <w:color w:val="000000"/>
        </w:rPr>
        <w:t xml:space="preserve">) el monto de los amparos se calculará tomando el valor de las obligaciones del contratista para cada etapa del contrato o periodo contractual, y además, regirán las reglas de suficiencia definidas en los artículos 2.2.1.2.3.1.9. al 2.2.1.2.3.1.17. del Decreto 1082 de 2015. </w:t>
      </w:r>
    </w:p>
    <w:p w14:paraId="3C9B3D79" w14:textId="77777777" w:rsidR="0032389D" w:rsidRDefault="0032389D" w:rsidP="0032389D">
      <w:pPr>
        <w:spacing w:before="120" w:after="120" w:line="276" w:lineRule="auto"/>
        <w:ind w:firstLine="705"/>
        <w:jc w:val="both"/>
        <w:rPr>
          <w:rStyle w:val="normaltextrun"/>
          <w:rFonts w:ascii="Verdana" w:hAnsi="Verdana" w:cs="Arial"/>
          <w:color w:val="000000"/>
        </w:rPr>
      </w:pPr>
      <w:r w:rsidRPr="005938A0">
        <w:rPr>
          <w:rStyle w:val="normaltextrun"/>
          <w:rFonts w:ascii="Verdana" w:hAnsi="Verdana" w:cs="Arial"/>
          <w:color w:val="000000"/>
        </w:rPr>
        <w:t>Ahora bien, el contratista está obligado a obtener una nueva garantía que ampare el cumplimiento de sus obligaciones para la etapa del contrato o periodo contractual siguiente</w:t>
      </w:r>
      <w:r w:rsidRPr="005938A0">
        <w:rPr>
          <w:rStyle w:val="FootnoteReference"/>
          <w:rFonts w:ascii="Verdana" w:hAnsi="Verdana" w:cs="Arial"/>
          <w:color w:val="000000"/>
        </w:rPr>
        <w:footnoteReference w:id="7"/>
      </w:r>
      <w:r w:rsidRPr="005938A0">
        <w:rPr>
          <w:rStyle w:val="normaltextrun"/>
          <w:rFonts w:ascii="Verdana" w:hAnsi="Verdana" w:cs="Arial"/>
          <w:color w:val="000000"/>
        </w:rPr>
        <w:t xml:space="preserve">. Esto significa que antes del vencimiento de la etapa del </w:t>
      </w:r>
      <w:r w:rsidRPr="005938A0">
        <w:rPr>
          <w:rStyle w:val="normaltextrun"/>
          <w:rFonts w:ascii="Verdana" w:hAnsi="Verdana" w:cs="Arial"/>
          <w:color w:val="000000"/>
        </w:rPr>
        <w:lastRenderedPageBreak/>
        <w:t>contrato que se está ejecutando, el contratista debe contar con la nueva garantía para amparar los riesgos de la siguiente etapa.</w:t>
      </w:r>
    </w:p>
    <w:p w14:paraId="42D70093" w14:textId="6AA5EFA8" w:rsidR="0032389D" w:rsidRDefault="0032389D" w:rsidP="00031AA1">
      <w:pPr>
        <w:spacing w:before="120" w:after="120" w:line="276" w:lineRule="auto"/>
        <w:ind w:firstLine="705"/>
        <w:jc w:val="both"/>
        <w:rPr>
          <w:rFonts w:ascii="Verdana" w:hAnsi="Verdana" w:cs="Arial"/>
          <w:color w:val="000000"/>
        </w:rPr>
      </w:pPr>
      <w:r>
        <w:rPr>
          <w:rStyle w:val="normaltextrun"/>
          <w:rFonts w:ascii="Verdana" w:hAnsi="Verdana" w:cs="Arial"/>
          <w:color w:val="000000"/>
        </w:rPr>
        <w:t xml:space="preserve">Como se observa las reglas que permiten en casos específicos la “división” de garantías están relacionadas con contratos cuyo plazo es superior a cinco años y que buscan cubrir los riesgos asociados a </w:t>
      </w:r>
      <w:r w:rsidRPr="00F51BE0">
        <w:rPr>
          <w:rFonts w:ascii="Verdana" w:hAnsi="Verdana" w:cs="Arial"/>
          <w:color w:val="000000"/>
        </w:rPr>
        <w:t>cada Etapa del Contrato o cada Periodo Contractual</w:t>
      </w:r>
      <w:r>
        <w:rPr>
          <w:rFonts w:ascii="Verdana" w:hAnsi="Verdana" w:cs="Arial"/>
          <w:color w:val="000000"/>
        </w:rPr>
        <w:t xml:space="preserve">. En efecto, esto es distinto al supuesto mencionado en la consulta, el cual se refiere a la división del amparo de estabilidad y calidad de la obra en el sentido de establecer dos actividades con suficiencias distintas. </w:t>
      </w:r>
    </w:p>
    <w:p w14:paraId="4258C354" w14:textId="77777777" w:rsidR="00031AA1" w:rsidRPr="00031AA1" w:rsidRDefault="00031AA1" w:rsidP="00031AA1">
      <w:pPr>
        <w:spacing w:before="120" w:after="120" w:line="276" w:lineRule="auto"/>
        <w:ind w:firstLine="705"/>
        <w:jc w:val="both"/>
        <w:rPr>
          <w:rFonts w:ascii="Verdana" w:hAnsi="Verdana" w:cs="Arial"/>
          <w:color w:val="000000"/>
        </w:rPr>
      </w:pPr>
    </w:p>
    <w:p w14:paraId="4D3DEC7B" w14:textId="77777777" w:rsidR="0032389D" w:rsidRPr="00856826" w:rsidRDefault="0032389D" w:rsidP="0032389D">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6826">
        <w:rPr>
          <w:rFonts w:ascii="Verdana" w:eastAsia="Century Gothic" w:hAnsi="Verdana" w:cs="Century Gothic"/>
          <w:b/>
          <w:bCs/>
        </w:rPr>
        <w:t>Referencias normativas, jurisprudenciales y otras fuentes:</w:t>
      </w:r>
    </w:p>
    <w:p w14:paraId="5BA605CC" w14:textId="77777777" w:rsidR="0032389D" w:rsidRPr="00856826" w:rsidRDefault="0032389D" w:rsidP="0032389D">
      <w:pPr>
        <w:widowControl w:val="0"/>
        <w:autoSpaceDE w:val="0"/>
        <w:autoSpaceDN w:val="0"/>
        <w:spacing w:after="0" w:line="276" w:lineRule="auto"/>
        <w:jc w:val="both"/>
        <w:rPr>
          <w:rFonts w:ascii="Verdana" w:hAnsi="Verdana" w:cs="Arial"/>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2389D" w:rsidRPr="00856826" w14:paraId="131E375F" w14:textId="77777777" w:rsidTr="00084CA6">
        <w:trPr>
          <w:trHeight w:val="870"/>
        </w:trPr>
        <w:tc>
          <w:tcPr>
            <w:tcW w:w="8647" w:type="dxa"/>
          </w:tcPr>
          <w:p w14:paraId="2D2C103A" w14:textId="4046E8B6" w:rsidR="0032389D" w:rsidRPr="00004A53" w:rsidRDefault="0032389D" w:rsidP="00004A53">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FE5A24">
              <w:rPr>
                <w:rFonts w:ascii="Verdana" w:hAnsi="Verdana" w:cs="Arial"/>
                <w:color w:val="000000" w:themeColor="text1"/>
              </w:rPr>
              <w:t xml:space="preserve">Ley </w:t>
            </w:r>
            <w:r>
              <w:rPr>
                <w:rFonts w:ascii="Verdana" w:hAnsi="Verdana" w:cs="Arial"/>
                <w:color w:val="000000" w:themeColor="text1"/>
              </w:rPr>
              <w:t>1150 de 2007, artículo 7.</w:t>
            </w:r>
          </w:p>
          <w:p w14:paraId="0E7755AB" w14:textId="77777777" w:rsidR="0032389D" w:rsidRPr="00DA15A7" w:rsidRDefault="0032389D" w:rsidP="0032389D">
            <w:pPr>
              <w:pStyle w:val="ListParagraph"/>
              <w:widowControl w:val="0"/>
              <w:numPr>
                <w:ilvl w:val="0"/>
                <w:numId w:val="17"/>
              </w:numPr>
              <w:autoSpaceDE w:val="0"/>
              <w:autoSpaceDN w:val="0"/>
              <w:spacing w:after="120" w:line="276" w:lineRule="auto"/>
              <w:contextualSpacing w:val="0"/>
              <w:jc w:val="both"/>
              <w:rPr>
                <w:rFonts w:ascii="Verdana" w:hAnsi="Verdana" w:cs="Arial"/>
                <w:color w:val="000000" w:themeColor="text1"/>
                <w:lang w:val="es-CO"/>
              </w:rPr>
            </w:pPr>
            <w:r w:rsidRPr="00FE5A24">
              <w:rPr>
                <w:rFonts w:ascii="Verdana" w:hAnsi="Verdana" w:cs="Arial"/>
                <w:color w:val="000000" w:themeColor="text1"/>
              </w:rPr>
              <w:t>Decreto 1082 de 2015, artículos 2.2.1.2.3.1.1 a 2.2.1.2.3.1.19</w:t>
            </w:r>
            <w:r>
              <w:rPr>
                <w:rFonts w:ascii="Verdana" w:hAnsi="Verdana" w:cs="Arial"/>
                <w:color w:val="000000" w:themeColor="text1"/>
              </w:rPr>
              <w:t>.</w:t>
            </w:r>
          </w:p>
        </w:tc>
      </w:tr>
    </w:tbl>
    <w:p w14:paraId="093EFE79" w14:textId="77777777" w:rsidR="0032389D" w:rsidRPr="00856826" w:rsidRDefault="0032389D" w:rsidP="0032389D">
      <w:pPr>
        <w:widowControl w:val="0"/>
        <w:autoSpaceDE w:val="0"/>
        <w:autoSpaceDN w:val="0"/>
        <w:spacing w:after="0" w:line="276" w:lineRule="auto"/>
        <w:jc w:val="both"/>
        <w:rPr>
          <w:rFonts w:ascii="Verdana" w:hAnsi="Verdana" w:cs="Arial"/>
          <w:lang w:val="es-ES"/>
        </w:rPr>
      </w:pPr>
    </w:p>
    <w:p w14:paraId="50B51BF5" w14:textId="77777777" w:rsidR="0032389D" w:rsidRPr="00856826" w:rsidRDefault="0032389D" w:rsidP="0032389D">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6826">
        <w:rPr>
          <w:rFonts w:ascii="Verdana" w:eastAsia="Century Gothic" w:hAnsi="Verdana" w:cs="Century Gothic"/>
          <w:b/>
          <w:bCs/>
        </w:rPr>
        <w:t>Doctrina de la Agencia Nacional de Contratación Pública:</w:t>
      </w:r>
    </w:p>
    <w:p w14:paraId="4EFE6217" w14:textId="77777777" w:rsidR="0032389D" w:rsidRPr="00856826" w:rsidRDefault="0032389D" w:rsidP="0032389D">
      <w:pPr>
        <w:widowControl w:val="0"/>
        <w:autoSpaceDE w:val="0"/>
        <w:autoSpaceDN w:val="0"/>
        <w:spacing w:after="0" w:line="276" w:lineRule="auto"/>
        <w:jc w:val="both"/>
        <w:rPr>
          <w:rFonts w:ascii="Verdana" w:hAnsi="Verdana" w:cs="Arial"/>
          <w:lang w:val="es-ES"/>
        </w:rPr>
      </w:pPr>
    </w:p>
    <w:p w14:paraId="1005EF44" w14:textId="77777777" w:rsidR="0032389D" w:rsidRPr="00856826" w:rsidRDefault="0032389D" w:rsidP="0032389D">
      <w:pPr>
        <w:spacing w:after="0" w:line="276" w:lineRule="auto"/>
        <w:contextualSpacing/>
        <w:jc w:val="both"/>
        <w:rPr>
          <w:rFonts w:ascii="Verdana" w:eastAsia="Calibri" w:hAnsi="Verdana" w:cs="Arial"/>
          <w:b/>
          <w:bCs/>
          <w:lang w:val="es-ES" w:eastAsia="es-ES"/>
        </w:rPr>
      </w:pPr>
      <w:r w:rsidRPr="00856826">
        <w:rPr>
          <w:rFonts w:ascii="Verdana" w:eastAsia="Calibri" w:hAnsi="Verdana" w:cs="Arial"/>
          <w:color w:val="000000" w:themeColor="text1"/>
          <w:lang w:val="es-ES" w:eastAsia="es-ES_tradnl"/>
        </w:rPr>
        <w:t xml:space="preserve">La Agencia Nacional de Contratación Pública – Colombia Compra Eficiente analizó </w:t>
      </w:r>
      <w:r w:rsidRPr="00FE5A24">
        <w:rPr>
          <w:rStyle w:val="normaltextrun"/>
          <w:rFonts w:ascii="Verdana" w:hAnsi="Verdana" w:cs="Arial"/>
          <w:color w:val="000000" w:themeColor="text1"/>
          <w:shd w:val="clear" w:color="auto" w:fill="FFFFFF"/>
          <w:lang w:val="es-ES"/>
        </w:rPr>
        <w:t>el régimen de garantías en los Conceptos</w:t>
      </w:r>
      <w:r w:rsidRPr="00FE5A24">
        <w:rPr>
          <w:rStyle w:val="normaltextrun"/>
          <w:rFonts w:ascii="Verdana" w:hAnsi="Verdana" w:cs="Calibri"/>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C-133 del 11 de julio de 2024 y C-919 del 10 de diciembre de 2024</w:t>
      </w:r>
      <w:r>
        <w:rPr>
          <w:rStyle w:val="normaltextrun"/>
          <w:rFonts w:ascii="Verdana" w:hAnsi="Verdana" w:cs="Arial"/>
          <w:color w:val="000000" w:themeColor="text1"/>
          <w:shd w:val="clear" w:color="auto" w:fill="FFFFFF"/>
          <w:lang w:val="es-ES"/>
        </w:rPr>
        <w:t xml:space="preserve">, C-099 de 2025, C-168 del 19 de marzo de 2025, </w:t>
      </w:r>
      <w:r w:rsidRPr="00856826">
        <w:rPr>
          <w:rFonts w:ascii="Verdana" w:hAnsi="Verdana" w:cs="Arial"/>
          <w:shd w:val="clear" w:color="auto" w:fill="FFFFFF"/>
          <w:lang w:val="es-ES"/>
        </w:rPr>
        <w:t xml:space="preserve">entre otros. </w:t>
      </w:r>
      <w:r w:rsidRPr="00856826">
        <w:rPr>
          <w:rFonts w:ascii="Verdana" w:hAnsi="Verdana" w:cs="Arial"/>
          <w:color w:val="000000" w:themeColor="text1"/>
          <w:shd w:val="clear" w:color="auto" w:fill="FFFFFF"/>
          <w:lang w:val="es-ES"/>
        </w:rPr>
        <w:t xml:space="preserve">Estos </w:t>
      </w:r>
      <w:r w:rsidRPr="00856826">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1" w:history="1">
        <w:r w:rsidRPr="00856826">
          <w:rPr>
            <w:rStyle w:val="Hyperlink"/>
            <w:rFonts w:ascii="Verdana" w:hAnsi="Verdana" w:cs="Arial"/>
            <w:shd w:val="clear" w:color="auto" w:fill="FFFFFF"/>
            <w:lang w:val="es-ES"/>
          </w:rPr>
          <w:t>https://relatoria.colombiacompra.gov.co/busqueda/conceptos</w:t>
        </w:r>
      </w:hyperlink>
      <w:r w:rsidRPr="00856826">
        <w:rPr>
          <w:rStyle w:val="Hyperlink"/>
          <w:rFonts w:ascii="Verdana" w:hAnsi="Verdana"/>
          <w:lang w:val="es-ES"/>
        </w:rPr>
        <w:t>.</w:t>
      </w:r>
      <w:r w:rsidRPr="00856826">
        <w:rPr>
          <w:rStyle w:val="normaltextrun"/>
          <w:rFonts w:ascii="Verdana" w:hAnsi="Verdana" w:cs="Arial"/>
          <w:color w:val="000000" w:themeColor="text1"/>
          <w:shd w:val="clear" w:color="auto" w:fill="FFFFFF"/>
          <w:lang w:val="es-ES"/>
        </w:rPr>
        <w:t xml:space="preserve">  </w:t>
      </w:r>
    </w:p>
    <w:p w14:paraId="4EB8AE30" w14:textId="77777777" w:rsidR="0032389D" w:rsidRPr="00856826" w:rsidRDefault="0032389D" w:rsidP="0032389D">
      <w:pPr>
        <w:spacing w:after="0" w:line="276" w:lineRule="auto"/>
        <w:contextualSpacing/>
        <w:jc w:val="both"/>
        <w:rPr>
          <w:rFonts w:ascii="Verdana" w:hAnsi="Verdana"/>
          <w:lang w:val="es-ES"/>
        </w:rPr>
      </w:pPr>
    </w:p>
    <w:p w14:paraId="1DFF40E7" w14:textId="77777777" w:rsidR="0032389D" w:rsidRPr="00856826" w:rsidRDefault="0032389D" w:rsidP="0032389D">
      <w:pPr>
        <w:spacing w:after="0" w:line="276" w:lineRule="auto"/>
        <w:contextualSpacing/>
        <w:jc w:val="both"/>
        <w:rPr>
          <w:rFonts w:ascii="Verdana" w:hAnsi="Verdana"/>
          <w:lang w:val="es-ES"/>
        </w:rPr>
      </w:pPr>
      <w:r w:rsidRPr="00856826">
        <w:rPr>
          <w:rFonts w:ascii="Verdana" w:hAnsi="Verdana"/>
          <w:lang w:val="es-ES"/>
        </w:rPr>
        <w:t>También le contamos que ya se encuentra disponible la </w:t>
      </w:r>
      <w:r w:rsidRPr="00856826">
        <w:rPr>
          <w:rFonts w:ascii="Verdana" w:hAnsi="Verdana"/>
          <w:b/>
          <w:bCs/>
          <w:lang w:val="es-ES"/>
        </w:rPr>
        <w:t xml:space="preserve">Guía de lineamientos de transparencia y selección objetiva para el departamento de La Guajira – Objetivo sexto constitucional de la Sentencia T-302 del </w:t>
      </w:r>
      <w:r w:rsidRPr="00856826">
        <w:rPr>
          <w:rFonts w:ascii="Verdana" w:hAnsi="Verdana"/>
          <w:b/>
          <w:bCs/>
          <w:lang w:val="es-ES"/>
        </w:rPr>
        <w:lastRenderedPageBreak/>
        <w:t>2017. </w:t>
      </w:r>
      <w:r w:rsidRPr="00856826">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56826">
        <w:rPr>
          <w:rFonts w:ascii="Verdana" w:hAnsi="Verdana"/>
          <w:lang w:val="es-ES"/>
        </w:rPr>
        <w:t>Wayúu</w:t>
      </w:r>
      <w:proofErr w:type="spellEnd"/>
      <w:r w:rsidRPr="00856826">
        <w:rPr>
          <w:rFonts w:ascii="Verdana" w:hAnsi="Verdana"/>
          <w:lang w:val="es-ES"/>
        </w:rPr>
        <w:t>. Puede consultar la guía en el siguiente enlace: </w:t>
      </w:r>
      <w:hyperlink r:id="rId12" w:tgtFrame="_blank" w:tooltip="Original URL: https://www.colombiacompra.gov.co/wp-content/uploads/2025/05/GUIA-DE-LINEAMIENTOS-DE-TRANSPARENCIA-Y-SELECCION-OBJETIVA-1.0.pdf. Click or tap if you trust this link." w:history="1">
        <w:r w:rsidRPr="00856826">
          <w:rPr>
            <w:rStyle w:val="Hyperlink"/>
            <w:rFonts w:ascii="Verdana" w:hAnsi="Verdana"/>
            <w:lang w:val="es-ES"/>
          </w:rPr>
          <w:t>Guía de lineamientos de transparencia y selección objetiva para el departamento de La Guajira – Objetivo sexto constitucional de la Sentencia T-302 del 2017</w:t>
        </w:r>
      </w:hyperlink>
      <w:r w:rsidRPr="00856826">
        <w:rPr>
          <w:rFonts w:ascii="Verdana" w:hAnsi="Verdana"/>
          <w:u w:val="single"/>
          <w:lang w:val="es-ES"/>
        </w:rPr>
        <w:t>"</w:t>
      </w:r>
    </w:p>
    <w:p w14:paraId="6469B31C" w14:textId="77777777" w:rsidR="0032389D" w:rsidRPr="00856826" w:rsidRDefault="0032389D" w:rsidP="0032389D">
      <w:pPr>
        <w:spacing w:after="0" w:line="276" w:lineRule="auto"/>
        <w:contextualSpacing/>
        <w:jc w:val="both"/>
        <w:rPr>
          <w:rFonts w:ascii="Verdana" w:hAnsi="Verdana"/>
          <w:lang w:val="es-ES"/>
        </w:rPr>
      </w:pPr>
    </w:p>
    <w:p w14:paraId="4609272B" w14:textId="77777777" w:rsidR="0032389D" w:rsidRPr="00856826" w:rsidRDefault="0032389D" w:rsidP="0032389D">
      <w:pPr>
        <w:spacing w:after="0" w:line="276" w:lineRule="auto"/>
        <w:contextualSpacing/>
        <w:jc w:val="both"/>
        <w:rPr>
          <w:rFonts w:ascii="Verdana" w:hAnsi="Verdana"/>
          <w:lang w:val="es-ES"/>
        </w:rPr>
      </w:pPr>
      <w:r w:rsidRPr="00856826">
        <w:rPr>
          <w:rFonts w:ascii="Verdana" w:hAnsi="Verdana"/>
          <w:lang w:val="es-ES"/>
        </w:rPr>
        <w:t xml:space="preserve">Por último, lo invitamos a seguirnos en las redes sociales en las cuales se difunde información institucional: </w:t>
      </w:r>
    </w:p>
    <w:p w14:paraId="683068F9" w14:textId="77777777" w:rsidR="0032389D" w:rsidRPr="00856826" w:rsidRDefault="0032389D" w:rsidP="0032389D">
      <w:pPr>
        <w:spacing w:after="0" w:line="276" w:lineRule="auto"/>
        <w:contextualSpacing/>
        <w:jc w:val="both"/>
        <w:rPr>
          <w:rFonts w:ascii="Verdana" w:hAnsi="Verdana"/>
          <w:lang w:val="es-ES"/>
        </w:rPr>
      </w:pPr>
    </w:p>
    <w:p w14:paraId="2437F5D2" w14:textId="77777777" w:rsidR="0032389D" w:rsidRPr="00856826" w:rsidRDefault="0032389D" w:rsidP="0032389D">
      <w:pPr>
        <w:spacing w:after="0" w:line="276" w:lineRule="auto"/>
        <w:contextualSpacing/>
        <w:jc w:val="both"/>
        <w:rPr>
          <w:rFonts w:ascii="Verdana" w:hAnsi="Verdana"/>
          <w:lang w:val="es-ES"/>
        </w:rPr>
      </w:pPr>
      <w:r w:rsidRPr="00856826">
        <w:rPr>
          <w:rFonts w:ascii="Verdana" w:hAnsi="Verdana"/>
          <w:lang w:val="es-ES"/>
        </w:rPr>
        <w:t xml:space="preserve">Twitter: </w:t>
      </w:r>
      <w:r w:rsidRPr="00856826">
        <w:rPr>
          <w:rStyle w:val="Hyperlink"/>
          <w:rFonts w:ascii="Verdana" w:hAnsi="Verdana" w:cs="Arial"/>
          <w:shd w:val="clear" w:color="auto" w:fill="FFFFFF"/>
          <w:lang w:val="es-ES"/>
        </w:rPr>
        <w:t>@colombiacompra</w:t>
      </w:r>
      <w:r w:rsidRPr="00856826">
        <w:rPr>
          <w:rFonts w:ascii="Verdana" w:hAnsi="Verdana"/>
          <w:color w:val="4472C4" w:themeColor="accent1"/>
          <w:lang w:val="es-ES"/>
        </w:rPr>
        <w:t xml:space="preserve"> </w:t>
      </w:r>
    </w:p>
    <w:p w14:paraId="11DE3935" w14:textId="77777777" w:rsidR="0032389D" w:rsidRPr="00856826" w:rsidRDefault="0032389D" w:rsidP="0032389D">
      <w:pPr>
        <w:spacing w:after="0" w:line="276" w:lineRule="auto"/>
        <w:contextualSpacing/>
        <w:jc w:val="both"/>
        <w:rPr>
          <w:rFonts w:ascii="Verdana" w:hAnsi="Verdana"/>
          <w:lang w:val="es-ES"/>
        </w:rPr>
      </w:pPr>
      <w:r w:rsidRPr="00856826">
        <w:rPr>
          <w:rFonts w:ascii="Verdana" w:hAnsi="Verdana"/>
          <w:lang w:val="es-ES"/>
        </w:rPr>
        <w:t xml:space="preserve">Facebook: </w:t>
      </w:r>
      <w:proofErr w:type="spellStart"/>
      <w:r w:rsidRPr="00856826">
        <w:rPr>
          <w:rStyle w:val="Hyperlink"/>
          <w:rFonts w:ascii="Verdana" w:hAnsi="Verdana" w:cs="Arial"/>
          <w:shd w:val="clear" w:color="auto" w:fill="FFFFFF"/>
          <w:lang w:val="es-ES"/>
        </w:rPr>
        <w:t>ColombiaCompraEficiente</w:t>
      </w:r>
      <w:proofErr w:type="spellEnd"/>
    </w:p>
    <w:p w14:paraId="15455769" w14:textId="77777777" w:rsidR="0032389D" w:rsidRPr="00856826" w:rsidRDefault="0032389D" w:rsidP="0032389D">
      <w:pPr>
        <w:spacing w:after="0" w:line="276" w:lineRule="auto"/>
        <w:contextualSpacing/>
        <w:jc w:val="both"/>
        <w:rPr>
          <w:rFonts w:ascii="Verdana" w:hAnsi="Verdana"/>
          <w:lang w:val="es-ES"/>
        </w:rPr>
      </w:pPr>
      <w:r w:rsidRPr="00856826">
        <w:rPr>
          <w:rFonts w:ascii="Verdana" w:hAnsi="Verdana"/>
          <w:lang w:val="es-ES"/>
        </w:rPr>
        <w:t xml:space="preserve">LinkedIn: </w:t>
      </w:r>
      <w:r w:rsidRPr="00856826">
        <w:rPr>
          <w:rStyle w:val="Hyperlink"/>
          <w:rFonts w:ascii="Verdana" w:hAnsi="Verdana" w:cs="Arial"/>
          <w:shd w:val="clear" w:color="auto" w:fill="FFFFFF"/>
          <w:lang w:val="es-ES"/>
        </w:rPr>
        <w:t xml:space="preserve">Agencia Nacional de Contratación Pública - Colombia Compra Eficiente </w:t>
      </w:r>
      <w:r w:rsidRPr="00856826">
        <w:rPr>
          <w:rFonts w:ascii="Verdana" w:hAnsi="Verdana"/>
          <w:lang w:val="es-ES"/>
        </w:rPr>
        <w:t xml:space="preserve">Instagram: </w:t>
      </w:r>
      <w:r w:rsidRPr="00856826">
        <w:rPr>
          <w:rStyle w:val="Hyperlink"/>
          <w:rFonts w:ascii="Verdana" w:hAnsi="Verdana" w:cs="Arial"/>
          <w:shd w:val="clear" w:color="auto" w:fill="FFFFFF"/>
          <w:lang w:val="es-ES"/>
        </w:rPr>
        <w:t>@colombiacompraeficiente_cce</w:t>
      </w:r>
    </w:p>
    <w:p w14:paraId="2037109E" w14:textId="77777777" w:rsidR="0032389D" w:rsidRPr="00856826" w:rsidRDefault="0032389D" w:rsidP="0032389D">
      <w:pPr>
        <w:widowControl w:val="0"/>
        <w:autoSpaceDE w:val="0"/>
        <w:autoSpaceDN w:val="0"/>
        <w:spacing w:after="0" w:line="276" w:lineRule="auto"/>
        <w:contextualSpacing/>
        <w:jc w:val="both"/>
        <w:rPr>
          <w:rFonts w:ascii="Verdana" w:hAnsi="Verdana" w:cs="Arial"/>
          <w:color w:val="000000" w:themeColor="text1"/>
          <w:lang w:val="es-ES"/>
        </w:rPr>
      </w:pPr>
    </w:p>
    <w:p w14:paraId="7B853D16" w14:textId="77777777" w:rsidR="0032389D" w:rsidRPr="00856826" w:rsidRDefault="0032389D" w:rsidP="0032389D">
      <w:pPr>
        <w:widowControl w:val="0"/>
        <w:autoSpaceDE w:val="0"/>
        <w:autoSpaceDN w:val="0"/>
        <w:spacing w:after="0" w:line="276" w:lineRule="auto"/>
        <w:contextualSpacing/>
        <w:jc w:val="both"/>
        <w:rPr>
          <w:rFonts w:ascii="Verdana" w:hAnsi="Verdana" w:cs="Arial"/>
          <w:color w:val="000000" w:themeColor="text1"/>
          <w:lang w:val="es-ES"/>
        </w:rPr>
      </w:pPr>
      <w:r w:rsidRPr="00856826">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1855DF8" w14:textId="77777777" w:rsidR="00031AA1" w:rsidRPr="00856826" w:rsidRDefault="0032389D" w:rsidP="0032389D">
      <w:pPr>
        <w:spacing w:before="240" w:after="0" w:line="276" w:lineRule="auto"/>
        <w:rPr>
          <w:rFonts w:ascii="Verdana" w:hAnsi="Verdana" w:cs="Arial"/>
          <w:color w:val="000000" w:themeColor="text1"/>
          <w:lang w:val="es-ES" w:eastAsia="es-CO"/>
        </w:rPr>
      </w:pPr>
      <w:r w:rsidRPr="00856826">
        <w:rPr>
          <w:rFonts w:ascii="Verdana" w:eastAsia="Times New Roman" w:hAnsi="Verdana" w:cs="Arial"/>
          <w:color w:val="000000" w:themeColor="text1"/>
          <w:lang w:val="es-ES" w:eastAsia="es-CO"/>
        </w:rPr>
        <w:t>Atentamente,</w:t>
      </w:r>
      <w:r w:rsidRPr="00856826">
        <w:rPr>
          <w:rFonts w:ascii="Verdana" w:hAnsi="Verdana" w:cs="Arial"/>
          <w:color w:val="000000" w:themeColor="text1"/>
          <w:lang w:val="es-ES" w:eastAsia="es-CO"/>
        </w:rPr>
        <w:t xml:space="preserve"> </w:t>
      </w:r>
    </w:p>
    <w:p w14:paraId="66DC0A53" w14:textId="5636767A" w:rsidR="47BF96E7" w:rsidRDefault="002E15A5" w:rsidP="4C92B792">
      <w:pPr>
        <w:spacing w:before="240" w:after="0" w:line="276" w:lineRule="auto"/>
      </w:pPr>
      <w:r>
        <w:rPr>
          <w:rFonts w:ascii="Verdana" w:hAnsi="Verdana" w:cs="Arial"/>
          <w:noProof/>
          <w:color w:val="000000"/>
          <w:lang w:val="es-ES_tradnl" w:eastAsia="es-CO"/>
        </w:rPr>
        <w:drawing>
          <wp:anchor distT="0" distB="0" distL="114300" distR="114300" simplePos="0" relativeHeight="251660288" behindDoc="0" locked="0" layoutInCell="1" allowOverlap="1" wp14:anchorId="608B4DF7" wp14:editId="7779F7CF">
            <wp:simplePos x="0" y="0"/>
            <wp:positionH relativeFrom="column">
              <wp:posOffset>1068148</wp:posOffset>
            </wp:positionH>
            <wp:positionV relativeFrom="paragraph">
              <wp:posOffset>89136</wp:posOffset>
            </wp:positionV>
            <wp:extent cx="3803015" cy="1593850"/>
            <wp:effectExtent l="0" t="0" r="0" b="6350"/>
            <wp:wrapSquare wrapText="bothSides"/>
            <wp:docPr id="2057363666" name="Picture 2" descr="A close-up of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63666" name="Picture 2" descr="A close-up of a stam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803015" cy="1593850"/>
                    </a:xfrm>
                    <a:prstGeom prst="rect">
                      <a:avLst/>
                    </a:prstGeom>
                  </pic:spPr>
                </pic:pic>
              </a:graphicData>
            </a:graphic>
            <wp14:sizeRelH relativeFrom="page">
              <wp14:pctWidth>0</wp14:pctWidth>
            </wp14:sizeRelH>
            <wp14:sizeRelV relativeFrom="page">
              <wp14:pctHeight>0</wp14:pctHeight>
            </wp14:sizeRelV>
          </wp:anchor>
        </w:drawing>
      </w:r>
    </w:p>
    <w:p w14:paraId="1D696391" w14:textId="0D7ED823" w:rsidR="00031AA1" w:rsidRDefault="00031AA1" w:rsidP="00031AA1">
      <w:pPr>
        <w:spacing w:after="0" w:line="276" w:lineRule="auto"/>
        <w:contextualSpacing/>
        <w:rPr>
          <w:rFonts w:ascii="Verdana" w:hAnsi="Verdana" w:cs="Arial"/>
          <w:color w:val="000000" w:themeColor="text1"/>
          <w:lang w:val="es-ES" w:eastAsia="es-CO"/>
        </w:rPr>
      </w:pPr>
    </w:p>
    <w:p w14:paraId="04A37E47" w14:textId="77777777" w:rsidR="00031AA1" w:rsidRPr="00031AA1" w:rsidRDefault="00031AA1" w:rsidP="00031AA1">
      <w:pPr>
        <w:spacing w:after="0" w:line="276" w:lineRule="auto"/>
        <w:contextualSpacing/>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2389D" w:rsidRPr="00856826" w14:paraId="1A269281" w14:textId="77777777" w:rsidTr="00084CA6">
        <w:trPr>
          <w:trHeight w:val="315"/>
        </w:trPr>
        <w:tc>
          <w:tcPr>
            <w:tcW w:w="893" w:type="dxa"/>
            <w:vAlign w:val="center"/>
            <w:hideMark/>
          </w:tcPr>
          <w:p w14:paraId="3C379E55" w14:textId="77777777" w:rsidR="0032389D" w:rsidRPr="00856826" w:rsidRDefault="0032389D" w:rsidP="00084CA6">
            <w:pPr>
              <w:spacing w:line="276" w:lineRule="auto"/>
              <w:contextualSpacing/>
              <w:rPr>
                <w:rFonts w:ascii="Verdana" w:hAnsi="Verdana" w:cs="Arial"/>
                <w:sz w:val="16"/>
                <w:szCs w:val="16"/>
                <w:lang w:val="es-ES" w:eastAsia="es-ES"/>
              </w:rPr>
            </w:pPr>
            <w:r w:rsidRPr="0085682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CC1FEAB" w14:textId="77777777" w:rsidR="0032389D" w:rsidRPr="00856826" w:rsidRDefault="0032389D" w:rsidP="00084CA6">
            <w:pPr>
              <w:spacing w:line="276" w:lineRule="auto"/>
              <w:contextualSpacing/>
              <w:rPr>
                <w:rFonts w:ascii="Verdana" w:eastAsia="Arial" w:hAnsi="Verdana" w:cs="Arial"/>
                <w:color w:val="000000" w:themeColor="text1"/>
                <w:sz w:val="16"/>
                <w:szCs w:val="16"/>
                <w:lang w:val="es-ES"/>
              </w:rPr>
            </w:pPr>
            <w:r w:rsidRPr="00856826">
              <w:rPr>
                <w:rFonts w:ascii="Verdana" w:eastAsia="Arial" w:hAnsi="Verdana" w:cs="Arial"/>
                <w:color w:val="000000" w:themeColor="text1"/>
                <w:sz w:val="16"/>
                <w:szCs w:val="16"/>
                <w:lang w:val="es-ES"/>
              </w:rPr>
              <w:t>Anamaría Bonilla Prieto</w:t>
            </w:r>
          </w:p>
          <w:p w14:paraId="7953AD26" w14:textId="77777777" w:rsidR="0032389D" w:rsidRPr="00856826" w:rsidRDefault="0032389D" w:rsidP="00084CA6">
            <w:pPr>
              <w:spacing w:line="276" w:lineRule="auto"/>
              <w:contextualSpacing/>
              <w:rPr>
                <w:rFonts w:ascii="Verdana" w:eastAsia="Arial" w:hAnsi="Verdana" w:cs="Arial"/>
                <w:sz w:val="16"/>
                <w:szCs w:val="16"/>
                <w:lang w:val="es-ES"/>
              </w:rPr>
            </w:pPr>
            <w:r w:rsidRPr="00856826">
              <w:rPr>
                <w:rStyle w:val="normaltextrun"/>
                <w:rFonts w:ascii="Verdana" w:eastAsia="Arial" w:hAnsi="Verdana" w:cs="Arial"/>
                <w:color w:val="000000" w:themeColor="text1"/>
                <w:sz w:val="16"/>
                <w:szCs w:val="16"/>
                <w:lang w:val="es-ES"/>
              </w:rPr>
              <w:t xml:space="preserve">Contratista de la Subdirección </w:t>
            </w:r>
            <w:r w:rsidRPr="00856826">
              <w:rPr>
                <w:rStyle w:val="normaltextrun"/>
                <w:rFonts w:ascii="Verdana" w:eastAsia="Arial" w:hAnsi="Verdana" w:cs="Arial"/>
                <w:sz w:val="16"/>
                <w:szCs w:val="16"/>
                <w:lang w:val="es-ES"/>
              </w:rPr>
              <w:t>de Gestión Contractual</w:t>
            </w:r>
          </w:p>
        </w:tc>
      </w:tr>
      <w:tr w:rsidR="0032389D" w:rsidRPr="00856826" w14:paraId="271A0A6F" w14:textId="77777777" w:rsidTr="00084CA6">
        <w:trPr>
          <w:trHeight w:val="330"/>
        </w:trPr>
        <w:tc>
          <w:tcPr>
            <w:tcW w:w="893" w:type="dxa"/>
            <w:vAlign w:val="center"/>
            <w:hideMark/>
          </w:tcPr>
          <w:p w14:paraId="54CF108A" w14:textId="77777777" w:rsidR="0032389D" w:rsidRPr="00856826" w:rsidRDefault="0032389D" w:rsidP="00084CA6">
            <w:pPr>
              <w:spacing w:line="276" w:lineRule="auto"/>
              <w:contextualSpacing/>
              <w:rPr>
                <w:rFonts w:ascii="Verdana" w:hAnsi="Verdana" w:cs="Arial"/>
                <w:sz w:val="16"/>
                <w:szCs w:val="16"/>
                <w:lang w:val="es-ES" w:eastAsia="es-ES"/>
              </w:rPr>
            </w:pPr>
            <w:r w:rsidRPr="0085682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6BA6862" w14:textId="77777777" w:rsidR="0032389D" w:rsidRPr="00856826" w:rsidRDefault="0032389D" w:rsidP="00084CA6">
            <w:pPr>
              <w:spacing w:line="276" w:lineRule="auto"/>
              <w:contextualSpacing/>
              <w:textAlignment w:val="baseline"/>
              <w:rPr>
                <w:rFonts w:ascii="Verdana" w:eastAsia="Times New Roman" w:hAnsi="Verdana" w:cs="Arial"/>
                <w:sz w:val="16"/>
                <w:szCs w:val="16"/>
                <w:lang w:val="es-ES" w:eastAsia="es-ES_tradnl"/>
              </w:rPr>
            </w:pPr>
            <w:r w:rsidRPr="00856826">
              <w:rPr>
                <w:rFonts w:ascii="Verdana" w:eastAsia="Times New Roman" w:hAnsi="Verdana" w:cs="Arial"/>
                <w:sz w:val="16"/>
                <w:szCs w:val="16"/>
                <w:lang w:val="es-ES" w:eastAsia="es-ES_tradnl"/>
              </w:rPr>
              <w:t>Alejandro Sarmiento Cantillo</w:t>
            </w:r>
          </w:p>
          <w:p w14:paraId="584340CE" w14:textId="77777777" w:rsidR="0032389D" w:rsidRPr="00856826" w:rsidRDefault="0032389D" w:rsidP="00084CA6">
            <w:pPr>
              <w:pStyle w:val="paragraph"/>
              <w:spacing w:before="0" w:beforeAutospacing="0" w:after="0" w:afterAutospacing="0" w:line="276" w:lineRule="auto"/>
              <w:contextualSpacing/>
              <w:textAlignment w:val="baseline"/>
              <w:rPr>
                <w:rFonts w:ascii="Verdana" w:hAnsi="Verdana" w:cs="Segoe UI"/>
                <w:sz w:val="16"/>
                <w:szCs w:val="16"/>
                <w:lang w:val="es-ES"/>
              </w:rPr>
            </w:pPr>
            <w:r w:rsidRPr="00856826">
              <w:rPr>
                <w:rFonts w:ascii="Verdana" w:hAnsi="Verdana" w:cs="Arial"/>
                <w:sz w:val="16"/>
                <w:szCs w:val="16"/>
                <w:lang w:val="es-ES"/>
              </w:rPr>
              <w:t xml:space="preserve">Gestor T1 – 15 </w:t>
            </w:r>
            <w:r w:rsidRPr="00856826">
              <w:rPr>
                <w:rStyle w:val="normaltextrun"/>
                <w:rFonts w:ascii="Verdana" w:hAnsi="Verdana" w:cs="Arial"/>
                <w:sz w:val="16"/>
                <w:szCs w:val="16"/>
                <w:lang w:val="es-ES"/>
              </w:rPr>
              <w:t>de la Subdirección de Gestión Contractual</w:t>
            </w:r>
            <w:r w:rsidRPr="00856826">
              <w:rPr>
                <w:rStyle w:val="eop"/>
                <w:rFonts w:ascii="Verdana" w:hAnsi="Verdana" w:cs="Arial"/>
                <w:sz w:val="16"/>
                <w:szCs w:val="16"/>
                <w:lang w:val="es-ES"/>
              </w:rPr>
              <w:t> </w:t>
            </w:r>
          </w:p>
        </w:tc>
      </w:tr>
      <w:tr w:rsidR="0032389D" w:rsidRPr="00856826" w14:paraId="469D5163" w14:textId="77777777" w:rsidTr="00084CA6">
        <w:trPr>
          <w:trHeight w:val="300"/>
        </w:trPr>
        <w:tc>
          <w:tcPr>
            <w:tcW w:w="893" w:type="dxa"/>
            <w:vAlign w:val="center"/>
          </w:tcPr>
          <w:p w14:paraId="2D0F17DF" w14:textId="77777777" w:rsidR="0032389D" w:rsidRPr="00856826" w:rsidRDefault="0032389D" w:rsidP="00084CA6">
            <w:pPr>
              <w:spacing w:line="276" w:lineRule="auto"/>
              <w:contextualSpacing/>
              <w:rPr>
                <w:rFonts w:ascii="Verdana" w:hAnsi="Verdana" w:cs="Arial"/>
                <w:sz w:val="16"/>
                <w:szCs w:val="16"/>
                <w:lang w:val="es-ES" w:eastAsia="es-ES"/>
              </w:rPr>
            </w:pPr>
            <w:r w:rsidRPr="0085682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7138DCB" w14:textId="77777777" w:rsidR="0032389D" w:rsidRPr="00E14313" w:rsidRDefault="0032389D" w:rsidP="00084CA6">
            <w:pPr>
              <w:autoSpaceDE w:val="0"/>
              <w:autoSpaceDN w:val="0"/>
              <w:adjustRightInd w:val="0"/>
              <w:jc w:val="both"/>
              <w:rPr>
                <w:rFonts w:ascii="Verdana" w:eastAsia="Calibri" w:hAnsi="Verdana" w:cs="Arial"/>
                <w:sz w:val="16"/>
                <w:szCs w:val="16"/>
              </w:rPr>
            </w:pPr>
            <w:r w:rsidRPr="002F51B3">
              <w:rPr>
                <w:rFonts w:ascii="Verdana" w:eastAsia="Calibri" w:hAnsi="Verdana" w:cs="Arial"/>
                <w:sz w:val="16"/>
                <w:szCs w:val="16"/>
              </w:rPr>
              <w:t>Ana María Tolosa Rico</w:t>
            </w:r>
          </w:p>
          <w:p w14:paraId="04337F0A" w14:textId="77777777" w:rsidR="0032389D" w:rsidRPr="00856826" w:rsidRDefault="0032389D" w:rsidP="00084CA6">
            <w:pPr>
              <w:spacing w:line="276" w:lineRule="auto"/>
              <w:contextualSpacing/>
              <w:rPr>
                <w:rFonts w:ascii="Verdana" w:eastAsia="Calibri" w:hAnsi="Verdana" w:cs="Arial"/>
                <w:sz w:val="16"/>
                <w:szCs w:val="16"/>
                <w:lang w:val="es-ES" w:eastAsia="es-ES"/>
              </w:rPr>
            </w:pPr>
            <w:r w:rsidRPr="00E14313">
              <w:rPr>
                <w:rFonts w:ascii="Verdana" w:eastAsia="Calibri" w:hAnsi="Verdana" w:cs="Arial"/>
                <w:sz w:val="16"/>
                <w:szCs w:val="16"/>
              </w:rPr>
              <w:t>Subdirectora de Gestión Contractual ANCP-CCE</w:t>
            </w:r>
            <w:r>
              <w:rPr>
                <w:rFonts w:ascii="Verdana" w:eastAsia="Calibri" w:hAnsi="Verdana" w:cs="Arial"/>
                <w:sz w:val="16"/>
                <w:szCs w:val="16"/>
              </w:rPr>
              <w:t xml:space="preserve"> (E)</w:t>
            </w:r>
          </w:p>
        </w:tc>
      </w:tr>
    </w:tbl>
    <w:p w14:paraId="3900974D" w14:textId="77777777" w:rsidR="003D5B0D" w:rsidRPr="007F2D12" w:rsidRDefault="003D5B0D" w:rsidP="007F2D12"/>
    <w:sectPr w:rsidR="003D5B0D" w:rsidRPr="007F2D12"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B1D8E" w14:textId="77777777" w:rsidR="00E5586F" w:rsidRDefault="00E5586F" w:rsidP="004A1847">
      <w:pPr>
        <w:spacing w:after="0" w:line="240" w:lineRule="auto"/>
      </w:pPr>
      <w:r>
        <w:separator/>
      </w:r>
    </w:p>
  </w:endnote>
  <w:endnote w:type="continuationSeparator" w:id="0">
    <w:p w14:paraId="2A1EEE80" w14:textId="77777777" w:rsidR="00E5586F" w:rsidRDefault="00E5586F" w:rsidP="004A1847">
      <w:pPr>
        <w:spacing w:after="0" w:line="240" w:lineRule="auto"/>
      </w:pPr>
      <w:r>
        <w:continuationSeparator/>
      </w:r>
    </w:p>
  </w:endnote>
  <w:endnote w:type="continuationNotice" w:id="1">
    <w:p w14:paraId="2F7EA8B5" w14:textId="77777777" w:rsidR="00E5586F" w:rsidRDefault="00E558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0A35C1" w14:textId="77777777" w:rsidR="00E5586F" w:rsidRDefault="00E5586F" w:rsidP="004A1847">
      <w:pPr>
        <w:spacing w:after="0" w:line="240" w:lineRule="auto"/>
      </w:pPr>
      <w:r>
        <w:separator/>
      </w:r>
    </w:p>
  </w:footnote>
  <w:footnote w:type="continuationSeparator" w:id="0">
    <w:p w14:paraId="60086D14" w14:textId="77777777" w:rsidR="00E5586F" w:rsidRDefault="00E5586F" w:rsidP="004A1847">
      <w:pPr>
        <w:spacing w:after="0" w:line="240" w:lineRule="auto"/>
      </w:pPr>
      <w:r>
        <w:continuationSeparator/>
      </w:r>
    </w:p>
  </w:footnote>
  <w:footnote w:type="continuationNotice" w:id="1">
    <w:p w14:paraId="3DDCD36F" w14:textId="77777777" w:rsidR="00E5586F" w:rsidRDefault="00E5586F">
      <w:pPr>
        <w:spacing w:after="0" w:line="240" w:lineRule="auto"/>
      </w:pPr>
    </w:p>
  </w:footnote>
  <w:footnote w:id="2">
    <w:p w14:paraId="1BD20D60" w14:textId="77777777" w:rsidR="0032389D" w:rsidRPr="00145609" w:rsidRDefault="0032389D" w:rsidP="00031AA1">
      <w:pPr>
        <w:pStyle w:val="FootnoteText"/>
        <w:ind w:firstLine="709"/>
        <w:contextualSpacing/>
        <w:jc w:val="both"/>
        <w:rPr>
          <w:rFonts w:ascii="Verdana" w:hAnsi="Verdana" w:cs="Arial"/>
          <w:color w:val="000000" w:themeColor="text1"/>
          <w:sz w:val="16"/>
          <w:szCs w:val="16"/>
        </w:rPr>
      </w:pPr>
      <w:r w:rsidRPr="00145609">
        <w:rPr>
          <w:rStyle w:val="FootnoteReference"/>
          <w:rFonts w:ascii="Verdana" w:hAnsi="Verdana" w:cs="Arial"/>
          <w:color w:val="000000" w:themeColor="text1"/>
          <w:sz w:val="16"/>
          <w:szCs w:val="16"/>
        </w:rPr>
        <w:footnoteRef/>
      </w:r>
      <w:r w:rsidRPr="00145609">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footnote>
  <w:footnote w:id="3">
    <w:p w14:paraId="6457DF4F" w14:textId="77777777" w:rsidR="0032389D" w:rsidRPr="00145609" w:rsidRDefault="0032389D" w:rsidP="00031AA1">
      <w:pPr>
        <w:pStyle w:val="FootnoteText"/>
        <w:ind w:firstLine="708"/>
        <w:contextualSpacing/>
        <w:jc w:val="both"/>
        <w:rPr>
          <w:rFonts w:ascii="Verdana" w:hAnsi="Verdana" w:cs="Arial"/>
          <w:sz w:val="16"/>
          <w:szCs w:val="16"/>
        </w:rPr>
      </w:pPr>
      <w:r w:rsidRPr="00145609">
        <w:rPr>
          <w:rStyle w:val="FootnoteReference"/>
          <w:rFonts w:ascii="Verdana" w:hAnsi="Verdana" w:cs="Arial"/>
          <w:sz w:val="16"/>
          <w:szCs w:val="16"/>
        </w:rPr>
        <w:footnoteRef/>
      </w:r>
      <w:r w:rsidRPr="00145609">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4">
    <w:p w14:paraId="1A1EC5D3" w14:textId="77777777" w:rsidR="0032389D" w:rsidRPr="00145609" w:rsidRDefault="0032389D" w:rsidP="00031AA1">
      <w:pPr>
        <w:pStyle w:val="FootnoteText"/>
        <w:ind w:firstLine="709"/>
        <w:contextualSpacing/>
        <w:jc w:val="both"/>
        <w:rPr>
          <w:rFonts w:ascii="Verdana" w:hAnsi="Verdana" w:cs="Arial"/>
          <w:color w:val="000000" w:themeColor="text1"/>
          <w:sz w:val="16"/>
          <w:szCs w:val="16"/>
        </w:rPr>
      </w:pPr>
      <w:r w:rsidRPr="00145609">
        <w:rPr>
          <w:rStyle w:val="FootnoteReference"/>
          <w:rFonts w:ascii="Verdana" w:hAnsi="Verdana" w:cs="Arial"/>
          <w:color w:val="000000" w:themeColor="text1"/>
          <w:sz w:val="16"/>
          <w:szCs w:val="16"/>
        </w:rPr>
        <w:footnoteRef/>
      </w:r>
      <w:r w:rsidRPr="00145609">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5">
    <w:p w14:paraId="2997E740"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Style w:val="FootnoteReference"/>
          <w:rFonts w:ascii="Verdana" w:hAnsi="Verdana" w:cs="Arial"/>
          <w:color w:val="000000" w:themeColor="text1"/>
          <w:sz w:val="16"/>
          <w:szCs w:val="16"/>
        </w:rPr>
        <w:footnoteRef/>
      </w:r>
      <w:r w:rsidRPr="00145609">
        <w:rPr>
          <w:rFonts w:ascii="Verdana" w:hAnsi="Verdana" w:cs="Arial"/>
          <w:color w:val="000000" w:themeColor="text1"/>
          <w:sz w:val="16"/>
          <w:szCs w:val="16"/>
        </w:rPr>
        <w:t xml:space="preserve"> </w:t>
      </w:r>
      <w:r w:rsidRPr="00145609">
        <w:rPr>
          <w:rFonts w:ascii="Verdana" w:hAnsi="Verdana" w:cs="Arial"/>
          <w:color w:val="000000" w:themeColor="text1"/>
          <w:sz w:val="16"/>
          <w:szCs w:val="16"/>
          <w:lang w:val="es-CO"/>
        </w:rPr>
        <w:t xml:space="preserve">“Artículo </w:t>
      </w:r>
      <w:bookmarkStart w:id="1" w:name="_Hlk67919994"/>
      <w:r w:rsidRPr="00145609">
        <w:rPr>
          <w:rFonts w:ascii="Verdana" w:hAnsi="Verdana" w:cs="Arial"/>
          <w:color w:val="000000" w:themeColor="text1"/>
          <w:sz w:val="16"/>
          <w:szCs w:val="16"/>
          <w:lang w:val="es-CO"/>
        </w:rPr>
        <w:t>2.2.1.2.3.1.7</w:t>
      </w:r>
      <w:bookmarkEnd w:id="1"/>
      <w:r w:rsidRPr="00145609">
        <w:rPr>
          <w:rFonts w:ascii="Verdana" w:hAnsi="Verdana" w:cs="Arial"/>
          <w:color w:val="000000" w:themeColor="text1"/>
          <w:sz w:val="16"/>
          <w:szCs w:val="16"/>
          <w:lang w:val="es-CO"/>
        </w:rPr>
        <w:t xml:space="preserve">. Garantía de cumplimiento. La garantía de cumplimiento del contrato debe cubrir: </w:t>
      </w:r>
    </w:p>
    <w:p w14:paraId="438F538C" w14:textId="77777777" w:rsidR="0032389D" w:rsidRPr="00145609" w:rsidRDefault="0032389D" w:rsidP="00031AA1">
      <w:pPr>
        <w:pStyle w:val="FootnoteText"/>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  </w:t>
      </w:r>
      <w:r w:rsidRPr="00145609">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w:t>
      </w:r>
      <w:proofErr w:type="spellStart"/>
      <w:r w:rsidRPr="00145609">
        <w:rPr>
          <w:rFonts w:ascii="Verdana" w:hAnsi="Verdana" w:cs="Arial"/>
          <w:color w:val="000000" w:themeColor="text1"/>
          <w:sz w:val="16"/>
          <w:szCs w:val="16"/>
          <w:lang w:val="es-CO"/>
        </w:rPr>
        <w:t>ii</w:t>
      </w:r>
      <w:proofErr w:type="spellEnd"/>
      <w:r w:rsidRPr="00145609">
        <w:rPr>
          <w:rFonts w:ascii="Verdana" w:hAnsi="Verdana" w:cs="Arial"/>
          <w:color w:val="000000" w:themeColor="text1"/>
          <w:sz w:val="16"/>
          <w:szCs w:val="16"/>
          <w:lang w:val="es-CO"/>
        </w:rPr>
        <w:t>) el uso indebido del anticipo; y (</w:t>
      </w:r>
      <w:proofErr w:type="spellStart"/>
      <w:r w:rsidRPr="00145609">
        <w:rPr>
          <w:rFonts w:ascii="Verdana" w:hAnsi="Verdana" w:cs="Arial"/>
          <w:color w:val="000000" w:themeColor="text1"/>
          <w:sz w:val="16"/>
          <w:szCs w:val="16"/>
          <w:lang w:val="es-CO"/>
        </w:rPr>
        <w:t>iii</w:t>
      </w:r>
      <w:proofErr w:type="spellEnd"/>
      <w:r w:rsidRPr="00145609">
        <w:rPr>
          <w:rFonts w:ascii="Verdana" w:hAnsi="Verdana" w:cs="Arial"/>
          <w:color w:val="000000" w:themeColor="text1"/>
          <w:sz w:val="16"/>
          <w:szCs w:val="16"/>
          <w:lang w:val="es-CO"/>
        </w:rPr>
        <w:t>) la apropiación indebida de los recursos recibidos en calidad de anticipo.</w:t>
      </w:r>
    </w:p>
    <w:p w14:paraId="6C84FEC5"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452EAE66"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3. Cumplimiento del contrato. Este amparo cubre a la Entidad Estatal de los perjuicios derivados de: </w:t>
      </w:r>
    </w:p>
    <w:p w14:paraId="2AE54903" w14:textId="77777777" w:rsidR="0032389D" w:rsidRPr="00145609" w:rsidRDefault="0032389D" w:rsidP="00031AA1">
      <w:pPr>
        <w:pStyle w:val="FootnoteText"/>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  </w:t>
      </w:r>
      <w:r w:rsidRPr="00145609">
        <w:rPr>
          <w:rFonts w:ascii="Verdana" w:hAnsi="Verdana" w:cs="Arial"/>
          <w:color w:val="000000" w:themeColor="text1"/>
          <w:sz w:val="16"/>
          <w:szCs w:val="16"/>
          <w:lang w:val="es-CO"/>
        </w:rPr>
        <w:tab/>
        <w:t xml:space="preserve">3.1. </w:t>
      </w:r>
      <w:bookmarkStart w:id="2" w:name="_Hlk67920056"/>
      <w:r w:rsidRPr="00145609">
        <w:rPr>
          <w:rFonts w:ascii="Verdana" w:hAnsi="Verdana" w:cs="Arial"/>
          <w:color w:val="000000" w:themeColor="text1"/>
          <w:sz w:val="16"/>
          <w:szCs w:val="16"/>
          <w:lang w:val="es-CO"/>
        </w:rPr>
        <w:t xml:space="preserve">El incumplimiento total o parcial del contrato, cuando el incumplimiento es imputable al contratista; </w:t>
      </w:r>
    </w:p>
    <w:p w14:paraId="392EB648" w14:textId="77777777" w:rsidR="0032389D" w:rsidRPr="00145609" w:rsidRDefault="0032389D" w:rsidP="00031AA1">
      <w:pPr>
        <w:pStyle w:val="FootnoteText"/>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  </w:t>
      </w:r>
      <w:r w:rsidRPr="00145609">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5013B8DA"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2"/>
    <w:p w14:paraId="1FA77517"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3.4. El pago del valor de las multas y de la cláusula penal pecuniaria. </w:t>
      </w:r>
    </w:p>
    <w:p w14:paraId="7643AA6D"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1CEE04D8"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723CA603"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1BB9AF3D"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3D846B3C"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1C12BFDB"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r w:rsidRPr="00145609">
        <w:rPr>
          <w:rFonts w:ascii="Verdana" w:hAnsi="Verdana" w:cs="Arial"/>
          <w:color w:val="000000" w:themeColor="text1"/>
          <w:sz w:val="16"/>
          <w:szCs w:val="16"/>
          <w:lang w:val="es-CO"/>
        </w:rPr>
        <w:t xml:space="preserve">8. </w:t>
      </w:r>
      <w:bookmarkStart w:id="3" w:name="_Hlk143267015"/>
      <w:r w:rsidRPr="00145609">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3"/>
      <w:r w:rsidRPr="00145609">
        <w:rPr>
          <w:rFonts w:ascii="Verdana" w:hAnsi="Verdana" w:cs="Arial"/>
          <w:color w:val="000000" w:themeColor="text1"/>
          <w:sz w:val="16"/>
          <w:szCs w:val="16"/>
          <w:lang w:val="es-CO"/>
        </w:rPr>
        <w:t>”.</w:t>
      </w:r>
    </w:p>
    <w:p w14:paraId="1656ECFC" w14:textId="77777777" w:rsidR="0032389D" w:rsidRPr="00145609" w:rsidRDefault="0032389D" w:rsidP="00031AA1">
      <w:pPr>
        <w:pStyle w:val="FootnoteText"/>
        <w:ind w:firstLine="708"/>
        <w:contextualSpacing/>
        <w:jc w:val="both"/>
        <w:rPr>
          <w:rFonts w:ascii="Verdana" w:hAnsi="Verdana" w:cs="Arial"/>
          <w:color w:val="000000" w:themeColor="text1"/>
          <w:sz w:val="16"/>
          <w:szCs w:val="16"/>
          <w:lang w:val="es-CO"/>
        </w:rPr>
      </w:pPr>
    </w:p>
  </w:footnote>
  <w:footnote w:id="6">
    <w:p w14:paraId="1FCE2A68" w14:textId="77777777" w:rsidR="0032389D" w:rsidRPr="00145609" w:rsidRDefault="0032389D" w:rsidP="00031AA1">
      <w:pPr>
        <w:pStyle w:val="FootnoteText"/>
        <w:ind w:firstLine="708"/>
        <w:contextualSpacing/>
        <w:rPr>
          <w:rFonts w:ascii="Verdana" w:hAnsi="Verdana" w:cs="Arial"/>
          <w:sz w:val="16"/>
          <w:szCs w:val="16"/>
        </w:rPr>
      </w:pPr>
      <w:r w:rsidRPr="00145609">
        <w:rPr>
          <w:rStyle w:val="FootnoteReference"/>
          <w:rFonts w:ascii="Verdana" w:hAnsi="Verdana"/>
          <w:sz w:val="16"/>
          <w:szCs w:val="16"/>
        </w:rPr>
        <w:footnoteRef/>
      </w:r>
      <w:r w:rsidRPr="00145609">
        <w:rPr>
          <w:rFonts w:ascii="Verdana" w:hAnsi="Verdana"/>
          <w:sz w:val="16"/>
          <w:szCs w:val="16"/>
        </w:rPr>
        <w:t xml:space="preserve"> </w:t>
      </w:r>
      <w:r w:rsidRPr="00145609">
        <w:rPr>
          <w:rFonts w:ascii="Verdana" w:hAnsi="Verdana" w:cs="Arial"/>
          <w:sz w:val="16"/>
          <w:szCs w:val="16"/>
        </w:rPr>
        <w:t>“ARTÍCULO 2.2.1.2.3.1.3. Indivisibilidad de la garantía.</w:t>
      </w:r>
    </w:p>
    <w:p w14:paraId="433DADB9" w14:textId="77777777" w:rsidR="0032389D" w:rsidRPr="00145609" w:rsidRDefault="0032389D" w:rsidP="00031AA1">
      <w:pPr>
        <w:pStyle w:val="FootnoteText"/>
        <w:ind w:firstLine="708"/>
        <w:contextualSpacing/>
        <w:rPr>
          <w:rFonts w:ascii="Verdana" w:hAnsi="Verdana" w:cs="Arial"/>
          <w:sz w:val="16"/>
          <w:szCs w:val="16"/>
        </w:rPr>
      </w:pPr>
      <w:r w:rsidRPr="00145609">
        <w:rPr>
          <w:rFonts w:ascii="Verdana" w:hAnsi="Verdana" w:cs="Arial"/>
          <w:sz w:val="16"/>
          <w:szCs w:val="16"/>
        </w:rPr>
        <w:t xml:space="preserve"> […]</w:t>
      </w:r>
    </w:p>
    <w:p w14:paraId="303E7929" w14:textId="77777777" w:rsidR="0032389D" w:rsidRPr="00145609" w:rsidRDefault="0032389D" w:rsidP="00031AA1">
      <w:pPr>
        <w:pStyle w:val="NormalWeb"/>
        <w:shd w:val="clear" w:color="auto" w:fill="FFFFFF"/>
        <w:spacing w:before="0" w:beforeAutospacing="0" w:after="0" w:afterAutospacing="0"/>
        <w:contextualSpacing/>
        <w:jc w:val="both"/>
        <w:rPr>
          <w:rFonts w:ascii="Verdana" w:hAnsi="Verdana" w:cs="Arial"/>
          <w:sz w:val="16"/>
          <w:szCs w:val="16"/>
        </w:rPr>
      </w:pPr>
      <w:r w:rsidRPr="00145609">
        <w:rPr>
          <w:rFonts w:ascii="Verdana" w:hAnsi="Verdana" w:cs="Arial"/>
          <w:sz w:val="16"/>
          <w:szCs w:val="16"/>
        </w:rPr>
        <w:tab/>
        <w:t>En consecuencia, la Entidad Estatal en los pliegos de condiciones para la Contratación debe indicar las garantías que exige en cada Etapa del Contrato o cada Periodo Contractual así:</w:t>
      </w:r>
    </w:p>
    <w:p w14:paraId="67BAE366" w14:textId="77777777" w:rsidR="0032389D" w:rsidRPr="00145609" w:rsidRDefault="0032389D" w:rsidP="00031AA1">
      <w:pPr>
        <w:shd w:val="clear" w:color="auto" w:fill="FFFFFF"/>
        <w:spacing w:after="0" w:line="240" w:lineRule="auto"/>
        <w:contextualSpacing/>
        <w:jc w:val="both"/>
        <w:rPr>
          <w:rFonts w:ascii="Verdana" w:eastAsia="Times New Roman" w:hAnsi="Verdana" w:cs="Arial"/>
          <w:sz w:val="16"/>
          <w:szCs w:val="16"/>
          <w:lang w:eastAsia="es-CO"/>
        </w:rPr>
      </w:pPr>
      <w:r w:rsidRPr="00145609">
        <w:rPr>
          <w:rFonts w:ascii="Verdana" w:eastAsia="Times New Roman" w:hAnsi="Verdana" w:cs="Arial"/>
          <w:sz w:val="16"/>
          <w:szCs w:val="16"/>
          <w:lang w:eastAsia="es-CO"/>
        </w:rPr>
        <w:t>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w:t>
      </w:r>
    </w:p>
    <w:p w14:paraId="07B2A12A" w14:textId="77777777" w:rsidR="0032389D" w:rsidRPr="00145609" w:rsidRDefault="0032389D" w:rsidP="00031AA1">
      <w:pPr>
        <w:shd w:val="clear" w:color="auto" w:fill="FFFFFF"/>
        <w:spacing w:after="0" w:line="240" w:lineRule="auto"/>
        <w:contextualSpacing/>
        <w:jc w:val="both"/>
        <w:rPr>
          <w:rFonts w:ascii="Verdana" w:eastAsia="Times New Roman" w:hAnsi="Verdana" w:cs="Arial"/>
          <w:sz w:val="16"/>
          <w:szCs w:val="16"/>
          <w:lang w:eastAsia="es-CO"/>
        </w:rPr>
      </w:pPr>
      <w:r w:rsidRPr="00145609">
        <w:rPr>
          <w:rFonts w:ascii="Verdana" w:eastAsia="Times New Roman" w:hAnsi="Verdana" w:cs="Arial"/>
          <w:sz w:val="16"/>
          <w:szCs w:val="16"/>
          <w:lang w:eastAsia="es-CO"/>
        </w:rPr>
        <w:t>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footnote>
  <w:footnote w:id="7">
    <w:p w14:paraId="6ADD8B51" w14:textId="77777777" w:rsidR="0032389D" w:rsidRPr="00145609" w:rsidRDefault="0032389D" w:rsidP="00031AA1">
      <w:pPr>
        <w:pStyle w:val="FootnoteText"/>
        <w:ind w:firstLine="708"/>
        <w:contextualSpacing/>
        <w:rPr>
          <w:rFonts w:ascii="Verdana" w:hAnsi="Verdana" w:cs="Arial"/>
          <w:sz w:val="16"/>
          <w:szCs w:val="16"/>
        </w:rPr>
      </w:pPr>
      <w:r w:rsidRPr="00145609">
        <w:rPr>
          <w:rStyle w:val="FootnoteReference"/>
          <w:rFonts w:ascii="Verdana" w:hAnsi="Verdana"/>
          <w:sz w:val="16"/>
          <w:szCs w:val="16"/>
        </w:rPr>
        <w:footnoteRef/>
      </w:r>
      <w:r w:rsidRPr="00145609">
        <w:rPr>
          <w:rFonts w:ascii="Verdana" w:hAnsi="Verdana"/>
          <w:sz w:val="16"/>
          <w:szCs w:val="16"/>
        </w:rPr>
        <w:t xml:space="preserve"> «</w:t>
      </w:r>
      <w:r w:rsidRPr="00145609">
        <w:rPr>
          <w:rFonts w:ascii="Verdana" w:hAnsi="Verdana" w:cs="Arial"/>
          <w:sz w:val="16"/>
          <w:szCs w:val="16"/>
        </w:rPr>
        <w:t xml:space="preserve">ARTÍCULO 2.2.1.2.3.1.3. Indivisibilidad de la garantía. </w:t>
      </w:r>
    </w:p>
    <w:p w14:paraId="50369211" w14:textId="77777777" w:rsidR="0032389D" w:rsidRPr="00145609" w:rsidRDefault="0032389D" w:rsidP="00031AA1">
      <w:pPr>
        <w:pStyle w:val="FootnoteText"/>
        <w:ind w:firstLine="708"/>
        <w:contextualSpacing/>
        <w:rPr>
          <w:rFonts w:ascii="Verdana" w:hAnsi="Verdana" w:cs="Arial"/>
          <w:sz w:val="16"/>
          <w:szCs w:val="16"/>
        </w:rPr>
      </w:pPr>
      <w:r w:rsidRPr="00145609">
        <w:rPr>
          <w:rFonts w:ascii="Verdana" w:hAnsi="Verdana" w:cs="Arial"/>
          <w:sz w:val="16"/>
          <w:szCs w:val="16"/>
        </w:rPr>
        <w:t>[…]</w:t>
      </w:r>
    </w:p>
    <w:p w14:paraId="588E88E4" w14:textId="77777777" w:rsidR="0032389D" w:rsidRPr="00145609" w:rsidRDefault="0032389D" w:rsidP="00031AA1">
      <w:pPr>
        <w:pStyle w:val="FootnoteText"/>
        <w:ind w:firstLine="708"/>
        <w:contextualSpacing/>
        <w:jc w:val="both"/>
        <w:rPr>
          <w:rFonts w:ascii="Verdana" w:hAnsi="Verdana" w:cs="Arial"/>
          <w:sz w:val="16"/>
          <w:szCs w:val="16"/>
        </w:rPr>
      </w:pPr>
      <w:r w:rsidRPr="00145609">
        <w:rPr>
          <w:rFonts w:ascii="Verdana" w:hAnsi="Verdana" w:cs="Arial"/>
          <w:sz w:val="16"/>
          <w:szCs w:val="16"/>
        </w:rPr>
        <w:t>»3.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w:t>
      </w:r>
    </w:p>
    <w:p w14:paraId="6F267030" w14:textId="77777777" w:rsidR="0032389D" w:rsidRPr="00145609" w:rsidRDefault="0032389D" w:rsidP="00031AA1">
      <w:pPr>
        <w:pStyle w:val="FootnoteText"/>
        <w:ind w:firstLine="708"/>
        <w:contextualSpacing/>
        <w:jc w:val="both"/>
        <w:rPr>
          <w:rFonts w:ascii="Verdana" w:hAnsi="Verdana"/>
          <w:sz w:val="16"/>
          <w:szCs w:val="16"/>
        </w:rPr>
      </w:pPr>
      <w:r w:rsidRPr="00145609">
        <w:rPr>
          <w:rFonts w:ascii="Verdana" w:hAnsi="Verdana" w:cs="Arial"/>
          <w:sz w:val="16"/>
          <w:szCs w:val="16"/>
          <w:shd w:val="clear" w:color="auto" w:fill="FFFFFF"/>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4.65pt;height:14.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A53"/>
    <w:rsid w:val="00016F78"/>
    <w:rsid w:val="00031AA1"/>
    <w:rsid w:val="00046945"/>
    <w:rsid w:val="00061B2A"/>
    <w:rsid w:val="00082362"/>
    <w:rsid w:val="0008691C"/>
    <w:rsid w:val="000A683E"/>
    <w:rsid w:val="000B19B9"/>
    <w:rsid w:val="000D0334"/>
    <w:rsid w:val="000F6486"/>
    <w:rsid w:val="00125105"/>
    <w:rsid w:val="00127233"/>
    <w:rsid w:val="001511A0"/>
    <w:rsid w:val="001810EB"/>
    <w:rsid w:val="00193ED6"/>
    <w:rsid w:val="001E4177"/>
    <w:rsid w:val="001F7DC6"/>
    <w:rsid w:val="002421BB"/>
    <w:rsid w:val="0025796E"/>
    <w:rsid w:val="002707A2"/>
    <w:rsid w:val="00274749"/>
    <w:rsid w:val="00293C4B"/>
    <w:rsid w:val="002951A0"/>
    <w:rsid w:val="002962BC"/>
    <w:rsid w:val="002A093D"/>
    <w:rsid w:val="002A0DD0"/>
    <w:rsid w:val="002A49AC"/>
    <w:rsid w:val="002A64FD"/>
    <w:rsid w:val="002C7A84"/>
    <w:rsid w:val="002E15A5"/>
    <w:rsid w:val="002E4FD9"/>
    <w:rsid w:val="00322A85"/>
    <w:rsid w:val="0032389D"/>
    <w:rsid w:val="00324168"/>
    <w:rsid w:val="003276D5"/>
    <w:rsid w:val="003448F4"/>
    <w:rsid w:val="003450CD"/>
    <w:rsid w:val="00374F5E"/>
    <w:rsid w:val="00377E3E"/>
    <w:rsid w:val="003A779E"/>
    <w:rsid w:val="003D0F4D"/>
    <w:rsid w:val="003D5B0D"/>
    <w:rsid w:val="003E0499"/>
    <w:rsid w:val="003F3941"/>
    <w:rsid w:val="00406575"/>
    <w:rsid w:val="00414C74"/>
    <w:rsid w:val="0042722E"/>
    <w:rsid w:val="0044528D"/>
    <w:rsid w:val="00447734"/>
    <w:rsid w:val="00495FAF"/>
    <w:rsid w:val="004A1847"/>
    <w:rsid w:val="004A305D"/>
    <w:rsid w:val="004A3EC0"/>
    <w:rsid w:val="004F21C4"/>
    <w:rsid w:val="004F685F"/>
    <w:rsid w:val="005566E8"/>
    <w:rsid w:val="00574867"/>
    <w:rsid w:val="00591460"/>
    <w:rsid w:val="00595F17"/>
    <w:rsid w:val="005B3816"/>
    <w:rsid w:val="005C3777"/>
    <w:rsid w:val="005C5CDC"/>
    <w:rsid w:val="005D476C"/>
    <w:rsid w:val="005F47D1"/>
    <w:rsid w:val="006219F8"/>
    <w:rsid w:val="006646E8"/>
    <w:rsid w:val="00665D70"/>
    <w:rsid w:val="006900D9"/>
    <w:rsid w:val="006C6FF6"/>
    <w:rsid w:val="00706C16"/>
    <w:rsid w:val="00756841"/>
    <w:rsid w:val="00760479"/>
    <w:rsid w:val="007649AB"/>
    <w:rsid w:val="00771D0C"/>
    <w:rsid w:val="007833AC"/>
    <w:rsid w:val="007B268C"/>
    <w:rsid w:val="007B7171"/>
    <w:rsid w:val="007C0C0F"/>
    <w:rsid w:val="007C3DC2"/>
    <w:rsid w:val="007E2ED4"/>
    <w:rsid w:val="007E5497"/>
    <w:rsid w:val="007F2D12"/>
    <w:rsid w:val="00806F5F"/>
    <w:rsid w:val="00820278"/>
    <w:rsid w:val="00867F95"/>
    <w:rsid w:val="008843B6"/>
    <w:rsid w:val="00891928"/>
    <w:rsid w:val="008A446D"/>
    <w:rsid w:val="008D180B"/>
    <w:rsid w:val="008F0502"/>
    <w:rsid w:val="008F0EA7"/>
    <w:rsid w:val="008F6B5D"/>
    <w:rsid w:val="009104AC"/>
    <w:rsid w:val="00920F63"/>
    <w:rsid w:val="00923EEF"/>
    <w:rsid w:val="009419F9"/>
    <w:rsid w:val="0095685E"/>
    <w:rsid w:val="00961B09"/>
    <w:rsid w:val="00965334"/>
    <w:rsid w:val="0097093E"/>
    <w:rsid w:val="00986AC5"/>
    <w:rsid w:val="009A0DFA"/>
    <w:rsid w:val="009B2D26"/>
    <w:rsid w:val="009C71FA"/>
    <w:rsid w:val="009C72E7"/>
    <w:rsid w:val="009D3058"/>
    <w:rsid w:val="009D4DC6"/>
    <w:rsid w:val="009F3A13"/>
    <w:rsid w:val="00A122D3"/>
    <w:rsid w:val="00A155A4"/>
    <w:rsid w:val="00A17F13"/>
    <w:rsid w:val="00A20739"/>
    <w:rsid w:val="00A23022"/>
    <w:rsid w:val="00A33C78"/>
    <w:rsid w:val="00AB0ADB"/>
    <w:rsid w:val="00AB388D"/>
    <w:rsid w:val="00AF1381"/>
    <w:rsid w:val="00B01B1A"/>
    <w:rsid w:val="00B13ACD"/>
    <w:rsid w:val="00B66319"/>
    <w:rsid w:val="00B72CD3"/>
    <w:rsid w:val="00B72FFF"/>
    <w:rsid w:val="00B74EAA"/>
    <w:rsid w:val="00BC3D36"/>
    <w:rsid w:val="00BD7F72"/>
    <w:rsid w:val="00C04FB3"/>
    <w:rsid w:val="00C178BC"/>
    <w:rsid w:val="00C330EB"/>
    <w:rsid w:val="00C41061"/>
    <w:rsid w:val="00C754BE"/>
    <w:rsid w:val="00C76B1C"/>
    <w:rsid w:val="00C945FD"/>
    <w:rsid w:val="00CB31A7"/>
    <w:rsid w:val="00CB6357"/>
    <w:rsid w:val="00CC1B26"/>
    <w:rsid w:val="00CD1BA3"/>
    <w:rsid w:val="00D05FBE"/>
    <w:rsid w:val="00D122C9"/>
    <w:rsid w:val="00D16C6B"/>
    <w:rsid w:val="00D423A2"/>
    <w:rsid w:val="00D520D8"/>
    <w:rsid w:val="00D57FBD"/>
    <w:rsid w:val="00D63AC2"/>
    <w:rsid w:val="00D7383B"/>
    <w:rsid w:val="00D91DE1"/>
    <w:rsid w:val="00DA231B"/>
    <w:rsid w:val="00DC39FC"/>
    <w:rsid w:val="00DF5254"/>
    <w:rsid w:val="00E068BF"/>
    <w:rsid w:val="00E16408"/>
    <w:rsid w:val="00E20894"/>
    <w:rsid w:val="00E245AB"/>
    <w:rsid w:val="00E2764C"/>
    <w:rsid w:val="00E27F2E"/>
    <w:rsid w:val="00E50AFE"/>
    <w:rsid w:val="00E5586F"/>
    <w:rsid w:val="00E75C92"/>
    <w:rsid w:val="00E771DC"/>
    <w:rsid w:val="00E8772A"/>
    <w:rsid w:val="00E90F6B"/>
    <w:rsid w:val="00E92C27"/>
    <w:rsid w:val="00EA07EA"/>
    <w:rsid w:val="00EA0E3D"/>
    <w:rsid w:val="00EC38A7"/>
    <w:rsid w:val="00ED24E6"/>
    <w:rsid w:val="00ED7384"/>
    <w:rsid w:val="00EE1AA8"/>
    <w:rsid w:val="00EF1001"/>
    <w:rsid w:val="00F31EDC"/>
    <w:rsid w:val="00F462B3"/>
    <w:rsid w:val="00F5664F"/>
    <w:rsid w:val="00F666C4"/>
    <w:rsid w:val="00F73E0E"/>
    <w:rsid w:val="00F76AFC"/>
    <w:rsid w:val="00FA47C0"/>
    <w:rsid w:val="00FA65E7"/>
    <w:rsid w:val="00FB5DD1"/>
    <w:rsid w:val="00FC2B5D"/>
    <w:rsid w:val="00FF1449"/>
    <w:rsid w:val="04D07B15"/>
    <w:rsid w:val="165E9519"/>
    <w:rsid w:val="382536D9"/>
    <w:rsid w:val="47BF96E7"/>
    <w:rsid w:val="4C92B792"/>
    <w:rsid w:val="5C957CE5"/>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32389D"/>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32389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1BBF35-071F-4AF6-90D0-F15363AD192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3346</Words>
  <Characters>19078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22380</CharactersWithSpaces>
  <SharedDoc>false</SharedDoc>
  <HLinks>
    <vt:vector size="12" baseType="variant">
      <vt:variant>
        <vt:i4>8126526</vt:i4>
      </vt:variant>
      <vt:variant>
        <vt:i4>3</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2025-07-28T16:54:00Z</dcterms:created>
  <dcterms:modified xsi:type="dcterms:W3CDTF">2025-07-28T16:54:00Z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