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55CD" w14:textId="77777777" w:rsidR="0084201B" w:rsidRPr="00B53D4E" w:rsidRDefault="0084201B" w:rsidP="0084201B">
      <w:pPr>
        <w:spacing w:after="0" w:line="240" w:lineRule="auto"/>
        <w:jc w:val="both"/>
        <w:rPr>
          <w:rFonts w:ascii="Verdana" w:eastAsia="Calibri" w:hAnsi="Verdana" w:cs="Arial"/>
          <w:b/>
          <w:bCs/>
          <w:sz w:val="20"/>
          <w:szCs w:val="20"/>
        </w:rPr>
      </w:pPr>
    </w:p>
    <w:p w14:paraId="42006E71" w14:textId="77777777" w:rsidR="0084201B" w:rsidRPr="00B53D4E" w:rsidRDefault="0084201B" w:rsidP="0084201B">
      <w:pPr>
        <w:spacing w:after="0" w:line="240" w:lineRule="auto"/>
        <w:jc w:val="both"/>
        <w:rPr>
          <w:rFonts w:ascii="Verdana" w:eastAsia="Calibri" w:hAnsi="Verdana" w:cs="Arial"/>
          <w:b/>
          <w:bCs/>
        </w:rPr>
      </w:pPr>
      <w:r w:rsidRPr="00B53D4E">
        <w:rPr>
          <w:rFonts w:ascii="Verdana" w:eastAsia="Calibri" w:hAnsi="Verdana" w:cs="Arial"/>
          <w:b/>
          <w:bCs/>
        </w:rPr>
        <w:t xml:space="preserve">CONCURSO DE ARQUITECTURA – Aplicación – Actividades </w:t>
      </w:r>
    </w:p>
    <w:p w14:paraId="2599BE24" w14:textId="77777777" w:rsidR="0084201B" w:rsidRPr="00B53D4E" w:rsidRDefault="0084201B" w:rsidP="0084201B">
      <w:pPr>
        <w:spacing w:after="0" w:line="240" w:lineRule="auto"/>
        <w:jc w:val="both"/>
        <w:rPr>
          <w:rFonts w:ascii="Verdana" w:eastAsia="Calibri" w:hAnsi="Verdana" w:cs="Arial"/>
          <w:b/>
          <w:bCs/>
          <w:sz w:val="20"/>
          <w:szCs w:val="20"/>
        </w:rPr>
      </w:pPr>
    </w:p>
    <w:p w14:paraId="162043CC" w14:textId="77777777" w:rsidR="0084201B" w:rsidRPr="00B53D4E" w:rsidRDefault="0084201B" w:rsidP="0084201B">
      <w:pPr>
        <w:spacing w:after="0" w:line="240" w:lineRule="auto"/>
        <w:jc w:val="both"/>
        <w:rPr>
          <w:rFonts w:ascii="Verdana" w:eastAsia="Calibri" w:hAnsi="Verdana" w:cs="Arial"/>
          <w:sz w:val="20"/>
          <w:szCs w:val="20"/>
        </w:rPr>
      </w:pPr>
      <w:r w:rsidRPr="00B53D4E">
        <w:rPr>
          <w:rFonts w:ascii="Verdana" w:eastAsia="Calibri" w:hAnsi="Verdana" w:cs="Arial"/>
          <w:sz w:val="20"/>
          <w:szCs w:val="20"/>
        </w:rPr>
        <w:t>El concurso de arquitectura se desarrolla en nuestro ordenamiento jurídico conforme a lo dispuesto en el Decreto 2326 de 1995, que en su artículo 1 lo definió como “el procedimiento mediante el cual la entidad estatal, previa invitación pública y en igualdad de oportunidades, selecciona un consultor entre los proponentes interesados en elaborar diseños, planos, anteproyectos y proyectos arquitectónicos”. La anterior norma fue compilada en el Decreto 1082 de 2015 en los artículos 2.2.1.2.1.3.8. y siguientes, manteniendo su literalidad.</w:t>
      </w:r>
    </w:p>
    <w:p w14:paraId="6ED59EFB" w14:textId="77777777" w:rsidR="0084201B" w:rsidRPr="00B53D4E" w:rsidRDefault="0084201B" w:rsidP="0084201B">
      <w:pPr>
        <w:spacing w:after="0" w:line="240" w:lineRule="auto"/>
        <w:jc w:val="both"/>
        <w:rPr>
          <w:rFonts w:ascii="Verdana" w:eastAsia="Calibri" w:hAnsi="Verdana" w:cs="Arial"/>
          <w:sz w:val="20"/>
          <w:szCs w:val="20"/>
        </w:rPr>
      </w:pPr>
    </w:p>
    <w:p w14:paraId="1440F407" w14:textId="77777777" w:rsidR="0084201B" w:rsidRPr="00B53D4E" w:rsidRDefault="0084201B" w:rsidP="0084201B">
      <w:pPr>
        <w:spacing w:after="0" w:line="240" w:lineRule="auto"/>
        <w:jc w:val="both"/>
        <w:rPr>
          <w:rFonts w:ascii="Verdana" w:eastAsia="Calibri" w:hAnsi="Verdana" w:cs="Arial"/>
          <w:sz w:val="20"/>
          <w:szCs w:val="20"/>
        </w:rPr>
      </w:pPr>
      <w:r w:rsidRPr="00B53D4E">
        <w:rPr>
          <w:rFonts w:ascii="Verdana" w:eastAsia="Calibri" w:hAnsi="Verdana" w:cs="Arial"/>
          <w:sz w:val="20"/>
          <w:szCs w:val="20"/>
        </w:rPr>
        <w:t>Es importante destacar que los decretos reglamentarios anteriormente citados disponen que el concurso de arquitectura puede conllevar labores técnicas y/o profesionales complementarias de la propuesta, pero siempre su objeto principal será el diseño integral, de tal forma que, en estos eventos, los proponentes definirán las labores fundamentales que complementan la propuesta, las cuales no podrán separarse de la misma.</w:t>
      </w:r>
    </w:p>
    <w:p w14:paraId="1ADE7927" w14:textId="77777777" w:rsidR="0084201B" w:rsidRPr="00B53D4E" w:rsidRDefault="0084201B" w:rsidP="0084201B">
      <w:pPr>
        <w:spacing w:after="0" w:line="240" w:lineRule="auto"/>
        <w:jc w:val="both"/>
        <w:rPr>
          <w:rFonts w:ascii="Verdana" w:eastAsia="Calibri" w:hAnsi="Verdana" w:cs="Arial"/>
          <w:sz w:val="20"/>
          <w:szCs w:val="20"/>
        </w:rPr>
      </w:pPr>
    </w:p>
    <w:p w14:paraId="63DA8104" w14:textId="77777777" w:rsidR="0084201B" w:rsidRPr="00B53D4E" w:rsidRDefault="0084201B" w:rsidP="0084201B">
      <w:pPr>
        <w:spacing w:after="0" w:line="240" w:lineRule="auto"/>
        <w:jc w:val="both"/>
        <w:rPr>
          <w:rFonts w:ascii="Verdana" w:eastAsia="Calibri" w:hAnsi="Verdana" w:cs="Arial"/>
          <w:b/>
          <w:bCs/>
        </w:rPr>
      </w:pPr>
      <w:r w:rsidRPr="00B53D4E">
        <w:rPr>
          <w:rFonts w:ascii="Verdana" w:eastAsia="Calibri" w:hAnsi="Verdana" w:cs="Arial"/>
          <w:b/>
          <w:bCs/>
        </w:rPr>
        <w:t xml:space="preserve">CONCURSO DE ARQUITECTURA – Procedimiento </w:t>
      </w:r>
    </w:p>
    <w:p w14:paraId="50946AF7" w14:textId="77777777" w:rsidR="0084201B" w:rsidRPr="00B53D4E" w:rsidRDefault="0084201B" w:rsidP="0084201B">
      <w:pPr>
        <w:spacing w:after="0" w:line="240" w:lineRule="auto"/>
        <w:jc w:val="both"/>
        <w:rPr>
          <w:rFonts w:ascii="Verdana" w:eastAsia="Calibri" w:hAnsi="Verdana" w:cs="Arial"/>
          <w:sz w:val="20"/>
          <w:szCs w:val="20"/>
        </w:rPr>
      </w:pPr>
    </w:p>
    <w:p w14:paraId="68D870E0" w14:textId="77777777" w:rsidR="0084201B" w:rsidRPr="00B53D4E" w:rsidRDefault="0084201B" w:rsidP="0084201B">
      <w:pPr>
        <w:spacing w:after="0" w:line="240" w:lineRule="auto"/>
        <w:jc w:val="both"/>
        <w:rPr>
          <w:rFonts w:ascii="Verdana" w:eastAsia="Calibri" w:hAnsi="Verdana" w:cs="Arial"/>
          <w:sz w:val="20"/>
          <w:szCs w:val="20"/>
        </w:rPr>
      </w:pPr>
      <w:r w:rsidRPr="00B53D4E">
        <w:rPr>
          <w:rFonts w:ascii="Verdana" w:eastAsia="Calibri" w:hAnsi="Verdana" w:cs="Arial"/>
          <w:sz w:val="20"/>
          <w:szCs w:val="20"/>
        </w:rPr>
        <w:t>Sobre las bases del concurso, se debe destacar también que estas se encuentran reguladas en el artículo 2.2.1.2.1.3.22, indicando que los pliegos de condiciones del procedimiento de selección deben contener como mínimo, entre otros aspectos, “Los requisitos objetivos que se deben reunir para participar en el concurso de arquitectura […] Las condiciones que deben reunir los Proponentes […] Los premios y sus valores, de acuerdo con el reglamento de honorarios de la Sociedad Colombiana de Arquitectos […]”, entre otros.</w:t>
      </w:r>
    </w:p>
    <w:p w14:paraId="526F37D6" w14:textId="77777777" w:rsidR="0084201B" w:rsidRPr="00B53D4E" w:rsidRDefault="0084201B" w:rsidP="0084201B">
      <w:pPr>
        <w:spacing w:after="0" w:line="240" w:lineRule="auto"/>
        <w:jc w:val="both"/>
        <w:rPr>
          <w:rFonts w:ascii="Verdana" w:eastAsia="Calibri" w:hAnsi="Verdana" w:cs="Arial"/>
          <w:sz w:val="20"/>
          <w:szCs w:val="20"/>
        </w:rPr>
      </w:pPr>
    </w:p>
    <w:p w14:paraId="0FBDED41" w14:textId="77777777" w:rsidR="0084201B" w:rsidRPr="00B53D4E" w:rsidRDefault="0084201B" w:rsidP="0084201B">
      <w:pPr>
        <w:spacing w:after="0" w:line="240" w:lineRule="auto"/>
        <w:jc w:val="both"/>
        <w:rPr>
          <w:rFonts w:ascii="Verdana" w:eastAsia="Calibri" w:hAnsi="Verdana" w:cs="Arial"/>
          <w:sz w:val="20"/>
          <w:szCs w:val="20"/>
        </w:rPr>
      </w:pPr>
      <w:r w:rsidRPr="00B53D4E">
        <w:rPr>
          <w:rFonts w:ascii="Verdana" w:eastAsia="Calibri" w:hAnsi="Verdana" w:cs="Arial"/>
          <w:sz w:val="20"/>
          <w:szCs w:val="20"/>
        </w:rPr>
        <w:t xml:space="preserve">Por tanto, siempre que la entidad requiera contratar un diseño arquitectónico, de acuerdo con las definiciones propias de la profesión conforme al Decreto 2090 de 1989, debe aplicar el procedimiento de selección denominado “concurso de arquitectura” del Decreto 1082 de 2015 que –entre otros aspectos– dispone las partes y el contenido mínimo del pliego de condiciones. Es importante resaltar que, como se mencionó, una de las partes es el jurado de calificador, y de la literalidad norma no es posible interpretar que se pueda prescindir de alguna de ellas o que sea optativo seleccionar qué partes estarán en el “concurso de arquitectura”. </w:t>
      </w:r>
    </w:p>
    <w:p w14:paraId="0443884B" w14:textId="77777777" w:rsidR="0084201B" w:rsidRPr="00B53D4E" w:rsidRDefault="0084201B" w:rsidP="0084201B">
      <w:pPr>
        <w:spacing w:after="0" w:line="240" w:lineRule="auto"/>
        <w:jc w:val="both"/>
        <w:rPr>
          <w:rFonts w:ascii="Verdana" w:eastAsia="Calibri" w:hAnsi="Verdana" w:cs="Arial"/>
          <w:sz w:val="20"/>
          <w:szCs w:val="20"/>
        </w:rPr>
      </w:pPr>
    </w:p>
    <w:p w14:paraId="2DD06922" w14:textId="77777777" w:rsidR="0084201B" w:rsidRPr="00B53D4E" w:rsidRDefault="0084201B" w:rsidP="0084201B">
      <w:pPr>
        <w:spacing w:after="0" w:line="240" w:lineRule="auto"/>
        <w:jc w:val="both"/>
        <w:rPr>
          <w:rFonts w:ascii="Verdana" w:eastAsia="Calibri" w:hAnsi="Verdana" w:cs="Arial"/>
          <w:b/>
          <w:bCs/>
          <w:sz w:val="20"/>
          <w:szCs w:val="20"/>
        </w:rPr>
      </w:pPr>
      <w:r w:rsidRPr="00B53D4E">
        <w:rPr>
          <w:rFonts w:ascii="Verdana" w:eastAsia="Calibri" w:hAnsi="Verdana" w:cs="Arial"/>
          <w:sz w:val="20"/>
          <w:szCs w:val="20"/>
        </w:rPr>
        <w:t>Así las cosas, sobre las bases del concurso ocurre lo mismo que para las partes que participan en este, ya que el reglamento dispone el contenido mínimo del pliego de condiciones, por lo que la entidad debe acatar lo estipulado en el artículo 2.2.1.2.1.3.22. del Decreto 1082 de 2015, en el cual se debe incluir específicamente los términos de referencia o bases del concurso, incluyendo las condiciones que deben reunir los proponentes y la premiación basada en el Decreto 2090 de 1989, esto es, el reglamento de honorarios aplicable a los trabajos de arquitectura, el que se encuentran los proyectos arquitectónicos.</w:t>
      </w:r>
    </w:p>
    <w:p w14:paraId="2F5E068F" w14:textId="77777777" w:rsidR="0084201B" w:rsidRPr="00B53D4E" w:rsidRDefault="0084201B" w:rsidP="0084201B">
      <w:pPr>
        <w:spacing w:after="0" w:line="240" w:lineRule="auto"/>
        <w:jc w:val="both"/>
        <w:rPr>
          <w:rFonts w:ascii="Verdana" w:eastAsia="Calibri" w:hAnsi="Verdana" w:cs="Arial"/>
          <w:color w:val="000000" w:themeColor="text1"/>
          <w:sz w:val="20"/>
          <w:szCs w:val="20"/>
        </w:rPr>
      </w:pPr>
    </w:p>
    <w:p w14:paraId="452E612F" w14:textId="77777777" w:rsidR="0084201B" w:rsidRPr="00B53D4E" w:rsidRDefault="0084201B" w:rsidP="0084201B">
      <w:pPr>
        <w:pStyle w:val="s16"/>
        <w:spacing w:before="0" w:beforeAutospacing="0" w:after="0" w:afterAutospacing="0"/>
        <w:jc w:val="both"/>
        <w:rPr>
          <w:rFonts w:ascii="Verdana" w:hAnsi="Verdana" w:cs="Arial"/>
          <w:b/>
          <w:bCs/>
          <w:color w:val="000000"/>
          <w:sz w:val="22"/>
          <w:szCs w:val="22"/>
        </w:rPr>
      </w:pPr>
      <w:r w:rsidRPr="00B53D4E">
        <w:rPr>
          <w:rStyle w:val="s15"/>
          <w:rFonts w:ascii="Verdana" w:hAnsi="Verdana" w:cs="Arial"/>
          <w:b/>
          <w:bCs/>
          <w:color w:val="000000"/>
          <w:sz w:val="22"/>
          <w:szCs w:val="22"/>
        </w:rPr>
        <w:lastRenderedPageBreak/>
        <w:t>EJERCICIO DE LA ARQUITECTURA – Actividad profesional - Diferencias – Ejercicio de la ingeniería</w:t>
      </w:r>
    </w:p>
    <w:p w14:paraId="1F531B9F" w14:textId="77777777" w:rsidR="0084201B" w:rsidRPr="00B53D4E" w:rsidRDefault="0084201B" w:rsidP="0084201B">
      <w:pPr>
        <w:pStyle w:val="s17"/>
        <w:spacing w:before="0" w:beforeAutospacing="0" w:after="0" w:afterAutospacing="0"/>
        <w:jc w:val="both"/>
        <w:rPr>
          <w:rFonts w:ascii="Verdana" w:hAnsi="Verdana" w:cs="Arial"/>
          <w:color w:val="000000"/>
          <w:sz w:val="20"/>
          <w:szCs w:val="20"/>
        </w:rPr>
      </w:pPr>
      <w:r w:rsidRPr="00B53D4E">
        <w:rPr>
          <w:rFonts w:ascii="Verdana" w:hAnsi="Verdana" w:cs="Arial"/>
          <w:color w:val="000000"/>
          <w:sz w:val="20"/>
          <w:szCs w:val="20"/>
        </w:rPr>
        <w:t> </w:t>
      </w:r>
    </w:p>
    <w:p w14:paraId="52576A8B" w14:textId="77777777" w:rsidR="0084201B" w:rsidRPr="00A04295" w:rsidRDefault="0084201B" w:rsidP="0084201B">
      <w:pPr>
        <w:pStyle w:val="s17"/>
        <w:spacing w:before="0" w:beforeAutospacing="0" w:after="0" w:afterAutospacing="0"/>
        <w:jc w:val="both"/>
        <w:rPr>
          <w:rStyle w:val="s18"/>
          <w:rFonts w:ascii="Verdana" w:hAnsi="Verdana" w:cs="Arial"/>
          <w:color w:val="000000"/>
          <w:sz w:val="20"/>
          <w:szCs w:val="20"/>
          <w:lang w:val="es-ES"/>
        </w:rPr>
      </w:pPr>
      <w:r w:rsidRPr="00B53D4E">
        <w:rPr>
          <w:rStyle w:val="s18"/>
          <w:rFonts w:ascii="Verdana" w:hAnsi="Verdana" w:cs="Arial"/>
          <w:color w:val="000000"/>
          <w:sz w:val="20"/>
          <w:szCs w:val="20"/>
        </w:rPr>
        <w:t xml:space="preserve">[L]as </w:t>
      </w:r>
      <w:r w:rsidRPr="00A04295">
        <w:rPr>
          <w:rStyle w:val="s18"/>
          <w:rFonts w:ascii="Verdana" w:hAnsi="Verdana" w:cs="Arial"/>
          <w:color w:val="000000"/>
          <w:sz w:val="20"/>
          <w:szCs w:val="20"/>
        </w:rPr>
        <w:t xml:space="preserve">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es exigible tratándose de procesos de contratación que involucren actividades dicha naturaleza. Por tanto, si en los entregables del proceso de selección existe ejercicio conjunto de ambas profesiones, el abono de la oferta es obligatorio conforme al artículo 20 de la Ley 842 de 2003 cuando el objeto del contrato, su alcance o las obligaciones pactadas impliquen el ejercicio de la ingeniería conforme al artículo 2 </w:t>
      </w:r>
      <w:r w:rsidRPr="00A04295">
        <w:rPr>
          <w:rStyle w:val="s18"/>
          <w:rFonts w:ascii="Verdana" w:hAnsi="Verdana" w:cs="Arial"/>
          <w:i/>
          <w:iCs/>
          <w:color w:val="000000"/>
          <w:sz w:val="20"/>
          <w:szCs w:val="20"/>
        </w:rPr>
        <w:t>ibidem</w:t>
      </w:r>
      <w:r w:rsidRPr="00A04295">
        <w:rPr>
          <w:rStyle w:val="s18"/>
          <w:rFonts w:ascii="Verdana" w:hAnsi="Verdana" w:cs="Arial"/>
          <w:color w:val="000000"/>
          <w:sz w:val="20"/>
          <w:szCs w:val="20"/>
        </w:rPr>
        <w:t>.</w:t>
      </w:r>
    </w:p>
    <w:p w14:paraId="413C85BA" w14:textId="77777777" w:rsidR="0084201B" w:rsidRDefault="0084201B" w:rsidP="003F60FB">
      <w:pPr>
        <w:spacing w:after="0" w:line="240" w:lineRule="auto"/>
        <w:rPr>
          <w:rFonts w:ascii="Verdana" w:eastAsia="Geomanist Light" w:hAnsi="Verdana" w:cs="Arial"/>
          <w:color w:val="000000" w:themeColor="text1"/>
          <w:lang w:val="es-ES"/>
        </w:rPr>
      </w:pPr>
    </w:p>
    <w:p w14:paraId="748A117A" w14:textId="77777777" w:rsidR="0084201B" w:rsidRDefault="0084201B" w:rsidP="003F60FB">
      <w:pPr>
        <w:spacing w:after="0" w:line="240" w:lineRule="auto"/>
        <w:rPr>
          <w:rFonts w:ascii="Verdana" w:eastAsia="Geomanist Light" w:hAnsi="Verdana" w:cs="Arial"/>
          <w:color w:val="000000" w:themeColor="text1"/>
          <w:lang w:val="es-ES"/>
        </w:rPr>
      </w:pPr>
    </w:p>
    <w:p w14:paraId="358A653A" w14:textId="77777777" w:rsidR="0084201B" w:rsidRDefault="0084201B" w:rsidP="003F60FB">
      <w:pPr>
        <w:spacing w:after="0" w:line="240" w:lineRule="auto"/>
        <w:rPr>
          <w:rFonts w:ascii="Verdana" w:eastAsia="Geomanist Light" w:hAnsi="Verdana" w:cs="Arial"/>
          <w:color w:val="000000" w:themeColor="text1"/>
          <w:lang w:val="es-ES"/>
        </w:rPr>
      </w:pPr>
    </w:p>
    <w:p w14:paraId="3499B840" w14:textId="77777777" w:rsidR="0084201B" w:rsidRDefault="0084201B" w:rsidP="003F60FB">
      <w:pPr>
        <w:spacing w:after="0" w:line="240" w:lineRule="auto"/>
        <w:rPr>
          <w:rFonts w:ascii="Verdana" w:eastAsia="Geomanist Light" w:hAnsi="Verdana" w:cs="Arial"/>
          <w:color w:val="000000" w:themeColor="text1"/>
          <w:lang w:val="es-ES"/>
        </w:rPr>
      </w:pPr>
    </w:p>
    <w:p w14:paraId="56FA1AE0" w14:textId="77777777" w:rsidR="0084201B" w:rsidRDefault="0084201B" w:rsidP="003F60FB">
      <w:pPr>
        <w:spacing w:after="0" w:line="240" w:lineRule="auto"/>
        <w:rPr>
          <w:rFonts w:ascii="Verdana" w:eastAsia="Geomanist Light" w:hAnsi="Verdana" w:cs="Arial"/>
          <w:color w:val="000000" w:themeColor="text1"/>
          <w:lang w:val="es-ES"/>
        </w:rPr>
      </w:pPr>
    </w:p>
    <w:p w14:paraId="33506512" w14:textId="77777777" w:rsidR="0084201B" w:rsidRDefault="0084201B" w:rsidP="003F60FB">
      <w:pPr>
        <w:spacing w:after="0" w:line="240" w:lineRule="auto"/>
        <w:rPr>
          <w:rFonts w:ascii="Verdana" w:eastAsia="Geomanist Light" w:hAnsi="Verdana" w:cs="Arial"/>
          <w:color w:val="000000" w:themeColor="text1"/>
          <w:lang w:val="es-ES"/>
        </w:rPr>
      </w:pPr>
    </w:p>
    <w:p w14:paraId="3A347236" w14:textId="77777777" w:rsidR="0084201B" w:rsidRDefault="0084201B" w:rsidP="003F60FB">
      <w:pPr>
        <w:spacing w:after="0" w:line="240" w:lineRule="auto"/>
        <w:rPr>
          <w:rFonts w:ascii="Verdana" w:eastAsia="Geomanist Light" w:hAnsi="Verdana" w:cs="Arial"/>
          <w:color w:val="000000" w:themeColor="text1"/>
          <w:lang w:val="es-ES"/>
        </w:rPr>
      </w:pPr>
    </w:p>
    <w:p w14:paraId="03A70DE9" w14:textId="77777777" w:rsidR="0084201B" w:rsidRDefault="0084201B" w:rsidP="003F60FB">
      <w:pPr>
        <w:spacing w:after="0" w:line="240" w:lineRule="auto"/>
        <w:rPr>
          <w:rFonts w:ascii="Verdana" w:eastAsia="Geomanist Light" w:hAnsi="Verdana" w:cs="Arial"/>
          <w:color w:val="000000" w:themeColor="text1"/>
          <w:lang w:val="es-ES"/>
        </w:rPr>
      </w:pPr>
    </w:p>
    <w:p w14:paraId="6FAE734C" w14:textId="77777777" w:rsidR="0084201B" w:rsidRDefault="0084201B" w:rsidP="003F60FB">
      <w:pPr>
        <w:spacing w:after="0" w:line="240" w:lineRule="auto"/>
        <w:rPr>
          <w:rFonts w:ascii="Verdana" w:eastAsia="Geomanist Light" w:hAnsi="Verdana" w:cs="Arial"/>
          <w:color w:val="000000" w:themeColor="text1"/>
          <w:lang w:val="es-ES"/>
        </w:rPr>
      </w:pPr>
    </w:p>
    <w:p w14:paraId="57E452F7" w14:textId="77777777" w:rsidR="0084201B" w:rsidRDefault="0084201B" w:rsidP="003F60FB">
      <w:pPr>
        <w:spacing w:after="0" w:line="240" w:lineRule="auto"/>
        <w:rPr>
          <w:rFonts w:ascii="Verdana" w:eastAsia="Geomanist Light" w:hAnsi="Verdana" w:cs="Arial"/>
          <w:color w:val="000000" w:themeColor="text1"/>
          <w:lang w:val="es-ES"/>
        </w:rPr>
      </w:pPr>
    </w:p>
    <w:p w14:paraId="26B95CBC" w14:textId="77777777" w:rsidR="0084201B" w:rsidRDefault="0084201B" w:rsidP="003F60FB">
      <w:pPr>
        <w:spacing w:after="0" w:line="240" w:lineRule="auto"/>
        <w:rPr>
          <w:rFonts w:ascii="Verdana" w:eastAsia="Geomanist Light" w:hAnsi="Verdana" w:cs="Arial"/>
          <w:color w:val="000000" w:themeColor="text1"/>
          <w:lang w:val="es-ES"/>
        </w:rPr>
      </w:pPr>
    </w:p>
    <w:p w14:paraId="72025506" w14:textId="77777777" w:rsidR="0084201B" w:rsidRDefault="0084201B" w:rsidP="003F60FB">
      <w:pPr>
        <w:spacing w:after="0" w:line="240" w:lineRule="auto"/>
        <w:rPr>
          <w:rFonts w:ascii="Verdana" w:eastAsia="Geomanist Light" w:hAnsi="Verdana" w:cs="Arial"/>
          <w:color w:val="000000" w:themeColor="text1"/>
          <w:lang w:val="es-ES"/>
        </w:rPr>
      </w:pPr>
    </w:p>
    <w:p w14:paraId="278E4497" w14:textId="77777777" w:rsidR="0084201B" w:rsidRDefault="0084201B" w:rsidP="003F60FB">
      <w:pPr>
        <w:spacing w:after="0" w:line="240" w:lineRule="auto"/>
        <w:rPr>
          <w:rFonts w:ascii="Verdana" w:eastAsia="Geomanist Light" w:hAnsi="Verdana" w:cs="Arial"/>
          <w:color w:val="000000" w:themeColor="text1"/>
          <w:lang w:val="es-ES"/>
        </w:rPr>
      </w:pPr>
    </w:p>
    <w:p w14:paraId="0C78E693" w14:textId="77777777" w:rsidR="0084201B" w:rsidRDefault="0084201B" w:rsidP="003F60FB">
      <w:pPr>
        <w:spacing w:after="0" w:line="240" w:lineRule="auto"/>
        <w:rPr>
          <w:rFonts w:ascii="Verdana" w:eastAsia="Geomanist Light" w:hAnsi="Verdana" w:cs="Arial"/>
          <w:color w:val="000000" w:themeColor="text1"/>
          <w:lang w:val="es-ES"/>
        </w:rPr>
      </w:pPr>
    </w:p>
    <w:p w14:paraId="45E9087D" w14:textId="77777777" w:rsidR="0084201B" w:rsidRDefault="0084201B" w:rsidP="003F60FB">
      <w:pPr>
        <w:spacing w:after="0" w:line="240" w:lineRule="auto"/>
        <w:rPr>
          <w:rFonts w:ascii="Verdana" w:eastAsia="Geomanist Light" w:hAnsi="Verdana" w:cs="Arial"/>
          <w:color w:val="000000" w:themeColor="text1"/>
          <w:lang w:val="es-ES"/>
        </w:rPr>
      </w:pPr>
    </w:p>
    <w:p w14:paraId="0A1D0DFD" w14:textId="77777777" w:rsidR="0084201B" w:rsidRDefault="0084201B" w:rsidP="003F60FB">
      <w:pPr>
        <w:spacing w:after="0" w:line="240" w:lineRule="auto"/>
        <w:rPr>
          <w:rFonts w:ascii="Verdana" w:eastAsia="Geomanist Light" w:hAnsi="Verdana" w:cs="Arial"/>
          <w:color w:val="000000" w:themeColor="text1"/>
          <w:lang w:val="es-ES"/>
        </w:rPr>
      </w:pPr>
    </w:p>
    <w:p w14:paraId="17ECB1DA" w14:textId="77777777" w:rsidR="0084201B" w:rsidRDefault="0084201B" w:rsidP="003F60FB">
      <w:pPr>
        <w:spacing w:after="0" w:line="240" w:lineRule="auto"/>
        <w:rPr>
          <w:rFonts w:ascii="Verdana" w:eastAsia="Geomanist Light" w:hAnsi="Verdana" w:cs="Arial"/>
          <w:color w:val="000000" w:themeColor="text1"/>
          <w:lang w:val="es-ES"/>
        </w:rPr>
      </w:pPr>
    </w:p>
    <w:p w14:paraId="5047328E" w14:textId="77777777" w:rsidR="0084201B" w:rsidRDefault="0084201B" w:rsidP="003F60FB">
      <w:pPr>
        <w:spacing w:after="0" w:line="240" w:lineRule="auto"/>
        <w:rPr>
          <w:rFonts w:ascii="Verdana" w:eastAsia="Geomanist Light" w:hAnsi="Verdana" w:cs="Arial"/>
          <w:color w:val="000000" w:themeColor="text1"/>
          <w:lang w:val="es-ES"/>
        </w:rPr>
      </w:pPr>
    </w:p>
    <w:p w14:paraId="709D7F36" w14:textId="77777777" w:rsidR="0084201B" w:rsidRDefault="0084201B" w:rsidP="003F60FB">
      <w:pPr>
        <w:spacing w:after="0" w:line="240" w:lineRule="auto"/>
        <w:rPr>
          <w:rFonts w:ascii="Verdana" w:eastAsia="Geomanist Light" w:hAnsi="Verdana" w:cs="Arial"/>
          <w:color w:val="000000" w:themeColor="text1"/>
          <w:lang w:val="es-ES"/>
        </w:rPr>
      </w:pPr>
    </w:p>
    <w:p w14:paraId="04107A0B" w14:textId="77777777" w:rsidR="0084201B" w:rsidRDefault="0084201B" w:rsidP="003F60FB">
      <w:pPr>
        <w:spacing w:after="0" w:line="240" w:lineRule="auto"/>
        <w:rPr>
          <w:rFonts w:ascii="Verdana" w:eastAsia="Geomanist Light" w:hAnsi="Verdana" w:cs="Arial"/>
          <w:color w:val="000000" w:themeColor="text1"/>
          <w:lang w:val="es-ES"/>
        </w:rPr>
      </w:pPr>
    </w:p>
    <w:p w14:paraId="72142C8C" w14:textId="77777777" w:rsidR="0084201B" w:rsidRDefault="0084201B" w:rsidP="003F60FB">
      <w:pPr>
        <w:spacing w:after="0" w:line="240" w:lineRule="auto"/>
        <w:rPr>
          <w:rFonts w:ascii="Verdana" w:eastAsia="Geomanist Light" w:hAnsi="Verdana" w:cs="Arial"/>
          <w:color w:val="000000" w:themeColor="text1"/>
          <w:lang w:val="es-ES"/>
        </w:rPr>
      </w:pPr>
    </w:p>
    <w:p w14:paraId="4BA2D67E" w14:textId="77777777" w:rsidR="0084201B" w:rsidRDefault="0084201B" w:rsidP="003F60FB">
      <w:pPr>
        <w:spacing w:after="0" w:line="240" w:lineRule="auto"/>
        <w:rPr>
          <w:rFonts w:ascii="Verdana" w:eastAsia="Geomanist Light" w:hAnsi="Verdana" w:cs="Arial"/>
          <w:color w:val="000000" w:themeColor="text1"/>
          <w:lang w:val="es-ES"/>
        </w:rPr>
      </w:pPr>
    </w:p>
    <w:p w14:paraId="7219D8A0" w14:textId="77777777" w:rsidR="0084201B" w:rsidRDefault="0084201B" w:rsidP="003F60FB">
      <w:pPr>
        <w:spacing w:after="0" w:line="240" w:lineRule="auto"/>
        <w:rPr>
          <w:rFonts w:ascii="Verdana" w:eastAsia="Geomanist Light" w:hAnsi="Verdana" w:cs="Arial"/>
          <w:color w:val="000000" w:themeColor="text1"/>
          <w:lang w:val="es-ES"/>
        </w:rPr>
      </w:pPr>
    </w:p>
    <w:p w14:paraId="446754B8" w14:textId="77777777" w:rsidR="0084201B" w:rsidRDefault="0084201B" w:rsidP="003F60FB">
      <w:pPr>
        <w:spacing w:after="0" w:line="240" w:lineRule="auto"/>
        <w:rPr>
          <w:rFonts w:ascii="Verdana" w:eastAsia="Geomanist Light" w:hAnsi="Verdana" w:cs="Arial"/>
          <w:color w:val="000000" w:themeColor="text1"/>
          <w:lang w:val="es-ES"/>
        </w:rPr>
      </w:pPr>
    </w:p>
    <w:p w14:paraId="211D711B" w14:textId="77777777" w:rsidR="0084201B" w:rsidRDefault="0084201B" w:rsidP="003F60FB">
      <w:pPr>
        <w:spacing w:after="0" w:line="240" w:lineRule="auto"/>
        <w:rPr>
          <w:rFonts w:ascii="Verdana" w:eastAsia="Geomanist Light" w:hAnsi="Verdana" w:cs="Arial"/>
          <w:color w:val="000000" w:themeColor="text1"/>
          <w:lang w:val="es-ES"/>
        </w:rPr>
      </w:pPr>
    </w:p>
    <w:p w14:paraId="78E3B4BF" w14:textId="77777777" w:rsidR="0084201B" w:rsidRDefault="0084201B" w:rsidP="003F60FB">
      <w:pPr>
        <w:spacing w:after="0" w:line="240" w:lineRule="auto"/>
        <w:rPr>
          <w:rFonts w:ascii="Verdana" w:eastAsia="Geomanist Light" w:hAnsi="Verdana" w:cs="Arial"/>
          <w:color w:val="000000" w:themeColor="text1"/>
          <w:lang w:val="es-ES"/>
        </w:rPr>
      </w:pPr>
    </w:p>
    <w:p w14:paraId="7A602B5D" w14:textId="77777777" w:rsidR="0084201B" w:rsidRDefault="0084201B" w:rsidP="003F60FB">
      <w:pPr>
        <w:spacing w:after="0" w:line="240" w:lineRule="auto"/>
        <w:rPr>
          <w:rFonts w:ascii="Verdana" w:eastAsia="Geomanist Light" w:hAnsi="Verdana" w:cs="Arial"/>
          <w:color w:val="000000" w:themeColor="text1"/>
          <w:lang w:val="es-ES"/>
        </w:rPr>
      </w:pPr>
    </w:p>
    <w:p w14:paraId="1D2977EC" w14:textId="77777777" w:rsidR="0084201B" w:rsidRDefault="0084201B" w:rsidP="003F60FB">
      <w:pPr>
        <w:spacing w:after="0" w:line="240" w:lineRule="auto"/>
        <w:rPr>
          <w:rFonts w:ascii="Verdana" w:eastAsia="Geomanist Light" w:hAnsi="Verdana" w:cs="Arial"/>
          <w:color w:val="000000" w:themeColor="text1"/>
          <w:lang w:val="es-ES"/>
        </w:rPr>
      </w:pPr>
    </w:p>
    <w:p w14:paraId="6AED549B" w14:textId="77777777" w:rsidR="0084201B" w:rsidRDefault="0084201B" w:rsidP="003F60FB">
      <w:pPr>
        <w:spacing w:after="0" w:line="240" w:lineRule="auto"/>
        <w:rPr>
          <w:rFonts w:ascii="Verdana" w:eastAsia="Geomanist Light" w:hAnsi="Verdana" w:cs="Arial"/>
          <w:color w:val="000000" w:themeColor="text1"/>
          <w:lang w:val="es-ES"/>
        </w:rPr>
      </w:pPr>
    </w:p>
    <w:p w14:paraId="2A4152D0" w14:textId="77777777" w:rsidR="0084201B" w:rsidRPr="0084201B" w:rsidRDefault="0084201B" w:rsidP="003F60FB">
      <w:pPr>
        <w:spacing w:after="0" w:line="240" w:lineRule="auto"/>
        <w:rPr>
          <w:rFonts w:ascii="Verdana" w:eastAsia="Geomanist Light" w:hAnsi="Verdana" w:cs="Arial"/>
          <w:color w:val="000000" w:themeColor="text1"/>
          <w:lang w:val="es-ES"/>
        </w:rPr>
      </w:pPr>
    </w:p>
    <w:p w14:paraId="28327760" w14:textId="77777777" w:rsidR="0084201B" w:rsidRDefault="0084201B" w:rsidP="003F60FB">
      <w:pPr>
        <w:spacing w:after="0" w:line="240" w:lineRule="auto"/>
        <w:rPr>
          <w:rFonts w:ascii="Verdana" w:eastAsia="Geomanist Light" w:hAnsi="Verdana" w:cs="Arial"/>
          <w:color w:val="000000" w:themeColor="text1"/>
          <w:lang w:val="es-MX"/>
        </w:rPr>
      </w:pPr>
    </w:p>
    <w:p w14:paraId="6BBC05A6" w14:textId="49E31892" w:rsidR="003F60FB" w:rsidRPr="00593A5F" w:rsidRDefault="003F60FB" w:rsidP="003F60FB">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FD22B8" w:rsidRPr="00FD22B8">
        <w:rPr>
          <w:rFonts w:ascii="Verdana" w:eastAsia="Geomanist Light" w:hAnsi="Verdana" w:cs="Arial"/>
          <w:color w:val="000000" w:themeColor="text1"/>
          <w:lang w:val="es-MX"/>
        </w:rPr>
        <w:t>25 de Junio de 2025</w:t>
      </w:r>
    </w:p>
    <w:p w14:paraId="2731B45B" w14:textId="77777777" w:rsidR="003F60FB" w:rsidRDefault="003F60FB" w:rsidP="003F60FB">
      <w:pPr>
        <w:spacing w:after="0" w:line="240" w:lineRule="auto"/>
        <w:jc w:val="both"/>
        <w:rPr>
          <w:rFonts w:ascii="Verdana" w:eastAsia="Calibri" w:hAnsi="Verdana" w:cs="Arial"/>
          <w:color w:val="000000"/>
          <w:lang w:val="es-ES"/>
        </w:rPr>
      </w:pPr>
    </w:p>
    <w:p w14:paraId="38E0D50F" w14:textId="635E6A7D" w:rsidR="003F60FB" w:rsidRDefault="009F44A3" w:rsidP="009F44A3">
      <w:pPr>
        <w:spacing w:after="0" w:line="240" w:lineRule="auto"/>
        <w:jc w:val="right"/>
        <w:rPr>
          <w:rFonts w:ascii="Verdana" w:eastAsia="Calibri" w:hAnsi="Verdana" w:cs="Arial"/>
          <w:color w:val="000000"/>
          <w:lang w:val="es-ES"/>
        </w:rPr>
      </w:pPr>
      <w:r w:rsidRPr="009F44A3">
        <w:rPr>
          <w:rFonts w:ascii="Verdana" w:eastAsia="Calibri" w:hAnsi="Verdana" w:cs="Arial"/>
          <w:color w:val="000000"/>
          <w:lang w:val="es-ES"/>
        </w:rPr>
        <w:drawing>
          <wp:inline distT="0" distB="0" distL="0" distR="0" wp14:anchorId="38282E8D" wp14:editId="788EBBB3">
            <wp:extent cx="2400300" cy="622300"/>
            <wp:effectExtent l="0" t="0" r="0" b="0"/>
            <wp:docPr id="917359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59599" name=""/>
                    <pic:cNvPicPr/>
                  </pic:nvPicPr>
                  <pic:blipFill>
                    <a:blip r:embed="rId10"/>
                    <a:stretch>
                      <a:fillRect/>
                    </a:stretch>
                  </pic:blipFill>
                  <pic:spPr>
                    <a:xfrm>
                      <a:off x="0" y="0"/>
                      <a:ext cx="2400300" cy="622300"/>
                    </a:xfrm>
                    <a:prstGeom prst="rect">
                      <a:avLst/>
                    </a:prstGeom>
                  </pic:spPr>
                </pic:pic>
              </a:graphicData>
            </a:graphic>
          </wp:inline>
        </w:drawing>
      </w:r>
    </w:p>
    <w:p w14:paraId="44CFBB89" w14:textId="77777777" w:rsidR="00FD22B8" w:rsidRPr="00593A5F" w:rsidRDefault="00FD22B8" w:rsidP="003F60FB">
      <w:pPr>
        <w:spacing w:after="0" w:line="240" w:lineRule="auto"/>
        <w:jc w:val="both"/>
        <w:rPr>
          <w:rFonts w:ascii="Verdana" w:eastAsia="Calibri" w:hAnsi="Verdana" w:cs="Arial"/>
          <w:color w:val="000000"/>
          <w:lang w:val="es-ES"/>
        </w:rPr>
      </w:pPr>
    </w:p>
    <w:p w14:paraId="245A7DA9" w14:textId="77777777" w:rsidR="003F60FB" w:rsidRPr="00B96799" w:rsidRDefault="003F60FB" w:rsidP="003F60FB">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E9394BC" w14:textId="77777777" w:rsidR="003F60FB" w:rsidRPr="0085423D" w:rsidRDefault="003F60FB" w:rsidP="003F60FB">
      <w:pPr>
        <w:spacing w:after="0" w:line="240" w:lineRule="auto"/>
        <w:rPr>
          <w:rFonts w:ascii="Verdana" w:eastAsia="Calibri" w:hAnsi="Verdana" w:cs="Arial"/>
          <w:b/>
          <w:lang w:val="es-ES" w:eastAsia="es-ES"/>
        </w:rPr>
      </w:pPr>
      <w:proofErr w:type="spellStart"/>
      <w:r w:rsidRPr="65748710">
        <w:rPr>
          <w:rFonts w:ascii="Verdana" w:eastAsia="Calibri" w:hAnsi="Verdana" w:cs="Arial"/>
          <w:b/>
          <w:lang w:val="es-ES" w:eastAsia="es-ES"/>
        </w:rPr>
        <w:t>Jhofert</w:t>
      </w:r>
      <w:proofErr w:type="spellEnd"/>
      <w:r w:rsidRPr="65748710">
        <w:rPr>
          <w:rFonts w:ascii="Verdana" w:eastAsia="Calibri" w:hAnsi="Verdana" w:cs="Arial"/>
          <w:b/>
          <w:lang w:val="es-ES" w:eastAsia="es-ES"/>
        </w:rPr>
        <w:t xml:space="preserve"> Orlando Ruiz Acosta </w:t>
      </w:r>
    </w:p>
    <w:p w14:paraId="3EBDD00E" w14:textId="77777777" w:rsidR="003F60FB" w:rsidRPr="00B131FF" w:rsidRDefault="003F60FB" w:rsidP="003F60FB">
      <w:pPr>
        <w:spacing w:after="0" w:line="240" w:lineRule="auto"/>
        <w:rPr>
          <w:rFonts w:ascii="Verdana" w:eastAsia="Calibri" w:hAnsi="Verdana" w:cs="Arial"/>
          <w:lang w:val="es-ES" w:eastAsia="es-ES"/>
        </w:rPr>
      </w:pPr>
      <w:hyperlink r:id="rId11" w:history="1">
        <w:r w:rsidRPr="00343AEA">
          <w:rPr>
            <w:rStyle w:val="Hipervnculo"/>
            <w:rFonts w:ascii="Verdana" w:hAnsi="Verdana"/>
          </w:rPr>
          <w:t>mepjbogota@cendoj.ramajudicial.gov.co</w:t>
        </w:r>
      </w:hyperlink>
      <w:r>
        <w:rPr>
          <w:rFonts w:ascii="Verdana" w:hAnsi="Verdana"/>
        </w:rPr>
        <w:t xml:space="preserve"> </w:t>
      </w:r>
      <w:r w:rsidRPr="00B131FF">
        <w:rPr>
          <w:rFonts w:ascii="Verdana" w:hAnsi="Verdana"/>
        </w:rPr>
        <w:t xml:space="preserve">         </w:t>
      </w:r>
      <w:r w:rsidRPr="00B131FF">
        <w:rPr>
          <w:rFonts w:ascii="Verdana" w:eastAsia="Calibri" w:hAnsi="Verdana" w:cs="Arial"/>
          <w:lang w:val="es-ES" w:eastAsia="es-ES"/>
        </w:rPr>
        <w:t xml:space="preserve">    </w:t>
      </w:r>
    </w:p>
    <w:p w14:paraId="12E3882C" w14:textId="77777777" w:rsidR="003F60FB" w:rsidRDefault="003F60FB" w:rsidP="003F60FB">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DEBC6B8" w14:textId="77777777" w:rsidR="003F60FB" w:rsidRPr="00593A5F" w:rsidRDefault="003F60FB" w:rsidP="003F60FB">
      <w:pPr>
        <w:spacing w:after="0" w:line="240" w:lineRule="auto"/>
        <w:rPr>
          <w:rFonts w:ascii="Verdana" w:eastAsia="Calibri" w:hAnsi="Verdana" w:cs="Arial"/>
          <w:b/>
          <w:bCs/>
          <w:color w:val="000000"/>
          <w:lang w:val="es-ES_tradnl" w:eastAsia="es-ES_tradnl"/>
        </w:rPr>
      </w:pPr>
    </w:p>
    <w:p w14:paraId="1933464E" w14:textId="77777777" w:rsidR="003F60FB" w:rsidRPr="00593A5F" w:rsidRDefault="003F60FB" w:rsidP="003F60F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F60FB" w:rsidRPr="00593A5F" w14:paraId="642E81DD" w14:textId="77777777" w:rsidTr="000C146B">
        <w:trPr>
          <w:trHeight w:val="884"/>
        </w:trPr>
        <w:tc>
          <w:tcPr>
            <w:tcW w:w="2689" w:type="dxa"/>
          </w:tcPr>
          <w:p w14:paraId="5F1CE06C" w14:textId="77777777" w:rsidR="003F60FB" w:rsidRPr="00C00976" w:rsidRDefault="003F60FB" w:rsidP="000C146B">
            <w:pPr>
              <w:jc w:val="both"/>
              <w:rPr>
                <w:rFonts w:ascii="Verdana" w:eastAsia="Calibri" w:hAnsi="Verdana" w:cs="Arial"/>
                <w:b/>
                <w:bCs/>
                <w:color w:val="7030A0"/>
                <w:lang w:val="es-ES_tradnl" w:eastAsia="es-ES_tradnl"/>
              </w:rPr>
            </w:pPr>
          </w:p>
        </w:tc>
        <w:tc>
          <w:tcPr>
            <w:tcW w:w="6100" w:type="dxa"/>
          </w:tcPr>
          <w:p w14:paraId="71DA7103" w14:textId="5B618BB3" w:rsidR="003F60FB" w:rsidRPr="00C00976" w:rsidRDefault="003F60FB" w:rsidP="000C146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3228EC">
              <w:rPr>
                <w:rFonts w:ascii="Verdana" w:eastAsia="Calibri" w:hAnsi="Verdana" w:cs="Arial"/>
                <w:b/>
                <w:bCs/>
                <w:lang w:val="es-ES" w:eastAsia="es-ES"/>
              </w:rPr>
              <w:t>788</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F60FB" w:rsidRPr="00593A5F" w14:paraId="61FAE3AD" w14:textId="77777777" w:rsidTr="000C146B">
        <w:trPr>
          <w:trHeight w:val="884"/>
        </w:trPr>
        <w:tc>
          <w:tcPr>
            <w:tcW w:w="2689" w:type="dxa"/>
          </w:tcPr>
          <w:p w14:paraId="6738EC33" w14:textId="77777777" w:rsidR="003F60FB" w:rsidRPr="00593A5F" w:rsidRDefault="003F60FB" w:rsidP="000C146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DCA5678" w14:textId="77777777" w:rsidR="003F60FB" w:rsidRPr="00A11406" w:rsidRDefault="003F60FB" w:rsidP="000C146B">
            <w:pPr>
              <w:spacing w:line="276" w:lineRule="auto"/>
              <w:jc w:val="both"/>
              <w:rPr>
                <w:rFonts w:ascii="Verdana" w:eastAsia="Calibri" w:hAnsi="Verdana" w:cs="Arial"/>
                <w:lang w:val="es-ES" w:eastAsia="es-ES"/>
              </w:rPr>
            </w:pPr>
            <w:r w:rsidRPr="00B53D4E">
              <w:rPr>
                <w:rFonts w:ascii="Verdana" w:eastAsia="Calibri" w:hAnsi="Verdana" w:cs="Arial"/>
                <w:lang w:val="es-ES" w:eastAsia="es-ES"/>
              </w:rPr>
              <w:t>CONCURSO DE ARQUITECTURA – Aplicación – Actividades</w:t>
            </w:r>
            <w:r>
              <w:rPr>
                <w:rFonts w:ascii="Verdana" w:eastAsia="Calibri" w:hAnsi="Verdana" w:cs="Arial"/>
                <w:lang w:val="es-ES" w:eastAsia="es-ES"/>
              </w:rPr>
              <w:t xml:space="preserve"> / </w:t>
            </w:r>
            <w:r w:rsidRPr="00B53D4E">
              <w:rPr>
                <w:rFonts w:ascii="Verdana" w:eastAsia="Calibri" w:hAnsi="Verdana" w:cs="Arial"/>
                <w:lang w:val="es-ES" w:eastAsia="es-ES"/>
              </w:rPr>
              <w:t>CONCURSO DE ARQUITECTURA – Procedimiento</w:t>
            </w:r>
            <w:r>
              <w:rPr>
                <w:rFonts w:ascii="Verdana" w:eastAsia="Calibri" w:hAnsi="Verdana" w:cs="Arial"/>
                <w:lang w:val="es-ES" w:eastAsia="es-ES"/>
              </w:rPr>
              <w:t xml:space="preserve"> / </w:t>
            </w:r>
            <w:r w:rsidRPr="00B53D4E">
              <w:rPr>
                <w:rFonts w:ascii="Verdana" w:eastAsia="Calibri" w:hAnsi="Verdana" w:cs="Arial"/>
                <w:lang w:val="es-ES" w:eastAsia="es-ES"/>
              </w:rPr>
              <w:t>EJERCICIO DE LA ARQUITECTURA – Actividad profesional - Diferencias – Ejercicio de la ingeniería</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663E953" w14:textId="77777777" w:rsidR="003F60FB" w:rsidRPr="00593A5F" w:rsidRDefault="003F60FB" w:rsidP="000C146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F60FB" w:rsidRPr="008E6AD9" w14:paraId="3C2107F2" w14:textId="77777777" w:rsidTr="000C146B">
        <w:tc>
          <w:tcPr>
            <w:tcW w:w="2689" w:type="dxa"/>
          </w:tcPr>
          <w:p w14:paraId="70FD4B79" w14:textId="77777777" w:rsidR="003F60FB" w:rsidRPr="008E6AD9" w:rsidRDefault="003F60FB" w:rsidP="000C146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04542D0" w14:textId="77777777" w:rsidR="003F60FB" w:rsidRPr="00B92340" w:rsidRDefault="003F60FB" w:rsidP="000C146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las </w:t>
            </w:r>
            <w:r w:rsidRPr="008E6AD9">
              <w:rPr>
                <w:rFonts w:ascii="Verdana" w:eastAsia="Calibri" w:hAnsi="Verdana" w:cs="Arial"/>
                <w:lang w:val="es-ES_tradnl" w:eastAsia="es-ES_tradnl"/>
              </w:rPr>
              <w:t>consulta</w:t>
            </w:r>
            <w:r>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 No.</w:t>
            </w:r>
            <w:r>
              <w:rPr>
                <w:rFonts w:ascii="Verdana" w:eastAsia="Calibri" w:hAnsi="Verdana" w:cs="Arial"/>
                <w:lang w:val="es-ES_tradnl" w:eastAsia="es-ES_tradnl"/>
              </w:rPr>
              <w:t xml:space="preserve"> </w:t>
            </w:r>
            <w:r w:rsidRPr="00432428">
              <w:rPr>
                <w:rFonts w:ascii="Verdana" w:eastAsia="Calibri" w:hAnsi="Verdana" w:cs="Arial"/>
                <w:lang w:val="es-ES_tradnl" w:eastAsia="es-ES_tradnl"/>
              </w:rPr>
              <w:t>1</w:t>
            </w:r>
            <w:r>
              <w:rPr>
                <w:rFonts w:ascii="Verdana" w:eastAsia="Calibri" w:hAnsi="Verdana" w:cs="Arial"/>
                <w:lang w:val="es-ES_tradnl" w:eastAsia="es-ES_tradnl"/>
              </w:rPr>
              <w:t>-</w:t>
            </w:r>
            <w:r w:rsidRPr="00432428">
              <w:rPr>
                <w:rFonts w:ascii="Verdana" w:eastAsia="Calibri" w:hAnsi="Verdana" w:cs="Arial"/>
                <w:lang w:val="es-ES_tradnl" w:eastAsia="es-ES_tradnl"/>
              </w:rPr>
              <w:t>2025</w:t>
            </w:r>
            <w:r>
              <w:rPr>
                <w:rFonts w:ascii="Verdana" w:eastAsia="Calibri" w:hAnsi="Verdana" w:cs="Arial"/>
                <w:lang w:val="es-ES_tradnl" w:eastAsia="es-ES_tradnl"/>
              </w:rPr>
              <w:t>-</w:t>
            </w:r>
            <w:r w:rsidRPr="00432428">
              <w:rPr>
                <w:rFonts w:ascii="Verdana" w:eastAsia="Calibri" w:hAnsi="Verdana" w:cs="Arial"/>
                <w:lang w:val="es-ES_tradnl" w:eastAsia="es-ES_tradnl"/>
              </w:rPr>
              <w:t>06</w:t>
            </w:r>
            <w:r>
              <w:rPr>
                <w:rFonts w:ascii="Verdana" w:eastAsia="Calibri" w:hAnsi="Verdana" w:cs="Arial"/>
                <w:lang w:val="es-ES_tradnl" w:eastAsia="es-ES_tradnl"/>
              </w:rPr>
              <w:t>-</w:t>
            </w:r>
            <w:r w:rsidRPr="00432428">
              <w:rPr>
                <w:rFonts w:ascii="Verdana" w:eastAsia="Calibri" w:hAnsi="Verdana" w:cs="Arial"/>
                <w:lang w:val="es-ES_tradnl" w:eastAsia="es-ES_tradnl"/>
              </w:rPr>
              <w:t>18</w:t>
            </w:r>
            <w:r>
              <w:rPr>
                <w:rFonts w:ascii="Verdana" w:eastAsia="Calibri" w:hAnsi="Verdana" w:cs="Arial"/>
                <w:lang w:val="es-ES_tradnl" w:eastAsia="es-ES_tradnl"/>
              </w:rPr>
              <w:t>-</w:t>
            </w:r>
            <w:r w:rsidRPr="00432428">
              <w:rPr>
                <w:rFonts w:ascii="Verdana" w:eastAsia="Calibri" w:hAnsi="Verdana" w:cs="Arial"/>
                <w:lang w:val="es-ES_tradnl" w:eastAsia="es-ES_tradnl"/>
              </w:rPr>
              <w:t xml:space="preserve">006104 </w:t>
            </w:r>
            <w:r>
              <w:rPr>
                <w:rFonts w:ascii="Verdana" w:eastAsia="Calibri" w:hAnsi="Verdana" w:cs="Arial"/>
                <w:lang w:val="es-ES_tradnl" w:eastAsia="es-ES_tradnl"/>
              </w:rPr>
              <w:t>y</w:t>
            </w:r>
            <w:r w:rsidRPr="00432428">
              <w:rPr>
                <w:rFonts w:ascii="Verdana" w:eastAsia="Calibri" w:hAnsi="Verdana" w:cs="Arial"/>
                <w:lang w:val="es-ES_tradnl" w:eastAsia="es-ES_tradnl"/>
              </w:rPr>
              <w:t xml:space="preserve"> 1</w:t>
            </w:r>
            <w:r>
              <w:rPr>
                <w:rFonts w:ascii="Verdana" w:eastAsia="Calibri" w:hAnsi="Verdana" w:cs="Arial"/>
                <w:lang w:val="es-ES_tradnl" w:eastAsia="es-ES_tradnl"/>
              </w:rPr>
              <w:t>-</w:t>
            </w:r>
            <w:r w:rsidRPr="00432428">
              <w:rPr>
                <w:rFonts w:ascii="Verdana" w:eastAsia="Calibri" w:hAnsi="Verdana" w:cs="Arial"/>
                <w:lang w:val="es-ES_tradnl" w:eastAsia="es-ES_tradnl"/>
              </w:rPr>
              <w:t>2025</w:t>
            </w:r>
            <w:r>
              <w:rPr>
                <w:rFonts w:ascii="Verdana" w:eastAsia="Calibri" w:hAnsi="Verdana" w:cs="Arial"/>
                <w:lang w:val="es-ES_tradnl" w:eastAsia="es-ES_tradnl"/>
              </w:rPr>
              <w:t>-</w:t>
            </w:r>
            <w:r w:rsidRPr="00432428">
              <w:rPr>
                <w:rFonts w:ascii="Verdana" w:eastAsia="Calibri" w:hAnsi="Verdana" w:cs="Arial"/>
                <w:lang w:val="es-ES_tradnl" w:eastAsia="es-ES_tradnl"/>
              </w:rPr>
              <w:t>06</w:t>
            </w:r>
            <w:r>
              <w:rPr>
                <w:rFonts w:ascii="Verdana" w:eastAsia="Calibri" w:hAnsi="Verdana" w:cs="Arial"/>
                <w:lang w:val="es-ES_tradnl" w:eastAsia="es-ES_tradnl"/>
              </w:rPr>
              <w:t>-</w:t>
            </w:r>
            <w:r w:rsidRPr="00432428">
              <w:rPr>
                <w:rFonts w:ascii="Verdana" w:eastAsia="Calibri" w:hAnsi="Verdana" w:cs="Arial"/>
                <w:lang w:val="es-ES_tradnl" w:eastAsia="es-ES_tradnl"/>
              </w:rPr>
              <w:t>19</w:t>
            </w:r>
            <w:r>
              <w:rPr>
                <w:rFonts w:ascii="Verdana" w:eastAsia="Calibri" w:hAnsi="Verdana" w:cs="Arial"/>
                <w:lang w:val="es-ES_tradnl" w:eastAsia="es-ES_tradnl"/>
              </w:rPr>
              <w:t>-</w:t>
            </w:r>
            <w:r w:rsidRPr="00432428">
              <w:rPr>
                <w:rFonts w:ascii="Verdana" w:eastAsia="Calibri" w:hAnsi="Verdana" w:cs="Arial"/>
                <w:lang w:val="es-ES_tradnl" w:eastAsia="es-ES_tradnl"/>
              </w:rPr>
              <w:t>006140</w:t>
            </w:r>
            <w:r w:rsidRPr="0085423D">
              <w:rPr>
                <w:rFonts w:ascii="Verdana" w:eastAsia="Calibri" w:hAnsi="Verdana" w:cs="Arial"/>
                <w:lang w:val="es-ES_tradnl" w:eastAsia="es-ES_tradnl"/>
              </w:rPr>
              <w:t xml:space="preserve"> </w:t>
            </w:r>
            <w:r>
              <w:rPr>
                <w:rFonts w:ascii="Verdana" w:eastAsia="Calibri" w:hAnsi="Verdana" w:cs="Arial"/>
                <w:lang w:val="es-ES_tradnl" w:eastAsia="es-ES_tradnl"/>
              </w:rPr>
              <w:t>–Acumuladas–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A3A9558" w14:textId="77777777" w:rsidR="003F60FB" w:rsidRPr="00593A5F" w:rsidRDefault="003F60FB" w:rsidP="003F60FB">
      <w:pPr>
        <w:spacing w:after="0" w:line="240" w:lineRule="auto"/>
        <w:jc w:val="both"/>
        <w:rPr>
          <w:rFonts w:ascii="Verdana" w:eastAsia="Calibri" w:hAnsi="Verdana" w:cs="Arial"/>
          <w:color w:val="000000"/>
          <w:lang w:val="es-ES_tradnl" w:eastAsia="es-ES_tradnl"/>
        </w:rPr>
      </w:pPr>
    </w:p>
    <w:p w14:paraId="14804749" w14:textId="77777777" w:rsidR="003F60FB" w:rsidRPr="00593A5F" w:rsidRDefault="003F60FB" w:rsidP="003F60FB">
      <w:pPr>
        <w:spacing w:after="0" w:line="240" w:lineRule="auto"/>
        <w:jc w:val="both"/>
        <w:rPr>
          <w:rFonts w:ascii="Verdana" w:eastAsia="Calibri" w:hAnsi="Verdana" w:cs="Arial"/>
          <w:color w:val="000000"/>
          <w:lang w:val="es-ES_tradnl" w:eastAsia="es-ES_tradnl"/>
        </w:rPr>
      </w:pPr>
    </w:p>
    <w:p w14:paraId="183B67BB" w14:textId="77777777" w:rsidR="003F60FB" w:rsidRPr="008E6AD9" w:rsidRDefault="003F60FB" w:rsidP="003F60F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336D31">
        <w:rPr>
          <w:rFonts w:ascii="Verdana" w:eastAsia="Calibri" w:hAnsi="Verdana" w:cs="Arial"/>
          <w:lang w:val="es-ES" w:eastAsia="es-ES"/>
        </w:rPr>
        <w:t>Ruiz Acosta</w:t>
      </w:r>
      <w:r w:rsidRPr="008E6AD9">
        <w:rPr>
          <w:rFonts w:ascii="Verdana" w:eastAsia="Calibri" w:hAnsi="Verdana" w:cs="Arial"/>
          <w:lang w:val="es-ES" w:eastAsia="es-ES"/>
        </w:rPr>
        <w:t xml:space="preserve">: </w:t>
      </w:r>
    </w:p>
    <w:p w14:paraId="3A072ADB" w14:textId="77777777" w:rsidR="003F60FB" w:rsidRDefault="003F60FB" w:rsidP="003F60F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003D6B2" w14:textId="77777777" w:rsidR="003F60FB" w:rsidRPr="00593A5F" w:rsidRDefault="003F60FB" w:rsidP="003F60F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w:t>
      </w:r>
      <w:r>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18 y 19 de junio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w:t>
      </w:r>
      <w:r>
        <w:rPr>
          <w:rFonts w:ascii="Verdana" w:eastAsia="Calibri" w:hAnsi="Verdana" w:cs="Arial"/>
          <w:lang w:val="es-ES" w:eastAsia="es-ES"/>
        </w:rPr>
        <w:t>s</w:t>
      </w:r>
      <w:r w:rsidRPr="008E6AD9">
        <w:rPr>
          <w:rFonts w:ascii="Verdana" w:eastAsia="Calibri" w:hAnsi="Verdana" w:cs="Arial"/>
          <w:lang w:val="es-ES" w:eastAsia="es-ES"/>
        </w:rPr>
        <w:t xml:space="preserve"> cua</w:t>
      </w:r>
      <w:r>
        <w:rPr>
          <w:rFonts w:ascii="Verdana" w:eastAsia="Calibri" w:hAnsi="Verdana" w:cs="Arial"/>
          <w:lang w:val="es-ES" w:eastAsia="es-ES"/>
        </w:rPr>
        <w:t>les –respecto a lo explicado por la Subdirección de Gestión Contractual en los Conceptos C-689 y C-699 del 10 de junio de 2025– manifiesta que</w:t>
      </w:r>
      <w:r w:rsidRPr="008E6AD9">
        <w:rPr>
          <w:rFonts w:ascii="Verdana" w:eastAsia="Calibri" w:hAnsi="Verdana" w:cs="Arial"/>
          <w:lang w:val="es-ES" w:eastAsia="es-ES"/>
        </w:rPr>
        <w:t xml:space="preserve">: </w:t>
      </w:r>
    </w:p>
    <w:p w14:paraId="6E503AE9" w14:textId="77777777" w:rsidR="003F60FB" w:rsidRPr="00272A7B" w:rsidRDefault="003F60FB" w:rsidP="003F60FB">
      <w:pPr>
        <w:pStyle w:val="Prrafodelista"/>
        <w:tabs>
          <w:tab w:val="left" w:pos="142"/>
          <w:tab w:val="left" w:pos="284"/>
        </w:tabs>
        <w:spacing w:after="0" w:line="276" w:lineRule="auto"/>
        <w:ind w:left="0"/>
        <w:jc w:val="both"/>
        <w:rPr>
          <w:rFonts w:ascii="Verdana" w:eastAsia="Century Gothic" w:hAnsi="Verdana" w:cs="Century Gothic"/>
          <w:b/>
          <w:bCs/>
        </w:rPr>
      </w:pPr>
    </w:p>
    <w:p w14:paraId="16F0EB17" w14:textId="77777777" w:rsidR="003F60FB" w:rsidRDefault="003F60FB" w:rsidP="003F60FB">
      <w:pPr>
        <w:spacing w:after="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432428">
        <w:rPr>
          <w:rFonts w:ascii="Verdana" w:eastAsia="Century Gothic" w:hAnsi="Verdana" w:cs="Century Gothic"/>
          <w:sz w:val="21"/>
          <w:szCs w:val="21"/>
          <w:lang w:val="es-ES"/>
        </w:rPr>
        <w:t>Si bien se concluye que el aval de un profesional de la ingeniería no es exigible en los</w:t>
      </w:r>
      <w:r>
        <w:rPr>
          <w:rFonts w:ascii="Verdana" w:eastAsia="Century Gothic" w:hAnsi="Verdana" w:cs="Century Gothic"/>
          <w:sz w:val="21"/>
          <w:szCs w:val="21"/>
          <w:lang w:val="es-ES"/>
        </w:rPr>
        <w:t xml:space="preserve"> </w:t>
      </w:r>
      <w:r w:rsidRPr="00432428">
        <w:rPr>
          <w:rFonts w:ascii="Verdana" w:eastAsia="Century Gothic" w:hAnsi="Verdana" w:cs="Century Gothic"/>
          <w:sz w:val="21"/>
          <w:szCs w:val="21"/>
          <w:lang w:val="es-ES"/>
        </w:rPr>
        <w:t xml:space="preserve">concursos de arquitectura en modalidad de anteproyecto, </w:t>
      </w:r>
      <w:r w:rsidRPr="00432428">
        <w:rPr>
          <w:rFonts w:ascii="Verdana" w:eastAsia="Century Gothic" w:hAnsi="Verdana" w:cs="Century Gothic"/>
          <w:i/>
          <w:iCs/>
          <w:sz w:val="21"/>
          <w:szCs w:val="21"/>
          <w:lang w:val="es-ES"/>
        </w:rPr>
        <w:t xml:space="preserve">es necesario precisar que los términos del proceso objeto de nuestra consulta no se limitan al desarrollo de un </w:t>
      </w:r>
      <w:r w:rsidRPr="00432428">
        <w:rPr>
          <w:rFonts w:ascii="Verdana" w:eastAsia="Century Gothic" w:hAnsi="Verdana" w:cs="Century Gothic"/>
          <w:i/>
          <w:iCs/>
          <w:sz w:val="21"/>
          <w:szCs w:val="21"/>
          <w:lang w:val="es-ES"/>
        </w:rPr>
        <w:lastRenderedPageBreak/>
        <w:t>anteproyecto conceptual, sino que incluyen expresamente entregables y responsabilidades técnicas que constituyen, por su naturaleza, ejercicio directo de la ingeniería</w:t>
      </w:r>
      <w:r w:rsidRPr="00432428">
        <w:rPr>
          <w:rFonts w:ascii="Verdana" w:eastAsia="Century Gothic" w:hAnsi="Verdana" w:cs="Century Gothic"/>
          <w:sz w:val="21"/>
          <w:szCs w:val="21"/>
          <w:lang w:val="es-ES"/>
        </w:rPr>
        <w:t>, tales como:</w:t>
      </w:r>
    </w:p>
    <w:p w14:paraId="3377A128" w14:textId="77777777" w:rsidR="003F60FB" w:rsidRDefault="003F60FB" w:rsidP="003F60FB">
      <w:pPr>
        <w:spacing w:after="0" w:line="240" w:lineRule="auto"/>
        <w:ind w:left="709" w:right="709"/>
        <w:jc w:val="both"/>
        <w:rPr>
          <w:rFonts w:ascii="Verdana" w:eastAsia="Century Gothic" w:hAnsi="Verdana" w:cs="Century Gothic"/>
          <w:sz w:val="21"/>
          <w:szCs w:val="21"/>
          <w:lang w:val="es-ES"/>
        </w:rPr>
      </w:pPr>
    </w:p>
    <w:p w14:paraId="0F6E402B" w14:textId="77777777" w:rsidR="003F60FB" w:rsidRPr="00432428" w:rsidRDefault="003F60FB" w:rsidP="003F60FB">
      <w:pPr>
        <w:spacing w:after="0" w:line="240" w:lineRule="auto"/>
        <w:ind w:left="709" w:right="709"/>
        <w:jc w:val="both"/>
        <w:rPr>
          <w:rFonts w:ascii="Verdana" w:eastAsia="Century Gothic" w:hAnsi="Verdana" w:cs="Century Gothic"/>
          <w:sz w:val="21"/>
          <w:szCs w:val="21"/>
        </w:rPr>
      </w:pPr>
      <w:r w:rsidRPr="65748710">
        <w:rPr>
          <w:rFonts w:ascii="Verdana" w:eastAsia="Century Gothic" w:hAnsi="Verdana" w:cs="Century Gothic"/>
          <w:b/>
          <w:sz w:val="21"/>
          <w:szCs w:val="21"/>
        </w:rPr>
        <w:t>.</w:t>
      </w:r>
      <w:r w:rsidRPr="65748710">
        <w:rPr>
          <w:rFonts w:ascii="Verdana" w:eastAsia="Century Gothic" w:hAnsi="Verdana" w:cs="Century Gothic"/>
          <w:sz w:val="21"/>
          <w:szCs w:val="21"/>
        </w:rPr>
        <w:t xml:space="preserve"> Coordinación de disciplinas técnicas (estructuras, redes hidráulicas, eléctricas, etc.)</w:t>
      </w:r>
    </w:p>
    <w:p w14:paraId="13A073C9" w14:textId="77777777" w:rsidR="003F60FB" w:rsidRPr="00432428" w:rsidRDefault="003F60FB" w:rsidP="003F60FB">
      <w:pPr>
        <w:spacing w:after="0" w:line="240" w:lineRule="auto"/>
        <w:ind w:left="709" w:right="709"/>
        <w:jc w:val="both"/>
        <w:rPr>
          <w:rFonts w:ascii="Verdana" w:eastAsia="Century Gothic" w:hAnsi="Verdana" w:cs="Century Gothic"/>
          <w:sz w:val="21"/>
          <w:szCs w:val="21"/>
        </w:rPr>
      </w:pPr>
      <w:r w:rsidRPr="65748710">
        <w:rPr>
          <w:rFonts w:ascii="Verdana" w:eastAsia="Century Gothic" w:hAnsi="Verdana" w:cs="Century Gothic"/>
          <w:b/>
          <w:sz w:val="21"/>
          <w:szCs w:val="21"/>
        </w:rPr>
        <w:t>.</w:t>
      </w:r>
      <w:r w:rsidRPr="65748710">
        <w:rPr>
          <w:rFonts w:ascii="Verdana" w:eastAsia="Century Gothic" w:hAnsi="Verdana" w:cs="Century Gothic"/>
          <w:sz w:val="21"/>
          <w:szCs w:val="21"/>
        </w:rPr>
        <w:t xml:space="preserve"> Especificaciones técnicas de sistemas especiales (seguridad, acústica, aire acondicionado)</w:t>
      </w:r>
    </w:p>
    <w:p w14:paraId="0D86A869" w14:textId="77777777" w:rsidR="003F60FB" w:rsidRPr="00432428" w:rsidRDefault="003F60FB" w:rsidP="003F60FB">
      <w:pPr>
        <w:spacing w:after="0" w:line="240" w:lineRule="auto"/>
        <w:ind w:left="709" w:right="709"/>
        <w:jc w:val="both"/>
        <w:rPr>
          <w:rFonts w:ascii="Verdana" w:eastAsia="Century Gothic" w:hAnsi="Verdana" w:cs="Century Gothic"/>
          <w:sz w:val="21"/>
          <w:szCs w:val="21"/>
        </w:rPr>
      </w:pPr>
      <w:r w:rsidRPr="65748710">
        <w:rPr>
          <w:rFonts w:ascii="Verdana" w:eastAsia="Century Gothic" w:hAnsi="Verdana" w:cs="Century Gothic"/>
          <w:b/>
          <w:sz w:val="21"/>
          <w:szCs w:val="21"/>
        </w:rPr>
        <w:t>.</w:t>
      </w:r>
      <w:r w:rsidRPr="65748710">
        <w:rPr>
          <w:rFonts w:ascii="Verdana" w:eastAsia="Century Gothic" w:hAnsi="Verdana" w:cs="Century Gothic"/>
          <w:sz w:val="21"/>
          <w:szCs w:val="21"/>
        </w:rPr>
        <w:t xml:space="preserve"> Estudio complementario de suelos, diseño y cálculo estructural</w:t>
      </w:r>
    </w:p>
    <w:p w14:paraId="01F77514" w14:textId="77777777" w:rsidR="003F60FB" w:rsidRPr="00432428" w:rsidRDefault="003F60FB" w:rsidP="003F60FB">
      <w:pPr>
        <w:spacing w:after="0" w:line="240" w:lineRule="auto"/>
        <w:ind w:left="709" w:right="709"/>
        <w:jc w:val="both"/>
        <w:rPr>
          <w:rFonts w:ascii="Verdana" w:eastAsia="Century Gothic" w:hAnsi="Verdana" w:cs="Century Gothic"/>
          <w:sz w:val="21"/>
          <w:szCs w:val="21"/>
        </w:rPr>
      </w:pPr>
      <w:r w:rsidRPr="65748710">
        <w:rPr>
          <w:rFonts w:ascii="Verdana" w:eastAsia="Century Gothic" w:hAnsi="Verdana" w:cs="Century Gothic"/>
          <w:b/>
          <w:sz w:val="21"/>
          <w:szCs w:val="21"/>
        </w:rPr>
        <w:t>.</w:t>
      </w:r>
      <w:r w:rsidRPr="65748710">
        <w:rPr>
          <w:rFonts w:ascii="Verdana" w:eastAsia="Century Gothic" w:hAnsi="Verdana" w:cs="Century Gothic"/>
          <w:sz w:val="21"/>
          <w:szCs w:val="21"/>
        </w:rPr>
        <w:t xml:space="preserve"> Coordinación e integración BIM</w:t>
      </w:r>
    </w:p>
    <w:p w14:paraId="0D5324D6" w14:textId="77777777" w:rsidR="003F60FB" w:rsidRDefault="003F60FB" w:rsidP="003F60FB">
      <w:pPr>
        <w:spacing w:after="0" w:line="240" w:lineRule="auto"/>
        <w:ind w:left="709" w:right="709"/>
        <w:jc w:val="both"/>
        <w:rPr>
          <w:rFonts w:ascii="Verdana" w:eastAsia="Century Gothic" w:hAnsi="Verdana" w:cs="Century Gothic"/>
          <w:sz w:val="21"/>
          <w:szCs w:val="21"/>
        </w:rPr>
      </w:pPr>
      <w:r w:rsidRPr="65748710">
        <w:rPr>
          <w:rFonts w:ascii="Verdana" w:eastAsia="Century Gothic" w:hAnsi="Verdana" w:cs="Century Gothic"/>
          <w:b/>
          <w:sz w:val="21"/>
          <w:szCs w:val="21"/>
        </w:rPr>
        <w:t>.</w:t>
      </w:r>
      <w:r w:rsidRPr="65748710">
        <w:rPr>
          <w:rFonts w:ascii="Verdana" w:eastAsia="Century Gothic" w:hAnsi="Verdana" w:cs="Century Gothic"/>
          <w:sz w:val="21"/>
          <w:szCs w:val="21"/>
        </w:rPr>
        <w:t xml:space="preserve"> Gerencia y administración de estudios técnicos interdisciplinarios</w:t>
      </w:r>
    </w:p>
    <w:p w14:paraId="49B8CB6F" w14:textId="77777777" w:rsidR="003F60FB" w:rsidRDefault="003F60FB" w:rsidP="003F60FB">
      <w:pPr>
        <w:spacing w:after="0" w:line="240" w:lineRule="auto"/>
        <w:ind w:left="709" w:right="709"/>
        <w:jc w:val="both"/>
        <w:rPr>
          <w:rFonts w:ascii="Verdana" w:eastAsia="Century Gothic" w:hAnsi="Verdana" w:cs="Century Gothic"/>
          <w:sz w:val="21"/>
          <w:szCs w:val="21"/>
          <w:lang w:val="es-ES"/>
        </w:rPr>
      </w:pPr>
    </w:p>
    <w:p w14:paraId="516139CE" w14:textId="77777777" w:rsidR="003F60FB" w:rsidRPr="00432428" w:rsidRDefault="003F60FB" w:rsidP="003F60FB">
      <w:pPr>
        <w:spacing w:after="120" w:line="240" w:lineRule="auto"/>
        <w:ind w:left="709" w:right="709"/>
        <w:jc w:val="both"/>
        <w:rPr>
          <w:rFonts w:ascii="Verdana" w:eastAsia="Century Gothic" w:hAnsi="Verdana" w:cs="Century Gothic"/>
          <w:sz w:val="21"/>
          <w:szCs w:val="21"/>
          <w:lang w:val="es-ES"/>
        </w:rPr>
      </w:pPr>
      <w:r w:rsidRPr="00432428">
        <w:rPr>
          <w:rFonts w:ascii="Verdana" w:eastAsia="Century Gothic" w:hAnsi="Verdana" w:cs="Century Gothic"/>
          <w:i/>
          <w:iCs/>
          <w:sz w:val="21"/>
          <w:szCs w:val="21"/>
          <w:lang w:val="es-ES"/>
        </w:rPr>
        <w:t>Estos elementos, integrados en la propuesta que se presenta al concurso, configuran de manera inequívoca un ejercicio conjunto e integral de arquitectura e ingeniería</w:t>
      </w:r>
      <w:r w:rsidRPr="00432428">
        <w:rPr>
          <w:rFonts w:ascii="Verdana" w:eastAsia="Century Gothic" w:hAnsi="Verdana" w:cs="Century Gothic"/>
          <w:sz w:val="21"/>
          <w:szCs w:val="21"/>
          <w:lang w:val="es-ES"/>
        </w:rPr>
        <w:t>, cuya ejecución sin el aval de un profesional debidamente matriculado podría dar lugar a la celebración de un contrato sin cumplimiento de los requisitos legales, en los términos del artículo 410 del Código Penal Colombiano.</w:t>
      </w:r>
    </w:p>
    <w:p w14:paraId="19F37240" w14:textId="77777777" w:rsidR="003F60FB" w:rsidRDefault="003F60FB" w:rsidP="003F60FB">
      <w:pPr>
        <w:spacing w:after="120" w:line="240" w:lineRule="auto"/>
        <w:ind w:left="709" w:right="709"/>
        <w:jc w:val="both"/>
        <w:rPr>
          <w:rFonts w:ascii="Verdana" w:eastAsia="Century Gothic" w:hAnsi="Verdana" w:cs="Century Gothic"/>
          <w:sz w:val="21"/>
          <w:szCs w:val="21"/>
          <w:lang w:val="es-ES"/>
        </w:rPr>
      </w:pPr>
      <w:r w:rsidRPr="00432428">
        <w:rPr>
          <w:rFonts w:ascii="Verdana" w:eastAsia="Century Gothic" w:hAnsi="Verdana" w:cs="Century Gothic"/>
          <w:sz w:val="21"/>
          <w:szCs w:val="21"/>
          <w:lang w:val="es-ES"/>
        </w:rPr>
        <w:t>Adicionalmente, se advierte que una interpretación limitada a la clasificación formal del</w:t>
      </w:r>
      <w:r>
        <w:rPr>
          <w:rFonts w:ascii="Verdana" w:eastAsia="Century Gothic" w:hAnsi="Verdana" w:cs="Century Gothic"/>
          <w:sz w:val="21"/>
          <w:szCs w:val="21"/>
          <w:lang w:val="es-ES"/>
        </w:rPr>
        <w:t xml:space="preserve"> </w:t>
      </w:r>
      <w:r w:rsidRPr="00432428">
        <w:rPr>
          <w:rFonts w:ascii="Verdana" w:eastAsia="Century Gothic" w:hAnsi="Verdana" w:cs="Century Gothic"/>
          <w:sz w:val="21"/>
          <w:szCs w:val="21"/>
          <w:lang w:val="es-ES"/>
        </w:rPr>
        <w:t>procedimiento (anteproyecto) desconoce el objeto contractual real, lo cual puede generar una afectación grave a los principios de legalidad, responsabilidad profesional e idoneidad técnica que rigen la contratación pública, máxime cuando los entregables son utilizados para efectos de ejecución posterior del proyecto arquitectónico.</w:t>
      </w:r>
    </w:p>
    <w:p w14:paraId="2B72AFA2" w14:textId="77777777" w:rsidR="003F60FB" w:rsidRPr="005B7798" w:rsidRDefault="003F60FB" w:rsidP="003F60FB">
      <w:pPr>
        <w:spacing w:after="0" w:line="240" w:lineRule="auto"/>
        <w:ind w:left="709" w:right="709"/>
        <w:jc w:val="both"/>
        <w:rPr>
          <w:rFonts w:ascii="Verdana" w:eastAsia="Century Gothic" w:hAnsi="Verdana" w:cs="Century Gothic"/>
          <w:sz w:val="21"/>
          <w:szCs w:val="21"/>
          <w:lang w:val="es-ES"/>
        </w:rPr>
      </w:pPr>
      <w:r w:rsidRPr="00432428">
        <w:rPr>
          <w:rFonts w:ascii="Verdana" w:eastAsia="Century Gothic" w:hAnsi="Verdana" w:cs="Century Gothic"/>
          <w:sz w:val="21"/>
          <w:szCs w:val="21"/>
          <w:lang w:val="es-ES"/>
        </w:rPr>
        <w:t xml:space="preserve">Por lo anterior, solicitamos de manera respetuosa que esa Agencia revise o amplíe el alcance del concepto emitido, a fin de establecer con claridad si, </w:t>
      </w:r>
      <w:r w:rsidRPr="001D603F">
        <w:rPr>
          <w:rFonts w:ascii="Verdana" w:eastAsia="Century Gothic" w:hAnsi="Verdana" w:cs="Century Gothic"/>
          <w:i/>
          <w:iCs/>
          <w:sz w:val="21"/>
          <w:szCs w:val="21"/>
          <w:lang w:val="es-ES"/>
        </w:rPr>
        <w:t>en los casos en que el concurso de arquitectura implique actividades propias del ejercicio de la ingeniería conforme a la Ley 842 de 2003, sí resulta exigible el aval de un profesional de la ingeniería</w:t>
      </w:r>
      <w:r w:rsidRPr="00432428">
        <w:rPr>
          <w:rFonts w:ascii="Verdana" w:eastAsia="Century Gothic" w:hAnsi="Verdana" w:cs="Century Gothic"/>
          <w:sz w:val="21"/>
          <w:szCs w:val="21"/>
          <w:lang w:val="es-ES"/>
        </w:rPr>
        <w:t xml:space="preserve">, aún en el marco de un procedimiento identificado formalmente como </w:t>
      </w:r>
      <w:r>
        <w:rPr>
          <w:rFonts w:ascii="Verdana" w:eastAsia="Century Gothic" w:hAnsi="Verdana" w:cs="Century Gothic"/>
          <w:sz w:val="21"/>
          <w:szCs w:val="21"/>
          <w:lang w:val="es-ES"/>
        </w:rPr>
        <w:t>‘</w:t>
      </w:r>
      <w:r w:rsidRPr="00432428">
        <w:rPr>
          <w:rFonts w:ascii="Verdana" w:eastAsia="Century Gothic" w:hAnsi="Verdana" w:cs="Century Gothic"/>
          <w:sz w:val="21"/>
          <w:szCs w:val="21"/>
          <w:lang w:val="es-ES"/>
        </w:rPr>
        <w:t>anteproyecto</w:t>
      </w:r>
      <w:r>
        <w:rPr>
          <w:rFonts w:ascii="Verdana" w:eastAsia="Century Gothic" w:hAnsi="Verdana" w:cs="Century Gothic"/>
          <w:sz w:val="23"/>
          <w:szCs w:val="23"/>
          <w:lang w:val="es-ES"/>
        </w:rPr>
        <w:t>’</w:t>
      </w:r>
      <w:r w:rsidRPr="006040CE">
        <w:rPr>
          <w:rFonts w:ascii="Verdana" w:eastAsia="Century Gothic" w:hAnsi="Verdana" w:cs="Century Gothic"/>
          <w:sz w:val="21"/>
          <w:szCs w:val="21"/>
          <w:lang w:val="es-ES"/>
        </w:rPr>
        <w:t>”</w:t>
      </w:r>
      <w:r>
        <w:rPr>
          <w:rFonts w:ascii="Verdana" w:eastAsia="Century Gothic" w:hAnsi="Verdana" w:cs="Century Gothic"/>
          <w:sz w:val="21"/>
          <w:szCs w:val="21"/>
          <w:lang w:val="es-ES"/>
        </w:rPr>
        <w:t xml:space="preserve"> (Énfasis fuera de texto)</w:t>
      </w:r>
      <w:r w:rsidRPr="006040CE">
        <w:rPr>
          <w:rFonts w:ascii="Verdana" w:eastAsia="Century Gothic" w:hAnsi="Verdana" w:cs="Century Gothic"/>
          <w:sz w:val="21"/>
          <w:szCs w:val="21"/>
          <w:lang w:val="es-ES"/>
        </w:rPr>
        <w:t>.</w:t>
      </w:r>
    </w:p>
    <w:p w14:paraId="69C89E09" w14:textId="77777777" w:rsidR="003F60FB" w:rsidRPr="008E6AD9" w:rsidRDefault="003F60FB" w:rsidP="003F60FB">
      <w:pPr>
        <w:pStyle w:val="Prrafodelista"/>
        <w:tabs>
          <w:tab w:val="left" w:pos="142"/>
          <w:tab w:val="left" w:pos="284"/>
        </w:tabs>
        <w:spacing w:after="0" w:line="276" w:lineRule="auto"/>
        <w:ind w:left="0"/>
        <w:jc w:val="both"/>
        <w:rPr>
          <w:rFonts w:ascii="Verdana" w:eastAsia="Century Gothic" w:hAnsi="Verdana" w:cs="Century Gothic"/>
          <w:b/>
          <w:bCs/>
        </w:rPr>
      </w:pPr>
    </w:p>
    <w:p w14:paraId="5063A459" w14:textId="77777777" w:rsidR="003F60FB" w:rsidRPr="00A652FF" w:rsidRDefault="003F60FB" w:rsidP="003F60F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w:t>
      </w:r>
      <w:r w:rsidRPr="00593A5F">
        <w:rPr>
          <w:rFonts w:ascii="Verdana" w:eastAsia="Calibri" w:hAnsi="Verdana" w:cs="Arial"/>
          <w:color w:val="000000"/>
          <w:lang w:val="es-ES" w:eastAsia="es-ES"/>
        </w:rPr>
        <w:lastRenderedPageBreak/>
        <w:t xml:space="preserve">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9A4C573" w14:textId="77777777" w:rsidR="003F60FB" w:rsidRDefault="003F60FB" w:rsidP="003F60F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61377B75" w14:textId="77777777" w:rsidR="003F60FB" w:rsidRPr="00593A5F" w:rsidRDefault="003F60FB" w:rsidP="003F60FB">
      <w:pPr>
        <w:spacing w:after="0" w:line="276" w:lineRule="auto"/>
        <w:ind w:firstLine="709"/>
        <w:jc w:val="both"/>
        <w:rPr>
          <w:rFonts w:ascii="Verdana" w:eastAsia="Calibri" w:hAnsi="Verdana" w:cs="Arial"/>
          <w:color w:val="000000"/>
          <w:lang w:val="es-ES" w:eastAsia="es-ES"/>
        </w:rPr>
      </w:pPr>
    </w:p>
    <w:p w14:paraId="28881790" w14:textId="77777777" w:rsidR="003F60FB" w:rsidRPr="00593A5F" w:rsidRDefault="003F60FB" w:rsidP="003F60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7FCC3E9" w14:textId="77777777" w:rsidR="003F60FB" w:rsidRPr="00593A5F" w:rsidRDefault="003F60FB" w:rsidP="003F60FB">
      <w:pPr>
        <w:tabs>
          <w:tab w:val="left" w:pos="426"/>
        </w:tabs>
        <w:spacing w:after="0" w:line="276" w:lineRule="auto"/>
        <w:jc w:val="both"/>
        <w:rPr>
          <w:rFonts w:ascii="Verdana" w:eastAsia="Century Gothic" w:hAnsi="Verdana" w:cs="Century Gothic"/>
          <w:lang w:val="es-ES"/>
        </w:rPr>
      </w:pPr>
    </w:p>
    <w:p w14:paraId="06F477E5" w14:textId="77777777" w:rsidR="003F60FB" w:rsidRPr="00593A5F" w:rsidRDefault="003F60FB" w:rsidP="003F60F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411C6D">
        <w:rPr>
          <w:rFonts w:ascii="Verdana" w:eastAsia="Century Gothic" w:hAnsi="Verdana" w:cs="Century Gothic"/>
        </w:rPr>
        <w:t>¿</w:t>
      </w:r>
      <w:r>
        <w:rPr>
          <w:rFonts w:ascii="Verdana" w:eastAsia="Century Gothic" w:hAnsi="Verdana" w:cs="Century Gothic"/>
        </w:rPr>
        <w:t xml:space="preserve">en qué casos aplica el artículo 20 de la Ley 842 de 2003 respecto a </w:t>
      </w:r>
      <w:r w:rsidRPr="00411C6D">
        <w:rPr>
          <w:rFonts w:ascii="Verdana" w:eastAsia="Century Gothic" w:hAnsi="Verdana" w:cs="Century Gothic"/>
        </w:rPr>
        <w:t>la participación</w:t>
      </w:r>
      <w:r>
        <w:rPr>
          <w:rFonts w:ascii="Verdana" w:eastAsia="Century Gothic" w:hAnsi="Verdana" w:cs="Century Gothic"/>
        </w:rPr>
        <w:t xml:space="preserve"> y el aval</w:t>
      </w:r>
      <w:r w:rsidRPr="00411C6D">
        <w:rPr>
          <w:rFonts w:ascii="Verdana" w:eastAsia="Century Gothic" w:hAnsi="Verdana" w:cs="Century Gothic"/>
        </w:rPr>
        <w:t xml:space="preserve"> de profesionales de la ingeniería en los procesos de contratación</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6BA85325" w14:textId="77777777" w:rsidR="003F60FB" w:rsidRPr="004B140F" w:rsidRDefault="003F60FB" w:rsidP="003F60FB">
      <w:pPr>
        <w:spacing w:after="0" w:line="276" w:lineRule="auto"/>
        <w:jc w:val="both"/>
        <w:rPr>
          <w:rFonts w:ascii="Verdana" w:eastAsia="Calibri" w:hAnsi="Verdana" w:cs="Arial"/>
          <w:color w:val="7030A0"/>
        </w:rPr>
      </w:pPr>
    </w:p>
    <w:p w14:paraId="338AB32B" w14:textId="77777777" w:rsidR="003F60FB" w:rsidRPr="00593A5F" w:rsidRDefault="003F60FB" w:rsidP="003F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B0854B5" w14:textId="77777777" w:rsidR="003F60FB" w:rsidRPr="00593A5F" w:rsidRDefault="003F60FB" w:rsidP="003F60F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60FB" w:rsidRPr="00593A5F" w14:paraId="0ECECB72" w14:textId="77777777" w:rsidTr="000C146B">
        <w:trPr>
          <w:jc w:val="center"/>
        </w:trPr>
        <w:tc>
          <w:tcPr>
            <w:tcW w:w="8828" w:type="dxa"/>
            <w:shd w:val="clear" w:color="auto" w:fill="auto"/>
          </w:tcPr>
          <w:p w14:paraId="39A686A9" w14:textId="77777777" w:rsidR="003F60FB" w:rsidRDefault="003F60FB" w:rsidP="000C146B">
            <w:pPr>
              <w:spacing w:after="120" w:line="276" w:lineRule="auto"/>
              <w:ind w:right="51"/>
              <w:jc w:val="both"/>
              <w:rPr>
                <w:rFonts w:ascii="Verdana" w:eastAsia="Calibri" w:hAnsi="Verdana" w:cs="Arial"/>
                <w:color w:val="000000" w:themeColor="text1"/>
              </w:rPr>
            </w:pPr>
            <w:bookmarkStart w:id="1" w:name="_Hlk171694685"/>
            <w:r>
              <w:rPr>
                <w:rFonts w:ascii="Verdana" w:eastAsia="Calibri" w:hAnsi="Verdana" w:cs="Arial"/>
                <w:bCs/>
                <w:color w:val="000000" w:themeColor="text1"/>
              </w:rPr>
              <w:t>Conforme a la interpretación general de las normas del sistema de compras públicas,</w:t>
            </w:r>
            <w:r>
              <w:rPr>
                <w:rFonts w:ascii="Verdana" w:eastAsia="Calibri" w:hAnsi="Verdana" w:cs="Arial"/>
                <w:color w:val="000000" w:themeColor="text1"/>
              </w:rPr>
              <w:t xml:space="preserve"> </w:t>
            </w:r>
            <w:r w:rsidRPr="0013268A">
              <w:rPr>
                <w:rFonts w:ascii="Verdana" w:eastAsia="Arial" w:hAnsi="Verdana" w:cs="Arial"/>
                <w:lang w:val="es-ES"/>
              </w:rPr>
              <w:t>el artículo 20</w:t>
            </w:r>
            <w:r>
              <w:rPr>
                <w:rFonts w:ascii="Verdana" w:eastAsia="Arial" w:hAnsi="Verdana" w:cs="Arial"/>
                <w:lang w:val="es-ES"/>
              </w:rPr>
              <w:t xml:space="preserve"> de la Ley 842 de 2003</w:t>
            </w:r>
            <w:r w:rsidRPr="0013268A">
              <w:rPr>
                <w:rFonts w:ascii="Verdana" w:eastAsia="Arial" w:hAnsi="Verdana" w:cs="Arial"/>
                <w:lang w:val="es-ES"/>
              </w:rPr>
              <w:t xml:space="preserve"> dispone que las propuestas en las licitaciones y concursos abiertos cuyo objeto implique el desarrollo de las actividades catalogadas como ejercicio de la ingeniería</w:t>
            </w:r>
            <w:r>
              <w:rPr>
                <w:rFonts w:ascii="Verdana" w:eastAsia="Arial" w:hAnsi="Verdana" w:cs="Arial"/>
                <w:lang w:val="es-ES"/>
              </w:rPr>
              <w:t xml:space="preserve"> conforme al artículo 2 </w:t>
            </w:r>
            <w:r w:rsidRPr="00411C6D">
              <w:rPr>
                <w:rFonts w:ascii="Verdana" w:eastAsia="Arial" w:hAnsi="Verdana" w:cs="Arial"/>
                <w:i/>
                <w:iCs/>
                <w:lang w:val="es-ES"/>
              </w:rPr>
              <w:t>ibidem</w:t>
            </w:r>
            <w:r w:rsidRPr="0013268A">
              <w:rPr>
                <w:rFonts w:ascii="Verdana" w:eastAsia="Arial" w:hAnsi="Verdana" w:cs="Arial"/>
                <w:lang w:val="es-ES"/>
              </w:rPr>
              <w:t>, deberán estar avalados por un ingeniero inscrito y con tarjeta de matrícula profesional en la respectiva rama de la</w:t>
            </w:r>
            <w:r w:rsidRPr="0013268A">
              <w:rPr>
                <w:rFonts w:ascii="Verdana" w:eastAsia="Arial" w:hAnsi="Verdana" w:cs="Arial"/>
                <w:spacing w:val="-16"/>
                <w:lang w:val="es-ES"/>
              </w:rPr>
              <w:t xml:space="preserve"> </w:t>
            </w:r>
            <w:r w:rsidRPr="0013268A">
              <w:rPr>
                <w:rFonts w:ascii="Verdana" w:eastAsia="Arial" w:hAnsi="Verdana" w:cs="Arial"/>
                <w:lang w:val="es-ES"/>
              </w:rPr>
              <w:t>ingeniería</w:t>
            </w:r>
            <w:r>
              <w:rPr>
                <w:rFonts w:ascii="Verdana" w:eastAsia="Arial" w:hAnsi="Verdana" w:cs="Arial"/>
                <w:lang w:val="es-ES"/>
              </w:rPr>
              <w:t>.</w:t>
            </w:r>
            <w:r>
              <w:rPr>
                <w:rFonts w:ascii="Verdana" w:eastAsia="Calibri" w:hAnsi="Verdana" w:cs="Arial"/>
                <w:color w:val="000000" w:themeColor="text1"/>
              </w:rPr>
              <w:t xml:space="preserve"> </w:t>
            </w:r>
          </w:p>
          <w:p w14:paraId="5446D0B1" w14:textId="5F7F6888" w:rsidR="00541D3E" w:rsidRDefault="003F60FB" w:rsidP="00541D3E">
            <w:pPr>
              <w:spacing w:after="120" w:line="276" w:lineRule="auto"/>
              <w:ind w:right="51" w:firstLine="742"/>
              <w:jc w:val="both"/>
              <w:rPr>
                <w:rFonts w:ascii="Verdana" w:hAnsi="Verdana" w:cs="Arial"/>
                <w:lang w:val="es-ES"/>
              </w:rPr>
            </w:pPr>
            <w:r>
              <w:rPr>
                <w:rFonts w:ascii="Verdana" w:eastAsia="Arial" w:hAnsi="Verdana" w:cs="Arial"/>
                <w:lang w:val="es-ES"/>
              </w:rPr>
              <w:t>En la Sentencia C-191 de 2005, l</w:t>
            </w:r>
            <w:r w:rsidRPr="0013268A">
              <w:rPr>
                <w:rFonts w:ascii="Verdana" w:eastAsia="Arial" w:hAnsi="Verdana" w:cs="Arial"/>
                <w:lang w:val="es-ES"/>
              </w:rPr>
              <w:t xml:space="preserve">a Corte Constitucional consideró que las actividades propias de los arquitectos son diferentes a las de los ingenieros y sus profesiones auxiliares y afines. </w:t>
            </w:r>
            <w:r w:rsidRPr="00B849FF">
              <w:rPr>
                <w:rFonts w:ascii="Verdana" w:eastAsia="Arial" w:hAnsi="Verdana" w:cs="Arial"/>
                <w:lang w:val="es-ES"/>
              </w:rPr>
              <w:t xml:space="preserve">En ese sentido, la obligatoriedad de presentar las propuestas con aval de un ingeniero en licitaciones y concursos abiertos en los contratos que impliquen el desarrollo de actividades catalogadas como ejercicio de la ingeniera es objetiva y proporcional, en la medida que </w:t>
            </w:r>
            <w:r>
              <w:rPr>
                <w:rFonts w:ascii="Verdana" w:eastAsia="Arial" w:hAnsi="Verdana" w:cs="Arial"/>
                <w:lang w:val="es-ES"/>
              </w:rPr>
              <w:t xml:space="preserve">es exigible </w:t>
            </w:r>
            <w:r w:rsidRPr="00B849FF">
              <w:rPr>
                <w:rFonts w:ascii="Verdana" w:eastAsia="Arial" w:hAnsi="Verdana" w:cs="Arial"/>
                <w:lang w:val="es-ES"/>
              </w:rPr>
              <w:t xml:space="preserve">tratándose de procesos de contratación que involucren actividades </w:t>
            </w:r>
            <w:r>
              <w:rPr>
                <w:rFonts w:ascii="Verdana" w:eastAsia="Arial" w:hAnsi="Verdana" w:cs="Arial"/>
                <w:lang w:val="es-ES"/>
              </w:rPr>
              <w:t>dicha naturaleza</w:t>
            </w:r>
            <w:r w:rsidRPr="00B849FF">
              <w:rPr>
                <w:rFonts w:ascii="Verdana" w:eastAsia="Arial" w:hAnsi="Verdana" w:cs="Arial"/>
                <w:lang w:val="es-ES"/>
              </w:rPr>
              <w:t>.</w:t>
            </w:r>
            <w:r>
              <w:rPr>
                <w:rFonts w:ascii="Verdana" w:eastAsia="Arial" w:hAnsi="Verdana" w:cs="Arial"/>
                <w:lang w:val="es-ES"/>
              </w:rPr>
              <w:t xml:space="preserve"> </w:t>
            </w:r>
            <w:r>
              <w:rPr>
                <w:rFonts w:ascii="Verdana" w:eastAsia="Calibri" w:hAnsi="Verdana" w:cs="Arial"/>
                <w:color w:val="000000" w:themeColor="text1"/>
              </w:rPr>
              <w:t>Por tanto, si en los entregables del proceso de selección existe ejercicio conjunto de ambas profesiones, el abono de la oferta es obligatorio conforme a</w:t>
            </w:r>
            <w:r w:rsidRPr="0013268A">
              <w:rPr>
                <w:rFonts w:ascii="Verdana" w:eastAsia="Arial" w:hAnsi="Verdana" w:cs="Arial"/>
                <w:lang w:val="es-ES"/>
              </w:rPr>
              <w:t>l artículo 20</w:t>
            </w:r>
            <w:r>
              <w:rPr>
                <w:rFonts w:ascii="Verdana" w:eastAsia="Arial" w:hAnsi="Verdana" w:cs="Arial"/>
                <w:lang w:val="es-ES"/>
              </w:rPr>
              <w:t xml:space="preserve"> de la Ley 842 de 2003 cuando el objeto del contrato, su alcance o las obligaciones pactadas impliquen el ejercicio de la ingeniería conforme al artículo 2 </w:t>
            </w:r>
            <w:r w:rsidRPr="002A2148">
              <w:rPr>
                <w:rFonts w:ascii="Verdana" w:eastAsia="Arial" w:hAnsi="Verdana" w:cs="Arial"/>
                <w:i/>
                <w:iCs/>
                <w:lang w:val="es-ES"/>
              </w:rPr>
              <w:t>ibidem</w:t>
            </w:r>
            <w:r w:rsidRPr="002A2148">
              <w:rPr>
                <w:rFonts w:ascii="Verdana" w:eastAsia="Arial" w:hAnsi="Verdana" w:cs="Arial"/>
                <w:lang w:val="es-ES"/>
              </w:rPr>
              <w:t>.</w:t>
            </w:r>
          </w:p>
          <w:p w14:paraId="4FF66DFD" w14:textId="65E2D6C0" w:rsidR="003F60FB" w:rsidRPr="009B1432" w:rsidRDefault="003F60FB" w:rsidP="00AE5159">
            <w:pPr>
              <w:spacing w:after="120" w:line="276" w:lineRule="auto"/>
              <w:ind w:right="51" w:firstLine="742"/>
              <w:jc w:val="both"/>
              <w:rPr>
                <w:rFonts w:ascii="Verdana" w:eastAsia="Calibri" w:hAnsi="Verdana" w:cs="Arial"/>
                <w:color w:val="000000" w:themeColor="text1"/>
              </w:rPr>
            </w:pPr>
            <w:r w:rsidRPr="65748710">
              <w:rPr>
                <w:rFonts w:ascii="Verdana" w:hAnsi="Verdana" w:cs="Arial"/>
                <w:lang w:val="es-ES"/>
              </w:rPr>
              <w:lastRenderedPageBreak/>
              <w:t xml:space="preserve">En consecuencia, el abono de la propuesta también </w:t>
            </w:r>
            <w:r w:rsidR="000C781B">
              <w:rPr>
                <w:rFonts w:ascii="Verdana" w:hAnsi="Verdana" w:cs="Arial"/>
                <w:lang w:val="es-ES"/>
              </w:rPr>
              <w:t>puede tornarse</w:t>
            </w:r>
            <w:r w:rsidR="000C781B" w:rsidRPr="65748710">
              <w:rPr>
                <w:rFonts w:ascii="Verdana" w:hAnsi="Verdana" w:cs="Arial"/>
                <w:lang w:val="es-ES"/>
              </w:rPr>
              <w:t xml:space="preserve"> </w:t>
            </w:r>
            <w:r w:rsidRPr="65748710">
              <w:rPr>
                <w:rFonts w:ascii="Verdana" w:hAnsi="Verdana" w:cs="Arial"/>
                <w:lang w:val="es-ES"/>
              </w:rPr>
              <w:t>obligatorio en concursos de méritos con precalificación o en los concursos de arquitectura</w:t>
            </w:r>
            <w:r w:rsidR="005C1FD3">
              <w:rPr>
                <w:rFonts w:ascii="Verdana" w:hAnsi="Verdana" w:cs="Arial"/>
                <w:lang w:val="es-ES"/>
              </w:rPr>
              <w:t xml:space="preserve">, cuando las actividades a contratar se subsumen dentro </w:t>
            </w:r>
            <w:r w:rsidR="00D80DBA">
              <w:rPr>
                <w:rFonts w:ascii="Verdana" w:hAnsi="Verdana" w:cs="Arial"/>
                <w:lang w:val="es-ES"/>
              </w:rPr>
              <w:t>de aquellas que constituyen el ejercicio de la</w:t>
            </w:r>
            <w:r w:rsidR="005C1FD3" w:rsidRPr="65748710">
              <w:rPr>
                <w:rFonts w:ascii="Verdana" w:hAnsi="Verdana" w:cs="Arial"/>
                <w:lang w:val="es-ES"/>
              </w:rPr>
              <w:t xml:space="preserve"> ingeniería</w:t>
            </w:r>
            <w:r w:rsidR="00A673A5">
              <w:rPr>
                <w:rFonts w:ascii="Verdana" w:hAnsi="Verdana" w:cs="Arial"/>
                <w:lang w:val="es-ES"/>
              </w:rPr>
              <w:t xml:space="preserve"> conforme al artículo 2 de la Ley 842 de 2003</w:t>
            </w:r>
            <w:r w:rsidRPr="65748710">
              <w:rPr>
                <w:rFonts w:ascii="Verdana" w:hAnsi="Verdana" w:cs="Arial"/>
                <w:lang w:val="es-ES"/>
              </w:rPr>
              <w:t xml:space="preserve">. </w:t>
            </w:r>
            <w:r w:rsidR="00A673A5">
              <w:rPr>
                <w:rFonts w:ascii="Verdana" w:hAnsi="Verdana" w:cs="Arial"/>
                <w:lang w:val="es-ES"/>
              </w:rPr>
              <w:t>Por el contrario,</w:t>
            </w:r>
            <w:r w:rsidR="000B196A">
              <w:rPr>
                <w:rFonts w:ascii="Verdana" w:hAnsi="Verdana" w:cs="Arial"/>
                <w:lang w:val="es-ES"/>
              </w:rPr>
              <w:t xml:space="preserve"> </w:t>
            </w:r>
            <w:r w:rsidR="00ED2485">
              <w:rPr>
                <w:rFonts w:ascii="Verdana" w:hAnsi="Verdana" w:cs="Arial"/>
                <w:lang w:val="es-ES"/>
              </w:rPr>
              <w:t>si el objeto del contrato no implica el ejercicio de la ingeniería</w:t>
            </w:r>
            <w:r w:rsidR="00EC49E4">
              <w:rPr>
                <w:rFonts w:ascii="Verdana" w:hAnsi="Verdana" w:cs="Arial"/>
                <w:lang w:val="es-ES"/>
              </w:rPr>
              <w:t>, conforme al alcance de las normas indicadas,</w:t>
            </w:r>
            <w:r w:rsidR="00B5502A">
              <w:rPr>
                <w:rFonts w:ascii="Verdana" w:hAnsi="Verdana" w:cs="Arial"/>
                <w:lang w:val="es-ES"/>
              </w:rPr>
              <w:t xml:space="preserve"> no será obligatorio el mencionado aval, independientemente de la modalidad de selección.</w:t>
            </w:r>
            <w:r>
              <w:rPr>
                <w:rFonts w:ascii="Verdana" w:hAnsi="Verdana" w:cs="Arial"/>
                <w:lang w:val="es-ES"/>
              </w:rPr>
              <w:t xml:space="preserve"> </w:t>
            </w:r>
            <w:r>
              <w:rPr>
                <w:rFonts w:ascii="Verdana" w:eastAsia="Arial" w:hAnsi="Verdana" w:cs="Arial"/>
                <w:lang w:val="es-ES"/>
              </w:rPr>
              <w:t xml:space="preserve">En estos términos, para efectos de la aplicación del artículo 10 de la Ley 1437 de 2011, se </w:t>
            </w:r>
            <w:r w:rsidR="00E2141B">
              <w:rPr>
                <w:rFonts w:ascii="Verdana" w:eastAsia="Arial" w:hAnsi="Verdana" w:cs="Arial"/>
                <w:lang w:val="es-ES"/>
              </w:rPr>
              <w:t>complementa</w:t>
            </w:r>
            <w:r w:rsidR="00E2141B" w:rsidRPr="65748710">
              <w:rPr>
                <w:rFonts w:ascii="Verdana" w:eastAsia="Arial" w:hAnsi="Verdana" w:cs="Arial"/>
                <w:lang w:val="es-ES"/>
              </w:rPr>
              <w:t xml:space="preserve"> </w:t>
            </w:r>
            <w:r>
              <w:rPr>
                <w:rFonts w:ascii="Verdana" w:eastAsia="Arial" w:hAnsi="Verdana" w:cs="Arial"/>
                <w:lang w:val="es-ES"/>
              </w:rPr>
              <w:t xml:space="preserve">la postura adoptada en los </w:t>
            </w:r>
            <w:r w:rsidR="00E2141B">
              <w:rPr>
                <w:rFonts w:ascii="Verdana" w:eastAsia="Calibri" w:hAnsi="Verdana" w:cs="Arial"/>
                <w:lang w:val="es-ES" w:eastAsia="es-ES"/>
              </w:rPr>
              <w:t>c</w:t>
            </w:r>
            <w:r>
              <w:rPr>
                <w:rFonts w:ascii="Verdana" w:eastAsia="Calibri" w:hAnsi="Verdana" w:cs="Arial"/>
                <w:lang w:val="es-ES" w:eastAsia="es-ES"/>
              </w:rPr>
              <w:t>onceptos C-689 y C-699 del 10 de junio de 2025.</w:t>
            </w:r>
          </w:p>
          <w:p w14:paraId="3BE6581B" w14:textId="77777777" w:rsidR="003F60FB" w:rsidRPr="001941FD" w:rsidRDefault="003F60FB" w:rsidP="000C146B">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2E5F7A67" w14:textId="77777777" w:rsidR="003F60FB" w:rsidRPr="00593A5F" w:rsidRDefault="003F60FB" w:rsidP="003F60FB">
      <w:pPr>
        <w:tabs>
          <w:tab w:val="left" w:pos="142"/>
          <w:tab w:val="left" w:pos="284"/>
        </w:tabs>
        <w:spacing w:after="0" w:line="276" w:lineRule="auto"/>
        <w:jc w:val="both"/>
        <w:rPr>
          <w:rFonts w:ascii="Verdana" w:eastAsia="Century Gothic" w:hAnsi="Verdana" w:cs="Century Gothic"/>
          <w:b/>
          <w:bCs/>
          <w:lang w:val="es-ES"/>
        </w:rPr>
      </w:pPr>
    </w:p>
    <w:bookmarkEnd w:id="1"/>
    <w:p w14:paraId="1FE79EC8" w14:textId="77777777" w:rsidR="003F60FB" w:rsidRPr="00593A5F" w:rsidRDefault="003F60FB" w:rsidP="003F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3C31E93" w14:textId="77777777" w:rsidR="003F60FB" w:rsidRPr="00593A5F" w:rsidRDefault="003F60FB" w:rsidP="003F60FB">
      <w:pPr>
        <w:spacing w:after="0" w:line="276" w:lineRule="auto"/>
        <w:jc w:val="both"/>
        <w:rPr>
          <w:rFonts w:ascii="Verdana" w:eastAsia="Calibri" w:hAnsi="Verdana" w:cs="Arial"/>
          <w:color w:val="7030A0"/>
          <w:lang w:val="es-ES"/>
        </w:rPr>
      </w:pPr>
    </w:p>
    <w:p w14:paraId="3F789E8E" w14:textId="77777777" w:rsidR="003F60FB" w:rsidRDefault="003F60FB" w:rsidP="003F60F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1678D6C" w14:textId="77777777" w:rsidR="003F60FB" w:rsidRPr="00415608" w:rsidRDefault="003F60FB" w:rsidP="003F60FB">
      <w:pPr>
        <w:spacing w:after="0" w:line="276" w:lineRule="auto"/>
        <w:jc w:val="both"/>
        <w:rPr>
          <w:rFonts w:ascii="Verdana" w:eastAsia="Calibri" w:hAnsi="Verdana" w:cs="Arial"/>
          <w:lang w:val="es-ES"/>
        </w:rPr>
      </w:pPr>
    </w:p>
    <w:p w14:paraId="4CA927EC" w14:textId="77777777" w:rsidR="003F60FB" w:rsidRPr="001075DA" w:rsidRDefault="003F60FB" w:rsidP="003F60FB">
      <w:pPr>
        <w:spacing w:line="276" w:lineRule="auto"/>
        <w:jc w:val="both"/>
        <w:rPr>
          <w:rFonts w:ascii="Verdana" w:eastAsia="Calibri" w:hAnsi="Verdana" w:cs="Arial"/>
        </w:rPr>
      </w:pPr>
      <w:r w:rsidRPr="001075DA">
        <w:rPr>
          <w:rFonts w:ascii="Verdana" w:eastAsia="Calibri" w:hAnsi="Verdana" w:cs="Arial"/>
          <w:bCs/>
          <w:color w:val="000000" w:themeColor="text1"/>
        </w:rPr>
        <w:t xml:space="preserve">i. </w:t>
      </w:r>
      <w:r>
        <w:rPr>
          <w:rFonts w:ascii="Verdana" w:eastAsia="Calibri" w:hAnsi="Verdana" w:cs="Arial"/>
        </w:rPr>
        <w:t>El artículo 2 de la</w:t>
      </w:r>
      <w:r w:rsidRPr="001075DA">
        <w:rPr>
          <w:rFonts w:ascii="Verdana" w:eastAsia="Calibri" w:hAnsi="Verdana" w:cs="Arial"/>
        </w:rPr>
        <w:t xml:space="preserve"> Ley 1150 de 2007 trajo consigo la incorporación de un procedimiento de selección especial para determinados contratos, denominado concurso de méritos</w:t>
      </w:r>
      <w:r w:rsidRPr="001075DA">
        <w:rPr>
          <w:rFonts w:ascii="Verdana" w:eastAsia="Calibri" w:hAnsi="Verdana" w:cs="Arial"/>
          <w:vertAlign w:val="superscript"/>
        </w:rPr>
        <w:footnoteReference w:id="2"/>
      </w:r>
      <w:r w:rsidRPr="001075DA">
        <w:rPr>
          <w:rFonts w:ascii="Verdana" w:eastAsia="Calibri" w:hAnsi="Verdana" w:cs="Arial"/>
        </w:rPr>
        <w:t xml:space="preserve">. Esta modalidad de selección se estructura a partir de un factor puramente objetivo en atención a la naturaleza del contrato, esto es, para la prestación de servicios de consultorías expuestos en el numeral 2 del artículo 32 de la Ley 80 de 1993, interventorías y para proyectos de arquitectura. </w:t>
      </w:r>
    </w:p>
    <w:p w14:paraId="106D71B6" w14:textId="77777777" w:rsidR="003F60FB" w:rsidRPr="001075DA" w:rsidRDefault="003F60FB" w:rsidP="003F60FB">
      <w:pPr>
        <w:spacing w:line="276" w:lineRule="auto"/>
        <w:ind w:firstLine="708"/>
        <w:jc w:val="both"/>
        <w:rPr>
          <w:rFonts w:ascii="Verdana" w:eastAsia="Calibri" w:hAnsi="Verdana" w:cs="Arial"/>
        </w:rPr>
      </w:pPr>
      <w:r w:rsidRPr="001075DA">
        <w:rPr>
          <w:rFonts w:ascii="Verdana" w:eastAsia="Calibri" w:hAnsi="Verdana" w:cs="Arial"/>
        </w:rPr>
        <w:lastRenderedPageBreak/>
        <w:t>Este último se desarrolla en nuestro ordenamiento jurídico conforme a lo dispuesto en el Decreto 2326 de 1995, que en su artículo 1 lo definió como “el procedimiento mediante el cual la entidad estatal, previa invitación pública y en igualdad de oportunidades, selecciona un consultor entre los proponentes interesados en elaborar diseños, planos, anteproyectos y proyectos arquitectónicos”. La anterior norma fue compilada en el Decreto 1082 de 2015 en los artículos 2.2.1.2.1.3.8 y siguientes, manteniendo su literalidad.</w:t>
      </w:r>
    </w:p>
    <w:p w14:paraId="51B018F3" w14:textId="77777777" w:rsidR="003F60FB" w:rsidRPr="001075DA" w:rsidRDefault="003F60FB" w:rsidP="003F60FB">
      <w:pPr>
        <w:spacing w:line="276" w:lineRule="auto"/>
        <w:ind w:firstLine="708"/>
        <w:jc w:val="both"/>
        <w:rPr>
          <w:rFonts w:ascii="Verdana" w:eastAsia="Calibri" w:hAnsi="Verdana" w:cs="Arial"/>
        </w:rPr>
      </w:pPr>
      <w:r w:rsidRPr="001075DA">
        <w:rPr>
          <w:rFonts w:ascii="Verdana" w:eastAsia="Calibri" w:hAnsi="Verdana" w:cs="Arial"/>
        </w:rPr>
        <w:t>Es importante destacar que los decretos reglamentarios anteriormente citados disponen que el concurso de arquitectura puede conllevar labores técnicas y/o profesionales complementarias de la propuesta, pero siempre su objeto principal será el diseño integral, de tal forma que, en estos eventos, los proponentes definirán las labores fundamentales que complementan la propuesta, las cuales no podrán separarse de la misma.</w:t>
      </w:r>
    </w:p>
    <w:p w14:paraId="6BBA0734" w14:textId="77777777" w:rsidR="003F60FB" w:rsidRPr="001075DA" w:rsidRDefault="003F60FB" w:rsidP="003F60FB">
      <w:pPr>
        <w:spacing w:after="120" w:line="276" w:lineRule="auto"/>
        <w:ind w:firstLine="708"/>
        <w:jc w:val="both"/>
        <w:rPr>
          <w:rFonts w:ascii="Verdana" w:hAnsi="Verdana" w:cs="Arial"/>
          <w:bCs/>
        </w:rPr>
      </w:pPr>
      <w:r w:rsidRPr="001075DA">
        <w:rPr>
          <w:rFonts w:ascii="Verdana" w:hAnsi="Verdana" w:cs="Arial"/>
          <w:bCs/>
        </w:rPr>
        <w:t xml:space="preserve">Por su parte, se observa que las normas reglamentarias citadas utilizan dos expresiones para denominar este tipo de concurso de méritos que es </w:t>
      </w:r>
      <w:r w:rsidRPr="001075DA">
        <w:rPr>
          <w:rFonts w:ascii="Verdana" w:eastAsia="Calibri" w:hAnsi="Verdana" w:cs="Arial"/>
        </w:rPr>
        <w:t>“concurso de arquitectura” y concurso para seleccionar consultores de diseño, planos, anteproyectos y proyectos arquitectónicos. No obstante, las palabras “arquitectura” y “arquitectónico” hacen referencia a las actividades señaladas en el Decreto 2090 de 1989, que contiene el reglamento de honorarios para los trabajos de arquitectura</w:t>
      </w:r>
      <w:r w:rsidRPr="001075DA">
        <w:rPr>
          <w:rFonts w:ascii="Verdana" w:hAnsi="Verdana" w:cs="Arial"/>
          <w:bCs/>
        </w:rPr>
        <w:t>. Esta norma, en el artículo 1, detalla los trabajos que desarrollan los profesionales afiliados a la Sociedad Colombiana de Arquitectos, uno de los cuales se denomina como “[…] 1. Esquema básico, anteproyecto, proyecto y supervisión arquitectónica […]”.</w:t>
      </w:r>
    </w:p>
    <w:p w14:paraId="5AB3496E" w14:textId="77777777" w:rsidR="003F60FB" w:rsidRPr="001075DA" w:rsidRDefault="003F60FB" w:rsidP="003F60FB">
      <w:pPr>
        <w:spacing w:before="120" w:after="120" w:line="276" w:lineRule="auto"/>
        <w:ind w:firstLine="708"/>
        <w:jc w:val="both"/>
        <w:rPr>
          <w:rFonts w:ascii="Verdana" w:hAnsi="Verdana" w:cs="Arial"/>
          <w:bCs/>
        </w:rPr>
      </w:pPr>
      <w:r w:rsidRPr="001075DA">
        <w:rPr>
          <w:rFonts w:ascii="Verdana" w:hAnsi="Verdana" w:cs="Arial"/>
          <w:bCs/>
        </w:rPr>
        <w:t>Específicamente, el Decreto 2090 de 1989 define cada actividad del trabajo mencionado y, particularmente, el anteproyecto</w:t>
      </w:r>
      <w:r w:rsidRPr="001075DA">
        <w:rPr>
          <w:rStyle w:val="Refdenotaalpie"/>
          <w:rFonts w:ascii="Verdana" w:hAnsi="Verdana" w:cs="Arial"/>
          <w:bCs/>
        </w:rPr>
        <w:footnoteReference w:id="3"/>
      </w:r>
      <w:r w:rsidRPr="001075DA">
        <w:rPr>
          <w:rFonts w:ascii="Verdana" w:hAnsi="Verdana" w:cs="Arial"/>
          <w:bCs/>
        </w:rPr>
        <w:t xml:space="preserve"> y el proyecto </w:t>
      </w:r>
      <w:r w:rsidRPr="001075DA">
        <w:rPr>
          <w:rFonts w:ascii="Verdana" w:hAnsi="Verdana" w:cs="Arial"/>
          <w:bCs/>
        </w:rPr>
        <w:lastRenderedPageBreak/>
        <w:t>arquitectónico</w:t>
      </w:r>
      <w:r w:rsidRPr="001075DA">
        <w:rPr>
          <w:rStyle w:val="Refdenotaalpie"/>
          <w:rFonts w:ascii="Verdana" w:hAnsi="Verdana" w:cs="Arial"/>
          <w:bCs/>
        </w:rPr>
        <w:footnoteReference w:id="4"/>
      </w:r>
      <w:r w:rsidRPr="001075DA">
        <w:rPr>
          <w:rFonts w:ascii="Verdana" w:hAnsi="Verdana" w:cs="Arial"/>
          <w:bCs/>
        </w:rPr>
        <w:t xml:space="preserve">. En todo caso el Decreto 1082 de 2015 compiló el procedimiento específico para realizar el </w:t>
      </w:r>
      <w:r w:rsidRPr="001075DA">
        <w:rPr>
          <w:rFonts w:ascii="Verdana" w:eastAsia="Calibri" w:hAnsi="Verdana" w:cs="Arial"/>
        </w:rPr>
        <w:t>“concurso de arquitectura”</w:t>
      </w:r>
      <w:r w:rsidRPr="001075DA">
        <w:rPr>
          <w:rFonts w:ascii="Verdana" w:hAnsi="Verdana" w:cs="Arial"/>
          <w:bCs/>
        </w:rPr>
        <w:t xml:space="preserve"> dentro del cual se puede contratar un diseño arquitectónico, un plano arquitectónico, un anteproyecto o un proyecto arquitectónico. Para determinar el objeto contractual, la entidad, en la etapa de planeación, debe definir su necesidad, estableciendo si requiere adelantar este tipo de concurso de acuerdo con las particularidades de la materia. Por tanto, para determinar la aplicación del </w:t>
      </w:r>
      <w:r w:rsidRPr="001075DA">
        <w:rPr>
          <w:rFonts w:ascii="Verdana" w:eastAsia="Calibri" w:hAnsi="Verdana" w:cs="Arial"/>
        </w:rPr>
        <w:t xml:space="preserve">“concurso de arquitectura” </w:t>
      </w:r>
      <w:r w:rsidRPr="001075DA">
        <w:rPr>
          <w:rFonts w:ascii="Verdana" w:hAnsi="Verdana" w:cs="Arial"/>
          <w:bCs/>
        </w:rPr>
        <w:t>del Decreto 1082 de 2015, es necesario remitirse a las definiciones propias de la profesión de arquitecto del Decreto 2090 de 1989.</w:t>
      </w:r>
    </w:p>
    <w:p w14:paraId="2B14DE40" w14:textId="77777777" w:rsidR="003F60FB" w:rsidRPr="001075DA" w:rsidRDefault="003F60FB" w:rsidP="003F60FB">
      <w:pPr>
        <w:spacing w:before="120" w:after="120" w:line="276" w:lineRule="auto"/>
        <w:ind w:firstLine="708"/>
        <w:jc w:val="both"/>
        <w:rPr>
          <w:rFonts w:ascii="Verdana" w:eastAsia="Calibri" w:hAnsi="Verdana" w:cs="Arial"/>
        </w:rPr>
      </w:pPr>
      <w:r w:rsidRPr="001075DA">
        <w:rPr>
          <w:rFonts w:ascii="Verdana" w:hAnsi="Verdana" w:cs="Arial"/>
          <w:bCs/>
        </w:rPr>
        <w:t xml:space="preserve">En ese sentido, y continuando el análisis de lo regulado por el Decreto 1082 de 2015 frente al </w:t>
      </w:r>
      <w:r w:rsidRPr="001075DA">
        <w:rPr>
          <w:rFonts w:ascii="Verdana" w:eastAsia="Calibri" w:hAnsi="Verdana" w:cs="Arial"/>
        </w:rPr>
        <w:t xml:space="preserve">“concurso de arquitectura”, el artículo 2.2.1.2.1.3.9 del reglamento prescribe que en este procedimiento de selección intervienen cuatro (4) partes: i) Entidad Estatal promotora, </w:t>
      </w:r>
      <w:proofErr w:type="spellStart"/>
      <w:r w:rsidRPr="001075DA">
        <w:rPr>
          <w:rFonts w:ascii="Verdana" w:eastAsia="Calibri" w:hAnsi="Verdana" w:cs="Arial"/>
        </w:rPr>
        <w:t>ii</w:t>
      </w:r>
      <w:proofErr w:type="spellEnd"/>
      <w:r w:rsidRPr="001075DA">
        <w:rPr>
          <w:rFonts w:ascii="Verdana" w:eastAsia="Calibri" w:hAnsi="Verdana" w:cs="Arial"/>
        </w:rPr>
        <w:t xml:space="preserve">) organismo asesor, </w:t>
      </w:r>
      <w:proofErr w:type="spellStart"/>
      <w:r w:rsidRPr="001075DA">
        <w:rPr>
          <w:rFonts w:ascii="Verdana" w:eastAsia="Calibri" w:hAnsi="Verdana" w:cs="Arial"/>
        </w:rPr>
        <w:t>iii</w:t>
      </w:r>
      <w:proofErr w:type="spellEnd"/>
      <w:r w:rsidRPr="001075DA">
        <w:rPr>
          <w:rFonts w:ascii="Verdana" w:eastAsia="Calibri" w:hAnsi="Verdana" w:cs="Arial"/>
        </w:rPr>
        <w:t xml:space="preserve">) jurado calificador y </w:t>
      </w:r>
      <w:proofErr w:type="spellStart"/>
      <w:r w:rsidRPr="001075DA">
        <w:rPr>
          <w:rFonts w:ascii="Verdana" w:eastAsia="Calibri" w:hAnsi="Verdana" w:cs="Arial"/>
        </w:rPr>
        <w:t>iv</w:t>
      </w:r>
      <w:proofErr w:type="spellEnd"/>
      <w:r w:rsidRPr="001075DA">
        <w:rPr>
          <w:rFonts w:ascii="Verdana" w:eastAsia="Calibri" w:hAnsi="Verdana" w:cs="Arial"/>
        </w:rPr>
        <w:t xml:space="preserve">) proponentes. Después, el artículo 2.2.1.2.1.3.10 </w:t>
      </w:r>
      <w:r w:rsidRPr="001075DA">
        <w:rPr>
          <w:rFonts w:ascii="Verdana" w:eastAsia="Calibri" w:hAnsi="Verdana" w:cs="Arial"/>
          <w:i/>
          <w:iCs/>
        </w:rPr>
        <w:t>ibidem</w:t>
      </w:r>
      <w:r w:rsidRPr="001075DA">
        <w:rPr>
          <w:rFonts w:ascii="Verdana" w:eastAsia="Calibri" w:hAnsi="Verdana" w:cs="Arial"/>
        </w:rPr>
        <w:t xml:space="preserve"> dispone que existen dos (2) modalidades de “concurso de arquitectura”: i) de ideas y </w:t>
      </w:r>
      <w:proofErr w:type="spellStart"/>
      <w:r w:rsidRPr="001075DA">
        <w:rPr>
          <w:rFonts w:ascii="Verdana" w:eastAsia="Calibri" w:hAnsi="Verdana" w:cs="Arial"/>
        </w:rPr>
        <w:t>ii</w:t>
      </w:r>
      <w:proofErr w:type="spellEnd"/>
      <w:r w:rsidRPr="001075DA">
        <w:rPr>
          <w:rFonts w:ascii="Verdana" w:eastAsia="Calibri" w:hAnsi="Verdana" w:cs="Arial"/>
        </w:rPr>
        <w:t>) de anteproyecto. Las diferencias se enfocan en las características y nivel de desarrollo del concurso, ya que mientras el primero requiere un esquema básico de diseño, el segundo exige la formulación de un anteproyecto</w:t>
      </w:r>
      <w:r w:rsidRPr="001075DA">
        <w:rPr>
          <w:rStyle w:val="Refdenotaalpie"/>
          <w:rFonts w:ascii="Verdana" w:eastAsia="Calibri" w:hAnsi="Verdana" w:cs="Arial"/>
        </w:rPr>
        <w:footnoteReference w:id="5"/>
      </w:r>
      <w:r w:rsidRPr="001075DA">
        <w:rPr>
          <w:rFonts w:ascii="Verdana" w:eastAsia="Calibri" w:hAnsi="Verdana" w:cs="Arial"/>
        </w:rPr>
        <w:t xml:space="preserve">. Seguido de esto, el Decreto 1082 de 2015 establece las obligaciones de las partes del “concurso de arquitectura”, las consecuencias del incumplimiento, las características de cada parte como su vinculación, composición, requisitos, selección, funciones, entre otros. </w:t>
      </w:r>
    </w:p>
    <w:p w14:paraId="5A9EF632" w14:textId="77777777" w:rsidR="003F60FB" w:rsidRPr="001075DA" w:rsidRDefault="003F60FB" w:rsidP="003F60FB">
      <w:pPr>
        <w:spacing w:before="120" w:after="120" w:line="276" w:lineRule="auto"/>
        <w:ind w:firstLine="708"/>
        <w:jc w:val="both"/>
        <w:rPr>
          <w:rFonts w:ascii="Verdana" w:eastAsia="Calibri" w:hAnsi="Verdana" w:cs="Arial"/>
        </w:rPr>
      </w:pPr>
      <w:r w:rsidRPr="001075DA">
        <w:rPr>
          <w:rFonts w:ascii="Verdana" w:eastAsia="Calibri" w:hAnsi="Verdana" w:cs="Arial"/>
        </w:rPr>
        <w:t xml:space="preserve">Es importante destacar que en este proceso de selección el organismo asesor es el encargado de organizar y diseñar los aspectos técnicos del concurso de arquitectura y actúa como coordinador entre la entidad estatal promotora, el </w:t>
      </w:r>
      <w:r w:rsidRPr="001075DA">
        <w:rPr>
          <w:rFonts w:ascii="Verdana" w:eastAsia="Calibri" w:hAnsi="Verdana" w:cs="Arial"/>
        </w:rPr>
        <w:lastRenderedPageBreak/>
        <w:t>jurado calificador y los proponentes. Por su parte, el jurado es un cuerpo independiente que estudia, califica y recomienda a la entidad estatal la propuesta más idónea que se ajusta a las bases del concurso, las cuales fueron diseñadas por el organismo asesor y en todo caso, determinadas y aceptadas por la Entidad Estatal promotora del concurso.</w:t>
      </w:r>
    </w:p>
    <w:p w14:paraId="1F57B7CE" w14:textId="77777777" w:rsidR="003F60FB" w:rsidRDefault="003F60FB" w:rsidP="003F60FB">
      <w:pPr>
        <w:spacing w:after="0" w:line="276" w:lineRule="auto"/>
        <w:ind w:firstLine="708"/>
        <w:jc w:val="both"/>
        <w:rPr>
          <w:rFonts w:ascii="Verdana" w:eastAsia="Calibri" w:hAnsi="Verdana" w:cs="Arial"/>
        </w:rPr>
      </w:pPr>
      <w:r w:rsidRPr="001075DA">
        <w:rPr>
          <w:rFonts w:ascii="Verdana" w:eastAsia="Calibri" w:hAnsi="Verdana" w:cs="Arial"/>
        </w:rPr>
        <w:t>Sobre las bases del concurso, se debe destacar también que estas se encuentran reguladas en el artículo 2.2.1.2.1.3.22, indicando que los pliegos de condiciones del procedimiento de selección deben contener como mínimo, entre otros aspectos, “Los requisitos objetivos que se deben reunir para participar en el concurso de arquitectura […] Las condiciones que deben reunir los Proponentes […] Los premios y sus valores, de acuerdo con el reglamento de honorarios de la Sociedad Colombiana de Arquitectos […]”, entre otros.</w:t>
      </w:r>
      <w:r w:rsidRPr="001075DA">
        <w:rPr>
          <w:rFonts w:ascii="Verdana" w:hAnsi="Verdana" w:cs="Arial"/>
          <w:b/>
        </w:rPr>
        <w:t xml:space="preserve"> </w:t>
      </w:r>
      <w:r w:rsidRPr="001075DA">
        <w:rPr>
          <w:rFonts w:ascii="Verdana" w:hAnsi="Verdana" w:cs="Arial"/>
          <w:bCs/>
        </w:rPr>
        <w:t xml:space="preserve">Igualmente, es importante señalar que para participar en este proceso de selección resulta ser obligatorio la </w:t>
      </w:r>
      <w:r w:rsidRPr="001075DA">
        <w:rPr>
          <w:rFonts w:ascii="Verdana" w:eastAsia="Calibri" w:hAnsi="Verdana" w:cs="Arial"/>
        </w:rPr>
        <w:t>presentación del Registro Único de Proponentes- RUP, ya que la norma que define las excepciones a la inscripción en el RUP, es decir, el artículo 6 de la Ley 1150 de 2007, no excluyó al concurso de arquitectura</w:t>
      </w:r>
      <w:r w:rsidRPr="001075DA">
        <w:rPr>
          <w:rStyle w:val="Refdenotaalpie"/>
          <w:rFonts w:ascii="Verdana" w:eastAsia="Calibri" w:hAnsi="Verdana" w:cs="Arial"/>
        </w:rPr>
        <w:footnoteReference w:id="6"/>
      </w:r>
      <w:r w:rsidRPr="001075DA">
        <w:rPr>
          <w:rFonts w:ascii="Verdana" w:eastAsia="Calibri" w:hAnsi="Verdana" w:cs="Arial"/>
        </w:rPr>
        <w:t>.</w:t>
      </w:r>
    </w:p>
    <w:p w14:paraId="033312EF" w14:textId="77777777" w:rsidR="003F60FB" w:rsidRDefault="003F60FB" w:rsidP="003F60FB">
      <w:pPr>
        <w:spacing w:after="0" w:line="276" w:lineRule="auto"/>
        <w:ind w:firstLine="708"/>
        <w:jc w:val="both"/>
        <w:rPr>
          <w:rFonts w:ascii="Verdana" w:eastAsia="Calibri" w:hAnsi="Verdana" w:cs="Arial"/>
        </w:rPr>
      </w:pPr>
    </w:p>
    <w:p w14:paraId="596A1E09" w14:textId="77777777" w:rsidR="003F60FB" w:rsidRPr="0013268A" w:rsidRDefault="003F60FB" w:rsidP="003F60FB">
      <w:pPr>
        <w:widowControl w:val="0"/>
        <w:autoSpaceDE w:val="0"/>
        <w:autoSpaceDN w:val="0"/>
        <w:spacing w:after="0" w:line="276" w:lineRule="auto"/>
        <w:ind w:right="49"/>
        <w:jc w:val="both"/>
        <w:rPr>
          <w:rFonts w:ascii="Verdana" w:eastAsia="Arial" w:hAnsi="Verdana" w:cs="Arial"/>
          <w:lang w:val="es-ES" w:eastAsia="es-ES" w:bidi="es-ES"/>
        </w:rPr>
      </w:pPr>
      <w:proofErr w:type="spellStart"/>
      <w:r w:rsidRPr="0013268A">
        <w:rPr>
          <w:rFonts w:ascii="Verdana" w:eastAsia="Calibri" w:hAnsi="Verdana" w:cs="Arial"/>
        </w:rPr>
        <w:t>ii</w:t>
      </w:r>
      <w:proofErr w:type="spellEnd"/>
      <w:r w:rsidRPr="0013268A">
        <w:rPr>
          <w:rFonts w:ascii="Verdana" w:eastAsia="Calibri" w:hAnsi="Verdana" w:cs="Arial"/>
        </w:rPr>
        <w:t xml:space="preserve">. </w:t>
      </w:r>
      <w:r w:rsidRPr="0013268A">
        <w:rPr>
          <w:rFonts w:ascii="Verdana" w:eastAsia="Arial" w:hAnsi="Verdana"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570F167D" w14:textId="77777777" w:rsidR="003F60FB" w:rsidRPr="0013268A" w:rsidRDefault="003F60FB" w:rsidP="003F60FB">
      <w:pPr>
        <w:widowControl w:val="0"/>
        <w:autoSpaceDE w:val="0"/>
        <w:autoSpaceDN w:val="0"/>
        <w:spacing w:before="1" w:after="0" w:line="240" w:lineRule="auto"/>
        <w:rPr>
          <w:rFonts w:ascii="Verdana" w:eastAsia="Arial" w:hAnsi="Verdana" w:cs="Arial"/>
          <w:lang w:val="es-ES" w:eastAsia="es-ES" w:bidi="es-ES"/>
        </w:rPr>
      </w:pPr>
    </w:p>
    <w:p w14:paraId="78DE945F" w14:textId="77777777" w:rsidR="003F60FB" w:rsidRPr="0013268A" w:rsidRDefault="003F60FB" w:rsidP="003F60FB">
      <w:pPr>
        <w:widowControl w:val="0"/>
        <w:autoSpaceDE w:val="0"/>
        <w:autoSpaceDN w:val="0"/>
        <w:spacing w:before="1" w:after="0" w:line="240" w:lineRule="auto"/>
        <w:ind w:left="709" w:right="709"/>
        <w:jc w:val="both"/>
        <w:rPr>
          <w:rFonts w:ascii="Verdana" w:eastAsia="Arial" w:hAnsi="Verdana" w:cs="Arial"/>
          <w:sz w:val="21"/>
          <w:lang w:val="es-ES" w:eastAsia="es-ES" w:bidi="es-ES"/>
        </w:rPr>
      </w:pPr>
      <w:r w:rsidRPr="0013268A">
        <w:rPr>
          <w:rFonts w:ascii="Verdana" w:eastAsia="Arial" w:hAnsi="Verdana" w:cs="Arial"/>
          <w:sz w:val="21"/>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0DEEEDFC" w14:textId="77777777" w:rsidR="003F60FB" w:rsidRPr="0013268A" w:rsidRDefault="003F60FB" w:rsidP="003F60FB">
      <w:pPr>
        <w:widowControl w:val="0"/>
        <w:autoSpaceDE w:val="0"/>
        <w:autoSpaceDN w:val="0"/>
        <w:spacing w:after="120" w:line="240" w:lineRule="auto"/>
        <w:ind w:left="709" w:right="709"/>
        <w:rPr>
          <w:rFonts w:ascii="Verdana" w:eastAsia="Arial" w:hAnsi="Verdana" w:cs="Arial"/>
          <w:sz w:val="21"/>
          <w:lang w:val="es-ES" w:eastAsia="es-ES" w:bidi="es-ES"/>
        </w:rPr>
      </w:pPr>
      <w:r w:rsidRPr="0013268A">
        <w:rPr>
          <w:rFonts w:ascii="Verdana" w:eastAsia="Arial" w:hAnsi="Verdana" w:cs="Arial"/>
          <w:sz w:val="21"/>
          <w:lang w:val="es-ES" w:eastAsia="es-ES" w:bidi="es-ES"/>
        </w:rPr>
        <w:t>[…]</w:t>
      </w:r>
    </w:p>
    <w:p w14:paraId="222C9E90" w14:textId="77777777" w:rsidR="003F60FB" w:rsidRPr="0013268A" w:rsidRDefault="003F60FB" w:rsidP="003F60FB">
      <w:pPr>
        <w:widowControl w:val="0"/>
        <w:autoSpaceDE w:val="0"/>
        <w:autoSpaceDN w:val="0"/>
        <w:spacing w:after="0" w:line="240" w:lineRule="auto"/>
        <w:ind w:left="709" w:right="709"/>
        <w:jc w:val="both"/>
        <w:rPr>
          <w:rFonts w:ascii="Verdana" w:eastAsia="Arial" w:hAnsi="Verdana" w:cs="Arial"/>
          <w:sz w:val="21"/>
          <w:lang w:val="es-ES" w:eastAsia="es-ES" w:bidi="es-ES"/>
        </w:rPr>
      </w:pPr>
      <w:r w:rsidRPr="0013268A">
        <w:rPr>
          <w:rFonts w:ascii="Verdana" w:eastAsia="Arial" w:hAnsi="Verdana" w:cs="Arial"/>
          <w:sz w:val="21"/>
          <w:lang w:val="es-ES" w:eastAsia="es-ES" w:bidi="es-ES"/>
        </w:rPr>
        <w:t xml:space="preserve">La exigencia de títulos de idoneidad y tarjetas </w:t>
      </w:r>
      <w:proofErr w:type="gramStart"/>
      <w:r w:rsidRPr="0013268A">
        <w:rPr>
          <w:rFonts w:ascii="Verdana" w:eastAsia="Arial" w:hAnsi="Verdana" w:cs="Arial"/>
          <w:sz w:val="21"/>
          <w:lang w:val="es-ES" w:eastAsia="es-ES" w:bidi="es-ES"/>
        </w:rPr>
        <w:t>profesionales,</w:t>
      </w:r>
      <w:proofErr w:type="gramEnd"/>
      <w:r w:rsidRPr="0013268A">
        <w:rPr>
          <w:rFonts w:ascii="Verdana" w:eastAsia="Arial" w:hAnsi="Verdana" w:cs="Arial"/>
          <w:sz w:val="21"/>
          <w:lang w:val="es-ES" w:eastAsia="es-ES" w:bidi="es-ES"/>
        </w:rPr>
        <w:t xml:space="preserve"> constituye </w:t>
      </w:r>
      <w:r w:rsidRPr="0013268A">
        <w:rPr>
          <w:rFonts w:ascii="Verdana" w:eastAsia="Arial" w:hAnsi="Verdana" w:cs="Arial"/>
          <w:sz w:val="21"/>
          <w:lang w:val="es-ES" w:eastAsia="es-ES" w:bidi="es-ES"/>
        </w:rPr>
        <w:lastRenderedPageBreak/>
        <w:t>una excepción al principio de libertad e igualdad en materia laboral y, por lo tanto, es necesario demostrar que la formación intelectual y técnica requerida es un medio idóneo y proporción”</w:t>
      </w:r>
      <w:r w:rsidRPr="0013268A">
        <w:rPr>
          <w:rFonts w:ascii="Verdana" w:eastAsia="Arial" w:hAnsi="Verdana" w:cs="Arial"/>
          <w:sz w:val="21"/>
          <w:vertAlign w:val="superscript"/>
          <w:lang w:val="es-ES" w:eastAsia="es-ES" w:bidi="es-ES"/>
        </w:rPr>
        <w:footnoteReference w:id="7"/>
      </w:r>
      <w:r w:rsidRPr="0013268A">
        <w:rPr>
          <w:rFonts w:ascii="Verdana" w:eastAsia="Arial" w:hAnsi="Verdana" w:cs="Arial"/>
          <w:sz w:val="21"/>
          <w:lang w:val="es-ES" w:eastAsia="es-ES" w:bidi="es-ES"/>
        </w:rPr>
        <w:t>.</w:t>
      </w:r>
    </w:p>
    <w:p w14:paraId="24CBAEC4" w14:textId="77777777" w:rsidR="003F60FB" w:rsidRPr="0013268A" w:rsidRDefault="003F60FB" w:rsidP="003F60FB">
      <w:pPr>
        <w:widowControl w:val="0"/>
        <w:autoSpaceDE w:val="0"/>
        <w:autoSpaceDN w:val="0"/>
        <w:spacing w:after="0" w:line="240" w:lineRule="auto"/>
        <w:ind w:right="304"/>
        <w:jc w:val="both"/>
        <w:rPr>
          <w:rFonts w:ascii="Verdana" w:eastAsia="Calibri" w:hAnsi="Verdana" w:cs="Arial"/>
          <w:b/>
          <w:bCs/>
          <w:lang w:val="es-MX"/>
        </w:rPr>
      </w:pPr>
    </w:p>
    <w:p w14:paraId="34FC4E60" w14:textId="77777777" w:rsidR="003F60FB" w:rsidRPr="00DD3580" w:rsidRDefault="003F60FB" w:rsidP="003F60FB">
      <w:pPr>
        <w:widowControl w:val="0"/>
        <w:autoSpaceDE w:val="0"/>
        <w:autoSpaceDN w:val="0"/>
        <w:spacing w:after="0" w:line="276" w:lineRule="auto"/>
        <w:ind w:firstLine="709"/>
        <w:jc w:val="both"/>
        <w:rPr>
          <w:rFonts w:ascii="Verdana" w:hAnsi="Verdana" w:cs="Arial"/>
          <w:lang w:val="es-MX"/>
        </w:rPr>
      </w:pPr>
      <w:r w:rsidRPr="0013268A">
        <w:rPr>
          <w:rFonts w:ascii="Verdana" w:eastAsia="Arial" w:hAnsi="Verdana" w:cs="Arial"/>
          <w:lang w:val="es-MX"/>
        </w:rPr>
        <w:t xml:space="preserve">Haciendo uso de la mencionada prerrogativa, el legislador reguló el </w:t>
      </w:r>
      <w:r w:rsidRPr="0013268A">
        <w:rPr>
          <w:rFonts w:ascii="Verdana" w:eastAsia="Arial" w:hAnsi="Verdana"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13268A">
        <w:rPr>
          <w:rFonts w:ascii="Verdana" w:eastAsia="Arial" w:hAnsi="Verdana" w:cs="Arial"/>
          <w:spacing w:val="8"/>
          <w:lang w:val="es-ES"/>
        </w:rPr>
        <w:t xml:space="preserve"> </w:t>
      </w:r>
      <w:r w:rsidRPr="0013268A">
        <w:rPr>
          <w:rFonts w:ascii="Verdana" w:eastAsia="Arial" w:hAnsi="Verdana" w:cs="Arial"/>
          <w:lang w:val="es-ES"/>
        </w:rPr>
        <w:t>respectivo,</w:t>
      </w:r>
      <w:r w:rsidRPr="0013268A">
        <w:rPr>
          <w:rFonts w:ascii="Verdana" w:eastAsia="Arial" w:hAnsi="Verdana" w:cs="Arial"/>
          <w:spacing w:val="8"/>
          <w:lang w:val="es-ES"/>
        </w:rPr>
        <w:t xml:space="preserve"> </w:t>
      </w:r>
      <w:r w:rsidRPr="0013268A">
        <w:rPr>
          <w:rFonts w:ascii="Verdana" w:eastAsia="Arial" w:hAnsi="Verdana" w:cs="Arial"/>
          <w:lang w:val="es-ES"/>
        </w:rPr>
        <w:t>lo</w:t>
      </w:r>
      <w:r w:rsidRPr="0013268A">
        <w:rPr>
          <w:rFonts w:ascii="Verdana" w:eastAsia="Arial" w:hAnsi="Verdana" w:cs="Arial"/>
          <w:spacing w:val="9"/>
          <w:lang w:val="es-ES"/>
        </w:rPr>
        <w:t xml:space="preserve"> </w:t>
      </w:r>
      <w:r w:rsidRPr="0013268A">
        <w:rPr>
          <w:rFonts w:ascii="Verdana" w:eastAsia="Arial" w:hAnsi="Verdana" w:cs="Arial"/>
          <w:lang w:val="es-ES"/>
        </w:rPr>
        <w:t>cual</w:t>
      </w:r>
      <w:r w:rsidRPr="0013268A">
        <w:rPr>
          <w:rFonts w:ascii="Verdana" w:eastAsia="Arial" w:hAnsi="Verdana" w:cs="Arial"/>
          <w:spacing w:val="8"/>
          <w:lang w:val="es-ES"/>
        </w:rPr>
        <w:t xml:space="preserve"> </w:t>
      </w:r>
      <w:r w:rsidRPr="0013268A">
        <w:rPr>
          <w:rFonts w:ascii="Verdana" w:eastAsia="Arial" w:hAnsi="Verdana" w:cs="Arial"/>
          <w:lang w:val="es-ES"/>
        </w:rPr>
        <w:t>se</w:t>
      </w:r>
      <w:r w:rsidRPr="0013268A">
        <w:rPr>
          <w:rFonts w:ascii="Verdana" w:eastAsia="Arial" w:hAnsi="Verdana" w:cs="Arial"/>
          <w:spacing w:val="8"/>
          <w:lang w:val="es-ES"/>
        </w:rPr>
        <w:t xml:space="preserve"> </w:t>
      </w:r>
      <w:r w:rsidRPr="0013268A">
        <w:rPr>
          <w:rFonts w:ascii="Verdana" w:eastAsia="Arial" w:hAnsi="Verdana" w:cs="Arial"/>
          <w:lang w:val="es-ES"/>
        </w:rPr>
        <w:t>acredita</w:t>
      </w:r>
      <w:r w:rsidRPr="0013268A">
        <w:rPr>
          <w:rFonts w:ascii="Verdana" w:eastAsia="Arial" w:hAnsi="Verdana" w:cs="Arial"/>
          <w:spacing w:val="6"/>
          <w:lang w:val="es-ES"/>
        </w:rPr>
        <w:t xml:space="preserve"> </w:t>
      </w:r>
      <w:r w:rsidRPr="0013268A">
        <w:rPr>
          <w:rFonts w:ascii="Verdana" w:eastAsia="Arial" w:hAnsi="Verdana" w:cs="Arial"/>
          <w:lang w:val="es-ES"/>
        </w:rPr>
        <w:t>con</w:t>
      </w:r>
      <w:r w:rsidRPr="0013268A">
        <w:rPr>
          <w:rFonts w:ascii="Verdana" w:eastAsia="Arial" w:hAnsi="Verdana" w:cs="Arial"/>
          <w:spacing w:val="7"/>
          <w:lang w:val="es-ES"/>
        </w:rPr>
        <w:t xml:space="preserve"> </w:t>
      </w:r>
      <w:r w:rsidRPr="0013268A">
        <w:rPr>
          <w:rFonts w:ascii="Verdana" w:eastAsia="Arial" w:hAnsi="Verdana" w:cs="Arial"/>
          <w:lang w:val="es-ES"/>
        </w:rPr>
        <w:t>la</w:t>
      </w:r>
      <w:r w:rsidRPr="0013268A">
        <w:rPr>
          <w:rFonts w:ascii="Verdana" w:eastAsia="Arial" w:hAnsi="Verdana" w:cs="Arial"/>
          <w:spacing w:val="8"/>
          <w:lang w:val="es-ES"/>
        </w:rPr>
        <w:t xml:space="preserve"> </w:t>
      </w:r>
      <w:r w:rsidRPr="0013268A">
        <w:rPr>
          <w:rFonts w:ascii="Verdana" w:eastAsia="Arial" w:hAnsi="Verdana" w:cs="Arial"/>
          <w:lang w:val="es-ES"/>
        </w:rPr>
        <w:t>tarjeta</w:t>
      </w:r>
      <w:r w:rsidRPr="0013268A">
        <w:rPr>
          <w:rFonts w:ascii="Verdana" w:eastAsia="Arial" w:hAnsi="Verdana" w:cs="Arial"/>
          <w:spacing w:val="9"/>
          <w:lang w:val="es-ES"/>
        </w:rPr>
        <w:t xml:space="preserve"> </w:t>
      </w:r>
      <w:r w:rsidRPr="0013268A">
        <w:rPr>
          <w:rFonts w:ascii="Verdana" w:eastAsia="Arial" w:hAnsi="Verdana" w:cs="Arial"/>
          <w:lang w:val="es-ES"/>
        </w:rPr>
        <w:t>o</w:t>
      </w:r>
      <w:r w:rsidRPr="0013268A">
        <w:rPr>
          <w:rFonts w:ascii="Verdana" w:eastAsia="Arial" w:hAnsi="Verdana" w:cs="Arial"/>
          <w:spacing w:val="7"/>
          <w:lang w:val="es-ES"/>
        </w:rPr>
        <w:t xml:space="preserve"> </w:t>
      </w:r>
      <w:r w:rsidRPr="0013268A">
        <w:rPr>
          <w:rFonts w:ascii="Verdana" w:eastAsia="Arial" w:hAnsi="Verdana" w:cs="Arial"/>
          <w:lang w:val="es-ES"/>
        </w:rPr>
        <w:t>documento adoptado por este para tal fin</w:t>
      </w:r>
      <w:r w:rsidRPr="00DD3580">
        <w:rPr>
          <w:rFonts w:ascii="Verdana" w:eastAsia="Arial" w:hAnsi="Verdana" w:cs="Arial"/>
          <w:lang w:val="es-ES"/>
        </w:rPr>
        <w:t xml:space="preserve">. </w:t>
      </w:r>
      <w:r w:rsidRPr="00DD3580">
        <w:rPr>
          <w:rFonts w:ascii="Verdana" w:hAnsi="Verdana" w:cs="Arial"/>
          <w:lang w:val="es-MX"/>
        </w:rPr>
        <w:t>Conforme a esto, el artículo 2 de la Ley 842 de 2003 enlista una serie de actividades que constituyen ejercicio de la ingeniería:</w:t>
      </w:r>
    </w:p>
    <w:p w14:paraId="4E57830E" w14:textId="77777777" w:rsidR="003F60FB" w:rsidRPr="00DD3580" w:rsidRDefault="003F60FB" w:rsidP="003F60FB">
      <w:pPr>
        <w:widowControl w:val="0"/>
        <w:autoSpaceDE w:val="0"/>
        <w:autoSpaceDN w:val="0"/>
        <w:spacing w:after="0" w:line="276" w:lineRule="auto"/>
        <w:ind w:firstLine="708"/>
        <w:jc w:val="both"/>
        <w:rPr>
          <w:rFonts w:ascii="Verdana" w:hAnsi="Verdana" w:cs="Arial"/>
          <w:lang w:val="es-MX"/>
        </w:rPr>
      </w:pPr>
    </w:p>
    <w:p w14:paraId="0E4B832F" w14:textId="77777777" w:rsidR="003F60FB" w:rsidRPr="00DD3580" w:rsidRDefault="003F60FB" w:rsidP="003F60FB">
      <w:pPr>
        <w:widowControl w:val="0"/>
        <w:autoSpaceDE w:val="0"/>
        <w:autoSpaceDN w:val="0"/>
        <w:spacing w:after="120" w:line="240" w:lineRule="auto"/>
        <w:ind w:left="709" w:right="709"/>
        <w:jc w:val="both"/>
        <w:rPr>
          <w:rFonts w:ascii="Verdana" w:hAnsi="Verdana" w:cs="Arial"/>
          <w:sz w:val="21"/>
          <w:szCs w:val="21"/>
          <w:lang w:val="es-MX"/>
        </w:rPr>
      </w:pPr>
      <w:r>
        <w:rPr>
          <w:rFonts w:ascii="Verdana" w:hAnsi="Verdana" w:cs="Arial"/>
          <w:sz w:val="21"/>
          <w:szCs w:val="21"/>
          <w:lang w:val="es-MX"/>
        </w:rPr>
        <w:t>“</w:t>
      </w:r>
      <w:r w:rsidRPr="00DD3580">
        <w:rPr>
          <w:rFonts w:ascii="Verdana" w:hAnsi="Verdana" w:cs="Arial"/>
          <w:sz w:val="21"/>
          <w:szCs w:val="21"/>
          <w:lang w:val="es-MX"/>
        </w:rPr>
        <w:t xml:space="preserve">Artículo 2o. </w:t>
      </w:r>
      <w:r w:rsidRPr="00DD3580">
        <w:rPr>
          <w:rFonts w:ascii="Verdana" w:hAnsi="Verdana" w:cs="Arial"/>
          <w:i/>
          <w:iCs/>
          <w:sz w:val="21"/>
          <w:szCs w:val="21"/>
          <w:lang w:val="es-MX"/>
        </w:rPr>
        <w:t>Ejercicio de la ingeniería</w:t>
      </w:r>
      <w:r w:rsidRPr="00DD3580">
        <w:rPr>
          <w:rFonts w:ascii="Verdana" w:hAnsi="Verdana" w:cs="Arial"/>
          <w:sz w:val="21"/>
          <w:szCs w:val="21"/>
          <w:lang w:val="es-MX"/>
        </w:rPr>
        <w:t>. Para los efectos de la presente ley, se entiende como ejercicio de la ingeniería, el desempeño de</w:t>
      </w:r>
      <w:r>
        <w:rPr>
          <w:rFonts w:ascii="Verdana" w:hAnsi="Verdana" w:cs="Arial"/>
          <w:sz w:val="21"/>
          <w:szCs w:val="21"/>
          <w:lang w:val="es-MX"/>
        </w:rPr>
        <w:t xml:space="preserve"> </w:t>
      </w:r>
      <w:r w:rsidRPr="00DD3580">
        <w:rPr>
          <w:rFonts w:ascii="Verdana" w:hAnsi="Verdana" w:cs="Arial"/>
          <w:sz w:val="21"/>
          <w:szCs w:val="21"/>
          <w:lang w:val="es-MX"/>
        </w:rPr>
        <w:t>actividades tales como:</w:t>
      </w:r>
    </w:p>
    <w:p w14:paraId="01F4666A" w14:textId="77777777" w:rsidR="003F60FB" w:rsidRPr="00DD3580" w:rsidRDefault="003F60FB" w:rsidP="003F60FB">
      <w:pPr>
        <w:widowControl w:val="0"/>
        <w:autoSpaceDE w:val="0"/>
        <w:autoSpaceDN w:val="0"/>
        <w:spacing w:after="120" w:line="240" w:lineRule="auto"/>
        <w:ind w:left="709" w:right="709"/>
        <w:jc w:val="both"/>
        <w:rPr>
          <w:rFonts w:ascii="Verdana" w:hAnsi="Verdana" w:cs="Arial"/>
          <w:sz w:val="21"/>
          <w:szCs w:val="21"/>
          <w:lang w:val="es-MX"/>
        </w:rPr>
      </w:pPr>
      <w:r w:rsidRPr="00DD3580">
        <w:rPr>
          <w:rFonts w:ascii="Verdana" w:hAnsi="Verdana" w:cs="Arial"/>
          <w:sz w:val="21"/>
          <w:szCs w:val="21"/>
          <w:lang w:val="es-MX"/>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180996CD" w14:textId="77777777" w:rsidR="003F60FB" w:rsidRPr="00DD3580" w:rsidRDefault="003F60FB" w:rsidP="003F60FB">
      <w:pPr>
        <w:widowControl w:val="0"/>
        <w:autoSpaceDE w:val="0"/>
        <w:autoSpaceDN w:val="0"/>
        <w:spacing w:after="120" w:line="240" w:lineRule="auto"/>
        <w:ind w:left="709" w:right="709"/>
        <w:jc w:val="both"/>
        <w:rPr>
          <w:rFonts w:ascii="Verdana" w:hAnsi="Verdana" w:cs="Arial"/>
          <w:sz w:val="21"/>
          <w:szCs w:val="21"/>
          <w:lang w:val="es-MX"/>
        </w:rPr>
      </w:pPr>
      <w:r w:rsidRPr="00DD3580">
        <w:rPr>
          <w:rFonts w:ascii="Verdana" w:hAnsi="Verdana" w:cs="Arial"/>
          <w:sz w:val="21"/>
          <w:szCs w:val="21"/>
          <w:lang w:val="es-MX"/>
        </w:rPr>
        <w:t xml:space="preserve">b) Los estudios, proyectos, diseños y procesos industriales, textiles, electromecánicos, termoeléctricos, energéticos, mecánicos, eléctricos, electrónicos, de computación, de sistemas, teleinformáticos, agroindustriales, agronómicos, agrícolas, agrológicos, de alimentos, agrometeorológicos, ambientales, geofísicos, forestales, químicos, metalúrgicos, mineros, de petróleos, geológicos, geodésicos, geográficos, topográficos e hidrológicos; </w:t>
      </w:r>
    </w:p>
    <w:p w14:paraId="42EAE2FC" w14:textId="77777777" w:rsidR="003F60FB" w:rsidRPr="00DD3580" w:rsidRDefault="003F60FB" w:rsidP="003F60FB">
      <w:pPr>
        <w:widowControl w:val="0"/>
        <w:autoSpaceDE w:val="0"/>
        <w:autoSpaceDN w:val="0"/>
        <w:spacing w:after="120" w:line="240" w:lineRule="auto"/>
        <w:ind w:left="709" w:right="709"/>
        <w:jc w:val="both"/>
        <w:rPr>
          <w:rFonts w:ascii="Verdana" w:hAnsi="Verdana" w:cs="Arial"/>
          <w:sz w:val="21"/>
          <w:szCs w:val="21"/>
          <w:lang w:val="es-MX"/>
        </w:rPr>
      </w:pPr>
      <w:r w:rsidRPr="00DD3580">
        <w:rPr>
          <w:rFonts w:ascii="Verdana" w:hAnsi="Verdana" w:cs="Arial"/>
          <w:sz w:val="21"/>
          <w:szCs w:val="21"/>
          <w:lang w:val="es-MX"/>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w:t>
      </w:r>
      <w:r w:rsidRPr="00DD3580">
        <w:rPr>
          <w:rFonts w:ascii="Verdana" w:hAnsi="Verdana" w:cs="Arial"/>
          <w:sz w:val="21"/>
          <w:szCs w:val="21"/>
          <w:lang w:val="es-MX"/>
        </w:rPr>
        <w:lastRenderedPageBreak/>
        <w:t xml:space="preserve">para los efectos de esta ley, el presentarse o anunciarse como ingeniero o acceder a un cargo de nivel profesional utilizando dicho título. </w:t>
      </w:r>
    </w:p>
    <w:p w14:paraId="4812A3FB" w14:textId="77777777" w:rsidR="003F60FB" w:rsidRPr="00DD3580" w:rsidRDefault="003F60FB" w:rsidP="003F60FB">
      <w:pPr>
        <w:widowControl w:val="0"/>
        <w:autoSpaceDE w:val="0"/>
        <w:autoSpaceDN w:val="0"/>
        <w:spacing w:after="0" w:line="240" w:lineRule="auto"/>
        <w:ind w:left="709" w:right="709"/>
        <w:jc w:val="both"/>
        <w:rPr>
          <w:rFonts w:ascii="Verdana" w:hAnsi="Verdana" w:cs="Arial"/>
          <w:sz w:val="21"/>
          <w:szCs w:val="21"/>
          <w:lang w:val="es-MX"/>
        </w:rPr>
      </w:pPr>
      <w:r w:rsidRPr="00DD3580">
        <w:rPr>
          <w:rFonts w:ascii="Verdana" w:hAnsi="Verdana" w:cs="Arial"/>
          <w:sz w:val="21"/>
          <w:szCs w:val="21"/>
          <w:lang w:val="es-MX"/>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w:t>
      </w:r>
    </w:p>
    <w:p w14:paraId="0E29A423" w14:textId="77777777" w:rsidR="003F60FB" w:rsidRPr="00DD3580" w:rsidRDefault="003F60FB" w:rsidP="003F60FB">
      <w:pPr>
        <w:widowControl w:val="0"/>
        <w:autoSpaceDE w:val="0"/>
        <w:autoSpaceDN w:val="0"/>
        <w:spacing w:after="0" w:line="276" w:lineRule="auto"/>
        <w:ind w:left="709" w:right="709"/>
        <w:jc w:val="both"/>
        <w:rPr>
          <w:rFonts w:ascii="Verdana" w:hAnsi="Verdana" w:cs="Arial"/>
          <w:sz w:val="21"/>
          <w:szCs w:val="21"/>
          <w:lang w:val="es-MX"/>
        </w:rPr>
      </w:pPr>
      <w:r w:rsidRPr="00DD3580">
        <w:rPr>
          <w:rFonts w:ascii="Verdana" w:eastAsia="Arial" w:hAnsi="Verdana" w:cs="Arial"/>
          <w:lang w:val="es-ES"/>
        </w:rPr>
        <w:t xml:space="preserve"> </w:t>
      </w:r>
    </w:p>
    <w:p w14:paraId="6E8A7EEC" w14:textId="77777777" w:rsidR="003F60FB" w:rsidRPr="0013268A" w:rsidRDefault="003F60FB" w:rsidP="003F60FB">
      <w:pPr>
        <w:widowControl w:val="0"/>
        <w:autoSpaceDE w:val="0"/>
        <w:autoSpaceDN w:val="0"/>
        <w:spacing w:after="0" w:line="276" w:lineRule="auto"/>
        <w:ind w:firstLine="709"/>
        <w:jc w:val="both"/>
        <w:rPr>
          <w:rFonts w:ascii="Verdana" w:eastAsia="Arial" w:hAnsi="Verdana" w:cs="Arial"/>
          <w:lang w:val="es-ES"/>
        </w:rPr>
      </w:pPr>
      <w:r w:rsidRPr="0013268A">
        <w:rPr>
          <w:rFonts w:ascii="Verdana" w:eastAsia="Arial" w:hAnsi="Verdana" w:cs="Arial"/>
          <w:lang w:val="es-ES"/>
        </w:rPr>
        <w:t>Adicionalmente, en el capítulo relativo al ejercicio ilegal de la ingeniería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13268A">
        <w:rPr>
          <w:rFonts w:ascii="Verdana" w:eastAsia="Arial" w:hAnsi="Verdana" w:cs="Arial"/>
          <w:spacing w:val="-16"/>
          <w:lang w:val="es-ES"/>
        </w:rPr>
        <w:t xml:space="preserve"> </w:t>
      </w:r>
      <w:r w:rsidRPr="0013268A">
        <w:rPr>
          <w:rFonts w:ascii="Verdana" w:eastAsia="Arial" w:hAnsi="Verdana" w:cs="Arial"/>
          <w:lang w:val="es-ES"/>
        </w:rPr>
        <w:t>ingeniería:</w:t>
      </w:r>
    </w:p>
    <w:p w14:paraId="52340404" w14:textId="77777777" w:rsidR="003F60FB" w:rsidRPr="0013268A" w:rsidRDefault="003F60FB" w:rsidP="003F60FB">
      <w:pPr>
        <w:widowControl w:val="0"/>
        <w:autoSpaceDE w:val="0"/>
        <w:autoSpaceDN w:val="0"/>
        <w:spacing w:after="0" w:line="276" w:lineRule="auto"/>
        <w:ind w:firstLine="709"/>
        <w:jc w:val="both"/>
        <w:rPr>
          <w:rFonts w:ascii="Verdana" w:eastAsia="Arial" w:hAnsi="Verdana" w:cs="Arial"/>
          <w:lang w:val="es-ES"/>
        </w:rPr>
      </w:pPr>
    </w:p>
    <w:p w14:paraId="308AF707" w14:textId="77777777" w:rsidR="003F60FB" w:rsidRPr="0013268A" w:rsidRDefault="003F60FB" w:rsidP="003F60FB">
      <w:pPr>
        <w:spacing w:after="120" w:line="240" w:lineRule="auto"/>
        <w:ind w:left="709" w:right="709"/>
        <w:jc w:val="both"/>
        <w:rPr>
          <w:rFonts w:ascii="Verdana" w:hAnsi="Verdana" w:cs="Arial"/>
          <w:sz w:val="21"/>
          <w:lang w:val="es-MX"/>
        </w:rPr>
      </w:pPr>
      <w:r w:rsidRPr="0013268A">
        <w:rPr>
          <w:rFonts w:ascii="Verdana" w:hAnsi="Verdana" w:cs="Arial"/>
          <w:sz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E339EC2" w14:textId="77777777" w:rsidR="003F60FB" w:rsidRPr="0013268A" w:rsidRDefault="003F60FB" w:rsidP="003F60FB">
      <w:pPr>
        <w:spacing w:after="120" w:line="240" w:lineRule="auto"/>
        <w:ind w:left="709" w:right="709"/>
        <w:jc w:val="both"/>
        <w:rPr>
          <w:rFonts w:ascii="Verdana" w:hAnsi="Verdana" w:cs="Arial"/>
          <w:sz w:val="21"/>
          <w:lang w:val="es-MX"/>
        </w:rPr>
      </w:pPr>
      <w:r w:rsidRPr="0013268A">
        <w:rPr>
          <w:rFonts w:ascii="Verdana" w:hAnsi="Verdana" w:cs="Arial"/>
          <w:sz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13268A">
        <w:rPr>
          <w:rFonts w:ascii="Verdana" w:hAnsi="Verdana" w:cs="Arial"/>
          <w:spacing w:val="-26"/>
          <w:sz w:val="21"/>
          <w:lang w:val="es-MX"/>
        </w:rPr>
        <w:t xml:space="preserve"> </w:t>
      </w:r>
      <w:r w:rsidRPr="0013268A">
        <w:rPr>
          <w:rFonts w:ascii="Verdana" w:hAnsi="Verdana" w:cs="Arial"/>
          <w:sz w:val="21"/>
          <w:lang w:val="es-MX"/>
        </w:rPr>
        <w:t>vigencia.</w:t>
      </w:r>
    </w:p>
    <w:p w14:paraId="7D5E62CC" w14:textId="77777777" w:rsidR="003F60FB" w:rsidRPr="0013268A" w:rsidRDefault="003F60FB" w:rsidP="003F60FB">
      <w:pPr>
        <w:spacing w:after="0" w:line="240" w:lineRule="auto"/>
        <w:ind w:left="709" w:right="709"/>
        <w:jc w:val="both"/>
        <w:rPr>
          <w:rFonts w:ascii="Verdana" w:hAnsi="Verdana" w:cs="Arial"/>
          <w:sz w:val="21"/>
          <w:lang w:val="es-MX"/>
        </w:rPr>
      </w:pPr>
      <w:r w:rsidRPr="0013268A">
        <w:rPr>
          <w:rFonts w:ascii="Verdana" w:hAnsi="Verdana" w:cs="Arial"/>
          <w:sz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290122A6" w14:textId="77777777" w:rsidR="003F60FB" w:rsidRPr="0013268A" w:rsidRDefault="003F60FB" w:rsidP="003F60FB">
      <w:pPr>
        <w:widowControl w:val="0"/>
        <w:autoSpaceDE w:val="0"/>
        <w:autoSpaceDN w:val="0"/>
        <w:spacing w:before="100" w:beforeAutospacing="1" w:after="120" w:line="276" w:lineRule="auto"/>
        <w:ind w:firstLine="709"/>
        <w:jc w:val="both"/>
        <w:rPr>
          <w:rFonts w:ascii="Verdana" w:eastAsia="Arial" w:hAnsi="Verdana" w:cs="Arial"/>
          <w:lang w:val="es-ES"/>
        </w:rPr>
      </w:pPr>
      <w:r w:rsidRPr="0013268A">
        <w:rPr>
          <w:rFonts w:ascii="Verdana" w:eastAsia="Arial" w:hAnsi="Verdana" w:cs="Arial"/>
          <w:lang w:val="es-ES"/>
        </w:rPr>
        <w:t xml:space="preserve">La disposición transcrita fue objeto de estudio por la Corte Constitucional en la sentencia C-191 de 2005. El demandante consideró que dicha norma </w:t>
      </w:r>
      <w:r w:rsidRPr="0013268A">
        <w:rPr>
          <w:rFonts w:ascii="Verdana" w:eastAsia="Arial" w:hAnsi="Verdana" w:cs="Arial"/>
          <w:lang w:val="es-ES"/>
        </w:rPr>
        <w:lastRenderedPageBreak/>
        <w:t>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2B9AFB6B" w14:textId="77777777" w:rsidR="003F60FB" w:rsidRDefault="003F60FB" w:rsidP="003F60FB">
      <w:pPr>
        <w:widowControl w:val="0"/>
        <w:autoSpaceDE w:val="0"/>
        <w:autoSpaceDN w:val="0"/>
        <w:spacing w:after="120" w:line="276" w:lineRule="auto"/>
        <w:ind w:firstLine="709"/>
        <w:jc w:val="both"/>
        <w:rPr>
          <w:rFonts w:ascii="Verdana" w:eastAsia="Arial" w:hAnsi="Verdana" w:cs="Arial"/>
          <w:lang w:val="es-ES"/>
        </w:rPr>
      </w:pPr>
      <w:r w:rsidRPr="0013268A">
        <w:rPr>
          <w:rFonts w:ascii="Verdana" w:eastAsia="Arial" w:hAnsi="Verdana" w:cs="Arial"/>
          <w:lang w:val="es-ES"/>
        </w:rPr>
        <w:t xml:space="preserve">La Corte Constitucional en su análisis consideró que las actividades propias de los arquitectos son diferentes a las de los ingenieros y sus profesiones auxiliares y afines. </w:t>
      </w:r>
      <w:r w:rsidRPr="00B849FF">
        <w:rPr>
          <w:rFonts w:ascii="Verdana" w:eastAsia="Arial" w:hAnsi="Verdana" w:cs="Arial"/>
          <w:lang w:val="es-ES"/>
        </w:rPr>
        <w:t xml:space="preserve">En ese sentido, la obligatoriedad de presentar las propuestas con aval de un ingeniero en licitaciones y concursos abiertos en los contratos que impliquen el desarrollo de actividades catalogadas como ejercicio de la ingeniera es objetiva y proporcional, en la medida que </w:t>
      </w:r>
      <w:r>
        <w:rPr>
          <w:rFonts w:ascii="Verdana" w:eastAsia="Arial" w:hAnsi="Verdana" w:cs="Arial"/>
          <w:lang w:val="es-ES"/>
        </w:rPr>
        <w:t xml:space="preserve">es exigible </w:t>
      </w:r>
      <w:r w:rsidRPr="00B849FF">
        <w:rPr>
          <w:rFonts w:ascii="Verdana" w:eastAsia="Arial" w:hAnsi="Verdana" w:cs="Arial"/>
          <w:lang w:val="es-ES"/>
        </w:rPr>
        <w:t xml:space="preserve">tratándose de procesos de contratación que involucren actividades </w:t>
      </w:r>
      <w:r>
        <w:rPr>
          <w:rFonts w:ascii="Verdana" w:eastAsia="Arial" w:hAnsi="Verdana" w:cs="Arial"/>
          <w:lang w:val="es-ES"/>
        </w:rPr>
        <w:t>dicha naturaleza</w:t>
      </w:r>
      <w:r w:rsidRPr="0013268A">
        <w:rPr>
          <w:rFonts w:ascii="Verdana" w:eastAsia="Arial" w:hAnsi="Verdana" w:cs="Arial"/>
          <w:vertAlign w:val="superscript"/>
          <w:lang w:val="es-ES"/>
        </w:rPr>
        <w:footnoteReference w:id="8"/>
      </w:r>
      <w:r w:rsidRPr="0013268A">
        <w:rPr>
          <w:rFonts w:ascii="Verdana" w:eastAsia="Arial" w:hAnsi="Verdana" w:cs="Arial"/>
          <w:lang w:val="es-ES"/>
        </w:rPr>
        <w:t>.</w:t>
      </w:r>
    </w:p>
    <w:p w14:paraId="73AC0BCA" w14:textId="77777777" w:rsidR="003F60FB" w:rsidRDefault="003F60FB" w:rsidP="003F60FB">
      <w:pPr>
        <w:widowControl w:val="0"/>
        <w:autoSpaceDE w:val="0"/>
        <w:autoSpaceDN w:val="0"/>
        <w:spacing w:after="120" w:line="276" w:lineRule="auto"/>
        <w:ind w:firstLine="709"/>
        <w:jc w:val="both"/>
        <w:rPr>
          <w:rFonts w:ascii="Verdana" w:eastAsia="Arial" w:hAnsi="Verdana" w:cs="Arial"/>
          <w:sz w:val="21"/>
          <w:lang w:val="es-ES"/>
        </w:rPr>
      </w:pPr>
      <w:r w:rsidRPr="00CD2222">
        <w:rPr>
          <w:rFonts w:ascii="Verdana" w:eastAsia="Arial" w:hAnsi="Verdana" w:cs="Arial"/>
          <w:lang w:val="es-ES"/>
        </w:rPr>
        <w:t>Aunado a lo anterior, el Tribunal Constitucional también señaló que la persona idónea y habilitada legalmente para ejercer la ingeniería, en actividades catalogadas como</w:t>
      </w:r>
      <w:r>
        <w:rPr>
          <w:rFonts w:ascii="Verdana" w:eastAsia="Arial" w:hAnsi="Verdana" w:cs="Arial"/>
          <w:lang w:val="es-ES"/>
        </w:rPr>
        <w:t xml:space="preserve"> </w:t>
      </w:r>
      <w:r w:rsidRPr="00CD2222">
        <w:rPr>
          <w:rFonts w:ascii="Verdana" w:eastAsia="Arial" w:hAnsi="Verdana" w:cs="Arial"/>
          <w:lang w:val="es-ES"/>
        </w:rPr>
        <w:t>ejercicio de dicha profesión, es la matriculada o inscrita en el Registro Profesional de Ingenieros y que por ende cuenta con un título</w:t>
      </w:r>
      <w:r w:rsidRPr="00CD2222">
        <w:rPr>
          <w:rFonts w:ascii="Verdana" w:eastAsia="Arial" w:hAnsi="Verdana" w:cs="Arial"/>
          <w:spacing w:val="-3"/>
          <w:lang w:val="es-ES"/>
        </w:rPr>
        <w:t xml:space="preserve"> </w:t>
      </w:r>
      <w:r w:rsidRPr="00CD2222">
        <w:rPr>
          <w:rFonts w:ascii="Verdana" w:eastAsia="Arial" w:hAnsi="Verdana" w:cs="Arial"/>
          <w:lang w:val="es-ES"/>
        </w:rPr>
        <w:t>profesional</w:t>
      </w:r>
      <w:r w:rsidRPr="00CD2222">
        <w:rPr>
          <w:rFonts w:ascii="Verdana" w:eastAsia="Arial" w:hAnsi="Verdana" w:cs="Arial"/>
          <w:vertAlign w:val="superscript"/>
          <w:lang w:val="es-ES"/>
        </w:rPr>
        <w:footnoteReference w:id="9"/>
      </w:r>
      <w:r w:rsidRPr="00CD2222">
        <w:rPr>
          <w:rFonts w:ascii="Verdana" w:eastAsia="Arial" w:hAnsi="Verdana"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CD2222">
        <w:rPr>
          <w:rFonts w:ascii="Verdana" w:eastAsia="Arial" w:hAnsi="Verdana" w:cs="Arial"/>
          <w:spacing w:val="-2"/>
          <w:lang w:val="es-ES"/>
        </w:rPr>
        <w:t xml:space="preserve"> </w:t>
      </w:r>
      <w:r w:rsidRPr="00CD2222">
        <w:rPr>
          <w:rFonts w:ascii="Verdana" w:eastAsia="Arial" w:hAnsi="Verdana" w:cs="Arial"/>
          <w:lang w:val="es-ES"/>
        </w:rPr>
        <w:t>diferente.</w:t>
      </w:r>
      <w:r>
        <w:rPr>
          <w:rFonts w:ascii="Verdana" w:eastAsia="Arial" w:hAnsi="Verdana" w:cs="Arial"/>
          <w:sz w:val="21"/>
          <w:lang w:val="es-ES"/>
        </w:rPr>
        <w:t xml:space="preserve"> </w:t>
      </w:r>
    </w:p>
    <w:p w14:paraId="2A4D2F02" w14:textId="77777777" w:rsidR="003F60FB" w:rsidRDefault="003F60FB" w:rsidP="003F60FB">
      <w:pPr>
        <w:widowControl w:val="0"/>
        <w:autoSpaceDE w:val="0"/>
        <w:autoSpaceDN w:val="0"/>
        <w:spacing w:after="120" w:line="276" w:lineRule="auto"/>
        <w:ind w:firstLine="709"/>
        <w:jc w:val="both"/>
        <w:rPr>
          <w:rFonts w:ascii="Verdana" w:eastAsia="Arial" w:hAnsi="Verdana" w:cs="Arial"/>
          <w:lang w:val="es-ES"/>
        </w:rPr>
      </w:pPr>
      <w:r w:rsidRPr="00CD2222">
        <w:rPr>
          <w:rFonts w:ascii="Verdana" w:eastAsia="Arial" w:hAnsi="Verdana" w:cs="Arial"/>
          <w:lang w:val="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r>
        <w:rPr>
          <w:rFonts w:ascii="Verdana" w:eastAsia="Arial" w:hAnsi="Verdana" w:cs="Arial"/>
          <w:lang w:val="es-ES"/>
        </w:rPr>
        <w:t xml:space="preserve"> </w:t>
      </w:r>
      <w:r>
        <w:rPr>
          <w:rFonts w:ascii="Verdana" w:eastAsia="Calibri" w:hAnsi="Verdana" w:cs="Arial"/>
          <w:color w:val="000000" w:themeColor="text1"/>
        </w:rPr>
        <w:t>Por tanto, si en los entregables del proceso de selección existe ejercicio conjunto la arquitectura y la ingeniería, el abono de la oferta es obligatorio conforme a</w:t>
      </w:r>
      <w:r w:rsidRPr="0013268A">
        <w:rPr>
          <w:rFonts w:ascii="Verdana" w:eastAsia="Arial" w:hAnsi="Verdana" w:cs="Arial"/>
          <w:lang w:val="es-ES"/>
        </w:rPr>
        <w:t xml:space="preserve">l </w:t>
      </w:r>
      <w:r w:rsidRPr="0013268A">
        <w:rPr>
          <w:rFonts w:ascii="Verdana" w:eastAsia="Arial" w:hAnsi="Verdana" w:cs="Arial"/>
          <w:lang w:val="es-ES"/>
        </w:rPr>
        <w:lastRenderedPageBreak/>
        <w:t>artículo 20</w:t>
      </w:r>
      <w:r>
        <w:rPr>
          <w:rFonts w:ascii="Verdana" w:eastAsia="Arial" w:hAnsi="Verdana" w:cs="Arial"/>
          <w:lang w:val="es-ES"/>
        </w:rPr>
        <w:t xml:space="preserve"> de la Ley 842 de 2003 cuando el objeto del contrato, su alcance o las obligaciones pactadas impliquen el ejercicio de esta última conforme al artículo 2 </w:t>
      </w:r>
      <w:r w:rsidRPr="002A2148">
        <w:rPr>
          <w:rFonts w:ascii="Verdana" w:eastAsia="Arial" w:hAnsi="Verdana" w:cs="Arial"/>
          <w:i/>
          <w:iCs/>
          <w:lang w:val="es-ES"/>
        </w:rPr>
        <w:t>ibidem</w:t>
      </w:r>
      <w:r w:rsidRPr="002A2148">
        <w:rPr>
          <w:rFonts w:ascii="Verdana" w:eastAsia="Arial" w:hAnsi="Verdana" w:cs="Arial"/>
          <w:lang w:val="es-ES"/>
        </w:rPr>
        <w:t>.</w:t>
      </w:r>
      <w:r>
        <w:rPr>
          <w:rFonts w:ascii="Verdana" w:eastAsia="Arial" w:hAnsi="Verdana" w:cs="Arial"/>
          <w:lang w:val="es-ES"/>
        </w:rPr>
        <w:t xml:space="preserve"> </w:t>
      </w:r>
    </w:p>
    <w:p w14:paraId="6E11257B" w14:textId="77777777" w:rsidR="003F60FB" w:rsidRDefault="003F60FB" w:rsidP="003F60FB">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Para estos efectos, la norma analizada requiere el abono de la propuesta en los procesos de selección que tengan pluralidad de oferentes. Por ejemplo, la Agencia se ha referido a la exigencia del requisito previsto en el artículo 20 de la Ley 842 de 2003 en los documentos tipo de selección abreviada de menor cuantía –versión 3– y de mínima cuantía –versión 2– para obras de infraestructura de transporte. Si bien la norma citada se refiere a las licitaciones y concursos abiertos, es necesario tener en cuenta que la Ley 80 de 1993 </w:t>
      </w:r>
      <w:r w:rsidRPr="000E665A">
        <w:rPr>
          <w:rFonts w:ascii="Verdana" w:eastAsia="Arial" w:hAnsi="Verdana" w:cs="Arial"/>
          <w:lang w:val="es-ES"/>
        </w:rPr>
        <w:t>establec</w:t>
      </w:r>
      <w:r>
        <w:rPr>
          <w:rFonts w:ascii="Verdana" w:eastAsia="Arial" w:hAnsi="Verdana" w:cs="Arial"/>
          <w:lang w:val="es-ES"/>
        </w:rPr>
        <w:t>ía</w:t>
      </w:r>
      <w:r w:rsidRPr="000E665A">
        <w:rPr>
          <w:rFonts w:ascii="Verdana" w:eastAsia="Arial" w:hAnsi="Verdana" w:cs="Arial"/>
          <w:lang w:val="es-ES"/>
        </w:rPr>
        <w:t xml:space="preserve"> tres (3) procedimientos de selección: i) licitación o concurso público, </w:t>
      </w:r>
      <w:proofErr w:type="spellStart"/>
      <w:r w:rsidRPr="000E665A">
        <w:rPr>
          <w:rFonts w:ascii="Verdana" w:eastAsia="Arial" w:hAnsi="Verdana" w:cs="Arial"/>
          <w:lang w:val="es-ES"/>
        </w:rPr>
        <w:t>ii</w:t>
      </w:r>
      <w:proofErr w:type="spellEnd"/>
      <w:r w:rsidRPr="000E665A">
        <w:rPr>
          <w:rFonts w:ascii="Verdana" w:eastAsia="Arial" w:hAnsi="Verdana" w:cs="Arial"/>
          <w:lang w:val="es-ES"/>
        </w:rPr>
        <w:t xml:space="preserve">) contratación sin formalidades plenas y </w:t>
      </w:r>
      <w:proofErr w:type="spellStart"/>
      <w:r w:rsidRPr="000E665A">
        <w:rPr>
          <w:rFonts w:ascii="Verdana" w:eastAsia="Arial" w:hAnsi="Verdana" w:cs="Arial"/>
          <w:lang w:val="es-ES"/>
        </w:rPr>
        <w:t>iii</w:t>
      </w:r>
      <w:proofErr w:type="spellEnd"/>
      <w:r w:rsidRPr="000E665A">
        <w:rPr>
          <w:rFonts w:ascii="Verdana" w:eastAsia="Arial" w:hAnsi="Verdana" w:cs="Arial"/>
          <w:lang w:val="es-ES"/>
        </w:rPr>
        <w:t>) contratación directa.</w:t>
      </w:r>
      <w:r>
        <w:rPr>
          <w:rFonts w:ascii="Verdana" w:eastAsia="Arial" w:hAnsi="Verdana" w:cs="Arial"/>
          <w:lang w:val="es-ES"/>
        </w:rPr>
        <w:t xml:space="preserve"> </w:t>
      </w:r>
    </w:p>
    <w:p w14:paraId="22D7E402" w14:textId="77777777" w:rsidR="003F60FB" w:rsidRDefault="003F60FB" w:rsidP="003F60FB">
      <w:pPr>
        <w:spacing w:after="120" w:line="276" w:lineRule="auto"/>
        <w:ind w:firstLine="708"/>
        <w:jc w:val="both"/>
        <w:rPr>
          <w:rFonts w:ascii="Verdana" w:hAnsi="Verdana" w:cs="Arial"/>
          <w:lang w:val="es-ES"/>
        </w:rPr>
      </w:pPr>
      <w:r w:rsidRPr="65748710">
        <w:rPr>
          <w:rFonts w:ascii="Verdana" w:hAnsi="Verdana" w:cs="Arial"/>
          <w:lang w:val="es-ES"/>
        </w:rPr>
        <w:t xml:space="preserve">No obstante, para el 2007, el ordenamiento reguló nuevos procesos de selección. En efecto, con el artículo 2 de la Ley 1150 la licitación pública no sólo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w:t>
      </w:r>
      <w:proofErr w:type="spellStart"/>
      <w:r w:rsidRPr="65748710">
        <w:rPr>
          <w:rFonts w:ascii="Verdana" w:hAnsi="Verdana" w:cs="Arial"/>
          <w:lang w:val="es-ES"/>
        </w:rPr>
        <w:t>ii</w:t>
      </w:r>
      <w:proofErr w:type="spellEnd"/>
      <w:r w:rsidRPr="65748710">
        <w:rPr>
          <w:rFonts w:ascii="Verdana" w:hAnsi="Verdana" w:cs="Arial"/>
          <w:lang w:val="es-ES"/>
        </w:rPr>
        <w:t xml:space="preserve">) selección abreviada, </w:t>
      </w:r>
      <w:proofErr w:type="spellStart"/>
      <w:r w:rsidRPr="65748710">
        <w:rPr>
          <w:rFonts w:ascii="Verdana" w:hAnsi="Verdana" w:cs="Arial"/>
          <w:lang w:val="es-ES"/>
        </w:rPr>
        <w:t>iii</w:t>
      </w:r>
      <w:proofErr w:type="spellEnd"/>
      <w:r w:rsidRPr="65748710">
        <w:rPr>
          <w:rFonts w:ascii="Verdana" w:hAnsi="Verdana" w:cs="Arial"/>
          <w:lang w:val="es-ES"/>
        </w:rPr>
        <w:t xml:space="preserve">) concurso de méritos, </w:t>
      </w:r>
      <w:proofErr w:type="spellStart"/>
      <w:r w:rsidRPr="65748710">
        <w:rPr>
          <w:rFonts w:ascii="Verdana" w:hAnsi="Verdana" w:cs="Arial"/>
          <w:lang w:val="es-ES"/>
        </w:rPr>
        <w:t>iv</w:t>
      </w:r>
      <w:proofErr w:type="spellEnd"/>
      <w:r w:rsidRPr="65748710">
        <w:rPr>
          <w:rFonts w:ascii="Verdana" w:hAnsi="Verdana" w:cs="Arial"/>
          <w:lang w:val="es-ES"/>
        </w:rPr>
        <w:t xml:space="preserve">) mínima cuantía y v) contratación directa. </w:t>
      </w:r>
    </w:p>
    <w:p w14:paraId="4F52F206" w14:textId="77777777" w:rsidR="003F60FB" w:rsidRDefault="003F60FB" w:rsidP="003F60FB">
      <w:pPr>
        <w:spacing w:after="120" w:line="276" w:lineRule="auto"/>
        <w:ind w:firstLine="709"/>
        <w:jc w:val="both"/>
        <w:rPr>
          <w:rFonts w:ascii="Verdana" w:hAnsi="Verdana" w:cs="Arial"/>
          <w:bCs/>
          <w:lang w:val="es-ES_tradnl"/>
        </w:rPr>
      </w:pPr>
      <w:r>
        <w:rPr>
          <w:rFonts w:ascii="Verdana" w:hAnsi="Verdana" w:cs="Arial"/>
          <w:bCs/>
          <w:lang w:val="es-ES_tradnl"/>
        </w:rPr>
        <w:t>Respecto al concurso de méritos, el artículo 2.3 de la Ley 1150 de 2007 distingue entre los concursos de méritos abiertos y con precalificación. Asimismo, establece las bases de los concursos de arquitectura al prescribir que “</w:t>
      </w:r>
      <w:r w:rsidRPr="00447E8C">
        <w:rPr>
          <w:rFonts w:ascii="Verdana" w:hAnsi="Verdana" w:cs="Arial"/>
          <w:bCs/>
          <w:lang w:val="es-ES_tradnl"/>
        </w:rPr>
        <w:t>De conformidad con las condiciones que señale el reglamento, en desarrollo de estos procesos de selección, las propuestas técnicas o de proyectos podrán ser presentadas en forma anónima ante un jurado plural, impar deliberante y calificado</w:t>
      </w:r>
      <w:r>
        <w:rPr>
          <w:rFonts w:ascii="Verdana" w:hAnsi="Verdana" w:cs="Arial"/>
          <w:bCs/>
          <w:lang w:val="es-ES_tradnl"/>
        </w:rPr>
        <w:t xml:space="preserve">”. </w:t>
      </w:r>
    </w:p>
    <w:p w14:paraId="3C1BAD17" w14:textId="671F2B33" w:rsidR="003F60FB" w:rsidRPr="000E665A" w:rsidRDefault="003F60FB" w:rsidP="003F60FB">
      <w:pPr>
        <w:spacing w:after="0" w:line="276" w:lineRule="auto"/>
        <w:ind w:firstLine="708"/>
        <w:jc w:val="both"/>
        <w:rPr>
          <w:rFonts w:ascii="Verdana" w:eastAsia="Calibri" w:hAnsi="Verdana" w:cs="Arial"/>
        </w:rPr>
      </w:pPr>
      <w:r>
        <w:rPr>
          <w:rFonts w:ascii="Verdana" w:hAnsi="Verdana" w:cs="Arial"/>
          <w:bCs/>
          <w:lang w:val="es-ES_tradnl"/>
        </w:rPr>
        <w:t xml:space="preserve">Sobre la base del argumento histórico, la alusión a los “concursos abiertos” del artículo 20 de la Ley 842 de 2003 no es equivalente a los “concursos de méritos abiertos” del artículo 2.3 de la Ley 1150 de 2007. En consecuencia, el abono de la propuesta en los contratos que impliquen el ejercicio de la ingeniería también es obligatorio en concursos de méritos con precalificación o en los concursos de arquitectura. </w:t>
      </w:r>
      <w:r>
        <w:rPr>
          <w:rFonts w:ascii="Verdana" w:eastAsia="Arial" w:hAnsi="Verdana" w:cs="Arial"/>
          <w:lang w:val="es-ES"/>
        </w:rPr>
        <w:t xml:space="preserve">En estos términos, para efectos de la aplicación del artículo 10 de la Ley 1437 de 2011, se </w:t>
      </w:r>
      <w:r w:rsidR="00A673A5">
        <w:rPr>
          <w:rFonts w:ascii="Verdana" w:eastAsia="Arial" w:hAnsi="Verdana" w:cs="Arial"/>
          <w:lang w:val="es-ES"/>
        </w:rPr>
        <w:t xml:space="preserve">complementa </w:t>
      </w:r>
      <w:r>
        <w:rPr>
          <w:rFonts w:ascii="Verdana" w:eastAsia="Arial" w:hAnsi="Verdana" w:cs="Arial"/>
          <w:lang w:val="es-ES"/>
        </w:rPr>
        <w:t xml:space="preserve">la postura adoptada en los </w:t>
      </w:r>
      <w:r>
        <w:rPr>
          <w:rFonts w:ascii="Verdana" w:eastAsia="Calibri" w:hAnsi="Verdana" w:cs="Arial"/>
          <w:lang w:val="es-ES" w:eastAsia="es-ES"/>
        </w:rPr>
        <w:t>Conceptos C-689 y C-699 del 10 de junio de 2025.</w:t>
      </w:r>
    </w:p>
    <w:p w14:paraId="0CCC2E30" w14:textId="77777777" w:rsidR="003F60FB" w:rsidRDefault="003F60FB" w:rsidP="003F60FB">
      <w:pPr>
        <w:widowControl w:val="0"/>
        <w:autoSpaceDE w:val="0"/>
        <w:autoSpaceDN w:val="0"/>
        <w:spacing w:after="0" w:line="276" w:lineRule="auto"/>
        <w:ind w:firstLine="709"/>
        <w:jc w:val="both"/>
        <w:rPr>
          <w:rFonts w:ascii="Verdana" w:eastAsia="Arial" w:hAnsi="Verdana" w:cs="Arial"/>
          <w:lang w:val="es-ES"/>
        </w:rPr>
      </w:pPr>
    </w:p>
    <w:p w14:paraId="1014B152" w14:textId="77777777" w:rsidR="003F60FB" w:rsidRDefault="003F60FB" w:rsidP="003F60FB">
      <w:pPr>
        <w:spacing w:after="0" w:line="276" w:lineRule="auto"/>
        <w:jc w:val="both"/>
        <w:rPr>
          <w:rFonts w:ascii="Verdana" w:eastAsia="Calibri" w:hAnsi="Verdana" w:cs="Arial"/>
          <w:bCs/>
          <w:color w:val="000000" w:themeColor="text1"/>
        </w:rPr>
      </w:pPr>
      <w:proofErr w:type="spellStart"/>
      <w:r w:rsidRPr="00CD2222">
        <w:rPr>
          <w:rFonts w:ascii="Verdana" w:eastAsia="Arial" w:hAnsi="Verdana" w:cs="Arial"/>
          <w:lang w:val="es-ES"/>
        </w:rPr>
        <w:lastRenderedPageBreak/>
        <w:t>iii</w:t>
      </w:r>
      <w:proofErr w:type="spellEnd"/>
      <w:r w:rsidRPr="00CD2222">
        <w:rPr>
          <w:rFonts w:ascii="Verdana" w:eastAsia="Arial" w:hAnsi="Verdana" w:cs="Arial"/>
          <w:lang w:val="es-ES"/>
        </w:rPr>
        <w:t>.</w:t>
      </w:r>
      <w:r>
        <w:rPr>
          <w:rFonts w:ascii="Verdana" w:eastAsia="Arial" w:hAnsi="Verdana" w:cs="Arial"/>
          <w:lang w:val="es-ES"/>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E34E04" w14:textId="77777777" w:rsidR="003F60FB" w:rsidRPr="00185EE9" w:rsidRDefault="003F60FB" w:rsidP="003F60FB">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F349DE9" w14:textId="77777777" w:rsidR="003F60FB" w:rsidRPr="00182C89" w:rsidRDefault="003F60FB" w:rsidP="003F60FB">
      <w:pPr>
        <w:tabs>
          <w:tab w:val="left" w:pos="709"/>
        </w:tabs>
        <w:spacing w:after="0" w:line="276" w:lineRule="auto"/>
        <w:jc w:val="both"/>
        <w:rPr>
          <w:rFonts w:ascii="Verdana" w:eastAsia="Calibri" w:hAnsi="Verdana" w:cs="Arial"/>
          <w:color w:val="000000" w:themeColor="text1"/>
        </w:rPr>
      </w:pPr>
    </w:p>
    <w:p w14:paraId="409ABECC" w14:textId="77777777" w:rsidR="003F60FB" w:rsidRPr="00593A5F" w:rsidRDefault="003F60FB" w:rsidP="003F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0B967912" w14:textId="77777777" w:rsidR="003F60FB" w:rsidRPr="00593A5F" w:rsidRDefault="003F60FB" w:rsidP="003F60F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60FB" w:rsidRPr="002407CE" w14:paraId="0E0BE7A7" w14:textId="77777777" w:rsidTr="000C146B">
        <w:trPr>
          <w:trHeight w:val="870"/>
          <w:jc w:val="center"/>
        </w:trPr>
        <w:tc>
          <w:tcPr>
            <w:tcW w:w="8647" w:type="dxa"/>
          </w:tcPr>
          <w:p w14:paraId="26AF5CAA" w14:textId="77777777" w:rsidR="003F60FB" w:rsidRDefault="003F60FB" w:rsidP="000C146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 26.</w:t>
            </w:r>
          </w:p>
          <w:p w14:paraId="3082B748" w14:textId="77777777" w:rsidR="003F60FB" w:rsidRDefault="003F60FB" w:rsidP="000C146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w:t>
            </w:r>
          </w:p>
          <w:p w14:paraId="21BE109C" w14:textId="77777777" w:rsidR="003F60FB" w:rsidRPr="00526DD3" w:rsidRDefault="003F60FB" w:rsidP="000C146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842 de 2003, artículos 2, 6 y 20.</w:t>
            </w:r>
          </w:p>
          <w:p w14:paraId="13900724" w14:textId="77777777" w:rsidR="003F60FB" w:rsidRDefault="003F60FB" w:rsidP="000C146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6 y 2.</w:t>
            </w:r>
          </w:p>
          <w:p w14:paraId="176EBB16" w14:textId="77777777" w:rsidR="003F60FB" w:rsidRPr="00FF09AA" w:rsidRDefault="003F60FB" w:rsidP="00AE5159">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Decreto 1082 de 2015</w:t>
            </w:r>
            <w:r w:rsidRPr="00185EE9">
              <w:rPr>
                <w:rFonts w:ascii="Verdana" w:hAnsi="Verdana" w:cs="Arial"/>
              </w:rPr>
              <w:t>, artículos</w:t>
            </w:r>
            <w:r>
              <w:rPr>
                <w:rFonts w:ascii="Verdana" w:hAnsi="Verdana" w:cs="Arial"/>
              </w:rPr>
              <w:t xml:space="preserve"> </w:t>
            </w:r>
            <w:r w:rsidRPr="001075DA">
              <w:rPr>
                <w:rFonts w:ascii="Verdana" w:eastAsia="Calibri" w:hAnsi="Verdana" w:cs="Arial"/>
              </w:rPr>
              <w:t>2.2.1.2.1.3.8</w:t>
            </w:r>
            <w:r>
              <w:rPr>
                <w:rFonts w:ascii="Verdana" w:eastAsia="Calibri" w:hAnsi="Verdana" w:cs="Arial"/>
              </w:rPr>
              <w:t xml:space="preserve">, </w:t>
            </w:r>
            <w:r w:rsidRPr="00FF09AA">
              <w:rPr>
                <w:rFonts w:ascii="Verdana" w:eastAsia="Calibri" w:hAnsi="Verdana" w:cs="Arial"/>
              </w:rPr>
              <w:t>2.2.1.2.1.3.9</w:t>
            </w:r>
            <w:r>
              <w:rPr>
                <w:rFonts w:ascii="Verdana" w:eastAsia="Calibri" w:hAnsi="Verdana" w:cs="Arial"/>
              </w:rPr>
              <w:t xml:space="preserve">, </w:t>
            </w:r>
            <w:r w:rsidRPr="00FF09AA">
              <w:rPr>
                <w:rFonts w:ascii="Verdana" w:eastAsia="Calibri" w:hAnsi="Verdana" w:cs="Arial"/>
              </w:rPr>
              <w:t>2.2.1.2.1.3.</w:t>
            </w:r>
            <w:r>
              <w:rPr>
                <w:rFonts w:ascii="Verdana" w:eastAsia="Calibri" w:hAnsi="Verdana" w:cs="Arial"/>
              </w:rPr>
              <w:t xml:space="preserve">10 y </w:t>
            </w:r>
            <w:r w:rsidRPr="001075DA">
              <w:rPr>
                <w:rFonts w:ascii="Verdana" w:eastAsia="Calibri" w:hAnsi="Verdana" w:cs="Arial"/>
              </w:rPr>
              <w:t>2.2.1.2.1.3.22</w:t>
            </w:r>
            <w:r w:rsidRPr="00185EE9">
              <w:rPr>
                <w:rFonts w:ascii="Verdana" w:hAnsi="Verdana" w:cs="Arial"/>
              </w:rPr>
              <w:t>.</w:t>
            </w:r>
          </w:p>
        </w:tc>
      </w:tr>
    </w:tbl>
    <w:p w14:paraId="79C2AF08" w14:textId="77777777" w:rsidR="003F60FB" w:rsidRPr="002407CE" w:rsidRDefault="003F60FB" w:rsidP="003F60FB">
      <w:pPr>
        <w:widowControl w:val="0"/>
        <w:autoSpaceDE w:val="0"/>
        <w:autoSpaceDN w:val="0"/>
        <w:spacing w:after="0" w:line="276" w:lineRule="auto"/>
        <w:jc w:val="both"/>
        <w:rPr>
          <w:rFonts w:ascii="Verdana" w:hAnsi="Verdana" w:cs="Arial"/>
        </w:rPr>
      </w:pPr>
    </w:p>
    <w:p w14:paraId="3CC1BD0B" w14:textId="77777777" w:rsidR="003F60FB" w:rsidRPr="00593A5F" w:rsidRDefault="003F60FB" w:rsidP="003F60F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F7E217D" w14:textId="77777777" w:rsidR="003F60FB" w:rsidRPr="00593A5F" w:rsidRDefault="003F60FB" w:rsidP="003F60FB">
      <w:pPr>
        <w:widowControl w:val="0"/>
        <w:autoSpaceDE w:val="0"/>
        <w:autoSpaceDN w:val="0"/>
        <w:spacing w:after="0" w:line="276" w:lineRule="auto"/>
        <w:jc w:val="both"/>
        <w:rPr>
          <w:rFonts w:ascii="Verdana" w:hAnsi="Verdana" w:cs="Arial"/>
        </w:rPr>
      </w:pPr>
    </w:p>
    <w:p w14:paraId="54D7B816" w14:textId="77777777" w:rsidR="003F60FB" w:rsidRPr="00ED0098" w:rsidRDefault="003F60FB" w:rsidP="003F60FB">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 xml:space="preserve">Esta Subdirección </w:t>
      </w:r>
      <w:r w:rsidRPr="007E6605">
        <w:rPr>
          <w:rFonts w:ascii="Verdana" w:hAnsi="Verdana" w:cs="Arial"/>
          <w:shd w:val="clear" w:color="auto" w:fill="FFFFFF"/>
        </w:rPr>
        <w:t xml:space="preserve">se ha pronunciado sobre el aval y la participación de profesionales de la ingeniería en los procesos de contratación en los conceptos: 2201913000006376 del 30 de agosto de 2019, 2201913000009554 del 24 de diciembre de 2019, C-054 del 19 de febrero de 2020, C-703 del 7 de diciembre de 2020, C-752 del 30 de noviembre de 2020, C-800 del 1 de febrero de 2021, </w:t>
      </w:r>
      <w:r w:rsidRPr="007E6605">
        <w:rPr>
          <w:rFonts w:ascii="Verdana" w:hAnsi="Verdana" w:cs="Arial"/>
          <w:shd w:val="clear" w:color="auto" w:fill="FFFFFF"/>
        </w:rPr>
        <w:lastRenderedPageBreak/>
        <w:t>C-105 del 26 de marzo de 2021, C-216 del 4 de mayo de 2021, C-298 del 22 de junio de 2021, C-360 del 2 de agosto de 2021, C-447 del 30 de agosto de 2021, C-659 del 30 de agosto de 2021, C-613 del 2 de noviembre de 2021, C-167 del 29 de marzo de 2022, C-893 del 27 de diciembre de 2022</w:t>
      </w:r>
      <w:r>
        <w:rPr>
          <w:rFonts w:ascii="Verdana" w:hAnsi="Verdana" w:cs="Arial"/>
          <w:shd w:val="clear" w:color="auto" w:fill="FFFFFF"/>
        </w:rPr>
        <w:t>,</w:t>
      </w:r>
      <w:r w:rsidRPr="007E6605">
        <w:rPr>
          <w:rFonts w:ascii="Verdana" w:hAnsi="Verdana" w:cs="Arial"/>
          <w:shd w:val="clear" w:color="auto" w:fill="FFFFFF"/>
        </w:rPr>
        <w:t xml:space="preserve"> C-254 del 18 de agosto de 2023</w:t>
      </w:r>
      <w:r>
        <w:rPr>
          <w:rFonts w:ascii="Verdana" w:hAnsi="Verdana" w:cs="Arial"/>
          <w:shd w:val="clear" w:color="auto" w:fill="FFFFFF"/>
        </w:rPr>
        <w:t xml:space="preserve"> y C-435 del 16 de septiembre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2BE119C" w14:textId="77777777" w:rsidR="003F60FB" w:rsidRPr="00096788" w:rsidRDefault="003F60FB" w:rsidP="003F60FB">
      <w:pPr>
        <w:widowControl w:val="0"/>
        <w:autoSpaceDE w:val="0"/>
        <w:autoSpaceDN w:val="0"/>
        <w:spacing w:after="0" w:line="276" w:lineRule="auto"/>
        <w:jc w:val="both"/>
        <w:rPr>
          <w:rFonts w:ascii="Verdana" w:hAnsi="Verdana" w:cs="Arial"/>
          <w:color w:val="000000" w:themeColor="text1"/>
          <w:shd w:val="clear" w:color="auto" w:fill="FFFFFF"/>
        </w:rPr>
      </w:pPr>
    </w:p>
    <w:p w14:paraId="00B683EA" w14:textId="77777777" w:rsidR="003F60FB" w:rsidRPr="001205D1" w:rsidRDefault="003F60FB" w:rsidP="003F60FB">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74EF4D3F" w14:textId="77777777" w:rsidR="003F60FB" w:rsidRPr="00B83C56" w:rsidRDefault="003F60FB" w:rsidP="003F60FB">
      <w:pPr>
        <w:shd w:val="clear" w:color="auto" w:fill="FFFFFF"/>
        <w:spacing w:after="0" w:line="276" w:lineRule="auto"/>
        <w:jc w:val="both"/>
        <w:rPr>
          <w:rFonts w:ascii="Verdana" w:hAnsi="Verdana"/>
          <w:color w:val="212121"/>
        </w:rPr>
      </w:pPr>
    </w:p>
    <w:p w14:paraId="1B734E4B" w14:textId="77777777" w:rsidR="003F60FB" w:rsidRPr="001205D1" w:rsidRDefault="003F60FB" w:rsidP="003F60FB">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318F618C" w14:textId="77777777" w:rsidR="003F60FB" w:rsidRPr="00B83C56" w:rsidRDefault="003F60FB" w:rsidP="003F60FB">
      <w:pPr>
        <w:spacing w:after="0" w:line="276" w:lineRule="auto"/>
        <w:jc w:val="both"/>
        <w:rPr>
          <w:rFonts w:ascii="Verdana" w:hAnsi="Verdana"/>
          <w:color w:val="212121"/>
        </w:rPr>
      </w:pPr>
    </w:p>
    <w:p w14:paraId="649E0A94" w14:textId="77777777" w:rsidR="003F60FB" w:rsidRPr="00B83C56" w:rsidRDefault="003F60FB" w:rsidP="003F60FB">
      <w:pPr>
        <w:spacing w:after="0" w:line="276" w:lineRule="auto"/>
        <w:jc w:val="both"/>
        <w:rPr>
          <w:rFonts w:ascii="Verdana" w:hAnsi="Verdana"/>
          <w:color w:val="212121"/>
        </w:rPr>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1E08BDFD" w14:textId="77777777" w:rsidR="003F60FB" w:rsidRPr="009C4035" w:rsidRDefault="003F60FB" w:rsidP="003F60FB">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06D4DCE" w14:textId="77777777" w:rsidR="003F60FB" w:rsidRPr="00593A5F" w:rsidRDefault="003F60FB" w:rsidP="003F60FB">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C4EA8D6" w14:textId="77777777" w:rsidR="003F60FB" w:rsidRPr="00593A5F" w:rsidRDefault="003F60FB" w:rsidP="003F60FB">
      <w:pPr>
        <w:widowControl w:val="0"/>
        <w:autoSpaceDE w:val="0"/>
        <w:autoSpaceDN w:val="0"/>
        <w:spacing w:after="0" w:line="276" w:lineRule="auto"/>
        <w:jc w:val="both"/>
        <w:rPr>
          <w:rFonts w:ascii="Verdana" w:hAnsi="Verdana" w:cs="Arial"/>
        </w:rPr>
      </w:pPr>
    </w:p>
    <w:p w14:paraId="40AFDAC8" w14:textId="77777777" w:rsidR="003F60FB" w:rsidRPr="00593A5F" w:rsidRDefault="003F60FB" w:rsidP="003F60F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568F79C" w14:textId="5D67D157" w:rsidR="003F60FB" w:rsidRPr="00593A5F" w:rsidRDefault="00B80083" w:rsidP="003F60FB">
      <w:pPr>
        <w:spacing w:line="276" w:lineRule="auto"/>
        <w:jc w:val="center"/>
        <w:rPr>
          <w:rFonts w:ascii="Verdana" w:hAnsi="Verdana" w:cs="Arial"/>
          <w:color w:val="000000"/>
          <w:lang w:val="es-ES_tradnl" w:eastAsia="es-CO"/>
        </w:rPr>
      </w:pPr>
      <w:r>
        <w:rPr>
          <w:noProof/>
        </w:rPr>
        <w:drawing>
          <wp:inline distT="0" distB="0" distL="0" distR="0" wp14:anchorId="72D6E5A5" wp14:editId="3934F27D">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F60FB" w:rsidRPr="00593A5F" w14:paraId="3F2F5FEA" w14:textId="77777777" w:rsidTr="000C146B">
        <w:trPr>
          <w:trHeight w:val="315"/>
        </w:trPr>
        <w:tc>
          <w:tcPr>
            <w:tcW w:w="893" w:type="dxa"/>
            <w:vAlign w:val="center"/>
            <w:hideMark/>
          </w:tcPr>
          <w:p w14:paraId="16EFE40E" w14:textId="77777777" w:rsidR="003F60FB" w:rsidRPr="003751C7" w:rsidRDefault="003F60FB" w:rsidP="000C146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C0CB266" w14:textId="77777777" w:rsidR="003F60FB" w:rsidRPr="00254A7A" w:rsidRDefault="003F60FB" w:rsidP="000C146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E24A734" w14:textId="77777777" w:rsidR="003F60FB" w:rsidRPr="00254A7A" w:rsidRDefault="003F60FB" w:rsidP="000C146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3F60FB" w:rsidRPr="00593A5F" w14:paraId="339E5B12" w14:textId="77777777" w:rsidTr="000C146B">
        <w:trPr>
          <w:trHeight w:val="330"/>
        </w:trPr>
        <w:tc>
          <w:tcPr>
            <w:tcW w:w="893" w:type="dxa"/>
            <w:vAlign w:val="center"/>
            <w:hideMark/>
          </w:tcPr>
          <w:p w14:paraId="177F6EAD" w14:textId="77777777" w:rsidR="003F60FB" w:rsidRPr="003751C7" w:rsidRDefault="003F60FB" w:rsidP="000C146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C58E16" w14:textId="77777777" w:rsidR="003F60FB" w:rsidRPr="001B6B73" w:rsidRDefault="003F60FB" w:rsidP="000C146B">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BE88E0D" w14:textId="77777777" w:rsidR="003F60FB" w:rsidRPr="00254A7A" w:rsidRDefault="003F60FB" w:rsidP="000C146B">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3F60FB" w:rsidRPr="00593A5F" w14:paraId="0176955D" w14:textId="77777777" w:rsidTr="000C146B">
        <w:trPr>
          <w:trHeight w:val="300"/>
        </w:trPr>
        <w:tc>
          <w:tcPr>
            <w:tcW w:w="893" w:type="dxa"/>
            <w:vAlign w:val="center"/>
          </w:tcPr>
          <w:p w14:paraId="5D188CEA" w14:textId="77777777" w:rsidR="003F60FB" w:rsidRPr="003751C7" w:rsidRDefault="003F60FB" w:rsidP="000C146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1E2E2E0" w14:textId="77777777" w:rsidR="003F60FB" w:rsidRPr="003751C7" w:rsidRDefault="003F60FB" w:rsidP="000C146B">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8265423" w14:textId="77777777" w:rsidR="003F60FB" w:rsidRPr="003751C7" w:rsidRDefault="003F60FB" w:rsidP="000C146B">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3D4CD1AC" w14:textId="77777777" w:rsidR="003F60FB" w:rsidRPr="00543BFE" w:rsidRDefault="003F60FB" w:rsidP="003F60FB"/>
    <w:p w14:paraId="471498DD" w14:textId="77777777" w:rsidR="003F60FB" w:rsidRPr="00543BFE" w:rsidRDefault="003F60FB" w:rsidP="003F60FB"/>
    <w:p w14:paraId="3900974D" w14:textId="77777777" w:rsidR="003D5B0D" w:rsidRPr="000D7586" w:rsidRDefault="003D5B0D" w:rsidP="000D7586"/>
    <w:sectPr w:rsidR="003D5B0D" w:rsidRPr="000D758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4456" w14:textId="77777777" w:rsidR="00B532BA" w:rsidRDefault="00B532BA" w:rsidP="004A1847">
      <w:pPr>
        <w:spacing w:after="0" w:line="240" w:lineRule="auto"/>
      </w:pPr>
      <w:r>
        <w:separator/>
      </w:r>
    </w:p>
  </w:endnote>
  <w:endnote w:type="continuationSeparator" w:id="0">
    <w:p w14:paraId="1AD3B478" w14:textId="77777777" w:rsidR="00B532BA" w:rsidRDefault="00B532BA" w:rsidP="004A1847">
      <w:pPr>
        <w:spacing w:after="0" w:line="240" w:lineRule="auto"/>
      </w:pPr>
      <w:r>
        <w:continuationSeparator/>
      </w:r>
    </w:p>
  </w:endnote>
  <w:endnote w:type="continuationNotice" w:id="1">
    <w:p w14:paraId="2DAFAFAA" w14:textId="77777777" w:rsidR="00B532BA" w:rsidRDefault="00B53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FEA8E" w14:textId="77777777" w:rsidR="00B532BA" w:rsidRDefault="00B532BA" w:rsidP="004A1847">
      <w:pPr>
        <w:spacing w:after="0" w:line="240" w:lineRule="auto"/>
      </w:pPr>
      <w:r>
        <w:separator/>
      </w:r>
    </w:p>
  </w:footnote>
  <w:footnote w:type="continuationSeparator" w:id="0">
    <w:p w14:paraId="75EA09C7" w14:textId="77777777" w:rsidR="00B532BA" w:rsidRDefault="00B532BA" w:rsidP="004A1847">
      <w:pPr>
        <w:spacing w:after="0" w:line="240" w:lineRule="auto"/>
      </w:pPr>
      <w:r>
        <w:continuationSeparator/>
      </w:r>
    </w:p>
  </w:footnote>
  <w:footnote w:type="continuationNotice" w:id="1">
    <w:p w14:paraId="66AB12A0" w14:textId="77777777" w:rsidR="00B532BA" w:rsidRDefault="00B532BA">
      <w:pPr>
        <w:spacing w:after="0" w:line="240" w:lineRule="auto"/>
      </w:pPr>
    </w:p>
  </w:footnote>
  <w:footnote w:id="2">
    <w:p w14:paraId="0B635EB9" w14:textId="77777777" w:rsidR="003F60FB" w:rsidRPr="00CD2222" w:rsidRDefault="003F60FB" w:rsidP="003F60FB">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w:t>
      </w:r>
      <w:r w:rsidRPr="00CD2222">
        <w:rPr>
          <w:rFonts w:ascii="Arial" w:hAnsi="Arial" w:cs="Arial"/>
          <w:sz w:val="16"/>
          <w:szCs w:val="16"/>
        </w:rPr>
        <w:t>​</w:t>
      </w:r>
      <w:r w:rsidRPr="00CD2222">
        <w:rPr>
          <w:rFonts w:ascii="Verdana" w:hAnsi="Verdana" w:cs="Arial"/>
          <w:sz w:val="16"/>
          <w:szCs w:val="16"/>
        </w:rPr>
        <w:t xml:space="preserve"> y para los proyectos de arquitectura.</w:t>
      </w:r>
    </w:p>
    <w:p w14:paraId="7E35924E" w14:textId="77777777" w:rsidR="003F60FB" w:rsidRPr="00CD2222" w:rsidRDefault="003F60FB" w:rsidP="003F60FB">
      <w:pPr>
        <w:pStyle w:val="Textonotapie"/>
        <w:ind w:firstLine="708"/>
        <w:jc w:val="both"/>
        <w:rPr>
          <w:rFonts w:ascii="Verdana" w:hAnsi="Verdana" w:cs="Arial"/>
          <w:sz w:val="16"/>
          <w:szCs w:val="16"/>
        </w:rPr>
      </w:pPr>
      <w:r w:rsidRPr="00CD2222">
        <w:rPr>
          <w:rFonts w:ascii="Verdana" w:hAnsi="Verdana" w:cs="Arial"/>
          <w:sz w:val="16"/>
          <w:szCs w:val="16"/>
        </w:rPr>
        <w:t>El procedimiento para la selección de proyectos de arquitectura es el establecido en los artículos 2.2.1.2.1.3.8 al 2.2.1.2.1.3.25 del presente decreto”.</w:t>
      </w:r>
    </w:p>
  </w:footnote>
  <w:footnote w:id="3">
    <w:p w14:paraId="683AB5E4" w14:textId="77777777" w:rsidR="003F60FB" w:rsidRPr="00CD2222" w:rsidRDefault="003F60FB" w:rsidP="003F60FB">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Decreto 2090 de 1989: “Artículo 1. […]  1.1.2 ANTEPROYECTO. Corresponde a la idea general del proyecto y su estudio se debe hacer con base en las necesidades y fines de la entidad contratante, las normas oficiales vigentes y el monto de la inversión probable de la obra, estimada de común acuerdo entre el arquitecto y la entidad contratante. </w:t>
      </w:r>
    </w:p>
    <w:p w14:paraId="2F60D9E6" w14:textId="77777777" w:rsidR="003F60FB" w:rsidRPr="00CD2222" w:rsidRDefault="003F60FB" w:rsidP="003F60FB">
      <w:pPr>
        <w:pStyle w:val="Textonotapie"/>
        <w:ind w:firstLine="708"/>
        <w:jc w:val="both"/>
        <w:rPr>
          <w:rFonts w:ascii="Verdana" w:hAnsi="Verdana" w:cs="Arial"/>
          <w:sz w:val="16"/>
          <w:szCs w:val="16"/>
        </w:rPr>
      </w:pPr>
      <w:r w:rsidRPr="00CD2222">
        <w:rPr>
          <w:rFonts w:ascii="Verdana" w:hAnsi="Verdana" w:cs="Arial"/>
          <w:sz w:val="16"/>
          <w:szCs w:val="16"/>
        </w:rPr>
        <w:t xml:space="preserve">El arquitecto estudiará un programa, que aprobado por la entidad contratante, le autoriza a elaborar el anteproyecto. Cuando la elaboración del programa implique trabajos de investigación, consultas, encuestas, asesoría de terceros o recopilación de datos, este trabajo de investigación se cobrará en forma adicional, de acuerdo con lo estipulado en el Capítulo 8 "Trabajos Varios". </w:t>
      </w:r>
    </w:p>
    <w:p w14:paraId="31941FE0" w14:textId="77777777" w:rsidR="003F60FB" w:rsidRPr="00CD2222" w:rsidRDefault="003F60FB" w:rsidP="003F60FB">
      <w:pPr>
        <w:pStyle w:val="Textonotapie"/>
        <w:ind w:firstLine="708"/>
        <w:jc w:val="both"/>
        <w:rPr>
          <w:rFonts w:ascii="Verdana" w:hAnsi="Verdana" w:cs="Arial"/>
          <w:sz w:val="16"/>
          <w:szCs w:val="16"/>
          <w:lang w:val="es-ES"/>
        </w:rPr>
      </w:pPr>
      <w:r w:rsidRPr="00CD2222">
        <w:rPr>
          <w:rFonts w:ascii="Verdana" w:hAnsi="Verdana" w:cs="Arial"/>
          <w:sz w:val="16"/>
          <w:szCs w:val="16"/>
        </w:rPr>
        <w:t>El anteproyecto comprende dibujos a escala, de plantas cortes y fachadas perspectivas suficientes para la comprensión arquitectónica, estructural y de instalaciones del edificio, sin incluir planos suficientes para poder ejecutar la obra, ni los estudios de factibilidad económica, utilidades, renta, alternativas de uso, flujo de caja y financiación; pero sí sobre bases serias de su factibilidad.[…]”.</w:t>
      </w:r>
    </w:p>
  </w:footnote>
  <w:footnote w:id="4">
    <w:p w14:paraId="1A97AD9E" w14:textId="77777777" w:rsidR="003F60FB" w:rsidRPr="00CD2222" w:rsidRDefault="003F60FB" w:rsidP="003F60FB">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Decreto 2090 de 1989: “Artículo 1. […] 1.1.3 PROYECTO ARQUITECTONICO. Será elaborado con base en el anteproyecto aprobado por la entidad contratante y debe contener toda la información necesaria para que la construcción pueda ser ejecutada correctamente desde el punto de vista arquitectónico, en armonía con sus exigencias técnicas. </w:t>
      </w:r>
    </w:p>
    <w:p w14:paraId="47EC46B0" w14:textId="77777777" w:rsidR="003F60FB" w:rsidRPr="00CD2222" w:rsidRDefault="003F60FB" w:rsidP="003F60FB">
      <w:pPr>
        <w:pStyle w:val="Textonotapie"/>
        <w:ind w:firstLine="708"/>
        <w:jc w:val="both"/>
        <w:rPr>
          <w:rFonts w:ascii="Verdana" w:hAnsi="Verdana" w:cs="Arial"/>
          <w:sz w:val="16"/>
          <w:szCs w:val="16"/>
        </w:rPr>
      </w:pPr>
      <w:r w:rsidRPr="00CD2222">
        <w:rPr>
          <w:rFonts w:ascii="Verdana" w:hAnsi="Verdana" w:cs="Arial"/>
          <w:sz w:val="16"/>
          <w:szCs w:val="16"/>
        </w:rPr>
        <w:t>“El proyecto arquitectónico no podrá ser elaborado por persona distinta al arquitecto proyectista que haya hecho el respectivo anteproyecto, salvo el caso que el anteproyecto haya sido elaborado directamente por la entidad contratante. En este caso no se descontará al arquitecto el valor del anteproyecto.[…]”.</w:t>
      </w:r>
    </w:p>
  </w:footnote>
  <w:footnote w:id="5">
    <w:p w14:paraId="4E60A1EE" w14:textId="77777777" w:rsidR="003F60FB" w:rsidRPr="00CD2222" w:rsidRDefault="003F60FB" w:rsidP="003F60FB">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Decreto 1082 de 2015: “Artículo 2.2.1.2.1.3.10. Modalidades de Concurso de Arquitectura. Según las características y nivel de desarrollo del concurso de arquitectura, se establecen las siguientes modalidades:</w:t>
      </w:r>
    </w:p>
    <w:p w14:paraId="6C31190D" w14:textId="77777777" w:rsidR="003F60FB" w:rsidRPr="00CD2222" w:rsidRDefault="003F60FB" w:rsidP="003F60FB">
      <w:pPr>
        <w:pStyle w:val="Textonotapie"/>
        <w:ind w:firstLine="708"/>
        <w:jc w:val="both"/>
        <w:rPr>
          <w:rFonts w:ascii="Verdana" w:hAnsi="Verdana" w:cs="Arial"/>
          <w:sz w:val="16"/>
          <w:szCs w:val="16"/>
        </w:rPr>
      </w:pPr>
      <w:r w:rsidRPr="00CD2222">
        <w:rPr>
          <w:rFonts w:ascii="Verdana" w:hAnsi="Verdana" w:cs="Arial"/>
          <w:sz w:val="16"/>
          <w:szCs w:val="16"/>
        </w:rPr>
        <w:t>“1. De ideas. Es el acto mediante el cual la Entidad Estatal promotora solicita al organismo asesor elaborar las bases del concurso con el fin de obtener soluciones a nivel de esquema básico de diseño o conceptos generales de un tema urbanístico y/o arquitectónico.</w:t>
      </w:r>
    </w:p>
    <w:p w14:paraId="329AEFA6" w14:textId="77777777" w:rsidR="003F60FB" w:rsidRPr="00CD2222" w:rsidRDefault="003F60FB" w:rsidP="003F60FB">
      <w:pPr>
        <w:pStyle w:val="Textonotapie"/>
        <w:ind w:firstLine="708"/>
        <w:jc w:val="both"/>
        <w:rPr>
          <w:rFonts w:ascii="Verdana" w:hAnsi="Verdana" w:cs="Arial"/>
          <w:sz w:val="16"/>
          <w:szCs w:val="16"/>
          <w:lang w:val="es-CO"/>
        </w:rPr>
      </w:pPr>
      <w:r w:rsidRPr="00CD2222">
        <w:rPr>
          <w:rFonts w:ascii="Verdana" w:hAnsi="Verdana" w:cs="Arial"/>
          <w:sz w:val="16"/>
          <w:szCs w:val="16"/>
        </w:rPr>
        <w:t>“2. De anteproyecto. Es el acto mediante el cual la Entidad Estatal promotora solicita al organismo asesor elaborar las bases del concurso con el fin de obtener soluciones a nivel de anteproyecto de un tema arquitectónico y/o de diseño urbano, tales como edificación nueva, restauración, remodelación, proyectos urbanos, elementos del espacio público”.</w:t>
      </w:r>
    </w:p>
  </w:footnote>
  <w:footnote w:id="6">
    <w:p w14:paraId="7CE88ABE" w14:textId="77777777" w:rsidR="003F60FB" w:rsidRPr="00CD2222" w:rsidRDefault="003F60FB" w:rsidP="003F60FB">
      <w:pPr>
        <w:pStyle w:val="Textonotapie"/>
        <w:ind w:firstLine="708"/>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Concepto No. 4201714000001163 con radicado de salida No. 2201713000001460 del 27 de marzo de 2017.</w:t>
      </w:r>
    </w:p>
  </w:footnote>
  <w:footnote w:id="7">
    <w:p w14:paraId="001F9A42" w14:textId="77777777" w:rsidR="003F60FB" w:rsidRPr="00CD2222" w:rsidRDefault="003F60FB" w:rsidP="003F60FB">
      <w:pPr>
        <w:spacing w:after="0" w:line="240" w:lineRule="auto"/>
        <w:ind w:firstLine="709"/>
        <w:jc w:val="both"/>
        <w:rPr>
          <w:rFonts w:ascii="Verdana" w:hAnsi="Verdana" w:cs="Arial"/>
          <w:sz w:val="16"/>
          <w:szCs w:val="16"/>
        </w:rPr>
      </w:pPr>
      <w:r w:rsidRPr="00CD2222">
        <w:rPr>
          <w:rStyle w:val="Refdenotaalpie"/>
          <w:rFonts w:ascii="Verdana" w:hAnsi="Verdana" w:cs="Arial"/>
          <w:sz w:val="16"/>
          <w:szCs w:val="16"/>
        </w:rPr>
        <w:footnoteRef/>
      </w:r>
      <w:r w:rsidRPr="00CD2222">
        <w:rPr>
          <w:rFonts w:ascii="Verdana" w:hAnsi="Verdana" w:cs="Arial"/>
          <w:sz w:val="16"/>
          <w:szCs w:val="16"/>
        </w:rPr>
        <w:t xml:space="preserve"> Corte Constitucional. Sentencia C-697 del 14 de junio de 2000. M.P: Eduardo Cifuentes Muñoz.</w:t>
      </w:r>
    </w:p>
    <w:p w14:paraId="576D736C" w14:textId="77777777" w:rsidR="003F60FB" w:rsidRPr="00CD2222" w:rsidRDefault="003F60FB" w:rsidP="003F60FB">
      <w:pPr>
        <w:pStyle w:val="Textonotapie"/>
        <w:jc w:val="both"/>
        <w:rPr>
          <w:rFonts w:ascii="Verdana" w:hAnsi="Verdana" w:cs="Arial"/>
          <w:sz w:val="16"/>
          <w:szCs w:val="16"/>
          <w:lang w:val="es-CO"/>
        </w:rPr>
      </w:pPr>
    </w:p>
  </w:footnote>
  <w:footnote w:id="8">
    <w:p w14:paraId="1CF1DED7" w14:textId="77777777" w:rsidR="003F60FB" w:rsidRPr="00CD2222" w:rsidRDefault="003F60FB" w:rsidP="003F60FB">
      <w:pPr>
        <w:pStyle w:val="Textonotapie"/>
        <w:ind w:firstLine="720"/>
        <w:jc w:val="both"/>
        <w:rPr>
          <w:rFonts w:ascii="Verdana" w:hAnsi="Verdana" w:cs="Arial"/>
          <w:color w:val="000000" w:themeColor="text1"/>
          <w:sz w:val="16"/>
          <w:szCs w:val="16"/>
          <w:lang w:val="es-CO"/>
        </w:rPr>
      </w:pPr>
      <w:r w:rsidRPr="00CD2222">
        <w:rPr>
          <w:rStyle w:val="Refdenotaalpie"/>
          <w:rFonts w:ascii="Verdana" w:hAnsi="Verdana" w:cs="Arial"/>
          <w:color w:val="000000" w:themeColor="text1"/>
          <w:sz w:val="16"/>
          <w:szCs w:val="16"/>
        </w:rPr>
        <w:footnoteRef/>
      </w:r>
      <w:r w:rsidRPr="00CD2222">
        <w:rPr>
          <w:rFonts w:ascii="Verdana" w:hAnsi="Verdana" w:cs="Arial"/>
          <w:color w:val="000000" w:themeColor="text1"/>
          <w:sz w:val="16"/>
          <w:szCs w:val="16"/>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CD2222">
        <w:rPr>
          <w:rFonts w:ascii="Verdana" w:hAnsi="Verdana" w:cs="Arial"/>
          <w:color w:val="000000" w:themeColor="text1"/>
          <w:spacing w:val="-13"/>
          <w:sz w:val="16"/>
          <w:szCs w:val="16"/>
        </w:rPr>
        <w:t xml:space="preserve"> </w:t>
      </w:r>
      <w:r w:rsidRPr="00CD2222">
        <w:rPr>
          <w:rFonts w:ascii="Verdana" w:hAnsi="Verdana" w:cs="Arial"/>
          <w:color w:val="000000" w:themeColor="text1"/>
          <w:sz w:val="16"/>
          <w:szCs w:val="16"/>
        </w:rPr>
        <w:t xml:space="preserve">ingeniería”. </w:t>
      </w:r>
    </w:p>
  </w:footnote>
  <w:footnote w:id="9">
    <w:p w14:paraId="05FE8F7D" w14:textId="77777777" w:rsidR="003F60FB" w:rsidRPr="00CD2222" w:rsidRDefault="003F60FB" w:rsidP="003F60FB">
      <w:pPr>
        <w:spacing w:after="0" w:line="240" w:lineRule="auto"/>
        <w:ind w:right="49" w:firstLine="720"/>
        <w:jc w:val="both"/>
        <w:rPr>
          <w:rFonts w:ascii="Verdana" w:hAnsi="Verdana" w:cs="Arial"/>
          <w:color w:val="000000" w:themeColor="text1"/>
          <w:sz w:val="16"/>
          <w:szCs w:val="16"/>
        </w:rPr>
      </w:pPr>
      <w:r w:rsidRPr="00CD2222">
        <w:rPr>
          <w:rStyle w:val="Refdenotaalpie"/>
          <w:rFonts w:ascii="Verdana" w:hAnsi="Verdana" w:cs="Arial"/>
          <w:color w:val="000000" w:themeColor="text1"/>
          <w:sz w:val="16"/>
          <w:szCs w:val="16"/>
        </w:rPr>
        <w:footnoteRef/>
      </w:r>
      <w:r w:rsidRPr="00CD2222">
        <w:rPr>
          <w:rFonts w:ascii="Verdana" w:hAnsi="Verdana" w:cs="Arial"/>
          <w:color w:val="000000" w:themeColor="text1"/>
          <w:sz w:val="16"/>
          <w:szCs w:val="16"/>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FCCE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28564773" o:spid="_x0000_i1025" type="#_x0000_t75" style="width:11.45pt;height:11.45pt;visibility:visible;mso-wrap-style:square">
            <v:imagedata r:id="rId1" o:title=""/>
          </v:shape>
        </w:pict>
      </mc:Choice>
      <mc:Fallback>
        <w:drawing>
          <wp:inline distT="0" distB="0" distL="0" distR="0" wp14:anchorId="1FE7AE3C" wp14:editId="1613F1B1">
            <wp:extent cx="145415" cy="145415"/>
            <wp:effectExtent l="0" t="0" r="0" b="0"/>
            <wp:docPr id="328564773" name="Imagen 32856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075"/>
    <w:rsid w:val="000A683E"/>
    <w:rsid w:val="000B12DD"/>
    <w:rsid w:val="000B196A"/>
    <w:rsid w:val="000B19B9"/>
    <w:rsid w:val="000C781B"/>
    <w:rsid w:val="000D0334"/>
    <w:rsid w:val="000D7586"/>
    <w:rsid w:val="000F4304"/>
    <w:rsid w:val="000F6486"/>
    <w:rsid w:val="00125105"/>
    <w:rsid w:val="00127233"/>
    <w:rsid w:val="001511A0"/>
    <w:rsid w:val="001E4177"/>
    <w:rsid w:val="001F7DC6"/>
    <w:rsid w:val="00203BFD"/>
    <w:rsid w:val="0021127E"/>
    <w:rsid w:val="002421BB"/>
    <w:rsid w:val="0025796E"/>
    <w:rsid w:val="002707A2"/>
    <w:rsid w:val="00280542"/>
    <w:rsid w:val="002951A0"/>
    <w:rsid w:val="002962BC"/>
    <w:rsid w:val="002A093D"/>
    <w:rsid w:val="002A0DD0"/>
    <w:rsid w:val="002A49AC"/>
    <w:rsid w:val="002A5B83"/>
    <w:rsid w:val="002A64FD"/>
    <w:rsid w:val="002C7A84"/>
    <w:rsid w:val="002E4FD9"/>
    <w:rsid w:val="003228EC"/>
    <w:rsid w:val="00322A85"/>
    <w:rsid w:val="00324168"/>
    <w:rsid w:val="003448F4"/>
    <w:rsid w:val="00374F5E"/>
    <w:rsid w:val="0037639A"/>
    <w:rsid w:val="00377E3E"/>
    <w:rsid w:val="003A779E"/>
    <w:rsid w:val="003C3A70"/>
    <w:rsid w:val="003D0F4D"/>
    <w:rsid w:val="003D34BD"/>
    <w:rsid w:val="003D5B0D"/>
    <w:rsid w:val="003E0499"/>
    <w:rsid w:val="003F3941"/>
    <w:rsid w:val="003F60FB"/>
    <w:rsid w:val="00406575"/>
    <w:rsid w:val="00410F03"/>
    <w:rsid w:val="00411073"/>
    <w:rsid w:val="00414C74"/>
    <w:rsid w:val="0042722E"/>
    <w:rsid w:val="0044528D"/>
    <w:rsid w:val="004A1847"/>
    <w:rsid w:val="004A305D"/>
    <w:rsid w:val="004F21C4"/>
    <w:rsid w:val="004F685F"/>
    <w:rsid w:val="005251D2"/>
    <w:rsid w:val="00541D3E"/>
    <w:rsid w:val="005566E8"/>
    <w:rsid w:val="00574867"/>
    <w:rsid w:val="00591460"/>
    <w:rsid w:val="005B3816"/>
    <w:rsid w:val="005C1FD3"/>
    <w:rsid w:val="005C3777"/>
    <w:rsid w:val="005C5CDC"/>
    <w:rsid w:val="005D476C"/>
    <w:rsid w:val="005E2B8E"/>
    <w:rsid w:val="005E4319"/>
    <w:rsid w:val="006219F8"/>
    <w:rsid w:val="00665D70"/>
    <w:rsid w:val="006900D9"/>
    <w:rsid w:val="00706C16"/>
    <w:rsid w:val="0072370D"/>
    <w:rsid w:val="0073542D"/>
    <w:rsid w:val="00756841"/>
    <w:rsid w:val="007649AB"/>
    <w:rsid w:val="00771D0C"/>
    <w:rsid w:val="00771E89"/>
    <w:rsid w:val="007833AC"/>
    <w:rsid w:val="007B268C"/>
    <w:rsid w:val="007B7171"/>
    <w:rsid w:val="007C0C0F"/>
    <w:rsid w:val="007C3DC2"/>
    <w:rsid w:val="007E5497"/>
    <w:rsid w:val="00806F5F"/>
    <w:rsid w:val="00820278"/>
    <w:rsid w:val="0084201B"/>
    <w:rsid w:val="00867F95"/>
    <w:rsid w:val="008843B6"/>
    <w:rsid w:val="00891928"/>
    <w:rsid w:val="008A446D"/>
    <w:rsid w:val="008B08F8"/>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9F44A3"/>
    <w:rsid w:val="00A02883"/>
    <w:rsid w:val="00A02FB7"/>
    <w:rsid w:val="00A122D3"/>
    <w:rsid w:val="00A12851"/>
    <w:rsid w:val="00A17F13"/>
    <w:rsid w:val="00A20739"/>
    <w:rsid w:val="00A33C78"/>
    <w:rsid w:val="00A673A5"/>
    <w:rsid w:val="00AB0ADB"/>
    <w:rsid w:val="00AE5159"/>
    <w:rsid w:val="00B01B1A"/>
    <w:rsid w:val="00B02AFE"/>
    <w:rsid w:val="00B532BA"/>
    <w:rsid w:val="00B5502A"/>
    <w:rsid w:val="00B66319"/>
    <w:rsid w:val="00B72CD3"/>
    <w:rsid w:val="00B72FFF"/>
    <w:rsid w:val="00B80083"/>
    <w:rsid w:val="00BC3D36"/>
    <w:rsid w:val="00BD7F72"/>
    <w:rsid w:val="00C04FB3"/>
    <w:rsid w:val="00C1750C"/>
    <w:rsid w:val="00C330EB"/>
    <w:rsid w:val="00C41061"/>
    <w:rsid w:val="00C54183"/>
    <w:rsid w:val="00C754BE"/>
    <w:rsid w:val="00C75C5C"/>
    <w:rsid w:val="00C76B1C"/>
    <w:rsid w:val="00C824F1"/>
    <w:rsid w:val="00CB6357"/>
    <w:rsid w:val="00CC1B26"/>
    <w:rsid w:val="00D11E15"/>
    <w:rsid w:val="00D423A2"/>
    <w:rsid w:val="00D50C51"/>
    <w:rsid w:val="00D520D8"/>
    <w:rsid w:val="00D63AC2"/>
    <w:rsid w:val="00D65507"/>
    <w:rsid w:val="00D7383B"/>
    <w:rsid w:val="00D80DBA"/>
    <w:rsid w:val="00DA231B"/>
    <w:rsid w:val="00DC39FC"/>
    <w:rsid w:val="00DF5254"/>
    <w:rsid w:val="00E16408"/>
    <w:rsid w:val="00E20894"/>
    <w:rsid w:val="00E2141B"/>
    <w:rsid w:val="00E245AB"/>
    <w:rsid w:val="00E2764C"/>
    <w:rsid w:val="00E27F2E"/>
    <w:rsid w:val="00E50AFE"/>
    <w:rsid w:val="00E75C92"/>
    <w:rsid w:val="00E771DC"/>
    <w:rsid w:val="00E8772A"/>
    <w:rsid w:val="00E90F6B"/>
    <w:rsid w:val="00E92C27"/>
    <w:rsid w:val="00EA0E3D"/>
    <w:rsid w:val="00EC38A7"/>
    <w:rsid w:val="00EC49E4"/>
    <w:rsid w:val="00ED2485"/>
    <w:rsid w:val="00ED7384"/>
    <w:rsid w:val="00EE1AA8"/>
    <w:rsid w:val="00EE1D69"/>
    <w:rsid w:val="00F0306C"/>
    <w:rsid w:val="00F30012"/>
    <w:rsid w:val="00F31EDC"/>
    <w:rsid w:val="00F4546F"/>
    <w:rsid w:val="00F462B3"/>
    <w:rsid w:val="00F5664F"/>
    <w:rsid w:val="00F666C4"/>
    <w:rsid w:val="00F76AFC"/>
    <w:rsid w:val="00FA47C0"/>
    <w:rsid w:val="00FB5DD1"/>
    <w:rsid w:val="00FC2B5D"/>
    <w:rsid w:val="00FD1478"/>
    <w:rsid w:val="00FD22B8"/>
    <w:rsid w:val="00FF1449"/>
    <w:rsid w:val="00FF3E02"/>
    <w:rsid w:val="00FF6FDE"/>
    <w:rsid w:val="165E9519"/>
    <w:rsid w:val="2C566D8A"/>
    <w:rsid w:val="382536D9"/>
    <w:rsid w:val="4A01188C"/>
    <w:rsid w:val="65748710"/>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F60F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F60FB"/>
    <w:rPr>
      <w:rFonts w:ascii="Geomanist Light" w:hAnsi="Geomanist Light"/>
      <w:lang w:val="es-ES"/>
    </w:rPr>
  </w:style>
  <w:style w:type="character" w:customStyle="1" w:styleId="s15">
    <w:name w:val="s15"/>
    <w:basedOn w:val="Fuentedeprrafopredeter"/>
    <w:rsid w:val="003F60FB"/>
  </w:style>
  <w:style w:type="character" w:customStyle="1" w:styleId="apple-converted-space">
    <w:name w:val="apple-converted-space"/>
    <w:basedOn w:val="Fuentedeprrafopredeter"/>
    <w:rsid w:val="003F60FB"/>
  </w:style>
  <w:style w:type="paragraph" w:customStyle="1" w:styleId="s16">
    <w:name w:val="s16"/>
    <w:basedOn w:val="Normal"/>
    <w:rsid w:val="003F60F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3F60F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3F6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pjbogota@cendoj.ramajudicial.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AECB31F-5C92-4E59-9A9C-CA30B204BD04}"/>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5337</Words>
  <Characters>29357</Characters>
  <Application>Microsoft Office Word</Application>
  <DocSecurity>0</DocSecurity>
  <Lines>244</Lines>
  <Paragraphs>69</Paragraphs>
  <ScaleCrop>false</ScaleCrop>
  <Company/>
  <LinksUpToDate>false</LinksUpToDate>
  <CharactersWithSpaces>34625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10</cp:revision>
  <cp:lastPrinted>2023-01-10T21:18:00Z</cp:lastPrinted>
  <dcterms:created xsi:type="dcterms:W3CDTF">2025-06-25T14:30:00Z</dcterms:created>
  <dcterms:modified xsi:type="dcterms:W3CDTF">2025-06-25T15:26:00Z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