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EEB4A4" w14:textId="4EF406D3" w:rsidR="00084DC0" w:rsidRPr="008E15F6" w:rsidRDefault="008A36B9" w:rsidP="00084DC0">
      <w:pPr>
        <w:spacing w:line="276" w:lineRule="auto"/>
        <w:jc w:val="right"/>
        <w:rPr>
          <w:rFonts w:ascii="Arial" w:eastAsia="Calibri" w:hAnsi="Arial" w:cs="Arial"/>
          <w:b/>
          <w:bCs/>
          <w:sz w:val="22"/>
        </w:rPr>
      </w:pPr>
      <w:bookmarkStart w:id="0" w:name="_Hlk29890381"/>
      <w:bookmarkEnd w:id="0"/>
      <w:r w:rsidRPr="008E15F6">
        <w:rPr>
          <w:rFonts w:ascii="Arial" w:eastAsia="Times New Roman" w:hAnsi="Arial" w:cs="Arial"/>
          <w:b/>
          <w:bCs/>
          <w:sz w:val="16"/>
          <w:szCs w:val="16"/>
          <w:lang w:eastAsia="es-ES"/>
        </w:rPr>
        <w:t>i</w:t>
      </w:r>
      <w:r w:rsidR="00084DC0" w:rsidRPr="008E15F6">
        <w:rPr>
          <w:rFonts w:ascii="Arial" w:eastAsia="Times New Roman" w:hAnsi="Arial" w:cs="Arial"/>
          <w:b/>
          <w:bCs/>
          <w:sz w:val="16"/>
          <w:szCs w:val="16"/>
          <w:lang w:eastAsia="es-ES"/>
        </w:rPr>
        <w:t>CCE-DES-FM-17</w:t>
      </w:r>
    </w:p>
    <w:p w14:paraId="7594A9ED" w14:textId="77777777" w:rsidR="00084DC0" w:rsidRPr="008E15F6" w:rsidRDefault="00084DC0" w:rsidP="00084DC0">
      <w:pPr>
        <w:jc w:val="both"/>
        <w:rPr>
          <w:rFonts w:ascii="Arial" w:eastAsia="Calibri" w:hAnsi="Arial" w:cs="Arial"/>
          <w:sz w:val="20"/>
          <w:szCs w:val="20"/>
        </w:rPr>
      </w:pPr>
    </w:p>
    <w:p w14:paraId="0F931805" w14:textId="717EE952" w:rsidR="00084DC0" w:rsidRPr="008E15F6" w:rsidRDefault="001A0EC0" w:rsidP="00084DC0">
      <w:pPr>
        <w:jc w:val="both"/>
        <w:rPr>
          <w:rFonts w:ascii="Arial" w:eastAsia="Calibri" w:hAnsi="Arial" w:cs="Arial"/>
          <w:b/>
          <w:sz w:val="22"/>
        </w:rPr>
      </w:pPr>
      <w:r w:rsidRPr="008E15F6">
        <w:rPr>
          <w:rFonts w:ascii="Arial" w:eastAsia="Calibri" w:hAnsi="Arial" w:cs="Arial"/>
          <w:b/>
          <w:sz w:val="22"/>
        </w:rPr>
        <w:t>CAPACIDAD RESIDUAL</w:t>
      </w:r>
      <w:r w:rsidR="00084DC0" w:rsidRPr="008E15F6">
        <w:rPr>
          <w:rFonts w:ascii="Arial" w:eastAsia="Calibri" w:hAnsi="Arial" w:cs="Arial"/>
          <w:b/>
          <w:sz w:val="22"/>
        </w:rPr>
        <w:t xml:space="preserve"> – </w:t>
      </w:r>
      <w:r w:rsidR="00426FC5" w:rsidRPr="008E15F6">
        <w:rPr>
          <w:rFonts w:ascii="Arial" w:eastAsia="Calibri" w:hAnsi="Arial" w:cs="Arial"/>
          <w:b/>
          <w:sz w:val="22"/>
        </w:rPr>
        <w:t>Definición – C</w:t>
      </w:r>
      <w:r w:rsidR="00925C4A" w:rsidRPr="008E15F6">
        <w:rPr>
          <w:rFonts w:ascii="Arial" w:eastAsia="Calibri" w:hAnsi="Arial" w:cs="Arial"/>
          <w:b/>
          <w:sz w:val="22"/>
        </w:rPr>
        <w:t>á</w:t>
      </w:r>
      <w:r w:rsidR="00426FC5" w:rsidRPr="008E15F6">
        <w:rPr>
          <w:rFonts w:ascii="Arial" w:eastAsia="Calibri" w:hAnsi="Arial" w:cs="Arial"/>
          <w:b/>
          <w:sz w:val="22"/>
        </w:rPr>
        <w:t xml:space="preserve">lculo </w:t>
      </w:r>
    </w:p>
    <w:p w14:paraId="190D4465" w14:textId="77777777" w:rsidR="00084DC0" w:rsidRPr="008E15F6" w:rsidRDefault="00084DC0" w:rsidP="00084DC0">
      <w:pPr>
        <w:jc w:val="both"/>
        <w:rPr>
          <w:rFonts w:ascii="Arial" w:eastAsia="Calibri" w:hAnsi="Arial" w:cs="Arial"/>
          <w:b/>
          <w:sz w:val="20"/>
          <w:szCs w:val="20"/>
        </w:rPr>
      </w:pPr>
    </w:p>
    <w:p w14:paraId="7436EDD4" w14:textId="2A83389C" w:rsidR="00012965" w:rsidRDefault="00F33AC7" w:rsidP="00BF0F80">
      <w:pPr>
        <w:jc w:val="both"/>
        <w:rPr>
          <w:rFonts w:ascii="Arial" w:eastAsia="Calibri" w:hAnsi="Arial" w:cs="Arial"/>
          <w:sz w:val="20"/>
          <w:szCs w:val="20"/>
        </w:rPr>
      </w:pPr>
      <w:r w:rsidRPr="00F33AC7">
        <w:rPr>
          <w:rFonts w:ascii="Arial" w:eastAsia="Calibri" w:hAnsi="Arial" w:cs="Arial"/>
          <w:sz w:val="20"/>
          <w:szCs w:val="20"/>
        </w:rPr>
        <w:t>El numeral 3.11 del documento base de los «Documentos Tipo – Versión 2» de licitación de obra pública de infraestructura de transporte, establece como requisito habilitante la capacidad residual, definida por el Decreto 1082 de 2015, en el artículo 2.2.1.1.1.3.1, como la «Aptitud de un oferente para cumplir oportuna y cabalmente con el objeto de un contrato de obra, sin que sus otros compromisos contractuales afecten su habilidad de cumplir con el contrato que está en proceso de selección». De igual forma, el artículo 72 de la Ley 1682 de 2013 establece que para calcular la capacidad residual de contratación pública se deben tener en cuenta los factores de experiencia, capacidad financiera, capacidad técnica y capacidad de organización, y en consecuencia faculta al Gobierno para reglamentar la materia</w:t>
      </w:r>
      <w:r w:rsidR="0087795D">
        <w:rPr>
          <w:rFonts w:ascii="Arial" w:eastAsia="Calibri" w:hAnsi="Arial" w:cs="Arial"/>
          <w:sz w:val="20"/>
          <w:szCs w:val="20"/>
        </w:rPr>
        <w:t>.</w:t>
      </w:r>
    </w:p>
    <w:p w14:paraId="621CE0F1" w14:textId="77777777" w:rsidR="00F33AC7" w:rsidRPr="008E15F6" w:rsidRDefault="00F33AC7" w:rsidP="00BF0F80">
      <w:pPr>
        <w:jc w:val="both"/>
        <w:rPr>
          <w:rFonts w:ascii="Arial" w:eastAsia="Calibri" w:hAnsi="Arial" w:cs="Arial"/>
          <w:b/>
          <w:sz w:val="22"/>
        </w:rPr>
      </w:pPr>
    </w:p>
    <w:p w14:paraId="5046A4A1" w14:textId="74BECE84" w:rsidR="0090536F" w:rsidRPr="008E15F6" w:rsidRDefault="0090536F" w:rsidP="00BF0F80">
      <w:pPr>
        <w:jc w:val="both"/>
        <w:rPr>
          <w:rFonts w:ascii="Arial" w:eastAsia="Calibri" w:hAnsi="Arial" w:cs="Arial"/>
          <w:b/>
          <w:sz w:val="22"/>
        </w:rPr>
      </w:pPr>
      <w:r w:rsidRPr="008E15F6">
        <w:rPr>
          <w:rFonts w:ascii="Arial" w:eastAsia="Calibri" w:hAnsi="Arial" w:cs="Arial"/>
          <w:b/>
          <w:sz w:val="22"/>
        </w:rPr>
        <w:t xml:space="preserve">DOCUMENTOS TIPO – Capacidad residual </w:t>
      </w:r>
      <w:r w:rsidRPr="008E15F6">
        <w:rPr>
          <w:rFonts w:ascii="Arial" w:eastAsia="Calibri" w:hAnsi="Arial" w:cs="Arial"/>
          <w:b/>
          <w:sz w:val="22"/>
        </w:rPr>
        <w:softHyphen/>
        <w:t>– Acreditación – Formato 5</w:t>
      </w:r>
    </w:p>
    <w:p w14:paraId="570586DA" w14:textId="0A133E6D" w:rsidR="0090536F" w:rsidRPr="008E15F6" w:rsidRDefault="0090536F" w:rsidP="00BF0F80">
      <w:pPr>
        <w:jc w:val="both"/>
        <w:rPr>
          <w:rFonts w:ascii="Arial" w:eastAsia="Calibri" w:hAnsi="Arial" w:cs="Arial"/>
          <w:b/>
          <w:sz w:val="22"/>
        </w:rPr>
      </w:pPr>
    </w:p>
    <w:p w14:paraId="5D21D0A9" w14:textId="59579B0D" w:rsidR="0090536F" w:rsidRDefault="00057275" w:rsidP="00BF0F80">
      <w:pPr>
        <w:jc w:val="both"/>
        <w:rPr>
          <w:rFonts w:ascii="Arial" w:eastAsia="Calibri" w:hAnsi="Arial" w:cs="Arial"/>
          <w:bCs/>
          <w:sz w:val="20"/>
          <w:szCs w:val="20"/>
        </w:rPr>
      </w:pPr>
      <w:r w:rsidRPr="00057275">
        <w:rPr>
          <w:rFonts w:ascii="Arial" w:eastAsia="Calibri" w:hAnsi="Arial" w:cs="Arial"/>
          <w:bCs/>
          <w:sz w:val="20"/>
          <w:szCs w:val="20"/>
        </w:rPr>
        <w:t>Conforme a lo anterior, la Ley 1150 de 2007 establece que los requisitos habilitantes de experiencia, capacidad jurídica, financiera y de organización se acreditarán conforme a lo contenido en el Registro Único de Proponentes. Respecto a la acreditación de la capacidad residual, como esta no se realiza totalmente conforme al contenido del RUP, las entidades deben exigir los documentos previstos en el artículo 2.2.1.1.1.6.4 del Decreto 1082 de 2015, siempre y cuando no sea información que el proponente haya aportado, con anterioridad, para inscribirse en el Registro. De acuerdo con esto, en el marco de la aplicación de los «Documentos Tipo – Versión 2» de licitación de obra pública de infraestructura de transporte, la información señalada en el artículo citado debe acreditarse a través del «Formato 5 – Capacidad Residual»</w:t>
      </w:r>
      <w:r>
        <w:rPr>
          <w:rFonts w:ascii="Arial" w:eastAsia="Calibri" w:hAnsi="Arial" w:cs="Arial"/>
          <w:bCs/>
          <w:sz w:val="20"/>
          <w:szCs w:val="20"/>
        </w:rPr>
        <w:t>.</w:t>
      </w:r>
    </w:p>
    <w:p w14:paraId="10E433EB" w14:textId="77777777" w:rsidR="00057275" w:rsidRPr="008E15F6" w:rsidRDefault="00057275" w:rsidP="00BF0F80">
      <w:pPr>
        <w:jc w:val="both"/>
        <w:rPr>
          <w:rFonts w:ascii="Arial" w:eastAsia="Calibri" w:hAnsi="Arial" w:cs="Arial"/>
          <w:b/>
          <w:sz w:val="22"/>
        </w:rPr>
      </w:pPr>
    </w:p>
    <w:p w14:paraId="2909020D" w14:textId="7F5CA488" w:rsidR="00704110" w:rsidRPr="008E15F6" w:rsidRDefault="003C02AF" w:rsidP="00704110">
      <w:pPr>
        <w:jc w:val="both"/>
        <w:rPr>
          <w:rFonts w:ascii="Arial" w:eastAsia="Calibri" w:hAnsi="Arial" w:cs="Arial"/>
          <w:b/>
          <w:sz w:val="22"/>
        </w:rPr>
      </w:pPr>
      <w:r w:rsidRPr="008E15F6">
        <w:rPr>
          <w:rFonts w:ascii="Arial" w:eastAsia="Calibri" w:hAnsi="Arial" w:cs="Arial"/>
          <w:b/>
          <w:sz w:val="22"/>
        </w:rPr>
        <w:t xml:space="preserve">DOCUMENTOS TIPO – Capacidad </w:t>
      </w:r>
      <w:r w:rsidR="0090536F" w:rsidRPr="008E15F6">
        <w:rPr>
          <w:rFonts w:ascii="Arial" w:eastAsia="Calibri" w:hAnsi="Arial" w:cs="Arial"/>
          <w:b/>
          <w:sz w:val="22"/>
        </w:rPr>
        <w:t>r</w:t>
      </w:r>
      <w:r w:rsidRPr="008E15F6">
        <w:rPr>
          <w:rFonts w:ascii="Arial" w:eastAsia="Calibri" w:hAnsi="Arial" w:cs="Arial"/>
          <w:b/>
          <w:sz w:val="22"/>
        </w:rPr>
        <w:t>esidual</w:t>
      </w:r>
      <w:r w:rsidR="00704110" w:rsidRPr="008E15F6">
        <w:rPr>
          <w:rFonts w:ascii="Arial" w:eastAsia="Calibri" w:hAnsi="Arial" w:cs="Arial"/>
          <w:b/>
          <w:sz w:val="22"/>
        </w:rPr>
        <w:t xml:space="preserve"> – </w:t>
      </w:r>
      <w:r w:rsidR="00A147C3" w:rsidRPr="008E15F6">
        <w:rPr>
          <w:rFonts w:ascii="Arial" w:eastAsia="Calibri" w:hAnsi="Arial" w:cs="Arial"/>
          <w:b/>
          <w:sz w:val="22"/>
        </w:rPr>
        <w:t>Procesos estructurados por lotes o grupos</w:t>
      </w:r>
    </w:p>
    <w:p w14:paraId="597004A7" w14:textId="77777777" w:rsidR="00704110" w:rsidRPr="008E15F6" w:rsidRDefault="00704110" w:rsidP="00BF0F80">
      <w:pPr>
        <w:jc w:val="both"/>
        <w:rPr>
          <w:rFonts w:ascii="Arial" w:eastAsia="Calibri" w:hAnsi="Arial" w:cs="Arial"/>
          <w:b/>
          <w:sz w:val="22"/>
        </w:rPr>
      </w:pPr>
    </w:p>
    <w:p w14:paraId="22D0138A" w14:textId="163A391B" w:rsidR="00F51DEC" w:rsidRPr="008E15F6" w:rsidRDefault="00A147C3" w:rsidP="0087795D">
      <w:pPr>
        <w:jc w:val="both"/>
        <w:rPr>
          <w:rFonts w:ascii="Arial" w:eastAsia="Calibri" w:hAnsi="Arial" w:cs="Arial"/>
          <w:bCs/>
          <w:sz w:val="20"/>
          <w:szCs w:val="20"/>
        </w:rPr>
      </w:pPr>
      <w:r w:rsidRPr="008E15F6">
        <w:rPr>
          <w:rFonts w:ascii="Arial" w:hAnsi="Arial" w:cs="Arial"/>
          <w:sz w:val="20"/>
          <w:szCs w:val="20"/>
        </w:rPr>
        <w:t xml:space="preserve">[…] </w:t>
      </w:r>
      <w:r w:rsidR="000A3977" w:rsidRPr="008E15F6">
        <w:rPr>
          <w:rFonts w:ascii="Arial" w:hAnsi="Arial" w:cs="Arial"/>
          <w:sz w:val="20"/>
          <w:szCs w:val="20"/>
        </w:rPr>
        <w:t xml:space="preserve">para que un proponente cumpla con este requisito habilitante, es necesario que su capacidad residual –CRP– sea superior a la capacidad residual del proceso de contratación –CRPC–.  </w:t>
      </w:r>
      <w:r w:rsidRPr="008E15F6">
        <w:rPr>
          <w:rFonts w:ascii="Arial" w:hAnsi="Arial" w:cs="Arial"/>
          <w:sz w:val="20"/>
          <w:szCs w:val="20"/>
        </w:rPr>
        <w:t>[…]</w:t>
      </w:r>
      <w:r w:rsidR="00B24746" w:rsidRPr="00B24746">
        <w:rPr>
          <w:rFonts w:ascii="Arial" w:hAnsi="Arial" w:cs="Arial"/>
          <w:sz w:val="20"/>
          <w:szCs w:val="20"/>
        </w:rPr>
        <w:t>el numeral 3.11.1 al regular el cálculo de la capacidad residual del proceso de contratación –CRPC–, establece que «en los Procesos de contratación estructurados por lotes, el presupuesto oficial estimado (POE) corresponderá al presupuesto oficial del lote al cual se presenta oferta».  Esto significa que para evaluar la capacidad residual de los proponentes en los procesos estructurados por lotes o grupos se debe calcular la CRPC para cada lote o grupo y, en principio, calcular la capacidad residual respecto de la sumatoria de los CRPC en los que se presentó oferta.</w:t>
      </w:r>
    </w:p>
    <w:p w14:paraId="034CC18B" w14:textId="77777777" w:rsidR="00A147C3" w:rsidRPr="008E15F6" w:rsidRDefault="00A147C3" w:rsidP="00A147C3">
      <w:pPr>
        <w:jc w:val="both"/>
        <w:rPr>
          <w:rFonts w:ascii="Arial" w:eastAsia="Calibri" w:hAnsi="Arial" w:cs="Arial"/>
          <w:b/>
          <w:sz w:val="22"/>
        </w:rPr>
      </w:pPr>
    </w:p>
    <w:p w14:paraId="327944DB" w14:textId="1516BC57" w:rsidR="00A147C3" w:rsidRPr="008E15F6" w:rsidRDefault="00A147C3" w:rsidP="00A147C3">
      <w:pPr>
        <w:jc w:val="both"/>
        <w:rPr>
          <w:rFonts w:ascii="Arial" w:eastAsia="Calibri" w:hAnsi="Arial" w:cs="Arial"/>
          <w:b/>
          <w:sz w:val="22"/>
        </w:rPr>
      </w:pPr>
      <w:r w:rsidRPr="008E15F6">
        <w:rPr>
          <w:rFonts w:ascii="Arial" w:eastAsia="Calibri" w:hAnsi="Arial" w:cs="Arial"/>
          <w:b/>
          <w:sz w:val="22"/>
        </w:rPr>
        <w:t>DOCUMENTOS TIPO – Procesos estructurados por lotes o grupos – Único adjudicatario – Potestad de las entidades</w:t>
      </w:r>
    </w:p>
    <w:p w14:paraId="57FEEBD5" w14:textId="77777777" w:rsidR="00A147C3" w:rsidRPr="008E15F6" w:rsidRDefault="00A147C3" w:rsidP="00A147C3">
      <w:pPr>
        <w:jc w:val="both"/>
        <w:rPr>
          <w:rFonts w:ascii="Arial" w:eastAsia="Calibri" w:hAnsi="Arial" w:cs="Arial"/>
          <w:bCs/>
          <w:sz w:val="20"/>
          <w:szCs w:val="20"/>
        </w:rPr>
      </w:pPr>
    </w:p>
    <w:p w14:paraId="34C0C52E" w14:textId="2886D750" w:rsidR="00F51DEC" w:rsidRPr="008E15F6" w:rsidRDefault="00F51DEC" w:rsidP="00D06778">
      <w:pPr>
        <w:jc w:val="both"/>
        <w:rPr>
          <w:rFonts w:ascii="Arial" w:eastAsia="Calibri" w:hAnsi="Arial" w:cs="Arial"/>
          <w:bCs/>
          <w:sz w:val="20"/>
          <w:szCs w:val="20"/>
        </w:rPr>
      </w:pPr>
      <w:r w:rsidRPr="008E15F6">
        <w:rPr>
          <w:rFonts w:ascii="Arial" w:eastAsia="Calibri" w:hAnsi="Arial" w:cs="Arial"/>
          <w:bCs/>
          <w:sz w:val="20"/>
          <w:szCs w:val="20"/>
        </w:rPr>
        <w:t>Debe precisarse que el Documento Base de licitación de obra pública de infraestructura de transporte–Versión 2– no establece que en los procesos estructurados por lotes o grupos deba existir un adjudicatario diferente para cada lote o grupo. Por el contrario, tal y como se desprende del numeral 2.10, literal A del Documento Base, ello es una cuestión que deben determinar las entidades estatales al momento de aplicar los Documentos Tipo, quienes además deben establecer la posibilidad de que un proponente presente ofertas para varios lotes.</w:t>
      </w:r>
    </w:p>
    <w:p w14:paraId="1309570B" w14:textId="48834567" w:rsidR="00F51DEC" w:rsidRPr="008E15F6" w:rsidRDefault="00F51DEC" w:rsidP="00D06778">
      <w:pPr>
        <w:jc w:val="both"/>
        <w:rPr>
          <w:rFonts w:ascii="Arial" w:eastAsia="Calibri" w:hAnsi="Arial" w:cs="Arial"/>
          <w:bCs/>
          <w:sz w:val="20"/>
          <w:szCs w:val="20"/>
        </w:rPr>
      </w:pPr>
    </w:p>
    <w:p w14:paraId="6F0A5D67" w14:textId="23D80E56" w:rsidR="00D06778" w:rsidRPr="008E15F6" w:rsidRDefault="00D06778" w:rsidP="00D06778">
      <w:pPr>
        <w:jc w:val="both"/>
        <w:rPr>
          <w:rFonts w:ascii="Arial" w:eastAsia="Calibri" w:hAnsi="Arial" w:cs="Arial"/>
          <w:b/>
          <w:sz w:val="22"/>
        </w:rPr>
      </w:pPr>
      <w:r w:rsidRPr="008E15F6">
        <w:rPr>
          <w:rFonts w:ascii="Arial" w:eastAsia="Calibri" w:hAnsi="Arial" w:cs="Arial"/>
          <w:b/>
          <w:sz w:val="22"/>
        </w:rPr>
        <w:lastRenderedPageBreak/>
        <w:t>DOCUMENTOS TIPO – Capacidad residual – Procesos estructurados por lotes o grupos – Evaluación – Reglas</w:t>
      </w:r>
    </w:p>
    <w:p w14:paraId="201976BB" w14:textId="77777777" w:rsidR="00D06778" w:rsidRPr="008E15F6" w:rsidRDefault="00D06778" w:rsidP="00D06778">
      <w:pPr>
        <w:jc w:val="both"/>
        <w:rPr>
          <w:rFonts w:ascii="Arial" w:eastAsia="Calibri" w:hAnsi="Arial" w:cs="Arial"/>
          <w:bCs/>
          <w:sz w:val="20"/>
          <w:szCs w:val="20"/>
        </w:rPr>
      </w:pPr>
    </w:p>
    <w:p w14:paraId="309A5C79" w14:textId="77777777" w:rsidR="001075BA" w:rsidRPr="0087795D" w:rsidRDefault="001075BA" w:rsidP="0087795D">
      <w:pPr>
        <w:spacing w:after="120"/>
        <w:jc w:val="both"/>
        <w:rPr>
          <w:rFonts w:ascii="Arial" w:eastAsia="Calibri" w:hAnsi="Arial" w:cs="Arial"/>
          <w:sz w:val="20"/>
          <w:szCs w:val="20"/>
        </w:rPr>
      </w:pPr>
      <w:r w:rsidRPr="0087795D">
        <w:rPr>
          <w:rFonts w:ascii="Arial" w:eastAsia="Calibri" w:hAnsi="Arial" w:cs="Arial"/>
          <w:sz w:val="20"/>
          <w:szCs w:val="20"/>
        </w:rPr>
        <w:t xml:space="preserve">En los procesos de licitación de obra pública de infraestructura de transporte adelantados con los «Documentos Tipo – Versión 2», en los que en virtud de lo dispuesto en numeral 2.10, literal A del documento base, se determine que, en principio, un proponente solo pueda ser adjudicatario de un lote, la capacidad residual debe calcularse conforme a la regla del inciso final del numeral 3.11. De acuerdo con dicha regla, para que un proponente cumpla con la capacidad residual exigible, su CRP deberá ser superior a la sumatoria de las CRPC de los lotes a los que presentó oferta. De no cumplirse lo anterior, la entidad deberá habilitar al proponente únicamente en los lotes de mayor valor cuya sumatoria de CRPC, sea inferior a la CRP del proponente. </w:t>
      </w:r>
    </w:p>
    <w:p w14:paraId="2CDA5584" w14:textId="77777777" w:rsidR="001075BA" w:rsidRPr="0087795D" w:rsidRDefault="001075BA" w:rsidP="0087795D">
      <w:pPr>
        <w:jc w:val="both"/>
        <w:rPr>
          <w:rFonts w:ascii="Arial" w:eastAsia="Calibri" w:hAnsi="Arial" w:cs="Arial"/>
          <w:sz w:val="20"/>
          <w:szCs w:val="20"/>
        </w:rPr>
      </w:pPr>
      <w:r w:rsidRPr="0087795D">
        <w:rPr>
          <w:rFonts w:ascii="Arial" w:eastAsia="Calibri" w:hAnsi="Arial" w:cs="Arial"/>
          <w:sz w:val="20"/>
          <w:szCs w:val="20"/>
        </w:rPr>
        <w:t>En concordancia con esto, en este tipo de procesos, para que un proponente pueda, eventualmente, ser adjudicatario de un lote adicional en virtud de lo dispuesto en el literal F del numeral 2.10 del Documento Base, debe estar habilitado conforme a la mencionada regla para la evaluación de la capacidad residual, lo que implica que la CRP sea al menos superior a la sumatoria de las CRPC del lote inicialmente adjudicado y la del lote adicional, independientemente de que haya sido o no habilitado para los demás lotes en los que presentó ofertas.</w:t>
      </w:r>
      <w:r w:rsidRPr="0087795D">
        <w:rPr>
          <w:rFonts w:ascii="Arial" w:eastAsia="Calibri" w:hAnsi="Arial" w:cs="Arial"/>
          <w:sz w:val="20"/>
          <w:szCs w:val="20"/>
        </w:rPr>
        <w:tab/>
      </w:r>
    </w:p>
    <w:p w14:paraId="6780D617" w14:textId="77777777" w:rsidR="00F51DEC" w:rsidRPr="008E15F6" w:rsidRDefault="00F51DEC" w:rsidP="00012965">
      <w:pPr>
        <w:spacing w:after="120"/>
        <w:jc w:val="both"/>
        <w:rPr>
          <w:rFonts w:ascii="Arial" w:eastAsia="Calibri" w:hAnsi="Arial" w:cs="Arial"/>
          <w:bCs/>
          <w:sz w:val="20"/>
          <w:szCs w:val="20"/>
        </w:rPr>
      </w:pPr>
    </w:p>
    <w:p w14:paraId="6B1147EF" w14:textId="77777777" w:rsidR="00F51DEC" w:rsidRPr="008E15F6" w:rsidRDefault="00F51DEC" w:rsidP="00012965">
      <w:pPr>
        <w:spacing w:after="120"/>
        <w:jc w:val="both"/>
        <w:rPr>
          <w:rFonts w:ascii="Arial" w:eastAsia="Calibri" w:hAnsi="Arial" w:cs="Arial"/>
          <w:bCs/>
          <w:sz w:val="20"/>
          <w:szCs w:val="20"/>
        </w:rPr>
      </w:pPr>
    </w:p>
    <w:p w14:paraId="7704BD4D" w14:textId="53367127" w:rsidR="00854DEA" w:rsidRPr="008E15F6" w:rsidRDefault="00854DEA" w:rsidP="00012965">
      <w:pPr>
        <w:spacing w:after="200"/>
        <w:jc w:val="both"/>
        <w:rPr>
          <w:rFonts w:ascii="Arial" w:eastAsia="Calibri" w:hAnsi="Arial" w:cs="Arial"/>
          <w:sz w:val="20"/>
          <w:szCs w:val="20"/>
        </w:rPr>
      </w:pPr>
      <w:r w:rsidRPr="008E15F6">
        <w:rPr>
          <w:rFonts w:ascii="Arial" w:eastAsia="Calibri" w:hAnsi="Arial" w:cs="Arial"/>
          <w:sz w:val="20"/>
          <w:szCs w:val="20"/>
        </w:rPr>
        <w:br w:type="page"/>
      </w:r>
    </w:p>
    <w:p w14:paraId="4CD4AE1F" w14:textId="40FA5759" w:rsidR="00704110" w:rsidRPr="001D5F3C" w:rsidRDefault="00081D60" w:rsidP="00BF0F80">
      <w:pPr>
        <w:jc w:val="both"/>
        <w:rPr>
          <w:rFonts w:ascii="Arial" w:eastAsia="Calibri" w:hAnsi="Arial" w:cs="Arial"/>
          <w:bCs/>
          <w:sz w:val="22"/>
        </w:rPr>
      </w:pPr>
      <w:r>
        <w:rPr>
          <w:rFonts w:ascii="Arial" w:hAnsi="Arial" w:cs="Arial"/>
          <w:b/>
          <w:noProof/>
          <w:sz w:val="22"/>
        </w:rPr>
        <w:lastRenderedPageBreak/>
        <w:drawing>
          <wp:anchor distT="0" distB="0" distL="114300" distR="114300" simplePos="0" relativeHeight="251661312" behindDoc="0" locked="0" layoutInCell="1" allowOverlap="1" wp14:anchorId="5EF5BBA9" wp14:editId="27988E67">
            <wp:simplePos x="0" y="0"/>
            <wp:positionH relativeFrom="column">
              <wp:posOffset>3415665</wp:posOffset>
            </wp:positionH>
            <wp:positionV relativeFrom="paragraph">
              <wp:posOffset>13970</wp:posOffset>
            </wp:positionV>
            <wp:extent cx="2400300" cy="628650"/>
            <wp:effectExtent l="0" t="0" r="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00300" cy="628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B4D541" w14:textId="77777777" w:rsidR="003C02AF" w:rsidRPr="008E15F6" w:rsidRDefault="003C02AF" w:rsidP="0011561C">
      <w:pPr>
        <w:rPr>
          <w:rFonts w:ascii="Arial" w:hAnsi="Arial" w:cs="Arial"/>
          <w:sz w:val="22"/>
        </w:rPr>
      </w:pPr>
    </w:p>
    <w:p w14:paraId="0BDF83C0" w14:textId="77777777" w:rsidR="00FA2FCC" w:rsidRDefault="00FA2FCC" w:rsidP="00AD55E7">
      <w:pPr>
        <w:rPr>
          <w:rFonts w:ascii="Arial" w:hAnsi="Arial" w:cs="Arial"/>
          <w:sz w:val="22"/>
        </w:rPr>
      </w:pPr>
      <w:bookmarkStart w:id="1" w:name="_Hlk58582698"/>
    </w:p>
    <w:p w14:paraId="35038ABA" w14:textId="77777777" w:rsidR="00FA2FCC" w:rsidRDefault="00FA2FCC" w:rsidP="00AD55E7">
      <w:pPr>
        <w:rPr>
          <w:rFonts w:ascii="Arial" w:hAnsi="Arial" w:cs="Arial"/>
          <w:sz w:val="22"/>
        </w:rPr>
      </w:pPr>
    </w:p>
    <w:p w14:paraId="332A494E" w14:textId="77777777" w:rsidR="00FA2FCC" w:rsidRDefault="00FA2FCC" w:rsidP="00AD55E7">
      <w:pPr>
        <w:rPr>
          <w:rFonts w:ascii="Arial" w:hAnsi="Arial" w:cs="Arial"/>
          <w:sz w:val="22"/>
        </w:rPr>
      </w:pPr>
    </w:p>
    <w:p w14:paraId="723BC6E6" w14:textId="77777777" w:rsidR="00FA2FCC" w:rsidRDefault="00FA2FCC" w:rsidP="00AD55E7">
      <w:pPr>
        <w:rPr>
          <w:rFonts w:ascii="Arial" w:hAnsi="Arial" w:cs="Arial"/>
          <w:sz w:val="22"/>
        </w:rPr>
      </w:pPr>
    </w:p>
    <w:p w14:paraId="7600704F" w14:textId="77777777" w:rsidR="00FA2FCC" w:rsidRPr="00FA2FCC" w:rsidRDefault="00FA2FCC" w:rsidP="00FA2FCC">
      <w:pPr>
        <w:spacing w:line="276" w:lineRule="auto"/>
        <w:jc w:val="right"/>
        <w:rPr>
          <w:rFonts w:ascii="Arial" w:eastAsia="Calibri" w:hAnsi="Arial" w:cs="Arial"/>
          <w:b/>
          <w:bCs/>
          <w:sz w:val="32"/>
          <w:szCs w:val="32"/>
        </w:rPr>
      </w:pPr>
      <w:r w:rsidRPr="00FA2FCC">
        <w:rPr>
          <w:rFonts w:ascii="Arial" w:eastAsia="Times New Roman" w:hAnsi="Arial" w:cs="Arial"/>
          <w:b/>
          <w:bCs/>
          <w:sz w:val="22"/>
          <w:lang w:eastAsia="es-ES"/>
        </w:rPr>
        <w:t>CCE-DES-FM-17</w:t>
      </w:r>
    </w:p>
    <w:p w14:paraId="0EA54979" w14:textId="77777777" w:rsidR="00FA2FCC" w:rsidRDefault="00FA2FCC" w:rsidP="00AD55E7">
      <w:pPr>
        <w:rPr>
          <w:rFonts w:ascii="Arial" w:hAnsi="Arial" w:cs="Arial"/>
          <w:sz w:val="22"/>
        </w:rPr>
      </w:pPr>
    </w:p>
    <w:p w14:paraId="704A764B" w14:textId="7A4A477C" w:rsidR="0011561C" w:rsidRPr="008E15F6" w:rsidRDefault="00AD55E7" w:rsidP="00AD55E7">
      <w:pPr>
        <w:rPr>
          <w:rFonts w:ascii="Arial" w:hAnsi="Arial" w:cs="Arial"/>
          <w:bCs/>
          <w:sz w:val="22"/>
        </w:rPr>
      </w:pPr>
      <w:r w:rsidRPr="00AD55E7">
        <w:rPr>
          <w:rFonts w:ascii="Arial" w:hAnsi="Arial" w:cs="Arial"/>
          <w:sz w:val="22"/>
        </w:rPr>
        <w:t xml:space="preserve">Bogotá, 19 </w:t>
      </w:r>
      <w:proofErr w:type="gramStart"/>
      <w:r w:rsidRPr="00AD55E7">
        <w:rPr>
          <w:rFonts w:ascii="Arial" w:hAnsi="Arial" w:cs="Arial"/>
          <w:sz w:val="22"/>
        </w:rPr>
        <w:t>Enero</w:t>
      </w:r>
      <w:proofErr w:type="gramEnd"/>
      <w:r w:rsidRPr="00AD55E7">
        <w:rPr>
          <w:rFonts w:ascii="Arial" w:hAnsi="Arial" w:cs="Arial"/>
          <w:sz w:val="22"/>
        </w:rPr>
        <w:t xml:space="preserve"> 2021</w:t>
      </w:r>
    </w:p>
    <w:p w14:paraId="4C02623C" w14:textId="79694839" w:rsidR="00084DC0" w:rsidRDefault="00084DC0" w:rsidP="00084DC0">
      <w:pPr>
        <w:rPr>
          <w:rFonts w:ascii="Arial" w:eastAsia="Calibri" w:hAnsi="Arial" w:cs="Arial"/>
          <w:sz w:val="22"/>
        </w:rPr>
      </w:pPr>
    </w:p>
    <w:p w14:paraId="6636D324" w14:textId="77777777" w:rsidR="00C94191" w:rsidRDefault="00C94191" w:rsidP="00084DC0">
      <w:pPr>
        <w:rPr>
          <w:rFonts w:ascii="Arial" w:eastAsia="Calibri" w:hAnsi="Arial" w:cs="Arial"/>
          <w:sz w:val="22"/>
        </w:rPr>
      </w:pPr>
    </w:p>
    <w:p w14:paraId="71301B46" w14:textId="51F4DD36" w:rsidR="00977590" w:rsidRPr="008E15F6" w:rsidRDefault="00084DC0" w:rsidP="00084DC0">
      <w:pPr>
        <w:rPr>
          <w:rFonts w:ascii="Arial" w:eastAsia="Calibri" w:hAnsi="Arial" w:cs="Arial"/>
          <w:sz w:val="22"/>
        </w:rPr>
      </w:pPr>
      <w:r w:rsidRPr="008E15F6">
        <w:rPr>
          <w:rFonts w:ascii="Arial" w:eastAsia="Calibri" w:hAnsi="Arial" w:cs="Arial"/>
          <w:sz w:val="22"/>
        </w:rPr>
        <w:t>Señor</w:t>
      </w:r>
    </w:p>
    <w:p w14:paraId="6A46E66E" w14:textId="132E2F81" w:rsidR="00913752" w:rsidRPr="008E15F6" w:rsidRDefault="00977590" w:rsidP="00084DC0">
      <w:pPr>
        <w:rPr>
          <w:rFonts w:ascii="Arial" w:eastAsia="Calibri" w:hAnsi="Arial" w:cs="Arial"/>
          <w:b/>
          <w:sz w:val="22"/>
        </w:rPr>
      </w:pPr>
      <w:r w:rsidRPr="008E15F6">
        <w:rPr>
          <w:rFonts w:ascii="Arial" w:eastAsia="Calibri" w:hAnsi="Arial" w:cs="Arial"/>
          <w:b/>
          <w:sz w:val="22"/>
        </w:rPr>
        <w:t xml:space="preserve">Jofre </w:t>
      </w:r>
      <w:proofErr w:type="spellStart"/>
      <w:r w:rsidRPr="008E15F6">
        <w:rPr>
          <w:rFonts w:ascii="Arial" w:eastAsia="Calibri" w:hAnsi="Arial" w:cs="Arial"/>
          <w:b/>
          <w:sz w:val="22"/>
        </w:rPr>
        <w:t>Excelino</w:t>
      </w:r>
      <w:proofErr w:type="spellEnd"/>
      <w:r w:rsidRPr="008E15F6">
        <w:rPr>
          <w:rFonts w:ascii="Arial" w:eastAsia="Calibri" w:hAnsi="Arial" w:cs="Arial"/>
          <w:b/>
          <w:sz w:val="22"/>
        </w:rPr>
        <w:t xml:space="preserve"> Ayala Cely</w:t>
      </w:r>
    </w:p>
    <w:p w14:paraId="36F2E5BD" w14:textId="464F4640" w:rsidR="00084DC0" w:rsidRPr="008E15F6" w:rsidRDefault="0011561C" w:rsidP="00084DC0">
      <w:pPr>
        <w:rPr>
          <w:rFonts w:ascii="Arial" w:eastAsia="Calibri" w:hAnsi="Arial" w:cs="Arial"/>
          <w:sz w:val="22"/>
        </w:rPr>
      </w:pPr>
      <w:r w:rsidRPr="008E15F6">
        <w:rPr>
          <w:rFonts w:ascii="Arial" w:eastAsia="Calibri" w:hAnsi="Arial" w:cs="Arial"/>
          <w:sz w:val="22"/>
        </w:rPr>
        <w:t>Bogotá D.C.</w:t>
      </w:r>
    </w:p>
    <w:p w14:paraId="1F645901" w14:textId="77777777" w:rsidR="00084DC0" w:rsidRPr="008E15F6" w:rsidRDefault="00084DC0" w:rsidP="00084DC0">
      <w:pPr>
        <w:rPr>
          <w:rFonts w:ascii="Arial" w:eastAsia="Calibri" w:hAnsi="Arial" w:cs="Arial"/>
          <w:sz w:val="22"/>
        </w:rPr>
      </w:pPr>
    </w:p>
    <w:p w14:paraId="67B750EE" w14:textId="77777777" w:rsidR="00084DC0" w:rsidRPr="008E15F6" w:rsidRDefault="00084DC0" w:rsidP="00084DC0">
      <w:pPr>
        <w:rPr>
          <w:rFonts w:ascii="Arial" w:eastAsia="Calibri" w:hAnsi="Arial" w:cs="Arial"/>
          <w:sz w:val="22"/>
        </w:rPr>
      </w:pPr>
    </w:p>
    <w:p w14:paraId="7EA8A4EE" w14:textId="1237BA25" w:rsidR="00084DC0" w:rsidRPr="008E15F6" w:rsidRDefault="00084DC0" w:rsidP="00084DC0">
      <w:pPr>
        <w:rPr>
          <w:rFonts w:ascii="Arial" w:eastAsia="Calibri" w:hAnsi="Arial" w:cs="Arial"/>
          <w:b/>
          <w:sz w:val="22"/>
        </w:rPr>
      </w:pPr>
      <w:r w:rsidRPr="008E15F6">
        <w:rPr>
          <w:rFonts w:ascii="Arial" w:eastAsia="Calibri" w:hAnsi="Arial" w:cs="Arial"/>
          <w:sz w:val="22"/>
        </w:rPr>
        <w:t xml:space="preserve">                                            </w:t>
      </w:r>
      <w:r w:rsidRPr="008E15F6">
        <w:rPr>
          <w:rFonts w:ascii="Arial" w:eastAsia="Calibri" w:hAnsi="Arial" w:cs="Arial"/>
          <w:b/>
          <w:sz w:val="22"/>
        </w:rPr>
        <w:t xml:space="preserve">Concepto C – </w:t>
      </w:r>
      <w:r w:rsidR="00854DEA" w:rsidRPr="008E15F6">
        <w:rPr>
          <w:rFonts w:ascii="Arial" w:eastAsia="Calibri" w:hAnsi="Arial" w:cs="Arial"/>
          <w:b/>
          <w:sz w:val="22"/>
        </w:rPr>
        <w:t>7</w:t>
      </w:r>
      <w:r w:rsidR="00977590" w:rsidRPr="008E15F6">
        <w:rPr>
          <w:rFonts w:ascii="Arial" w:eastAsia="Calibri" w:hAnsi="Arial" w:cs="Arial"/>
          <w:b/>
          <w:sz w:val="22"/>
        </w:rPr>
        <w:t>89</w:t>
      </w:r>
      <w:r w:rsidRPr="008E15F6">
        <w:rPr>
          <w:rFonts w:ascii="Arial" w:eastAsia="Calibri" w:hAnsi="Arial" w:cs="Arial"/>
          <w:b/>
          <w:sz w:val="22"/>
        </w:rPr>
        <w:t xml:space="preserve"> de 2020</w:t>
      </w:r>
    </w:p>
    <w:p w14:paraId="5C9368DE" w14:textId="77777777" w:rsidR="00F2413F" w:rsidRPr="008E15F6" w:rsidRDefault="00F2413F" w:rsidP="00084DC0">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8E15F6" w:rsidRPr="008E15F6" w14:paraId="0E59D186" w14:textId="77777777" w:rsidTr="0090536F">
        <w:trPr>
          <w:trHeight w:val="1936"/>
        </w:trPr>
        <w:tc>
          <w:tcPr>
            <w:tcW w:w="2689" w:type="dxa"/>
            <w:hideMark/>
          </w:tcPr>
          <w:p w14:paraId="0530AA10" w14:textId="77777777" w:rsidR="00084DC0" w:rsidRPr="008E15F6" w:rsidRDefault="00084DC0" w:rsidP="00302D92">
            <w:pPr>
              <w:rPr>
                <w:rFonts w:ascii="Arial" w:eastAsia="Calibri" w:hAnsi="Arial" w:cs="Arial"/>
                <w:sz w:val="22"/>
              </w:rPr>
            </w:pPr>
            <w:r w:rsidRPr="008E15F6">
              <w:rPr>
                <w:rFonts w:ascii="Arial" w:eastAsia="Calibri" w:hAnsi="Arial" w:cs="Arial"/>
                <w:b/>
                <w:sz w:val="22"/>
              </w:rPr>
              <w:t>Temas:</w:t>
            </w:r>
            <w:r w:rsidRPr="008E15F6">
              <w:rPr>
                <w:rFonts w:ascii="Arial" w:eastAsia="Calibri" w:hAnsi="Arial" w:cs="Arial"/>
                <w:sz w:val="22"/>
              </w:rPr>
              <w:t xml:space="preserve">           </w:t>
            </w:r>
          </w:p>
          <w:p w14:paraId="36F8D61E" w14:textId="77777777" w:rsidR="00084DC0" w:rsidRPr="008E15F6" w:rsidRDefault="00084DC0" w:rsidP="00302D92">
            <w:pPr>
              <w:rPr>
                <w:rFonts w:ascii="Arial" w:eastAsia="Calibri" w:hAnsi="Arial" w:cs="Arial"/>
                <w:sz w:val="22"/>
              </w:rPr>
            </w:pPr>
            <w:r w:rsidRPr="008E15F6">
              <w:rPr>
                <w:rFonts w:ascii="Arial" w:eastAsia="Calibri" w:hAnsi="Arial" w:cs="Arial"/>
                <w:sz w:val="22"/>
              </w:rPr>
              <w:t xml:space="preserve">                           </w:t>
            </w:r>
          </w:p>
        </w:tc>
        <w:tc>
          <w:tcPr>
            <w:tcW w:w="6237" w:type="dxa"/>
            <w:hideMark/>
          </w:tcPr>
          <w:p w14:paraId="033B207B" w14:textId="6641FEA7" w:rsidR="00084DC0" w:rsidRPr="008E15F6" w:rsidRDefault="0090536F" w:rsidP="0090536F">
            <w:pPr>
              <w:spacing w:after="120"/>
              <w:jc w:val="both"/>
              <w:rPr>
                <w:rFonts w:ascii="Arial" w:hAnsi="Arial" w:cs="Arial"/>
                <w:sz w:val="22"/>
                <w:lang w:val="es-ES"/>
              </w:rPr>
            </w:pPr>
            <w:r w:rsidRPr="008E15F6">
              <w:rPr>
                <w:rFonts w:ascii="Arial" w:hAnsi="Arial" w:cs="Arial"/>
                <w:sz w:val="22"/>
                <w:lang w:val="es-ES"/>
              </w:rPr>
              <w:t>CAPACIDAD RESIDUAL – Definición – Cálculo / DOCUMENTOS TIPO – Capacidad residual – Acreditación – Formato 5 / DOCUMENTOS TIPO – Capacidad residual – Procesos estructurados por lotes o grupos / DOCUMENTOS TIPO – Procesos estructurados por lotes o grupos – Único adjudicatario – Potestad de las entidades / DOCUMENTOS TIPO – Capacidad residual – Procesos estructurados por lotes o grupos – Evaluación – Reglas</w:t>
            </w:r>
          </w:p>
        </w:tc>
      </w:tr>
      <w:tr w:rsidR="00F2413F" w:rsidRPr="008E15F6" w14:paraId="58F7C044" w14:textId="77777777" w:rsidTr="00302D92">
        <w:tc>
          <w:tcPr>
            <w:tcW w:w="2689" w:type="dxa"/>
          </w:tcPr>
          <w:p w14:paraId="26C7B60F" w14:textId="77777777" w:rsidR="00084DC0" w:rsidRPr="008E15F6" w:rsidRDefault="00084DC0" w:rsidP="00302D92">
            <w:pPr>
              <w:spacing w:before="60"/>
              <w:rPr>
                <w:rFonts w:ascii="Arial" w:eastAsia="Calibri" w:hAnsi="Arial" w:cs="Arial"/>
                <w:b/>
                <w:sz w:val="22"/>
              </w:rPr>
            </w:pPr>
            <w:r w:rsidRPr="008E15F6">
              <w:rPr>
                <w:rFonts w:ascii="Arial" w:eastAsia="Calibri" w:hAnsi="Arial" w:cs="Arial"/>
                <w:b/>
                <w:sz w:val="22"/>
              </w:rPr>
              <w:t>Radicación:</w:t>
            </w:r>
            <w:r w:rsidRPr="008E15F6">
              <w:rPr>
                <w:rFonts w:ascii="Arial" w:eastAsia="Calibri" w:hAnsi="Arial" w:cs="Arial"/>
                <w:sz w:val="22"/>
              </w:rPr>
              <w:t xml:space="preserve">                              </w:t>
            </w:r>
          </w:p>
        </w:tc>
        <w:tc>
          <w:tcPr>
            <w:tcW w:w="6237" w:type="dxa"/>
          </w:tcPr>
          <w:p w14:paraId="56A026A7" w14:textId="62DAADCB" w:rsidR="00084DC0" w:rsidRPr="008E15F6" w:rsidRDefault="00084DC0" w:rsidP="00302D92">
            <w:pPr>
              <w:spacing w:before="60"/>
              <w:jc w:val="both"/>
              <w:rPr>
                <w:rFonts w:ascii="Arial" w:eastAsia="Calibri" w:hAnsi="Arial" w:cs="Arial"/>
                <w:sz w:val="22"/>
              </w:rPr>
            </w:pPr>
            <w:r w:rsidRPr="008E15F6">
              <w:rPr>
                <w:rFonts w:ascii="Arial" w:eastAsia="Calibri" w:hAnsi="Arial" w:cs="Arial"/>
                <w:sz w:val="22"/>
              </w:rPr>
              <w:t xml:space="preserve">Respuesta a </w:t>
            </w:r>
            <w:r w:rsidR="00CB4B63" w:rsidRPr="008E15F6">
              <w:rPr>
                <w:rFonts w:ascii="Arial" w:eastAsia="Calibri" w:hAnsi="Arial" w:cs="Arial"/>
                <w:sz w:val="22"/>
              </w:rPr>
              <w:t xml:space="preserve">la consulta </w:t>
            </w:r>
            <w:r w:rsidR="007B0139" w:rsidRPr="008E15F6">
              <w:rPr>
                <w:rFonts w:ascii="Arial" w:eastAsia="Calibri" w:hAnsi="Arial" w:cs="Arial"/>
                <w:sz w:val="22"/>
              </w:rPr>
              <w:t>P20201204000411</w:t>
            </w:r>
          </w:p>
        </w:tc>
      </w:tr>
    </w:tbl>
    <w:p w14:paraId="3397C440" w14:textId="1E2AE13F" w:rsidR="00084DC0" w:rsidRPr="008E15F6" w:rsidRDefault="00084DC0" w:rsidP="00084DC0">
      <w:pPr>
        <w:spacing w:before="60"/>
        <w:jc w:val="both"/>
        <w:rPr>
          <w:rFonts w:ascii="Arial" w:eastAsia="Calibri" w:hAnsi="Arial" w:cs="Arial"/>
          <w:sz w:val="22"/>
        </w:rPr>
      </w:pPr>
    </w:p>
    <w:p w14:paraId="60509308" w14:textId="77777777" w:rsidR="00084DC0" w:rsidRPr="008E15F6" w:rsidRDefault="00084DC0" w:rsidP="00084DC0">
      <w:pPr>
        <w:rPr>
          <w:rFonts w:ascii="Arial" w:eastAsia="Calibri" w:hAnsi="Arial" w:cs="Arial"/>
          <w:sz w:val="22"/>
        </w:rPr>
      </w:pPr>
    </w:p>
    <w:p w14:paraId="0E257433" w14:textId="3392EEF6" w:rsidR="00084DC0" w:rsidRPr="008E15F6" w:rsidRDefault="00084DC0" w:rsidP="00084DC0">
      <w:pPr>
        <w:rPr>
          <w:rFonts w:ascii="Arial" w:eastAsia="Calibri" w:hAnsi="Arial" w:cs="Arial"/>
          <w:sz w:val="22"/>
        </w:rPr>
      </w:pPr>
      <w:r w:rsidRPr="008E15F6">
        <w:rPr>
          <w:rFonts w:ascii="Arial" w:eastAsia="Calibri" w:hAnsi="Arial" w:cs="Arial"/>
          <w:sz w:val="22"/>
        </w:rPr>
        <w:t>Estimad</w:t>
      </w:r>
      <w:r w:rsidR="0085586A" w:rsidRPr="008E15F6">
        <w:rPr>
          <w:rFonts w:ascii="Arial" w:eastAsia="Calibri" w:hAnsi="Arial" w:cs="Arial"/>
          <w:sz w:val="22"/>
        </w:rPr>
        <w:t>a</w:t>
      </w:r>
      <w:r w:rsidRPr="008E15F6">
        <w:rPr>
          <w:rFonts w:ascii="Arial" w:eastAsia="Calibri" w:hAnsi="Arial" w:cs="Arial"/>
          <w:sz w:val="22"/>
        </w:rPr>
        <w:t xml:space="preserve"> señor</w:t>
      </w:r>
      <w:r w:rsidR="0085586A" w:rsidRPr="008E15F6">
        <w:rPr>
          <w:rFonts w:ascii="Arial" w:eastAsia="Calibri" w:hAnsi="Arial" w:cs="Arial"/>
          <w:sz w:val="22"/>
        </w:rPr>
        <w:t>a</w:t>
      </w:r>
      <w:r w:rsidRPr="008E15F6">
        <w:rPr>
          <w:rFonts w:ascii="Arial" w:eastAsia="Calibri" w:hAnsi="Arial" w:cs="Arial"/>
          <w:sz w:val="22"/>
        </w:rPr>
        <w:t xml:space="preserve"> </w:t>
      </w:r>
      <w:r w:rsidR="007B0139" w:rsidRPr="008E15F6">
        <w:rPr>
          <w:rFonts w:ascii="Arial" w:eastAsia="Calibri" w:hAnsi="Arial" w:cs="Arial"/>
          <w:sz w:val="22"/>
        </w:rPr>
        <w:t>Ayala</w:t>
      </w:r>
      <w:r w:rsidR="0011561C" w:rsidRPr="008E15F6">
        <w:rPr>
          <w:rFonts w:ascii="Arial" w:eastAsia="Calibri" w:hAnsi="Arial" w:cs="Arial"/>
          <w:sz w:val="22"/>
        </w:rPr>
        <w:t>:</w:t>
      </w:r>
    </w:p>
    <w:p w14:paraId="4DE77748" w14:textId="77777777" w:rsidR="00084DC0" w:rsidRPr="008E15F6" w:rsidRDefault="00084DC0" w:rsidP="00084DC0">
      <w:pPr>
        <w:rPr>
          <w:rFonts w:ascii="Arial" w:eastAsia="Calibri" w:hAnsi="Arial" w:cs="Arial"/>
          <w:sz w:val="22"/>
        </w:rPr>
      </w:pPr>
    </w:p>
    <w:p w14:paraId="43D7EC2F" w14:textId="27F81D9C" w:rsidR="00084DC0" w:rsidRPr="008E15F6" w:rsidRDefault="00084DC0" w:rsidP="00084DC0">
      <w:pPr>
        <w:spacing w:line="276" w:lineRule="auto"/>
        <w:ind w:right="49"/>
        <w:jc w:val="both"/>
        <w:rPr>
          <w:rFonts w:ascii="Arial" w:eastAsia="Calibri" w:hAnsi="Arial" w:cs="Arial"/>
          <w:sz w:val="22"/>
        </w:rPr>
      </w:pPr>
      <w:r w:rsidRPr="008E15F6">
        <w:rPr>
          <w:rFonts w:ascii="Arial" w:eastAsia="Calibri" w:hAnsi="Arial" w:cs="Arial"/>
          <w:sz w:val="22"/>
        </w:rPr>
        <w:t xml:space="preserve">En ejercicio de la competencia otorgada por el numeral 8 del artículo 11 y el numeral 5 del artículo 3 del Decreto Ley 4170 de 2011, la Agencia Nacional de Contratación Pública </w:t>
      </w:r>
      <w:r w:rsidR="00AE1289" w:rsidRPr="008E15F6">
        <w:rPr>
          <w:rFonts w:ascii="Arial" w:eastAsia="Calibri" w:hAnsi="Arial" w:cs="Arial"/>
          <w:sz w:val="22"/>
        </w:rPr>
        <w:t>–</w:t>
      </w:r>
      <w:r w:rsidRPr="008E15F6">
        <w:rPr>
          <w:rFonts w:ascii="Arial" w:eastAsia="Calibri" w:hAnsi="Arial" w:cs="Arial"/>
          <w:sz w:val="22"/>
        </w:rPr>
        <w:t xml:space="preserve"> Colombia Compra Eficiente responde </w:t>
      </w:r>
      <w:r w:rsidR="0011561C" w:rsidRPr="008E15F6">
        <w:rPr>
          <w:rFonts w:ascii="Arial" w:eastAsia="Calibri" w:hAnsi="Arial" w:cs="Arial"/>
          <w:sz w:val="22"/>
        </w:rPr>
        <w:t xml:space="preserve">la consulta realizada el </w:t>
      </w:r>
      <w:r w:rsidR="002E2C98" w:rsidRPr="008E15F6">
        <w:rPr>
          <w:rFonts w:ascii="Arial" w:eastAsia="Calibri" w:hAnsi="Arial" w:cs="Arial"/>
          <w:sz w:val="22"/>
        </w:rPr>
        <w:t>4</w:t>
      </w:r>
      <w:r w:rsidR="0011561C" w:rsidRPr="008E15F6">
        <w:rPr>
          <w:rFonts w:ascii="Arial" w:eastAsia="Calibri" w:hAnsi="Arial" w:cs="Arial"/>
          <w:sz w:val="22"/>
        </w:rPr>
        <w:t xml:space="preserve"> de </w:t>
      </w:r>
      <w:r w:rsidR="002E2C98" w:rsidRPr="008E15F6">
        <w:rPr>
          <w:rFonts w:ascii="Arial" w:eastAsia="Calibri" w:hAnsi="Arial" w:cs="Arial"/>
          <w:sz w:val="22"/>
        </w:rPr>
        <w:t>diciem</w:t>
      </w:r>
      <w:r w:rsidR="0011561C" w:rsidRPr="008E15F6">
        <w:rPr>
          <w:rFonts w:ascii="Arial" w:eastAsia="Calibri" w:hAnsi="Arial" w:cs="Arial"/>
          <w:sz w:val="22"/>
        </w:rPr>
        <w:t>bre de 2020</w:t>
      </w:r>
      <w:r w:rsidRPr="008E15F6">
        <w:rPr>
          <w:rFonts w:ascii="Arial" w:eastAsia="Calibri" w:hAnsi="Arial" w:cs="Arial"/>
          <w:sz w:val="22"/>
        </w:rPr>
        <w:t xml:space="preserve">. </w:t>
      </w:r>
    </w:p>
    <w:p w14:paraId="4D8C978C" w14:textId="77777777" w:rsidR="00084DC0" w:rsidRPr="008E15F6" w:rsidRDefault="00084DC0" w:rsidP="00084DC0">
      <w:pPr>
        <w:spacing w:line="276" w:lineRule="auto"/>
        <w:jc w:val="both"/>
        <w:rPr>
          <w:rFonts w:ascii="Arial" w:eastAsia="Calibri" w:hAnsi="Arial" w:cs="Arial"/>
          <w:sz w:val="22"/>
        </w:rPr>
      </w:pPr>
    </w:p>
    <w:p w14:paraId="259EB2D9" w14:textId="77777777" w:rsidR="00084DC0" w:rsidRPr="008E15F6" w:rsidRDefault="00084DC0" w:rsidP="00084DC0">
      <w:pPr>
        <w:pStyle w:val="Prrafodelista"/>
        <w:numPr>
          <w:ilvl w:val="0"/>
          <w:numId w:val="6"/>
        </w:numPr>
        <w:tabs>
          <w:tab w:val="left" w:pos="284"/>
        </w:tabs>
        <w:spacing w:line="276" w:lineRule="auto"/>
        <w:ind w:left="0" w:firstLine="0"/>
        <w:jc w:val="both"/>
        <w:rPr>
          <w:rFonts w:ascii="Arial" w:eastAsia="Calibri" w:hAnsi="Arial" w:cs="Arial"/>
          <w:b/>
          <w:sz w:val="22"/>
        </w:rPr>
      </w:pPr>
      <w:r w:rsidRPr="008E15F6">
        <w:rPr>
          <w:rFonts w:ascii="Arial" w:eastAsia="Calibri" w:hAnsi="Arial" w:cs="Arial"/>
          <w:b/>
          <w:sz w:val="22"/>
        </w:rPr>
        <w:t xml:space="preserve">Problemas planteados </w:t>
      </w:r>
    </w:p>
    <w:p w14:paraId="543FF244" w14:textId="27223B06" w:rsidR="00084DC0" w:rsidRPr="008E15F6" w:rsidRDefault="00084DC0" w:rsidP="00084DC0">
      <w:pPr>
        <w:tabs>
          <w:tab w:val="left" w:pos="426"/>
        </w:tabs>
        <w:spacing w:line="276" w:lineRule="auto"/>
        <w:jc w:val="both"/>
        <w:rPr>
          <w:rFonts w:ascii="Arial" w:eastAsia="Calibri" w:hAnsi="Arial" w:cs="Arial"/>
          <w:b/>
          <w:sz w:val="22"/>
        </w:rPr>
      </w:pPr>
    </w:p>
    <w:p w14:paraId="54A02109" w14:textId="451DC6CA" w:rsidR="00F2413F" w:rsidRPr="008E15F6" w:rsidRDefault="006303BA" w:rsidP="00084DC0">
      <w:pPr>
        <w:tabs>
          <w:tab w:val="left" w:pos="426"/>
        </w:tabs>
        <w:spacing w:line="276" w:lineRule="auto"/>
        <w:jc w:val="both"/>
        <w:rPr>
          <w:rFonts w:ascii="Arial" w:eastAsia="Calibri" w:hAnsi="Arial" w:cs="Arial"/>
          <w:bCs/>
          <w:sz w:val="22"/>
        </w:rPr>
      </w:pPr>
      <w:r>
        <w:rPr>
          <w:rFonts w:ascii="Arial" w:eastAsia="Calibri" w:hAnsi="Arial" w:cs="Arial"/>
          <w:bCs/>
          <w:sz w:val="22"/>
        </w:rPr>
        <w:t>Para efectos de los «Documentos Tipo – Versión 2» para licitación de obra pública de infraestructura de transporte, pregunta c</w:t>
      </w:r>
      <w:r w:rsidR="001309E0" w:rsidRPr="008E15F6">
        <w:rPr>
          <w:rFonts w:ascii="Arial" w:eastAsia="Calibri" w:hAnsi="Arial" w:cs="Arial"/>
          <w:bCs/>
          <w:sz w:val="22"/>
        </w:rPr>
        <w:t xml:space="preserve">ómo debe evaluarse la capacidad residual en </w:t>
      </w:r>
      <w:r w:rsidR="002B7A86">
        <w:rPr>
          <w:rFonts w:ascii="Arial" w:eastAsia="Calibri" w:hAnsi="Arial" w:cs="Arial"/>
          <w:bCs/>
          <w:sz w:val="22"/>
        </w:rPr>
        <w:t xml:space="preserve">procedimientos de selección </w:t>
      </w:r>
      <w:r w:rsidR="001309E0" w:rsidRPr="008E15F6">
        <w:rPr>
          <w:rFonts w:ascii="Arial" w:eastAsia="Calibri" w:hAnsi="Arial" w:cs="Arial"/>
          <w:bCs/>
          <w:sz w:val="22"/>
        </w:rPr>
        <w:t>estructurados por lotes o grupos en los que los proponentes solo puedan ser adjudicatarios de un lote</w:t>
      </w:r>
      <w:r>
        <w:rPr>
          <w:rFonts w:ascii="Arial" w:eastAsia="Calibri" w:hAnsi="Arial" w:cs="Arial"/>
          <w:bCs/>
          <w:sz w:val="22"/>
        </w:rPr>
        <w:t>.</w:t>
      </w:r>
    </w:p>
    <w:p w14:paraId="6A47D0A3" w14:textId="13D787D3" w:rsidR="001309E0" w:rsidRPr="008E15F6" w:rsidRDefault="001309E0" w:rsidP="00084DC0">
      <w:pPr>
        <w:tabs>
          <w:tab w:val="left" w:pos="426"/>
        </w:tabs>
        <w:spacing w:line="276" w:lineRule="auto"/>
        <w:jc w:val="both"/>
        <w:rPr>
          <w:rFonts w:ascii="Arial" w:eastAsia="Calibri" w:hAnsi="Arial" w:cs="Arial"/>
          <w:sz w:val="22"/>
        </w:rPr>
      </w:pPr>
    </w:p>
    <w:p w14:paraId="5DD61A55" w14:textId="77777777" w:rsidR="00084DC0" w:rsidRPr="008E15F6" w:rsidRDefault="00084DC0" w:rsidP="00084DC0">
      <w:pPr>
        <w:pStyle w:val="Prrafodelista"/>
        <w:numPr>
          <w:ilvl w:val="0"/>
          <w:numId w:val="6"/>
        </w:numPr>
        <w:tabs>
          <w:tab w:val="left" w:pos="426"/>
        </w:tabs>
        <w:spacing w:line="276" w:lineRule="auto"/>
        <w:ind w:left="284" w:hanging="284"/>
        <w:jc w:val="both"/>
        <w:rPr>
          <w:rFonts w:ascii="Arial" w:eastAsia="Calibri" w:hAnsi="Arial" w:cs="Arial"/>
          <w:b/>
          <w:sz w:val="22"/>
        </w:rPr>
      </w:pPr>
      <w:r w:rsidRPr="008E15F6">
        <w:rPr>
          <w:rFonts w:ascii="Arial" w:eastAsia="Calibri" w:hAnsi="Arial" w:cs="Arial"/>
          <w:b/>
          <w:sz w:val="22"/>
        </w:rPr>
        <w:lastRenderedPageBreak/>
        <w:t>Consideraciones</w:t>
      </w:r>
    </w:p>
    <w:p w14:paraId="79BD0BC9" w14:textId="77777777" w:rsidR="00084DC0" w:rsidRPr="008E15F6" w:rsidRDefault="00084DC0" w:rsidP="00084DC0">
      <w:pPr>
        <w:pStyle w:val="Prrafodelista"/>
        <w:tabs>
          <w:tab w:val="left" w:pos="426"/>
        </w:tabs>
        <w:spacing w:line="276" w:lineRule="auto"/>
        <w:ind w:left="284"/>
        <w:jc w:val="both"/>
        <w:rPr>
          <w:rFonts w:ascii="Arial" w:eastAsia="Calibri" w:hAnsi="Arial" w:cs="Arial"/>
          <w:b/>
          <w:sz w:val="22"/>
        </w:rPr>
      </w:pPr>
    </w:p>
    <w:p w14:paraId="43335CF0" w14:textId="325A3A56" w:rsidR="00084DC0" w:rsidRPr="008E15F6" w:rsidRDefault="00084DC0" w:rsidP="00A655C7">
      <w:pPr>
        <w:spacing w:after="120" w:line="276" w:lineRule="auto"/>
        <w:jc w:val="both"/>
        <w:rPr>
          <w:rFonts w:ascii="Arial" w:eastAsia="Calibri" w:hAnsi="Arial" w:cs="Arial"/>
          <w:sz w:val="22"/>
        </w:rPr>
      </w:pPr>
      <w:r w:rsidRPr="008E15F6">
        <w:rPr>
          <w:rFonts w:ascii="Arial" w:eastAsia="Calibri" w:hAnsi="Arial" w:cs="Arial"/>
          <w:sz w:val="22"/>
        </w:rPr>
        <w:t xml:space="preserve">La Agencia </w:t>
      </w:r>
      <w:r w:rsidRPr="008E15F6">
        <w:rPr>
          <w:rFonts w:ascii="Arial" w:eastAsia="Calibri" w:hAnsi="Arial" w:cs="Arial"/>
          <w:bCs/>
          <w:sz w:val="22"/>
        </w:rPr>
        <w:t xml:space="preserve">Nacional de Contratación Pública – Colombia Compra Eficiente </w:t>
      </w:r>
      <w:r w:rsidRPr="008E15F6">
        <w:rPr>
          <w:rFonts w:ascii="Arial" w:eastAsia="Calibri" w:hAnsi="Arial" w:cs="Arial"/>
          <w:sz w:val="22"/>
        </w:rPr>
        <w:t xml:space="preserve">en los </w:t>
      </w:r>
      <w:r w:rsidR="006303BA">
        <w:rPr>
          <w:rFonts w:ascii="Arial" w:eastAsia="Calibri" w:hAnsi="Arial" w:cs="Arial"/>
          <w:sz w:val="22"/>
        </w:rPr>
        <w:t>C</w:t>
      </w:r>
      <w:r w:rsidRPr="008E15F6">
        <w:rPr>
          <w:rFonts w:ascii="Arial" w:eastAsia="Calibri" w:hAnsi="Arial" w:cs="Arial"/>
          <w:sz w:val="22"/>
        </w:rPr>
        <w:t>onceptos del 21 de agosto y el 30 de octubre de 2019 −radicados Nos. 2201913000006054 y 2201913000008148–, C-033 del 13 de marzo de 2020, C-133 del 30 de marzo de 2020, C-196 del 8 de abril de 2020, C-297 del 4 de junio de 2020, C-489 del 23 de julio de 2020</w:t>
      </w:r>
      <w:r w:rsidR="00A03556" w:rsidRPr="008E15F6">
        <w:rPr>
          <w:rFonts w:ascii="Arial" w:eastAsia="Calibri" w:hAnsi="Arial" w:cs="Arial"/>
          <w:sz w:val="22"/>
        </w:rPr>
        <w:t>,</w:t>
      </w:r>
      <w:r w:rsidRPr="008E15F6">
        <w:rPr>
          <w:rFonts w:ascii="Arial" w:eastAsia="Calibri" w:hAnsi="Arial" w:cs="Arial"/>
          <w:sz w:val="22"/>
        </w:rPr>
        <w:t xml:space="preserve"> C-522 del 6 de agosto de 2020</w:t>
      </w:r>
      <w:r w:rsidR="00DB634A" w:rsidRPr="008E15F6">
        <w:rPr>
          <w:rFonts w:ascii="Arial" w:eastAsia="Calibri" w:hAnsi="Arial" w:cs="Arial"/>
          <w:sz w:val="22"/>
        </w:rPr>
        <w:t>,</w:t>
      </w:r>
      <w:r w:rsidR="00A03556" w:rsidRPr="008E15F6">
        <w:rPr>
          <w:rFonts w:ascii="Arial" w:eastAsia="Calibri" w:hAnsi="Arial" w:cs="Arial"/>
          <w:sz w:val="22"/>
        </w:rPr>
        <w:t xml:space="preserve"> C-547 del 21 de agosto de 2020</w:t>
      </w:r>
      <w:r w:rsidR="006F4405" w:rsidRPr="008E15F6">
        <w:rPr>
          <w:rFonts w:ascii="Arial" w:eastAsia="Calibri" w:hAnsi="Arial" w:cs="Arial"/>
          <w:sz w:val="22"/>
        </w:rPr>
        <w:t>,</w:t>
      </w:r>
      <w:r w:rsidR="00DB634A" w:rsidRPr="008E15F6">
        <w:rPr>
          <w:rFonts w:ascii="Arial" w:eastAsia="Calibri" w:hAnsi="Arial" w:cs="Arial"/>
          <w:sz w:val="22"/>
        </w:rPr>
        <w:t xml:space="preserve"> C-642 de 30 de octubre de 2020,</w:t>
      </w:r>
      <w:r w:rsidR="006F4405" w:rsidRPr="008E15F6">
        <w:rPr>
          <w:rFonts w:ascii="Arial" w:eastAsia="Calibri" w:hAnsi="Arial" w:cs="Arial"/>
          <w:sz w:val="22"/>
        </w:rPr>
        <w:t xml:space="preserve"> </w:t>
      </w:r>
      <w:r w:rsidR="005E05E3" w:rsidRPr="008E15F6">
        <w:rPr>
          <w:rFonts w:ascii="Arial" w:eastAsia="Calibri" w:hAnsi="Arial" w:cs="Arial"/>
          <w:sz w:val="22"/>
        </w:rPr>
        <w:t>C-668 del 20 de noviembre de 2020 y C-720 del 11 de diciembre de 2020,</w:t>
      </w:r>
      <w:r w:rsidRPr="008E15F6">
        <w:rPr>
          <w:rFonts w:ascii="Arial" w:eastAsia="Calibri" w:hAnsi="Arial" w:cs="Arial"/>
          <w:sz w:val="22"/>
        </w:rPr>
        <w:t xml:space="preserve"> analizó </w:t>
      </w:r>
      <w:r w:rsidR="00DB634A" w:rsidRPr="008E15F6">
        <w:rPr>
          <w:rFonts w:ascii="Arial" w:eastAsia="Calibri" w:hAnsi="Arial" w:cs="Arial"/>
          <w:sz w:val="22"/>
        </w:rPr>
        <w:t xml:space="preserve">aspectos relativos a la </w:t>
      </w:r>
      <w:r w:rsidRPr="008E15F6">
        <w:rPr>
          <w:rFonts w:ascii="Arial" w:eastAsia="Calibri" w:hAnsi="Arial" w:cs="Arial"/>
          <w:sz w:val="22"/>
        </w:rPr>
        <w:t>acreditación del requisito de capacidad residual</w:t>
      </w:r>
      <w:r w:rsidR="00DB634A" w:rsidRPr="008E15F6">
        <w:rPr>
          <w:rFonts w:ascii="Arial" w:eastAsia="Calibri" w:hAnsi="Arial" w:cs="Arial"/>
          <w:sz w:val="22"/>
        </w:rPr>
        <w:t xml:space="preserve"> en procesos adelantados con documentos tipo</w:t>
      </w:r>
      <w:r w:rsidRPr="008E15F6">
        <w:rPr>
          <w:rFonts w:ascii="Arial" w:eastAsia="Calibri" w:hAnsi="Arial" w:cs="Arial"/>
          <w:sz w:val="22"/>
        </w:rPr>
        <w:t>.</w:t>
      </w:r>
      <w:r w:rsidR="00DB634A" w:rsidRPr="008E15F6">
        <w:rPr>
          <w:rFonts w:ascii="Arial" w:eastAsia="Calibri" w:hAnsi="Arial" w:cs="Arial"/>
          <w:sz w:val="22"/>
        </w:rPr>
        <w:t xml:space="preserve"> </w:t>
      </w:r>
      <w:r w:rsidR="006F4582" w:rsidRPr="008E15F6">
        <w:rPr>
          <w:rFonts w:ascii="Arial" w:eastAsia="Calibri" w:hAnsi="Arial" w:cs="Arial"/>
          <w:sz w:val="22"/>
        </w:rPr>
        <w:t xml:space="preserve">De otra parte, en el </w:t>
      </w:r>
      <w:r w:rsidR="00C251B9">
        <w:rPr>
          <w:rFonts w:ascii="Arial" w:eastAsia="Calibri" w:hAnsi="Arial" w:cs="Arial"/>
          <w:sz w:val="22"/>
        </w:rPr>
        <w:t>C</w:t>
      </w:r>
      <w:r w:rsidR="006F4582" w:rsidRPr="008E15F6">
        <w:rPr>
          <w:rFonts w:ascii="Arial" w:eastAsia="Calibri" w:hAnsi="Arial" w:cs="Arial"/>
          <w:sz w:val="22"/>
        </w:rPr>
        <w:t>oncepto C-193 del</w:t>
      </w:r>
      <w:r w:rsidR="00BD58D1" w:rsidRPr="008E15F6">
        <w:rPr>
          <w:rFonts w:ascii="Arial" w:eastAsia="Calibri" w:hAnsi="Arial" w:cs="Arial"/>
          <w:sz w:val="22"/>
        </w:rPr>
        <w:t xml:space="preserve"> 6 de abril de 2020 </w:t>
      </w:r>
      <w:r w:rsidR="0092358A" w:rsidRPr="008E15F6">
        <w:rPr>
          <w:rFonts w:ascii="Arial" w:eastAsia="Calibri" w:hAnsi="Arial" w:cs="Arial"/>
          <w:sz w:val="22"/>
        </w:rPr>
        <w:t xml:space="preserve">se estudió </w:t>
      </w:r>
      <w:r w:rsidR="00E37C17" w:rsidRPr="008E15F6">
        <w:rPr>
          <w:rFonts w:ascii="Arial" w:eastAsia="Calibri" w:hAnsi="Arial" w:cs="Arial"/>
          <w:sz w:val="22"/>
        </w:rPr>
        <w:t xml:space="preserve">la acreditación de requisitos habilitantes en procesos </w:t>
      </w:r>
      <w:r w:rsidR="00064C05" w:rsidRPr="008E15F6">
        <w:rPr>
          <w:rFonts w:ascii="Arial" w:eastAsia="Calibri" w:hAnsi="Arial" w:cs="Arial"/>
          <w:sz w:val="22"/>
        </w:rPr>
        <w:t>adelantados con documentos tipo de infraestructura de transporte y estructurados por lotes o grupos.</w:t>
      </w:r>
      <w:r w:rsidR="006F4582" w:rsidRPr="008E15F6">
        <w:rPr>
          <w:rFonts w:ascii="Arial" w:eastAsia="Calibri" w:hAnsi="Arial" w:cs="Arial"/>
          <w:sz w:val="22"/>
        </w:rPr>
        <w:t xml:space="preserve"> </w:t>
      </w:r>
      <w:r w:rsidR="00DB634A" w:rsidRPr="008E15F6">
        <w:rPr>
          <w:rFonts w:ascii="Arial" w:eastAsia="Calibri" w:hAnsi="Arial" w:cs="Arial"/>
          <w:sz w:val="22"/>
        </w:rPr>
        <w:t xml:space="preserve">Algunos de los argumentos expuestos </w:t>
      </w:r>
      <w:r w:rsidR="006303BA" w:rsidRPr="006303BA">
        <w:rPr>
          <w:rFonts w:ascii="Arial" w:eastAsia="Calibri" w:hAnsi="Arial" w:cs="Arial"/>
          <w:sz w:val="22"/>
        </w:rPr>
        <w:t>en estos conceptos se reitera</w:t>
      </w:r>
      <w:r w:rsidR="006303BA">
        <w:rPr>
          <w:rFonts w:ascii="Arial" w:eastAsia="Calibri" w:hAnsi="Arial" w:cs="Arial"/>
          <w:sz w:val="22"/>
        </w:rPr>
        <w:t>n</w:t>
      </w:r>
      <w:r w:rsidR="006303BA" w:rsidRPr="006303BA">
        <w:rPr>
          <w:rFonts w:ascii="Arial" w:eastAsia="Calibri" w:hAnsi="Arial" w:cs="Arial"/>
          <w:sz w:val="22"/>
        </w:rPr>
        <w:t xml:space="preserve"> a continuación</w:t>
      </w:r>
      <w:r w:rsidR="00011A5B" w:rsidRPr="008E15F6">
        <w:rPr>
          <w:rFonts w:ascii="Arial" w:eastAsia="Calibri" w:hAnsi="Arial" w:cs="Arial"/>
          <w:sz w:val="22"/>
        </w:rPr>
        <w:t>.</w:t>
      </w:r>
    </w:p>
    <w:p w14:paraId="24812EB8" w14:textId="0DE111C1" w:rsidR="00084DC0" w:rsidRPr="008E15F6" w:rsidRDefault="00C51383" w:rsidP="00084DC0">
      <w:pPr>
        <w:tabs>
          <w:tab w:val="left" w:pos="426"/>
        </w:tabs>
        <w:spacing w:line="276" w:lineRule="auto"/>
        <w:jc w:val="both"/>
        <w:rPr>
          <w:rFonts w:ascii="Arial" w:hAnsi="Arial" w:cs="Arial"/>
          <w:sz w:val="22"/>
          <w:szCs w:val="20"/>
        </w:rPr>
      </w:pPr>
      <w:r w:rsidRPr="008E15F6">
        <w:rPr>
          <w:rFonts w:ascii="Arial" w:hAnsi="Arial" w:cs="Arial"/>
          <w:sz w:val="22"/>
          <w:szCs w:val="20"/>
        </w:rPr>
        <w:tab/>
      </w:r>
      <w:r w:rsidRPr="008E15F6">
        <w:rPr>
          <w:rFonts w:ascii="Arial" w:hAnsi="Arial" w:cs="Arial"/>
          <w:sz w:val="22"/>
          <w:szCs w:val="20"/>
        </w:rPr>
        <w:tab/>
      </w:r>
      <w:r w:rsidR="00084DC0" w:rsidRPr="008E15F6">
        <w:rPr>
          <w:rFonts w:ascii="Arial" w:hAnsi="Arial" w:cs="Arial"/>
          <w:sz w:val="22"/>
          <w:szCs w:val="20"/>
        </w:rPr>
        <w:t xml:space="preserve">El numeral 3.11 </w:t>
      </w:r>
      <w:r w:rsidR="006303BA">
        <w:rPr>
          <w:rFonts w:ascii="Arial" w:hAnsi="Arial" w:cs="Arial"/>
          <w:sz w:val="22"/>
          <w:szCs w:val="20"/>
        </w:rPr>
        <w:t>del documento base</w:t>
      </w:r>
      <w:r w:rsidR="00084DC0" w:rsidRPr="008E15F6">
        <w:rPr>
          <w:rFonts w:ascii="Arial" w:hAnsi="Arial" w:cs="Arial"/>
          <w:sz w:val="22"/>
          <w:szCs w:val="20"/>
        </w:rPr>
        <w:t xml:space="preserve"> de los </w:t>
      </w:r>
      <w:r w:rsidR="006303BA">
        <w:rPr>
          <w:rFonts w:ascii="Arial" w:hAnsi="Arial" w:cs="Arial"/>
          <w:sz w:val="22"/>
          <w:szCs w:val="20"/>
        </w:rPr>
        <w:t>«</w:t>
      </w:r>
      <w:r w:rsidR="006303BA" w:rsidRPr="008E15F6">
        <w:rPr>
          <w:rFonts w:ascii="Arial" w:hAnsi="Arial" w:cs="Arial"/>
          <w:sz w:val="22"/>
          <w:szCs w:val="20"/>
        </w:rPr>
        <w:t>Documentos Tipo</w:t>
      </w:r>
      <w:r w:rsidR="00C251B9">
        <w:rPr>
          <w:rFonts w:ascii="Arial" w:hAnsi="Arial" w:cs="Arial"/>
          <w:sz w:val="22"/>
          <w:szCs w:val="20"/>
        </w:rPr>
        <w:t xml:space="preserve"> – Versión 2»</w:t>
      </w:r>
      <w:r w:rsidR="00084DC0" w:rsidRPr="008E15F6">
        <w:rPr>
          <w:rFonts w:ascii="Arial" w:hAnsi="Arial" w:cs="Arial"/>
          <w:sz w:val="22"/>
          <w:szCs w:val="20"/>
        </w:rPr>
        <w:t xml:space="preserve"> de licitación</w:t>
      </w:r>
      <w:r w:rsidR="00195DB4" w:rsidRPr="008E15F6">
        <w:rPr>
          <w:rFonts w:ascii="Arial" w:hAnsi="Arial" w:cs="Arial"/>
          <w:sz w:val="22"/>
          <w:szCs w:val="20"/>
        </w:rPr>
        <w:t xml:space="preserve"> de obra</w:t>
      </w:r>
      <w:r w:rsidR="00084DC0" w:rsidRPr="008E15F6">
        <w:rPr>
          <w:rFonts w:ascii="Arial" w:hAnsi="Arial" w:cs="Arial"/>
          <w:sz w:val="22"/>
          <w:szCs w:val="20"/>
        </w:rPr>
        <w:t xml:space="preserve"> pública</w:t>
      </w:r>
      <w:r w:rsidR="00195DB4" w:rsidRPr="008E15F6">
        <w:rPr>
          <w:rFonts w:ascii="Arial" w:hAnsi="Arial" w:cs="Arial"/>
          <w:sz w:val="22"/>
          <w:szCs w:val="20"/>
        </w:rPr>
        <w:t xml:space="preserve"> de infraestructura de transporte</w:t>
      </w:r>
      <w:r w:rsidR="00084DC0" w:rsidRPr="008E15F6">
        <w:rPr>
          <w:rFonts w:ascii="Arial" w:hAnsi="Arial" w:cs="Arial"/>
          <w:sz w:val="22"/>
          <w:szCs w:val="20"/>
        </w:rPr>
        <w:t>, establece como requisito habilitante la capacidad residual, definida por el Decreto 1082 de 2015, en el artículo 2.2.1.1.1.3.1, como la «</w:t>
      </w:r>
      <w:r w:rsidRPr="008E15F6">
        <w:rPr>
          <w:rFonts w:ascii="Arial" w:hAnsi="Arial" w:cs="Arial"/>
          <w:sz w:val="22"/>
          <w:szCs w:val="20"/>
        </w:rPr>
        <w:t>A</w:t>
      </w:r>
      <w:r w:rsidR="00084DC0" w:rsidRPr="008E15F6">
        <w:rPr>
          <w:rFonts w:ascii="Arial" w:hAnsi="Arial" w:cs="Arial"/>
          <w:sz w:val="22"/>
          <w:szCs w:val="20"/>
        </w:rPr>
        <w:t>ptitud de un oferente para cumplir oportuna y cabalmente con el objeto de un contrato de obra, sin que sus otros compromisos contractuales afecten su habilidad de cumplir con el contrato que está en proceso de selección</w:t>
      </w:r>
      <w:r w:rsidR="00084DC0" w:rsidRPr="008E15F6">
        <w:rPr>
          <w:rFonts w:ascii="Arial" w:hAnsi="Arial" w:cs="Arial"/>
          <w:iCs/>
          <w:sz w:val="22"/>
          <w:szCs w:val="20"/>
        </w:rPr>
        <w:t>»</w:t>
      </w:r>
      <w:r w:rsidR="00084DC0" w:rsidRPr="008E15F6">
        <w:rPr>
          <w:rFonts w:ascii="Arial" w:hAnsi="Arial" w:cs="Arial"/>
          <w:sz w:val="22"/>
          <w:szCs w:val="20"/>
        </w:rPr>
        <w:t xml:space="preserve">. </w:t>
      </w:r>
      <w:r w:rsidR="00AE2F40" w:rsidRPr="008E15F6">
        <w:rPr>
          <w:rFonts w:ascii="Arial" w:hAnsi="Arial" w:cs="Arial"/>
          <w:sz w:val="22"/>
          <w:szCs w:val="20"/>
        </w:rPr>
        <w:t>De igual forma</w:t>
      </w:r>
      <w:r w:rsidR="00084DC0" w:rsidRPr="008E15F6">
        <w:rPr>
          <w:rFonts w:ascii="Arial" w:hAnsi="Arial" w:cs="Arial"/>
          <w:sz w:val="22"/>
          <w:szCs w:val="20"/>
        </w:rPr>
        <w:t>, el artículo 72 de la Ley 1682 de 2013 establece que para calcular la capacidad residual de contratación pública se deben tener en cuenta los factores de experiencia, capacidad financiera, capacidad técnica y capacidad de organización, y en consecuencia faculta al Gobierno para reglamentar la materia</w:t>
      </w:r>
      <w:r w:rsidR="00084DC0" w:rsidRPr="008E15F6">
        <w:rPr>
          <w:rStyle w:val="Refdenotaalpie"/>
          <w:rFonts w:ascii="Arial" w:hAnsi="Arial" w:cs="Arial"/>
          <w:sz w:val="22"/>
          <w:szCs w:val="20"/>
        </w:rPr>
        <w:footnoteReference w:id="1"/>
      </w:r>
      <w:r w:rsidR="00084DC0" w:rsidRPr="008E15F6">
        <w:rPr>
          <w:rFonts w:ascii="Arial" w:hAnsi="Arial" w:cs="Arial"/>
          <w:sz w:val="22"/>
          <w:szCs w:val="20"/>
        </w:rPr>
        <w:t xml:space="preserve">. </w:t>
      </w:r>
    </w:p>
    <w:p w14:paraId="0AE9FFEB" w14:textId="6FF859E6" w:rsidR="00084DC0" w:rsidRPr="008E15F6" w:rsidRDefault="00084DC0" w:rsidP="00084DC0">
      <w:pPr>
        <w:tabs>
          <w:tab w:val="left" w:pos="426"/>
        </w:tabs>
        <w:spacing w:before="120" w:after="120" w:line="276" w:lineRule="auto"/>
        <w:ind w:firstLine="709"/>
        <w:jc w:val="both"/>
        <w:rPr>
          <w:rFonts w:ascii="Arial" w:hAnsi="Arial" w:cs="Arial"/>
          <w:sz w:val="22"/>
          <w:szCs w:val="20"/>
        </w:rPr>
      </w:pPr>
      <w:r w:rsidRPr="008E15F6">
        <w:rPr>
          <w:rFonts w:ascii="Arial" w:hAnsi="Arial" w:cs="Arial"/>
          <w:sz w:val="22"/>
          <w:szCs w:val="20"/>
        </w:rPr>
        <w:t xml:space="preserve">Por su parte, el artículo 2.2.1.1.1.1.6.4. del Decreto 1082 de 2015, con fundamento en la facultad otorgada al Gobierno, establece que el interesado en celebrar contratos de obra pública acreditará su capacidad residual con los siguientes documentos: i) la lista de los contratos de obras civiles en ejecución suscritos con entidades estatales y con </w:t>
      </w:r>
      <w:r w:rsidRPr="008E15F6">
        <w:rPr>
          <w:rFonts w:ascii="Arial" w:hAnsi="Arial" w:cs="Arial"/>
          <w:sz w:val="22"/>
          <w:szCs w:val="20"/>
        </w:rPr>
        <w:lastRenderedPageBreak/>
        <w:t xml:space="preserve">entidades privadas, </w:t>
      </w:r>
      <w:proofErr w:type="spellStart"/>
      <w:r w:rsidRPr="008E15F6">
        <w:rPr>
          <w:rFonts w:ascii="Arial" w:hAnsi="Arial" w:cs="Arial"/>
          <w:sz w:val="22"/>
          <w:szCs w:val="20"/>
        </w:rPr>
        <w:t>ii</w:t>
      </w:r>
      <w:proofErr w:type="spellEnd"/>
      <w:r w:rsidRPr="008E15F6">
        <w:rPr>
          <w:rFonts w:ascii="Arial" w:hAnsi="Arial" w:cs="Arial"/>
          <w:sz w:val="22"/>
          <w:szCs w:val="20"/>
        </w:rPr>
        <w:t>) la lista de contratos de obras civiles en ejecución, suscritos por sociedades, consorcios o uniones temporales, en los cuales el proponente tenga participación, con entidades estatales y con entidades privadas y</w:t>
      </w:r>
      <w:r w:rsidR="0051288D" w:rsidRPr="008E15F6">
        <w:rPr>
          <w:rFonts w:ascii="Arial" w:hAnsi="Arial" w:cs="Arial"/>
          <w:sz w:val="22"/>
          <w:szCs w:val="20"/>
        </w:rPr>
        <w:t>,</w:t>
      </w:r>
      <w:r w:rsidRPr="008E15F6">
        <w:rPr>
          <w:rFonts w:ascii="Arial" w:hAnsi="Arial" w:cs="Arial"/>
          <w:sz w:val="22"/>
          <w:szCs w:val="20"/>
        </w:rPr>
        <w:t xml:space="preserve"> finalmente</w:t>
      </w:r>
      <w:r w:rsidR="0051288D" w:rsidRPr="008E15F6">
        <w:rPr>
          <w:rFonts w:ascii="Arial" w:hAnsi="Arial" w:cs="Arial"/>
          <w:sz w:val="22"/>
          <w:szCs w:val="20"/>
        </w:rPr>
        <w:t>,</w:t>
      </w:r>
      <w:r w:rsidRPr="008E15F6">
        <w:rPr>
          <w:rFonts w:ascii="Arial" w:hAnsi="Arial" w:cs="Arial"/>
          <w:sz w:val="22"/>
          <w:szCs w:val="20"/>
        </w:rPr>
        <w:t xml:space="preserve"> </w:t>
      </w:r>
      <w:proofErr w:type="spellStart"/>
      <w:r w:rsidRPr="008E15F6">
        <w:rPr>
          <w:rFonts w:ascii="Arial" w:hAnsi="Arial" w:cs="Arial"/>
          <w:sz w:val="22"/>
          <w:szCs w:val="20"/>
        </w:rPr>
        <w:t>iii</w:t>
      </w:r>
      <w:proofErr w:type="spellEnd"/>
      <w:r w:rsidRPr="008E15F6">
        <w:rPr>
          <w:rFonts w:ascii="Arial" w:hAnsi="Arial" w:cs="Arial"/>
          <w:sz w:val="22"/>
          <w:szCs w:val="20"/>
        </w:rPr>
        <w:t>) el balance general auditado del año inmediatamente anterior y estado de resultados auditado del año en que haya obtenido el mayor ingreso operacional en los últimos cinco (5) años</w:t>
      </w:r>
      <w:r w:rsidRPr="008E15F6">
        <w:rPr>
          <w:rStyle w:val="Refdenotaalpie"/>
          <w:rFonts w:ascii="Arial" w:hAnsi="Arial" w:cs="Arial"/>
          <w:sz w:val="22"/>
          <w:szCs w:val="20"/>
        </w:rPr>
        <w:footnoteReference w:id="2"/>
      </w:r>
      <w:r w:rsidRPr="008E15F6">
        <w:rPr>
          <w:rFonts w:ascii="Arial" w:hAnsi="Arial" w:cs="Arial"/>
          <w:sz w:val="22"/>
          <w:szCs w:val="20"/>
        </w:rPr>
        <w:t xml:space="preserve">. </w:t>
      </w:r>
    </w:p>
    <w:p w14:paraId="4E0BA141" w14:textId="35CD54FE" w:rsidR="00084DC0" w:rsidRPr="008E15F6" w:rsidRDefault="00084DC0" w:rsidP="00084DC0">
      <w:pPr>
        <w:tabs>
          <w:tab w:val="left" w:pos="426"/>
        </w:tabs>
        <w:spacing w:before="120" w:after="120" w:line="276" w:lineRule="auto"/>
        <w:ind w:firstLine="709"/>
        <w:jc w:val="both"/>
        <w:rPr>
          <w:rFonts w:ascii="Arial" w:hAnsi="Arial" w:cs="Arial"/>
          <w:sz w:val="22"/>
          <w:szCs w:val="20"/>
        </w:rPr>
      </w:pPr>
      <w:r w:rsidRPr="008E15F6">
        <w:rPr>
          <w:rFonts w:ascii="Arial" w:hAnsi="Arial" w:cs="Arial"/>
          <w:sz w:val="22"/>
          <w:szCs w:val="20"/>
        </w:rPr>
        <w:t>El artículo 6 de la Ley 1150 de 2007 establece que todas las personas naturales o extranjeras domiciliadas o con sucursal en Colombia, que aspiren a celebrar contratos con las entidades estatales, deben estar inscritas en el Registro Único de Proponentes de la Cámara de Comercio con jurisdicción en su domicilio principal</w:t>
      </w:r>
      <w:r w:rsidRPr="008E15F6">
        <w:rPr>
          <w:rStyle w:val="Refdenotaalpie"/>
          <w:rFonts w:ascii="Arial" w:hAnsi="Arial" w:cs="Arial"/>
          <w:sz w:val="22"/>
          <w:szCs w:val="20"/>
        </w:rPr>
        <w:footnoteReference w:id="3"/>
      </w:r>
      <w:r w:rsidRPr="008E15F6">
        <w:rPr>
          <w:rFonts w:ascii="Arial" w:hAnsi="Arial" w:cs="Arial"/>
          <w:sz w:val="22"/>
          <w:szCs w:val="20"/>
        </w:rPr>
        <w:t xml:space="preserve">. En </w:t>
      </w:r>
      <w:r w:rsidR="0051288D" w:rsidRPr="008E15F6">
        <w:rPr>
          <w:rFonts w:ascii="Arial" w:hAnsi="Arial" w:cs="Arial"/>
          <w:sz w:val="22"/>
          <w:szCs w:val="20"/>
        </w:rPr>
        <w:t>este</w:t>
      </w:r>
      <w:r w:rsidRPr="008E15F6">
        <w:rPr>
          <w:rFonts w:ascii="Arial" w:hAnsi="Arial" w:cs="Arial"/>
          <w:sz w:val="22"/>
          <w:szCs w:val="20"/>
        </w:rPr>
        <w:t xml:space="preserve"> registro constará </w:t>
      </w:r>
      <w:r w:rsidRPr="008E15F6">
        <w:rPr>
          <w:rFonts w:ascii="Arial" w:hAnsi="Arial" w:cs="Arial"/>
          <w:sz w:val="22"/>
          <w:szCs w:val="20"/>
        </w:rPr>
        <w:lastRenderedPageBreak/>
        <w:t xml:space="preserve">la información relacionada con la experiencia, capacidad jurídica, financiera y de organización del proponente, es decir, la verificación de dichos requisitos habilitantes se demostrará exclusivamente con el RUP, donde deben constar dichas condiciones. En consecuencia, las entidades, en los procedimientos de selección, no podrán exigir, ni los proponentes aportar, documentación que deba utilizarse para efectuar la inscripción en el registro. </w:t>
      </w:r>
    </w:p>
    <w:p w14:paraId="2F360E03" w14:textId="3DDE6DEF" w:rsidR="00084DC0" w:rsidRPr="008E15F6" w:rsidRDefault="00084DC0" w:rsidP="00084DC0">
      <w:pPr>
        <w:tabs>
          <w:tab w:val="left" w:pos="426"/>
        </w:tabs>
        <w:spacing w:before="120" w:after="120" w:line="276" w:lineRule="auto"/>
        <w:ind w:firstLine="709"/>
        <w:jc w:val="both"/>
        <w:rPr>
          <w:rFonts w:ascii="Arial" w:hAnsi="Arial" w:cs="Arial"/>
          <w:sz w:val="22"/>
          <w:szCs w:val="20"/>
        </w:rPr>
      </w:pPr>
      <w:r w:rsidRPr="008E15F6">
        <w:rPr>
          <w:rFonts w:ascii="Arial" w:hAnsi="Arial" w:cs="Arial"/>
          <w:sz w:val="22"/>
          <w:szCs w:val="20"/>
        </w:rPr>
        <w:t>Conforme a lo anterior, la Ley 1150 de 2007 establece que los requisitos habilitantes de experiencia, capacidad jurídica, financiera y de organización se acreditarán conforme a lo contenido en el Registro Único de Proponentes. Respecto a la acreditación de la capacidad residual, como esta no se realiza totalmente conforme al contenido del RUP, las entidades deben exigir los documentos previstos en el artículo 2.2.1.1.1.6.4 del Decreto 1082 de 2015, siempre y cuando no sea información que el proponente haya aportado, con anterioridad, para inscribirse en el R</w:t>
      </w:r>
      <w:r w:rsidR="00D42168" w:rsidRPr="008E15F6">
        <w:rPr>
          <w:rFonts w:ascii="Arial" w:hAnsi="Arial" w:cs="Arial"/>
          <w:sz w:val="22"/>
          <w:szCs w:val="20"/>
        </w:rPr>
        <w:t>egistro</w:t>
      </w:r>
      <w:r w:rsidRPr="008E15F6">
        <w:rPr>
          <w:rFonts w:ascii="Arial" w:hAnsi="Arial" w:cs="Arial"/>
          <w:sz w:val="22"/>
          <w:szCs w:val="20"/>
        </w:rPr>
        <w:t xml:space="preserve">. </w:t>
      </w:r>
      <w:r w:rsidR="008F3B18" w:rsidRPr="008E15F6">
        <w:rPr>
          <w:rFonts w:ascii="Arial" w:hAnsi="Arial" w:cs="Arial"/>
          <w:sz w:val="22"/>
          <w:szCs w:val="20"/>
        </w:rPr>
        <w:t xml:space="preserve">De acuerdo con esto, en el marco de la aplicación de los </w:t>
      </w:r>
      <w:r w:rsidR="00A323E9">
        <w:rPr>
          <w:rFonts w:ascii="Arial" w:hAnsi="Arial" w:cs="Arial"/>
          <w:sz w:val="22"/>
          <w:szCs w:val="20"/>
        </w:rPr>
        <w:t>«</w:t>
      </w:r>
      <w:r w:rsidR="00A323E9" w:rsidRPr="008E15F6">
        <w:rPr>
          <w:rFonts w:ascii="Arial" w:hAnsi="Arial" w:cs="Arial"/>
          <w:sz w:val="22"/>
          <w:szCs w:val="20"/>
        </w:rPr>
        <w:t>Documentos Tipo</w:t>
      </w:r>
      <w:r w:rsidR="00A323E9">
        <w:rPr>
          <w:rFonts w:ascii="Arial" w:hAnsi="Arial" w:cs="Arial"/>
          <w:sz w:val="22"/>
          <w:szCs w:val="20"/>
        </w:rPr>
        <w:t xml:space="preserve"> – Versión 2»</w:t>
      </w:r>
      <w:r w:rsidR="00A323E9" w:rsidRPr="008E15F6">
        <w:rPr>
          <w:rFonts w:ascii="Arial" w:hAnsi="Arial" w:cs="Arial"/>
          <w:sz w:val="22"/>
          <w:szCs w:val="20"/>
        </w:rPr>
        <w:t xml:space="preserve"> de licitación de obra pública de infraestructura de transporte</w:t>
      </w:r>
      <w:r w:rsidR="008F3B18" w:rsidRPr="008E15F6">
        <w:rPr>
          <w:rFonts w:ascii="Arial" w:hAnsi="Arial" w:cs="Arial"/>
          <w:sz w:val="22"/>
          <w:szCs w:val="20"/>
        </w:rPr>
        <w:t xml:space="preserve">, la información señalada en el artículo </w:t>
      </w:r>
      <w:r w:rsidR="00A323E9">
        <w:rPr>
          <w:rFonts w:ascii="Arial" w:hAnsi="Arial" w:cs="Arial"/>
          <w:sz w:val="22"/>
          <w:szCs w:val="20"/>
        </w:rPr>
        <w:t>citado</w:t>
      </w:r>
      <w:r w:rsidR="008F3B18" w:rsidRPr="008E15F6">
        <w:rPr>
          <w:rFonts w:ascii="Arial" w:hAnsi="Arial" w:cs="Arial"/>
          <w:i/>
          <w:iCs/>
          <w:sz w:val="22"/>
          <w:szCs w:val="20"/>
        </w:rPr>
        <w:t xml:space="preserve"> </w:t>
      </w:r>
      <w:r w:rsidR="008F3B18" w:rsidRPr="008E15F6">
        <w:rPr>
          <w:rFonts w:ascii="Arial" w:hAnsi="Arial" w:cs="Arial"/>
          <w:sz w:val="22"/>
          <w:szCs w:val="20"/>
        </w:rPr>
        <w:t>debe acreditarse a través del «Formato 5 – Capacidad Residual»</w:t>
      </w:r>
      <w:r w:rsidR="008F3B18" w:rsidRPr="008E15F6">
        <w:rPr>
          <w:rStyle w:val="Refdenotaalpie"/>
          <w:rFonts w:ascii="Arial" w:hAnsi="Arial" w:cs="Arial"/>
          <w:sz w:val="22"/>
          <w:szCs w:val="20"/>
        </w:rPr>
        <w:footnoteReference w:id="4"/>
      </w:r>
      <w:r w:rsidR="00A323E9">
        <w:rPr>
          <w:rFonts w:ascii="Arial" w:hAnsi="Arial" w:cs="Arial"/>
          <w:sz w:val="22"/>
          <w:szCs w:val="20"/>
        </w:rPr>
        <w:t>.</w:t>
      </w:r>
    </w:p>
    <w:p w14:paraId="322C94CE" w14:textId="40DDDB31" w:rsidR="00AD6BB3" w:rsidRPr="008E15F6" w:rsidRDefault="00C40307" w:rsidP="00C40307">
      <w:pPr>
        <w:tabs>
          <w:tab w:val="left" w:pos="426"/>
        </w:tabs>
        <w:spacing w:before="120" w:line="276" w:lineRule="auto"/>
        <w:jc w:val="both"/>
        <w:rPr>
          <w:rFonts w:ascii="Arial" w:hAnsi="Arial" w:cs="Arial"/>
          <w:sz w:val="22"/>
          <w:szCs w:val="20"/>
        </w:rPr>
      </w:pPr>
      <w:r w:rsidRPr="008E15F6">
        <w:rPr>
          <w:rFonts w:ascii="Arial" w:hAnsi="Arial" w:cs="Arial"/>
          <w:sz w:val="22"/>
          <w:szCs w:val="20"/>
        </w:rPr>
        <w:tab/>
      </w:r>
      <w:r w:rsidR="00195FE9">
        <w:rPr>
          <w:rFonts w:ascii="Arial" w:hAnsi="Arial" w:cs="Arial"/>
          <w:sz w:val="22"/>
          <w:szCs w:val="20"/>
        </w:rPr>
        <w:tab/>
      </w:r>
      <w:r w:rsidR="00AD6BB3" w:rsidRPr="008E15F6">
        <w:rPr>
          <w:rFonts w:ascii="Arial" w:hAnsi="Arial" w:cs="Arial"/>
          <w:sz w:val="22"/>
          <w:szCs w:val="20"/>
        </w:rPr>
        <w:t xml:space="preserve">En línea con lo anterior, el numeral </w:t>
      </w:r>
      <w:r w:rsidR="00256FC8" w:rsidRPr="008E15F6">
        <w:rPr>
          <w:rFonts w:ascii="Arial" w:hAnsi="Arial" w:cs="Arial"/>
          <w:sz w:val="22"/>
          <w:szCs w:val="20"/>
        </w:rPr>
        <w:t>3.1</w:t>
      </w:r>
      <w:r w:rsidR="0015526E" w:rsidRPr="008E15F6">
        <w:rPr>
          <w:rFonts w:ascii="Arial" w:hAnsi="Arial" w:cs="Arial"/>
          <w:sz w:val="22"/>
          <w:szCs w:val="20"/>
        </w:rPr>
        <w:t xml:space="preserve">1 del </w:t>
      </w:r>
      <w:r w:rsidR="00696D80" w:rsidRPr="008E15F6">
        <w:rPr>
          <w:rFonts w:ascii="Arial" w:hAnsi="Arial" w:cs="Arial"/>
          <w:sz w:val="22"/>
          <w:szCs w:val="20"/>
        </w:rPr>
        <w:t>D</w:t>
      </w:r>
      <w:r w:rsidR="00AA12BD" w:rsidRPr="008E15F6">
        <w:rPr>
          <w:rFonts w:ascii="Arial" w:hAnsi="Arial" w:cs="Arial"/>
          <w:sz w:val="22"/>
          <w:szCs w:val="20"/>
        </w:rPr>
        <w:t xml:space="preserve">ocumento </w:t>
      </w:r>
      <w:r w:rsidR="00696D80" w:rsidRPr="008E15F6">
        <w:rPr>
          <w:rFonts w:ascii="Arial" w:hAnsi="Arial" w:cs="Arial"/>
          <w:sz w:val="22"/>
          <w:szCs w:val="20"/>
        </w:rPr>
        <w:t>B</w:t>
      </w:r>
      <w:r w:rsidR="00AA12BD" w:rsidRPr="008E15F6">
        <w:rPr>
          <w:rFonts w:ascii="Arial" w:hAnsi="Arial" w:cs="Arial"/>
          <w:sz w:val="22"/>
          <w:szCs w:val="20"/>
        </w:rPr>
        <w:t>ase</w:t>
      </w:r>
      <w:r w:rsidR="0015526E" w:rsidRPr="008E15F6">
        <w:rPr>
          <w:rFonts w:ascii="Arial" w:hAnsi="Arial" w:cs="Arial"/>
          <w:sz w:val="22"/>
          <w:szCs w:val="20"/>
        </w:rPr>
        <w:t xml:space="preserve"> </w:t>
      </w:r>
      <w:r w:rsidR="00354D28" w:rsidRPr="008E15F6">
        <w:rPr>
          <w:rFonts w:ascii="Arial" w:hAnsi="Arial" w:cs="Arial"/>
          <w:sz w:val="22"/>
          <w:szCs w:val="20"/>
        </w:rPr>
        <w:t>adoptado por la Resolución No. 045 de 2020</w:t>
      </w:r>
      <w:r w:rsidR="00450129" w:rsidRPr="008E15F6">
        <w:rPr>
          <w:rFonts w:ascii="Arial" w:hAnsi="Arial" w:cs="Arial"/>
          <w:sz w:val="22"/>
          <w:szCs w:val="20"/>
        </w:rPr>
        <w:t xml:space="preserve"> para procesos de licitación pública, en lo relativo a la acreditación de la capacidad residual establece:</w:t>
      </w:r>
    </w:p>
    <w:p w14:paraId="5E07E25E" w14:textId="1016F826" w:rsidR="00450129" w:rsidRPr="008E15F6" w:rsidRDefault="00450129" w:rsidP="00D4622E">
      <w:pPr>
        <w:tabs>
          <w:tab w:val="left" w:pos="426"/>
        </w:tabs>
        <w:spacing w:line="276" w:lineRule="auto"/>
        <w:ind w:firstLine="709"/>
        <w:jc w:val="both"/>
        <w:rPr>
          <w:rFonts w:ascii="Arial" w:hAnsi="Arial" w:cs="Arial"/>
          <w:sz w:val="22"/>
          <w:szCs w:val="20"/>
        </w:rPr>
      </w:pPr>
    </w:p>
    <w:p w14:paraId="4D4430BF" w14:textId="77777777" w:rsidR="00F222B5" w:rsidRPr="008E15F6" w:rsidRDefault="00F222B5" w:rsidP="006E2F3E">
      <w:pPr>
        <w:widowControl w:val="0"/>
        <w:ind w:left="709" w:right="709"/>
        <w:jc w:val="both"/>
        <w:rPr>
          <w:rFonts w:ascii="Arial" w:eastAsia="Arial" w:hAnsi="Arial" w:cs="Arial"/>
          <w:sz w:val="21"/>
          <w:szCs w:val="21"/>
        </w:rPr>
      </w:pPr>
      <w:r w:rsidRPr="008E15F6">
        <w:rPr>
          <w:rFonts w:ascii="Arial" w:hAnsi="Arial" w:cs="Arial"/>
          <w:sz w:val="21"/>
          <w:szCs w:val="21"/>
        </w:rPr>
        <w:t>El</w:t>
      </w:r>
      <w:r w:rsidRPr="008E15F6">
        <w:rPr>
          <w:rFonts w:ascii="Arial" w:eastAsia="Arial" w:hAnsi="Arial" w:cs="Arial"/>
          <w:sz w:val="21"/>
          <w:szCs w:val="21"/>
        </w:rPr>
        <w:t xml:space="preserve"> </w:t>
      </w:r>
      <w:r w:rsidRPr="008E15F6">
        <w:rPr>
          <w:rFonts w:ascii="Arial" w:hAnsi="Arial" w:cs="Arial"/>
          <w:sz w:val="21"/>
          <w:szCs w:val="21"/>
        </w:rPr>
        <w:t>Proponente</w:t>
      </w:r>
      <w:r w:rsidRPr="008E15F6">
        <w:rPr>
          <w:rFonts w:ascii="Arial" w:eastAsia="Arial" w:hAnsi="Arial" w:cs="Arial"/>
          <w:sz w:val="21"/>
          <w:szCs w:val="21"/>
        </w:rPr>
        <w:t xml:space="preserve"> </w:t>
      </w:r>
      <w:r w:rsidRPr="008E15F6">
        <w:rPr>
          <w:rFonts w:ascii="Arial" w:hAnsi="Arial" w:cs="Arial"/>
          <w:sz w:val="21"/>
          <w:szCs w:val="21"/>
        </w:rPr>
        <w:t>será</w:t>
      </w:r>
      <w:r w:rsidRPr="008E15F6">
        <w:rPr>
          <w:rFonts w:ascii="Arial" w:eastAsia="Arial" w:hAnsi="Arial" w:cs="Arial"/>
          <w:sz w:val="21"/>
          <w:szCs w:val="21"/>
        </w:rPr>
        <w:t xml:space="preserve"> </w:t>
      </w:r>
      <w:r w:rsidRPr="008E15F6">
        <w:rPr>
          <w:rFonts w:ascii="Arial" w:hAnsi="Arial" w:cs="Arial"/>
          <w:sz w:val="21"/>
          <w:szCs w:val="21"/>
        </w:rPr>
        <w:t>hábil</w:t>
      </w:r>
      <w:r w:rsidRPr="008E15F6">
        <w:rPr>
          <w:rFonts w:ascii="Arial" w:eastAsia="Arial" w:hAnsi="Arial" w:cs="Arial"/>
          <w:sz w:val="21"/>
          <w:szCs w:val="21"/>
        </w:rPr>
        <w:t xml:space="preserve"> </w:t>
      </w:r>
      <w:r w:rsidRPr="008E15F6">
        <w:rPr>
          <w:rFonts w:ascii="Arial" w:hAnsi="Arial" w:cs="Arial"/>
          <w:sz w:val="21"/>
          <w:szCs w:val="21"/>
        </w:rPr>
        <w:t>si</w:t>
      </w:r>
      <w:r w:rsidRPr="008E15F6">
        <w:rPr>
          <w:rFonts w:ascii="Arial" w:eastAsia="Arial" w:hAnsi="Arial" w:cs="Arial"/>
          <w:sz w:val="21"/>
          <w:szCs w:val="21"/>
        </w:rPr>
        <w:t xml:space="preserve"> </w:t>
      </w:r>
      <w:r w:rsidRPr="008E15F6">
        <w:rPr>
          <w:rFonts w:ascii="Arial" w:hAnsi="Arial" w:cs="Arial"/>
          <w:sz w:val="21"/>
          <w:szCs w:val="21"/>
        </w:rPr>
        <w:t>la</w:t>
      </w:r>
      <w:r w:rsidRPr="008E15F6">
        <w:rPr>
          <w:rFonts w:ascii="Arial" w:eastAsia="Arial" w:hAnsi="Arial" w:cs="Arial"/>
          <w:sz w:val="21"/>
          <w:szCs w:val="21"/>
        </w:rPr>
        <w:t xml:space="preserve"> </w:t>
      </w:r>
      <w:r w:rsidRPr="008E15F6">
        <w:rPr>
          <w:rFonts w:ascii="Arial" w:hAnsi="Arial" w:cs="Arial"/>
          <w:sz w:val="21"/>
          <w:szCs w:val="21"/>
        </w:rPr>
        <w:t>capacidad</w:t>
      </w:r>
      <w:r w:rsidRPr="008E15F6">
        <w:rPr>
          <w:rFonts w:ascii="Arial" w:eastAsia="Arial" w:hAnsi="Arial" w:cs="Arial"/>
          <w:sz w:val="21"/>
          <w:szCs w:val="21"/>
        </w:rPr>
        <w:t xml:space="preserve"> </w:t>
      </w:r>
      <w:r w:rsidRPr="008E15F6">
        <w:rPr>
          <w:rFonts w:ascii="Arial" w:hAnsi="Arial" w:cs="Arial"/>
          <w:sz w:val="21"/>
          <w:szCs w:val="21"/>
        </w:rPr>
        <w:t>residual</w:t>
      </w:r>
      <w:r w:rsidRPr="008E15F6">
        <w:rPr>
          <w:rFonts w:ascii="Arial" w:eastAsia="Arial" w:hAnsi="Arial" w:cs="Arial"/>
          <w:sz w:val="21"/>
          <w:szCs w:val="21"/>
        </w:rPr>
        <w:t xml:space="preserve"> </w:t>
      </w:r>
      <w:r w:rsidRPr="008E15F6">
        <w:rPr>
          <w:rFonts w:ascii="Arial" w:hAnsi="Arial" w:cs="Arial"/>
          <w:sz w:val="21"/>
          <w:szCs w:val="21"/>
        </w:rPr>
        <w:t>del</w:t>
      </w:r>
      <w:r w:rsidRPr="008E15F6">
        <w:rPr>
          <w:rFonts w:ascii="Arial" w:eastAsia="Arial" w:hAnsi="Arial" w:cs="Arial"/>
          <w:sz w:val="21"/>
          <w:szCs w:val="21"/>
        </w:rPr>
        <w:t xml:space="preserve"> </w:t>
      </w:r>
      <w:r w:rsidRPr="008E15F6">
        <w:rPr>
          <w:rFonts w:ascii="Arial" w:hAnsi="Arial" w:cs="Arial"/>
          <w:sz w:val="21"/>
          <w:szCs w:val="21"/>
        </w:rPr>
        <w:t>Proponente</w:t>
      </w:r>
      <w:r w:rsidRPr="008E15F6">
        <w:rPr>
          <w:rFonts w:ascii="Arial" w:eastAsia="Arial" w:hAnsi="Arial" w:cs="Arial"/>
          <w:sz w:val="21"/>
          <w:szCs w:val="21"/>
        </w:rPr>
        <w:t xml:space="preserve"> </w:t>
      </w:r>
      <w:r w:rsidRPr="008E15F6">
        <w:rPr>
          <w:rFonts w:ascii="Arial" w:hAnsi="Arial" w:cs="Arial"/>
          <w:sz w:val="21"/>
          <w:szCs w:val="21"/>
        </w:rPr>
        <w:t>(CRP)</w:t>
      </w:r>
      <w:r w:rsidRPr="008E15F6">
        <w:rPr>
          <w:rFonts w:ascii="Arial" w:eastAsia="Arial" w:hAnsi="Arial" w:cs="Arial"/>
          <w:sz w:val="21"/>
          <w:szCs w:val="21"/>
        </w:rPr>
        <w:t xml:space="preserve"> </w:t>
      </w:r>
      <w:r w:rsidRPr="008E15F6">
        <w:rPr>
          <w:rFonts w:ascii="Arial" w:hAnsi="Arial" w:cs="Arial"/>
          <w:sz w:val="21"/>
          <w:szCs w:val="21"/>
        </w:rPr>
        <w:t>es</w:t>
      </w:r>
      <w:r w:rsidRPr="008E15F6">
        <w:rPr>
          <w:rFonts w:ascii="Arial" w:eastAsia="Arial" w:hAnsi="Arial" w:cs="Arial"/>
          <w:sz w:val="21"/>
          <w:szCs w:val="21"/>
        </w:rPr>
        <w:t xml:space="preserve"> </w:t>
      </w:r>
      <w:r w:rsidRPr="008E15F6">
        <w:rPr>
          <w:rFonts w:ascii="Arial" w:hAnsi="Arial" w:cs="Arial"/>
          <w:sz w:val="21"/>
          <w:szCs w:val="21"/>
        </w:rPr>
        <w:t>mayor</w:t>
      </w:r>
      <w:r w:rsidRPr="008E15F6">
        <w:rPr>
          <w:rFonts w:ascii="Arial" w:eastAsia="Arial" w:hAnsi="Arial" w:cs="Arial"/>
          <w:sz w:val="21"/>
          <w:szCs w:val="21"/>
        </w:rPr>
        <w:t xml:space="preserve"> </w:t>
      </w:r>
      <w:r w:rsidRPr="008E15F6">
        <w:rPr>
          <w:rFonts w:ascii="Arial" w:hAnsi="Arial" w:cs="Arial"/>
          <w:sz w:val="21"/>
          <w:szCs w:val="21"/>
        </w:rPr>
        <w:t>o</w:t>
      </w:r>
      <w:r w:rsidRPr="008E15F6">
        <w:rPr>
          <w:rFonts w:ascii="Arial" w:eastAsia="Arial" w:hAnsi="Arial" w:cs="Arial"/>
          <w:sz w:val="21"/>
          <w:szCs w:val="21"/>
        </w:rPr>
        <w:t xml:space="preserve"> </w:t>
      </w:r>
      <w:r w:rsidRPr="008E15F6">
        <w:rPr>
          <w:rFonts w:ascii="Arial" w:hAnsi="Arial" w:cs="Arial"/>
          <w:sz w:val="21"/>
          <w:szCs w:val="21"/>
        </w:rPr>
        <w:t>igual</w:t>
      </w:r>
      <w:r w:rsidRPr="008E15F6">
        <w:rPr>
          <w:rFonts w:ascii="Arial" w:eastAsia="Arial" w:hAnsi="Arial" w:cs="Arial"/>
          <w:sz w:val="21"/>
          <w:szCs w:val="21"/>
        </w:rPr>
        <w:t xml:space="preserve"> </w:t>
      </w:r>
      <w:r w:rsidRPr="008E15F6">
        <w:rPr>
          <w:rFonts w:ascii="Arial" w:hAnsi="Arial" w:cs="Arial"/>
          <w:sz w:val="21"/>
          <w:szCs w:val="21"/>
        </w:rPr>
        <w:t>a</w:t>
      </w:r>
      <w:r w:rsidRPr="008E15F6">
        <w:rPr>
          <w:rFonts w:ascii="Arial" w:eastAsia="Arial" w:hAnsi="Arial" w:cs="Arial"/>
          <w:sz w:val="21"/>
          <w:szCs w:val="21"/>
        </w:rPr>
        <w:t xml:space="preserve"> </w:t>
      </w:r>
      <w:r w:rsidRPr="008E15F6">
        <w:rPr>
          <w:rFonts w:ascii="Arial" w:hAnsi="Arial" w:cs="Arial"/>
          <w:sz w:val="21"/>
          <w:szCs w:val="21"/>
        </w:rPr>
        <w:t>la</w:t>
      </w:r>
      <w:r w:rsidRPr="008E15F6">
        <w:rPr>
          <w:rFonts w:ascii="Arial" w:eastAsia="Arial" w:hAnsi="Arial" w:cs="Arial"/>
          <w:sz w:val="21"/>
          <w:szCs w:val="21"/>
        </w:rPr>
        <w:t xml:space="preserve"> </w:t>
      </w:r>
      <w:r w:rsidRPr="008E15F6">
        <w:rPr>
          <w:rFonts w:ascii="Arial" w:hAnsi="Arial" w:cs="Arial"/>
          <w:sz w:val="21"/>
          <w:szCs w:val="21"/>
        </w:rPr>
        <w:t>capacidad</w:t>
      </w:r>
      <w:r w:rsidRPr="008E15F6">
        <w:rPr>
          <w:rFonts w:ascii="Arial" w:eastAsia="Arial" w:hAnsi="Arial" w:cs="Arial"/>
          <w:sz w:val="21"/>
          <w:szCs w:val="21"/>
        </w:rPr>
        <w:t xml:space="preserve"> </w:t>
      </w:r>
      <w:r w:rsidRPr="008E15F6">
        <w:rPr>
          <w:rFonts w:ascii="Arial" w:hAnsi="Arial" w:cs="Arial"/>
          <w:sz w:val="21"/>
          <w:szCs w:val="21"/>
        </w:rPr>
        <w:t>residual</w:t>
      </w:r>
      <w:r w:rsidRPr="008E15F6">
        <w:rPr>
          <w:rFonts w:ascii="Arial" w:eastAsia="Arial" w:hAnsi="Arial" w:cs="Arial"/>
          <w:sz w:val="21"/>
          <w:szCs w:val="21"/>
        </w:rPr>
        <w:t xml:space="preserve"> </w:t>
      </w:r>
      <w:r w:rsidRPr="008E15F6">
        <w:rPr>
          <w:rFonts w:ascii="Arial" w:hAnsi="Arial" w:cs="Arial"/>
          <w:sz w:val="21"/>
          <w:szCs w:val="21"/>
        </w:rPr>
        <w:t>de</w:t>
      </w:r>
      <w:r w:rsidRPr="008E15F6">
        <w:rPr>
          <w:rFonts w:ascii="Arial" w:eastAsia="Arial" w:hAnsi="Arial" w:cs="Arial"/>
          <w:sz w:val="21"/>
          <w:szCs w:val="21"/>
        </w:rPr>
        <w:t xml:space="preserve"> </w:t>
      </w:r>
      <w:r w:rsidRPr="008E15F6">
        <w:rPr>
          <w:rFonts w:ascii="Arial" w:hAnsi="Arial" w:cs="Arial"/>
          <w:sz w:val="21"/>
          <w:szCs w:val="21"/>
        </w:rPr>
        <w:t>Proceso de Contratación</w:t>
      </w:r>
      <w:r w:rsidRPr="008E15F6">
        <w:rPr>
          <w:rFonts w:ascii="Arial" w:eastAsia="Arial" w:hAnsi="Arial" w:cs="Arial"/>
          <w:sz w:val="21"/>
          <w:szCs w:val="21"/>
        </w:rPr>
        <w:t xml:space="preserve"> </w:t>
      </w:r>
      <w:r w:rsidRPr="008E15F6">
        <w:rPr>
          <w:rFonts w:ascii="Arial" w:hAnsi="Arial" w:cs="Arial"/>
          <w:sz w:val="21"/>
          <w:szCs w:val="21"/>
        </w:rPr>
        <w:t>(CRPC).</w:t>
      </w:r>
      <w:r w:rsidRPr="008E15F6">
        <w:rPr>
          <w:rFonts w:ascii="Arial" w:eastAsia="Arial" w:hAnsi="Arial" w:cs="Arial"/>
          <w:sz w:val="21"/>
          <w:szCs w:val="21"/>
        </w:rPr>
        <w:t xml:space="preserve"> </w:t>
      </w:r>
      <w:r w:rsidRPr="008E15F6">
        <w:rPr>
          <w:rFonts w:ascii="Arial" w:hAnsi="Arial" w:cs="Arial"/>
          <w:sz w:val="21"/>
          <w:szCs w:val="21"/>
        </w:rPr>
        <w:t>Así:</w:t>
      </w:r>
      <w:r w:rsidRPr="008E15F6">
        <w:rPr>
          <w:rFonts w:ascii="Arial" w:eastAsia="Arial" w:hAnsi="Arial" w:cs="Arial"/>
          <w:sz w:val="21"/>
          <w:szCs w:val="21"/>
        </w:rPr>
        <w:t xml:space="preserve"> </w:t>
      </w:r>
    </w:p>
    <w:p w14:paraId="6D907C2B" w14:textId="77777777" w:rsidR="006E2F3E" w:rsidRPr="008E15F6" w:rsidRDefault="006E2F3E" w:rsidP="006E2F3E">
      <w:pPr>
        <w:widowControl w:val="0"/>
        <w:ind w:left="709" w:right="709"/>
        <w:jc w:val="center"/>
        <w:rPr>
          <w:rFonts w:ascii="Arial" w:eastAsia="Arial" w:hAnsi="Arial" w:cs="Arial"/>
          <w:sz w:val="21"/>
          <w:szCs w:val="21"/>
        </w:rPr>
      </w:pPr>
    </w:p>
    <w:p w14:paraId="4C0EFF2E" w14:textId="43068E5E" w:rsidR="00F222B5" w:rsidRPr="008E15F6" w:rsidRDefault="00F222B5" w:rsidP="006E2F3E">
      <w:pPr>
        <w:widowControl w:val="0"/>
        <w:ind w:left="709" w:right="709"/>
        <w:jc w:val="center"/>
        <w:rPr>
          <w:rFonts w:ascii="Arial" w:hAnsi="Arial" w:cs="Arial"/>
          <w:sz w:val="21"/>
          <w:szCs w:val="21"/>
        </w:rPr>
      </w:pPr>
      <m:oMathPara>
        <m:oMath>
          <m:r>
            <w:rPr>
              <w:rFonts w:ascii="Cambria Math" w:hAnsi="Cambria Math" w:cs="Arial"/>
              <w:sz w:val="21"/>
              <w:szCs w:val="21"/>
            </w:rPr>
            <m:t>CRP ≥CRPC</m:t>
          </m:r>
        </m:oMath>
      </m:oMathPara>
    </w:p>
    <w:p w14:paraId="3CDE9BAA" w14:textId="77777777" w:rsidR="006E2F3E" w:rsidRPr="008E15F6" w:rsidRDefault="006E2F3E" w:rsidP="006E2F3E">
      <w:pPr>
        <w:widowControl w:val="0"/>
        <w:ind w:left="709" w:right="709"/>
        <w:jc w:val="both"/>
        <w:rPr>
          <w:rFonts w:ascii="Arial" w:hAnsi="Arial" w:cs="Arial"/>
          <w:sz w:val="21"/>
          <w:szCs w:val="21"/>
        </w:rPr>
      </w:pPr>
    </w:p>
    <w:p w14:paraId="6DCB05ED" w14:textId="18241FA4" w:rsidR="00450129" w:rsidRPr="008E15F6" w:rsidRDefault="00450129" w:rsidP="006E2F3E">
      <w:pPr>
        <w:widowControl w:val="0"/>
        <w:ind w:left="709" w:right="709"/>
        <w:jc w:val="both"/>
        <w:rPr>
          <w:rFonts w:ascii="Arial" w:hAnsi="Arial" w:cs="Arial"/>
          <w:sz w:val="21"/>
          <w:szCs w:val="21"/>
        </w:rPr>
      </w:pPr>
      <w:r w:rsidRPr="008E15F6">
        <w:rPr>
          <w:rFonts w:ascii="Arial" w:hAnsi="Arial" w:cs="Arial"/>
          <w:sz w:val="21"/>
          <w:szCs w:val="21"/>
        </w:rPr>
        <w:t xml:space="preserve">Los Proponentes acreditarán la capacidad residual o K de contratación conforme se describe a continuación. En todo caso, si con posterioridad al cierre y hasta antes de la adjudicación del Proceso cualquier Proponente, interesado o la Entidad, en uso de la potestad verificadora, advierte que se dejó de incluir, al cierre del proceso, por parte de un Proponente, alguna información contractual que afecte su capacidad residual, la Entidad rechazará la oferta. </w:t>
      </w:r>
    </w:p>
    <w:p w14:paraId="0F4410F6" w14:textId="4DFEA031" w:rsidR="006E2F3E" w:rsidRPr="008E15F6" w:rsidRDefault="006E2F3E" w:rsidP="006E2F3E">
      <w:pPr>
        <w:tabs>
          <w:tab w:val="left" w:pos="426"/>
        </w:tabs>
        <w:spacing w:line="276" w:lineRule="auto"/>
        <w:ind w:firstLine="709"/>
        <w:jc w:val="both"/>
        <w:rPr>
          <w:rFonts w:ascii="Arial" w:hAnsi="Arial" w:cs="Arial"/>
          <w:sz w:val="22"/>
        </w:rPr>
      </w:pPr>
    </w:p>
    <w:p w14:paraId="4455075F" w14:textId="18BEA8FC" w:rsidR="000403F5" w:rsidRPr="008E15F6" w:rsidRDefault="00E87190" w:rsidP="00F70EB1">
      <w:pPr>
        <w:tabs>
          <w:tab w:val="left" w:pos="426"/>
        </w:tabs>
        <w:spacing w:line="276" w:lineRule="auto"/>
        <w:ind w:firstLine="709"/>
        <w:jc w:val="both"/>
        <w:rPr>
          <w:rFonts w:ascii="Arial" w:hAnsi="Arial" w:cs="Arial"/>
          <w:sz w:val="22"/>
        </w:rPr>
      </w:pPr>
      <w:r w:rsidRPr="008E15F6">
        <w:rPr>
          <w:rFonts w:ascii="Arial" w:hAnsi="Arial" w:cs="Arial"/>
          <w:sz w:val="22"/>
        </w:rPr>
        <w:t xml:space="preserve">A continuación, el numeral </w:t>
      </w:r>
      <w:r w:rsidR="00B679AC" w:rsidRPr="008E15F6">
        <w:rPr>
          <w:rFonts w:ascii="Arial" w:hAnsi="Arial" w:cs="Arial"/>
          <w:sz w:val="22"/>
        </w:rPr>
        <w:t>3.11.1</w:t>
      </w:r>
      <w:r w:rsidR="00A37B78" w:rsidRPr="008E15F6">
        <w:rPr>
          <w:rFonts w:ascii="Arial" w:hAnsi="Arial" w:cs="Arial"/>
          <w:sz w:val="22"/>
        </w:rPr>
        <w:t xml:space="preserve">, </w:t>
      </w:r>
      <w:r w:rsidR="00E51774" w:rsidRPr="008E15F6">
        <w:rPr>
          <w:rFonts w:ascii="Arial" w:hAnsi="Arial" w:cs="Arial"/>
          <w:sz w:val="22"/>
        </w:rPr>
        <w:t>respecto del cá</w:t>
      </w:r>
      <w:r w:rsidR="005F49C3" w:rsidRPr="008E15F6">
        <w:rPr>
          <w:rFonts w:ascii="Arial" w:hAnsi="Arial" w:cs="Arial"/>
          <w:sz w:val="22"/>
        </w:rPr>
        <w:t xml:space="preserve">lculo de la capacidad residual establece la siguiente formula y sus correspondientes factores: </w:t>
      </w:r>
      <w:r w:rsidR="000D72CE" w:rsidRPr="008E15F6">
        <w:rPr>
          <w:rFonts w:ascii="Arial" w:hAnsi="Arial" w:cs="Arial"/>
          <w:sz w:val="22"/>
        </w:rPr>
        <w:t xml:space="preserve"> </w:t>
      </w:r>
    </w:p>
    <w:p w14:paraId="63F49F7C" w14:textId="3A974930" w:rsidR="000D72CE" w:rsidRPr="008E15F6" w:rsidRDefault="000D72CE" w:rsidP="006E2F3E">
      <w:pPr>
        <w:tabs>
          <w:tab w:val="left" w:pos="426"/>
        </w:tabs>
        <w:spacing w:line="276" w:lineRule="auto"/>
        <w:ind w:firstLine="709"/>
        <w:jc w:val="both"/>
        <w:rPr>
          <w:rFonts w:ascii="Arial" w:hAnsi="Arial" w:cs="Arial"/>
          <w:sz w:val="22"/>
        </w:rPr>
      </w:pPr>
    </w:p>
    <w:p w14:paraId="1546F31A" w14:textId="3FDF4FC3" w:rsidR="000D72CE" w:rsidRPr="008E15F6" w:rsidRDefault="000D72CE" w:rsidP="000D6D84">
      <w:pPr>
        <w:ind w:left="709" w:right="709"/>
        <w:rPr>
          <w:rFonts w:ascii="Arial" w:eastAsia="Arial" w:hAnsi="Arial" w:cs="Arial"/>
          <w:sz w:val="21"/>
          <w:szCs w:val="21"/>
        </w:rPr>
      </w:pPr>
      <w:r w:rsidRPr="008E15F6">
        <w:rPr>
          <w:rFonts w:ascii="Arial" w:hAnsi="Arial" w:cs="Arial"/>
          <w:sz w:val="21"/>
          <w:szCs w:val="21"/>
        </w:rPr>
        <w:t>Si</w:t>
      </w:r>
      <w:r w:rsidRPr="008E15F6">
        <w:rPr>
          <w:rFonts w:ascii="Arial" w:eastAsia="Arial" w:hAnsi="Arial" w:cs="Arial"/>
          <w:sz w:val="21"/>
          <w:szCs w:val="21"/>
        </w:rPr>
        <w:t xml:space="preserve"> </w:t>
      </w:r>
      <w:r w:rsidRPr="008E15F6">
        <w:rPr>
          <w:rFonts w:ascii="Arial" w:hAnsi="Arial" w:cs="Arial"/>
          <w:sz w:val="21"/>
          <w:szCs w:val="21"/>
        </w:rPr>
        <w:t>el</w:t>
      </w:r>
      <w:r w:rsidRPr="008E15F6">
        <w:rPr>
          <w:rFonts w:ascii="Arial" w:eastAsia="Arial" w:hAnsi="Arial" w:cs="Arial"/>
          <w:sz w:val="21"/>
          <w:szCs w:val="21"/>
        </w:rPr>
        <w:t xml:space="preserve"> </w:t>
      </w:r>
      <w:r w:rsidRPr="008E15F6">
        <w:rPr>
          <w:rFonts w:ascii="Arial" w:hAnsi="Arial" w:cs="Arial"/>
          <w:sz w:val="21"/>
          <w:szCs w:val="21"/>
        </w:rPr>
        <w:t>plazo</w:t>
      </w:r>
      <w:r w:rsidRPr="008E15F6">
        <w:rPr>
          <w:rFonts w:ascii="Arial" w:eastAsia="Arial" w:hAnsi="Arial" w:cs="Arial"/>
          <w:sz w:val="21"/>
          <w:szCs w:val="21"/>
        </w:rPr>
        <w:t xml:space="preserve"> </w:t>
      </w:r>
      <w:r w:rsidRPr="008E15F6">
        <w:rPr>
          <w:rFonts w:ascii="Arial" w:hAnsi="Arial" w:cs="Arial"/>
          <w:sz w:val="21"/>
          <w:szCs w:val="21"/>
        </w:rPr>
        <w:t>estimado</w:t>
      </w:r>
      <w:r w:rsidRPr="008E15F6">
        <w:rPr>
          <w:rFonts w:ascii="Arial" w:eastAsia="Arial" w:hAnsi="Arial" w:cs="Arial"/>
          <w:sz w:val="21"/>
          <w:szCs w:val="21"/>
        </w:rPr>
        <w:t xml:space="preserve"> </w:t>
      </w:r>
      <w:r w:rsidRPr="008E15F6">
        <w:rPr>
          <w:rFonts w:ascii="Arial" w:hAnsi="Arial" w:cs="Arial"/>
          <w:sz w:val="21"/>
          <w:szCs w:val="21"/>
        </w:rPr>
        <w:t>del</w:t>
      </w:r>
      <w:r w:rsidRPr="008E15F6">
        <w:rPr>
          <w:rFonts w:ascii="Arial" w:eastAsia="Arial" w:hAnsi="Arial" w:cs="Arial"/>
          <w:sz w:val="21"/>
          <w:szCs w:val="21"/>
        </w:rPr>
        <w:t xml:space="preserve"> </w:t>
      </w:r>
      <w:r w:rsidRPr="008E15F6">
        <w:rPr>
          <w:rFonts w:ascii="Arial" w:hAnsi="Arial" w:cs="Arial"/>
          <w:sz w:val="21"/>
          <w:szCs w:val="21"/>
        </w:rPr>
        <w:t>contrato</w:t>
      </w:r>
      <w:r w:rsidRPr="008E15F6">
        <w:rPr>
          <w:rFonts w:ascii="Arial" w:eastAsia="Arial" w:hAnsi="Arial" w:cs="Arial"/>
          <w:sz w:val="21"/>
          <w:szCs w:val="21"/>
        </w:rPr>
        <w:t xml:space="preserve"> </w:t>
      </w:r>
      <w:r w:rsidRPr="008E15F6">
        <w:rPr>
          <w:rFonts w:ascii="Arial" w:hAnsi="Arial" w:cs="Arial"/>
          <w:sz w:val="21"/>
          <w:szCs w:val="21"/>
        </w:rPr>
        <w:t>es</w:t>
      </w:r>
      <w:r w:rsidRPr="008E15F6">
        <w:rPr>
          <w:rFonts w:ascii="Arial" w:eastAsia="Arial" w:hAnsi="Arial" w:cs="Arial"/>
          <w:sz w:val="21"/>
          <w:szCs w:val="21"/>
        </w:rPr>
        <w:t xml:space="preserve"> </w:t>
      </w:r>
      <w:r w:rsidRPr="008E15F6">
        <w:rPr>
          <w:rFonts w:ascii="Arial" w:hAnsi="Arial" w:cs="Arial"/>
          <w:sz w:val="21"/>
          <w:szCs w:val="21"/>
        </w:rPr>
        <w:t>menor</w:t>
      </w:r>
      <w:r w:rsidRPr="008E15F6">
        <w:rPr>
          <w:rFonts w:ascii="Arial" w:eastAsia="Arial" w:hAnsi="Arial" w:cs="Arial"/>
          <w:sz w:val="21"/>
          <w:szCs w:val="21"/>
        </w:rPr>
        <w:t xml:space="preserve"> </w:t>
      </w:r>
      <w:r w:rsidRPr="008E15F6">
        <w:rPr>
          <w:rFonts w:ascii="Arial" w:hAnsi="Arial" w:cs="Arial"/>
          <w:sz w:val="21"/>
          <w:szCs w:val="21"/>
        </w:rPr>
        <w:t>o</w:t>
      </w:r>
      <w:r w:rsidRPr="008E15F6">
        <w:rPr>
          <w:rFonts w:ascii="Arial" w:eastAsia="Arial" w:hAnsi="Arial" w:cs="Arial"/>
          <w:sz w:val="21"/>
          <w:szCs w:val="21"/>
        </w:rPr>
        <w:t xml:space="preserve"> </w:t>
      </w:r>
      <w:r w:rsidRPr="008E15F6">
        <w:rPr>
          <w:rFonts w:ascii="Arial" w:hAnsi="Arial" w:cs="Arial"/>
          <w:sz w:val="21"/>
          <w:szCs w:val="21"/>
        </w:rPr>
        <w:t>igual</w:t>
      </w:r>
      <w:r w:rsidRPr="008E15F6">
        <w:rPr>
          <w:rFonts w:ascii="Arial" w:eastAsia="Arial" w:hAnsi="Arial" w:cs="Arial"/>
          <w:sz w:val="21"/>
          <w:szCs w:val="21"/>
        </w:rPr>
        <w:t xml:space="preserve"> </w:t>
      </w:r>
      <w:r w:rsidRPr="008E15F6">
        <w:rPr>
          <w:rFonts w:ascii="Arial" w:hAnsi="Arial" w:cs="Arial"/>
          <w:sz w:val="21"/>
          <w:szCs w:val="21"/>
        </w:rPr>
        <w:t>a</w:t>
      </w:r>
      <w:r w:rsidRPr="008E15F6">
        <w:rPr>
          <w:rFonts w:ascii="Arial" w:eastAsia="Arial" w:hAnsi="Arial" w:cs="Arial"/>
          <w:sz w:val="21"/>
          <w:szCs w:val="21"/>
        </w:rPr>
        <w:t xml:space="preserve"> </w:t>
      </w:r>
      <w:r w:rsidRPr="008E15F6">
        <w:rPr>
          <w:rFonts w:ascii="Arial" w:hAnsi="Arial" w:cs="Arial"/>
          <w:sz w:val="21"/>
          <w:szCs w:val="21"/>
        </w:rPr>
        <w:t>12</w:t>
      </w:r>
      <w:r w:rsidRPr="008E15F6">
        <w:rPr>
          <w:rFonts w:ascii="Arial" w:eastAsia="Arial" w:hAnsi="Arial" w:cs="Arial"/>
          <w:sz w:val="21"/>
          <w:szCs w:val="21"/>
        </w:rPr>
        <w:t xml:space="preserve"> </w:t>
      </w:r>
      <w:r w:rsidRPr="008E15F6">
        <w:rPr>
          <w:rFonts w:ascii="Arial" w:hAnsi="Arial" w:cs="Arial"/>
          <w:sz w:val="21"/>
          <w:szCs w:val="21"/>
        </w:rPr>
        <w:t>meses,</w:t>
      </w:r>
      <w:r w:rsidRPr="008E15F6">
        <w:rPr>
          <w:rFonts w:ascii="Arial" w:eastAsia="Arial" w:hAnsi="Arial" w:cs="Arial"/>
          <w:sz w:val="21"/>
          <w:szCs w:val="21"/>
        </w:rPr>
        <w:t xml:space="preserve"> </w:t>
      </w:r>
      <w:r w:rsidRPr="008E15F6">
        <w:rPr>
          <w:rFonts w:ascii="Arial" w:hAnsi="Arial" w:cs="Arial"/>
          <w:sz w:val="21"/>
          <w:szCs w:val="21"/>
        </w:rPr>
        <w:t>el</w:t>
      </w:r>
      <w:r w:rsidRPr="008E15F6">
        <w:rPr>
          <w:rFonts w:ascii="Arial" w:eastAsia="Arial" w:hAnsi="Arial" w:cs="Arial"/>
          <w:sz w:val="21"/>
          <w:szCs w:val="21"/>
        </w:rPr>
        <w:t xml:space="preserve"> </w:t>
      </w:r>
      <w:r w:rsidRPr="008E15F6">
        <w:rPr>
          <w:rFonts w:ascii="Arial" w:hAnsi="Arial" w:cs="Arial"/>
          <w:sz w:val="21"/>
          <w:szCs w:val="21"/>
        </w:rPr>
        <w:t>cálculo</w:t>
      </w:r>
      <w:r w:rsidRPr="008E15F6">
        <w:rPr>
          <w:rFonts w:ascii="Arial" w:eastAsia="Arial" w:hAnsi="Arial" w:cs="Arial"/>
          <w:sz w:val="21"/>
          <w:szCs w:val="21"/>
        </w:rPr>
        <w:t xml:space="preserve"> </w:t>
      </w:r>
      <w:r w:rsidRPr="008E15F6">
        <w:rPr>
          <w:rFonts w:ascii="Arial" w:hAnsi="Arial" w:cs="Arial"/>
          <w:sz w:val="21"/>
          <w:szCs w:val="21"/>
        </w:rPr>
        <w:t>de</w:t>
      </w:r>
      <w:r w:rsidRPr="008E15F6">
        <w:rPr>
          <w:rFonts w:ascii="Arial" w:eastAsia="Arial" w:hAnsi="Arial" w:cs="Arial"/>
          <w:sz w:val="21"/>
          <w:szCs w:val="21"/>
        </w:rPr>
        <w:t xml:space="preserve"> </w:t>
      </w:r>
      <w:r w:rsidRPr="008E15F6">
        <w:rPr>
          <w:rFonts w:ascii="Arial" w:hAnsi="Arial" w:cs="Arial"/>
          <w:sz w:val="21"/>
          <w:szCs w:val="21"/>
        </w:rPr>
        <w:t>la</w:t>
      </w:r>
      <w:r w:rsidRPr="008E15F6">
        <w:rPr>
          <w:rFonts w:ascii="Arial" w:eastAsia="Arial" w:hAnsi="Arial" w:cs="Arial"/>
          <w:sz w:val="21"/>
          <w:szCs w:val="21"/>
        </w:rPr>
        <w:t xml:space="preserve"> </w:t>
      </w:r>
      <w:r w:rsidRPr="008E15F6">
        <w:rPr>
          <w:rFonts w:ascii="Arial" w:hAnsi="Arial" w:cs="Arial"/>
          <w:sz w:val="21"/>
          <w:szCs w:val="21"/>
        </w:rPr>
        <w:t>CRPC</w:t>
      </w:r>
      <w:r w:rsidRPr="008E15F6">
        <w:rPr>
          <w:rFonts w:ascii="Arial" w:eastAsia="Arial" w:hAnsi="Arial" w:cs="Arial"/>
          <w:sz w:val="21"/>
          <w:szCs w:val="21"/>
        </w:rPr>
        <w:t xml:space="preserve"> </w:t>
      </w:r>
      <w:r w:rsidRPr="008E15F6">
        <w:rPr>
          <w:rFonts w:ascii="Arial" w:hAnsi="Arial" w:cs="Arial"/>
          <w:sz w:val="21"/>
          <w:szCs w:val="21"/>
        </w:rPr>
        <w:t>deberá</w:t>
      </w:r>
      <w:r w:rsidRPr="008E15F6">
        <w:rPr>
          <w:rFonts w:ascii="Arial" w:eastAsia="Arial" w:hAnsi="Arial" w:cs="Arial"/>
          <w:sz w:val="21"/>
          <w:szCs w:val="21"/>
        </w:rPr>
        <w:t xml:space="preserve"> </w:t>
      </w:r>
      <w:r w:rsidRPr="008E15F6">
        <w:rPr>
          <w:rFonts w:ascii="Arial" w:hAnsi="Arial" w:cs="Arial"/>
          <w:sz w:val="21"/>
          <w:szCs w:val="21"/>
        </w:rPr>
        <w:t>tener</w:t>
      </w:r>
      <w:r w:rsidRPr="008E15F6">
        <w:rPr>
          <w:rFonts w:ascii="Arial" w:eastAsia="Arial" w:hAnsi="Arial" w:cs="Arial"/>
          <w:sz w:val="21"/>
          <w:szCs w:val="21"/>
        </w:rPr>
        <w:t xml:space="preserve"> </w:t>
      </w:r>
      <w:r w:rsidRPr="008E15F6">
        <w:rPr>
          <w:rFonts w:ascii="Arial" w:hAnsi="Arial" w:cs="Arial"/>
          <w:sz w:val="21"/>
          <w:szCs w:val="21"/>
        </w:rPr>
        <w:t>en</w:t>
      </w:r>
      <w:r w:rsidRPr="008E15F6">
        <w:rPr>
          <w:rFonts w:ascii="Arial" w:eastAsia="Arial" w:hAnsi="Arial" w:cs="Arial"/>
          <w:sz w:val="21"/>
          <w:szCs w:val="21"/>
        </w:rPr>
        <w:t xml:space="preserve"> </w:t>
      </w:r>
      <w:r w:rsidRPr="008E15F6">
        <w:rPr>
          <w:rFonts w:ascii="Arial" w:hAnsi="Arial" w:cs="Arial"/>
          <w:sz w:val="21"/>
          <w:szCs w:val="21"/>
        </w:rPr>
        <w:t>cuenta</w:t>
      </w:r>
      <w:r w:rsidRPr="008E15F6">
        <w:rPr>
          <w:rFonts w:ascii="Arial" w:eastAsia="Arial" w:hAnsi="Arial" w:cs="Arial"/>
          <w:sz w:val="21"/>
          <w:szCs w:val="21"/>
        </w:rPr>
        <w:t xml:space="preserve"> </w:t>
      </w:r>
      <w:r w:rsidRPr="008E15F6">
        <w:rPr>
          <w:rFonts w:ascii="Arial" w:hAnsi="Arial" w:cs="Arial"/>
          <w:sz w:val="21"/>
          <w:szCs w:val="21"/>
        </w:rPr>
        <w:t>el</w:t>
      </w:r>
      <w:r w:rsidRPr="008E15F6">
        <w:rPr>
          <w:rFonts w:ascii="Arial" w:eastAsia="Arial" w:hAnsi="Arial" w:cs="Arial"/>
          <w:sz w:val="21"/>
          <w:szCs w:val="21"/>
        </w:rPr>
        <w:t xml:space="preserve"> </w:t>
      </w:r>
      <w:r w:rsidRPr="008E15F6">
        <w:rPr>
          <w:rFonts w:ascii="Arial" w:hAnsi="Arial" w:cs="Arial"/>
          <w:sz w:val="21"/>
          <w:szCs w:val="21"/>
        </w:rPr>
        <w:t>siguiente</w:t>
      </w:r>
      <w:r w:rsidRPr="008E15F6">
        <w:rPr>
          <w:rFonts w:ascii="Arial" w:eastAsia="Arial" w:hAnsi="Arial" w:cs="Arial"/>
          <w:sz w:val="21"/>
          <w:szCs w:val="21"/>
        </w:rPr>
        <w:t xml:space="preserve"> </w:t>
      </w:r>
      <w:r w:rsidRPr="008E15F6">
        <w:rPr>
          <w:rFonts w:ascii="Arial" w:hAnsi="Arial" w:cs="Arial"/>
          <w:sz w:val="21"/>
          <w:szCs w:val="21"/>
        </w:rPr>
        <w:t>proceso:</w:t>
      </w:r>
      <w:r w:rsidRPr="008E15F6">
        <w:rPr>
          <w:rFonts w:ascii="Arial" w:eastAsia="Arial" w:hAnsi="Arial" w:cs="Arial"/>
          <w:sz w:val="21"/>
          <w:szCs w:val="21"/>
        </w:rPr>
        <w:t xml:space="preserve"> </w:t>
      </w:r>
    </w:p>
    <w:p w14:paraId="7503BB56" w14:textId="77777777" w:rsidR="000D72CE" w:rsidRPr="008E15F6" w:rsidRDefault="000D72CE" w:rsidP="000D6D84">
      <w:pPr>
        <w:ind w:left="709" w:right="709"/>
        <w:rPr>
          <w:rFonts w:ascii="Arial" w:eastAsia="Arial" w:hAnsi="Arial" w:cs="Arial"/>
          <w:sz w:val="21"/>
          <w:szCs w:val="21"/>
        </w:rPr>
      </w:pPr>
    </w:p>
    <w:p w14:paraId="5DE8FC18" w14:textId="77777777" w:rsidR="000D72CE" w:rsidRPr="008E15F6" w:rsidRDefault="000D72CE" w:rsidP="000D6D84">
      <w:pPr>
        <w:ind w:left="709" w:right="709"/>
        <w:rPr>
          <w:rFonts w:ascii="Arial" w:hAnsi="Arial" w:cs="Arial"/>
          <w:sz w:val="21"/>
          <w:szCs w:val="21"/>
        </w:rPr>
      </w:pPr>
      <m:oMathPara>
        <m:oMath>
          <m:r>
            <w:rPr>
              <w:rFonts w:ascii="Cambria Math" w:hAnsi="Cambria Math" w:cs="Arial"/>
              <w:sz w:val="21"/>
              <w:szCs w:val="21"/>
            </w:rPr>
            <m:t>CRPC=POE-Anticipo y/o pago anticipado</m:t>
          </m:r>
          <m:r>
            <w:rPr>
              <w:rFonts w:ascii="Cambria Math" w:eastAsiaTheme="minorEastAsia" w:hAnsi="Cambria Math" w:cs="Arial"/>
              <w:sz w:val="21"/>
              <w:szCs w:val="21"/>
            </w:rPr>
            <m:t xml:space="preserve"> </m:t>
          </m:r>
        </m:oMath>
      </m:oMathPara>
    </w:p>
    <w:p w14:paraId="4E1C01C7" w14:textId="77777777" w:rsidR="000D72CE" w:rsidRPr="008E15F6" w:rsidRDefault="000D72CE" w:rsidP="000D6D84">
      <w:pPr>
        <w:ind w:left="709" w:right="709"/>
        <w:rPr>
          <w:rFonts w:ascii="Arial" w:eastAsia="Arial" w:hAnsi="Arial" w:cs="Arial"/>
          <w:sz w:val="21"/>
          <w:szCs w:val="21"/>
        </w:rPr>
      </w:pPr>
      <w:r w:rsidRPr="008E15F6">
        <w:rPr>
          <w:rFonts w:ascii="Arial" w:hAnsi="Arial" w:cs="Arial"/>
          <w:sz w:val="21"/>
          <w:szCs w:val="21"/>
        </w:rPr>
        <w:t>Donde:</w:t>
      </w:r>
      <w:r w:rsidRPr="008E15F6">
        <w:rPr>
          <w:rFonts w:ascii="Arial" w:eastAsia="Arial" w:hAnsi="Arial" w:cs="Arial"/>
          <w:sz w:val="21"/>
          <w:szCs w:val="21"/>
        </w:rPr>
        <w:t xml:space="preserve"> </w:t>
      </w:r>
    </w:p>
    <w:p w14:paraId="6C5B27E8" w14:textId="77777777" w:rsidR="000D6D84" w:rsidRPr="008E15F6" w:rsidRDefault="000D6D84" w:rsidP="000D6D84">
      <w:pPr>
        <w:ind w:left="709" w:right="709"/>
        <w:rPr>
          <w:rFonts w:ascii="Arial" w:hAnsi="Arial" w:cs="Arial"/>
          <w:sz w:val="21"/>
          <w:szCs w:val="21"/>
        </w:rPr>
      </w:pPr>
    </w:p>
    <w:p w14:paraId="237D2010" w14:textId="2F0EF85F" w:rsidR="000D72CE" w:rsidRPr="008E15F6" w:rsidRDefault="000D72CE" w:rsidP="000D6D84">
      <w:pPr>
        <w:ind w:left="709" w:right="709"/>
        <w:rPr>
          <w:rFonts w:ascii="Arial" w:eastAsia="Arial" w:hAnsi="Arial" w:cs="Arial"/>
          <w:sz w:val="21"/>
          <w:szCs w:val="21"/>
        </w:rPr>
      </w:pPr>
      <w:r w:rsidRPr="008E15F6">
        <w:rPr>
          <w:rFonts w:ascii="Arial" w:hAnsi="Arial" w:cs="Arial"/>
          <w:sz w:val="21"/>
          <w:szCs w:val="21"/>
        </w:rPr>
        <w:t>CRPC</w:t>
      </w:r>
      <w:r w:rsidRPr="008E15F6">
        <w:rPr>
          <w:rFonts w:ascii="Arial" w:eastAsia="Arial" w:hAnsi="Arial" w:cs="Arial"/>
          <w:sz w:val="21"/>
          <w:szCs w:val="21"/>
        </w:rPr>
        <w:t xml:space="preserve"> </w:t>
      </w:r>
      <w:r w:rsidRPr="008E15F6">
        <w:rPr>
          <w:rFonts w:ascii="Arial" w:hAnsi="Arial" w:cs="Arial"/>
          <w:sz w:val="21"/>
          <w:szCs w:val="21"/>
        </w:rPr>
        <w:t>=</w:t>
      </w:r>
      <w:r w:rsidRPr="008E15F6">
        <w:rPr>
          <w:rFonts w:ascii="Arial" w:eastAsia="Arial" w:hAnsi="Arial" w:cs="Arial"/>
          <w:sz w:val="21"/>
          <w:szCs w:val="21"/>
        </w:rPr>
        <w:t xml:space="preserve"> </w:t>
      </w:r>
      <w:r w:rsidRPr="008E15F6">
        <w:rPr>
          <w:rFonts w:ascii="Arial" w:hAnsi="Arial" w:cs="Arial"/>
          <w:sz w:val="21"/>
          <w:szCs w:val="21"/>
        </w:rPr>
        <w:t>Capacidad</w:t>
      </w:r>
      <w:r w:rsidRPr="008E15F6">
        <w:rPr>
          <w:rFonts w:ascii="Arial" w:eastAsia="Arial" w:hAnsi="Arial" w:cs="Arial"/>
          <w:sz w:val="21"/>
          <w:szCs w:val="21"/>
        </w:rPr>
        <w:t xml:space="preserve"> </w:t>
      </w:r>
      <w:r w:rsidRPr="008E15F6">
        <w:rPr>
          <w:rFonts w:ascii="Arial" w:hAnsi="Arial" w:cs="Arial"/>
          <w:sz w:val="21"/>
          <w:szCs w:val="21"/>
        </w:rPr>
        <w:t>residual</w:t>
      </w:r>
      <w:r w:rsidRPr="008E15F6">
        <w:rPr>
          <w:rFonts w:ascii="Arial" w:eastAsia="Arial" w:hAnsi="Arial" w:cs="Arial"/>
          <w:sz w:val="21"/>
          <w:szCs w:val="21"/>
        </w:rPr>
        <w:t xml:space="preserve"> </w:t>
      </w:r>
      <w:r w:rsidRPr="008E15F6">
        <w:rPr>
          <w:rFonts w:ascii="Arial" w:hAnsi="Arial" w:cs="Arial"/>
          <w:sz w:val="21"/>
          <w:szCs w:val="21"/>
        </w:rPr>
        <w:t>del</w:t>
      </w:r>
      <w:r w:rsidRPr="008E15F6">
        <w:rPr>
          <w:rFonts w:ascii="Arial" w:eastAsia="Arial" w:hAnsi="Arial" w:cs="Arial"/>
          <w:sz w:val="21"/>
          <w:szCs w:val="21"/>
        </w:rPr>
        <w:t xml:space="preserve"> </w:t>
      </w:r>
      <w:r w:rsidRPr="008E15F6">
        <w:rPr>
          <w:rFonts w:ascii="Arial" w:hAnsi="Arial" w:cs="Arial"/>
          <w:sz w:val="21"/>
          <w:szCs w:val="21"/>
        </w:rPr>
        <w:t>Proceso de Contratación</w:t>
      </w:r>
      <w:r w:rsidRPr="008E15F6">
        <w:rPr>
          <w:rFonts w:ascii="Arial" w:eastAsia="Arial" w:hAnsi="Arial" w:cs="Arial"/>
          <w:sz w:val="21"/>
          <w:szCs w:val="21"/>
        </w:rPr>
        <w:t xml:space="preserve"> </w:t>
      </w:r>
    </w:p>
    <w:p w14:paraId="0622D0F2" w14:textId="77777777" w:rsidR="000D6D84" w:rsidRPr="008E15F6" w:rsidRDefault="000D6D84" w:rsidP="000D6D84">
      <w:pPr>
        <w:ind w:left="709" w:right="709"/>
        <w:jc w:val="both"/>
        <w:rPr>
          <w:rFonts w:ascii="Arial" w:hAnsi="Arial" w:cs="Arial"/>
          <w:sz w:val="21"/>
          <w:szCs w:val="21"/>
        </w:rPr>
      </w:pPr>
    </w:p>
    <w:p w14:paraId="1243C774" w14:textId="0016CF7E" w:rsidR="000D72CE" w:rsidRPr="008E15F6" w:rsidRDefault="000D72CE" w:rsidP="000D6D84">
      <w:pPr>
        <w:ind w:left="709" w:right="709"/>
        <w:jc w:val="both"/>
        <w:rPr>
          <w:rFonts w:ascii="Arial" w:eastAsia="Arial" w:hAnsi="Arial" w:cs="Arial"/>
          <w:sz w:val="21"/>
          <w:szCs w:val="21"/>
        </w:rPr>
      </w:pPr>
      <w:r w:rsidRPr="008E15F6">
        <w:rPr>
          <w:rFonts w:ascii="Arial" w:hAnsi="Arial" w:cs="Arial"/>
          <w:sz w:val="21"/>
          <w:szCs w:val="21"/>
        </w:rPr>
        <w:t>POE</w:t>
      </w:r>
      <w:r w:rsidRPr="008E15F6">
        <w:rPr>
          <w:rFonts w:ascii="Arial" w:eastAsia="Arial" w:hAnsi="Arial" w:cs="Arial"/>
          <w:sz w:val="21"/>
          <w:szCs w:val="21"/>
        </w:rPr>
        <w:t xml:space="preserve"> </w:t>
      </w:r>
      <w:r w:rsidRPr="008E15F6">
        <w:rPr>
          <w:rFonts w:ascii="Arial" w:hAnsi="Arial" w:cs="Arial"/>
          <w:sz w:val="21"/>
          <w:szCs w:val="21"/>
        </w:rPr>
        <w:t>=</w:t>
      </w:r>
      <w:r w:rsidRPr="008E15F6">
        <w:rPr>
          <w:rFonts w:ascii="Arial" w:eastAsia="Arial" w:hAnsi="Arial" w:cs="Arial"/>
          <w:sz w:val="21"/>
          <w:szCs w:val="21"/>
        </w:rPr>
        <w:t xml:space="preserve"> </w:t>
      </w:r>
      <w:r w:rsidRPr="008E15F6">
        <w:rPr>
          <w:rFonts w:ascii="Arial" w:hAnsi="Arial" w:cs="Arial"/>
          <w:sz w:val="21"/>
          <w:szCs w:val="21"/>
        </w:rPr>
        <w:t>Presupuesto</w:t>
      </w:r>
      <w:r w:rsidRPr="008E15F6">
        <w:rPr>
          <w:rFonts w:ascii="Arial" w:eastAsia="Arial" w:hAnsi="Arial" w:cs="Arial"/>
          <w:sz w:val="21"/>
          <w:szCs w:val="21"/>
        </w:rPr>
        <w:t xml:space="preserve"> </w:t>
      </w:r>
      <w:r w:rsidRPr="008E15F6">
        <w:rPr>
          <w:rFonts w:ascii="Arial" w:hAnsi="Arial" w:cs="Arial"/>
          <w:sz w:val="21"/>
          <w:szCs w:val="21"/>
        </w:rPr>
        <w:t>Oficial Estimado</w:t>
      </w:r>
    </w:p>
    <w:p w14:paraId="74A31018" w14:textId="77777777" w:rsidR="000D6D84" w:rsidRPr="008E15F6" w:rsidRDefault="000D6D84" w:rsidP="000D6D84">
      <w:pPr>
        <w:ind w:left="709" w:right="709"/>
        <w:jc w:val="both"/>
        <w:rPr>
          <w:rFonts w:ascii="Arial" w:hAnsi="Arial" w:cs="Arial"/>
          <w:sz w:val="21"/>
          <w:szCs w:val="21"/>
        </w:rPr>
      </w:pPr>
    </w:p>
    <w:p w14:paraId="4D47651D" w14:textId="2EAD5CCE" w:rsidR="000D72CE" w:rsidRPr="008E15F6" w:rsidRDefault="000D72CE" w:rsidP="000D6D84">
      <w:pPr>
        <w:ind w:left="709" w:right="709"/>
        <w:jc w:val="both"/>
        <w:rPr>
          <w:rFonts w:ascii="Arial" w:eastAsia="Arial" w:hAnsi="Arial" w:cs="Arial"/>
          <w:sz w:val="21"/>
          <w:szCs w:val="21"/>
        </w:rPr>
      </w:pPr>
      <w:r w:rsidRPr="008E15F6">
        <w:rPr>
          <w:rFonts w:ascii="Arial" w:hAnsi="Arial" w:cs="Arial"/>
          <w:sz w:val="21"/>
          <w:szCs w:val="21"/>
        </w:rPr>
        <w:t>Si</w:t>
      </w:r>
      <w:r w:rsidRPr="008E15F6">
        <w:rPr>
          <w:rFonts w:ascii="Arial" w:eastAsia="Arial" w:hAnsi="Arial" w:cs="Arial"/>
          <w:sz w:val="21"/>
          <w:szCs w:val="21"/>
        </w:rPr>
        <w:t xml:space="preserve"> </w:t>
      </w:r>
      <w:r w:rsidRPr="008E15F6">
        <w:rPr>
          <w:rFonts w:ascii="Arial" w:hAnsi="Arial" w:cs="Arial"/>
          <w:sz w:val="21"/>
          <w:szCs w:val="21"/>
        </w:rPr>
        <w:t>el</w:t>
      </w:r>
      <w:r w:rsidRPr="008E15F6">
        <w:rPr>
          <w:rFonts w:ascii="Arial" w:eastAsia="Arial" w:hAnsi="Arial" w:cs="Arial"/>
          <w:sz w:val="21"/>
          <w:szCs w:val="21"/>
        </w:rPr>
        <w:t xml:space="preserve"> </w:t>
      </w:r>
      <w:r w:rsidRPr="008E15F6">
        <w:rPr>
          <w:rFonts w:ascii="Arial" w:hAnsi="Arial" w:cs="Arial"/>
          <w:sz w:val="21"/>
          <w:szCs w:val="21"/>
        </w:rPr>
        <w:t>plazo</w:t>
      </w:r>
      <w:r w:rsidRPr="008E15F6">
        <w:rPr>
          <w:rFonts w:ascii="Arial" w:eastAsia="Arial" w:hAnsi="Arial" w:cs="Arial"/>
          <w:sz w:val="21"/>
          <w:szCs w:val="21"/>
        </w:rPr>
        <w:t xml:space="preserve"> </w:t>
      </w:r>
      <w:r w:rsidRPr="008E15F6">
        <w:rPr>
          <w:rFonts w:ascii="Arial" w:hAnsi="Arial" w:cs="Arial"/>
          <w:sz w:val="21"/>
          <w:szCs w:val="21"/>
        </w:rPr>
        <w:t>estimado</w:t>
      </w:r>
      <w:r w:rsidRPr="008E15F6">
        <w:rPr>
          <w:rFonts w:ascii="Arial" w:eastAsia="Arial" w:hAnsi="Arial" w:cs="Arial"/>
          <w:sz w:val="21"/>
          <w:szCs w:val="21"/>
        </w:rPr>
        <w:t xml:space="preserve"> </w:t>
      </w:r>
      <w:r w:rsidRPr="008E15F6">
        <w:rPr>
          <w:rFonts w:ascii="Arial" w:hAnsi="Arial" w:cs="Arial"/>
          <w:sz w:val="21"/>
          <w:szCs w:val="21"/>
        </w:rPr>
        <w:t>del</w:t>
      </w:r>
      <w:r w:rsidRPr="008E15F6">
        <w:rPr>
          <w:rFonts w:ascii="Arial" w:eastAsia="Arial" w:hAnsi="Arial" w:cs="Arial"/>
          <w:sz w:val="21"/>
          <w:szCs w:val="21"/>
        </w:rPr>
        <w:t xml:space="preserve"> </w:t>
      </w:r>
      <w:r w:rsidRPr="008E15F6">
        <w:rPr>
          <w:rFonts w:ascii="Arial" w:hAnsi="Arial" w:cs="Arial"/>
          <w:sz w:val="21"/>
          <w:szCs w:val="21"/>
        </w:rPr>
        <w:t>contrato</w:t>
      </w:r>
      <w:r w:rsidRPr="008E15F6">
        <w:rPr>
          <w:rFonts w:ascii="Arial" w:eastAsia="Arial" w:hAnsi="Arial" w:cs="Arial"/>
          <w:sz w:val="21"/>
          <w:szCs w:val="21"/>
        </w:rPr>
        <w:t xml:space="preserve"> </w:t>
      </w:r>
      <w:r w:rsidRPr="008E15F6">
        <w:rPr>
          <w:rFonts w:ascii="Arial" w:hAnsi="Arial" w:cs="Arial"/>
          <w:sz w:val="21"/>
          <w:szCs w:val="21"/>
        </w:rPr>
        <w:t>es</w:t>
      </w:r>
      <w:r w:rsidRPr="008E15F6">
        <w:rPr>
          <w:rFonts w:ascii="Arial" w:eastAsia="Arial" w:hAnsi="Arial" w:cs="Arial"/>
          <w:sz w:val="21"/>
          <w:szCs w:val="21"/>
        </w:rPr>
        <w:t xml:space="preserve"> </w:t>
      </w:r>
      <w:r w:rsidRPr="008E15F6">
        <w:rPr>
          <w:rFonts w:ascii="Arial" w:hAnsi="Arial" w:cs="Arial"/>
          <w:sz w:val="21"/>
          <w:szCs w:val="21"/>
        </w:rPr>
        <w:t>mayor</w:t>
      </w:r>
      <w:r w:rsidRPr="008E15F6">
        <w:rPr>
          <w:rFonts w:ascii="Arial" w:eastAsia="Arial" w:hAnsi="Arial" w:cs="Arial"/>
          <w:sz w:val="21"/>
          <w:szCs w:val="21"/>
        </w:rPr>
        <w:t xml:space="preserve"> </w:t>
      </w:r>
      <w:r w:rsidRPr="008E15F6">
        <w:rPr>
          <w:rFonts w:ascii="Arial" w:hAnsi="Arial" w:cs="Arial"/>
          <w:sz w:val="21"/>
          <w:szCs w:val="21"/>
        </w:rPr>
        <w:t>a</w:t>
      </w:r>
      <w:r w:rsidRPr="008E15F6">
        <w:rPr>
          <w:rFonts w:ascii="Arial" w:eastAsia="Arial" w:hAnsi="Arial" w:cs="Arial"/>
          <w:sz w:val="21"/>
          <w:szCs w:val="21"/>
        </w:rPr>
        <w:t xml:space="preserve"> </w:t>
      </w:r>
      <w:r w:rsidRPr="008E15F6">
        <w:rPr>
          <w:rFonts w:ascii="Arial" w:hAnsi="Arial" w:cs="Arial"/>
          <w:sz w:val="21"/>
          <w:szCs w:val="21"/>
        </w:rPr>
        <w:t>12</w:t>
      </w:r>
      <w:r w:rsidRPr="008E15F6">
        <w:rPr>
          <w:rFonts w:ascii="Arial" w:eastAsia="Arial" w:hAnsi="Arial" w:cs="Arial"/>
          <w:sz w:val="21"/>
          <w:szCs w:val="21"/>
        </w:rPr>
        <w:t xml:space="preserve"> </w:t>
      </w:r>
      <w:r w:rsidRPr="008E15F6">
        <w:rPr>
          <w:rFonts w:ascii="Arial" w:hAnsi="Arial" w:cs="Arial"/>
          <w:sz w:val="21"/>
          <w:szCs w:val="21"/>
        </w:rPr>
        <w:t>meses</w:t>
      </w:r>
      <w:r w:rsidRPr="008E15F6">
        <w:rPr>
          <w:rFonts w:ascii="Arial" w:eastAsia="Arial" w:hAnsi="Arial" w:cs="Arial"/>
          <w:sz w:val="21"/>
          <w:szCs w:val="21"/>
        </w:rPr>
        <w:t xml:space="preserve"> </w:t>
      </w:r>
      <w:r w:rsidRPr="008E15F6">
        <w:rPr>
          <w:rFonts w:ascii="Arial" w:hAnsi="Arial" w:cs="Arial"/>
          <w:sz w:val="21"/>
          <w:szCs w:val="21"/>
        </w:rPr>
        <w:t>el</w:t>
      </w:r>
      <w:r w:rsidRPr="008E15F6">
        <w:rPr>
          <w:rFonts w:ascii="Arial" w:eastAsia="Arial" w:hAnsi="Arial" w:cs="Arial"/>
          <w:sz w:val="21"/>
          <w:szCs w:val="21"/>
        </w:rPr>
        <w:t xml:space="preserve"> </w:t>
      </w:r>
      <w:r w:rsidRPr="008E15F6">
        <w:rPr>
          <w:rFonts w:ascii="Arial" w:hAnsi="Arial" w:cs="Arial"/>
          <w:sz w:val="21"/>
          <w:szCs w:val="21"/>
        </w:rPr>
        <w:t>cálculo</w:t>
      </w:r>
      <w:r w:rsidRPr="008E15F6">
        <w:rPr>
          <w:rFonts w:ascii="Arial" w:eastAsia="Arial" w:hAnsi="Arial" w:cs="Arial"/>
          <w:sz w:val="21"/>
          <w:szCs w:val="21"/>
        </w:rPr>
        <w:t xml:space="preserve"> </w:t>
      </w:r>
      <w:r w:rsidRPr="008E15F6">
        <w:rPr>
          <w:rFonts w:ascii="Arial" w:hAnsi="Arial" w:cs="Arial"/>
          <w:sz w:val="21"/>
          <w:szCs w:val="21"/>
        </w:rPr>
        <w:t>de</w:t>
      </w:r>
      <w:r w:rsidRPr="008E15F6">
        <w:rPr>
          <w:rFonts w:ascii="Arial" w:eastAsia="Arial" w:hAnsi="Arial" w:cs="Arial"/>
          <w:sz w:val="21"/>
          <w:szCs w:val="21"/>
        </w:rPr>
        <w:t xml:space="preserve"> </w:t>
      </w:r>
      <w:r w:rsidRPr="008E15F6">
        <w:rPr>
          <w:rFonts w:ascii="Arial" w:hAnsi="Arial" w:cs="Arial"/>
          <w:sz w:val="21"/>
          <w:szCs w:val="21"/>
        </w:rPr>
        <w:t>la</w:t>
      </w:r>
      <w:r w:rsidRPr="008E15F6">
        <w:rPr>
          <w:rFonts w:ascii="Arial" w:eastAsia="Arial" w:hAnsi="Arial" w:cs="Arial"/>
          <w:sz w:val="21"/>
          <w:szCs w:val="21"/>
        </w:rPr>
        <w:t xml:space="preserve"> </w:t>
      </w:r>
      <w:r w:rsidRPr="008E15F6">
        <w:rPr>
          <w:rFonts w:ascii="Arial" w:hAnsi="Arial" w:cs="Arial"/>
          <w:sz w:val="21"/>
          <w:szCs w:val="21"/>
        </w:rPr>
        <w:t>CRPC</w:t>
      </w:r>
      <w:r w:rsidRPr="008E15F6">
        <w:rPr>
          <w:rFonts w:ascii="Arial" w:eastAsia="Arial" w:hAnsi="Arial" w:cs="Arial"/>
          <w:sz w:val="21"/>
          <w:szCs w:val="21"/>
        </w:rPr>
        <w:t xml:space="preserve"> </w:t>
      </w:r>
      <w:r w:rsidRPr="008E15F6">
        <w:rPr>
          <w:rFonts w:ascii="Arial" w:hAnsi="Arial" w:cs="Arial"/>
          <w:sz w:val="21"/>
          <w:szCs w:val="21"/>
        </w:rPr>
        <w:t>deberá</w:t>
      </w:r>
      <w:r w:rsidRPr="008E15F6">
        <w:rPr>
          <w:rFonts w:ascii="Arial" w:eastAsia="Arial" w:hAnsi="Arial" w:cs="Arial"/>
          <w:sz w:val="21"/>
          <w:szCs w:val="21"/>
        </w:rPr>
        <w:t xml:space="preserve"> </w:t>
      </w:r>
      <w:r w:rsidRPr="008E15F6">
        <w:rPr>
          <w:rFonts w:ascii="Arial" w:hAnsi="Arial" w:cs="Arial"/>
          <w:sz w:val="21"/>
          <w:szCs w:val="21"/>
        </w:rPr>
        <w:t>tener</w:t>
      </w:r>
      <w:r w:rsidRPr="008E15F6">
        <w:rPr>
          <w:rFonts w:ascii="Arial" w:eastAsia="Arial" w:hAnsi="Arial" w:cs="Arial"/>
          <w:sz w:val="21"/>
          <w:szCs w:val="21"/>
        </w:rPr>
        <w:t xml:space="preserve"> </w:t>
      </w:r>
      <w:r w:rsidRPr="008E15F6">
        <w:rPr>
          <w:rFonts w:ascii="Arial" w:hAnsi="Arial" w:cs="Arial"/>
          <w:sz w:val="21"/>
          <w:szCs w:val="21"/>
        </w:rPr>
        <w:t>en</w:t>
      </w:r>
      <w:r w:rsidRPr="008E15F6">
        <w:rPr>
          <w:rFonts w:ascii="Arial" w:eastAsia="Arial" w:hAnsi="Arial" w:cs="Arial"/>
          <w:sz w:val="21"/>
          <w:szCs w:val="21"/>
        </w:rPr>
        <w:t xml:space="preserve"> </w:t>
      </w:r>
      <w:r w:rsidRPr="008E15F6">
        <w:rPr>
          <w:rFonts w:ascii="Arial" w:hAnsi="Arial" w:cs="Arial"/>
          <w:sz w:val="21"/>
          <w:szCs w:val="21"/>
        </w:rPr>
        <w:t>cuenta</w:t>
      </w:r>
      <w:r w:rsidRPr="008E15F6">
        <w:rPr>
          <w:rFonts w:ascii="Arial" w:eastAsia="Arial" w:hAnsi="Arial" w:cs="Arial"/>
          <w:sz w:val="21"/>
          <w:szCs w:val="21"/>
        </w:rPr>
        <w:t xml:space="preserve"> </w:t>
      </w:r>
      <w:r w:rsidRPr="008E15F6">
        <w:rPr>
          <w:rFonts w:ascii="Arial" w:hAnsi="Arial" w:cs="Arial"/>
          <w:sz w:val="21"/>
          <w:szCs w:val="21"/>
        </w:rPr>
        <w:t>el</w:t>
      </w:r>
      <w:r w:rsidRPr="008E15F6">
        <w:rPr>
          <w:rFonts w:ascii="Arial" w:eastAsia="Arial" w:hAnsi="Arial" w:cs="Arial"/>
          <w:sz w:val="21"/>
          <w:szCs w:val="21"/>
        </w:rPr>
        <w:t xml:space="preserve"> </w:t>
      </w:r>
      <w:r w:rsidRPr="008E15F6">
        <w:rPr>
          <w:rFonts w:ascii="Arial" w:hAnsi="Arial" w:cs="Arial"/>
          <w:sz w:val="21"/>
          <w:szCs w:val="21"/>
        </w:rPr>
        <w:t>siguiente</w:t>
      </w:r>
      <w:r w:rsidRPr="008E15F6">
        <w:rPr>
          <w:rFonts w:ascii="Arial" w:eastAsia="Arial" w:hAnsi="Arial" w:cs="Arial"/>
          <w:sz w:val="21"/>
          <w:szCs w:val="21"/>
        </w:rPr>
        <w:t xml:space="preserve"> </w:t>
      </w:r>
      <w:r w:rsidRPr="008E15F6">
        <w:rPr>
          <w:rFonts w:ascii="Arial" w:hAnsi="Arial" w:cs="Arial"/>
          <w:sz w:val="21"/>
          <w:szCs w:val="21"/>
        </w:rPr>
        <w:t>proceso:</w:t>
      </w:r>
      <w:r w:rsidRPr="008E15F6">
        <w:rPr>
          <w:rFonts w:ascii="Arial" w:eastAsia="Arial" w:hAnsi="Arial" w:cs="Arial"/>
          <w:sz w:val="21"/>
          <w:szCs w:val="21"/>
        </w:rPr>
        <w:t xml:space="preserve"> </w:t>
      </w:r>
    </w:p>
    <w:p w14:paraId="4BCE0FD8" w14:textId="77777777" w:rsidR="000D6D84" w:rsidRPr="008E15F6" w:rsidRDefault="000D6D84" w:rsidP="000D6D84">
      <w:pPr>
        <w:ind w:left="709" w:right="709"/>
        <w:jc w:val="both"/>
        <w:rPr>
          <w:rFonts w:ascii="Arial" w:eastAsia="Arial" w:hAnsi="Arial" w:cs="Arial"/>
          <w:sz w:val="21"/>
          <w:szCs w:val="21"/>
        </w:rPr>
      </w:pPr>
    </w:p>
    <w:p w14:paraId="46FED750" w14:textId="77777777" w:rsidR="000D72CE" w:rsidRPr="008E15F6" w:rsidRDefault="000D72CE" w:rsidP="000D6D84">
      <w:pPr>
        <w:ind w:left="709" w:right="709"/>
        <w:jc w:val="center"/>
        <w:rPr>
          <w:rFonts w:ascii="Arial" w:eastAsiaTheme="minorEastAsia" w:hAnsi="Arial" w:cs="Arial"/>
          <w:sz w:val="21"/>
          <w:szCs w:val="21"/>
        </w:rPr>
      </w:pPr>
      <m:oMathPara>
        <m:oMath>
          <m:r>
            <m:rPr>
              <m:sty m:val="p"/>
            </m:rPr>
            <w:rPr>
              <w:rFonts w:ascii="Cambria Math" w:hAnsi="Cambria Math" w:cs="Arial"/>
              <w:sz w:val="21"/>
              <w:szCs w:val="21"/>
            </w:rPr>
            <m:t>CRPC=</m:t>
          </m:r>
          <m:f>
            <m:fPr>
              <m:ctrlPr>
                <w:rPr>
                  <w:rFonts w:ascii="Cambria Math" w:hAnsi="Cambria Math" w:cs="Arial"/>
                  <w:bCs/>
                  <w:sz w:val="21"/>
                  <w:szCs w:val="21"/>
                </w:rPr>
              </m:ctrlPr>
            </m:fPr>
            <m:num>
              <m:r>
                <m:rPr>
                  <m:sty m:val="p"/>
                </m:rPr>
                <w:rPr>
                  <w:rFonts w:ascii="Cambria Math" w:hAnsi="Cambria Math" w:cs="Arial"/>
                  <w:sz w:val="21"/>
                  <w:szCs w:val="21"/>
                </w:rPr>
                <m:t>POE-Anticipo y/o pago anticipado</m:t>
              </m:r>
            </m:num>
            <m:den>
              <m:r>
                <m:rPr>
                  <m:sty m:val="p"/>
                </m:rPr>
                <w:rPr>
                  <w:rFonts w:ascii="Cambria Math" w:hAnsi="Cambria Math" w:cs="Arial"/>
                  <w:sz w:val="21"/>
                  <w:szCs w:val="21"/>
                </w:rPr>
                <m:t>Plazo estimado (meses)</m:t>
              </m:r>
            </m:den>
          </m:f>
          <m:r>
            <w:rPr>
              <w:rFonts w:ascii="Cambria Math" w:hAnsi="Cambria Math" w:cs="Arial"/>
              <w:sz w:val="21"/>
              <w:szCs w:val="21"/>
            </w:rPr>
            <m:t>*12</m:t>
          </m:r>
        </m:oMath>
      </m:oMathPara>
    </w:p>
    <w:p w14:paraId="58DF9AEA" w14:textId="77777777" w:rsidR="000D72CE" w:rsidRPr="008E15F6" w:rsidRDefault="000D72CE" w:rsidP="000D72CE">
      <w:pPr>
        <w:tabs>
          <w:tab w:val="left" w:pos="426"/>
        </w:tabs>
        <w:spacing w:line="276" w:lineRule="auto"/>
        <w:ind w:left="709" w:right="709" w:firstLine="709"/>
        <w:jc w:val="both"/>
        <w:rPr>
          <w:rFonts w:ascii="Arial" w:hAnsi="Arial" w:cs="Arial"/>
          <w:sz w:val="21"/>
          <w:szCs w:val="21"/>
        </w:rPr>
      </w:pPr>
    </w:p>
    <w:p w14:paraId="2B431632" w14:textId="2ECB0483" w:rsidR="00B33F2A" w:rsidRPr="008E15F6" w:rsidRDefault="008660FD" w:rsidP="00012965">
      <w:pPr>
        <w:tabs>
          <w:tab w:val="left" w:pos="426"/>
        </w:tabs>
        <w:spacing w:after="120" w:line="276" w:lineRule="auto"/>
        <w:ind w:firstLine="709"/>
        <w:jc w:val="both"/>
        <w:rPr>
          <w:rFonts w:ascii="Arial" w:hAnsi="Arial" w:cs="Arial"/>
          <w:sz w:val="22"/>
        </w:rPr>
      </w:pPr>
      <w:r w:rsidRPr="008E15F6">
        <w:rPr>
          <w:rFonts w:ascii="Arial" w:hAnsi="Arial" w:cs="Arial"/>
          <w:sz w:val="22"/>
        </w:rPr>
        <w:t xml:space="preserve">De acuerdo con esto, para que un proponente cumpla con </w:t>
      </w:r>
      <w:r w:rsidR="00D22D0B" w:rsidRPr="008E15F6">
        <w:rPr>
          <w:rFonts w:ascii="Arial" w:hAnsi="Arial" w:cs="Arial"/>
          <w:sz w:val="22"/>
        </w:rPr>
        <w:t xml:space="preserve">este </w:t>
      </w:r>
      <w:r w:rsidR="00D41586" w:rsidRPr="008E15F6">
        <w:rPr>
          <w:rFonts w:ascii="Arial" w:hAnsi="Arial" w:cs="Arial"/>
          <w:sz w:val="22"/>
        </w:rPr>
        <w:t>requisito habilitant</w:t>
      </w:r>
      <w:r w:rsidR="00D22D0B" w:rsidRPr="008E15F6">
        <w:rPr>
          <w:rFonts w:ascii="Arial" w:hAnsi="Arial" w:cs="Arial"/>
          <w:sz w:val="22"/>
        </w:rPr>
        <w:t>e</w:t>
      </w:r>
      <w:r w:rsidR="00D41586" w:rsidRPr="008E15F6">
        <w:rPr>
          <w:rFonts w:ascii="Arial" w:hAnsi="Arial" w:cs="Arial"/>
          <w:sz w:val="22"/>
        </w:rPr>
        <w:t xml:space="preserve">, es necesario </w:t>
      </w:r>
      <w:r w:rsidR="00D22D0B" w:rsidRPr="008E15F6">
        <w:rPr>
          <w:rFonts w:ascii="Arial" w:hAnsi="Arial" w:cs="Arial"/>
          <w:sz w:val="22"/>
        </w:rPr>
        <w:t>que su capacidad residual –CRP– sea superior a la capacidad residual del</w:t>
      </w:r>
      <w:r w:rsidR="00A01C31" w:rsidRPr="008E15F6">
        <w:rPr>
          <w:rFonts w:ascii="Arial" w:hAnsi="Arial" w:cs="Arial"/>
          <w:sz w:val="22"/>
        </w:rPr>
        <w:t xml:space="preserve"> proceso de contrata</w:t>
      </w:r>
      <w:r w:rsidR="00C13530" w:rsidRPr="008E15F6">
        <w:rPr>
          <w:rFonts w:ascii="Arial" w:hAnsi="Arial" w:cs="Arial"/>
          <w:sz w:val="22"/>
        </w:rPr>
        <w:t>ción –CRPC–</w:t>
      </w:r>
      <w:r w:rsidR="001238FD" w:rsidRPr="008E15F6">
        <w:rPr>
          <w:rFonts w:ascii="Arial" w:hAnsi="Arial" w:cs="Arial"/>
          <w:sz w:val="22"/>
        </w:rPr>
        <w:t>.</w:t>
      </w:r>
      <w:r w:rsidR="00D22D0B" w:rsidRPr="008E15F6">
        <w:rPr>
          <w:rFonts w:ascii="Arial" w:hAnsi="Arial" w:cs="Arial"/>
          <w:sz w:val="22"/>
        </w:rPr>
        <w:t xml:space="preserve"> </w:t>
      </w:r>
      <w:r w:rsidR="00CA3113" w:rsidRPr="008E15F6">
        <w:rPr>
          <w:rFonts w:ascii="Arial" w:hAnsi="Arial" w:cs="Arial"/>
          <w:sz w:val="22"/>
        </w:rPr>
        <w:t xml:space="preserve"> </w:t>
      </w:r>
    </w:p>
    <w:p w14:paraId="3D78F067" w14:textId="2B2268D1" w:rsidR="00CA3113" w:rsidRPr="008E15F6" w:rsidRDefault="00CA3113" w:rsidP="001C770E">
      <w:pPr>
        <w:tabs>
          <w:tab w:val="left" w:pos="426"/>
        </w:tabs>
        <w:spacing w:line="276" w:lineRule="auto"/>
        <w:ind w:firstLine="709"/>
        <w:jc w:val="both"/>
        <w:rPr>
          <w:rFonts w:ascii="Arial" w:hAnsi="Arial" w:cs="Arial"/>
          <w:sz w:val="22"/>
        </w:rPr>
      </w:pPr>
      <w:r w:rsidRPr="008E15F6">
        <w:rPr>
          <w:rFonts w:ascii="Arial" w:hAnsi="Arial" w:cs="Arial"/>
          <w:sz w:val="22"/>
        </w:rPr>
        <w:t xml:space="preserve">El numeral 3.11 del </w:t>
      </w:r>
      <w:r w:rsidR="00F5475B" w:rsidRPr="008E15F6">
        <w:rPr>
          <w:rFonts w:ascii="Arial" w:hAnsi="Arial" w:cs="Arial"/>
          <w:sz w:val="22"/>
        </w:rPr>
        <w:t>documento base</w:t>
      </w:r>
      <w:r w:rsidRPr="008E15F6">
        <w:rPr>
          <w:rFonts w:ascii="Arial" w:hAnsi="Arial" w:cs="Arial"/>
          <w:sz w:val="22"/>
        </w:rPr>
        <w:t xml:space="preserve">, además </w:t>
      </w:r>
      <w:r w:rsidR="00C370AB" w:rsidRPr="008E15F6">
        <w:rPr>
          <w:rFonts w:ascii="Arial" w:hAnsi="Arial" w:cs="Arial"/>
          <w:sz w:val="22"/>
        </w:rPr>
        <w:t>contempla</w:t>
      </w:r>
      <w:r w:rsidRPr="008E15F6">
        <w:rPr>
          <w:rFonts w:ascii="Arial" w:hAnsi="Arial" w:cs="Arial"/>
          <w:sz w:val="22"/>
        </w:rPr>
        <w:t xml:space="preserve"> una regla </w:t>
      </w:r>
      <w:r w:rsidR="00C370AB" w:rsidRPr="008E15F6">
        <w:rPr>
          <w:rFonts w:ascii="Arial" w:hAnsi="Arial" w:cs="Arial"/>
          <w:sz w:val="22"/>
        </w:rPr>
        <w:t>establecida</w:t>
      </w:r>
      <w:r w:rsidR="00B35C9B" w:rsidRPr="008E15F6">
        <w:rPr>
          <w:rFonts w:ascii="Arial" w:hAnsi="Arial" w:cs="Arial"/>
          <w:sz w:val="22"/>
        </w:rPr>
        <w:t xml:space="preserve"> entre corchetes y resaltado gris, la cual debe ser </w:t>
      </w:r>
      <w:r w:rsidR="00C370AB" w:rsidRPr="008E15F6">
        <w:rPr>
          <w:rFonts w:ascii="Arial" w:hAnsi="Arial" w:cs="Arial"/>
          <w:sz w:val="22"/>
        </w:rPr>
        <w:t>incluida en los pliegos de condiciones de los procesos de licitación pública</w:t>
      </w:r>
      <w:r w:rsidR="006E75E2" w:rsidRPr="008E15F6">
        <w:rPr>
          <w:rFonts w:ascii="Arial" w:hAnsi="Arial" w:cs="Arial"/>
          <w:sz w:val="22"/>
        </w:rPr>
        <w:t xml:space="preserve"> estructurados por lotes o grupos y reza lo siguiente:</w:t>
      </w:r>
    </w:p>
    <w:p w14:paraId="7386242D" w14:textId="7C26B6AC" w:rsidR="006E75E2" w:rsidRPr="008E15F6" w:rsidRDefault="006E75E2" w:rsidP="001C770E">
      <w:pPr>
        <w:tabs>
          <w:tab w:val="left" w:pos="426"/>
        </w:tabs>
        <w:spacing w:line="276" w:lineRule="auto"/>
        <w:ind w:firstLine="709"/>
        <w:jc w:val="both"/>
        <w:rPr>
          <w:rFonts w:ascii="Arial" w:hAnsi="Arial" w:cs="Arial"/>
          <w:sz w:val="22"/>
        </w:rPr>
      </w:pPr>
    </w:p>
    <w:p w14:paraId="13A5F734" w14:textId="77777777" w:rsidR="006E75E2" w:rsidRPr="008E15F6" w:rsidRDefault="006E75E2" w:rsidP="006E75E2">
      <w:pPr>
        <w:widowControl w:val="0"/>
        <w:ind w:left="709" w:right="709"/>
        <w:jc w:val="both"/>
        <w:rPr>
          <w:rFonts w:ascii="Arial" w:hAnsi="Arial" w:cs="Arial"/>
          <w:sz w:val="21"/>
          <w:szCs w:val="21"/>
        </w:rPr>
      </w:pPr>
      <w:r w:rsidRPr="008E15F6">
        <w:rPr>
          <w:rFonts w:ascii="Arial" w:hAnsi="Arial" w:cs="Arial"/>
          <w:sz w:val="21"/>
          <w:szCs w:val="21"/>
        </w:rPr>
        <w:t xml:space="preserve">[En los Procesos de contratación estructurados por lotes o grupos, el Proponente deberá acreditar una capacidad residual mayor o igual a la capacidad residual del lote al cual presentó oferta o de la sumatoria de los lotes a los cuales presentó oferta. Si la capacidad residual del Proponente no es suficiente para la totalidad de lotes a los cuales presentó oferta, la Entidad lo habilitará únicamente en aquellos de mayor valor en los que cumpla con la capacidad residual requerida] </w:t>
      </w:r>
    </w:p>
    <w:p w14:paraId="7C436036" w14:textId="77777777" w:rsidR="001E0396" w:rsidRPr="008E15F6" w:rsidRDefault="001E0396" w:rsidP="001E0396">
      <w:pPr>
        <w:widowControl w:val="0"/>
        <w:ind w:firstLine="708"/>
        <w:jc w:val="both"/>
        <w:rPr>
          <w:rFonts w:ascii="Arial" w:hAnsi="Arial" w:cs="Arial"/>
          <w:sz w:val="22"/>
          <w:szCs w:val="20"/>
        </w:rPr>
      </w:pPr>
    </w:p>
    <w:p w14:paraId="2B4A4B16" w14:textId="06809E34" w:rsidR="00A70305" w:rsidRPr="008E15F6" w:rsidRDefault="00A70305" w:rsidP="009876F2">
      <w:pPr>
        <w:widowControl w:val="0"/>
        <w:spacing w:after="120" w:line="276" w:lineRule="auto"/>
        <w:ind w:firstLine="709"/>
        <w:jc w:val="both"/>
        <w:rPr>
          <w:rFonts w:ascii="Arial" w:hAnsi="Arial" w:cs="Arial"/>
          <w:sz w:val="22"/>
        </w:rPr>
      </w:pPr>
      <w:r w:rsidRPr="008E15F6">
        <w:rPr>
          <w:rFonts w:ascii="Arial" w:hAnsi="Arial" w:cs="Arial"/>
          <w:sz w:val="22"/>
        </w:rPr>
        <w:t xml:space="preserve">En concordancia con esto, el numeral 3.11.1 al regular el </w:t>
      </w:r>
      <w:r w:rsidR="001E0396" w:rsidRPr="008E15F6">
        <w:rPr>
          <w:rFonts w:ascii="Arial" w:hAnsi="Arial" w:cs="Arial"/>
          <w:sz w:val="22"/>
        </w:rPr>
        <w:t>cálculo</w:t>
      </w:r>
      <w:r w:rsidRPr="008E15F6">
        <w:rPr>
          <w:rFonts w:ascii="Arial" w:hAnsi="Arial" w:cs="Arial"/>
          <w:sz w:val="22"/>
        </w:rPr>
        <w:t xml:space="preserve"> de la </w:t>
      </w:r>
      <w:r w:rsidR="009327AC" w:rsidRPr="008E15F6">
        <w:rPr>
          <w:rFonts w:ascii="Arial" w:hAnsi="Arial" w:cs="Arial"/>
          <w:sz w:val="22"/>
        </w:rPr>
        <w:t>capacidad residual del proceso de contratación</w:t>
      </w:r>
      <w:r w:rsidR="009327AC">
        <w:rPr>
          <w:rFonts w:ascii="Arial" w:hAnsi="Arial" w:cs="Arial"/>
          <w:sz w:val="22"/>
        </w:rPr>
        <w:t xml:space="preserve"> </w:t>
      </w:r>
      <w:r w:rsidRPr="008E15F6">
        <w:rPr>
          <w:rFonts w:ascii="Arial" w:hAnsi="Arial" w:cs="Arial"/>
          <w:sz w:val="22"/>
        </w:rPr>
        <w:t xml:space="preserve">–CRPC–, establece que «en los Procesos de </w:t>
      </w:r>
      <w:r w:rsidRPr="008E15F6">
        <w:rPr>
          <w:rFonts w:ascii="Arial" w:hAnsi="Arial" w:cs="Arial"/>
          <w:sz w:val="22"/>
        </w:rPr>
        <w:lastRenderedPageBreak/>
        <w:t xml:space="preserve">contratación estructurados por lotes, el presupuesto oficial estimado </w:t>
      </w:r>
      <w:r w:rsidR="00B77212" w:rsidRPr="008E15F6">
        <w:rPr>
          <w:rFonts w:ascii="Arial" w:hAnsi="Arial" w:cs="Arial"/>
          <w:sz w:val="22"/>
        </w:rPr>
        <w:t>(</w:t>
      </w:r>
      <w:r w:rsidRPr="008E15F6">
        <w:rPr>
          <w:rFonts w:ascii="Arial" w:hAnsi="Arial" w:cs="Arial"/>
          <w:sz w:val="22"/>
        </w:rPr>
        <w:t>POE</w:t>
      </w:r>
      <w:r w:rsidR="00B77212" w:rsidRPr="008E15F6">
        <w:rPr>
          <w:rFonts w:ascii="Arial" w:hAnsi="Arial" w:cs="Arial"/>
          <w:sz w:val="22"/>
        </w:rPr>
        <w:t>)</w:t>
      </w:r>
      <w:r w:rsidRPr="008E15F6">
        <w:rPr>
          <w:rFonts w:ascii="Arial" w:hAnsi="Arial" w:cs="Arial"/>
          <w:sz w:val="22"/>
        </w:rPr>
        <w:t xml:space="preserve"> corresponderá al presupuesto oficial del lote al cual se presenta oferta».  Esto significa que para evaluar la capacidad residual de los proponentes en los procesos estructurados por lotes o grupos se debe calcular la CRPC para cada lote o grupo y, en principio, calcular la capacidad residual respecto de la sumatoria de los CRPC en lo</w:t>
      </w:r>
      <w:r w:rsidR="00133B54">
        <w:rPr>
          <w:rFonts w:ascii="Arial" w:hAnsi="Arial" w:cs="Arial"/>
          <w:sz w:val="22"/>
        </w:rPr>
        <w:t>s</w:t>
      </w:r>
      <w:r w:rsidRPr="008E15F6">
        <w:rPr>
          <w:rFonts w:ascii="Arial" w:hAnsi="Arial" w:cs="Arial"/>
          <w:sz w:val="22"/>
        </w:rPr>
        <w:t xml:space="preserve"> que se presentó oferta. </w:t>
      </w:r>
    </w:p>
    <w:p w14:paraId="6D62E80C" w14:textId="7C7A85AF" w:rsidR="009876F2" w:rsidRPr="008E15F6" w:rsidRDefault="00D21801" w:rsidP="00F851B1">
      <w:pPr>
        <w:widowControl w:val="0"/>
        <w:spacing w:line="276" w:lineRule="auto"/>
        <w:ind w:firstLine="709"/>
        <w:jc w:val="both"/>
        <w:rPr>
          <w:rFonts w:ascii="Arial" w:hAnsi="Arial" w:cs="Arial"/>
          <w:sz w:val="22"/>
        </w:rPr>
      </w:pPr>
      <w:r w:rsidRPr="008E15F6">
        <w:rPr>
          <w:rFonts w:ascii="Arial" w:hAnsi="Arial" w:cs="Arial"/>
          <w:sz w:val="22"/>
        </w:rPr>
        <w:t xml:space="preserve">Debe precisarse que </w:t>
      </w:r>
      <w:r w:rsidR="00E40005">
        <w:rPr>
          <w:rFonts w:ascii="Arial" w:hAnsi="Arial" w:cs="Arial"/>
          <w:sz w:val="22"/>
          <w:szCs w:val="20"/>
        </w:rPr>
        <w:t>el documento base</w:t>
      </w:r>
      <w:r w:rsidR="00E40005" w:rsidRPr="008E15F6">
        <w:rPr>
          <w:rFonts w:ascii="Arial" w:hAnsi="Arial" w:cs="Arial"/>
          <w:sz w:val="22"/>
          <w:szCs w:val="20"/>
        </w:rPr>
        <w:t xml:space="preserve"> de los </w:t>
      </w:r>
      <w:r w:rsidR="00E40005">
        <w:rPr>
          <w:rFonts w:ascii="Arial" w:hAnsi="Arial" w:cs="Arial"/>
          <w:sz w:val="22"/>
          <w:szCs w:val="20"/>
        </w:rPr>
        <w:t>«</w:t>
      </w:r>
      <w:r w:rsidR="00E40005" w:rsidRPr="008E15F6">
        <w:rPr>
          <w:rFonts w:ascii="Arial" w:hAnsi="Arial" w:cs="Arial"/>
          <w:sz w:val="22"/>
          <w:szCs w:val="20"/>
        </w:rPr>
        <w:t>Documentos Tipo</w:t>
      </w:r>
      <w:r w:rsidR="00E40005">
        <w:rPr>
          <w:rFonts w:ascii="Arial" w:hAnsi="Arial" w:cs="Arial"/>
          <w:sz w:val="22"/>
          <w:szCs w:val="20"/>
        </w:rPr>
        <w:t xml:space="preserve"> – Versión 2»</w:t>
      </w:r>
      <w:r w:rsidR="00E40005" w:rsidRPr="008E15F6">
        <w:rPr>
          <w:rFonts w:ascii="Arial" w:hAnsi="Arial" w:cs="Arial"/>
          <w:sz w:val="22"/>
          <w:szCs w:val="20"/>
        </w:rPr>
        <w:t xml:space="preserve"> de licitación de obra pública de infraestructura de transporte</w:t>
      </w:r>
      <w:r w:rsidR="009876F2" w:rsidRPr="008E15F6">
        <w:rPr>
          <w:rFonts w:ascii="Arial" w:hAnsi="Arial" w:cs="Arial"/>
          <w:sz w:val="22"/>
        </w:rPr>
        <w:t xml:space="preserve"> no establece que en los procesos estructurados por lotes o grupos deba existir un adjudicatario diferente para cada lote o grupo. Por el contrario, </w:t>
      </w:r>
      <w:r w:rsidR="00F5475B">
        <w:rPr>
          <w:rFonts w:ascii="Arial" w:hAnsi="Arial" w:cs="Arial"/>
          <w:sz w:val="22"/>
        </w:rPr>
        <w:t>conforme a</w:t>
      </w:r>
      <w:r w:rsidR="009876F2" w:rsidRPr="008E15F6">
        <w:rPr>
          <w:rFonts w:ascii="Arial" w:hAnsi="Arial" w:cs="Arial"/>
          <w:sz w:val="22"/>
        </w:rPr>
        <w:t>l numeral 2.10, literal A</w:t>
      </w:r>
      <w:r w:rsidR="00E40005">
        <w:rPr>
          <w:rFonts w:ascii="Arial" w:hAnsi="Arial" w:cs="Arial"/>
          <w:sz w:val="22"/>
        </w:rPr>
        <w:t>,</w:t>
      </w:r>
      <w:r w:rsidR="009876F2" w:rsidRPr="008E15F6">
        <w:rPr>
          <w:rFonts w:ascii="Arial" w:hAnsi="Arial" w:cs="Arial"/>
          <w:sz w:val="22"/>
        </w:rPr>
        <w:t xml:space="preserve"> del </w:t>
      </w:r>
      <w:r w:rsidR="00E40005" w:rsidRPr="008E15F6">
        <w:rPr>
          <w:rFonts w:ascii="Arial" w:hAnsi="Arial" w:cs="Arial"/>
          <w:sz w:val="22"/>
        </w:rPr>
        <w:t>documento base</w:t>
      </w:r>
      <w:r w:rsidR="009876F2" w:rsidRPr="008E15F6">
        <w:rPr>
          <w:rFonts w:ascii="Arial" w:hAnsi="Arial" w:cs="Arial"/>
          <w:sz w:val="22"/>
        </w:rPr>
        <w:t xml:space="preserve">, es una cuestión </w:t>
      </w:r>
      <w:r w:rsidR="00E341D8">
        <w:rPr>
          <w:rFonts w:ascii="Arial" w:hAnsi="Arial" w:cs="Arial"/>
          <w:sz w:val="22"/>
        </w:rPr>
        <w:t xml:space="preserve">que </w:t>
      </w:r>
      <w:r w:rsidR="009876F2" w:rsidRPr="008E15F6">
        <w:rPr>
          <w:rFonts w:ascii="Arial" w:hAnsi="Arial" w:cs="Arial"/>
          <w:sz w:val="22"/>
        </w:rPr>
        <w:t>determina</w:t>
      </w:r>
      <w:r w:rsidR="00E40005">
        <w:rPr>
          <w:rFonts w:ascii="Arial" w:hAnsi="Arial" w:cs="Arial"/>
          <w:sz w:val="22"/>
        </w:rPr>
        <w:t>n</w:t>
      </w:r>
      <w:r w:rsidR="009876F2" w:rsidRPr="008E15F6">
        <w:rPr>
          <w:rFonts w:ascii="Arial" w:hAnsi="Arial" w:cs="Arial"/>
          <w:sz w:val="22"/>
        </w:rPr>
        <w:t xml:space="preserve"> las entidades estatales al momento de aplicar los </w:t>
      </w:r>
      <w:r w:rsidR="00E40005" w:rsidRPr="008E15F6">
        <w:rPr>
          <w:rFonts w:ascii="Arial" w:hAnsi="Arial" w:cs="Arial"/>
          <w:sz w:val="22"/>
        </w:rPr>
        <w:t>documentos tipo</w:t>
      </w:r>
      <w:r w:rsidR="009876F2" w:rsidRPr="008E15F6">
        <w:rPr>
          <w:rFonts w:ascii="Arial" w:hAnsi="Arial" w:cs="Arial"/>
          <w:sz w:val="22"/>
        </w:rPr>
        <w:t>, quienes además deben establecer la posibilidad de que un proponente presente ofertas para varios lotes</w:t>
      </w:r>
      <w:r w:rsidR="00192A8A" w:rsidRPr="008E15F6">
        <w:rPr>
          <w:rFonts w:ascii="Arial" w:hAnsi="Arial" w:cs="Arial"/>
          <w:sz w:val="22"/>
        </w:rPr>
        <w:t xml:space="preserve">. </w:t>
      </w:r>
      <w:r w:rsidR="00E40005">
        <w:rPr>
          <w:rFonts w:ascii="Arial" w:hAnsi="Arial" w:cs="Arial"/>
          <w:sz w:val="22"/>
        </w:rPr>
        <w:t>Este</w:t>
      </w:r>
      <w:r w:rsidR="000614A7" w:rsidRPr="008E15F6">
        <w:rPr>
          <w:rFonts w:ascii="Arial" w:hAnsi="Arial" w:cs="Arial"/>
          <w:sz w:val="22"/>
        </w:rPr>
        <w:t xml:space="preserve"> </w:t>
      </w:r>
      <w:r w:rsidR="00F851B1" w:rsidRPr="008E15F6">
        <w:rPr>
          <w:rFonts w:ascii="Arial" w:hAnsi="Arial" w:cs="Arial"/>
          <w:sz w:val="22"/>
        </w:rPr>
        <w:t>literal</w:t>
      </w:r>
      <w:r w:rsidR="000614A7" w:rsidRPr="008E15F6">
        <w:rPr>
          <w:rFonts w:ascii="Arial" w:hAnsi="Arial" w:cs="Arial"/>
          <w:sz w:val="22"/>
        </w:rPr>
        <w:t xml:space="preserve"> dispone</w:t>
      </w:r>
      <w:r w:rsidR="00F851B1" w:rsidRPr="008E15F6">
        <w:rPr>
          <w:rFonts w:ascii="Arial" w:hAnsi="Arial" w:cs="Arial"/>
          <w:sz w:val="22"/>
        </w:rPr>
        <w:t xml:space="preserve"> lo siguiente: </w:t>
      </w:r>
    </w:p>
    <w:p w14:paraId="4CC32E70" w14:textId="1BC584B2" w:rsidR="00192A8A" w:rsidRPr="008E15F6" w:rsidRDefault="00192A8A" w:rsidP="00F851B1">
      <w:pPr>
        <w:widowControl w:val="0"/>
        <w:spacing w:line="276" w:lineRule="auto"/>
        <w:ind w:firstLine="709"/>
        <w:jc w:val="both"/>
        <w:rPr>
          <w:rFonts w:ascii="Arial" w:hAnsi="Arial" w:cs="Arial"/>
          <w:sz w:val="22"/>
        </w:rPr>
      </w:pPr>
    </w:p>
    <w:p w14:paraId="3C77A978" w14:textId="77777777" w:rsidR="00192A8A" w:rsidRPr="008E15F6" w:rsidRDefault="00192A8A" w:rsidP="00192A8A">
      <w:pPr>
        <w:widowControl w:val="0"/>
        <w:spacing w:after="120"/>
        <w:ind w:left="709" w:right="709"/>
        <w:jc w:val="both"/>
        <w:rPr>
          <w:rFonts w:ascii="Arial" w:hAnsi="Arial" w:cs="Arial"/>
          <w:sz w:val="21"/>
          <w:szCs w:val="21"/>
        </w:rPr>
      </w:pPr>
      <w:r w:rsidRPr="008E15F6">
        <w:rPr>
          <w:rFonts w:ascii="Arial" w:hAnsi="Arial" w:cs="Arial"/>
          <w:sz w:val="21"/>
          <w:szCs w:val="21"/>
        </w:rPr>
        <w:t>2.10.</w:t>
      </w:r>
      <w:r w:rsidRPr="008E15F6">
        <w:rPr>
          <w:rFonts w:ascii="Arial" w:hAnsi="Arial" w:cs="Arial"/>
          <w:sz w:val="21"/>
          <w:szCs w:val="21"/>
        </w:rPr>
        <w:tab/>
        <w:t xml:space="preserve">REGLAS PARA LOS PROCESOS ESTRUCTURADOS POR LOTES O GRUPOS  </w:t>
      </w:r>
    </w:p>
    <w:p w14:paraId="55AD3124" w14:textId="77777777" w:rsidR="00192A8A" w:rsidRPr="008E15F6" w:rsidRDefault="00192A8A" w:rsidP="00192A8A">
      <w:pPr>
        <w:widowControl w:val="0"/>
        <w:spacing w:after="120"/>
        <w:ind w:left="709" w:right="709"/>
        <w:jc w:val="both"/>
        <w:rPr>
          <w:rFonts w:ascii="Arial" w:hAnsi="Arial" w:cs="Arial"/>
          <w:sz w:val="21"/>
          <w:szCs w:val="21"/>
        </w:rPr>
      </w:pPr>
      <w:r w:rsidRPr="008E15F6">
        <w:rPr>
          <w:rFonts w:ascii="Arial" w:hAnsi="Arial" w:cs="Arial"/>
          <w:sz w:val="21"/>
          <w:szCs w:val="21"/>
        </w:rPr>
        <w:t>[La Entidad deberá incluir esta sección y aplicar las reglas aquí señaladas cuando estructure el Proceso de Contratación por lotes o grupos]</w:t>
      </w:r>
    </w:p>
    <w:p w14:paraId="70431608" w14:textId="77777777" w:rsidR="00192A8A" w:rsidRPr="008E15F6" w:rsidRDefault="00192A8A" w:rsidP="00192A8A">
      <w:pPr>
        <w:widowControl w:val="0"/>
        <w:spacing w:after="120"/>
        <w:ind w:left="709" w:right="709"/>
        <w:jc w:val="both"/>
        <w:rPr>
          <w:rFonts w:ascii="Arial" w:hAnsi="Arial" w:cs="Arial"/>
          <w:sz w:val="21"/>
          <w:szCs w:val="21"/>
        </w:rPr>
      </w:pPr>
      <w:r w:rsidRPr="008E15F6">
        <w:rPr>
          <w:rFonts w:ascii="Arial" w:hAnsi="Arial" w:cs="Arial"/>
          <w:sz w:val="21"/>
          <w:szCs w:val="21"/>
        </w:rPr>
        <w:t xml:space="preserve">Cuando el Proceso de Contratación se estructure por lotes o grupos se aplicarán las siguientes reglas además de las previstas en otros numerales del presente documento: </w:t>
      </w:r>
    </w:p>
    <w:p w14:paraId="038070B1" w14:textId="38CD2BF8" w:rsidR="00192A8A" w:rsidRPr="008E15F6" w:rsidRDefault="00192A8A" w:rsidP="008E15F6">
      <w:pPr>
        <w:widowControl w:val="0"/>
        <w:ind w:left="709" w:right="709"/>
        <w:jc w:val="both"/>
        <w:rPr>
          <w:rFonts w:ascii="Arial" w:hAnsi="Arial" w:cs="Arial"/>
          <w:sz w:val="21"/>
          <w:szCs w:val="21"/>
        </w:rPr>
      </w:pPr>
      <w:r w:rsidRPr="008E15F6">
        <w:rPr>
          <w:rFonts w:ascii="Arial" w:hAnsi="Arial" w:cs="Arial"/>
          <w:sz w:val="21"/>
          <w:szCs w:val="21"/>
        </w:rPr>
        <w:t>A.</w:t>
      </w:r>
      <w:r w:rsidRPr="008E15F6">
        <w:rPr>
          <w:rFonts w:ascii="Arial" w:hAnsi="Arial" w:cs="Arial"/>
          <w:sz w:val="21"/>
          <w:szCs w:val="21"/>
        </w:rPr>
        <w:tab/>
        <w:t>[En este literal la Entidad debe señalar si es posible presentar oferta a más de un lote o grupo. Cuando lo establezca, debe indicar si es posible resultar adjudicatario de más de uno]</w:t>
      </w:r>
    </w:p>
    <w:p w14:paraId="5CBBF8B2" w14:textId="73D5516F" w:rsidR="009876F2" w:rsidRPr="008E15F6" w:rsidRDefault="009876F2" w:rsidP="001E0396">
      <w:pPr>
        <w:widowControl w:val="0"/>
        <w:spacing w:line="276" w:lineRule="auto"/>
        <w:ind w:firstLine="708"/>
        <w:jc w:val="both"/>
        <w:rPr>
          <w:rFonts w:ascii="Arial" w:hAnsi="Arial" w:cs="Arial"/>
          <w:sz w:val="22"/>
        </w:rPr>
      </w:pPr>
    </w:p>
    <w:p w14:paraId="618776D4" w14:textId="29B26046" w:rsidR="006B7C58" w:rsidRPr="008E15F6" w:rsidRDefault="006B7C58" w:rsidP="006B7C58">
      <w:pPr>
        <w:tabs>
          <w:tab w:val="left" w:pos="426"/>
        </w:tabs>
        <w:spacing w:line="276" w:lineRule="auto"/>
        <w:jc w:val="both"/>
        <w:rPr>
          <w:rFonts w:ascii="Arial" w:hAnsi="Arial" w:cs="Arial"/>
          <w:sz w:val="22"/>
          <w:shd w:val="clear" w:color="auto" w:fill="FFFFFF"/>
        </w:rPr>
      </w:pPr>
      <w:r w:rsidRPr="008E15F6">
        <w:rPr>
          <w:rFonts w:ascii="Arial" w:hAnsi="Arial" w:cs="Arial"/>
          <w:sz w:val="22"/>
          <w:shd w:val="clear" w:color="auto" w:fill="FFFFFF"/>
        </w:rPr>
        <w:tab/>
      </w:r>
      <w:r w:rsidRPr="008E15F6">
        <w:rPr>
          <w:rFonts w:ascii="Arial" w:hAnsi="Arial" w:cs="Arial"/>
          <w:sz w:val="22"/>
          <w:shd w:val="clear" w:color="auto" w:fill="FFFFFF"/>
        </w:rPr>
        <w:tab/>
      </w:r>
      <w:r w:rsidR="00740E00" w:rsidRPr="008E15F6">
        <w:rPr>
          <w:rFonts w:ascii="Arial" w:hAnsi="Arial" w:cs="Arial"/>
          <w:sz w:val="22"/>
          <w:shd w:val="clear" w:color="auto" w:fill="FFFFFF"/>
        </w:rPr>
        <w:t xml:space="preserve">En función de lo anterior, el literal H del numeral 2.10 del </w:t>
      </w:r>
      <w:r w:rsidR="00E40005" w:rsidRPr="008E15F6">
        <w:rPr>
          <w:rFonts w:ascii="Arial" w:hAnsi="Arial" w:cs="Arial"/>
          <w:sz w:val="22"/>
          <w:shd w:val="clear" w:color="auto" w:fill="FFFFFF"/>
        </w:rPr>
        <w:t>documento base</w:t>
      </w:r>
      <w:r w:rsidR="00740E00" w:rsidRPr="008E15F6">
        <w:rPr>
          <w:rFonts w:ascii="Arial" w:hAnsi="Arial" w:cs="Arial"/>
          <w:sz w:val="22"/>
          <w:shd w:val="clear" w:color="auto" w:fill="FFFFFF"/>
        </w:rPr>
        <w:t xml:space="preserve"> incluye una regla aplicable a los procesos en los que la entidad contratante permita que un proponente sea adjudicatario de más de un lote o grupo, la cual consiste en </w:t>
      </w:r>
      <w:r w:rsidR="000713E3">
        <w:rPr>
          <w:rFonts w:ascii="Arial" w:hAnsi="Arial" w:cs="Arial"/>
          <w:sz w:val="22"/>
          <w:shd w:val="clear" w:color="auto" w:fill="FFFFFF"/>
        </w:rPr>
        <w:t>lo siguiente</w:t>
      </w:r>
      <w:r w:rsidRPr="008E15F6">
        <w:rPr>
          <w:rFonts w:ascii="Arial" w:hAnsi="Arial" w:cs="Arial"/>
          <w:sz w:val="22"/>
          <w:shd w:val="clear" w:color="auto" w:fill="FFFFFF"/>
        </w:rPr>
        <w:t xml:space="preserve">: </w:t>
      </w:r>
    </w:p>
    <w:p w14:paraId="1C032DE8" w14:textId="4104CCB6" w:rsidR="006B7C58" w:rsidRPr="008E15F6" w:rsidRDefault="006B7C58" w:rsidP="00740E00">
      <w:pPr>
        <w:tabs>
          <w:tab w:val="left" w:pos="426"/>
        </w:tabs>
        <w:jc w:val="both"/>
        <w:rPr>
          <w:rFonts w:ascii="Calibri" w:hAnsi="Calibri" w:cs="Calibri"/>
          <w:shd w:val="clear" w:color="auto" w:fill="FFFFFF"/>
        </w:rPr>
      </w:pPr>
    </w:p>
    <w:p w14:paraId="702E3B21" w14:textId="68963D06" w:rsidR="006B7C58" w:rsidRPr="008E15F6" w:rsidRDefault="006B7C58" w:rsidP="00993E02">
      <w:pPr>
        <w:tabs>
          <w:tab w:val="left" w:pos="426"/>
        </w:tabs>
        <w:ind w:left="709" w:right="709"/>
        <w:jc w:val="both"/>
        <w:rPr>
          <w:rFonts w:ascii="Arial" w:hAnsi="Arial" w:cs="Arial"/>
          <w:sz w:val="21"/>
          <w:szCs w:val="21"/>
          <w:shd w:val="clear" w:color="auto" w:fill="FFFFFF"/>
        </w:rPr>
      </w:pPr>
      <w:r w:rsidRPr="008E15F6">
        <w:rPr>
          <w:rFonts w:ascii="Arial" w:hAnsi="Arial" w:cs="Arial"/>
          <w:sz w:val="21"/>
          <w:szCs w:val="21"/>
          <w:shd w:val="clear" w:color="auto" w:fill="FFFFFF"/>
        </w:rPr>
        <w:t>H.</w:t>
      </w:r>
      <w:r w:rsidRPr="008E15F6">
        <w:rPr>
          <w:rFonts w:ascii="Arial" w:hAnsi="Arial" w:cs="Arial"/>
          <w:sz w:val="21"/>
          <w:szCs w:val="21"/>
          <w:shd w:val="clear" w:color="auto" w:fill="FFFFFF"/>
        </w:rPr>
        <w:tab/>
        <w:t>[Incluir cuando la Entidad haya establecido la posibilidad de resultar adjudicatario de más de un lote o grupo] El Proponente deberá acreditar una capacidad residual mayor o igual a la capacidad residual del lote al cual presentó oferta o de la sumatoria de los lotes a los cuales presentó oferta. Si la capacidad residual del Proponente no es suficiente para la totalidad de los lotes a los cuales presentó oferta, la Entidad lo habilitará únicamente en los que cumpla con la capacidad residual requerida, empezando con el lote de mayor valor al cual presentó oferta, y así en forma descendente.</w:t>
      </w:r>
    </w:p>
    <w:p w14:paraId="27625BAB" w14:textId="539861B9" w:rsidR="006B7C58" w:rsidRPr="008E15F6" w:rsidRDefault="0005664C" w:rsidP="00740E00">
      <w:pPr>
        <w:tabs>
          <w:tab w:val="left" w:pos="426"/>
        </w:tabs>
        <w:jc w:val="both"/>
        <w:rPr>
          <w:rFonts w:ascii="Calibri" w:hAnsi="Calibri" w:cs="Calibri"/>
          <w:shd w:val="clear" w:color="auto" w:fill="FFFFFF"/>
        </w:rPr>
      </w:pPr>
      <w:r w:rsidRPr="008E15F6">
        <w:rPr>
          <w:rFonts w:ascii="Calibri" w:hAnsi="Calibri" w:cs="Calibri"/>
          <w:shd w:val="clear" w:color="auto" w:fill="FFFFFF"/>
        </w:rPr>
        <w:tab/>
      </w:r>
      <w:r w:rsidRPr="008E15F6">
        <w:rPr>
          <w:rFonts w:ascii="Calibri" w:hAnsi="Calibri" w:cs="Calibri"/>
          <w:shd w:val="clear" w:color="auto" w:fill="FFFFFF"/>
        </w:rPr>
        <w:tab/>
      </w:r>
    </w:p>
    <w:p w14:paraId="377032FD" w14:textId="29BD9AD9" w:rsidR="00B3591B" w:rsidRPr="008E15F6" w:rsidRDefault="0005664C" w:rsidP="00803235">
      <w:pPr>
        <w:tabs>
          <w:tab w:val="left" w:pos="426"/>
        </w:tabs>
        <w:spacing w:after="120" w:line="276" w:lineRule="auto"/>
        <w:jc w:val="both"/>
        <w:rPr>
          <w:rFonts w:ascii="Arial" w:hAnsi="Arial" w:cs="Arial"/>
          <w:sz w:val="22"/>
          <w:shd w:val="clear" w:color="auto" w:fill="FFFFFF"/>
        </w:rPr>
      </w:pPr>
      <w:r w:rsidRPr="008E15F6">
        <w:rPr>
          <w:rFonts w:ascii="Arial" w:hAnsi="Arial" w:cs="Arial"/>
          <w:sz w:val="22"/>
          <w:shd w:val="clear" w:color="auto" w:fill="FFFFFF"/>
        </w:rPr>
        <w:tab/>
      </w:r>
      <w:r w:rsidRPr="008E15F6">
        <w:rPr>
          <w:rFonts w:ascii="Arial" w:hAnsi="Arial" w:cs="Arial"/>
          <w:sz w:val="22"/>
          <w:shd w:val="clear" w:color="auto" w:fill="FFFFFF"/>
        </w:rPr>
        <w:tab/>
      </w:r>
      <w:r w:rsidR="00B3591B" w:rsidRPr="008E15F6">
        <w:rPr>
          <w:rFonts w:ascii="Arial" w:hAnsi="Arial" w:cs="Arial"/>
          <w:sz w:val="22"/>
          <w:shd w:val="clear" w:color="auto" w:fill="FFFFFF"/>
        </w:rPr>
        <w:t xml:space="preserve">Lo dicho en estos apartes del </w:t>
      </w:r>
      <w:r w:rsidR="00E40005" w:rsidRPr="008E15F6">
        <w:rPr>
          <w:rFonts w:ascii="Arial" w:hAnsi="Arial" w:cs="Arial"/>
          <w:sz w:val="22"/>
          <w:shd w:val="clear" w:color="auto" w:fill="FFFFFF"/>
        </w:rPr>
        <w:t>documento base</w:t>
      </w:r>
      <w:r w:rsidR="00B3591B" w:rsidRPr="008E15F6">
        <w:rPr>
          <w:rFonts w:ascii="Arial" w:hAnsi="Arial" w:cs="Arial"/>
          <w:sz w:val="22"/>
          <w:shd w:val="clear" w:color="auto" w:fill="FFFFFF"/>
        </w:rPr>
        <w:t xml:space="preserve"> deriva en dos subreglas para la acreditación de la capacidad residual en procesos de selección estructurados por lotes en los que se permita que un proponente presente oferta para varios grupos, a saber:</w:t>
      </w:r>
    </w:p>
    <w:p w14:paraId="2D5A49C5" w14:textId="66319C1F" w:rsidR="00B3591B" w:rsidRPr="008E15F6" w:rsidRDefault="00803235" w:rsidP="00803235">
      <w:pPr>
        <w:tabs>
          <w:tab w:val="left" w:pos="426"/>
        </w:tabs>
        <w:spacing w:after="120" w:line="276" w:lineRule="auto"/>
        <w:jc w:val="both"/>
        <w:rPr>
          <w:rFonts w:ascii="Arial" w:hAnsi="Arial" w:cs="Arial"/>
          <w:sz w:val="22"/>
          <w:shd w:val="clear" w:color="auto" w:fill="FFFFFF"/>
        </w:rPr>
      </w:pPr>
      <w:r w:rsidRPr="008E15F6">
        <w:rPr>
          <w:rFonts w:ascii="Arial" w:hAnsi="Arial" w:cs="Arial"/>
          <w:sz w:val="22"/>
          <w:shd w:val="clear" w:color="auto" w:fill="FFFFFF"/>
        </w:rPr>
        <w:lastRenderedPageBreak/>
        <w:tab/>
      </w:r>
      <w:r w:rsidRPr="008E15F6">
        <w:rPr>
          <w:rFonts w:ascii="Arial" w:hAnsi="Arial" w:cs="Arial"/>
          <w:sz w:val="22"/>
          <w:shd w:val="clear" w:color="auto" w:fill="FFFFFF"/>
        </w:rPr>
        <w:tab/>
      </w:r>
      <w:r w:rsidR="00B3591B" w:rsidRPr="008E15F6">
        <w:rPr>
          <w:rFonts w:ascii="Arial" w:hAnsi="Arial" w:cs="Arial"/>
          <w:sz w:val="22"/>
          <w:shd w:val="clear" w:color="auto" w:fill="FFFFFF"/>
        </w:rPr>
        <w:t xml:space="preserve">i) </w:t>
      </w:r>
      <w:r w:rsidR="00E40005">
        <w:rPr>
          <w:rFonts w:ascii="Arial" w:hAnsi="Arial" w:cs="Arial"/>
          <w:sz w:val="22"/>
          <w:shd w:val="clear" w:color="auto" w:fill="FFFFFF"/>
        </w:rPr>
        <w:t>L</w:t>
      </w:r>
      <w:r w:rsidR="00B3591B" w:rsidRPr="008E15F6">
        <w:rPr>
          <w:rFonts w:ascii="Arial" w:hAnsi="Arial" w:cs="Arial"/>
          <w:sz w:val="22"/>
          <w:shd w:val="clear" w:color="auto" w:fill="FFFFFF"/>
        </w:rPr>
        <w:t xml:space="preserve">a capacidad residual del proponente –CRP– </w:t>
      </w:r>
      <w:r w:rsidR="00F5475B">
        <w:rPr>
          <w:rFonts w:ascii="Arial" w:hAnsi="Arial" w:cs="Arial"/>
          <w:sz w:val="22"/>
          <w:shd w:val="clear" w:color="auto" w:fill="FFFFFF"/>
        </w:rPr>
        <w:t>debe</w:t>
      </w:r>
      <w:r w:rsidR="00B3591B" w:rsidRPr="008E15F6">
        <w:rPr>
          <w:rFonts w:ascii="Arial" w:hAnsi="Arial" w:cs="Arial"/>
          <w:sz w:val="22"/>
          <w:shd w:val="clear" w:color="auto" w:fill="FFFFFF"/>
        </w:rPr>
        <w:t xml:space="preserve"> verifica</w:t>
      </w:r>
      <w:r w:rsidR="00F5475B">
        <w:rPr>
          <w:rFonts w:ascii="Arial" w:hAnsi="Arial" w:cs="Arial"/>
          <w:sz w:val="22"/>
          <w:shd w:val="clear" w:color="auto" w:fill="FFFFFF"/>
        </w:rPr>
        <w:t>rse</w:t>
      </w:r>
      <w:r w:rsidR="00B3591B" w:rsidRPr="008E15F6">
        <w:rPr>
          <w:rFonts w:ascii="Arial" w:hAnsi="Arial" w:cs="Arial"/>
          <w:sz w:val="22"/>
          <w:shd w:val="clear" w:color="auto" w:fill="FFFFFF"/>
        </w:rPr>
        <w:t xml:space="preserve"> respecto </w:t>
      </w:r>
      <w:r w:rsidR="00F5475B">
        <w:rPr>
          <w:rFonts w:ascii="Arial" w:hAnsi="Arial" w:cs="Arial"/>
          <w:sz w:val="22"/>
          <w:shd w:val="clear" w:color="auto" w:fill="FFFFFF"/>
        </w:rPr>
        <w:t>a</w:t>
      </w:r>
      <w:r w:rsidR="00B3591B" w:rsidRPr="008E15F6">
        <w:rPr>
          <w:rFonts w:ascii="Arial" w:hAnsi="Arial" w:cs="Arial"/>
          <w:sz w:val="22"/>
          <w:shd w:val="clear" w:color="auto" w:fill="FFFFFF"/>
        </w:rPr>
        <w:t xml:space="preserve"> la sumatoria de l</w:t>
      </w:r>
      <w:r w:rsidR="00561B40">
        <w:rPr>
          <w:rFonts w:ascii="Arial" w:hAnsi="Arial" w:cs="Arial"/>
          <w:sz w:val="22"/>
          <w:shd w:val="clear" w:color="auto" w:fill="FFFFFF"/>
        </w:rPr>
        <w:t>a</w:t>
      </w:r>
      <w:r w:rsidR="00B3591B" w:rsidRPr="008E15F6">
        <w:rPr>
          <w:rFonts w:ascii="Arial" w:hAnsi="Arial" w:cs="Arial"/>
          <w:sz w:val="22"/>
          <w:shd w:val="clear" w:color="auto" w:fill="FFFFFF"/>
        </w:rPr>
        <w:t xml:space="preserve"> CRPC de cada uno de los lotes a los que presentó oferta. Si el coeficiente de </w:t>
      </w:r>
      <w:r w:rsidR="00561B40">
        <w:rPr>
          <w:rFonts w:ascii="Arial" w:hAnsi="Arial" w:cs="Arial"/>
          <w:sz w:val="22"/>
          <w:shd w:val="clear" w:color="auto" w:fill="FFFFFF"/>
        </w:rPr>
        <w:t xml:space="preserve">la </w:t>
      </w:r>
      <w:r w:rsidR="00B3591B" w:rsidRPr="008E15F6">
        <w:rPr>
          <w:rFonts w:ascii="Arial" w:hAnsi="Arial" w:cs="Arial"/>
          <w:sz w:val="22"/>
          <w:shd w:val="clear" w:color="auto" w:fill="FFFFFF"/>
        </w:rPr>
        <w:t>CRP es superior a la sumatoria</w:t>
      </w:r>
      <w:r w:rsidR="00561B40">
        <w:rPr>
          <w:rFonts w:ascii="Arial" w:hAnsi="Arial" w:cs="Arial"/>
          <w:sz w:val="22"/>
          <w:shd w:val="clear" w:color="auto" w:fill="FFFFFF"/>
        </w:rPr>
        <w:t xml:space="preserve"> la</w:t>
      </w:r>
      <w:r w:rsidR="00B3591B" w:rsidRPr="008E15F6">
        <w:rPr>
          <w:rFonts w:ascii="Arial" w:hAnsi="Arial" w:cs="Arial"/>
          <w:sz w:val="22"/>
          <w:shd w:val="clear" w:color="auto" w:fill="FFFFFF"/>
        </w:rPr>
        <w:t xml:space="preserve"> CRPC de los lotes a los que presentó oferta, el proponente cumpliría con la capacidad residual exigida para cada lote. Si la CRP es inferior a la sumatoria de l</w:t>
      </w:r>
      <w:r w:rsidR="00561B40">
        <w:rPr>
          <w:rFonts w:ascii="Arial" w:hAnsi="Arial" w:cs="Arial"/>
          <w:sz w:val="22"/>
          <w:shd w:val="clear" w:color="auto" w:fill="FFFFFF"/>
        </w:rPr>
        <w:t>a</w:t>
      </w:r>
      <w:r w:rsidR="00B3591B" w:rsidRPr="008E15F6">
        <w:rPr>
          <w:rFonts w:ascii="Arial" w:hAnsi="Arial" w:cs="Arial"/>
          <w:sz w:val="22"/>
          <w:shd w:val="clear" w:color="auto" w:fill="FFFFFF"/>
        </w:rPr>
        <w:t xml:space="preserve"> CRPC de los lotes a los que el proponente presentó oferta, no será posible que este se habilite para todos estos</w:t>
      </w:r>
      <w:r w:rsidR="00E40005">
        <w:rPr>
          <w:rFonts w:ascii="Arial" w:hAnsi="Arial" w:cs="Arial"/>
          <w:sz w:val="22"/>
          <w:shd w:val="clear" w:color="auto" w:fill="FFFFFF"/>
        </w:rPr>
        <w:t>.</w:t>
      </w:r>
    </w:p>
    <w:p w14:paraId="7EA2789B" w14:textId="7F71B896" w:rsidR="00B3591B" w:rsidRPr="008E15F6" w:rsidRDefault="00803235" w:rsidP="00803235">
      <w:pPr>
        <w:tabs>
          <w:tab w:val="left" w:pos="426"/>
        </w:tabs>
        <w:spacing w:after="120" w:line="276" w:lineRule="auto"/>
        <w:jc w:val="both"/>
        <w:rPr>
          <w:rFonts w:ascii="Arial" w:hAnsi="Arial" w:cs="Arial"/>
          <w:shd w:val="clear" w:color="auto" w:fill="FFFFFF"/>
        </w:rPr>
      </w:pPr>
      <w:r w:rsidRPr="008E15F6">
        <w:rPr>
          <w:rFonts w:ascii="Arial" w:hAnsi="Arial" w:cs="Arial"/>
          <w:sz w:val="22"/>
          <w:shd w:val="clear" w:color="auto" w:fill="FFFFFF"/>
        </w:rPr>
        <w:tab/>
      </w:r>
      <w:r w:rsidR="00A23BD7" w:rsidRPr="008E15F6">
        <w:rPr>
          <w:rFonts w:ascii="Arial" w:hAnsi="Arial" w:cs="Arial"/>
          <w:sz w:val="22"/>
          <w:shd w:val="clear" w:color="auto" w:fill="FFFFFF"/>
        </w:rPr>
        <w:tab/>
      </w:r>
      <w:proofErr w:type="spellStart"/>
      <w:r w:rsidR="00B3591B" w:rsidRPr="008E15F6">
        <w:rPr>
          <w:rFonts w:ascii="Arial" w:hAnsi="Arial" w:cs="Arial"/>
          <w:sz w:val="22"/>
          <w:shd w:val="clear" w:color="auto" w:fill="FFFFFF"/>
        </w:rPr>
        <w:t>ii</w:t>
      </w:r>
      <w:proofErr w:type="spellEnd"/>
      <w:r w:rsidR="00B3591B" w:rsidRPr="008E15F6">
        <w:rPr>
          <w:rFonts w:ascii="Arial" w:hAnsi="Arial" w:cs="Arial"/>
          <w:sz w:val="22"/>
          <w:shd w:val="clear" w:color="auto" w:fill="FFFFFF"/>
        </w:rPr>
        <w:t xml:space="preserve">) </w:t>
      </w:r>
      <w:r w:rsidR="00E40005">
        <w:rPr>
          <w:rFonts w:ascii="Arial" w:hAnsi="Arial" w:cs="Arial"/>
          <w:sz w:val="22"/>
          <w:shd w:val="clear" w:color="auto" w:fill="FFFFFF"/>
        </w:rPr>
        <w:t>A</w:t>
      </w:r>
      <w:r w:rsidR="00B3591B" w:rsidRPr="008E15F6">
        <w:rPr>
          <w:rFonts w:ascii="Arial" w:hAnsi="Arial" w:cs="Arial"/>
          <w:sz w:val="22"/>
          <w:shd w:val="clear" w:color="auto" w:fill="FFFFFF"/>
        </w:rPr>
        <w:t xml:space="preserve">l no ser posible habilitar al proponente para todos los lotes en los que presentó oferta, la entidad deberá habilitarlo para los de mayor valor en los que cumple con </w:t>
      </w:r>
      <w:r w:rsidR="00561B40">
        <w:rPr>
          <w:rFonts w:ascii="Arial" w:hAnsi="Arial" w:cs="Arial"/>
          <w:sz w:val="22"/>
          <w:shd w:val="clear" w:color="auto" w:fill="FFFFFF"/>
        </w:rPr>
        <w:t>la</w:t>
      </w:r>
      <w:r w:rsidR="00B3591B" w:rsidRPr="008E15F6">
        <w:rPr>
          <w:rFonts w:ascii="Arial" w:hAnsi="Arial" w:cs="Arial"/>
          <w:sz w:val="22"/>
          <w:shd w:val="clear" w:color="auto" w:fill="FFFFFF"/>
        </w:rPr>
        <w:t xml:space="preserve"> CPRC. Esto no significa que deba prescindirse de la sumatoria, sino que para determinar </w:t>
      </w:r>
      <w:r w:rsidR="00E8779A" w:rsidRPr="008E15F6">
        <w:rPr>
          <w:rFonts w:ascii="Arial" w:hAnsi="Arial" w:cs="Arial"/>
          <w:sz w:val="22"/>
          <w:shd w:val="clear" w:color="auto" w:fill="FFFFFF"/>
        </w:rPr>
        <w:t>cuáles</w:t>
      </w:r>
      <w:r w:rsidR="00B3591B" w:rsidRPr="008E15F6">
        <w:rPr>
          <w:rFonts w:ascii="Arial" w:hAnsi="Arial" w:cs="Arial"/>
          <w:sz w:val="22"/>
          <w:shd w:val="clear" w:color="auto" w:fill="FFFFFF"/>
        </w:rPr>
        <w:t xml:space="preserve"> son los lotes de mayor valor respecto de los que el proponente cumpliría con la capacidad residual exigida, la entidad </w:t>
      </w:r>
      <w:r w:rsidR="00561B40">
        <w:rPr>
          <w:rFonts w:ascii="Arial" w:hAnsi="Arial" w:cs="Arial"/>
          <w:sz w:val="22"/>
          <w:shd w:val="clear" w:color="auto" w:fill="FFFFFF"/>
        </w:rPr>
        <w:t>debe descontar</w:t>
      </w:r>
      <w:r w:rsidR="00B3591B" w:rsidRPr="008E15F6">
        <w:rPr>
          <w:rFonts w:ascii="Arial" w:hAnsi="Arial" w:cs="Arial"/>
          <w:sz w:val="22"/>
          <w:shd w:val="clear" w:color="auto" w:fill="FFFFFF"/>
        </w:rPr>
        <w:t xml:space="preserve"> de la sumatoria todos los lotes en lo</w:t>
      </w:r>
      <w:r w:rsidR="00561B40">
        <w:rPr>
          <w:rFonts w:ascii="Arial" w:hAnsi="Arial" w:cs="Arial"/>
          <w:sz w:val="22"/>
          <w:shd w:val="clear" w:color="auto" w:fill="FFFFFF"/>
        </w:rPr>
        <w:t>s</w:t>
      </w:r>
      <w:r w:rsidR="00B3591B" w:rsidRPr="008E15F6">
        <w:rPr>
          <w:rFonts w:ascii="Arial" w:hAnsi="Arial" w:cs="Arial"/>
          <w:sz w:val="22"/>
          <w:shd w:val="clear" w:color="auto" w:fill="FFFFFF"/>
        </w:rPr>
        <w:t xml:space="preserve"> que se presentó oferta la CRPC de los lotes de menor valor, hasta llegar a un CPRC total inferior a la CRP acreditado por el proponente, quedando este únicamente habilitado para los lotes cuyo CPRC haya sido considerado en la evaluación de la capacidad residual. </w:t>
      </w:r>
    </w:p>
    <w:p w14:paraId="674A0A9C" w14:textId="1E10E4FA" w:rsidR="00072C4F" w:rsidRPr="008E15F6" w:rsidRDefault="00A23BD7" w:rsidP="00AD1529">
      <w:pPr>
        <w:tabs>
          <w:tab w:val="left" w:pos="426"/>
        </w:tabs>
        <w:spacing w:line="276" w:lineRule="auto"/>
        <w:jc w:val="both"/>
        <w:rPr>
          <w:rFonts w:ascii="Arial" w:hAnsi="Arial" w:cs="Arial"/>
          <w:sz w:val="22"/>
          <w:shd w:val="clear" w:color="auto" w:fill="FFFFFF"/>
        </w:rPr>
      </w:pPr>
      <w:r w:rsidRPr="008E15F6">
        <w:rPr>
          <w:rFonts w:ascii="Arial" w:hAnsi="Arial" w:cs="Arial"/>
          <w:sz w:val="22"/>
          <w:shd w:val="clear" w:color="auto" w:fill="FFFFFF"/>
        </w:rPr>
        <w:tab/>
      </w:r>
      <w:r w:rsidRPr="008E15F6">
        <w:rPr>
          <w:rFonts w:ascii="Arial" w:hAnsi="Arial" w:cs="Arial"/>
          <w:sz w:val="22"/>
          <w:shd w:val="clear" w:color="auto" w:fill="FFFFFF"/>
        </w:rPr>
        <w:tab/>
        <w:t xml:space="preserve">Ahora, si de acuerdo con el literal A del numeral 2.10 del </w:t>
      </w:r>
      <w:r w:rsidR="000C4C70" w:rsidRPr="008E15F6">
        <w:rPr>
          <w:rFonts w:ascii="Arial" w:hAnsi="Arial" w:cs="Arial"/>
          <w:sz w:val="22"/>
          <w:shd w:val="clear" w:color="auto" w:fill="FFFFFF"/>
        </w:rPr>
        <w:t>documento base</w:t>
      </w:r>
      <w:r w:rsidRPr="008E15F6">
        <w:rPr>
          <w:rFonts w:ascii="Arial" w:hAnsi="Arial" w:cs="Arial"/>
          <w:sz w:val="22"/>
          <w:shd w:val="clear" w:color="auto" w:fill="FFFFFF"/>
        </w:rPr>
        <w:t>, la entidad determina, en principio, la posibilidad de que los proponentes presenten ofertas para varios lotes, pero solo de ser adjudicatarios en uno, deberá incluir en el pliego de condiciones el literal F del referido numeral</w:t>
      </w:r>
      <w:r w:rsidR="00072C4F" w:rsidRPr="008E15F6">
        <w:rPr>
          <w:rFonts w:ascii="Arial" w:hAnsi="Arial" w:cs="Arial"/>
          <w:sz w:val="22"/>
          <w:shd w:val="clear" w:color="auto" w:fill="FFFFFF"/>
        </w:rPr>
        <w:t>, el cual establece lo siguiente:</w:t>
      </w:r>
    </w:p>
    <w:p w14:paraId="37C17940" w14:textId="77777777" w:rsidR="00AD1529" w:rsidRPr="008E15F6" w:rsidRDefault="00AD1529" w:rsidP="00AD1529">
      <w:pPr>
        <w:tabs>
          <w:tab w:val="left" w:pos="426"/>
        </w:tabs>
        <w:spacing w:line="276" w:lineRule="auto"/>
        <w:jc w:val="both"/>
        <w:rPr>
          <w:rFonts w:ascii="Arial" w:hAnsi="Arial" w:cs="Arial"/>
          <w:sz w:val="22"/>
          <w:shd w:val="clear" w:color="auto" w:fill="FFFFFF"/>
        </w:rPr>
      </w:pPr>
    </w:p>
    <w:p w14:paraId="032EF7FD" w14:textId="0769F48C" w:rsidR="00072C4F" w:rsidRPr="008E15F6" w:rsidRDefault="00AD1529" w:rsidP="007F70E0">
      <w:pPr>
        <w:tabs>
          <w:tab w:val="left" w:pos="426"/>
        </w:tabs>
        <w:ind w:left="709" w:right="709"/>
        <w:jc w:val="both"/>
        <w:rPr>
          <w:rFonts w:ascii="Arial" w:hAnsi="Arial" w:cs="Arial"/>
          <w:sz w:val="21"/>
          <w:szCs w:val="21"/>
          <w:shd w:val="clear" w:color="auto" w:fill="FFFFFF"/>
        </w:rPr>
      </w:pPr>
      <w:r w:rsidRPr="008E15F6">
        <w:rPr>
          <w:rFonts w:ascii="Arial" w:hAnsi="Arial" w:cs="Arial"/>
          <w:sz w:val="21"/>
          <w:szCs w:val="21"/>
          <w:shd w:val="clear" w:color="auto" w:fill="FFFFFF"/>
        </w:rPr>
        <w:t>F.</w:t>
      </w:r>
      <w:r w:rsidRPr="008E15F6">
        <w:rPr>
          <w:rFonts w:ascii="Arial" w:hAnsi="Arial" w:cs="Arial"/>
          <w:sz w:val="21"/>
          <w:szCs w:val="21"/>
          <w:shd w:val="clear" w:color="auto" w:fill="FFFFFF"/>
        </w:rPr>
        <w:tab/>
        <w:t>[Incluir cuando la Entidad no haya establecido la posibilidad de resultar adjudicatario de más de un lote o grupo] El Proponente ganador deberá incluirse en los demás ordenes de elegibilidad en los cuales se encuentre habilitado y de resultar ubicado en el primer orden de elegibilidad de estos lotes se adjudicará al Proponente ubicado en el segundo orden de elegibilidad, y así sucesivamente. En los eventos en los cuales no existan Proponentes a quienes adjudicar los lotes o grupos restantes del Proceso de Contratación se podrá adjudicar a un mismo Proponente más de dos (2) lotes o grupos, siempre y cuando cumpla con los requisitos establecidos en el pliego de condiciones.</w:t>
      </w:r>
    </w:p>
    <w:p w14:paraId="312C8439" w14:textId="77777777" w:rsidR="007F70E0" w:rsidRPr="008E15F6" w:rsidRDefault="007F70E0" w:rsidP="007F70E0">
      <w:pPr>
        <w:tabs>
          <w:tab w:val="left" w:pos="426"/>
        </w:tabs>
        <w:spacing w:line="276" w:lineRule="auto"/>
        <w:jc w:val="both"/>
        <w:rPr>
          <w:rFonts w:ascii="Arial" w:hAnsi="Arial" w:cs="Arial"/>
          <w:sz w:val="22"/>
          <w:shd w:val="clear" w:color="auto" w:fill="FFFFFF"/>
        </w:rPr>
      </w:pPr>
    </w:p>
    <w:p w14:paraId="5DD1B81C" w14:textId="28FA9B82" w:rsidR="00A23BD7" w:rsidRPr="008E15F6" w:rsidRDefault="00AD1529" w:rsidP="00AD1529">
      <w:pPr>
        <w:tabs>
          <w:tab w:val="left" w:pos="426"/>
        </w:tabs>
        <w:spacing w:after="120" w:line="276" w:lineRule="auto"/>
        <w:jc w:val="both"/>
        <w:rPr>
          <w:rFonts w:ascii="Arial" w:hAnsi="Arial" w:cs="Arial"/>
          <w:sz w:val="22"/>
        </w:rPr>
      </w:pPr>
      <w:r w:rsidRPr="008E15F6">
        <w:rPr>
          <w:rFonts w:ascii="Arial" w:hAnsi="Arial" w:cs="Arial"/>
          <w:sz w:val="22"/>
          <w:shd w:val="clear" w:color="auto" w:fill="FFFFFF"/>
        </w:rPr>
        <w:tab/>
      </w:r>
      <w:r w:rsidRPr="008E15F6">
        <w:rPr>
          <w:rFonts w:ascii="Arial" w:hAnsi="Arial" w:cs="Arial"/>
          <w:sz w:val="22"/>
          <w:shd w:val="clear" w:color="auto" w:fill="FFFFFF"/>
        </w:rPr>
        <w:tab/>
      </w:r>
      <w:r w:rsidR="00A23BD7" w:rsidRPr="008E15F6">
        <w:rPr>
          <w:rFonts w:ascii="Arial" w:hAnsi="Arial" w:cs="Arial"/>
          <w:sz w:val="22"/>
          <w:shd w:val="clear" w:color="auto" w:fill="FFFFFF"/>
        </w:rPr>
        <w:t>Conforme se desprende de</w:t>
      </w:r>
      <w:r w:rsidRPr="008E15F6">
        <w:rPr>
          <w:rFonts w:ascii="Arial" w:hAnsi="Arial" w:cs="Arial"/>
          <w:sz w:val="22"/>
          <w:shd w:val="clear" w:color="auto" w:fill="FFFFFF"/>
        </w:rPr>
        <w:t xml:space="preserve">l </w:t>
      </w:r>
      <w:r w:rsidR="00A23BD7" w:rsidRPr="008E15F6">
        <w:rPr>
          <w:rFonts w:ascii="Arial" w:hAnsi="Arial" w:cs="Arial"/>
          <w:sz w:val="22"/>
          <w:shd w:val="clear" w:color="auto" w:fill="FFFFFF"/>
        </w:rPr>
        <w:t>literal</w:t>
      </w:r>
      <w:r w:rsidRPr="008E15F6">
        <w:rPr>
          <w:rFonts w:ascii="Arial" w:hAnsi="Arial" w:cs="Arial"/>
          <w:sz w:val="22"/>
          <w:shd w:val="clear" w:color="auto" w:fill="FFFFFF"/>
        </w:rPr>
        <w:t xml:space="preserve"> transcrito</w:t>
      </w:r>
      <w:r w:rsidR="00A23BD7" w:rsidRPr="008E15F6">
        <w:rPr>
          <w:rFonts w:ascii="Arial" w:hAnsi="Arial" w:cs="Arial"/>
          <w:sz w:val="22"/>
          <w:shd w:val="clear" w:color="auto" w:fill="FFFFFF"/>
        </w:rPr>
        <w:t>,</w:t>
      </w:r>
      <w:r w:rsidR="007C5BE8" w:rsidRPr="008E15F6">
        <w:rPr>
          <w:rFonts w:ascii="Arial" w:hAnsi="Arial" w:cs="Arial"/>
          <w:sz w:val="22"/>
          <w:shd w:val="clear" w:color="auto" w:fill="FFFFFF"/>
        </w:rPr>
        <w:t xml:space="preserve"> a pesar de que la entidad haya determinado en principio que solo podrá adjudicarse un lote por </w:t>
      </w:r>
      <w:r w:rsidR="00CB44D7" w:rsidRPr="008E15F6">
        <w:rPr>
          <w:rFonts w:ascii="Arial" w:hAnsi="Arial" w:cs="Arial"/>
          <w:sz w:val="22"/>
          <w:shd w:val="clear" w:color="auto" w:fill="FFFFFF"/>
        </w:rPr>
        <w:t xml:space="preserve">proponente, eventualmente, </w:t>
      </w:r>
      <w:r w:rsidR="00A23BD7" w:rsidRPr="008E15F6">
        <w:rPr>
          <w:rFonts w:ascii="Arial" w:hAnsi="Arial" w:cs="Arial"/>
          <w:sz w:val="22"/>
          <w:shd w:val="clear" w:color="auto" w:fill="FFFFFF"/>
        </w:rPr>
        <w:t>el proponente que resulte adjudicatario de un lote podrá ser adjudicatario de otro lote en el que se encuentre «habilitado» si no existen más proponentes a los cuales adjudicar, «</w:t>
      </w:r>
      <w:r w:rsidR="00A23BD7" w:rsidRPr="008E15F6">
        <w:rPr>
          <w:rFonts w:ascii="Arial" w:hAnsi="Arial" w:cs="Arial"/>
          <w:sz w:val="22"/>
        </w:rPr>
        <w:t>siempre y cuando cumpla con los requisitos establecidos en el pliego de condiciones».</w:t>
      </w:r>
    </w:p>
    <w:p w14:paraId="3E8AF8A2" w14:textId="3CA73EEB" w:rsidR="00A23BD7" w:rsidRPr="008E15F6" w:rsidRDefault="00CB44D7" w:rsidP="00CB44D7">
      <w:pPr>
        <w:tabs>
          <w:tab w:val="left" w:pos="426"/>
        </w:tabs>
        <w:spacing w:after="120" w:line="276" w:lineRule="auto"/>
        <w:jc w:val="both"/>
        <w:rPr>
          <w:rFonts w:ascii="Arial" w:hAnsi="Arial" w:cs="Arial"/>
          <w:sz w:val="22"/>
        </w:rPr>
      </w:pPr>
      <w:r w:rsidRPr="008E15F6">
        <w:rPr>
          <w:rFonts w:ascii="Arial" w:hAnsi="Arial" w:cs="Arial"/>
          <w:sz w:val="22"/>
        </w:rPr>
        <w:tab/>
      </w:r>
      <w:r w:rsidRPr="008E15F6">
        <w:rPr>
          <w:rFonts w:ascii="Arial" w:hAnsi="Arial" w:cs="Arial"/>
          <w:sz w:val="22"/>
        </w:rPr>
        <w:tab/>
      </w:r>
      <w:r w:rsidR="00A23BD7" w:rsidRPr="008E15F6">
        <w:rPr>
          <w:rFonts w:ascii="Arial" w:hAnsi="Arial" w:cs="Arial"/>
          <w:sz w:val="22"/>
        </w:rPr>
        <w:t xml:space="preserve">Tales </w:t>
      </w:r>
      <w:r w:rsidR="004E4AB7" w:rsidRPr="008E15F6">
        <w:rPr>
          <w:rFonts w:ascii="Arial" w:hAnsi="Arial" w:cs="Arial"/>
          <w:sz w:val="22"/>
        </w:rPr>
        <w:t>requisitos</w:t>
      </w:r>
      <w:r w:rsidR="00A23BD7" w:rsidRPr="008E15F6">
        <w:rPr>
          <w:rFonts w:ascii="Arial" w:hAnsi="Arial" w:cs="Arial"/>
          <w:sz w:val="22"/>
        </w:rPr>
        <w:t xml:space="preserve"> suponen que para que el proponente pueda ser adjudicatario de ese lote adicional, tenga que estar habilitado para dicho lote, lo que implica presenta</w:t>
      </w:r>
      <w:r w:rsidR="00FC512C">
        <w:rPr>
          <w:rFonts w:ascii="Arial" w:hAnsi="Arial" w:cs="Arial"/>
          <w:sz w:val="22"/>
        </w:rPr>
        <w:t>r la</w:t>
      </w:r>
      <w:r w:rsidR="00A23BD7" w:rsidRPr="008E15F6">
        <w:rPr>
          <w:rFonts w:ascii="Arial" w:hAnsi="Arial" w:cs="Arial"/>
          <w:sz w:val="22"/>
        </w:rPr>
        <w:t xml:space="preserve"> oferta y cumplir con los requisitos habilitantes, entre estos la capacidad residual. Al respecto, si bien no es aplicable el literal H del numeral 2.10, es</w:t>
      </w:r>
      <w:r w:rsidR="00FC512C">
        <w:rPr>
          <w:rFonts w:ascii="Arial" w:hAnsi="Arial" w:cs="Arial"/>
          <w:sz w:val="22"/>
        </w:rPr>
        <w:t xml:space="preserve"> exigible</w:t>
      </w:r>
      <w:r w:rsidR="00A23BD7" w:rsidRPr="008E15F6">
        <w:rPr>
          <w:rFonts w:ascii="Arial" w:hAnsi="Arial" w:cs="Arial"/>
          <w:sz w:val="22"/>
        </w:rPr>
        <w:t xml:space="preserve"> la regla contenida en el inciso final del numeral 3.11, la cual contiene las dos subreglas antes </w:t>
      </w:r>
      <w:r w:rsidR="00FC512C">
        <w:rPr>
          <w:rFonts w:ascii="Arial" w:hAnsi="Arial" w:cs="Arial"/>
          <w:sz w:val="22"/>
        </w:rPr>
        <w:t>explicadas</w:t>
      </w:r>
      <w:r w:rsidR="00A23BD7" w:rsidRPr="008E15F6">
        <w:rPr>
          <w:rFonts w:ascii="Arial" w:hAnsi="Arial" w:cs="Arial"/>
          <w:sz w:val="22"/>
        </w:rPr>
        <w:t xml:space="preserve">. </w:t>
      </w:r>
    </w:p>
    <w:p w14:paraId="35E957DD" w14:textId="77257EEE" w:rsidR="00A23BD7" w:rsidRPr="008E15F6" w:rsidRDefault="005214E4" w:rsidP="005214E4">
      <w:pPr>
        <w:tabs>
          <w:tab w:val="left" w:pos="426"/>
        </w:tabs>
        <w:spacing w:after="120" w:line="276" w:lineRule="auto"/>
        <w:jc w:val="both"/>
        <w:rPr>
          <w:rFonts w:ascii="Arial" w:hAnsi="Arial" w:cs="Arial"/>
          <w:sz w:val="22"/>
        </w:rPr>
      </w:pPr>
      <w:r w:rsidRPr="008E15F6">
        <w:rPr>
          <w:rFonts w:ascii="Arial" w:hAnsi="Arial" w:cs="Arial"/>
          <w:sz w:val="22"/>
        </w:rPr>
        <w:lastRenderedPageBreak/>
        <w:tab/>
      </w:r>
      <w:r w:rsidRPr="008E15F6">
        <w:rPr>
          <w:rFonts w:ascii="Arial" w:hAnsi="Arial" w:cs="Arial"/>
          <w:sz w:val="22"/>
        </w:rPr>
        <w:tab/>
      </w:r>
      <w:r w:rsidR="00A23BD7" w:rsidRPr="008E15F6">
        <w:rPr>
          <w:rFonts w:ascii="Arial" w:hAnsi="Arial" w:cs="Arial"/>
          <w:sz w:val="22"/>
        </w:rPr>
        <w:t>Esto significa que para que un proponente, en virtud de lo dispuesto en el numeral 2.10, literal F, pueda ser adjudicatario de un lote adicional, deb</w:t>
      </w:r>
      <w:r w:rsidR="00FC512C">
        <w:rPr>
          <w:rFonts w:ascii="Arial" w:hAnsi="Arial" w:cs="Arial"/>
          <w:sz w:val="22"/>
        </w:rPr>
        <w:t>e</w:t>
      </w:r>
      <w:r w:rsidR="00A23BD7" w:rsidRPr="008E15F6">
        <w:rPr>
          <w:rFonts w:ascii="Arial" w:hAnsi="Arial" w:cs="Arial"/>
          <w:sz w:val="22"/>
        </w:rPr>
        <w:t xml:space="preserve"> estar habilitado en lo que a la capacidad residual de ese lote respecta</w:t>
      </w:r>
      <w:r w:rsidR="00CD1EEE" w:rsidRPr="008E15F6">
        <w:rPr>
          <w:rFonts w:ascii="Arial" w:hAnsi="Arial" w:cs="Arial"/>
          <w:sz w:val="22"/>
        </w:rPr>
        <w:t xml:space="preserve">. Esto </w:t>
      </w:r>
      <w:r w:rsidR="00A23BD7" w:rsidRPr="008E15F6">
        <w:rPr>
          <w:rFonts w:ascii="Arial" w:hAnsi="Arial" w:cs="Arial"/>
          <w:sz w:val="22"/>
        </w:rPr>
        <w:t>supone que su CRP sea mayor a la sumatoria de los CRPC del lote inicialmente adjudicado y la del lote en el que se ha determinado la inexistencia de otros proponentes a los cuales adjudicar, independientemente de que haya sido habilitado o no en otros lotes en los que</w:t>
      </w:r>
      <w:r w:rsidR="0024744E" w:rsidRPr="008E15F6">
        <w:rPr>
          <w:rFonts w:ascii="Arial" w:hAnsi="Arial" w:cs="Arial"/>
          <w:sz w:val="22"/>
        </w:rPr>
        <w:t xml:space="preserve"> haya</w:t>
      </w:r>
      <w:r w:rsidR="00A23BD7" w:rsidRPr="008E15F6">
        <w:rPr>
          <w:rFonts w:ascii="Arial" w:hAnsi="Arial" w:cs="Arial"/>
          <w:sz w:val="22"/>
        </w:rPr>
        <w:t xml:space="preserve"> present</w:t>
      </w:r>
      <w:r w:rsidR="0024744E" w:rsidRPr="008E15F6">
        <w:rPr>
          <w:rFonts w:ascii="Arial" w:hAnsi="Arial" w:cs="Arial"/>
          <w:sz w:val="22"/>
        </w:rPr>
        <w:t>ado</w:t>
      </w:r>
      <w:r w:rsidR="00A23BD7" w:rsidRPr="008E15F6">
        <w:rPr>
          <w:rFonts w:ascii="Arial" w:hAnsi="Arial" w:cs="Arial"/>
          <w:sz w:val="22"/>
        </w:rPr>
        <w:t xml:space="preserve"> oferta</w:t>
      </w:r>
      <w:r w:rsidR="0024744E" w:rsidRPr="008E15F6">
        <w:rPr>
          <w:rFonts w:ascii="Arial" w:hAnsi="Arial" w:cs="Arial"/>
          <w:sz w:val="22"/>
        </w:rPr>
        <w:t>,</w:t>
      </w:r>
      <w:r w:rsidR="00A23BD7" w:rsidRPr="008E15F6">
        <w:rPr>
          <w:rFonts w:ascii="Arial" w:hAnsi="Arial" w:cs="Arial"/>
          <w:sz w:val="22"/>
        </w:rPr>
        <w:t xml:space="preserve"> conforme </w:t>
      </w:r>
      <w:r w:rsidR="00A07A5E" w:rsidRPr="008E15F6">
        <w:rPr>
          <w:rFonts w:ascii="Arial" w:hAnsi="Arial" w:cs="Arial"/>
          <w:sz w:val="22"/>
        </w:rPr>
        <w:t xml:space="preserve">se desprende </w:t>
      </w:r>
      <w:r w:rsidR="005250AD" w:rsidRPr="008E15F6">
        <w:rPr>
          <w:rFonts w:ascii="Arial" w:hAnsi="Arial" w:cs="Arial"/>
          <w:sz w:val="22"/>
        </w:rPr>
        <w:t xml:space="preserve">de </w:t>
      </w:r>
      <w:r w:rsidR="00A07A5E" w:rsidRPr="008E15F6">
        <w:rPr>
          <w:rFonts w:ascii="Arial" w:hAnsi="Arial" w:cs="Arial"/>
          <w:sz w:val="22"/>
        </w:rPr>
        <w:t>la aplicación de la</w:t>
      </w:r>
      <w:r w:rsidR="00A23BD7" w:rsidRPr="008E15F6">
        <w:rPr>
          <w:rFonts w:ascii="Arial" w:hAnsi="Arial" w:cs="Arial"/>
          <w:sz w:val="22"/>
        </w:rPr>
        <w:t xml:space="preserve"> segunda subregla. </w:t>
      </w:r>
    </w:p>
    <w:p w14:paraId="17E9CFAD" w14:textId="0DE91B3C" w:rsidR="0005664C" w:rsidRPr="008E15F6" w:rsidRDefault="00732AB2" w:rsidP="00AF6A24">
      <w:pPr>
        <w:tabs>
          <w:tab w:val="left" w:pos="426"/>
        </w:tabs>
        <w:spacing w:line="276" w:lineRule="auto"/>
        <w:jc w:val="both"/>
        <w:rPr>
          <w:rFonts w:ascii="Arial" w:hAnsi="Arial" w:cs="Arial"/>
          <w:sz w:val="22"/>
          <w:shd w:val="clear" w:color="auto" w:fill="FFFFFF"/>
        </w:rPr>
      </w:pPr>
      <w:r w:rsidRPr="008E15F6">
        <w:rPr>
          <w:rFonts w:ascii="Arial" w:hAnsi="Arial" w:cs="Arial"/>
          <w:sz w:val="22"/>
          <w:shd w:val="clear" w:color="auto" w:fill="FFFFFF"/>
        </w:rPr>
        <w:tab/>
      </w:r>
      <w:r w:rsidR="00C42E7C" w:rsidRPr="008E15F6">
        <w:rPr>
          <w:rFonts w:ascii="Arial" w:hAnsi="Arial" w:cs="Arial"/>
          <w:sz w:val="22"/>
          <w:shd w:val="clear" w:color="auto" w:fill="FFFFFF"/>
        </w:rPr>
        <w:tab/>
      </w:r>
      <w:r w:rsidRPr="008E15F6">
        <w:rPr>
          <w:rFonts w:ascii="Arial" w:hAnsi="Arial" w:cs="Arial"/>
          <w:sz w:val="22"/>
          <w:shd w:val="clear" w:color="auto" w:fill="FFFFFF"/>
        </w:rPr>
        <w:t xml:space="preserve">De acuerdo con lo anterior, independientemente de que la entidad estatal </w:t>
      </w:r>
      <w:r w:rsidR="000C4C70">
        <w:rPr>
          <w:rFonts w:ascii="Arial" w:hAnsi="Arial" w:cs="Arial"/>
          <w:sz w:val="22"/>
          <w:shd w:val="clear" w:color="auto" w:fill="FFFFFF"/>
        </w:rPr>
        <w:t>disponga</w:t>
      </w:r>
      <w:r w:rsidR="00A37288" w:rsidRPr="008E15F6">
        <w:rPr>
          <w:rFonts w:ascii="Arial" w:hAnsi="Arial" w:cs="Arial"/>
          <w:sz w:val="22"/>
          <w:shd w:val="clear" w:color="auto" w:fill="FFFFFF"/>
        </w:rPr>
        <w:t xml:space="preserve"> que solo se puede ser adjudicatario de un lote, de permitirse la presentación de ofertas para varios lotes o en el caso que </w:t>
      </w:r>
      <w:r w:rsidR="0085560A" w:rsidRPr="008E15F6">
        <w:rPr>
          <w:rFonts w:ascii="Arial" w:hAnsi="Arial" w:cs="Arial"/>
          <w:sz w:val="22"/>
          <w:shd w:val="clear" w:color="auto" w:fill="FFFFFF"/>
        </w:rPr>
        <w:t xml:space="preserve">un proponente presente ofertas para varios lotes, </w:t>
      </w:r>
      <w:r w:rsidR="00514569" w:rsidRPr="008E15F6">
        <w:rPr>
          <w:rFonts w:ascii="Arial" w:hAnsi="Arial" w:cs="Arial"/>
          <w:sz w:val="22"/>
          <w:shd w:val="clear" w:color="auto" w:fill="FFFFFF"/>
        </w:rPr>
        <w:t xml:space="preserve">para determinar </w:t>
      </w:r>
      <w:r w:rsidR="00F32B45" w:rsidRPr="008E15F6">
        <w:rPr>
          <w:rFonts w:ascii="Arial" w:hAnsi="Arial" w:cs="Arial"/>
          <w:sz w:val="22"/>
          <w:shd w:val="clear" w:color="auto" w:fill="FFFFFF"/>
        </w:rPr>
        <w:t xml:space="preserve">si este se encuentra habilitado, en lo que </w:t>
      </w:r>
      <w:r w:rsidR="000C4C70">
        <w:rPr>
          <w:rFonts w:ascii="Arial" w:hAnsi="Arial" w:cs="Arial"/>
          <w:sz w:val="22"/>
          <w:shd w:val="clear" w:color="auto" w:fill="FFFFFF"/>
        </w:rPr>
        <w:t xml:space="preserve">se refiere </w:t>
      </w:r>
      <w:r w:rsidR="00F32B45" w:rsidRPr="008E15F6">
        <w:rPr>
          <w:rFonts w:ascii="Arial" w:hAnsi="Arial" w:cs="Arial"/>
          <w:sz w:val="22"/>
          <w:shd w:val="clear" w:color="auto" w:fill="FFFFFF"/>
        </w:rPr>
        <w:t>a la capacidad residual</w:t>
      </w:r>
      <w:r w:rsidR="00744761" w:rsidRPr="008E15F6">
        <w:rPr>
          <w:rFonts w:ascii="Arial" w:hAnsi="Arial" w:cs="Arial"/>
          <w:sz w:val="22"/>
          <w:shd w:val="clear" w:color="auto" w:fill="FFFFFF"/>
        </w:rPr>
        <w:t xml:space="preserve">, </w:t>
      </w:r>
      <w:r w:rsidR="006D3BCF" w:rsidRPr="008E15F6">
        <w:rPr>
          <w:rFonts w:ascii="Arial" w:hAnsi="Arial" w:cs="Arial"/>
          <w:sz w:val="22"/>
          <w:shd w:val="clear" w:color="auto" w:fill="FFFFFF"/>
        </w:rPr>
        <w:t>deberá determinarse si la C</w:t>
      </w:r>
      <w:r w:rsidR="00B65113" w:rsidRPr="008E15F6">
        <w:rPr>
          <w:rFonts w:ascii="Arial" w:hAnsi="Arial" w:cs="Arial"/>
          <w:sz w:val="22"/>
          <w:shd w:val="clear" w:color="auto" w:fill="FFFFFF"/>
        </w:rPr>
        <w:t>RP es superior a la sumatoria de los coeficientes de CRPC de los lotes a los que h</w:t>
      </w:r>
      <w:r w:rsidR="001C2975" w:rsidRPr="008E15F6">
        <w:rPr>
          <w:rFonts w:ascii="Arial" w:hAnsi="Arial" w:cs="Arial"/>
          <w:sz w:val="22"/>
          <w:shd w:val="clear" w:color="auto" w:fill="FFFFFF"/>
        </w:rPr>
        <w:t xml:space="preserve">aya presentado oferta. </w:t>
      </w:r>
      <w:r w:rsidR="00823649" w:rsidRPr="008E15F6">
        <w:rPr>
          <w:rFonts w:ascii="Arial" w:hAnsi="Arial" w:cs="Arial"/>
          <w:sz w:val="22"/>
          <w:shd w:val="clear" w:color="auto" w:fill="FFFFFF"/>
        </w:rPr>
        <w:t xml:space="preserve">De no cumplirse con lo anterior, la entidad estatal deberá </w:t>
      </w:r>
      <w:r w:rsidR="00C63E3D" w:rsidRPr="008E15F6">
        <w:rPr>
          <w:rFonts w:ascii="Arial" w:hAnsi="Arial" w:cs="Arial"/>
          <w:sz w:val="22"/>
          <w:shd w:val="clear" w:color="auto" w:fill="FFFFFF"/>
        </w:rPr>
        <w:t>descontar los lotes de menor valor, y habilitar al proponente para los lotes de mayor valor cuyos C</w:t>
      </w:r>
      <w:r w:rsidR="008713DF" w:rsidRPr="008E15F6">
        <w:rPr>
          <w:rFonts w:ascii="Arial" w:hAnsi="Arial" w:cs="Arial"/>
          <w:sz w:val="22"/>
          <w:shd w:val="clear" w:color="auto" w:fill="FFFFFF"/>
        </w:rPr>
        <w:t>RPC sumados sean inferiores al CRP del oferente</w:t>
      </w:r>
      <w:r w:rsidR="00870067" w:rsidRPr="008E15F6">
        <w:rPr>
          <w:rFonts w:ascii="Arial" w:hAnsi="Arial" w:cs="Arial"/>
          <w:sz w:val="22"/>
          <w:shd w:val="clear" w:color="auto" w:fill="FFFFFF"/>
        </w:rPr>
        <w:t xml:space="preserve">. </w:t>
      </w:r>
    </w:p>
    <w:p w14:paraId="4AB16488" w14:textId="3448EFD5" w:rsidR="00084DC0" w:rsidRPr="008E15F6" w:rsidRDefault="00084DC0" w:rsidP="009C15BE">
      <w:pPr>
        <w:spacing w:line="276" w:lineRule="auto"/>
        <w:jc w:val="both"/>
        <w:rPr>
          <w:rFonts w:ascii="Arial" w:eastAsia="Calibri" w:hAnsi="Arial" w:cs="Arial"/>
          <w:b/>
          <w:sz w:val="22"/>
        </w:rPr>
      </w:pPr>
      <w:r w:rsidRPr="008E15F6">
        <w:rPr>
          <w:rFonts w:ascii="Arial" w:hAnsi="Arial" w:cs="Arial"/>
          <w:sz w:val="22"/>
          <w:lang w:val="es-CO"/>
        </w:rPr>
        <w:tab/>
      </w:r>
    </w:p>
    <w:p w14:paraId="126AA068" w14:textId="77777777" w:rsidR="00084DC0" w:rsidRPr="008E15F6" w:rsidRDefault="00084DC0" w:rsidP="00084DC0">
      <w:pPr>
        <w:pStyle w:val="Prrafodelista"/>
        <w:numPr>
          <w:ilvl w:val="0"/>
          <w:numId w:val="6"/>
        </w:numPr>
        <w:tabs>
          <w:tab w:val="left" w:pos="284"/>
        </w:tabs>
        <w:spacing w:line="276" w:lineRule="auto"/>
        <w:ind w:left="0" w:firstLine="0"/>
        <w:jc w:val="both"/>
        <w:rPr>
          <w:rFonts w:ascii="Arial" w:eastAsia="Calibri" w:hAnsi="Arial" w:cs="Arial"/>
          <w:sz w:val="22"/>
        </w:rPr>
      </w:pPr>
      <w:r w:rsidRPr="008E15F6">
        <w:rPr>
          <w:rFonts w:ascii="Arial" w:eastAsia="Calibri" w:hAnsi="Arial" w:cs="Arial"/>
          <w:b/>
          <w:sz w:val="22"/>
        </w:rPr>
        <w:t>Respuestas</w:t>
      </w:r>
    </w:p>
    <w:p w14:paraId="1F9877F2" w14:textId="77777777" w:rsidR="00084DC0" w:rsidRPr="008E15F6" w:rsidRDefault="00084DC0" w:rsidP="005250AD">
      <w:pPr>
        <w:ind w:right="709"/>
        <w:jc w:val="both"/>
        <w:rPr>
          <w:rFonts w:ascii="Arial" w:eastAsia="Calibri" w:hAnsi="Arial" w:cs="Arial"/>
          <w:iCs/>
          <w:sz w:val="22"/>
        </w:rPr>
      </w:pPr>
    </w:p>
    <w:p w14:paraId="2198A4CD" w14:textId="534AF993" w:rsidR="009C15BE" w:rsidRPr="008E15F6" w:rsidRDefault="002B7A86" w:rsidP="005250AD">
      <w:pPr>
        <w:ind w:left="709" w:right="709"/>
        <w:jc w:val="both"/>
        <w:rPr>
          <w:rFonts w:ascii="Arial" w:eastAsia="Calibri" w:hAnsi="Arial" w:cs="Arial"/>
          <w:bCs/>
          <w:sz w:val="22"/>
        </w:rPr>
      </w:pPr>
      <w:r w:rsidRPr="002B7A86">
        <w:rPr>
          <w:rFonts w:ascii="Arial" w:eastAsia="Calibri" w:hAnsi="Arial" w:cs="Arial"/>
          <w:bCs/>
          <w:sz w:val="22"/>
        </w:rPr>
        <w:t>Para efectos de los «Documentos Tipo – Versión 2» para licitación de obra pública de infraestructura de transporte, pregunta cómo debe evaluarse la capacidad residual en procedimientos de selección estructurados por lotes o grupos en los que los proponentes solo puedan ser adjudicatarios de un lote.</w:t>
      </w:r>
    </w:p>
    <w:p w14:paraId="5634D8B4" w14:textId="77777777" w:rsidR="005250AD" w:rsidRPr="008E15F6" w:rsidRDefault="005250AD" w:rsidP="005250AD">
      <w:pPr>
        <w:ind w:left="709" w:right="709"/>
        <w:jc w:val="both"/>
        <w:rPr>
          <w:rFonts w:ascii="Arial" w:eastAsia="Calibri" w:hAnsi="Arial" w:cs="Arial"/>
          <w:sz w:val="22"/>
        </w:rPr>
      </w:pPr>
    </w:p>
    <w:p w14:paraId="3F08B03F" w14:textId="66038F8C" w:rsidR="00057C9C" w:rsidRPr="008E15F6" w:rsidRDefault="00057C9C" w:rsidP="00057C9C">
      <w:pPr>
        <w:spacing w:after="120" w:line="276" w:lineRule="auto"/>
        <w:jc w:val="both"/>
        <w:rPr>
          <w:rFonts w:ascii="Arial" w:eastAsia="Calibri" w:hAnsi="Arial" w:cs="Arial"/>
          <w:sz w:val="22"/>
        </w:rPr>
      </w:pPr>
      <w:r w:rsidRPr="008E15F6">
        <w:rPr>
          <w:rFonts w:ascii="Arial" w:eastAsia="Calibri" w:hAnsi="Arial" w:cs="Arial"/>
          <w:sz w:val="22"/>
        </w:rPr>
        <w:t>En los procesos de licitación de obra pública de infraestructura de transporte</w:t>
      </w:r>
      <w:r w:rsidR="00DE4788" w:rsidRPr="008E15F6">
        <w:rPr>
          <w:rFonts w:ascii="Arial" w:eastAsia="Calibri" w:hAnsi="Arial" w:cs="Arial"/>
          <w:sz w:val="22"/>
        </w:rPr>
        <w:t xml:space="preserve"> adelantados con </w:t>
      </w:r>
      <w:r w:rsidR="00DE38B9">
        <w:rPr>
          <w:rFonts w:ascii="Arial" w:eastAsia="Calibri" w:hAnsi="Arial" w:cs="Arial"/>
          <w:sz w:val="22"/>
        </w:rPr>
        <w:t>los «</w:t>
      </w:r>
      <w:r w:rsidR="00DE38B9" w:rsidRPr="008E15F6">
        <w:rPr>
          <w:rFonts w:ascii="Arial" w:eastAsia="Calibri" w:hAnsi="Arial" w:cs="Arial"/>
          <w:sz w:val="22"/>
        </w:rPr>
        <w:t>Documentos Tipo</w:t>
      </w:r>
      <w:r w:rsidR="00DE38B9">
        <w:rPr>
          <w:rFonts w:ascii="Arial" w:eastAsia="Calibri" w:hAnsi="Arial" w:cs="Arial"/>
          <w:sz w:val="22"/>
        </w:rPr>
        <w:t xml:space="preserve"> </w:t>
      </w:r>
      <w:r w:rsidR="00DE4788" w:rsidRPr="008E15F6">
        <w:rPr>
          <w:rFonts w:ascii="Arial" w:eastAsia="Calibri" w:hAnsi="Arial" w:cs="Arial"/>
          <w:sz w:val="22"/>
        </w:rPr>
        <w:t>–</w:t>
      </w:r>
      <w:r w:rsidR="00DE38B9">
        <w:rPr>
          <w:rFonts w:ascii="Arial" w:eastAsia="Calibri" w:hAnsi="Arial" w:cs="Arial"/>
          <w:sz w:val="22"/>
        </w:rPr>
        <w:t xml:space="preserve"> </w:t>
      </w:r>
      <w:r w:rsidR="00DE38B9" w:rsidRPr="008E15F6">
        <w:rPr>
          <w:rFonts w:ascii="Arial" w:eastAsia="Calibri" w:hAnsi="Arial" w:cs="Arial"/>
          <w:sz w:val="22"/>
        </w:rPr>
        <w:t>Ver</w:t>
      </w:r>
      <w:r w:rsidR="00DE38B9">
        <w:rPr>
          <w:rFonts w:ascii="Arial" w:eastAsia="Calibri" w:hAnsi="Arial" w:cs="Arial"/>
          <w:sz w:val="22"/>
        </w:rPr>
        <w:t>s</w:t>
      </w:r>
      <w:r w:rsidR="00DE38B9" w:rsidRPr="008E15F6">
        <w:rPr>
          <w:rFonts w:ascii="Arial" w:eastAsia="Calibri" w:hAnsi="Arial" w:cs="Arial"/>
          <w:sz w:val="22"/>
        </w:rPr>
        <w:t>ión</w:t>
      </w:r>
      <w:r w:rsidR="00DE4788" w:rsidRPr="008E15F6">
        <w:rPr>
          <w:rFonts w:ascii="Arial" w:eastAsia="Calibri" w:hAnsi="Arial" w:cs="Arial"/>
          <w:sz w:val="22"/>
        </w:rPr>
        <w:t xml:space="preserve"> 2</w:t>
      </w:r>
      <w:r w:rsidR="00DE38B9">
        <w:rPr>
          <w:rFonts w:ascii="Arial" w:eastAsia="Calibri" w:hAnsi="Arial" w:cs="Arial"/>
          <w:sz w:val="22"/>
        </w:rPr>
        <w:t>»</w:t>
      </w:r>
      <w:r w:rsidR="00DE4788" w:rsidRPr="008E15F6">
        <w:rPr>
          <w:rFonts w:ascii="Arial" w:eastAsia="Calibri" w:hAnsi="Arial" w:cs="Arial"/>
          <w:sz w:val="22"/>
        </w:rPr>
        <w:t xml:space="preserve">, </w:t>
      </w:r>
      <w:r w:rsidRPr="008E15F6">
        <w:rPr>
          <w:rFonts w:ascii="Arial" w:eastAsia="Calibri" w:hAnsi="Arial" w:cs="Arial"/>
          <w:sz w:val="22"/>
        </w:rPr>
        <w:t xml:space="preserve">en los que en virtud de lo dispuesto en numeral 2.10, literal A del </w:t>
      </w:r>
      <w:r w:rsidR="00DE38B9" w:rsidRPr="008E15F6">
        <w:rPr>
          <w:rFonts w:ascii="Arial" w:eastAsia="Calibri" w:hAnsi="Arial" w:cs="Arial"/>
          <w:sz w:val="22"/>
        </w:rPr>
        <w:t>documento base</w:t>
      </w:r>
      <w:r w:rsidRPr="008E15F6">
        <w:rPr>
          <w:rFonts w:ascii="Arial" w:eastAsia="Calibri" w:hAnsi="Arial" w:cs="Arial"/>
          <w:sz w:val="22"/>
        </w:rPr>
        <w:t xml:space="preserve">, se determine que, en principio, un proponente solo pueda ser adjudicatario de un lote, la capacidad residual debe calcularse conforme a la regla del inciso final del numeral 3.11. De acuerdo con dicha regla, para que un proponente cumpla con la capacidad residual exigible, su CRP deberá ser superior a la sumatoria de las CRPC </w:t>
      </w:r>
      <w:r w:rsidR="00F976DF" w:rsidRPr="008E15F6">
        <w:rPr>
          <w:rFonts w:ascii="Arial" w:eastAsia="Calibri" w:hAnsi="Arial" w:cs="Arial"/>
          <w:sz w:val="22"/>
        </w:rPr>
        <w:t>de los l</w:t>
      </w:r>
      <w:r w:rsidRPr="008E15F6">
        <w:rPr>
          <w:rFonts w:ascii="Arial" w:eastAsia="Calibri" w:hAnsi="Arial" w:cs="Arial"/>
          <w:sz w:val="22"/>
        </w:rPr>
        <w:t>ote</w:t>
      </w:r>
      <w:r w:rsidR="00F976DF" w:rsidRPr="008E15F6">
        <w:rPr>
          <w:rFonts w:ascii="Arial" w:eastAsia="Calibri" w:hAnsi="Arial" w:cs="Arial"/>
          <w:sz w:val="22"/>
        </w:rPr>
        <w:t>s a los que present</w:t>
      </w:r>
      <w:r w:rsidR="002B7548">
        <w:rPr>
          <w:rFonts w:ascii="Arial" w:eastAsia="Calibri" w:hAnsi="Arial" w:cs="Arial"/>
          <w:sz w:val="22"/>
        </w:rPr>
        <w:t>ó</w:t>
      </w:r>
      <w:r w:rsidR="00F976DF" w:rsidRPr="008E15F6">
        <w:rPr>
          <w:rFonts w:ascii="Arial" w:eastAsia="Calibri" w:hAnsi="Arial" w:cs="Arial"/>
          <w:sz w:val="22"/>
        </w:rPr>
        <w:t xml:space="preserve"> oferta</w:t>
      </w:r>
      <w:r w:rsidR="002B7548">
        <w:rPr>
          <w:rFonts w:ascii="Arial" w:eastAsia="Calibri" w:hAnsi="Arial" w:cs="Arial"/>
          <w:sz w:val="22"/>
        </w:rPr>
        <w:t>. De no</w:t>
      </w:r>
      <w:r w:rsidRPr="008E15F6">
        <w:rPr>
          <w:rFonts w:ascii="Arial" w:eastAsia="Calibri" w:hAnsi="Arial" w:cs="Arial"/>
          <w:sz w:val="22"/>
        </w:rPr>
        <w:t xml:space="preserve"> cumplirse lo</w:t>
      </w:r>
      <w:r w:rsidR="002B7548">
        <w:rPr>
          <w:rFonts w:ascii="Arial" w:eastAsia="Calibri" w:hAnsi="Arial" w:cs="Arial"/>
          <w:sz w:val="22"/>
        </w:rPr>
        <w:t xml:space="preserve"> anterior,</w:t>
      </w:r>
      <w:r w:rsidRPr="008E15F6">
        <w:rPr>
          <w:rFonts w:ascii="Arial" w:eastAsia="Calibri" w:hAnsi="Arial" w:cs="Arial"/>
          <w:sz w:val="22"/>
        </w:rPr>
        <w:t xml:space="preserve"> la entidad deberá habilitar al proponente únicamente en los lotes de mayor valor cuya sumatoria de CRPC, se</w:t>
      </w:r>
      <w:r w:rsidR="002B7548">
        <w:rPr>
          <w:rFonts w:ascii="Arial" w:eastAsia="Calibri" w:hAnsi="Arial" w:cs="Arial"/>
          <w:sz w:val="22"/>
        </w:rPr>
        <w:t>a</w:t>
      </w:r>
      <w:r w:rsidRPr="008E15F6">
        <w:rPr>
          <w:rFonts w:ascii="Arial" w:eastAsia="Calibri" w:hAnsi="Arial" w:cs="Arial"/>
          <w:sz w:val="22"/>
        </w:rPr>
        <w:t xml:space="preserve"> inferior a la CRP del proponente. </w:t>
      </w:r>
    </w:p>
    <w:p w14:paraId="74251FAB" w14:textId="31A6ECA4" w:rsidR="0029774A" w:rsidRPr="008E15F6" w:rsidRDefault="00057C9C" w:rsidP="00F976DF">
      <w:pPr>
        <w:spacing w:line="276" w:lineRule="auto"/>
        <w:ind w:firstLine="709"/>
        <w:jc w:val="both"/>
        <w:rPr>
          <w:rFonts w:ascii="Arial" w:eastAsia="Calibri" w:hAnsi="Arial" w:cs="Arial"/>
          <w:sz w:val="22"/>
        </w:rPr>
      </w:pPr>
      <w:r w:rsidRPr="008E15F6">
        <w:rPr>
          <w:rFonts w:ascii="Arial" w:eastAsia="Calibri" w:hAnsi="Arial" w:cs="Arial"/>
          <w:sz w:val="22"/>
        </w:rPr>
        <w:t xml:space="preserve">En concordancia con esto, en este tipo de procesos, para que un proponente pueda, eventualmente, ser adjudicatario de un lote adicional en virtud de lo dispuesto en el literal F del numeral 2.10 del Documento Base, debe estar habilitado conforme a la mencionada regla para la evaluación de la capacidad residual, lo que implica que </w:t>
      </w:r>
      <w:r w:rsidR="000D73DF">
        <w:rPr>
          <w:rFonts w:ascii="Arial" w:eastAsia="Calibri" w:hAnsi="Arial" w:cs="Arial"/>
          <w:sz w:val="22"/>
        </w:rPr>
        <w:t>la</w:t>
      </w:r>
      <w:r w:rsidRPr="008E15F6">
        <w:rPr>
          <w:rFonts w:ascii="Arial" w:eastAsia="Calibri" w:hAnsi="Arial" w:cs="Arial"/>
          <w:sz w:val="22"/>
        </w:rPr>
        <w:t xml:space="preserve"> CRP sea al menos superior a la sumatoria de las CRPC del lote inicialmente adjudicado y la del lote adicional, </w:t>
      </w:r>
      <w:r w:rsidRPr="008E15F6">
        <w:rPr>
          <w:rFonts w:ascii="Arial" w:eastAsia="Calibri" w:hAnsi="Arial" w:cs="Arial"/>
          <w:sz w:val="22"/>
        </w:rPr>
        <w:lastRenderedPageBreak/>
        <w:t>independientemente de que haya sido o no habilitado para los demás lotes en los que presentó ofertas.</w:t>
      </w:r>
      <w:r w:rsidR="000F4A92" w:rsidRPr="008E15F6">
        <w:rPr>
          <w:rFonts w:ascii="Arial" w:eastAsia="Calibri" w:hAnsi="Arial" w:cs="Arial"/>
          <w:sz w:val="22"/>
        </w:rPr>
        <w:tab/>
      </w:r>
    </w:p>
    <w:p w14:paraId="21B410DE" w14:textId="12235100" w:rsidR="00F976DF" w:rsidRPr="008E15F6" w:rsidRDefault="00F976DF" w:rsidP="00F976DF">
      <w:pPr>
        <w:spacing w:line="276" w:lineRule="auto"/>
        <w:ind w:firstLine="708"/>
        <w:jc w:val="both"/>
        <w:rPr>
          <w:rFonts w:ascii="Arial" w:eastAsia="Calibri" w:hAnsi="Arial" w:cs="Arial"/>
          <w:sz w:val="22"/>
        </w:rPr>
      </w:pPr>
    </w:p>
    <w:p w14:paraId="57EEA463" w14:textId="77777777" w:rsidR="00AA144A" w:rsidRPr="008E15F6" w:rsidRDefault="00084DC0" w:rsidP="00AA144A">
      <w:pPr>
        <w:spacing w:after="120" w:line="276" w:lineRule="auto"/>
        <w:jc w:val="both"/>
        <w:rPr>
          <w:rFonts w:ascii="Arial" w:eastAsia="Calibri" w:hAnsi="Arial" w:cs="Arial"/>
          <w:sz w:val="22"/>
        </w:rPr>
      </w:pPr>
      <w:r w:rsidRPr="008E15F6">
        <w:rPr>
          <w:rFonts w:ascii="Arial" w:eastAsia="Calibri" w:hAnsi="Arial" w:cs="Arial"/>
          <w:sz w:val="22"/>
        </w:rPr>
        <w:t>Este concepto tiene el alcance previsto en el artículo 28 del Código de Procedimiento Administrativo y de lo Contencioso Administrativo.</w:t>
      </w:r>
    </w:p>
    <w:p w14:paraId="792541A1" w14:textId="253E150A" w:rsidR="00AA144A" w:rsidRPr="008E15F6" w:rsidRDefault="00AA144A" w:rsidP="00AA144A">
      <w:pPr>
        <w:jc w:val="both"/>
        <w:rPr>
          <w:rFonts w:ascii="Arial" w:eastAsia="Calibri" w:hAnsi="Arial" w:cs="Arial"/>
          <w:sz w:val="22"/>
        </w:rPr>
      </w:pPr>
      <w:r w:rsidRPr="008E15F6">
        <w:rPr>
          <w:noProof/>
        </w:rPr>
        <mc:AlternateContent>
          <mc:Choice Requires="wps">
            <w:drawing>
              <wp:anchor distT="0" distB="0" distL="114300" distR="114300" simplePos="0" relativeHeight="251656704" behindDoc="0" locked="0" layoutInCell="1" allowOverlap="1" wp14:anchorId="418643F8" wp14:editId="59B9F3E0">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5FD86D22" id="Conector recto 1" o:spid="_x0000_s1026" style="position:absolute;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2553AB43" w14:textId="77777777" w:rsidR="00AA144A" w:rsidRPr="008E15F6" w:rsidRDefault="00AA144A" w:rsidP="00AA144A">
      <w:pPr>
        <w:spacing w:line="276" w:lineRule="auto"/>
        <w:jc w:val="both"/>
        <w:rPr>
          <w:rFonts w:ascii="Arial" w:hAnsi="Arial" w:cs="Arial"/>
          <w:szCs w:val="20"/>
        </w:rPr>
      </w:pPr>
      <w:bookmarkStart w:id="3" w:name="_Hlk50370367"/>
      <w:r w:rsidRPr="008E15F6">
        <w:rPr>
          <w:rFonts w:ascii="Arial" w:hAnsi="Arial" w:cs="Arial"/>
          <w:sz w:val="22"/>
          <w:lang w:eastAsia="es-CO"/>
        </w:rPr>
        <w:t>Atentamente</w:t>
      </w:r>
      <w:r w:rsidRPr="008E15F6">
        <w:rPr>
          <w:rFonts w:ascii="Arial" w:hAnsi="Arial" w:cs="Arial"/>
          <w:lang w:eastAsia="es-CO"/>
        </w:rPr>
        <w:t>,</w:t>
      </w:r>
    </w:p>
    <w:bookmarkEnd w:id="3"/>
    <w:p w14:paraId="15DDE0DD" w14:textId="77777777" w:rsidR="00AA144A" w:rsidRPr="008E15F6" w:rsidRDefault="00AA144A" w:rsidP="00AA144A">
      <w:pPr>
        <w:jc w:val="both"/>
        <w:rPr>
          <w:rFonts w:ascii="Arial" w:hAnsi="Arial" w:cs="Arial"/>
          <w:lang w:eastAsia="es-CO"/>
        </w:rPr>
      </w:pPr>
    </w:p>
    <w:p w14:paraId="1661BEB6" w14:textId="77777777" w:rsidR="00AA144A" w:rsidRPr="008E15F6" w:rsidRDefault="00AA144A" w:rsidP="00AA144A">
      <w:pPr>
        <w:spacing w:after="18"/>
        <w:jc w:val="center"/>
        <w:rPr>
          <w:rFonts w:ascii="Arial" w:hAnsi="Arial" w:cs="Arial"/>
          <w:lang w:eastAsia="es-CO"/>
        </w:rPr>
      </w:pPr>
    </w:p>
    <w:p w14:paraId="3EDDFA20" w14:textId="4DCDD102" w:rsidR="00AA144A" w:rsidRPr="008E15F6" w:rsidRDefault="00843209" w:rsidP="00AA144A">
      <w:pPr>
        <w:spacing w:after="18"/>
        <w:jc w:val="center"/>
        <w:rPr>
          <w:rFonts w:ascii="Arial" w:hAnsi="Arial" w:cs="Arial"/>
          <w:lang w:eastAsia="es-CO"/>
        </w:rPr>
      </w:pPr>
      <w:r>
        <w:rPr>
          <w:noProof/>
        </w:rPr>
        <w:drawing>
          <wp:inline distT="0" distB="0" distL="0" distR="0" wp14:anchorId="6BD8247F" wp14:editId="5DFD161E">
            <wp:extent cx="2514600" cy="111252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pic:nvPicPr>
                  <pic:blipFill>
                    <a:blip r:embed="rId12">
                      <a:extLst>
                        <a:ext uri="{28A0092B-C50C-407E-A947-70E740481C1C}">
                          <a14:useLocalDpi xmlns:a14="http://schemas.microsoft.com/office/drawing/2010/main" val="0"/>
                        </a:ext>
                      </a:extLst>
                    </a:blip>
                    <a:stretch>
                      <a:fillRect/>
                    </a:stretch>
                  </pic:blipFill>
                  <pic:spPr>
                    <a:xfrm>
                      <a:off x="0" y="0"/>
                      <a:ext cx="2514600" cy="1112520"/>
                    </a:xfrm>
                    <a:prstGeom prst="rect">
                      <a:avLst/>
                    </a:prstGeom>
                  </pic:spPr>
                </pic:pic>
              </a:graphicData>
            </a:graphic>
          </wp:inline>
        </w:drawing>
      </w:r>
    </w:p>
    <w:p w14:paraId="50294133" w14:textId="6FDD48EC" w:rsidR="00AA144A" w:rsidRDefault="00AA144A" w:rsidP="00AA144A">
      <w:pPr>
        <w:spacing w:after="18"/>
        <w:jc w:val="center"/>
        <w:rPr>
          <w:rFonts w:ascii="Arial" w:hAnsi="Arial" w:cs="Arial"/>
          <w:lang w:eastAsia="es-CO"/>
        </w:rPr>
      </w:pPr>
    </w:p>
    <w:p w14:paraId="608AB7DA" w14:textId="77777777" w:rsidR="00AA144A" w:rsidRPr="008E15F6" w:rsidRDefault="00AA144A" w:rsidP="00AA144A">
      <w:pPr>
        <w:spacing w:after="18"/>
        <w:jc w:val="center"/>
        <w:rPr>
          <w:rFonts w:ascii="Arial" w:hAnsi="Arial" w:cs="Arial"/>
          <w:lang w:eastAsia="es-CO"/>
        </w:rPr>
      </w:pPr>
    </w:p>
    <w:tbl>
      <w:tblPr>
        <w:tblStyle w:val="Tablaconcuadrcula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3988"/>
      </w:tblGrid>
      <w:tr w:rsidR="008E15F6" w:rsidRPr="008E15F6" w14:paraId="18AB3BC8" w14:textId="77777777" w:rsidTr="00C17FE3">
        <w:trPr>
          <w:trHeight w:val="286"/>
        </w:trPr>
        <w:tc>
          <w:tcPr>
            <w:tcW w:w="817" w:type="dxa"/>
            <w:vAlign w:val="center"/>
            <w:hideMark/>
          </w:tcPr>
          <w:p w14:paraId="44BC208E" w14:textId="77777777" w:rsidR="00AA144A" w:rsidRPr="008E15F6" w:rsidRDefault="00AA144A" w:rsidP="00C17FE3">
            <w:pPr>
              <w:rPr>
                <w:rFonts w:ascii="Arial" w:hAnsi="Arial" w:cs="Arial"/>
                <w:sz w:val="14"/>
                <w:szCs w:val="14"/>
                <w:lang w:eastAsia="es-ES"/>
              </w:rPr>
            </w:pPr>
            <w:r w:rsidRPr="008E15F6">
              <w:rPr>
                <w:rFonts w:ascii="Arial" w:hAnsi="Arial" w:cs="Arial"/>
                <w:sz w:val="14"/>
                <w:szCs w:val="14"/>
                <w:lang w:eastAsia="es-ES"/>
              </w:rPr>
              <w:t>Elaboró:</w:t>
            </w:r>
          </w:p>
        </w:tc>
        <w:tc>
          <w:tcPr>
            <w:tcW w:w="3988" w:type="dxa"/>
            <w:tcBorders>
              <w:top w:val="nil"/>
              <w:left w:val="nil"/>
              <w:bottom w:val="dotted" w:sz="4" w:space="0" w:color="7F7F7F"/>
              <w:right w:val="nil"/>
            </w:tcBorders>
            <w:vAlign w:val="center"/>
            <w:hideMark/>
          </w:tcPr>
          <w:p w14:paraId="0039B2D1" w14:textId="77777777" w:rsidR="00AA144A" w:rsidRPr="008E15F6" w:rsidRDefault="00AA144A" w:rsidP="00C17FE3">
            <w:pPr>
              <w:rPr>
                <w:rFonts w:ascii="Arial" w:hAnsi="Arial" w:cs="Arial"/>
                <w:sz w:val="14"/>
                <w:szCs w:val="14"/>
                <w:lang w:eastAsia="es-ES"/>
              </w:rPr>
            </w:pPr>
            <w:r w:rsidRPr="008E15F6">
              <w:rPr>
                <w:rFonts w:ascii="Arial" w:hAnsi="Arial" w:cs="Arial"/>
                <w:sz w:val="14"/>
                <w:szCs w:val="14"/>
                <w:lang w:eastAsia="es-ES"/>
              </w:rPr>
              <w:t>Alejandro Sarmiento Cantillo</w:t>
            </w:r>
          </w:p>
          <w:p w14:paraId="408DBD7D" w14:textId="77777777" w:rsidR="00AA144A" w:rsidRPr="008E15F6" w:rsidRDefault="00AA144A" w:rsidP="00C17FE3">
            <w:pPr>
              <w:rPr>
                <w:rFonts w:ascii="Arial" w:hAnsi="Arial" w:cs="Arial"/>
                <w:sz w:val="14"/>
                <w:szCs w:val="14"/>
                <w:lang w:eastAsia="es-ES"/>
              </w:rPr>
            </w:pPr>
            <w:r w:rsidRPr="008E15F6">
              <w:rPr>
                <w:rFonts w:ascii="Arial" w:hAnsi="Arial" w:cs="Arial"/>
                <w:sz w:val="14"/>
                <w:szCs w:val="14"/>
                <w:lang w:eastAsia="es-ES"/>
              </w:rPr>
              <w:t>Gestor T1-11 de la Subdirección de Gestión Contractual</w:t>
            </w:r>
          </w:p>
        </w:tc>
      </w:tr>
      <w:tr w:rsidR="008E15F6" w:rsidRPr="008E15F6" w14:paraId="30AE44B4" w14:textId="77777777" w:rsidTr="00C17FE3">
        <w:trPr>
          <w:trHeight w:val="299"/>
        </w:trPr>
        <w:tc>
          <w:tcPr>
            <w:tcW w:w="817" w:type="dxa"/>
            <w:vAlign w:val="center"/>
            <w:hideMark/>
          </w:tcPr>
          <w:p w14:paraId="7C212193" w14:textId="77777777" w:rsidR="00AA144A" w:rsidRPr="008E15F6" w:rsidRDefault="00AA144A" w:rsidP="00C17FE3">
            <w:pPr>
              <w:rPr>
                <w:rFonts w:ascii="Arial" w:hAnsi="Arial" w:cs="Arial"/>
                <w:sz w:val="14"/>
                <w:szCs w:val="14"/>
                <w:lang w:eastAsia="es-ES"/>
              </w:rPr>
            </w:pPr>
            <w:r w:rsidRPr="008E15F6">
              <w:rPr>
                <w:rFonts w:ascii="Arial" w:hAnsi="Arial" w:cs="Arial"/>
                <w:sz w:val="14"/>
                <w:szCs w:val="14"/>
                <w:lang w:eastAsia="es-ES"/>
              </w:rPr>
              <w:t>Revisó:</w:t>
            </w:r>
          </w:p>
        </w:tc>
        <w:tc>
          <w:tcPr>
            <w:tcW w:w="3988" w:type="dxa"/>
            <w:tcBorders>
              <w:top w:val="dotted" w:sz="4" w:space="0" w:color="7F7F7F"/>
              <w:left w:val="nil"/>
              <w:bottom w:val="dotted" w:sz="4" w:space="0" w:color="7F7F7F"/>
              <w:right w:val="nil"/>
            </w:tcBorders>
            <w:vAlign w:val="center"/>
            <w:hideMark/>
          </w:tcPr>
          <w:p w14:paraId="1E11EDE7" w14:textId="77777777" w:rsidR="00AA144A" w:rsidRPr="008E15F6" w:rsidRDefault="00AA144A" w:rsidP="00C17FE3">
            <w:pPr>
              <w:rPr>
                <w:rFonts w:ascii="Arial" w:hAnsi="Arial" w:cs="Arial"/>
                <w:sz w:val="14"/>
                <w:szCs w:val="14"/>
                <w:lang w:eastAsia="es-ES"/>
              </w:rPr>
            </w:pPr>
            <w:r w:rsidRPr="008E15F6">
              <w:rPr>
                <w:rFonts w:ascii="Arial" w:hAnsi="Arial" w:cs="Arial"/>
                <w:sz w:val="14"/>
                <w:szCs w:val="14"/>
                <w:lang w:eastAsia="es-ES"/>
              </w:rPr>
              <w:t>Juan David Montoya Penagos</w:t>
            </w:r>
          </w:p>
          <w:p w14:paraId="30E0872B" w14:textId="77777777" w:rsidR="00AA144A" w:rsidRPr="008E15F6" w:rsidRDefault="00AA144A" w:rsidP="00C17FE3">
            <w:pPr>
              <w:rPr>
                <w:rFonts w:ascii="Arial" w:hAnsi="Arial" w:cs="Arial"/>
                <w:sz w:val="14"/>
                <w:szCs w:val="14"/>
                <w:lang w:eastAsia="es-ES"/>
              </w:rPr>
            </w:pPr>
            <w:r w:rsidRPr="008E15F6">
              <w:rPr>
                <w:rFonts w:ascii="Arial" w:hAnsi="Arial" w:cs="Arial"/>
                <w:sz w:val="14"/>
                <w:szCs w:val="14"/>
                <w:lang w:eastAsia="es-ES"/>
              </w:rPr>
              <w:t>Gestor T1-15 de la Subdirección de Gestión Contractual</w:t>
            </w:r>
          </w:p>
        </w:tc>
      </w:tr>
      <w:tr w:rsidR="008E15F6" w:rsidRPr="008E15F6" w14:paraId="7A4AFCA7" w14:textId="77777777" w:rsidTr="00C17FE3">
        <w:trPr>
          <w:trHeight w:val="272"/>
        </w:trPr>
        <w:tc>
          <w:tcPr>
            <w:tcW w:w="817" w:type="dxa"/>
            <w:vAlign w:val="center"/>
            <w:hideMark/>
          </w:tcPr>
          <w:p w14:paraId="288E7D31" w14:textId="77777777" w:rsidR="00AA144A" w:rsidRPr="008E15F6" w:rsidRDefault="00AA144A" w:rsidP="00C17FE3">
            <w:pPr>
              <w:rPr>
                <w:rFonts w:ascii="Arial" w:hAnsi="Arial" w:cs="Arial"/>
                <w:sz w:val="14"/>
                <w:szCs w:val="14"/>
                <w:lang w:eastAsia="es-ES"/>
              </w:rPr>
            </w:pPr>
            <w:r w:rsidRPr="008E15F6">
              <w:rPr>
                <w:rFonts w:ascii="Arial" w:hAnsi="Arial" w:cs="Arial"/>
                <w:sz w:val="14"/>
                <w:szCs w:val="14"/>
                <w:lang w:eastAsia="es-ES"/>
              </w:rPr>
              <w:t>Aprobó:</w:t>
            </w:r>
          </w:p>
        </w:tc>
        <w:tc>
          <w:tcPr>
            <w:tcW w:w="3988" w:type="dxa"/>
            <w:tcBorders>
              <w:top w:val="dotted" w:sz="4" w:space="0" w:color="7F7F7F"/>
              <w:left w:val="nil"/>
              <w:bottom w:val="dotted" w:sz="4" w:space="0" w:color="7F7F7F"/>
              <w:right w:val="nil"/>
            </w:tcBorders>
            <w:vAlign w:val="center"/>
            <w:hideMark/>
          </w:tcPr>
          <w:p w14:paraId="7D65856F" w14:textId="77777777" w:rsidR="00AA144A" w:rsidRPr="008E15F6" w:rsidRDefault="00AA144A" w:rsidP="00C17FE3">
            <w:pPr>
              <w:rPr>
                <w:rFonts w:ascii="Arial" w:hAnsi="Arial" w:cs="Arial"/>
                <w:sz w:val="14"/>
                <w:szCs w:val="14"/>
                <w:lang w:eastAsia="es-ES"/>
              </w:rPr>
            </w:pPr>
            <w:r w:rsidRPr="008E15F6">
              <w:rPr>
                <w:rFonts w:ascii="Arial" w:hAnsi="Arial" w:cs="Arial"/>
                <w:sz w:val="14"/>
                <w:szCs w:val="14"/>
                <w:lang w:eastAsia="es-ES"/>
              </w:rPr>
              <w:t>Jorge Augusto Tirado Navarro</w:t>
            </w:r>
          </w:p>
          <w:p w14:paraId="3ABCDBDA" w14:textId="3BC2017F" w:rsidR="00AA144A" w:rsidRPr="008E15F6" w:rsidRDefault="00AA144A" w:rsidP="00C17FE3">
            <w:pPr>
              <w:rPr>
                <w:rFonts w:ascii="Arial" w:hAnsi="Arial" w:cs="Arial"/>
                <w:sz w:val="14"/>
                <w:szCs w:val="14"/>
                <w:lang w:eastAsia="es-ES"/>
              </w:rPr>
            </w:pPr>
            <w:r w:rsidRPr="008E15F6">
              <w:rPr>
                <w:rFonts w:ascii="Arial" w:hAnsi="Arial" w:cs="Arial"/>
                <w:sz w:val="14"/>
                <w:szCs w:val="14"/>
                <w:lang w:eastAsia="es-ES"/>
              </w:rPr>
              <w:t xml:space="preserve">Subdirector de Gestión Contractual </w:t>
            </w:r>
            <w:r w:rsidR="00A139A1" w:rsidRPr="008E15F6">
              <w:rPr>
                <w:rFonts w:ascii="Arial" w:hAnsi="Arial" w:cs="Arial"/>
                <w:sz w:val="14"/>
                <w:szCs w:val="14"/>
                <w:lang w:eastAsia="es-ES"/>
              </w:rPr>
              <w:t>ANCP - CCE</w:t>
            </w:r>
          </w:p>
        </w:tc>
      </w:tr>
    </w:tbl>
    <w:p w14:paraId="29CB974B" w14:textId="77777777" w:rsidR="00AA144A" w:rsidRPr="008E15F6" w:rsidRDefault="00AA144A" w:rsidP="00AA144A">
      <w:pPr>
        <w:rPr>
          <w:rFonts w:ascii="Arial" w:hAnsi="Arial" w:cs="Arial"/>
          <w:lang w:eastAsia="es-ES"/>
        </w:rPr>
      </w:pPr>
    </w:p>
    <w:p w14:paraId="0277DF35" w14:textId="77777777" w:rsidR="00AA144A" w:rsidRPr="008E15F6" w:rsidRDefault="00AA144A" w:rsidP="00AA144A">
      <w:pPr>
        <w:rPr>
          <w:rFonts w:ascii="Arial" w:hAnsi="Arial" w:cs="Arial"/>
          <w:lang w:eastAsia="es-ES"/>
        </w:rPr>
      </w:pPr>
    </w:p>
    <w:bookmarkEnd w:id="1"/>
    <w:p w14:paraId="7EBF297E" w14:textId="4BBAA841" w:rsidR="007B0854" w:rsidRPr="00942A0A" w:rsidRDefault="007B0854" w:rsidP="00AA144A">
      <w:pPr>
        <w:spacing w:line="276" w:lineRule="auto"/>
        <w:jc w:val="both"/>
        <w:rPr>
          <w:color w:val="FF0000"/>
        </w:rPr>
      </w:pPr>
    </w:p>
    <w:sectPr w:rsidR="007B0854" w:rsidRPr="00942A0A" w:rsidSect="005A79FE">
      <w:headerReference w:type="default" r:id="rId13"/>
      <w:footerReference w:type="default" r:id="rId14"/>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D9FFAC" w14:textId="77777777" w:rsidR="00C259D9" w:rsidRDefault="00C259D9">
      <w:r>
        <w:separator/>
      </w:r>
    </w:p>
  </w:endnote>
  <w:endnote w:type="continuationSeparator" w:id="0">
    <w:p w14:paraId="16FC42E6" w14:textId="77777777" w:rsidR="00C259D9" w:rsidRDefault="00C259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A8D1CB" w14:textId="1AB2AE8F" w:rsidR="000126BB" w:rsidRDefault="000126BB" w:rsidP="00B6444C">
    <w:pPr>
      <w:pStyle w:val="Sinespaciado"/>
      <w:rPr>
        <w:rFonts w:ascii="Arial" w:hAnsi="Arial" w:cs="Arial"/>
        <w:sz w:val="18"/>
        <w:szCs w:val="18"/>
      </w:rPr>
    </w:pPr>
  </w:p>
  <w:p w14:paraId="53DF6B5B" w14:textId="77777777" w:rsidR="000126BB" w:rsidRDefault="000126BB" w:rsidP="00B6444C">
    <w:pPr>
      <w:pStyle w:val="Sinespaciado"/>
      <w:rPr>
        <w:rFonts w:ascii="Arial" w:hAnsi="Arial" w:cs="Arial"/>
        <w:sz w:val="18"/>
        <w:szCs w:val="18"/>
      </w:rPr>
    </w:pPr>
  </w:p>
  <w:p w14:paraId="312C4A14" w14:textId="6A24D930" w:rsidR="000126BB" w:rsidRPr="005A79FE" w:rsidRDefault="000126BB"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16</w:t>
    </w:r>
    <w:r w:rsidRPr="00084B97">
      <w:rPr>
        <w:rFonts w:ascii="Arial" w:hAnsi="Arial" w:cs="Arial"/>
        <w:b/>
        <w:bCs/>
        <w:color w:val="7F7F7F" w:themeColor="text1" w:themeTint="80"/>
        <w:sz w:val="16"/>
        <w:szCs w:val="16"/>
      </w:rPr>
      <w:fldChar w:fldCharType="end"/>
    </w:r>
  </w:p>
  <w:p w14:paraId="48FC6A04" w14:textId="4A5E79D2" w:rsidR="000126BB" w:rsidRDefault="000126BB" w:rsidP="007B0854">
    <w:pPr>
      <w:pStyle w:val="Piedepgina"/>
      <w:jc w:val="center"/>
      <w:rPr>
        <w:lang w:val="es-ES"/>
      </w:rPr>
    </w:pPr>
    <w:r>
      <w:rPr>
        <w:noProof/>
      </w:rPr>
      <w:drawing>
        <wp:inline distT="0" distB="0" distL="0" distR="0" wp14:anchorId="608B196D" wp14:editId="577C97FD">
          <wp:extent cx="4241994" cy="595165"/>
          <wp:effectExtent l="0" t="0" r="6350" b="0"/>
          <wp:docPr id="1833779600"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25744B2D" w14:textId="77777777" w:rsidR="00E17C49" w:rsidRDefault="00E17C49" w:rsidP="007B0854">
    <w:pPr>
      <w:pStyle w:val="Piedepgina"/>
      <w:jc w:val="center"/>
      <w:rPr>
        <w:lang w:val="es-ES"/>
      </w:rPr>
    </w:pPr>
  </w:p>
  <w:p w14:paraId="645768A8" w14:textId="77777777" w:rsidR="000126BB" w:rsidRPr="007B0854" w:rsidRDefault="000126BB" w:rsidP="00A5235A">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B18F20" w14:textId="77777777" w:rsidR="00C259D9" w:rsidRDefault="00C259D9">
      <w:r>
        <w:separator/>
      </w:r>
    </w:p>
  </w:footnote>
  <w:footnote w:type="continuationSeparator" w:id="0">
    <w:p w14:paraId="478F669B" w14:textId="77777777" w:rsidR="00C259D9" w:rsidRDefault="00C259D9">
      <w:r>
        <w:continuationSeparator/>
      </w:r>
    </w:p>
  </w:footnote>
  <w:footnote w:id="1">
    <w:p w14:paraId="73AAEE61" w14:textId="02F1C361" w:rsidR="00084DC0" w:rsidRPr="00F2413F" w:rsidRDefault="00084DC0" w:rsidP="00F2413F">
      <w:pPr>
        <w:pStyle w:val="Textonotapie"/>
        <w:ind w:firstLine="708"/>
        <w:jc w:val="both"/>
        <w:rPr>
          <w:rFonts w:ascii="Arial" w:hAnsi="Arial" w:cs="Arial"/>
          <w:bCs/>
          <w:iCs/>
          <w:sz w:val="19"/>
          <w:szCs w:val="19"/>
          <w:lang w:val="es-CO"/>
        </w:rPr>
      </w:pPr>
      <w:r w:rsidRPr="00F2413F">
        <w:rPr>
          <w:rStyle w:val="Refdenotaalpie"/>
          <w:rFonts w:ascii="Arial" w:hAnsi="Arial" w:cs="Arial"/>
          <w:sz w:val="19"/>
          <w:szCs w:val="19"/>
        </w:rPr>
        <w:footnoteRef/>
      </w:r>
      <w:r w:rsidRPr="00F2413F">
        <w:rPr>
          <w:rFonts w:ascii="Arial" w:hAnsi="Arial" w:cs="Arial"/>
          <w:sz w:val="19"/>
          <w:szCs w:val="19"/>
        </w:rPr>
        <w:t xml:space="preserve"> </w:t>
      </w:r>
      <w:r w:rsidR="003C02AF" w:rsidRPr="00F2413F">
        <w:rPr>
          <w:rFonts w:ascii="Arial" w:hAnsi="Arial" w:cs="Arial"/>
          <w:sz w:val="19"/>
          <w:szCs w:val="19"/>
        </w:rPr>
        <w:t xml:space="preserve">Ley </w:t>
      </w:r>
      <w:r w:rsidR="00F2413F" w:rsidRPr="00F2413F">
        <w:rPr>
          <w:rFonts w:ascii="Arial" w:hAnsi="Arial" w:cs="Arial"/>
          <w:sz w:val="19"/>
          <w:szCs w:val="19"/>
        </w:rPr>
        <w:t xml:space="preserve">1682 de 2013 </w:t>
      </w:r>
      <w:r w:rsidRPr="00F2413F">
        <w:rPr>
          <w:rFonts w:ascii="Arial" w:hAnsi="Arial" w:cs="Arial"/>
          <w:sz w:val="19"/>
          <w:szCs w:val="19"/>
        </w:rPr>
        <w:t>«</w:t>
      </w:r>
      <w:r w:rsidRPr="00F2413F">
        <w:rPr>
          <w:rFonts w:ascii="Arial" w:hAnsi="Arial" w:cs="Arial"/>
          <w:bCs/>
          <w:sz w:val="19"/>
          <w:szCs w:val="19"/>
          <w:lang w:val="es-CO"/>
        </w:rPr>
        <w:t>Artículo</w:t>
      </w:r>
      <w:bookmarkStart w:id="2" w:name="72"/>
      <w:r w:rsidRPr="00F2413F">
        <w:rPr>
          <w:rFonts w:ascii="Arial" w:hAnsi="Arial" w:cs="Arial"/>
          <w:bCs/>
          <w:sz w:val="19"/>
          <w:szCs w:val="19"/>
          <w:lang w:val="es-CO"/>
        </w:rPr>
        <w:t> </w:t>
      </w:r>
      <w:bookmarkEnd w:id="2"/>
      <w:r w:rsidRPr="00F2413F">
        <w:rPr>
          <w:rFonts w:ascii="Arial" w:hAnsi="Arial" w:cs="Arial"/>
          <w:bCs/>
          <w:sz w:val="19"/>
          <w:szCs w:val="19"/>
          <w:lang w:val="es-CO"/>
        </w:rPr>
        <w:t>72.</w:t>
      </w:r>
      <w:r w:rsidRPr="00F2413F">
        <w:rPr>
          <w:rFonts w:ascii="Arial" w:hAnsi="Arial" w:cs="Arial"/>
          <w:sz w:val="19"/>
          <w:szCs w:val="19"/>
          <w:lang w:val="es-CO"/>
        </w:rPr>
        <w:t> </w:t>
      </w:r>
      <w:r w:rsidRPr="00F2413F">
        <w:rPr>
          <w:rFonts w:ascii="Arial" w:hAnsi="Arial" w:cs="Arial"/>
          <w:bCs/>
          <w:iCs/>
          <w:sz w:val="19"/>
          <w:szCs w:val="19"/>
          <w:lang w:val="es-CO"/>
        </w:rPr>
        <w:t>Capacidad residual de contratación pública</w:t>
      </w:r>
      <w:r w:rsidRPr="00F2413F">
        <w:rPr>
          <w:rFonts w:ascii="Arial" w:hAnsi="Arial" w:cs="Arial"/>
          <w:sz w:val="19"/>
          <w:szCs w:val="19"/>
          <w:lang w:val="es-CO"/>
        </w:rPr>
        <w:t>:</w:t>
      </w:r>
      <w:r w:rsidRPr="00F2413F">
        <w:rPr>
          <w:rFonts w:ascii="Arial" w:hAnsi="Arial" w:cs="Arial"/>
          <w:b/>
          <w:bCs/>
          <w:i/>
          <w:iCs/>
          <w:sz w:val="19"/>
          <w:szCs w:val="19"/>
          <w:lang w:val="es-CO"/>
        </w:rPr>
        <w:t xml:space="preserve"> </w:t>
      </w:r>
      <w:r w:rsidRPr="00F2413F">
        <w:rPr>
          <w:rFonts w:ascii="Arial" w:hAnsi="Arial" w:cs="Arial"/>
          <w:sz w:val="19"/>
          <w:szCs w:val="19"/>
          <w:lang w:val="es-CO"/>
        </w:rPr>
        <w:t>La capacidad residual de contratación cuando obra pública se obtendrá de sustraer de la capacidad del valor de los contratos en ejecución.</w:t>
      </w:r>
    </w:p>
    <w:p w14:paraId="7F87FEC3" w14:textId="77777777" w:rsidR="00084DC0" w:rsidRPr="00F2413F" w:rsidRDefault="00084DC0" w:rsidP="00F2413F">
      <w:pPr>
        <w:pStyle w:val="Textonotapie"/>
        <w:ind w:firstLine="708"/>
        <w:jc w:val="both"/>
        <w:rPr>
          <w:rFonts w:ascii="Arial" w:hAnsi="Arial" w:cs="Arial"/>
          <w:sz w:val="19"/>
          <w:szCs w:val="19"/>
          <w:lang w:val="es-CO"/>
        </w:rPr>
      </w:pPr>
      <w:proofErr w:type="gramStart"/>
      <w:r w:rsidRPr="00F2413F">
        <w:rPr>
          <w:rFonts w:ascii="Arial" w:hAnsi="Arial" w:cs="Arial"/>
          <w:sz w:val="19"/>
          <w:szCs w:val="19"/>
          <w:lang w:val="es-CO"/>
        </w:rPr>
        <w:t>»La</w:t>
      </w:r>
      <w:proofErr w:type="gramEnd"/>
      <w:r w:rsidRPr="00F2413F">
        <w:rPr>
          <w:rFonts w:ascii="Arial" w:hAnsi="Arial" w:cs="Arial"/>
          <w:sz w:val="19"/>
          <w:szCs w:val="19"/>
          <w:lang w:val="es-CO"/>
        </w:rPr>
        <w:t xml:space="preserve"> capacidad de contratación se deberá calcular mediante la evaluación de los siguientes factores: Experiencia (E), Capacidad Financiera (CF), Capacidad Técnica (CT), y Capacidad de Organización (CO).</w:t>
      </w:r>
    </w:p>
    <w:p w14:paraId="1F45850A" w14:textId="77777777" w:rsidR="00084DC0" w:rsidRPr="00F2413F" w:rsidRDefault="00084DC0" w:rsidP="00F2413F">
      <w:pPr>
        <w:pStyle w:val="Textonotapie"/>
        <w:ind w:firstLine="708"/>
        <w:jc w:val="both"/>
        <w:rPr>
          <w:rFonts w:ascii="Arial" w:hAnsi="Arial" w:cs="Arial"/>
          <w:sz w:val="19"/>
          <w:szCs w:val="19"/>
          <w:lang w:val="es-CO"/>
        </w:rPr>
      </w:pPr>
      <w:proofErr w:type="gramStart"/>
      <w:r w:rsidRPr="00F2413F">
        <w:rPr>
          <w:rFonts w:ascii="Arial" w:hAnsi="Arial" w:cs="Arial"/>
          <w:sz w:val="19"/>
          <w:szCs w:val="19"/>
          <w:lang w:val="es-CO"/>
        </w:rPr>
        <w:t>»Para</w:t>
      </w:r>
      <w:proofErr w:type="gramEnd"/>
      <w:r w:rsidRPr="00F2413F">
        <w:rPr>
          <w:rFonts w:ascii="Arial" w:hAnsi="Arial" w:cs="Arial"/>
          <w:sz w:val="19"/>
          <w:szCs w:val="19"/>
          <w:lang w:val="es-CO"/>
        </w:rPr>
        <w:t xml:space="preserve"> los efectos de la evaluación de los factores mencionados en el inciso anterior, por ningún motivo, ni bajo ninguna circunstancia se podrán tener en cuenta la rentabilidad y las utilidades.</w:t>
      </w:r>
    </w:p>
    <w:p w14:paraId="490D9066" w14:textId="77777777" w:rsidR="00084DC0" w:rsidRPr="00F2413F" w:rsidRDefault="00084DC0" w:rsidP="00F2413F">
      <w:pPr>
        <w:pStyle w:val="Textonotapie"/>
        <w:ind w:firstLine="708"/>
        <w:jc w:val="both"/>
        <w:rPr>
          <w:rFonts w:ascii="Arial" w:hAnsi="Arial" w:cs="Arial"/>
          <w:sz w:val="19"/>
          <w:szCs w:val="19"/>
          <w:lang w:val="es-CO"/>
        </w:rPr>
      </w:pPr>
      <w:proofErr w:type="gramStart"/>
      <w:r w:rsidRPr="00F2413F">
        <w:rPr>
          <w:rFonts w:ascii="Arial" w:hAnsi="Arial" w:cs="Arial"/>
          <w:sz w:val="19"/>
          <w:szCs w:val="19"/>
          <w:lang w:val="es-CO"/>
        </w:rPr>
        <w:t>»El</w:t>
      </w:r>
      <w:proofErr w:type="gramEnd"/>
      <w:r w:rsidRPr="00F2413F">
        <w:rPr>
          <w:rFonts w:ascii="Arial" w:hAnsi="Arial" w:cs="Arial"/>
          <w:sz w:val="19"/>
          <w:szCs w:val="19"/>
          <w:lang w:val="es-CO"/>
        </w:rPr>
        <w:t xml:space="preserve"> Gobierno Nacional reglamentará la materia, dentro de los sesenta (60) días siguientes a la promulgación de la presente ley, acudiendo al concepto técnico de la Sociedad Colombiana de Ingenieros, en virtual de la Ley 49 de 1904, para propender por una reglamentación equitativa en la implementación de mínimos y máximos que garanticen los derechos de los pequeños contratistas».</w:t>
      </w:r>
    </w:p>
    <w:p w14:paraId="286962A3" w14:textId="77777777" w:rsidR="00084DC0" w:rsidRPr="00F2413F" w:rsidRDefault="00084DC0" w:rsidP="00F2413F">
      <w:pPr>
        <w:pStyle w:val="Textonotapie"/>
        <w:ind w:firstLine="708"/>
        <w:jc w:val="both"/>
        <w:rPr>
          <w:rFonts w:ascii="Arial" w:hAnsi="Arial" w:cs="Arial"/>
          <w:sz w:val="19"/>
          <w:szCs w:val="19"/>
          <w:lang w:val="es-CO"/>
        </w:rPr>
      </w:pPr>
    </w:p>
  </w:footnote>
  <w:footnote w:id="2">
    <w:p w14:paraId="6DF9C8ED" w14:textId="5AB673A8" w:rsidR="00084DC0" w:rsidRPr="00F2413F" w:rsidRDefault="00084DC0" w:rsidP="00F2413F">
      <w:pPr>
        <w:pStyle w:val="NormalWeb"/>
        <w:shd w:val="clear" w:color="auto" w:fill="FFFFFF"/>
        <w:spacing w:before="0" w:beforeAutospacing="0" w:after="0" w:afterAutospacing="0"/>
        <w:ind w:firstLine="708"/>
        <w:jc w:val="both"/>
        <w:rPr>
          <w:rFonts w:ascii="Arial" w:eastAsiaTheme="minorHAnsi" w:hAnsi="Arial" w:cs="Arial"/>
          <w:sz w:val="19"/>
          <w:szCs w:val="19"/>
          <w:lang w:eastAsia="en-US"/>
        </w:rPr>
      </w:pPr>
      <w:r w:rsidRPr="00F2413F">
        <w:rPr>
          <w:rStyle w:val="Refdenotaalpie"/>
          <w:rFonts w:ascii="Arial" w:eastAsiaTheme="minorHAnsi" w:hAnsi="Arial" w:cs="Arial"/>
          <w:sz w:val="19"/>
          <w:szCs w:val="19"/>
          <w:lang w:val="es-MX" w:eastAsia="en-US"/>
        </w:rPr>
        <w:footnoteRef/>
      </w:r>
      <w:r w:rsidR="00F2413F" w:rsidRPr="00F2413F">
        <w:rPr>
          <w:rStyle w:val="Refdenotaalpie"/>
          <w:rFonts w:ascii="Arial" w:eastAsiaTheme="minorHAnsi" w:hAnsi="Arial" w:cs="Arial"/>
          <w:sz w:val="19"/>
          <w:szCs w:val="19"/>
          <w:lang w:val="es-MX" w:eastAsia="en-US"/>
        </w:rPr>
        <w:t xml:space="preserve"> </w:t>
      </w:r>
      <w:r w:rsidR="00F2413F" w:rsidRPr="00F2413F">
        <w:rPr>
          <w:rFonts w:ascii="Arial" w:eastAsiaTheme="minorHAnsi" w:hAnsi="Arial" w:cs="Arial"/>
          <w:sz w:val="19"/>
          <w:szCs w:val="19"/>
          <w:lang w:val="es-MX" w:eastAsia="en-US"/>
        </w:rPr>
        <w:t xml:space="preserve">Decreto 1082 de 2015 </w:t>
      </w:r>
      <w:r w:rsidRPr="00F2413F">
        <w:rPr>
          <w:rFonts w:ascii="Arial" w:hAnsi="Arial" w:cs="Arial"/>
          <w:sz w:val="19"/>
          <w:szCs w:val="19"/>
        </w:rPr>
        <w:t>«</w:t>
      </w:r>
      <w:r w:rsidRPr="00F2413F">
        <w:rPr>
          <w:rFonts w:ascii="Arial" w:eastAsiaTheme="minorHAnsi" w:hAnsi="Arial" w:cs="Arial"/>
          <w:sz w:val="19"/>
          <w:szCs w:val="19"/>
          <w:lang w:eastAsia="en-US"/>
        </w:rPr>
        <w:t>Artículo 2.2.1.1.1.6.4. Capacidad Residual: El interesado en celebrar contratos de obra pública con Entidades Estatales debe acreditar su Capacidad Residual o K de Contratación con los siguientes documentos:</w:t>
      </w:r>
    </w:p>
    <w:p w14:paraId="229E1167" w14:textId="77777777" w:rsidR="00084DC0" w:rsidRPr="00F2413F" w:rsidRDefault="00084DC0" w:rsidP="00F2413F">
      <w:pPr>
        <w:shd w:val="clear" w:color="auto" w:fill="FFFFFF"/>
        <w:ind w:firstLine="708"/>
        <w:jc w:val="both"/>
        <w:rPr>
          <w:rFonts w:ascii="Arial" w:hAnsi="Arial" w:cs="Arial"/>
          <w:sz w:val="19"/>
          <w:szCs w:val="19"/>
          <w:lang w:val="es-CO"/>
        </w:rPr>
      </w:pPr>
      <w:r w:rsidRPr="00F2413F">
        <w:rPr>
          <w:rFonts w:ascii="Arial" w:hAnsi="Arial" w:cs="Arial"/>
          <w:sz w:val="19"/>
          <w:szCs w:val="19"/>
          <w:lang w:val="es-CO"/>
        </w:rPr>
        <w:t>»1. La lista de los contratos de obras civiles en ejecución suscritos con Entidades Estatales y con entidades privadas, así como el valor y plazo de tales contratos, incluyendo contratos de concesión y los contratos de obra suscritos con concesionarios.</w:t>
      </w:r>
    </w:p>
    <w:p w14:paraId="250E6613" w14:textId="77777777" w:rsidR="00084DC0" w:rsidRPr="00F2413F" w:rsidRDefault="00084DC0" w:rsidP="00F2413F">
      <w:pPr>
        <w:shd w:val="clear" w:color="auto" w:fill="FFFFFF"/>
        <w:ind w:firstLine="708"/>
        <w:jc w:val="both"/>
        <w:rPr>
          <w:rFonts w:ascii="Arial" w:hAnsi="Arial" w:cs="Arial"/>
          <w:sz w:val="19"/>
          <w:szCs w:val="19"/>
          <w:lang w:val="es-CO"/>
        </w:rPr>
      </w:pPr>
      <w:r w:rsidRPr="00F2413F">
        <w:rPr>
          <w:rFonts w:ascii="Arial" w:hAnsi="Arial" w:cs="Arial"/>
          <w:sz w:val="19"/>
          <w:szCs w:val="19"/>
          <w:lang w:val="es-CO"/>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14:paraId="346EAF95" w14:textId="77777777" w:rsidR="00084DC0" w:rsidRPr="00F2413F" w:rsidRDefault="00084DC0" w:rsidP="00F2413F">
      <w:pPr>
        <w:shd w:val="clear" w:color="auto" w:fill="FFFFFF"/>
        <w:ind w:firstLine="708"/>
        <w:jc w:val="both"/>
        <w:rPr>
          <w:rFonts w:ascii="Arial" w:hAnsi="Arial" w:cs="Arial"/>
          <w:sz w:val="19"/>
          <w:szCs w:val="19"/>
          <w:lang w:val="es-CO"/>
        </w:rPr>
      </w:pPr>
      <w:r w:rsidRPr="00F2413F">
        <w:rPr>
          <w:rFonts w:ascii="Arial" w:hAnsi="Arial" w:cs="Arial"/>
          <w:sz w:val="19"/>
          <w:szCs w:val="19"/>
          <w:lang w:val="es-CO"/>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p>
    <w:p w14:paraId="1552C850" w14:textId="77777777" w:rsidR="00084DC0" w:rsidRPr="00F2413F" w:rsidRDefault="00084DC0" w:rsidP="00F2413F">
      <w:pPr>
        <w:shd w:val="clear" w:color="auto" w:fill="FFFFFF"/>
        <w:ind w:firstLine="708"/>
        <w:jc w:val="both"/>
        <w:rPr>
          <w:rFonts w:ascii="Arial" w:hAnsi="Arial" w:cs="Arial"/>
          <w:sz w:val="19"/>
          <w:szCs w:val="19"/>
          <w:lang w:val="es-CO"/>
        </w:rPr>
      </w:pPr>
    </w:p>
  </w:footnote>
  <w:footnote w:id="3">
    <w:p w14:paraId="23DB6F18" w14:textId="702BDA86" w:rsidR="00084DC0" w:rsidRPr="00F2413F" w:rsidRDefault="00084DC0" w:rsidP="00F2413F">
      <w:pPr>
        <w:pStyle w:val="Textonotapie"/>
        <w:ind w:firstLine="708"/>
        <w:jc w:val="both"/>
        <w:rPr>
          <w:rFonts w:ascii="Arial" w:hAnsi="Arial" w:cs="Arial"/>
          <w:sz w:val="19"/>
          <w:szCs w:val="19"/>
          <w:lang w:val="es-CO"/>
        </w:rPr>
      </w:pPr>
      <w:r w:rsidRPr="00F2413F">
        <w:rPr>
          <w:rStyle w:val="Refdenotaalpie"/>
          <w:rFonts w:ascii="Arial" w:hAnsi="Arial" w:cs="Arial"/>
          <w:sz w:val="19"/>
          <w:szCs w:val="19"/>
        </w:rPr>
        <w:footnoteRef/>
      </w:r>
      <w:r w:rsidRPr="00F2413F">
        <w:rPr>
          <w:rFonts w:ascii="Arial" w:hAnsi="Arial" w:cs="Arial"/>
          <w:sz w:val="19"/>
          <w:szCs w:val="19"/>
        </w:rPr>
        <w:t xml:space="preserve"> </w:t>
      </w:r>
      <w:r w:rsidR="00F2413F" w:rsidRPr="00F2413F">
        <w:rPr>
          <w:rFonts w:ascii="Arial" w:hAnsi="Arial" w:cs="Arial"/>
          <w:sz w:val="19"/>
          <w:szCs w:val="19"/>
        </w:rPr>
        <w:t xml:space="preserve">Ley 1150 de 2007 </w:t>
      </w:r>
      <w:r w:rsidRPr="00F2413F">
        <w:rPr>
          <w:rFonts w:ascii="Arial" w:hAnsi="Arial" w:cs="Arial"/>
          <w:sz w:val="19"/>
          <w:szCs w:val="19"/>
        </w:rPr>
        <w:t>«</w:t>
      </w:r>
      <w:r w:rsidRPr="00F2413F">
        <w:rPr>
          <w:rFonts w:ascii="Arial" w:hAnsi="Arial" w:cs="Arial"/>
          <w:sz w:val="19"/>
          <w:szCs w:val="19"/>
          <w:lang w:val="es-CO"/>
        </w:rPr>
        <w:t>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3441B0E1" w14:textId="77777777" w:rsidR="00084DC0" w:rsidRPr="00F2413F" w:rsidRDefault="00084DC0" w:rsidP="00F2413F">
      <w:pPr>
        <w:pStyle w:val="Textonotapie"/>
        <w:jc w:val="both"/>
        <w:rPr>
          <w:rFonts w:ascii="Arial" w:hAnsi="Arial" w:cs="Arial"/>
          <w:sz w:val="19"/>
          <w:szCs w:val="19"/>
          <w:lang w:val="es-CO"/>
        </w:rPr>
      </w:pPr>
      <w:r w:rsidRPr="00F2413F">
        <w:rPr>
          <w:rFonts w:ascii="Arial" w:hAnsi="Arial" w:cs="Arial"/>
          <w:sz w:val="19"/>
          <w:szCs w:val="19"/>
          <w:lang w:val="es-CO"/>
        </w:rPr>
        <w:tab/>
        <w:t xml:space="preserve">»[…] </w:t>
      </w:r>
    </w:p>
    <w:p w14:paraId="572B7450" w14:textId="77777777" w:rsidR="00084DC0" w:rsidRPr="00F2413F" w:rsidRDefault="00084DC0" w:rsidP="00F2413F">
      <w:pPr>
        <w:pStyle w:val="Textonotapie"/>
        <w:ind w:firstLine="708"/>
        <w:jc w:val="both"/>
        <w:rPr>
          <w:rFonts w:ascii="Arial" w:hAnsi="Arial" w:cs="Arial"/>
          <w:sz w:val="19"/>
          <w:szCs w:val="19"/>
        </w:rPr>
      </w:pPr>
      <w:proofErr w:type="gramStart"/>
      <w:r w:rsidRPr="00F2413F">
        <w:rPr>
          <w:rFonts w:ascii="Arial" w:hAnsi="Arial" w:cs="Arial"/>
          <w:sz w:val="19"/>
          <w:szCs w:val="19"/>
          <w:lang w:val="es-CO"/>
        </w:rPr>
        <w:t>»</w:t>
      </w:r>
      <w:r w:rsidRPr="00F2413F">
        <w:rPr>
          <w:rFonts w:ascii="Arial" w:hAnsi="Arial" w:cs="Arial"/>
          <w:sz w:val="19"/>
          <w:szCs w:val="19"/>
        </w:rPr>
        <w:t>En</w:t>
      </w:r>
      <w:proofErr w:type="gramEnd"/>
      <w:r w:rsidRPr="00F2413F">
        <w:rPr>
          <w:rFonts w:ascii="Arial" w:hAnsi="Arial" w:cs="Arial"/>
          <w:sz w:val="19"/>
          <w:szCs w:val="19"/>
        </w:rPr>
        <w:t xml:space="preserve"> dicho registro constará la información relacionada con la experiencia, capacidad jurídica, financiera y de organización del proponente, que se establecerá de conformidad con los factores de calificación y clasificación que defina el reglamento. El puntaje resultante de la calificación de estos factores se entenderá como la capacidad máxima de contratación del inscrito.</w:t>
      </w:r>
    </w:p>
    <w:p w14:paraId="391A1354" w14:textId="77777777" w:rsidR="00084DC0" w:rsidRPr="00F2413F" w:rsidRDefault="00084DC0" w:rsidP="00F2413F">
      <w:pPr>
        <w:shd w:val="clear" w:color="auto" w:fill="FFFFFF"/>
        <w:ind w:firstLine="708"/>
        <w:jc w:val="both"/>
        <w:rPr>
          <w:rFonts w:ascii="Arial" w:hAnsi="Arial" w:cs="Arial"/>
          <w:sz w:val="19"/>
          <w:szCs w:val="19"/>
        </w:rPr>
      </w:pPr>
      <w:r w:rsidRPr="00F2413F">
        <w:rPr>
          <w:rFonts w:ascii="Arial" w:hAnsi="Arial" w:cs="Arial"/>
          <w:sz w:val="19"/>
          <w:szCs w:val="19"/>
          <w:lang w:val="es-CO"/>
        </w:rPr>
        <w:t>»</w:t>
      </w:r>
      <w:r w:rsidRPr="00F2413F">
        <w:rPr>
          <w:rFonts w:ascii="Arial" w:hAnsi="Arial" w:cs="Arial"/>
          <w:sz w:val="19"/>
          <w:szCs w:val="19"/>
        </w:rPr>
        <w:t>6.1. De la calificación y clasificación de los inscritos: Corresponderá a los proponentes calificarse y clasificarse en el registro de conformidad con los documentos aportados. Las cámaras de comercio harán la verificación documental de la información presentada por los interesados al momento de inscribirse en el registro.</w:t>
      </w:r>
    </w:p>
    <w:p w14:paraId="7C7AEF99" w14:textId="02D25E2E" w:rsidR="00084DC0" w:rsidRPr="00F2413F" w:rsidRDefault="00084DC0" w:rsidP="00F2413F">
      <w:pPr>
        <w:shd w:val="clear" w:color="auto" w:fill="FFFFFF"/>
        <w:ind w:firstLine="708"/>
        <w:jc w:val="both"/>
        <w:rPr>
          <w:rFonts w:ascii="Arial" w:hAnsi="Arial" w:cs="Arial"/>
          <w:sz w:val="19"/>
          <w:szCs w:val="19"/>
        </w:rPr>
      </w:pPr>
      <w:proofErr w:type="gramStart"/>
      <w:r w:rsidRPr="00F2413F">
        <w:rPr>
          <w:rFonts w:ascii="Arial" w:hAnsi="Arial" w:cs="Arial"/>
          <w:sz w:val="19"/>
          <w:szCs w:val="19"/>
          <w:lang w:val="es-CO"/>
        </w:rPr>
        <w:t>»</w:t>
      </w:r>
      <w:r w:rsidRPr="00F2413F">
        <w:rPr>
          <w:rFonts w:ascii="Arial" w:hAnsi="Arial" w:cs="Arial"/>
          <w:sz w:val="19"/>
          <w:szCs w:val="19"/>
        </w:rPr>
        <w:t>La</w:t>
      </w:r>
      <w:proofErr w:type="gramEnd"/>
      <w:r w:rsidRPr="00F2413F">
        <w:rPr>
          <w:rFonts w:ascii="Arial" w:hAnsi="Arial" w:cs="Arial"/>
          <w:sz w:val="19"/>
          <w:szCs w:val="19"/>
        </w:rPr>
        <w:t xml:space="preserve"> calificación y clasificación certificada de conformidad con el presente artículo será plena prueba de las circunstancias que en ella se hagan constar.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r w:rsidRPr="00F2413F">
        <w:rPr>
          <w:rFonts w:ascii="Arial" w:hAnsi="Arial" w:cs="Arial"/>
          <w:sz w:val="19"/>
          <w:szCs w:val="19"/>
          <w:lang w:val="es-CO"/>
        </w:rPr>
        <w:t>»</w:t>
      </w:r>
      <w:r w:rsidRPr="00F2413F">
        <w:rPr>
          <w:rFonts w:ascii="Arial" w:hAnsi="Arial" w:cs="Arial"/>
          <w:sz w:val="19"/>
          <w:szCs w:val="19"/>
        </w:rPr>
        <w:t>.</w:t>
      </w:r>
    </w:p>
  </w:footnote>
  <w:footnote w:id="4">
    <w:p w14:paraId="691A75B3" w14:textId="1404CE81" w:rsidR="008F3B18" w:rsidRPr="008F3B18" w:rsidRDefault="008F3B18" w:rsidP="008F3B18">
      <w:pPr>
        <w:spacing w:after="120"/>
        <w:ind w:firstLine="708"/>
        <w:jc w:val="both"/>
        <w:rPr>
          <w:rFonts w:ascii="Arial" w:hAnsi="Arial" w:cs="Arial"/>
          <w:sz w:val="19"/>
          <w:szCs w:val="19"/>
        </w:rPr>
      </w:pPr>
      <w:r w:rsidRPr="008F3B18">
        <w:rPr>
          <w:rStyle w:val="Refdenotaalpie"/>
          <w:rFonts w:ascii="Arial" w:hAnsi="Arial" w:cs="Arial"/>
          <w:sz w:val="19"/>
          <w:szCs w:val="19"/>
        </w:rPr>
        <w:footnoteRef/>
      </w:r>
      <w:r w:rsidRPr="008F3B18">
        <w:rPr>
          <w:rFonts w:ascii="Arial" w:hAnsi="Arial" w:cs="Arial"/>
          <w:sz w:val="19"/>
          <w:szCs w:val="19"/>
        </w:rPr>
        <w:t xml:space="preserve"> Al respecto ha manifestado esta Agencia: «</w:t>
      </w:r>
      <w:r w:rsidRPr="008F3B18">
        <w:rPr>
          <w:rFonts w:ascii="Arial" w:eastAsia="Calibri" w:hAnsi="Arial" w:cs="Arial"/>
          <w:sz w:val="19"/>
          <w:szCs w:val="19"/>
        </w:rPr>
        <w:t xml:space="preserve">Según el artículo </w:t>
      </w:r>
      <w:r w:rsidRPr="008F3B18">
        <w:rPr>
          <w:rFonts w:ascii="Arial" w:hAnsi="Arial" w:cs="Arial"/>
          <w:sz w:val="19"/>
          <w:szCs w:val="19"/>
        </w:rPr>
        <w:t xml:space="preserve">2.2.1.1.1.6.4 del Decreto 1082 de 2015, y de acuerdo a </w:t>
      </w:r>
      <w:r w:rsidRPr="008F3B18">
        <w:rPr>
          <w:rFonts w:ascii="Arial" w:eastAsia="Calibri" w:hAnsi="Arial" w:cs="Arial"/>
          <w:sz w:val="19"/>
          <w:szCs w:val="19"/>
        </w:rPr>
        <w:t xml:space="preserve">los numerales 3.11 de los Documentos Base adoptados mediante las Resoluciones Nos. 044 y 045 de 2020, para procesos de licitación –Versión 2– y selección abreviada de menor cuantía –Versión 1– para la escogencia de contratistas de obra pública de infraestructura de transporte, así como lo dispuesto en la </w:t>
      </w:r>
      <w:r w:rsidRPr="008F3B18">
        <w:rPr>
          <w:rFonts w:ascii="Arial" w:hAnsi="Arial" w:cs="Arial"/>
          <w:i/>
          <w:iCs/>
          <w:sz w:val="19"/>
          <w:szCs w:val="19"/>
        </w:rPr>
        <w:t xml:space="preserve">Guía para Determinar y Verificar la Capacidad Residual del Proponente en los Procesos de Contratación de Obra Pública, </w:t>
      </w:r>
      <w:r w:rsidRPr="008F3B18">
        <w:rPr>
          <w:rFonts w:ascii="Arial" w:hAnsi="Arial" w:cs="Arial"/>
          <w:sz w:val="19"/>
          <w:szCs w:val="19"/>
        </w:rPr>
        <w:t xml:space="preserve">la capacidad residual en procesos adelantados con tales documentos tipo se acreditará mediante el «Formato 5 – Capacidad Residual», en el que se deberá consignar: i) la lista de los Contratos en Ejecución, así como el valor y plazo de tales contratos; </w:t>
      </w:r>
      <w:proofErr w:type="spellStart"/>
      <w:r w:rsidRPr="008F3B18">
        <w:rPr>
          <w:rFonts w:ascii="Arial" w:hAnsi="Arial" w:cs="Arial"/>
          <w:sz w:val="19"/>
          <w:szCs w:val="19"/>
        </w:rPr>
        <w:t>ii</w:t>
      </w:r>
      <w:proofErr w:type="spellEnd"/>
      <w:r w:rsidRPr="008F3B18">
        <w:rPr>
          <w:rFonts w:ascii="Arial" w:hAnsi="Arial" w:cs="Arial"/>
          <w:sz w:val="19"/>
          <w:szCs w:val="19"/>
        </w:rPr>
        <w:t xml:space="preserve">) la lista de los Contratos en Ejecución, suscritos por sociedades, consorcios o uniones temporales, en los cuales el proponente tenga participación, así como el valor y plazo de tales contratos; y </w:t>
      </w:r>
      <w:proofErr w:type="spellStart"/>
      <w:r w:rsidRPr="008F3B18">
        <w:rPr>
          <w:rFonts w:ascii="Arial" w:hAnsi="Arial" w:cs="Arial"/>
          <w:sz w:val="19"/>
          <w:szCs w:val="19"/>
        </w:rPr>
        <w:t>iii</w:t>
      </w:r>
      <w:proofErr w:type="spellEnd"/>
      <w:r w:rsidRPr="008F3B18">
        <w:rPr>
          <w:rFonts w:ascii="Arial" w:hAnsi="Arial" w:cs="Arial"/>
          <w:sz w:val="19"/>
          <w:szCs w:val="19"/>
        </w:rPr>
        <w:t>) el estado de resultados auditado que contiene el mejor ingreso operacional de los últimos cinco (5) años y el balance general auditado del último año, suscrito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que contiene el mejor ingreso operacional de los últimos cinco (5) años puesto que la información de la liquidez se encuentra en el RUP</w:t>
      </w:r>
      <w:r>
        <w:rPr>
          <w:rFonts w:ascii="Arial" w:hAnsi="Arial" w:cs="Arial"/>
          <w:sz w:val="19"/>
          <w:szCs w:val="19"/>
        </w:rPr>
        <w:t xml:space="preserve">». Concepto C-720 del </w:t>
      </w:r>
      <w:r w:rsidR="00262ACF">
        <w:rPr>
          <w:rFonts w:ascii="Arial" w:hAnsi="Arial" w:cs="Arial"/>
          <w:sz w:val="19"/>
          <w:szCs w:val="19"/>
        </w:rPr>
        <w:t xml:space="preserve">11 de diciembre de 2020. Radicado de entrada No. </w:t>
      </w:r>
      <w:r w:rsidR="0008029F" w:rsidRPr="0008029F">
        <w:rPr>
          <w:rFonts w:ascii="Arial" w:hAnsi="Arial" w:cs="Arial"/>
          <w:sz w:val="19"/>
          <w:szCs w:val="19"/>
        </w:rPr>
        <w:t>4202013000009821</w:t>
      </w:r>
      <w:r w:rsidR="0008029F">
        <w:rPr>
          <w:rFonts w:ascii="Arial" w:hAnsi="Arial" w:cs="Arial"/>
          <w:sz w:val="19"/>
          <w:szCs w:val="19"/>
        </w:rPr>
        <w:t xml:space="preserve">. Radicado de salida No. </w:t>
      </w:r>
      <w:r w:rsidR="0008029F" w:rsidRPr="0008029F">
        <w:rPr>
          <w:rFonts w:ascii="Arial" w:hAnsi="Arial" w:cs="Arial"/>
          <w:sz w:val="19"/>
          <w:szCs w:val="19"/>
        </w:rPr>
        <w:t>2202013000011979</w:t>
      </w:r>
      <w:r w:rsidR="0008029F">
        <w:rPr>
          <w:rFonts w:ascii="Arial" w:hAnsi="Arial" w:cs="Arial"/>
          <w:sz w:val="19"/>
          <w:szCs w:val="19"/>
        </w:rPr>
        <w:t>.</w:t>
      </w:r>
    </w:p>
    <w:p w14:paraId="4A4404C1" w14:textId="37224459" w:rsidR="008F3B18" w:rsidRDefault="008F3B18">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EB5923" w14:textId="72BD7C0A" w:rsidR="000126BB" w:rsidRDefault="000126BB">
    <w:pPr>
      <w:pStyle w:val="Encabezado"/>
    </w:pPr>
  </w:p>
  <w:p w14:paraId="6A4C7F2C" w14:textId="7D093DBB" w:rsidR="000126BB" w:rsidRDefault="000126BB">
    <w:pPr>
      <w:pStyle w:val="Encabezado"/>
    </w:pPr>
  </w:p>
  <w:p w14:paraId="055F2E1F" w14:textId="0B935ADD" w:rsidR="000126BB" w:rsidRDefault="000126BB">
    <w:pPr>
      <w:pStyle w:val="Encabezado"/>
    </w:pPr>
    <w:r>
      <w:rPr>
        <w:noProof/>
        <w:lang w:val="en-US"/>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0126BB" w:rsidRDefault="000126BB">
    <w:pPr>
      <w:pStyle w:val="Encabezado"/>
    </w:pPr>
  </w:p>
  <w:p w14:paraId="3D323BDB" w14:textId="04AF0DE6" w:rsidR="000126BB" w:rsidRDefault="000126BB">
    <w:pPr>
      <w:pStyle w:val="Encabezado"/>
    </w:pPr>
  </w:p>
  <w:p w14:paraId="6520770B" w14:textId="18EB07B5" w:rsidR="000126BB" w:rsidRDefault="000126B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927401A"/>
    <w:multiLevelType w:val="hybridMultilevel"/>
    <w:tmpl w:val="B7A0FDB6"/>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2" w15:restartNumberingAfterBreak="0">
    <w:nsid w:val="2BAA45F7"/>
    <w:multiLevelType w:val="hybridMultilevel"/>
    <w:tmpl w:val="B8785494"/>
    <w:lvl w:ilvl="0" w:tplc="369A2F20">
      <w:start w:val="1"/>
      <w:numFmt w:val="decimal"/>
      <w:pStyle w:val="Capitulo3"/>
      <w:lvlText w:val="3.%1."/>
      <w:lvlJc w:val="left"/>
      <w:pPr>
        <w:ind w:left="786" w:hanging="360"/>
      </w:pPr>
      <w:rPr>
        <w:rFonts w:hint="default"/>
        <w:b/>
        <w:color w:val="262626" w:themeColor="text1" w:themeTint="D9"/>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3" w15:restartNumberingAfterBreak="0">
    <w:nsid w:val="2E52434E"/>
    <w:multiLevelType w:val="multilevel"/>
    <w:tmpl w:val="451480FA"/>
    <w:lvl w:ilvl="0">
      <w:start w:val="3"/>
      <w:numFmt w:val="decimal"/>
      <w:lvlText w:val="%1."/>
      <w:lvlJc w:val="left"/>
      <w:pPr>
        <w:ind w:left="360" w:hanging="360"/>
      </w:pPr>
      <w:rPr>
        <w:rFonts w:hint="default"/>
        <w:color w:val="3C3C3C" w:themeColor="background2" w:themeShade="4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3C3C3C" w:themeColor="background2" w:themeShade="40"/>
      </w:rPr>
    </w:lvl>
    <w:lvl w:ilvl="3">
      <w:start w:val="1"/>
      <w:numFmt w:val="decimal"/>
      <w:lvlText w:val="%1.%2.%3.%4."/>
      <w:lvlJc w:val="left"/>
      <w:pPr>
        <w:ind w:left="720" w:hanging="720"/>
      </w:pPr>
      <w:rPr>
        <w:rFonts w:hint="default"/>
        <w:color w:val="3C3C3C" w:themeColor="background2" w:themeShade="40"/>
      </w:rPr>
    </w:lvl>
    <w:lvl w:ilvl="4">
      <w:start w:val="1"/>
      <w:numFmt w:val="decimal"/>
      <w:lvlText w:val="%1.%2.%3.%4.%5."/>
      <w:lvlJc w:val="left"/>
      <w:pPr>
        <w:ind w:left="1080" w:hanging="1080"/>
      </w:pPr>
      <w:rPr>
        <w:rFonts w:hint="default"/>
        <w:color w:val="3C3C3C" w:themeColor="background2" w:themeShade="40"/>
      </w:rPr>
    </w:lvl>
    <w:lvl w:ilvl="5">
      <w:start w:val="1"/>
      <w:numFmt w:val="decimal"/>
      <w:lvlText w:val="%1.%2.%3.%4.%5.%6."/>
      <w:lvlJc w:val="left"/>
      <w:pPr>
        <w:ind w:left="1080" w:hanging="1080"/>
      </w:pPr>
      <w:rPr>
        <w:rFonts w:hint="default"/>
        <w:color w:val="3C3C3C" w:themeColor="background2" w:themeShade="40"/>
      </w:rPr>
    </w:lvl>
    <w:lvl w:ilvl="6">
      <w:start w:val="1"/>
      <w:numFmt w:val="decimal"/>
      <w:lvlText w:val="%1.%2.%3.%4.%5.%6.%7."/>
      <w:lvlJc w:val="left"/>
      <w:pPr>
        <w:ind w:left="1440" w:hanging="1440"/>
      </w:pPr>
      <w:rPr>
        <w:rFonts w:hint="default"/>
        <w:color w:val="3C3C3C" w:themeColor="background2" w:themeShade="40"/>
      </w:rPr>
    </w:lvl>
    <w:lvl w:ilvl="7">
      <w:start w:val="1"/>
      <w:numFmt w:val="decimal"/>
      <w:lvlText w:val="%1.%2.%3.%4.%5.%6.%7.%8."/>
      <w:lvlJc w:val="left"/>
      <w:pPr>
        <w:ind w:left="1440" w:hanging="1440"/>
      </w:pPr>
      <w:rPr>
        <w:rFonts w:hint="default"/>
        <w:color w:val="3C3C3C" w:themeColor="background2" w:themeShade="40"/>
      </w:rPr>
    </w:lvl>
    <w:lvl w:ilvl="8">
      <w:start w:val="1"/>
      <w:numFmt w:val="decimal"/>
      <w:lvlText w:val="%1.%2.%3.%4.%5.%6.%7.%8.%9."/>
      <w:lvlJc w:val="left"/>
      <w:pPr>
        <w:ind w:left="1800" w:hanging="1800"/>
      </w:pPr>
      <w:rPr>
        <w:rFonts w:hint="default"/>
        <w:color w:val="3C3C3C" w:themeColor="background2" w:themeShade="40"/>
      </w:rPr>
    </w:lvl>
  </w:abstractNum>
  <w:abstractNum w:abstractNumId="4"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8"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9" w15:restartNumberingAfterBreak="0">
    <w:nsid w:val="6C747154"/>
    <w:multiLevelType w:val="hybridMultilevel"/>
    <w:tmpl w:val="EFCAB862"/>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cs="Times New Roman"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cs="Times New Roman"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cs="Times New Roman" w:hint="default"/>
      </w:rPr>
    </w:lvl>
    <w:lvl w:ilvl="8" w:tplc="477E1BD4">
      <w:start w:val="1"/>
      <w:numFmt w:val="bullet"/>
      <w:lvlText w:val=""/>
      <w:lvlJc w:val="left"/>
      <w:pPr>
        <w:ind w:left="6480" w:hanging="360"/>
      </w:pPr>
      <w:rPr>
        <w:rFonts w:ascii="Wingdings" w:hAnsi="Wingdings" w:hint="default"/>
      </w:rPr>
    </w:lvl>
  </w:abstractNum>
  <w:abstractNum w:abstractNumId="10" w15:restartNumberingAfterBreak="0">
    <w:nsid w:val="70053A3C"/>
    <w:multiLevelType w:val="hybridMultilevel"/>
    <w:tmpl w:val="B6AC8E9A"/>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hint="default"/>
      </w:rPr>
    </w:lvl>
    <w:lvl w:ilvl="8" w:tplc="477E1BD4">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6"/>
  </w:num>
  <w:num w:numId="4">
    <w:abstractNumId w:val="7"/>
  </w:num>
  <w:num w:numId="5">
    <w:abstractNumId w:val="8"/>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9"/>
  </w:num>
  <w:num w:numId="9">
    <w:abstractNumId w:val="2"/>
    <w:lvlOverride w:ilvl="0">
      <w:startOverride w:val="1"/>
    </w:lvlOverride>
  </w:num>
  <w:num w:numId="10">
    <w:abstractNumId w:val="10"/>
  </w:num>
  <w:num w:numId="11">
    <w:abstractNumId w:val="3"/>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5"/>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268F"/>
    <w:rsid w:val="0000404B"/>
    <w:rsid w:val="0000645E"/>
    <w:rsid w:val="00011A5B"/>
    <w:rsid w:val="000126BB"/>
    <w:rsid w:val="00012965"/>
    <w:rsid w:val="00012A1B"/>
    <w:rsid w:val="000136DC"/>
    <w:rsid w:val="00016F33"/>
    <w:rsid w:val="00016FAC"/>
    <w:rsid w:val="0001726A"/>
    <w:rsid w:val="0001795B"/>
    <w:rsid w:val="00020801"/>
    <w:rsid w:val="00024BE5"/>
    <w:rsid w:val="00026AD9"/>
    <w:rsid w:val="000271AD"/>
    <w:rsid w:val="00027940"/>
    <w:rsid w:val="00027F74"/>
    <w:rsid w:val="000303EC"/>
    <w:rsid w:val="000365C0"/>
    <w:rsid w:val="000403F5"/>
    <w:rsid w:val="0004497F"/>
    <w:rsid w:val="000503A1"/>
    <w:rsid w:val="00056024"/>
    <w:rsid w:val="0005664C"/>
    <w:rsid w:val="00057275"/>
    <w:rsid w:val="00057953"/>
    <w:rsid w:val="00057C9C"/>
    <w:rsid w:val="000614A7"/>
    <w:rsid w:val="0006293E"/>
    <w:rsid w:val="00064C05"/>
    <w:rsid w:val="0006625D"/>
    <w:rsid w:val="00070770"/>
    <w:rsid w:val="00070A22"/>
    <w:rsid w:val="000713E3"/>
    <w:rsid w:val="00071D6E"/>
    <w:rsid w:val="00072C4F"/>
    <w:rsid w:val="0007590A"/>
    <w:rsid w:val="0008029F"/>
    <w:rsid w:val="00080D35"/>
    <w:rsid w:val="00081AF3"/>
    <w:rsid w:val="00081D60"/>
    <w:rsid w:val="0008260E"/>
    <w:rsid w:val="00084DC0"/>
    <w:rsid w:val="00085829"/>
    <w:rsid w:val="00085CC3"/>
    <w:rsid w:val="00087888"/>
    <w:rsid w:val="000939E0"/>
    <w:rsid w:val="00093D35"/>
    <w:rsid w:val="000942EB"/>
    <w:rsid w:val="0009651A"/>
    <w:rsid w:val="00096EAB"/>
    <w:rsid w:val="0009712F"/>
    <w:rsid w:val="000972BA"/>
    <w:rsid w:val="000A15CB"/>
    <w:rsid w:val="000A1B81"/>
    <w:rsid w:val="000A2C01"/>
    <w:rsid w:val="000A3977"/>
    <w:rsid w:val="000A5189"/>
    <w:rsid w:val="000A668C"/>
    <w:rsid w:val="000A7E46"/>
    <w:rsid w:val="000B0D06"/>
    <w:rsid w:val="000B103F"/>
    <w:rsid w:val="000B1C28"/>
    <w:rsid w:val="000B473D"/>
    <w:rsid w:val="000B4FC6"/>
    <w:rsid w:val="000B53D0"/>
    <w:rsid w:val="000C0B7C"/>
    <w:rsid w:val="000C113F"/>
    <w:rsid w:val="000C198D"/>
    <w:rsid w:val="000C277F"/>
    <w:rsid w:val="000C2DD2"/>
    <w:rsid w:val="000C4C70"/>
    <w:rsid w:val="000C6347"/>
    <w:rsid w:val="000C7B6E"/>
    <w:rsid w:val="000D0AFA"/>
    <w:rsid w:val="000D6D84"/>
    <w:rsid w:val="000D72CE"/>
    <w:rsid w:val="000D73DF"/>
    <w:rsid w:val="000D78D2"/>
    <w:rsid w:val="000E1761"/>
    <w:rsid w:val="000E1F13"/>
    <w:rsid w:val="000E68FA"/>
    <w:rsid w:val="000E6962"/>
    <w:rsid w:val="000E6D84"/>
    <w:rsid w:val="000F14E8"/>
    <w:rsid w:val="000F3B04"/>
    <w:rsid w:val="000F4A92"/>
    <w:rsid w:val="000F7A78"/>
    <w:rsid w:val="000F7AE4"/>
    <w:rsid w:val="001015E9"/>
    <w:rsid w:val="001017F1"/>
    <w:rsid w:val="00102AA1"/>
    <w:rsid w:val="00103915"/>
    <w:rsid w:val="00103D3D"/>
    <w:rsid w:val="00104F8D"/>
    <w:rsid w:val="001065D1"/>
    <w:rsid w:val="00106B75"/>
    <w:rsid w:val="001075BA"/>
    <w:rsid w:val="001112CF"/>
    <w:rsid w:val="00111438"/>
    <w:rsid w:val="00111636"/>
    <w:rsid w:val="00112192"/>
    <w:rsid w:val="00114236"/>
    <w:rsid w:val="001152BA"/>
    <w:rsid w:val="0011561C"/>
    <w:rsid w:val="001214FF"/>
    <w:rsid w:val="001229C6"/>
    <w:rsid w:val="00122B23"/>
    <w:rsid w:val="001238FD"/>
    <w:rsid w:val="00124E73"/>
    <w:rsid w:val="00124EC3"/>
    <w:rsid w:val="00125291"/>
    <w:rsid w:val="00125D4C"/>
    <w:rsid w:val="001309E0"/>
    <w:rsid w:val="001332D0"/>
    <w:rsid w:val="00133B54"/>
    <w:rsid w:val="001344AA"/>
    <w:rsid w:val="00137BA1"/>
    <w:rsid w:val="00137FFA"/>
    <w:rsid w:val="001425C5"/>
    <w:rsid w:val="001448B5"/>
    <w:rsid w:val="00144AC4"/>
    <w:rsid w:val="00146305"/>
    <w:rsid w:val="00146E1D"/>
    <w:rsid w:val="00152609"/>
    <w:rsid w:val="00153800"/>
    <w:rsid w:val="001550CF"/>
    <w:rsid w:val="0015526E"/>
    <w:rsid w:val="001554A4"/>
    <w:rsid w:val="0016135A"/>
    <w:rsid w:val="0016149E"/>
    <w:rsid w:val="00161D78"/>
    <w:rsid w:val="00165EA8"/>
    <w:rsid w:val="0016680A"/>
    <w:rsid w:val="00167B9D"/>
    <w:rsid w:val="00167F0C"/>
    <w:rsid w:val="00170733"/>
    <w:rsid w:val="001715C9"/>
    <w:rsid w:val="00172E0A"/>
    <w:rsid w:val="00174107"/>
    <w:rsid w:val="001755EC"/>
    <w:rsid w:val="00175795"/>
    <w:rsid w:val="0017712D"/>
    <w:rsid w:val="00177BAA"/>
    <w:rsid w:val="00180B3B"/>
    <w:rsid w:val="00184E93"/>
    <w:rsid w:val="00185D1B"/>
    <w:rsid w:val="00186ADE"/>
    <w:rsid w:val="0018777D"/>
    <w:rsid w:val="001900CF"/>
    <w:rsid w:val="001918D6"/>
    <w:rsid w:val="0019299F"/>
    <w:rsid w:val="00192A8A"/>
    <w:rsid w:val="001939B7"/>
    <w:rsid w:val="00193D0C"/>
    <w:rsid w:val="00195DB4"/>
    <w:rsid w:val="00195FE9"/>
    <w:rsid w:val="001963AE"/>
    <w:rsid w:val="001963C6"/>
    <w:rsid w:val="0019745D"/>
    <w:rsid w:val="001A08F7"/>
    <w:rsid w:val="001A0DF1"/>
    <w:rsid w:val="001A0EC0"/>
    <w:rsid w:val="001A27D7"/>
    <w:rsid w:val="001A339B"/>
    <w:rsid w:val="001A387A"/>
    <w:rsid w:val="001A66F1"/>
    <w:rsid w:val="001B2ED4"/>
    <w:rsid w:val="001B3306"/>
    <w:rsid w:val="001B464A"/>
    <w:rsid w:val="001B4A46"/>
    <w:rsid w:val="001B528A"/>
    <w:rsid w:val="001B53B4"/>
    <w:rsid w:val="001B6044"/>
    <w:rsid w:val="001B670F"/>
    <w:rsid w:val="001B686F"/>
    <w:rsid w:val="001B7618"/>
    <w:rsid w:val="001B7DEA"/>
    <w:rsid w:val="001C219D"/>
    <w:rsid w:val="001C2975"/>
    <w:rsid w:val="001C2E59"/>
    <w:rsid w:val="001C33CB"/>
    <w:rsid w:val="001C5272"/>
    <w:rsid w:val="001C722C"/>
    <w:rsid w:val="001C770E"/>
    <w:rsid w:val="001D172E"/>
    <w:rsid w:val="001D1F91"/>
    <w:rsid w:val="001D5E4D"/>
    <w:rsid w:val="001D5F3C"/>
    <w:rsid w:val="001D7F0A"/>
    <w:rsid w:val="001E0042"/>
    <w:rsid w:val="001E008B"/>
    <w:rsid w:val="001E0396"/>
    <w:rsid w:val="001E0545"/>
    <w:rsid w:val="001E0849"/>
    <w:rsid w:val="001E1A13"/>
    <w:rsid w:val="001E1AB8"/>
    <w:rsid w:val="001E4487"/>
    <w:rsid w:val="001E453C"/>
    <w:rsid w:val="001F140A"/>
    <w:rsid w:val="001F1AFA"/>
    <w:rsid w:val="001F2447"/>
    <w:rsid w:val="001F2AD0"/>
    <w:rsid w:val="001F3D53"/>
    <w:rsid w:val="001F6AAC"/>
    <w:rsid w:val="001F71C9"/>
    <w:rsid w:val="001F790E"/>
    <w:rsid w:val="00200174"/>
    <w:rsid w:val="002005CC"/>
    <w:rsid w:val="00203F1A"/>
    <w:rsid w:val="00204114"/>
    <w:rsid w:val="002059AF"/>
    <w:rsid w:val="002135F3"/>
    <w:rsid w:val="002146C0"/>
    <w:rsid w:val="00216F1A"/>
    <w:rsid w:val="0021759E"/>
    <w:rsid w:val="00220CE5"/>
    <w:rsid w:val="002236DB"/>
    <w:rsid w:val="00224570"/>
    <w:rsid w:val="0022655C"/>
    <w:rsid w:val="00233A24"/>
    <w:rsid w:val="0023484E"/>
    <w:rsid w:val="00234B84"/>
    <w:rsid w:val="00237329"/>
    <w:rsid w:val="002416BA"/>
    <w:rsid w:val="00241C2F"/>
    <w:rsid w:val="002432CF"/>
    <w:rsid w:val="002457FD"/>
    <w:rsid w:val="00245C7E"/>
    <w:rsid w:val="0024744E"/>
    <w:rsid w:val="00250718"/>
    <w:rsid w:val="00251445"/>
    <w:rsid w:val="00253276"/>
    <w:rsid w:val="00253C1D"/>
    <w:rsid w:val="00254319"/>
    <w:rsid w:val="002563B9"/>
    <w:rsid w:val="0025685E"/>
    <w:rsid w:val="00256FC8"/>
    <w:rsid w:val="0025768C"/>
    <w:rsid w:val="0026212E"/>
    <w:rsid w:val="00262ACF"/>
    <w:rsid w:val="00265C96"/>
    <w:rsid w:val="00265CEB"/>
    <w:rsid w:val="00265ED0"/>
    <w:rsid w:val="00266E0C"/>
    <w:rsid w:val="00270234"/>
    <w:rsid w:val="0027071C"/>
    <w:rsid w:val="00272C62"/>
    <w:rsid w:val="00275701"/>
    <w:rsid w:val="00276521"/>
    <w:rsid w:val="002807BA"/>
    <w:rsid w:val="00283380"/>
    <w:rsid w:val="002842D7"/>
    <w:rsid w:val="00284F66"/>
    <w:rsid w:val="00285D7E"/>
    <w:rsid w:val="00285FED"/>
    <w:rsid w:val="00286A53"/>
    <w:rsid w:val="00287542"/>
    <w:rsid w:val="002877E9"/>
    <w:rsid w:val="0029159E"/>
    <w:rsid w:val="00294801"/>
    <w:rsid w:val="00296A60"/>
    <w:rsid w:val="0029774A"/>
    <w:rsid w:val="002A4F10"/>
    <w:rsid w:val="002A63F4"/>
    <w:rsid w:val="002B4907"/>
    <w:rsid w:val="002B50DA"/>
    <w:rsid w:val="002B5A78"/>
    <w:rsid w:val="002B5A90"/>
    <w:rsid w:val="002B7548"/>
    <w:rsid w:val="002B7A86"/>
    <w:rsid w:val="002B7DD1"/>
    <w:rsid w:val="002C087E"/>
    <w:rsid w:val="002C279B"/>
    <w:rsid w:val="002C27C5"/>
    <w:rsid w:val="002C2BF2"/>
    <w:rsid w:val="002D0A97"/>
    <w:rsid w:val="002D3456"/>
    <w:rsid w:val="002D4BB3"/>
    <w:rsid w:val="002D7E62"/>
    <w:rsid w:val="002D7F92"/>
    <w:rsid w:val="002E0A18"/>
    <w:rsid w:val="002E1964"/>
    <w:rsid w:val="002E1E7E"/>
    <w:rsid w:val="002E2C98"/>
    <w:rsid w:val="002E6B6F"/>
    <w:rsid w:val="002E7E47"/>
    <w:rsid w:val="002F0800"/>
    <w:rsid w:val="002F0E9A"/>
    <w:rsid w:val="002F330E"/>
    <w:rsid w:val="002F3606"/>
    <w:rsid w:val="002F5131"/>
    <w:rsid w:val="002F70EB"/>
    <w:rsid w:val="002F779E"/>
    <w:rsid w:val="003033BA"/>
    <w:rsid w:val="003046D6"/>
    <w:rsid w:val="00312B8C"/>
    <w:rsid w:val="00313BBA"/>
    <w:rsid w:val="00313D9F"/>
    <w:rsid w:val="00314899"/>
    <w:rsid w:val="00315623"/>
    <w:rsid w:val="0032072B"/>
    <w:rsid w:val="003207D8"/>
    <w:rsid w:val="00320DFD"/>
    <w:rsid w:val="00326F22"/>
    <w:rsid w:val="00326FE1"/>
    <w:rsid w:val="0033002D"/>
    <w:rsid w:val="00332906"/>
    <w:rsid w:val="00332C3C"/>
    <w:rsid w:val="00333BE1"/>
    <w:rsid w:val="00334B76"/>
    <w:rsid w:val="00336644"/>
    <w:rsid w:val="00336DAD"/>
    <w:rsid w:val="00337299"/>
    <w:rsid w:val="0033763C"/>
    <w:rsid w:val="0034149E"/>
    <w:rsid w:val="00341CE5"/>
    <w:rsid w:val="00342202"/>
    <w:rsid w:val="003429C9"/>
    <w:rsid w:val="00344889"/>
    <w:rsid w:val="0034658C"/>
    <w:rsid w:val="0034680A"/>
    <w:rsid w:val="00347661"/>
    <w:rsid w:val="003478E7"/>
    <w:rsid w:val="00351383"/>
    <w:rsid w:val="00351514"/>
    <w:rsid w:val="00351C84"/>
    <w:rsid w:val="00352927"/>
    <w:rsid w:val="00353503"/>
    <w:rsid w:val="00353FDF"/>
    <w:rsid w:val="00354545"/>
    <w:rsid w:val="00354D28"/>
    <w:rsid w:val="003555B4"/>
    <w:rsid w:val="00356CA0"/>
    <w:rsid w:val="00362486"/>
    <w:rsid w:val="003640AA"/>
    <w:rsid w:val="003644B1"/>
    <w:rsid w:val="003645B7"/>
    <w:rsid w:val="0036497E"/>
    <w:rsid w:val="00364F1A"/>
    <w:rsid w:val="00366C32"/>
    <w:rsid w:val="0037257D"/>
    <w:rsid w:val="00377AD6"/>
    <w:rsid w:val="00381B41"/>
    <w:rsid w:val="00383DDA"/>
    <w:rsid w:val="00384B44"/>
    <w:rsid w:val="00384D0F"/>
    <w:rsid w:val="00384DF8"/>
    <w:rsid w:val="00386456"/>
    <w:rsid w:val="00387241"/>
    <w:rsid w:val="0039010E"/>
    <w:rsid w:val="003901D8"/>
    <w:rsid w:val="00391D93"/>
    <w:rsid w:val="003934DD"/>
    <w:rsid w:val="00394A03"/>
    <w:rsid w:val="00395C61"/>
    <w:rsid w:val="00397BA2"/>
    <w:rsid w:val="003A046A"/>
    <w:rsid w:val="003A25E4"/>
    <w:rsid w:val="003A2C66"/>
    <w:rsid w:val="003A581E"/>
    <w:rsid w:val="003A651C"/>
    <w:rsid w:val="003B0B16"/>
    <w:rsid w:val="003B1816"/>
    <w:rsid w:val="003B3E58"/>
    <w:rsid w:val="003B401C"/>
    <w:rsid w:val="003B79A5"/>
    <w:rsid w:val="003C02AF"/>
    <w:rsid w:val="003C40DD"/>
    <w:rsid w:val="003C4141"/>
    <w:rsid w:val="003C50C9"/>
    <w:rsid w:val="003C62BD"/>
    <w:rsid w:val="003D284B"/>
    <w:rsid w:val="003D40F4"/>
    <w:rsid w:val="003D4F72"/>
    <w:rsid w:val="003E07B4"/>
    <w:rsid w:val="003E11A8"/>
    <w:rsid w:val="003E14B0"/>
    <w:rsid w:val="003E5505"/>
    <w:rsid w:val="003E5ED1"/>
    <w:rsid w:val="003E6682"/>
    <w:rsid w:val="003E7261"/>
    <w:rsid w:val="003E7A20"/>
    <w:rsid w:val="003F0FBE"/>
    <w:rsid w:val="003F1C05"/>
    <w:rsid w:val="003F28CF"/>
    <w:rsid w:val="003F328D"/>
    <w:rsid w:val="003F47E5"/>
    <w:rsid w:val="003F5CDD"/>
    <w:rsid w:val="003F7E6A"/>
    <w:rsid w:val="00400083"/>
    <w:rsid w:val="0040059A"/>
    <w:rsid w:val="00407BD2"/>
    <w:rsid w:val="0041043C"/>
    <w:rsid w:val="00411B85"/>
    <w:rsid w:val="00416511"/>
    <w:rsid w:val="004207E3"/>
    <w:rsid w:val="00420D01"/>
    <w:rsid w:val="0042321C"/>
    <w:rsid w:val="00423267"/>
    <w:rsid w:val="0042502C"/>
    <w:rsid w:val="004252E8"/>
    <w:rsid w:val="00426EEE"/>
    <w:rsid w:val="00426F4A"/>
    <w:rsid w:val="00426FC5"/>
    <w:rsid w:val="004325AA"/>
    <w:rsid w:val="00432915"/>
    <w:rsid w:val="0043299F"/>
    <w:rsid w:val="00435AA2"/>
    <w:rsid w:val="004363BC"/>
    <w:rsid w:val="0043754D"/>
    <w:rsid w:val="00437BF5"/>
    <w:rsid w:val="00437BF8"/>
    <w:rsid w:val="004422D6"/>
    <w:rsid w:val="00442BFD"/>
    <w:rsid w:val="00444A46"/>
    <w:rsid w:val="00445EE4"/>
    <w:rsid w:val="00447095"/>
    <w:rsid w:val="00450129"/>
    <w:rsid w:val="004507CF"/>
    <w:rsid w:val="0045342C"/>
    <w:rsid w:val="00454B0F"/>
    <w:rsid w:val="004575D3"/>
    <w:rsid w:val="00457B1D"/>
    <w:rsid w:val="00463997"/>
    <w:rsid w:val="0046604D"/>
    <w:rsid w:val="0047250D"/>
    <w:rsid w:val="0047444E"/>
    <w:rsid w:val="00474614"/>
    <w:rsid w:val="00474880"/>
    <w:rsid w:val="004768C9"/>
    <w:rsid w:val="00476A0B"/>
    <w:rsid w:val="00477A49"/>
    <w:rsid w:val="00477BFF"/>
    <w:rsid w:val="00480F10"/>
    <w:rsid w:val="00481FA4"/>
    <w:rsid w:val="004878C1"/>
    <w:rsid w:val="00493D3B"/>
    <w:rsid w:val="00494AED"/>
    <w:rsid w:val="0049505C"/>
    <w:rsid w:val="00496626"/>
    <w:rsid w:val="0049684A"/>
    <w:rsid w:val="00497B27"/>
    <w:rsid w:val="004A34D2"/>
    <w:rsid w:val="004A411B"/>
    <w:rsid w:val="004A488B"/>
    <w:rsid w:val="004B219E"/>
    <w:rsid w:val="004B259A"/>
    <w:rsid w:val="004B4A0E"/>
    <w:rsid w:val="004B6DE0"/>
    <w:rsid w:val="004C003F"/>
    <w:rsid w:val="004C0993"/>
    <w:rsid w:val="004C1226"/>
    <w:rsid w:val="004C1F44"/>
    <w:rsid w:val="004C1F93"/>
    <w:rsid w:val="004C5092"/>
    <w:rsid w:val="004D2B08"/>
    <w:rsid w:val="004D2C64"/>
    <w:rsid w:val="004D3473"/>
    <w:rsid w:val="004D4556"/>
    <w:rsid w:val="004D7967"/>
    <w:rsid w:val="004D7A98"/>
    <w:rsid w:val="004E2973"/>
    <w:rsid w:val="004E4142"/>
    <w:rsid w:val="004E4AB7"/>
    <w:rsid w:val="004E5102"/>
    <w:rsid w:val="004E5B78"/>
    <w:rsid w:val="004F0B50"/>
    <w:rsid w:val="004F32CC"/>
    <w:rsid w:val="004F4EB9"/>
    <w:rsid w:val="004F767E"/>
    <w:rsid w:val="00502929"/>
    <w:rsid w:val="005037CD"/>
    <w:rsid w:val="005053B0"/>
    <w:rsid w:val="0051074C"/>
    <w:rsid w:val="0051089A"/>
    <w:rsid w:val="00510BB6"/>
    <w:rsid w:val="0051288D"/>
    <w:rsid w:val="00513A69"/>
    <w:rsid w:val="00513AF2"/>
    <w:rsid w:val="00514569"/>
    <w:rsid w:val="005152C2"/>
    <w:rsid w:val="005200B5"/>
    <w:rsid w:val="005214E4"/>
    <w:rsid w:val="00521B54"/>
    <w:rsid w:val="00524F8D"/>
    <w:rsid w:val="005250AD"/>
    <w:rsid w:val="0052563B"/>
    <w:rsid w:val="0052715F"/>
    <w:rsid w:val="00533367"/>
    <w:rsid w:val="00535161"/>
    <w:rsid w:val="0053606E"/>
    <w:rsid w:val="0053777D"/>
    <w:rsid w:val="005418FA"/>
    <w:rsid w:val="00541E7D"/>
    <w:rsid w:val="00542906"/>
    <w:rsid w:val="0054413A"/>
    <w:rsid w:val="005443C9"/>
    <w:rsid w:val="00545144"/>
    <w:rsid w:val="00545326"/>
    <w:rsid w:val="005457A0"/>
    <w:rsid w:val="00550551"/>
    <w:rsid w:val="005532DA"/>
    <w:rsid w:val="005564CA"/>
    <w:rsid w:val="00556CDD"/>
    <w:rsid w:val="00561510"/>
    <w:rsid w:val="00561B40"/>
    <w:rsid w:val="005620AD"/>
    <w:rsid w:val="005626E7"/>
    <w:rsid w:val="0057037F"/>
    <w:rsid w:val="00571249"/>
    <w:rsid w:val="00571565"/>
    <w:rsid w:val="00571897"/>
    <w:rsid w:val="005731B5"/>
    <w:rsid w:val="0057389B"/>
    <w:rsid w:val="00574D20"/>
    <w:rsid w:val="00575B77"/>
    <w:rsid w:val="00575D08"/>
    <w:rsid w:val="005770F6"/>
    <w:rsid w:val="005811F1"/>
    <w:rsid w:val="00584E86"/>
    <w:rsid w:val="00590DD9"/>
    <w:rsid w:val="0059266D"/>
    <w:rsid w:val="005A0585"/>
    <w:rsid w:val="005A1570"/>
    <w:rsid w:val="005A34F0"/>
    <w:rsid w:val="005A396B"/>
    <w:rsid w:val="005A456B"/>
    <w:rsid w:val="005A4A4C"/>
    <w:rsid w:val="005A5275"/>
    <w:rsid w:val="005A6DCD"/>
    <w:rsid w:val="005A79FE"/>
    <w:rsid w:val="005B2224"/>
    <w:rsid w:val="005B2AF3"/>
    <w:rsid w:val="005B4AA6"/>
    <w:rsid w:val="005B7215"/>
    <w:rsid w:val="005B7515"/>
    <w:rsid w:val="005B7A2F"/>
    <w:rsid w:val="005C0D43"/>
    <w:rsid w:val="005C1FFD"/>
    <w:rsid w:val="005C266E"/>
    <w:rsid w:val="005C5A22"/>
    <w:rsid w:val="005C5B5C"/>
    <w:rsid w:val="005D29B5"/>
    <w:rsid w:val="005D3445"/>
    <w:rsid w:val="005D474D"/>
    <w:rsid w:val="005D552E"/>
    <w:rsid w:val="005E05E3"/>
    <w:rsid w:val="005E2F44"/>
    <w:rsid w:val="005E3FDB"/>
    <w:rsid w:val="005E605B"/>
    <w:rsid w:val="005E67FC"/>
    <w:rsid w:val="005E7572"/>
    <w:rsid w:val="005E7A0B"/>
    <w:rsid w:val="005F0C78"/>
    <w:rsid w:val="005F1050"/>
    <w:rsid w:val="005F3431"/>
    <w:rsid w:val="005F49C3"/>
    <w:rsid w:val="005F4BF5"/>
    <w:rsid w:val="006007CC"/>
    <w:rsid w:val="006030AA"/>
    <w:rsid w:val="00603BDE"/>
    <w:rsid w:val="006108BF"/>
    <w:rsid w:val="00610C94"/>
    <w:rsid w:val="006134DB"/>
    <w:rsid w:val="00620CBF"/>
    <w:rsid w:val="00620E47"/>
    <w:rsid w:val="0062567A"/>
    <w:rsid w:val="00627A0E"/>
    <w:rsid w:val="006303BA"/>
    <w:rsid w:val="006334A8"/>
    <w:rsid w:val="0063594B"/>
    <w:rsid w:val="006367B1"/>
    <w:rsid w:val="0063788B"/>
    <w:rsid w:val="006404C9"/>
    <w:rsid w:val="00642D57"/>
    <w:rsid w:val="00647622"/>
    <w:rsid w:val="00651D31"/>
    <w:rsid w:val="006524BE"/>
    <w:rsid w:val="00652A5C"/>
    <w:rsid w:val="006533F8"/>
    <w:rsid w:val="00655360"/>
    <w:rsid w:val="00655371"/>
    <w:rsid w:val="006563C3"/>
    <w:rsid w:val="00663226"/>
    <w:rsid w:val="00666AF7"/>
    <w:rsid w:val="00667EBB"/>
    <w:rsid w:val="00670B1B"/>
    <w:rsid w:val="00672EEC"/>
    <w:rsid w:val="00673789"/>
    <w:rsid w:val="00683085"/>
    <w:rsid w:val="0068338B"/>
    <w:rsid w:val="0069158F"/>
    <w:rsid w:val="00691C58"/>
    <w:rsid w:val="0069678A"/>
    <w:rsid w:val="00696D80"/>
    <w:rsid w:val="00697665"/>
    <w:rsid w:val="00697D73"/>
    <w:rsid w:val="006A12F4"/>
    <w:rsid w:val="006A3206"/>
    <w:rsid w:val="006A3CD1"/>
    <w:rsid w:val="006A454C"/>
    <w:rsid w:val="006A58B8"/>
    <w:rsid w:val="006A64A9"/>
    <w:rsid w:val="006A7FD0"/>
    <w:rsid w:val="006B161A"/>
    <w:rsid w:val="006B20FC"/>
    <w:rsid w:val="006B3DB6"/>
    <w:rsid w:val="006B6A7B"/>
    <w:rsid w:val="006B7C58"/>
    <w:rsid w:val="006C084F"/>
    <w:rsid w:val="006C649F"/>
    <w:rsid w:val="006C68E5"/>
    <w:rsid w:val="006D23BA"/>
    <w:rsid w:val="006D2CB8"/>
    <w:rsid w:val="006D3BCF"/>
    <w:rsid w:val="006D40DC"/>
    <w:rsid w:val="006D4F07"/>
    <w:rsid w:val="006D7687"/>
    <w:rsid w:val="006E0385"/>
    <w:rsid w:val="006E0572"/>
    <w:rsid w:val="006E1324"/>
    <w:rsid w:val="006E1CCF"/>
    <w:rsid w:val="006E2F3E"/>
    <w:rsid w:val="006E6D63"/>
    <w:rsid w:val="006E6E42"/>
    <w:rsid w:val="006E75E2"/>
    <w:rsid w:val="006F3DAA"/>
    <w:rsid w:val="006F4405"/>
    <w:rsid w:val="006F4582"/>
    <w:rsid w:val="00700377"/>
    <w:rsid w:val="007020A1"/>
    <w:rsid w:val="00702115"/>
    <w:rsid w:val="00703E2C"/>
    <w:rsid w:val="00704110"/>
    <w:rsid w:val="00705631"/>
    <w:rsid w:val="00706399"/>
    <w:rsid w:val="00707FF5"/>
    <w:rsid w:val="00711A50"/>
    <w:rsid w:val="00713DE5"/>
    <w:rsid w:val="00714254"/>
    <w:rsid w:val="00714718"/>
    <w:rsid w:val="00715929"/>
    <w:rsid w:val="00717891"/>
    <w:rsid w:val="007210EC"/>
    <w:rsid w:val="0072127D"/>
    <w:rsid w:val="007229B0"/>
    <w:rsid w:val="00725AC2"/>
    <w:rsid w:val="00726DBE"/>
    <w:rsid w:val="00727FB6"/>
    <w:rsid w:val="007300F3"/>
    <w:rsid w:val="00732AB2"/>
    <w:rsid w:val="00734D43"/>
    <w:rsid w:val="00735194"/>
    <w:rsid w:val="007404BC"/>
    <w:rsid w:val="00740E00"/>
    <w:rsid w:val="00742DD2"/>
    <w:rsid w:val="00744761"/>
    <w:rsid w:val="00746246"/>
    <w:rsid w:val="00746A55"/>
    <w:rsid w:val="00752568"/>
    <w:rsid w:val="00754621"/>
    <w:rsid w:val="0075647A"/>
    <w:rsid w:val="007634AD"/>
    <w:rsid w:val="0076566F"/>
    <w:rsid w:val="007656E6"/>
    <w:rsid w:val="00765BE2"/>
    <w:rsid w:val="007673F0"/>
    <w:rsid w:val="00772C6C"/>
    <w:rsid w:val="007741D9"/>
    <w:rsid w:val="007743B6"/>
    <w:rsid w:val="007748F6"/>
    <w:rsid w:val="0078122E"/>
    <w:rsid w:val="00781BDE"/>
    <w:rsid w:val="00783506"/>
    <w:rsid w:val="00783FC7"/>
    <w:rsid w:val="0078442B"/>
    <w:rsid w:val="00785A12"/>
    <w:rsid w:val="00793845"/>
    <w:rsid w:val="0079520D"/>
    <w:rsid w:val="00796EC8"/>
    <w:rsid w:val="00797DF7"/>
    <w:rsid w:val="007A0D0E"/>
    <w:rsid w:val="007A2550"/>
    <w:rsid w:val="007A4C5A"/>
    <w:rsid w:val="007A615D"/>
    <w:rsid w:val="007A7577"/>
    <w:rsid w:val="007B0139"/>
    <w:rsid w:val="007B0854"/>
    <w:rsid w:val="007B0F58"/>
    <w:rsid w:val="007B24B5"/>
    <w:rsid w:val="007B2751"/>
    <w:rsid w:val="007C0326"/>
    <w:rsid w:val="007C5BE8"/>
    <w:rsid w:val="007C6410"/>
    <w:rsid w:val="007C672F"/>
    <w:rsid w:val="007C7638"/>
    <w:rsid w:val="007C7F04"/>
    <w:rsid w:val="007D0305"/>
    <w:rsid w:val="007D1AD1"/>
    <w:rsid w:val="007E01FC"/>
    <w:rsid w:val="007E145D"/>
    <w:rsid w:val="007E6B15"/>
    <w:rsid w:val="007E750C"/>
    <w:rsid w:val="007F0D40"/>
    <w:rsid w:val="007F168F"/>
    <w:rsid w:val="007F367B"/>
    <w:rsid w:val="007F4347"/>
    <w:rsid w:val="007F70E0"/>
    <w:rsid w:val="007F72CB"/>
    <w:rsid w:val="00802A13"/>
    <w:rsid w:val="00803235"/>
    <w:rsid w:val="00804C29"/>
    <w:rsid w:val="00804CE6"/>
    <w:rsid w:val="0080594C"/>
    <w:rsid w:val="008101D2"/>
    <w:rsid w:val="008111B0"/>
    <w:rsid w:val="00811ED3"/>
    <w:rsid w:val="00813504"/>
    <w:rsid w:val="00816302"/>
    <w:rsid w:val="00816D48"/>
    <w:rsid w:val="00817CA8"/>
    <w:rsid w:val="00822D58"/>
    <w:rsid w:val="00823649"/>
    <w:rsid w:val="00825EA3"/>
    <w:rsid w:val="00826A9D"/>
    <w:rsid w:val="0083119B"/>
    <w:rsid w:val="0083133A"/>
    <w:rsid w:val="008366AF"/>
    <w:rsid w:val="00836EAB"/>
    <w:rsid w:val="00837B0F"/>
    <w:rsid w:val="00837BAF"/>
    <w:rsid w:val="00841280"/>
    <w:rsid w:val="0084152B"/>
    <w:rsid w:val="00841639"/>
    <w:rsid w:val="00842535"/>
    <w:rsid w:val="00842F23"/>
    <w:rsid w:val="00843209"/>
    <w:rsid w:val="00843E6C"/>
    <w:rsid w:val="008472A7"/>
    <w:rsid w:val="0085092D"/>
    <w:rsid w:val="008509DD"/>
    <w:rsid w:val="00850DF5"/>
    <w:rsid w:val="0085128C"/>
    <w:rsid w:val="00852087"/>
    <w:rsid w:val="008524B4"/>
    <w:rsid w:val="0085264F"/>
    <w:rsid w:val="00852E12"/>
    <w:rsid w:val="00852F5E"/>
    <w:rsid w:val="00853776"/>
    <w:rsid w:val="0085453C"/>
    <w:rsid w:val="00854DBB"/>
    <w:rsid w:val="00854DEA"/>
    <w:rsid w:val="0085560A"/>
    <w:rsid w:val="0085586A"/>
    <w:rsid w:val="00860625"/>
    <w:rsid w:val="00861408"/>
    <w:rsid w:val="008617E0"/>
    <w:rsid w:val="00862B2A"/>
    <w:rsid w:val="008633A3"/>
    <w:rsid w:val="00865967"/>
    <w:rsid w:val="008660FD"/>
    <w:rsid w:val="00870067"/>
    <w:rsid w:val="008705DE"/>
    <w:rsid w:val="008713DF"/>
    <w:rsid w:val="00873BCF"/>
    <w:rsid w:val="00877366"/>
    <w:rsid w:val="0087795D"/>
    <w:rsid w:val="008817ED"/>
    <w:rsid w:val="0088243F"/>
    <w:rsid w:val="00883AC6"/>
    <w:rsid w:val="0088457C"/>
    <w:rsid w:val="00885AA7"/>
    <w:rsid w:val="00886201"/>
    <w:rsid w:val="008871CF"/>
    <w:rsid w:val="00887B15"/>
    <w:rsid w:val="00890882"/>
    <w:rsid w:val="008927A8"/>
    <w:rsid w:val="00894645"/>
    <w:rsid w:val="008A0A11"/>
    <w:rsid w:val="008A257A"/>
    <w:rsid w:val="008A3228"/>
    <w:rsid w:val="008A36B9"/>
    <w:rsid w:val="008A53F7"/>
    <w:rsid w:val="008A54C1"/>
    <w:rsid w:val="008A69BA"/>
    <w:rsid w:val="008B1A31"/>
    <w:rsid w:val="008B5930"/>
    <w:rsid w:val="008C41C5"/>
    <w:rsid w:val="008D0D0C"/>
    <w:rsid w:val="008D1B84"/>
    <w:rsid w:val="008D22F5"/>
    <w:rsid w:val="008D3FBB"/>
    <w:rsid w:val="008D4225"/>
    <w:rsid w:val="008D4C63"/>
    <w:rsid w:val="008D76C2"/>
    <w:rsid w:val="008D776A"/>
    <w:rsid w:val="008E15F6"/>
    <w:rsid w:val="008E1C15"/>
    <w:rsid w:val="008E1ED8"/>
    <w:rsid w:val="008E3219"/>
    <w:rsid w:val="008E6F70"/>
    <w:rsid w:val="008F14CC"/>
    <w:rsid w:val="008F2734"/>
    <w:rsid w:val="008F3B18"/>
    <w:rsid w:val="008F523B"/>
    <w:rsid w:val="008F55A0"/>
    <w:rsid w:val="008F5C25"/>
    <w:rsid w:val="008F646E"/>
    <w:rsid w:val="008F6E4A"/>
    <w:rsid w:val="00900239"/>
    <w:rsid w:val="00900DDB"/>
    <w:rsid w:val="0090136A"/>
    <w:rsid w:val="009030CB"/>
    <w:rsid w:val="009047C5"/>
    <w:rsid w:val="0090536F"/>
    <w:rsid w:val="009064C4"/>
    <w:rsid w:val="009066C0"/>
    <w:rsid w:val="00907A73"/>
    <w:rsid w:val="00910B86"/>
    <w:rsid w:val="00913752"/>
    <w:rsid w:val="00914F02"/>
    <w:rsid w:val="009166C4"/>
    <w:rsid w:val="00916C89"/>
    <w:rsid w:val="009176F3"/>
    <w:rsid w:val="00917700"/>
    <w:rsid w:val="00921659"/>
    <w:rsid w:val="0092358A"/>
    <w:rsid w:val="00923DC9"/>
    <w:rsid w:val="00924541"/>
    <w:rsid w:val="0092462A"/>
    <w:rsid w:val="0092465E"/>
    <w:rsid w:val="0092478E"/>
    <w:rsid w:val="00925C4A"/>
    <w:rsid w:val="00926298"/>
    <w:rsid w:val="009278F1"/>
    <w:rsid w:val="0093193A"/>
    <w:rsid w:val="00931B7E"/>
    <w:rsid w:val="009327AC"/>
    <w:rsid w:val="00932FBD"/>
    <w:rsid w:val="00933B77"/>
    <w:rsid w:val="00937738"/>
    <w:rsid w:val="009409CA"/>
    <w:rsid w:val="00942171"/>
    <w:rsid w:val="00942A0A"/>
    <w:rsid w:val="00944EA4"/>
    <w:rsid w:val="00945FD7"/>
    <w:rsid w:val="009465F7"/>
    <w:rsid w:val="00946737"/>
    <w:rsid w:val="00946CFA"/>
    <w:rsid w:val="0095385A"/>
    <w:rsid w:val="0095390D"/>
    <w:rsid w:val="00954678"/>
    <w:rsid w:val="00955CAC"/>
    <w:rsid w:val="00955FD3"/>
    <w:rsid w:val="009568DA"/>
    <w:rsid w:val="00956C80"/>
    <w:rsid w:val="00956E82"/>
    <w:rsid w:val="0096090D"/>
    <w:rsid w:val="00962034"/>
    <w:rsid w:val="00962A37"/>
    <w:rsid w:val="0096408E"/>
    <w:rsid w:val="00965849"/>
    <w:rsid w:val="00971530"/>
    <w:rsid w:val="00973F55"/>
    <w:rsid w:val="00975D1B"/>
    <w:rsid w:val="00976CC3"/>
    <w:rsid w:val="00977088"/>
    <w:rsid w:val="00977590"/>
    <w:rsid w:val="00981B5D"/>
    <w:rsid w:val="00982489"/>
    <w:rsid w:val="009866C8"/>
    <w:rsid w:val="009874B4"/>
    <w:rsid w:val="009876F2"/>
    <w:rsid w:val="00987F32"/>
    <w:rsid w:val="00990A2F"/>
    <w:rsid w:val="00993E02"/>
    <w:rsid w:val="009A2E49"/>
    <w:rsid w:val="009A353C"/>
    <w:rsid w:val="009B0CB9"/>
    <w:rsid w:val="009B1BF2"/>
    <w:rsid w:val="009B29F8"/>
    <w:rsid w:val="009C0844"/>
    <w:rsid w:val="009C15BE"/>
    <w:rsid w:val="009C2A57"/>
    <w:rsid w:val="009C376A"/>
    <w:rsid w:val="009D0FC4"/>
    <w:rsid w:val="009D3049"/>
    <w:rsid w:val="009D54EC"/>
    <w:rsid w:val="009E2882"/>
    <w:rsid w:val="009E48B1"/>
    <w:rsid w:val="009F23FB"/>
    <w:rsid w:val="009F48F0"/>
    <w:rsid w:val="009F6B3F"/>
    <w:rsid w:val="00A01C31"/>
    <w:rsid w:val="00A028FC"/>
    <w:rsid w:val="00A03556"/>
    <w:rsid w:val="00A035A4"/>
    <w:rsid w:val="00A036C4"/>
    <w:rsid w:val="00A044A1"/>
    <w:rsid w:val="00A07446"/>
    <w:rsid w:val="00A07A5E"/>
    <w:rsid w:val="00A10135"/>
    <w:rsid w:val="00A11267"/>
    <w:rsid w:val="00A118A0"/>
    <w:rsid w:val="00A121C0"/>
    <w:rsid w:val="00A139A1"/>
    <w:rsid w:val="00A144F1"/>
    <w:rsid w:val="00A147C3"/>
    <w:rsid w:val="00A14F3C"/>
    <w:rsid w:val="00A15596"/>
    <w:rsid w:val="00A23BD7"/>
    <w:rsid w:val="00A24560"/>
    <w:rsid w:val="00A26D28"/>
    <w:rsid w:val="00A27EFE"/>
    <w:rsid w:val="00A305CD"/>
    <w:rsid w:val="00A308D1"/>
    <w:rsid w:val="00A316F7"/>
    <w:rsid w:val="00A323E9"/>
    <w:rsid w:val="00A32559"/>
    <w:rsid w:val="00A338FC"/>
    <w:rsid w:val="00A34538"/>
    <w:rsid w:val="00A35156"/>
    <w:rsid w:val="00A37288"/>
    <w:rsid w:val="00A37529"/>
    <w:rsid w:val="00A37B78"/>
    <w:rsid w:val="00A41BFA"/>
    <w:rsid w:val="00A42A3B"/>
    <w:rsid w:val="00A43FD5"/>
    <w:rsid w:val="00A44DA5"/>
    <w:rsid w:val="00A470F2"/>
    <w:rsid w:val="00A47DA6"/>
    <w:rsid w:val="00A47F59"/>
    <w:rsid w:val="00A507B2"/>
    <w:rsid w:val="00A5235A"/>
    <w:rsid w:val="00A546CA"/>
    <w:rsid w:val="00A54AB9"/>
    <w:rsid w:val="00A572E1"/>
    <w:rsid w:val="00A578E2"/>
    <w:rsid w:val="00A61FEE"/>
    <w:rsid w:val="00A63D3E"/>
    <w:rsid w:val="00A6404B"/>
    <w:rsid w:val="00A655C7"/>
    <w:rsid w:val="00A70305"/>
    <w:rsid w:val="00A72A3B"/>
    <w:rsid w:val="00A814D6"/>
    <w:rsid w:val="00A84361"/>
    <w:rsid w:val="00A84904"/>
    <w:rsid w:val="00A852F0"/>
    <w:rsid w:val="00A918B0"/>
    <w:rsid w:val="00A97342"/>
    <w:rsid w:val="00AA03C4"/>
    <w:rsid w:val="00AA12BD"/>
    <w:rsid w:val="00AA1431"/>
    <w:rsid w:val="00AA144A"/>
    <w:rsid w:val="00AA18DB"/>
    <w:rsid w:val="00AA3DEF"/>
    <w:rsid w:val="00AA4208"/>
    <w:rsid w:val="00AA442B"/>
    <w:rsid w:val="00AA6CC1"/>
    <w:rsid w:val="00AA6D8E"/>
    <w:rsid w:val="00AA7E4F"/>
    <w:rsid w:val="00AB00BD"/>
    <w:rsid w:val="00AB0110"/>
    <w:rsid w:val="00AB0D4D"/>
    <w:rsid w:val="00AB14CE"/>
    <w:rsid w:val="00AB196B"/>
    <w:rsid w:val="00AB30DF"/>
    <w:rsid w:val="00AB3E40"/>
    <w:rsid w:val="00AB47E2"/>
    <w:rsid w:val="00AB4DF6"/>
    <w:rsid w:val="00AC0EEB"/>
    <w:rsid w:val="00AC3414"/>
    <w:rsid w:val="00AD0B1D"/>
    <w:rsid w:val="00AD1529"/>
    <w:rsid w:val="00AD22FC"/>
    <w:rsid w:val="00AD47FB"/>
    <w:rsid w:val="00AD48B1"/>
    <w:rsid w:val="00AD55E7"/>
    <w:rsid w:val="00AD5E7A"/>
    <w:rsid w:val="00AD6135"/>
    <w:rsid w:val="00AD6BB3"/>
    <w:rsid w:val="00AD708E"/>
    <w:rsid w:val="00AD7C52"/>
    <w:rsid w:val="00AE1289"/>
    <w:rsid w:val="00AE19FC"/>
    <w:rsid w:val="00AE1FF2"/>
    <w:rsid w:val="00AE2D75"/>
    <w:rsid w:val="00AE2F40"/>
    <w:rsid w:val="00AE4119"/>
    <w:rsid w:val="00AE4E69"/>
    <w:rsid w:val="00AE5B43"/>
    <w:rsid w:val="00AE65B9"/>
    <w:rsid w:val="00AE6D68"/>
    <w:rsid w:val="00AF1383"/>
    <w:rsid w:val="00AF1ED8"/>
    <w:rsid w:val="00AF5CE1"/>
    <w:rsid w:val="00AF6A24"/>
    <w:rsid w:val="00AF713D"/>
    <w:rsid w:val="00B007A6"/>
    <w:rsid w:val="00B04843"/>
    <w:rsid w:val="00B055C7"/>
    <w:rsid w:val="00B0560B"/>
    <w:rsid w:val="00B06243"/>
    <w:rsid w:val="00B07BE4"/>
    <w:rsid w:val="00B102E4"/>
    <w:rsid w:val="00B1060D"/>
    <w:rsid w:val="00B118E9"/>
    <w:rsid w:val="00B120C2"/>
    <w:rsid w:val="00B13160"/>
    <w:rsid w:val="00B16E58"/>
    <w:rsid w:val="00B17763"/>
    <w:rsid w:val="00B20130"/>
    <w:rsid w:val="00B21621"/>
    <w:rsid w:val="00B21D6C"/>
    <w:rsid w:val="00B22E22"/>
    <w:rsid w:val="00B24746"/>
    <w:rsid w:val="00B24D54"/>
    <w:rsid w:val="00B258A0"/>
    <w:rsid w:val="00B27C54"/>
    <w:rsid w:val="00B32C0B"/>
    <w:rsid w:val="00B32DE6"/>
    <w:rsid w:val="00B33D08"/>
    <w:rsid w:val="00B33F2A"/>
    <w:rsid w:val="00B3591B"/>
    <w:rsid w:val="00B35C9B"/>
    <w:rsid w:val="00B36E67"/>
    <w:rsid w:val="00B371E9"/>
    <w:rsid w:val="00B439B4"/>
    <w:rsid w:val="00B43C9B"/>
    <w:rsid w:val="00B50315"/>
    <w:rsid w:val="00B512C3"/>
    <w:rsid w:val="00B5178D"/>
    <w:rsid w:val="00B525CB"/>
    <w:rsid w:val="00B528C6"/>
    <w:rsid w:val="00B531D7"/>
    <w:rsid w:val="00B53F68"/>
    <w:rsid w:val="00B5556E"/>
    <w:rsid w:val="00B55682"/>
    <w:rsid w:val="00B60926"/>
    <w:rsid w:val="00B613B9"/>
    <w:rsid w:val="00B6143C"/>
    <w:rsid w:val="00B6341F"/>
    <w:rsid w:val="00B637F3"/>
    <w:rsid w:val="00B63CB2"/>
    <w:rsid w:val="00B64278"/>
    <w:rsid w:val="00B6444C"/>
    <w:rsid w:val="00B65113"/>
    <w:rsid w:val="00B679AC"/>
    <w:rsid w:val="00B71561"/>
    <w:rsid w:val="00B73B11"/>
    <w:rsid w:val="00B754CA"/>
    <w:rsid w:val="00B75BAA"/>
    <w:rsid w:val="00B75C7C"/>
    <w:rsid w:val="00B77212"/>
    <w:rsid w:val="00B80316"/>
    <w:rsid w:val="00B80D60"/>
    <w:rsid w:val="00B81F14"/>
    <w:rsid w:val="00B8385C"/>
    <w:rsid w:val="00B90205"/>
    <w:rsid w:val="00B90B34"/>
    <w:rsid w:val="00B93287"/>
    <w:rsid w:val="00BA1433"/>
    <w:rsid w:val="00BA4904"/>
    <w:rsid w:val="00BA549C"/>
    <w:rsid w:val="00BA54F0"/>
    <w:rsid w:val="00BB37BD"/>
    <w:rsid w:val="00BC0980"/>
    <w:rsid w:val="00BC1901"/>
    <w:rsid w:val="00BC2551"/>
    <w:rsid w:val="00BC34E9"/>
    <w:rsid w:val="00BC3610"/>
    <w:rsid w:val="00BC46FA"/>
    <w:rsid w:val="00BC638A"/>
    <w:rsid w:val="00BD0942"/>
    <w:rsid w:val="00BD16E4"/>
    <w:rsid w:val="00BD2E96"/>
    <w:rsid w:val="00BD404B"/>
    <w:rsid w:val="00BD58D1"/>
    <w:rsid w:val="00BD5979"/>
    <w:rsid w:val="00BD78FE"/>
    <w:rsid w:val="00BE43C0"/>
    <w:rsid w:val="00BE4C31"/>
    <w:rsid w:val="00BE4F63"/>
    <w:rsid w:val="00BE60C5"/>
    <w:rsid w:val="00BF0F80"/>
    <w:rsid w:val="00BF239F"/>
    <w:rsid w:val="00BF2E6F"/>
    <w:rsid w:val="00BF3E3E"/>
    <w:rsid w:val="00BF46EB"/>
    <w:rsid w:val="00BF52BB"/>
    <w:rsid w:val="00BF59DD"/>
    <w:rsid w:val="00BF6F68"/>
    <w:rsid w:val="00C03D4F"/>
    <w:rsid w:val="00C03D7A"/>
    <w:rsid w:val="00C06C24"/>
    <w:rsid w:val="00C07969"/>
    <w:rsid w:val="00C07EFC"/>
    <w:rsid w:val="00C1063D"/>
    <w:rsid w:val="00C108FF"/>
    <w:rsid w:val="00C13530"/>
    <w:rsid w:val="00C215F9"/>
    <w:rsid w:val="00C21979"/>
    <w:rsid w:val="00C22C1C"/>
    <w:rsid w:val="00C2341D"/>
    <w:rsid w:val="00C236F1"/>
    <w:rsid w:val="00C248E6"/>
    <w:rsid w:val="00C251B9"/>
    <w:rsid w:val="00C25356"/>
    <w:rsid w:val="00C259D9"/>
    <w:rsid w:val="00C2785E"/>
    <w:rsid w:val="00C32E42"/>
    <w:rsid w:val="00C33A92"/>
    <w:rsid w:val="00C35CCA"/>
    <w:rsid w:val="00C370AB"/>
    <w:rsid w:val="00C3789F"/>
    <w:rsid w:val="00C37E77"/>
    <w:rsid w:val="00C40307"/>
    <w:rsid w:val="00C40C20"/>
    <w:rsid w:val="00C41A44"/>
    <w:rsid w:val="00C421D2"/>
    <w:rsid w:val="00C4266A"/>
    <w:rsid w:val="00C42E7C"/>
    <w:rsid w:val="00C43FAA"/>
    <w:rsid w:val="00C4553B"/>
    <w:rsid w:val="00C474F7"/>
    <w:rsid w:val="00C50FFB"/>
    <w:rsid w:val="00C51383"/>
    <w:rsid w:val="00C51D4B"/>
    <w:rsid w:val="00C52AA0"/>
    <w:rsid w:val="00C5406C"/>
    <w:rsid w:val="00C54C87"/>
    <w:rsid w:val="00C54E28"/>
    <w:rsid w:val="00C606C0"/>
    <w:rsid w:val="00C60A82"/>
    <w:rsid w:val="00C63537"/>
    <w:rsid w:val="00C63E3D"/>
    <w:rsid w:val="00C643D5"/>
    <w:rsid w:val="00C713D7"/>
    <w:rsid w:val="00C72821"/>
    <w:rsid w:val="00C75515"/>
    <w:rsid w:val="00C8023B"/>
    <w:rsid w:val="00C81AC2"/>
    <w:rsid w:val="00C82754"/>
    <w:rsid w:val="00C83D45"/>
    <w:rsid w:val="00C845E6"/>
    <w:rsid w:val="00C847B7"/>
    <w:rsid w:val="00C878E8"/>
    <w:rsid w:val="00C87FB1"/>
    <w:rsid w:val="00C91CE3"/>
    <w:rsid w:val="00C94191"/>
    <w:rsid w:val="00CA0C3E"/>
    <w:rsid w:val="00CA1540"/>
    <w:rsid w:val="00CA287E"/>
    <w:rsid w:val="00CA3113"/>
    <w:rsid w:val="00CA44C0"/>
    <w:rsid w:val="00CA44E6"/>
    <w:rsid w:val="00CA5926"/>
    <w:rsid w:val="00CA5FFD"/>
    <w:rsid w:val="00CA6B80"/>
    <w:rsid w:val="00CA73A8"/>
    <w:rsid w:val="00CB084F"/>
    <w:rsid w:val="00CB21C6"/>
    <w:rsid w:val="00CB3062"/>
    <w:rsid w:val="00CB3DAB"/>
    <w:rsid w:val="00CB44D7"/>
    <w:rsid w:val="00CB4B63"/>
    <w:rsid w:val="00CB532E"/>
    <w:rsid w:val="00CB6049"/>
    <w:rsid w:val="00CB7FCB"/>
    <w:rsid w:val="00CC00CD"/>
    <w:rsid w:val="00CC5BE0"/>
    <w:rsid w:val="00CC670C"/>
    <w:rsid w:val="00CC786F"/>
    <w:rsid w:val="00CD080F"/>
    <w:rsid w:val="00CD1A2C"/>
    <w:rsid w:val="00CD1EEE"/>
    <w:rsid w:val="00CD4CEE"/>
    <w:rsid w:val="00CD5F34"/>
    <w:rsid w:val="00CE041B"/>
    <w:rsid w:val="00CE3652"/>
    <w:rsid w:val="00CE4626"/>
    <w:rsid w:val="00CF2CA1"/>
    <w:rsid w:val="00CF2EF6"/>
    <w:rsid w:val="00CF4690"/>
    <w:rsid w:val="00CF6B14"/>
    <w:rsid w:val="00CF7DE3"/>
    <w:rsid w:val="00D004A0"/>
    <w:rsid w:val="00D02F0F"/>
    <w:rsid w:val="00D03273"/>
    <w:rsid w:val="00D03979"/>
    <w:rsid w:val="00D04268"/>
    <w:rsid w:val="00D04F45"/>
    <w:rsid w:val="00D054BD"/>
    <w:rsid w:val="00D063D2"/>
    <w:rsid w:val="00D06778"/>
    <w:rsid w:val="00D06D43"/>
    <w:rsid w:val="00D1185B"/>
    <w:rsid w:val="00D11E53"/>
    <w:rsid w:val="00D15D40"/>
    <w:rsid w:val="00D16345"/>
    <w:rsid w:val="00D16E39"/>
    <w:rsid w:val="00D20C61"/>
    <w:rsid w:val="00D21801"/>
    <w:rsid w:val="00D22D0B"/>
    <w:rsid w:val="00D24CC2"/>
    <w:rsid w:val="00D250D0"/>
    <w:rsid w:val="00D31F4A"/>
    <w:rsid w:val="00D32C9D"/>
    <w:rsid w:val="00D34AEB"/>
    <w:rsid w:val="00D35D5C"/>
    <w:rsid w:val="00D361D0"/>
    <w:rsid w:val="00D376C1"/>
    <w:rsid w:val="00D40DDB"/>
    <w:rsid w:val="00D41586"/>
    <w:rsid w:val="00D42168"/>
    <w:rsid w:val="00D426EA"/>
    <w:rsid w:val="00D44846"/>
    <w:rsid w:val="00D4622E"/>
    <w:rsid w:val="00D50796"/>
    <w:rsid w:val="00D5088B"/>
    <w:rsid w:val="00D53EA2"/>
    <w:rsid w:val="00D55E8F"/>
    <w:rsid w:val="00D56AB8"/>
    <w:rsid w:val="00D57255"/>
    <w:rsid w:val="00D577D1"/>
    <w:rsid w:val="00D63787"/>
    <w:rsid w:val="00D644AA"/>
    <w:rsid w:val="00D6551A"/>
    <w:rsid w:val="00D65554"/>
    <w:rsid w:val="00D70679"/>
    <w:rsid w:val="00D710DF"/>
    <w:rsid w:val="00D729F6"/>
    <w:rsid w:val="00D72E9D"/>
    <w:rsid w:val="00D73D62"/>
    <w:rsid w:val="00D74389"/>
    <w:rsid w:val="00D74E75"/>
    <w:rsid w:val="00D76689"/>
    <w:rsid w:val="00D80EB6"/>
    <w:rsid w:val="00D82CE5"/>
    <w:rsid w:val="00D83948"/>
    <w:rsid w:val="00D84D9D"/>
    <w:rsid w:val="00D856F4"/>
    <w:rsid w:val="00D926EA"/>
    <w:rsid w:val="00D9294F"/>
    <w:rsid w:val="00D92FF4"/>
    <w:rsid w:val="00DA01E8"/>
    <w:rsid w:val="00DA1E8F"/>
    <w:rsid w:val="00DA3452"/>
    <w:rsid w:val="00DA5AB1"/>
    <w:rsid w:val="00DA6EE1"/>
    <w:rsid w:val="00DA72B4"/>
    <w:rsid w:val="00DB12BD"/>
    <w:rsid w:val="00DB2EB1"/>
    <w:rsid w:val="00DB3448"/>
    <w:rsid w:val="00DB44D8"/>
    <w:rsid w:val="00DB49AA"/>
    <w:rsid w:val="00DB634A"/>
    <w:rsid w:val="00DB768D"/>
    <w:rsid w:val="00DC32BD"/>
    <w:rsid w:val="00DC3D67"/>
    <w:rsid w:val="00DC578F"/>
    <w:rsid w:val="00DC62E5"/>
    <w:rsid w:val="00DC6ACC"/>
    <w:rsid w:val="00DC73C5"/>
    <w:rsid w:val="00DD160B"/>
    <w:rsid w:val="00DD1C18"/>
    <w:rsid w:val="00DD31A9"/>
    <w:rsid w:val="00DD3432"/>
    <w:rsid w:val="00DD735D"/>
    <w:rsid w:val="00DD7D8D"/>
    <w:rsid w:val="00DE0618"/>
    <w:rsid w:val="00DE1FEF"/>
    <w:rsid w:val="00DE3119"/>
    <w:rsid w:val="00DE38B9"/>
    <w:rsid w:val="00DE4788"/>
    <w:rsid w:val="00DE6B11"/>
    <w:rsid w:val="00DE70DC"/>
    <w:rsid w:val="00DF0AB4"/>
    <w:rsid w:val="00DF16DA"/>
    <w:rsid w:val="00DF1DAA"/>
    <w:rsid w:val="00DF236B"/>
    <w:rsid w:val="00DF5090"/>
    <w:rsid w:val="00DF6ACD"/>
    <w:rsid w:val="00E000C8"/>
    <w:rsid w:val="00E01453"/>
    <w:rsid w:val="00E017C4"/>
    <w:rsid w:val="00E04C9B"/>
    <w:rsid w:val="00E056B2"/>
    <w:rsid w:val="00E06F42"/>
    <w:rsid w:val="00E07843"/>
    <w:rsid w:val="00E10A6D"/>
    <w:rsid w:val="00E12EC0"/>
    <w:rsid w:val="00E13AB8"/>
    <w:rsid w:val="00E13FD3"/>
    <w:rsid w:val="00E14299"/>
    <w:rsid w:val="00E144AB"/>
    <w:rsid w:val="00E17C49"/>
    <w:rsid w:val="00E17EE1"/>
    <w:rsid w:val="00E21494"/>
    <w:rsid w:val="00E240E7"/>
    <w:rsid w:val="00E2553E"/>
    <w:rsid w:val="00E26F62"/>
    <w:rsid w:val="00E3090F"/>
    <w:rsid w:val="00E314CB"/>
    <w:rsid w:val="00E327C3"/>
    <w:rsid w:val="00E33B62"/>
    <w:rsid w:val="00E341D8"/>
    <w:rsid w:val="00E36BAD"/>
    <w:rsid w:val="00E36E37"/>
    <w:rsid w:val="00E37C17"/>
    <w:rsid w:val="00E40005"/>
    <w:rsid w:val="00E42CEA"/>
    <w:rsid w:val="00E43A34"/>
    <w:rsid w:val="00E449E0"/>
    <w:rsid w:val="00E45104"/>
    <w:rsid w:val="00E453B7"/>
    <w:rsid w:val="00E51774"/>
    <w:rsid w:val="00E52D01"/>
    <w:rsid w:val="00E5557F"/>
    <w:rsid w:val="00E5588F"/>
    <w:rsid w:val="00E60196"/>
    <w:rsid w:val="00E60756"/>
    <w:rsid w:val="00E64B60"/>
    <w:rsid w:val="00E66E98"/>
    <w:rsid w:val="00E67CA2"/>
    <w:rsid w:val="00E67E83"/>
    <w:rsid w:val="00E737A7"/>
    <w:rsid w:val="00E73B46"/>
    <w:rsid w:val="00E752E1"/>
    <w:rsid w:val="00E80C3F"/>
    <w:rsid w:val="00E832F8"/>
    <w:rsid w:val="00E83789"/>
    <w:rsid w:val="00E84764"/>
    <w:rsid w:val="00E87190"/>
    <w:rsid w:val="00E87315"/>
    <w:rsid w:val="00E8779A"/>
    <w:rsid w:val="00E91477"/>
    <w:rsid w:val="00E915AC"/>
    <w:rsid w:val="00E9178F"/>
    <w:rsid w:val="00E91DA5"/>
    <w:rsid w:val="00E9754A"/>
    <w:rsid w:val="00E9760B"/>
    <w:rsid w:val="00E97CC7"/>
    <w:rsid w:val="00EA04EF"/>
    <w:rsid w:val="00EA1131"/>
    <w:rsid w:val="00EA3483"/>
    <w:rsid w:val="00EA704D"/>
    <w:rsid w:val="00EA79EB"/>
    <w:rsid w:val="00EB002C"/>
    <w:rsid w:val="00EB0DF1"/>
    <w:rsid w:val="00EC5F41"/>
    <w:rsid w:val="00EC60CB"/>
    <w:rsid w:val="00EC7B4C"/>
    <w:rsid w:val="00ED0667"/>
    <w:rsid w:val="00ED0882"/>
    <w:rsid w:val="00ED0F19"/>
    <w:rsid w:val="00ED1E5B"/>
    <w:rsid w:val="00ED2EFF"/>
    <w:rsid w:val="00ED3BF4"/>
    <w:rsid w:val="00ED4234"/>
    <w:rsid w:val="00ED48A2"/>
    <w:rsid w:val="00ED7F90"/>
    <w:rsid w:val="00EE094E"/>
    <w:rsid w:val="00EE1CCD"/>
    <w:rsid w:val="00EE4DB7"/>
    <w:rsid w:val="00EE72E0"/>
    <w:rsid w:val="00EE776B"/>
    <w:rsid w:val="00EF04EC"/>
    <w:rsid w:val="00EF15DA"/>
    <w:rsid w:val="00EF16DD"/>
    <w:rsid w:val="00EF1D4E"/>
    <w:rsid w:val="00EF3989"/>
    <w:rsid w:val="00EF66D5"/>
    <w:rsid w:val="00EF66D6"/>
    <w:rsid w:val="00F02072"/>
    <w:rsid w:val="00F04CC2"/>
    <w:rsid w:val="00F05CB1"/>
    <w:rsid w:val="00F06B15"/>
    <w:rsid w:val="00F109B1"/>
    <w:rsid w:val="00F1157D"/>
    <w:rsid w:val="00F11EDA"/>
    <w:rsid w:val="00F1301C"/>
    <w:rsid w:val="00F13DF7"/>
    <w:rsid w:val="00F155B7"/>
    <w:rsid w:val="00F20498"/>
    <w:rsid w:val="00F222B5"/>
    <w:rsid w:val="00F23B55"/>
    <w:rsid w:val="00F2413F"/>
    <w:rsid w:val="00F24361"/>
    <w:rsid w:val="00F277D0"/>
    <w:rsid w:val="00F32B45"/>
    <w:rsid w:val="00F33AC7"/>
    <w:rsid w:val="00F3514E"/>
    <w:rsid w:val="00F36E11"/>
    <w:rsid w:val="00F3707F"/>
    <w:rsid w:val="00F379A3"/>
    <w:rsid w:val="00F42730"/>
    <w:rsid w:val="00F449FE"/>
    <w:rsid w:val="00F44CA3"/>
    <w:rsid w:val="00F46903"/>
    <w:rsid w:val="00F47B8F"/>
    <w:rsid w:val="00F51DEC"/>
    <w:rsid w:val="00F5475B"/>
    <w:rsid w:val="00F55AA3"/>
    <w:rsid w:val="00F562BD"/>
    <w:rsid w:val="00F57B5D"/>
    <w:rsid w:val="00F608B9"/>
    <w:rsid w:val="00F60DB7"/>
    <w:rsid w:val="00F60E91"/>
    <w:rsid w:val="00F67A4A"/>
    <w:rsid w:val="00F70EB1"/>
    <w:rsid w:val="00F71570"/>
    <w:rsid w:val="00F72A9E"/>
    <w:rsid w:val="00F72BAE"/>
    <w:rsid w:val="00F7558E"/>
    <w:rsid w:val="00F76205"/>
    <w:rsid w:val="00F77481"/>
    <w:rsid w:val="00F809C9"/>
    <w:rsid w:val="00F8177B"/>
    <w:rsid w:val="00F81B47"/>
    <w:rsid w:val="00F83B75"/>
    <w:rsid w:val="00F84899"/>
    <w:rsid w:val="00F851B1"/>
    <w:rsid w:val="00F859F0"/>
    <w:rsid w:val="00F8789E"/>
    <w:rsid w:val="00F92E29"/>
    <w:rsid w:val="00F976DF"/>
    <w:rsid w:val="00FA06A3"/>
    <w:rsid w:val="00FA2042"/>
    <w:rsid w:val="00FA2FCC"/>
    <w:rsid w:val="00FA310C"/>
    <w:rsid w:val="00FA3B5A"/>
    <w:rsid w:val="00FA40C0"/>
    <w:rsid w:val="00FA540E"/>
    <w:rsid w:val="00FA6587"/>
    <w:rsid w:val="00FB12C1"/>
    <w:rsid w:val="00FB301D"/>
    <w:rsid w:val="00FB47F3"/>
    <w:rsid w:val="00FB516F"/>
    <w:rsid w:val="00FC512C"/>
    <w:rsid w:val="00FC711A"/>
    <w:rsid w:val="00FD0CEC"/>
    <w:rsid w:val="00FD2533"/>
    <w:rsid w:val="00FD3213"/>
    <w:rsid w:val="00FD3A2E"/>
    <w:rsid w:val="00FD4AFF"/>
    <w:rsid w:val="00FD674C"/>
    <w:rsid w:val="00FE0DC4"/>
    <w:rsid w:val="00FE125A"/>
    <w:rsid w:val="00FE141E"/>
    <w:rsid w:val="00FE24F4"/>
    <w:rsid w:val="00FE2A33"/>
    <w:rsid w:val="00FE674D"/>
    <w:rsid w:val="00FF3657"/>
    <w:rsid w:val="00FF417D"/>
    <w:rsid w:val="00FF5615"/>
    <w:rsid w:val="00FF66DD"/>
    <w:rsid w:val="00FF7737"/>
    <w:rsid w:val="00FF7E87"/>
    <w:rsid w:val="03C30222"/>
    <w:rsid w:val="4AD1925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link w:val="SinespaciadoCar"/>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uiPriority w:val="99"/>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7B0854"/>
    <w:rPr>
      <w:vertAlign w:val="superscript"/>
    </w:rPr>
  </w:style>
  <w:style w:type="paragraph" w:customStyle="1" w:styleId="pa22">
    <w:name w:val="pa22"/>
    <w:basedOn w:val="Normal"/>
    <w:rsid w:val="00887B15"/>
    <w:pPr>
      <w:spacing w:before="100" w:beforeAutospacing="1" w:after="100" w:afterAutospacing="1"/>
    </w:pPr>
    <w:rPr>
      <w:rFonts w:ascii="Times New Roman" w:eastAsia="Times New Roman" w:hAnsi="Times New Roman" w:cs="Times New Roman"/>
      <w:szCs w:val="24"/>
      <w:lang w:val="es-ES" w:eastAsia="es-ES"/>
    </w:rPr>
  </w:style>
  <w:style w:type="character" w:styleId="Textoennegrita">
    <w:name w:val="Strong"/>
    <w:basedOn w:val="Fuentedeprrafopredeter"/>
    <w:uiPriority w:val="22"/>
    <w:qFormat/>
    <w:rsid w:val="00AF1ED8"/>
    <w:rPr>
      <w:b/>
      <w:bCs/>
    </w:rPr>
  </w:style>
  <w:style w:type="character" w:styleId="nfasis">
    <w:name w:val="Emphasis"/>
    <w:basedOn w:val="Fuentedeprrafopredeter"/>
    <w:uiPriority w:val="20"/>
    <w:qFormat/>
    <w:rsid w:val="00AF1ED8"/>
    <w:rPr>
      <w:i/>
      <w:iCs/>
    </w:rPr>
  </w:style>
  <w:style w:type="character" w:customStyle="1" w:styleId="Mencinsinresolver1">
    <w:name w:val="Mención sin resolver1"/>
    <w:basedOn w:val="Fuentedeprrafopredeter"/>
    <w:uiPriority w:val="99"/>
    <w:semiHidden/>
    <w:unhideWhenUsed/>
    <w:rsid w:val="00620E47"/>
    <w:rPr>
      <w:color w:val="605E5C"/>
      <w:shd w:val="clear" w:color="auto" w:fill="E1DFDD"/>
    </w:rPr>
  </w:style>
  <w:style w:type="paragraph" w:customStyle="1" w:styleId="Capitulo3">
    <w:name w:val="Capitulo 3"/>
    <w:basedOn w:val="Normal"/>
    <w:qFormat/>
    <w:rsid w:val="00DF6ACD"/>
    <w:pPr>
      <w:keepNext/>
      <w:numPr>
        <w:numId w:val="7"/>
      </w:numPr>
      <w:spacing w:before="120" w:after="200" w:line="276" w:lineRule="auto"/>
      <w:outlineLvl w:val="1"/>
    </w:pPr>
    <w:rPr>
      <w:rFonts w:ascii="Arial" w:eastAsia="Times New Roman" w:hAnsi="Arial" w:cs="Arial"/>
      <w:b/>
      <w:color w:val="000000"/>
      <w:sz w:val="20"/>
      <w:szCs w:val="20"/>
      <w:lang w:val="es-CO" w:eastAsia="es-CO"/>
    </w:rPr>
  </w:style>
  <w:style w:type="paragraph" w:customStyle="1" w:styleId="InviasNormal">
    <w:name w:val="Invias Normal"/>
    <w:basedOn w:val="Normal"/>
    <w:link w:val="InviasNormalCar"/>
    <w:qFormat/>
    <w:rsid w:val="001A27D7"/>
    <w:pPr>
      <w:tabs>
        <w:tab w:val="left" w:pos="-142"/>
      </w:tabs>
      <w:autoSpaceDE w:val="0"/>
      <w:autoSpaceDN w:val="0"/>
      <w:adjustRightInd w:val="0"/>
      <w:spacing w:before="120" w:after="240"/>
      <w:jc w:val="both"/>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1A27D7"/>
    <w:rPr>
      <w:rFonts w:ascii="Arial Narrow" w:eastAsia="Times New Roman" w:hAnsi="Arial Narrow" w:cs="Times New Roman"/>
      <w:color w:val="3C3C3C" w:themeColor="background2" w:themeShade="40"/>
      <w:sz w:val="24"/>
      <w:szCs w:val="24"/>
      <w:lang w:val="x-none" w:eastAsia="es-ES"/>
    </w:rPr>
  </w:style>
  <w:style w:type="paragraph" w:customStyle="1" w:styleId="Entidad-Capitulo">
    <w:name w:val="Entidad-Capitulo"/>
    <w:next w:val="Normal"/>
    <w:autoRedefine/>
    <w:uiPriority w:val="99"/>
    <w:qFormat/>
    <w:rsid w:val="001A27D7"/>
    <w:pPr>
      <w:keepNext/>
      <w:spacing w:before="240" w:after="0" w:line="240" w:lineRule="auto"/>
      <w:jc w:val="center"/>
      <w:outlineLvl w:val="0"/>
    </w:pPr>
    <w:rPr>
      <w:rFonts w:ascii="Arial" w:eastAsia="Times New Roman" w:hAnsi="Arial" w:cs="Arial"/>
      <w:b/>
      <w:smallCaps/>
      <w:sz w:val="20"/>
      <w:szCs w:val="20"/>
      <w:lang w:eastAsia="es-ES"/>
    </w:rPr>
  </w:style>
  <w:style w:type="paragraph" w:styleId="Revisin">
    <w:name w:val="Revision"/>
    <w:hidden/>
    <w:uiPriority w:val="99"/>
    <w:semiHidden/>
    <w:rsid w:val="009409CA"/>
    <w:pPr>
      <w:spacing w:after="0" w:line="240" w:lineRule="auto"/>
    </w:pPr>
    <w:rPr>
      <w:sz w:val="24"/>
      <w:lang w:val="es-MX"/>
    </w:rPr>
  </w:style>
  <w:style w:type="character" w:customStyle="1" w:styleId="SinespaciadoCar">
    <w:name w:val="Sin espaciado Car"/>
    <w:link w:val="Sinespaciado"/>
    <w:uiPriority w:val="1"/>
    <w:locked/>
    <w:rsid w:val="000C113F"/>
    <w:rPr>
      <w:sz w:val="24"/>
      <w:lang w:val="es-MX"/>
    </w:rPr>
  </w:style>
  <w:style w:type="table" w:customStyle="1" w:styleId="Tablaconcuadrcula1">
    <w:name w:val="Tabla con cuadrícula1"/>
    <w:basedOn w:val="Tablanormal"/>
    <w:next w:val="Tablaconcuadrcula"/>
    <w:uiPriority w:val="59"/>
    <w:rsid w:val="00AA144A"/>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70544669">
      <w:bodyDiv w:val="1"/>
      <w:marLeft w:val="0"/>
      <w:marRight w:val="0"/>
      <w:marTop w:val="0"/>
      <w:marBottom w:val="0"/>
      <w:divBdr>
        <w:top w:val="none" w:sz="0" w:space="0" w:color="auto"/>
        <w:left w:val="none" w:sz="0" w:space="0" w:color="auto"/>
        <w:bottom w:val="none" w:sz="0" w:space="0" w:color="auto"/>
        <w:right w:val="none" w:sz="0" w:space="0" w:color="auto"/>
      </w:divBdr>
      <w:divsChild>
        <w:div w:id="1513495133">
          <w:marLeft w:val="0"/>
          <w:marRight w:val="0"/>
          <w:marTop w:val="0"/>
          <w:marBottom w:val="0"/>
          <w:divBdr>
            <w:top w:val="none" w:sz="0" w:space="0" w:color="auto"/>
            <w:left w:val="none" w:sz="0" w:space="0" w:color="auto"/>
            <w:bottom w:val="none" w:sz="0" w:space="0" w:color="auto"/>
            <w:right w:val="none" w:sz="0" w:space="0" w:color="auto"/>
          </w:divBdr>
          <w:divsChild>
            <w:div w:id="734858809">
              <w:marLeft w:val="0"/>
              <w:marRight w:val="0"/>
              <w:marTop w:val="0"/>
              <w:marBottom w:val="0"/>
              <w:divBdr>
                <w:top w:val="none" w:sz="0" w:space="0" w:color="auto"/>
                <w:left w:val="none" w:sz="0" w:space="0" w:color="auto"/>
                <w:bottom w:val="none" w:sz="0" w:space="0" w:color="auto"/>
                <w:right w:val="none" w:sz="0" w:space="0" w:color="auto"/>
              </w:divBdr>
              <w:divsChild>
                <w:div w:id="1385987392">
                  <w:marLeft w:val="0"/>
                  <w:marRight w:val="0"/>
                  <w:marTop w:val="0"/>
                  <w:marBottom w:val="0"/>
                  <w:divBdr>
                    <w:top w:val="none" w:sz="0" w:space="0" w:color="auto"/>
                    <w:left w:val="none" w:sz="0" w:space="0" w:color="auto"/>
                    <w:bottom w:val="none" w:sz="0" w:space="0" w:color="auto"/>
                    <w:right w:val="none" w:sz="0" w:space="0" w:color="auto"/>
                  </w:divBdr>
                </w:div>
              </w:divsChild>
            </w:div>
            <w:div w:id="414395898">
              <w:marLeft w:val="0"/>
              <w:marRight w:val="0"/>
              <w:marTop w:val="0"/>
              <w:marBottom w:val="0"/>
              <w:divBdr>
                <w:top w:val="none" w:sz="0" w:space="0" w:color="auto"/>
                <w:left w:val="none" w:sz="0" w:space="0" w:color="auto"/>
                <w:bottom w:val="none" w:sz="0" w:space="0" w:color="auto"/>
                <w:right w:val="none" w:sz="0" w:space="0" w:color="auto"/>
              </w:divBdr>
              <w:divsChild>
                <w:div w:id="84987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538052457">
      <w:bodyDiv w:val="1"/>
      <w:marLeft w:val="0"/>
      <w:marRight w:val="0"/>
      <w:marTop w:val="0"/>
      <w:marBottom w:val="0"/>
      <w:divBdr>
        <w:top w:val="none" w:sz="0" w:space="0" w:color="auto"/>
        <w:left w:val="none" w:sz="0" w:space="0" w:color="auto"/>
        <w:bottom w:val="none" w:sz="0" w:space="0" w:color="auto"/>
        <w:right w:val="none" w:sz="0" w:space="0" w:color="auto"/>
      </w:divBdr>
      <w:divsChild>
        <w:div w:id="293679258">
          <w:marLeft w:val="0"/>
          <w:marRight w:val="0"/>
          <w:marTop w:val="0"/>
          <w:marBottom w:val="0"/>
          <w:divBdr>
            <w:top w:val="none" w:sz="0" w:space="0" w:color="auto"/>
            <w:left w:val="none" w:sz="0" w:space="0" w:color="auto"/>
            <w:bottom w:val="none" w:sz="0" w:space="0" w:color="auto"/>
            <w:right w:val="none" w:sz="0" w:space="0" w:color="auto"/>
          </w:divBdr>
          <w:divsChild>
            <w:div w:id="1751930579">
              <w:marLeft w:val="0"/>
              <w:marRight w:val="0"/>
              <w:marTop w:val="0"/>
              <w:marBottom w:val="0"/>
              <w:divBdr>
                <w:top w:val="none" w:sz="0" w:space="0" w:color="auto"/>
                <w:left w:val="none" w:sz="0" w:space="0" w:color="auto"/>
                <w:bottom w:val="none" w:sz="0" w:space="0" w:color="auto"/>
                <w:right w:val="none" w:sz="0" w:space="0" w:color="auto"/>
              </w:divBdr>
              <w:divsChild>
                <w:div w:id="1477531553">
                  <w:marLeft w:val="0"/>
                  <w:marRight w:val="0"/>
                  <w:marTop w:val="0"/>
                  <w:marBottom w:val="0"/>
                  <w:divBdr>
                    <w:top w:val="none" w:sz="0" w:space="0" w:color="auto"/>
                    <w:left w:val="none" w:sz="0" w:space="0" w:color="auto"/>
                    <w:bottom w:val="none" w:sz="0" w:space="0" w:color="auto"/>
                    <w:right w:val="none" w:sz="0" w:space="0" w:color="auto"/>
                  </w:divBdr>
                  <w:divsChild>
                    <w:div w:id="66933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8517521">
      <w:bodyDiv w:val="1"/>
      <w:marLeft w:val="0"/>
      <w:marRight w:val="0"/>
      <w:marTop w:val="0"/>
      <w:marBottom w:val="0"/>
      <w:divBdr>
        <w:top w:val="none" w:sz="0" w:space="0" w:color="auto"/>
        <w:left w:val="none" w:sz="0" w:space="0" w:color="auto"/>
        <w:bottom w:val="none" w:sz="0" w:space="0" w:color="auto"/>
        <w:right w:val="none" w:sz="0" w:space="0" w:color="auto"/>
      </w:divBdr>
      <w:divsChild>
        <w:div w:id="1639843594">
          <w:marLeft w:val="0"/>
          <w:marRight w:val="0"/>
          <w:marTop w:val="0"/>
          <w:marBottom w:val="0"/>
          <w:divBdr>
            <w:top w:val="none" w:sz="0" w:space="0" w:color="auto"/>
            <w:left w:val="none" w:sz="0" w:space="0" w:color="auto"/>
            <w:bottom w:val="none" w:sz="0" w:space="0" w:color="auto"/>
            <w:right w:val="none" w:sz="0" w:space="0" w:color="auto"/>
          </w:divBdr>
        </w:div>
      </w:divsChild>
    </w:div>
    <w:div w:id="657923463">
      <w:bodyDiv w:val="1"/>
      <w:marLeft w:val="0"/>
      <w:marRight w:val="0"/>
      <w:marTop w:val="0"/>
      <w:marBottom w:val="0"/>
      <w:divBdr>
        <w:top w:val="none" w:sz="0" w:space="0" w:color="auto"/>
        <w:left w:val="none" w:sz="0" w:space="0" w:color="auto"/>
        <w:bottom w:val="none" w:sz="0" w:space="0" w:color="auto"/>
        <w:right w:val="none" w:sz="0" w:space="0" w:color="auto"/>
      </w:divBdr>
    </w:div>
    <w:div w:id="773549469">
      <w:bodyDiv w:val="1"/>
      <w:marLeft w:val="0"/>
      <w:marRight w:val="0"/>
      <w:marTop w:val="0"/>
      <w:marBottom w:val="0"/>
      <w:divBdr>
        <w:top w:val="none" w:sz="0" w:space="0" w:color="auto"/>
        <w:left w:val="none" w:sz="0" w:space="0" w:color="auto"/>
        <w:bottom w:val="none" w:sz="0" w:space="0" w:color="auto"/>
        <w:right w:val="none" w:sz="0" w:space="0" w:color="auto"/>
      </w:divBdr>
      <w:divsChild>
        <w:div w:id="1693219852">
          <w:marLeft w:val="0"/>
          <w:marRight w:val="0"/>
          <w:marTop w:val="0"/>
          <w:marBottom w:val="0"/>
          <w:divBdr>
            <w:top w:val="none" w:sz="0" w:space="0" w:color="auto"/>
            <w:left w:val="none" w:sz="0" w:space="0" w:color="auto"/>
            <w:bottom w:val="none" w:sz="0" w:space="0" w:color="auto"/>
            <w:right w:val="none" w:sz="0" w:space="0" w:color="auto"/>
          </w:divBdr>
          <w:divsChild>
            <w:div w:id="2023359027">
              <w:marLeft w:val="0"/>
              <w:marRight w:val="0"/>
              <w:marTop w:val="0"/>
              <w:marBottom w:val="0"/>
              <w:divBdr>
                <w:top w:val="none" w:sz="0" w:space="0" w:color="auto"/>
                <w:left w:val="none" w:sz="0" w:space="0" w:color="auto"/>
                <w:bottom w:val="none" w:sz="0" w:space="0" w:color="auto"/>
                <w:right w:val="none" w:sz="0" w:space="0" w:color="auto"/>
              </w:divBdr>
            </w:div>
          </w:divsChild>
        </w:div>
        <w:div w:id="1795442581">
          <w:marLeft w:val="0"/>
          <w:marRight w:val="0"/>
          <w:marTop w:val="0"/>
          <w:marBottom w:val="0"/>
          <w:divBdr>
            <w:top w:val="none" w:sz="0" w:space="0" w:color="auto"/>
            <w:left w:val="none" w:sz="0" w:space="0" w:color="auto"/>
            <w:bottom w:val="none" w:sz="0" w:space="0" w:color="auto"/>
            <w:right w:val="none" w:sz="0" w:space="0" w:color="auto"/>
          </w:divBdr>
          <w:divsChild>
            <w:div w:id="14254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412726">
      <w:bodyDiv w:val="1"/>
      <w:marLeft w:val="0"/>
      <w:marRight w:val="0"/>
      <w:marTop w:val="0"/>
      <w:marBottom w:val="0"/>
      <w:divBdr>
        <w:top w:val="none" w:sz="0" w:space="0" w:color="auto"/>
        <w:left w:val="none" w:sz="0" w:space="0" w:color="auto"/>
        <w:bottom w:val="none" w:sz="0" w:space="0" w:color="auto"/>
        <w:right w:val="none" w:sz="0" w:space="0" w:color="auto"/>
      </w:divBdr>
      <w:divsChild>
        <w:div w:id="1942099880">
          <w:marLeft w:val="0"/>
          <w:marRight w:val="0"/>
          <w:marTop w:val="0"/>
          <w:marBottom w:val="0"/>
          <w:divBdr>
            <w:top w:val="none" w:sz="0" w:space="0" w:color="auto"/>
            <w:left w:val="none" w:sz="0" w:space="0" w:color="auto"/>
            <w:bottom w:val="none" w:sz="0" w:space="0" w:color="auto"/>
            <w:right w:val="none" w:sz="0" w:space="0" w:color="auto"/>
          </w:divBdr>
          <w:divsChild>
            <w:div w:id="650063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173263">
      <w:bodyDiv w:val="1"/>
      <w:marLeft w:val="0"/>
      <w:marRight w:val="0"/>
      <w:marTop w:val="0"/>
      <w:marBottom w:val="0"/>
      <w:divBdr>
        <w:top w:val="none" w:sz="0" w:space="0" w:color="auto"/>
        <w:left w:val="none" w:sz="0" w:space="0" w:color="auto"/>
        <w:bottom w:val="none" w:sz="0" w:space="0" w:color="auto"/>
        <w:right w:val="none" w:sz="0" w:space="0" w:color="auto"/>
      </w:divBdr>
    </w:div>
    <w:div w:id="1004672872">
      <w:bodyDiv w:val="1"/>
      <w:marLeft w:val="0"/>
      <w:marRight w:val="0"/>
      <w:marTop w:val="0"/>
      <w:marBottom w:val="0"/>
      <w:divBdr>
        <w:top w:val="none" w:sz="0" w:space="0" w:color="auto"/>
        <w:left w:val="none" w:sz="0" w:space="0" w:color="auto"/>
        <w:bottom w:val="none" w:sz="0" w:space="0" w:color="auto"/>
        <w:right w:val="none" w:sz="0" w:space="0" w:color="auto"/>
      </w:divBdr>
    </w:div>
    <w:div w:id="1008944424">
      <w:bodyDiv w:val="1"/>
      <w:marLeft w:val="0"/>
      <w:marRight w:val="0"/>
      <w:marTop w:val="0"/>
      <w:marBottom w:val="0"/>
      <w:divBdr>
        <w:top w:val="none" w:sz="0" w:space="0" w:color="auto"/>
        <w:left w:val="none" w:sz="0" w:space="0" w:color="auto"/>
        <w:bottom w:val="none" w:sz="0" w:space="0" w:color="auto"/>
        <w:right w:val="none" w:sz="0" w:space="0" w:color="auto"/>
      </w:divBdr>
    </w:div>
    <w:div w:id="1213887254">
      <w:bodyDiv w:val="1"/>
      <w:marLeft w:val="0"/>
      <w:marRight w:val="0"/>
      <w:marTop w:val="0"/>
      <w:marBottom w:val="0"/>
      <w:divBdr>
        <w:top w:val="none" w:sz="0" w:space="0" w:color="auto"/>
        <w:left w:val="none" w:sz="0" w:space="0" w:color="auto"/>
        <w:bottom w:val="none" w:sz="0" w:space="0" w:color="auto"/>
        <w:right w:val="none" w:sz="0" w:space="0" w:color="auto"/>
      </w:divBdr>
    </w:div>
    <w:div w:id="1418550300">
      <w:bodyDiv w:val="1"/>
      <w:marLeft w:val="0"/>
      <w:marRight w:val="0"/>
      <w:marTop w:val="0"/>
      <w:marBottom w:val="0"/>
      <w:divBdr>
        <w:top w:val="none" w:sz="0" w:space="0" w:color="auto"/>
        <w:left w:val="none" w:sz="0" w:space="0" w:color="auto"/>
        <w:bottom w:val="none" w:sz="0" w:space="0" w:color="auto"/>
        <w:right w:val="none" w:sz="0" w:space="0" w:color="auto"/>
      </w:divBdr>
    </w:div>
    <w:div w:id="1568954086">
      <w:bodyDiv w:val="1"/>
      <w:marLeft w:val="0"/>
      <w:marRight w:val="0"/>
      <w:marTop w:val="0"/>
      <w:marBottom w:val="0"/>
      <w:divBdr>
        <w:top w:val="none" w:sz="0" w:space="0" w:color="auto"/>
        <w:left w:val="none" w:sz="0" w:space="0" w:color="auto"/>
        <w:bottom w:val="none" w:sz="0" w:space="0" w:color="auto"/>
        <w:right w:val="none" w:sz="0" w:space="0" w:color="auto"/>
      </w:divBdr>
    </w:div>
    <w:div w:id="1708485239">
      <w:bodyDiv w:val="1"/>
      <w:marLeft w:val="0"/>
      <w:marRight w:val="0"/>
      <w:marTop w:val="0"/>
      <w:marBottom w:val="0"/>
      <w:divBdr>
        <w:top w:val="none" w:sz="0" w:space="0" w:color="auto"/>
        <w:left w:val="none" w:sz="0" w:space="0" w:color="auto"/>
        <w:bottom w:val="none" w:sz="0" w:space="0" w:color="auto"/>
        <w:right w:val="none" w:sz="0" w:space="0" w:color="auto"/>
      </w:divBdr>
    </w:div>
    <w:div w:id="1844125587">
      <w:bodyDiv w:val="1"/>
      <w:marLeft w:val="0"/>
      <w:marRight w:val="0"/>
      <w:marTop w:val="0"/>
      <w:marBottom w:val="0"/>
      <w:divBdr>
        <w:top w:val="none" w:sz="0" w:space="0" w:color="auto"/>
        <w:left w:val="none" w:sz="0" w:space="0" w:color="auto"/>
        <w:bottom w:val="none" w:sz="0" w:space="0" w:color="auto"/>
        <w:right w:val="none" w:sz="0" w:space="0" w:color="auto"/>
      </w:divBdr>
      <w:divsChild>
        <w:div w:id="376858781">
          <w:marLeft w:val="0"/>
          <w:marRight w:val="0"/>
          <w:marTop w:val="0"/>
          <w:marBottom w:val="0"/>
          <w:divBdr>
            <w:top w:val="none" w:sz="0" w:space="0" w:color="auto"/>
            <w:left w:val="none" w:sz="0" w:space="0" w:color="auto"/>
            <w:bottom w:val="none" w:sz="0" w:space="0" w:color="auto"/>
            <w:right w:val="none" w:sz="0" w:space="0" w:color="auto"/>
          </w:divBdr>
          <w:divsChild>
            <w:div w:id="558325464">
              <w:marLeft w:val="0"/>
              <w:marRight w:val="0"/>
              <w:marTop w:val="0"/>
              <w:marBottom w:val="0"/>
              <w:divBdr>
                <w:top w:val="none" w:sz="0" w:space="0" w:color="auto"/>
                <w:left w:val="none" w:sz="0" w:space="0" w:color="auto"/>
                <w:bottom w:val="none" w:sz="0" w:space="0" w:color="auto"/>
                <w:right w:val="none" w:sz="0" w:space="0" w:color="auto"/>
              </w:divBdr>
              <w:divsChild>
                <w:div w:id="141153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195364">
      <w:bodyDiv w:val="1"/>
      <w:marLeft w:val="0"/>
      <w:marRight w:val="0"/>
      <w:marTop w:val="0"/>
      <w:marBottom w:val="0"/>
      <w:divBdr>
        <w:top w:val="none" w:sz="0" w:space="0" w:color="auto"/>
        <w:left w:val="none" w:sz="0" w:space="0" w:color="auto"/>
        <w:bottom w:val="none" w:sz="0" w:space="0" w:color="auto"/>
        <w:right w:val="none" w:sz="0" w:space="0" w:color="auto"/>
      </w:divBdr>
    </w:div>
    <w:div w:id="1920285568">
      <w:bodyDiv w:val="1"/>
      <w:marLeft w:val="0"/>
      <w:marRight w:val="0"/>
      <w:marTop w:val="0"/>
      <w:marBottom w:val="0"/>
      <w:divBdr>
        <w:top w:val="none" w:sz="0" w:space="0" w:color="auto"/>
        <w:left w:val="none" w:sz="0" w:space="0" w:color="auto"/>
        <w:bottom w:val="none" w:sz="0" w:space="0" w:color="auto"/>
        <w:right w:val="none" w:sz="0" w:space="0" w:color="auto"/>
      </w:divBdr>
    </w:div>
    <w:div w:id="1968584149">
      <w:bodyDiv w:val="1"/>
      <w:marLeft w:val="0"/>
      <w:marRight w:val="0"/>
      <w:marTop w:val="0"/>
      <w:marBottom w:val="0"/>
      <w:divBdr>
        <w:top w:val="none" w:sz="0" w:space="0" w:color="auto"/>
        <w:left w:val="none" w:sz="0" w:space="0" w:color="auto"/>
        <w:bottom w:val="none" w:sz="0" w:space="0" w:color="auto"/>
        <w:right w:val="none" w:sz="0" w:space="0" w:color="auto"/>
      </w:divBdr>
      <w:divsChild>
        <w:div w:id="445658312">
          <w:marLeft w:val="0"/>
          <w:marRight w:val="0"/>
          <w:marTop w:val="0"/>
          <w:marBottom w:val="0"/>
          <w:divBdr>
            <w:top w:val="none" w:sz="0" w:space="0" w:color="auto"/>
            <w:left w:val="none" w:sz="0" w:space="0" w:color="auto"/>
            <w:bottom w:val="none" w:sz="0" w:space="0" w:color="auto"/>
            <w:right w:val="none" w:sz="0" w:space="0" w:color="auto"/>
          </w:divBdr>
          <w:divsChild>
            <w:div w:id="289482795">
              <w:marLeft w:val="0"/>
              <w:marRight w:val="0"/>
              <w:marTop w:val="0"/>
              <w:marBottom w:val="0"/>
              <w:divBdr>
                <w:top w:val="none" w:sz="0" w:space="0" w:color="auto"/>
                <w:left w:val="none" w:sz="0" w:space="0" w:color="auto"/>
                <w:bottom w:val="none" w:sz="0" w:space="0" w:color="auto"/>
                <w:right w:val="none" w:sz="0" w:space="0" w:color="auto"/>
              </w:divBdr>
              <w:divsChild>
                <w:div w:id="99490715">
                  <w:marLeft w:val="0"/>
                  <w:marRight w:val="0"/>
                  <w:marTop w:val="0"/>
                  <w:marBottom w:val="0"/>
                  <w:divBdr>
                    <w:top w:val="none" w:sz="0" w:space="0" w:color="auto"/>
                    <w:left w:val="none" w:sz="0" w:space="0" w:color="auto"/>
                    <w:bottom w:val="none" w:sz="0" w:space="0" w:color="auto"/>
                    <w:right w:val="none" w:sz="0" w:space="0" w:color="auto"/>
                  </w:divBdr>
                  <w:divsChild>
                    <w:div w:id="54540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7849768">
      <w:bodyDiv w:val="1"/>
      <w:marLeft w:val="0"/>
      <w:marRight w:val="0"/>
      <w:marTop w:val="0"/>
      <w:marBottom w:val="0"/>
      <w:divBdr>
        <w:top w:val="none" w:sz="0" w:space="0" w:color="auto"/>
        <w:left w:val="none" w:sz="0" w:space="0" w:color="auto"/>
        <w:bottom w:val="none" w:sz="0" w:space="0" w:color="auto"/>
        <w:right w:val="none" w:sz="0" w:space="0" w:color="auto"/>
      </w:divBdr>
      <w:divsChild>
        <w:div w:id="121307556">
          <w:marLeft w:val="0"/>
          <w:marRight w:val="0"/>
          <w:marTop w:val="0"/>
          <w:marBottom w:val="0"/>
          <w:divBdr>
            <w:top w:val="none" w:sz="0" w:space="0" w:color="auto"/>
            <w:left w:val="none" w:sz="0" w:space="0" w:color="auto"/>
            <w:bottom w:val="none" w:sz="0" w:space="0" w:color="auto"/>
            <w:right w:val="none" w:sz="0" w:space="0" w:color="auto"/>
          </w:divBdr>
          <w:divsChild>
            <w:div w:id="983703154">
              <w:marLeft w:val="0"/>
              <w:marRight w:val="0"/>
              <w:marTop w:val="0"/>
              <w:marBottom w:val="0"/>
              <w:divBdr>
                <w:top w:val="none" w:sz="0" w:space="0" w:color="auto"/>
                <w:left w:val="none" w:sz="0" w:space="0" w:color="auto"/>
                <w:bottom w:val="none" w:sz="0" w:space="0" w:color="auto"/>
                <w:right w:val="none" w:sz="0" w:space="0" w:color="auto"/>
              </w:divBdr>
              <w:divsChild>
                <w:div w:id="193770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4083518">
      <w:bodyDiv w:val="1"/>
      <w:marLeft w:val="0"/>
      <w:marRight w:val="0"/>
      <w:marTop w:val="0"/>
      <w:marBottom w:val="0"/>
      <w:divBdr>
        <w:top w:val="none" w:sz="0" w:space="0" w:color="auto"/>
        <w:left w:val="none" w:sz="0" w:space="0" w:color="auto"/>
        <w:bottom w:val="none" w:sz="0" w:space="0" w:color="auto"/>
        <w:right w:val="none" w:sz="0" w:space="0" w:color="auto"/>
      </w:divBdr>
      <w:divsChild>
        <w:div w:id="18227684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531237-C176-4595-9494-449A98B1F907}">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55E552CB-207F-4BCF-8E21-2E0339EF4E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E20697A-B701-EE4D-B519-4E7F041353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3</TotalTime>
  <Pages>11</Pages>
  <Words>3374</Words>
  <Characters>18561</Characters>
  <Application>Microsoft Office Word</Application>
  <DocSecurity>0</DocSecurity>
  <Lines>154</Lines>
  <Paragraphs>43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21892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Alejandro Sarmiento</cp:lastModifiedBy>
  <cp:revision>3</cp:revision>
  <dcterms:created xsi:type="dcterms:W3CDTF">2021-01-19T20:26:00Z</dcterms:created>
  <dcterms:modified xsi:type="dcterms:W3CDTF">2021-01-20T14:43:00Z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