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5DC7" w14:textId="77777777" w:rsidR="00E16C68" w:rsidRPr="00D5685B" w:rsidRDefault="00E16C68" w:rsidP="00E16C68">
      <w:pPr>
        <w:spacing w:after="0" w:line="240" w:lineRule="auto"/>
        <w:jc w:val="both"/>
        <w:rPr>
          <w:rFonts w:ascii="Verdana" w:eastAsia="Calibri" w:hAnsi="Verdana" w:cs="Arial"/>
          <w:b/>
          <w:bCs/>
          <w:lang w:eastAsia="es-ES_tradnl"/>
        </w:rPr>
      </w:pPr>
      <w:bookmarkStart w:id="0" w:name="_Hlk143780582"/>
      <w:r w:rsidRPr="00D5685B">
        <w:rPr>
          <w:rFonts w:ascii="Verdana" w:eastAsia="Calibri" w:hAnsi="Verdana" w:cs="Arial"/>
          <w:b/>
          <w:bCs/>
          <w:lang w:eastAsia="es-ES_tradnl"/>
        </w:rPr>
        <w:t>PUEBLOS TRIBALES - Convenio No. 169 de la OIT – Compromisos – Derechos – Pueblo Rrom</w:t>
      </w:r>
    </w:p>
    <w:p w14:paraId="4F1B6240" w14:textId="77777777" w:rsidR="00E16C68" w:rsidRPr="00D5685B" w:rsidRDefault="00E16C68" w:rsidP="00E16C68">
      <w:pPr>
        <w:spacing w:after="0" w:line="240" w:lineRule="auto"/>
        <w:jc w:val="both"/>
        <w:rPr>
          <w:rFonts w:ascii="Verdana" w:eastAsia="Calibri" w:hAnsi="Verdana" w:cs="Arial"/>
          <w:b/>
          <w:bCs/>
          <w:sz w:val="20"/>
          <w:szCs w:val="20"/>
          <w:lang w:eastAsia="es-ES_tradnl"/>
        </w:rPr>
      </w:pPr>
    </w:p>
    <w:p w14:paraId="68950B9D" w14:textId="77777777" w:rsidR="00E16C68" w:rsidRPr="00D5685B" w:rsidRDefault="00E16C68" w:rsidP="00E16C68">
      <w:pPr>
        <w:spacing w:after="0" w:line="240" w:lineRule="auto"/>
        <w:jc w:val="both"/>
        <w:rPr>
          <w:rFonts w:ascii="Verdana" w:eastAsia="Calibri" w:hAnsi="Verdana" w:cs="Arial"/>
          <w:sz w:val="20"/>
          <w:szCs w:val="20"/>
          <w:lang w:val="es-ES_tradnl"/>
        </w:rPr>
      </w:pPr>
      <w:r w:rsidRPr="00D5685B">
        <w:rPr>
          <w:rFonts w:ascii="Verdana" w:eastAsia="Calibri" w:hAnsi="Verdana" w:cs="Arial"/>
          <w:sz w:val="20"/>
          <w:szCs w:val="20"/>
          <w:lang w:val="es-ES_tradnl"/>
        </w:rPr>
        <w:t xml:space="preserve">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 </w:t>
      </w:r>
    </w:p>
    <w:p w14:paraId="38EB621F" w14:textId="77777777" w:rsidR="00E16C68" w:rsidRPr="00D5685B" w:rsidRDefault="00E16C68" w:rsidP="00E16C68">
      <w:pPr>
        <w:spacing w:after="0" w:line="240" w:lineRule="auto"/>
        <w:jc w:val="both"/>
        <w:rPr>
          <w:rFonts w:ascii="Verdana" w:eastAsia="Calibri" w:hAnsi="Verdana" w:cs="Arial"/>
          <w:sz w:val="20"/>
          <w:szCs w:val="20"/>
          <w:lang w:val="es-ES_tradnl"/>
        </w:rPr>
      </w:pPr>
    </w:p>
    <w:p w14:paraId="3920222B" w14:textId="77777777" w:rsidR="00E16C68" w:rsidRPr="00D5685B" w:rsidRDefault="00E16C68" w:rsidP="00E16C68">
      <w:pPr>
        <w:spacing w:after="0" w:line="240" w:lineRule="auto"/>
        <w:jc w:val="both"/>
        <w:rPr>
          <w:rFonts w:ascii="Verdana" w:hAnsi="Verdana" w:cs="Arial"/>
          <w:bCs/>
          <w:sz w:val="20"/>
          <w:szCs w:val="20"/>
          <w:lang w:val="es-ES_tradnl" w:eastAsia="es-ES"/>
        </w:rPr>
      </w:pPr>
      <w:r w:rsidRPr="00D5685B">
        <w:rPr>
          <w:rFonts w:ascii="Verdana" w:eastAsia="Calibri" w:hAnsi="Verdana" w:cs="Arial"/>
          <w:sz w:val="20"/>
          <w:szCs w:val="20"/>
          <w:lang w:val="es-ES_tradnl"/>
        </w:rPr>
        <w:t>[…]</w:t>
      </w:r>
    </w:p>
    <w:p w14:paraId="20CB9C79" w14:textId="77777777" w:rsidR="00E16C68" w:rsidRPr="00D5685B" w:rsidRDefault="00E16C68" w:rsidP="00E16C68">
      <w:pPr>
        <w:spacing w:after="0" w:line="240" w:lineRule="auto"/>
        <w:jc w:val="both"/>
        <w:rPr>
          <w:rFonts w:ascii="Verdana" w:hAnsi="Verdana" w:cs="Arial"/>
          <w:bCs/>
          <w:sz w:val="20"/>
          <w:szCs w:val="20"/>
          <w:lang w:val="es-ES_tradnl" w:eastAsia="es-ES"/>
        </w:rPr>
      </w:pPr>
    </w:p>
    <w:p w14:paraId="3E3E810F" w14:textId="77777777" w:rsidR="00E16C68" w:rsidRPr="00D5685B" w:rsidRDefault="00E16C68" w:rsidP="00E16C68">
      <w:pPr>
        <w:spacing w:after="0" w:line="240" w:lineRule="auto"/>
        <w:jc w:val="both"/>
        <w:rPr>
          <w:rFonts w:ascii="Verdana" w:hAnsi="Verdana" w:cs="Arial"/>
          <w:bCs/>
          <w:sz w:val="20"/>
          <w:szCs w:val="20"/>
          <w:lang w:val="es-ES_tradnl" w:eastAsia="es-ES"/>
        </w:rPr>
      </w:pPr>
      <w:r w:rsidRPr="00D5685B">
        <w:rPr>
          <w:rFonts w:ascii="Verdana" w:hAnsi="Verdana" w:cs="Arial"/>
          <w:bCs/>
          <w:sz w:val="20"/>
          <w:szCs w:val="20"/>
          <w:lang w:val="es-ES" w:eastAsia="es-ES"/>
        </w:rPr>
        <w:t>En lo que respecta a la expresión “</w:t>
      </w:r>
      <w:r w:rsidRPr="00D5685B">
        <w:rPr>
          <w:rFonts w:ascii="Verdana" w:hAnsi="Verdana" w:cs="Arial"/>
          <w:bCs/>
          <w:i/>
          <w:sz w:val="20"/>
          <w:szCs w:val="20"/>
          <w:lang w:val="es-ES" w:eastAsia="es-ES"/>
        </w:rPr>
        <w:t>pueblos indígenas y tribales</w:t>
      </w:r>
      <w:r w:rsidRPr="00D5685B">
        <w:rPr>
          <w:rFonts w:ascii="Verdana" w:hAnsi="Verdana" w:cs="Arial"/>
          <w:bCs/>
          <w:sz w:val="20"/>
          <w:szCs w:val="20"/>
          <w:lang w:val="es-ES" w:eastAsia="es-ES"/>
        </w:rPr>
        <w:t xml:space="preserve">”,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w:t>
      </w:r>
      <w:r w:rsidRPr="00D5685B">
        <w:rPr>
          <w:rFonts w:ascii="Verdana" w:hAnsi="Verdana" w:cs="Arial"/>
          <w:bCs/>
          <w:sz w:val="20"/>
          <w:szCs w:val="20"/>
          <w:lang w:val="es-ES_tradnl" w:eastAsia="es-ES"/>
        </w:rPr>
        <w:t xml:space="preserve">Comunidades Negras, Afrodescendientes, Raizales y Palenqueras, quienes también son titulares de los derechos ligados a la autonomía, diversidad cultural, defensa de los territorios, participación, entre otros.  </w:t>
      </w:r>
    </w:p>
    <w:p w14:paraId="7EE9F1A4" w14:textId="77777777" w:rsidR="00E16C68" w:rsidRPr="00D5685B" w:rsidRDefault="00E16C68" w:rsidP="00E16C68">
      <w:pPr>
        <w:spacing w:after="0" w:line="240" w:lineRule="auto"/>
        <w:jc w:val="both"/>
        <w:rPr>
          <w:rFonts w:ascii="Verdana" w:eastAsia="Calibri" w:hAnsi="Verdana" w:cs="Arial"/>
          <w:bCs/>
          <w:sz w:val="20"/>
          <w:szCs w:val="20"/>
          <w:lang w:val="es-ES_tradnl"/>
        </w:rPr>
      </w:pPr>
    </w:p>
    <w:p w14:paraId="6FE80E92" w14:textId="77777777" w:rsidR="00E16C68" w:rsidRPr="00D5685B" w:rsidRDefault="00E16C68" w:rsidP="00E16C68">
      <w:pPr>
        <w:spacing w:after="0" w:line="240" w:lineRule="auto"/>
        <w:jc w:val="both"/>
        <w:rPr>
          <w:rFonts w:ascii="Verdana" w:eastAsia="Calibri" w:hAnsi="Verdana" w:cs="Arial"/>
          <w:bCs/>
          <w:sz w:val="20"/>
          <w:szCs w:val="20"/>
          <w:lang w:val="es-ES_tradnl"/>
        </w:rPr>
      </w:pPr>
      <w:r w:rsidRPr="00D5685B">
        <w:rPr>
          <w:rFonts w:ascii="Verdana" w:eastAsia="Calibri" w:hAnsi="Verdana" w:cs="Arial"/>
          <w:bCs/>
          <w:sz w:val="20"/>
          <w:szCs w:val="20"/>
          <w:lang w:val="es-ES_tradnl"/>
        </w:rPr>
        <w:t>[…]</w:t>
      </w:r>
    </w:p>
    <w:p w14:paraId="3483E9C1" w14:textId="77777777" w:rsidR="00E16C68" w:rsidRPr="00D5685B" w:rsidRDefault="00E16C68" w:rsidP="00E16C68">
      <w:pPr>
        <w:spacing w:after="0" w:line="240" w:lineRule="auto"/>
        <w:jc w:val="both"/>
        <w:rPr>
          <w:rFonts w:ascii="Verdana" w:hAnsi="Verdana"/>
          <w:b/>
          <w:bCs/>
          <w:sz w:val="20"/>
          <w:szCs w:val="20"/>
        </w:rPr>
      </w:pPr>
    </w:p>
    <w:p w14:paraId="43AB6E8D" w14:textId="77777777" w:rsidR="00E16C68" w:rsidRPr="00D5685B" w:rsidRDefault="00E16C68" w:rsidP="00E16C68">
      <w:pPr>
        <w:spacing w:after="0" w:line="240" w:lineRule="auto"/>
        <w:jc w:val="both"/>
        <w:rPr>
          <w:rFonts w:ascii="Verdana" w:hAnsi="Verdana"/>
          <w:sz w:val="20"/>
          <w:szCs w:val="20"/>
        </w:rPr>
      </w:pPr>
      <w:r w:rsidRPr="00D5685B">
        <w:rPr>
          <w:rFonts w:ascii="Verdana" w:hAnsi="Verdana"/>
          <w:sz w:val="20"/>
          <w:szCs w:val="20"/>
        </w:rPr>
        <w:t>El Decreto reglamentario 2957 de 2010 contiene el marco normativo para la protección integral de los derechos del Pueblo Rrom. Este decreto reconoce a los Rrom o Gitanos como un grupo étnico con una identidad cultural, que mantiene una conciencia étnica, que posee su forma de organización social y lengua, y que ha definido sus instituciones políticas y sociales, además de valorar las contribuciones que históricamente ha realizado al proceso de conformación de la nacionalidad colombiana, por lo que se le debe garantizar su conservación, desarrollo de cultura y forma de vida (art. 6º).</w:t>
      </w:r>
    </w:p>
    <w:p w14:paraId="06D95870" w14:textId="77777777" w:rsidR="005C18D4" w:rsidRPr="00D5685B" w:rsidRDefault="005C18D4" w:rsidP="00E16C68">
      <w:pPr>
        <w:spacing w:after="0" w:line="240" w:lineRule="auto"/>
        <w:jc w:val="both"/>
        <w:rPr>
          <w:rFonts w:ascii="Verdana" w:hAnsi="Verdana"/>
          <w:sz w:val="20"/>
          <w:szCs w:val="20"/>
        </w:rPr>
      </w:pPr>
    </w:p>
    <w:p w14:paraId="5ABE115E" w14:textId="77777777" w:rsidR="005C18D4" w:rsidRPr="005C18D4" w:rsidRDefault="005C18D4" w:rsidP="005C18D4">
      <w:pPr>
        <w:spacing w:after="0" w:line="240" w:lineRule="auto"/>
        <w:jc w:val="both"/>
        <w:rPr>
          <w:rFonts w:ascii="Verdana" w:hAnsi="Verdana"/>
          <w:b/>
          <w:lang w:val="es-MX"/>
        </w:rPr>
      </w:pPr>
      <w:r w:rsidRPr="005C18D4">
        <w:rPr>
          <w:rFonts w:ascii="Verdana" w:hAnsi="Verdana"/>
          <w:b/>
          <w:lang w:val="es-MX"/>
        </w:rPr>
        <w:t xml:space="preserve">CAPACIDAD PARA CONTRATAR – Consejos comunitarios de las comunidades negras Organizaciones de Base – Formas o expresiones organizativas </w:t>
      </w:r>
    </w:p>
    <w:p w14:paraId="48AD1DE3" w14:textId="77777777" w:rsidR="005C18D4" w:rsidRPr="005C18D4" w:rsidRDefault="005C18D4" w:rsidP="005C18D4">
      <w:pPr>
        <w:spacing w:after="0" w:line="240" w:lineRule="auto"/>
        <w:jc w:val="both"/>
        <w:rPr>
          <w:rFonts w:ascii="Verdana" w:hAnsi="Verdana"/>
          <w:b/>
          <w:sz w:val="20"/>
          <w:szCs w:val="20"/>
          <w:lang w:val="es-MX"/>
        </w:rPr>
      </w:pPr>
    </w:p>
    <w:p w14:paraId="34606608" w14:textId="77777777" w:rsidR="005C18D4" w:rsidRPr="005C18D4" w:rsidRDefault="005C18D4" w:rsidP="005C18D4">
      <w:pPr>
        <w:spacing w:after="0" w:line="240" w:lineRule="auto"/>
        <w:jc w:val="both"/>
        <w:rPr>
          <w:rFonts w:ascii="Verdana" w:hAnsi="Verdana"/>
          <w:sz w:val="20"/>
          <w:szCs w:val="20"/>
          <w:lang w:val="es-ES"/>
        </w:rPr>
      </w:pPr>
      <w:r w:rsidRPr="005C18D4">
        <w:rPr>
          <w:rFonts w:ascii="Verdana" w:hAnsi="Verdana"/>
          <w:sz w:val="20"/>
          <w:szCs w:val="20"/>
          <w:lang w:val="es-ES_tradnl"/>
        </w:rPr>
        <w:t>La Ley 2160 del 2021 “</w:t>
      </w:r>
      <w:r w:rsidRPr="005C18D4">
        <w:rPr>
          <w:rFonts w:ascii="Verdana" w:hAnsi="Verdana"/>
          <w:i/>
          <w:iCs/>
          <w:sz w:val="20"/>
          <w:szCs w:val="20"/>
          <w:lang w:val="es-ES"/>
        </w:rPr>
        <w:t>por medio del cual se modifica la ley 80 de 1993 y la ley 1150 de 2007</w:t>
      </w:r>
      <w:r w:rsidRPr="005C18D4">
        <w:rPr>
          <w:rFonts w:ascii="Verdana" w:hAnsi="Verdana"/>
          <w:sz w:val="20"/>
          <w:szCs w:val="20"/>
          <w:lang w:val="es-ES_tradnl"/>
        </w:rPr>
        <w:t xml:space="preserve">”, confirió de manera expresa capacidad jurídica a las </w:t>
      </w:r>
      <w:r w:rsidRPr="005C18D4">
        <w:rPr>
          <w:rFonts w:ascii="Verdana" w:hAnsi="Verdana"/>
          <w:sz w:val="20"/>
          <w:szCs w:val="20"/>
          <w:lang w:val="es-ES"/>
        </w:rPr>
        <w:t xml:space="preserve">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 </w:t>
      </w:r>
    </w:p>
    <w:p w14:paraId="71370F34" w14:textId="77777777" w:rsidR="005C18D4" w:rsidRPr="005C18D4" w:rsidRDefault="005C18D4" w:rsidP="005C18D4">
      <w:pPr>
        <w:spacing w:after="0" w:line="240" w:lineRule="auto"/>
        <w:jc w:val="both"/>
        <w:rPr>
          <w:rFonts w:ascii="Verdana" w:hAnsi="Verdana"/>
          <w:sz w:val="20"/>
          <w:szCs w:val="20"/>
          <w:lang w:val="es-ES"/>
        </w:rPr>
      </w:pPr>
    </w:p>
    <w:p w14:paraId="684F36F9" w14:textId="77777777" w:rsidR="005C18D4" w:rsidRPr="005C18D4" w:rsidRDefault="005C18D4" w:rsidP="005C18D4">
      <w:pPr>
        <w:spacing w:after="0" w:line="240" w:lineRule="auto"/>
        <w:jc w:val="both"/>
        <w:rPr>
          <w:rFonts w:ascii="Verdana" w:hAnsi="Verdana"/>
          <w:bCs/>
          <w:sz w:val="20"/>
          <w:szCs w:val="20"/>
          <w:lang w:val="es-ES_tradnl"/>
        </w:rPr>
      </w:pPr>
      <w:r w:rsidRPr="005C18D4">
        <w:rPr>
          <w:rFonts w:ascii="Verdana" w:hAnsi="Verdana"/>
          <w:bCs/>
          <w:sz w:val="20"/>
          <w:szCs w:val="20"/>
          <w:lang w:val="es-ES_tradnl"/>
        </w:rPr>
        <w:lastRenderedPageBreak/>
        <w:t>[…]</w:t>
      </w:r>
    </w:p>
    <w:p w14:paraId="41FCDCAD" w14:textId="77777777" w:rsidR="005C18D4" w:rsidRPr="005C18D4" w:rsidRDefault="005C18D4" w:rsidP="005C18D4">
      <w:pPr>
        <w:spacing w:after="0" w:line="240" w:lineRule="auto"/>
        <w:jc w:val="both"/>
        <w:rPr>
          <w:rFonts w:ascii="Verdana" w:hAnsi="Verdana"/>
          <w:sz w:val="20"/>
          <w:szCs w:val="20"/>
          <w:lang w:val="es-ES"/>
        </w:rPr>
      </w:pPr>
    </w:p>
    <w:p w14:paraId="1CAABA1B" w14:textId="77777777" w:rsidR="005C18D4" w:rsidRPr="005C18D4" w:rsidRDefault="005C18D4" w:rsidP="005C18D4">
      <w:pPr>
        <w:spacing w:after="0" w:line="240" w:lineRule="auto"/>
        <w:jc w:val="both"/>
        <w:rPr>
          <w:rFonts w:ascii="Verdana" w:hAnsi="Verdana"/>
          <w:bCs/>
          <w:sz w:val="20"/>
          <w:szCs w:val="20"/>
          <w:lang w:val="es-MX"/>
        </w:rPr>
      </w:pPr>
      <w:r w:rsidRPr="005C18D4">
        <w:rPr>
          <w:rFonts w:ascii="Verdana" w:hAnsi="Verdana"/>
          <w:bCs/>
          <w:sz w:val="20"/>
          <w:szCs w:val="20"/>
        </w:rPr>
        <w:t>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p>
    <w:p w14:paraId="22BCDE1B" w14:textId="77777777" w:rsidR="00E16C68" w:rsidRPr="00D5685B" w:rsidRDefault="00E16C68" w:rsidP="00E16C68">
      <w:pPr>
        <w:spacing w:after="0" w:line="240" w:lineRule="auto"/>
        <w:jc w:val="both"/>
        <w:rPr>
          <w:rFonts w:ascii="Verdana" w:hAnsi="Verdana"/>
          <w:b/>
          <w:bCs/>
          <w:sz w:val="20"/>
          <w:szCs w:val="20"/>
        </w:rPr>
      </w:pPr>
    </w:p>
    <w:p w14:paraId="42A18534" w14:textId="77777777" w:rsidR="00E16C68" w:rsidRPr="00D5685B" w:rsidRDefault="00E16C68" w:rsidP="00E16C68">
      <w:pPr>
        <w:spacing w:after="0" w:line="240" w:lineRule="auto"/>
        <w:jc w:val="both"/>
        <w:rPr>
          <w:rFonts w:ascii="Verdana" w:eastAsia="Calibri" w:hAnsi="Verdana" w:cs="Arial"/>
          <w:b/>
          <w:lang w:eastAsia="es-ES_tradnl"/>
        </w:rPr>
      </w:pPr>
      <w:r w:rsidRPr="00D5685B">
        <w:rPr>
          <w:rFonts w:ascii="Verdana" w:eastAsia="Calibri" w:hAnsi="Verdana" w:cs="Arial"/>
          <w:b/>
          <w:lang w:eastAsia="es-ES_tradnl"/>
        </w:rPr>
        <w:t>CONTRATACIÓN DIRECTA – Aplicación restrictiva – Literal N, numeral 4, artículo 2 de la Ley 1150 de 2007</w:t>
      </w:r>
    </w:p>
    <w:p w14:paraId="497FFC19" w14:textId="77777777" w:rsidR="00E16C68" w:rsidRPr="00D5685B" w:rsidRDefault="00E16C68" w:rsidP="00E16C68">
      <w:pPr>
        <w:spacing w:after="0" w:line="240" w:lineRule="auto"/>
        <w:rPr>
          <w:rFonts w:ascii="Verdana" w:eastAsia="Calibri" w:hAnsi="Verdana" w:cs="Arial"/>
          <w:b/>
          <w:sz w:val="20"/>
          <w:szCs w:val="20"/>
          <w:lang w:eastAsia="es-ES_tradnl"/>
        </w:rPr>
      </w:pPr>
    </w:p>
    <w:p w14:paraId="4DF72D9D" w14:textId="77777777" w:rsidR="00E16C68" w:rsidRPr="00D5685B" w:rsidRDefault="00E16C68" w:rsidP="00E16C68">
      <w:pPr>
        <w:spacing w:after="0" w:line="240" w:lineRule="auto"/>
        <w:jc w:val="both"/>
        <w:rPr>
          <w:rFonts w:ascii="Verdana" w:hAnsi="Verdana" w:cs="Arial"/>
          <w:sz w:val="20"/>
          <w:szCs w:val="20"/>
          <w:lang w:val="es-ES_tradnl"/>
        </w:rPr>
      </w:pPr>
      <w:r w:rsidRPr="00D5685B">
        <w:rPr>
          <w:rFonts w:ascii="Verdana" w:eastAsia="Calibri" w:hAnsi="Verdana" w:cs="Arial"/>
          <w:sz w:val="20"/>
          <w:szCs w:val="20"/>
          <w:lang w:val="es-ES"/>
        </w:rPr>
        <w:t>Ley 2160 de 2021 también introdujo modificaciones en la Ley 1150 de 2007, específicamente en el artículo 2</w:t>
      </w:r>
      <w:r w:rsidRPr="00D5685B">
        <w:rPr>
          <w:rFonts w:ascii="Verdana" w:hAnsi="Verdana" w:cs="Arial"/>
          <w:sz w:val="20"/>
          <w:szCs w:val="20"/>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D5685B">
        <w:rPr>
          <w:rFonts w:ascii="Verdana" w:eastAsia="Calibri" w:hAnsi="Verdana" w:cs="Arial"/>
          <w:sz w:val="20"/>
          <w:szCs w:val="20"/>
          <w:lang w:val="es-ES"/>
        </w:rPr>
        <w:t xml:space="preserve"> Estas causales enfocan la colaboración entre la Entidades Estatales y los entes organizativos de</w:t>
      </w:r>
      <w:r w:rsidRPr="00D5685B">
        <w:rPr>
          <w:rFonts w:ascii="Verdana" w:hAnsi="Verdana" w:cs="Arial"/>
          <w:sz w:val="20"/>
          <w:szCs w:val="20"/>
          <w:lang w:val="es-ES_tradnl"/>
        </w:rPr>
        <w:t xml:space="preserve"> la población negra, afrodescendiente, raizal y palenquera a objetos que busquen unas finalidades específicas.</w:t>
      </w:r>
    </w:p>
    <w:p w14:paraId="1E9DB468" w14:textId="77777777" w:rsidR="00E16C68" w:rsidRPr="00D5685B" w:rsidRDefault="00E16C68" w:rsidP="00E16C68">
      <w:pPr>
        <w:spacing w:after="0" w:line="240" w:lineRule="auto"/>
        <w:jc w:val="both"/>
        <w:rPr>
          <w:rFonts w:ascii="Verdana" w:hAnsi="Verdana" w:cs="Arial"/>
          <w:sz w:val="20"/>
          <w:szCs w:val="20"/>
          <w:lang w:val="es-ES_tradnl"/>
        </w:rPr>
      </w:pPr>
    </w:p>
    <w:p w14:paraId="231EC17D" w14:textId="77777777" w:rsidR="00E16C68" w:rsidRPr="00D5685B" w:rsidRDefault="00E16C68" w:rsidP="00E16C68">
      <w:pPr>
        <w:spacing w:after="0" w:line="240" w:lineRule="auto"/>
        <w:jc w:val="both"/>
        <w:rPr>
          <w:rFonts w:ascii="Verdana" w:eastAsia="Calibri" w:hAnsi="Verdana" w:cs="Arial"/>
          <w:bCs/>
          <w:sz w:val="20"/>
          <w:szCs w:val="20"/>
          <w:lang w:val="es-ES_tradnl"/>
        </w:rPr>
      </w:pPr>
      <w:r w:rsidRPr="00D5685B">
        <w:rPr>
          <w:rFonts w:ascii="Verdana" w:eastAsia="Calibri" w:hAnsi="Verdana" w:cs="Arial"/>
          <w:bCs/>
          <w:sz w:val="20"/>
          <w:szCs w:val="20"/>
          <w:lang w:val="es-ES_tradnl"/>
        </w:rPr>
        <w:t>[…]</w:t>
      </w:r>
    </w:p>
    <w:p w14:paraId="6DF1ABBA" w14:textId="77777777" w:rsidR="00E16C68" w:rsidRPr="00D5685B" w:rsidRDefault="00E16C68" w:rsidP="00E16C68">
      <w:pPr>
        <w:spacing w:after="0" w:line="240" w:lineRule="auto"/>
        <w:jc w:val="both"/>
        <w:rPr>
          <w:rFonts w:ascii="Verdana" w:hAnsi="Verdana" w:cs="Arial"/>
          <w:sz w:val="20"/>
          <w:szCs w:val="20"/>
          <w:lang w:val="es-ES_tradnl"/>
        </w:rPr>
      </w:pPr>
    </w:p>
    <w:p w14:paraId="6B55FE2C" w14:textId="77777777" w:rsidR="00E16C68" w:rsidRPr="00D5685B" w:rsidRDefault="00E16C68" w:rsidP="00E16C68">
      <w:pPr>
        <w:spacing w:after="0" w:line="240" w:lineRule="auto"/>
        <w:jc w:val="both"/>
        <w:rPr>
          <w:rFonts w:ascii="Verdana" w:hAnsi="Verdana"/>
          <w:bCs/>
          <w:sz w:val="20"/>
          <w:szCs w:val="20"/>
        </w:rPr>
      </w:pPr>
      <w:r w:rsidRPr="00D5685B">
        <w:rPr>
          <w:rFonts w:ascii="Verdana" w:hAnsi="Verdana"/>
          <w:bCs/>
          <w:sz w:val="20"/>
          <w:szCs w:val="20"/>
          <w:lang w:val="es-ES"/>
        </w:rPr>
        <w:t xml:space="preserve">Los literales M) y N) del artículo 2, numeral 4 de la Ley 1150 de 2007 consagran disposiciones que autorizan a las Entidades Estatales a contratar de manera directa con los </w:t>
      </w:r>
      <w:r w:rsidRPr="00D5685B">
        <w:rPr>
          <w:rFonts w:ascii="Verdana" w:hAnsi="Verdana"/>
          <w:bCs/>
          <w:sz w:val="20"/>
          <w:szCs w:val="20"/>
        </w:rPr>
        <w:t>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w:t>
      </w:r>
    </w:p>
    <w:p w14:paraId="5D04C4B6" w14:textId="77777777" w:rsidR="00E16C68" w:rsidRPr="00D5685B" w:rsidRDefault="00E16C68" w:rsidP="00E16C68">
      <w:pPr>
        <w:spacing w:after="0" w:line="240" w:lineRule="auto"/>
        <w:jc w:val="both"/>
        <w:rPr>
          <w:rFonts w:ascii="Verdana" w:hAnsi="Verdana"/>
          <w:b/>
          <w:sz w:val="20"/>
          <w:szCs w:val="20"/>
        </w:rPr>
      </w:pPr>
    </w:p>
    <w:p w14:paraId="14A42EC6" w14:textId="77777777" w:rsidR="005C18D4" w:rsidRPr="00D5685B" w:rsidRDefault="005C18D4" w:rsidP="005C18D4">
      <w:pPr>
        <w:spacing w:after="0" w:line="240" w:lineRule="auto"/>
        <w:jc w:val="both"/>
        <w:rPr>
          <w:rFonts w:ascii="Verdana" w:eastAsia="Calibri" w:hAnsi="Verdana" w:cs="Arial"/>
          <w:b/>
          <w:bCs/>
          <w:lang w:eastAsia="es-ES_tradnl"/>
        </w:rPr>
      </w:pPr>
    </w:p>
    <w:p w14:paraId="538A6EE0" w14:textId="77777777" w:rsidR="00B636C5" w:rsidRPr="00D5685B" w:rsidRDefault="00B636C5" w:rsidP="005C18D4">
      <w:pPr>
        <w:spacing w:after="0" w:line="240" w:lineRule="auto"/>
        <w:jc w:val="both"/>
        <w:rPr>
          <w:rFonts w:ascii="Verdana" w:eastAsia="Calibri" w:hAnsi="Verdana" w:cs="Arial"/>
          <w:b/>
          <w:bCs/>
          <w:lang w:eastAsia="es-ES_tradnl"/>
        </w:rPr>
      </w:pPr>
    </w:p>
    <w:p w14:paraId="3BE56AB7" w14:textId="77777777" w:rsidR="00B636C5" w:rsidRPr="00D5685B" w:rsidRDefault="00B636C5" w:rsidP="005C18D4">
      <w:pPr>
        <w:spacing w:after="0" w:line="240" w:lineRule="auto"/>
        <w:jc w:val="both"/>
        <w:rPr>
          <w:rFonts w:ascii="Verdana" w:eastAsia="Calibri" w:hAnsi="Verdana" w:cs="Arial"/>
          <w:b/>
          <w:bCs/>
          <w:lang w:eastAsia="es-ES_tradnl"/>
        </w:rPr>
      </w:pPr>
    </w:p>
    <w:p w14:paraId="6BEBD82D" w14:textId="77777777" w:rsidR="00B636C5" w:rsidRPr="00D5685B" w:rsidRDefault="00B636C5" w:rsidP="005C18D4">
      <w:pPr>
        <w:spacing w:after="0" w:line="240" w:lineRule="auto"/>
        <w:jc w:val="both"/>
        <w:rPr>
          <w:rFonts w:ascii="Verdana" w:eastAsia="Calibri" w:hAnsi="Verdana" w:cs="Arial"/>
          <w:b/>
          <w:bCs/>
          <w:lang w:eastAsia="es-ES_tradnl"/>
        </w:rPr>
      </w:pPr>
    </w:p>
    <w:p w14:paraId="626B8DDD" w14:textId="77777777" w:rsidR="00B636C5" w:rsidRPr="00D5685B" w:rsidRDefault="00B636C5" w:rsidP="005C18D4">
      <w:pPr>
        <w:spacing w:after="0" w:line="240" w:lineRule="auto"/>
        <w:jc w:val="both"/>
        <w:rPr>
          <w:rFonts w:ascii="Verdana" w:eastAsia="Calibri" w:hAnsi="Verdana" w:cs="Arial"/>
          <w:b/>
          <w:bCs/>
          <w:lang w:eastAsia="es-ES_tradnl"/>
        </w:rPr>
      </w:pPr>
    </w:p>
    <w:p w14:paraId="3186631D" w14:textId="77777777" w:rsidR="00B636C5" w:rsidRPr="00D5685B" w:rsidRDefault="00B636C5" w:rsidP="005C18D4">
      <w:pPr>
        <w:spacing w:after="0" w:line="240" w:lineRule="auto"/>
        <w:jc w:val="both"/>
        <w:rPr>
          <w:rFonts w:ascii="Verdana" w:eastAsia="Calibri" w:hAnsi="Verdana" w:cs="Arial"/>
          <w:b/>
          <w:bCs/>
          <w:lang w:eastAsia="es-ES_tradnl"/>
        </w:rPr>
      </w:pPr>
    </w:p>
    <w:p w14:paraId="71281EA9" w14:textId="77777777" w:rsidR="00B636C5" w:rsidRPr="00D5685B" w:rsidRDefault="00B636C5" w:rsidP="005C18D4">
      <w:pPr>
        <w:spacing w:after="0" w:line="240" w:lineRule="auto"/>
        <w:jc w:val="both"/>
        <w:rPr>
          <w:rFonts w:ascii="Verdana" w:eastAsia="Calibri" w:hAnsi="Verdana" w:cs="Arial"/>
          <w:b/>
          <w:bCs/>
          <w:lang w:eastAsia="es-ES_tradnl"/>
        </w:rPr>
      </w:pPr>
    </w:p>
    <w:p w14:paraId="7FFC206D" w14:textId="77777777" w:rsidR="00B636C5" w:rsidRPr="00D5685B" w:rsidRDefault="00B636C5" w:rsidP="005C18D4">
      <w:pPr>
        <w:spacing w:after="0" w:line="240" w:lineRule="auto"/>
        <w:jc w:val="both"/>
        <w:rPr>
          <w:rFonts w:ascii="Verdana" w:eastAsia="Calibri" w:hAnsi="Verdana" w:cs="Arial"/>
          <w:b/>
          <w:bCs/>
          <w:lang w:eastAsia="es-ES_tradnl"/>
        </w:rPr>
      </w:pPr>
    </w:p>
    <w:p w14:paraId="51FD94A9" w14:textId="77777777" w:rsidR="00B636C5" w:rsidRPr="00D5685B" w:rsidRDefault="00B636C5" w:rsidP="005C18D4">
      <w:pPr>
        <w:spacing w:after="0" w:line="240" w:lineRule="auto"/>
        <w:jc w:val="both"/>
        <w:rPr>
          <w:rFonts w:ascii="Verdana" w:eastAsia="Calibri" w:hAnsi="Verdana" w:cs="Arial"/>
          <w:b/>
          <w:bCs/>
          <w:lang w:eastAsia="es-ES_tradnl"/>
        </w:rPr>
      </w:pPr>
    </w:p>
    <w:p w14:paraId="282CD7DF" w14:textId="77777777" w:rsidR="00B636C5" w:rsidRPr="00D5685B" w:rsidRDefault="00B636C5" w:rsidP="005C18D4">
      <w:pPr>
        <w:spacing w:after="0" w:line="240" w:lineRule="auto"/>
        <w:jc w:val="both"/>
        <w:rPr>
          <w:rFonts w:ascii="Verdana" w:eastAsia="Calibri" w:hAnsi="Verdana" w:cs="Arial"/>
          <w:b/>
          <w:bCs/>
          <w:lang w:eastAsia="es-ES_tradnl"/>
        </w:rPr>
      </w:pPr>
    </w:p>
    <w:p w14:paraId="65A57B27" w14:textId="77777777" w:rsidR="00B636C5" w:rsidRPr="00D5685B" w:rsidRDefault="00B636C5" w:rsidP="005C18D4">
      <w:pPr>
        <w:spacing w:after="0" w:line="240" w:lineRule="auto"/>
        <w:jc w:val="both"/>
        <w:rPr>
          <w:rFonts w:ascii="Verdana" w:eastAsia="Arial" w:hAnsi="Verdana" w:cs="Arial"/>
          <w:sz w:val="20"/>
          <w:szCs w:val="20"/>
          <w:lang w:val="es-ES_tradnl" w:eastAsia="es-ES_tradnl"/>
        </w:rPr>
      </w:pPr>
    </w:p>
    <w:p w14:paraId="52C775EA" w14:textId="77777777" w:rsidR="000133C4" w:rsidRPr="00D5685B" w:rsidRDefault="000133C4" w:rsidP="005C18D4">
      <w:pPr>
        <w:spacing w:after="0" w:line="240" w:lineRule="auto"/>
        <w:jc w:val="both"/>
        <w:rPr>
          <w:rFonts w:ascii="Verdana" w:hAnsi="Verdana"/>
        </w:rPr>
      </w:pPr>
    </w:p>
    <w:p w14:paraId="3FE2184B" w14:textId="0C8EFA82" w:rsidR="00E245AB" w:rsidRPr="00D5685B" w:rsidRDefault="00E245AB" w:rsidP="005C18D4">
      <w:pPr>
        <w:spacing w:after="0" w:line="240" w:lineRule="auto"/>
        <w:jc w:val="both"/>
        <w:rPr>
          <w:rFonts w:ascii="Verdana" w:eastAsia="Arial" w:hAnsi="Verdana" w:cs="Arial"/>
          <w:sz w:val="20"/>
          <w:szCs w:val="20"/>
          <w:lang w:val="es-ES_tradnl" w:eastAsia="es-ES_tradnl"/>
        </w:rPr>
      </w:pPr>
      <w:r w:rsidRPr="00D5685B">
        <w:rPr>
          <w:rFonts w:ascii="Verdana" w:hAnsi="Verdana"/>
        </w:rPr>
        <w:t xml:space="preserve">Bogotá D.C., </w:t>
      </w:r>
      <w:r w:rsidR="00335963">
        <w:rPr>
          <w:rFonts w:ascii="Verdana" w:hAnsi="Verdana"/>
        </w:rPr>
        <w:t>18 de julio del 2025</w:t>
      </w:r>
    </w:p>
    <w:p w14:paraId="5FCADBF9" w14:textId="77777777" w:rsidR="00E245AB" w:rsidRDefault="00E245AB" w:rsidP="00E245AB">
      <w:pPr>
        <w:spacing w:after="0"/>
        <w:rPr>
          <w:rFonts w:ascii="Verdana" w:hAnsi="Verdana"/>
        </w:rPr>
      </w:pPr>
    </w:p>
    <w:p w14:paraId="322DE834" w14:textId="0FA485F9" w:rsidR="00917A04" w:rsidRPr="00D5685B" w:rsidRDefault="00917A04" w:rsidP="00917A04">
      <w:pPr>
        <w:spacing w:after="0"/>
        <w:jc w:val="right"/>
        <w:rPr>
          <w:rFonts w:ascii="Verdana" w:hAnsi="Verdana"/>
        </w:rPr>
      </w:pPr>
      <w:r w:rsidRPr="00917A04">
        <w:rPr>
          <w:rFonts w:ascii="Verdana" w:hAnsi="Verdana"/>
        </w:rPr>
        <w:drawing>
          <wp:inline distT="0" distB="0" distL="0" distR="0" wp14:anchorId="35B45D07" wp14:editId="3EDC28AE">
            <wp:extent cx="2887980" cy="762000"/>
            <wp:effectExtent l="0" t="0" r="7620" b="0"/>
            <wp:docPr id="1499971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971549" name=""/>
                    <pic:cNvPicPr/>
                  </pic:nvPicPr>
                  <pic:blipFill>
                    <a:blip r:embed="rId10"/>
                    <a:stretch>
                      <a:fillRect/>
                    </a:stretch>
                  </pic:blipFill>
                  <pic:spPr>
                    <a:xfrm>
                      <a:off x="0" y="0"/>
                      <a:ext cx="2887980" cy="762000"/>
                    </a:xfrm>
                    <a:prstGeom prst="rect">
                      <a:avLst/>
                    </a:prstGeom>
                  </pic:spPr>
                </pic:pic>
              </a:graphicData>
            </a:graphic>
          </wp:inline>
        </w:drawing>
      </w:r>
    </w:p>
    <w:p w14:paraId="0EBCE418" w14:textId="4AD954BA" w:rsidR="00891928" w:rsidRPr="00D5685B" w:rsidRDefault="00E722A8" w:rsidP="00891928">
      <w:pPr>
        <w:spacing w:after="0"/>
        <w:rPr>
          <w:rFonts w:ascii="Verdana" w:hAnsi="Verdana"/>
        </w:rPr>
      </w:pPr>
      <w:r w:rsidRPr="00D5685B">
        <w:rPr>
          <w:rFonts w:ascii="Verdana" w:hAnsi="Verdana"/>
        </w:rPr>
        <w:t>Señor:</w:t>
      </w:r>
    </w:p>
    <w:p w14:paraId="0C93CE8B" w14:textId="2C4A9B5E" w:rsidR="001511A0" w:rsidRPr="00D5685B" w:rsidRDefault="00CB3F50" w:rsidP="00891928">
      <w:pPr>
        <w:spacing w:after="0"/>
        <w:rPr>
          <w:rFonts w:ascii="Verdana" w:hAnsi="Verdana"/>
          <w:b/>
          <w:bCs/>
        </w:rPr>
      </w:pPr>
      <w:r w:rsidRPr="00D5685B">
        <w:rPr>
          <w:rFonts w:ascii="Verdana" w:hAnsi="Verdana"/>
          <w:b/>
          <w:bCs/>
        </w:rPr>
        <w:t xml:space="preserve">Cristhian Alexander Rodríguez Martínez </w:t>
      </w:r>
    </w:p>
    <w:p w14:paraId="22CDA475" w14:textId="77777777" w:rsidR="00F1020B" w:rsidRPr="00D5685B" w:rsidRDefault="00F1020B" w:rsidP="00E245AB">
      <w:pPr>
        <w:spacing w:after="0"/>
        <w:rPr>
          <w:rFonts w:ascii="Verdana" w:hAnsi="Verdana"/>
        </w:rPr>
      </w:pPr>
      <w:hyperlink r:id="rId11" w:history="1">
        <w:r w:rsidRPr="00D5685B">
          <w:rPr>
            <w:rStyle w:val="Hipervnculo"/>
            <w:rFonts w:ascii="Verdana" w:hAnsi="Verdana"/>
          </w:rPr>
          <w:t>alex.c.e@hotmail.es</w:t>
        </w:r>
      </w:hyperlink>
      <w:r w:rsidRPr="00D5685B">
        <w:rPr>
          <w:rFonts w:ascii="Verdana" w:hAnsi="Verdana"/>
        </w:rPr>
        <w:t xml:space="preserve"> </w:t>
      </w:r>
    </w:p>
    <w:p w14:paraId="1F423BF7" w14:textId="42F83A87" w:rsidR="00E245AB" w:rsidRPr="00D5685B" w:rsidRDefault="00F96162" w:rsidP="00E245AB">
      <w:pPr>
        <w:spacing w:after="0"/>
        <w:rPr>
          <w:rFonts w:ascii="Verdana" w:hAnsi="Verdana"/>
        </w:rPr>
      </w:pPr>
      <w:r w:rsidRPr="00D5685B">
        <w:rPr>
          <w:rFonts w:ascii="Verdana" w:hAnsi="Verdana"/>
        </w:rPr>
        <w:t xml:space="preserve">Ciudad. </w:t>
      </w:r>
    </w:p>
    <w:p w14:paraId="76C0FC17" w14:textId="77777777" w:rsidR="00F1020B" w:rsidRPr="00D5685B" w:rsidRDefault="00F1020B" w:rsidP="00E245AB">
      <w:pPr>
        <w:spacing w:after="0"/>
        <w:rPr>
          <w:rFonts w:ascii="Verdana" w:hAnsi="Verdana"/>
        </w:rPr>
      </w:pPr>
    </w:p>
    <w:p w14:paraId="6EB765D4" w14:textId="77777777" w:rsidR="00C8622E" w:rsidRPr="00D5685B" w:rsidRDefault="00C8622E" w:rsidP="00E245AB">
      <w:pPr>
        <w:spacing w:after="0"/>
        <w:rPr>
          <w:rFonts w:ascii="Verdana" w:hAnsi="Verdana"/>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8622E" w:rsidRPr="00D5685B" w14:paraId="02731711" w14:textId="77777777" w:rsidTr="00DA32CA">
        <w:trPr>
          <w:trHeight w:val="294"/>
        </w:trPr>
        <w:tc>
          <w:tcPr>
            <w:tcW w:w="2689" w:type="dxa"/>
          </w:tcPr>
          <w:p w14:paraId="0AF535A9" w14:textId="77777777" w:rsidR="00C8622E" w:rsidRPr="00D5685B" w:rsidRDefault="00C8622E" w:rsidP="00DA32CA">
            <w:pPr>
              <w:jc w:val="both"/>
              <w:rPr>
                <w:rFonts w:ascii="Verdana" w:eastAsia="Calibri" w:hAnsi="Verdana" w:cs="Arial"/>
                <w:b/>
                <w:bCs/>
                <w:highlight w:val="cyan"/>
                <w:lang w:val="es-ES_tradnl" w:eastAsia="es-ES_tradnl"/>
              </w:rPr>
            </w:pPr>
          </w:p>
        </w:tc>
        <w:tc>
          <w:tcPr>
            <w:tcW w:w="6100" w:type="dxa"/>
          </w:tcPr>
          <w:p w14:paraId="7C185D26" w14:textId="4E412C6C" w:rsidR="00C8622E" w:rsidRPr="00D5685B" w:rsidRDefault="00C8622E" w:rsidP="00DA32CA">
            <w:pPr>
              <w:jc w:val="both"/>
              <w:rPr>
                <w:rFonts w:ascii="Verdana" w:eastAsia="Calibri" w:hAnsi="Verdana" w:cs="Arial"/>
                <w:b/>
                <w:bCs/>
                <w:lang w:val="es-ES" w:eastAsia="es-ES"/>
              </w:rPr>
            </w:pPr>
            <w:r w:rsidRPr="00D5685B">
              <w:rPr>
                <w:rFonts w:ascii="Verdana" w:eastAsia="Calibri" w:hAnsi="Verdana" w:cs="Arial"/>
                <w:b/>
                <w:bCs/>
                <w:lang w:val="es-ES" w:eastAsia="es-ES"/>
              </w:rPr>
              <w:t xml:space="preserve">Concepto </w:t>
            </w:r>
            <w:r w:rsidRPr="00D5685B">
              <w:rPr>
                <w:rFonts w:ascii="Verdana" w:eastAsia="Calibri" w:hAnsi="Verdana" w:cs="Arial"/>
                <w:b/>
                <w:bCs/>
                <w:lang w:eastAsia="es-ES"/>
              </w:rPr>
              <w:t xml:space="preserve">C-791 </w:t>
            </w:r>
            <w:r w:rsidRPr="00D5685B">
              <w:rPr>
                <w:rFonts w:ascii="Verdana" w:eastAsia="Calibri" w:hAnsi="Verdana" w:cs="Arial"/>
                <w:b/>
                <w:bCs/>
                <w:lang w:val="es-ES" w:eastAsia="es-ES"/>
              </w:rPr>
              <w:t>de 2025</w:t>
            </w:r>
          </w:p>
          <w:p w14:paraId="4CB064E7" w14:textId="77777777" w:rsidR="00C8622E" w:rsidRPr="00D5685B" w:rsidRDefault="00C8622E" w:rsidP="00DA32CA">
            <w:pPr>
              <w:jc w:val="both"/>
              <w:rPr>
                <w:rFonts w:ascii="Verdana" w:eastAsia="Calibri" w:hAnsi="Verdana" w:cs="Arial"/>
                <w:b/>
                <w:bCs/>
                <w:highlight w:val="cyan"/>
                <w:lang w:val="es-ES" w:eastAsia="es-ES"/>
              </w:rPr>
            </w:pPr>
          </w:p>
          <w:p w14:paraId="4DBA62F4" w14:textId="77777777" w:rsidR="00C8622E" w:rsidRPr="00D5685B" w:rsidRDefault="00C8622E" w:rsidP="00DA32CA">
            <w:pPr>
              <w:jc w:val="both"/>
              <w:rPr>
                <w:rFonts w:ascii="Verdana" w:eastAsia="Calibri" w:hAnsi="Verdana" w:cs="Arial"/>
                <w:b/>
                <w:bCs/>
                <w:highlight w:val="cyan"/>
                <w:lang w:val="es-ES" w:eastAsia="es-ES"/>
              </w:rPr>
            </w:pPr>
          </w:p>
        </w:tc>
      </w:tr>
      <w:tr w:rsidR="00C8622E" w:rsidRPr="00D5685B" w14:paraId="2B2B8FED" w14:textId="77777777" w:rsidTr="00DA32CA">
        <w:trPr>
          <w:trHeight w:val="884"/>
        </w:trPr>
        <w:tc>
          <w:tcPr>
            <w:tcW w:w="2689" w:type="dxa"/>
          </w:tcPr>
          <w:p w14:paraId="14489449" w14:textId="77777777" w:rsidR="00C8622E" w:rsidRPr="00D5685B" w:rsidRDefault="00C8622E" w:rsidP="00DA32CA">
            <w:pPr>
              <w:jc w:val="both"/>
              <w:rPr>
                <w:rFonts w:ascii="Verdana" w:eastAsia="Calibri" w:hAnsi="Verdana" w:cs="Arial"/>
                <w:b/>
                <w:highlight w:val="cyan"/>
                <w:lang w:val="es-ES_tradnl" w:eastAsia="es-ES_tradnl"/>
              </w:rPr>
            </w:pPr>
            <w:r w:rsidRPr="00D5685B">
              <w:rPr>
                <w:rFonts w:ascii="Verdana" w:eastAsia="Calibri" w:hAnsi="Verdana" w:cs="Arial"/>
                <w:b/>
                <w:lang w:val="es-ES_tradnl" w:eastAsia="es-ES_tradnl"/>
              </w:rPr>
              <w:t xml:space="preserve">Temas:                   </w:t>
            </w:r>
          </w:p>
        </w:tc>
        <w:tc>
          <w:tcPr>
            <w:tcW w:w="6100" w:type="dxa"/>
          </w:tcPr>
          <w:p w14:paraId="02E48729" w14:textId="59F7C749" w:rsidR="00C8622E" w:rsidRPr="00D5685B" w:rsidRDefault="00EA45E6" w:rsidP="00DA32CA">
            <w:pPr>
              <w:spacing w:line="276" w:lineRule="auto"/>
              <w:jc w:val="both"/>
              <w:rPr>
                <w:rFonts w:ascii="Verdana" w:eastAsia="Calibri" w:hAnsi="Verdana" w:cs="Arial"/>
                <w:bCs/>
                <w:lang w:val="es-ES" w:eastAsia="es-ES_tradnl"/>
              </w:rPr>
            </w:pPr>
            <w:r w:rsidRPr="00D5685B">
              <w:rPr>
                <w:rFonts w:ascii="Verdana" w:eastAsia="Calibri" w:hAnsi="Verdana" w:cs="Arial"/>
                <w:bCs/>
                <w:lang w:val="es-ES" w:eastAsia="es-ES_tradnl"/>
              </w:rPr>
              <w:t xml:space="preserve">PUEBLOS TRIBALES - Convenio No. 169 de la OIT – Compromisos – Derechos – Pueblo Rrom / </w:t>
            </w:r>
            <w:r w:rsidR="0051440A" w:rsidRPr="00D5685B">
              <w:rPr>
                <w:rFonts w:ascii="Verdana" w:eastAsia="Calibri" w:hAnsi="Verdana" w:cs="Arial"/>
                <w:bCs/>
                <w:lang w:val="es-MX" w:eastAsia="es-ES_tradnl"/>
              </w:rPr>
              <w:t xml:space="preserve">CAPACIDAD PARA CONTRATAR – Consejos comunitarios de las comunidades negras Organizaciones de Base – Formas o expresiones organizativas / </w:t>
            </w:r>
            <w:r w:rsidRPr="00D5685B">
              <w:rPr>
                <w:rFonts w:ascii="Verdana" w:eastAsia="Calibri" w:hAnsi="Verdana" w:cs="Arial"/>
                <w:bCs/>
                <w:lang w:val="es-ES" w:eastAsia="es-ES_tradnl"/>
              </w:rPr>
              <w:t xml:space="preserve">CONTRATACIÓN DIRECTA – Aplicación restrictiva – Literal N, numeral 4, artículo 2 de la Ley 1150 de 2007 </w:t>
            </w:r>
          </w:p>
          <w:p w14:paraId="653B334A" w14:textId="3F2D2569" w:rsidR="00EA45E6" w:rsidRPr="00D5685B" w:rsidRDefault="00EA45E6" w:rsidP="00DA32CA">
            <w:pPr>
              <w:spacing w:line="276" w:lineRule="auto"/>
              <w:jc w:val="both"/>
              <w:rPr>
                <w:rFonts w:ascii="Verdana" w:eastAsia="Calibri" w:hAnsi="Verdana" w:cs="Arial"/>
                <w:highlight w:val="cyan"/>
                <w:lang w:eastAsia="es-ES"/>
              </w:rPr>
            </w:pPr>
          </w:p>
        </w:tc>
      </w:tr>
      <w:tr w:rsidR="00C8622E" w:rsidRPr="00D5685B" w14:paraId="26534BB5" w14:textId="77777777" w:rsidTr="00DA32CA">
        <w:tc>
          <w:tcPr>
            <w:tcW w:w="2689" w:type="dxa"/>
          </w:tcPr>
          <w:p w14:paraId="413D3C1B" w14:textId="77777777" w:rsidR="00C8622E" w:rsidRPr="00D5685B" w:rsidRDefault="00C8622E" w:rsidP="00DA32CA">
            <w:pPr>
              <w:jc w:val="both"/>
              <w:rPr>
                <w:rFonts w:ascii="Verdana" w:eastAsia="Calibri" w:hAnsi="Verdana" w:cs="Arial"/>
                <w:b/>
                <w:highlight w:val="cyan"/>
                <w:lang w:val="es-ES_tradnl" w:eastAsia="es-ES_tradnl"/>
              </w:rPr>
            </w:pPr>
            <w:r w:rsidRPr="00D5685B">
              <w:rPr>
                <w:rFonts w:ascii="Verdana" w:eastAsia="Calibri" w:hAnsi="Verdana" w:cs="Arial"/>
                <w:b/>
                <w:lang w:val="es-ES_tradnl" w:eastAsia="es-ES_tradnl"/>
              </w:rPr>
              <w:t>Radicación:</w:t>
            </w:r>
            <w:r w:rsidRPr="00D5685B">
              <w:rPr>
                <w:rFonts w:ascii="Verdana" w:eastAsia="Calibri" w:hAnsi="Verdana" w:cs="Arial"/>
                <w:lang w:val="es-ES_tradnl" w:eastAsia="es-ES_tradnl"/>
              </w:rPr>
              <w:t xml:space="preserve">               </w:t>
            </w:r>
          </w:p>
        </w:tc>
        <w:tc>
          <w:tcPr>
            <w:tcW w:w="6100" w:type="dxa"/>
          </w:tcPr>
          <w:p w14:paraId="6537BCCF" w14:textId="7C1046C3" w:rsidR="00C8622E" w:rsidRPr="00D5685B" w:rsidRDefault="00C8622E" w:rsidP="00DA32CA">
            <w:pPr>
              <w:jc w:val="both"/>
              <w:rPr>
                <w:rFonts w:ascii="Verdana" w:eastAsia="Calibri" w:hAnsi="Verdana" w:cs="Arial"/>
                <w:highlight w:val="cyan"/>
                <w:lang w:eastAsia="es-ES_tradnl"/>
              </w:rPr>
            </w:pPr>
            <w:r w:rsidRPr="00D5685B">
              <w:rPr>
                <w:rFonts w:ascii="Verdana" w:eastAsia="Calibri" w:hAnsi="Verdana" w:cs="Arial"/>
                <w:lang w:val="es-ES_tradnl" w:eastAsia="es-ES_tradnl"/>
              </w:rPr>
              <w:t xml:space="preserve">Respuesta a consulta con radicado No. </w:t>
            </w:r>
            <w:r w:rsidR="009178FA" w:rsidRPr="00D5685B">
              <w:rPr>
                <w:rFonts w:ascii="Verdana" w:eastAsia="Calibri" w:hAnsi="Verdana" w:cs="Arial"/>
                <w:lang w:eastAsia="es-ES_tradnl"/>
              </w:rPr>
              <w:t>1_2025_07_01_006503</w:t>
            </w:r>
          </w:p>
        </w:tc>
      </w:tr>
    </w:tbl>
    <w:p w14:paraId="648C37EB" w14:textId="77777777" w:rsidR="00C8622E" w:rsidRPr="00D5685B" w:rsidRDefault="00C8622E" w:rsidP="00C8622E">
      <w:pPr>
        <w:spacing w:after="0" w:line="240" w:lineRule="auto"/>
        <w:jc w:val="both"/>
        <w:rPr>
          <w:rFonts w:ascii="Verdana" w:eastAsia="Calibri" w:hAnsi="Verdana" w:cs="Arial"/>
          <w:highlight w:val="cyan"/>
          <w:lang w:val="es-ES_tradnl" w:eastAsia="es-ES_tradnl"/>
        </w:rPr>
      </w:pPr>
    </w:p>
    <w:p w14:paraId="724A120D" w14:textId="77777777" w:rsidR="00C8622E" w:rsidRPr="00D5685B" w:rsidRDefault="00C8622E" w:rsidP="00C8622E">
      <w:pPr>
        <w:spacing w:after="0" w:line="240" w:lineRule="auto"/>
        <w:jc w:val="both"/>
        <w:rPr>
          <w:rFonts w:ascii="Verdana" w:eastAsia="Calibri" w:hAnsi="Verdana" w:cs="Arial"/>
          <w:highlight w:val="cyan"/>
          <w:lang w:val="es-ES_tradnl" w:eastAsia="es-ES_tradnl"/>
        </w:rPr>
      </w:pPr>
    </w:p>
    <w:p w14:paraId="1EA37B34" w14:textId="3C62A3B9" w:rsidR="00C8622E" w:rsidRPr="00D5685B" w:rsidRDefault="00C8622E" w:rsidP="00C8622E">
      <w:pPr>
        <w:spacing w:after="0" w:line="276" w:lineRule="auto"/>
        <w:jc w:val="both"/>
        <w:rPr>
          <w:rFonts w:ascii="Verdana" w:eastAsia="Calibri" w:hAnsi="Verdana" w:cs="Arial"/>
          <w:lang w:val="es-ES" w:eastAsia="es-ES"/>
        </w:rPr>
      </w:pPr>
      <w:r w:rsidRPr="00D5685B">
        <w:rPr>
          <w:rFonts w:ascii="Verdana" w:eastAsia="Calibri" w:hAnsi="Verdana" w:cs="Arial"/>
          <w:lang w:val="es-ES" w:eastAsia="es-ES"/>
        </w:rPr>
        <w:t>Estimad</w:t>
      </w:r>
      <w:r w:rsidR="009178FA" w:rsidRPr="00D5685B">
        <w:rPr>
          <w:rFonts w:ascii="Verdana" w:eastAsia="Calibri" w:hAnsi="Verdana" w:cs="Arial"/>
          <w:lang w:val="es-ES" w:eastAsia="es-ES"/>
        </w:rPr>
        <w:t>o</w:t>
      </w:r>
      <w:r w:rsidRPr="00D5685B">
        <w:rPr>
          <w:rFonts w:ascii="Verdana" w:eastAsia="Calibri" w:hAnsi="Verdana" w:cs="Arial"/>
          <w:lang w:val="es-ES" w:eastAsia="es-ES"/>
        </w:rPr>
        <w:t xml:space="preserve"> señor </w:t>
      </w:r>
      <w:r w:rsidR="009178FA" w:rsidRPr="00D5685B">
        <w:rPr>
          <w:rFonts w:ascii="Verdana" w:eastAsia="Calibri" w:hAnsi="Verdana" w:cs="Arial"/>
          <w:bCs/>
          <w:lang w:eastAsia="es-ES"/>
        </w:rPr>
        <w:t>Rodríguez</w:t>
      </w:r>
      <w:r w:rsidRPr="00D5685B">
        <w:rPr>
          <w:rFonts w:ascii="Verdana" w:eastAsia="Calibri" w:hAnsi="Verdana" w:cs="Arial"/>
          <w:lang w:val="es-ES" w:eastAsia="es-ES"/>
        </w:rPr>
        <w:t>;</w:t>
      </w:r>
    </w:p>
    <w:p w14:paraId="7106A5B3" w14:textId="77777777" w:rsidR="00C8622E" w:rsidRPr="00D5685B" w:rsidRDefault="00C8622E" w:rsidP="00E245AB">
      <w:pPr>
        <w:spacing w:after="0"/>
        <w:rPr>
          <w:rFonts w:ascii="Verdana" w:hAnsi="Verdana"/>
        </w:rPr>
      </w:pPr>
    </w:p>
    <w:p w14:paraId="5171391A" w14:textId="7F98CA35" w:rsidR="000C6B0D" w:rsidRPr="00D5685B" w:rsidRDefault="000C6B0D" w:rsidP="000C6B0D">
      <w:pPr>
        <w:spacing w:after="0" w:line="276" w:lineRule="auto"/>
        <w:jc w:val="both"/>
        <w:rPr>
          <w:rFonts w:ascii="Verdana" w:eastAsia="Calibri" w:hAnsi="Verdana" w:cs="Arial"/>
          <w:lang w:val="es-ES" w:eastAsia="es-ES"/>
        </w:rPr>
      </w:pPr>
      <w:r w:rsidRPr="00D5685B">
        <w:rPr>
          <w:rFonts w:ascii="Verdana" w:eastAsia="Calibri" w:hAnsi="Verdana" w:cs="Arial"/>
          <w:lang w:val="es-ES" w:eastAsia="es-ES"/>
        </w:rPr>
        <w:t>En ejercicio de la competencia otorgada por los artículos 3, numeral 5º, y 11, numeral 8º, del Decreto Ley 4170 de 2011,</w:t>
      </w:r>
      <w:r w:rsidRPr="00D5685B">
        <w:rPr>
          <w:rFonts w:ascii="Verdana" w:eastAsia="Arial MT" w:hAnsi="Verdana" w:cs="Arial MT"/>
          <w:lang w:val="es-ES" w:eastAsia="es-ES"/>
        </w:rPr>
        <w:t xml:space="preserve"> </w:t>
      </w:r>
      <w:r w:rsidRPr="00D5685B">
        <w:rPr>
          <w:rFonts w:ascii="Verdana" w:hAnsi="Verdana" w:cs="Arial"/>
        </w:rPr>
        <w:t xml:space="preserve">así como lo establecido en el artículo 4 de la Resolución 1707 de 2018 expedida por esta Entidad, </w:t>
      </w:r>
      <w:r w:rsidRPr="00D5685B">
        <w:rPr>
          <w:rFonts w:ascii="Verdana" w:eastAsia="Calibri" w:hAnsi="Verdana" w:cs="Arial"/>
          <w:lang w:val="es-ES" w:eastAsia="es-ES"/>
        </w:rPr>
        <w:t xml:space="preserve">la Agencia Nacional de Contratación Pública – Colombia Compra Eficiente– responde su solicitud de consulta de fecha </w:t>
      </w:r>
      <w:r w:rsidR="00345CF6" w:rsidRPr="00D5685B">
        <w:rPr>
          <w:rFonts w:ascii="Verdana" w:eastAsia="Calibri" w:hAnsi="Verdana" w:cs="Arial"/>
          <w:lang w:val="es-ES" w:eastAsia="es-ES"/>
        </w:rPr>
        <w:t>01 de julio del 2025</w:t>
      </w:r>
      <w:r w:rsidRPr="00D5685B">
        <w:rPr>
          <w:rFonts w:ascii="Verdana" w:eastAsia="Calibri" w:hAnsi="Verdana" w:cs="Arial"/>
          <w:lang w:val="es-ES" w:eastAsia="es-ES"/>
        </w:rPr>
        <w:t xml:space="preserve">, en la cual manifiesta lo siguiente: </w:t>
      </w:r>
    </w:p>
    <w:p w14:paraId="7FA88271" w14:textId="77777777" w:rsidR="000C6B0D" w:rsidRPr="00D5685B" w:rsidRDefault="000C6B0D" w:rsidP="000C6B0D">
      <w:pPr>
        <w:spacing w:after="0"/>
        <w:jc w:val="both"/>
        <w:rPr>
          <w:rFonts w:ascii="Verdana" w:hAnsi="Verdana"/>
          <w:highlight w:val="cyan"/>
          <w:lang w:val="es-ES"/>
        </w:rPr>
      </w:pPr>
    </w:p>
    <w:p w14:paraId="1F196985" w14:textId="77777777" w:rsidR="00232797" w:rsidRPr="00D5685B" w:rsidRDefault="000C6B0D" w:rsidP="000C6B0D">
      <w:pPr>
        <w:spacing w:after="0" w:line="240" w:lineRule="auto"/>
        <w:ind w:left="709" w:right="709"/>
        <w:jc w:val="both"/>
        <w:rPr>
          <w:rFonts w:ascii="Verdana" w:eastAsia="Century Gothic" w:hAnsi="Verdana" w:cs="Century Gothic"/>
          <w:sz w:val="20"/>
          <w:szCs w:val="20"/>
        </w:rPr>
      </w:pPr>
      <w:r w:rsidRPr="00D5685B">
        <w:rPr>
          <w:rFonts w:ascii="Verdana" w:eastAsia="Century Gothic" w:hAnsi="Verdana" w:cs="Century Gothic"/>
          <w:sz w:val="20"/>
          <w:szCs w:val="20"/>
          <w:lang w:val="es-ES"/>
        </w:rPr>
        <w:t xml:space="preserve">“[…] </w:t>
      </w:r>
      <w:r w:rsidR="00232797" w:rsidRPr="00D5685B">
        <w:rPr>
          <w:rFonts w:ascii="Verdana" w:eastAsia="Century Gothic" w:hAnsi="Verdana" w:cs="Century Gothic"/>
          <w:sz w:val="20"/>
          <w:szCs w:val="20"/>
        </w:rPr>
        <w:t xml:space="preserve">1. Se me indique si, atendiendo las modificaciones implementadas por la ley 2160 de 2021, las Organizaciones del Pueblo étnico Rrom o Gitano están habilitadas para contratar con el estado. </w:t>
      </w:r>
    </w:p>
    <w:p w14:paraId="550A8CE5" w14:textId="77777777" w:rsidR="00232797" w:rsidRPr="00D5685B" w:rsidRDefault="00232797" w:rsidP="000C6B0D">
      <w:pPr>
        <w:spacing w:after="0" w:line="240" w:lineRule="auto"/>
        <w:ind w:left="709" w:right="709"/>
        <w:jc w:val="both"/>
        <w:rPr>
          <w:rFonts w:ascii="Verdana" w:eastAsia="Century Gothic" w:hAnsi="Verdana" w:cs="Century Gothic"/>
          <w:sz w:val="20"/>
          <w:szCs w:val="20"/>
        </w:rPr>
      </w:pPr>
    </w:p>
    <w:p w14:paraId="0D34DB36" w14:textId="77777777" w:rsidR="00232797" w:rsidRPr="00D5685B" w:rsidRDefault="00232797" w:rsidP="000C6B0D">
      <w:pPr>
        <w:spacing w:after="0" w:line="240" w:lineRule="auto"/>
        <w:ind w:left="709" w:right="709"/>
        <w:jc w:val="both"/>
        <w:rPr>
          <w:rFonts w:ascii="Verdana" w:eastAsia="Century Gothic" w:hAnsi="Verdana" w:cs="Century Gothic"/>
          <w:sz w:val="20"/>
          <w:szCs w:val="20"/>
        </w:rPr>
      </w:pPr>
      <w:r w:rsidRPr="00D5685B">
        <w:rPr>
          <w:rFonts w:ascii="Verdana" w:eastAsia="Century Gothic" w:hAnsi="Verdana" w:cs="Century Gothic"/>
          <w:sz w:val="20"/>
          <w:szCs w:val="20"/>
        </w:rPr>
        <w:lastRenderedPageBreak/>
        <w:t>2. Se me indique si las organizaciones del Pueblo étnico Rrom o Gitano se comprenden en la descripción de “demás Formas y Expresiones Organizativa” comprendida en la ley 2160 de 2021.</w:t>
      </w:r>
    </w:p>
    <w:p w14:paraId="517ED5EC" w14:textId="77777777" w:rsidR="00232797" w:rsidRPr="00D5685B" w:rsidRDefault="00232797" w:rsidP="000C6B0D">
      <w:pPr>
        <w:spacing w:after="0" w:line="240" w:lineRule="auto"/>
        <w:ind w:left="709" w:right="709"/>
        <w:jc w:val="both"/>
        <w:rPr>
          <w:rFonts w:ascii="Verdana" w:eastAsia="Century Gothic" w:hAnsi="Verdana" w:cs="Century Gothic"/>
          <w:sz w:val="20"/>
          <w:szCs w:val="20"/>
        </w:rPr>
      </w:pPr>
    </w:p>
    <w:p w14:paraId="7EA12DBF" w14:textId="4118F85B" w:rsidR="000C6B0D" w:rsidRPr="00D5685B" w:rsidRDefault="00232797" w:rsidP="000C6B0D">
      <w:pPr>
        <w:spacing w:after="0" w:line="240" w:lineRule="auto"/>
        <w:ind w:left="709" w:right="709"/>
        <w:jc w:val="both"/>
        <w:rPr>
          <w:rFonts w:ascii="Verdana" w:eastAsia="Century Gothic" w:hAnsi="Verdana" w:cs="Century Gothic"/>
          <w:sz w:val="20"/>
          <w:szCs w:val="20"/>
        </w:rPr>
      </w:pPr>
      <w:r w:rsidRPr="00D5685B">
        <w:rPr>
          <w:rFonts w:ascii="Verdana" w:eastAsia="Century Gothic" w:hAnsi="Verdana" w:cs="Century Gothic"/>
          <w:sz w:val="20"/>
          <w:szCs w:val="20"/>
        </w:rPr>
        <w:t>3.</w:t>
      </w:r>
      <w:r w:rsidR="001063DE" w:rsidRPr="00D5685B">
        <w:rPr>
          <w:rFonts w:ascii="Verdana" w:eastAsia="Century Gothic" w:hAnsi="Verdana" w:cs="Century Gothic"/>
          <w:sz w:val="20"/>
          <w:szCs w:val="20"/>
        </w:rPr>
        <w:t xml:space="preserve"> Se me indique si las entidades que se nieguen a permitir que las Organizaciones del Pueblo Rom o Gitano participen en licitaciones o contratos, por el simple hecho de no ser Comunidades Negras, Afrocolombianas, Raizales y Palenqueras, están o no aplicando debidamente la ley 2160 de 2021.</w:t>
      </w:r>
      <w:r w:rsidR="001063DE" w:rsidRPr="00D5685B">
        <w:rPr>
          <w:rFonts w:ascii="Verdana" w:eastAsia="Century Gothic" w:hAnsi="Verdana" w:cs="Century Gothic"/>
          <w:sz w:val="20"/>
          <w:szCs w:val="20"/>
          <w:lang w:val="es-ES"/>
        </w:rPr>
        <w:t xml:space="preserve"> </w:t>
      </w:r>
      <w:r w:rsidR="000C6B0D" w:rsidRPr="00D5685B">
        <w:rPr>
          <w:rFonts w:ascii="Verdana" w:eastAsia="Century Gothic" w:hAnsi="Verdana" w:cs="Century Gothic"/>
          <w:sz w:val="20"/>
          <w:szCs w:val="20"/>
          <w:lang w:val="es-ES"/>
        </w:rPr>
        <w:t>[…]”</w:t>
      </w:r>
      <w:r w:rsidR="00514166">
        <w:rPr>
          <w:rFonts w:ascii="Verdana" w:eastAsia="Century Gothic" w:hAnsi="Verdana" w:cs="Century Gothic"/>
          <w:sz w:val="20"/>
          <w:szCs w:val="20"/>
          <w:lang w:val="es-ES"/>
        </w:rPr>
        <w:t>.</w:t>
      </w:r>
    </w:p>
    <w:p w14:paraId="0864EC9B" w14:textId="77777777" w:rsidR="000C6B0D" w:rsidRPr="00D5685B" w:rsidRDefault="000C6B0D" w:rsidP="000C6B0D">
      <w:pPr>
        <w:spacing w:after="0" w:line="240" w:lineRule="auto"/>
        <w:ind w:right="709"/>
        <w:jc w:val="both"/>
        <w:rPr>
          <w:rFonts w:ascii="Verdana" w:eastAsia="Century Gothic" w:hAnsi="Verdana" w:cs="Century Gothic"/>
          <w:sz w:val="20"/>
          <w:szCs w:val="20"/>
          <w:highlight w:val="cyan"/>
          <w:lang w:val="es-ES"/>
        </w:rPr>
      </w:pPr>
    </w:p>
    <w:p w14:paraId="22D59F4C" w14:textId="77777777" w:rsidR="000C6B0D" w:rsidRPr="00D5685B" w:rsidRDefault="000C6B0D" w:rsidP="000C6B0D">
      <w:pPr>
        <w:spacing w:after="120" w:line="276" w:lineRule="auto"/>
        <w:ind w:firstLine="709"/>
        <w:jc w:val="both"/>
        <w:rPr>
          <w:rFonts w:ascii="Verdana" w:eastAsia="Calibri" w:hAnsi="Verdana" w:cs="Arial"/>
          <w:color w:val="000000"/>
          <w:lang w:val="es-ES_tradnl" w:eastAsia="es-ES_tradnl"/>
        </w:rPr>
      </w:pPr>
      <w:r w:rsidRPr="00D5685B">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84CE7CB" w14:textId="77777777" w:rsidR="000C6B0D" w:rsidRPr="00D5685B" w:rsidRDefault="000C6B0D" w:rsidP="000C6B0D">
      <w:pPr>
        <w:spacing w:after="0" w:line="276" w:lineRule="auto"/>
        <w:ind w:firstLine="709"/>
        <w:jc w:val="both"/>
        <w:rPr>
          <w:rFonts w:ascii="Verdana" w:eastAsia="Calibri" w:hAnsi="Verdana" w:cs="Arial"/>
          <w:color w:val="000000"/>
          <w:lang w:val="es-ES" w:eastAsia="es-ES"/>
        </w:rPr>
      </w:pPr>
      <w:r w:rsidRPr="00D5685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5BCE527F" w14:textId="77777777" w:rsidR="00C8622E" w:rsidRPr="00D5685B" w:rsidRDefault="00C8622E" w:rsidP="00E245AB">
      <w:pPr>
        <w:spacing w:after="0"/>
        <w:rPr>
          <w:rFonts w:ascii="Verdana" w:hAnsi="Verdana"/>
          <w:lang w:val="es-ES"/>
        </w:rPr>
      </w:pPr>
    </w:p>
    <w:p w14:paraId="78F54705" w14:textId="77777777" w:rsidR="00ED7DB2" w:rsidRPr="00D5685B" w:rsidRDefault="00ED7DB2" w:rsidP="00ED7DB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5685B">
        <w:rPr>
          <w:rFonts w:ascii="Verdana" w:eastAsia="Century Gothic" w:hAnsi="Verdana" w:cs="Century Gothic"/>
          <w:b/>
          <w:bCs/>
        </w:rPr>
        <w:t>Problema planteado:</w:t>
      </w:r>
    </w:p>
    <w:p w14:paraId="74B293B5" w14:textId="77777777" w:rsidR="00ED7DB2" w:rsidRPr="00D5685B" w:rsidRDefault="00ED7DB2" w:rsidP="00ED7DB2">
      <w:pPr>
        <w:tabs>
          <w:tab w:val="left" w:pos="426"/>
        </w:tabs>
        <w:spacing w:after="0" w:line="276" w:lineRule="auto"/>
        <w:jc w:val="both"/>
        <w:rPr>
          <w:rFonts w:ascii="Verdana" w:eastAsia="Century Gothic" w:hAnsi="Verdana" w:cs="Century Gothic"/>
          <w:highlight w:val="cyan"/>
          <w:lang w:val="es-ES"/>
        </w:rPr>
      </w:pPr>
    </w:p>
    <w:p w14:paraId="60D59387" w14:textId="58878C67" w:rsidR="008B435A" w:rsidRPr="00D5685B" w:rsidRDefault="00ED7DB2" w:rsidP="00ED7DB2">
      <w:pPr>
        <w:spacing w:after="0" w:line="276" w:lineRule="auto"/>
        <w:jc w:val="both"/>
        <w:rPr>
          <w:rFonts w:ascii="Verdana" w:eastAsia="Century Gothic" w:hAnsi="Verdana" w:cs="Century Gothic"/>
        </w:rPr>
      </w:pPr>
      <w:r w:rsidRPr="00D5685B">
        <w:rPr>
          <w:rFonts w:ascii="Verdana" w:eastAsia="Century Gothic" w:hAnsi="Verdana" w:cs="Century Gothic"/>
        </w:rPr>
        <w:t>De acuerdo con el contenido de su solicitud, esta Agencia resolverá los siguientes problemas jurídicos: i) ¿</w:t>
      </w:r>
      <w:r w:rsidR="00371FC2" w:rsidRPr="00D5685B">
        <w:rPr>
          <w:rFonts w:ascii="Verdana" w:eastAsia="Century Gothic" w:hAnsi="Verdana" w:cs="Century Gothic"/>
        </w:rPr>
        <w:t xml:space="preserve">De conformidad con lo previsto </w:t>
      </w:r>
      <w:r w:rsidR="004C54E5" w:rsidRPr="00D5685B">
        <w:rPr>
          <w:rFonts w:ascii="Verdana" w:eastAsia="Century Gothic" w:hAnsi="Verdana" w:cs="Century Gothic"/>
        </w:rPr>
        <w:t>en el artículo</w:t>
      </w:r>
      <w:r w:rsidR="00371FC2" w:rsidRPr="00D5685B">
        <w:rPr>
          <w:rFonts w:ascii="Verdana" w:eastAsia="Century Gothic" w:hAnsi="Verdana" w:cs="Century Gothic"/>
        </w:rPr>
        <w:t xml:space="preserve"> 6 de la ley 80 de 1993</w:t>
      </w:r>
      <w:r w:rsidR="004C7856" w:rsidRPr="00D5685B">
        <w:rPr>
          <w:rFonts w:ascii="Verdana" w:eastAsia="Century Gothic" w:hAnsi="Verdana" w:cs="Century Gothic"/>
        </w:rPr>
        <w:t xml:space="preserve"> </w:t>
      </w:r>
      <w:r w:rsidR="008B435A" w:rsidRPr="00D5685B">
        <w:rPr>
          <w:rFonts w:ascii="Verdana" w:eastAsia="Century Gothic" w:hAnsi="Verdana" w:cs="Century Gothic"/>
        </w:rPr>
        <w:t>la(s) Kumpania (Kumpañy en plural) y/u organizaciones del pueblo Rrom o Gitano</w:t>
      </w:r>
      <w:r w:rsidR="004C7856" w:rsidRPr="00D5685B">
        <w:rPr>
          <w:rFonts w:ascii="Verdana" w:eastAsia="Century Gothic" w:hAnsi="Verdana" w:cs="Century Gothic"/>
        </w:rPr>
        <w:t xml:space="preserve"> cuentan con capacidad jurídica para </w:t>
      </w:r>
      <w:r w:rsidR="005B740C" w:rsidRPr="00D5685B">
        <w:rPr>
          <w:rFonts w:ascii="Verdana" w:eastAsia="Century Gothic" w:hAnsi="Verdana" w:cs="Century Gothic"/>
        </w:rPr>
        <w:t xml:space="preserve">celebrar contratos de manera directa con las Entidades Estatales?; </w:t>
      </w:r>
      <w:r w:rsidR="00B84A76" w:rsidRPr="00D5685B">
        <w:rPr>
          <w:rFonts w:ascii="Verdana" w:eastAsia="Century Gothic" w:hAnsi="Verdana" w:cs="Century Gothic"/>
        </w:rPr>
        <w:t xml:space="preserve">ii) </w:t>
      </w:r>
      <w:r w:rsidR="00432646" w:rsidRPr="00D5685B">
        <w:rPr>
          <w:rFonts w:ascii="Verdana" w:eastAsia="Century Gothic" w:hAnsi="Verdana" w:cs="Century Gothic"/>
        </w:rPr>
        <w:t>¿</w:t>
      </w:r>
      <w:r w:rsidR="00727F24" w:rsidRPr="00D5685B">
        <w:rPr>
          <w:rFonts w:ascii="Verdana" w:eastAsia="Century Gothic" w:hAnsi="Verdana" w:cs="Century Gothic"/>
        </w:rPr>
        <w:t>L</w:t>
      </w:r>
      <w:r w:rsidR="00432646" w:rsidRPr="00D5685B">
        <w:rPr>
          <w:rFonts w:ascii="Verdana" w:eastAsia="Century Gothic" w:hAnsi="Verdana" w:cs="Century Gothic"/>
        </w:rPr>
        <w:t xml:space="preserve">a(s) </w:t>
      </w:r>
      <w:r w:rsidR="00727F24" w:rsidRPr="00D5685B">
        <w:rPr>
          <w:rFonts w:ascii="Verdana" w:eastAsia="Century Gothic" w:hAnsi="Verdana" w:cs="Century Gothic"/>
        </w:rPr>
        <w:t xml:space="preserve">Kumpania </w:t>
      </w:r>
      <w:r w:rsidR="00432646" w:rsidRPr="00D5685B">
        <w:rPr>
          <w:rFonts w:ascii="Verdana" w:eastAsia="Century Gothic" w:hAnsi="Verdana" w:cs="Century Gothic"/>
        </w:rPr>
        <w:t xml:space="preserve">(Kumpañy en plural) y /u organizaciones del pueblo Rrom o Gitano </w:t>
      </w:r>
      <w:r w:rsidR="00727F24" w:rsidRPr="00D5685B">
        <w:rPr>
          <w:rFonts w:ascii="Verdana" w:eastAsia="Century Gothic" w:hAnsi="Verdana" w:cs="Century Gothic"/>
        </w:rPr>
        <w:t xml:space="preserve">pueden ser consideradas como </w:t>
      </w:r>
      <w:r w:rsidR="008067AF" w:rsidRPr="00D5685B">
        <w:rPr>
          <w:rFonts w:ascii="Verdana" w:eastAsia="Century Gothic" w:hAnsi="Verdana" w:cs="Century Gothic"/>
        </w:rPr>
        <w:t xml:space="preserve">una organización </w:t>
      </w:r>
      <w:r w:rsidR="00727F24" w:rsidRPr="00D5685B">
        <w:rPr>
          <w:rFonts w:ascii="Verdana" w:eastAsia="Century Gothic" w:hAnsi="Verdana" w:cs="Century Gothic"/>
        </w:rPr>
        <w:t xml:space="preserve"> </w:t>
      </w:r>
      <w:r w:rsidR="00AC13E8" w:rsidRPr="00D5685B">
        <w:rPr>
          <w:rFonts w:ascii="Verdana" w:eastAsia="Century Gothic" w:hAnsi="Verdana" w:cs="Century Gothic"/>
        </w:rPr>
        <w:t>de base de comunidades negras, afrocolombianas, raizales y palenqueras y las demás formas y expresiones organizativas?</w:t>
      </w:r>
      <w:r w:rsidR="007B4A2F" w:rsidRPr="00D5685B">
        <w:rPr>
          <w:rFonts w:ascii="Verdana" w:eastAsia="Century Gothic" w:hAnsi="Verdana" w:cs="Century Gothic"/>
        </w:rPr>
        <w:t>.</w:t>
      </w:r>
    </w:p>
    <w:p w14:paraId="104C4011" w14:textId="77777777" w:rsidR="00ED7DB2" w:rsidRPr="00D5685B" w:rsidRDefault="00ED7DB2" w:rsidP="00ED7DB2">
      <w:pPr>
        <w:spacing w:after="0" w:line="276" w:lineRule="auto"/>
        <w:jc w:val="both"/>
        <w:rPr>
          <w:rStyle w:val="Hipervnculo"/>
          <w:rFonts w:ascii="Verdana" w:hAnsi="Verdana"/>
          <w:highlight w:val="cyan"/>
        </w:rPr>
      </w:pPr>
    </w:p>
    <w:p w14:paraId="58427BFB" w14:textId="77777777" w:rsidR="00ED7DB2" w:rsidRPr="00D5685B" w:rsidRDefault="00ED7DB2" w:rsidP="00ED7DB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5685B">
        <w:rPr>
          <w:rFonts w:ascii="Verdana" w:eastAsia="Century Gothic" w:hAnsi="Verdana" w:cs="Century Gothic"/>
          <w:b/>
          <w:bCs/>
        </w:rPr>
        <w:t>Respuesta:</w:t>
      </w:r>
    </w:p>
    <w:p w14:paraId="099B38AF" w14:textId="77777777" w:rsidR="00ED7DB2" w:rsidRPr="00D5685B" w:rsidRDefault="00ED7DB2" w:rsidP="00ED7DB2">
      <w:pPr>
        <w:tabs>
          <w:tab w:val="left" w:pos="142"/>
          <w:tab w:val="left" w:pos="284"/>
        </w:tabs>
        <w:spacing w:after="0" w:line="276" w:lineRule="auto"/>
        <w:jc w:val="both"/>
        <w:rPr>
          <w:rFonts w:ascii="Verdana" w:eastAsia="Century Gothic" w:hAnsi="Verdana" w:cs="Century Gothic"/>
          <w:b/>
          <w:bCs/>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D7DB2" w:rsidRPr="00D5685B" w14:paraId="7B75A442" w14:textId="77777777" w:rsidTr="00DA32CA">
        <w:trPr>
          <w:trHeight w:val="487"/>
        </w:trPr>
        <w:tc>
          <w:tcPr>
            <w:tcW w:w="8828" w:type="dxa"/>
          </w:tcPr>
          <w:p w14:paraId="662F0999" w14:textId="5A2D4FFA" w:rsidR="006354A6" w:rsidRPr="00D5685B" w:rsidRDefault="00645A4A" w:rsidP="009F6498">
            <w:pPr>
              <w:pBdr>
                <w:top w:val="nil"/>
                <w:left w:val="nil"/>
                <w:bottom w:val="nil"/>
                <w:right w:val="nil"/>
                <w:between w:val="nil"/>
              </w:pBdr>
              <w:spacing w:after="120" w:line="276" w:lineRule="auto"/>
              <w:jc w:val="both"/>
              <w:rPr>
                <w:rFonts w:ascii="Verdana" w:eastAsia="Calibri" w:hAnsi="Verdana" w:cs="Arial"/>
              </w:rPr>
            </w:pPr>
            <w:r w:rsidRPr="00D5685B">
              <w:rPr>
                <w:rFonts w:ascii="Verdana" w:eastAsia="Calibri" w:hAnsi="Verdana" w:cs="Arial"/>
              </w:rPr>
              <w:t xml:space="preserve">Para </w:t>
            </w:r>
            <w:r w:rsidR="00FE166A" w:rsidRPr="00D5685B">
              <w:rPr>
                <w:rFonts w:ascii="Verdana" w:eastAsia="Calibri" w:hAnsi="Verdana" w:cs="Arial"/>
              </w:rPr>
              <w:t>proceder a</w:t>
            </w:r>
            <w:r w:rsidR="00ED7DB2" w:rsidRPr="00D5685B">
              <w:rPr>
                <w:rFonts w:ascii="Verdana" w:eastAsia="Calibri" w:hAnsi="Verdana" w:cs="Arial"/>
              </w:rPr>
              <w:t xml:space="preserve"> brindar respuesta a la consulta elevada debe precisarse que </w:t>
            </w:r>
            <w:r w:rsidR="002D5C24" w:rsidRPr="00D5685B">
              <w:rPr>
                <w:rFonts w:ascii="Verdana" w:eastAsia="Calibri" w:hAnsi="Verdana" w:cs="Arial"/>
              </w:rPr>
              <w:t>de conformidad con lo dispuesto</w:t>
            </w:r>
            <w:r w:rsidR="009D4985" w:rsidRPr="00D5685B">
              <w:rPr>
                <w:rFonts w:ascii="Verdana" w:eastAsia="Calibri" w:hAnsi="Verdana" w:cs="Arial"/>
              </w:rPr>
              <w:t xml:space="preserve"> </w:t>
            </w:r>
            <w:r w:rsidR="006A761F" w:rsidRPr="00D5685B">
              <w:rPr>
                <w:rFonts w:ascii="Verdana" w:eastAsia="Calibri" w:hAnsi="Verdana" w:cs="Arial"/>
              </w:rPr>
              <w:t xml:space="preserve">en </w:t>
            </w:r>
            <w:r w:rsidR="00930DE5" w:rsidRPr="00D5685B">
              <w:rPr>
                <w:rFonts w:ascii="Verdana" w:eastAsia="Calibri" w:hAnsi="Verdana" w:cs="Arial"/>
              </w:rPr>
              <w:t xml:space="preserve">el </w:t>
            </w:r>
            <w:r w:rsidR="006A761F" w:rsidRPr="00D5685B">
              <w:rPr>
                <w:rFonts w:ascii="Verdana" w:eastAsia="Calibri" w:hAnsi="Verdana" w:cs="Arial"/>
              </w:rPr>
              <w:t>artículo 6</w:t>
            </w:r>
            <w:r w:rsidR="0080327F" w:rsidRPr="00D5685B">
              <w:rPr>
                <w:rFonts w:ascii="Verdana" w:eastAsia="Calibri" w:hAnsi="Verdana" w:cs="Arial"/>
              </w:rPr>
              <w:t xml:space="preserve"> de la </w:t>
            </w:r>
            <w:r w:rsidR="006539FB" w:rsidRPr="00D5685B">
              <w:rPr>
                <w:rFonts w:ascii="Verdana" w:eastAsia="Calibri" w:hAnsi="Verdana" w:cs="Arial"/>
              </w:rPr>
              <w:t>Ley</w:t>
            </w:r>
            <w:r w:rsidR="0080327F" w:rsidRPr="00D5685B">
              <w:rPr>
                <w:rFonts w:ascii="Verdana" w:eastAsia="Calibri" w:hAnsi="Verdana" w:cs="Arial"/>
              </w:rPr>
              <w:t xml:space="preserve"> 80 de 1993</w:t>
            </w:r>
            <w:r w:rsidR="00FE166A" w:rsidRPr="00D5685B">
              <w:rPr>
                <w:rFonts w:ascii="Verdana" w:eastAsia="Calibri" w:hAnsi="Verdana" w:cs="Arial"/>
              </w:rPr>
              <w:t>,</w:t>
            </w:r>
            <w:r w:rsidR="00BA21A6" w:rsidRPr="00D5685B">
              <w:rPr>
                <w:rFonts w:ascii="Verdana" w:eastAsia="Calibri" w:hAnsi="Verdana" w:cs="Arial"/>
              </w:rPr>
              <w:t xml:space="preserve"> </w:t>
            </w:r>
            <w:r w:rsidR="00113BDB" w:rsidRPr="00D5685B">
              <w:rPr>
                <w:rFonts w:ascii="Verdana" w:eastAsia="Calibri" w:hAnsi="Verdana" w:cs="Arial"/>
              </w:rPr>
              <w:t>modificado</w:t>
            </w:r>
            <w:r w:rsidR="00BA21A6" w:rsidRPr="00D5685B">
              <w:rPr>
                <w:rFonts w:ascii="Verdana" w:eastAsia="Calibri" w:hAnsi="Verdana" w:cs="Arial"/>
              </w:rPr>
              <w:t xml:space="preserve"> por la </w:t>
            </w:r>
            <w:r w:rsidR="006539FB" w:rsidRPr="00D5685B">
              <w:rPr>
                <w:rFonts w:ascii="Verdana" w:eastAsia="Calibri" w:hAnsi="Verdana" w:cs="Arial"/>
              </w:rPr>
              <w:t>Ley</w:t>
            </w:r>
            <w:r w:rsidR="00BA21A6" w:rsidRPr="00D5685B">
              <w:rPr>
                <w:rFonts w:ascii="Verdana" w:eastAsia="Calibri" w:hAnsi="Verdana" w:cs="Arial"/>
              </w:rPr>
              <w:t xml:space="preserve"> 2160 de 2021,</w:t>
            </w:r>
            <w:r w:rsidR="00FE166A" w:rsidRPr="00D5685B">
              <w:rPr>
                <w:rFonts w:ascii="Verdana" w:eastAsia="Calibri" w:hAnsi="Verdana" w:cs="Arial"/>
              </w:rPr>
              <w:t xml:space="preserve"> </w:t>
            </w:r>
            <w:r w:rsidR="00280A9A" w:rsidRPr="00D5685B">
              <w:rPr>
                <w:rFonts w:ascii="Verdana" w:eastAsia="Calibri" w:hAnsi="Verdana" w:cs="Arial"/>
                <w:lang w:val="es-ES"/>
              </w:rPr>
              <w:t>que</w:t>
            </w:r>
            <w:r w:rsidR="009D4985" w:rsidRPr="00D5685B">
              <w:rPr>
                <w:rFonts w:ascii="Verdana" w:eastAsia="Calibri" w:hAnsi="Verdana" w:cs="Arial"/>
                <w:lang w:val="es-ES"/>
              </w:rPr>
              <w:t xml:space="preserve"> regula la capacidad jurídica en el Estatuto General de Contratación de la Administración Pública</w:t>
            </w:r>
            <w:r w:rsidR="00FC355C" w:rsidRPr="00D5685B">
              <w:rPr>
                <w:rFonts w:ascii="Verdana" w:eastAsia="Calibri" w:hAnsi="Verdana" w:cs="Arial"/>
                <w:lang w:val="es-ES"/>
              </w:rPr>
              <w:t xml:space="preserve">, en efecto </w:t>
            </w:r>
            <w:r w:rsidR="0080327F" w:rsidRPr="00D5685B">
              <w:rPr>
                <w:rFonts w:ascii="Verdana" w:eastAsia="Calibri" w:hAnsi="Verdana" w:cs="Arial"/>
              </w:rPr>
              <w:t>cuenta</w:t>
            </w:r>
            <w:r w:rsidR="005F0D9A" w:rsidRPr="00D5685B">
              <w:rPr>
                <w:rFonts w:ascii="Verdana" w:eastAsia="Calibri" w:hAnsi="Verdana" w:cs="Arial"/>
              </w:rPr>
              <w:t>n</w:t>
            </w:r>
            <w:r w:rsidR="0080327F" w:rsidRPr="00D5685B">
              <w:rPr>
                <w:rFonts w:ascii="Verdana" w:eastAsia="Calibri" w:hAnsi="Verdana" w:cs="Arial"/>
              </w:rPr>
              <w:t xml:space="preserve"> con capacidad para contratar </w:t>
            </w:r>
            <w:r w:rsidR="00041150" w:rsidRPr="00D5685B">
              <w:rPr>
                <w:rFonts w:ascii="Verdana" w:eastAsia="Calibri" w:hAnsi="Verdana" w:cs="Arial"/>
              </w:rPr>
              <w:t>las organizaciones</w:t>
            </w:r>
            <w:r w:rsidR="00506910" w:rsidRPr="00D5685B">
              <w:rPr>
                <w:rFonts w:ascii="Verdana" w:eastAsia="Calibri" w:hAnsi="Verdana" w:cs="Arial"/>
              </w:rPr>
              <w:t xml:space="preserve"> de base de comunidades negras, afrocolombianas, raizales y palenqueras y las demás formas y expresiones organizativas</w:t>
            </w:r>
            <w:r w:rsidR="006354A6" w:rsidRPr="00D5685B">
              <w:rPr>
                <w:rFonts w:ascii="Verdana" w:eastAsia="Calibri" w:hAnsi="Verdana" w:cs="Arial"/>
              </w:rPr>
              <w:t>.</w:t>
            </w:r>
          </w:p>
          <w:p w14:paraId="7CA6FEE6" w14:textId="5FDF8A74" w:rsidR="00FD0C04" w:rsidRPr="00D5685B" w:rsidRDefault="006479FE" w:rsidP="00DA5F0D">
            <w:pPr>
              <w:pBdr>
                <w:top w:val="nil"/>
                <w:left w:val="nil"/>
                <w:bottom w:val="nil"/>
                <w:right w:val="nil"/>
                <w:between w:val="nil"/>
              </w:pBdr>
              <w:spacing w:after="120" w:line="276" w:lineRule="auto"/>
              <w:ind w:firstLine="709"/>
              <w:jc w:val="both"/>
              <w:rPr>
                <w:rFonts w:ascii="Verdana" w:eastAsia="Calibri" w:hAnsi="Verdana" w:cs="Arial"/>
              </w:rPr>
            </w:pPr>
            <w:r w:rsidRPr="00D5685B">
              <w:rPr>
                <w:rFonts w:ascii="Verdana" w:eastAsia="Calibri" w:hAnsi="Verdana" w:cs="Arial"/>
              </w:rPr>
              <w:t>Frente a estas últimas</w:t>
            </w:r>
            <w:r w:rsidR="00024203" w:rsidRPr="00D5685B">
              <w:rPr>
                <w:rFonts w:ascii="Verdana" w:eastAsia="Calibri" w:hAnsi="Verdana" w:cs="Arial"/>
              </w:rPr>
              <w:t xml:space="preserve">, </w:t>
            </w:r>
            <w:r w:rsidRPr="00D5685B">
              <w:rPr>
                <w:rFonts w:ascii="Verdana" w:eastAsia="Calibri" w:hAnsi="Verdana" w:cs="Arial"/>
              </w:rPr>
              <w:t xml:space="preserve">resulta necesario remitirse a la definición del artículo 7 de la </w:t>
            </w:r>
            <w:r w:rsidR="006539FB" w:rsidRPr="00D5685B">
              <w:rPr>
                <w:rFonts w:ascii="Verdana" w:eastAsia="Calibri" w:hAnsi="Verdana" w:cs="Arial"/>
              </w:rPr>
              <w:t>Ley</w:t>
            </w:r>
            <w:r w:rsidRPr="00D5685B">
              <w:rPr>
                <w:rFonts w:ascii="Verdana" w:eastAsia="Calibri" w:hAnsi="Verdana" w:cs="Arial"/>
              </w:rPr>
              <w:t xml:space="preserve"> 80 de 1993</w:t>
            </w:r>
            <w:r w:rsidR="00235931" w:rsidRPr="00D5685B">
              <w:rPr>
                <w:rFonts w:ascii="Verdana" w:eastAsia="Calibri" w:hAnsi="Verdana" w:cs="Arial"/>
              </w:rPr>
              <w:t>,</w:t>
            </w:r>
            <w:r w:rsidR="00BA21A6" w:rsidRPr="00D5685B">
              <w:rPr>
                <w:rFonts w:ascii="Verdana" w:eastAsia="Calibri" w:hAnsi="Verdana" w:cs="Arial"/>
              </w:rPr>
              <w:t xml:space="preserve"> </w:t>
            </w:r>
            <w:r w:rsidR="00113BDB" w:rsidRPr="00D5685B">
              <w:rPr>
                <w:rFonts w:ascii="Verdana" w:eastAsia="Calibri" w:hAnsi="Verdana" w:cs="Arial"/>
              </w:rPr>
              <w:t>adicionado</w:t>
            </w:r>
            <w:r w:rsidR="00BA21A6" w:rsidRPr="00D5685B">
              <w:rPr>
                <w:rFonts w:ascii="Verdana" w:eastAsia="Calibri" w:hAnsi="Verdana" w:cs="Arial"/>
              </w:rPr>
              <w:t xml:space="preserve"> por la </w:t>
            </w:r>
            <w:r w:rsidR="006539FB" w:rsidRPr="00D5685B">
              <w:rPr>
                <w:rFonts w:ascii="Verdana" w:eastAsia="Calibri" w:hAnsi="Verdana" w:cs="Arial"/>
              </w:rPr>
              <w:t>Ley</w:t>
            </w:r>
            <w:r w:rsidR="00BA21A6" w:rsidRPr="00D5685B">
              <w:rPr>
                <w:rFonts w:ascii="Verdana" w:eastAsia="Calibri" w:hAnsi="Verdana" w:cs="Arial"/>
              </w:rPr>
              <w:t xml:space="preserve"> 2160 de 2021, </w:t>
            </w:r>
            <w:r w:rsidR="00E1007E" w:rsidRPr="00D5685B">
              <w:rPr>
                <w:rFonts w:ascii="Verdana" w:eastAsia="Calibri" w:hAnsi="Verdana" w:cs="Arial"/>
              </w:rPr>
              <w:t>en el que</w:t>
            </w:r>
            <w:r w:rsidR="00235931" w:rsidRPr="00D5685B">
              <w:rPr>
                <w:rFonts w:ascii="Verdana" w:eastAsia="Calibri" w:hAnsi="Verdana" w:cs="Arial"/>
              </w:rPr>
              <w:t xml:space="preserve"> </w:t>
            </w:r>
            <w:r w:rsidR="006354A6" w:rsidRPr="00D5685B">
              <w:rPr>
                <w:rFonts w:ascii="Verdana" w:eastAsia="Calibri" w:hAnsi="Verdana" w:cs="Arial"/>
              </w:rPr>
              <w:t xml:space="preserve">se </w:t>
            </w:r>
            <w:r w:rsidR="00235931" w:rsidRPr="00D5685B">
              <w:rPr>
                <w:rFonts w:ascii="Verdana" w:eastAsia="Calibri" w:hAnsi="Verdana" w:cs="Arial"/>
              </w:rPr>
              <w:t>establece</w:t>
            </w:r>
            <w:r w:rsidR="006354A6" w:rsidRPr="00D5685B">
              <w:rPr>
                <w:rFonts w:ascii="Verdana" w:eastAsia="Calibri" w:hAnsi="Verdana" w:cs="Arial"/>
              </w:rPr>
              <w:t xml:space="preserve"> de manera expresa</w:t>
            </w:r>
            <w:r w:rsidR="00235931" w:rsidRPr="00D5685B">
              <w:rPr>
                <w:rFonts w:ascii="Verdana" w:eastAsia="Calibri" w:hAnsi="Verdana" w:cs="Arial"/>
              </w:rPr>
              <w:t xml:space="preserve"> que las formas y expresiones organizativas </w:t>
            </w:r>
            <w:r w:rsidR="006D54DE" w:rsidRPr="00D5685B">
              <w:rPr>
                <w:rFonts w:ascii="Verdana" w:eastAsia="Century Gothic" w:hAnsi="Verdana" w:cs="Century Gothic"/>
                <w:i/>
                <w:iCs/>
                <w:sz w:val="20"/>
                <w:szCs w:val="20"/>
                <w:lang w:val="es-ES"/>
              </w:rPr>
              <w:t xml:space="preserve">“[…] </w:t>
            </w:r>
            <w:r w:rsidR="00235931" w:rsidRPr="00D5685B">
              <w:rPr>
                <w:rFonts w:ascii="Verdana" w:eastAsia="Calibri" w:hAnsi="Verdana" w:cs="Arial"/>
                <w:i/>
                <w:iCs/>
              </w:rPr>
              <w:t>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w:t>
            </w:r>
            <w:r w:rsidR="006D54DE" w:rsidRPr="00D5685B">
              <w:rPr>
                <w:rFonts w:ascii="Verdana" w:eastAsia="Calibri" w:hAnsi="Verdana" w:cs="Arial"/>
                <w:i/>
                <w:iCs/>
              </w:rPr>
              <w:t xml:space="preserve">. </w:t>
            </w:r>
            <w:r w:rsidR="006D54DE" w:rsidRPr="00D5685B">
              <w:rPr>
                <w:rFonts w:ascii="Verdana" w:eastAsia="Century Gothic" w:hAnsi="Verdana" w:cs="Century Gothic"/>
                <w:i/>
                <w:iCs/>
                <w:sz w:val="20"/>
                <w:szCs w:val="20"/>
                <w:lang w:val="es-ES"/>
              </w:rPr>
              <w:t>[…]”</w:t>
            </w:r>
            <w:r w:rsidR="006539FB">
              <w:rPr>
                <w:rFonts w:ascii="Verdana" w:eastAsia="Century Gothic" w:hAnsi="Verdana" w:cs="Century Gothic"/>
                <w:i/>
                <w:iCs/>
                <w:sz w:val="20"/>
                <w:szCs w:val="20"/>
                <w:lang w:val="es-ES"/>
              </w:rPr>
              <w:t>.</w:t>
            </w:r>
          </w:p>
          <w:p w14:paraId="5EDC9837" w14:textId="2C6C35FA" w:rsidR="002427DA" w:rsidRPr="00D5685B" w:rsidRDefault="002427DA" w:rsidP="00DA5F0D">
            <w:pPr>
              <w:pBdr>
                <w:top w:val="nil"/>
                <w:left w:val="nil"/>
                <w:bottom w:val="nil"/>
                <w:right w:val="nil"/>
                <w:between w:val="nil"/>
              </w:pBdr>
              <w:spacing w:after="120" w:line="276" w:lineRule="auto"/>
              <w:ind w:firstLine="709"/>
              <w:jc w:val="both"/>
              <w:rPr>
                <w:rFonts w:ascii="Verdana" w:eastAsia="Calibri" w:hAnsi="Verdana" w:cs="Arial"/>
              </w:rPr>
            </w:pPr>
            <w:r w:rsidRPr="00D5685B">
              <w:rPr>
                <w:rFonts w:ascii="Verdana" w:eastAsia="Calibri" w:hAnsi="Verdana" w:cs="Arial"/>
              </w:rPr>
              <w:t xml:space="preserve">Expuesto lo anterior, se observa por un lado que, el </w:t>
            </w:r>
            <w:r w:rsidRPr="00D5685B">
              <w:rPr>
                <w:rFonts w:ascii="Verdana" w:eastAsia="Calibri" w:hAnsi="Verdana" w:cs="Arial"/>
                <w:lang w:val="es-ES"/>
              </w:rPr>
              <w:t xml:space="preserve">Estatuto General de Contratación de la Administración Pública, no cuenta con disposiciones que regulen la capacidad jurídica de las </w:t>
            </w:r>
            <w:r w:rsidRPr="00D5685B">
              <w:rPr>
                <w:rFonts w:ascii="Verdana" w:eastAsia="Century Gothic" w:hAnsi="Verdana" w:cs="Century Gothic"/>
              </w:rPr>
              <w:t>Kumpania (Kumpañy en plural) y/u organizaciones del pueblo Rrom o Gitano</w:t>
            </w:r>
            <w:r w:rsidR="004C37AE" w:rsidRPr="00D5685B">
              <w:rPr>
                <w:rFonts w:ascii="Verdana" w:eastAsia="Century Gothic" w:hAnsi="Verdana" w:cs="Century Gothic"/>
              </w:rPr>
              <w:t xml:space="preserve">, </w:t>
            </w:r>
            <w:r w:rsidR="007C7ED3" w:rsidRPr="00D5685B">
              <w:rPr>
                <w:rFonts w:ascii="Verdana" w:eastAsia="Century Gothic" w:hAnsi="Verdana" w:cs="Century Gothic"/>
              </w:rPr>
              <w:t>para celebrar contratos con Entidades Estatales</w:t>
            </w:r>
            <w:r w:rsidRPr="00D5685B">
              <w:rPr>
                <w:rFonts w:ascii="Verdana" w:eastAsia="Century Gothic" w:hAnsi="Verdana" w:cs="Century Gothic"/>
              </w:rPr>
              <w:t xml:space="preserve">; y por otro, teniendo en cuenta la definición prevista en el artículo 7 de la </w:t>
            </w:r>
            <w:r w:rsidR="006539FB" w:rsidRPr="00D5685B">
              <w:rPr>
                <w:rFonts w:ascii="Verdana" w:eastAsia="Century Gothic" w:hAnsi="Verdana" w:cs="Century Gothic"/>
              </w:rPr>
              <w:t>Ley</w:t>
            </w:r>
            <w:r w:rsidRPr="00D5685B">
              <w:rPr>
                <w:rFonts w:ascii="Verdana" w:eastAsia="Century Gothic" w:hAnsi="Verdana" w:cs="Century Gothic"/>
              </w:rPr>
              <w:t xml:space="preserve"> 80 de 1993, no puede equipararse o hacerse extensible la denominación de </w:t>
            </w:r>
            <w:r w:rsidRPr="00D5685B">
              <w:rPr>
                <w:rFonts w:ascii="Verdana" w:eastAsia="Century Gothic" w:hAnsi="Verdana" w:cs="Century Gothic"/>
                <w:i/>
                <w:iCs/>
                <w:sz w:val="20"/>
                <w:szCs w:val="20"/>
                <w:lang w:val="es-ES"/>
              </w:rPr>
              <w:t xml:space="preserve">“[…] </w:t>
            </w:r>
            <w:r w:rsidRPr="00D5685B">
              <w:rPr>
                <w:rFonts w:ascii="Verdana" w:eastAsia="Calibri" w:hAnsi="Verdana" w:cs="Arial"/>
              </w:rPr>
              <w:t xml:space="preserve">demás formas y expresiones organizativas </w:t>
            </w:r>
            <w:r w:rsidRPr="00D5685B">
              <w:rPr>
                <w:rFonts w:ascii="Verdana" w:eastAsia="Century Gothic" w:hAnsi="Verdana" w:cs="Century Gothic"/>
                <w:i/>
                <w:iCs/>
                <w:sz w:val="20"/>
                <w:szCs w:val="20"/>
                <w:lang w:val="es-ES"/>
              </w:rPr>
              <w:t>[…]”</w:t>
            </w:r>
            <w:r w:rsidRPr="00D5685B">
              <w:rPr>
                <w:rFonts w:ascii="Verdana" w:eastAsia="Calibri" w:hAnsi="Verdana" w:cs="Arial"/>
              </w:rPr>
              <w:t xml:space="preserve"> a las organizaciones del Pueblo Rrom. </w:t>
            </w:r>
          </w:p>
          <w:p w14:paraId="2A7C3E7A" w14:textId="6AD5DD4B" w:rsidR="00461D03" w:rsidRPr="00D5685B" w:rsidRDefault="004C1FC3" w:rsidP="00DA5F0D">
            <w:pPr>
              <w:pBdr>
                <w:top w:val="nil"/>
                <w:left w:val="nil"/>
                <w:bottom w:val="nil"/>
                <w:right w:val="nil"/>
                <w:between w:val="nil"/>
              </w:pBdr>
              <w:spacing w:after="120" w:line="276" w:lineRule="auto"/>
              <w:ind w:firstLine="709"/>
              <w:jc w:val="both"/>
              <w:rPr>
                <w:rFonts w:ascii="Verdana" w:eastAsia="Calibri" w:hAnsi="Verdana" w:cs="Arial"/>
              </w:rPr>
            </w:pPr>
            <w:r w:rsidRPr="00D5685B">
              <w:rPr>
                <w:rFonts w:ascii="Verdana" w:eastAsia="Calibri" w:hAnsi="Verdana" w:cs="Arial"/>
              </w:rPr>
              <w:t>En ese orden, el pueblo Rrom no se asemeja a los pueblos indígenas</w:t>
            </w:r>
            <w:r w:rsidR="00F104BF" w:rsidRPr="00D5685B">
              <w:rPr>
                <w:rFonts w:ascii="Verdana" w:eastAsia="Calibri" w:hAnsi="Verdana" w:cs="Arial"/>
              </w:rPr>
              <w:t xml:space="preserve"> o a las</w:t>
            </w:r>
            <w:r w:rsidRPr="00D5685B">
              <w:rPr>
                <w:rFonts w:ascii="Verdana" w:eastAsia="Calibri" w:hAnsi="Verdana" w:cs="Arial"/>
              </w:rPr>
              <w:t xml:space="preserve"> comunidades afrodescendientes, raizales y palenqueras</w:t>
            </w:r>
            <w:r w:rsidR="006B6FE2" w:rsidRPr="00D5685B">
              <w:rPr>
                <w:rFonts w:ascii="Verdana" w:eastAsia="Calibri" w:hAnsi="Verdana" w:cs="Arial"/>
              </w:rPr>
              <w:t xml:space="preserve">, </w:t>
            </w:r>
            <w:r w:rsidR="00F104BF" w:rsidRPr="00D5685B">
              <w:rPr>
                <w:rFonts w:ascii="Verdana" w:eastAsia="Calibri" w:hAnsi="Verdana" w:cs="Arial"/>
              </w:rPr>
              <w:t>y en razón a ello</w:t>
            </w:r>
            <w:r w:rsidR="006B6FE2" w:rsidRPr="00D5685B">
              <w:rPr>
                <w:rFonts w:ascii="Verdana" w:eastAsia="Calibri" w:hAnsi="Verdana" w:cs="Arial"/>
              </w:rPr>
              <w:t xml:space="preserve">, </w:t>
            </w:r>
            <w:r w:rsidR="00A67E3F" w:rsidRPr="00D5685B">
              <w:rPr>
                <w:rFonts w:ascii="Verdana" w:eastAsia="Calibri" w:hAnsi="Verdana" w:cs="Arial"/>
              </w:rPr>
              <w:t xml:space="preserve">no </w:t>
            </w:r>
            <w:r w:rsidR="00F104BF" w:rsidRPr="00D5685B">
              <w:rPr>
                <w:rFonts w:ascii="Verdana" w:eastAsia="Calibri" w:hAnsi="Verdana" w:cs="Arial"/>
              </w:rPr>
              <w:t xml:space="preserve">se </w:t>
            </w:r>
            <w:r w:rsidR="00133B67" w:rsidRPr="00D5685B">
              <w:rPr>
                <w:rFonts w:ascii="Verdana" w:eastAsia="Calibri" w:hAnsi="Verdana" w:cs="Arial"/>
              </w:rPr>
              <w:t xml:space="preserve">encuentran habilitados para suscribir </w:t>
            </w:r>
            <w:r w:rsidR="00AD583B" w:rsidRPr="00D5685B">
              <w:rPr>
                <w:rFonts w:ascii="Verdana" w:eastAsia="Calibri" w:hAnsi="Verdana" w:cs="Arial"/>
              </w:rPr>
              <w:t>negocios jurídicos</w:t>
            </w:r>
            <w:r w:rsidR="00133B67" w:rsidRPr="00D5685B">
              <w:rPr>
                <w:rFonts w:ascii="Verdana" w:eastAsia="Calibri" w:hAnsi="Verdana" w:cs="Arial"/>
              </w:rPr>
              <w:t xml:space="preserve"> </w:t>
            </w:r>
            <w:r w:rsidR="00A67E3F" w:rsidRPr="00D5685B">
              <w:rPr>
                <w:rFonts w:ascii="Verdana" w:eastAsia="Calibri" w:hAnsi="Verdana" w:cs="Arial"/>
              </w:rPr>
              <w:t xml:space="preserve">bajo las disposiciones previstas en </w:t>
            </w:r>
            <w:r w:rsidR="006539FB" w:rsidRPr="00D5685B">
              <w:rPr>
                <w:rFonts w:ascii="Verdana" w:eastAsia="Calibri" w:hAnsi="Verdana" w:cs="Arial"/>
              </w:rPr>
              <w:t>Ley</w:t>
            </w:r>
            <w:r w:rsidR="00A67E3F" w:rsidRPr="00D5685B">
              <w:rPr>
                <w:rFonts w:ascii="Verdana" w:eastAsia="Calibri" w:hAnsi="Verdana" w:cs="Arial"/>
              </w:rPr>
              <w:t xml:space="preserve"> 2160 de 2021, que como se indicó en el presente concepto </w:t>
            </w:r>
            <w:r w:rsidR="006E6EA4" w:rsidRPr="00D5685B">
              <w:rPr>
                <w:rFonts w:ascii="Verdana" w:eastAsia="Calibri" w:hAnsi="Verdana" w:cs="Arial"/>
              </w:rPr>
              <w:t>tiene</w:t>
            </w:r>
            <w:r w:rsidR="00EA072D" w:rsidRPr="00D5685B">
              <w:rPr>
                <w:rFonts w:ascii="Verdana" w:eastAsia="Calibri" w:hAnsi="Verdana" w:cs="Arial"/>
              </w:rPr>
              <w:t>n</w:t>
            </w:r>
            <w:r w:rsidR="006E6EA4" w:rsidRPr="00D5685B">
              <w:rPr>
                <w:rFonts w:ascii="Verdana" w:eastAsia="Calibri" w:hAnsi="Verdana" w:cs="Arial"/>
              </w:rPr>
              <w:t xml:space="preserve"> incidencia en la modalidad de selección directa. Sin perjuicio de lo expuesto</w:t>
            </w:r>
            <w:r w:rsidRPr="00D5685B">
              <w:rPr>
                <w:rFonts w:ascii="Verdana" w:eastAsia="Calibri" w:hAnsi="Verdana" w:cs="Arial"/>
              </w:rPr>
              <w:t>,</w:t>
            </w:r>
            <w:r w:rsidR="006E6EA4" w:rsidRPr="00D5685B">
              <w:rPr>
                <w:rFonts w:ascii="Verdana" w:eastAsia="Calibri" w:hAnsi="Verdana" w:cs="Arial"/>
              </w:rPr>
              <w:t xml:space="preserve"> los integrantes del Pueblo Rrom</w:t>
            </w:r>
            <w:r w:rsidRPr="00D5685B">
              <w:rPr>
                <w:rFonts w:ascii="Verdana" w:eastAsia="Calibri" w:hAnsi="Verdana" w:cs="Arial"/>
              </w:rPr>
              <w:t xml:space="preserve"> tienen la oportunidad de participar en los procesos de contratación competitivos a través de las </w:t>
            </w:r>
            <w:r w:rsidRPr="00D5685B">
              <w:rPr>
                <w:rFonts w:ascii="Verdana" w:eastAsia="Calibri" w:hAnsi="Verdana" w:cs="Arial"/>
              </w:rPr>
              <w:lastRenderedPageBreak/>
              <w:t>reglas generales de la contratación pública como personas naturales, jurídicas o proponentes plurales.</w:t>
            </w:r>
          </w:p>
        </w:tc>
      </w:tr>
    </w:tbl>
    <w:p w14:paraId="6B2B854A" w14:textId="77777777" w:rsidR="00ED7DB2" w:rsidRPr="00D5685B" w:rsidRDefault="00ED7DB2" w:rsidP="00ED7DB2">
      <w:pPr>
        <w:tabs>
          <w:tab w:val="left" w:pos="142"/>
          <w:tab w:val="left" w:pos="284"/>
        </w:tabs>
        <w:spacing w:after="0" w:line="276" w:lineRule="auto"/>
        <w:jc w:val="both"/>
        <w:rPr>
          <w:rFonts w:ascii="Verdana" w:eastAsia="Century Gothic" w:hAnsi="Verdana" w:cs="Century Gothic"/>
          <w:b/>
          <w:bCs/>
          <w:highlight w:val="cyan"/>
        </w:rPr>
      </w:pPr>
    </w:p>
    <w:p w14:paraId="7FA557E6" w14:textId="77777777" w:rsidR="00ED7DB2" w:rsidRPr="00D5685B" w:rsidRDefault="00ED7DB2" w:rsidP="00ED7DB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5685B">
        <w:rPr>
          <w:rFonts w:ascii="Verdana" w:eastAsia="Century Gothic" w:hAnsi="Verdana" w:cs="Century Gothic"/>
          <w:b/>
          <w:bCs/>
        </w:rPr>
        <w:t>Razones de la respuesta:</w:t>
      </w:r>
    </w:p>
    <w:p w14:paraId="052A01AD" w14:textId="77777777" w:rsidR="00ED7DB2" w:rsidRPr="00D5685B" w:rsidRDefault="00ED7DB2" w:rsidP="00ED7DB2">
      <w:pPr>
        <w:spacing w:after="0" w:line="276" w:lineRule="auto"/>
        <w:jc w:val="both"/>
        <w:rPr>
          <w:rFonts w:ascii="Verdana" w:eastAsia="Calibri" w:hAnsi="Verdana" w:cs="Arial"/>
          <w:color w:val="7030A0"/>
          <w:lang w:val="es-ES"/>
        </w:rPr>
      </w:pPr>
    </w:p>
    <w:p w14:paraId="378F0BB6" w14:textId="77777777" w:rsidR="00ED7DB2" w:rsidRPr="00D5685B" w:rsidRDefault="00ED7DB2" w:rsidP="00ED7DB2">
      <w:pPr>
        <w:spacing w:after="0" w:line="276" w:lineRule="auto"/>
        <w:jc w:val="both"/>
        <w:rPr>
          <w:rFonts w:ascii="Verdana" w:eastAsia="Calibri" w:hAnsi="Verdana" w:cs="Arial"/>
          <w:lang w:val="es-ES"/>
        </w:rPr>
      </w:pPr>
      <w:r w:rsidRPr="00D5685B">
        <w:rPr>
          <w:rFonts w:ascii="Verdana" w:eastAsia="Calibri" w:hAnsi="Verdana" w:cs="Arial"/>
          <w:lang w:val="es-ES"/>
        </w:rPr>
        <w:t>Lo anterior se sustenta en las siguientes consideraciones:</w:t>
      </w:r>
    </w:p>
    <w:p w14:paraId="2D7893B2" w14:textId="77777777" w:rsidR="000E2832" w:rsidRDefault="000E2832" w:rsidP="000D2DB9">
      <w:pPr>
        <w:spacing w:after="0" w:line="276" w:lineRule="auto"/>
        <w:jc w:val="both"/>
        <w:rPr>
          <w:rFonts w:ascii="Verdana" w:eastAsia="Calibri" w:hAnsi="Verdana" w:cs="Arial"/>
          <w:lang w:val="es-ES"/>
        </w:rPr>
      </w:pPr>
    </w:p>
    <w:p w14:paraId="795A9793" w14:textId="487E39B4" w:rsidR="000D2DB9" w:rsidRPr="00D5685B" w:rsidRDefault="000D2DB9" w:rsidP="00DA5F0D">
      <w:pPr>
        <w:spacing w:after="120" w:line="276" w:lineRule="auto"/>
        <w:jc w:val="both"/>
        <w:rPr>
          <w:rFonts w:ascii="Verdana" w:eastAsia="Calibri" w:hAnsi="Verdana" w:cs="Arial"/>
        </w:rPr>
      </w:pPr>
      <w:r w:rsidRPr="00D5685B">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D5685B">
        <w:rPr>
          <w:rFonts w:ascii="Verdana" w:eastAsia="Calibri" w:hAnsi="Verdana" w:cs="Arial"/>
          <w:vertAlign w:val="superscript"/>
        </w:rPr>
        <w:footnoteReference w:id="1"/>
      </w:r>
      <w:r w:rsidRPr="00D5685B">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 </w:t>
      </w:r>
    </w:p>
    <w:p w14:paraId="6894D9A8" w14:textId="76EF9331" w:rsidR="00725948" w:rsidRPr="00D5685B" w:rsidRDefault="0012435A" w:rsidP="00725948">
      <w:pPr>
        <w:spacing w:line="276" w:lineRule="auto"/>
        <w:ind w:firstLine="680"/>
        <w:jc w:val="both"/>
        <w:rPr>
          <w:rFonts w:ascii="Verdana" w:eastAsia="Calibri" w:hAnsi="Verdana" w:cs="Arial"/>
        </w:rPr>
      </w:pPr>
      <w:r w:rsidRPr="00D5685B">
        <w:rPr>
          <w:rFonts w:ascii="Verdana" w:eastAsia="Calibri" w:hAnsi="Verdana" w:cs="Arial"/>
        </w:rPr>
        <w:t>Bajo este contexto</w:t>
      </w:r>
      <w:r w:rsidR="00725948" w:rsidRPr="00D5685B">
        <w:rPr>
          <w:rFonts w:ascii="Verdana" w:eastAsia="Calibri" w:hAnsi="Verdana" w:cs="Arial"/>
        </w:rPr>
        <w:t xml:space="preserve">, </w:t>
      </w:r>
      <w:r w:rsidRPr="00D5685B">
        <w:rPr>
          <w:rFonts w:ascii="Verdana" w:eastAsia="Calibri" w:hAnsi="Verdana" w:cs="Arial"/>
        </w:rPr>
        <w:t xml:space="preserve">y </w:t>
      </w:r>
      <w:r w:rsidR="00725948" w:rsidRPr="00D5685B">
        <w:rPr>
          <w:rFonts w:ascii="Verdana" w:eastAsia="Calibri" w:hAnsi="Verdana" w:cs="Arial"/>
        </w:rPr>
        <w:t>en lo que respecta a la expresión “</w:t>
      </w:r>
      <w:r w:rsidR="00725948" w:rsidRPr="00D5685B">
        <w:rPr>
          <w:rFonts w:ascii="Verdana" w:eastAsia="Calibri" w:hAnsi="Verdana" w:cs="Arial"/>
          <w:i/>
        </w:rPr>
        <w:t>pueblos indígenas y tribales</w:t>
      </w:r>
      <w:r w:rsidR="00725948" w:rsidRPr="00D5685B">
        <w:rPr>
          <w:rFonts w:ascii="Verdana" w:eastAsia="Calibri" w:hAnsi="Verdana" w:cs="Arial"/>
        </w:rPr>
        <w:t>”,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del Pueblo Rrom, también es titular de los derechos ligados a la autonomía, diversidad cultural, defensa de los territorios, participación, entre otros.  Sobre el asunto la Corte Constitucional ha, precisado lo siguiente:</w:t>
      </w:r>
    </w:p>
    <w:p w14:paraId="797CC808" w14:textId="77777777" w:rsidR="00C07DFB" w:rsidRPr="00D5685B" w:rsidRDefault="00C07DFB" w:rsidP="00C07DFB">
      <w:pPr>
        <w:spacing w:after="0" w:line="240" w:lineRule="auto"/>
        <w:ind w:left="708" w:right="709"/>
        <w:jc w:val="both"/>
        <w:rPr>
          <w:rFonts w:ascii="Verdana" w:eastAsia="Calibri" w:hAnsi="Verdana" w:cs="Arial"/>
          <w:sz w:val="20"/>
          <w:szCs w:val="20"/>
        </w:rPr>
      </w:pPr>
      <w:r w:rsidRPr="00D5685B">
        <w:rPr>
          <w:rFonts w:ascii="Verdana" w:eastAsia="Calibri" w:hAnsi="Verdana" w:cs="Arial"/>
          <w:sz w:val="20"/>
          <w:szCs w:val="20"/>
        </w:rPr>
        <w:t xml:space="preserve">“[…] </w:t>
      </w:r>
      <w:r w:rsidRPr="00D5685B">
        <w:rPr>
          <w:rFonts w:ascii="Verdana" w:hAnsi="Verdana"/>
          <w:i/>
          <w:iCs/>
          <w:sz w:val="20"/>
          <w:szCs w:val="20"/>
          <w:shd w:val="clear" w:color="auto" w:fill="FFFFFF"/>
        </w:rPr>
        <w:t xml:space="preserve">Ahora bien, en la medida en que la comunidad Rrom hace parte de los grupos étnicos cobijados por estos principios y que así se reitera en el Convenio 169 de la OIT al reconocerlo como pueblo tribal, sus instituciones –entre ellas aquellas que existen para dirimir conflictos, como lo es la Kriss– han de ser respetadas e incentivadas sin soportar discriminación alguna, y bajo la lógica de tener en cuenta sus particularidades, deberán </w:t>
      </w:r>
      <w:r w:rsidRPr="00D5685B">
        <w:rPr>
          <w:rFonts w:ascii="Verdana" w:hAnsi="Verdana"/>
          <w:i/>
          <w:iCs/>
          <w:sz w:val="20"/>
          <w:szCs w:val="20"/>
          <w:shd w:val="clear" w:color="auto" w:fill="FFFFFF"/>
        </w:rPr>
        <w:lastRenderedPageBreak/>
        <w:t>gozar del mismo ámbito de acción que el resto de las culturas existentes en Colombia</w:t>
      </w:r>
      <w:r w:rsidRPr="00D5685B">
        <w:rPr>
          <w:rFonts w:ascii="Verdana" w:hAnsi="Verdana"/>
          <w:sz w:val="20"/>
          <w:szCs w:val="20"/>
          <w:shd w:val="clear" w:color="auto" w:fill="FFFFFF"/>
        </w:rPr>
        <w:t xml:space="preserve">. </w:t>
      </w:r>
      <w:r w:rsidRPr="00D5685B">
        <w:rPr>
          <w:rFonts w:ascii="Verdana" w:eastAsia="Calibri" w:hAnsi="Verdana" w:cs="Arial"/>
          <w:sz w:val="20"/>
          <w:szCs w:val="20"/>
        </w:rPr>
        <w:t>[…]”</w:t>
      </w:r>
      <w:r w:rsidRPr="00D5685B">
        <w:rPr>
          <w:rStyle w:val="Refdenotaalpie"/>
          <w:rFonts w:ascii="Verdana" w:eastAsia="Calibri" w:hAnsi="Verdana" w:cs="Arial"/>
          <w:sz w:val="20"/>
          <w:szCs w:val="20"/>
        </w:rPr>
        <w:footnoteReference w:id="2"/>
      </w:r>
    </w:p>
    <w:p w14:paraId="5BBC79AD" w14:textId="77777777" w:rsidR="00725948" w:rsidRPr="00D5685B" w:rsidRDefault="00725948" w:rsidP="000D2DB9">
      <w:pPr>
        <w:spacing w:after="0" w:line="276" w:lineRule="auto"/>
        <w:jc w:val="both"/>
        <w:rPr>
          <w:rFonts w:ascii="Verdana" w:eastAsia="Calibri" w:hAnsi="Verdana" w:cs="Arial"/>
          <w:b/>
        </w:rPr>
      </w:pPr>
    </w:p>
    <w:p w14:paraId="43106025" w14:textId="6F580721" w:rsidR="00344F35" w:rsidRPr="00D5685B" w:rsidRDefault="006D2327" w:rsidP="00344F35">
      <w:pPr>
        <w:spacing w:line="276" w:lineRule="auto"/>
        <w:ind w:firstLine="680"/>
        <w:jc w:val="both"/>
        <w:rPr>
          <w:rFonts w:ascii="Verdana" w:eastAsia="Calibri" w:hAnsi="Verdana" w:cs="Arial"/>
        </w:rPr>
      </w:pPr>
      <w:r w:rsidRPr="00D5685B">
        <w:rPr>
          <w:rFonts w:ascii="Verdana" w:eastAsia="Calibri" w:hAnsi="Verdana" w:cs="Arial"/>
        </w:rPr>
        <w:t>Por otro lado</w:t>
      </w:r>
      <w:r w:rsidR="00344F35" w:rsidRPr="00D5685B">
        <w:rPr>
          <w:rFonts w:ascii="Verdana" w:eastAsia="Calibri" w:hAnsi="Verdana" w:cs="Arial"/>
        </w:rPr>
        <w:t>, el Decreto reglamentario 2957 de 2010 contiene el marco normativo para la protección integral de los derechos del Pueblo Rrom. Este decreto reconoce a los Rrom o Gitanos como un grupo étnico con una identidad cultural, que mantiene una conciencia étnica, que posee su forma de organización social y lengua, y que ha definido sus instituciones políticas y sociales, además de valorar las contribuciones que históricamente ha realizado al proceso de conformación de la nacionalidad colombiana, por lo que se le debe garantizar su conservación, desarrollo de cultura y forma de vida (art. 6º).</w:t>
      </w:r>
    </w:p>
    <w:p w14:paraId="2477A481" w14:textId="7607A41D" w:rsidR="00FB6681" w:rsidRPr="00D5685B" w:rsidRDefault="006D2327" w:rsidP="00FB6681">
      <w:pPr>
        <w:spacing w:after="120" w:line="276" w:lineRule="auto"/>
        <w:ind w:firstLine="708"/>
        <w:jc w:val="both"/>
        <w:rPr>
          <w:rFonts w:ascii="Verdana" w:eastAsia="Calibri" w:hAnsi="Verdana" w:cs="Arial"/>
        </w:rPr>
      </w:pPr>
      <w:r w:rsidRPr="00D5685B">
        <w:rPr>
          <w:rFonts w:ascii="Verdana" w:eastAsia="Calibri" w:hAnsi="Verdana" w:cs="Arial"/>
        </w:rPr>
        <w:t>Ahora bien</w:t>
      </w:r>
      <w:r w:rsidR="00BE1739" w:rsidRPr="00D5685B">
        <w:rPr>
          <w:rFonts w:ascii="Verdana" w:eastAsia="Calibri" w:hAnsi="Verdana" w:cs="Arial"/>
        </w:rPr>
        <w:t>,</w:t>
      </w:r>
      <w:r w:rsidRPr="00D5685B">
        <w:rPr>
          <w:rFonts w:ascii="Verdana" w:eastAsia="Calibri" w:hAnsi="Verdana" w:cs="Arial"/>
        </w:rPr>
        <w:t xml:space="preserve"> en virtud de lo dispuesto en la ley 21 de 1991,</w:t>
      </w:r>
      <w:r w:rsidR="00BE1739" w:rsidRPr="00D5685B">
        <w:rPr>
          <w:rFonts w:ascii="Verdana" w:eastAsia="Calibri" w:hAnsi="Verdana" w:cs="Arial"/>
        </w:rPr>
        <w:t xml:space="preserve">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76A4AA77" w14:textId="10ABA8CE" w:rsidR="00FB6681" w:rsidRPr="00D5685B" w:rsidRDefault="00FB6681" w:rsidP="00FB6681">
      <w:pPr>
        <w:spacing w:after="120" w:line="276" w:lineRule="auto"/>
        <w:ind w:firstLine="708"/>
        <w:jc w:val="both"/>
        <w:rPr>
          <w:rFonts w:ascii="Verdana" w:eastAsia="Calibri" w:hAnsi="Verdana" w:cs="Arial"/>
        </w:rPr>
      </w:pPr>
      <w:r w:rsidRPr="00D5685B">
        <w:rPr>
          <w:rFonts w:ascii="Verdana" w:eastAsia="Calibri" w:hAnsi="Verdana" w:cs="Arial"/>
        </w:rPr>
        <w:t>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0658A3E5" w14:textId="582D0912" w:rsidR="00FF2469" w:rsidRPr="00D5685B" w:rsidRDefault="00FF2469" w:rsidP="00C3205E">
      <w:pPr>
        <w:spacing w:after="120" w:line="276" w:lineRule="auto"/>
        <w:ind w:firstLine="708"/>
        <w:jc w:val="both"/>
        <w:rPr>
          <w:rFonts w:ascii="Verdana" w:eastAsia="Calibri" w:hAnsi="Verdana" w:cs="Arial"/>
        </w:rPr>
      </w:pPr>
      <w:r w:rsidRPr="00D5685B">
        <w:rPr>
          <w:rFonts w:ascii="Verdana" w:eastAsia="Calibri" w:hAnsi="Verdana" w:cs="Arial"/>
        </w:rPr>
        <w:t xml:space="preserve">Esto ha generado que diversas disposiciones reconozcan la posibilidad de celebrar convenios y contratos que involucran como cocontratantes de las Entidades Estatales a diferentes instancias de representación de </w:t>
      </w:r>
      <w:r w:rsidR="009176E4" w:rsidRPr="00D5685B">
        <w:rPr>
          <w:rFonts w:ascii="Verdana" w:eastAsia="Calibri" w:hAnsi="Verdana" w:cs="Arial"/>
        </w:rPr>
        <w:t xml:space="preserve">varios </w:t>
      </w:r>
      <w:r w:rsidR="00C63CF8" w:rsidRPr="00D5685B">
        <w:rPr>
          <w:rFonts w:ascii="Verdana" w:eastAsia="Calibri" w:hAnsi="Verdana" w:cs="Arial"/>
        </w:rPr>
        <w:t>p</w:t>
      </w:r>
      <w:r w:rsidR="009176E4" w:rsidRPr="00D5685B">
        <w:rPr>
          <w:rFonts w:ascii="Verdana" w:eastAsia="Calibri" w:hAnsi="Verdana" w:cs="Arial"/>
        </w:rPr>
        <w:t xml:space="preserve">ueblos y </w:t>
      </w:r>
      <w:r w:rsidR="00C63CF8" w:rsidRPr="00D5685B">
        <w:rPr>
          <w:rFonts w:ascii="Verdana" w:eastAsia="Calibri" w:hAnsi="Verdana" w:cs="Arial"/>
        </w:rPr>
        <w:t>c</w:t>
      </w:r>
      <w:r w:rsidR="009176E4" w:rsidRPr="00D5685B">
        <w:rPr>
          <w:rFonts w:ascii="Verdana" w:eastAsia="Calibri" w:hAnsi="Verdana" w:cs="Arial"/>
        </w:rPr>
        <w:t>omunidades étnicas</w:t>
      </w:r>
      <w:r w:rsidRPr="00D5685B">
        <w:rPr>
          <w:rFonts w:ascii="Verdana" w:eastAsia="Calibri" w:hAnsi="Verdana" w:cs="Arial"/>
        </w:rPr>
        <w:t>. Para tales efectos, el legislador ha atribuido capacidad jurídica y contractual a diversas formas organizativas de los pueblos indígenas</w:t>
      </w:r>
      <w:r w:rsidR="009C73FE" w:rsidRPr="00D5685B">
        <w:rPr>
          <w:rFonts w:ascii="Verdana" w:eastAsia="Calibri" w:hAnsi="Verdana" w:cs="Arial"/>
        </w:rPr>
        <w:t xml:space="preserve"> </w:t>
      </w:r>
      <w:r w:rsidR="00830EA6" w:rsidRPr="00D5685B">
        <w:rPr>
          <w:rFonts w:ascii="Verdana" w:eastAsia="Calibri" w:hAnsi="Verdana" w:cs="Arial"/>
        </w:rPr>
        <w:lastRenderedPageBreak/>
        <w:t>e</w:t>
      </w:r>
      <w:r w:rsidR="009C73FE" w:rsidRPr="00D5685B">
        <w:rPr>
          <w:rFonts w:ascii="Verdana" w:eastAsia="Calibri" w:hAnsi="Verdana" w:cs="Arial"/>
        </w:rPr>
        <w:t xml:space="preserve"> instancias de representación de las comunidades negras, afrodescendientes, raizales y palenqueras</w:t>
      </w:r>
      <w:r w:rsidRPr="00D5685B">
        <w:rPr>
          <w:rFonts w:ascii="Verdana" w:eastAsia="Calibri" w:hAnsi="Verdana" w:cs="Arial"/>
        </w:rPr>
        <w:t>, estableciendo unos supuestos de hecho y requisitos con sujeción a los cuales procede la celebración de acuerdos de naturaleza contractual con dichos agentes.</w:t>
      </w:r>
      <w:r w:rsidR="002B3C3E" w:rsidRPr="00D5685B">
        <w:rPr>
          <w:rFonts w:ascii="Verdana" w:eastAsia="Calibri" w:hAnsi="Verdana" w:cs="Arial"/>
        </w:rPr>
        <w:t xml:space="preserve"> </w:t>
      </w:r>
      <w:r w:rsidR="00C3205E" w:rsidRPr="00D5685B">
        <w:rPr>
          <w:rFonts w:ascii="Verdana" w:eastAsia="Calibri" w:hAnsi="Verdana" w:cs="Arial"/>
        </w:rPr>
        <w:t>Así las cosas, y e</w:t>
      </w:r>
      <w:r w:rsidR="002B3C3E" w:rsidRPr="00D5685B">
        <w:rPr>
          <w:rFonts w:ascii="Verdana" w:eastAsia="Calibri" w:hAnsi="Verdana" w:cs="Arial"/>
        </w:rPr>
        <w:t xml:space="preserve">n atención a que la consulta elevada se centra en las disposiciones previstas para las </w:t>
      </w:r>
      <w:r w:rsidR="00A11EBB" w:rsidRPr="00D5685B">
        <w:rPr>
          <w:rFonts w:ascii="Verdana" w:eastAsia="Calibri" w:hAnsi="Verdana" w:cs="Arial"/>
        </w:rPr>
        <w:t xml:space="preserve">comunidades negras, afrodescendientes, raizales y palenqueras, se hará </w:t>
      </w:r>
      <w:r w:rsidR="00A37C86" w:rsidRPr="00D5685B">
        <w:rPr>
          <w:rFonts w:ascii="Verdana" w:eastAsia="Calibri" w:hAnsi="Verdana" w:cs="Arial"/>
        </w:rPr>
        <w:t>énfasis</w:t>
      </w:r>
      <w:r w:rsidR="00EB2230" w:rsidRPr="00D5685B">
        <w:rPr>
          <w:rFonts w:ascii="Verdana" w:eastAsia="Calibri" w:hAnsi="Verdana" w:cs="Arial"/>
        </w:rPr>
        <w:t xml:space="preserve"> </w:t>
      </w:r>
      <w:r w:rsidR="00A37C86" w:rsidRPr="00D5685B">
        <w:rPr>
          <w:rFonts w:ascii="Verdana" w:eastAsia="Calibri" w:hAnsi="Verdana" w:cs="Arial"/>
        </w:rPr>
        <w:t>en lo dispuesto</w:t>
      </w:r>
      <w:r w:rsidR="000421AD" w:rsidRPr="00D5685B">
        <w:rPr>
          <w:rFonts w:ascii="Verdana" w:eastAsia="Calibri" w:hAnsi="Verdana" w:cs="Arial"/>
        </w:rPr>
        <w:t xml:space="preserve"> </w:t>
      </w:r>
      <w:r w:rsidR="00A37C86" w:rsidRPr="00D5685B">
        <w:rPr>
          <w:rFonts w:ascii="Verdana" w:eastAsia="Calibri" w:hAnsi="Verdana" w:cs="Arial"/>
        </w:rPr>
        <w:t>para este grupo étnico</w:t>
      </w:r>
      <w:r w:rsidR="00645D79" w:rsidRPr="00D5685B">
        <w:rPr>
          <w:rFonts w:ascii="Verdana" w:eastAsia="Calibri" w:hAnsi="Verdana" w:cs="Arial"/>
        </w:rPr>
        <w:t xml:space="preserve"> en materia de contratación.</w:t>
      </w:r>
    </w:p>
    <w:p w14:paraId="222EC683" w14:textId="3F9BCFE1" w:rsidR="004A71B8" w:rsidRPr="00D5685B" w:rsidRDefault="00C41E9B" w:rsidP="004A71B8">
      <w:pPr>
        <w:spacing w:after="120" w:line="276" w:lineRule="auto"/>
        <w:ind w:firstLine="680"/>
        <w:jc w:val="both"/>
        <w:rPr>
          <w:rFonts w:ascii="Verdana" w:eastAsia="Calibri" w:hAnsi="Verdana" w:cs="Arial"/>
          <w:lang w:val="es-ES"/>
        </w:rPr>
      </w:pPr>
      <w:r w:rsidRPr="00D5685B">
        <w:rPr>
          <w:rFonts w:ascii="Verdana" w:eastAsia="Calibri" w:hAnsi="Verdana" w:cs="Arial"/>
          <w:lang w:val="es-ES"/>
        </w:rPr>
        <w:t xml:space="preserve">Realizada </w:t>
      </w:r>
      <w:r w:rsidR="00146516" w:rsidRPr="00D5685B">
        <w:rPr>
          <w:rFonts w:ascii="Verdana" w:eastAsia="Calibri" w:hAnsi="Verdana" w:cs="Arial"/>
          <w:lang w:val="es-ES"/>
        </w:rPr>
        <w:t>la anterior precisión</w:t>
      </w:r>
      <w:r w:rsidRPr="00D5685B">
        <w:rPr>
          <w:rFonts w:ascii="Verdana" w:eastAsia="Calibri" w:hAnsi="Verdana" w:cs="Arial"/>
          <w:lang w:val="es-ES"/>
        </w:rPr>
        <w:t xml:space="preserve"> resulta</w:t>
      </w:r>
      <w:r w:rsidR="002168F9" w:rsidRPr="00D5685B">
        <w:rPr>
          <w:rFonts w:ascii="Verdana" w:eastAsia="Calibri" w:hAnsi="Verdana" w:cs="Arial"/>
          <w:lang w:val="es-ES"/>
        </w:rPr>
        <w:t xml:space="preserve"> necesario </w:t>
      </w:r>
      <w:r w:rsidRPr="00D5685B">
        <w:rPr>
          <w:rFonts w:ascii="Verdana" w:eastAsia="Calibri" w:hAnsi="Verdana" w:cs="Arial"/>
          <w:lang w:val="es-ES"/>
        </w:rPr>
        <w:t>señalar</w:t>
      </w:r>
      <w:r w:rsidR="002168F9" w:rsidRPr="00D5685B">
        <w:rPr>
          <w:rFonts w:ascii="Verdana" w:eastAsia="Calibri" w:hAnsi="Verdana" w:cs="Arial"/>
          <w:lang w:val="es-ES"/>
        </w:rPr>
        <w:t xml:space="preserve"> que</w:t>
      </w:r>
      <w:r w:rsidR="004A71B8" w:rsidRPr="00D5685B">
        <w:rPr>
          <w:rFonts w:ascii="Verdana" w:eastAsia="Calibri" w:hAnsi="Verdana" w:cs="Arial"/>
          <w:lang w:val="es-ES"/>
        </w:rPr>
        <w:t xml:space="preserve"> </w:t>
      </w:r>
      <w:r w:rsidR="004A71B8" w:rsidRPr="00D5685B">
        <w:rPr>
          <w:rFonts w:ascii="Verdana" w:eastAsia="Calibri" w:hAnsi="Verdana" w:cs="Arial"/>
          <w:lang w:val="es-ES_tradnl"/>
        </w:rPr>
        <w:t>la Ley 2160 del 2021 “</w:t>
      </w:r>
      <w:r w:rsidR="004A71B8" w:rsidRPr="00D5685B">
        <w:rPr>
          <w:rFonts w:ascii="Verdana" w:eastAsia="Calibri" w:hAnsi="Verdana" w:cs="Arial"/>
          <w:i/>
          <w:iCs/>
          <w:lang w:val="es-ES"/>
        </w:rPr>
        <w:t>por medio del cual se modifica la ley 80 de 1993 y la ley 1150 de 2007</w:t>
      </w:r>
      <w:r w:rsidR="004A71B8" w:rsidRPr="00D5685B">
        <w:rPr>
          <w:rFonts w:ascii="Verdana" w:eastAsia="Calibri" w:hAnsi="Verdana" w:cs="Arial"/>
          <w:lang w:val="es-ES_tradnl"/>
        </w:rPr>
        <w:t xml:space="preserve">”, confirió de manera expresa capacidad jurídica a las </w:t>
      </w:r>
      <w:r w:rsidR="004A71B8" w:rsidRPr="00D5685B">
        <w:rPr>
          <w:rFonts w:ascii="Verdana" w:eastAsia="Calibri" w:hAnsi="Verdana" w:cs="Arial"/>
          <w:lang w:val="es-ES"/>
        </w:rPr>
        <w:t>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w:t>
      </w:r>
      <w:r w:rsidR="004A71B8" w:rsidRPr="00D5685B">
        <w:rPr>
          <w:rFonts w:ascii="Verdana" w:eastAsia="Calibri" w:hAnsi="Verdana" w:cs="Arial"/>
          <w:vertAlign w:val="superscript"/>
          <w:lang w:val="es-ES"/>
        </w:rPr>
        <w:footnoteReference w:id="3"/>
      </w:r>
      <w:r w:rsidR="004A71B8" w:rsidRPr="00D5685B">
        <w:rPr>
          <w:rFonts w:ascii="Verdana" w:eastAsia="Calibri" w:hAnsi="Verdana" w:cs="Arial"/>
          <w:lang w:val="es-ES"/>
        </w:rPr>
        <w:t xml:space="preserve"> . Con este propósito se dispuso la modificación del artículo 6 de la Ley 80 de 1993, el cual regula la capacidad jurídica en el Estatuto General de Contratación de la Administración Pública</w:t>
      </w:r>
      <w:r w:rsidR="00B75758" w:rsidRPr="00D5685B">
        <w:rPr>
          <w:rFonts w:ascii="Verdana" w:eastAsia="Calibri" w:hAnsi="Verdana" w:cs="Arial"/>
          <w:lang w:val="es-ES"/>
        </w:rPr>
        <w:t>.</w:t>
      </w:r>
    </w:p>
    <w:p w14:paraId="5F58BF43" w14:textId="77777777" w:rsidR="001649CA" w:rsidRPr="00D5685B" w:rsidRDefault="00365D80" w:rsidP="001649CA">
      <w:pPr>
        <w:spacing w:before="120" w:after="0" w:line="276" w:lineRule="auto"/>
        <w:ind w:firstLine="708"/>
        <w:jc w:val="both"/>
        <w:rPr>
          <w:rFonts w:ascii="Verdana" w:eastAsia="Calibri" w:hAnsi="Verdana" w:cs="Arial"/>
        </w:rPr>
      </w:pPr>
      <w:r w:rsidRPr="00D5685B">
        <w:rPr>
          <w:rFonts w:ascii="Verdana" w:eastAsia="Calibri" w:hAnsi="Verdana" w:cs="Arial"/>
        </w:rPr>
        <w:lastRenderedPageBreak/>
        <w:t>En concordancia con lo anterior</w:t>
      </w:r>
      <w:r w:rsidR="009A55A0" w:rsidRPr="00D5685B">
        <w:rPr>
          <w:rFonts w:ascii="Verdana" w:eastAsia="Calibri" w:hAnsi="Verdana" w:cs="Arial"/>
        </w:rPr>
        <w:t>,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r w:rsidR="00C62353" w:rsidRPr="00D5685B">
        <w:rPr>
          <w:rFonts w:ascii="Verdana" w:eastAsia="Calibri" w:hAnsi="Verdana" w:cs="Arial"/>
        </w:rPr>
        <w:t>.</w:t>
      </w:r>
    </w:p>
    <w:p w14:paraId="357D5653" w14:textId="77777777" w:rsidR="00DB5BFF" w:rsidRPr="00D5685B" w:rsidRDefault="001649CA" w:rsidP="00DB5BFF">
      <w:pPr>
        <w:spacing w:before="120" w:after="0" w:line="276" w:lineRule="auto"/>
        <w:ind w:firstLine="708"/>
        <w:jc w:val="both"/>
        <w:rPr>
          <w:rFonts w:ascii="Verdana" w:eastAsia="Calibri" w:hAnsi="Verdana" w:cs="Arial"/>
          <w:lang w:val="es-ES"/>
        </w:rPr>
      </w:pPr>
      <w:r w:rsidRPr="00D5685B">
        <w:rPr>
          <w:rFonts w:ascii="Verdana" w:eastAsia="Calibri" w:hAnsi="Verdana" w:cs="Arial"/>
          <w:lang w:val="es-ES"/>
        </w:rPr>
        <w:t>Con estas disposiciones no solo se atribuye capacidad jurídica a los mencionados entes representativos y asociativos de la población negra, afrodescendiente, raizal y palenquera, sino que además se les da el tratamiento de “</w:t>
      </w:r>
      <w:r w:rsidRPr="00D5685B">
        <w:rPr>
          <w:rFonts w:ascii="Verdana" w:eastAsia="Calibri" w:hAnsi="Verdana" w:cs="Arial"/>
          <w:i/>
          <w:iCs/>
          <w:lang w:val="es-ES"/>
        </w:rPr>
        <w:t>entidades a contratar</w:t>
      </w:r>
      <w:r w:rsidRPr="00D5685B">
        <w:rPr>
          <w:rFonts w:ascii="Verdana" w:eastAsia="Calibri" w:hAnsi="Verdana" w:cs="Arial"/>
          <w:lang w:val="es-ES"/>
        </w:rPr>
        <w:t>”, de acuerdo con las condiciones incorporadas en las anotadas definiciones, que la Ley 2160 de 2021 incorporó en el Estatuto General de Contratación de la Administración Pública. Con estas disposiciones se adecua entonces el marco normativo que se requiere para que los Consejos Comunitarios y las Organizaciones de Base de comunidades negras, afrodescendientes, raizales y palenqueras funjan con colaboradores de la Administración, participando de la ejecución de los contratos estatales dirigidos.</w:t>
      </w:r>
    </w:p>
    <w:p w14:paraId="2C398133" w14:textId="77777777" w:rsidR="00FC4F91" w:rsidRPr="00D5685B" w:rsidRDefault="00DB5BFF" w:rsidP="00FC4F91">
      <w:pPr>
        <w:spacing w:before="120" w:after="0" w:line="276" w:lineRule="auto"/>
        <w:ind w:firstLine="708"/>
        <w:jc w:val="both"/>
        <w:rPr>
          <w:rFonts w:ascii="Verdana" w:hAnsi="Verdana" w:cs="Arial"/>
          <w:lang w:val="es-ES_tradnl"/>
        </w:rPr>
      </w:pPr>
      <w:r w:rsidRPr="00D5685B">
        <w:rPr>
          <w:rFonts w:ascii="Verdana" w:eastAsia="Calibri" w:hAnsi="Verdana" w:cs="Arial"/>
          <w:lang w:val="es-ES"/>
        </w:rPr>
        <w:t xml:space="preserve">Fuera de las disposiciones </w:t>
      </w:r>
      <w:r w:rsidR="00095042" w:rsidRPr="00D5685B">
        <w:rPr>
          <w:rFonts w:ascii="Verdana" w:eastAsia="Calibri" w:hAnsi="Verdana" w:cs="Arial"/>
          <w:lang w:val="es-ES"/>
        </w:rPr>
        <w:t>previamente descritas</w:t>
      </w:r>
      <w:r w:rsidRPr="00D5685B">
        <w:rPr>
          <w:rFonts w:ascii="Verdana" w:eastAsia="Calibri" w:hAnsi="Verdana" w:cs="Arial"/>
          <w:lang w:val="es-ES"/>
        </w:rPr>
        <w:t>, la Ley 2160 de 2021 también introdujo modificaciones en la Ley 1150 de 2007, específicamente en el artículo 2</w:t>
      </w:r>
      <w:r w:rsidRPr="00D5685B">
        <w:rPr>
          <w:rFonts w:ascii="Verdana" w:hAnsi="Verdana" w:cs="Arial"/>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D5685B">
        <w:rPr>
          <w:rFonts w:ascii="Verdana" w:eastAsia="Calibri" w:hAnsi="Verdana" w:cs="Arial"/>
          <w:lang w:val="es-ES"/>
        </w:rPr>
        <w:t xml:space="preserve"> Estas causales enfocan la colaboración entre la Entidades Estatales y los entes organizativos de</w:t>
      </w:r>
      <w:r w:rsidRPr="00D5685B">
        <w:rPr>
          <w:rFonts w:ascii="Verdana" w:hAnsi="Verdana" w:cs="Arial"/>
          <w:lang w:val="es-ES_tradnl"/>
        </w:rPr>
        <w:t xml:space="preserve"> la población negra, afrodescendiente, raizal y palenquera a objetos que busquen unas finalidades específicas</w:t>
      </w:r>
      <w:r w:rsidR="0001067E" w:rsidRPr="00D5685B">
        <w:rPr>
          <w:rFonts w:ascii="Verdana" w:hAnsi="Verdana" w:cs="Arial"/>
          <w:lang w:val="es-ES_tradnl"/>
        </w:rPr>
        <w:t>.</w:t>
      </w:r>
    </w:p>
    <w:p w14:paraId="3A616223" w14:textId="77777777" w:rsidR="001803E4" w:rsidRPr="00D5685B" w:rsidRDefault="00C649A1" w:rsidP="001803E4">
      <w:pPr>
        <w:spacing w:before="120" w:after="0" w:line="276" w:lineRule="auto"/>
        <w:ind w:firstLine="708"/>
        <w:jc w:val="both"/>
        <w:rPr>
          <w:rFonts w:ascii="Verdana" w:hAnsi="Verdana" w:cs="Arial"/>
        </w:rPr>
      </w:pPr>
      <w:r w:rsidRPr="00D5685B">
        <w:rPr>
          <w:rFonts w:ascii="Verdana" w:hAnsi="Verdana" w:cs="Arial"/>
        </w:rPr>
        <w:t>Sobre el particular</w:t>
      </w:r>
      <w:r w:rsidR="00FC4F91" w:rsidRPr="00D5685B">
        <w:rPr>
          <w:rFonts w:ascii="Verdana" w:hAnsi="Verdana" w:cs="Arial"/>
        </w:rPr>
        <w:t xml:space="preserve">, los literales M) y N) del artículo 2, numeral 4 de la Ley 1150 de 2007 consagran disposiciones que autorizan a las Entidades Estatales a contratar de manera directa con los 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w:t>
      </w:r>
      <w:r w:rsidR="00FC4F91" w:rsidRPr="00D5685B">
        <w:rPr>
          <w:rFonts w:ascii="Verdana" w:hAnsi="Verdana" w:cs="Arial"/>
        </w:rPr>
        <w:lastRenderedPageBreak/>
        <w:t>suponen una excepción a la regla general que impone la selección del contratista a través del adelantamiento de proceso competitivo, estableciendo unas condiciones en atención a las cuales es permitido contratar de manera directa. Esto implica que, conforme ha explicado la jurisprudencia</w:t>
      </w:r>
      <w:r w:rsidR="00FC4F91" w:rsidRPr="00D5685B">
        <w:rPr>
          <w:rStyle w:val="Refdenotaalpie"/>
          <w:rFonts w:ascii="Verdana" w:hAnsi="Verdana" w:cs="Arial"/>
        </w:rPr>
        <w:footnoteReference w:id="4"/>
      </w:r>
      <w:r w:rsidR="00FC4F91" w:rsidRPr="00D5685B">
        <w:rPr>
          <w:rFonts w:ascii="Verdana" w:hAnsi="Verdana" w:cs="Arial"/>
        </w:rPr>
        <w:t xml:space="preserve"> y la doctrina nacional</w:t>
      </w:r>
      <w:r w:rsidR="00FC4F91" w:rsidRPr="00D5685B">
        <w:rPr>
          <w:rStyle w:val="Refdenotaalpie"/>
          <w:rFonts w:ascii="Verdana" w:hAnsi="Verdana" w:cs="Arial"/>
        </w:rPr>
        <w:footnoteReference w:id="5"/>
      </w:r>
      <w:r w:rsidR="00FC4F91" w:rsidRPr="00D5685B">
        <w:rPr>
          <w:rFonts w:ascii="Verdana" w:hAnsi="Verdana" w:cs="Arial"/>
        </w:rPr>
        <w:t xml:space="preserve">, estas son disposiciones de aplicación </w:t>
      </w:r>
      <w:r w:rsidR="00FC4F91" w:rsidRPr="00D5685B">
        <w:rPr>
          <w:rFonts w:ascii="Verdana" w:hAnsi="Verdana" w:cs="Arial"/>
          <w:i/>
          <w:iCs/>
        </w:rPr>
        <w:t>restrictiva</w:t>
      </w:r>
      <w:r w:rsidR="00FC4F91" w:rsidRPr="00D5685B">
        <w:rPr>
          <w:rFonts w:ascii="Verdana" w:hAnsi="Verdana" w:cs="Arial"/>
        </w:rPr>
        <w:t xml:space="preserve"> que permiten que la Entidad Estatal desarrolle una relación contractual producto de un proceso no competitivo, con estricta sujeción a las condiciones o requisitos que estipula la causal.    </w:t>
      </w:r>
    </w:p>
    <w:p w14:paraId="409122F8" w14:textId="77777777" w:rsidR="003A032D" w:rsidRPr="00D5685B" w:rsidRDefault="001803E4" w:rsidP="003A032D">
      <w:pPr>
        <w:spacing w:before="120" w:after="0" w:line="276" w:lineRule="auto"/>
        <w:ind w:firstLine="708"/>
        <w:jc w:val="both"/>
        <w:rPr>
          <w:rFonts w:ascii="Verdana" w:hAnsi="Verdana" w:cs="Arial"/>
        </w:rPr>
      </w:pPr>
      <w:r w:rsidRPr="00D5685B">
        <w:rPr>
          <w:rFonts w:ascii="Verdana" w:hAnsi="Verdana" w:cs="Arial"/>
        </w:rPr>
        <w:t xml:space="preserve">Revisado el texto de las referidas causales se advierte que estas no plantean restricciones en cuanto al tipo o valor de los contratos a los que resultan aplicables, lo que, según el principio general del derecho que reza </w:t>
      </w:r>
      <w:r w:rsidRPr="00D5685B">
        <w:rPr>
          <w:rFonts w:ascii="Verdana" w:hAnsi="Verdana" w:cs="Arial"/>
          <w:i/>
          <w:iCs/>
        </w:rPr>
        <w:t>“allí donde el legislador no distingue no le corresponde al interprete hacerlo”</w:t>
      </w:r>
      <w:r w:rsidRPr="00D5685B">
        <w:rPr>
          <w:rFonts w:ascii="Verdana" w:hAnsi="Verdana" w:cs="Arial"/>
        </w:rPr>
        <w:t xml:space="preserve">, indica que podría las causales pueden ser aplicadas a todo tipo de contratos siempre que se cumplan los requisitos para la contratación directa. Ambas casuales plantean de manera análoga dos tipos de requisitos, unos de naturaleza </w:t>
      </w:r>
      <w:r w:rsidRPr="00D5685B">
        <w:rPr>
          <w:rFonts w:ascii="Verdana" w:hAnsi="Verdana" w:cs="Arial"/>
          <w:i/>
          <w:iCs/>
        </w:rPr>
        <w:t>subjetiva</w:t>
      </w:r>
      <w:r w:rsidRPr="00D5685B">
        <w:rPr>
          <w:rFonts w:ascii="Verdana" w:hAnsi="Verdana" w:cs="Arial"/>
        </w:rPr>
        <w:t xml:space="preserve"> y otros de naturaleza </w:t>
      </w:r>
      <w:r w:rsidRPr="00D5685B">
        <w:rPr>
          <w:rFonts w:ascii="Verdana" w:hAnsi="Verdana" w:cs="Arial"/>
          <w:i/>
          <w:iCs/>
        </w:rPr>
        <w:t>objetiva</w:t>
      </w:r>
      <w:r w:rsidRPr="00D5685B">
        <w:rPr>
          <w:rFonts w:ascii="Verdana" w:hAnsi="Verdana" w:cs="Arial"/>
        </w:rPr>
        <w:t xml:space="preserve">, que vienen restringir la aplicación de estas causales en favor de las finalidades que persiguen y que dieron lugar a su inclusión dentro del EGCAP.  </w:t>
      </w:r>
    </w:p>
    <w:p w14:paraId="461A51DA" w14:textId="5B9A1128" w:rsidR="007627BF" w:rsidRPr="00D5685B" w:rsidRDefault="007627BF" w:rsidP="003A032D">
      <w:pPr>
        <w:spacing w:before="120" w:after="0" w:line="276" w:lineRule="auto"/>
        <w:ind w:firstLine="708"/>
        <w:jc w:val="both"/>
        <w:rPr>
          <w:rFonts w:ascii="Verdana" w:hAnsi="Verdana" w:cs="Arial"/>
        </w:rPr>
      </w:pPr>
      <w:r w:rsidRPr="00D5685B">
        <w:rPr>
          <w:rFonts w:ascii="Verdana" w:hAnsi="Verdana" w:cs="Arial"/>
        </w:rPr>
        <w:t xml:space="preserve">Como requisitos subjetivos, ambas causales establecen unos sujetos específicos respecto de los que procede su aplicación, lo que significa que estas causales solo pueden ser aplicadas en relaciones contractuales que involucren de a los sujetos establecidos en la causal. En el caso del literal M) son los Consejos Comunitarios regulados por la Ley 70 de 1993 los beneficiarios exclusivos de la causal.  Sin perjuicio de la definición incorporada en el numeral 2 del artículo 7 de la Ley 80 de 1993, para dar aplicación a esta disposición se requiere que el </w:t>
      </w:r>
      <w:r w:rsidRPr="00D5685B">
        <w:rPr>
          <w:rFonts w:ascii="Verdana" w:eastAsia="Times New Roman" w:hAnsi="Verdana" w:cs="Arial"/>
          <w:lang w:eastAsia="es-CO"/>
        </w:rPr>
        <w:t xml:space="preserve">consejo comunitario con el que se contrata haya sido incorporado por el Ministerio del Interior en el correspondiente Registro Público Único </w:t>
      </w:r>
      <w:r w:rsidRPr="00D5685B">
        <w:rPr>
          <w:rFonts w:ascii="Verdana" w:eastAsia="Times New Roman" w:hAnsi="Verdana" w:cs="Arial"/>
          <w:lang w:eastAsia="es-CO"/>
        </w:rPr>
        <w:lastRenderedPageBreak/>
        <w:t>Nacional y que haya cumplido con el deber de actualización de información en el mismo registro, de conformidad con lo previsto en el Capítulo 5, del Título 1, de la Parte 5, del Libro 2 del Decreto 1066 de 2015, sustituido y adicionado por el Decreto 1640 de 2020. En ese sentido, para contratar de manera directa al amparo de esta causal no basta con que el con el Consejo Comunitario haya cumplido con el deber de inscripción, sino que es necesario constatar que haya cumplido con el deber de actualización de la información contenida en el mencionado registro establecido en el artículo 2.5.1.5.6 del Decreto 1066 de 2015</w:t>
      </w:r>
      <w:r w:rsidRPr="00D5685B">
        <w:rPr>
          <w:rStyle w:val="Refdenotaalpie"/>
          <w:rFonts w:ascii="Verdana" w:eastAsia="Times New Roman" w:hAnsi="Verdana" w:cs="Arial"/>
          <w:lang w:eastAsia="es-CO"/>
        </w:rPr>
        <w:footnoteReference w:id="6"/>
      </w:r>
      <w:r w:rsidRPr="00D5685B">
        <w:rPr>
          <w:rFonts w:ascii="Verdana" w:eastAsia="Times New Roman" w:hAnsi="Verdana" w:cs="Arial"/>
          <w:lang w:eastAsia="es-CO"/>
        </w:rPr>
        <w:t xml:space="preserve">. </w:t>
      </w:r>
    </w:p>
    <w:p w14:paraId="5DABF81E" w14:textId="77777777" w:rsidR="00C90943" w:rsidRPr="00D5685B" w:rsidRDefault="00C90943" w:rsidP="00C90943">
      <w:pPr>
        <w:shd w:val="clear" w:color="auto" w:fill="FFFFFF"/>
        <w:spacing w:line="276" w:lineRule="auto"/>
        <w:ind w:firstLine="708"/>
        <w:jc w:val="both"/>
        <w:rPr>
          <w:rFonts w:ascii="Verdana" w:hAnsi="Verdana" w:cs="Arial"/>
        </w:rPr>
      </w:pPr>
      <w:r w:rsidRPr="00D5685B">
        <w:rPr>
          <w:rFonts w:ascii="Verdana" w:hAnsi="Verdana" w:cs="Arial"/>
        </w:rPr>
        <w:t xml:space="preserve">En el literal N) el elemento subjetivo viene dado por el hecho de que la norma contempla su aplicación respecto de las organizaciones de base de personas pertenecientes a comunidades afrocolombianas, raizales y palenqueras –definidas en el numeral 4 del artículo 7 de la Ley 80 de 1993– o con las demás formas y expresiones organizativas –según lo dispuesto en numeral 3 del artículo 7 </w:t>
      </w:r>
      <w:r w:rsidRPr="00D5685B">
        <w:rPr>
          <w:rFonts w:ascii="Verdana" w:hAnsi="Verdana" w:cs="Arial"/>
          <w:i/>
          <w:iCs/>
        </w:rPr>
        <w:t>ibídem</w:t>
      </w:r>
      <w:r w:rsidRPr="00D5685B">
        <w:rPr>
          <w:rFonts w:ascii="Verdana" w:hAnsi="Verdana" w:cs="Arial"/>
        </w:rPr>
        <w:t xml:space="preserve">–. Respecto de estas organizaciones, de manera similar a lo explicado en el párrafo anterior, también se exige que hayan sido incorporadas en Registro Público Único Nacional y que hayan cumplido con el deber de actualización, pero además se exige una antigüedad. Esto implica que, para la aplicación de la causal no basta con que la organización de base o forma organizativa se haya inscrito y actualizado el registro, sino que además debe acreditar que se ha registrado hace por lo menos diez (10) años, que es el plazo estipulado en la norma. </w:t>
      </w:r>
    </w:p>
    <w:p w14:paraId="14D051E7" w14:textId="77777777" w:rsidR="00593136" w:rsidRPr="00D5685B" w:rsidRDefault="00593136" w:rsidP="00593136">
      <w:pPr>
        <w:shd w:val="clear" w:color="auto" w:fill="FFFFFF" w:themeFill="background1"/>
        <w:spacing w:line="276" w:lineRule="auto"/>
        <w:ind w:firstLine="708"/>
        <w:jc w:val="both"/>
        <w:rPr>
          <w:rFonts w:ascii="Verdana" w:hAnsi="Verdana" w:cs="Arial"/>
          <w:color w:val="000000"/>
        </w:rPr>
      </w:pPr>
      <w:r w:rsidRPr="00D5685B">
        <w:rPr>
          <w:rFonts w:ascii="Verdana" w:hAnsi="Verdana" w:cs="Arial"/>
        </w:rPr>
        <w:t xml:space="preserve">Por otra parte, en cuanto al elemento objetivo, la causal del literal M) exige que el objeto contractual </w:t>
      </w:r>
      <w:r w:rsidRPr="00D5685B">
        <w:rPr>
          <w:rFonts w:ascii="Verdana" w:hAnsi="Verdana" w:cs="Arial"/>
          <w:color w:val="000000" w:themeColor="text1"/>
        </w:rPr>
        <w:t xml:space="preserve"> esté relacionado con el </w:t>
      </w:r>
      <w:r w:rsidRPr="00D5685B">
        <w:rPr>
          <w:rFonts w:ascii="Verdana" w:hAnsi="Verdana" w:cs="Arial"/>
          <w:i/>
          <w:iCs/>
          <w:color w:val="000000" w:themeColor="text1"/>
        </w:rPr>
        <w:t>fortalecimiento del gobierno propio</w:t>
      </w:r>
      <w:r w:rsidRPr="00D5685B">
        <w:rPr>
          <w:rFonts w:ascii="Verdana" w:hAnsi="Verdana" w:cs="Arial"/>
          <w:color w:val="000000" w:themeColor="text1"/>
        </w:rPr>
        <w:t xml:space="preserve">, la </w:t>
      </w:r>
      <w:r w:rsidRPr="00D5685B">
        <w:rPr>
          <w:rFonts w:ascii="Verdana" w:hAnsi="Verdana" w:cs="Arial"/>
          <w:i/>
          <w:iCs/>
          <w:color w:val="000000" w:themeColor="text1"/>
        </w:rPr>
        <w:t>identidad étnica y cultural</w:t>
      </w:r>
      <w:r w:rsidRPr="00D5685B">
        <w:rPr>
          <w:rFonts w:ascii="Verdana" w:hAnsi="Verdana" w:cs="Arial"/>
          <w:color w:val="000000" w:themeColor="text1"/>
        </w:rPr>
        <w:t xml:space="preserve">, el ejercicio de la autonomía, y/o la garantía </w:t>
      </w:r>
      <w:r w:rsidRPr="00D5685B">
        <w:rPr>
          <w:rFonts w:ascii="Verdana" w:hAnsi="Verdana" w:cs="Arial"/>
          <w:i/>
          <w:iCs/>
          <w:color w:val="000000" w:themeColor="text1"/>
        </w:rPr>
        <w:t>de los derechos de los pueblos de las mismas comunidades</w:t>
      </w:r>
      <w:r w:rsidRPr="00D5685B">
        <w:rPr>
          <w:rFonts w:ascii="Verdana" w:hAnsi="Verdana" w:cs="Arial"/>
          <w:color w:val="000000" w:themeColor="text1"/>
        </w:rPr>
        <w:t xml:space="preserve">, mientras que el literal N) requiere que el objeto  esté asociado al </w:t>
      </w:r>
      <w:r w:rsidRPr="00D5685B">
        <w:rPr>
          <w:rFonts w:ascii="Verdana" w:hAnsi="Verdana" w:cs="Arial"/>
          <w:i/>
          <w:iCs/>
          <w:color w:val="000000" w:themeColor="text1"/>
        </w:rPr>
        <w:t xml:space="preserve">fortalecimiento de sus </w:t>
      </w:r>
      <w:r w:rsidRPr="00D5685B">
        <w:rPr>
          <w:rFonts w:ascii="Verdana" w:hAnsi="Verdana" w:cs="Arial"/>
          <w:i/>
          <w:iCs/>
          <w:color w:val="000000" w:themeColor="text1"/>
        </w:rPr>
        <w:lastRenderedPageBreak/>
        <w:t>organizaciones</w:t>
      </w:r>
      <w:r w:rsidRPr="00D5685B">
        <w:rPr>
          <w:rFonts w:ascii="Verdana" w:hAnsi="Verdana" w:cs="Arial"/>
          <w:color w:val="000000" w:themeColor="text1"/>
        </w:rPr>
        <w:t xml:space="preserve">, la </w:t>
      </w:r>
      <w:r w:rsidRPr="00D5685B">
        <w:rPr>
          <w:rFonts w:ascii="Verdana" w:hAnsi="Verdana" w:cs="Arial"/>
          <w:i/>
          <w:iCs/>
          <w:color w:val="000000" w:themeColor="text1"/>
        </w:rPr>
        <w:t>identidad étnica y cultural</w:t>
      </w:r>
      <w:r w:rsidRPr="00D5685B">
        <w:rPr>
          <w:rFonts w:ascii="Verdana" w:hAnsi="Verdana" w:cs="Arial"/>
          <w:color w:val="000000" w:themeColor="text1"/>
        </w:rPr>
        <w:t xml:space="preserve">, y/o la </w:t>
      </w:r>
      <w:r w:rsidRPr="00D5685B">
        <w:rPr>
          <w:rFonts w:ascii="Verdana" w:hAnsi="Verdana" w:cs="Arial"/>
          <w:i/>
          <w:iCs/>
          <w:color w:val="000000" w:themeColor="text1"/>
        </w:rPr>
        <w:t>garantía de los derechos de las poblaciones de las mismas organizaciones</w:t>
      </w:r>
      <w:r w:rsidRPr="00D5685B">
        <w:rPr>
          <w:rFonts w:ascii="Verdana" w:hAnsi="Verdana" w:cs="Arial"/>
          <w:color w:val="000000" w:themeColor="text1"/>
        </w:rPr>
        <w:t xml:space="preserve">. En ese sentido, ambas causales coinciden en las finalidades que persiguen en cuanto al fortalecimiento de los entes representativos, la protección de la identidad étnica cultural y la garantía de los derechos de las personas pertenecientes a comunidades negras, afrodescendientes, raizales o palenqueras. Al incluir estas finalidades en esta disposición normativa, el legislador acotó el ámbito de las causales restringiendo su aplicación a aquellos que tengan una relación con determinados elementos culturales y prestacionales que encuentran su fundamento dentro de la protección jurídica particular de la que son objeto los pueblos étnicos.     </w:t>
      </w:r>
    </w:p>
    <w:p w14:paraId="1E77D65B" w14:textId="77777777" w:rsidR="007B527F" w:rsidRPr="00D5685B" w:rsidRDefault="00EE4872" w:rsidP="007B527F">
      <w:pPr>
        <w:spacing w:after="120" w:line="276" w:lineRule="auto"/>
        <w:ind w:right="49"/>
        <w:jc w:val="both"/>
        <w:rPr>
          <w:rFonts w:ascii="Verdana" w:eastAsia="Calibri" w:hAnsi="Verdana" w:cs="Arial"/>
        </w:rPr>
      </w:pPr>
      <w:r w:rsidRPr="00D5685B">
        <w:rPr>
          <w:rFonts w:ascii="Verdana" w:eastAsia="Calibri" w:hAnsi="Verdana" w:cs="Arial"/>
        </w:rPr>
        <w:tab/>
        <w:t xml:space="preserve">Conforme a lo anterior, la implementación de las causales M) y N) del artículo 2, numeral 4 de la Ley 1150 de 2007 está determinada por los requisitos que aquí se han precisado. </w:t>
      </w:r>
      <w:bookmarkStart w:id="1" w:name="_Hlk159334155"/>
      <w:r w:rsidRPr="00D5685B">
        <w:rPr>
          <w:rFonts w:ascii="Verdana" w:eastAsia="Calibri" w:hAnsi="Verdana" w:cs="Arial"/>
        </w:rPr>
        <w:t xml:space="preserve">De esta manera, la aplicación adecuada de la primera causal exige que el eventual contratista acredite la calidad de Consejo Comunitario, así como las actuaciones tendientes a su inscripción y actualización en el Registro Único de la Dirección de Asuntos para Comunidades Negras, Afrocolombianas, Raizales y Palenqueras del Ministerio del Interior.  Del mismo modo, para acreditar que el requisito subjetivo de la otra causal se requiere que la Organización de Base o Forma Organizativa, demuestre haberse inscrito hace por lo menos diez (10) años en aludido registro, habiendo cumplido con el deber de actualización. Cumplidos estos requisitos, para validar la correcta aplicación de las causales las Entidades Estatales deberán cerciorarse de que, el objeto contractual está relacionado con el fortalecimiento del gobierno propio–u organizativo–, la identidad étnica y cultural, la autonomía o los derechos de las personas pertenecientes a las comunidades y/o organizaciones de la comunidad negra, afrodescendiente, raizal y/o palenquera.    </w:t>
      </w:r>
      <w:bookmarkEnd w:id="1"/>
    </w:p>
    <w:p w14:paraId="1442E117" w14:textId="474AF2F2" w:rsidR="007B527F" w:rsidRPr="00D5685B" w:rsidRDefault="007B527F" w:rsidP="007B527F">
      <w:pPr>
        <w:spacing w:after="120" w:line="276" w:lineRule="auto"/>
        <w:ind w:right="49" w:firstLine="708"/>
        <w:jc w:val="both"/>
        <w:rPr>
          <w:rFonts w:ascii="Verdana" w:eastAsia="Calibri" w:hAnsi="Verdana" w:cs="Arial"/>
        </w:rPr>
      </w:pPr>
      <w:r w:rsidRPr="00D5685B">
        <w:rPr>
          <w:rFonts w:ascii="Verdana" w:eastAsia="Calibri" w:hAnsi="Verdana" w:cs="Arial"/>
        </w:rPr>
        <w:t xml:space="preserve">Expuesto lo anterior, y para proceder a brindar respuesta a la consulta elevada debe indicarse que de conformidad con lo dispuesto en el artículo 6 de la ley 80 de 1993, modificado por la ley 2160 de 2021, </w:t>
      </w:r>
      <w:r w:rsidRPr="00D5685B">
        <w:rPr>
          <w:rFonts w:ascii="Verdana" w:eastAsia="Calibri" w:hAnsi="Verdana" w:cs="Arial"/>
          <w:lang w:val="es-ES"/>
        </w:rPr>
        <w:t xml:space="preserve">que regula la capacidad jurídica en el Estatuto General de Contratación de la Administración Pública, en efecto </w:t>
      </w:r>
      <w:r w:rsidRPr="00D5685B">
        <w:rPr>
          <w:rFonts w:ascii="Verdana" w:eastAsia="Calibri" w:hAnsi="Verdana" w:cs="Arial"/>
        </w:rPr>
        <w:t>cuentan con capacidad para contratar las organizaciones de base de comunidades negras, afrocolombianas, raizales y palenqueras y las demás formas y expresiones organizativas.</w:t>
      </w:r>
    </w:p>
    <w:p w14:paraId="64C1F0B1" w14:textId="77777777" w:rsidR="007B527F" w:rsidRPr="00D5685B" w:rsidRDefault="007B527F" w:rsidP="00BB4AD1">
      <w:pPr>
        <w:pBdr>
          <w:top w:val="nil"/>
          <w:left w:val="nil"/>
          <w:bottom w:val="nil"/>
          <w:right w:val="nil"/>
          <w:between w:val="nil"/>
        </w:pBdr>
        <w:spacing w:after="120" w:line="276" w:lineRule="auto"/>
        <w:ind w:firstLine="708"/>
        <w:jc w:val="both"/>
        <w:rPr>
          <w:rFonts w:ascii="Verdana" w:eastAsia="Calibri" w:hAnsi="Verdana" w:cs="Arial"/>
        </w:rPr>
      </w:pPr>
      <w:r w:rsidRPr="00D5685B">
        <w:rPr>
          <w:rFonts w:ascii="Verdana" w:eastAsia="Calibri" w:hAnsi="Verdana" w:cs="Arial"/>
        </w:rPr>
        <w:t xml:space="preserve">Frente a estas últimas, resulta necesario remitirse a la definición del artículo 7 de la ley 80 de 1993, adicionado por la ley 2160 de 2021, en el que se establece de manera expresa que las formas y expresiones organizativas </w:t>
      </w:r>
      <w:r w:rsidRPr="00D5685B">
        <w:rPr>
          <w:rFonts w:ascii="Verdana" w:eastAsia="Century Gothic" w:hAnsi="Verdana" w:cs="Century Gothic"/>
          <w:i/>
          <w:iCs/>
          <w:sz w:val="20"/>
          <w:szCs w:val="20"/>
          <w:lang w:val="es-ES"/>
        </w:rPr>
        <w:t xml:space="preserve">“[…] </w:t>
      </w:r>
      <w:r w:rsidRPr="00D5685B">
        <w:rPr>
          <w:rFonts w:ascii="Verdana" w:eastAsia="Calibri" w:hAnsi="Verdana" w:cs="Arial"/>
          <w:i/>
          <w:iCs/>
        </w:rPr>
        <w:lastRenderedPageBreak/>
        <w:t xml:space="preserve">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 </w:t>
      </w:r>
      <w:r w:rsidRPr="00D5685B">
        <w:rPr>
          <w:rFonts w:ascii="Verdana" w:eastAsia="Century Gothic" w:hAnsi="Verdana" w:cs="Century Gothic"/>
          <w:i/>
          <w:iCs/>
          <w:sz w:val="20"/>
          <w:szCs w:val="20"/>
          <w:lang w:val="es-ES"/>
        </w:rPr>
        <w:t>[…]”</w:t>
      </w:r>
    </w:p>
    <w:p w14:paraId="7F3B9F1F" w14:textId="77777777" w:rsidR="007B527F" w:rsidRPr="00D5685B" w:rsidRDefault="007B527F" w:rsidP="00BB4AD1">
      <w:pPr>
        <w:pBdr>
          <w:top w:val="nil"/>
          <w:left w:val="nil"/>
          <w:bottom w:val="nil"/>
          <w:right w:val="nil"/>
          <w:between w:val="nil"/>
        </w:pBdr>
        <w:spacing w:after="120" w:line="276" w:lineRule="auto"/>
        <w:ind w:firstLine="708"/>
        <w:jc w:val="both"/>
        <w:rPr>
          <w:rFonts w:ascii="Verdana" w:eastAsia="Calibri" w:hAnsi="Verdana" w:cs="Arial"/>
        </w:rPr>
      </w:pPr>
      <w:r w:rsidRPr="00D5685B">
        <w:rPr>
          <w:rFonts w:ascii="Verdana" w:eastAsia="Calibri" w:hAnsi="Verdana" w:cs="Arial"/>
        </w:rPr>
        <w:t xml:space="preserve">Expuesto lo anterior, se observa por un lado que, el </w:t>
      </w:r>
      <w:r w:rsidRPr="00D5685B">
        <w:rPr>
          <w:rFonts w:ascii="Verdana" w:eastAsia="Calibri" w:hAnsi="Verdana" w:cs="Arial"/>
          <w:lang w:val="es-ES"/>
        </w:rPr>
        <w:t xml:space="preserve">Estatuto General de Contratación de la Administración Pública, no cuenta con disposiciones que regulen la capacidad jurídica de las </w:t>
      </w:r>
      <w:r w:rsidRPr="00D5685B">
        <w:rPr>
          <w:rFonts w:ascii="Verdana" w:eastAsia="Century Gothic" w:hAnsi="Verdana" w:cs="Century Gothic"/>
        </w:rPr>
        <w:t xml:space="preserve">Kumpania (Kumpañy en plural) y/u organizaciones del pueblo Rrom o Gitano para celebrar contratos con Entidades Estatales; y por otro, teniendo en cuenta la definición prevista en el artículo 7 de la ley 80 de 1993, no puede equipararse o hacerse extensible la denominación de </w:t>
      </w:r>
      <w:r w:rsidRPr="00D5685B">
        <w:rPr>
          <w:rFonts w:ascii="Verdana" w:eastAsia="Century Gothic" w:hAnsi="Verdana" w:cs="Century Gothic"/>
          <w:i/>
          <w:iCs/>
          <w:sz w:val="20"/>
          <w:szCs w:val="20"/>
          <w:lang w:val="es-ES"/>
        </w:rPr>
        <w:t xml:space="preserve">“[…] </w:t>
      </w:r>
      <w:r w:rsidRPr="00D5685B">
        <w:rPr>
          <w:rFonts w:ascii="Verdana" w:eastAsia="Calibri" w:hAnsi="Verdana" w:cs="Arial"/>
        </w:rPr>
        <w:t xml:space="preserve">demás formas y expresiones organizativas </w:t>
      </w:r>
      <w:r w:rsidRPr="00D5685B">
        <w:rPr>
          <w:rFonts w:ascii="Verdana" w:eastAsia="Century Gothic" w:hAnsi="Verdana" w:cs="Century Gothic"/>
          <w:i/>
          <w:iCs/>
          <w:sz w:val="20"/>
          <w:szCs w:val="20"/>
          <w:lang w:val="es-ES"/>
        </w:rPr>
        <w:t>[…]”</w:t>
      </w:r>
      <w:r w:rsidRPr="00D5685B">
        <w:rPr>
          <w:rFonts w:ascii="Verdana" w:eastAsia="Calibri" w:hAnsi="Verdana" w:cs="Arial"/>
        </w:rPr>
        <w:t xml:space="preserve"> a las organizaciones del Pueblo Rrom. </w:t>
      </w:r>
    </w:p>
    <w:p w14:paraId="7A67193E" w14:textId="2D546CE3" w:rsidR="00C90943" w:rsidRPr="00D5685B" w:rsidRDefault="007B527F" w:rsidP="007B527F">
      <w:pPr>
        <w:spacing w:before="120" w:after="0" w:line="276" w:lineRule="auto"/>
        <w:ind w:firstLine="708"/>
        <w:jc w:val="both"/>
        <w:rPr>
          <w:rFonts w:ascii="Verdana" w:eastAsia="Calibri" w:hAnsi="Verdana" w:cs="Arial"/>
        </w:rPr>
      </w:pPr>
      <w:r w:rsidRPr="00D5685B">
        <w:rPr>
          <w:rFonts w:ascii="Verdana" w:eastAsia="Calibri" w:hAnsi="Verdana" w:cs="Arial"/>
        </w:rPr>
        <w:t>En ese orden, el pueblo Rrom no se asemeja a los pueblos indígenas o a las comunidades afrodescendientes, raizales y palenqueras, y en razón a ello, no se encuentran habilitados para suscribir negocios jurídicos bajo las disposiciones previstas en ley 2160 de 2021, que como se indicó en el presente concepto tienen incidencia en la modalidad de selección directa. Sin perjuicio de lo expuesto, los integrantes del Pueblo Rrom tienen la oportunidad de participar en los procesos de contratación competitivos a través de las reglas generales de la contratación pública y podrán como personas naturales, jurídicas o proponentes plurales.</w:t>
      </w:r>
    </w:p>
    <w:p w14:paraId="05C111FF" w14:textId="77777777" w:rsidR="00ED7DB2" w:rsidRPr="00D5685B" w:rsidRDefault="00ED7DB2" w:rsidP="00ED7DB2">
      <w:pPr>
        <w:spacing w:after="0" w:line="276" w:lineRule="auto"/>
        <w:jc w:val="both"/>
        <w:rPr>
          <w:rFonts w:ascii="Verdana" w:eastAsia="Calibri" w:hAnsi="Verdana" w:cs="Arial"/>
          <w:lang w:val="es-ES"/>
        </w:rPr>
      </w:pPr>
    </w:p>
    <w:p w14:paraId="0C5B1C94" w14:textId="77777777" w:rsidR="00B06C94" w:rsidRPr="00D5685B" w:rsidRDefault="00B06C94" w:rsidP="00B06C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5685B">
        <w:rPr>
          <w:rFonts w:ascii="Verdana" w:eastAsia="Century Gothic" w:hAnsi="Verdana" w:cs="Century Gothic"/>
          <w:b/>
          <w:bCs/>
        </w:rPr>
        <w:t>Referencias normativas, jurisprudenciales y otras fuentes:</w:t>
      </w:r>
    </w:p>
    <w:p w14:paraId="1E6402E7" w14:textId="77777777" w:rsidR="00B06C94" w:rsidRPr="00D5685B" w:rsidRDefault="00B06C94" w:rsidP="00B06C9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6C94" w:rsidRPr="00D5685B" w14:paraId="7E8AE0D4" w14:textId="77777777" w:rsidTr="00606290">
        <w:trPr>
          <w:trHeight w:val="70"/>
        </w:trPr>
        <w:tc>
          <w:tcPr>
            <w:tcW w:w="8647" w:type="dxa"/>
          </w:tcPr>
          <w:p w14:paraId="7DD0270A" w14:textId="77777777" w:rsidR="00B06C94" w:rsidRPr="00D5685B" w:rsidRDefault="00B06C94" w:rsidP="00DA32CA">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5685B">
              <w:rPr>
                <w:rFonts w:ascii="Verdana" w:hAnsi="Verdana" w:cs="Arial"/>
                <w:lang w:val="es-CO"/>
              </w:rPr>
              <w:t>Convenio No. 169 de 1989.</w:t>
            </w:r>
          </w:p>
          <w:p w14:paraId="3576A3A5" w14:textId="77777777" w:rsidR="00B06C94" w:rsidRPr="00D5685B" w:rsidRDefault="00B06C94" w:rsidP="00DA32CA">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5685B">
              <w:rPr>
                <w:rFonts w:ascii="Verdana" w:hAnsi="Verdana" w:cs="Arial"/>
                <w:lang w:val="es-CO"/>
              </w:rPr>
              <w:t>Ley 21 de 1991.</w:t>
            </w:r>
          </w:p>
          <w:p w14:paraId="2370B1E8" w14:textId="2CF31CCE" w:rsidR="00B06C94" w:rsidRPr="00D5685B" w:rsidRDefault="00B06C94" w:rsidP="00DA32CA">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5685B">
              <w:rPr>
                <w:rFonts w:ascii="Verdana" w:hAnsi="Verdana" w:cs="Arial"/>
                <w:lang w:val="es-CO"/>
              </w:rPr>
              <w:t>Constitución Política de 1991</w:t>
            </w:r>
            <w:r w:rsidR="00DE375B">
              <w:rPr>
                <w:rFonts w:ascii="Verdana" w:hAnsi="Verdana" w:cs="Arial"/>
                <w:lang w:val="es-CO"/>
              </w:rPr>
              <w:t>.</w:t>
            </w:r>
            <w:r w:rsidRPr="00D5685B">
              <w:rPr>
                <w:rFonts w:ascii="Verdana" w:hAnsi="Verdana" w:cs="Arial"/>
                <w:lang w:val="es-CO"/>
              </w:rPr>
              <w:t xml:space="preserve"> Artículo</w:t>
            </w:r>
            <w:r w:rsidR="00D5685B" w:rsidRPr="00D5685B">
              <w:rPr>
                <w:rFonts w:ascii="Verdana" w:hAnsi="Verdana" w:cs="Arial"/>
                <w:lang w:val="es-CO"/>
              </w:rPr>
              <w:t xml:space="preserve"> </w:t>
            </w:r>
            <w:r w:rsidRPr="00D5685B">
              <w:rPr>
                <w:rFonts w:ascii="Verdana" w:hAnsi="Verdana" w:cs="Arial"/>
                <w:lang w:val="es-CO"/>
              </w:rPr>
              <w:t>93</w:t>
            </w:r>
            <w:r w:rsidR="00D5685B" w:rsidRPr="00D5685B">
              <w:rPr>
                <w:rFonts w:ascii="Verdana" w:hAnsi="Verdana" w:cs="Arial"/>
                <w:lang w:val="es-CO"/>
              </w:rPr>
              <w:t>.</w:t>
            </w:r>
          </w:p>
          <w:p w14:paraId="6B3D5FF1" w14:textId="7517CD39" w:rsidR="003F3589" w:rsidRPr="00D5685B" w:rsidRDefault="003F3589" w:rsidP="00DA32CA">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5685B">
              <w:rPr>
                <w:rFonts w:ascii="Verdana" w:eastAsia="Calibri" w:hAnsi="Verdana" w:cs="Arial"/>
              </w:rPr>
              <w:t>Decreto reglamentario 2957 de 2010</w:t>
            </w:r>
            <w:r w:rsidR="00D5685B" w:rsidRPr="00D5685B">
              <w:rPr>
                <w:rFonts w:ascii="Verdana" w:eastAsia="Calibri" w:hAnsi="Verdana" w:cs="Arial"/>
              </w:rPr>
              <w:t>.</w:t>
            </w:r>
          </w:p>
          <w:p w14:paraId="1DFC31EB" w14:textId="2D290483" w:rsidR="00C62353" w:rsidRPr="00D5685B" w:rsidRDefault="00C62353" w:rsidP="00DA32CA">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5685B">
              <w:rPr>
                <w:rFonts w:ascii="Verdana" w:eastAsia="Calibri" w:hAnsi="Verdana" w:cs="Arial"/>
              </w:rPr>
              <w:t>Ley 80 de 1993. Artículos 6, 7</w:t>
            </w:r>
            <w:r w:rsidR="00D5685B" w:rsidRPr="00D5685B">
              <w:rPr>
                <w:rFonts w:ascii="Verdana" w:eastAsia="Calibri" w:hAnsi="Verdana" w:cs="Arial"/>
              </w:rPr>
              <w:t>.</w:t>
            </w:r>
          </w:p>
          <w:p w14:paraId="6735CB9E" w14:textId="79CBA5D8" w:rsidR="00C62353" w:rsidRPr="00D5685B" w:rsidRDefault="00095042" w:rsidP="00DA32CA">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5685B">
              <w:rPr>
                <w:rFonts w:ascii="Verdana" w:eastAsia="Calibri" w:hAnsi="Verdana" w:cs="Arial"/>
              </w:rPr>
              <w:t>Ley 1150 de 2007. Artículo 2</w:t>
            </w:r>
            <w:r w:rsidR="00181BD6">
              <w:rPr>
                <w:rFonts w:ascii="Verdana" w:hAnsi="Verdana" w:cs="Arial"/>
                <w:lang w:val="es-ES_tradnl"/>
              </w:rPr>
              <w:t>. L</w:t>
            </w:r>
            <w:r w:rsidRPr="00D5685B">
              <w:rPr>
                <w:rFonts w:ascii="Verdana" w:hAnsi="Verdana" w:cs="Arial"/>
                <w:lang w:val="es-ES_tradnl"/>
              </w:rPr>
              <w:t>iterales M y N al numeral 4.</w:t>
            </w:r>
          </w:p>
          <w:p w14:paraId="61AD6E30" w14:textId="199ED25C" w:rsidR="00B06C94" w:rsidRPr="00D5685B" w:rsidRDefault="00B06C94" w:rsidP="00DA32CA">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5685B">
              <w:rPr>
                <w:rFonts w:ascii="Verdana" w:hAnsi="Verdana" w:cs="Arial"/>
              </w:rPr>
              <w:t>Ley 2160 de 2021</w:t>
            </w:r>
            <w:r w:rsidR="00D5685B" w:rsidRPr="00D5685B">
              <w:rPr>
                <w:rFonts w:ascii="Verdana" w:hAnsi="Verdana" w:cs="Arial"/>
              </w:rPr>
              <w:t>.</w:t>
            </w:r>
          </w:p>
          <w:p w14:paraId="20807B58" w14:textId="7CF8D2CF" w:rsidR="00606290" w:rsidRPr="00D5685B" w:rsidRDefault="00606290" w:rsidP="00DA32CA">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5685B">
              <w:rPr>
                <w:rFonts w:ascii="Verdana" w:hAnsi="Verdana" w:cs="Arial"/>
              </w:rPr>
              <w:lastRenderedPageBreak/>
              <w:t>Decreto 1066 de 2015. Artículo 2.5.1.5.6</w:t>
            </w:r>
            <w:r w:rsidR="00D5685B" w:rsidRPr="00D5685B">
              <w:rPr>
                <w:rFonts w:ascii="Verdana" w:hAnsi="Verdana" w:cs="Arial"/>
              </w:rPr>
              <w:t>.</w:t>
            </w:r>
          </w:p>
          <w:p w14:paraId="613FF01F" w14:textId="76882E23" w:rsidR="00C07DFB" w:rsidRPr="00D5685B" w:rsidRDefault="00EA3AD9" w:rsidP="00C07DF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5685B">
              <w:rPr>
                <w:rStyle w:val="Hipervnculo"/>
                <w:rFonts w:ascii="Verdana" w:hAnsi="Verdana"/>
                <w:color w:val="auto"/>
                <w:u w:val="none"/>
              </w:rPr>
              <w:t>CONSEJO DE ESTADO. Sección Tercera, Auto del 16 de marzo de 2006. Exp. No. 29.393, C.P. Ruth Stella Correa Palacio.</w:t>
            </w:r>
          </w:p>
          <w:p w14:paraId="1872AFEB" w14:textId="130FEADF" w:rsidR="00C07DFB" w:rsidRPr="00D5685B" w:rsidRDefault="00C07DFB" w:rsidP="00C07DF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5685B">
              <w:rPr>
                <w:rFonts w:ascii="Verdana" w:eastAsia="Calibri" w:hAnsi="Verdana" w:cs="Arial"/>
              </w:rPr>
              <w:t>C</w:t>
            </w:r>
            <w:r w:rsidRPr="00D5685B">
              <w:rPr>
                <w:rFonts w:ascii="Verdana" w:hAnsi="Verdana"/>
              </w:rPr>
              <w:t>ORTE CONSTITUCIONAL</w:t>
            </w:r>
            <w:r w:rsidR="00EA3AD9" w:rsidRPr="00D5685B">
              <w:rPr>
                <w:rFonts w:ascii="Verdana" w:hAnsi="Verdana"/>
              </w:rPr>
              <w:t xml:space="preserve">. </w:t>
            </w:r>
            <w:r w:rsidRPr="00D5685B">
              <w:rPr>
                <w:rFonts w:ascii="Verdana" w:eastAsia="Calibri" w:hAnsi="Verdana" w:cs="Arial"/>
                <w:lang w:val="es-ES_tradnl"/>
              </w:rPr>
              <w:t>Sentencia T-026 del 23 de enero del 2015, M.P. Luis Guillermo Guerrero Pérez.</w:t>
            </w:r>
          </w:p>
          <w:p w14:paraId="4822EA7F" w14:textId="77777777" w:rsidR="00B06C94" w:rsidRPr="00D5685B" w:rsidRDefault="00B06C94" w:rsidP="00DA32CA">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5685B">
              <w:rPr>
                <w:rFonts w:ascii="Verdana" w:eastAsia="Calibri" w:hAnsi="Verdana" w:cs="Arial"/>
              </w:rPr>
              <w:t xml:space="preserve">Cartilla para incentivar y fortalecer el acceso a las compras y contratación pública de los Pueblos y comunidades étnicas en Colombia. Disponible en: </w:t>
            </w:r>
            <w:hyperlink r:id="rId12" w:history="1">
              <w:r w:rsidRPr="00D5685B">
                <w:rPr>
                  <w:rStyle w:val="Hipervnculo"/>
                  <w:rFonts w:ascii="Verdana" w:eastAsia="Calibri" w:hAnsi="Verdana" w:cs="Arial"/>
                </w:rPr>
                <w:t>Cartilla para incentivar y fortalecer el acceso a las compras y contratación pública de los Pueblos y comunidades étnicas en Colombia</w:t>
              </w:r>
            </w:hyperlink>
          </w:p>
        </w:tc>
      </w:tr>
    </w:tbl>
    <w:p w14:paraId="30E01BEE" w14:textId="77777777" w:rsidR="00B06C94" w:rsidRPr="00D5685B" w:rsidRDefault="00B06C94" w:rsidP="00B06C94">
      <w:pPr>
        <w:widowControl w:val="0"/>
        <w:autoSpaceDE w:val="0"/>
        <w:autoSpaceDN w:val="0"/>
        <w:spacing w:after="0" w:line="276" w:lineRule="auto"/>
        <w:jc w:val="both"/>
        <w:rPr>
          <w:rFonts w:ascii="Verdana" w:hAnsi="Verdana" w:cs="Arial"/>
        </w:rPr>
      </w:pPr>
    </w:p>
    <w:p w14:paraId="209C3721" w14:textId="77777777" w:rsidR="00B06C94" w:rsidRPr="00D5685B" w:rsidRDefault="00B06C94" w:rsidP="00B06C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5685B">
        <w:rPr>
          <w:rFonts w:ascii="Verdana" w:eastAsia="Century Gothic" w:hAnsi="Verdana" w:cs="Century Gothic"/>
          <w:b/>
          <w:bCs/>
        </w:rPr>
        <w:t>Doctrina de la Agencia Nacional de Contratación Pública:</w:t>
      </w:r>
    </w:p>
    <w:p w14:paraId="23FBB346" w14:textId="77777777" w:rsidR="00B06C94" w:rsidRPr="00D5685B" w:rsidRDefault="00B06C94" w:rsidP="00B06C94">
      <w:pPr>
        <w:widowControl w:val="0"/>
        <w:autoSpaceDE w:val="0"/>
        <w:autoSpaceDN w:val="0"/>
        <w:spacing w:after="0" w:line="276" w:lineRule="auto"/>
        <w:jc w:val="both"/>
        <w:rPr>
          <w:rFonts w:ascii="Verdana" w:hAnsi="Verdana" w:cs="Arial"/>
        </w:rPr>
      </w:pPr>
    </w:p>
    <w:p w14:paraId="0A194672" w14:textId="06ED7F59" w:rsidR="00B06C94" w:rsidRPr="00D5685B" w:rsidRDefault="00174E8D" w:rsidP="007B527F">
      <w:pPr>
        <w:widowControl w:val="0"/>
        <w:autoSpaceDE w:val="0"/>
        <w:autoSpaceDN w:val="0"/>
        <w:spacing w:after="240" w:line="276" w:lineRule="auto"/>
        <w:jc w:val="both"/>
        <w:rPr>
          <w:rFonts w:ascii="Verdana" w:hAnsi="Verdana" w:cs="Arial"/>
          <w:shd w:val="clear" w:color="auto" w:fill="FFFFFF"/>
          <w:lang w:val="es-ES"/>
        </w:rPr>
      </w:pPr>
      <w:r w:rsidRPr="00D5685B">
        <w:rPr>
          <w:rFonts w:ascii="Verdana" w:eastAsia="Calibri" w:hAnsi="Verdana" w:cs="Arial"/>
          <w:lang w:val="es-ES" w:eastAsia="es-ES"/>
        </w:rPr>
        <w:t xml:space="preserve">La Subdirección de Gestión Contractual </w:t>
      </w:r>
      <w:r w:rsidRPr="00D5685B">
        <w:rPr>
          <w:rStyle w:val="normaltextrun"/>
          <w:rFonts w:ascii="Verdana" w:hAnsi="Verdana" w:cs="Arial"/>
          <w:shd w:val="clear" w:color="auto" w:fill="FFFFFF"/>
          <w:lang w:val="es-ES"/>
        </w:rPr>
        <w:t>s</w:t>
      </w:r>
      <w:r w:rsidR="00B06C94" w:rsidRPr="00D5685B">
        <w:rPr>
          <w:rStyle w:val="normaltextrun"/>
          <w:rFonts w:ascii="Verdana" w:hAnsi="Verdana" w:cs="Arial"/>
          <w:shd w:val="clear" w:color="auto" w:fill="FFFFFF"/>
          <w:lang w:val="es-ES"/>
        </w:rPr>
        <w:t>obre</w:t>
      </w:r>
      <w:r w:rsidR="00AB27ED" w:rsidRPr="00D5685B">
        <w:rPr>
          <w:rFonts w:ascii="Verdana" w:hAnsi="Verdana"/>
        </w:rPr>
        <w:t xml:space="preserve"> </w:t>
      </w:r>
      <w:r w:rsidR="00AB27ED" w:rsidRPr="00D5685B">
        <w:rPr>
          <w:rStyle w:val="normaltextrun"/>
          <w:rFonts w:ascii="Verdana" w:hAnsi="Verdana" w:cs="Arial"/>
          <w:shd w:val="clear" w:color="auto" w:fill="FFFFFF"/>
          <w:lang w:val="es-ES"/>
        </w:rPr>
        <w:t xml:space="preserve">la modalidad de contratación directa del literal N del numeral 4 del artículo 2 de la Ley 1150 de 2007 </w:t>
      </w:r>
      <w:r w:rsidRPr="00D5685B">
        <w:rPr>
          <w:rStyle w:val="normaltextrun"/>
          <w:rFonts w:ascii="Verdana" w:hAnsi="Verdana" w:cs="Arial"/>
          <w:shd w:val="clear" w:color="auto" w:fill="FFFFFF"/>
          <w:lang w:val="es-ES"/>
        </w:rPr>
        <w:t xml:space="preserve">se ha pronunciado en los siguientes conceptos: </w:t>
      </w:r>
      <w:r w:rsidR="000B29E1" w:rsidRPr="00D5685B">
        <w:rPr>
          <w:rStyle w:val="normaltextrun"/>
          <w:rFonts w:ascii="Verdana" w:hAnsi="Verdana" w:cs="Arial"/>
          <w:shd w:val="clear" w:color="auto" w:fill="FFFFFF"/>
          <w:lang w:val="es-ES"/>
        </w:rPr>
        <w:t xml:space="preserve">Nro. C- 052 del 21 de abril del 2023, C-025 del 21 de febrero del 2024 y </w:t>
      </w:r>
      <w:r w:rsidR="00E55F7E" w:rsidRPr="00D5685B">
        <w:rPr>
          <w:rStyle w:val="normaltextrun"/>
          <w:rFonts w:ascii="Verdana" w:hAnsi="Verdana" w:cs="Arial"/>
          <w:shd w:val="clear" w:color="auto" w:fill="FFFFFF"/>
          <w:lang w:val="es-ES"/>
        </w:rPr>
        <w:t>C-113 del 03 de julio del 2024.</w:t>
      </w:r>
      <w:r w:rsidR="00B06C94" w:rsidRPr="00D5685B">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00B06C94" w:rsidRPr="00D5685B">
          <w:rPr>
            <w:rStyle w:val="Hipervnculo"/>
            <w:rFonts w:ascii="Verdana" w:hAnsi="Verdana" w:cs="Arial"/>
            <w:shd w:val="clear" w:color="auto" w:fill="FFFFFF"/>
          </w:rPr>
          <w:t>https://relatoria.colombiacompra.gov.co/</w:t>
        </w:r>
      </w:hyperlink>
    </w:p>
    <w:p w14:paraId="06B037DE" w14:textId="77777777" w:rsidR="00B06C94" w:rsidRPr="00D5685B" w:rsidRDefault="00B06C94" w:rsidP="00B06C94">
      <w:pPr>
        <w:widowControl w:val="0"/>
        <w:autoSpaceDE w:val="0"/>
        <w:autoSpaceDN w:val="0"/>
        <w:spacing w:after="240" w:line="276" w:lineRule="auto"/>
        <w:jc w:val="both"/>
        <w:rPr>
          <w:rFonts w:ascii="Verdana" w:hAnsi="Verdana" w:cs="Arial"/>
          <w:shd w:val="clear" w:color="auto" w:fill="FFFFFF"/>
        </w:rPr>
      </w:pPr>
      <w:r w:rsidRPr="00D5685B">
        <w:rPr>
          <w:rFonts w:ascii="Verdana" w:hAnsi="Verdana" w:cs="Arial"/>
          <w:shd w:val="clear" w:color="auto" w:fill="FFFFFF"/>
        </w:rPr>
        <w:t>También le contamos que ya se encuentra disponible la </w:t>
      </w:r>
      <w:r w:rsidRPr="00D5685B">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D5685B">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5685B">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D5685B">
        <w:rPr>
          <w:rFonts w:ascii="Verdana" w:hAnsi="Verdana" w:cs="Arial"/>
          <w:u w:val="single"/>
          <w:shd w:val="clear" w:color="auto" w:fill="FFFFFF"/>
        </w:rPr>
        <w:t>"</w:t>
      </w:r>
    </w:p>
    <w:p w14:paraId="315BF8D2" w14:textId="77777777" w:rsidR="00B06C94" w:rsidRPr="00D5685B" w:rsidRDefault="00B06C94" w:rsidP="00B06C94">
      <w:pPr>
        <w:spacing w:after="0" w:line="276" w:lineRule="auto"/>
        <w:jc w:val="both"/>
        <w:rPr>
          <w:rFonts w:ascii="Verdana" w:hAnsi="Verdana"/>
        </w:rPr>
      </w:pPr>
      <w:r w:rsidRPr="00D5685B">
        <w:rPr>
          <w:rFonts w:ascii="Verdana" w:hAnsi="Verdana"/>
        </w:rPr>
        <w:lastRenderedPageBreak/>
        <w:t xml:space="preserve">Por último, lo invitamos a seguirnos en las redes sociales en las cuales se difunde información institucional: </w:t>
      </w:r>
    </w:p>
    <w:p w14:paraId="30655A78" w14:textId="77777777" w:rsidR="00B06C94" w:rsidRPr="00D5685B" w:rsidRDefault="00B06C94" w:rsidP="00B06C94">
      <w:pPr>
        <w:spacing w:after="0" w:line="276" w:lineRule="auto"/>
        <w:jc w:val="both"/>
        <w:rPr>
          <w:rFonts w:ascii="Verdana" w:hAnsi="Verdana"/>
        </w:rPr>
      </w:pPr>
    </w:p>
    <w:p w14:paraId="3B4C80B1" w14:textId="77777777" w:rsidR="00B06C94" w:rsidRPr="00D5685B" w:rsidRDefault="00B06C94" w:rsidP="00B06C94">
      <w:pPr>
        <w:spacing w:after="0" w:line="276" w:lineRule="auto"/>
        <w:jc w:val="both"/>
        <w:rPr>
          <w:rFonts w:ascii="Verdana" w:hAnsi="Verdana"/>
        </w:rPr>
      </w:pPr>
      <w:r w:rsidRPr="00D5685B">
        <w:rPr>
          <w:rFonts w:ascii="Verdana" w:hAnsi="Verdana"/>
        </w:rPr>
        <w:t xml:space="preserve">Twitter: </w:t>
      </w:r>
      <w:r w:rsidRPr="00D5685B">
        <w:rPr>
          <w:rStyle w:val="Hipervnculo"/>
          <w:rFonts w:ascii="Verdana" w:hAnsi="Verdana"/>
          <w:color w:val="4472C4" w:themeColor="accent1"/>
        </w:rPr>
        <w:t>@colombiacompra</w:t>
      </w:r>
      <w:r w:rsidRPr="00D5685B">
        <w:rPr>
          <w:rFonts w:ascii="Verdana" w:hAnsi="Verdana"/>
          <w:color w:val="4472C4" w:themeColor="accent1"/>
        </w:rPr>
        <w:t xml:space="preserve"> </w:t>
      </w:r>
    </w:p>
    <w:p w14:paraId="00F1CAA4" w14:textId="77777777" w:rsidR="00B06C94" w:rsidRPr="00D5685B" w:rsidRDefault="00B06C94" w:rsidP="00B06C94">
      <w:pPr>
        <w:spacing w:after="0" w:line="276" w:lineRule="auto"/>
        <w:jc w:val="both"/>
        <w:rPr>
          <w:rFonts w:ascii="Verdana" w:hAnsi="Verdana"/>
        </w:rPr>
      </w:pPr>
      <w:r w:rsidRPr="00D5685B">
        <w:rPr>
          <w:rFonts w:ascii="Verdana" w:hAnsi="Verdana"/>
        </w:rPr>
        <w:t xml:space="preserve">Facebook: </w:t>
      </w:r>
      <w:r w:rsidRPr="00D5685B">
        <w:rPr>
          <w:rStyle w:val="Hipervnculo"/>
          <w:rFonts w:ascii="Verdana" w:hAnsi="Verdana"/>
          <w:color w:val="4472C4" w:themeColor="accent1"/>
        </w:rPr>
        <w:t>ColombiaCompraEficiente</w:t>
      </w:r>
    </w:p>
    <w:p w14:paraId="56F79BDE" w14:textId="77777777" w:rsidR="00B06C94" w:rsidRPr="00D5685B" w:rsidRDefault="00B06C94" w:rsidP="00B06C94">
      <w:pPr>
        <w:spacing w:after="0" w:line="276" w:lineRule="auto"/>
        <w:jc w:val="both"/>
        <w:rPr>
          <w:rStyle w:val="Hipervnculo"/>
          <w:rFonts w:ascii="Verdana" w:hAnsi="Verdana"/>
          <w:color w:val="4472C4" w:themeColor="accent1"/>
        </w:rPr>
      </w:pPr>
      <w:r w:rsidRPr="00D5685B">
        <w:rPr>
          <w:rFonts w:ascii="Verdana" w:hAnsi="Verdana"/>
        </w:rPr>
        <w:t xml:space="preserve">LinkedIn: </w:t>
      </w:r>
      <w:r w:rsidRPr="00D5685B">
        <w:rPr>
          <w:rStyle w:val="Hipervnculo"/>
          <w:rFonts w:ascii="Verdana" w:hAnsi="Verdana"/>
          <w:color w:val="4472C4" w:themeColor="accent1"/>
        </w:rPr>
        <w:t>Agencia Nacional de Contratación Pública - Colombia Compra Eficiente</w:t>
      </w:r>
      <w:r w:rsidRPr="00D5685B">
        <w:rPr>
          <w:rFonts w:ascii="Verdana" w:hAnsi="Verdana"/>
          <w:color w:val="4472C4" w:themeColor="accent1"/>
        </w:rPr>
        <w:t xml:space="preserve"> </w:t>
      </w:r>
      <w:r w:rsidRPr="00D5685B">
        <w:rPr>
          <w:rFonts w:ascii="Verdana" w:hAnsi="Verdana"/>
        </w:rPr>
        <w:t xml:space="preserve">Instagram: </w:t>
      </w:r>
      <w:r w:rsidRPr="00D5685B">
        <w:rPr>
          <w:rStyle w:val="Hipervnculo"/>
          <w:rFonts w:ascii="Verdana" w:hAnsi="Verdana"/>
          <w:color w:val="4472C4" w:themeColor="accent1"/>
        </w:rPr>
        <w:t>@colombiacompraeficiente_cce</w:t>
      </w:r>
    </w:p>
    <w:p w14:paraId="74236684" w14:textId="77777777" w:rsidR="00B06C94" w:rsidRPr="00D5685B" w:rsidRDefault="00B06C94" w:rsidP="00B06C94">
      <w:pPr>
        <w:spacing w:after="0" w:line="276" w:lineRule="auto"/>
        <w:jc w:val="both"/>
        <w:rPr>
          <w:rStyle w:val="Hipervnculo"/>
          <w:rFonts w:ascii="Verdana" w:hAnsi="Verdana"/>
          <w:color w:val="4472C4" w:themeColor="accent1"/>
        </w:rPr>
      </w:pPr>
    </w:p>
    <w:p w14:paraId="0D20DD94" w14:textId="77777777" w:rsidR="00B06C94" w:rsidRPr="00D5685B" w:rsidRDefault="00B06C94" w:rsidP="00B06C94">
      <w:pPr>
        <w:widowControl w:val="0"/>
        <w:autoSpaceDE w:val="0"/>
        <w:autoSpaceDN w:val="0"/>
        <w:spacing w:after="0" w:line="276" w:lineRule="auto"/>
        <w:jc w:val="both"/>
        <w:rPr>
          <w:rFonts w:ascii="Verdana" w:hAnsi="Verdana" w:cs="Arial"/>
          <w:lang w:val="es-ES_tradnl"/>
        </w:rPr>
      </w:pPr>
      <w:r w:rsidRPr="00D5685B">
        <w:rPr>
          <w:rFonts w:ascii="Verdana" w:hAnsi="Verdana" w:cs="Arial"/>
        </w:rPr>
        <w:t xml:space="preserve">Este concepto tiene el alcance previsto en el artículo 28 del Código de Procedimiento Administrativo y de lo Contencioso Administrativo </w:t>
      </w:r>
      <w:r w:rsidRPr="00D5685B">
        <w:rPr>
          <w:rFonts w:ascii="Verdana" w:hAnsi="Verdana" w:cs="Arial"/>
          <w:lang w:val="es-ES_tradnl"/>
        </w:rPr>
        <w:t>y las expresiones aquí utilizadas con mayúscula inicial deben ser entendidas con el significado que les otorga el artículo 2.2.1.1.1.3.1. del Decreto 1082 de 2015.</w:t>
      </w:r>
    </w:p>
    <w:p w14:paraId="40E1218D" w14:textId="77777777" w:rsidR="00B06C94" w:rsidRPr="00D5685B" w:rsidRDefault="00B06C94" w:rsidP="00B06C94">
      <w:pPr>
        <w:widowControl w:val="0"/>
        <w:autoSpaceDE w:val="0"/>
        <w:autoSpaceDN w:val="0"/>
        <w:spacing w:after="0" w:line="276" w:lineRule="auto"/>
        <w:jc w:val="both"/>
        <w:rPr>
          <w:rFonts w:ascii="Verdana" w:hAnsi="Verdana" w:cs="Arial"/>
        </w:rPr>
      </w:pPr>
    </w:p>
    <w:p w14:paraId="17D0ED33" w14:textId="77777777" w:rsidR="00B06C94" w:rsidRPr="00D5685B" w:rsidRDefault="00B06C94" w:rsidP="00B06C94">
      <w:pPr>
        <w:spacing w:after="0" w:line="276" w:lineRule="auto"/>
        <w:rPr>
          <w:rFonts w:ascii="Verdana" w:hAnsi="Verdana" w:cs="Arial"/>
          <w:lang w:eastAsia="es-CO"/>
        </w:rPr>
      </w:pPr>
      <w:r w:rsidRPr="00D5685B">
        <w:rPr>
          <w:rFonts w:ascii="Verdana" w:eastAsia="Times New Roman" w:hAnsi="Verdana" w:cs="Arial"/>
          <w:lang w:eastAsia="es-CO"/>
        </w:rPr>
        <w:t>Atentamente,</w:t>
      </w:r>
      <w:r w:rsidRPr="00D5685B">
        <w:rPr>
          <w:rFonts w:ascii="Verdana" w:hAnsi="Verdana" w:cs="Arial"/>
          <w:lang w:eastAsia="es-CO"/>
        </w:rPr>
        <w:t xml:space="preserve"> </w:t>
      </w:r>
    </w:p>
    <w:p w14:paraId="4528823D" w14:textId="061A75A0" w:rsidR="00B06C94" w:rsidRPr="00D5685B" w:rsidRDefault="002A6921" w:rsidP="00B06C94">
      <w:pPr>
        <w:spacing w:line="276" w:lineRule="auto"/>
        <w:jc w:val="center"/>
        <w:rPr>
          <w:rFonts w:ascii="Verdana" w:hAnsi="Verdana" w:cs="Arial"/>
          <w:color w:val="000000"/>
          <w:sz w:val="16"/>
          <w:szCs w:val="16"/>
          <w:lang w:val="es-ES_tradnl" w:eastAsia="es-CO"/>
        </w:rPr>
      </w:pPr>
      <w:r>
        <w:rPr>
          <w:noProof/>
        </w:rPr>
        <w:drawing>
          <wp:inline distT="0" distB="0" distL="0" distR="0" wp14:anchorId="401F1C05" wp14:editId="0482BBB2">
            <wp:extent cx="3543300" cy="131531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552216" cy="131862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06C94" w:rsidRPr="00D5685B" w14:paraId="08F17663" w14:textId="77777777" w:rsidTr="00DA32CA">
        <w:trPr>
          <w:trHeight w:val="315"/>
        </w:trPr>
        <w:tc>
          <w:tcPr>
            <w:tcW w:w="893" w:type="dxa"/>
            <w:vAlign w:val="center"/>
            <w:hideMark/>
          </w:tcPr>
          <w:p w14:paraId="3E19274A" w14:textId="77777777" w:rsidR="00B06C94" w:rsidRPr="00D5685B" w:rsidRDefault="00B06C94" w:rsidP="00DA32CA">
            <w:pPr>
              <w:contextualSpacing/>
              <w:rPr>
                <w:rFonts w:ascii="Verdana" w:hAnsi="Verdana" w:cs="Arial"/>
                <w:sz w:val="16"/>
                <w:szCs w:val="16"/>
                <w:lang w:val="es-ES" w:eastAsia="es-ES"/>
              </w:rPr>
            </w:pPr>
            <w:r w:rsidRPr="00D5685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052682" w14:textId="77777777" w:rsidR="00B06C94" w:rsidRPr="00D5685B" w:rsidRDefault="00B06C94" w:rsidP="00DA32CA">
            <w:pPr>
              <w:contextualSpacing/>
              <w:rPr>
                <w:rFonts w:ascii="Verdana" w:eastAsia="Arial" w:hAnsi="Verdana" w:cs="Arial"/>
                <w:sz w:val="16"/>
                <w:szCs w:val="16"/>
              </w:rPr>
            </w:pPr>
            <w:r w:rsidRPr="00D5685B">
              <w:rPr>
                <w:rFonts w:ascii="Verdana" w:eastAsia="Arial" w:hAnsi="Verdana" w:cs="Arial"/>
                <w:sz w:val="16"/>
                <w:szCs w:val="16"/>
              </w:rPr>
              <w:t>Ana María Ortiz Ballesteros</w:t>
            </w:r>
          </w:p>
          <w:p w14:paraId="6EA34741" w14:textId="77777777" w:rsidR="00B06C94" w:rsidRPr="00D5685B" w:rsidRDefault="00B06C94" w:rsidP="00DA32CA">
            <w:pPr>
              <w:contextualSpacing/>
              <w:rPr>
                <w:rFonts w:ascii="Verdana" w:eastAsia="Arial" w:hAnsi="Verdana" w:cs="Arial"/>
                <w:sz w:val="16"/>
                <w:szCs w:val="16"/>
              </w:rPr>
            </w:pPr>
            <w:r w:rsidRPr="00D5685B">
              <w:rPr>
                <w:rStyle w:val="normaltextrun"/>
                <w:rFonts w:ascii="Verdana" w:eastAsia="Arial" w:hAnsi="Verdana" w:cs="Arial"/>
                <w:sz w:val="16"/>
                <w:szCs w:val="16"/>
              </w:rPr>
              <w:t>C</w:t>
            </w:r>
            <w:r w:rsidRPr="00D5685B">
              <w:rPr>
                <w:rStyle w:val="normaltextrun"/>
                <w:rFonts w:ascii="Verdana" w:hAnsi="Verdana"/>
                <w:sz w:val="16"/>
                <w:szCs w:val="16"/>
              </w:rPr>
              <w:t>ontratista</w:t>
            </w:r>
            <w:r w:rsidRPr="00D5685B">
              <w:rPr>
                <w:rStyle w:val="normaltextrun"/>
                <w:rFonts w:ascii="Verdana" w:eastAsia="Arial" w:hAnsi="Verdana" w:cs="Arial"/>
                <w:sz w:val="16"/>
                <w:szCs w:val="16"/>
              </w:rPr>
              <w:t xml:space="preserve"> de la Subdirección de Gestión Contractual</w:t>
            </w:r>
          </w:p>
        </w:tc>
      </w:tr>
      <w:tr w:rsidR="00B06C94" w:rsidRPr="00D5685B" w14:paraId="5AEE73C1" w14:textId="77777777" w:rsidTr="00DA32CA">
        <w:trPr>
          <w:trHeight w:val="330"/>
        </w:trPr>
        <w:tc>
          <w:tcPr>
            <w:tcW w:w="893" w:type="dxa"/>
            <w:vAlign w:val="center"/>
            <w:hideMark/>
          </w:tcPr>
          <w:p w14:paraId="32576B7D" w14:textId="77777777" w:rsidR="00B06C94" w:rsidRPr="00D5685B" w:rsidRDefault="00B06C94" w:rsidP="00DA32CA">
            <w:pPr>
              <w:contextualSpacing/>
              <w:rPr>
                <w:rFonts w:ascii="Verdana" w:hAnsi="Verdana" w:cs="Arial"/>
                <w:sz w:val="16"/>
                <w:szCs w:val="16"/>
                <w:lang w:val="es-ES" w:eastAsia="es-ES"/>
              </w:rPr>
            </w:pPr>
            <w:r w:rsidRPr="00D5685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C364BD" w14:textId="77777777" w:rsidR="00B06C94" w:rsidRPr="00D5685B" w:rsidRDefault="00B06C94" w:rsidP="00DA32CA">
            <w:pPr>
              <w:pStyle w:val="paragraph"/>
              <w:spacing w:before="0" w:beforeAutospacing="0" w:after="0" w:afterAutospacing="0"/>
              <w:contextualSpacing/>
              <w:textAlignment w:val="baseline"/>
              <w:rPr>
                <w:rFonts w:ascii="Verdana" w:hAnsi="Verdana" w:cs="Arial"/>
                <w:sz w:val="16"/>
                <w:szCs w:val="16"/>
              </w:rPr>
            </w:pPr>
            <w:r w:rsidRPr="00D5685B">
              <w:rPr>
                <w:rFonts w:ascii="Verdana" w:hAnsi="Verdana" w:cs="Arial"/>
                <w:sz w:val="16"/>
                <w:szCs w:val="16"/>
              </w:rPr>
              <w:t xml:space="preserve">Alejandro Sarmiento Cantillo </w:t>
            </w:r>
          </w:p>
          <w:p w14:paraId="08FC87B2" w14:textId="77777777" w:rsidR="00B06C94" w:rsidRPr="00D5685B" w:rsidRDefault="00B06C94" w:rsidP="00DA32CA">
            <w:pPr>
              <w:pStyle w:val="paragraph"/>
              <w:spacing w:before="0" w:beforeAutospacing="0" w:after="0" w:afterAutospacing="0"/>
              <w:contextualSpacing/>
              <w:textAlignment w:val="baseline"/>
              <w:rPr>
                <w:rFonts w:ascii="Verdana" w:hAnsi="Verdana" w:cs="Arial"/>
                <w:sz w:val="16"/>
                <w:szCs w:val="16"/>
              </w:rPr>
            </w:pPr>
            <w:r w:rsidRPr="00D5685B">
              <w:rPr>
                <w:rFonts w:ascii="Verdana" w:hAnsi="Verdana" w:cs="Arial"/>
                <w:sz w:val="16"/>
                <w:szCs w:val="16"/>
              </w:rPr>
              <w:t>Gestor T1-15 de la Subdirección de Gestión Contractual</w:t>
            </w:r>
          </w:p>
        </w:tc>
      </w:tr>
      <w:tr w:rsidR="00B06C94" w:rsidRPr="00D5685B" w14:paraId="1AD6029A" w14:textId="77777777" w:rsidTr="00DA32CA">
        <w:trPr>
          <w:trHeight w:val="300"/>
        </w:trPr>
        <w:tc>
          <w:tcPr>
            <w:tcW w:w="893" w:type="dxa"/>
            <w:vAlign w:val="center"/>
          </w:tcPr>
          <w:p w14:paraId="08DBA6E2" w14:textId="77777777" w:rsidR="00B06C94" w:rsidRPr="00D5685B" w:rsidRDefault="00B06C94" w:rsidP="00DA32CA">
            <w:pPr>
              <w:contextualSpacing/>
              <w:rPr>
                <w:rFonts w:ascii="Verdana" w:hAnsi="Verdana" w:cs="Arial"/>
                <w:sz w:val="16"/>
                <w:szCs w:val="16"/>
                <w:lang w:val="es-ES" w:eastAsia="es-ES"/>
              </w:rPr>
            </w:pPr>
            <w:r w:rsidRPr="00D5685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9DD190" w14:textId="77777777" w:rsidR="00B06C94" w:rsidRPr="00D5685B" w:rsidRDefault="00B06C94" w:rsidP="00DA32CA">
            <w:pPr>
              <w:contextualSpacing/>
              <w:rPr>
                <w:rFonts w:ascii="Verdana" w:eastAsia="Calibri" w:hAnsi="Verdana" w:cs="Arial"/>
                <w:sz w:val="16"/>
                <w:szCs w:val="16"/>
                <w:lang w:val="pt-BR" w:eastAsia="es-ES"/>
              </w:rPr>
            </w:pPr>
            <w:r w:rsidRPr="00D5685B">
              <w:rPr>
                <w:rFonts w:ascii="Verdana" w:eastAsia="Calibri" w:hAnsi="Verdana" w:cs="Arial"/>
                <w:sz w:val="16"/>
                <w:szCs w:val="16"/>
                <w:lang w:val="pt-BR" w:eastAsia="es-ES"/>
              </w:rPr>
              <w:t>Carolina Quintero Gacharná</w:t>
            </w:r>
          </w:p>
          <w:p w14:paraId="5A7D7A9F" w14:textId="77777777" w:rsidR="00B06C94" w:rsidRPr="00D5685B" w:rsidRDefault="00B06C94" w:rsidP="00DA32CA">
            <w:pPr>
              <w:contextualSpacing/>
              <w:rPr>
                <w:rFonts w:ascii="Verdana" w:eastAsia="Calibri" w:hAnsi="Verdana" w:cs="Arial"/>
                <w:sz w:val="16"/>
                <w:szCs w:val="16"/>
                <w:lang w:val="pt-BR" w:eastAsia="es-ES"/>
              </w:rPr>
            </w:pPr>
            <w:r w:rsidRPr="00D5685B">
              <w:rPr>
                <w:rFonts w:ascii="Verdana" w:eastAsia="Calibri" w:hAnsi="Verdana" w:cs="Arial"/>
                <w:sz w:val="16"/>
                <w:szCs w:val="16"/>
                <w:lang w:eastAsia="es-ES"/>
              </w:rPr>
              <w:t>Subdirectora</w:t>
            </w:r>
            <w:r w:rsidRPr="00D5685B">
              <w:rPr>
                <w:rFonts w:ascii="Verdana" w:eastAsia="Calibri" w:hAnsi="Verdana" w:cs="Arial"/>
                <w:sz w:val="16"/>
                <w:szCs w:val="16"/>
                <w:lang w:val="pt-BR" w:eastAsia="es-ES"/>
              </w:rPr>
              <w:t xml:space="preserve"> de Gestión Contractual ANCP – CCE</w:t>
            </w:r>
          </w:p>
        </w:tc>
      </w:tr>
    </w:tbl>
    <w:p w14:paraId="1F2E8372" w14:textId="77777777" w:rsidR="00B06C94" w:rsidRPr="00D5685B" w:rsidRDefault="00B06C94" w:rsidP="00B06C94">
      <w:pPr>
        <w:spacing w:after="0" w:line="240" w:lineRule="auto"/>
        <w:ind w:right="709"/>
        <w:jc w:val="both"/>
        <w:rPr>
          <w:rFonts w:ascii="Verdana" w:eastAsia="Century Gothic" w:hAnsi="Verdana" w:cs="Century Gothic"/>
          <w:sz w:val="16"/>
          <w:szCs w:val="16"/>
          <w:lang w:val="es-ES"/>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BF388" w14:textId="77777777" w:rsidR="00ED7384" w:rsidRDefault="00ED7384" w:rsidP="004A1847">
      <w:pPr>
        <w:spacing w:after="0" w:line="240" w:lineRule="auto"/>
      </w:pPr>
      <w:r>
        <w:separator/>
      </w:r>
    </w:p>
  </w:endnote>
  <w:endnote w:type="continuationSeparator" w:id="0">
    <w:p w14:paraId="328BBF00"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82CA0" w14:textId="77777777" w:rsidR="00ED7384" w:rsidRDefault="00ED7384" w:rsidP="004A1847">
      <w:pPr>
        <w:spacing w:after="0" w:line="240" w:lineRule="auto"/>
      </w:pPr>
      <w:r>
        <w:separator/>
      </w:r>
    </w:p>
  </w:footnote>
  <w:footnote w:type="continuationSeparator" w:id="0">
    <w:p w14:paraId="30C413D7" w14:textId="77777777" w:rsidR="00ED7384" w:rsidRDefault="00ED7384" w:rsidP="004A1847">
      <w:pPr>
        <w:spacing w:after="0" w:line="240" w:lineRule="auto"/>
      </w:pPr>
      <w:r>
        <w:continuationSeparator/>
      </w:r>
    </w:p>
  </w:footnote>
  <w:footnote w:id="1">
    <w:p w14:paraId="2375D6D8" w14:textId="77777777" w:rsidR="000D2DB9" w:rsidRPr="00DA5F0D" w:rsidRDefault="000D2DB9" w:rsidP="000D2DB9">
      <w:pPr>
        <w:pStyle w:val="Textonotapie"/>
        <w:ind w:firstLine="708"/>
        <w:jc w:val="both"/>
        <w:rPr>
          <w:rFonts w:ascii="Verdana" w:eastAsia="Calibri" w:hAnsi="Verdana" w:cs="Arial"/>
          <w:sz w:val="16"/>
          <w:szCs w:val="16"/>
        </w:rPr>
      </w:pPr>
      <w:r w:rsidRPr="00DA5F0D">
        <w:rPr>
          <w:rStyle w:val="Refdenotaalpie"/>
          <w:rFonts w:ascii="Verdana" w:hAnsi="Verdana" w:cs="Arial"/>
          <w:sz w:val="16"/>
          <w:szCs w:val="16"/>
        </w:rPr>
        <w:footnoteRef/>
      </w:r>
      <w:r w:rsidRPr="00DA5F0D">
        <w:rPr>
          <w:rFonts w:ascii="Verdana" w:hAnsi="Verdana" w:cs="Arial"/>
          <w:sz w:val="16"/>
          <w:szCs w:val="16"/>
        </w:rPr>
        <w:t xml:space="preserve"> </w:t>
      </w:r>
      <w:r w:rsidRPr="00DA5F0D">
        <w:rPr>
          <w:rFonts w:ascii="Verdana" w:eastAsia="Calibri" w:hAnsi="Verdana"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14:paraId="7ABFDA6E" w14:textId="77777777" w:rsidR="000D2DB9" w:rsidRPr="00DA5F0D" w:rsidRDefault="000D2DB9" w:rsidP="000D2DB9">
      <w:pPr>
        <w:spacing w:after="0" w:line="240" w:lineRule="auto"/>
        <w:ind w:firstLine="708"/>
        <w:jc w:val="both"/>
        <w:rPr>
          <w:rFonts w:ascii="Verdana" w:hAnsi="Verdana" w:cs="Arial"/>
          <w:sz w:val="16"/>
          <w:szCs w:val="16"/>
        </w:rPr>
      </w:pPr>
    </w:p>
    <w:p w14:paraId="2D2BB67B" w14:textId="5E1A101E" w:rsidR="000D2DB9" w:rsidRPr="00DA5F0D" w:rsidRDefault="000D2DB9" w:rsidP="000D2DB9">
      <w:pPr>
        <w:spacing w:after="0" w:line="240" w:lineRule="auto"/>
        <w:ind w:firstLine="708"/>
        <w:jc w:val="both"/>
        <w:rPr>
          <w:rFonts w:ascii="Verdana" w:eastAsia="Calibri" w:hAnsi="Verdana" w:cs="Arial"/>
          <w:sz w:val="16"/>
          <w:szCs w:val="16"/>
        </w:rPr>
      </w:pPr>
      <w:r w:rsidRPr="00DA5F0D">
        <w:rPr>
          <w:rFonts w:ascii="Verdana" w:eastAsia="Calibri" w:hAnsi="Verdana" w:cs="Arial"/>
          <w:sz w:val="16"/>
          <w:szCs w:val="16"/>
        </w:rPr>
        <w:t xml:space="preserve">“Los derechos y deberes consagrados en esta </w:t>
      </w:r>
      <w:r w:rsidR="00D5685B" w:rsidRPr="00DA5F0D">
        <w:rPr>
          <w:rFonts w:ascii="Verdana" w:eastAsia="Calibri" w:hAnsi="Verdana" w:cs="Arial"/>
          <w:sz w:val="16"/>
          <w:szCs w:val="16"/>
        </w:rPr>
        <w:t>Carta</w:t>
      </w:r>
      <w:r w:rsidRPr="00DA5F0D">
        <w:rPr>
          <w:rFonts w:ascii="Verdana" w:eastAsia="Calibri" w:hAnsi="Verdana" w:cs="Arial"/>
          <w:sz w:val="16"/>
          <w:szCs w:val="16"/>
        </w:rPr>
        <w:t xml:space="preserve"> se interpretarán de conformidad con los tratados internacionales sobre derechos humanos ratificados por Colombia [...]”.</w:t>
      </w:r>
    </w:p>
    <w:p w14:paraId="15E07469" w14:textId="77777777" w:rsidR="00D5685B" w:rsidRPr="00DA5F0D" w:rsidRDefault="00D5685B" w:rsidP="000D2DB9">
      <w:pPr>
        <w:spacing w:after="0" w:line="240" w:lineRule="auto"/>
        <w:ind w:firstLine="708"/>
        <w:jc w:val="both"/>
        <w:rPr>
          <w:rFonts w:ascii="Verdana" w:hAnsi="Verdana" w:cs="Arial"/>
          <w:sz w:val="16"/>
          <w:szCs w:val="16"/>
        </w:rPr>
      </w:pPr>
    </w:p>
  </w:footnote>
  <w:footnote w:id="2">
    <w:p w14:paraId="4312E440" w14:textId="77777777" w:rsidR="00C07DFB" w:rsidRPr="00DA5F0D" w:rsidRDefault="00C07DFB" w:rsidP="00C07DFB">
      <w:pPr>
        <w:pStyle w:val="Textonotapie"/>
        <w:ind w:firstLine="708"/>
        <w:jc w:val="both"/>
        <w:rPr>
          <w:rFonts w:ascii="Verdana" w:eastAsia="Calibri" w:hAnsi="Verdana" w:cs="Arial"/>
          <w:sz w:val="16"/>
          <w:szCs w:val="16"/>
          <w:lang w:val="es-ES_tradnl"/>
        </w:rPr>
      </w:pPr>
      <w:r w:rsidRPr="00DA5F0D">
        <w:rPr>
          <w:rStyle w:val="Refdenotaalpie"/>
          <w:rFonts w:ascii="Verdana" w:hAnsi="Verdana"/>
          <w:sz w:val="16"/>
          <w:szCs w:val="16"/>
        </w:rPr>
        <w:footnoteRef/>
      </w:r>
      <w:r w:rsidRPr="00DA5F0D">
        <w:rPr>
          <w:rFonts w:ascii="Verdana" w:hAnsi="Verdana"/>
          <w:sz w:val="16"/>
          <w:szCs w:val="16"/>
        </w:rPr>
        <w:t xml:space="preserve"> CORTE CONSTITUCIONAL, </w:t>
      </w:r>
      <w:r w:rsidRPr="00DA5F0D">
        <w:rPr>
          <w:rFonts w:ascii="Verdana" w:eastAsia="Calibri" w:hAnsi="Verdana" w:cs="Arial"/>
          <w:sz w:val="16"/>
          <w:szCs w:val="16"/>
          <w:lang w:val="es-ES_tradnl"/>
        </w:rPr>
        <w:t>Sentencia T-026 del 23 de enero del 2015, M.P. Luis Guillermo Guerrero Pérez.</w:t>
      </w:r>
    </w:p>
    <w:p w14:paraId="46CB4324" w14:textId="77777777" w:rsidR="00C07DFB" w:rsidRPr="00DA5F0D" w:rsidRDefault="00C07DFB" w:rsidP="00C07DFB">
      <w:pPr>
        <w:pStyle w:val="Textonotapie"/>
        <w:ind w:firstLine="708"/>
        <w:jc w:val="both"/>
        <w:rPr>
          <w:rFonts w:ascii="Verdana" w:hAnsi="Verdana"/>
          <w:sz w:val="16"/>
          <w:szCs w:val="16"/>
        </w:rPr>
      </w:pPr>
      <w:r w:rsidRPr="00DA5F0D">
        <w:rPr>
          <w:rFonts w:ascii="Verdana" w:hAnsi="Verdana"/>
          <w:sz w:val="16"/>
          <w:szCs w:val="16"/>
        </w:rPr>
        <w:t xml:space="preserve"> </w:t>
      </w:r>
    </w:p>
  </w:footnote>
  <w:footnote w:id="3">
    <w:p w14:paraId="778259C4" w14:textId="77777777" w:rsidR="004A71B8" w:rsidRPr="00DA5F0D" w:rsidRDefault="004A71B8" w:rsidP="004A71B8">
      <w:pPr>
        <w:spacing w:after="0" w:line="240" w:lineRule="auto"/>
        <w:ind w:firstLine="709"/>
        <w:jc w:val="both"/>
        <w:rPr>
          <w:rFonts w:ascii="Verdana" w:hAnsi="Verdana" w:cs="Arial"/>
          <w:sz w:val="16"/>
          <w:szCs w:val="16"/>
        </w:rPr>
      </w:pPr>
      <w:r w:rsidRPr="00DA5F0D">
        <w:rPr>
          <w:rStyle w:val="Refdenotaalpie"/>
          <w:rFonts w:ascii="Verdana" w:hAnsi="Verdana" w:cs="Arial"/>
          <w:sz w:val="16"/>
          <w:szCs w:val="16"/>
        </w:rPr>
        <w:footnoteRef/>
      </w:r>
      <w:r w:rsidRPr="00DA5F0D">
        <w:rPr>
          <w:rFonts w:ascii="Verdana" w:hAnsi="Verdana" w:cs="Arial"/>
          <w:sz w:val="16"/>
          <w:szCs w:val="16"/>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5EBAADA9" w14:textId="77777777" w:rsidR="004A71B8" w:rsidRPr="00DA5F0D" w:rsidRDefault="004A71B8" w:rsidP="004A71B8">
      <w:pPr>
        <w:spacing w:after="0" w:line="240" w:lineRule="auto"/>
        <w:ind w:firstLine="709"/>
        <w:jc w:val="both"/>
        <w:rPr>
          <w:rFonts w:ascii="Verdana" w:hAnsi="Verdana" w:cs="Arial"/>
          <w:sz w:val="16"/>
          <w:szCs w:val="16"/>
        </w:rPr>
      </w:pPr>
    </w:p>
    <w:p w14:paraId="3AA5172B" w14:textId="77777777" w:rsidR="004A71B8" w:rsidRPr="00DA5F0D" w:rsidRDefault="004A71B8" w:rsidP="004A71B8">
      <w:pPr>
        <w:spacing w:after="0" w:line="240" w:lineRule="auto"/>
        <w:ind w:firstLine="709"/>
        <w:jc w:val="both"/>
        <w:rPr>
          <w:rFonts w:ascii="Verdana" w:hAnsi="Verdana" w:cs="Arial"/>
          <w:sz w:val="16"/>
          <w:szCs w:val="16"/>
        </w:rPr>
      </w:pPr>
      <w:r w:rsidRPr="00DA5F0D">
        <w:rPr>
          <w:rFonts w:ascii="Verdana" w:hAnsi="Verdana" w:cs="Arial"/>
          <w:sz w:val="16"/>
          <w:szCs w:val="16"/>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6A76A03D" w14:textId="77777777" w:rsidR="004A71B8" w:rsidRPr="00DA5F0D" w:rsidRDefault="004A71B8" w:rsidP="004A71B8">
      <w:pPr>
        <w:spacing w:after="0" w:line="240" w:lineRule="auto"/>
        <w:ind w:firstLine="709"/>
        <w:jc w:val="both"/>
        <w:rPr>
          <w:rFonts w:ascii="Verdana" w:hAnsi="Verdana" w:cs="Arial"/>
          <w:sz w:val="16"/>
          <w:szCs w:val="16"/>
        </w:rPr>
      </w:pPr>
    </w:p>
    <w:p w14:paraId="63EE3945" w14:textId="77777777" w:rsidR="004A71B8" w:rsidRPr="00DA5F0D" w:rsidRDefault="004A71B8" w:rsidP="004A71B8">
      <w:pPr>
        <w:spacing w:after="0" w:line="240" w:lineRule="auto"/>
        <w:ind w:firstLine="708"/>
        <w:jc w:val="both"/>
        <w:rPr>
          <w:rFonts w:ascii="Verdana" w:hAnsi="Verdana" w:cs="Arial"/>
          <w:sz w:val="16"/>
          <w:szCs w:val="16"/>
        </w:rPr>
      </w:pPr>
      <w:r w:rsidRPr="00DA5F0D">
        <w:rPr>
          <w:rFonts w:ascii="Verdana" w:hAnsi="Verdana" w:cs="Arial"/>
          <w:sz w:val="16"/>
          <w:szCs w:val="16"/>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4">
    <w:p w14:paraId="20BF04D1" w14:textId="77777777" w:rsidR="00FC4F91" w:rsidRPr="00DA5F0D" w:rsidRDefault="00FC4F91" w:rsidP="00FC4F91">
      <w:pPr>
        <w:pStyle w:val="Textonotapie"/>
        <w:ind w:firstLine="709"/>
        <w:jc w:val="both"/>
        <w:rPr>
          <w:rFonts w:ascii="Verdana" w:hAnsi="Verdana"/>
          <w:sz w:val="16"/>
          <w:szCs w:val="16"/>
        </w:rPr>
      </w:pPr>
      <w:r w:rsidRPr="00DA5F0D">
        <w:rPr>
          <w:rStyle w:val="Refdenotaalpie"/>
          <w:rFonts w:ascii="Verdana" w:hAnsi="Verdana"/>
          <w:sz w:val="16"/>
          <w:szCs w:val="16"/>
        </w:rPr>
        <w:footnoteRef/>
      </w:r>
      <w:r w:rsidRPr="00DA5F0D">
        <w:rPr>
          <w:rFonts w:ascii="Verdana" w:hAnsi="Verdana"/>
          <w:sz w:val="16"/>
          <w:szCs w:val="16"/>
        </w:rPr>
        <w:t xml:space="preserve"> Sobre la contratación directa el Consejo de Estado ha explicado que “[…] es atribución exclusiva del legislador señalar los mecanismos de selección de los contratos que celebren las entidades del Estado, porque el constituyente confirió al legislador la competencia para regular el tema de la contratación estatal, campo en el cual la función del ejecutivo se limita a reglamentar las normas expedidas por aquel en orden a su correcta ejecución”. Sección Tercera, Auto del 16 de marzo de 2006, Exp. No. 29.393, C.P. Ruth Stella Correa Palacio. </w:t>
      </w:r>
    </w:p>
  </w:footnote>
  <w:footnote w:id="5">
    <w:p w14:paraId="5B2882B1" w14:textId="77777777" w:rsidR="00FC4F91" w:rsidRPr="00DA5F0D" w:rsidRDefault="00FC4F91" w:rsidP="00FC4F91">
      <w:pPr>
        <w:pStyle w:val="Textonotapie"/>
        <w:ind w:firstLine="708"/>
        <w:jc w:val="both"/>
        <w:rPr>
          <w:rFonts w:ascii="Verdana" w:hAnsi="Verdana"/>
          <w:sz w:val="16"/>
          <w:szCs w:val="16"/>
        </w:rPr>
      </w:pPr>
    </w:p>
    <w:p w14:paraId="3C2AA60E" w14:textId="72FDCCB0" w:rsidR="00FC4F91" w:rsidRPr="00DA5F0D" w:rsidRDefault="00FC4F91" w:rsidP="00FC4F91">
      <w:pPr>
        <w:pStyle w:val="Textonotapie"/>
        <w:ind w:firstLine="708"/>
        <w:jc w:val="both"/>
        <w:rPr>
          <w:rFonts w:ascii="Verdana" w:hAnsi="Verdana"/>
          <w:sz w:val="16"/>
          <w:szCs w:val="16"/>
        </w:rPr>
      </w:pPr>
      <w:r w:rsidRPr="00DA5F0D">
        <w:rPr>
          <w:rStyle w:val="Refdenotaalpie"/>
          <w:rFonts w:ascii="Verdana" w:hAnsi="Verdana"/>
          <w:sz w:val="16"/>
          <w:szCs w:val="16"/>
        </w:rPr>
        <w:footnoteRef/>
      </w:r>
      <w:r w:rsidRPr="00DA5F0D">
        <w:rPr>
          <w:rFonts w:ascii="Verdana" w:hAnsi="Verdana"/>
          <w:sz w:val="16"/>
          <w:szCs w:val="16"/>
        </w:rPr>
        <w:t xml:space="preserve"> Al respecto se asevera que: “La interpretación de estas causales es restrictiva y no admite la analogía. Significa lo anterior que cuando una determinada situación no encaja en alguno de los motivos excepcionales, no es dable buscar interpretaciones acomodadas en procura de evitar la licitación. También se afecta el principio, incluso en </w:t>
      </w:r>
      <w:r w:rsidR="001803E4" w:rsidRPr="00DA5F0D">
        <w:rPr>
          <w:rFonts w:ascii="Verdana" w:hAnsi="Verdana"/>
          <w:sz w:val="16"/>
          <w:szCs w:val="16"/>
        </w:rPr>
        <w:t>frente de</w:t>
      </w:r>
      <w:r w:rsidRPr="00DA5F0D">
        <w:rPr>
          <w:rFonts w:ascii="Verdana" w:hAnsi="Verdana"/>
          <w:sz w:val="16"/>
          <w:szCs w:val="16"/>
        </w:rPr>
        <w:t xml:space="preserve"> causales excepcionales, cuando se emplea el procedimiento errado, en particular, cuando siendo el aplicable uno que se caracteriza por la pluralidad de oferentes como la selección abreviada o el concurso de méritos, se “tuerce el cuello de la ley” para usar la contratación directa”. DÁVILA VINUEZA, Luis Guillermo, Régimen jurídico de la contratación estatal, tercera edición, Legis, Bogotá, 2016, pp. -245 </w:t>
      </w:r>
    </w:p>
  </w:footnote>
  <w:footnote w:id="6">
    <w:p w14:paraId="7AC2E478" w14:textId="77777777" w:rsidR="007627BF" w:rsidRPr="00DA5F0D" w:rsidRDefault="007627BF" w:rsidP="007627BF">
      <w:pPr>
        <w:pStyle w:val="Textonotapie"/>
        <w:ind w:firstLine="708"/>
        <w:jc w:val="both"/>
        <w:rPr>
          <w:rFonts w:ascii="Verdana" w:hAnsi="Verdana"/>
          <w:sz w:val="16"/>
          <w:szCs w:val="16"/>
        </w:rPr>
      </w:pPr>
      <w:r w:rsidRPr="00DA5F0D">
        <w:rPr>
          <w:rStyle w:val="Refdenotaalpie"/>
          <w:rFonts w:ascii="Verdana" w:hAnsi="Verdana"/>
          <w:sz w:val="16"/>
          <w:szCs w:val="16"/>
        </w:rPr>
        <w:footnoteRef/>
      </w:r>
      <w:r w:rsidRPr="00DA5F0D">
        <w:rPr>
          <w:rFonts w:ascii="Verdana" w:hAnsi="Verdana"/>
          <w:sz w:val="16"/>
          <w:szCs w:val="16"/>
        </w:rPr>
        <w:t xml:space="preserve"> Decreto 1066 de 2015: “Artículo 2.5.1.5.6. Actualización de la información en el Registro Público de Instituciones Representativas. Los Consejos Comunitarios, las formas y expresiones organizativas de las comunidades negras, afrocolombianas, raizales y palenqueras y las organizaciones de base a que se refiere el presente decreto, deberán actualizar la información inscrita en el registro público de instituciones representativas, a más tardar el último día hábil del mes de mayo de cada dos años, todos los años pares, de conformidad con el formulario que determine el Ministerio del Interior. </w:t>
      </w:r>
    </w:p>
    <w:p w14:paraId="3C599774" w14:textId="4F7AC579" w:rsidR="00606290" w:rsidRPr="00DA5F0D" w:rsidRDefault="007627BF" w:rsidP="003A032D">
      <w:pPr>
        <w:pStyle w:val="Textonotapie"/>
        <w:ind w:firstLine="708"/>
        <w:jc w:val="both"/>
        <w:rPr>
          <w:rFonts w:ascii="Verdana" w:hAnsi="Verdana"/>
          <w:sz w:val="16"/>
          <w:szCs w:val="16"/>
        </w:rPr>
      </w:pPr>
      <w:r w:rsidRPr="00DA5F0D">
        <w:rPr>
          <w:rFonts w:ascii="Verdana" w:hAnsi="Verdana"/>
          <w:sz w:val="16"/>
          <w:szCs w:val="16"/>
        </w:rPr>
        <w:t xml:space="preserve">En caso de que no actualice la información en el plazo antes indicado, en la certificación de inscripción se indicará que los datos inscritos no se encuentran actualizados. Así mismo, cuando se allegue la documentación para la actualización con fecha posterior, la Dirección de Asuntos para Comunidades Negras, Afrocolombianas, Raizales y Palenqueras del Ministerio del Interior, procederá a efectuar la respectiva actualización. </w:t>
      </w:r>
    </w:p>
    <w:p w14:paraId="6F835CCD" w14:textId="77777777" w:rsidR="007627BF" w:rsidRPr="00DA5F0D" w:rsidRDefault="007627BF" w:rsidP="007627BF">
      <w:pPr>
        <w:pStyle w:val="Textonotapie"/>
        <w:ind w:firstLine="708"/>
        <w:jc w:val="both"/>
        <w:rPr>
          <w:rFonts w:ascii="Century Gothic" w:hAnsi="Century Gothic"/>
          <w:sz w:val="16"/>
          <w:szCs w:val="16"/>
        </w:rPr>
      </w:pPr>
      <w:r w:rsidRPr="00DA5F0D">
        <w:rPr>
          <w:rFonts w:ascii="Verdana" w:hAnsi="Verdana"/>
          <w:sz w:val="16"/>
          <w:szCs w:val="16"/>
        </w:rPr>
        <w:t>Contra el acto administrativo de actualización proceden los recursos de reposición ante la Dirección de Asuntos para Comunidades Negras, Afrocolombianas, Raizales y Palenqueras y de apelación ante el Viceministro para la Participación e Igualdad de Derechos”.</w:t>
      </w:r>
      <w:r w:rsidRPr="00DA5F0D">
        <w:rPr>
          <w:rFonts w:ascii="Century Gothic" w:hAnsi="Century Gothic"/>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67E"/>
    <w:rsid w:val="000133C4"/>
    <w:rsid w:val="00016F78"/>
    <w:rsid w:val="00024203"/>
    <w:rsid w:val="00031905"/>
    <w:rsid w:val="00041150"/>
    <w:rsid w:val="000421AD"/>
    <w:rsid w:val="00045498"/>
    <w:rsid w:val="00046945"/>
    <w:rsid w:val="00053531"/>
    <w:rsid w:val="00061B2A"/>
    <w:rsid w:val="00070D5C"/>
    <w:rsid w:val="00082362"/>
    <w:rsid w:val="00085C6D"/>
    <w:rsid w:val="00095042"/>
    <w:rsid w:val="000A5410"/>
    <w:rsid w:val="000A683E"/>
    <w:rsid w:val="000B19B9"/>
    <w:rsid w:val="000B29E1"/>
    <w:rsid w:val="000C048B"/>
    <w:rsid w:val="000C6B0D"/>
    <w:rsid w:val="000C7ECF"/>
    <w:rsid w:val="000D0334"/>
    <w:rsid w:val="000D2DB9"/>
    <w:rsid w:val="000E2832"/>
    <w:rsid w:val="000F6486"/>
    <w:rsid w:val="001063DE"/>
    <w:rsid w:val="00113BDB"/>
    <w:rsid w:val="0012435A"/>
    <w:rsid w:val="00125105"/>
    <w:rsid w:val="00127070"/>
    <w:rsid w:val="00127233"/>
    <w:rsid w:val="00131A9B"/>
    <w:rsid w:val="00133B67"/>
    <w:rsid w:val="00145FC2"/>
    <w:rsid w:val="00146516"/>
    <w:rsid w:val="001511A0"/>
    <w:rsid w:val="001644C2"/>
    <w:rsid w:val="001649CA"/>
    <w:rsid w:val="00174E8D"/>
    <w:rsid w:val="001803E4"/>
    <w:rsid w:val="00181BD6"/>
    <w:rsid w:val="001906A5"/>
    <w:rsid w:val="001A0E00"/>
    <w:rsid w:val="001B25F9"/>
    <w:rsid w:val="001B37F5"/>
    <w:rsid w:val="001C48FC"/>
    <w:rsid w:val="001E4177"/>
    <w:rsid w:val="001E7C39"/>
    <w:rsid w:val="001F7DC6"/>
    <w:rsid w:val="00214D48"/>
    <w:rsid w:val="002168F9"/>
    <w:rsid w:val="00232797"/>
    <w:rsid w:val="00235931"/>
    <w:rsid w:val="002421BB"/>
    <w:rsid w:val="002427DA"/>
    <w:rsid w:val="002515A1"/>
    <w:rsid w:val="0025796E"/>
    <w:rsid w:val="002707A2"/>
    <w:rsid w:val="00280A9A"/>
    <w:rsid w:val="002951A0"/>
    <w:rsid w:val="002962BC"/>
    <w:rsid w:val="002A093D"/>
    <w:rsid w:val="002A0DD0"/>
    <w:rsid w:val="002A49AC"/>
    <w:rsid w:val="002A64FD"/>
    <w:rsid w:val="002A6921"/>
    <w:rsid w:val="002B3C3E"/>
    <w:rsid w:val="002C7A84"/>
    <w:rsid w:val="002D5C24"/>
    <w:rsid w:val="002E4FD9"/>
    <w:rsid w:val="0030267F"/>
    <w:rsid w:val="0031787C"/>
    <w:rsid w:val="00322A85"/>
    <w:rsid w:val="00324168"/>
    <w:rsid w:val="00335963"/>
    <w:rsid w:val="003375BF"/>
    <w:rsid w:val="00340750"/>
    <w:rsid w:val="003448F4"/>
    <w:rsid w:val="00344DA1"/>
    <w:rsid w:val="00344F35"/>
    <w:rsid w:val="00345CF6"/>
    <w:rsid w:val="00365D80"/>
    <w:rsid w:val="00371FC2"/>
    <w:rsid w:val="00374F5E"/>
    <w:rsid w:val="00375218"/>
    <w:rsid w:val="00377E3E"/>
    <w:rsid w:val="003A032D"/>
    <w:rsid w:val="003A779E"/>
    <w:rsid w:val="003B1874"/>
    <w:rsid w:val="003D0F4D"/>
    <w:rsid w:val="003D5B0D"/>
    <w:rsid w:val="003D7002"/>
    <w:rsid w:val="003E0499"/>
    <w:rsid w:val="003F3589"/>
    <w:rsid w:val="003F3941"/>
    <w:rsid w:val="00400983"/>
    <w:rsid w:val="00406575"/>
    <w:rsid w:val="00414C74"/>
    <w:rsid w:val="0042722E"/>
    <w:rsid w:val="00432646"/>
    <w:rsid w:val="0044528D"/>
    <w:rsid w:val="0045798F"/>
    <w:rsid w:val="00461D03"/>
    <w:rsid w:val="004A1847"/>
    <w:rsid w:val="004A305D"/>
    <w:rsid w:val="004A71B8"/>
    <w:rsid w:val="004C1FC3"/>
    <w:rsid w:val="004C37AE"/>
    <w:rsid w:val="004C54E5"/>
    <w:rsid w:val="004C7856"/>
    <w:rsid w:val="004D3AC2"/>
    <w:rsid w:val="004F21C4"/>
    <w:rsid w:val="004F6476"/>
    <w:rsid w:val="004F685F"/>
    <w:rsid w:val="00506910"/>
    <w:rsid w:val="00514166"/>
    <w:rsid w:val="0051440A"/>
    <w:rsid w:val="00551187"/>
    <w:rsid w:val="005566E8"/>
    <w:rsid w:val="0056136C"/>
    <w:rsid w:val="00574867"/>
    <w:rsid w:val="00591460"/>
    <w:rsid w:val="00593136"/>
    <w:rsid w:val="005A48C1"/>
    <w:rsid w:val="005B3816"/>
    <w:rsid w:val="005B740C"/>
    <w:rsid w:val="005C18D4"/>
    <w:rsid w:val="005C3777"/>
    <w:rsid w:val="005C5CDC"/>
    <w:rsid w:val="005D1014"/>
    <w:rsid w:val="005D476C"/>
    <w:rsid w:val="005F0D9A"/>
    <w:rsid w:val="00606290"/>
    <w:rsid w:val="006219F8"/>
    <w:rsid w:val="0063004B"/>
    <w:rsid w:val="006354A6"/>
    <w:rsid w:val="00645A4A"/>
    <w:rsid w:val="00645D79"/>
    <w:rsid w:val="006479FE"/>
    <w:rsid w:val="006539FB"/>
    <w:rsid w:val="006617F0"/>
    <w:rsid w:val="00664BAD"/>
    <w:rsid w:val="00665D70"/>
    <w:rsid w:val="006900D9"/>
    <w:rsid w:val="006A761F"/>
    <w:rsid w:val="006B6FE2"/>
    <w:rsid w:val="006C7450"/>
    <w:rsid w:val="006D2327"/>
    <w:rsid w:val="006D54DE"/>
    <w:rsid w:val="006E6EA4"/>
    <w:rsid w:val="00706C16"/>
    <w:rsid w:val="00725948"/>
    <w:rsid w:val="00727F24"/>
    <w:rsid w:val="00756841"/>
    <w:rsid w:val="007627BF"/>
    <w:rsid w:val="007637FE"/>
    <w:rsid w:val="007649AB"/>
    <w:rsid w:val="00771D0C"/>
    <w:rsid w:val="007833AC"/>
    <w:rsid w:val="00792C75"/>
    <w:rsid w:val="007A6878"/>
    <w:rsid w:val="007B268C"/>
    <w:rsid w:val="007B4A2F"/>
    <w:rsid w:val="007B527F"/>
    <w:rsid w:val="007B7171"/>
    <w:rsid w:val="007C0C0F"/>
    <w:rsid w:val="007C3DC2"/>
    <w:rsid w:val="007C7ED3"/>
    <w:rsid w:val="007E33F3"/>
    <w:rsid w:val="007E5497"/>
    <w:rsid w:val="00802693"/>
    <w:rsid w:val="0080327F"/>
    <w:rsid w:val="008067AF"/>
    <w:rsid w:val="00806F5F"/>
    <w:rsid w:val="00820278"/>
    <w:rsid w:val="00830EA6"/>
    <w:rsid w:val="00867F95"/>
    <w:rsid w:val="00876F43"/>
    <w:rsid w:val="008843B6"/>
    <w:rsid w:val="00891928"/>
    <w:rsid w:val="0089386F"/>
    <w:rsid w:val="008969A8"/>
    <w:rsid w:val="008A446D"/>
    <w:rsid w:val="008B435A"/>
    <w:rsid w:val="008D180B"/>
    <w:rsid w:val="008F0EA7"/>
    <w:rsid w:val="008F1F01"/>
    <w:rsid w:val="008F799A"/>
    <w:rsid w:val="009176E4"/>
    <w:rsid w:val="009178FA"/>
    <w:rsid w:val="00917A04"/>
    <w:rsid w:val="00923EEF"/>
    <w:rsid w:val="00930DE5"/>
    <w:rsid w:val="009419F9"/>
    <w:rsid w:val="00950CE7"/>
    <w:rsid w:val="0095685E"/>
    <w:rsid w:val="00961B09"/>
    <w:rsid w:val="00965334"/>
    <w:rsid w:val="0097002D"/>
    <w:rsid w:val="0097093E"/>
    <w:rsid w:val="00986AC5"/>
    <w:rsid w:val="009A0DFA"/>
    <w:rsid w:val="009A55A0"/>
    <w:rsid w:val="009B2D26"/>
    <w:rsid w:val="009C71FA"/>
    <w:rsid w:val="009C72E7"/>
    <w:rsid w:val="009C73FE"/>
    <w:rsid w:val="009D3058"/>
    <w:rsid w:val="009D4985"/>
    <w:rsid w:val="009F2D01"/>
    <w:rsid w:val="009F3A13"/>
    <w:rsid w:val="009F6498"/>
    <w:rsid w:val="00A033FF"/>
    <w:rsid w:val="00A11EBB"/>
    <w:rsid w:val="00A122D3"/>
    <w:rsid w:val="00A12418"/>
    <w:rsid w:val="00A17F13"/>
    <w:rsid w:val="00A20739"/>
    <w:rsid w:val="00A32B68"/>
    <w:rsid w:val="00A33C78"/>
    <w:rsid w:val="00A37C86"/>
    <w:rsid w:val="00A67C0D"/>
    <w:rsid w:val="00A67E3F"/>
    <w:rsid w:val="00AB0ADB"/>
    <w:rsid w:val="00AB27ED"/>
    <w:rsid w:val="00AC13E8"/>
    <w:rsid w:val="00AD583B"/>
    <w:rsid w:val="00B00902"/>
    <w:rsid w:val="00B01B1A"/>
    <w:rsid w:val="00B06C94"/>
    <w:rsid w:val="00B135C3"/>
    <w:rsid w:val="00B35CDC"/>
    <w:rsid w:val="00B636C5"/>
    <w:rsid w:val="00B66319"/>
    <w:rsid w:val="00B72CD3"/>
    <w:rsid w:val="00B72FFF"/>
    <w:rsid w:val="00B75758"/>
    <w:rsid w:val="00B84A76"/>
    <w:rsid w:val="00BA21A6"/>
    <w:rsid w:val="00BA680B"/>
    <w:rsid w:val="00BB4AD1"/>
    <w:rsid w:val="00BC3D36"/>
    <w:rsid w:val="00BD7F72"/>
    <w:rsid w:val="00BE0D76"/>
    <w:rsid w:val="00BE1739"/>
    <w:rsid w:val="00C04FB3"/>
    <w:rsid w:val="00C07DFB"/>
    <w:rsid w:val="00C3205E"/>
    <w:rsid w:val="00C330EB"/>
    <w:rsid w:val="00C41061"/>
    <w:rsid w:val="00C41E9B"/>
    <w:rsid w:val="00C520AF"/>
    <w:rsid w:val="00C62353"/>
    <w:rsid w:val="00C63CF8"/>
    <w:rsid w:val="00C649A1"/>
    <w:rsid w:val="00C754BE"/>
    <w:rsid w:val="00C76B1C"/>
    <w:rsid w:val="00C8622E"/>
    <w:rsid w:val="00C86C5E"/>
    <w:rsid w:val="00C90943"/>
    <w:rsid w:val="00CB3F50"/>
    <w:rsid w:val="00CB6357"/>
    <w:rsid w:val="00CC1B26"/>
    <w:rsid w:val="00CD05E9"/>
    <w:rsid w:val="00D23F83"/>
    <w:rsid w:val="00D423A2"/>
    <w:rsid w:val="00D520D8"/>
    <w:rsid w:val="00D5685B"/>
    <w:rsid w:val="00D63AC2"/>
    <w:rsid w:val="00D7383B"/>
    <w:rsid w:val="00D85E8A"/>
    <w:rsid w:val="00DA231B"/>
    <w:rsid w:val="00DA5F0D"/>
    <w:rsid w:val="00DB5BFF"/>
    <w:rsid w:val="00DC39FC"/>
    <w:rsid w:val="00DE375B"/>
    <w:rsid w:val="00DF5254"/>
    <w:rsid w:val="00E1007E"/>
    <w:rsid w:val="00E16408"/>
    <w:rsid w:val="00E16C68"/>
    <w:rsid w:val="00E20894"/>
    <w:rsid w:val="00E245AB"/>
    <w:rsid w:val="00E2764C"/>
    <w:rsid w:val="00E27F2E"/>
    <w:rsid w:val="00E321BA"/>
    <w:rsid w:val="00E3339E"/>
    <w:rsid w:val="00E50AFE"/>
    <w:rsid w:val="00E55F7E"/>
    <w:rsid w:val="00E62BDB"/>
    <w:rsid w:val="00E722A8"/>
    <w:rsid w:val="00E75C92"/>
    <w:rsid w:val="00E771DC"/>
    <w:rsid w:val="00E86240"/>
    <w:rsid w:val="00E8772A"/>
    <w:rsid w:val="00E90F6B"/>
    <w:rsid w:val="00E92C27"/>
    <w:rsid w:val="00EA072D"/>
    <w:rsid w:val="00EA0E3D"/>
    <w:rsid w:val="00EA3AD9"/>
    <w:rsid w:val="00EA45E6"/>
    <w:rsid w:val="00EB2230"/>
    <w:rsid w:val="00EC38A7"/>
    <w:rsid w:val="00ED7384"/>
    <w:rsid w:val="00ED7DB2"/>
    <w:rsid w:val="00EE1AA8"/>
    <w:rsid w:val="00EE393A"/>
    <w:rsid w:val="00EE4872"/>
    <w:rsid w:val="00F1020B"/>
    <w:rsid w:val="00F104BF"/>
    <w:rsid w:val="00F31EDC"/>
    <w:rsid w:val="00F462B3"/>
    <w:rsid w:val="00F50449"/>
    <w:rsid w:val="00F5664F"/>
    <w:rsid w:val="00F666C4"/>
    <w:rsid w:val="00F76AFC"/>
    <w:rsid w:val="00F96162"/>
    <w:rsid w:val="00FA47C0"/>
    <w:rsid w:val="00FB5DD1"/>
    <w:rsid w:val="00FB6681"/>
    <w:rsid w:val="00FC0424"/>
    <w:rsid w:val="00FC2B5D"/>
    <w:rsid w:val="00FC355C"/>
    <w:rsid w:val="00FC4F91"/>
    <w:rsid w:val="00FD0C04"/>
    <w:rsid w:val="00FD1E4D"/>
    <w:rsid w:val="00FD5720"/>
    <w:rsid w:val="00FE166A"/>
    <w:rsid w:val="00FF1449"/>
    <w:rsid w:val="00FF246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D7DB2"/>
    <w:rPr>
      <w:rFonts w:ascii="Geomanist Light" w:hAnsi="Geomanist Light"/>
      <w:lang w:val="es-ES"/>
    </w:rPr>
  </w:style>
  <w:style w:type="paragraph" w:customStyle="1" w:styleId="Appelnotedebasde">
    <w:name w:val="Appel note de bas de..."/>
    <w:basedOn w:val="Normal"/>
    <w:link w:val="Refdenotaalpie"/>
    <w:uiPriority w:val="99"/>
    <w:rsid w:val="000D2DB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77103">
      <w:bodyDiv w:val="1"/>
      <w:marLeft w:val="0"/>
      <w:marRight w:val="0"/>
      <w:marTop w:val="0"/>
      <w:marBottom w:val="0"/>
      <w:divBdr>
        <w:top w:val="none" w:sz="0" w:space="0" w:color="auto"/>
        <w:left w:val="none" w:sz="0" w:space="0" w:color="auto"/>
        <w:bottom w:val="none" w:sz="0" w:space="0" w:color="auto"/>
        <w:right w:val="none" w:sz="0" w:space="0" w:color="auto"/>
      </w:divBdr>
    </w:div>
    <w:div w:id="28693238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9059688">
      <w:bodyDiv w:val="1"/>
      <w:marLeft w:val="0"/>
      <w:marRight w:val="0"/>
      <w:marTop w:val="0"/>
      <w:marBottom w:val="0"/>
      <w:divBdr>
        <w:top w:val="none" w:sz="0" w:space="0" w:color="auto"/>
        <w:left w:val="none" w:sz="0" w:space="0" w:color="auto"/>
        <w:bottom w:val="none" w:sz="0" w:space="0" w:color="auto"/>
        <w:right w:val="none" w:sz="0" w:space="0" w:color="auto"/>
      </w:divBdr>
    </w:div>
    <w:div w:id="101974326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2344690">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55421108">
      <w:bodyDiv w:val="1"/>
      <w:marLeft w:val="0"/>
      <w:marRight w:val="0"/>
      <w:marTop w:val="0"/>
      <w:marBottom w:val="0"/>
      <w:divBdr>
        <w:top w:val="none" w:sz="0" w:space="0" w:color="auto"/>
        <w:left w:val="none" w:sz="0" w:space="0" w:color="auto"/>
        <w:bottom w:val="none" w:sz="0" w:space="0" w:color="auto"/>
        <w:right w:val="none" w:sz="0" w:space="0" w:color="auto"/>
      </w:divBdr>
    </w:div>
    <w:div w:id="1672827175">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5/05/2024-Cartilla-para-incentivar-los-procesos-de-contratacion-de-los-grupos-y-comunidades-etnicas-en-la-contratacion-publica-WAYYUNAIKI.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x.c.e@hotmail.e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E9D89CD-2E0C-4C7B-B4B5-320383C2CC0C}"/>
</file>

<file path=customXml/itemProps3.xml><?xml version="1.0" encoding="utf-8"?>
<ds:datastoreItem xmlns:ds="http://schemas.openxmlformats.org/officeDocument/2006/customXml" ds:itemID="{163618BE-28CB-4D69-955E-CDA788483BED}">
  <ds:schemaRefs>
    <ds:schemaRef ds:uri="http://purl.org/dc/elements/1.1/"/>
    <ds:schemaRef ds:uri="http://purl.org/dc/terms/"/>
    <ds:schemaRef ds:uri="http://schemas.openxmlformats.org/package/2006/metadata/core-properties"/>
    <ds:schemaRef ds:uri="592fe157-d5c2-474d-aeb4-2e8e8fcba8d3"/>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8ae15d26-076e-464e-81a7-6f76a0fb3917"/>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4975</Words>
  <Characters>27363</Characters>
  <Application>Microsoft Office Word</Application>
  <DocSecurity>0</DocSecurity>
  <Lines>228</Lines>
  <Paragraphs>64</Paragraphs>
  <ScaleCrop>false</ScaleCrop>
  <Company/>
  <LinksUpToDate>false</LinksUpToDate>
  <CharactersWithSpaces>32274</CharactersWithSpaces>
  <SharedDoc>false</SharedDoc>
  <HLinks>
    <vt:vector size="24" baseType="variant">
      <vt:variant>
        <vt:i4>3145783</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vt:lpwstr>
      </vt:variant>
      <vt:variant>
        <vt:lpwstr/>
      </vt:variant>
      <vt:variant>
        <vt:i4>7209087</vt:i4>
      </vt:variant>
      <vt:variant>
        <vt:i4>6</vt:i4>
      </vt:variant>
      <vt:variant>
        <vt:i4>0</vt:i4>
      </vt:variant>
      <vt:variant>
        <vt:i4>5</vt:i4>
      </vt:variant>
      <vt:variant>
        <vt:lpwstr>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vt:lpwstr>
      </vt:variant>
      <vt:variant>
        <vt:lpwstr/>
      </vt:variant>
      <vt:variant>
        <vt:i4>131162</vt:i4>
      </vt:variant>
      <vt:variant>
        <vt:i4>3</vt:i4>
      </vt:variant>
      <vt:variant>
        <vt:i4>0</vt:i4>
      </vt:variant>
      <vt:variant>
        <vt:i4>5</vt:i4>
      </vt:variant>
      <vt:variant>
        <vt:lpwstr>https://www.colombiacompra.gov.co/wp-content/uploads/2025/05/2024-Cartilla-para-incentivar-los-procesos-de-contratacion-de-los-grupos-y-comunidades-etnicas-en-la-contratacion-publica-WAYYUNAIKI.pdf</vt:lpwstr>
      </vt:variant>
      <vt:variant>
        <vt:lpwstr/>
      </vt:variant>
      <vt:variant>
        <vt:i4>1048620</vt:i4>
      </vt:variant>
      <vt:variant>
        <vt:i4>0</vt:i4>
      </vt:variant>
      <vt:variant>
        <vt:i4>0</vt:i4>
      </vt:variant>
      <vt:variant>
        <vt:i4>5</vt:i4>
      </vt:variant>
      <vt:variant>
        <vt:lpwstr>mailto:alex.c.e@hotmail.es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19</cp:revision>
  <cp:lastPrinted>2023-01-10T21:18:00Z</cp:lastPrinted>
  <dcterms:created xsi:type="dcterms:W3CDTF">2025-07-18T15:43:00Z</dcterms:created>
  <dcterms:modified xsi:type="dcterms:W3CDTF">2025-07-18T21:21:00Z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