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A9A67B" w14:textId="77777777" w:rsidR="00E35D69" w:rsidRPr="00E35D69" w:rsidRDefault="00E35D69" w:rsidP="00E35D69">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Límites a la capacidad – Régimen </w:t>
      </w:r>
    </w:p>
    <w:p w14:paraId="7E649BEA" w14:textId="77777777" w:rsidR="00E35D69" w:rsidRPr="00E35D69" w:rsidRDefault="00E35D69" w:rsidP="00E35D69">
      <w:pPr>
        <w:spacing w:after="0" w:line="240" w:lineRule="auto"/>
        <w:jc w:val="both"/>
        <w:rPr>
          <w:rFonts w:ascii="Verdana" w:eastAsia="Times New Roman" w:hAnsi="Verdana" w:cs="Arial"/>
          <w:sz w:val="20"/>
          <w:szCs w:val="20"/>
          <w:lang w:val="es-ES"/>
        </w:rPr>
      </w:pPr>
    </w:p>
    <w:p w14:paraId="74BE5B0A" w14:textId="77777777" w:rsidR="00E35D69" w:rsidRPr="00E35D69" w:rsidRDefault="00E35D69" w:rsidP="00E35D69">
      <w:pPr>
        <w:spacing w:after="0" w:line="240" w:lineRule="auto"/>
        <w:jc w:val="both"/>
        <w:rPr>
          <w:rFonts w:ascii="Verdana" w:eastAsia="Times New Roman" w:hAnsi="Verdana" w:cs="Arial"/>
          <w:sz w:val="20"/>
          <w:szCs w:val="20"/>
        </w:rPr>
      </w:pPr>
      <w:r w:rsidRPr="00E35D69">
        <w:rPr>
          <w:rFonts w:ascii="Verdana" w:eastAsia="Times New Roman" w:hAnsi="Verdana" w:cs="Arial"/>
          <w:sz w:val="20"/>
          <w:szCs w:val="20"/>
          <w:lang w:val="es-ES"/>
        </w:rPr>
        <w:t xml:space="preserve">[…] </w:t>
      </w:r>
      <w:r w:rsidRPr="00E35D69">
        <w:rPr>
          <w:rFonts w:ascii="Verdana" w:eastAsia="Times New Roman" w:hAnsi="Verdana" w:cs="Arial"/>
          <w:sz w:val="20"/>
          <w:szCs w:val="20"/>
          <w:lang w:val="es-ES_tradnl" w:eastAsia="es-ES_tradnl"/>
        </w:rPr>
        <w:t>e</w:t>
      </w:r>
      <w:r w:rsidRPr="00E35D69">
        <w:rPr>
          <w:rFonts w:ascii="Verdana" w:eastAsia="Times New Roman" w:hAnsi="Verdana" w:cs="Arial"/>
          <w:sz w:val="20"/>
          <w:szCs w:val="20"/>
          <w:lang w:val="es-MX"/>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w:t>
      </w:r>
      <w:r w:rsidRPr="00E35D69">
        <w:rPr>
          <w:rFonts w:ascii="Verdana" w:eastAsia="Times New Roman" w:hAnsi="Verdana" w:cs="Arial"/>
          <w:sz w:val="20"/>
          <w:szCs w:val="20"/>
        </w:rPr>
        <w:t>consagradas</w:t>
      </w:r>
      <w:r w:rsidRPr="00E35D69">
        <w:rPr>
          <w:rFonts w:ascii="Verdana" w:eastAsia="Times New Roman" w:hAnsi="Verdana" w:cs="Arial"/>
          <w:sz w:val="20"/>
          <w:szCs w:val="20"/>
          <w:lang w:val="es-MX"/>
        </w:rPr>
        <w:t xml:space="preserve"> por el ordenamiento jurídico</w:t>
      </w:r>
      <w:r w:rsidRPr="00E35D69">
        <w:rPr>
          <w:rFonts w:ascii="Verdana" w:eastAsia="Times New Roman" w:hAnsi="Verdana" w:cs="Arial"/>
          <w:sz w:val="20"/>
          <w:szCs w:val="20"/>
        </w:rPr>
        <w:t xml:space="preserve">. </w:t>
      </w:r>
    </w:p>
    <w:p w14:paraId="45B7725D" w14:textId="77777777" w:rsidR="00E35D69" w:rsidRPr="00E35D69" w:rsidRDefault="00E35D69" w:rsidP="00E35D69">
      <w:pPr>
        <w:spacing w:after="0" w:line="240" w:lineRule="auto"/>
        <w:jc w:val="both"/>
        <w:rPr>
          <w:rFonts w:ascii="Verdana" w:eastAsia="Times New Roman" w:hAnsi="Verdana" w:cs="Arial"/>
          <w:sz w:val="20"/>
          <w:szCs w:val="20"/>
        </w:rPr>
      </w:pPr>
    </w:p>
    <w:p w14:paraId="29AB2AA2" w14:textId="77777777" w:rsidR="00E35D69" w:rsidRPr="00E35D69" w:rsidRDefault="00E35D69" w:rsidP="00E35D69">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Concepto </w:t>
      </w:r>
    </w:p>
    <w:p w14:paraId="268F6251" w14:textId="77777777" w:rsidR="00E35D69" w:rsidRPr="00E35D69" w:rsidRDefault="00E35D69" w:rsidP="00E35D69">
      <w:pPr>
        <w:spacing w:after="0" w:line="240" w:lineRule="auto"/>
        <w:jc w:val="both"/>
        <w:rPr>
          <w:rFonts w:ascii="Verdana" w:eastAsia="Times New Roman" w:hAnsi="Verdana" w:cs="Arial"/>
          <w:b/>
          <w:bCs/>
          <w:sz w:val="20"/>
          <w:szCs w:val="20"/>
          <w:lang w:val="es-ES"/>
        </w:rPr>
      </w:pPr>
    </w:p>
    <w:p w14:paraId="65BB929E" w14:textId="77777777" w:rsidR="00E35D69" w:rsidRPr="00E35D69" w:rsidRDefault="00E35D69" w:rsidP="00E35D69">
      <w:pPr>
        <w:spacing w:after="0" w:line="240" w:lineRule="auto"/>
        <w:jc w:val="both"/>
        <w:rPr>
          <w:rFonts w:ascii="Verdana" w:eastAsia="Times New Roman" w:hAnsi="Verdana" w:cs="Arial"/>
          <w:sz w:val="20"/>
          <w:szCs w:val="20"/>
          <w:lang w:val="es-MX"/>
        </w:rPr>
      </w:pPr>
      <w:r w:rsidRPr="00E35D69">
        <w:rPr>
          <w:rFonts w:ascii="Verdana" w:eastAsia="Times New Roman" w:hAnsi="Verdana" w:cs="Arial"/>
          <w:sz w:val="20"/>
          <w:szCs w:val="20"/>
        </w:rPr>
        <w:t>La</w:t>
      </w:r>
      <w:r w:rsidRPr="00E35D69">
        <w:rPr>
          <w:rFonts w:ascii="Verdana" w:eastAsia="Times New Roman" w:hAnsi="Verdana" w:cs="Arial"/>
          <w:sz w:val="20"/>
          <w:szCs w:val="20"/>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E35D69">
        <w:rPr>
          <w:rFonts w:ascii="Verdana" w:eastAsia="Times New Roman" w:hAnsi="Verdana" w:cs="Times New Roman"/>
          <w:sz w:val="20"/>
          <w:szCs w:val="20"/>
          <w:vertAlign w:val="superscript"/>
          <w:lang w:val="es-MX"/>
        </w:rPr>
        <w:t>.</w:t>
      </w:r>
    </w:p>
    <w:p w14:paraId="67F4A564" w14:textId="77777777" w:rsidR="00E35D69" w:rsidRPr="00E35D69" w:rsidRDefault="00E35D69" w:rsidP="00E35D69">
      <w:pPr>
        <w:spacing w:after="0" w:line="240" w:lineRule="auto"/>
        <w:ind w:left="360"/>
        <w:jc w:val="both"/>
        <w:rPr>
          <w:rFonts w:ascii="Verdana" w:eastAsia="Times New Roman" w:hAnsi="Verdana" w:cs="Arial"/>
          <w:sz w:val="20"/>
          <w:szCs w:val="20"/>
          <w:lang w:val="es-MX"/>
        </w:rPr>
      </w:pPr>
    </w:p>
    <w:p w14:paraId="2F79E00B" w14:textId="77777777" w:rsidR="00E35D69" w:rsidRPr="00E35D69" w:rsidRDefault="00E35D69" w:rsidP="00E35D69">
      <w:pPr>
        <w:spacing w:after="0" w:line="240" w:lineRule="auto"/>
        <w:jc w:val="both"/>
        <w:rPr>
          <w:rFonts w:ascii="Verdana" w:eastAsia="Times New Roman" w:hAnsi="Verdana" w:cs="Arial"/>
          <w:sz w:val="20"/>
          <w:szCs w:val="20"/>
          <w:lang w:val="es-MX"/>
        </w:rPr>
      </w:pPr>
      <w:r w:rsidRPr="00E35D69">
        <w:rPr>
          <w:rFonts w:ascii="Verdana" w:eastAsia="Times New Roman" w:hAnsi="Verdana" w:cs="Arial"/>
          <w:sz w:val="20"/>
          <w:szCs w:val="20"/>
          <w:lang w:val="es-MX"/>
        </w:rPr>
        <w:t>La consagración de limitaciones que afectan la capacidad jurídica para contratar desarrolla los principios de la función administrativa consagrados en el artículo 209 de la Constitución Política, con especial énfasis el de moralidad.</w:t>
      </w:r>
    </w:p>
    <w:p w14:paraId="7194E35B" w14:textId="77777777" w:rsidR="00E35D69" w:rsidRPr="00E35D69" w:rsidRDefault="00E35D69" w:rsidP="00E35D69">
      <w:pPr>
        <w:spacing w:after="0" w:line="240" w:lineRule="auto"/>
        <w:jc w:val="both"/>
        <w:rPr>
          <w:rFonts w:ascii="Verdana" w:eastAsia="Times New Roman" w:hAnsi="Verdana" w:cs="Arial"/>
          <w:sz w:val="20"/>
          <w:szCs w:val="20"/>
          <w:lang w:val="es-ES"/>
        </w:rPr>
      </w:pPr>
    </w:p>
    <w:p w14:paraId="77E30055" w14:textId="14E91E61" w:rsidR="00E35D69" w:rsidRPr="00E35D69" w:rsidRDefault="00E35D69" w:rsidP="00E35D69">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Interpretación restrictiva – Principio pro </w:t>
      </w:r>
      <w:r w:rsidRPr="00E35D69">
        <w:rPr>
          <w:rFonts w:ascii="Verdana" w:eastAsia="Times New Roman" w:hAnsi="Verdana" w:cs="Arial"/>
          <w:b/>
          <w:bCs/>
          <w:lang w:val="es-ES"/>
        </w:rPr>
        <w:t>libértate</w:t>
      </w:r>
      <w:r w:rsidRPr="00E35D69">
        <w:rPr>
          <w:rFonts w:ascii="Verdana" w:eastAsia="Times New Roman" w:hAnsi="Verdana" w:cs="Arial"/>
          <w:b/>
          <w:bCs/>
          <w:lang w:val="es-ES"/>
        </w:rPr>
        <w:t xml:space="preserve"> </w:t>
      </w:r>
    </w:p>
    <w:p w14:paraId="5A90BAD5" w14:textId="77777777" w:rsidR="00E35D69" w:rsidRPr="00E35D69" w:rsidRDefault="00E35D69" w:rsidP="00E35D69">
      <w:pPr>
        <w:spacing w:after="0" w:line="240" w:lineRule="auto"/>
        <w:jc w:val="both"/>
        <w:rPr>
          <w:rFonts w:ascii="Verdana" w:eastAsia="Times New Roman" w:hAnsi="Verdana" w:cs="Times New Roman"/>
          <w:b/>
          <w:bCs/>
          <w:sz w:val="20"/>
          <w:szCs w:val="20"/>
          <w:shd w:val="clear" w:color="auto" w:fill="FFFFFF"/>
          <w:lang w:val="es-ES"/>
        </w:rPr>
      </w:pPr>
    </w:p>
    <w:p w14:paraId="7D5C6441" w14:textId="66D31BC5" w:rsidR="00E35D69" w:rsidRPr="00E35D69" w:rsidRDefault="00E35D69" w:rsidP="00E35D69">
      <w:pPr>
        <w:spacing w:after="0" w:line="240" w:lineRule="auto"/>
        <w:jc w:val="both"/>
        <w:rPr>
          <w:rFonts w:ascii="Verdana" w:eastAsia="Times New Roman" w:hAnsi="Verdana" w:cs="Arial"/>
          <w:color w:val="000000"/>
          <w:kern w:val="2"/>
          <w:sz w:val="20"/>
          <w:szCs w:val="20"/>
          <w:lang w:eastAsia="es-ES"/>
        </w:rPr>
      </w:pPr>
      <w:r w:rsidRPr="00E35D69">
        <w:rPr>
          <w:rFonts w:ascii="Verdana" w:eastAsia="Times New Roman" w:hAnsi="Verdana" w:cs="Times New Roman"/>
          <w:sz w:val="20"/>
          <w:szCs w:val="20"/>
          <w:shd w:val="clear" w:color="auto" w:fill="FFFFFF"/>
          <w:lang w:val="es-ES"/>
        </w:rPr>
        <w:t xml:space="preserve">[…] </w:t>
      </w:r>
      <w:r w:rsidRPr="00E35D69">
        <w:rPr>
          <w:rFonts w:ascii="Verdana" w:eastAsia="Times New Roman" w:hAnsi="Verdana" w:cs="Arial"/>
          <w:color w:val="000000"/>
          <w:kern w:val="2"/>
          <w:sz w:val="20"/>
          <w:szCs w:val="20"/>
          <w:lang w:eastAsia="es-ES"/>
        </w:rPr>
        <w:t xml:space="preserve">el principio pro </w:t>
      </w:r>
      <w:r w:rsidRPr="00E35D69">
        <w:rPr>
          <w:rFonts w:ascii="Verdana" w:eastAsia="Times New Roman" w:hAnsi="Verdana" w:cs="Arial"/>
          <w:color w:val="000000"/>
          <w:kern w:val="2"/>
          <w:sz w:val="20"/>
          <w:szCs w:val="20"/>
          <w:lang w:eastAsia="es-ES"/>
        </w:rPr>
        <w:t>libértate</w:t>
      </w:r>
      <w:r w:rsidRPr="00E35D69">
        <w:rPr>
          <w:rFonts w:ascii="Verdana" w:eastAsia="Times New Roman" w:hAnsi="Verdana" w:cs="Arial"/>
          <w:color w:val="000000"/>
          <w:kern w:val="2"/>
          <w:sz w:val="20"/>
          <w:szCs w:val="20"/>
          <w:lang w:eastAsia="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C7EFA83" w14:textId="77777777" w:rsidR="00E35D69" w:rsidRPr="00E35D69" w:rsidRDefault="00E35D69" w:rsidP="00E35D69">
      <w:pPr>
        <w:spacing w:after="0" w:line="240" w:lineRule="auto"/>
        <w:rPr>
          <w:rFonts w:ascii="Verdana" w:eastAsia="Times New Roman" w:hAnsi="Verdana" w:cs="Arial"/>
          <w:color w:val="000000"/>
          <w:lang w:val="es-MX"/>
        </w:rPr>
      </w:pPr>
    </w:p>
    <w:p w14:paraId="0E5D58D2" w14:textId="77777777" w:rsidR="00E35D69" w:rsidRPr="00E35D69" w:rsidRDefault="00E35D69" w:rsidP="00E35D69">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CONFLICTO DE INTERESES – Concepto – Consagración Legal</w:t>
      </w:r>
    </w:p>
    <w:p w14:paraId="2E2532FA" w14:textId="77777777" w:rsidR="00E35D69" w:rsidRPr="00E35D69" w:rsidRDefault="00E35D69" w:rsidP="00E35D69">
      <w:pPr>
        <w:spacing w:after="0" w:line="240" w:lineRule="auto"/>
        <w:rPr>
          <w:rFonts w:ascii="Verdana" w:eastAsia="Times New Roman" w:hAnsi="Verdana" w:cs="Arial"/>
          <w:color w:val="000000"/>
          <w:lang w:val="es-MX"/>
        </w:rPr>
      </w:pPr>
    </w:p>
    <w:p w14:paraId="64216D9F" w14:textId="77777777" w:rsidR="00E35D69" w:rsidRPr="00E35D69" w:rsidRDefault="00E35D69" w:rsidP="00E35D69">
      <w:pPr>
        <w:spacing w:after="0" w:line="240" w:lineRule="auto"/>
        <w:jc w:val="both"/>
        <w:rPr>
          <w:rFonts w:ascii="Verdana" w:eastAsia="Times New Roman" w:hAnsi="Verdana" w:cs="Times New Roman"/>
          <w:sz w:val="20"/>
          <w:szCs w:val="20"/>
          <w:shd w:val="clear" w:color="auto" w:fill="FFFFFF"/>
          <w:lang w:val="es-ES"/>
        </w:rPr>
      </w:pPr>
      <w:r w:rsidRPr="00E35D69">
        <w:rPr>
          <w:rFonts w:ascii="Verdana" w:eastAsia="Times New Roman" w:hAnsi="Verdana" w:cs="Times New Roman"/>
          <w:sz w:val="20"/>
          <w:szCs w:val="20"/>
          <w:shd w:val="clear" w:color="auto" w:fill="FFFFFF"/>
          <w:lang w:val="es-ES"/>
        </w:rPr>
        <w:t xml:space="preserve">[…]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w:t>
      </w:r>
      <w:r w:rsidRPr="00E35D69">
        <w:rPr>
          <w:rFonts w:ascii="Verdana" w:eastAsia="Times New Roman" w:hAnsi="Verdana" w:cs="Times New Roman"/>
          <w:sz w:val="20"/>
          <w:szCs w:val="20"/>
          <w:shd w:val="clear" w:color="auto" w:fill="FFFFFF"/>
          <w:lang w:val="es-ES"/>
        </w:rPr>
        <w:lastRenderedPageBreak/>
        <w:t>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10AB32FF" w14:textId="77777777" w:rsidR="00E35D69" w:rsidRPr="00E35D69" w:rsidRDefault="00E35D69" w:rsidP="00580396">
      <w:pPr>
        <w:spacing w:after="0" w:line="240" w:lineRule="auto"/>
        <w:rPr>
          <w:rFonts w:ascii="Verdana" w:eastAsia="Geomanist Light" w:hAnsi="Verdana" w:cs="Arial"/>
          <w:color w:val="000000" w:themeColor="text1"/>
          <w:lang w:val="es-ES"/>
        </w:rPr>
      </w:pPr>
    </w:p>
    <w:p w14:paraId="748A89AA" w14:textId="5C65149A" w:rsidR="00853900" w:rsidRPr="00853900" w:rsidRDefault="00853900" w:rsidP="00853900">
      <w:pPr>
        <w:spacing w:after="0" w:line="240" w:lineRule="auto"/>
        <w:jc w:val="both"/>
        <w:rPr>
          <w:rFonts w:ascii="Verdana" w:eastAsia="Geomanist Light" w:hAnsi="Verdana" w:cs="Arial"/>
          <w:b/>
          <w:bCs/>
          <w:color w:val="000000" w:themeColor="text1"/>
          <w:lang w:val="es-ES"/>
        </w:rPr>
      </w:pPr>
      <w:r w:rsidRPr="00853900">
        <w:rPr>
          <w:rFonts w:ascii="Verdana" w:eastAsia="Geomanist Light" w:hAnsi="Verdana" w:cs="Arial"/>
          <w:b/>
          <w:bCs/>
          <w:color w:val="000000" w:themeColor="text1"/>
          <w:lang w:val="es-ES"/>
        </w:rPr>
        <w:t xml:space="preserve">CONFLICTO DE INTERESES – Concepto </w:t>
      </w:r>
    </w:p>
    <w:p w14:paraId="01D02CE8" w14:textId="77777777" w:rsidR="00853900" w:rsidRPr="00853900" w:rsidRDefault="00853900" w:rsidP="00853900">
      <w:pPr>
        <w:spacing w:after="0" w:line="240" w:lineRule="auto"/>
        <w:rPr>
          <w:rFonts w:ascii="Verdana" w:eastAsia="Geomanist Light" w:hAnsi="Verdana" w:cs="Arial"/>
          <w:color w:val="000000" w:themeColor="text1"/>
          <w:lang w:val="es-MX"/>
        </w:rPr>
      </w:pPr>
    </w:p>
    <w:p w14:paraId="2A57745C" w14:textId="77777777" w:rsidR="00853900" w:rsidRPr="00853900" w:rsidRDefault="00853900" w:rsidP="00853900">
      <w:pPr>
        <w:spacing w:after="0" w:line="240" w:lineRule="auto"/>
        <w:jc w:val="both"/>
        <w:rPr>
          <w:rFonts w:ascii="Verdana" w:eastAsia="Geomanist Light" w:hAnsi="Verdana" w:cs="Arial"/>
          <w:color w:val="000000" w:themeColor="text1"/>
          <w:sz w:val="20"/>
          <w:szCs w:val="20"/>
          <w:lang w:val="es-ES"/>
        </w:rPr>
      </w:pPr>
      <w:r w:rsidRPr="00853900">
        <w:rPr>
          <w:rFonts w:ascii="Verdana" w:eastAsia="Geomanist Light" w:hAnsi="Verdana" w:cs="Arial"/>
          <w:color w:val="000000" w:themeColor="text1"/>
          <w:sz w:val="20"/>
          <w:szCs w:val="20"/>
          <w:lang w:val="es-ES"/>
        </w:rPr>
        <w:t>[…]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548943BB" w14:textId="77777777" w:rsidR="00E35D69" w:rsidRPr="00853900" w:rsidRDefault="00E35D69" w:rsidP="00853900">
      <w:pPr>
        <w:spacing w:after="0" w:line="240" w:lineRule="auto"/>
        <w:jc w:val="both"/>
        <w:rPr>
          <w:rFonts w:ascii="Verdana" w:eastAsia="Geomanist Light" w:hAnsi="Verdana" w:cs="Arial"/>
          <w:color w:val="000000" w:themeColor="text1"/>
          <w:lang w:val="es-ES"/>
        </w:rPr>
      </w:pPr>
    </w:p>
    <w:p w14:paraId="3F00A897" w14:textId="77777777" w:rsidR="00E35D69" w:rsidRDefault="00E35D69" w:rsidP="00580396">
      <w:pPr>
        <w:spacing w:after="0" w:line="240" w:lineRule="auto"/>
        <w:rPr>
          <w:rFonts w:ascii="Verdana" w:eastAsia="Geomanist Light" w:hAnsi="Verdana" w:cs="Arial"/>
          <w:color w:val="000000" w:themeColor="text1"/>
          <w:lang w:val="es-MX"/>
        </w:rPr>
      </w:pPr>
    </w:p>
    <w:p w14:paraId="07D50B47" w14:textId="77777777" w:rsidR="00E35D69" w:rsidRDefault="00E35D69" w:rsidP="00580396">
      <w:pPr>
        <w:spacing w:after="0" w:line="240" w:lineRule="auto"/>
        <w:rPr>
          <w:rFonts w:ascii="Verdana" w:eastAsia="Geomanist Light" w:hAnsi="Verdana" w:cs="Arial"/>
          <w:color w:val="000000" w:themeColor="text1"/>
          <w:lang w:val="es-MX"/>
        </w:rPr>
      </w:pPr>
    </w:p>
    <w:p w14:paraId="0EAC7D8F" w14:textId="77777777" w:rsidR="00E35D69" w:rsidRDefault="00E35D69" w:rsidP="00580396">
      <w:pPr>
        <w:spacing w:after="0" w:line="240" w:lineRule="auto"/>
        <w:rPr>
          <w:rFonts w:ascii="Verdana" w:eastAsia="Geomanist Light" w:hAnsi="Verdana" w:cs="Arial"/>
          <w:color w:val="000000" w:themeColor="text1"/>
          <w:lang w:val="es-MX"/>
        </w:rPr>
      </w:pPr>
    </w:p>
    <w:p w14:paraId="2A341159" w14:textId="77777777" w:rsidR="00E35D69" w:rsidRDefault="00E35D69" w:rsidP="00580396">
      <w:pPr>
        <w:spacing w:after="0" w:line="240" w:lineRule="auto"/>
        <w:rPr>
          <w:rFonts w:ascii="Verdana" w:eastAsia="Geomanist Light" w:hAnsi="Verdana" w:cs="Arial"/>
          <w:color w:val="000000" w:themeColor="text1"/>
          <w:lang w:val="es-MX"/>
        </w:rPr>
      </w:pPr>
    </w:p>
    <w:p w14:paraId="140F0D3E" w14:textId="77777777" w:rsidR="00E35D69" w:rsidRDefault="00E35D69" w:rsidP="00580396">
      <w:pPr>
        <w:spacing w:after="0" w:line="240" w:lineRule="auto"/>
        <w:rPr>
          <w:rFonts w:ascii="Verdana" w:eastAsia="Geomanist Light" w:hAnsi="Verdana" w:cs="Arial"/>
          <w:color w:val="000000" w:themeColor="text1"/>
          <w:lang w:val="es-MX"/>
        </w:rPr>
      </w:pPr>
    </w:p>
    <w:p w14:paraId="48E5819B" w14:textId="77777777" w:rsidR="00E35D69" w:rsidRDefault="00E35D69" w:rsidP="00580396">
      <w:pPr>
        <w:spacing w:after="0" w:line="240" w:lineRule="auto"/>
        <w:rPr>
          <w:rFonts w:ascii="Verdana" w:eastAsia="Geomanist Light" w:hAnsi="Verdana" w:cs="Arial"/>
          <w:color w:val="000000" w:themeColor="text1"/>
          <w:lang w:val="es-MX"/>
        </w:rPr>
      </w:pPr>
    </w:p>
    <w:p w14:paraId="3ED4221F" w14:textId="77777777" w:rsidR="00E35D69" w:rsidRDefault="00E35D69" w:rsidP="00580396">
      <w:pPr>
        <w:spacing w:after="0" w:line="240" w:lineRule="auto"/>
        <w:rPr>
          <w:rFonts w:ascii="Verdana" w:eastAsia="Geomanist Light" w:hAnsi="Verdana" w:cs="Arial"/>
          <w:color w:val="000000" w:themeColor="text1"/>
          <w:lang w:val="es-MX"/>
        </w:rPr>
      </w:pPr>
    </w:p>
    <w:p w14:paraId="594D67D9" w14:textId="77777777" w:rsidR="00E35D69" w:rsidRDefault="00E35D69" w:rsidP="00580396">
      <w:pPr>
        <w:spacing w:after="0" w:line="240" w:lineRule="auto"/>
        <w:rPr>
          <w:rFonts w:ascii="Verdana" w:eastAsia="Geomanist Light" w:hAnsi="Verdana" w:cs="Arial"/>
          <w:color w:val="000000" w:themeColor="text1"/>
          <w:lang w:val="es-MX"/>
        </w:rPr>
      </w:pPr>
    </w:p>
    <w:p w14:paraId="54F5FFAB" w14:textId="77777777" w:rsidR="00E35D69" w:rsidRDefault="00E35D69" w:rsidP="00580396">
      <w:pPr>
        <w:spacing w:after="0" w:line="240" w:lineRule="auto"/>
        <w:rPr>
          <w:rFonts w:ascii="Verdana" w:eastAsia="Geomanist Light" w:hAnsi="Verdana" w:cs="Arial"/>
          <w:color w:val="000000" w:themeColor="text1"/>
          <w:lang w:val="es-MX"/>
        </w:rPr>
      </w:pPr>
    </w:p>
    <w:p w14:paraId="4463FA31" w14:textId="77777777" w:rsidR="00E35D69" w:rsidRDefault="00E35D69" w:rsidP="00580396">
      <w:pPr>
        <w:spacing w:after="0" w:line="240" w:lineRule="auto"/>
        <w:rPr>
          <w:rFonts w:ascii="Verdana" w:eastAsia="Geomanist Light" w:hAnsi="Verdana" w:cs="Arial"/>
          <w:color w:val="000000" w:themeColor="text1"/>
          <w:lang w:val="es-MX"/>
        </w:rPr>
      </w:pPr>
    </w:p>
    <w:p w14:paraId="771D8FE8" w14:textId="77777777" w:rsidR="00E35D69" w:rsidRDefault="00E35D69" w:rsidP="00580396">
      <w:pPr>
        <w:spacing w:after="0" w:line="240" w:lineRule="auto"/>
        <w:rPr>
          <w:rFonts w:ascii="Verdana" w:eastAsia="Geomanist Light" w:hAnsi="Verdana" w:cs="Arial"/>
          <w:color w:val="000000" w:themeColor="text1"/>
          <w:lang w:val="es-MX"/>
        </w:rPr>
      </w:pPr>
    </w:p>
    <w:p w14:paraId="186BCF0F" w14:textId="77777777" w:rsidR="00E35D69" w:rsidRDefault="00E35D69" w:rsidP="00580396">
      <w:pPr>
        <w:spacing w:after="0" w:line="240" w:lineRule="auto"/>
        <w:rPr>
          <w:rFonts w:ascii="Verdana" w:eastAsia="Geomanist Light" w:hAnsi="Verdana" w:cs="Arial"/>
          <w:color w:val="000000" w:themeColor="text1"/>
          <w:lang w:val="es-MX"/>
        </w:rPr>
      </w:pPr>
    </w:p>
    <w:p w14:paraId="616C73F1" w14:textId="77777777" w:rsidR="00E35D69" w:rsidRDefault="00E35D69" w:rsidP="00580396">
      <w:pPr>
        <w:spacing w:after="0" w:line="240" w:lineRule="auto"/>
        <w:rPr>
          <w:rFonts w:ascii="Verdana" w:eastAsia="Geomanist Light" w:hAnsi="Verdana" w:cs="Arial"/>
          <w:color w:val="000000" w:themeColor="text1"/>
          <w:lang w:val="es-MX"/>
        </w:rPr>
      </w:pPr>
    </w:p>
    <w:p w14:paraId="210F20CA" w14:textId="77777777" w:rsidR="00E35D69" w:rsidRDefault="00E35D69" w:rsidP="00580396">
      <w:pPr>
        <w:spacing w:after="0" w:line="240" w:lineRule="auto"/>
        <w:rPr>
          <w:rFonts w:ascii="Verdana" w:eastAsia="Geomanist Light" w:hAnsi="Verdana" w:cs="Arial"/>
          <w:color w:val="000000" w:themeColor="text1"/>
          <w:lang w:val="es-MX"/>
        </w:rPr>
      </w:pPr>
    </w:p>
    <w:p w14:paraId="5CAF23D9" w14:textId="77777777" w:rsidR="00E35D69" w:rsidRDefault="00E35D69" w:rsidP="00580396">
      <w:pPr>
        <w:spacing w:after="0" w:line="240" w:lineRule="auto"/>
        <w:rPr>
          <w:rFonts w:ascii="Verdana" w:eastAsia="Geomanist Light" w:hAnsi="Verdana" w:cs="Arial"/>
          <w:color w:val="000000" w:themeColor="text1"/>
          <w:lang w:val="es-MX"/>
        </w:rPr>
      </w:pPr>
    </w:p>
    <w:p w14:paraId="678D2688" w14:textId="77777777" w:rsidR="00E35D69" w:rsidRDefault="00E35D69" w:rsidP="00580396">
      <w:pPr>
        <w:spacing w:after="0" w:line="240" w:lineRule="auto"/>
        <w:rPr>
          <w:rFonts w:ascii="Verdana" w:eastAsia="Geomanist Light" w:hAnsi="Verdana" w:cs="Arial"/>
          <w:color w:val="000000" w:themeColor="text1"/>
          <w:lang w:val="es-MX"/>
        </w:rPr>
      </w:pPr>
    </w:p>
    <w:p w14:paraId="44C82528" w14:textId="77777777" w:rsidR="00E35D69" w:rsidRDefault="00E35D69" w:rsidP="00580396">
      <w:pPr>
        <w:spacing w:after="0" w:line="240" w:lineRule="auto"/>
        <w:rPr>
          <w:rFonts w:ascii="Verdana" w:eastAsia="Geomanist Light" w:hAnsi="Verdana" w:cs="Arial"/>
          <w:color w:val="000000" w:themeColor="text1"/>
          <w:lang w:val="es-MX"/>
        </w:rPr>
      </w:pPr>
    </w:p>
    <w:p w14:paraId="1EDAF7C5" w14:textId="77777777" w:rsidR="00E35D69" w:rsidRDefault="00E35D69" w:rsidP="00580396">
      <w:pPr>
        <w:spacing w:after="0" w:line="240" w:lineRule="auto"/>
        <w:rPr>
          <w:rFonts w:ascii="Verdana" w:eastAsia="Geomanist Light" w:hAnsi="Verdana" w:cs="Arial"/>
          <w:color w:val="000000" w:themeColor="text1"/>
          <w:lang w:val="es-MX"/>
        </w:rPr>
      </w:pPr>
    </w:p>
    <w:p w14:paraId="2BDF6BA1" w14:textId="77777777" w:rsidR="00853900" w:rsidRDefault="00853900" w:rsidP="00580396">
      <w:pPr>
        <w:spacing w:after="0" w:line="240" w:lineRule="auto"/>
        <w:rPr>
          <w:rFonts w:ascii="Verdana" w:eastAsia="Geomanist Light" w:hAnsi="Verdana" w:cs="Arial"/>
          <w:color w:val="000000" w:themeColor="text1"/>
          <w:lang w:val="es-MX"/>
        </w:rPr>
      </w:pPr>
    </w:p>
    <w:p w14:paraId="674FDDD1" w14:textId="0512ED8E" w:rsidR="00661953" w:rsidRDefault="002410DF" w:rsidP="00580396">
      <w:pPr>
        <w:spacing w:after="0" w:line="240" w:lineRule="auto"/>
        <w:rPr>
          <w:rFonts w:ascii="Verdana" w:eastAsia="Geomanist Light" w:hAnsi="Verdana" w:cs="Arial"/>
          <w:color w:val="000000" w:themeColor="text1"/>
          <w:lang w:val="es-MX"/>
        </w:rPr>
      </w:pPr>
      <w:r w:rsidRPr="002410DF">
        <w:rPr>
          <w:rFonts w:ascii="Verdana" w:eastAsia="Geomanist Light" w:hAnsi="Verdana" w:cs="Arial"/>
          <w:color w:val="000000" w:themeColor="text1"/>
        </w:rPr>
        <w:lastRenderedPageBreak/>
        <w:t>Bogotá D.C., 13 de Noviembre de 2024</w:t>
      </w:r>
    </w:p>
    <w:p w14:paraId="0E3B2F2F" w14:textId="31DA1E3D" w:rsidR="00580396" w:rsidRDefault="007A49AF" w:rsidP="00580396">
      <w:pPr>
        <w:spacing w:after="0" w:line="240" w:lineRule="auto"/>
        <w:rPr>
          <w:rFonts w:ascii="Verdana" w:eastAsia="Geomanist Light" w:hAnsi="Verdana" w:cs="Arial"/>
          <w:color w:val="000000" w:themeColor="text1"/>
          <w:lang w:val="es-MX"/>
        </w:rPr>
      </w:pPr>
      <w:r w:rsidRPr="007A49AF">
        <w:rPr>
          <w:rFonts w:ascii="Verdana" w:eastAsia="Geomanist Light" w:hAnsi="Verdana" w:cs="Arial"/>
          <w:color w:val="000000" w:themeColor="text1"/>
          <w:lang w:val="es-MX"/>
        </w:rPr>
        <w:drawing>
          <wp:anchor distT="0" distB="0" distL="114300" distR="114300" simplePos="0" relativeHeight="251658240" behindDoc="1" locked="0" layoutInCell="1" allowOverlap="1" wp14:anchorId="3FAA9755" wp14:editId="156EB31E">
            <wp:simplePos x="0" y="0"/>
            <wp:positionH relativeFrom="column">
              <wp:posOffset>2413000</wp:posOffset>
            </wp:positionH>
            <wp:positionV relativeFrom="paragraph">
              <wp:posOffset>104775</wp:posOffset>
            </wp:positionV>
            <wp:extent cx="3503295" cy="1089025"/>
            <wp:effectExtent l="0" t="0" r="1905" b="0"/>
            <wp:wrapTight wrapText="bothSides">
              <wp:wrapPolygon edited="0">
                <wp:start x="0" y="0"/>
                <wp:lineTo x="0" y="21159"/>
                <wp:lineTo x="21494" y="21159"/>
                <wp:lineTo x="21494" y="0"/>
                <wp:lineTo x="0" y="0"/>
              </wp:wrapPolygon>
            </wp:wrapTight>
            <wp:docPr id="9142052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05296"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503295" cy="1089025"/>
                    </a:xfrm>
                    <a:prstGeom prst="rect">
                      <a:avLst/>
                    </a:prstGeom>
                  </pic:spPr>
                </pic:pic>
              </a:graphicData>
            </a:graphic>
            <wp14:sizeRelH relativeFrom="margin">
              <wp14:pctWidth>0</wp14:pctWidth>
            </wp14:sizeRelH>
            <wp14:sizeRelV relativeFrom="margin">
              <wp14:pctHeight>0</wp14:pctHeight>
            </wp14:sizeRelV>
          </wp:anchor>
        </w:drawing>
      </w:r>
    </w:p>
    <w:p w14:paraId="51648099" w14:textId="54DF65F6" w:rsidR="00580396" w:rsidRDefault="00580396" w:rsidP="00580396">
      <w:pPr>
        <w:spacing w:after="0" w:line="240" w:lineRule="auto"/>
        <w:rPr>
          <w:rFonts w:ascii="Verdana" w:eastAsia="Geomanist Light" w:hAnsi="Verdana" w:cs="Arial"/>
          <w:color w:val="000000" w:themeColor="text1"/>
          <w:lang w:val="es-MX"/>
        </w:rPr>
      </w:pPr>
    </w:p>
    <w:p w14:paraId="53D4EACE" w14:textId="0C4AEFB1" w:rsidR="006F5018" w:rsidRDefault="006F5018" w:rsidP="00580396">
      <w:pPr>
        <w:spacing w:after="0" w:line="240" w:lineRule="auto"/>
        <w:rPr>
          <w:rFonts w:ascii="Verdana" w:eastAsia="Geomanist Light" w:hAnsi="Verdana" w:cs="Arial"/>
          <w:color w:val="000000" w:themeColor="text1"/>
          <w:lang w:val="es-MX"/>
        </w:rPr>
      </w:pPr>
    </w:p>
    <w:p w14:paraId="13D2A7A8" w14:textId="77777777" w:rsidR="006F5018" w:rsidRPr="00580396" w:rsidRDefault="006F5018" w:rsidP="00580396">
      <w:pPr>
        <w:spacing w:after="0" w:line="240" w:lineRule="auto"/>
        <w:rPr>
          <w:rFonts w:ascii="Verdana" w:eastAsia="Geomanist Light" w:hAnsi="Verdana" w:cs="Arial"/>
          <w:color w:val="000000" w:themeColor="text1"/>
          <w:lang w:val="es-MX"/>
        </w:rPr>
      </w:pPr>
    </w:p>
    <w:p w14:paraId="4278FCF8" w14:textId="77777777" w:rsidR="007A49AF" w:rsidRDefault="007A49AF" w:rsidP="00661953">
      <w:pPr>
        <w:spacing w:after="0" w:line="240" w:lineRule="auto"/>
        <w:jc w:val="both"/>
        <w:rPr>
          <w:rFonts w:ascii="Verdana" w:eastAsia="Calibri" w:hAnsi="Verdana" w:cs="Arial"/>
          <w:color w:val="000000" w:themeColor="text1"/>
          <w:lang w:val="es-ES" w:eastAsia="es-ES"/>
        </w:rPr>
      </w:pPr>
    </w:p>
    <w:p w14:paraId="6D2444A2" w14:textId="77777777" w:rsidR="007A49AF" w:rsidRDefault="007A49AF" w:rsidP="00661953">
      <w:pPr>
        <w:spacing w:after="0" w:line="240" w:lineRule="auto"/>
        <w:jc w:val="both"/>
        <w:rPr>
          <w:rFonts w:ascii="Verdana" w:eastAsia="Calibri" w:hAnsi="Verdana" w:cs="Arial"/>
          <w:color w:val="000000" w:themeColor="text1"/>
          <w:lang w:val="es-ES" w:eastAsia="es-ES"/>
        </w:rPr>
      </w:pPr>
    </w:p>
    <w:p w14:paraId="33529F86" w14:textId="77777777" w:rsidR="007A49AF" w:rsidRDefault="007A49AF" w:rsidP="00661953">
      <w:pPr>
        <w:spacing w:after="0" w:line="240" w:lineRule="auto"/>
        <w:jc w:val="both"/>
        <w:rPr>
          <w:rFonts w:ascii="Verdana" w:eastAsia="Calibri" w:hAnsi="Verdana" w:cs="Arial"/>
          <w:color w:val="000000" w:themeColor="text1"/>
          <w:lang w:val="es-ES" w:eastAsia="es-ES"/>
        </w:rPr>
      </w:pPr>
    </w:p>
    <w:p w14:paraId="7DFD968E" w14:textId="2369F7C2" w:rsidR="00661953" w:rsidRPr="00115E3D" w:rsidRDefault="00661953" w:rsidP="00661953">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0485BA8E" w14:textId="5778FC68" w:rsidR="00661953" w:rsidRPr="00115E3D" w:rsidRDefault="00661953" w:rsidP="00661953">
      <w:pPr>
        <w:spacing w:after="0" w:line="240" w:lineRule="auto"/>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J</w:t>
      </w:r>
      <w:r>
        <w:rPr>
          <w:rFonts w:ascii="Verdana" w:eastAsia="Calibri" w:hAnsi="Verdana" w:cs="Arial"/>
          <w:b/>
          <w:color w:val="000000" w:themeColor="text1"/>
          <w:lang w:val="es-ES_tradnl" w:eastAsia="es-ES_tradnl"/>
        </w:rPr>
        <w:t>oel Pompeyo</w:t>
      </w:r>
    </w:p>
    <w:p w14:paraId="19527B88" w14:textId="137E5D27" w:rsidR="00661953" w:rsidRDefault="00DB0612" w:rsidP="00661953">
      <w:pPr>
        <w:spacing w:after="0" w:line="240" w:lineRule="auto"/>
        <w:rPr>
          <w:rFonts w:ascii="Verdana" w:eastAsia="Calibri" w:hAnsi="Verdana" w:cs="Arial"/>
          <w:color w:val="000000" w:themeColor="text1"/>
          <w:u w:val="single"/>
          <w:lang w:val="es-ES" w:eastAsia="es-ES"/>
        </w:rPr>
      </w:pPr>
      <w:hyperlink r:id="rId8" w:history="1">
        <w:r w:rsidRPr="00B222F5">
          <w:rPr>
            <w:rStyle w:val="Hipervnculo"/>
            <w:rFonts w:ascii="Verdana" w:eastAsia="Calibri" w:hAnsi="Verdana" w:cs="Arial"/>
            <w:lang w:val="es-ES" w:eastAsia="es-ES"/>
          </w:rPr>
          <w:t>impulido14@gmail.com</w:t>
        </w:r>
      </w:hyperlink>
    </w:p>
    <w:p w14:paraId="0C59CEC0" w14:textId="607D6EE1" w:rsidR="00661953" w:rsidRPr="00115E3D" w:rsidRDefault="00661953" w:rsidP="00661953">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Villahermosa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Tolima</w:t>
      </w:r>
    </w:p>
    <w:p w14:paraId="6C5D5405" w14:textId="77777777" w:rsidR="00661953" w:rsidRPr="00115E3D" w:rsidRDefault="00661953" w:rsidP="00661953">
      <w:pPr>
        <w:spacing w:after="0" w:line="240" w:lineRule="auto"/>
        <w:rPr>
          <w:rFonts w:ascii="Verdana" w:eastAsia="Calibri" w:hAnsi="Verdana" w:cs="Arial"/>
          <w:b/>
          <w:bCs/>
          <w:color w:val="000000" w:themeColor="text1"/>
          <w:lang w:val="es-ES_tradnl" w:eastAsia="es-ES_tradnl"/>
        </w:rPr>
      </w:pPr>
    </w:p>
    <w:p w14:paraId="536D2D77" w14:textId="77777777" w:rsidR="00661953" w:rsidRPr="00115E3D" w:rsidRDefault="00661953" w:rsidP="00661953">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1953" w:rsidRPr="00115E3D" w14:paraId="1C64FE73" w14:textId="77777777" w:rsidTr="003028CD">
        <w:trPr>
          <w:trHeight w:val="884"/>
        </w:trPr>
        <w:tc>
          <w:tcPr>
            <w:tcW w:w="2689" w:type="dxa"/>
          </w:tcPr>
          <w:p w14:paraId="1E760C91" w14:textId="77777777" w:rsidR="00661953" w:rsidRPr="00115E3D" w:rsidRDefault="00661953" w:rsidP="003028CD">
            <w:pPr>
              <w:jc w:val="both"/>
              <w:rPr>
                <w:rFonts w:ascii="Verdana" w:eastAsia="Calibri" w:hAnsi="Verdana" w:cs="Arial"/>
                <w:b/>
                <w:bCs/>
                <w:color w:val="000000" w:themeColor="text1"/>
                <w:lang w:val="es-ES_tradnl" w:eastAsia="es-ES_tradnl"/>
              </w:rPr>
            </w:pPr>
          </w:p>
        </w:tc>
        <w:tc>
          <w:tcPr>
            <w:tcW w:w="6100" w:type="dxa"/>
          </w:tcPr>
          <w:p w14:paraId="31CCE474" w14:textId="266B4F69" w:rsidR="00661953" w:rsidRPr="00115E3D" w:rsidRDefault="00661953" w:rsidP="003028CD">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sidR="00511022">
              <w:rPr>
                <w:rFonts w:ascii="Verdana" w:eastAsia="Calibri" w:hAnsi="Verdana" w:cs="Arial"/>
                <w:b/>
                <w:bCs/>
                <w:color w:val="000000" w:themeColor="text1"/>
                <w:lang w:val="es-ES" w:eastAsia="es-ES"/>
              </w:rPr>
              <w:t>795</w:t>
            </w:r>
            <w:r w:rsidRPr="00115E3D">
              <w:rPr>
                <w:rFonts w:ascii="Verdana" w:eastAsia="Calibri" w:hAnsi="Verdana" w:cs="Arial"/>
                <w:b/>
                <w:bCs/>
                <w:color w:val="000000" w:themeColor="text1"/>
                <w:lang w:val="es-ES" w:eastAsia="es-ES"/>
              </w:rPr>
              <w:t xml:space="preserve"> de 2024</w:t>
            </w:r>
          </w:p>
        </w:tc>
      </w:tr>
      <w:tr w:rsidR="00661953" w:rsidRPr="00115E3D" w14:paraId="6E1F7B45" w14:textId="77777777" w:rsidTr="003028CD">
        <w:trPr>
          <w:trHeight w:val="884"/>
        </w:trPr>
        <w:tc>
          <w:tcPr>
            <w:tcW w:w="2689" w:type="dxa"/>
          </w:tcPr>
          <w:p w14:paraId="6982401E" w14:textId="77777777" w:rsidR="00661953" w:rsidRPr="000B7ECC" w:rsidRDefault="00661953" w:rsidP="003028CD">
            <w:pPr>
              <w:jc w:val="both"/>
              <w:rPr>
                <w:rFonts w:ascii="Verdana" w:eastAsia="Calibri" w:hAnsi="Verdana" w:cs="Arial"/>
                <w:color w:val="000000" w:themeColor="text1"/>
                <w:lang w:val="es-ES_tradnl" w:eastAsia="es-ES_tradnl"/>
              </w:rPr>
            </w:pPr>
            <w:r w:rsidRPr="000B7ECC">
              <w:rPr>
                <w:rFonts w:ascii="Verdana" w:eastAsia="Calibri" w:hAnsi="Verdana" w:cs="Arial"/>
                <w:b/>
                <w:color w:val="000000" w:themeColor="text1"/>
                <w:lang w:val="es-ES_tradnl" w:eastAsia="es-ES_tradnl"/>
              </w:rPr>
              <w:t>Temas:</w:t>
            </w:r>
            <w:r w:rsidRPr="000B7ECC">
              <w:rPr>
                <w:rFonts w:ascii="Verdana" w:eastAsia="Calibri" w:hAnsi="Verdana" w:cs="Arial"/>
                <w:color w:val="000000" w:themeColor="text1"/>
                <w:lang w:val="es-ES_tradnl" w:eastAsia="es-ES_tradnl"/>
              </w:rPr>
              <w:t xml:space="preserve">                   </w:t>
            </w:r>
          </w:p>
        </w:tc>
        <w:tc>
          <w:tcPr>
            <w:tcW w:w="6100" w:type="dxa"/>
          </w:tcPr>
          <w:p w14:paraId="5D5C3399" w14:textId="455CFB22" w:rsidR="00165D13" w:rsidRDefault="001C50D9" w:rsidP="001C50D9">
            <w:pPr>
              <w:spacing w:line="276" w:lineRule="auto"/>
              <w:jc w:val="both"/>
              <w:rPr>
                <w:rFonts w:ascii="Verdana" w:eastAsia="Calibri" w:hAnsi="Verdana" w:cs="Arial"/>
                <w:color w:val="000000" w:themeColor="text1"/>
                <w:lang w:eastAsia="es-ES"/>
              </w:rPr>
            </w:pPr>
            <w:r w:rsidRPr="001C50D9">
              <w:rPr>
                <w:rFonts w:ascii="Verdana" w:eastAsia="Calibri" w:hAnsi="Verdana" w:cs="Arial"/>
                <w:color w:val="000000" w:themeColor="text1"/>
                <w:lang w:eastAsia="es-ES"/>
              </w:rPr>
              <w:t xml:space="preserve">INHABILIDADES E INCOMPATIBILIDADES ― Límites a la capacidad ― Régimen / INHABILIDADES E INCOMPATIBILIDADES ― Concepto ― Diferencias / INHABILIDADES E INCOMPATIBILIDADES ― Interpretación restrictiva ― Principio pro libértate / INHABILIDAD ― Contratista ― Entidad contratante ― Otros procesos ― </w:t>
            </w:r>
            <w:r w:rsidR="00E35D69" w:rsidRPr="001C50D9">
              <w:rPr>
                <w:rFonts w:ascii="Verdana" w:eastAsia="Calibri" w:hAnsi="Verdana" w:cs="Arial"/>
                <w:color w:val="000000" w:themeColor="text1"/>
                <w:lang w:eastAsia="es-ES"/>
              </w:rPr>
              <w:t>CONFLICTO DE INTERÉS</w:t>
            </w:r>
            <w:r w:rsidR="00E35D69">
              <w:rPr>
                <w:rFonts w:ascii="Verdana" w:eastAsia="Calibri" w:hAnsi="Verdana" w:cs="Arial"/>
                <w:color w:val="000000" w:themeColor="text1"/>
                <w:lang w:eastAsia="es-ES"/>
              </w:rPr>
              <w:t xml:space="preserve"> </w:t>
            </w:r>
            <w:r w:rsidR="00C55B3B" w:rsidRPr="001C50D9">
              <w:rPr>
                <w:rFonts w:ascii="Verdana" w:eastAsia="Calibri" w:hAnsi="Verdana" w:cs="Arial"/>
                <w:color w:val="000000" w:themeColor="text1"/>
                <w:lang w:eastAsia="es-ES"/>
              </w:rPr>
              <w:t xml:space="preserve">― </w:t>
            </w:r>
            <w:r w:rsidR="00C55B3B">
              <w:rPr>
                <w:rFonts w:ascii="Verdana" w:eastAsia="Calibri" w:hAnsi="Verdana" w:cs="Arial"/>
                <w:color w:val="000000" w:themeColor="text1"/>
                <w:lang w:eastAsia="es-ES"/>
              </w:rPr>
              <w:t xml:space="preserve"> Concepto</w:t>
            </w:r>
          </w:p>
          <w:p w14:paraId="44C2540E" w14:textId="6817D78E" w:rsidR="001C50D9" w:rsidRPr="000B7ECC" w:rsidRDefault="001C50D9" w:rsidP="001C50D9">
            <w:pPr>
              <w:spacing w:line="276" w:lineRule="auto"/>
              <w:jc w:val="both"/>
              <w:rPr>
                <w:rFonts w:ascii="Verdana" w:eastAsia="Calibri" w:hAnsi="Verdana" w:cs="Arial"/>
                <w:color w:val="000000" w:themeColor="text1"/>
                <w:lang w:val="es-ES" w:eastAsia="es-ES"/>
              </w:rPr>
            </w:pPr>
          </w:p>
        </w:tc>
      </w:tr>
      <w:tr w:rsidR="00661953" w:rsidRPr="00115E3D" w14:paraId="7254E1FD" w14:textId="77777777" w:rsidTr="003028CD">
        <w:tc>
          <w:tcPr>
            <w:tcW w:w="2689" w:type="dxa"/>
          </w:tcPr>
          <w:p w14:paraId="48C8EC45" w14:textId="77777777" w:rsidR="00661953" w:rsidRPr="00661953" w:rsidRDefault="00661953" w:rsidP="003028CD">
            <w:pPr>
              <w:jc w:val="both"/>
              <w:rPr>
                <w:rFonts w:ascii="Verdana" w:eastAsia="Calibri" w:hAnsi="Verdana" w:cs="Arial"/>
                <w:b/>
                <w:color w:val="000000" w:themeColor="text1"/>
                <w:lang w:val="es-ES_tradnl" w:eastAsia="es-ES_tradnl"/>
              </w:rPr>
            </w:pPr>
            <w:r w:rsidRPr="00661953">
              <w:rPr>
                <w:rFonts w:ascii="Verdana" w:eastAsia="Calibri" w:hAnsi="Verdana" w:cs="Arial"/>
                <w:b/>
                <w:color w:val="000000" w:themeColor="text1"/>
                <w:lang w:val="es-ES_tradnl" w:eastAsia="es-ES_tradnl"/>
              </w:rPr>
              <w:t>Radicación:</w:t>
            </w:r>
            <w:r w:rsidRPr="00661953">
              <w:rPr>
                <w:rFonts w:ascii="Verdana" w:eastAsia="Calibri" w:hAnsi="Verdana" w:cs="Arial"/>
                <w:color w:val="000000" w:themeColor="text1"/>
                <w:lang w:val="es-ES_tradnl" w:eastAsia="es-ES_tradnl"/>
              </w:rPr>
              <w:t xml:space="preserve">               </w:t>
            </w:r>
          </w:p>
        </w:tc>
        <w:tc>
          <w:tcPr>
            <w:tcW w:w="6100" w:type="dxa"/>
          </w:tcPr>
          <w:p w14:paraId="0088658C" w14:textId="77777777" w:rsidR="00661953" w:rsidRPr="00661953" w:rsidRDefault="00661953" w:rsidP="003028CD">
            <w:pPr>
              <w:jc w:val="both"/>
              <w:rPr>
                <w:rFonts w:ascii="Verdana" w:eastAsia="Calibri" w:hAnsi="Verdana" w:cs="Arial"/>
                <w:color w:val="000000" w:themeColor="text1"/>
                <w:lang w:val="es-ES_tradnl" w:eastAsia="es-ES_tradnl"/>
              </w:rPr>
            </w:pPr>
            <w:r w:rsidRPr="00661953">
              <w:rPr>
                <w:rFonts w:ascii="Verdana" w:eastAsia="Calibri" w:hAnsi="Verdana" w:cs="Arial"/>
                <w:color w:val="000000" w:themeColor="text1"/>
                <w:lang w:val="es-ES_tradnl" w:eastAsia="es-ES_tradnl"/>
              </w:rPr>
              <w:t xml:space="preserve">Respuesta a consulta con radicado No. </w:t>
            </w:r>
          </w:p>
          <w:p w14:paraId="5F1CE39D" w14:textId="4EDB1DC9" w:rsidR="00661953" w:rsidRPr="00661953" w:rsidRDefault="00661953" w:rsidP="003028CD">
            <w:pPr>
              <w:jc w:val="both"/>
              <w:rPr>
                <w:rFonts w:ascii="Verdana" w:hAnsi="Verdana" w:cs="Arial"/>
                <w:color w:val="000000"/>
              </w:rPr>
            </w:pPr>
            <w:r w:rsidRPr="00661953">
              <w:rPr>
                <w:rFonts w:ascii="Verdana" w:hAnsi="Verdana" w:cs="Arial"/>
                <w:color w:val="000000"/>
              </w:rPr>
              <w:t>P20241029010979</w:t>
            </w:r>
          </w:p>
        </w:tc>
      </w:tr>
    </w:tbl>
    <w:p w14:paraId="3D6E8C97" w14:textId="77777777" w:rsidR="00661953" w:rsidRPr="00115E3D" w:rsidRDefault="00661953" w:rsidP="00661953">
      <w:pPr>
        <w:spacing w:after="0" w:line="240" w:lineRule="auto"/>
        <w:jc w:val="both"/>
        <w:rPr>
          <w:rFonts w:ascii="Verdana" w:eastAsia="Calibri" w:hAnsi="Verdana" w:cs="Arial"/>
          <w:color w:val="000000" w:themeColor="text1"/>
          <w:lang w:val="es-ES_tradnl" w:eastAsia="es-ES_tradnl"/>
        </w:rPr>
      </w:pPr>
    </w:p>
    <w:p w14:paraId="55144310" w14:textId="77777777" w:rsidR="00661953" w:rsidRPr="00115E3D" w:rsidRDefault="00661953" w:rsidP="00661953">
      <w:pPr>
        <w:spacing w:after="0" w:line="240" w:lineRule="auto"/>
        <w:jc w:val="both"/>
        <w:rPr>
          <w:rFonts w:ascii="Verdana" w:eastAsia="Calibri" w:hAnsi="Verdana" w:cs="Arial"/>
          <w:color w:val="000000" w:themeColor="text1"/>
          <w:lang w:val="es-ES_tradnl" w:eastAsia="es-ES_tradnl"/>
        </w:rPr>
      </w:pPr>
    </w:p>
    <w:p w14:paraId="055D9E39" w14:textId="6F900DA5" w:rsidR="00661953" w:rsidRPr="00115E3D" w:rsidRDefault="00661953" w:rsidP="0066195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w:t>
      </w:r>
      <w:r>
        <w:rPr>
          <w:rFonts w:ascii="Verdana" w:eastAsia="Calibri" w:hAnsi="Verdana" w:cs="Arial"/>
          <w:color w:val="000000" w:themeColor="text1"/>
          <w:lang w:val="es-ES" w:eastAsia="es-ES"/>
        </w:rPr>
        <w:t>r Pompeyo:</w:t>
      </w:r>
      <w:r w:rsidRPr="00115E3D">
        <w:rPr>
          <w:rFonts w:ascii="Verdana" w:eastAsia="Calibri" w:hAnsi="Verdana" w:cs="Arial"/>
          <w:color w:val="000000" w:themeColor="text1"/>
          <w:lang w:val="es-ES" w:eastAsia="es-ES"/>
        </w:rPr>
        <w:t xml:space="preserve"> </w:t>
      </w:r>
    </w:p>
    <w:p w14:paraId="738BA946" w14:textId="77777777" w:rsidR="00661953" w:rsidRPr="00115E3D" w:rsidRDefault="00661953" w:rsidP="00661953">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FE9E7F4" w14:textId="3AD9D526" w:rsidR="00661953" w:rsidRPr="00115E3D" w:rsidRDefault="00661953" w:rsidP="0066195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29</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octubre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5B74497D" w14:textId="77777777" w:rsidR="00661953" w:rsidRPr="00115E3D" w:rsidRDefault="00661953" w:rsidP="00661953">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1734360D" w14:textId="5D437C2B" w:rsidR="00661953" w:rsidRPr="00115E3D" w:rsidRDefault="00661953" w:rsidP="00661953">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115E3D">
        <w:rPr>
          <w:rFonts w:ascii="Verdana" w:eastAsia="Century Gothic" w:hAnsi="Verdana" w:cs="Century Gothic"/>
          <w:color w:val="000000" w:themeColor="text1"/>
          <w:sz w:val="20"/>
          <w:szCs w:val="20"/>
          <w:lang w:val="es-ES"/>
        </w:rPr>
        <w:lastRenderedPageBreak/>
        <w:t>“</w:t>
      </w:r>
      <w:bookmarkEnd w:id="0"/>
      <w:r w:rsidRPr="00661953">
        <w:rPr>
          <w:rFonts w:ascii="Verdana" w:eastAsia="Century Gothic" w:hAnsi="Verdana" w:cs="Century Gothic"/>
          <w:color w:val="000000" w:themeColor="text1"/>
          <w:sz w:val="20"/>
          <w:szCs w:val="20"/>
          <w:lang w:val="es-ES"/>
        </w:rPr>
        <w:t>Actualmente soy contratista por modalidad Ops de la alcaldía Municipal en la oficina del Sisbén, cuanto</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con una empresa conformada para procesos de logística y prestación de servicios de mantenimiento de</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vehículos y otras actividades formalmente constituida en Cámara y comercio, solicito concepto si me</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encuentro incurso en alguna inhabilidad, incompatibilidad y/o conflicto de intereses para participar de</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procesos de convocatoria tales como procesos de mínima, menor cuantía y licitación en esta misma</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entidad, aclarando que no tengo cargo de manejo y que dichos procesos no tienen relación alguna con</w:t>
      </w:r>
      <w:r>
        <w:rPr>
          <w:rFonts w:ascii="Verdana" w:eastAsia="Century Gothic" w:hAnsi="Verdana" w:cs="Century Gothic"/>
          <w:color w:val="000000" w:themeColor="text1"/>
          <w:sz w:val="20"/>
          <w:szCs w:val="20"/>
          <w:lang w:val="es-ES"/>
        </w:rPr>
        <w:t xml:space="preserve"> </w:t>
      </w:r>
      <w:r w:rsidRPr="00661953">
        <w:rPr>
          <w:rFonts w:ascii="Verdana" w:eastAsia="Century Gothic" w:hAnsi="Verdana" w:cs="Century Gothic"/>
          <w:color w:val="000000" w:themeColor="text1"/>
          <w:sz w:val="20"/>
          <w:szCs w:val="20"/>
          <w:lang w:val="es-ES"/>
        </w:rPr>
        <w:t>las obligaciones propias de mi contrato</w:t>
      </w:r>
      <w:r>
        <w:rPr>
          <w:rFonts w:ascii="Verdana" w:eastAsia="Century Gothic" w:hAnsi="Verdana" w:cs="Century Gothic"/>
          <w:color w:val="000000" w:themeColor="text1"/>
          <w:sz w:val="20"/>
          <w:szCs w:val="20"/>
          <w:lang w:val="es-ES"/>
        </w:rPr>
        <w:t>”.</w:t>
      </w:r>
    </w:p>
    <w:p w14:paraId="490A4AF1" w14:textId="77777777" w:rsidR="00661953" w:rsidRPr="00115E3D" w:rsidRDefault="00661953" w:rsidP="00661953">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2AE9DE90" w14:textId="77777777" w:rsidR="00661953" w:rsidRPr="00115E3D" w:rsidRDefault="00661953" w:rsidP="00661953">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90BFA13" w14:textId="77777777" w:rsidR="00661953" w:rsidRPr="00115E3D" w:rsidRDefault="00661953" w:rsidP="00661953">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B859AD9" w14:textId="77777777" w:rsidR="00661953" w:rsidRPr="00115E3D" w:rsidRDefault="00661953" w:rsidP="00661953">
      <w:pPr>
        <w:spacing w:after="0" w:line="276" w:lineRule="auto"/>
        <w:ind w:firstLine="709"/>
        <w:jc w:val="both"/>
        <w:rPr>
          <w:rFonts w:ascii="Verdana" w:eastAsia="Calibri" w:hAnsi="Verdana" w:cs="Arial"/>
          <w:color w:val="000000" w:themeColor="text1"/>
          <w:lang w:val="es-ES" w:eastAsia="es-ES"/>
        </w:rPr>
      </w:pPr>
    </w:p>
    <w:p w14:paraId="1F92388C" w14:textId="77777777" w:rsidR="00661953" w:rsidRPr="00115E3D" w:rsidRDefault="00661953" w:rsidP="00661953">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Problema planteado:</w:t>
      </w:r>
    </w:p>
    <w:p w14:paraId="479011CD" w14:textId="77777777" w:rsidR="00661953" w:rsidRPr="00115E3D" w:rsidRDefault="00661953" w:rsidP="00661953">
      <w:pPr>
        <w:tabs>
          <w:tab w:val="left" w:pos="426"/>
        </w:tabs>
        <w:spacing w:after="0" w:line="276" w:lineRule="auto"/>
        <w:jc w:val="both"/>
        <w:rPr>
          <w:rFonts w:ascii="Verdana" w:eastAsia="Century Gothic" w:hAnsi="Verdana" w:cs="Century Gothic"/>
          <w:color w:val="000000" w:themeColor="text1"/>
          <w:lang w:val="es-ES"/>
        </w:rPr>
      </w:pPr>
    </w:p>
    <w:p w14:paraId="7D07AF20" w14:textId="1B136720" w:rsidR="00661953" w:rsidRDefault="00661953" w:rsidP="00661953">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sidR="00AB3348" w:rsidRPr="00115E3D">
        <w:rPr>
          <w:rFonts w:ascii="Verdana" w:eastAsia="Century Gothic" w:hAnsi="Verdana" w:cs="Century Gothic"/>
          <w:color w:val="000000" w:themeColor="text1"/>
        </w:rPr>
        <w:t>el siguiente problema</w:t>
      </w:r>
      <w:r w:rsidR="00456BB7" w:rsidRPr="00115E3D">
        <w:rPr>
          <w:rFonts w:ascii="Verdana" w:eastAsia="Century Gothic" w:hAnsi="Verdana" w:cs="Century Gothic"/>
          <w:color w:val="000000" w:themeColor="text1"/>
        </w:rPr>
        <w:t xml:space="preserve"> jurídico</w:t>
      </w:r>
      <w:r w:rsidRPr="00115E3D">
        <w:rPr>
          <w:rFonts w:ascii="Verdana" w:eastAsia="Century Gothic" w:hAnsi="Verdana" w:cs="Century Gothic"/>
          <w:color w:val="000000" w:themeColor="text1"/>
        </w:rPr>
        <w:t xml:space="preserve">: </w:t>
      </w:r>
    </w:p>
    <w:p w14:paraId="77AF3790" w14:textId="77777777" w:rsidR="00AB3348" w:rsidRDefault="00AB3348" w:rsidP="00661953">
      <w:pPr>
        <w:spacing w:after="0" w:line="276" w:lineRule="auto"/>
        <w:jc w:val="both"/>
        <w:rPr>
          <w:rFonts w:ascii="Verdana" w:eastAsia="Century Gothic" w:hAnsi="Verdana" w:cs="Century Gothic"/>
          <w:color w:val="000000" w:themeColor="text1"/>
        </w:rPr>
      </w:pPr>
    </w:p>
    <w:p w14:paraId="616A32A4" w14:textId="4AB4C2D6" w:rsidR="005B4C2B" w:rsidRPr="00DB0612" w:rsidRDefault="003E6924" w:rsidP="005B4C2B">
      <w:pPr>
        <w:pStyle w:val="Prrafodelista"/>
        <w:numPr>
          <w:ilvl w:val="0"/>
          <w:numId w:val="4"/>
        </w:numPr>
        <w:spacing w:after="0" w:line="276" w:lineRule="auto"/>
        <w:jc w:val="both"/>
        <w:rPr>
          <w:rFonts w:ascii="Verdana" w:eastAsia="Century Gothic" w:hAnsi="Verdana" w:cs="Century Gothic"/>
          <w:i/>
          <w:iCs/>
          <w:color w:val="000000" w:themeColor="text1"/>
        </w:rPr>
      </w:pPr>
      <w:r w:rsidRPr="003E6924">
        <w:rPr>
          <w:rFonts w:ascii="Verdana" w:eastAsia="Century Gothic" w:hAnsi="Verdana" w:cs="Century Gothic"/>
          <w:i/>
          <w:iCs/>
          <w:color w:val="000000" w:themeColor="text1"/>
        </w:rPr>
        <w:t xml:space="preserve">¿Existen inhabilidades, incompatibilidades o conflictos de intereses que impidan la participación de una persona que tiene un contrato de </w:t>
      </w:r>
      <w:r w:rsidRPr="003E6924">
        <w:rPr>
          <w:rFonts w:ascii="Verdana" w:eastAsia="Century Gothic" w:hAnsi="Verdana" w:cs="Century Gothic"/>
          <w:i/>
          <w:iCs/>
          <w:color w:val="000000" w:themeColor="text1"/>
        </w:rPr>
        <w:lastRenderedPageBreak/>
        <w:t>prestación de servicios, en procesos de mínima, menor cuantía y licitación de la misma entidad en la que es contratista?</w:t>
      </w:r>
    </w:p>
    <w:p w14:paraId="2AD64DAC" w14:textId="77777777" w:rsidR="00661953" w:rsidRPr="005B4C2B" w:rsidRDefault="00661953" w:rsidP="00661953">
      <w:pPr>
        <w:spacing w:after="0" w:line="276" w:lineRule="auto"/>
        <w:jc w:val="both"/>
        <w:rPr>
          <w:rFonts w:ascii="Verdana" w:eastAsia="Calibri" w:hAnsi="Verdana" w:cs="Arial"/>
          <w:color w:val="000000" w:themeColor="text1"/>
        </w:rPr>
      </w:pPr>
    </w:p>
    <w:p w14:paraId="7A6E7A73" w14:textId="77777777" w:rsidR="00661953" w:rsidRPr="00115E3D" w:rsidRDefault="00661953" w:rsidP="0066195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Respuesta:</w:t>
      </w:r>
    </w:p>
    <w:p w14:paraId="7B5C8C1A" w14:textId="77777777" w:rsidR="00661953" w:rsidRPr="00115E3D" w:rsidRDefault="00661953" w:rsidP="0066195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1953" w:rsidRPr="00115E3D" w14:paraId="16BCBE80" w14:textId="77777777" w:rsidTr="003028CD">
        <w:tc>
          <w:tcPr>
            <w:tcW w:w="8828" w:type="dxa"/>
            <w:shd w:val="clear" w:color="auto" w:fill="auto"/>
          </w:tcPr>
          <w:p w14:paraId="10DC79B7" w14:textId="77777777" w:rsidR="003E6924" w:rsidRPr="003E6924" w:rsidRDefault="003E6924" w:rsidP="003E6924">
            <w:pPr>
              <w:spacing w:line="276" w:lineRule="auto"/>
              <w:jc w:val="both"/>
              <w:rPr>
                <w:rFonts w:ascii="Verdana" w:eastAsia="Calibri" w:hAnsi="Verdana" w:cs="Arial"/>
                <w:color w:val="000000" w:themeColor="text1"/>
              </w:rPr>
            </w:pPr>
            <w:r w:rsidRPr="003E6924">
              <w:rPr>
                <w:rFonts w:ascii="Verdana" w:eastAsia="Calibri" w:hAnsi="Verdana" w:cs="Arial"/>
                <w:color w:val="000000" w:themeColor="text1"/>
              </w:rPr>
              <w:t>En principio, no existen inhabilidades o incompatibilidades explícitas en la ley que impidan a una persona contratada mediante un contrato de prestación de servicios participar en procesos de mínima cuantía, menor cuantía o licitación dentro de la misma entidad en la que presta sus servicios. Sin embargo, deben considerarse los principios de transparencia y moralidad establecidos en el artículo 209 de la Constitución Política y las disposiciones de la Ley 1474 de 2011 (Estatuto Anticorrupción) que buscan evitar conflictos de interés. La entidad pública puede incluir en los pliegos de condiciones causales de exclusión para asegurar la imparcialidad en la contratación, especialmente si existen relaciones de parentesco o intereses que puedan influir en el proceso de selección. Esto garantiza que los principios de objetividad y transparencia no se vean comprometidos en la contratación pública.</w:t>
            </w:r>
          </w:p>
          <w:p w14:paraId="75362D15" w14:textId="77777777" w:rsidR="003E6924" w:rsidRPr="003E6924" w:rsidRDefault="003E6924" w:rsidP="003E6924">
            <w:pPr>
              <w:spacing w:line="276" w:lineRule="auto"/>
              <w:jc w:val="both"/>
              <w:rPr>
                <w:rFonts w:ascii="Verdana" w:eastAsia="Calibri" w:hAnsi="Verdana" w:cs="Arial"/>
                <w:color w:val="000000" w:themeColor="text1"/>
              </w:rPr>
            </w:pPr>
          </w:p>
          <w:p w14:paraId="3A6C7167" w14:textId="77777777" w:rsidR="003E6924" w:rsidRPr="003E6924" w:rsidRDefault="003E6924" w:rsidP="003E6924">
            <w:pPr>
              <w:spacing w:line="276" w:lineRule="auto"/>
              <w:jc w:val="both"/>
              <w:rPr>
                <w:rFonts w:ascii="Verdana" w:eastAsia="Calibri" w:hAnsi="Verdana" w:cs="Arial"/>
                <w:color w:val="000000" w:themeColor="text1"/>
                <w:lang w:val="es-MX"/>
              </w:rPr>
            </w:pPr>
            <w:r w:rsidRPr="003E6924">
              <w:rPr>
                <w:rFonts w:ascii="Verdana" w:eastAsia="Calibri" w:hAnsi="Verdana" w:cs="Arial"/>
                <w:color w:val="000000" w:themeColor="text1"/>
                <w:lang w:val="es-MX"/>
              </w:rPr>
              <w:t>Finalmente, con base en lo anterior, es posible responder a su consulta afirmando que corresponde a cada Entidad Pública, en ejercicio de su competencia y previa valoración de los elementos fácticos y jurídicos, determinar si se está incurso en alguna causal de inhabilidad o incompatibilidad, o, según lo establecido en la ley, y previamente en el pliego de condiciones o invitación –según corresponda–, en virtud de la facultad que tienen estas para establecer causales de rechazo relacionadas con los conflictos de interés, si se configura alguno.</w:t>
            </w:r>
          </w:p>
          <w:p w14:paraId="2877CB3D" w14:textId="54169336" w:rsidR="00661953" w:rsidRPr="003E6924" w:rsidRDefault="00661953" w:rsidP="003028CD">
            <w:pPr>
              <w:spacing w:line="276" w:lineRule="auto"/>
              <w:jc w:val="both"/>
              <w:rPr>
                <w:rFonts w:ascii="Verdana" w:eastAsia="Calibri" w:hAnsi="Verdana" w:cs="Arial"/>
                <w:color w:val="000000" w:themeColor="text1"/>
                <w:lang w:val="es-MX"/>
              </w:rPr>
            </w:pPr>
          </w:p>
        </w:tc>
      </w:tr>
    </w:tbl>
    <w:p w14:paraId="61E4F815" w14:textId="77777777" w:rsidR="00661953" w:rsidRPr="00115E3D" w:rsidRDefault="00661953" w:rsidP="0066195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80E37B0" w14:textId="77777777" w:rsidR="00661953" w:rsidRPr="00115E3D" w:rsidRDefault="00661953" w:rsidP="0066195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Razones de la respuesta:</w:t>
      </w:r>
    </w:p>
    <w:p w14:paraId="447B30A8" w14:textId="77777777" w:rsidR="00661953" w:rsidRPr="00115E3D" w:rsidRDefault="00661953" w:rsidP="00661953">
      <w:pPr>
        <w:spacing w:after="0" w:line="276" w:lineRule="auto"/>
        <w:jc w:val="both"/>
        <w:rPr>
          <w:rFonts w:ascii="Verdana" w:eastAsia="Calibri" w:hAnsi="Verdana" w:cs="Arial"/>
          <w:color w:val="000000" w:themeColor="text1"/>
          <w:lang w:val="es-ES"/>
        </w:rPr>
      </w:pPr>
    </w:p>
    <w:p w14:paraId="45066F14" w14:textId="77777777" w:rsidR="00661953" w:rsidRPr="00115E3D" w:rsidRDefault="00661953" w:rsidP="00661953">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22E02823" w14:textId="77777777" w:rsidR="00661953" w:rsidRPr="00115E3D" w:rsidRDefault="00661953" w:rsidP="00661953">
      <w:pPr>
        <w:spacing w:after="0" w:line="276" w:lineRule="auto"/>
        <w:jc w:val="both"/>
        <w:rPr>
          <w:rFonts w:ascii="Verdana" w:eastAsia="Calibri" w:hAnsi="Verdana" w:cs="Arial"/>
          <w:color w:val="000000" w:themeColor="text1"/>
          <w:lang w:val="es-ES"/>
        </w:rPr>
      </w:pPr>
    </w:p>
    <w:p w14:paraId="03EFB5FE"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MX"/>
        </w:rPr>
      </w:pPr>
      <w:r w:rsidRPr="002A4195">
        <w:rPr>
          <w:rFonts w:ascii="Verdana" w:hAnsi="Verdana" w:cs="Arial"/>
          <w:color w:val="000000" w:themeColor="text1"/>
          <w:lang w:val="es-ES"/>
        </w:rPr>
        <w:t>Respecto del objeto de su consulta, en primer lugar, debe advertirse que,</w:t>
      </w:r>
      <w:r w:rsidRPr="002A4195">
        <w:rPr>
          <w:rFonts w:ascii="Verdana" w:hAnsi="Verdana" w:cs="Arial"/>
          <w:color w:val="000000" w:themeColor="text1"/>
          <w:lang w:val="es-ES_tradnl"/>
        </w:rPr>
        <w:t xml:space="preserve"> l</w:t>
      </w:r>
      <w:r w:rsidRPr="002A4195">
        <w:rPr>
          <w:rFonts w:ascii="Verdana" w:hAnsi="Verdana" w:cs="Arial"/>
          <w:color w:val="000000" w:themeColor="text1"/>
          <w:lang w:val="es-MX"/>
        </w:rPr>
        <w:t xml:space="preserve">as inhabilidades son circunstancias establecidas por la Constitución o en la ley que impiden que personas naturales o jurídicas sean elegidas o designadas en un cargo público o celebren contratos con el Estado, con el </w:t>
      </w:r>
      <w:r w:rsidRPr="002A4195">
        <w:rPr>
          <w:rFonts w:ascii="Verdana" w:hAnsi="Verdana" w:cs="Arial"/>
          <w:color w:val="000000" w:themeColor="text1"/>
          <w:lang w:val="es-MX"/>
        </w:rPr>
        <w:lastRenderedPageBreak/>
        <w:t xml:space="preserve">objetivo de garantizar la idoneidad, imparcialidad, probidad, transparencia y moralidad de la función pública, garantizando el interés general.  </w:t>
      </w:r>
    </w:p>
    <w:p w14:paraId="1E258D98"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MX"/>
        </w:rPr>
      </w:pPr>
    </w:p>
    <w:p w14:paraId="21B5BC2A"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MX"/>
        </w:rPr>
      </w:pPr>
      <w:r w:rsidRPr="002A4195">
        <w:rPr>
          <w:rFonts w:ascii="Verdana" w:hAnsi="Verdana" w:cs="Arial"/>
          <w:color w:val="000000" w:themeColor="text1"/>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2A4195">
        <w:rPr>
          <w:rFonts w:ascii="Verdana" w:hAnsi="Verdana" w:cs="Arial"/>
          <w:color w:val="000000" w:themeColor="text1"/>
          <w:vertAlign w:val="superscript"/>
          <w:lang w:val="es-MX"/>
        </w:rPr>
        <w:footnoteReference w:id="1"/>
      </w:r>
      <w:r w:rsidRPr="002A4195">
        <w:rPr>
          <w:rFonts w:ascii="Verdana" w:hAnsi="Verdana" w:cs="Arial"/>
          <w:color w:val="000000" w:themeColor="text1"/>
          <w:lang w:val="es-MX"/>
        </w:rPr>
        <w:t xml:space="preserve">. </w:t>
      </w:r>
    </w:p>
    <w:p w14:paraId="540056B9"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MX"/>
        </w:rPr>
      </w:pPr>
    </w:p>
    <w:p w14:paraId="2C0BCB47"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MX"/>
        </w:rPr>
      </w:pPr>
      <w:r w:rsidRPr="002A4195">
        <w:rPr>
          <w:rFonts w:ascii="Verdana" w:hAnsi="Verdana" w:cs="Arial"/>
          <w:color w:val="000000" w:themeColor="text1"/>
          <w:lang w:val="es-MX"/>
        </w:rPr>
        <w:t xml:space="preserve">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5B8234FD"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MX"/>
        </w:rPr>
      </w:pPr>
    </w:p>
    <w:p w14:paraId="2D37B1B7" w14:textId="77777777" w:rsidR="002A4195" w:rsidRPr="00C5324D"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2A4195">
        <w:rPr>
          <w:rFonts w:ascii="Verdana" w:hAnsi="Verdana" w:cs="Arial"/>
          <w:i/>
          <w:iCs/>
          <w:color w:val="000000" w:themeColor="text1"/>
          <w:sz w:val="20"/>
          <w:szCs w:val="20"/>
          <w:lang w:val="es-ES"/>
        </w:rPr>
        <w:t>“</w:t>
      </w:r>
      <w:r w:rsidRPr="00C5324D">
        <w:rPr>
          <w:rFonts w:ascii="Verdana" w:hAnsi="Verdana" w:cs="Arial"/>
          <w:i/>
          <w:iCs/>
          <w:color w:val="000000" w:themeColor="text1"/>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CA99139" w14:textId="77777777" w:rsidR="002A4195" w:rsidRPr="00C5324D"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p>
    <w:p w14:paraId="20350616" w14:textId="77777777" w:rsidR="002A4195" w:rsidRPr="00C5324D"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C5324D">
        <w:rPr>
          <w:rFonts w:ascii="Verdana" w:hAnsi="Verdana" w:cs="Arial"/>
          <w:i/>
          <w:iCs/>
          <w:color w:val="000000" w:themeColor="text1"/>
          <w:sz w:val="20"/>
          <w:szCs w:val="20"/>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w:t>
      </w:r>
      <w:r w:rsidRPr="00C5324D">
        <w:rPr>
          <w:rFonts w:ascii="Verdana" w:hAnsi="Verdana" w:cs="Arial"/>
          <w:i/>
          <w:iCs/>
          <w:color w:val="000000" w:themeColor="text1"/>
          <w:sz w:val="20"/>
          <w:szCs w:val="20"/>
          <w:lang w:val="es-ES"/>
        </w:rPr>
        <w:lastRenderedPageBreak/>
        <w:t>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C5324D">
        <w:rPr>
          <w:rFonts w:ascii="Verdana" w:hAnsi="Verdana" w:cs="Arial"/>
          <w:i/>
          <w:iCs/>
          <w:color w:val="000000" w:themeColor="text1"/>
          <w:sz w:val="20"/>
          <w:szCs w:val="20"/>
          <w:vertAlign w:val="superscript"/>
          <w:lang w:val="es-ES"/>
        </w:rPr>
        <w:footnoteReference w:id="2"/>
      </w:r>
      <w:r w:rsidRPr="00C5324D">
        <w:rPr>
          <w:rFonts w:ascii="Verdana" w:hAnsi="Verdana" w:cs="Arial"/>
          <w:i/>
          <w:iCs/>
          <w:color w:val="000000" w:themeColor="text1"/>
          <w:sz w:val="20"/>
          <w:szCs w:val="20"/>
          <w:lang w:val="es-ES"/>
        </w:rPr>
        <w:t xml:space="preserve"> </w:t>
      </w:r>
    </w:p>
    <w:p w14:paraId="2D372D52"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MX"/>
        </w:rPr>
      </w:pPr>
    </w:p>
    <w:p w14:paraId="38D26686"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MX"/>
        </w:rPr>
      </w:pPr>
      <w:r w:rsidRPr="002A4195">
        <w:rPr>
          <w:rFonts w:ascii="Verdana" w:hAnsi="Verdana" w:cs="Arial"/>
          <w:color w:val="000000" w:themeColor="text1"/>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7AB4044F"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67163E89" w14:textId="77777777" w:rsidR="002A4195" w:rsidRPr="002A4195"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2A4195">
        <w:rPr>
          <w:rFonts w:ascii="Verdana" w:hAnsi="Verdana" w:cs="Arial"/>
          <w:color w:val="000000" w:themeColor="text1"/>
          <w:sz w:val="20"/>
          <w:szCs w:val="20"/>
          <w:lang w:val="es-ES"/>
        </w:rPr>
        <w:t>“</w:t>
      </w:r>
      <w:r w:rsidRPr="002A4195">
        <w:rPr>
          <w:rFonts w:ascii="Verdana" w:hAnsi="Verdana" w:cs="Arial"/>
          <w:i/>
          <w:iCs/>
          <w:color w:val="000000" w:themeColor="text1"/>
          <w:sz w:val="20"/>
          <w:szCs w:val="20"/>
          <w:lang w:val="es-ES"/>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5B6A0714" w14:textId="77777777" w:rsidR="002A4195" w:rsidRPr="002A4195"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p>
    <w:p w14:paraId="0D9E6708" w14:textId="77777777" w:rsidR="002A4195" w:rsidRPr="002A4195"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2A4195">
        <w:rPr>
          <w:rFonts w:ascii="Verdana" w:hAnsi="Verdana" w:cs="Arial"/>
          <w:i/>
          <w:iCs/>
          <w:color w:val="000000" w:themeColor="text1"/>
          <w:sz w:val="20"/>
          <w:szCs w:val="20"/>
          <w:lang w:val="es-ES"/>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w:t>
      </w:r>
      <w:r w:rsidRPr="002A4195">
        <w:rPr>
          <w:rFonts w:ascii="Verdana" w:hAnsi="Verdana" w:cs="Arial"/>
          <w:i/>
          <w:iCs/>
          <w:color w:val="000000" w:themeColor="text1"/>
          <w:sz w:val="20"/>
          <w:szCs w:val="20"/>
          <w:lang w:val="es-ES"/>
        </w:rPr>
        <w:lastRenderedPageBreak/>
        <w:t>jurídica de las personas que resultan rechazadas del ámbito contractual del Estado”</w:t>
      </w:r>
      <w:r w:rsidRPr="00850396">
        <w:rPr>
          <w:rFonts w:ascii="Verdana" w:hAnsi="Verdana" w:cs="Arial"/>
          <w:i/>
          <w:iCs/>
          <w:color w:val="000000" w:themeColor="text1"/>
          <w:sz w:val="20"/>
          <w:szCs w:val="20"/>
          <w:vertAlign w:val="superscript"/>
          <w:lang w:val="es-ES"/>
        </w:rPr>
        <w:footnoteReference w:id="3"/>
      </w:r>
      <w:r w:rsidRPr="002A4195">
        <w:rPr>
          <w:rFonts w:ascii="Verdana" w:hAnsi="Verdana" w:cs="Arial"/>
          <w:i/>
          <w:iCs/>
          <w:color w:val="000000" w:themeColor="text1"/>
          <w:sz w:val="20"/>
          <w:szCs w:val="20"/>
          <w:lang w:val="es-ES"/>
        </w:rPr>
        <w:t>.</w:t>
      </w:r>
    </w:p>
    <w:p w14:paraId="10E34C71"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7AF836CE"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1F5B800A"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MX"/>
        </w:rPr>
      </w:pPr>
    </w:p>
    <w:p w14:paraId="144BB536"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2A4195">
        <w:rPr>
          <w:rFonts w:ascii="Verdana" w:hAnsi="Verdana" w:cs="Arial"/>
          <w:color w:val="000000" w:themeColor="text1"/>
          <w:sz w:val="20"/>
          <w:szCs w:val="20"/>
          <w:lang w:val="es-MX"/>
        </w:rPr>
        <w:t>“</w:t>
      </w:r>
      <w:r w:rsidRPr="00520FF1">
        <w:rPr>
          <w:rFonts w:ascii="Verdana" w:hAnsi="Verdana" w:cs="Arial"/>
          <w:i/>
          <w:iCs/>
          <w:color w:val="000000" w:themeColor="text1"/>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someterse estrictamente a lo que disponga la Constitución y la ley (CP art. 6). </w:t>
      </w:r>
    </w:p>
    <w:p w14:paraId="37738739"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p>
    <w:p w14:paraId="66176ECB"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520FF1">
        <w:rPr>
          <w:rFonts w:ascii="Verdana" w:hAnsi="Verdana" w:cs="Arial"/>
          <w:i/>
          <w:iCs/>
          <w:color w:val="000000" w:themeColor="text1"/>
          <w:sz w:val="20"/>
          <w:szCs w:val="20"/>
          <w:lang w:val="es-ES"/>
        </w:rPr>
        <w:t xml:space="preserve">[…] </w:t>
      </w:r>
    </w:p>
    <w:p w14:paraId="2C0260D3"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p>
    <w:p w14:paraId="72495AE3"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r w:rsidRPr="00520FF1">
        <w:rPr>
          <w:rFonts w:ascii="Verdana" w:hAnsi="Verdana" w:cs="Arial"/>
          <w:i/>
          <w:iCs/>
          <w:color w:val="000000" w:themeColor="text1"/>
          <w:sz w:val="20"/>
          <w:szCs w:val="20"/>
          <w:lang w:val="es-E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850396">
        <w:rPr>
          <w:rFonts w:ascii="Verdana" w:hAnsi="Verdana" w:cs="Arial"/>
          <w:i/>
          <w:iCs/>
          <w:color w:val="000000" w:themeColor="text1"/>
          <w:sz w:val="20"/>
          <w:szCs w:val="20"/>
          <w:vertAlign w:val="superscript"/>
          <w:lang w:val="es-ES"/>
        </w:rPr>
        <w:footnoteReference w:id="4"/>
      </w:r>
    </w:p>
    <w:p w14:paraId="0330A750" w14:textId="77777777" w:rsidR="002A4195" w:rsidRPr="00520FF1" w:rsidRDefault="002A4195" w:rsidP="00520FF1">
      <w:pPr>
        <w:widowControl w:val="0"/>
        <w:autoSpaceDE w:val="0"/>
        <w:autoSpaceDN w:val="0"/>
        <w:spacing w:after="120" w:line="240" w:lineRule="auto"/>
        <w:ind w:left="1134" w:right="357"/>
        <w:jc w:val="both"/>
        <w:rPr>
          <w:rFonts w:ascii="Verdana" w:hAnsi="Verdana" w:cs="Arial"/>
          <w:i/>
          <w:iCs/>
          <w:color w:val="000000" w:themeColor="text1"/>
          <w:sz w:val="20"/>
          <w:szCs w:val="20"/>
          <w:lang w:val="es-ES"/>
        </w:rPr>
      </w:pPr>
    </w:p>
    <w:p w14:paraId="7C8F4A74"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 xml:space="preserve">Conviene también distinguir las fuentes de las inhabilidades, las cuales han sido clasificadas en dos (2) grupos: i) inhabilidades-sanción y ii) inhabilidades-requisito. En el </w:t>
      </w:r>
      <w:r w:rsidRPr="002A4195">
        <w:rPr>
          <w:rFonts w:ascii="Verdana" w:hAnsi="Verdana" w:cs="Arial"/>
          <w:i/>
          <w:iCs/>
          <w:color w:val="000000" w:themeColor="text1"/>
          <w:lang w:val="es-ES"/>
        </w:rPr>
        <w:t>primer</w:t>
      </w:r>
      <w:r w:rsidRPr="002A4195">
        <w:rPr>
          <w:rFonts w:ascii="Verdana" w:hAnsi="Verdana" w:cs="Arial"/>
          <w:color w:val="000000" w:themeColor="text1"/>
          <w:lang w:val="es-ES"/>
        </w:rPr>
        <w:t xml:space="preserve"> grupo se encuentran las </w:t>
      </w:r>
      <w:r w:rsidRPr="002A4195">
        <w:rPr>
          <w:rFonts w:ascii="Verdana" w:hAnsi="Verdana" w:cs="Arial"/>
          <w:color w:val="000000" w:themeColor="text1"/>
          <w:lang w:val="es-ES"/>
        </w:rPr>
        <w:lastRenderedPageBreak/>
        <w:t xml:space="preserve">inhabilidades que surgen como consecuencia de un proceso sancionatorio, en los ámbitos penal, disciplinario, contravencional o de pérdida de investidura. En el </w:t>
      </w:r>
      <w:r w:rsidRPr="002A4195">
        <w:rPr>
          <w:rFonts w:ascii="Verdana" w:hAnsi="Verdana" w:cs="Arial"/>
          <w:i/>
          <w:iCs/>
          <w:color w:val="000000" w:themeColor="text1"/>
          <w:lang w:val="es-ES"/>
        </w:rPr>
        <w:t>segundo</w:t>
      </w:r>
      <w:r w:rsidRPr="002A4195">
        <w:rPr>
          <w:rFonts w:ascii="Verdana" w:hAnsi="Verdana" w:cs="Arial"/>
          <w:color w:val="000000" w:themeColor="text1"/>
          <w:lang w:val="es-ES"/>
        </w:rPr>
        <w:t xml:space="preserve"> grupo están aquellas que no devienen de un proceso sancionatorio, sino de condiciones propias de la persona y garantizan la moralidad, la imparcialidad, la eficacia y la transparencia</w:t>
      </w:r>
      <w:r w:rsidRPr="002A4195">
        <w:rPr>
          <w:rFonts w:ascii="Verdana" w:hAnsi="Verdana" w:cs="Arial"/>
          <w:color w:val="000000" w:themeColor="text1"/>
          <w:vertAlign w:val="superscript"/>
          <w:lang w:val="es-ES"/>
        </w:rPr>
        <w:footnoteReference w:id="5"/>
      </w:r>
      <w:r w:rsidRPr="002A4195">
        <w:rPr>
          <w:rFonts w:ascii="Verdana" w:hAnsi="Verdana" w:cs="Arial"/>
          <w:color w:val="000000" w:themeColor="text1"/>
          <w:lang w:val="es-ES"/>
        </w:rPr>
        <w:t xml:space="preserve">. </w:t>
      </w:r>
    </w:p>
    <w:p w14:paraId="20282C4C"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4038163B"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2B9BF3C"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6AEA268E"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33D5F38C"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31ED134F"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_tradnl"/>
        </w:rPr>
      </w:pPr>
      <w:r w:rsidRPr="002A4195">
        <w:rPr>
          <w:rFonts w:ascii="Verdana"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2A4195">
        <w:rPr>
          <w:rFonts w:ascii="Verdana" w:hAnsi="Verdana" w:cs="Arial"/>
          <w:i/>
          <w:iCs/>
          <w:color w:val="000000" w:themeColor="text1"/>
          <w:lang w:val="es-ES_tradnl"/>
        </w:rPr>
        <w:t>restrictiva</w:t>
      </w:r>
      <w:r w:rsidRPr="002A4195">
        <w:rPr>
          <w:rFonts w:ascii="Verdana" w:hAnsi="Verdana" w:cs="Arial"/>
          <w:color w:val="000000" w:themeColor="text1"/>
          <w:vertAlign w:val="superscript"/>
          <w:lang w:val="es-ES"/>
        </w:rPr>
        <w:footnoteReference w:id="6"/>
      </w:r>
      <w:r w:rsidRPr="002A4195">
        <w:rPr>
          <w:rFonts w:ascii="Verdana" w:hAnsi="Verdana" w:cs="Arial"/>
          <w:color w:val="000000" w:themeColor="text1"/>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w:t>
      </w:r>
      <w:r w:rsidRPr="002A4195">
        <w:rPr>
          <w:rFonts w:ascii="Verdana" w:hAnsi="Verdana" w:cs="Arial"/>
          <w:color w:val="000000" w:themeColor="text1"/>
          <w:lang w:val="es-ES_tradnl"/>
        </w:rPr>
        <w:lastRenderedPageBreak/>
        <w:t xml:space="preserve">igualdad, el debido proceso, la libre concurrencia y el ejercicio de la profesión u oficio. Tal ha sido la postura al interior de la jurisprudencia, tanto de la Corte Constitucional como de la Sección Tercera del Consejo de Estado. </w:t>
      </w:r>
    </w:p>
    <w:p w14:paraId="6F0A822E"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01311FAB"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_tradnl"/>
        </w:rPr>
      </w:pPr>
      <w:r w:rsidRPr="002A4195">
        <w:rPr>
          <w:rFonts w:ascii="Verdana" w:hAnsi="Verdana" w:cs="Arial"/>
          <w:color w:val="000000" w:themeColor="text1"/>
          <w:lang w:val="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A4195">
        <w:rPr>
          <w:rFonts w:ascii="Verdana" w:hAnsi="Verdana" w:cs="Arial"/>
          <w:color w:val="000000" w:themeColor="text1"/>
          <w:vertAlign w:val="superscript"/>
          <w:lang w:val="es-ES"/>
        </w:rPr>
        <w:footnoteReference w:id="7"/>
      </w:r>
      <w:r w:rsidRPr="002A4195">
        <w:rPr>
          <w:rFonts w:ascii="Verdana"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A4195">
        <w:rPr>
          <w:rFonts w:ascii="Verdana" w:hAnsi="Verdana" w:cs="Arial"/>
          <w:color w:val="000000" w:themeColor="text1"/>
          <w:vertAlign w:val="superscript"/>
          <w:lang w:val="es-ES"/>
        </w:rPr>
        <w:footnoteReference w:id="8"/>
      </w:r>
      <w:r w:rsidRPr="002A4195">
        <w:rPr>
          <w:rFonts w:ascii="Verdana" w:hAnsi="Verdana" w:cs="Arial"/>
          <w:color w:val="000000" w:themeColor="text1"/>
          <w:lang w:val="es-ES_tradnl"/>
        </w:rPr>
        <w:t>. En tal sentido, la Sección Tercera ha señalado que:</w:t>
      </w:r>
    </w:p>
    <w:p w14:paraId="54988776"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7A919760" w14:textId="77777777" w:rsidR="002A4195" w:rsidRPr="00E32ED8" w:rsidRDefault="002A4195" w:rsidP="00850396">
      <w:pPr>
        <w:widowControl w:val="0"/>
        <w:autoSpaceDE w:val="0"/>
        <w:autoSpaceDN w:val="0"/>
        <w:spacing w:after="120" w:line="240" w:lineRule="auto"/>
        <w:ind w:left="1134" w:right="357"/>
        <w:jc w:val="both"/>
        <w:rPr>
          <w:rFonts w:ascii="Verdana" w:hAnsi="Verdana" w:cs="Arial"/>
          <w:i/>
          <w:iCs/>
          <w:color w:val="000000" w:themeColor="text1"/>
          <w:sz w:val="20"/>
          <w:szCs w:val="20"/>
          <w:lang w:val="es-MX"/>
        </w:rPr>
      </w:pPr>
      <w:r w:rsidRPr="00E32ED8">
        <w:rPr>
          <w:rFonts w:ascii="Verdana" w:hAnsi="Verdana" w:cs="Arial"/>
          <w:i/>
          <w:iCs/>
          <w:color w:val="000000" w:themeColor="text1"/>
          <w:sz w:val="20"/>
          <w:szCs w:val="20"/>
          <w:lang w:val="es-MX"/>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E32ED8">
        <w:rPr>
          <w:rFonts w:ascii="Verdana" w:hAnsi="Verdana" w:cs="Arial"/>
          <w:i/>
          <w:iCs/>
          <w:color w:val="000000" w:themeColor="text1"/>
          <w:sz w:val="20"/>
          <w:szCs w:val="20"/>
          <w:vertAlign w:val="superscript"/>
          <w:lang w:val="es-MX"/>
        </w:rPr>
        <w:footnoteReference w:id="9"/>
      </w:r>
      <w:r w:rsidRPr="00E32ED8">
        <w:rPr>
          <w:rFonts w:ascii="Verdana" w:hAnsi="Verdana" w:cs="Arial"/>
          <w:i/>
          <w:iCs/>
          <w:color w:val="000000" w:themeColor="text1"/>
          <w:sz w:val="20"/>
          <w:szCs w:val="20"/>
          <w:vertAlign w:val="superscript"/>
          <w:lang w:val="es-MX"/>
        </w:rPr>
        <w:t>.</w:t>
      </w:r>
    </w:p>
    <w:p w14:paraId="3E693D8E" w14:textId="77777777" w:rsidR="002A4195" w:rsidRPr="002A4195" w:rsidRDefault="002A4195" w:rsidP="004248A8">
      <w:pPr>
        <w:widowControl w:val="0"/>
        <w:autoSpaceDE w:val="0"/>
        <w:autoSpaceDN w:val="0"/>
        <w:spacing w:after="120" w:line="276" w:lineRule="auto"/>
        <w:ind w:left="709" w:right="709"/>
        <w:jc w:val="both"/>
        <w:rPr>
          <w:rFonts w:ascii="Verdana" w:hAnsi="Verdana" w:cs="Arial"/>
          <w:bCs/>
          <w:color w:val="000000" w:themeColor="text1"/>
          <w:sz w:val="20"/>
          <w:szCs w:val="20"/>
          <w:lang w:val="es-ES_tradnl"/>
        </w:rPr>
      </w:pPr>
    </w:p>
    <w:p w14:paraId="666B37D7" w14:textId="77777777" w:rsidR="002A4195" w:rsidRPr="006B331D" w:rsidRDefault="002A4195" w:rsidP="006B331D">
      <w:pPr>
        <w:widowControl w:val="0"/>
        <w:autoSpaceDE w:val="0"/>
        <w:autoSpaceDN w:val="0"/>
        <w:spacing w:after="120" w:line="240" w:lineRule="auto"/>
        <w:ind w:left="1134" w:right="357"/>
        <w:jc w:val="both"/>
        <w:rPr>
          <w:rFonts w:ascii="Verdana" w:hAnsi="Verdana" w:cs="Arial"/>
          <w:i/>
          <w:iCs/>
          <w:color w:val="000000" w:themeColor="text1"/>
          <w:sz w:val="20"/>
          <w:szCs w:val="20"/>
          <w:lang w:val="es-MX"/>
        </w:rPr>
      </w:pPr>
      <w:r w:rsidRPr="006B331D">
        <w:rPr>
          <w:rFonts w:ascii="Verdana" w:hAnsi="Verdana" w:cs="Arial"/>
          <w:i/>
          <w:iCs/>
          <w:color w:val="000000" w:themeColor="text1"/>
          <w:sz w:val="20"/>
          <w:szCs w:val="20"/>
          <w:lang w:val="es-MX"/>
        </w:rPr>
        <w:t>También ha dicho que:</w:t>
      </w:r>
    </w:p>
    <w:p w14:paraId="3A4A2958" w14:textId="77777777" w:rsidR="002A4195" w:rsidRPr="006B331D" w:rsidRDefault="002A4195" w:rsidP="006B331D">
      <w:pPr>
        <w:widowControl w:val="0"/>
        <w:autoSpaceDE w:val="0"/>
        <w:autoSpaceDN w:val="0"/>
        <w:spacing w:after="120" w:line="240" w:lineRule="auto"/>
        <w:ind w:left="1134" w:right="357"/>
        <w:jc w:val="both"/>
        <w:rPr>
          <w:rFonts w:ascii="Verdana" w:hAnsi="Verdana" w:cs="Arial"/>
          <w:i/>
          <w:iCs/>
          <w:color w:val="000000" w:themeColor="text1"/>
          <w:sz w:val="20"/>
          <w:szCs w:val="20"/>
          <w:lang w:val="es-MX"/>
        </w:rPr>
      </w:pPr>
    </w:p>
    <w:p w14:paraId="4A20E092" w14:textId="77777777" w:rsidR="002A4195" w:rsidRPr="006B331D" w:rsidRDefault="002A4195" w:rsidP="006B331D">
      <w:pPr>
        <w:widowControl w:val="0"/>
        <w:autoSpaceDE w:val="0"/>
        <w:autoSpaceDN w:val="0"/>
        <w:spacing w:after="120" w:line="240" w:lineRule="auto"/>
        <w:ind w:left="1134" w:right="357"/>
        <w:jc w:val="both"/>
        <w:rPr>
          <w:rFonts w:ascii="Verdana" w:hAnsi="Verdana" w:cs="Arial"/>
          <w:i/>
          <w:iCs/>
          <w:color w:val="000000" w:themeColor="text1"/>
          <w:sz w:val="20"/>
          <w:szCs w:val="20"/>
          <w:lang w:val="es-MX"/>
        </w:rPr>
      </w:pPr>
      <w:r w:rsidRPr="006B331D">
        <w:rPr>
          <w:rFonts w:ascii="Verdana" w:hAnsi="Verdana" w:cs="Arial"/>
          <w:i/>
          <w:iCs/>
          <w:color w:val="000000" w:themeColor="text1"/>
          <w:sz w:val="20"/>
          <w:szCs w:val="20"/>
          <w:lang w:val="es-MX"/>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B331D">
        <w:rPr>
          <w:rFonts w:ascii="Verdana" w:hAnsi="Verdana" w:cs="Arial"/>
          <w:i/>
          <w:iCs/>
          <w:color w:val="000000" w:themeColor="text1"/>
          <w:sz w:val="20"/>
          <w:szCs w:val="20"/>
          <w:vertAlign w:val="superscript"/>
          <w:lang w:val="es-MX"/>
        </w:rPr>
        <w:footnoteReference w:id="10"/>
      </w:r>
      <w:r w:rsidRPr="006B331D">
        <w:rPr>
          <w:rFonts w:ascii="Verdana" w:hAnsi="Verdana" w:cs="Arial"/>
          <w:i/>
          <w:iCs/>
          <w:color w:val="000000" w:themeColor="text1"/>
          <w:sz w:val="20"/>
          <w:szCs w:val="20"/>
          <w:lang w:val="es-MX"/>
        </w:rPr>
        <w:t>.</w:t>
      </w:r>
    </w:p>
    <w:p w14:paraId="6A542571"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392D492D"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MX"/>
        </w:rPr>
      </w:pPr>
      <w:r w:rsidRPr="002A4195">
        <w:rPr>
          <w:rFonts w:ascii="Verdana" w:hAnsi="Verdana" w:cs="Arial"/>
          <w:color w:val="000000" w:themeColor="text1"/>
          <w:lang w:val="es-ES_tradnl"/>
        </w:rPr>
        <w:t xml:space="preserve">Como se aprecia, el principio </w:t>
      </w:r>
      <w:r w:rsidRPr="002A4195">
        <w:rPr>
          <w:rFonts w:ascii="Verdana" w:hAnsi="Verdana" w:cs="Arial"/>
          <w:i/>
          <w:iCs/>
          <w:color w:val="000000" w:themeColor="text1"/>
          <w:lang w:val="es-ES_tradnl"/>
        </w:rPr>
        <w:t>pro libertate</w:t>
      </w:r>
      <w:r w:rsidRPr="002A4195">
        <w:rPr>
          <w:rFonts w:ascii="Verdana" w:hAnsi="Verdana" w:cs="Arial"/>
          <w:color w:val="000000" w:themeColor="text1"/>
          <w:lang w:val="es-ES_tradnl"/>
        </w:rPr>
        <w:t xml:space="preserve"> es el que debe dirigir la interpretación de las disposiciones normativas que consagran restricciones de derechos, como sucede con las causales de inhabilidad e incompatibilidad en la contratación estatal. </w:t>
      </w:r>
      <w:r w:rsidRPr="002A4195">
        <w:rPr>
          <w:rFonts w:ascii="Verdana" w:hAnsi="Verdana" w:cs="Arial"/>
          <w:color w:val="000000" w:themeColor="text1"/>
          <w:lang w:val="es-ES"/>
        </w:rPr>
        <w:t xml:space="preserve">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 </w:t>
      </w:r>
    </w:p>
    <w:p w14:paraId="195D171F"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234CB696"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Teniendo en cuenta el objeto de su solicitud, es menester resaltar que, por el carácter de interpretación restrictiva del régimen de inhabilidades e incompatibilidades antes explicado, la aplicación de una causal de inhabilidad para celebrar un contrato estatal debe ser según lo descrito en la ley, de forma taxativa, por lo que la situación expresada, en principio, no se podría encuadrar en ninguna de las causales descritas en el artículo 8 de la Ley 80 de 1993. No obstante, esta norma no es la única fuente de inhabilidades e incompatibilidades, al respecto, y con relación a su pregunta, la Ley 1474 de 2011 consagra:</w:t>
      </w:r>
    </w:p>
    <w:p w14:paraId="5105666B"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5736ED1D" w14:textId="77777777" w:rsidR="002A4195" w:rsidRPr="000B3A0C" w:rsidRDefault="002A4195" w:rsidP="000B3A0C">
      <w:pPr>
        <w:widowControl w:val="0"/>
        <w:autoSpaceDE w:val="0"/>
        <w:autoSpaceDN w:val="0"/>
        <w:spacing w:after="120" w:line="240" w:lineRule="auto"/>
        <w:ind w:left="1134" w:right="357"/>
        <w:jc w:val="both"/>
        <w:rPr>
          <w:rFonts w:ascii="Verdana" w:hAnsi="Verdana" w:cs="Arial"/>
          <w:i/>
          <w:iCs/>
          <w:color w:val="000000" w:themeColor="text1"/>
          <w:sz w:val="20"/>
          <w:szCs w:val="20"/>
          <w:lang w:val="es-MX"/>
        </w:rPr>
      </w:pPr>
      <w:r w:rsidRPr="000B3A0C">
        <w:rPr>
          <w:rFonts w:ascii="Verdana" w:hAnsi="Verdana" w:cs="Arial"/>
          <w:i/>
          <w:iCs/>
          <w:color w:val="000000" w:themeColor="text1"/>
          <w:sz w:val="20"/>
          <w:szCs w:val="20"/>
          <w:lang w:val="es-MX"/>
        </w:rPr>
        <w:t xml:space="preserve">“ARTÍCULO 5. Quien haya celebrado un contrato estatal de obra pública, </w:t>
      </w:r>
      <w:r w:rsidRPr="000B3A0C">
        <w:rPr>
          <w:rFonts w:ascii="Verdana" w:hAnsi="Verdana" w:cs="Arial"/>
          <w:i/>
          <w:iCs/>
          <w:color w:val="000000" w:themeColor="text1"/>
          <w:sz w:val="20"/>
          <w:szCs w:val="20"/>
          <w:lang w:val="es-MX"/>
        </w:rPr>
        <w:lastRenderedPageBreak/>
        <w:t>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w:t>
      </w:r>
    </w:p>
    <w:p w14:paraId="71334DFE"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58440F05"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_tradnl"/>
        </w:rPr>
      </w:pPr>
      <w:r w:rsidRPr="002A4195">
        <w:rPr>
          <w:rFonts w:ascii="Verdana" w:hAnsi="Verdana" w:cs="Arial"/>
          <w:color w:val="000000" w:themeColor="text1"/>
          <w:lang w:val="es-ES_tradnl"/>
        </w:rPr>
        <w:t xml:space="preserve">Por tanto, es la entidad contratante la que debe determinar la aplicación de la anterior causal del régimen de inhabilidades e incompatibilidades, al supuesto de hecho descrito. </w:t>
      </w:r>
    </w:p>
    <w:p w14:paraId="4601157F"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32A28B72"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_tradnl"/>
        </w:rPr>
      </w:pPr>
      <w:r w:rsidRPr="002A4195">
        <w:rPr>
          <w:rFonts w:ascii="Verdana" w:hAnsi="Verdana" w:cs="Arial"/>
          <w:color w:val="000000" w:themeColor="text1"/>
          <w:lang w:val="es-ES"/>
        </w:rPr>
        <w:t>En segundo lugar</w:t>
      </w:r>
      <w:r w:rsidRPr="002A4195">
        <w:rPr>
          <w:rFonts w:ascii="Verdana" w:hAnsi="Verdana" w:cs="Arial"/>
          <w:color w:val="000000" w:themeColor="text1"/>
          <w:lang w:val="es-ES_tradnl"/>
        </w:rPr>
        <w:t xml:space="preserve">, dado que en la pregunta de su consulta hace referencia al régimen de los conflictos de interés en la contratación estatal, debe señalarse que,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1" w:name="_Hlk36672204"/>
      <w:r w:rsidRPr="002A4195">
        <w:rPr>
          <w:rFonts w:ascii="Verdana" w:hAnsi="Verdana" w:cs="Arial"/>
          <w:color w:val="000000" w:themeColor="text1"/>
          <w:lang w:val="es-ES_tradnl"/>
        </w:rPr>
        <w:t xml:space="preserve">el régimen de los </w:t>
      </w:r>
      <w:r w:rsidRPr="002A4195">
        <w:rPr>
          <w:rFonts w:ascii="Verdana" w:hAnsi="Verdana" w:cs="Arial"/>
          <w:i/>
          <w:iCs/>
          <w:color w:val="000000" w:themeColor="text1"/>
          <w:lang w:val="es-ES_tradnl"/>
        </w:rPr>
        <w:t>conflictos de interés</w:t>
      </w:r>
      <w:r w:rsidRPr="002A4195">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2" w:name="_Hlk36668905"/>
      <w:r w:rsidRPr="002A4195">
        <w:rPr>
          <w:rFonts w:ascii="Verdana" w:hAnsi="Verdana" w:cs="Arial"/>
          <w:color w:val="000000" w:themeColor="text1"/>
          <w:lang w:val="es-ES_tradnl"/>
        </w:rPr>
        <w:t>concurrencia de intereses antagónicos que afectan la transparencia de las decisiones, al implicar –en detrimento del interés general– el aprovechamiento personal, familiar o particular</w:t>
      </w:r>
      <w:bookmarkEnd w:id="1"/>
      <w:bookmarkEnd w:id="2"/>
      <w:r w:rsidRPr="002A4195">
        <w:rPr>
          <w:rFonts w:ascii="Verdana" w:hAnsi="Verdana" w:cs="Arial"/>
          <w:color w:val="000000" w:themeColor="text1"/>
          <w:vertAlign w:val="superscript"/>
          <w:lang w:val="es-ES_tradnl"/>
        </w:rPr>
        <w:footnoteReference w:id="11"/>
      </w:r>
      <w:r w:rsidRPr="002A4195">
        <w:rPr>
          <w:rFonts w:ascii="Verdana" w:hAnsi="Verdana" w:cs="Arial"/>
          <w:color w:val="000000" w:themeColor="text1"/>
          <w:lang w:val="es-ES_tradnl"/>
        </w:rPr>
        <w:t>.</w:t>
      </w:r>
    </w:p>
    <w:p w14:paraId="20CC53E1"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59BAB2CE"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color w:val="000000" w:themeColor="text1"/>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No obstante, existen disposiciones especiales como el régimen de los congresistas, de los concejales o el régimen disciplinario </w:t>
      </w:r>
      <w:r w:rsidRPr="002A4195">
        <w:rPr>
          <w:rFonts w:ascii="Verdana" w:hAnsi="Verdana" w:cs="Arial"/>
          <w:color w:val="000000" w:themeColor="text1"/>
          <w:lang w:val="es-ES"/>
        </w:rPr>
        <w:lastRenderedPageBreak/>
        <w:t xml:space="preserve">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6A6A8165"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
        </w:rPr>
      </w:pPr>
    </w:p>
    <w:p w14:paraId="12F2E380"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_tradnl"/>
        </w:rPr>
      </w:pPr>
      <w:r w:rsidRPr="002A4195">
        <w:rPr>
          <w:rFonts w:ascii="Verdana" w:hAnsi="Verdana" w:cs="Arial"/>
          <w:color w:val="000000" w:themeColor="text1"/>
          <w:lang w:val="es-ES_tradnl"/>
        </w:rPr>
        <w:t>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0B0E56E2" w14:textId="77777777" w:rsidR="002A4195" w:rsidRPr="002A4195" w:rsidRDefault="002A4195" w:rsidP="002A4195">
      <w:pPr>
        <w:widowControl w:val="0"/>
        <w:autoSpaceDE w:val="0"/>
        <w:autoSpaceDN w:val="0"/>
        <w:spacing w:after="0" w:line="276" w:lineRule="auto"/>
        <w:jc w:val="both"/>
        <w:rPr>
          <w:rFonts w:ascii="Verdana" w:hAnsi="Verdana" w:cs="Arial"/>
          <w:color w:val="000000" w:themeColor="text1"/>
          <w:lang w:val="es-ES_tradnl"/>
        </w:rPr>
      </w:pPr>
    </w:p>
    <w:p w14:paraId="4027C41D"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i/>
          <w:iCs/>
          <w:color w:val="000000" w:themeColor="text1"/>
          <w:lang w:val="es-ES"/>
        </w:rPr>
      </w:pPr>
      <w:r w:rsidRPr="002A4195">
        <w:rPr>
          <w:rFonts w:ascii="Verdana" w:hAnsi="Verdana" w:cs="Arial"/>
          <w:color w:val="000000" w:themeColor="text1"/>
          <w:lang w:val="es-ES"/>
        </w:rPr>
        <w:t xml:space="preserve">Finalmente, en virtud del principio de autonomía, las Entidades Estatales puede establecer causales de rechazo que consideren pertinentes en el Proceso de Contratación. Así mismo, es bueno resaltar, como lo señaló la Agencia Nacional de Contratación Pública – Colombia Compra Eficiente en los conceptos C-815 del 18 de febrero de 2021 y C-449 del 31 de agosto </w:t>
      </w:r>
      <w:r w:rsidRPr="002A4195">
        <w:rPr>
          <w:rFonts w:ascii="Verdana" w:hAnsi="Verdana" w:cs="Arial"/>
          <w:color w:val="000000" w:themeColor="text1"/>
          <w:lang w:val="es-ES"/>
        </w:rPr>
        <w:lastRenderedPageBreak/>
        <w:t>de 2021, que la doctrina</w:t>
      </w:r>
      <w:r w:rsidRPr="002A4195">
        <w:rPr>
          <w:rFonts w:ascii="Verdana" w:hAnsi="Verdana" w:cs="Arial"/>
          <w:color w:val="000000" w:themeColor="text1"/>
          <w:vertAlign w:val="superscript"/>
          <w:lang w:val="es-ES"/>
        </w:rPr>
        <w:footnoteReference w:id="12"/>
      </w:r>
      <w:r w:rsidRPr="002A4195">
        <w:rPr>
          <w:rFonts w:ascii="Verdana" w:hAnsi="Verdana" w:cs="Arial"/>
          <w:color w:val="000000" w:themeColor="text1"/>
          <w:lang w:val="es-ES"/>
        </w:rPr>
        <w:t xml:space="preserve"> y de forma particular la Sala de Consulta y Servicio Civil del Consejo de Estado</w:t>
      </w:r>
      <w:r w:rsidRPr="002A4195">
        <w:rPr>
          <w:rFonts w:ascii="Verdana" w:hAnsi="Verdana" w:cs="Arial"/>
          <w:color w:val="000000" w:themeColor="text1"/>
          <w:vertAlign w:val="superscript"/>
          <w:lang w:val="es-ES"/>
        </w:rPr>
        <w:footnoteReference w:id="13"/>
      </w:r>
      <w:r w:rsidRPr="002A4195">
        <w:rPr>
          <w:rFonts w:ascii="Verdana" w:hAnsi="Verdana" w:cs="Arial"/>
          <w:color w:val="000000" w:themeColor="text1"/>
          <w:lang w:val="es-ES"/>
        </w:rPr>
        <w:t xml:space="preserve">, han reconocido la posibilidad que tienen las Entidades Estatales de establecer conflictos de interés en sus Pliegos de Condiciones, diferenciando dichas causales y su regulación de las inhabilidades e incompatibilidades consagradas en el EGCAP y demás normas complementarias. La Sala de Consulta y Servicio Civil del Consejo de Estado claramente ha admitido la inclusión de causales de conflicto de interés en los Pliegos de Condiciones o en los contratos de las Entidades Estatales, siempre y cuando estas satisfagan, entre otros requisitos, los criterios de </w:t>
      </w:r>
      <w:r w:rsidRPr="002A4195">
        <w:rPr>
          <w:rFonts w:ascii="Verdana" w:hAnsi="Verdana" w:cs="Arial"/>
          <w:i/>
          <w:iCs/>
          <w:color w:val="000000" w:themeColor="text1"/>
          <w:lang w:val="es-ES"/>
        </w:rPr>
        <w:t xml:space="preserve">tipicidad </w:t>
      </w:r>
      <w:r w:rsidRPr="002A4195">
        <w:rPr>
          <w:rFonts w:ascii="Verdana" w:hAnsi="Verdana" w:cs="Arial"/>
          <w:color w:val="000000" w:themeColor="text1"/>
          <w:lang w:val="es-ES"/>
        </w:rPr>
        <w:t xml:space="preserve">y </w:t>
      </w:r>
      <w:r w:rsidRPr="002A4195">
        <w:rPr>
          <w:rFonts w:ascii="Verdana" w:hAnsi="Verdana" w:cs="Arial"/>
          <w:i/>
          <w:iCs/>
          <w:color w:val="000000" w:themeColor="text1"/>
          <w:lang w:val="es-ES"/>
        </w:rPr>
        <w:t>objetividad.</w:t>
      </w:r>
      <w:r w:rsidRPr="002A4195">
        <w:rPr>
          <w:rFonts w:ascii="Verdana" w:hAnsi="Verdana" w:cs="Arial"/>
          <w:color w:val="000000" w:themeColor="text1"/>
          <w:vertAlign w:val="superscript"/>
          <w:lang w:val="es-ES"/>
        </w:rPr>
        <w:footnoteReference w:id="14"/>
      </w:r>
    </w:p>
    <w:p w14:paraId="509B6639" w14:textId="77777777" w:rsidR="002A4195" w:rsidRPr="002A4195" w:rsidRDefault="002A4195" w:rsidP="002A4195">
      <w:pPr>
        <w:widowControl w:val="0"/>
        <w:autoSpaceDE w:val="0"/>
        <w:autoSpaceDN w:val="0"/>
        <w:spacing w:after="0" w:line="276" w:lineRule="auto"/>
        <w:jc w:val="both"/>
        <w:rPr>
          <w:rFonts w:ascii="Verdana" w:hAnsi="Verdana" w:cs="Arial"/>
          <w:i/>
          <w:iCs/>
          <w:color w:val="000000" w:themeColor="text1"/>
          <w:lang w:val="es-ES_tradnl"/>
        </w:rPr>
      </w:pPr>
    </w:p>
    <w:p w14:paraId="74AD82CD" w14:textId="77777777" w:rsidR="002A4195" w:rsidRPr="002A4195" w:rsidRDefault="002A4195" w:rsidP="002A4195">
      <w:pPr>
        <w:widowControl w:val="0"/>
        <w:numPr>
          <w:ilvl w:val="0"/>
          <w:numId w:val="2"/>
        </w:numPr>
        <w:autoSpaceDE w:val="0"/>
        <w:autoSpaceDN w:val="0"/>
        <w:spacing w:after="0" w:line="276" w:lineRule="auto"/>
        <w:jc w:val="both"/>
        <w:rPr>
          <w:rFonts w:ascii="Verdana" w:hAnsi="Verdana" w:cs="Arial"/>
          <w:color w:val="000000" w:themeColor="text1"/>
          <w:lang w:val="es-ES"/>
        </w:rPr>
      </w:pPr>
      <w:r w:rsidRPr="002A4195">
        <w:rPr>
          <w:rFonts w:ascii="Verdana" w:hAnsi="Verdana" w:cs="Arial"/>
          <w:bCs/>
          <w:color w:val="000000" w:themeColor="text1"/>
          <w:lang w:val="es-MX"/>
        </w:rPr>
        <w:t xml:space="preserve">Bajo estas consideraciones, corresponde a cada Entidad Pública, en ejercicio de su competencia y previa valoración de los elementos fácticos y jurídicos, determinar si se está incurso en alguna causal de inhabilidad o incompatibilidad o si se configura un conflicto de intereses. </w:t>
      </w:r>
    </w:p>
    <w:p w14:paraId="65F81B9B" w14:textId="77777777" w:rsidR="00661953" w:rsidRPr="002A4195" w:rsidRDefault="00661953" w:rsidP="00661953">
      <w:pPr>
        <w:widowControl w:val="0"/>
        <w:autoSpaceDE w:val="0"/>
        <w:autoSpaceDN w:val="0"/>
        <w:spacing w:after="0" w:line="276" w:lineRule="auto"/>
        <w:jc w:val="both"/>
        <w:rPr>
          <w:rFonts w:ascii="Verdana" w:hAnsi="Verdana" w:cs="Arial"/>
          <w:color w:val="000000" w:themeColor="text1"/>
          <w:lang w:val="es-ES"/>
        </w:rPr>
      </w:pPr>
    </w:p>
    <w:p w14:paraId="7A47E624" w14:textId="77777777" w:rsidR="00661953" w:rsidRPr="00115E3D" w:rsidRDefault="00661953" w:rsidP="0066195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Referencias normativas, jurisprudenciales y otras fuentes:</w:t>
      </w:r>
    </w:p>
    <w:p w14:paraId="3354F54E" w14:textId="77777777" w:rsidR="00661953" w:rsidRPr="00115E3D" w:rsidRDefault="00661953" w:rsidP="00661953">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1953" w:rsidRPr="00115E3D" w14:paraId="57B01B18" w14:textId="77777777" w:rsidTr="003028CD">
        <w:trPr>
          <w:trHeight w:val="870"/>
        </w:trPr>
        <w:tc>
          <w:tcPr>
            <w:tcW w:w="8647" w:type="dxa"/>
          </w:tcPr>
          <w:p w14:paraId="743F1194"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es-ES_tradnl"/>
              </w:rPr>
              <w:t>Constitución Política: artículo 209.</w:t>
            </w:r>
          </w:p>
          <w:p w14:paraId="32925593"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es-ES"/>
              </w:rPr>
              <w:t>Ley 80 de 1993: artículo 8.</w:t>
            </w:r>
          </w:p>
          <w:p w14:paraId="32E9B727"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es-MX"/>
              </w:rPr>
              <w:t>Ley 1150 de 2007: artículo 18.</w:t>
            </w:r>
          </w:p>
          <w:p w14:paraId="4B242956"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es-ES_tradnl"/>
              </w:rPr>
              <w:t>Ley 1437 de 2011: artículos 3 numeral 5, 11 y 12</w:t>
            </w:r>
            <w:r w:rsidRPr="007257E2">
              <w:rPr>
                <w:rFonts w:ascii="Verdana" w:hAnsi="Verdana" w:cs="Arial"/>
                <w:color w:val="000000" w:themeColor="text1"/>
                <w:lang w:val="es-MX"/>
              </w:rPr>
              <w:t>.</w:t>
            </w:r>
          </w:p>
          <w:p w14:paraId="45529DBC"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pt-BR"/>
              </w:rPr>
              <w:t>Corte Constitucional. Sentencia C-1016 de 2012. M.P. Jorge Iván Palacio.</w:t>
            </w:r>
          </w:p>
          <w:p w14:paraId="0D7A18CE" w14:textId="77777777" w:rsidR="007257E2" w:rsidRPr="007257E2" w:rsidRDefault="007257E2" w:rsidP="007257E2">
            <w:pPr>
              <w:pStyle w:val="Prrafodelista"/>
              <w:numPr>
                <w:ilvl w:val="0"/>
                <w:numId w:val="3"/>
              </w:numPr>
              <w:contextualSpacing w:val="0"/>
              <w:jc w:val="both"/>
              <w:rPr>
                <w:rFonts w:ascii="Verdana" w:hAnsi="Verdana" w:cs="Arial"/>
                <w:color w:val="000000" w:themeColor="text1"/>
                <w:lang w:val="pt-BR"/>
              </w:rPr>
            </w:pPr>
            <w:r w:rsidRPr="007257E2">
              <w:rPr>
                <w:rFonts w:ascii="Verdana" w:hAnsi="Verdana" w:cs="Arial"/>
                <w:color w:val="000000" w:themeColor="text1"/>
                <w:lang w:val="pt-BR"/>
              </w:rPr>
              <w:t xml:space="preserve">Corte Constitucional. Sentencia C-415 de 1994. M.P. Eduardo Cifuentes Muñoz. </w:t>
            </w:r>
          </w:p>
          <w:p w14:paraId="201652B5"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lang w:val="pt-BR"/>
              </w:rPr>
              <w:t xml:space="preserve">Corte Constitucional. </w:t>
            </w:r>
            <w:r w:rsidRPr="007257E2">
              <w:rPr>
                <w:rFonts w:ascii="Verdana" w:hAnsi="Verdana" w:cs="Arial"/>
                <w:color w:val="000000" w:themeColor="text1"/>
              </w:rPr>
              <w:t>Sentencia C-780 de 2001. M.P. Jaime Córdoba Triviño.</w:t>
            </w:r>
          </w:p>
          <w:p w14:paraId="136FA241" w14:textId="77777777" w:rsidR="007257E2" w:rsidRPr="007257E2" w:rsidRDefault="007257E2" w:rsidP="007257E2">
            <w:pPr>
              <w:pStyle w:val="Prrafodelista"/>
              <w:numPr>
                <w:ilvl w:val="0"/>
                <w:numId w:val="3"/>
              </w:numPr>
              <w:contextualSpacing w:val="0"/>
              <w:jc w:val="both"/>
              <w:rPr>
                <w:rFonts w:ascii="Verdana" w:hAnsi="Verdana" w:cs="Arial"/>
                <w:color w:val="000000" w:themeColor="text1"/>
                <w:lang w:val="es-ES"/>
              </w:rPr>
            </w:pPr>
            <w:r w:rsidRPr="007257E2">
              <w:rPr>
                <w:rFonts w:ascii="Verdana" w:hAnsi="Verdana" w:cs="Arial"/>
                <w:color w:val="000000" w:themeColor="text1"/>
                <w:lang w:val="es-ES"/>
              </w:rPr>
              <w:t xml:space="preserve">Corte Constitucional. Sentencia T-1039 de 2006. Magistrado Ponente: Humberto Sierra Porto. </w:t>
            </w:r>
          </w:p>
          <w:p w14:paraId="3CB04971"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rPr>
              <w:lastRenderedPageBreak/>
              <w:t>Consejo de Estado. Sala de Consulta y de Servicio Civil. Concepto del 23 de marzo de 2011. Rad. 2.045. C.P. Enrique José Arboleda Perdomo.</w:t>
            </w:r>
          </w:p>
          <w:p w14:paraId="51FE45DF" w14:textId="77777777" w:rsidR="007257E2" w:rsidRPr="007257E2" w:rsidRDefault="007257E2" w:rsidP="007257E2">
            <w:pPr>
              <w:pStyle w:val="Prrafodelista"/>
              <w:numPr>
                <w:ilvl w:val="0"/>
                <w:numId w:val="3"/>
              </w:numPr>
              <w:contextualSpacing w:val="0"/>
              <w:rPr>
                <w:rFonts w:ascii="Verdana" w:hAnsi="Verdana" w:cs="Arial"/>
                <w:color w:val="000000" w:themeColor="text1"/>
                <w:lang w:val="es-ES"/>
              </w:rPr>
            </w:pPr>
            <w:r w:rsidRPr="007257E2">
              <w:rPr>
                <w:rFonts w:ascii="Verdana" w:hAnsi="Verdana" w:cs="Arial"/>
                <w:color w:val="000000" w:themeColor="text1"/>
              </w:rPr>
              <w:t>Consejo de Estado. Sección Tercera. Subsección C. Sentencia del 22 de mayo de 2013. Exp. 24.057. Consejera Ponente: Olga Melida Valle De De La Hoz.</w:t>
            </w:r>
          </w:p>
          <w:p w14:paraId="22CB6357" w14:textId="77777777" w:rsidR="007257E2" w:rsidRPr="007257E2" w:rsidRDefault="007257E2" w:rsidP="007257E2">
            <w:pPr>
              <w:pStyle w:val="Prrafodelista"/>
              <w:numPr>
                <w:ilvl w:val="0"/>
                <w:numId w:val="3"/>
              </w:numPr>
              <w:contextualSpacing w:val="0"/>
              <w:jc w:val="both"/>
              <w:rPr>
                <w:rFonts w:ascii="Verdana" w:hAnsi="Verdana" w:cs="Arial"/>
                <w:color w:val="000000" w:themeColor="text1"/>
                <w:lang w:val="es-ES"/>
              </w:rPr>
            </w:pPr>
            <w:r w:rsidRPr="007257E2">
              <w:rPr>
                <w:rFonts w:ascii="Verdana" w:hAnsi="Verdana" w:cs="Arial"/>
                <w:color w:val="000000" w:themeColor="text1"/>
              </w:rPr>
              <w:t xml:space="preserve">Consejo De Estado. Sección Tercera. Subsección A. Sentencia del 13 de noviembre de 2013. </w:t>
            </w:r>
            <w:r w:rsidRPr="007257E2">
              <w:rPr>
                <w:rFonts w:ascii="Verdana" w:hAnsi="Verdana" w:cs="Arial"/>
                <w:color w:val="000000" w:themeColor="text1"/>
                <w:lang w:val="pt-BR"/>
              </w:rPr>
              <w:t xml:space="preserve">Rad. 25.646. C.P. Mauricio Fajardo Gómez.  </w:t>
            </w:r>
          </w:p>
          <w:p w14:paraId="6FAEC696" w14:textId="77777777" w:rsidR="007257E2" w:rsidRPr="007257E2" w:rsidRDefault="007257E2" w:rsidP="007257E2">
            <w:pPr>
              <w:pStyle w:val="Prrafodelista"/>
              <w:numPr>
                <w:ilvl w:val="0"/>
                <w:numId w:val="3"/>
              </w:numPr>
              <w:contextualSpacing w:val="0"/>
              <w:jc w:val="both"/>
              <w:rPr>
                <w:rFonts w:ascii="Verdana" w:hAnsi="Verdana" w:cs="Arial"/>
                <w:color w:val="000000" w:themeColor="text1"/>
                <w:lang w:val="es-ES"/>
              </w:rPr>
            </w:pPr>
            <w:r w:rsidRPr="007257E2">
              <w:rPr>
                <w:rFonts w:ascii="Verdana" w:hAnsi="Verdana" w:cs="Arial"/>
                <w:color w:val="000000" w:themeColor="text1"/>
                <w:lang w:val="es-ES"/>
              </w:rPr>
              <w:t>Consejo de Estado. Sala de Consulta y Servicio Civil. Concepto del 30 de abril de 2015. Expediente: 2.251. Consejero Ponente: Álvaro Namén Vargas.</w:t>
            </w:r>
          </w:p>
          <w:p w14:paraId="53CC178B" w14:textId="1F055B5C" w:rsidR="00661953" w:rsidRPr="00115E3D" w:rsidRDefault="007257E2" w:rsidP="007257E2">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7257E2">
              <w:rPr>
                <w:rFonts w:ascii="Verdana" w:hAnsi="Verdana" w:cs="Arial"/>
                <w:color w:val="000000" w:themeColor="text1"/>
                <w:lang w:val="es-MX"/>
              </w:rPr>
              <w:t>Consejo de Estado. Sección Tercera. Subsección A. Sentencia del 24 de junio de 2015. Exp. 40.635. Consejero Ponente: Hernán Andrade Rincón (E).</w:t>
            </w:r>
          </w:p>
        </w:tc>
      </w:tr>
    </w:tbl>
    <w:p w14:paraId="1A0C3B44" w14:textId="77777777" w:rsidR="00661953" w:rsidRPr="00115E3D" w:rsidRDefault="00661953" w:rsidP="00661953">
      <w:pPr>
        <w:widowControl w:val="0"/>
        <w:autoSpaceDE w:val="0"/>
        <w:autoSpaceDN w:val="0"/>
        <w:spacing w:after="0" w:line="276" w:lineRule="auto"/>
        <w:jc w:val="both"/>
        <w:rPr>
          <w:rFonts w:ascii="Verdana" w:hAnsi="Verdana" w:cs="Arial"/>
          <w:color w:val="000000" w:themeColor="text1"/>
        </w:rPr>
      </w:pPr>
    </w:p>
    <w:p w14:paraId="624A677C" w14:textId="77777777" w:rsidR="00661953" w:rsidRPr="00115E3D" w:rsidRDefault="00661953" w:rsidP="0066195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Doctrina de la Agencia Nacional de Contratación Pública:</w:t>
      </w:r>
    </w:p>
    <w:p w14:paraId="5B70DA56" w14:textId="77777777" w:rsidR="00661953" w:rsidRPr="00115E3D" w:rsidRDefault="00661953" w:rsidP="00661953">
      <w:pPr>
        <w:widowControl w:val="0"/>
        <w:autoSpaceDE w:val="0"/>
        <w:autoSpaceDN w:val="0"/>
        <w:spacing w:after="0" w:line="276" w:lineRule="auto"/>
        <w:jc w:val="both"/>
        <w:rPr>
          <w:rFonts w:ascii="Verdana" w:hAnsi="Verdana" w:cs="Arial"/>
          <w:color w:val="000000" w:themeColor="text1"/>
        </w:rPr>
      </w:pPr>
    </w:p>
    <w:p w14:paraId="074FB274" w14:textId="5B47CBC2" w:rsidR="00661953" w:rsidRDefault="000F155D" w:rsidP="00661953">
      <w:pPr>
        <w:widowControl w:val="0"/>
        <w:autoSpaceDE w:val="0"/>
        <w:autoSpaceDN w:val="0"/>
        <w:spacing w:after="0" w:line="276" w:lineRule="auto"/>
        <w:jc w:val="both"/>
        <w:rPr>
          <w:rFonts w:ascii="Verdana" w:hAnsi="Verdana" w:cs="Arial"/>
          <w:color w:val="000000" w:themeColor="text1"/>
          <w:shd w:val="clear" w:color="auto" w:fill="FFFFFF"/>
        </w:rPr>
      </w:pPr>
      <w:r w:rsidRPr="000F155D">
        <w:rPr>
          <w:rFonts w:ascii="Verdana" w:hAnsi="Verdana" w:cs="Arial"/>
          <w:color w:val="000000" w:themeColor="text1"/>
          <w:shd w:val="clear" w:color="auto" w:fill="FFFFFF"/>
          <w:lang w:val="es-ES"/>
        </w:rPr>
        <w:t>Sobre el régimen de inhabilidades e incompatibilidades en la contratación pública, sus criterios de interpretación –restrictivo y pro libertate– y sus efectos en la capacidad contractual, entre otros se pronunció esta Subdirección en los conceptos</w:t>
      </w:r>
      <w:r w:rsidRPr="000F155D">
        <w:rPr>
          <w:rFonts w:ascii="Verdana" w:hAnsi="Verdana" w:cs="Arial"/>
          <w:color w:val="000000" w:themeColor="text1"/>
          <w:shd w:val="clear" w:color="auto" w:fill="FFFFFF"/>
        </w:rPr>
        <w:t xml:space="preserve"> </w:t>
      </w:r>
      <w:r w:rsidRPr="000F155D">
        <w:rPr>
          <w:rFonts w:ascii="Verdana" w:hAnsi="Verdana" w:cs="Arial"/>
          <w:color w:val="000000" w:themeColor="text1"/>
          <w:shd w:val="clear" w:color="auto" w:fill="FFFFFF"/>
          <w:lang w:val="es-ES"/>
        </w:rPr>
        <w:t xml:space="preserve">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C-035 del 24 de abril de 2024, C-067 del 16 de mayo de 2024, C-041 del 29 de mayo de 2024, C-078 del 04 de junio de 2024, C-193 del 19 de julio de 2024, C-271 del 25 de julio de 2024, C-108 de 06 de agosto de 2024 y C-332 del 27 de agosto del 2024, entre otros. También se ha pronunciado sobre el conflicto de interés en los conceptos C-229 del 16 de abril de 2020, C-815 del 18 de febrero de 2021, C-449 del 31 de agosto de 2021, C-288 del 14 de julio de 2023 </w:t>
      </w:r>
      <w:r w:rsidR="00BD51D3">
        <w:rPr>
          <w:rFonts w:ascii="Verdana" w:hAnsi="Verdana" w:cs="Arial"/>
          <w:color w:val="000000" w:themeColor="text1"/>
          <w:shd w:val="clear" w:color="auto" w:fill="FFFFFF"/>
          <w:lang w:val="es-ES"/>
        </w:rPr>
        <w:t>,</w:t>
      </w:r>
      <w:r w:rsidRPr="000F155D">
        <w:rPr>
          <w:rFonts w:ascii="Verdana" w:hAnsi="Verdana" w:cs="Arial"/>
          <w:color w:val="000000" w:themeColor="text1"/>
          <w:shd w:val="clear" w:color="auto" w:fill="FFFFFF"/>
          <w:lang w:val="es-ES"/>
        </w:rPr>
        <w:t xml:space="preserve"> C-294 del 14 de agosto de 2024</w:t>
      </w:r>
      <w:r w:rsidR="00BD51D3">
        <w:rPr>
          <w:rFonts w:ascii="Verdana" w:hAnsi="Verdana" w:cs="Arial"/>
          <w:color w:val="000000" w:themeColor="text1"/>
          <w:shd w:val="clear" w:color="auto" w:fill="FFFFFF"/>
          <w:lang w:val="es-ES"/>
        </w:rPr>
        <w:t xml:space="preserve"> y </w:t>
      </w:r>
      <w:r w:rsidR="00BC0A5B">
        <w:rPr>
          <w:rFonts w:ascii="Verdana" w:hAnsi="Verdana" w:cs="Arial"/>
          <w:color w:val="000000" w:themeColor="text1"/>
          <w:shd w:val="clear" w:color="auto" w:fill="FFFFFF"/>
          <w:lang w:val="es-ES"/>
        </w:rPr>
        <w:t>C-560 del 27 de septiembre de 2024</w:t>
      </w:r>
      <w:r w:rsidRPr="000F155D">
        <w:rPr>
          <w:rFonts w:ascii="Verdana" w:hAnsi="Verdana" w:cs="Arial"/>
          <w:color w:val="000000" w:themeColor="text1"/>
          <w:shd w:val="clear" w:color="auto" w:fill="FFFFFF"/>
          <w:lang w:val="es-ES"/>
        </w:rPr>
        <w:t xml:space="preserve">. </w:t>
      </w:r>
      <w:r w:rsidRPr="000F155D">
        <w:rPr>
          <w:rFonts w:ascii="Verdana"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0F155D">
        <w:rPr>
          <w:rFonts w:ascii="Verdana" w:hAnsi="Verdana" w:cs="Arial"/>
          <w:color w:val="000000" w:themeColor="text1"/>
          <w:shd w:val="clear" w:color="auto" w:fill="FFFFFF"/>
        </w:rPr>
        <w:lastRenderedPageBreak/>
        <w:t>Contractual. Accede a través del siguiente enlace: </w:t>
      </w:r>
      <w:hyperlink r:id="rId9" w:tgtFrame="_blank" w:tooltip="Dirección URL original: https://relatoria.colombiacompra.gov.co/. Haga clic o pulse si confía en este vínculo." w:history="1">
        <w:r w:rsidRPr="000F155D">
          <w:rPr>
            <w:rStyle w:val="Hipervnculo"/>
            <w:rFonts w:ascii="Verdana" w:hAnsi="Verdana" w:cs="Arial"/>
            <w:shd w:val="clear" w:color="auto" w:fill="FFFFFF"/>
          </w:rPr>
          <w:t>https://relatoria.colombiacompra.gov.co/</w:t>
        </w:r>
      </w:hyperlink>
      <w:r w:rsidRPr="000F155D">
        <w:rPr>
          <w:rFonts w:ascii="Verdana" w:hAnsi="Verdana" w:cs="Arial"/>
          <w:color w:val="000000" w:themeColor="text1"/>
          <w:shd w:val="clear" w:color="auto" w:fill="FFFFFF"/>
        </w:rPr>
        <w:t> .</w:t>
      </w:r>
    </w:p>
    <w:p w14:paraId="7A69D1EA" w14:textId="77777777" w:rsidR="000F155D" w:rsidRPr="00115E3D" w:rsidRDefault="000F155D" w:rsidP="0066195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605A2CD" w14:textId="77777777" w:rsidR="00A8329D" w:rsidRDefault="00A8329D" w:rsidP="00A8329D">
      <w:pPr>
        <w:widowControl w:val="0"/>
        <w:autoSpaceDE w:val="0"/>
        <w:autoSpaceDN w:val="0"/>
        <w:spacing w:after="0" w:line="276" w:lineRule="auto"/>
        <w:jc w:val="both"/>
        <w:rPr>
          <w:rFonts w:ascii="Verdana" w:hAnsi="Verdana" w:cs="Arial"/>
          <w:color w:val="000000" w:themeColor="text1"/>
        </w:rPr>
      </w:pPr>
      <w:r w:rsidRPr="00C76656">
        <w:rPr>
          <w:rFonts w:ascii="Verdana" w:hAnsi="Verdana" w:cs="Arial"/>
          <w:color w:val="000000" w:themeColor="text1"/>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0" w:tgtFrame="_blank" w:tooltip="Dirección URL original: https://www.colombiacompra.gov.co/content/borrador-de-documentos-tipo-de-consultoria-de-obra-publica-de-infraestructura-de-transporte. Haga clic o pulse si confía en este vínculo." w:history="1">
        <w:r w:rsidRPr="00C76656">
          <w:rPr>
            <w:rStyle w:val="Hipervnculo"/>
            <w:rFonts w:ascii="Verdana" w:hAnsi="Verdana" w:cs="Arial"/>
          </w:rPr>
          <w:t>https://www.colombiacompra.gov.co/content/borrador-de-documentos-tipo-de-consultoria-de-obra-publica-de-infraestructura-de-transporte</w:t>
        </w:r>
      </w:hyperlink>
      <w:r w:rsidRPr="00C76656">
        <w:rPr>
          <w:rFonts w:ascii="Verdana" w:hAnsi="Verdana" w:cs="Arial"/>
          <w:color w:val="000000" w:themeColor="text1"/>
        </w:rPr>
        <w:t> y </w:t>
      </w:r>
      <w:hyperlink r:id="rId11" w:tgtFrame="_blank" w:tooltip="Dirección URL original: https://www.colombiacompra.gov.co/content/borrador-de-documentos-tipo-de-interventoria-de-obra-publica-de-infraestructura-de. Haga clic o pulse si confía en este vínculo." w:history="1">
        <w:r w:rsidRPr="00C76656">
          <w:rPr>
            <w:rStyle w:val="Hipervnculo"/>
            <w:rFonts w:ascii="Verdana" w:hAnsi="Verdana" w:cs="Arial"/>
          </w:rPr>
          <w:t>https://www.colombiacompra.gov.co/content/borrador-de-documentos-tipo-de-interventoria-de-obra-publica-de-infraestructura-de</w:t>
        </w:r>
      </w:hyperlink>
      <w:r w:rsidRPr="00C76656">
        <w:rPr>
          <w:rFonts w:ascii="Verdana" w:hAnsi="Verdana" w:cs="Arial"/>
          <w:color w:val="000000" w:themeColor="text1"/>
        </w:rPr>
        <w:t> .</w:t>
      </w:r>
    </w:p>
    <w:p w14:paraId="7143621E" w14:textId="77777777" w:rsidR="00A8329D" w:rsidRPr="00C76656" w:rsidRDefault="00A8329D" w:rsidP="00A8329D">
      <w:pPr>
        <w:widowControl w:val="0"/>
        <w:autoSpaceDE w:val="0"/>
        <w:autoSpaceDN w:val="0"/>
        <w:spacing w:after="0" w:line="276" w:lineRule="auto"/>
        <w:jc w:val="both"/>
        <w:rPr>
          <w:rFonts w:ascii="Verdana" w:hAnsi="Verdana" w:cs="Arial"/>
          <w:color w:val="000000" w:themeColor="text1"/>
        </w:rPr>
      </w:pPr>
    </w:p>
    <w:p w14:paraId="41181C53" w14:textId="77777777" w:rsidR="00A8329D" w:rsidRDefault="00A8329D" w:rsidP="00A8329D">
      <w:pPr>
        <w:widowControl w:val="0"/>
        <w:autoSpaceDE w:val="0"/>
        <w:autoSpaceDN w:val="0"/>
        <w:spacing w:after="0" w:line="276" w:lineRule="auto"/>
        <w:jc w:val="both"/>
        <w:rPr>
          <w:rFonts w:ascii="Verdana" w:hAnsi="Verdana" w:cs="Arial"/>
          <w:color w:val="000000" w:themeColor="text1"/>
        </w:rPr>
      </w:pPr>
      <w:r w:rsidRPr="00C76656">
        <w:rPr>
          <w:rFonts w:ascii="Verdana" w:hAnsi="Verdana" w:cs="Arial"/>
          <w:color w:val="000000" w:themeColor="text1"/>
        </w:rPr>
        <w:t>De otra parte, te contamos que ya publicamos el borrador de la nueva Guía de Contratación Pública Sostenible y Socialmente Responsable. Conoce el documento y realiza tus comentarios hasta el 14 de noviembre de 2024 a través del siguiente enlace: </w:t>
      </w:r>
      <w:hyperlink r:id="rId12" w:tgtFrame="_blank" w:tooltip="Dirección URL original: https://www.sucop.gov.co/entidades/colombiacompra/Normativa?IDNorma=18320. Haga clic o pulse si confía en este vínculo." w:history="1">
        <w:r w:rsidRPr="00C76656">
          <w:rPr>
            <w:rStyle w:val="Hipervnculo"/>
            <w:rFonts w:ascii="Verdana" w:hAnsi="Verdana" w:cs="Arial"/>
          </w:rPr>
          <w:t>https://www.sucop.gov.co/entidades/colombiacompra/Normativa?IDNorma=18320</w:t>
        </w:r>
      </w:hyperlink>
      <w:r w:rsidRPr="00C76656">
        <w:rPr>
          <w:rFonts w:ascii="Verdana" w:hAnsi="Verdana" w:cs="Arial"/>
          <w:color w:val="000000" w:themeColor="text1"/>
        </w:rPr>
        <w:t>  </w:t>
      </w:r>
    </w:p>
    <w:p w14:paraId="550366B4" w14:textId="77777777" w:rsidR="00A8329D" w:rsidRPr="00C76656" w:rsidRDefault="00A8329D" w:rsidP="00A8329D">
      <w:pPr>
        <w:widowControl w:val="0"/>
        <w:autoSpaceDE w:val="0"/>
        <w:autoSpaceDN w:val="0"/>
        <w:spacing w:after="0" w:line="276" w:lineRule="auto"/>
        <w:jc w:val="both"/>
        <w:rPr>
          <w:rFonts w:ascii="Verdana" w:hAnsi="Verdana" w:cs="Arial"/>
          <w:color w:val="000000" w:themeColor="text1"/>
        </w:rPr>
      </w:pPr>
    </w:p>
    <w:p w14:paraId="7E87FD53" w14:textId="77777777" w:rsidR="00A8329D" w:rsidRPr="00C76656" w:rsidRDefault="00A8329D" w:rsidP="00A8329D">
      <w:pPr>
        <w:widowControl w:val="0"/>
        <w:autoSpaceDE w:val="0"/>
        <w:autoSpaceDN w:val="0"/>
        <w:spacing w:after="0" w:line="276" w:lineRule="auto"/>
        <w:jc w:val="both"/>
        <w:rPr>
          <w:rFonts w:ascii="Verdana" w:hAnsi="Verdana" w:cs="Arial"/>
          <w:color w:val="000000" w:themeColor="text1"/>
        </w:rPr>
      </w:pPr>
      <w:r w:rsidRPr="00C76656">
        <w:rPr>
          <w:rFonts w:ascii="Verdana" w:hAnsi="Verdana" w:cs="Arial"/>
          <w:color w:val="000000" w:themeColor="text1"/>
        </w:rPr>
        <w:t>También le invitamos a consultar las versiones V y VI de 2024 del Boletín de Relatoría de la Subdirección de Gestión Contractual relacionados con las guías de Plan Anual de Adquisiciones y la odalidad de selección de mínima cuantía , los cuales se pueden descargar en la página web de la Agencia: </w:t>
      </w:r>
      <w:hyperlink r:id="rId13" w:tgtFrame="_blank" w:tooltip="Dirección URL original: https://www.colombiacompra.gov.co/sala-de-prensa/boletin-digital. Haga clic o pulse si confía en este vínculo." w:history="1">
        <w:r w:rsidRPr="00C76656">
          <w:rPr>
            <w:rStyle w:val="Hipervnculo"/>
            <w:rFonts w:ascii="Verdana" w:hAnsi="Verdana" w:cs="Arial"/>
          </w:rPr>
          <w:t>https://www.colombiacompra.gov.co/sala-de-prensa/boletin-digital</w:t>
        </w:r>
      </w:hyperlink>
      <w:r w:rsidRPr="00C76656">
        <w:rPr>
          <w:rFonts w:ascii="Verdana" w:hAnsi="Verdana" w:cs="Arial"/>
          <w:color w:val="000000" w:themeColor="text1"/>
        </w:rPr>
        <w:t> "    </w:t>
      </w:r>
    </w:p>
    <w:p w14:paraId="420E559C" w14:textId="77777777" w:rsidR="00A8329D" w:rsidRDefault="00A8329D" w:rsidP="00A8329D">
      <w:pPr>
        <w:widowControl w:val="0"/>
        <w:autoSpaceDE w:val="0"/>
        <w:autoSpaceDN w:val="0"/>
        <w:spacing w:after="0" w:line="276" w:lineRule="auto"/>
        <w:jc w:val="both"/>
        <w:rPr>
          <w:rFonts w:ascii="Verdana" w:hAnsi="Verdana" w:cs="Arial"/>
          <w:color w:val="000000" w:themeColor="text1"/>
        </w:rPr>
      </w:pPr>
    </w:p>
    <w:p w14:paraId="3AF71046" w14:textId="77777777" w:rsidR="00A8329D" w:rsidRPr="00E91F32" w:rsidRDefault="00A8329D" w:rsidP="00A8329D">
      <w:pPr>
        <w:widowControl w:val="0"/>
        <w:autoSpaceDE w:val="0"/>
        <w:autoSpaceDN w:val="0"/>
        <w:spacing w:after="0" w:line="276" w:lineRule="auto"/>
        <w:jc w:val="both"/>
        <w:rPr>
          <w:rFonts w:ascii="Verdana" w:hAnsi="Verdana" w:cs="Arial"/>
          <w:color w:val="000000" w:themeColor="text1"/>
        </w:rPr>
      </w:pPr>
      <w:r w:rsidRPr="00E91F32">
        <w:rPr>
          <w:rFonts w:ascii="Verdana" w:hAnsi="Verdana" w:cs="Arial"/>
          <w:color w:val="000000" w:themeColor="text1"/>
        </w:rPr>
        <w:t xml:space="preserve">Por último, lo invitamos a seguirnos en las redes sociales en las cuales se difunde información institucional: </w:t>
      </w:r>
    </w:p>
    <w:p w14:paraId="333815A9"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rPr>
      </w:pPr>
    </w:p>
    <w:p w14:paraId="09A3D222"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Twitter: </w:t>
      </w:r>
      <w:r w:rsidRPr="00CA17B5">
        <w:rPr>
          <w:rFonts w:ascii="Verdana" w:hAnsi="Verdana" w:cs="Arial"/>
          <w:color w:val="000000" w:themeColor="text1"/>
          <w:u w:val="single"/>
        </w:rPr>
        <w:t>@colombiacompra</w:t>
      </w:r>
      <w:r w:rsidRPr="00CA17B5">
        <w:rPr>
          <w:rFonts w:ascii="Verdana" w:hAnsi="Verdana" w:cs="Arial"/>
          <w:color w:val="000000" w:themeColor="text1"/>
        </w:rPr>
        <w:t xml:space="preserve"> </w:t>
      </w:r>
    </w:p>
    <w:p w14:paraId="6CC11EBE"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Facebook: </w:t>
      </w:r>
      <w:r w:rsidRPr="00CA17B5">
        <w:rPr>
          <w:rFonts w:ascii="Verdana" w:hAnsi="Verdana" w:cs="Arial"/>
          <w:color w:val="000000" w:themeColor="text1"/>
          <w:u w:val="single"/>
        </w:rPr>
        <w:t>ColombiaCompraEficiente</w:t>
      </w:r>
    </w:p>
    <w:p w14:paraId="47C5484C"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LinkedIn: </w:t>
      </w:r>
      <w:r w:rsidRPr="00CA17B5">
        <w:rPr>
          <w:rFonts w:ascii="Verdana" w:hAnsi="Verdana" w:cs="Arial"/>
          <w:color w:val="000000" w:themeColor="text1"/>
          <w:u w:val="single"/>
        </w:rPr>
        <w:t>Agencia Nacional de Contratación Pública - Colombia Compra Eficiente</w:t>
      </w:r>
      <w:r w:rsidRPr="00CA17B5">
        <w:rPr>
          <w:rFonts w:ascii="Verdana" w:hAnsi="Verdana" w:cs="Arial"/>
          <w:color w:val="000000" w:themeColor="text1"/>
        </w:rPr>
        <w:t xml:space="preserve"> Instagram: </w:t>
      </w:r>
      <w:r w:rsidRPr="00CA17B5">
        <w:rPr>
          <w:rFonts w:ascii="Verdana" w:hAnsi="Verdana" w:cs="Arial"/>
          <w:color w:val="000000" w:themeColor="text1"/>
          <w:u w:val="single"/>
        </w:rPr>
        <w:t>@colombiacompraeficiente_cce</w:t>
      </w:r>
    </w:p>
    <w:p w14:paraId="76736D63"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rPr>
      </w:pPr>
    </w:p>
    <w:p w14:paraId="453870BE" w14:textId="77777777" w:rsidR="00A8329D" w:rsidRPr="00CA17B5" w:rsidRDefault="00A8329D" w:rsidP="00A8329D">
      <w:pPr>
        <w:widowControl w:val="0"/>
        <w:autoSpaceDE w:val="0"/>
        <w:autoSpaceDN w:val="0"/>
        <w:spacing w:after="0" w:line="276" w:lineRule="auto"/>
        <w:jc w:val="both"/>
        <w:rPr>
          <w:rFonts w:ascii="Verdana" w:hAnsi="Verdana" w:cs="Arial"/>
          <w:color w:val="000000" w:themeColor="text1"/>
          <w:lang w:val="es-ES_tradnl"/>
        </w:rPr>
      </w:pPr>
      <w:r w:rsidRPr="00CA17B5">
        <w:rPr>
          <w:rFonts w:ascii="Verdana" w:hAnsi="Verdana" w:cs="Arial"/>
          <w:color w:val="000000" w:themeColor="text1"/>
        </w:rPr>
        <w:t xml:space="preserve">Este concepto tiene el alcance previsto en el artículo 28 del Código de Procedimiento Administrativo y de lo Contencioso Administrativo </w:t>
      </w:r>
      <w:r w:rsidRPr="00CA17B5">
        <w:rPr>
          <w:rFonts w:ascii="Verdana" w:hAnsi="Verdana" w:cs="Arial"/>
          <w:color w:val="000000" w:themeColor="text1"/>
          <w:lang w:val="es-ES_tradnl"/>
        </w:rPr>
        <w:t xml:space="preserve">y las </w:t>
      </w:r>
      <w:r w:rsidRPr="00CA17B5">
        <w:rPr>
          <w:rFonts w:ascii="Verdana" w:hAnsi="Verdana" w:cs="Arial"/>
          <w:color w:val="000000" w:themeColor="text1"/>
          <w:lang w:val="es-ES_tradnl"/>
        </w:rPr>
        <w:lastRenderedPageBreak/>
        <w:t>expresiones aquí utilizadas con mayúscula inicial deben ser entendidas con el significado que les otorga el artículo 2.2.1.1.1.3.1. del Decreto 1082 de 2015.</w:t>
      </w:r>
    </w:p>
    <w:p w14:paraId="285F6224" w14:textId="77777777" w:rsidR="00661953" w:rsidRPr="00A8329D" w:rsidRDefault="00661953" w:rsidP="00661953">
      <w:pPr>
        <w:widowControl w:val="0"/>
        <w:autoSpaceDE w:val="0"/>
        <w:autoSpaceDN w:val="0"/>
        <w:spacing w:after="0" w:line="276" w:lineRule="auto"/>
        <w:jc w:val="both"/>
        <w:rPr>
          <w:rFonts w:ascii="Verdana" w:hAnsi="Verdana" w:cs="Arial"/>
          <w:color w:val="000000" w:themeColor="text1"/>
          <w:lang w:val="es-ES_tradnl"/>
        </w:rPr>
      </w:pPr>
    </w:p>
    <w:p w14:paraId="6E44BD44" w14:textId="77777777" w:rsidR="00661953" w:rsidRPr="00115E3D" w:rsidRDefault="00661953" w:rsidP="00661953">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5E1DD0C3" w14:textId="2FE8E5AC" w:rsidR="00661953" w:rsidRPr="00115E3D" w:rsidRDefault="00197955" w:rsidP="00661953">
      <w:pPr>
        <w:spacing w:line="276" w:lineRule="auto"/>
        <w:jc w:val="center"/>
        <w:rPr>
          <w:rFonts w:ascii="Verdana" w:hAnsi="Verdana" w:cs="Arial"/>
          <w:color w:val="000000" w:themeColor="text1"/>
          <w:lang w:val="es-ES_tradnl" w:eastAsia="es-CO"/>
        </w:rPr>
      </w:pPr>
      <w:r>
        <w:rPr>
          <w:noProof/>
          <w14:ligatures w14:val="standardContextual"/>
        </w:rPr>
        <w:drawing>
          <wp:inline distT="0" distB="0" distL="0" distR="0" wp14:anchorId="14BFD539" wp14:editId="1E63A81A">
            <wp:extent cx="3771265" cy="1399540"/>
            <wp:effectExtent l="0" t="0" r="0" b="0"/>
            <wp:docPr id="12620428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42838" name="Imagen 1" descr="Texto&#10;&#10;Descripción generada automáticamente"/>
                    <pic:cNvPicPr>
                      <a:picLocks noChangeAspect="1"/>
                    </pic:cNvPicPr>
                  </pic:nvPicPr>
                  <pic:blipFill>
                    <a:blip r:embed="rId14"/>
                    <a:stretch>
                      <a:fillRect/>
                    </a:stretch>
                  </pic:blipFill>
                  <pic:spPr>
                    <a:xfrm>
                      <a:off x="0" y="0"/>
                      <a:ext cx="3771265" cy="139954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1953" w:rsidRPr="00115E3D" w14:paraId="45053A4A" w14:textId="77777777" w:rsidTr="003028CD">
        <w:trPr>
          <w:trHeight w:val="315"/>
        </w:trPr>
        <w:tc>
          <w:tcPr>
            <w:tcW w:w="893" w:type="dxa"/>
            <w:vAlign w:val="center"/>
            <w:hideMark/>
          </w:tcPr>
          <w:p w14:paraId="38DEBACE" w14:textId="77777777" w:rsidR="00661953" w:rsidRPr="00115E3D" w:rsidRDefault="00661953" w:rsidP="003028C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3B1553D" w14:textId="0DED8F20" w:rsidR="00661953" w:rsidRPr="00115E3D" w:rsidRDefault="00A224D0" w:rsidP="003028CD">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551FEE49" w14:textId="6794C4FA" w:rsidR="00661953" w:rsidRPr="00115E3D" w:rsidRDefault="00A224D0" w:rsidP="003028CD">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00661953" w:rsidRPr="00115E3D">
              <w:rPr>
                <w:rStyle w:val="normaltextrun"/>
                <w:rFonts w:ascii="Verdana" w:eastAsia="Arial" w:hAnsi="Verdana" w:cs="Arial"/>
                <w:color w:val="000000" w:themeColor="text1"/>
                <w:sz w:val="16"/>
                <w:szCs w:val="16"/>
              </w:rPr>
              <w:t xml:space="preserve"> de la Subdirección de Gestión Contractual</w:t>
            </w:r>
          </w:p>
        </w:tc>
      </w:tr>
      <w:tr w:rsidR="00661953" w:rsidRPr="00115E3D" w14:paraId="571EB8EB" w14:textId="77777777" w:rsidTr="003028CD">
        <w:trPr>
          <w:trHeight w:val="330"/>
        </w:trPr>
        <w:tc>
          <w:tcPr>
            <w:tcW w:w="893" w:type="dxa"/>
            <w:vAlign w:val="center"/>
            <w:hideMark/>
          </w:tcPr>
          <w:p w14:paraId="749A0591" w14:textId="77777777" w:rsidR="00661953" w:rsidRPr="00115E3D" w:rsidRDefault="00661953" w:rsidP="003028C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D47FF7" w14:textId="1DA98B8E" w:rsidR="00661953" w:rsidRPr="00580396" w:rsidRDefault="00A224D0" w:rsidP="003028CD">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1A3DFCFA" w14:textId="7038E745" w:rsidR="00661953" w:rsidRPr="00115E3D" w:rsidRDefault="00580396" w:rsidP="003028CD">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w:t>
            </w:r>
            <w:r w:rsidR="00661953" w:rsidRPr="00580396">
              <w:rPr>
                <w:rStyle w:val="normaltextrun"/>
                <w:rFonts w:ascii="Verdana" w:hAnsi="Verdana" w:cs="Arial"/>
                <w:color w:val="000000" w:themeColor="text1"/>
                <w:sz w:val="16"/>
                <w:szCs w:val="16"/>
                <w:lang w:val="es-ES"/>
              </w:rPr>
              <w:t xml:space="preserve"> de la Subdirección de Gestión Contractual</w:t>
            </w:r>
            <w:r w:rsidR="00661953" w:rsidRPr="00115E3D">
              <w:rPr>
                <w:rStyle w:val="eop"/>
                <w:rFonts w:ascii="Verdana" w:hAnsi="Verdana" w:cs="Arial"/>
                <w:color w:val="000000" w:themeColor="text1"/>
                <w:sz w:val="16"/>
                <w:szCs w:val="16"/>
              </w:rPr>
              <w:t> </w:t>
            </w:r>
          </w:p>
        </w:tc>
      </w:tr>
      <w:tr w:rsidR="00661953" w:rsidRPr="00115E3D" w14:paraId="133D28BD" w14:textId="77777777" w:rsidTr="003028CD">
        <w:trPr>
          <w:trHeight w:val="300"/>
        </w:trPr>
        <w:tc>
          <w:tcPr>
            <w:tcW w:w="893" w:type="dxa"/>
            <w:vAlign w:val="center"/>
          </w:tcPr>
          <w:p w14:paraId="50A8EEC1" w14:textId="77777777" w:rsidR="00661953" w:rsidRPr="00115E3D" w:rsidRDefault="00661953" w:rsidP="003028C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BDC44B7" w14:textId="77777777" w:rsidR="00661953" w:rsidRPr="00115E3D" w:rsidRDefault="00661953" w:rsidP="003028CD">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4C45222E" w14:textId="77777777" w:rsidR="00661953" w:rsidRPr="00115E3D" w:rsidRDefault="00661953" w:rsidP="003028CD">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2C508EF6" w14:textId="77777777" w:rsidR="00661953" w:rsidRPr="00115E3D" w:rsidRDefault="00661953" w:rsidP="00661953">
      <w:pPr>
        <w:spacing w:after="0" w:line="240" w:lineRule="auto"/>
        <w:rPr>
          <w:rFonts w:ascii="Verdana" w:eastAsia="Times New Roman" w:hAnsi="Verdana" w:cs="Arial"/>
          <w:color w:val="000000" w:themeColor="text1"/>
          <w:sz w:val="24"/>
          <w:szCs w:val="24"/>
          <w:lang w:eastAsia="es-ES"/>
        </w:rPr>
      </w:pPr>
    </w:p>
    <w:p w14:paraId="4327250B" w14:textId="77777777" w:rsidR="000F5A42" w:rsidRDefault="000F5A42"/>
    <w:sectPr w:rsidR="000F5A42" w:rsidSect="00661953">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16A74" w14:textId="77777777" w:rsidR="009A16DE" w:rsidRDefault="009A16DE" w:rsidP="00661953">
      <w:pPr>
        <w:spacing w:after="0" w:line="240" w:lineRule="auto"/>
      </w:pPr>
      <w:r>
        <w:separator/>
      </w:r>
    </w:p>
  </w:endnote>
  <w:endnote w:type="continuationSeparator" w:id="0">
    <w:p w14:paraId="52D54CBC" w14:textId="77777777" w:rsidR="009A16DE" w:rsidRDefault="009A16DE" w:rsidP="00661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5B410" w14:textId="77777777" w:rsidR="007C0785" w:rsidRDefault="007C0785" w:rsidP="000849D5">
    <w:pPr>
      <w:spacing w:after="0"/>
      <w:rPr>
        <w:rFonts w:ascii="Verdana" w:hAnsi="Verdana"/>
        <w:b/>
        <w:bCs/>
        <w:sz w:val="20"/>
        <w:szCs w:val="20"/>
      </w:rPr>
    </w:pPr>
  </w:p>
  <w:p w14:paraId="29F98E39" w14:textId="77777777" w:rsidR="007C0785" w:rsidRPr="00174B77" w:rsidRDefault="007C078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35D69">
      <w:rPr>
        <w:rFonts w:ascii="Verdana" w:eastAsia="Times New Roman" w:hAnsi="Verdana" w:cs="Times New Roman"/>
        <w:b/>
        <w:bCs/>
        <w:sz w:val="16"/>
        <w:szCs w:val="16"/>
        <w:lang w:val="es-ES"/>
      </w:rPr>
      <w:t xml:space="preserve">pág. </w:t>
    </w:r>
    <w:r w:rsidRPr="00E35D69">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E35D69">
      <w:rPr>
        <w:rFonts w:ascii="Verdana" w:eastAsia="Times New Roman" w:hAnsi="Verdana"/>
        <w:b/>
        <w:bCs/>
        <w:sz w:val="16"/>
        <w:szCs w:val="16"/>
      </w:rPr>
      <w:fldChar w:fldCharType="separate"/>
    </w:r>
    <w:r w:rsidRPr="00E35D69">
      <w:rPr>
        <w:rFonts w:ascii="Verdana" w:eastAsia="Times New Roman" w:hAnsi="Verdana"/>
        <w:b/>
        <w:bCs/>
        <w:sz w:val="16"/>
        <w:szCs w:val="16"/>
      </w:rPr>
      <w:t>1</w:t>
    </w:r>
    <w:r w:rsidRPr="00E35D69">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5D1F454" w14:textId="77777777" w:rsidR="007C0785" w:rsidRDefault="007C078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2972045" w14:textId="77777777" w:rsidR="007C0785" w:rsidRPr="00E41027" w:rsidRDefault="007C0785" w:rsidP="000849D5">
    <w:pPr>
      <w:spacing w:after="0"/>
      <w:jc w:val="both"/>
      <w:rPr>
        <w:rFonts w:ascii="Verdana" w:hAnsi="Verdana"/>
        <w:sz w:val="18"/>
        <w:szCs w:val="18"/>
      </w:rPr>
    </w:pPr>
    <w:r w:rsidRPr="00E41027">
      <w:rPr>
        <w:rFonts w:ascii="Verdana" w:hAnsi="Verdana"/>
        <w:sz w:val="18"/>
        <w:szCs w:val="18"/>
      </w:rPr>
      <w:t>Mesa de servicio: (+57) 601 7456788</w:t>
    </w:r>
  </w:p>
  <w:p w14:paraId="3ABDC42B" w14:textId="77777777" w:rsidR="007C0785" w:rsidRDefault="007C078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D1B7BF1" w14:textId="77777777" w:rsidR="007C0785" w:rsidRPr="007D04B2" w:rsidRDefault="007C0785" w:rsidP="000849D5">
    <w:pPr>
      <w:pStyle w:val="Piedepgina"/>
    </w:pPr>
  </w:p>
  <w:p w14:paraId="426E899E" w14:textId="77777777" w:rsidR="007C0785" w:rsidRPr="000849D5" w:rsidRDefault="007C0785"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23EE3" w14:textId="77777777" w:rsidR="009A16DE" w:rsidRDefault="009A16DE" w:rsidP="00661953">
      <w:pPr>
        <w:spacing w:after="0" w:line="240" w:lineRule="auto"/>
      </w:pPr>
      <w:r>
        <w:separator/>
      </w:r>
    </w:p>
  </w:footnote>
  <w:footnote w:type="continuationSeparator" w:id="0">
    <w:p w14:paraId="0E65C9CD" w14:textId="77777777" w:rsidR="009A16DE" w:rsidRDefault="009A16DE" w:rsidP="00661953">
      <w:pPr>
        <w:spacing w:after="0" w:line="240" w:lineRule="auto"/>
      </w:pPr>
      <w:r>
        <w:continuationSeparator/>
      </w:r>
    </w:p>
  </w:footnote>
  <w:footnote w:id="1">
    <w:p w14:paraId="3F7FFA78" w14:textId="77777777" w:rsidR="002A4195" w:rsidRPr="00B95C23" w:rsidRDefault="002A4195" w:rsidP="002A4195">
      <w:pPr>
        <w:pStyle w:val="Textonotapie"/>
        <w:ind w:firstLine="708"/>
        <w:contextualSpacing/>
        <w:jc w:val="both"/>
        <w:rPr>
          <w:rFonts w:ascii="Verdana" w:hAnsi="Verdana" w:cs="Arial"/>
          <w:sz w:val="18"/>
          <w:szCs w:val="18"/>
          <w:lang w:val="pt-BR"/>
        </w:rPr>
      </w:pPr>
      <w:r w:rsidRPr="00B95C23">
        <w:rPr>
          <w:rFonts w:ascii="Verdana" w:hAnsi="Verdana" w:cs="Arial"/>
          <w:sz w:val="18"/>
          <w:szCs w:val="18"/>
          <w:vertAlign w:val="superscript"/>
        </w:rPr>
        <w:footnoteRef/>
      </w:r>
      <w:r w:rsidRPr="00B95C23">
        <w:rPr>
          <w:rFonts w:ascii="Verdana" w:hAnsi="Verdana" w:cs="Arial"/>
          <w:sz w:val="18"/>
          <w:szCs w:val="18"/>
          <w:lang w:val="pt-BR"/>
        </w:rPr>
        <w:t xml:space="preserve"> Corte Constitucional. Sentencia C-1016 de 2012. M.P. Jorge Iván Palacio. </w:t>
      </w:r>
    </w:p>
    <w:p w14:paraId="2BB89B25" w14:textId="77777777" w:rsidR="002A4195" w:rsidRDefault="002A4195" w:rsidP="002A4195">
      <w:pPr>
        <w:pStyle w:val="Textonotapie"/>
        <w:ind w:firstLine="708"/>
        <w:contextualSpacing/>
        <w:jc w:val="both"/>
      </w:pPr>
    </w:p>
  </w:footnote>
  <w:footnote w:id="2">
    <w:p w14:paraId="6424B434" w14:textId="77777777" w:rsidR="002A4195" w:rsidRPr="00B95C23" w:rsidRDefault="002A4195" w:rsidP="002A4195">
      <w:pPr>
        <w:pStyle w:val="Textonotapie"/>
        <w:ind w:firstLine="708"/>
        <w:contextualSpacing/>
        <w:jc w:val="both"/>
        <w:rPr>
          <w:rFonts w:ascii="Verdana" w:hAnsi="Verdana" w:cs="Arial"/>
          <w:sz w:val="18"/>
          <w:szCs w:val="18"/>
          <w:lang w:val="pt-BR"/>
        </w:rPr>
      </w:pPr>
      <w:r w:rsidRPr="00B95C23">
        <w:rPr>
          <w:rFonts w:ascii="Verdana" w:hAnsi="Verdana" w:cs="Arial"/>
          <w:sz w:val="18"/>
          <w:szCs w:val="18"/>
          <w:vertAlign w:val="superscript"/>
        </w:rPr>
        <w:footnoteRef/>
      </w:r>
      <w:r w:rsidRPr="00B95C23">
        <w:rPr>
          <w:rFonts w:ascii="Verdana" w:hAnsi="Verdana" w:cs="Arial"/>
          <w:sz w:val="18"/>
          <w:szCs w:val="18"/>
        </w:rPr>
        <w:t xml:space="preserve"> Consejo De Estado. Sección Tercera. Subsección A. Sentencia del 13 de noviembre de 2013. </w:t>
      </w:r>
      <w:r w:rsidRPr="00B95C23">
        <w:rPr>
          <w:rFonts w:ascii="Verdana" w:hAnsi="Verdana" w:cs="Arial"/>
          <w:sz w:val="18"/>
          <w:szCs w:val="18"/>
          <w:lang w:val="pt-BR"/>
        </w:rPr>
        <w:t xml:space="preserve">Rad. 25.646. C.P. Mauricio Fajardo Gómez.  </w:t>
      </w:r>
    </w:p>
    <w:p w14:paraId="6F221FF4" w14:textId="77777777" w:rsidR="002A4195" w:rsidRDefault="002A4195" w:rsidP="002A4195">
      <w:pPr>
        <w:pStyle w:val="Textonotapie"/>
        <w:ind w:firstLine="708"/>
        <w:contextualSpacing/>
        <w:jc w:val="both"/>
      </w:pPr>
    </w:p>
  </w:footnote>
  <w:footnote w:id="3">
    <w:p w14:paraId="0B30D785" w14:textId="77777777" w:rsidR="002A4195" w:rsidRPr="00B95C23" w:rsidRDefault="002A4195" w:rsidP="002A4195">
      <w:pPr>
        <w:pStyle w:val="Textonotapie"/>
        <w:ind w:firstLine="708"/>
        <w:contextualSpacing/>
        <w:jc w:val="both"/>
        <w:rPr>
          <w:rFonts w:ascii="Verdana" w:hAnsi="Verdana" w:cs="Arial"/>
          <w:sz w:val="18"/>
          <w:szCs w:val="18"/>
          <w:lang w:val="pt-BR"/>
        </w:rPr>
      </w:pPr>
      <w:r w:rsidRPr="00B95C23">
        <w:rPr>
          <w:rFonts w:ascii="Verdana" w:hAnsi="Verdana" w:cs="Arial"/>
          <w:sz w:val="18"/>
          <w:szCs w:val="18"/>
          <w:vertAlign w:val="superscript"/>
        </w:rPr>
        <w:footnoteRef/>
      </w:r>
      <w:r w:rsidRPr="00B95C23">
        <w:rPr>
          <w:rFonts w:ascii="Verdana" w:hAnsi="Verdana" w:cs="Arial"/>
          <w:sz w:val="18"/>
          <w:szCs w:val="18"/>
          <w:lang w:val="pt-BR"/>
        </w:rPr>
        <w:t xml:space="preserve"> Corte Constitucional. Sentencia C-415 de 1994. M.P. Eduardo Cifuentes Muñoz. </w:t>
      </w:r>
    </w:p>
    <w:p w14:paraId="6BC8B0CD" w14:textId="77777777" w:rsidR="002A4195" w:rsidRDefault="002A4195" w:rsidP="002A4195">
      <w:pPr>
        <w:pStyle w:val="Textonotapie"/>
        <w:ind w:firstLine="708"/>
        <w:contextualSpacing/>
        <w:jc w:val="both"/>
      </w:pPr>
    </w:p>
  </w:footnote>
  <w:footnote w:id="4">
    <w:p w14:paraId="0D339E1D" w14:textId="77777777" w:rsidR="002A4195" w:rsidRPr="00B95C23" w:rsidRDefault="002A4195" w:rsidP="002A4195">
      <w:pPr>
        <w:pStyle w:val="Textonotapie"/>
        <w:ind w:firstLine="708"/>
        <w:contextualSpacing/>
        <w:jc w:val="both"/>
        <w:rPr>
          <w:rFonts w:ascii="Verdana" w:hAnsi="Verdana" w:cs="Arial"/>
          <w:sz w:val="18"/>
          <w:szCs w:val="18"/>
          <w:lang w:val="pt-BR"/>
        </w:rPr>
      </w:pPr>
      <w:r w:rsidRPr="00B95C23">
        <w:rPr>
          <w:rFonts w:ascii="Verdana" w:hAnsi="Verdana" w:cs="Arial"/>
          <w:sz w:val="18"/>
          <w:szCs w:val="18"/>
          <w:vertAlign w:val="superscript"/>
        </w:rPr>
        <w:footnoteRef/>
      </w:r>
      <w:r w:rsidRPr="00B95C23">
        <w:rPr>
          <w:rFonts w:ascii="Verdana" w:hAnsi="Verdana" w:cs="Arial"/>
          <w:sz w:val="18"/>
          <w:szCs w:val="18"/>
          <w:lang w:val="pt-BR"/>
        </w:rPr>
        <w:t xml:space="preserve"> Ibídem. </w:t>
      </w:r>
    </w:p>
    <w:p w14:paraId="104578E8" w14:textId="77777777" w:rsidR="002A4195" w:rsidRDefault="002A4195" w:rsidP="002A4195">
      <w:pPr>
        <w:pStyle w:val="Textonotapie"/>
        <w:ind w:firstLine="708"/>
        <w:contextualSpacing/>
        <w:jc w:val="both"/>
      </w:pPr>
    </w:p>
  </w:footnote>
  <w:footnote w:id="5">
    <w:p w14:paraId="543C22DD" w14:textId="77777777" w:rsidR="002A4195" w:rsidRPr="00B95C23" w:rsidRDefault="002A4195" w:rsidP="002A4195">
      <w:pPr>
        <w:pStyle w:val="Textonotapie"/>
        <w:ind w:firstLine="708"/>
        <w:contextualSpacing/>
        <w:jc w:val="both"/>
        <w:rPr>
          <w:rFonts w:ascii="Verdana" w:hAnsi="Verdana" w:cs="Arial"/>
          <w:sz w:val="18"/>
          <w:szCs w:val="18"/>
        </w:rPr>
      </w:pPr>
      <w:r w:rsidRPr="00B95C23">
        <w:rPr>
          <w:rFonts w:ascii="Verdana" w:hAnsi="Verdana" w:cs="Arial"/>
          <w:sz w:val="18"/>
          <w:szCs w:val="18"/>
          <w:vertAlign w:val="superscript"/>
        </w:rPr>
        <w:footnoteRef/>
      </w:r>
      <w:r w:rsidRPr="00B95C23">
        <w:rPr>
          <w:rFonts w:ascii="Verdana" w:hAnsi="Verdana" w:cs="Arial"/>
          <w:sz w:val="18"/>
          <w:szCs w:val="18"/>
          <w:lang w:val="pt-BR"/>
        </w:rPr>
        <w:t xml:space="preserve"> Corte Constitucional. </w:t>
      </w:r>
      <w:r w:rsidRPr="00B95C23">
        <w:rPr>
          <w:rFonts w:ascii="Verdana" w:hAnsi="Verdana" w:cs="Arial"/>
          <w:sz w:val="18"/>
          <w:szCs w:val="18"/>
        </w:rPr>
        <w:t xml:space="preserve">Sentencia C-780 de 2001. M.P. Jaime Córdoba Triviño. </w:t>
      </w:r>
    </w:p>
    <w:p w14:paraId="2212562C" w14:textId="77777777" w:rsidR="002A4195" w:rsidRDefault="002A4195" w:rsidP="002A4195">
      <w:pPr>
        <w:pStyle w:val="Textonotapie"/>
        <w:ind w:firstLine="708"/>
        <w:contextualSpacing/>
        <w:jc w:val="both"/>
      </w:pPr>
    </w:p>
  </w:footnote>
  <w:footnote w:id="6">
    <w:p w14:paraId="3480A050" w14:textId="77777777" w:rsidR="002A4195" w:rsidRPr="00B95C23" w:rsidRDefault="002A4195" w:rsidP="002A4195">
      <w:pPr>
        <w:pStyle w:val="Textonotapie"/>
        <w:ind w:firstLine="709"/>
        <w:contextualSpacing/>
        <w:jc w:val="both"/>
        <w:rPr>
          <w:rFonts w:ascii="Verdana" w:hAnsi="Verdana" w:cs="Arial"/>
          <w:color w:val="000000"/>
          <w:sz w:val="18"/>
          <w:szCs w:val="18"/>
          <w:lang w:val="es-ES"/>
        </w:rPr>
      </w:pPr>
      <w:r w:rsidRPr="00B95C23">
        <w:rPr>
          <w:rFonts w:ascii="Verdana" w:hAnsi="Verdana"/>
          <w:sz w:val="18"/>
          <w:szCs w:val="18"/>
          <w:vertAlign w:val="superscript"/>
        </w:rPr>
        <w:footnoteRef/>
      </w:r>
      <w:r w:rsidRPr="00B95C23">
        <w:rPr>
          <w:rFonts w:ascii="Verdana" w:hAnsi="Verdana" w:cs="Arial"/>
          <w:color w:val="000000"/>
          <w:sz w:val="18"/>
          <w:szCs w:val="18"/>
        </w:rPr>
        <w:t xml:space="preserve"> </w:t>
      </w:r>
      <w:r w:rsidRPr="00B95C23">
        <w:rPr>
          <w:rFonts w:ascii="Verdana" w:hAnsi="Verdana" w:cs="Arial"/>
          <w:color w:val="000000"/>
          <w:sz w:val="18"/>
          <w:szCs w:val="18"/>
          <w:lang w:val="es-ES"/>
        </w:rPr>
        <w:t>Ibíd., p. 69.</w:t>
      </w:r>
    </w:p>
    <w:p w14:paraId="4592FE18" w14:textId="77777777" w:rsidR="002A4195" w:rsidRDefault="002A4195" w:rsidP="002A4195">
      <w:pPr>
        <w:pStyle w:val="Textonotapie"/>
        <w:ind w:firstLine="709"/>
        <w:contextualSpacing/>
        <w:jc w:val="both"/>
      </w:pPr>
    </w:p>
  </w:footnote>
  <w:footnote w:id="7">
    <w:p w14:paraId="332AC12D" w14:textId="77777777" w:rsidR="002A4195" w:rsidRPr="00B95C23" w:rsidRDefault="002A4195" w:rsidP="002A4195">
      <w:pPr>
        <w:pStyle w:val="Textonotapie"/>
        <w:ind w:firstLine="709"/>
        <w:contextualSpacing/>
        <w:jc w:val="both"/>
        <w:rPr>
          <w:rFonts w:ascii="Verdana" w:hAnsi="Verdana" w:cs="Arial"/>
          <w:color w:val="000000"/>
          <w:sz w:val="18"/>
          <w:szCs w:val="18"/>
          <w:lang w:val="es-ES"/>
        </w:rPr>
      </w:pPr>
      <w:r w:rsidRPr="00B95C23">
        <w:rPr>
          <w:rFonts w:ascii="Verdana" w:hAnsi="Verdana"/>
          <w:sz w:val="18"/>
          <w:szCs w:val="18"/>
          <w:vertAlign w:val="superscript"/>
        </w:rPr>
        <w:footnoteRef/>
      </w:r>
      <w:r w:rsidRPr="00B95C23">
        <w:rPr>
          <w:rFonts w:ascii="Verdana" w:hAnsi="Verdana" w:cs="Arial"/>
          <w:color w:val="000000"/>
          <w:sz w:val="18"/>
          <w:szCs w:val="18"/>
        </w:rPr>
        <w:t xml:space="preserve"> </w:t>
      </w:r>
      <w:r w:rsidRPr="00B95C23">
        <w:rPr>
          <w:rFonts w:ascii="Verdana" w:hAnsi="Verdana" w:cs="Arial"/>
          <w:color w:val="000000"/>
          <w:sz w:val="18"/>
          <w:szCs w:val="18"/>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0A41A8C1" w14:textId="77777777" w:rsidR="002A4195" w:rsidRDefault="002A4195" w:rsidP="002A4195">
      <w:pPr>
        <w:pStyle w:val="Textonotapie"/>
        <w:ind w:firstLine="709"/>
        <w:contextualSpacing/>
        <w:jc w:val="both"/>
      </w:pPr>
    </w:p>
  </w:footnote>
  <w:footnote w:id="8">
    <w:p w14:paraId="13F39995" w14:textId="77777777" w:rsidR="002A4195" w:rsidRPr="00B95C23" w:rsidRDefault="002A4195" w:rsidP="002A4195">
      <w:pPr>
        <w:pStyle w:val="Textonotapie"/>
        <w:ind w:firstLine="709"/>
        <w:contextualSpacing/>
        <w:jc w:val="both"/>
        <w:rPr>
          <w:rFonts w:ascii="Verdana" w:hAnsi="Verdana" w:cs="Arial"/>
          <w:color w:val="000000"/>
          <w:sz w:val="18"/>
          <w:szCs w:val="18"/>
          <w:lang w:val="es-ES"/>
        </w:rPr>
      </w:pPr>
      <w:r w:rsidRPr="00B95C23">
        <w:rPr>
          <w:rFonts w:ascii="Verdana" w:hAnsi="Verdana"/>
          <w:sz w:val="18"/>
          <w:szCs w:val="18"/>
          <w:vertAlign w:val="superscript"/>
        </w:rPr>
        <w:footnoteRef/>
      </w:r>
      <w:r w:rsidRPr="00B95C23">
        <w:rPr>
          <w:rFonts w:ascii="Verdana" w:hAnsi="Verdana" w:cs="Arial"/>
          <w:color w:val="000000"/>
          <w:sz w:val="18"/>
          <w:szCs w:val="18"/>
        </w:rPr>
        <w:t xml:space="preserve"> </w:t>
      </w:r>
      <w:r w:rsidRPr="00B95C23">
        <w:rPr>
          <w:rFonts w:ascii="Verdana" w:hAnsi="Verdana" w:cs="Arial"/>
          <w:color w:val="000000"/>
          <w:sz w:val="18"/>
          <w:szCs w:val="18"/>
          <w:lang w:val="es-ES"/>
        </w:rPr>
        <w:t>Consejo de Estado. Sala de Consulta y Servicio Civil. Concepto del 30 de abril de 2015. Expediente: 2.251. Consejero Ponente: Álvaro Namén Vargas.</w:t>
      </w:r>
    </w:p>
    <w:p w14:paraId="035795B7" w14:textId="77777777" w:rsidR="002A4195" w:rsidRDefault="002A4195" w:rsidP="002A4195">
      <w:pPr>
        <w:pStyle w:val="Textonotapie"/>
        <w:ind w:firstLine="709"/>
        <w:contextualSpacing/>
        <w:jc w:val="both"/>
      </w:pPr>
    </w:p>
  </w:footnote>
  <w:footnote w:id="9">
    <w:p w14:paraId="521743E1" w14:textId="77777777" w:rsidR="002A4195" w:rsidRPr="00B95C23" w:rsidRDefault="002A4195" w:rsidP="002A4195">
      <w:pPr>
        <w:pStyle w:val="Textonotapie"/>
        <w:ind w:firstLine="709"/>
        <w:contextualSpacing/>
        <w:jc w:val="both"/>
        <w:rPr>
          <w:rFonts w:ascii="Verdana" w:hAnsi="Verdana" w:cs="Arial"/>
          <w:color w:val="000000"/>
          <w:sz w:val="18"/>
          <w:szCs w:val="18"/>
        </w:rPr>
      </w:pPr>
      <w:r w:rsidRPr="00B95C23">
        <w:rPr>
          <w:rFonts w:ascii="Verdana" w:hAnsi="Verdana"/>
          <w:sz w:val="18"/>
          <w:szCs w:val="18"/>
          <w:vertAlign w:val="superscript"/>
        </w:rPr>
        <w:footnoteRef/>
      </w:r>
      <w:r w:rsidRPr="00B95C23">
        <w:rPr>
          <w:rFonts w:ascii="Verdana" w:hAnsi="Verdana" w:cs="Arial"/>
          <w:color w:val="000000"/>
          <w:sz w:val="18"/>
          <w:szCs w:val="18"/>
        </w:rPr>
        <w:t xml:space="preserve"> Consejo de Estado. Sección Tercera. Subsección A. Sentencia del 24 de junio de 2015. Exp. 40.635. Consejero Ponente: Hernán Andrade Rincón (E).</w:t>
      </w:r>
    </w:p>
    <w:p w14:paraId="6193E3A1" w14:textId="77777777" w:rsidR="002A4195" w:rsidRDefault="002A4195" w:rsidP="002A4195">
      <w:pPr>
        <w:pStyle w:val="Textonotapie"/>
        <w:ind w:firstLine="709"/>
        <w:contextualSpacing/>
        <w:jc w:val="both"/>
      </w:pPr>
    </w:p>
  </w:footnote>
  <w:footnote w:id="10">
    <w:p w14:paraId="01908FFA" w14:textId="77777777" w:rsidR="002A4195" w:rsidRPr="00B95C23" w:rsidRDefault="002A4195" w:rsidP="002A4195">
      <w:pPr>
        <w:pStyle w:val="Textonotapie"/>
        <w:ind w:firstLine="709"/>
        <w:contextualSpacing/>
        <w:jc w:val="both"/>
        <w:rPr>
          <w:rFonts w:ascii="Verdana" w:hAnsi="Verdana" w:cs="Arial"/>
          <w:color w:val="000000"/>
          <w:sz w:val="18"/>
          <w:szCs w:val="18"/>
        </w:rPr>
      </w:pPr>
      <w:r w:rsidRPr="00B95C23">
        <w:rPr>
          <w:rFonts w:ascii="Verdana" w:hAnsi="Verdana"/>
          <w:sz w:val="18"/>
          <w:szCs w:val="18"/>
          <w:vertAlign w:val="superscript"/>
        </w:rPr>
        <w:footnoteRef/>
      </w:r>
      <w:r w:rsidRPr="00B95C23">
        <w:rPr>
          <w:rFonts w:ascii="Verdana" w:hAnsi="Verdana" w:cs="Arial"/>
          <w:color w:val="000000"/>
          <w:sz w:val="18"/>
          <w:szCs w:val="18"/>
        </w:rPr>
        <w:t xml:space="preserve"> Consejo de Estado. Sección Tercera. Subsección C. Sentencia del 22 de mayo de 2013. Exp. 24.057. Consejera Ponente: Olga Melida Valle De De La Hoz.</w:t>
      </w:r>
    </w:p>
    <w:p w14:paraId="21F0204C" w14:textId="77777777" w:rsidR="002A4195" w:rsidRDefault="002A4195" w:rsidP="002A4195">
      <w:pPr>
        <w:pStyle w:val="Textonotapie"/>
        <w:ind w:firstLine="709"/>
        <w:contextualSpacing/>
        <w:jc w:val="both"/>
      </w:pPr>
    </w:p>
  </w:footnote>
  <w:footnote w:id="11">
    <w:p w14:paraId="1413B91D" w14:textId="77777777" w:rsidR="002A4195" w:rsidRPr="00B95C23" w:rsidRDefault="002A4195" w:rsidP="002A4195">
      <w:pPr>
        <w:pStyle w:val="Textonotapie"/>
        <w:ind w:firstLine="708"/>
        <w:contextualSpacing/>
        <w:jc w:val="both"/>
        <w:rPr>
          <w:rFonts w:ascii="Verdana" w:hAnsi="Verdana" w:cs="Arial"/>
          <w:color w:val="000000"/>
          <w:sz w:val="18"/>
          <w:szCs w:val="18"/>
        </w:rPr>
      </w:pPr>
      <w:r w:rsidRPr="00B95C23">
        <w:rPr>
          <w:rFonts w:ascii="Verdana" w:hAnsi="Verdana" w:cs="Arial"/>
          <w:color w:val="000000"/>
          <w:sz w:val="18"/>
          <w:szCs w:val="18"/>
          <w:vertAlign w:val="superscript"/>
        </w:rPr>
        <w:footnoteRef/>
      </w:r>
      <w:r w:rsidRPr="00B95C23">
        <w:rPr>
          <w:rFonts w:ascii="Verdana" w:hAnsi="Verdana" w:cs="Arial"/>
          <w:color w:val="000000"/>
          <w:sz w:val="18"/>
          <w:szCs w:val="18"/>
        </w:rPr>
        <w:t xml:space="preserve"> Consejo de Estado. Sala de Consulta y de Servicio Civil. Concepto del 23 de marzo de 2011. Rad. 2.045. C.P. Enrique José Arboleda Perdomo.</w:t>
      </w:r>
    </w:p>
    <w:p w14:paraId="53B140AC" w14:textId="77777777" w:rsidR="002A4195" w:rsidRDefault="002A4195" w:rsidP="002A4195">
      <w:pPr>
        <w:pStyle w:val="Textonotapie"/>
        <w:ind w:firstLine="708"/>
        <w:contextualSpacing/>
        <w:jc w:val="both"/>
      </w:pPr>
    </w:p>
  </w:footnote>
  <w:footnote w:id="12">
    <w:p w14:paraId="520AF258" w14:textId="77777777" w:rsidR="002A4195" w:rsidRPr="00B95C23" w:rsidRDefault="002A4195" w:rsidP="002A4195">
      <w:pPr>
        <w:pStyle w:val="Textonotapie"/>
        <w:ind w:firstLine="708"/>
        <w:contextualSpacing/>
        <w:jc w:val="both"/>
        <w:rPr>
          <w:rFonts w:ascii="Verdana" w:hAnsi="Verdana" w:cs="Arial"/>
          <w:color w:val="000000"/>
          <w:sz w:val="18"/>
          <w:szCs w:val="18"/>
        </w:rPr>
      </w:pPr>
      <w:r w:rsidRPr="00B95C23">
        <w:rPr>
          <w:rFonts w:ascii="Verdana" w:hAnsi="Verdana" w:cs="Arial"/>
          <w:color w:val="000000"/>
          <w:sz w:val="18"/>
          <w:szCs w:val="18"/>
          <w:vertAlign w:val="superscript"/>
        </w:rPr>
        <w:footnoteRef/>
      </w:r>
      <w:r w:rsidRPr="00B95C23">
        <w:rPr>
          <w:rFonts w:ascii="Verdana" w:hAnsi="Verdana" w:cs="Arial"/>
          <w:color w:val="000000"/>
          <w:sz w:val="18"/>
          <w:szCs w:val="18"/>
        </w:rPr>
        <w:t xml:space="preserve"> DÁVILA VINUEZA, Luis Guillermo. Op. Cit., pp. 149-153.</w:t>
      </w:r>
    </w:p>
    <w:p w14:paraId="08FFF2B0" w14:textId="77777777" w:rsidR="002A4195" w:rsidRDefault="002A4195" w:rsidP="002A4195">
      <w:pPr>
        <w:pStyle w:val="Textonotapie"/>
        <w:ind w:firstLine="708"/>
        <w:contextualSpacing/>
        <w:jc w:val="both"/>
      </w:pPr>
    </w:p>
  </w:footnote>
  <w:footnote w:id="13">
    <w:p w14:paraId="5E0DFFCF" w14:textId="77777777" w:rsidR="002A4195" w:rsidRPr="00B95C23" w:rsidRDefault="002A4195" w:rsidP="002A4195">
      <w:pPr>
        <w:pStyle w:val="Textonotapie"/>
        <w:ind w:firstLine="708"/>
        <w:contextualSpacing/>
        <w:jc w:val="both"/>
        <w:rPr>
          <w:rFonts w:ascii="Verdana" w:hAnsi="Verdana" w:cs="Arial"/>
          <w:color w:val="000000"/>
          <w:sz w:val="18"/>
          <w:szCs w:val="18"/>
        </w:rPr>
      </w:pPr>
      <w:r w:rsidRPr="00B95C23">
        <w:rPr>
          <w:rFonts w:ascii="Verdana" w:hAnsi="Verdana" w:cs="Arial"/>
          <w:color w:val="000000"/>
          <w:sz w:val="18"/>
          <w:szCs w:val="18"/>
          <w:vertAlign w:val="superscript"/>
        </w:rPr>
        <w:footnoteRef/>
      </w:r>
      <w:r w:rsidRPr="00B95C23">
        <w:rPr>
          <w:rFonts w:ascii="Verdana" w:hAnsi="Verdana" w:cs="Arial"/>
          <w:color w:val="000000"/>
          <w:sz w:val="18"/>
          <w:szCs w:val="18"/>
        </w:rPr>
        <w:t xml:space="preserve"> Siendo los pronunciamientos más relevantes el Concepto del 10 de agosto de 2006. Exp. 1.767 –C.P. Luis Fernando Álvarez Jaramillo–, reiterado y complementado en el Concepto del 23 de marzo de 2011. Rad. 2.045 –C.P. Enrique José Arboleda Perdomo–.</w:t>
      </w:r>
    </w:p>
    <w:p w14:paraId="5A1B990A" w14:textId="77777777" w:rsidR="002A4195" w:rsidRDefault="002A4195" w:rsidP="002A4195">
      <w:pPr>
        <w:pStyle w:val="Textonotapie"/>
        <w:ind w:firstLine="708"/>
        <w:contextualSpacing/>
        <w:jc w:val="both"/>
      </w:pPr>
    </w:p>
  </w:footnote>
  <w:footnote w:id="14">
    <w:p w14:paraId="6FCB0399" w14:textId="77777777" w:rsidR="002A4195" w:rsidRDefault="002A4195" w:rsidP="002A4195">
      <w:pPr>
        <w:pStyle w:val="Textonotapie"/>
        <w:ind w:firstLine="708"/>
        <w:contextualSpacing/>
        <w:jc w:val="both"/>
      </w:pPr>
      <w:r w:rsidRPr="00B95C23">
        <w:rPr>
          <w:rFonts w:ascii="Verdana" w:hAnsi="Verdana" w:cs="Arial"/>
          <w:sz w:val="18"/>
          <w:szCs w:val="18"/>
          <w:vertAlign w:val="superscript"/>
        </w:rPr>
        <w:footnoteRef/>
      </w:r>
      <w:r w:rsidRPr="00B95C23">
        <w:rPr>
          <w:rFonts w:ascii="Verdana" w:hAnsi="Verdana" w:cs="Arial"/>
          <w:sz w:val="18"/>
          <w:szCs w:val="18"/>
        </w:rPr>
        <w:t xml:space="preserve"> Consejo de Estado. Sala de Consulta y Servicio Civil. </w:t>
      </w:r>
      <w:r w:rsidRPr="00B95C23">
        <w:rPr>
          <w:rFonts w:ascii="Verdana" w:hAnsi="Verdana" w:cs="Arial"/>
          <w:color w:val="000000"/>
          <w:sz w:val="18"/>
          <w:szCs w:val="18"/>
        </w:rPr>
        <w:t>Concepto del 23 de marzo de 2011. Rad. 2.045.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94853" w14:textId="77777777" w:rsidR="007C0785" w:rsidRDefault="007C0785"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E8A2F60" wp14:editId="76484DB0">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ED954A5" wp14:editId="029113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D8895F5" w14:textId="77777777" w:rsidR="007C0785" w:rsidRDefault="007C0785" w:rsidP="00515FB5">
    <w:pPr>
      <w:pStyle w:val="Encabezado"/>
    </w:pPr>
  </w:p>
  <w:p w14:paraId="0BEDB0DF" w14:textId="77777777" w:rsidR="007C0785" w:rsidRDefault="007C0785" w:rsidP="00515FB5">
    <w:pPr>
      <w:pStyle w:val="Encabezado"/>
    </w:pPr>
  </w:p>
  <w:p w14:paraId="4EEA622F" w14:textId="77777777" w:rsidR="007C0785" w:rsidRPr="00515FB5" w:rsidRDefault="007C0785"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1D417DC"/>
    <w:multiLevelType w:val="hybridMultilevel"/>
    <w:tmpl w:val="62721808"/>
    <w:lvl w:ilvl="0" w:tplc="5574B2D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1274352">
    <w:abstractNumId w:val="0"/>
  </w:num>
  <w:num w:numId="2" w16cid:durableId="1492209491">
    <w:abstractNumId w:val="1"/>
  </w:num>
  <w:num w:numId="3" w16cid:durableId="679089576">
    <w:abstractNumId w:val="2"/>
  </w:num>
  <w:num w:numId="4" w16cid:durableId="1250188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53"/>
    <w:rsid w:val="000B3A0C"/>
    <w:rsid w:val="000B7ECC"/>
    <w:rsid w:val="000F155D"/>
    <w:rsid w:val="000F5A42"/>
    <w:rsid w:val="00165D13"/>
    <w:rsid w:val="00197955"/>
    <w:rsid w:val="001C50D9"/>
    <w:rsid w:val="00231E9D"/>
    <w:rsid w:val="002410DF"/>
    <w:rsid w:val="00272D47"/>
    <w:rsid w:val="002A4195"/>
    <w:rsid w:val="002E02A8"/>
    <w:rsid w:val="003234E0"/>
    <w:rsid w:val="00333D23"/>
    <w:rsid w:val="0034225D"/>
    <w:rsid w:val="003E6924"/>
    <w:rsid w:val="004248A8"/>
    <w:rsid w:val="00456BB7"/>
    <w:rsid w:val="00511022"/>
    <w:rsid w:val="00520FF1"/>
    <w:rsid w:val="0056467C"/>
    <w:rsid w:val="00580396"/>
    <w:rsid w:val="0059065C"/>
    <w:rsid w:val="005A048C"/>
    <w:rsid w:val="005A51A8"/>
    <w:rsid w:val="005B4C2B"/>
    <w:rsid w:val="005D18A0"/>
    <w:rsid w:val="005E079A"/>
    <w:rsid w:val="00660429"/>
    <w:rsid w:val="00661953"/>
    <w:rsid w:val="00677F9A"/>
    <w:rsid w:val="006B331D"/>
    <w:rsid w:val="006C01AC"/>
    <w:rsid w:val="006F5018"/>
    <w:rsid w:val="007257E2"/>
    <w:rsid w:val="007A49AF"/>
    <w:rsid w:val="007C0785"/>
    <w:rsid w:val="00850396"/>
    <w:rsid w:val="00853900"/>
    <w:rsid w:val="008C1785"/>
    <w:rsid w:val="00994B5E"/>
    <w:rsid w:val="009A16DE"/>
    <w:rsid w:val="00A12218"/>
    <w:rsid w:val="00A224D0"/>
    <w:rsid w:val="00A8329D"/>
    <w:rsid w:val="00A90678"/>
    <w:rsid w:val="00AB3348"/>
    <w:rsid w:val="00B1115F"/>
    <w:rsid w:val="00B278F6"/>
    <w:rsid w:val="00BC0A5B"/>
    <w:rsid w:val="00BD4274"/>
    <w:rsid w:val="00BD51D3"/>
    <w:rsid w:val="00BF1201"/>
    <w:rsid w:val="00C5324D"/>
    <w:rsid w:val="00C55B3B"/>
    <w:rsid w:val="00C775D1"/>
    <w:rsid w:val="00D74FB2"/>
    <w:rsid w:val="00DB0612"/>
    <w:rsid w:val="00E32ED8"/>
    <w:rsid w:val="00E35D69"/>
    <w:rsid w:val="00EE510A"/>
    <w:rsid w:val="00F13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C5C0"/>
  <w15:chartTrackingRefBased/>
  <w15:docId w15:val="{D8983247-5008-46E0-B6DF-04A0B153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53"/>
    <w:rPr>
      <w:kern w:val="0"/>
      <w14:ligatures w14:val="none"/>
    </w:rPr>
  </w:style>
  <w:style w:type="paragraph" w:styleId="Ttulo1">
    <w:name w:val="heading 1"/>
    <w:basedOn w:val="Normal"/>
    <w:next w:val="Normal"/>
    <w:link w:val="Ttulo1Car"/>
    <w:uiPriority w:val="9"/>
    <w:qFormat/>
    <w:rsid w:val="00661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1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19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19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19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19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19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19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19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19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19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19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19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19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19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19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19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1953"/>
    <w:rPr>
      <w:rFonts w:eastAsiaTheme="majorEastAsia" w:cstheme="majorBidi"/>
      <w:color w:val="272727" w:themeColor="text1" w:themeTint="D8"/>
    </w:rPr>
  </w:style>
  <w:style w:type="paragraph" w:styleId="Ttulo">
    <w:name w:val="Title"/>
    <w:basedOn w:val="Normal"/>
    <w:next w:val="Normal"/>
    <w:link w:val="TtuloCar"/>
    <w:uiPriority w:val="10"/>
    <w:qFormat/>
    <w:rsid w:val="00661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19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19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19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1953"/>
    <w:pPr>
      <w:spacing w:before="160"/>
      <w:jc w:val="center"/>
    </w:pPr>
    <w:rPr>
      <w:i/>
      <w:iCs/>
      <w:color w:val="404040" w:themeColor="text1" w:themeTint="BF"/>
    </w:rPr>
  </w:style>
  <w:style w:type="character" w:customStyle="1" w:styleId="CitaCar">
    <w:name w:val="Cita Car"/>
    <w:basedOn w:val="Fuentedeprrafopredeter"/>
    <w:link w:val="Cita"/>
    <w:uiPriority w:val="29"/>
    <w:rsid w:val="0066195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61953"/>
    <w:pPr>
      <w:ind w:left="720"/>
      <w:contextualSpacing/>
    </w:pPr>
  </w:style>
  <w:style w:type="character" w:styleId="nfasisintenso">
    <w:name w:val="Intense Emphasis"/>
    <w:basedOn w:val="Fuentedeprrafopredeter"/>
    <w:uiPriority w:val="21"/>
    <w:qFormat/>
    <w:rsid w:val="00661953"/>
    <w:rPr>
      <w:i/>
      <w:iCs/>
      <w:color w:val="0F4761" w:themeColor="accent1" w:themeShade="BF"/>
    </w:rPr>
  </w:style>
  <w:style w:type="paragraph" w:styleId="Citadestacada">
    <w:name w:val="Intense Quote"/>
    <w:basedOn w:val="Normal"/>
    <w:next w:val="Normal"/>
    <w:link w:val="CitadestacadaCar"/>
    <w:uiPriority w:val="30"/>
    <w:qFormat/>
    <w:rsid w:val="00661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1953"/>
    <w:rPr>
      <w:i/>
      <w:iCs/>
      <w:color w:val="0F4761" w:themeColor="accent1" w:themeShade="BF"/>
    </w:rPr>
  </w:style>
  <w:style w:type="character" w:styleId="Referenciaintensa">
    <w:name w:val="Intense Reference"/>
    <w:basedOn w:val="Fuentedeprrafopredeter"/>
    <w:uiPriority w:val="32"/>
    <w:qFormat/>
    <w:rsid w:val="00661953"/>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6195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6195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6195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61953"/>
    <w:rPr>
      <w:vertAlign w:val="superscript"/>
    </w:rPr>
  </w:style>
  <w:style w:type="paragraph" w:customStyle="1" w:styleId="Appelnotedebasde">
    <w:name w:val="Appel note de bas de..."/>
    <w:basedOn w:val="Normal"/>
    <w:link w:val="Refdenotaalpie"/>
    <w:uiPriority w:val="99"/>
    <w:rsid w:val="00661953"/>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6619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1953"/>
    <w:rPr>
      <w:kern w:val="0"/>
      <w14:ligatures w14:val="none"/>
    </w:rPr>
  </w:style>
  <w:style w:type="paragraph" w:styleId="Piedepgina">
    <w:name w:val="footer"/>
    <w:basedOn w:val="Normal"/>
    <w:link w:val="PiedepginaCar"/>
    <w:uiPriority w:val="99"/>
    <w:unhideWhenUsed/>
    <w:rsid w:val="006619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1953"/>
    <w:rPr>
      <w:kern w:val="0"/>
      <w14:ligatures w14:val="none"/>
    </w:rPr>
  </w:style>
  <w:style w:type="table" w:styleId="Tablaconcuadrcula">
    <w:name w:val="Table Grid"/>
    <w:basedOn w:val="Tablanormal"/>
    <w:uiPriority w:val="39"/>
    <w:qFormat/>
    <w:rsid w:val="006619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61953"/>
    <w:rPr>
      <w:color w:val="467886" w:themeColor="hyperlink"/>
      <w:u w:val="single"/>
    </w:rPr>
  </w:style>
  <w:style w:type="character" w:styleId="Refdecomentario">
    <w:name w:val="annotation reference"/>
    <w:basedOn w:val="Fuentedeprrafopredeter"/>
    <w:uiPriority w:val="99"/>
    <w:semiHidden/>
    <w:unhideWhenUsed/>
    <w:rsid w:val="00661953"/>
    <w:rPr>
      <w:sz w:val="16"/>
      <w:szCs w:val="16"/>
    </w:rPr>
  </w:style>
  <w:style w:type="paragraph" w:styleId="Textocomentario">
    <w:name w:val="annotation text"/>
    <w:basedOn w:val="Normal"/>
    <w:link w:val="TextocomentarioCar"/>
    <w:uiPriority w:val="99"/>
    <w:unhideWhenUsed/>
    <w:rsid w:val="00661953"/>
    <w:pPr>
      <w:spacing w:line="240" w:lineRule="auto"/>
    </w:pPr>
    <w:rPr>
      <w:sz w:val="20"/>
      <w:szCs w:val="20"/>
    </w:rPr>
  </w:style>
  <w:style w:type="character" w:customStyle="1" w:styleId="TextocomentarioCar">
    <w:name w:val="Texto comentario Car"/>
    <w:basedOn w:val="Fuentedeprrafopredeter"/>
    <w:link w:val="Textocomentario"/>
    <w:uiPriority w:val="99"/>
    <w:rsid w:val="00661953"/>
    <w:rPr>
      <w:kern w:val="0"/>
      <w:sz w:val="20"/>
      <w:szCs w:val="20"/>
      <w14:ligatures w14:val="none"/>
    </w:rPr>
  </w:style>
  <w:style w:type="character" w:customStyle="1" w:styleId="normaltextrun">
    <w:name w:val="normaltextrun"/>
    <w:basedOn w:val="Fuentedeprrafopredeter"/>
    <w:rsid w:val="00661953"/>
  </w:style>
  <w:style w:type="character" w:customStyle="1" w:styleId="eop">
    <w:name w:val="eop"/>
    <w:basedOn w:val="Fuentedeprrafopredeter"/>
    <w:rsid w:val="00661953"/>
  </w:style>
  <w:style w:type="paragraph" w:customStyle="1" w:styleId="paragraph">
    <w:name w:val="paragraph"/>
    <w:basedOn w:val="Normal"/>
    <w:rsid w:val="0066195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1953"/>
  </w:style>
  <w:style w:type="character" w:styleId="Mencinsinresolver">
    <w:name w:val="Unresolved Mention"/>
    <w:basedOn w:val="Fuentedeprrafopredeter"/>
    <w:uiPriority w:val="99"/>
    <w:semiHidden/>
    <w:unhideWhenUsed/>
    <w:rsid w:val="000F1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48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ulido14@gmail.com" TargetMode="External"/><Relationship Id="rId13" Type="http://schemas.openxmlformats.org/officeDocument/2006/relationships/hyperlink" Target="https://nam02.safelinks.protection.outlook.com/?url=https%3A%2F%2Fwww.colombiacompra.gov.co%2Fsala-de-prensa%2Fboletin-digital&amp;data=05%7C02%7Candreina.cerpa%40colombiacompra.gov.co%7C096eca3fdcca424ff1c708dcf932f947%7C7b09041e245149d08cb179d5e3d8c1be%7C0%7C0%7C638659244553129750%7CUnknown%7CTWFpbGZsb3d8eyJWIjoiMC4wLjAwMDAiLCJQIjoiV2luMzIiLCJBTiI6Ik1haWwiLCJXVCI6Mn0%3D%7C0%7C%7C%7C&amp;sdata=TPSikXYdiaZ7j6%2BW39%2BMNPMouatq7ONRQMFwgX4AQak%3D&amp;reserved=0"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sucop.gov.co%2Fentidades%2Fcolombiacompra%2FNormativa%3FIDNorma%3D18320&amp;data=05%7C02%7Candreina.cerpa%40colombiacompra.gov.co%7C096eca3fdcca424ff1c708dcf932f947%7C7b09041e245149d08cb179d5e3d8c1be%7C0%7C0%7C638659244553118377%7CUnknown%7CTWFpbGZsb3d8eyJWIjoiMC4wLjAwMDAiLCJQIjoiV2luMzIiLCJBTiI6Ik1haWwiLCJXVCI6Mn0%3D%7C0%7C%7C%7C&amp;sdata=GLeg7SM%2B%2FRxgqbeVVQ2kAB42HlF%2BLA2V9MH2iP6TELo%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ontent%2Fborrador-de-documentos-tipo-de-interventoria-de-obra-publica-de-infraestructura-de&amp;data=05%7C02%7Candreina.cerpa%40colombiacompra.gov.co%7C096eca3fdcca424ff1c708dcf932f947%7C7b09041e245149d08cb179d5e3d8c1be%7C0%7C0%7C638659244553106601%7CUnknown%7CTWFpbGZsb3d8eyJWIjoiMC4wLjAwMDAiLCJQIjoiV2luMzIiLCJBTiI6Ik1haWwiLCJXVCI6Mn0%3D%7C0%7C%7C%7C&amp;sdata=3bx45dHvyLBsz0xlBnt2sZ7JCsO1WHwvxX5esmdiOnE%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m02.safelinks.protection.outlook.com/?url=https%3A%2F%2Fwww.colombiacompra.gov.co%2Fcontent%2Fborrador-de-documentos-tipo-de-consultoria-de-obra-publica-de-infraestructura-de-transporte&amp;data=05%7C02%7Candreina.cerpa%40colombiacompra.gov.co%7C096eca3fdcca424ff1c708dcf932f947%7C7b09041e245149d08cb179d5e3d8c1be%7C0%7C0%7C638659244553089105%7CUnknown%7CTWFpbGZsb3d8eyJWIjoiMC4wLjAwMDAiLCJQIjoiV2luMzIiLCJBTiI6Ik1haWwiLCJXVCI6Mn0%3D%7C0%7C%7C%7C&amp;sdata=sbTbikmBPVtCbo7mXkVZFxvU9C9ryShyBoc6QGPGO1A%3D&amp;reserved=0"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antiago.herrera%40colombiacompra.gov.co%7C5aad36a736844ec87b2108dcc1fa4639%7C7b09041e245149d08cb179d5e3d8c1be%7C0%7C0%7C638598527916403321%7CUnknown%7CTWFpbGZsb3d8eyJWIjoiMC4wLjAwMDAiLCJQIjoiV2luMzIiLCJBTiI6Ik1haWwiLCJXVCI6Mn0%3D%7C0%7C%7C%7C&amp;sdata=neyw9B8a4kmrys5KzRYzkS0Ic%2B9lB44MAv0EAAX%2BfcY%3D&amp;reserved=0"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63AB6F-FE69-4678-8AA0-44E8E6E4A150}"/>
</file>

<file path=customXml/itemProps2.xml><?xml version="1.0" encoding="utf-8"?>
<ds:datastoreItem xmlns:ds="http://schemas.openxmlformats.org/officeDocument/2006/customXml" ds:itemID="{5FEFAD01-1FDC-4BD7-BDC3-13F1BBD9BBAD}"/>
</file>

<file path=customXml/itemProps3.xml><?xml version="1.0" encoding="utf-8"?>
<ds:datastoreItem xmlns:ds="http://schemas.openxmlformats.org/officeDocument/2006/customXml" ds:itemID="{4DD82AC0-F8FC-420B-9128-13E77AE3E378}"/>
</file>

<file path=docProps/app.xml><?xml version="1.0" encoding="utf-8"?>
<Properties xmlns="http://schemas.openxmlformats.org/officeDocument/2006/extended-properties" xmlns:vt="http://schemas.openxmlformats.org/officeDocument/2006/docPropsVTypes">
  <Template>Normal</Template>
  <TotalTime>459</TotalTime>
  <Pages>17</Pages>
  <Words>5395</Words>
  <Characters>29678</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51</cp:revision>
  <dcterms:created xsi:type="dcterms:W3CDTF">2024-11-06T14:50:00Z</dcterms:created>
  <dcterms:modified xsi:type="dcterms:W3CDTF">2024-11-14T15:09:00Z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