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1BA0D" w14:textId="77777777" w:rsidR="00992815" w:rsidRDefault="00992815" w:rsidP="00992815">
      <w:pPr>
        <w:spacing w:after="0" w:line="240" w:lineRule="auto"/>
        <w:rPr>
          <w:rFonts w:ascii="Verdana" w:eastAsia="Calibri" w:hAnsi="Verdana" w:cs="Arial"/>
          <w:b/>
          <w:lang w:val="es-ES_tradnl" w:eastAsia="es-ES_tradnl"/>
        </w:rPr>
      </w:pPr>
      <w:bookmarkStart w:id="0" w:name="_Hlk143780582"/>
      <w:r w:rsidRPr="001C4D3E">
        <w:rPr>
          <w:rFonts w:ascii="Verdana" w:eastAsia="Calibri" w:hAnsi="Verdana" w:cs="Arial"/>
          <w:b/>
          <w:lang w:val="es-ES_tradnl" w:eastAsia="es-ES_tradnl"/>
        </w:rPr>
        <w:t>SOCIEDADES NUEVAS ‒ Experiencia ‒ Inferior a tres a</w:t>
      </w:r>
      <w:r w:rsidRPr="001C4D3E">
        <w:rPr>
          <w:rFonts w:ascii="Verdana" w:eastAsia="Calibri" w:hAnsi="Verdana" w:cs="Century Gothic"/>
          <w:b/>
          <w:lang w:val="es-ES_tradnl" w:eastAsia="es-ES_tradnl"/>
        </w:rPr>
        <w:t>ñ</w:t>
      </w:r>
      <w:r w:rsidRPr="001C4D3E">
        <w:rPr>
          <w:rFonts w:ascii="Verdana" w:eastAsia="Calibri" w:hAnsi="Verdana" w:cs="Arial"/>
          <w:b/>
          <w:lang w:val="es-ES_tradnl" w:eastAsia="es-ES_tradnl"/>
        </w:rPr>
        <w:t>os ‒ Requisitos habilitantes</w:t>
      </w:r>
    </w:p>
    <w:p w14:paraId="602B4E86" w14:textId="77777777" w:rsidR="00992815" w:rsidRDefault="00992815" w:rsidP="00992815">
      <w:pPr>
        <w:spacing w:after="0" w:line="240" w:lineRule="auto"/>
        <w:rPr>
          <w:rFonts w:ascii="Verdana" w:eastAsia="Calibri" w:hAnsi="Verdana" w:cs="Arial"/>
          <w:b/>
          <w:lang w:val="es-ES_tradnl" w:eastAsia="es-ES_tradnl"/>
        </w:rPr>
      </w:pPr>
    </w:p>
    <w:p w14:paraId="787067A8" w14:textId="77777777" w:rsidR="00992815" w:rsidRPr="00A3122D" w:rsidRDefault="00992815" w:rsidP="00992815">
      <w:pPr>
        <w:snapToGrid w:val="0"/>
        <w:spacing w:after="0" w:line="240" w:lineRule="auto"/>
        <w:contextualSpacing/>
        <w:jc w:val="both"/>
        <w:rPr>
          <w:rFonts w:ascii="Verdana" w:eastAsia="Calibri" w:hAnsi="Verdana" w:cs="Arial"/>
          <w:sz w:val="20"/>
          <w:szCs w:val="20"/>
          <w:lang w:val="es-ES"/>
        </w:rPr>
      </w:pPr>
      <w:r w:rsidRPr="00A3122D">
        <w:rPr>
          <w:rFonts w:ascii="Verdana" w:eastAsia="Calibri" w:hAnsi="Verdana" w:cs="Arial"/>
          <w:kern w:val="2"/>
          <w:sz w:val="20"/>
          <w:szCs w:val="20"/>
          <w:lang w:val="es-ES"/>
          <w14:ligatures w14:val="standardContextual"/>
        </w:rPr>
        <w:t xml:space="preserve">La Ley 1150 de 2007, en el artículo 5, establece los requisitos habilitantes para participar en un procedimiento contractual, dentro de los cuales se destaca la </w:t>
      </w:r>
      <w:r w:rsidRPr="00A3122D">
        <w:rPr>
          <w:rFonts w:ascii="Verdana" w:eastAsia="Calibri" w:hAnsi="Verdana" w:cs="Arial"/>
          <w:i/>
          <w:kern w:val="2"/>
          <w:sz w:val="20"/>
          <w:szCs w:val="20"/>
          <w:lang w:val="es-ES"/>
          <w14:ligatures w14:val="standardContextual"/>
        </w:rPr>
        <w:t>experiencia</w:t>
      </w:r>
      <w:r w:rsidRPr="00A3122D">
        <w:rPr>
          <w:rFonts w:ascii="Verdana" w:eastAsia="Calibri" w:hAnsi="Verdana" w:cs="Arial"/>
          <w:kern w:val="2"/>
          <w:sz w:val="20"/>
          <w:szCs w:val="20"/>
          <w:lang w:val="es-ES"/>
          <w14:ligatures w14:val="standardContextual"/>
        </w:rPr>
        <w:t>. Su propósito es que las entidades fijen unos requisitos mínimos que debe tener y acreditar el proponente, para que la entidad pueda verificar su aptitud para participar en el procedimiento de contratación y, si se le adjudica, ejecutar el contrato estatal. En ese sentido, la entidad, como responsable de la estructuración de su procedimiento de contratación, es autónoma para requerir la experiencia necesaria para ejecutar el objeto contractual que se pretende satisfacer con el procedimiento. Para establecer la experiencia que se requiere en cada proceso, de acuerdo con el artículo 2.2.1.1.1.6.2. del Decreto 1082 de 2015, debe tener en cuenta el estudio del sector y sus componentes, como la identificación de riesgos, así como el mercado y precio del bien, obra o servicio a contratar.</w:t>
      </w:r>
    </w:p>
    <w:p w14:paraId="0B459757" w14:textId="77777777" w:rsidR="00992815" w:rsidRPr="00A3122D" w:rsidRDefault="00992815" w:rsidP="00992815">
      <w:pPr>
        <w:snapToGrid w:val="0"/>
        <w:spacing w:before="120" w:after="120" w:line="240" w:lineRule="auto"/>
        <w:jc w:val="both"/>
        <w:rPr>
          <w:rFonts w:ascii="Verdana" w:eastAsia="Calibri" w:hAnsi="Verdana" w:cs="Arial"/>
          <w:sz w:val="20"/>
          <w:szCs w:val="20"/>
          <w:lang w:val="es-ES"/>
        </w:rPr>
      </w:pPr>
      <w:r w:rsidRPr="1CB27650">
        <w:rPr>
          <w:rFonts w:ascii="Verdana" w:eastAsia="Calibri" w:hAnsi="Verdana" w:cs="Arial"/>
          <w:kern w:val="2"/>
          <w:sz w:val="20"/>
          <w:szCs w:val="20"/>
          <w:lang w:val="es-ES"/>
          <w14:ligatures w14:val="standardContextual"/>
        </w:rPr>
        <w:t>Ahora bien, la experiencia que se deriva de los contratos que el proponente ha celebrado y ejecutado con diferentes contratantes, sin importar la naturaleza de estos, se verifica con el RUP, cuando este certificado sea exigible de acuerdo con la ley. Sobre el particular debe indicarse que  el RUP es plena prueba de los requisitos habilitantes que constan en él, sin que la entidad o el proponente puedan solicitar o aportar otra documentación.</w:t>
      </w:r>
    </w:p>
    <w:p w14:paraId="07CB8919" w14:textId="77777777" w:rsidR="00992815" w:rsidRPr="001C4D3E" w:rsidRDefault="00992815" w:rsidP="00992815">
      <w:pPr>
        <w:spacing w:after="0" w:line="240" w:lineRule="auto"/>
        <w:rPr>
          <w:rFonts w:ascii="Verdana" w:eastAsia="Geomanist Light" w:hAnsi="Verdana" w:cs="Arial"/>
          <w:b/>
          <w:color w:val="000000" w:themeColor="text1"/>
          <w:lang w:val="es-MX"/>
        </w:rPr>
      </w:pPr>
    </w:p>
    <w:p w14:paraId="2657492B" w14:textId="77777777" w:rsidR="00992815" w:rsidRPr="001C4D3E" w:rsidRDefault="00992815" w:rsidP="00992815">
      <w:pPr>
        <w:spacing w:after="0" w:line="240" w:lineRule="auto"/>
        <w:rPr>
          <w:rFonts w:ascii="Verdana" w:eastAsia="Geomanist Light" w:hAnsi="Verdana" w:cs="Arial"/>
          <w:b/>
          <w:color w:val="000000" w:themeColor="text1"/>
          <w:lang w:val="es-MX"/>
        </w:rPr>
      </w:pPr>
      <w:r w:rsidRPr="001C4D3E">
        <w:rPr>
          <w:rFonts w:ascii="Verdana" w:eastAsia="Calibri" w:hAnsi="Verdana" w:cs="Arial"/>
          <w:b/>
          <w:lang w:val="es-ES_tradnl" w:eastAsia="es-ES_tradnl"/>
        </w:rPr>
        <w:t>EXPERIENCIA ‒ Conservaci</w:t>
      </w:r>
      <w:r w:rsidRPr="001C4D3E">
        <w:rPr>
          <w:rFonts w:ascii="Verdana" w:eastAsia="Calibri" w:hAnsi="Verdana" w:cs="Century Gothic"/>
          <w:b/>
          <w:lang w:val="es-ES_tradnl" w:eastAsia="es-ES_tradnl"/>
        </w:rPr>
        <w:t>ó</w:t>
      </w:r>
      <w:r w:rsidRPr="001C4D3E">
        <w:rPr>
          <w:rFonts w:ascii="Verdana" w:eastAsia="Calibri" w:hAnsi="Verdana" w:cs="Arial"/>
          <w:b/>
          <w:lang w:val="es-ES_tradnl" w:eastAsia="es-ES_tradnl"/>
        </w:rPr>
        <w:t>n ‒ Renovación RUP</w:t>
      </w:r>
    </w:p>
    <w:p w14:paraId="7D9EBC3A" w14:textId="77777777" w:rsidR="00992815" w:rsidRDefault="00992815" w:rsidP="00992815">
      <w:pPr>
        <w:spacing w:after="0" w:line="240" w:lineRule="auto"/>
        <w:rPr>
          <w:rFonts w:ascii="Verdana" w:eastAsia="Calibri" w:hAnsi="Verdana" w:cs="Arial"/>
          <w:kern w:val="2"/>
          <w:sz w:val="21"/>
          <w:szCs w:val="21"/>
          <w:lang w:val="es-ES_tradnl"/>
          <w14:ligatures w14:val="standardContextual"/>
        </w:rPr>
      </w:pPr>
    </w:p>
    <w:p w14:paraId="4DA7F375" w14:textId="77777777" w:rsidR="00992815" w:rsidRPr="00A3122D" w:rsidRDefault="00992815" w:rsidP="00992815">
      <w:pPr>
        <w:spacing w:after="0" w:line="240" w:lineRule="auto"/>
        <w:jc w:val="both"/>
        <w:rPr>
          <w:rFonts w:ascii="Verdana" w:eastAsia="Calibri" w:hAnsi="Verdana" w:cs="Arial"/>
          <w:kern w:val="2"/>
          <w:sz w:val="20"/>
          <w:szCs w:val="20"/>
          <w:lang w:val="es-ES"/>
          <w14:ligatures w14:val="standardContextual"/>
        </w:rPr>
      </w:pPr>
      <w:r w:rsidRPr="1CB27650">
        <w:rPr>
          <w:rFonts w:ascii="Verdana" w:eastAsia="Calibri" w:hAnsi="Verdana" w:cs="Arial"/>
          <w:kern w:val="2"/>
          <w:sz w:val="20"/>
          <w:szCs w:val="20"/>
          <w:lang w:val="es-ES"/>
          <w14:ligatures w14:val="standardContextual"/>
        </w:rPr>
        <w:t>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De esta manera, con el RUP se verifica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lo que dependerá de la forma como la entidad solicite la experiencia en el pliego de condiciones o documento equivalente.</w:t>
      </w:r>
    </w:p>
    <w:p w14:paraId="3F33A90B" w14:textId="77777777" w:rsidR="00992815" w:rsidRDefault="00992815" w:rsidP="00992815">
      <w:pPr>
        <w:spacing w:after="0" w:line="240" w:lineRule="auto"/>
        <w:jc w:val="both"/>
        <w:rPr>
          <w:rFonts w:ascii="Verdana" w:eastAsia="Geomanist Light" w:hAnsi="Verdana" w:cs="Arial"/>
          <w:color w:val="000000" w:themeColor="text1"/>
          <w:lang w:val="es-MX"/>
        </w:rPr>
      </w:pPr>
    </w:p>
    <w:p w14:paraId="3BE8E729" w14:textId="77777777" w:rsidR="00992815" w:rsidRPr="001C4D3E" w:rsidRDefault="00992815" w:rsidP="00992815">
      <w:pPr>
        <w:spacing w:after="0" w:line="240" w:lineRule="auto"/>
        <w:rPr>
          <w:rFonts w:ascii="Verdana" w:eastAsia="Geomanist Light" w:hAnsi="Verdana" w:cs="Arial"/>
          <w:b/>
          <w:color w:val="000000" w:themeColor="text1"/>
          <w:lang w:val="es-MX"/>
        </w:rPr>
      </w:pPr>
      <w:r w:rsidRPr="001C4D3E">
        <w:rPr>
          <w:rFonts w:ascii="Verdana" w:eastAsia="Calibri" w:hAnsi="Verdana" w:cs="Arial"/>
          <w:b/>
          <w:lang w:val="es-ES_tradnl" w:eastAsia="es-ES_tradnl"/>
        </w:rPr>
        <w:t xml:space="preserve">EXPERIENCIA </w:t>
      </w:r>
      <w:r w:rsidRPr="001C4D3E">
        <w:rPr>
          <w:rFonts w:ascii="Verdana" w:eastAsia="Calibri" w:hAnsi="Verdana" w:cs="Century Gothic"/>
          <w:b/>
          <w:lang w:val="es-ES_tradnl" w:eastAsia="es-ES_tradnl"/>
        </w:rPr>
        <w:t>−</w:t>
      </w:r>
      <w:r w:rsidRPr="001C4D3E">
        <w:rPr>
          <w:rFonts w:ascii="Verdana" w:eastAsia="Calibri" w:hAnsi="Verdana" w:cs="Arial"/>
          <w:b/>
          <w:lang w:val="es-ES_tradnl" w:eastAsia="es-ES_tradnl"/>
        </w:rPr>
        <w:t xml:space="preserve"> Sociedades </w:t>
      </w:r>
      <w:r w:rsidRPr="001C4D3E">
        <w:rPr>
          <w:rFonts w:ascii="Verdana" w:eastAsia="Calibri" w:hAnsi="Verdana" w:cs="Century Gothic"/>
          <w:b/>
          <w:lang w:val="es-ES_tradnl" w:eastAsia="es-ES_tradnl"/>
        </w:rPr>
        <w:t>–</w:t>
      </w:r>
      <w:r w:rsidRPr="001C4D3E">
        <w:rPr>
          <w:rFonts w:ascii="Verdana" w:eastAsia="Calibri" w:hAnsi="Verdana" w:cs="Arial"/>
          <w:b/>
          <w:lang w:val="es-ES_tradnl" w:eastAsia="es-ES_tradnl"/>
        </w:rPr>
        <w:t xml:space="preserve"> Menor a 3 a</w:t>
      </w:r>
      <w:r w:rsidRPr="001C4D3E">
        <w:rPr>
          <w:rFonts w:ascii="Verdana" w:eastAsia="Calibri" w:hAnsi="Verdana" w:cs="Century Gothic"/>
          <w:b/>
          <w:lang w:val="es-ES_tradnl" w:eastAsia="es-ES_tradnl"/>
        </w:rPr>
        <w:t>ñ</w:t>
      </w:r>
      <w:r w:rsidRPr="001C4D3E">
        <w:rPr>
          <w:rFonts w:ascii="Verdana" w:eastAsia="Calibri" w:hAnsi="Verdana" w:cs="Arial"/>
          <w:b/>
          <w:lang w:val="es-ES_tradnl" w:eastAsia="es-ES_tradnl"/>
        </w:rPr>
        <w:t>os de constituci</w:t>
      </w:r>
      <w:r w:rsidRPr="001C4D3E">
        <w:rPr>
          <w:rFonts w:ascii="Verdana" w:eastAsia="Calibri" w:hAnsi="Verdana" w:cs="Century Gothic"/>
          <w:b/>
          <w:lang w:val="es-ES_tradnl" w:eastAsia="es-ES_tradnl"/>
        </w:rPr>
        <w:t>ó</w:t>
      </w:r>
      <w:r w:rsidRPr="001C4D3E">
        <w:rPr>
          <w:rFonts w:ascii="Verdana" w:eastAsia="Calibri" w:hAnsi="Verdana" w:cs="Arial"/>
          <w:b/>
          <w:lang w:val="es-ES_tradnl" w:eastAsia="es-ES_tradnl"/>
        </w:rPr>
        <w:t>n</w:t>
      </w:r>
    </w:p>
    <w:p w14:paraId="70F8D367" w14:textId="77777777" w:rsidR="00992815" w:rsidRDefault="00992815" w:rsidP="00992815">
      <w:pPr>
        <w:spacing w:after="0" w:line="240" w:lineRule="auto"/>
        <w:jc w:val="both"/>
        <w:rPr>
          <w:rFonts w:ascii="Verdana" w:eastAsia="Geomanist Light" w:hAnsi="Verdana" w:cs="Arial"/>
          <w:color w:val="000000" w:themeColor="text1"/>
          <w:lang w:val="es-MX"/>
        </w:rPr>
      </w:pPr>
    </w:p>
    <w:p w14:paraId="14D30983" w14:textId="77777777" w:rsidR="00992815" w:rsidRPr="00A3122D" w:rsidRDefault="00992815" w:rsidP="00992815">
      <w:pPr>
        <w:snapToGrid w:val="0"/>
        <w:spacing w:after="120" w:line="240" w:lineRule="auto"/>
        <w:jc w:val="both"/>
        <w:rPr>
          <w:rFonts w:ascii="Verdana" w:eastAsia="Calibri" w:hAnsi="Verdana" w:cs="Arial"/>
          <w:sz w:val="20"/>
          <w:szCs w:val="20"/>
          <w:lang w:val="es-ES"/>
        </w:rPr>
      </w:pPr>
      <w:r w:rsidRPr="00A3122D">
        <w:rPr>
          <w:rFonts w:ascii="Verdana" w:eastAsia="Calibri" w:hAnsi="Verdana" w:cs="Arial"/>
          <w:sz w:val="20"/>
          <w:szCs w:val="20"/>
          <w:lang w:val="es-ES"/>
        </w:rPr>
        <w:t xml:space="preserve">[…] esta Agencia considera que, si la persona jurídica con menos de tres (3) años de constituida registra la experiencia de sus socios en el RUP, y este es renovado constantemente de forma oportuna, una vez transcurridos estos tres (3) años, el proponente podrá seguir acreditando la experiencia inscrita de los socios mientras no cesen los efectos del RUP. Por el contrario, si no se renueva oportunamente y la persona jurídica supera los tres (3) años de constituida, la experiencia que registró de sus socios no puede ser inscrita nuevamente, puesto que el RUP habría cesado en sus efectos y la cámara de comercio tendría que hacer nuevamente la verificación documental de la </w:t>
      </w:r>
      <w:r w:rsidRPr="00A3122D">
        <w:rPr>
          <w:rFonts w:ascii="Verdana" w:eastAsia="Calibri" w:hAnsi="Verdana" w:cs="Arial"/>
          <w:sz w:val="20"/>
          <w:szCs w:val="20"/>
          <w:lang w:val="es-ES"/>
        </w:rPr>
        <w:lastRenderedPageBreak/>
        <w:t>información presentada al momento de inscribirse en el registro, para el cual ya habría transcurrido el término de tres (3) años.</w:t>
      </w:r>
    </w:p>
    <w:p w14:paraId="7F209A10" w14:textId="77777777" w:rsidR="00992815" w:rsidRPr="00A3122D" w:rsidRDefault="00992815" w:rsidP="00992815">
      <w:pPr>
        <w:spacing w:after="0" w:line="240" w:lineRule="auto"/>
        <w:jc w:val="both"/>
        <w:rPr>
          <w:rFonts w:ascii="Verdana" w:eastAsia="Geomanist Light" w:hAnsi="Verdana" w:cs="Arial"/>
          <w:color w:val="000000" w:themeColor="text1"/>
          <w:sz w:val="20"/>
          <w:szCs w:val="20"/>
          <w:lang w:val="es-MX"/>
        </w:rPr>
      </w:pPr>
      <w:r w:rsidRPr="00A3122D">
        <w:rPr>
          <w:rFonts w:ascii="Verdana" w:eastAsia="Times New Roman" w:hAnsi="Verdana" w:cs="Arial"/>
          <w:sz w:val="20"/>
          <w:szCs w:val="20"/>
          <w:lang w:val="es-ES_tradnl" w:eastAsia="es-ES_tradnl"/>
        </w:rPr>
        <w:t>Esta interpretación permite incentivar la creación de empresa y generar una mayor participación de las empresas recién constituidas. En este sentido, si bien la norma no dispone qué sucede con la experiencia aportada por los socios, accionistas o constituyentes, después de los tres (3) años de constituida la persona jurídica, para esta Subdirección sigue siendo válida, por lo que la entidad la debe tener en cuenta. De esta forma se garantiza la pluralidad de oferentes en los Procesos de Contratación.</w:t>
      </w:r>
    </w:p>
    <w:p w14:paraId="20C34FDA" w14:textId="77777777" w:rsidR="00992815" w:rsidRDefault="00992815" w:rsidP="00992815">
      <w:pPr>
        <w:spacing w:after="0" w:line="240" w:lineRule="auto"/>
        <w:rPr>
          <w:rFonts w:ascii="Verdana" w:eastAsia="Geomanist Light" w:hAnsi="Verdana" w:cs="Arial"/>
          <w:color w:val="000000" w:themeColor="text1"/>
          <w:lang w:val="es-MX"/>
        </w:rPr>
      </w:pPr>
    </w:p>
    <w:p w14:paraId="7FDB115E" w14:textId="77777777" w:rsidR="00992815" w:rsidRDefault="00992815" w:rsidP="00992815">
      <w:pPr>
        <w:spacing w:after="0" w:line="240" w:lineRule="auto"/>
        <w:rPr>
          <w:rFonts w:ascii="Verdana" w:eastAsia="Calibri" w:hAnsi="Verdana" w:cs="Arial"/>
          <w:b/>
          <w:lang w:val="es-ES_tradnl" w:eastAsia="es-ES_tradnl"/>
        </w:rPr>
      </w:pPr>
      <w:r w:rsidRPr="001C4D3E">
        <w:rPr>
          <w:rFonts w:ascii="Verdana" w:eastAsia="Calibri" w:hAnsi="Verdana" w:cs="Arial"/>
          <w:b/>
          <w:lang w:val="es-ES_tradnl" w:eastAsia="es-ES_tradnl"/>
        </w:rPr>
        <w:t>EXPERIENCIA</w:t>
      </w:r>
      <w:r>
        <w:rPr>
          <w:rFonts w:ascii="Verdana" w:eastAsia="Calibri" w:hAnsi="Verdana" w:cs="Arial"/>
          <w:b/>
          <w:lang w:val="es-ES_tradnl" w:eastAsia="es-ES_tradnl"/>
        </w:rPr>
        <w:t xml:space="preserve"> - </w:t>
      </w:r>
      <w:r w:rsidRPr="00561564">
        <w:rPr>
          <w:rFonts w:ascii="Verdana" w:eastAsia="Calibri" w:hAnsi="Verdana" w:cs="Arial"/>
          <w:b/>
          <w:lang w:val="es-ES_tradnl" w:eastAsia="es-ES_tradnl"/>
        </w:rPr>
        <w:t>conexidad con su objeto social</w:t>
      </w:r>
    </w:p>
    <w:p w14:paraId="123645AD" w14:textId="77777777" w:rsidR="00992815" w:rsidRDefault="00992815" w:rsidP="00992815">
      <w:pPr>
        <w:spacing w:after="0" w:line="240" w:lineRule="auto"/>
        <w:rPr>
          <w:rFonts w:ascii="Verdana" w:eastAsia="Geomanist Light" w:hAnsi="Verdana" w:cs="Arial"/>
          <w:color w:val="000000" w:themeColor="text1"/>
          <w:lang w:val="es-MX"/>
        </w:rPr>
      </w:pPr>
    </w:p>
    <w:p w14:paraId="471BC182" w14:textId="77777777" w:rsidR="00992815" w:rsidRDefault="00992815" w:rsidP="00992815">
      <w:pPr>
        <w:jc w:val="both"/>
        <w:rPr>
          <w:rFonts w:ascii="Verdana" w:eastAsia="Arial" w:hAnsi="Verdana" w:cs="Arial"/>
          <w:sz w:val="20"/>
          <w:szCs w:val="20"/>
        </w:rPr>
      </w:pPr>
      <w:r>
        <w:rPr>
          <w:rFonts w:ascii="Verdana" w:eastAsia="Arial" w:hAnsi="Verdana" w:cs="Arial"/>
          <w:sz w:val="20"/>
          <w:szCs w:val="20"/>
        </w:rPr>
        <w:t>L</w:t>
      </w:r>
      <w:r w:rsidRPr="00561564">
        <w:rPr>
          <w:rFonts w:ascii="Verdana" w:eastAsia="Arial" w:hAnsi="Verdana" w:cs="Arial"/>
          <w:sz w:val="20"/>
          <w:szCs w:val="20"/>
        </w:rPr>
        <w:t>a normatividad vigente no contempla que se pueda habilitar al proponente cuando la experiencia que se traslada carezca de una estricta relación y conexidad con su objeto social y capacidad jurídica, ya que la sociedad no puede ejecutar actividades que excedan su propia capacidad legal. Una interpretación extensiva del Decreto 1082 de 2015 o de los conceptos C-218 y C-424 de 2024 de Colombia Compra Eficiente no permite inaplicar las solemnidades del RUP ni subsanar la falta de capacidad jurídica del oferente</w:t>
      </w:r>
      <w:r>
        <w:rPr>
          <w:rFonts w:ascii="Verdana" w:eastAsia="Arial" w:hAnsi="Verdana" w:cs="Arial"/>
          <w:sz w:val="20"/>
          <w:szCs w:val="20"/>
        </w:rPr>
        <w:t>.</w:t>
      </w:r>
    </w:p>
    <w:p w14:paraId="0EDB72E5" w14:textId="77777777" w:rsidR="00992815" w:rsidRPr="00561564" w:rsidRDefault="00992815" w:rsidP="00992815">
      <w:pPr>
        <w:spacing w:after="0" w:line="240" w:lineRule="auto"/>
        <w:jc w:val="both"/>
        <w:rPr>
          <w:rFonts w:ascii="Verdana" w:eastAsia="Arial" w:hAnsi="Verdana" w:cs="Arial"/>
          <w:sz w:val="20"/>
          <w:szCs w:val="20"/>
        </w:rPr>
      </w:pPr>
      <w:r>
        <w:rPr>
          <w:rFonts w:ascii="Verdana" w:eastAsia="Arial" w:hAnsi="Verdana" w:cs="Arial"/>
          <w:sz w:val="20"/>
          <w:szCs w:val="20"/>
        </w:rPr>
        <w:t>E</w:t>
      </w:r>
      <w:r w:rsidRPr="00561564">
        <w:rPr>
          <w:rFonts w:ascii="Verdana" w:eastAsia="Arial" w:hAnsi="Verdana" w:cs="Arial"/>
          <w:sz w:val="20"/>
          <w:szCs w:val="20"/>
        </w:rPr>
        <w:t>n consecuencia, aunque la finalidad de la norma es fomentar la pluralidad de oferentes y permitir la participación de sociedades recientes mediante el aprovechamiento de la experiencia de sus socios o accionistas, dicha figura no puede entenderse como una habilitación general para desconocer las reglas del Registro Único de Proponentes ni para sustituir los requisitos habilitantes establecidos en el artículo 5 de la Ley 1150 de 2007, ni mucho menos para flexibilizar la verificación de la capacidad jurídica del proponente en los procesos de selección.</w:t>
      </w:r>
    </w:p>
    <w:p w14:paraId="13D3666E" w14:textId="77777777" w:rsidR="00992815" w:rsidRDefault="00992815" w:rsidP="00992815">
      <w:pPr>
        <w:spacing w:after="0" w:line="240" w:lineRule="auto"/>
        <w:rPr>
          <w:rFonts w:ascii="Verdana" w:eastAsia="Geomanist Light" w:hAnsi="Verdana" w:cs="Arial"/>
          <w:color w:val="000000" w:themeColor="text1"/>
          <w:lang w:val="es-MX"/>
        </w:rPr>
      </w:pPr>
    </w:p>
    <w:p w14:paraId="300D3605" w14:textId="77777777" w:rsidR="00992815" w:rsidRDefault="00992815" w:rsidP="00992815">
      <w:pPr>
        <w:spacing w:after="0" w:line="240" w:lineRule="auto"/>
        <w:rPr>
          <w:rFonts w:ascii="Verdana" w:eastAsia="Geomanist Light" w:hAnsi="Verdana" w:cs="Arial"/>
          <w:color w:val="000000" w:themeColor="text1"/>
          <w:lang w:val="es-MX"/>
        </w:rPr>
      </w:pPr>
    </w:p>
    <w:p w14:paraId="05DE302B" w14:textId="77777777" w:rsidR="00992815" w:rsidRDefault="00992815" w:rsidP="00992815">
      <w:pPr>
        <w:spacing w:after="0" w:line="240" w:lineRule="auto"/>
        <w:rPr>
          <w:rFonts w:ascii="Verdana" w:eastAsia="Geomanist Light" w:hAnsi="Verdana" w:cs="Arial"/>
          <w:color w:val="000000" w:themeColor="text1"/>
          <w:lang w:val="es-MX"/>
        </w:rPr>
      </w:pPr>
    </w:p>
    <w:p w14:paraId="37EA86A3" w14:textId="77777777" w:rsidR="00992815" w:rsidRDefault="00992815" w:rsidP="00992815">
      <w:pPr>
        <w:spacing w:after="0" w:line="240" w:lineRule="auto"/>
        <w:rPr>
          <w:rFonts w:ascii="Verdana" w:eastAsia="Geomanist Light" w:hAnsi="Verdana" w:cs="Arial"/>
          <w:color w:val="000000" w:themeColor="text1"/>
          <w:lang w:val="es-MX"/>
        </w:rPr>
      </w:pPr>
    </w:p>
    <w:p w14:paraId="3B3BEAB7" w14:textId="77777777" w:rsidR="00992815" w:rsidRDefault="00992815" w:rsidP="00992815">
      <w:pPr>
        <w:spacing w:after="0" w:line="240" w:lineRule="auto"/>
        <w:rPr>
          <w:rFonts w:ascii="Verdana" w:eastAsia="Geomanist Light" w:hAnsi="Verdana" w:cs="Arial"/>
          <w:color w:val="000000" w:themeColor="text1"/>
          <w:lang w:val="es-MX"/>
        </w:rPr>
      </w:pPr>
    </w:p>
    <w:p w14:paraId="04A83D9C" w14:textId="77777777" w:rsidR="00992815" w:rsidRDefault="00992815" w:rsidP="00992815">
      <w:pPr>
        <w:spacing w:after="0" w:line="240" w:lineRule="auto"/>
        <w:rPr>
          <w:rFonts w:ascii="Verdana" w:eastAsia="Geomanist Light" w:hAnsi="Verdana" w:cs="Arial"/>
          <w:color w:val="000000" w:themeColor="text1"/>
          <w:lang w:val="es-MX"/>
        </w:rPr>
      </w:pPr>
    </w:p>
    <w:p w14:paraId="455035F4" w14:textId="77777777" w:rsidR="00992815" w:rsidRDefault="00992815" w:rsidP="00992815">
      <w:pPr>
        <w:spacing w:after="0" w:line="240" w:lineRule="auto"/>
        <w:rPr>
          <w:rFonts w:ascii="Verdana" w:eastAsia="Geomanist Light" w:hAnsi="Verdana" w:cs="Arial"/>
          <w:color w:val="000000" w:themeColor="text1"/>
          <w:lang w:val="es-MX"/>
        </w:rPr>
      </w:pPr>
    </w:p>
    <w:p w14:paraId="3132B8E5" w14:textId="77777777" w:rsidR="00992815" w:rsidRDefault="00992815" w:rsidP="00992815">
      <w:pPr>
        <w:spacing w:after="0" w:line="240" w:lineRule="auto"/>
        <w:jc w:val="both"/>
        <w:rPr>
          <w:rFonts w:ascii="Verdana" w:eastAsia="Times New Roman" w:hAnsi="Verdana" w:cs="Arial"/>
          <w:b/>
          <w:lang w:val="es-ES_tradnl" w:eastAsia="es-ES"/>
        </w:rPr>
      </w:pPr>
    </w:p>
    <w:p w14:paraId="01EBE836" w14:textId="77777777" w:rsidR="00992815" w:rsidRDefault="00992815" w:rsidP="00992815">
      <w:pPr>
        <w:spacing w:after="0" w:line="240" w:lineRule="auto"/>
        <w:jc w:val="both"/>
        <w:rPr>
          <w:rFonts w:ascii="Verdana" w:eastAsia="Times New Roman" w:hAnsi="Verdana" w:cs="Arial"/>
          <w:b/>
          <w:lang w:val="es-ES_tradnl" w:eastAsia="es-ES"/>
        </w:rPr>
      </w:pPr>
    </w:p>
    <w:p w14:paraId="523809E0" w14:textId="77777777" w:rsidR="00992815" w:rsidRDefault="00992815" w:rsidP="00992815">
      <w:pPr>
        <w:spacing w:after="0" w:line="240" w:lineRule="auto"/>
        <w:jc w:val="both"/>
        <w:rPr>
          <w:rFonts w:ascii="Verdana" w:eastAsia="Times New Roman" w:hAnsi="Verdana" w:cs="Arial"/>
          <w:b/>
          <w:lang w:val="es-ES_tradnl" w:eastAsia="es-ES"/>
        </w:rPr>
      </w:pPr>
    </w:p>
    <w:p w14:paraId="4ADFC14D"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0507792C"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0AC04A6E"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0DF40F58"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66FD4AFA"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1E3258E0"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0C884D1D" w14:textId="77777777" w:rsidR="00992815" w:rsidRDefault="00992815" w:rsidP="00992815">
      <w:pPr>
        <w:spacing w:after="0" w:line="240" w:lineRule="auto"/>
        <w:jc w:val="both"/>
        <w:rPr>
          <w:rFonts w:ascii="Verdana" w:eastAsia="Times New Roman" w:hAnsi="Verdana" w:cs="Times New Roman"/>
          <w:sz w:val="20"/>
          <w:szCs w:val="20"/>
          <w:lang w:val="es-ES_tradnl" w:eastAsia="es-ES_tradnl"/>
        </w:rPr>
      </w:pPr>
    </w:p>
    <w:p w14:paraId="64030CCD" w14:textId="77777777" w:rsidR="00DD6F20" w:rsidRDefault="00DD6F20" w:rsidP="00992815">
      <w:pPr>
        <w:spacing w:after="0" w:line="240" w:lineRule="auto"/>
        <w:rPr>
          <w:rFonts w:ascii="Verdana" w:eastAsia="Times New Roman" w:hAnsi="Verdana" w:cs="Times New Roman"/>
          <w:sz w:val="20"/>
          <w:szCs w:val="20"/>
          <w:lang w:val="es-ES_tradnl" w:eastAsia="es-ES_tradnl"/>
        </w:rPr>
      </w:pPr>
    </w:p>
    <w:p w14:paraId="42A041BF" w14:textId="17003E9A" w:rsidR="00992815" w:rsidRPr="00E31648" w:rsidRDefault="00992815" w:rsidP="00992815">
      <w:pPr>
        <w:spacing w:after="0" w:line="240" w:lineRule="auto"/>
      </w:pPr>
      <w:r w:rsidRPr="00C562D4">
        <w:rPr>
          <w:rFonts w:ascii="Verdana" w:eastAsia="Calibri" w:hAnsi="Verdana" w:cs="Arial"/>
          <w:color w:val="000000" w:themeColor="text1"/>
        </w:rPr>
        <w:lastRenderedPageBreak/>
        <w:t xml:space="preserve">Bogotá D.C., </w:t>
      </w:r>
      <w:r w:rsidR="00DD6F20">
        <w:rPr>
          <w:rFonts w:ascii="Verdana" w:eastAsia="Calibri" w:hAnsi="Verdana" w:cs="Arial"/>
          <w:color w:val="000000" w:themeColor="text1"/>
        </w:rPr>
        <w:t>2</w:t>
      </w:r>
      <w:r w:rsidR="003D48CF">
        <w:rPr>
          <w:rFonts w:ascii="Verdana" w:eastAsia="Calibri" w:hAnsi="Verdana" w:cs="Arial"/>
          <w:color w:val="000000" w:themeColor="text1"/>
        </w:rPr>
        <w:t>4</w:t>
      </w:r>
      <w:r>
        <w:rPr>
          <w:rFonts w:ascii="Verdana" w:eastAsia="Calibri" w:hAnsi="Verdana" w:cs="Arial"/>
          <w:color w:val="000000" w:themeColor="text1"/>
        </w:rPr>
        <w:t xml:space="preserve"> </w:t>
      </w:r>
      <w:r w:rsidRPr="00C562D4">
        <w:rPr>
          <w:rFonts w:ascii="Verdana" w:eastAsia="Calibri" w:hAnsi="Verdana" w:cs="Arial"/>
          <w:color w:val="000000" w:themeColor="text1"/>
        </w:rPr>
        <w:t xml:space="preserve">de </w:t>
      </w:r>
      <w:r>
        <w:rPr>
          <w:rFonts w:ascii="Verdana" w:eastAsia="Calibri" w:hAnsi="Verdana" w:cs="Arial"/>
          <w:color w:val="000000" w:themeColor="text1"/>
        </w:rPr>
        <w:t xml:space="preserve">junio </w:t>
      </w:r>
      <w:r w:rsidRPr="00C562D4">
        <w:rPr>
          <w:rFonts w:ascii="Verdana" w:eastAsia="Calibri" w:hAnsi="Verdana" w:cs="Arial"/>
          <w:color w:val="000000" w:themeColor="text1"/>
        </w:rPr>
        <w:t>de 20</w:t>
      </w:r>
      <w:r>
        <w:rPr>
          <w:rFonts w:ascii="Verdana" w:eastAsia="Calibri" w:hAnsi="Verdana" w:cs="Arial"/>
          <w:color w:val="000000" w:themeColor="text1"/>
        </w:rPr>
        <w:t>26</w:t>
      </w:r>
    </w:p>
    <w:p w14:paraId="19071986" w14:textId="77777777" w:rsidR="00992815" w:rsidRDefault="00992815" w:rsidP="00992815">
      <w:pPr>
        <w:spacing w:after="0" w:line="240" w:lineRule="auto"/>
        <w:jc w:val="both"/>
        <w:rPr>
          <w:rFonts w:ascii="Verdana" w:eastAsia="Calibri" w:hAnsi="Verdana" w:cs="Arial"/>
          <w:color w:val="000000" w:themeColor="text1"/>
          <w:lang w:val="es-ES"/>
        </w:rPr>
      </w:pPr>
    </w:p>
    <w:p w14:paraId="406AFB0D" w14:textId="230E4790" w:rsidR="00992815" w:rsidRDefault="003D48CF" w:rsidP="003D48CF">
      <w:pPr>
        <w:spacing w:after="0" w:line="240" w:lineRule="auto"/>
        <w:jc w:val="right"/>
        <w:rPr>
          <w:rFonts w:ascii="Verdana" w:eastAsia="Calibri" w:hAnsi="Verdana" w:cs="Arial"/>
          <w:color w:val="000000" w:themeColor="text1"/>
          <w:lang w:val="es-ES" w:eastAsia="es-ES"/>
        </w:rPr>
      </w:pPr>
      <w:r>
        <w:rPr>
          <w:rFonts w:ascii="Verdana" w:eastAsia="Calibri" w:hAnsi="Verdana" w:cs="Arial"/>
          <w:noProof/>
          <w:color w:val="000000" w:themeColor="text1"/>
          <w:lang w:val="es-ES" w:eastAsia="es-ES"/>
        </w:rPr>
        <w:drawing>
          <wp:inline distT="0" distB="0" distL="0" distR="0" wp14:anchorId="418F850E" wp14:editId="31519D5A">
            <wp:extent cx="2533650" cy="723900"/>
            <wp:effectExtent l="0" t="0" r="0" b="0"/>
            <wp:docPr id="5677233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3650" cy="723900"/>
                    </a:xfrm>
                    <a:prstGeom prst="rect">
                      <a:avLst/>
                    </a:prstGeom>
                    <a:noFill/>
                    <a:ln>
                      <a:noFill/>
                    </a:ln>
                  </pic:spPr>
                </pic:pic>
              </a:graphicData>
            </a:graphic>
          </wp:inline>
        </w:drawing>
      </w:r>
    </w:p>
    <w:p w14:paraId="5C894717" w14:textId="77777777" w:rsidR="00674782" w:rsidRDefault="00674782" w:rsidP="00992815">
      <w:pPr>
        <w:spacing w:after="0" w:line="240" w:lineRule="auto"/>
        <w:jc w:val="both"/>
        <w:rPr>
          <w:rFonts w:ascii="Verdana" w:eastAsia="Calibri" w:hAnsi="Verdana" w:cs="Arial"/>
          <w:color w:val="000000" w:themeColor="text1"/>
          <w:lang w:val="es-ES" w:eastAsia="es-ES"/>
        </w:rPr>
      </w:pPr>
    </w:p>
    <w:p w14:paraId="5924C0AD" w14:textId="77777777" w:rsidR="00674782" w:rsidRDefault="00674782" w:rsidP="00992815">
      <w:pPr>
        <w:spacing w:after="0" w:line="240" w:lineRule="auto"/>
        <w:jc w:val="both"/>
        <w:rPr>
          <w:rFonts w:ascii="Verdana" w:eastAsia="Calibri" w:hAnsi="Verdana" w:cs="Arial"/>
          <w:color w:val="000000" w:themeColor="text1"/>
          <w:lang w:val="es-ES" w:eastAsia="es-ES"/>
        </w:rPr>
      </w:pPr>
    </w:p>
    <w:p w14:paraId="190DE1AE" w14:textId="77777777" w:rsidR="00674782" w:rsidRDefault="00674782" w:rsidP="00992815">
      <w:pPr>
        <w:spacing w:after="0" w:line="240" w:lineRule="auto"/>
        <w:jc w:val="both"/>
        <w:rPr>
          <w:rFonts w:ascii="Verdana" w:eastAsia="Calibri" w:hAnsi="Verdana" w:cs="Arial"/>
          <w:color w:val="000000" w:themeColor="text1"/>
          <w:lang w:val="es-ES" w:eastAsia="es-ES"/>
        </w:rPr>
      </w:pPr>
    </w:p>
    <w:p w14:paraId="632E059A" w14:textId="77777777" w:rsidR="00992815" w:rsidRPr="0046108F" w:rsidRDefault="00992815" w:rsidP="00992815">
      <w:pPr>
        <w:spacing w:after="0" w:line="240" w:lineRule="auto"/>
        <w:jc w:val="both"/>
        <w:rPr>
          <w:rFonts w:ascii="Verdana" w:eastAsia="Calibri" w:hAnsi="Verdana" w:cs="Arial"/>
          <w:color w:val="000000" w:themeColor="text1"/>
          <w:lang w:val="es-ES" w:eastAsia="es-ES"/>
        </w:rPr>
      </w:pPr>
      <w:r w:rsidRPr="0046108F">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7799C3A7" w14:textId="77777777" w:rsidR="00992815" w:rsidRDefault="00992815" w:rsidP="00992815">
      <w:pPr>
        <w:spacing w:after="0" w:line="240" w:lineRule="auto"/>
        <w:rPr>
          <w:rFonts w:ascii="Verdana" w:eastAsia="Calibri" w:hAnsi="Verdana" w:cs="Arial"/>
          <w:b/>
          <w:bCs/>
          <w:lang w:eastAsia="es-ES"/>
        </w:rPr>
      </w:pPr>
      <w:r w:rsidRPr="00552511">
        <w:rPr>
          <w:rFonts w:ascii="Verdana" w:eastAsia="Calibri" w:hAnsi="Verdana" w:cs="Arial"/>
          <w:b/>
          <w:bCs/>
          <w:lang w:eastAsia="es-ES"/>
        </w:rPr>
        <w:t xml:space="preserve">KAROL JULIANA MORENO PIÑEROS </w:t>
      </w:r>
    </w:p>
    <w:p w14:paraId="60F3CE49" w14:textId="77777777" w:rsidR="00992815" w:rsidRPr="00552511" w:rsidRDefault="00992815" w:rsidP="00992815">
      <w:pPr>
        <w:spacing w:after="0" w:line="240" w:lineRule="auto"/>
        <w:rPr>
          <w:rFonts w:ascii="Verdana" w:eastAsia="Calibri" w:hAnsi="Verdana" w:cs="Arial"/>
          <w:b/>
          <w:bCs/>
          <w:lang w:eastAsia="es-ES"/>
        </w:rPr>
      </w:pPr>
      <w:hyperlink r:id="rId11" w:history="1">
        <w:r w:rsidRPr="007D240E">
          <w:rPr>
            <w:rStyle w:val="Hipervnculo"/>
            <w:rFonts w:ascii="Verdana" w:eastAsia="Calibri" w:hAnsi="Verdana" w:cs="Arial"/>
            <w:lang w:eastAsia="es-ES"/>
          </w:rPr>
          <w:t>adecuartecolombia@gmail.com</w:t>
        </w:r>
      </w:hyperlink>
      <w:r>
        <w:rPr>
          <w:rFonts w:ascii="Verdana" w:eastAsia="Calibri" w:hAnsi="Verdana" w:cs="Arial"/>
          <w:lang w:eastAsia="es-ES"/>
        </w:rPr>
        <w:t xml:space="preserve"> </w:t>
      </w:r>
    </w:p>
    <w:p w14:paraId="043DA0AA" w14:textId="77777777" w:rsidR="00992815" w:rsidRPr="006B17A7" w:rsidRDefault="00992815" w:rsidP="00992815">
      <w:pPr>
        <w:spacing w:after="0" w:line="240" w:lineRule="auto"/>
        <w:rPr>
          <w:rFonts w:ascii="Verdana" w:eastAsia="Calibri" w:hAnsi="Verdana" w:cs="Arial"/>
          <w:b/>
          <w:bCs/>
          <w:lang w:val="es-ES" w:eastAsia="es-ES"/>
        </w:rPr>
      </w:pPr>
    </w:p>
    <w:p w14:paraId="4B493A93" w14:textId="77777777" w:rsidR="00992815" w:rsidRPr="00CB7ABE" w:rsidRDefault="00992815" w:rsidP="00992815">
      <w:pPr>
        <w:spacing w:after="0" w:line="240" w:lineRule="auto"/>
        <w:rPr>
          <w:rFonts w:ascii="Verdana" w:eastAsia="Calibri" w:hAnsi="Verdana" w:cs="Arial"/>
          <w:b/>
          <w:bCs/>
          <w:color w:val="000000" w:themeColor="text1"/>
          <w:lang w:eastAsia="es-ES_tradnl"/>
        </w:rPr>
      </w:pPr>
    </w:p>
    <w:tbl>
      <w:tblPr>
        <w:tblStyle w:val="Tablaconcuadrcula"/>
        <w:tblW w:w="88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70"/>
        <w:gridCol w:w="6547"/>
      </w:tblGrid>
      <w:tr w:rsidR="00992815" w:rsidRPr="00115E3D" w14:paraId="562C9B48" w14:textId="77777777" w:rsidTr="00B4022F">
        <w:trPr>
          <w:trHeight w:val="615"/>
        </w:trPr>
        <w:tc>
          <w:tcPr>
            <w:tcW w:w="2270" w:type="dxa"/>
          </w:tcPr>
          <w:p w14:paraId="535908AC" w14:textId="77777777" w:rsidR="00992815" w:rsidRPr="00CB7ABE" w:rsidRDefault="00992815" w:rsidP="00B4022F">
            <w:pPr>
              <w:jc w:val="both"/>
              <w:rPr>
                <w:rFonts w:ascii="Verdana" w:eastAsia="Calibri" w:hAnsi="Verdana" w:cs="Arial"/>
                <w:b/>
                <w:bCs/>
                <w:color w:val="000000" w:themeColor="text1"/>
                <w:lang w:eastAsia="es-ES_tradnl"/>
              </w:rPr>
            </w:pPr>
          </w:p>
        </w:tc>
        <w:tc>
          <w:tcPr>
            <w:tcW w:w="6547" w:type="dxa"/>
          </w:tcPr>
          <w:p w14:paraId="19AE7E36" w14:textId="77777777" w:rsidR="00992815" w:rsidRPr="008A209A" w:rsidRDefault="00992815" w:rsidP="00B4022F">
            <w:pPr>
              <w:jc w:val="both"/>
              <w:rPr>
                <w:rFonts w:ascii="Verdana" w:eastAsia="Calibri" w:hAnsi="Verdana" w:cs="Arial"/>
                <w:b/>
                <w:bCs/>
                <w:color w:val="000000" w:themeColor="text1"/>
                <w:lang w:val="es-ES" w:eastAsia="es-ES"/>
              </w:rPr>
            </w:pPr>
            <w:r w:rsidRPr="008A209A">
              <w:rPr>
                <w:rFonts w:ascii="Verdana" w:eastAsia="Calibri" w:hAnsi="Verdana" w:cs="Arial"/>
                <w:b/>
                <w:bCs/>
                <w:color w:val="000000" w:themeColor="text1"/>
                <w:lang w:val="es-ES" w:eastAsia="es-ES"/>
              </w:rPr>
              <w:t xml:space="preserve">Concepto C- </w:t>
            </w:r>
            <w:r>
              <w:rPr>
                <w:rFonts w:ascii="Verdana" w:eastAsia="Calibri" w:hAnsi="Verdana" w:cs="Arial"/>
                <w:b/>
                <w:bCs/>
                <w:color w:val="000000" w:themeColor="text1"/>
                <w:lang w:val="es-ES" w:eastAsia="es-ES"/>
              </w:rPr>
              <w:t xml:space="preserve">795 </w:t>
            </w:r>
            <w:r w:rsidRPr="008A209A">
              <w:rPr>
                <w:rFonts w:ascii="Verdana" w:eastAsia="Calibri" w:hAnsi="Verdana" w:cs="Arial"/>
                <w:b/>
                <w:bCs/>
                <w:color w:val="000000" w:themeColor="text1"/>
                <w:lang w:val="es-ES" w:eastAsia="es-ES"/>
              </w:rPr>
              <w:t>de 2026</w:t>
            </w:r>
          </w:p>
        </w:tc>
      </w:tr>
      <w:tr w:rsidR="00992815" w:rsidRPr="007E403E" w14:paraId="5D89D579" w14:textId="77777777" w:rsidTr="00B4022F">
        <w:trPr>
          <w:trHeight w:val="1071"/>
        </w:trPr>
        <w:tc>
          <w:tcPr>
            <w:tcW w:w="2270" w:type="dxa"/>
          </w:tcPr>
          <w:p w14:paraId="084E05CE" w14:textId="77777777" w:rsidR="00992815" w:rsidRPr="001B36DA" w:rsidRDefault="00992815" w:rsidP="00B4022F">
            <w:pPr>
              <w:jc w:val="both"/>
              <w:rPr>
                <w:rFonts w:ascii="Verdana" w:eastAsia="Calibri" w:hAnsi="Verdana" w:cs="Arial"/>
                <w:color w:val="000000" w:themeColor="text1"/>
                <w:lang w:val="es-ES_tradnl" w:eastAsia="es-ES_tradnl"/>
              </w:rPr>
            </w:pPr>
            <w:r w:rsidRPr="001B36DA">
              <w:rPr>
                <w:rFonts w:ascii="Verdana" w:eastAsia="Calibri" w:hAnsi="Verdana" w:cs="Arial"/>
                <w:b/>
                <w:color w:val="000000" w:themeColor="text1"/>
                <w:lang w:val="es-ES_tradnl" w:eastAsia="es-ES_tradnl"/>
              </w:rPr>
              <w:t>Temas:</w:t>
            </w:r>
            <w:r w:rsidRPr="001B36DA">
              <w:rPr>
                <w:rFonts w:ascii="Verdana" w:eastAsia="Calibri" w:hAnsi="Verdana" w:cs="Arial"/>
                <w:color w:val="000000" w:themeColor="text1"/>
                <w:lang w:val="es-ES_tradnl" w:eastAsia="es-ES_tradnl"/>
              </w:rPr>
              <w:t xml:space="preserve">                   </w:t>
            </w:r>
          </w:p>
        </w:tc>
        <w:tc>
          <w:tcPr>
            <w:tcW w:w="6547" w:type="dxa"/>
          </w:tcPr>
          <w:p w14:paraId="344171D9" w14:textId="77777777" w:rsidR="00992815" w:rsidRDefault="00992815" w:rsidP="00B4022F">
            <w:pPr>
              <w:jc w:val="both"/>
              <w:rPr>
                <w:rFonts w:ascii="Verdana" w:eastAsia="Calibri" w:hAnsi="Verdana" w:cs="Arial"/>
                <w:bCs/>
                <w:lang w:val="es-ES_tradnl" w:eastAsia="es-ES_tradnl"/>
              </w:rPr>
            </w:pPr>
            <w:r w:rsidRPr="00FE10F1">
              <w:rPr>
                <w:rFonts w:ascii="Verdana" w:eastAsia="Calibri" w:hAnsi="Verdana" w:cs="Arial"/>
                <w:bCs/>
                <w:lang w:val="es-ES_tradnl" w:eastAsia="es-ES_tradnl"/>
              </w:rPr>
              <w:t>SOCIEDADES NUEVAS ‒ Experiencia ‒ Inferior a tres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os ‒ Requisitos habilitantes / EXPERIENCIA ‒ Conservaci</w:t>
            </w:r>
            <w:r w:rsidRPr="00FE10F1">
              <w:rPr>
                <w:rFonts w:ascii="Verdana" w:eastAsia="Calibri" w:hAnsi="Verdana" w:cs="Century Gothic"/>
                <w:bCs/>
                <w:lang w:val="es-ES_tradnl" w:eastAsia="es-ES_tradnl"/>
              </w:rPr>
              <w:t>ó</w:t>
            </w:r>
            <w:r w:rsidRPr="00FE10F1">
              <w:rPr>
                <w:rFonts w:ascii="Verdana" w:eastAsia="Calibri" w:hAnsi="Verdana" w:cs="Arial"/>
                <w:bCs/>
                <w:lang w:val="es-ES_tradnl" w:eastAsia="es-ES_tradnl"/>
              </w:rPr>
              <w:t>n</w:t>
            </w:r>
            <w:r>
              <w:rPr>
                <w:rFonts w:ascii="Verdana" w:eastAsia="Calibri" w:hAnsi="Verdana" w:cs="Arial"/>
                <w:bCs/>
                <w:lang w:val="es-ES_tradnl" w:eastAsia="es-ES_tradnl"/>
              </w:rPr>
              <w:t xml:space="preserve"> </w:t>
            </w:r>
            <w:r w:rsidRPr="00FE10F1">
              <w:rPr>
                <w:rFonts w:ascii="Verdana" w:eastAsia="Calibri" w:hAnsi="Verdana" w:cs="Arial"/>
                <w:bCs/>
                <w:lang w:val="es-ES_tradnl" w:eastAsia="es-ES_tradnl"/>
              </w:rPr>
              <w:t>‒</w:t>
            </w:r>
            <w:r>
              <w:rPr>
                <w:rFonts w:ascii="Verdana" w:eastAsia="Calibri" w:hAnsi="Verdana" w:cs="Arial"/>
                <w:bCs/>
                <w:lang w:val="es-ES_tradnl" w:eastAsia="es-ES_tradnl"/>
              </w:rPr>
              <w:t xml:space="preserve"> Renovación RUP</w:t>
            </w:r>
            <w:r w:rsidRPr="00FE10F1">
              <w:rPr>
                <w:rFonts w:ascii="Verdana" w:eastAsia="Calibri" w:hAnsi="Verdana" w:cs="Arial"/>
                <w:bCs/>
                <w:lang w:val="es-ES_tradnl" w:eastAsia="es-ES_tradnl"/>
              </w:rPr>
              <w:t xml:space="preserve"> / EXPERIENCIA </w:t>
            </w:r>
            <w:r w:rsidRPr="00FE10F1">
              <w:rPr>
                <w:rFonts w:ascii="Verdana" w:eastAsia="Calibri" w:hAnsi="Verdana" w:cs="Century Gothic"/>
                <w:bCs/>
                <w:lang w:val="es-ES_tradnl" w:eastAsia="es-ES_tradnl"/>
              </w:rPr>
              <w:t>−</w:t>
            </w:r>
            <w:r w:rsidRPr="00FE10F1">
              <w:rPr>
                <w:rFonts w:ascii="Verdana" w:eastAsia="Calibri" w:hAnsi="Verdana" w:cs="Arial"/>
                <w:bCs/>
                <w:lang w:val="es-ES_tradnl" w:eastAsia="es-ES_tradnl"/>
              </w:rPr>
              <w:t xml:space="preserve"> Sociedades </w:t>
            </w:r>
            <w:r w:rsidRPr="00FE10F1">
              <w:rPr>
                <w:rFonts w:ascii="Verdana" w:eastAsia="Calibri" w:hAnsi="Verdana" w:cs="Century Gothic"/>
                <w:bCs/>
                <w:lang w:val="es-ES_tradnl" w:eastAsia="es-ES_tradnl"/>
              </w:rPr>
              <w:t>–</w:t>
            </w:r>
            <w:r w:rsidRPr="00FE10F1">
              <w:rPr>
                <w:rFonts w:ascii="Verdana" w:eastAsia="Calibri" w:hAnsi="Verdana" w:cs="Arial"/>
                <w:bCs/>
                <w:lang w:val="es-ES_tradnl" w:eastAsia="es-ES_tradnl"/>
              </w:rPr>
              <w:t xml:space="preserve"> Menor a 3 a</w:t>
            </w:r>
            <w:r w:rsidRPr="00FE10F1">
              <w:rPr>
                <w:rFonts w:ascii="Verdana" w:eastAsia="Calibri" w:hAnsi="Verdana" w:cs="Century Gothic"/>
                <w:bCs/>
                <w:lang w:val="es-ES_tradnl" w:eastAsia="es-ES_tradnl"/>
              </w:rPr>
              <w:t>ñ</w:t>
            </w:r>
            <w:r w:rsidRPr="00FE10F1">
              <w:rPr>
                <w:rFonts w:ascii="Verdana" w:eastAsia="Calibri" w:hAnsi="Verdana" w:cs="Arial"/>
                <w:bCs/>
                <w:lang w:val="es-ES_tradnl" w:eastAsia="es-ES_tradnl"/>
              </w:rPr>
              <w:t>os de constituci</w:t>
            </w:r>
            <w:r w:rsidRPr="00FE10F1">
              <w:rPr>
                <w:rFonts w:ascii="Verdana" w:eastAsia="Calibri" w:hAnsi="Verdana" w:cs="Century Gothic"/>
                <w:bCs/>
                <w:lang w:val="es-ES_tradnl" w:eastAsia="es-ES_tradnl"/>
              </w:rPr>
              <w:t>ó</w:t>
            </w:r>
            <w:r w:rsidRPr="00FE10F1">
              <w:rPr>
                <w:rFonts w:ascii="Verdana" w:eastAsia="Calibri" w:hAnsi="Verdana" w:cs="Arial"/>
                <w:bCs/>
                <w:lang w:val="es-ES_tradnl" w:eastAsia="es-ES_tradnl"/>
              </w:rPr>
              <w:t xml:space="preserve">n </w:t>
            </w:r>
            <w:r>
              <w:rPr>
                <w:rFonts w:ascii="Verdana" w:eastAsia="Calibri" w:hAnsi="Verdana" w:cs="Arial"/>
                <w:bCs/>
                <w:lang w:val="es-ES_tradnl" w:eastAsia="es-ES_tradnl"/>
              </w:rPr>
              <w:t xml:space="preserve">/ </w:t>
            </w:r>
            <w:r w:rsidRPr="008B3958">
              <w:rPr>
                <w:rFonts w:ascii="Verdana" w:eastAsia="Calibri" w:hAnsi="Verdana" w:cs="Arial"/>
                <w:bCs/>
                <w:lang w:val="es-ES_tradnl" w:eastAsia="es-ES_tradnl"/>
              </w:rPr>
              <w:t>EXPERIENCIA - conexidad con su objeto social</w:t>
            </w:r>
            <w:r>
              <w:rPr>
                <w:rFonts w:ascii="Verdana" w:eastAsia="Calibri" w:hAnsi="Verdana" w:cs="Arial"/>
                <w:bCs/>
                <w:lang w:val="es-ES_tradnl" w:eastAsia="es-ES_tradnl"/>
              </w:rPr>
              <w:t>.</w:t>
            </w:r>
          </w:p>
          <w:p w14:paraId="4DB96CA5" w14:textId="77777777" w:rsidR="00992815" w:rsidRPr="00103B36" w:rsidRDefault="00992815" w:rsidP="00B4022F">
            <w:pPr>
              <w:spacing w:line="276" w:lineRule="auto"/>
              <w:jc w:val="both"/>
              <w:rPr>
                <w:rFonts w:ascii="Verdana" w:eastAsia="Calibri" w:hAnsi="Verdana" w:cs="Arial"/>
                <w:color w:val="000000" w:themeColor="text1"/>
                <w:highlight w:val="yellow"/>
                <w:lang w:val="es-ES" w:eastAsia="es-ES"/>
              </w:rPr>
            </w:pPr>
            <w:r w:rsidRPr="00A272D1">
              <w:rPr>
                <w:rFonts w:ascii="Verdana" w:eastAsia="Calibri" w:hAnsi="Verdana" w:cs="Arial"/>
                <w:lang w:val="es-MX"/>
              </w:rPr>
              <w:t xml:space="preserve"> </w:t>
            </w:r>
          </w:p>
        </w:tc>
      </w:tr>
      <w:tr w:rsidR="00992815" w:rsidRPr="00115E3D" w14:paraId="70B259EA" w14:textId="77777777" w:rsidTr="00B4022F">
        <w:trPr>
          <w:trHeight w:val="653"/>
        </w:trPr>
        <w:tc>
          <w:tcPr>
            <w:tcW w:w="2270" w:type="dxa"/>
          </w:tcPr>
          <w:p w14:paraId="0BCF7381" w14:textId="77777777" w:rsidR="00992815" w:rsidRPr="00CB7ABE" w:rsidRDefault="00992815" w:rsidP="00B4022F">
            <w:pPr>
              <w:jc w:val="both"/>
              <w:rPr>
                <w:rFonts w:ascii="Verdana" w:eastAsia="Calibri" w:hAnsi="Verdana" w:cs="Arial"/>
                <w:b/>
                <w:color w:val="000000" w:themeColor="text1"/>
                <w:lang w:val="es-ES_tradnl" w:eastAsia="es-ES_tradnl"/>
              </w:rPr>
            </w:pPr>
            <w:r w:rsidRPr="00CB7ABE">
              <w:rPr>
                <w:rFonts w:ascii="Verdana" w:eastAsia="Calibri" w:hAnsi="Verdana" w:cs="Arial"/>
                <w:b/>
                <w:color w:val="000000" w:themeColor="text1"/>
                <w:lang w:val="es-ES_tradnl" w:eastAsia="es-ES_tradnl"/>
              </w:rPr>
              <w:t>Radicación:</w:t>
            </w:r>
            <w:r w:rsidRPr="00CB7ABE">
              <w:rPr>
                <w:rFonts w:ascii="Verdana" w:eastAsia="Calibri" w:hAnsi="Verdana" w:cs="Arial"/>
                <w:color w:val="000000" w:themeColor="text1"/>
                <w:lang w:val="es-ES_tradnl" w:eastAsia="es-ES_tradnl"/>
              </w:rPr>
              <w:t xml:space="preserve">           </w:t>
            </w:r>
          </w:p>
        </w:tc>
        <w:tc>
          <w:tcPr>
            <w:tcW w:w="6547" w:type="dxa"/>
          </w:tcPr>
          <w:p w14:paraId="308EC899" w14:textId="77777777" w:rsidR="00992815" w:rsidRPr="00CB7ABE" w:rsidRDefault="00992815" w:rsidP="00B4022F">
            <w:pPr>
              <w:ind w:right="1"/>
              <w:jc w:val="both"/>
              <w:rPr>
                <w:rFonts w:ascii="Verdana" w:hAnsi="Verdana"/>
                <w:color w:val="000000"/>
              </w:rPr>
            </w:pPr>
            <w:r w:rsidRPr="00CB7ABE">
              <w:rPr>
                <w:rFonts w:ascii="Verdana" w:eastAsia="Calibri" w:hAnsi="Verdana" w:cs="Arial"/>
                <w:color w:val="000000" w:themeColor="text1"/>
                <w:lang w:val="es-ES_tradnl" w:eastAsia="es-ES_tradnl"/>
              </w:rPr>
              <w:t>Respuesta a consulta con radicado</w:t>
            </w:r>
            <w:r>
              <w:rPr>
                <w:rFonts w:ascii="Verdana" w:eastAsia="Calibri" w:hAnsi="Verdana" w:cs="Arial"/>
                <w:color w:val="000000" w:themeColor="text1"/>
                <w:lang w:val="es-ES_tradnl" w:eastAsia="es-ES_tradnl"/>
              </w:rPr>
              <w:t xml:space="preserve"> N.º </w:t>
            </w:r>
            <w:r w:rsidRPr="00552511">
              <w:rPr>
                <w:rFonts w:ascii="Verdana" w:eastAsia="Calibri" w:hAnsi="Verdana" w:cs="Arial"/>
                <w:color w:val="000000" w:themeColor="text1"/>
                <w:lang w:val="es-ES_tradnl" w:eastAsia="es-ES_tradnl"/>
              </w:rPr>
              <w:t>1_2026_05_12_006459</w:t>
            </w:r>
            <w:r>
              <w:rPr>
                <w:rFonts w:ascii="Verdana" w:eastAsia="Calibri" w:hAnsi="Verdana" w:cs="Arial"/>
                <w:color w:val="000000" w:themeColor="text1"/>
                <w:lang w:val="es-ES_tradnl" w:eastAsia="es-ES_tradnl"/>
              </w:rPr>
              <w:t>.</w:t>
            </w:r>
          </w:p>
        </w:tc>
      </w:tr>
      <w:tr w:rsidR="00992815" w:rsidRPr="00115E3D" w14:paraId="242EBE63" w14:textId="77777777" w:rsidTr="00B4022F">
        <w:trPr>
          <w:trHeight w:val="278"/>
        </w:trPr>
        <w:tc>
          <w:tcPr>
            <w:tcW w:w="2270" w:type="dxa"/>
          </w:tcPr>
          <w:p w14:paraId="05305907" w14:textId="77777777" w:rsidR="00992815" w:rsidRPr="00CB7ABE" w:rsidRDefault="00992815" w:rsidP="00B4022F">
            <w:pPr>
              <w:jc w:val="both"/>
              <w:rPr>
                <w:rFonts w:ascii="Verdana" w:eastAsia="Calibri" w:hAnsi="Verdana" w:cs="Arial"/>
                <w:b/>
                <w:color w:val="000000" w:themeColor="text1"/>
                <w:lang w:val="es-ES_tradnl" w:eastAsia="es-ES_tradnl"/>
              </w:rPr>
            </w:pPr>
          </w:p>
        </w:tc>
        <w:tc>
          <w:tcPr>
            <w:tcW w:w="6547" w:type="dxa"/>
          </w:tcPr>
          <w:p w14:paraId="2AD40E20" w14:textId="77777777" w:rsidR="00992815" w:rsidRPr="00CB7ABE" w:rsidRDefault="00992815" w:rsidP="00B4022F">
            <w:pPr>
              <w:ind w:right="1"/>
              <w:jc w:val="both"/>
              <w:rPr>
                <w:rFonts w:ascii="Verdana" w:eastAsia="Calibri" w:hAnsi="Verdana" w:cs="Arial"/>
                <w:color w:val="000000" w:themeColor="text1"/>
                <w:lang w:val="es-ES_tradnl" w:eastAsia="es-ES_tradnl"/>
              </w:rPr>
            </w:pPr>
          </w:p>
        </w:tc>
      </w:tr>
    </w:tbl>
    <w:p w14:paraId="304AB0DC" w14:textId="77777777" w:rsidR="00992815" w:rsidRPr="00115E3D" w:rsidRDefault="00992815" w:rsidP="00992815">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w:t>
      </w:r>
      <w:r w:rsidRPr="00115E3D">
        <w:rPr>
          <w:rFonts w:ascii="Verdana" w:eastAsia="Calibri" w:hAnsi="Verdana" w:cs="Arial"/>
          <w:color w:val="000000" w:themeColor="text1"/>
          <w:lang w:val="es-ES" w:eastAsia="es-ES"/>
        </w:rPr>
        <w:t>stimad</w:t>
      </w:r>
      <w:r>
        <w:rPr>
          <w:rFonts w:ascii="Verdana" w:eastAsia="Calibri" w:hAnsi="Verdana" w:cs="Arial"/>
          <w:color w:val="000000" w:themeColor="text1"/>
          <w:lang w:val="es-ES" w:eastAsia="es-ES"/>
        </w:rPr>
        <w:t xml:space="preserve">a </w:t>
      </w:r>
      <w:r w:rsidRPr="00115E3D">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 Moreno;</w:t>
      </w:r>
    </w:p>
    <w:p w14:paraId="3C6FBA0B" w14:textId="77777777" w:rsidR="00992815" w:rsidRPr="00115E3D" w:rsidRDefault="00992815" w:rsidP="00992815">
      <w:pPr>
        <w:tabs>
          <w:tab w:val="left" w:pos="3768"/>
        </w:tabs>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ab/>
      </w:r>
    </w:p>
    <w:p w14:paraId="254114D6" w14:textId="77777777" w:rsidR="00992815" w:rsidRPr="00115E3D" w:rsidRDefault="00992815" w:rsidP="00992815">
      <w:pPr>
        <w:spacing w:after="0" w:line="276" w:lineRule="auto"/>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En ejercicio de la competencia otorgada por los artículos 3, numeral 5º, y 11, numeral 8º, del Decreto Ley 4170 de 2011,</w:t>
      </w:r>
      <w:r w:rsidRPr="00115E3D">
        <w:rPr>
          <w:rFonts w:ascii="Verdana" w:eastAsia="Arial MT" w:hAnsi="Verdana" w:cs="Arial MT"/>
          <w:color w:val="000000" w:themeColor="text1"/>
          <w:lang w:val="es-ES" w:eastAsia="es-ES"/>
        </w:rPr>
        <w:t xml:space="preserve"> </w:t>
      </w:r>
      <w:r w:rsidRPr="00115E3D">
        <w:rPr>
          <w:rFonts w:ascii="Verdana" w:hAnsi="Verdana" w:cs="Arial"/>
          <w:color w:val="000000" w:themeColor="text1"/>
        </w:rPr>
        <w:t xml:space="preserve">así como lo establecido en el artículo 4 de la Resolución 1707 de 2018 expedida por esta Entidad, </w:t>
      </w:r>
      <w:r w:rsidRPr="00115E3D">
        <w:rPr>
          <w:rFonts w:ascii="Verdana" w:eastAsia="Calibri" w:hAnsi="Verdana" w:cs="Arial"/>
          <w:color w:val="000000" w:themeColor="text1"/>
          <w:lang w:val="es-ES" w:eastAsia="es-ES"/>
        </w:rPr>
        <w:t>la Agencia Nacional de Contratación Pública – Colombia Compra Eficiente– responde</w:t>
      </w:r>
      <w:r>
        <w:rPr>
          <w:rFonts w:ascii="Verdana" w:eastAsia="Calibri" w:hAnsi="Verdana" w:cs="Arial"/>
          <w:color w:val="000000" w:themeColor="text1"/>
          <w:lang w:val="es-ES" w:eastAsia="es-ES"/>
        </w:rPr>
        <w:t xml:space="preserve"> a su solicitud  radicada ante esta entidad el 12 de mayo de 2026 </w:t>
      </w:r>
      <w:r w:rsidRPr="00115E3D">
        <w:rPr>
          <w:rFonts w:ascii="Verdana" w:eastAsia="Calibri" w:hAnsi="Verdana" w:cs="Arial"/>
          <w:color w:val="000000" w:themeColor="text1"/>
          <w:lang w:val="es-ES" w:eastAsia="es-ES"/>
        </w:rPr>
        <w:t xml:space="preserve">en la cual manifiesta lo siguiente: </w:t>
      </w:r>
    </w:p>
    <w:p w14:paraId="4CC90B3E" w14:textId="77777777" w:rsidR="00992815" w:rsidRDefault="00992815" w:rsidP="00992815">
      <w:pPr>
        <w:spacing w:after="0" w:line="240" w:lineRule="auto"/>
        <w:ind w:left="709" w:right="709"/>
        <w:jc w:val="both"/>
        <w:rPr>
          <w:rFonts w:ascii="Verdana" w:eastAsia="Century Gothic" w:hAnsi="Verdana" w:cs="Century Gothic"/>
          <w:i/>
          <w:iCs/>
          <w:color w:val="000000" w:themeColor="text1"/>
          <w:sz w:val="20"/>
          <w:szCs w:val="20"/>
          <w:lang w:val="es-ES"/>
        </w:rPr>
      </w:pPr>
      <w:bookmarkStart w:id="1" w:name="_Hlk95313578"/>
    </w:p>
    <w:bookmarkEnd w:id="1"/>
    <w:p w14:paraId="57C11786" w14:textId="77777777" w:rsidR="00992815" w:rsidRPr="008202F6" w:rsidRDefault="00992815" w:rsidP="00992815">
      <w:pPr>
        <w:spacing w:after="0" w:line="240" w:lineRule="auto"/>
        <w:ind w:left="567" w:right="333"/>
        <w:jc w:val="both"/>
        <w:rPr>
          <w:rFonts w:ascii="Verdana" w:eastAsia="Century Gothic" w:hAnsi="Verdana" w:cs="Century Gothic"/>
          <w:i/>
          <w:iCs/>
          <w:color w:val="000000" w:themeColor="text1"/>
          <w:sz w:val="20"/>
          <w:szCs w:val="20"/>
          <w:lang w:val="es-ES"/>
        </w:rPr>
      </w:pPr>
      <w:r w:rsidRPr="00104557">
        <w:rPr>
          <w:rFonts w:ascii="Verdana" w:eastAsia="Century Gothic" w:hAnsi="Verdana" w:cs="Century Gothic"/>
          <w:i/>
          <w:iCs/>
          <w:color w:val="000000" w:themeColor="text1"/>
          <w:sz w:val="20"/>
          <w:szCs w:val="20"/>
          <w:lang w:val="es-ES"/>
        </w:rPr>
        <w:t>“</w:t>
      </w:r>
      <w:r>
        <w:rPr>
          <w:rFonts w:ascii="Verdana" w:eastAsia="Century Gothic" w:hAnsi="Verdana" w:cs="Century Gothic"/>
          <w:i/>
          <w:iCs/>
          <w:color w:val="000000" w:themeColor="text1"/>
          <w:sz w:val="20"/>
          <w:szCs w:val="20"/>
        </w:rPr>
        <w:t>M</w:t>
      </w:r>
      <w:r w:rsidRPr="00552511">
        <w:rPr>
          <w:rFonts w:ascii="Verdana" w:eastAsia="Century Gothic" w:hAnsi="Verdana" w:cs="Century Gothic"/>
          <w:i/>
          <w:iCs/>
          <w:color w:val="000000" w:themeColor="text1"/>
          <w:sz w:val="20"/>
          <w:szCs w:val="20"/>
        </w:rPr>
        <w:t>e dirijo respetuosamente ante usted con el fin de presentar la siguiente solicitud de aclaración de concepto frente a una situación que se viene presentando en varias entidades públicas, en relación con la interpretación de la regla contenida en el numeral 2.5 del artículo 2.2.1.1.1.5.2 del Decreto 1082 de 2025 y el alcance del Concepto C – 218 de 2024 y en el concepto C – 424 – 2024, con base en los siguientes</w:t>
      </w:r>
      <w:r>
        <w:rPr>
          <w:rFonts w:ascii="Verdana" w:eastAsia="Century Gothic" w:hAnsi="Verdana" w:cs="Century Gothic"/>
          <w:i/>
          <w:iCs/>
          <w:color w:val="000000" w:themeColor="text1"/>
          <w:sz w:val="20"/>
          <w:szCs w:val="20"/>
        </w:rPr>
        <w:t>:</w:t>
      </w:r>
    </w:p>
    <w:p w14:paraId="25B04CE4"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77829F2A"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E</w:t>
      </w:r>
      <w:r w:rsidRPr="00D47EA7">
        <w:rPr>
          <w:rFonts w:ascii="Verdana" w:eastAsia="Century Gothic" w:hAnsi="Verdana" w:cs="Century Gothic"/>
          <w:i/>
          <w:iCs/>
          <w:color w:val="000000" w:themeColor="text1"/>
          <w:sz w:val="20"/>
          <w:szCs w:val="20"/>
        </w:rPr>
        <w:t>l concepto C – 218 de 2024 la agencia Nacional para la contratación pública – Colombia compra eficiente señalo entre otras cosas</w:t>
      </w:r>
      <w:r>
        <w:rPr>
          <w:rFonts w:ascii="Verdana" w:eastAsia="Century Gothic" w:hAnsi="Verdana" w:cs="Century Gothic"/>
          <w:i/>
          <w:iCs/>
          <w:color w:val="000000" w:themeColor="text1"/>
          <w:sz w:val="20"/>
          <w:szCs w:val="20"/>
        </w:rPr>
        <w:t>:</w:t>
      </w:r>
      <w:r w:rsidRPr="00D47EA7">
        <w:rPr>
          <w:rFonts w:ascii="Verdana" w:eastAsia="Century Gothic" w:hAnsi="Verdana" w:cs="Century Gothic"/>
          <w:i/>
          <w:iCs/>
          <w:color w:val="000000" w:themeColor="text1"/>
          <w:sz w:val="20"/>
          <w:szCs w:val="20"/>
        </w:rPr>
        <w:t xml:space="preserve"> </w:t>
      </w:r>
    </w:p>
    <w:p w14:paraId="69211461"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3517AC79"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i/>
          <w:iCs/>
          <w:color w:val="000000" w:themeColor="text1"/>
          <w:sz w:val="20"/>
          <w:szCs w:val="20"/>
        </w:rPr>
        <w:t>“EXPERIENCIA – Transferencia – Accionistas, socios o constituyentes – Decreto 1082 de 2015 La parte final del numeral 2.5 del artículo 2.2.1.1.1.5.2. del Decreto 1082 de 2015 incluye una medida diferenciada para las personas jurídicas cuya constitución sea menor a 3 años al momento del registro. Esta prerrogativa, que puede ser entendida como de fomento a la participación de los oferentes en la contratación estatal, permite que las sociedades relativamente nuevas ─con menos de 3 años de constitución─ puedan acreditar como experiencia en el RUP la de sus accionistas, socios o constituyentes. A pesar de que la experiencia es inherente a la persona que la ha obtenido, razón por la cual es intransferible en virtud de su carácter personalísimo, por disposición legal o reglamentaria, en casos excepcionales, como el descrito por el artículo mencionado, se permite hacerlo. […] 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su experiencia a la sociedad de la que es parte, para que ésta, como persona jurídica independiente, cumpla los requisitos habilitantes o puntuables que establezcan las entidades estatales en sus procesos de contratación, y de esta forma promover el desarrollo de la empresa y la pluralidad de oferentes en la contratación pública</w:t>
      </w:r>
    </w:p>
    <w:p w14:paraId="684072A0"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0B7A47B5"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i/>
          <w:iCs/>
          <w:color w:val="000000" w:themeColor="text1"/>
          <w:sz w:val="20"/>
          <w:szCs w:val="20"/>
        </w:rPr>
        <w:t xml:space="preserve">Así mismo en el concepto C – 424 – 2024, la agencia Nacional para la contratación pública – Colombia compra eficiente señalo entre otras cosas “Así mismo, el Decreto 092 de 2017 en su artículo 8 dispone la aplicación residual de las normas generales aplicables a la contratación pública. Por lo anterior, las ESAL de reciente creación pueden aportar la experiencia de sus fundadores. Así mismo las ESAL que cuentan con una forma de organización de subordinada de una matriz internacional o grupo vinculado de entidades sin ánimo de lucro con subordinación funcional, pueden a su vez, aportar la documentación relacionada con la experiencia de esa matriz”. </w:t>
      </w:r>
    </w:p>
    <w:p w14:paraId="6D1DAD96"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26995498" w14:textId="306DC243"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i/>
          <w:iCs/>
          <w:color w:val="000000" w:themeColor="text1"/>
          <w:sz w:val="20"/>
          <w:szCs w:val="20"/>
        </w:rPr>
        <w:t xml:space="preserve">Con base a esta norma y a la interpretación extensiva de los contenidos argumentativos contenidos en los C – 218 – 2024 y C – 424 de 2024, varias entidades </w:t>
      </w:r>
      <w:r w:rsidR="007E2E07" w:rsidRPr="00D47EA7">
        <w:rPr>
          <w:rFonts w:ascii="Verdana" w:eastAsia="Century Gothic" w:hAnsi="Verdana" w:cs="Century Gothic"/>
          <w:i/>
          <w:iCs/>
          <w:color w:val="000000" w:themeColor="text1"/>
          <w:sz w:val="20"/>
          <w:szCs w:val="20"/>
        </w:rPr>
        <w:t>públicas</w:t>
      </w:r>
      <w:r w:rsidRPr="00D47EA7">
        <w:rPr>
          <w:rFonts w:ascii="Verdana" w:eastAsia="Century Gothic" w:hAnsi="Verdana" w:cs="Century Gothic"/>
          <w:i/>
          <w:iCs/>
          <w:color w:val="000000" w:themeColor="text1"/>
          <w:sz w:val="20"/>
          <w:szCs w:val="20"/>
        </w:rPr>
        <w:t xml:space="preserve"> han avalado en procesos de mínima cuantía y en procesos de régimen especial que los proponentes acrediten válidamente experiencia de sus asociados o socios fundadores, para ser habilitado en dichos procesos, sin siguiera verificar si el objeto social de la sociedad, tiene coherencia con la experiencia del asociado y en algunos casos sin que el asociado o socio fundador, ni la sociedad tengan si quiera registro único de proponentes, situación que se ha venido presentado igualmente en la conformación de uniones temporales y consorcios en donde algunas entidades han avalado para </w:t>
      </w:r>
      <w:r w:rsidRPr="00D47EA7">
        <w:rPr>
          <w:rFonts w:ascii="Verdana" w:eastAsia="Century Gothic" w:hAnsi="Verdana" w:cs="Century Gothic"/>
          <w:i/>
          <w:iCs/>
          <w:color w:val="000000" w:themeColor="text1"/>
          <w:sz w:val="20"/>
          <w:szCs w:val="20"/>
        </w:rPr>
        <w:lastRenderedPageBreak/>
        <w:t xml:space="preserve">procesos de licitación pública y selección abreviada la participación de consorciados o asociados a la unión temporal que no cuentan con RUP pero que tienen o acreditan la experiencia general o especifica solicitada en las convocatorias en una clara violación a lo establecido en el artículo 5° de la ley 1150 de 2007. </w:t>
      </w:r>
    </w:p>
    <w:p w14:paraId="634F23DB"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6E1F8430"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i/>
          <w:iCs/>
          <w:color w:val="000000" w:themeColor="text1"/>
          <w:sz w:val="20"/>
          <w:szCs w:val="20"/>
        </w:rPr>
        <w:t xml:space="preserve">En otros procesos en donde participan S.A.S y S.A de mínima cuantía o de régimen especial como los establecidos para instituciones de educación superior se viene presentando esta situación, abusando de la irresponsabilidad relativa de los socios de las sociedades anónimas frente a inhabilidades o incompatibilidades argumentando que la experiencia se acredita como socio de la empresa y no como persona natural o jurídica y avalando la acreditación de experiencia de socios con posibles conflictos de interés o presuntamente inmersos en causales de inhabilidad o incompatibilidad. </w:t>
      </w:r>
    </w:p>
    <w:p w14:paraId="4A1F1A66"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2644A9BA" w14:textId="77777777" w:rsidR="00992815"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Pr>
          <w:rFonts w:ascii="Verdana" w:eastAsia="Century Gothic" w:hAnsi="Verdana" w:cs="Century Gothic"/>
          <w:i/>
          <w:iCs/>
          <w:color w:val="000000" w:themeColor="text1"/>
          <w:sz w:val="20"/>
          <w:szCs w:val="20"/>
        </w:rPr>
        <w:t>R</w:t>
      </w:r>
      <w:r w:rsidRPr="00D47EA7">
        <w:rPr>
          <w:rFonts w:ascii="Verdana" w:eastAsia="Century Gothic" w:hAnsi="Verdana" w:cs="Century Gothic"/>
          <w:i/>
          <w:iCs/>
          <w:color w:val="000000" w:themeColor="text1"/>
          <w:sz w:val="20"/>
          <w:szCs w:val="20"/>
        </w:rPr>
        <w:t xml:space="preserve">espetuosamente acudimos a usted para que en ejercicio de la competencia otorgada por los artículos 3, numeral 5º, y 11, numeral 8º, del Decreto Ley 4170 de 2011, así como lo establecido en el artículo 4 de la Resolución 1707 de 2018, aclare los siguientes interrogantes: </w:t>
      </w:r>
    </w:p>
    <w:p w14:paraId="333002E9"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p>
    <w:p w14:paraId="53EC8347" w14:textId="2127548A"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b/>
          <w:bCs/>
          <w:i/>
          <w:iCs/>
          <w:color w:val="000000" w:themeColor="text1"/>
          <w:sz w:val="20"/>
          <w:szCs w:val="20"/>
        </w:rPr>
        <w:t xml:space="preserve">PRIMERO: </w:t>
      </w:r>
      <w:r w:rsidRPr="00D47EA7">
        <w:rPr>
          <w:rFonts w:ascii="Verdana" w:eastAsia="Century Gothic" w:hAnsi="Verdana" w:cs="Century Gothic"/>
          <w:i/>
          <w:iCs/>
          <w:color w:val="000000" w:themeColor="text1"/>
          <w:sz w:val="20"/>
          <w:szCs w:val="20"/>
        </w:rPr>
        <w:t xml:space="preserve">Es valido que una entidad </w:t>
      </w:r>
      <w:r w:rsidR="007E2E07" w:rsidRPr="00D47EA7">
        <w:rPr>
          <w:rFonts w:ascii="Verdana" w:eastAsia="Century Gothic" w:hAnsi="Verdana" w:cs="Century Gothic"/>
          <w:i/>
          <w:iCs/>
          <w:color w:val="000000" w:themeColor="text1"/>
          <w:sz w:val="20"/>
          <w:szCs w:val="20"/>
        </w:rPr>
        <w:t>pública</w:t>
      </w:r>
      <w:r w:rsidRPr="00D47EA7">
        <w:rPr>
          <w:rFonts w:ascii="Verdana" w:eastAsia="Century Gothic" w:hAnsi="Verdana" w:cs="Century Gothic"/>
          <w:i/>
          <w:iCs/>
          <w:color w:val="000000" w:themeColor="text1"/>
          <w:sz w:val="20"/>
          <w:szCs w:val="20"/>
        </w:rPr>
        <w:t xml:space="preserve"> en procesos de mínima cuantía avale la experiencia de los socios o miembros fundadores de una empresa, quienes no cuenta con RUP y sin que la misma empresa cuente con RUP argumentando una aplicación extensiva de lo señalado en los conceptos C – 218 – 2024 y C – 424 de 2024 expedidos por la Agencia Nacional de Contratación pública – Colombia compra eficiente. </w:t>
      </w:r>
    </w:p>
    <w:p w14:paraId="33752471" w14:textId="77777777" w:rsidR="00992815" w:rsidRPr="00D47EA7"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rPr>
      </w:pPr>
      <w:r w:rsidRPr="00D47EA7">
        <w:rPr>
          <w:rFonts w:ascii="Verdana" w:eastAsia="Century Gothic" w:hAnsi="Verdana" w:cs="Century Gothic"/>
          <w:b/>
          <w:bCs/>
          <w:i/>
          <w:iCs/>
          <w:color w:val="000000" w:themeColor="text1"/>
          <w:sz w:val="20"/>
          <w:szCs w:val="20"/>
        </w:rPr>
        <w:t xml:space="preserve">SEGUNDO: </w:t>
      </w:r>
      <w:r w:rsidRPr="00D47EA7">
        <w:rPr>
          <w:rFonts w:ascii="Verdana" w:eastAsia="Century Gothic" w:hAnsi="Verdana" w:cs="Century Gothic"/>
          <w:i/>
          <w:iCs/>
          <w:color w:val="000000" w:themeColor="text1"/>
          <w:sz w:val="20"/>
          <w:szCs w:val="20"/>
        </w:rPr>
        <w:t xml:space="preserve">En caso afirmativo, es válida que las entidades acepten la experiencia acreditada por el socio aun cuando esta no se encuadre dentro del objeto social, como viene ocurriendo en la práctica. </w:t>
      </w:r>
    </w:p>
    <w:p w14:paraId="3003E13D" w14:textId="77777777" w:rsidR="00992815" w:rsidRPr="00A62282" w:rsidRDefault="00992815" w:rsidP="00992815">
      <w:pPr>
        <w:spacing w:after="0" w:line="240" w:lineRule="auto"/>
        <w:ind w:left="567" w:right="333"/>
        <w:contextualSpacing/>
        <w:jc w:val="both"/>
        <w:rPr>
          <w:rFonts w:ascii="Verdana" w:eastAsia="Century Gothic" w:hAnsi="Verdana" w:cs="Century Gothic"/>
          <w:i/>
          <w:iCs/>
          <w:color w:val="000000" w:themeColor="text1"/>
          <w:sz w:val="20"/>
          <w:szCs w:val="20"/>
          <w:lang w:val="es-ES"/>
        </w:rPr>
      </w:pPr>
      <w:r w:rsidRPr="00D47EA7">
        <w:rPr>
          <w:rFonts w:ascii="Verdana" w:eastAsia="Century Gothic" w:hAnsi="Verdana" w:cs="Century Gothic"/>
          <w:b/>
          <w:bCs/>
          <w:i/>
          <w:iCs/>
          <w:color w:val="000000" w:themeColor="text1"/>
          <w:sz w:val="20"/>
          <w:szCs w:val="20"/>
        </w:rPr>
        <w:t xml:space="preserve">TERCERO: </w:t>
      </w:r>
      <w:r w:rsidRPr="00D47EA7">
        <w:rPr>
          <w:rFonts w:ascii="Verdana" w:eastAsia="Century Gothic" w:hAnsi="Verdana" w:cs="Century Gothic"/>
          <w:i/>
          <w:iCs/>
          <w:color w:val="000000" w:themeColor="text1"/>
          <w:sz w:val="20"/>
          <w:szCs w:val="20"/>
        </w:rPr>
        <w:t>Cuales serían las consecuencias de que una entidad adjudicara un proceso a una empresa que no cuenta con RUP, argumentando que la experiencia solicitada fue acreditada por uno de sus socios que tampoco contaba con RUP al momento de la presentación de la propuesta.</w:t>
      </w:r>
      <w:r w:rsidRPr="00A62282">
        <w:rPr>
          <w:rFonts w:ascii="Verdana" w:eastAsia="Century Gothic" w:hAnsi="Verdana" w:cs="Century Gothic"/>
          <w:i/>
          <w:iCs/>
          <w:color w:val="000000" w:themeColor="text1"/>
          <w:sz w:val="20"/>
          <w:szCs w:val="20"/>
          <w:lang w:val="es-MX"/>
        </w:rPr>
        <w:t xml:space="preserve"> “</w:t>
      </w:r>
    </w:p>
    <w:p w14:paraId="1FE4A100" w14:textId="77777777" w:rsidR="00992815" w:rsidRDefault="00992815" w:rsidP="00992815">
      <w:pPr>
        <w:spacing w:after="0" w:line="240" w:lineRule="auto"/>
        <w:ind w:left="709" w:right="709"/>
        <w:jc w:val="both"/>
        <w:rPr>
          <w:rFonts w:ascii="Verdana" w:eastAsia="Century Gothic" w:hAnsi="Verdana" w:cs="Century Gothic"/>
          <w:i/>
          <w:iCs/>
          <w:color w:val="000000" w:themeColor="text1"/>
          <w:sz w:val="20"/>
          <w:szCs w:val="20"/>
          <w:lang w:val="es-ES"/>
        </w:rPr>
      </w:pPr>
    </w:p>
    <w:p w14:paraId="21014D8D" w14:textId="77777777" w:rsidR="00992815" w:rsidRDefault="00992815" w:rsidP="00992815">
      <w:pPr>
        <w:spacing w:after="0" w:line="276" w:lineRule="auto"/>
        <w:ind w:right="51" w:firstLine="709"/>
        <w:jc w:val="both"/>
        <w:rPr>
          <w:rFonts w:ascii="Verdana" w:eastAsia="Calibri" w:hAnsi="Verdana" w:cs="Arial"/>
          <w:color w:val="000000" w:themeColor="text1"/>
          <w:szCs w:val="24"/>
          <w:lang w:val="es-ES_tradnl" w:eastAsia="es-ES_tradnl"/>
        </w:rPr>
      </w:pPr>
      <w:r w:rsidRPr="00115E3D">
        <w:rPr>
          <w:rFonts w:ascii="Verdana" w:eastAsia="Calibri" w:hAnsi="Verdana" w:cs="Arial"/>
          <w:color w:val="000000" w:themeColor="text1"/>
          <w:lang w:val="es-ES" w:eastAsia="es-ES"/>
        </w:rPr>
        <w:t>De manera preliminar, resulta necesario acotar que esta entidad solo tiene competencia para responder consultas sobre la aplicación de normas de carác</w:t>
      </w:r>
      <w:r>
        <w:rPr>
          <w:rFonts w:ascii="Verdana" w:eastAsia="Calibri" w:hAnsi="Verdana" w:cs="Arial"/>
          <w:color w:val="000000" w:themeColor="text1"/>
          <w:lang w:val="es-ES" w:eastAsia="es-ES"/>
        </w:rPr>
        <w:t>t</w:t>
      </w:r>
      <w:r w:rsidRPr="00115E3D">
        <w:rPr>
          <w:rFonts w:ascii="Verdana" w:eastAsia="Calibri" w:hAnsi="Verdana" w:cs="Arial"/>
          <w:color w:val="000000" w:themeColor="text1"/>
          <w:lang w:val="es-ES" w:eastAsia="es-ES"/>
        </w:rPr>
        <w:t xml:space="preserve">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w:t>
      </w:r>
      <w:r w:rsidRPr="00115E3D">
        <w:rPr>
          <w:rFonts w:ascii="Verdana" w:eastAsia="Calibri" w:hAnsi="Verdana" w:cs="Arial"/>
          <w:color w:val="000000" w:themeColor="text1"/>
          <w:lang w:val="es-ES" w:eastAsia="es-ES"/>
        </w:rPr>
        <w:lastRenderedPageBreak/>
        <w:t xml:space="preserve">de 1993 o de los demás participantes de la contratación pública. Esta competencia de interpretación de normas generales, por definición, no puede extenderse a la resolución de controversias, ni a brindar asesorías sobre casos puntuales. </w:t>
      </w:r>
      <w:r w:rsidRPr="00115E3D">
        <w:rPr>
          <w:rFonts w:ascii="Verdana" w:eastAsia="Calibri" w:hAnsi="Verdana" w:cs="Arial"/>
          <w:color w:val="000000" w:themeColor="text1"/>
          <w:szCs w:val="24"/>
          <w:lang w:val="es-ES_tradnl" w:eastAsia="es-ES_tradnl"/>
        </w:rPr>
        <w:tab/>
      </w:r>
    </w:p>
    <w:p w14:paraId="4A08D7D0" w14:textId="77777777" w:rsidR="00992815" w:rsidRPr="00115E3D" w:rsidRDefault="00992815" w:rsidP="00992815">
      <w:pPr>
        <w:spacing w:after="0" w:line="240" w:lineRule="auto"/>
        <w:ind w:right="49"/>
        <w:jc w:val="both"/>
        <w:rPr>
          <w:rFonts w:ascii="Verdana" w:eastAsia="Calibri" w:hAnsi="Verdana" w:cs="Arial"/>
          <w:color w:val="000000" w:themeColor="text1"/>
          <w:szCs w:val="24"/>
          <w:lang w:val="es-ES_tradnl" w:eastAsia="es-ES_tradnl"/>
        </w:rPr>
      </w:pPr>
    </w:p>
    <w:p w14:paraId="504C2C3D" w14:textId="77777777" w:rsidR="00992815" w:rsidRPr="00115E3D" w:rsidRDefault="00992815" w:rsidP="00992815">
      <w:pPr>
        <w:spacing w:after="0" w:line="276" w:lineRule="auto"/>
        <w:ind w:firstLine="709"/>
        <w:jc w:val="both"/>
        <w:rPr>
          <w:rFonts w:ascii="Verdana" w:eastAsia="Calibri" w:hAnsi="Verdana" w:cs="Arial"/>
          <w:color w:val="000000" w:themeColor="text1"/>
          <w:lang w:val="es-ES" w:eastAsia="es-ES"/>
        </w:rPr>
      </w:pPr>
      <w:r w:rsidRPr="00115E3D">
        <w:rPr>
          <w:rFonts w:ascii="Verdana" w:eastAsia="Calibri" w:hAnsi="Verdana" w:cs="Arial"/>
          <w:color w:val="000000" w:themeColor="text1"/>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w:t>
      </w:r>
      <w:r>
        <w:rPr>
          <w:rFonts w:ascii="Verdana" w:eastAsia="Calibri" w:hAnsi="Verdana" w:cs="Arial"/>
          <w:color w:val="000000" w:themeColor="text1"/>
          <w:lang w:val="es-ES" w:eastAsia="es-ES"/>
        </w:rPr>
        <w:t xml:space="preserve"> </w:t>
      </w:r>
      <w:r w:rsidRPr="00115E3D">
        <w:rPr>
          <w:rFonts w:ascii="Verdana" w:eastAsia="Calibri" w:hAnsi="Verdana" w:cs="Arial"/>
          <w:color w:val="000000" w:themeColor="text1"/>
          <w:lang w:val="es-ES" w:eastAsia="es-ES"/>
        </w:rPr>
        <w:t xml:space="preserve">jurídico de su consulta. </w:t>
      </w:r>
    </w:p>
    <w:p w14:paraId="154A0CA9" w14:textId="77777777" w:rsidR="00992815" w:rsidRDefault="00992815" w:rsidP="00992815">
      <w:pPr>
        <w:spacing w:after="0" w:line="276" w:lineRule="auto"/>
        <w:ind w:firstLine="709"/>
        <w:jc w:val="both"/>
        <w:rPr>
          <w:rFonts w:ascii="Verdana" w:eastAsia="Calibri" w:hAnsi="Verdana" w:cs="Arial"/>
          <w:color w:val="000000" w:themeColor="text1"/>
          <w:lang w:val="es-ES" w:eastAsia="es-ES"/>
        </w:rPr>
      </w:pPr>
    </w:p>
    <w:p w14:paraId="54D46378" w14:textId="77777777" w:rsidR="00992815" w:rsidRPr="00115E3D" w:rsidRDefault="00992815" w:rsidP="00992815">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Problema planteado:</w:t>
      </w:r>
    </w:p>
    <w:p w14:paraId="72F8D5A5" w14:textId="77777777" w:rsidR="00992815" w:rsidRPr="00115E3D" w:rsidRDefault="00992815" w:rsidP="00992815">
      <w:pPr>
        <w:tabs>
          <w:tab w:val="left" w:pos="426"/>
        </w:tabs>
        <w:spacing w:after="0" w:line="276" w:lineRule="auto"/>
        <w:jc w:val="both"/>
        <w:rPr>
          <w:rFonts w:ascii="Verdana" w:eastAsia="Century Gothic" w:hAnsi="Verdana" w:cs="Century Gothic"/>
          <w:color w:val="000000" w:themeColor="text1"/>
          <w:lang w:val="es-ES"/>
        </w:rPr>
      </w:pPr>
    </w:p>
    <w:p w14:paraId="4F292017" w14:textId="77777777" w:rsidR="00992815" w:rsidRDefault="00992815" w:rsidP="00992815">
      <w:pPr>
        <w:spacing w:after="0" w:line="276" w:lineRule="auto"/>
        <w:jc w:val="both"/>
        <w:rPr>
          <w:rFonts w:ascii="Verdana" w:eastAsia="Century Gothic" w:hAnsi="Verdana" w:cs="Century Gothic"/>
          <w:color w:val="000000" w:themeColor="text1"/>
        </w:rPr>
      </w:pPr>
      <w:r w:rsidRPr="00115E3D">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 siguiente</w:t>
      </w:r>
      <w:r w:rsidRPr="00115E3D">
        <w:rPr>
          <w:rFonts w:ascii="Verdana" w:eastAsia="Century Gothic" w:hAnsi="Verdana" w:cs="Century Gothic"/>
          <w:color w:val="000000" w:themeColor="text1"/>
        </w:rPr>
        <w:t xml:space="preserve"> problema jurídico:</w:t>
      </w:r>
      <w:r>
        <w:rPr>
          <w:rFonts w:ascii="Verdana" w:eastAsia="Century Gothic" w:hAnsi="Verdana" w:cs="Century Gothic"/>
          <w:color w:val="000000" w:themeColor="text1"/>
        </w:rPr>
        <w:t xml:space="preserve"> </w:t>
      </w:r>
      <w:r w:rsidRPr="003D038F">
        <w:rPr>
          <w:rFonts w:ascii="Verdana" w:eastAsia="Century Gothic" w:hAnsi="Verdana" w:cs="Century Gothic"/>
          <w:color w:val="000000" w:themeColor="text1"/>
        </w:rPr>
        <w:t>¿</w:t>
      </w:r>
      <w:r w:rsidRPr="009171F4">
        <w:rPr>
          <w:rFonts w:ascii="Verdana" w:eastAsia="Century Gothic" w:hAnsi="Verdana" w:cs="Century Gothic"/>
          <w:color w:val="000000" w:themeColor="text1"/>
        </w:rPr>
        <w:t>Es jurídicamente procedente que las entidades estatales, en procesos de mínima cuantía, régimen especial o selección regida por el Estatuto General de Contratación, habiliten o evalúen proponentes que acreditan la experiencia de sus socios o accionistas sin que esta repose en el RUP cuando este es exigible?</w:t>
      </w:r>
    </w:p>
    <w:p w14:paraId="77C0E3A6" w14:textId="77777777" w:rsidR="00992815" w:rsidRDefault="00992815" w:rsidP="00992815">
      <w:pPr>
        <w:spacing w:after="0" w:line="276" w:lineRule="auto"/>
        <w:jc w:val="both"/>
        <w:rPr>
          <w:rFonts w:ascii="Verdana" w:eastAsia="Century Gothic" w:hAnsi="Verdana" w:cs="Century Gothic"/>
          <w:color w:val="000000" w:themeColor="text1"/>
        </w:rPr>
      </w:pPr>
    </w:p>
    <w:p w14:paraId="3DEA5A94" w14:textId="77777777" w:rsidR="00992815" w:rsidRPr="00115E3D" w:rsidRDefault="00992815" w:rsidP="00992815">
      <w:pPr>
        <w:spacing w:after="0" w:line="276" w:lineRule="auto"/>
        <w:jc w:val="both"/>
        <w:rPr>
          <w:rFonts w:ascii="Verdana" w:eastAsia="Century Gothic" w:hAnsi="Verdana" w:cs="Century Gothic"/>
          <w:b/>
          <w:bCs/>
          <w:color w:val="000000" w:themeColor="text1"/>
        </w:rPr>
      </w:pPr>
      <w:r>
        <w:rPr>
          <w:rFonts w:ascii="Verdana" w:eastAsia="Century Gothic" w:hAnsi="Verdana" w:cs="Century Gothic"/>
          <w:color w:val="000000" w:themeColor="text1"/>
        </w:rPr>
        <w:t xml:space="preserve"> </w:t>
      </w:r>
      <w:r w:rsidRPr="00115E3D">
        <w:rPr>
          <w:rFonts w:ascii="Verdana" w:eastAsia="Century Gothic" w:hAnsi="Verdana" w:cs="Century Gothic"/>
          <w:b/>
          <w:bCs/>
          <w:color w:val="000000" w:themeColor="text1"/>
        </w:rPr>
        <w:t>Respuesta:</w:t>
      </w:r>
    </w:p>
    <w:p w14:paraId="62A1C298" w14:textId="77777777" w:rsidR="00992815" w:rsidRPr="00115E3D" w:rsidRDefault="00992815" w:rsidP="00992815">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992815" w:rsidRPr="00115E3D" w14:paraId="584F9690" w14:textId="77777777" w:rsidTr="00B4022F">
        <w:trPr>
          <w:trHeight w:val="774"/>
        </w:trPr>
        <w:tc>
          <w:tcPr>
            <w:tcW w:w="8828" w:type="dxa"/>
          </w:tcPr>
          <w:p w14:paraId="72B33175"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El numeral 2.5 del artículo 2.2.1.1.1.5.2 del Decreto 1082 de 2015 permite que las sociedades con menos de tres (3) años de constitución, que no cuentan con la experiencia suficiente para contratar con el Estado, puedan apoyarse en la experiencia de sus accionistas, socios o constituyentes, con el fin de incentivar la competencia en la contratación estatal y promover el acceso de nuevas empresas al mercado público. Sin embargo, dicha prerrogativa constituye una excepción de interpretación restrictiva frente al principio general según el cual la experiencia es un atributo personal e intransferible.</w:t>
            </w:r>
          </w:p>
          <w:p w14:paraId="5F7D5973"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 xml:space="preserve">En ese sentido, la prerrogativa que permite a las sociedades con menos de tres (3) años de constitución acreditar la experiencia de sus socios o accionistas es una excepción reglamentaria de interpretación restrictiva y de carácter eminentemente formal. En la normativa de contratación estatal no se evidencia la posibilidad de que las entidades habiliten o evalúen </w:t>
            </w:r>
            <w:r w:rsidRPr="00F54432">
              <w:rPr>
                <w:rFonts w:ascii="Verdana" w:eastAsia="Arial" w:hAnsi="Verdana" w:cs="Arial"/>
              </w:rPr>
              <w:lastRenderedPageBreak/>
              <w:t>favorablemente a una persona jurídica si, en los procesos donde el RUP es exigible, la experiencia de sus socios no se encuentra obligatoriamente inscrita y reflejada en dicho registro por la Cámara de Comercio.</w:t>
            </w:r>
          </w:p>
          <w:p w14:paraId="66DD8C08"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 xml:space="preserve">Respecto a la acreditación de la experiencia, </w:t>
            </w:r>
            <w:r>
              <w:rPr>
                <w:rFonts w:ascii="Verdana" w:eastAsia="Arial" w:hAnsi="Verdana" w:cs="Arial"/>
              </w:rPr>
              <w:t xml:space="preserve">el concepto C-160 del 20 de marzo de 2025 expedido por esta Subdirección Contractual indica que </w:t>
            </w:r>
            <w:r w:rsidRPr="00F54432">
              <w:rPr>
                <w:rFonts w:ascii="Verdana" w:eastAsia="Arial" w:hAnsi="Verdana" w:cs="Arial"/>
              </w:rPr>
              <w:t xml:space="preserve">el mismo numeral 2.5 del artículo 2.2.1.1.1.5.2 del Decreto 1082 de 2015 </w:t>
            </w:r>
            <w:r>
              <w:rPr>
                <w:rFonts w:ascii="Verdana" w:eastAsia="Arial" w:hAnsi="Verdana" w:cs="Arial"/>
              </w:rPr>
              <w:t>prevé que</w:t>
            </w:r>
            <w:r w:rsidRPr="00F54432">
              <w:rPr>
                <w:rFonts w:ascii="Verdana" w:eastAsia="Arial" w:hAnsi="Verdana" w:cs="Arial"/>
              </w:rPr>
              <w:t>, para la inscripción de la experiencia en el Registro Único de Proponentes (RUP), los interesados en participar en procesos de contratación deberán allegar los certificados de la experiencia en la provisión de los bienes, obras o servicios que ofrecerán a las Entidades Estatales, los cuales deben ser expedidos por terceros que hayan recibido tales bienes, obras o servicios, o en su defecto corresponder a contratos ejecutados o sus respectivas copias cuando no sea posible obtener el certificado correspondiente.</w:t>
            </w:r>
          </w:p>
          <w:p w14:paraId="5C520764"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Así, dentro de la normativa analizada se dilucida claramente que quien debe certificar la experiencia para efectos de inscripción en el RUP son las entidades públicas o privadas contratantes, en su calidad de destinatarias directas de los bienes, obras o servicios ejecutados, y no la misma sociedad que fungió como contratista. En consecuencia, la experiencia se estructura a partir de relaciones contractuales verificables y externas al proponente, lo cual refuerza su naturaleza objetiva, verificable y documental.</w:t>
            </w:r>
          </w:p>
          <w:p w14:paraId="51F2642A"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Asimismo, la normatividad vigente no contempla que se pueda habilitar al proponente cuando la experiencia que se traslada carezca de una estricta relación y conexidad con su objeto social y capacidad jurídica, ya que la sociedad no puede ejecutar actividades que excedan su propia capacidad legal. Una interpretación extensiva del Decreto 1082 de 2015 o de los conceptos C-218 y C-424 de 2024 de Colombia Compra Eficiente no permite inaplicar las solemnidades del RUP ni subsanar la falta de capacidad jurídica del oferente</w:t>
            </w:r>
            <w:r>
              <w:rPr>
                <w:rFonts w:ascii="Verdana" w:eastAsia="Arial" w:hAnsi="Verdana" w:cs="Arial"/>
              </w:rPr>
              <w:t>.</w:t>
            </w:r>
          </w:p>
          <w:p w14:paraId="5AF97B1E" w14:textId="77777777" w:rsidR="00992815" w:rsidRPr="00F54432" w:rsidRDefault="00992815" w:rsidP="00B4022F">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 xml:space="preserve">En consecuencia, aunque la finalidad de la norma es fomentar la pluralidad de oferentes y permitir la participación de sociedades recientes mediante el aprovechamiento de la experiencia de sus socios o accionistas, dicha figura no puede entenderse como una habilitación general para desconocer las reglas del Registro Único de Proponentes ni para sustituir los requisitos habilitantes establecidos en el artículo 5 de la Ley 1150 de 2007, ni </w:t>
            </w:r>
            <w:r w:rsidRPr="00F54432">
              <w:rPr>
                <w:rFonts w:ascii="Verdana" w:eastAsia="Arial" w:hAnsi="Verdana" w:cs="Arial"/>
              </w:rPr>
              <w:lastRenderedPageBreak/>
              <w:t>mucho menos para flexibilizar la verificación de la capacidad jurídica del proponente en los procesos de selección.</w:t>
            </w:r>
          </w:p>
          <w:p w14:paraId="2FF52243" w14:textId="77777777" w:rsidR="00992815" w:rsidRPr="00B643B2" w:rsidRDefault="00992815" w:rsidP="00B4022F">
            <w:pPr>
              <w:spacing w:after="120" w:line="276" w:lineRule="auto"/>
              <w:jc w:val="both"/>
              <w:rPr>
                <w:rFonts w:ascii="Verdana" w:eastAsia="Calibri" w:hAnsi="Verdana"/>
              </w:rPr>
            </w:pPr>
            <w:r w:rsidRPr="009C504B">
              <w:rPr>
                <w:rFonts w:ascii="Verdana" w:eastAsia="Arial" w:hAnsi="Verdana" w:cs="Arial"/>
              </w:rPr>
              <w:t xml:space="preserve"> </w:t>
            </w: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6A30418C" w14:textId="77777777" w:rsidR="00992815" w:rsidRPr="0029110A" w:rsidRDefault="00992815" w:rsidP="00B4022F">
            <w:pPr>
              <w:spacing w:after="120" w:line="276" w:lineRule="auto"/>
              <w:jc w:val="both"/>
              <w:rPr>
                <w:rFonts w:ascii="Verdana" w:eastAsia="Calibri" w:hAnsi="Verdana" w:cs="Times New Roman"/>
                <w:lang w:val="es-ES"/>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tc>
      </w:tr>
      <w:tr w:rsidR="00992815" w:rsidRPr="00115E3D" w14:paraId="16067BA0" w14:textId="77777777" w:rsidTr="00B4022F">
        <w:trPr>
          <w:trHeight w:val="162"/>
        </w:trPr>
        <w:tc>
          <w:tcPr>
            <w:tcW w:w="8828" w:type="dxa"/>
          </w:tcPr>
          <w:p w14:paraId="004FF213" w14:textId="77777777" w:rsidR="00992815" w:rsidRDefault="00992815" w:rsidP="00B4022F">
            <w:pPr>
              <w:spacing w:line="276" w:lineRule="auto"/>
              <w:jc w:val="both"/>
              <w:rPr>
                <w:rFonts w:ascii="Verdana" w:eastAsia="Calibri" w:hAnsi="Verdana" w:cs="Arial"/>
              </w:rPr>
            </w:pPr>
          </w:p>
        </w:tc>
      </w:tr>
    </w:tbl>
    <w:p w14:paraId="11C16FDD" w14:textId="77777777" w:rsidR="00992815" w:rsidRDefault="00992815" w:rsidP="00992815">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44ED1EBF" w14:textId="77777777" w:rsidR="00992815" w:rsidRDefault="00992815" w:rsidP="00992815">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color w:val="000000" w:themeColor="text1"/>
        </w:rPr>
      </w:pPr>
      <w:r w:rsidRPr="00115E3D">
        <w:rPr>
          <w:rFonts w:ascii="Verdana" w:eastAsia="Century Gothic" w:hAnsi="Verdana" w:cs="Century Gothic"/>
          <w:b/>
          <w:bCs/>
          <w:color w:val="000000" w:themeColor="text1"/>
        </w:rPr>
        <w:t>Razones de la respuesta:</w:t>
      </w:r>
    </w:p>
    <w:p w14:paraId="57C170E4" w14:textId="77777777" w:rsidR="00992815" w:rsidRDefault="00992815" w:rsidP="00992815">
      <w:pPr>
        <w:pStyle w:val="Prrafodelista"/>
        <w:tabs>
          <w:tab w:val="left" w:pos="142"/>
          <w:tab w:val="left" w:pos="284"/>
        </w:tabs>
        <w:spacing w:after="0" w:line="276" w:lineRule="auto"/>
        <w:ind w:left="0"/>
        <w:contextualSpacing w:val="0"/>
        <w:jc w:val="both"/>
        <w:rPr>
          <w:rFonts w:ascii="Verdana" w:eastAsia="Century Gothic" w:hAnsi="Verdana" w:cs="Century Gothic"/>
          <w:b/>
          <w:bCs/>
          <w:color w:val="000000" w:themeColor="text1"/>
        </w:rPr>
      </w:pPr>
    </w:p>
    <w:p w14:paraId="3314AF46" w14:textId="77777777" w:rsidR="00992815" w:rsidRPr="00E56C4E" w:rsidRDefault="00992815" w:rsidP="00992815">
      <w:pPr>
        <w:spacing w:after="120" w:line="276" w:lineRule="auto"/>
        <w:ind w:firstLine="708"/>
        <w:jc w:val="both"/>
        <w:rPr>
          <w:rFonts w:ascii="Verdana" w:eastAsia="Arial" w:hAnsi="Verdana" w:cs="Arial"/>
        </w:rPr>
      </w:pPr>
      <w:r w:rsidRPr="00E56C4E">
        <w:rPr>
          <w:rFonts w:ascii="Verdana" w:eastAsia="Arial" w:hAnsi="Verdana" w:cs="Arial"/>
        </w:rPr>
        <w:t>El artículo 5 de la Ley 1150 de 2007 dispone que la capacidad jurídica y las condiciones de experiencia, capacidad financiera y organización de los proponentes serán objeto de verificación por parte de las Entidades Estatales como requisitos habilitantes para participar en los procesos de selección y no otorgarán puntaje. Lo anterior con excepción de la selección de consultores mediante un concurso de méritos, donde es posible otorgar puntaje al criterio de experiencia.</w:t>
      </w:r>
    </w:p>
    <w:p w14:paraId="3B94DF1B" w14:textId="77777777" w:rsidR="00992815" w:rsidRPr="00E56C4E" w:rsidRDefault="00992815" w:rsidP="00992815">
      <w:pPr>
        <w:spacing w:after="120" w:line="276" w:lineRule="auto"/>
        <w:ind w:firstLine="708"/>
        <w:jc w:val="both"/>
        <w:rPr>
          <w:rFonts w:ascii="Verdana" w:eastAsia="Calibri" w:hAnsi="Verdana" w:cs="Arial"/>
          <w:lang w:val="es-ES"/>
        </w:rPr>
      </w:pPr>
      <w:r w:rsidRPr="00E56C4E">
        <w:rPr>
          <w:rFonts w:ascii="Verdana" w:eastAsia="Calibri" w:hAnsi="Verdana" w:cs="Arial"/>
          <w:lang w:val="es-ES"/>
        </w:rPr>
        <w:t xml:space="preserve">Dentro de los principales requisitos habilitantes que se utilizan en los Procesos de Contratación se destaca la </w:t>
      </w:r>
      <w:r w:rsidRPr="00E56C4E">
        <w:rPr>
          <w:rFonts w:ascii="Verdana" w:eastAsia="Calibri" w:hAnsi="Verdana" w:cs="Arial"/>
          <w:i/>
          <w:lang w:val="es-ES"/>
        </w:rPr>
        <w:t>experiencia</w:t>
      </w:r>
      <w:r w:rsidRPr="00E56C4E">
        <w:rPr>
          <w:rFonts w:ascii="Verdana" w:eastAsia="Calibri" w:hAnsi="Verdana" w:cs="Arial"/>
          <w:lang w:val="es-ES"/>
        </w:rPr>
        <w:t xml:space="preserve">. Esta debe ser entendida como el conocimiento del proponente derivado de su participación previa en actividades iguales o similares a las previstas en el objeto del contrato con contratantes públicos, privados, nacionales o extranjeros. </w:t>
      </w:r>
    </w:p>
    <w:p w14:paraId="593FDE02" w14:textId="77777777" w:rsidR="00992815" w:rsidRPr="00E56C4E" w:rsidRDefault="00992815" w:rsidP="00992815">
      <w:pPr>
        <w:spacing w:after="120" w:line="276" w:lineRule="auto"/>
        <w:ind w:firstLine="709"/>
        <w:jc w:val="both"/>
        <w:rPr>
          <w:rFonts w:ascii="Verdana" w:eastAsia="Calibri" w:hAnsi="Verdana" w:cs="Arial"/>
          <w:lang w:val="es-ES"/>
        </w:rPr>
      </w:pPr>
      <w:r w:rsidRPr="00E56C4E">
        <w:rPr>
          <w:rFonts w:ascii="Verdana" w:eastAsia="Calibri" w:hAnsi="Verdana" w:cs="Arial"/>
          <w:lang w:val="es-ES"/>
        </w:rPr>
        <w:lastRenderedPageBreak/>
        <w:t xml:space="preserve">En el marco de la contratación pública, la experiencia del proponente se reviste de particular importancia, en la medida en que con ello se garantiza el conocimiento en el desarrollo, ejecución del objeto, obligaciones contractuales, sus riesgos, entre otras particularidades del futuro vinculo negocial. En cierto grado con esto se busca garantizar que no habrá improvisación ni mayores costos por errores o dificultades originadas en realizar una actividad por primera vez. </w:t>
      </w:r>
    </w:p>
    <w:p w14:paraId="0234CC58" w14:textId="77777777" w:rsidR="00992815" w:rsidRPr="00E56C4E" w:rsidRDefault="00992815" w:rsidP="00992815">
      <w:pPr>
        <w:spacing w:after="120" w:line="276" w:lineRule="auto"/>
        <w:ind w:firstLine="709"/>
        <w:jc w:val="both"/>
        <w:rPr>
          <w:rFonts w:ascii="Verdana" w:eastAsia="Calibri" w:hAnsi="Verdana" w:cs="Arial"/>
          <w:lang w:val="es-ES"/>
        </w:rPr>
      </w:pPr>
      <w:r w:rsidRPr="00E56C4E">
        <w:rPr>
          <w:rFonts w:ascii="Verdana" w:eastAsia="Calibri" w:hAnsi="Verdana" w:cs="Arial"/>
          <w:lang w:val="es-ES"/>
        </w:rPr>
        <w:t>Las Entidades Estatales contratantes, como responsables de la estructuración de los Procesos de Contratación, son autónomas para establecer los requisitos habilitantes de experiencia, de acuerdo con el estudio realizado en marco del análisis del sector</w:t>
      </w:r>
      <w:r w:rsidRPr="00E56C4E">
        <w:rPr>
          <w:rStyle w:val="Refdenotaalpie"/>
          <w:rFonts w:ascii="Verdana" w:eastAsia="Calibri" w:hAnsi="Verdana" w:cs="Arial"/>
          <w:lang w:val="es-ES"/>
        </w:rPr>
        <w:footnoteReference w:id="2"/>
      </w:r>
      <w:r w:rsidRPr="00E56C4E">
        <w:rPr>
          <w:rFonts w:ascii="Verdana" w:eastAsia="Calibri" w:hAnsi="Verdana" w:cs="Arial"/>
          <w:lang w:val="es-ES"/>
        </w:rPr>
        <w:t xml:space="preserve">. </w:t>
      </w:r>
    </w:p>
    <w:p w14:paraId="3E9008BC" w14:textId="77777777" w:rsidR="00992815" w:rsidRPr="00E56C4E" w:rsidRDefault="00992815" w:rsidP="00992815">
      <w:pPr>
        <w:spacing w:after="120" w:line="276" w:lineRule="auto"/>
        <w:ind w:firstLine="708"/>
        <w:jc w:val="both"/>
        <w:rPr>
          <w:rFonts w:ascii="Verdana" w:eastAsia="Arial" w:hAnsi="Verdana" w:cs="Arial"/>
        </w:rPr>
      </w:pPr>
      <w:r w:rsidRPr="00E56C4E">
        <w:rPr>
          <w:rFonts w:ascii="Verdana" w:eastAsia="Arial" w:hAnsi="Verdana" w:cs="Arial"/>
        </w:rPr>
        <w:t xml:space="preserve">Por otra parte, el artículo 6 de la Ley 1150 de 2007 señala que todas las personas naturales o jurídicas, nacionales o extranjeras, domiciliadas o con sucursal en Colombia, que aspiren celebrar contratos con las Entidades deberán estar inscritas en el </w:t>
      </w:r>
      <w:r w:rsidRPr="00E56C4E">
        <w:rPr>
          <w:rFonts w:ascii="Verdana" w:eastAsia="Calibri" w:hAnsi="Verdana" w:cs="Arial"/>
          <w:color w:val="000000" w:themeColor="text1"/>
        </w:rPr>
        <w:t xml:space="preserve">Registro Único de Proponentes – en el adelante </w:t>
      </w:r>
      <w:r w:rsidRPr="00E56C4E">
        <w:rPr>
          <w:rFonts w:ascii="Verdana" w:eastAsia="Arial" w:hAnsi="Verdana" w:cs="Arial"/>
        </w:rPr>
        <w:t xml:space="preserve">RUP </w:t>
      </w:r>
      <w:r w:rsidRPr="00E56C4E">
        <w:rPr>
          <w:rFonts w:ascii="Verdana" w:eastAsia="Calibri" w:hAnsi="Verdana" w:cs="Arial"/>
          <w:color w:val="000000" w:themeColor="text1"/>
        </w:rPr>
        <w:t>–</w:t>
      </w:r>
      <w:r w:rsidRPr="00E56C4E">
        <w:rPr>
          <w:rFonts w:ascii="Verdana" w:eastAsia="Arial" w:hAnsi="Verdana" w:cs="Arial"/>
        </w:rPr>
        <w:t>.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36ABFA0D" w14:textId="77777777" w:rsidR="00992815" w:rsidRPr="00E56C4E" w:rsidRDefault="00992815" w:rsidP="00992815">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Conforme lo expuesto, la experiencia que se deriva de los contratos que el proponente ha celebrado y ejecutado con diferentes contratantes, sin importar la naturaleza de estos, se verifica con el  RUP</w:t>
      </w:r>
      <w:r w:rsidRPr="00E56C4E">
        <w:rPr>
          <w:rStyle w:val="Refdenotaalpie"/>
          <w:rFonts w:ascii="Verdana" w:eastAsia="Calibri" w:hAnsi="Verdana" w:cs="Arial"/>
          <w:color w:val="000000" w:themeColor="text1"/>
        </w:rPr>
        <w:footnoteReference w:id="3"/>
      </w:r>
      <w:r w:rsidRPr="00E56C4E">
        <w:rPr>
          <w:rFonts w:ascii="Verdana" w:eastAsia="Calibri" w:hAnsi="Verdana" w:cs="Arial"/>
          <w:color w:val="000000" w:themeColor="text1"/>
        </w:rPr>
        <w:t>, cuando este certificado sea exigible de acuerdo con la ley. En este registro constan los requisitos habilitantes que se evalúan exclusivamente con este documento, que es plena prueba, sin que la Entidad o el proponente puedan solicitar o aportar otra documentación</w:t>
      </w:r>
      <w:r w:rsidRPr="00E56C4E">
        <w:rPr>
          <w:rStyle w:val="Refdenotaalpie"/>
          <w:rFonts w:ascii="Verdana" w:eastAsia="Calibri" w:hAnsi="Verdana" w:cs="Arial"/>
          <w:color w:val="000000" w:themeColor="text1"/>
        </w:rPr>
        <w:footnoteReference w:id="4"/>
      </w:r>
      <w:r w:rsidRPr="00E56C4E">
        <w:rPr>
          <w:rFonts w:ascii="Verdana" w:eastAsia="Calibri" w:hAnsi="Verdana" w:cs="Arial"/>
          <w:color w:val="000000" w:themeColor="text1"/>
        </w:rPr>
        <w:t>.</w:t>
      </w:r>
    </w:p>
    <w:p w14:paraId="7EA4A8D3" w14:textId="77777777" w:rsidR="00992815" w:rsidRPr="00E56C4E" w:rsidRDefault="00992815" w:rsidP="00992815">
      <w:pPr>
        <w:spacing w:after="120" w:line="276" w:lineRule="auto"/>
        <w:ind w:firstLine="708"/>
        <w:jc w:val="both"/>
        <w:rPr>
          <w:rFonts w:ascii="Verdana" w:eastAsia="Calibri" w:hAnsi="Verdana" w:cs="Arial"/>
        </w:rPr>
      </w:pPr>
      <w:r w:rsidRPr="00E56C4E">
        <w:rPr>
          <w:rFonts w:ascii="Verdana" w:eastAsia="Calibri" w:hAnsi="Verdana" w:cs="Arial"/>
        </w:rPr>
        <w:lastRenderedPageBreak/>
        <w:t>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donde por tratarse de esquemas asociativos la experiencia es compartida.</w:t>
      </w:r>
    </w:p>
    <w:p w14:paraId="0DED9A45" w14:textId="77777777" w:rsidR="00992815" w:rsidRPr="00E56C4E" w:rsidRDefault="00992815" w:rsidP="00992815">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El numeral 2.1 del artículo 2.2.1.1.1.5.2 del Decreto 1082 de 2015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E56C4E">
        <w:rPr>
          <w:rFonts w:ascii="Verdana" w:eastAsia="Calibri" w:hAnsi="Verdana" w:cs="Arial"/>
          <w:color w:val="000000" w:themeColor="text1"/>
          <w:vertAlign w:val="superscript"/>
        </w:rPr>
        <w:footnoteReference w:id="5"/>
      </w:r>
      <w:r w:rsidRPr="00E56C4E">
        <w:rPr>
          <w:rFonts w:ascii="Verdana" w:eastAsia="Calibri" w:hAnsi="Verdana" w:cs="Arial"/>
          <w:color w:val="000000" w:themeColor="text1"/>
        </w:rPr>
        <w:t xml:space="preserve">. </w:t>
      </w:r>
    </w:p>
    <w:p w14:paraId="6F440708" w14:textId="77777777" w:rsidR="00992815" w:rsidRPr="00E56C4E" w:rsidRDefault="00992815" w:rsidP="00992815">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 xml:space="preserve">De la misma forma, el numeral 2.5. </w:t>
      </w:r>
      <w:r w:rsidRPr="00E56C4E">
        <w:rPr>
          <w:rFonts w:ascii="Verdana" w:eastAsia="Calibri" w:hAnsi="Verdana" w:cs="Arial"/>
          <w:i/>
          <w:iCs/>
          <w:color w:val="000000" w:themeColor="text1"/>
        </w:rPr>
        <w:t>ibidem</w:t>
      </w:r>
      <w:r w:rsidRPr="00E56C4E">
        <w:rPr>
          <w:rFonts w:ascii="Verdana" w:eastAsia="Calibri" w:hAnsi="Verdana" w:cs="Arial"/>
          <w:color w:val="000000" w:themeColor="text1"/>
        </w:rPr>
        <w:t xml:space="preserve">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w:t>
      </w:r>
      <w:r w:rsidRPr="00E56C4E">
        <w:rPr>
          <w:rFonts w:ascii="Verdana" w:eastAsia="Calibri" w:hAnsi="Verdana" w:cs="Arial"/>
          <w:color w:val="000000" w:themeColor="text1"/>
          <w:vertAlign w:val="superscript"/>
        </w:rPr>
        <w:footnoteReference w:id="6"/>
      </w:r>
      <w:r w:rsidRPr="00E56C4E">
        <w:rPr>
          <w:rFonts w:ascii="Verdana" w:eastAsia="Calibri" w:hAnsi="Verdana" w:cs="Arial"/>
          <w:color w:val="000000" w:themeColor="text1"/>
        </w:rPr>
        <w:t xml:space="preserve">. El interesado debe indicar en cada </w:t>
      </w:r>
      <w:r w:rsidRPr="00E56C4E">
        <w:rPr>
          <w:rFonts w:ascii="Verdana" w:eastAsia="Calibri" w:hAnsi="Verdana" w:cs="Arial"/>
          <w:color w:val="000000" w:themeColor="text1"/>
        </w:rPr>
        <w:lastRenderedPageBreak/>
        <w:t xml:space="preserve">certificado, o en cada copia de los contratos, los bienes, obras y servicios a los cuales corresponde la experiencia que pretende acreditar, identificándolos con el Clasificador de Bienes y Servicios, en el tercer nivel. </w:t>
      </w:r>
    </w:p>
    <w:p w14:paraId="1FCEA011" w14:textId="77777777" w:rsidR="00992815" w:rsidRPr="00E56C4E" w:rsidRDefault="00992815" w:rsidP="00992815">
      <w:pPr>
        <w:spacing w:after="120" w:line="276" w:lineRule="auto"/>
        <w:ind w:firstLine="709"/>
        <w:jc w:val="both"/>
        <w:rPr>
          <w:rFonts w:ascii="Verdana" w:eastAsia="Calibri" w:hAnsi="Verdana" w:cs="Arial"/>
          <w:color w:val="000000" w:themeColor="text1"/>
        </w:rPr>
      </w:pPr>
      <w:r w:rsidRPr="00E56C4E">
        <w:rPr>
          <w:rFonts w:ascii="Verdana" w:eastAsia="Calibri" w:hAnsi="Verdana" w:cs="Arial"/>
          <w:color w:val="000000" w:themeColor="text1"/>
        </w:rPr>
        <w:t>La parte final de ese numeral 2.5. indica que “Si la constitución del interesado es menor a tres (3) años, puede acreditar la experiencia de sus accionistas, socios o constituyentes”. De este modo, se evidencia que, la parte final del numeral 2.5 del artículo citado incluye una medida diferenciada para las personas jurídicas cuya constitución sea menor a tres (3) años al momento del registro. Esta prerrogativa, que puede entenderse como una medida de fomento a la participación de pequeños oferentes en la contratación estatal, permite que las sociedades relativamente nuevas ─con menos de tres (3) años de constitución─ puedan acreditar como experiencia en el RUP la de sus accionistas, socios o constituyentes entendiendo por supuesto que deben ostentar tal calidad al momento en que pretendan hacer uso de dicha facultad de acreditación de experiencia.</w:t>
      </w:r>
    </w:p>
    <w:p w14:paraId="54DF5DDA" w14:textId="77777777" w:rsidR="00992815" w:rsidRPr="00E56C4E" w:rsidRDefault="00992815" w:rsidP="00992815">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 xml:space="preserve">A pesar de que la experiencia es inherente a la persona que la ha obtenido, razón por la cual es, en principio, intransferible en virtud de su carácter personalísimo, por disposición legal o reglamentaria, casos excepcionales, como el descrito en el artículo mencionado, se aplica de otra manera. La finalidad de esta norma es permitir que las sociedades que no cuentan con la experiencia suficiente para contratar con el Estado puedan apoyarse en la experiencia de sus accionistas, socios o constituyentes con el fin de incentivar la competencia en la contratación estatal. </w:t>
      </w:r>
    </w:p>
    <w:p w14:paraId="18205E72" w14:textId="77777777" w:rsidR="00992815" w:rsidRPr="00E56C4E" w:rsidRDefault="00992815" w:rsidP="00992815">
      <w:pPr>
        <w:spacing w:after="120" w:line="276" w:lineRule="auto"/>
        <w:ind w:firstLine="708"/>
        <w:jc w:val="both"/>
        <w:rPr>
          <w:rFonts w:ascii="Verdana" w:eastAsia="Calibri" w:hAnsi="Verdana" w:cs="Arial"/>
          <w:color w:val="000000" w:themeColor="text1"/>
        </w:rPr>
      </w:pPr>
      <w:r w:rsidRPr="00E56C4E">
        <w:rPr>
          <w:rFonts w:ascii="Verdana" w:eastAsia="Calibri" w:hAnsi="Verdana" w:cs="Arial"/>
          <w:color w:val="000000" w:themeColor="text1"/>
        </w:rPr>
        <w:t>Así las cosas, el socio transfiere la experiencia adquirida directamente a la sociedad de la que es parte, para que esta, como persona jurídica independiente, pueda cumplir con los requisitos habilitantes o puntuales que establezcan las Entidades Estatales en sus procesos de contratación, de esta forma promover el desarrollo de la empresa, la pluralidad de oferentes en la contratación pública y</w:t>
      </w:r>
      <w:r>
        <w:rPr>
          <w:rFonts w:ascii="Verdana" w:eastAsia="Calibri" w:hAnsi="Verdana" w:cs="Arial"/>
          <w:color w:val="000000" w:themeColor="text1"/>
        </w:rPr>
        <w:t>,</w:t>
      </w:r>
      <w:r w:rsidRPr="00E56C4E">
        <w:rPr>
          <w:rFonts w:ascii="Verdana" w:eastAsia="Calibri" w:hAnsi="Verdana" w:cs="Arial"/>
          <w:color w:val="000000" w:themeColor="text1"/>
        </w:rPr>
        <w:t xml:space="preserve"> por supuesto</w:t>
      </w:r>
      <w:r>
        <w:rPr>
          <w:rFonts w:ascii="Verdana" w:eastAsia="Calibri" w:hAnsi="Verdana" w:cs="Arial"/>
          <w:color w:val="000000" w:themeColor="text1"/>
        </w:rPr>
        <w:t>,</w:t>
      </w:r>
      <w:r w:rsidRPr="00E56C4E">
        <w:rPr>
          <w:rFonts w:ascii="Verdana" w:eastAsia="Calibri" w:hAnsi="Verdana" w:cs="Arial"/>
          <w:color w:val="000000" w:themeColor="text1"/>
        </w:rPr>
        <w:t xml:space="preserve"> que dicha experiencia transferida a la </w:t>
      </w:r>
      <w:r w:rsidRPr="00E56C4E">
        <w:rPr>
          <w:rFonts w:ascii="Verdana" w:eastAsia="Calibri" w:hAnsi="Verdana" w:cs="Arial"/>
          <w:color w:val="000000" w:themeColor="text1"/>
        </w:rPr>
        <w:lastRenderedPageBreak/>
        <w:t>persona jurídica proponente va a garantizar en un momento dado, el cumplimiento del objeto y obligaciones contractuales.</w:t>
      </w:r>
    </w:p>
    <w:p w14:paraId="2CD4049F" w14:textId="77777777" w:rsidR="00992815" w:rsidRPr="00F54432" w:rsidRDefault="00992815" w:rsidP="00992815">
      <w:pPr>
        <w:spacing w:after="120" w:line="276" w:lineRule="auto"/>
        <w:jc w:val="both"/>
        <w:rPr>
          <w:rFonts w:ascii="Verdana" w:eastAsia="Arial" w:hAnsi="Verdana" w:cs="Arial"/>
        </w:rPr>
      </w:pPr>
      <w:r>
        <w:rPr>
          <w:rFonts w:ascii="Verdana" w:eastAsia="Arial" w:hAnsi="Verdana" w:cs="Arial"/>
        </w:rPr>
        <w:t xml:space="preserve">           Ahora bien, en atención al problema jurídico planteado, es de precisar que </w:t>
      </w:r>
      <w:r w:rsidRPr="00F54432">
        <w:rPr>
          <w:rFonts w:ascii="Verdana" w:eastAsia="Arial" w:hAnsi="Verdana" w:cs="Arial"/>
        </w:rPr>
        <w:t xml:space="preserve">la acreditación de la experiencia, </w:t>
      </w:r>
      <w:r>
        <w:rPr>
          <w:rFonts w:ascii="Verdana" w:eastAsia="Arial" w:hAnsi="Verdana" w:cs="Arial"/>
        </w:rPr>
        <w:t xml:space="preserve">el concepto C-160 del 20 de marzo de 2025 expedido por esta Subdirección Contractual indica que </w:t>
      </w:r>
      <w:r w:rsidRPr="00F54432">
        <w:rPr>
          <w:rFonts w:ascii="Verdana" w:eastAsia="Arial" w:hAnsi="Verdana" w:cs="Arial"/>
        </w:rPr>
        <w:t xml:space="preserve">el mismo numeral 2.5 del artículo 2.2.1.1.1.5.2 del Decreto 1082 de 2015 </w:t>
      </w:r>
      <w:r>
        <w:rPr>
          <w:rFonts w:ascii="Verdana" w:eastAsia="Arial" w:hAnsi="Verdana" w:cs="Arial"/>
        </w:rPr>
        <w:t>prevé que</w:t>
      </w:r>
      <w:r w:rsidRPr="00F54432">
        <w:rPr>
          <w:rFonts w:ascii="Verdana" w:eastAsia="Arial" w:hAnsi="Verdana" w:cs="Arial"/>
        </w:rPr>
        <w:t>, para la inscripción de la experiencia en el Registro Único de Proponentes (RUP), los interesados en participar en procesos de contratación deberán allegar los certificados de la experiencia en la provisión de los bienes, obras o servicios que ofrecerán a las Entidades Estatales, los cuales deben ser expedidos por terceros que hayan recibido tales bienes, obras o servicios, o en su defecto corresponder a contratos ejecutados o sus respectivas copias cuando no sea posible obtener el certificado correspondiente.</w:t>
      </w:r>
    </w:p>
    <w:p w14:paraId="5CC20CFE" w14:textId="77777777" w:rsidR="00992815" w:rsidRPr="00F54432" w:rsidRDefault="00992815" w:rsidP="00992815">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Así, dentro de la normativa analizada se dilucida claramente que quien debe certificar la experiencia para efectos de inscripción en el RUP son las entidades públicas o privadas contratantes, en su calidad de destinatarias directas de los bienes, obras o servicios ejecutados, y no la misma sociedad que fungió como contratista. En consecuencia, la experiencia se estructura a partir de relaciones contractuales verificables y externas al proponente, lo cual refuerza su naturaleza objetiva, verificable y documental.</w:t>
      </w:r>
    </w:p>
    <w:p w14:paraId="1B79662F" w14:textId="77777777" w:rsidR="00992815" w:rsidRPr="00F54432" w:rsidRDefault="00992815" w:rsidP="00992815">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Asimismo, la normatividad vigente no contempla que se pueda habilitar al proponente cuando la experiencia que se traslada carezca de una estricta relación y conexidad con su objeto social y capacidad jurídica, ya que la sociedad no puede ejecutar actividades que excedan su propia capacidad legal. Una interpretación extensiva del Decreto 1082 de 2015 o de los conceptos C-218 y C-424 de 2024 de Colombia Compra Eficiente no permite inaplicar las solemnidades del RUP ni subsanar la falta de capacidad jurídica del oferente, por lo que proceder en tal sentido resulta abiertamente improcedente.</w:t>
      </w:r>
    </w:p>
    <w:p w14:paraId="1B51E0DC" w14:textId="77777777" w:rsidR="00992815" w:rsidRPr="00F54432" w:rsidRDefault="00992815" w:rsidP="00992815">
      <w:pPr>
        <w:spacing w:after="120" w:line="276" w:lineRule="auto"/>
        <w:jc w:val="both"/>
        <w:rPr>
          <w:rFonts w:ascii="Verdana" w:eastAsia="Arial" w:hAnsi="Verdana" w:cs="Arial"/>
        </w:rPr>
      </w:pPr>
      <w:r>
        <w:rPr>
          <w:rFonts w:ascii="Verdana" w:eastAsia="Arial" w:hAnsi="Verdana" w:cs="Arial"/>
        </w:rPr>
        <w:t xml:space="preserve">          </w:t>
      </w:r>
      <w:r w:rsidRPr="00F54432">
        <w:rPr>
          <w:rFonts w:ascii="Verdana" w:eastAsia="Arial" w:hAnsi="Verdana" w:cs="Arial"/>
        </w:rPr>
        <w:t xml:space="preserve">En consecuencia, aunque la finalidad de la norma es fomentar la pluralidad de oferentes y permitir la participación de sociedades recientes mediante el aprovechamiento de la experiencia de sus socios o accionistas, dicha figura no puede entenderse como una habilitación general para desconocer las reglas del Registro Único de Proponentes ni para sustituir los requisitos habilitantes establecidos en el artículo 5 de la Ley 1150 de 2007, ni mucho </w:t>
      </w:r>
      <w:r w:rsidRPr="00F54432">
        <w:rPr>
          <w:rFonts w:ascii="Verdana" w:eastAsia="Arial" w:hAnsi="Verdana" w:cs="Arial"/>
        </w:rPr>
        <w:lastRenderedPageBreak/>
        <w:t>menos para flexibilizar la verificación de la capacidad jurídica del proponente en los procesos de selección.</w:t>
      </w:r>
    </w:p>
    <w:p w14:paraId="2F2C0BD9" w14:textId="77777777" w:rsidR="00992815" w:rsidRPr="00B643B2" w:rsidRDefault="00992815" w:rsidP="00992815">
      <w:pPr>
        <w:spacing w:after="120" w:line="276" w:lineRule="auto"/>
        <w:jc w:val="both"/>
        <w:rPr>
          <w:rFonts w:ascii="Verdana" w:eastAsia="Calibri" w:hAnsi="Verdana"/>
        </w:rPr>
      </w:pPr>
      <w:r w:rsidRPr="009C504B">
        <w:rPr>
          <w:rFonts w:ascii="Verdana" w:eastAsia="Arial" w:hAnsi="Verdana" w:cs="Arial"/>
        </w:rPr>
        <w:t xml:space="preserve"> </w:t>
      </w:r>
      <w:r>
        <w:rPr>
          <w:rFonts w:ascii="Verdana" w:eastAsia="Calibri" w:hAnsi="Verdana"/>
        </w:rPr>
        <w:t xml:space="preserve">        </w:t>
      </w:r>
      <w:r w:rsidRPr="00B643B2">
        <w:rPr>
          <w:rFonts w:ascii="Verdana" w:eastAsia="Calibri" w:hAnsi="Verdana"/>
        </w:rPr>
        <w:t>Finalmente, debe advertirse que el análisis para resolver problemas específicos en torno a los procesos de contratación debe ser realizado por quienes tengan interés en ello.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adoptar la decisión y, en caso de conflicto, a las autoridades judiciales, fiscales y disciplinarias.</w:t>
      </w:r>
    </w:p>
    <w:p w14:paraId="47CF58F3" w14:textId="77777777" w:rsidR="00992815" w:rsidRDefault="00992815" w:rsidP="00992815">
      <w:pPr>
        <w:spacing w:after="120" w:line="276" w:lineRule="auto"/>
        <w:jc w:val="both"/>
        <w:rPr>
          <w:rFonts w:ascii="Verdana" w:eastAsia="Arial" w:hAnsi="Verdana" w:cs="Arial"/>
        </w:rPr>
      </w:pPr>
      <w:r>
        <w:rPr>
          <w:rFonts w:ascii="Verdana" w:eastAsia="Calibri" w:hAnsi="Verdana"/>
        </w:rPr>
        <w:t xml:space="preserve">        </w:t>
      </w:r>
      <w:r w:rsidRPr="00B643B2">
        <w:rPr>
          <w:rFonts w:ascii="Verdana" w:eastAsia="Calibri" w:hAnsi="Verdana"/>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14:paraId="7894494D" w14:textId="77777777" w:rsidR="00992815" w:rsidRPr="006B17A7" w:rsidRDefault="00992815" w:rsidP="00992815">
      <w:pPr>
        <w:spacing w:after="120" w:line="276" w:lineRule="auto"/>
        <w:ind w:firstLine="708"/>
        <w:jc w:val="both"/>
        <w:rPr>
          <w:rFonts w:ascii="Verdana" w:eastAsia="Calibri" w:hAnsi="Verdana" w:cs="Arial"/>
        </w:rPr>
      </w:pPr>
    </w:p>
    <w:p w14:paraId="6BCD05CE" w14:textId="77777777" w:rsidR="00992815" w:rsidRPr="006B17A7" w:rsidRDefault="00992815" w:rsidP="00992815">
      <w:pPr>
        <w:widowControl w:val="0"/>
        <w:autoSpaceDE w:val="0"/>
        <w:autoSpaceDN w:val="0"/>
        <w:spacing w:before="1" w:after="0" w:line="240" w:lineRule="auto"/>
        <w:outlineLvl w:val="0"/>
        <w:rPr>
          <w:rFonts w:ascii="Arial" w:eastAsia="Arial" w:hAnsi="Arial" w:cs="Arial"/>
          <w:b/>
          <w:bCs/>
          <w:lang w:val="es-ES"/>
        </w:rPr>
      </w:pPr>
      <w:r w:rsidRPr="006B17A7">
        <w:rPr>
          <w:rFonts w:ascii="Arial" w:eastAsia="Arial" w:hAnsi="Arial" w:cs="Arial"/>
          <w:b/>
          <w:bCs/>
          <w:lang w:val="es-ES"/>
        </w:rPr>
        <w:t xml:space="preserve">4. </w:t>
      </w:r>
      <w:r w:rsidRPr="006B17A7">
        <w:rPr>
          <w:rFonts w:ascii="Verdana" w:eastAsia="Arial" w:hAnsi="Verdana" w:cs="Arial"/>
          <w:b/>
          <w:bCs/>
          <w:lang w:val="es-ES"/>
        </w:rPr>
        <w:t>Referencias normativas, jurisprudenciales y otras fuentes:</w:t>
      </w:r>
    </w:p>
    <w:p w14:paraId="3364B356" w14:textId="77777777" w:rsidR="00992815" w:rsidRPr="006B17A7" w:rsidRDefault="00992815" w:rsidP="00992815">
      <w:pPr>
        <w:widowControl w:val="0"/>
        <w:autoSpaceDE w:val="0"/>
        <w:autoSpaceDN w:val="0"/>
        <w:spacing w:after="0" w:line="276" w:lineRule="auto"/>
        <w:jc w:val="both"/>
        <w:rPr>
          <w:rFonts w:ascii="Verdana" w:eastAsia="Aptos"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992815" w:rsidRPr="006B17A7" w14:paraId="358D614D" w14:textId="77777777" w:rsidTr="00B4022F">
        <w:trPr>
          <w:trHeight w:val="870"/>
        </w:trPr>
        <w:tc>
          <w:tcPr>
            <w:tcW w:w="8647" w:type="dxa"/>
          </w:tcPr>
          <w:p w14:paraId="3940BBB1" w14:textId="77777777" w:rsidR="00992815" w:rsidRPr="00E56C4E" w:rsidRDefault="00992815" w:rsidP="00992815">
            <w:pPr>
              <w:pStyle w:val="Prrafodelista"/>
              <w:numPr>
                <w:ilvl w:val="0"/>
                <w:numId w:val="17"/>
              </w:numPr>
              <w:spacing w:line="276" w:lineRule="auto"/>
              <w:jc w:val="both"/>
              <w:rPr>
                <w:rFonts w:ascii="Verdana" w:hAnsi="Verdana"/>
              </w:rPr>
            </w:pPr>
            <w:r w:rsidRPr="00E56C4E">
              <w:rPr>
                <w:rFonts w:ascii="Verdana" w:eastAsia="Arial" w:hAnsi="Verdana" w:cs="Arial"/>
              </w:rPr>
              <w:t>Ley 1150 de 2007</w:t>
            </w:r>
            <w:r>
              <w:rPr>
                <w:rFonts w:ascii="Verdana" w:eastAsia="Arial" w:hAnsi="Verdana" w:cs="Arial"/>
              </w:rPr>
              <w:t>:</w:t>
            </w:r>
            <w:r w:rsidRPr="00E56C4E">
              <w:rPr>
                <w:rFonts w:ascii="Verdana" w:eastAsia="Arial" w:hAnsi="Verdana" w:cs="Arial"/>
              </w:rPr>
              <w:t xml:space="preserve"> Artículo 5, 6</w:t>
            </w:r>
            <w:r w:rsidRPr="00E56C4E">
              <w:rPr>
                <w:rFonts w:ascii="Verdana" w:hAnsi="Verdana"/>
              </w:rPr>
              <w:t xml:space="preserve"> </w:t>
            </w:r>
          </w:p>
          <w:p w14:paraId="036D39CA" w14:textId="77777777" w:rsidR="00992815" w:rsidRPr="00E56C4E" w:rsidRDefault="00992815" w:rsidP="00992815">
            <w:pPr>
              <w:pStyle w:val="Prrafodelista"/>
              <w:numPr>
                <w:ilvl w:val="0"/>
                <w:numId w:val="17"/>
              </w:numPr>
              <w:spacing w:line="276" w:lineRule="auto"/>
              <w:jc w:val="both"/>
              <w:rPr>
                <w:rFonts w:ascii="Verdana" w:hAnsi="Verdana"/>
              </w:rPr>
            </w:pPr>
            <w:r w:rsidRPr="00E56C4E">
              <w:rPr>
                <w:rFonts w:ascii="Verdana" w:hAnsi="Verdana"/>
              </w:rPr>
              <w:t>Decreto 1082 de 2015</w:t>
            </w:r>
            <w:r>
              <w:rPr>
                <w:rFonts w:ascii="Verdana" w:hAnsi="Verdana"/>
              </w:rPr>
              <w:t>:</w:t>
            </w:r>
            <w:r w:rsidRPr="00E56C4E">
              <w:rPr>
                <w:rFonts w:ascii="Verdana" w:hAnsi="Verdana"/>
              </w:rPr>
              <w:t xml:space="preserve"> Artículo 2.2.1.1.1.6.2.</w:t>
            </w:r>
            <w:r w:rsidRPr="00E56C4E">
              <w:rPr>
                <w:rFonts w:ascii="Verdana" w:hAnsi="Verdana" w:cs="Arial"/>
              </w:rPr>
              <w:t xml:space="preserve">; 2.2.1.1.1.5.3.; </w:t>
            </w:r>
            <w:r w:rsidRPr="00E56C4E">
              <w:rPr>
                <w:rFonts w:ascii="Verdana" w:eastAsia="Calibri" w:hAnsi="Verdana" w:cs="Arial"/>
                <w:color w:val="000000" w:themeColor="text1"/>
              </w:rPr>
              <w:t>2.2.1.1.1.5.2 numeral 2.1, 2.5</w:t>
            </w:r>
          </w:p>
          <w:p w14:paraId="104EAE9C" w14:textId="77777777" w:rsidR="00992815" w:rsidRPr="006B17A7" w:rsidRDefault="00992815" w:rsidP="00992815">
            <w:pPr>
              <w:pStyle w:val="Prrafodelista"/>
              <w:numPr>
                <w:ilvl w:val="0"/>
                <w:numId w:val="17"/>
              </w:numPr>
              <w:spacing w:after="120" w:line="276" w:lineRule="auto"/>
              <w:jc w:val="both"/>
              <w:rPr>
                <w:rFonts w:ascii="Verdana" w:eastAsia="Aptos" w:hAnsi="Verdana" w:cs="Arial"/>
              </w:rPr>
            </w:pPr>
            <w:r w:rsidRPr="00E56C4E">
              <w:rPr>
                <w:rFonts w:ascii="Verdana" w:eastAsia="Arial" w:hAnsi="Verdana" w:cs="Arial"/>
              </w:rPr>
              <w:t>Agencia Nacional de Contratación Pública – Colombia Compra Eficiente: “Manual para determinar y verificar requisitos habilitantes en los procesos de contratación”. Disponible en</w:t>
            </w:r>
            <w:r>
              <w:rPr>
                <w:rFonts w:ascii="Verdana" w:eastAsia="Arial" w:hAnsi="Verdana" w:cs="Arial"/>
              </w:rPr>
              <w:t xml:space="preserve"> </w:t>
            </w:r>
            <w:hyperlink r:id="rId12" w:history="1">
              <w:r w:rsidRPr="00E56C4E">
                <w:rPr>
                  <w:rStyle w:val="Hipervnculo"/>
                  <w:rFonts w:ascii="Verdana" w:eastAsia="Arial" w:hAnsi="Verdana" w:cs="Arial"/>
                </w:rPr>
                <w:t>https://www.colombiacompra.gov.co/archivos/manual/manual-para-determinar-y-verificar-los-requisitos-habilitantes-en-los-procesos-de-contratacion</w:t>
              </w:r>
            </w:hyperlink>
          </w:p>
        </w:tc>
      </w:tr>
    </w:tbl>
    <w:p w14:paraId="0BDA9D85" w14:textId="77777777" w:rsidR="00992815" w:rsidRPr="006B17A7" w:rsidRDefault="00992815" w:rsidP="00992815">
      <w:pPr>
        <w:widowControl w:val="0"/>
        <w:autoSpaceDE w:val="0"/>
        <w:autoSpaceDN w:val="0"/>
        <w:spacing w:after="0" w:line="276" w:lineRule="auto"/>
        <w:jc w:val="both"/>
        <w:rPr>
          <w:rFonts w:ascii="Verdana" w:eastAsia="Aptos" w:hAnsi="Verdana" w:cs="Arial"/>
        </w:rPr>
      </w:pPr>
    </w:p>
    <w:p w14:paraId="5CD9A2EC" w14:textId="77777777" w:rsidR="00992815" w:rsidRPr="006B17A7" w:rsidRDefault="00992815" w:rsidP="00992815">
      <w:pPr>
        <w:widowControl w:val="0"/>
        <w:autoSpaceDE w:val="0"/>
        <w:autoSpaceDN w:val="0"/>
        <w:spacing w:before="1" w:after="0" w:line="240" w:lineRule="auto"/>
        <w:outlineLvl w:val="0"/>
        <w:rPr>
          <w:rFonts w:ascii="Verdana" w:eastAsia="Arial" w:hAnsi="Verdana" w:cs="Arial"/>
          <w:b/>
          <w:bCs/>
          <w:lang w:val="es-ES"/>
        </w:rPr>
      </w:pPr>
      <w:r w:rsidRPr="006B17A7">
        <w:rPr>
          <w:rFonts w:ascii="Verdana" w:eastAsia="Arial" w:hAnsi="Verdana" w:cs="Arial"/>
          <w:b/>
          <w:bCs/>
          <w:lang w:val="es-ES"/>
        </w:rPr>
        <w:t>5. Doctrina de la Agencia Nacional de Contratación Pública:</w:t>
      </w:r>
    </w:p>
    <w:p w14:paraId="244C2D00" w14:textId="77777777" w:rsidR="00992815" w:rsidRPr="006B17A7" w:rsidRDefault="00992815" w:rsidP="00992815">
      <w:pPr>
        <w:widowControl w:val="0"/>
        <w:autoSpaceDE w:val="0"/>
        <w:autoSpaceDN w:val="0"/>
        <w:spacing w:after="0" w:line="276" w:lineRule="auto"/>
        <w:jc w:val="both"/>
        <w:rPr>
          <w:rFonts w:ascii="Verdana" w:eastAsia="Aptos" w:hAnsi="Verdana" w:cs="Arial"/>
        </w:rPr>
      </w:pPr>
    </w:p>
    <w:p w14:paraId="196716BE" w14:textId="77777777" w:rsidR="00992815" w:rsidRPr="00ED0098" w:rsidRDefault="00992815" w:rsidP="00992815">
      <w:pPr>
        <w:widowControl w:val="0"/>
        <w:autoSpaceDE w:val="0"/>
        <w:autoSpaceDN w:val="0"/>
        <w:spacing w:after="0" w:line="276" w:lineRule="auto"/>
        <w:jc w:val="both"/>
        <w:rPr>
          <w:rStyle w:val="normaltextrun"/>
          <w:rFonts w:ascii="Verdana" w:hAnsi="Verdana" w:cs="Arial"/>
          <w:shd w:val="clear" w:color="auto" w:fill="FFFFFF"/>
        </w:rPr>
      </w:pPr>
      <w:r w:rsidRPr="00C134D9">
        <w:rPr>
          <w:rFonts w:ascii="Verdana" w:eastAsia="Calibri" w:hAnsi="Verdana" w:cs="Arial"/>
          <w:lang w:val="es-ES"/>
        </w:rPr>
        <w:t xml:space="preserve">La Agencia Nacional de Contratación Pública – Colombia Compra Eficiente se ha referido </w:t>
      </w:r>
      <w:r w:rsidRPr="00C134D9">
        <w:rPr>
          <w:rFonts w:ascii="Verdana" w:hAnsi="Verdana" w:cs="Arial"/>
          <w:shd w:val="clear" w:color="auto" w:fill="FFFFFF"/>
          <w:lang w:val="es-ES"/>
        </w:rPr>
        <w:t xml:space="preserve">sobre </w:t>
      </w:r>
      <w:r w:rsidRPr="00C134D9">
        <w:rPr>
          <w:rFonts w:ascii="Verdana" w:hAnsi="Verdana" w:cs="Arial"/>
          <w:bCs/>
          <w:shd w:val="clear" w:color="auto" w:fill="FFFFFF"/>
          <w:lang w:val="es-ES_tradnl"/>
        </w:rPr>
        <w:t xml:space="preserve">particularidades de la modalidad de selección de mínima cuantía </w:t>
      </w:r>
      <w:r w:rsidRPr="00C134D9">
        <w:rPr>
          <w:rFonts w:ascii="Verdana" w:hAnsi="Verdana" w:cs="Arial"/>
          <w:bCs/>
          <w:shd w:val="clear" w:color="auto" w:fill="FFFFFF"/>
          <w:lang w:val="es-ES_tradnl"/>
        </w:rPr>
        <w:lastRenderedPageBreak/>
        <w:t xml:space="preserve">en los conceptos con radicado No. 2201913000006236 de 26 de agosto de 2019, C–108 del 3 de marzo de 2020, C–121 del 3 de marzo de 2020, C–122 del 25 de marzo de 2020 y C–160 del 3 de abril de 2020, C-465 del 27 de julio de 2020, C-557 del 21 de agosto de 2020, C-734 del 16 de diciembre de 2020, C-123 del 12 de mayo de 2023, C-069 del 26 de febrero de 2025, C-069 del 26 de febrero de 2025, </w:t>
      </w:r>
      <w:r>
        <w:rPr>
          <w:rFonts w:ascii="Verdana" w:hAnsi="Verdana" w:cs="Arial"/>
          <w:bCs/>
          <w:shd w:val="clear" w:color="auto" w:fill="FFFFFF"/>
          <w:lang w:val="es-ES_tradnl"/>
        </w:rPr>
        <w:t xml:space="preserve">C-160 del 20 de marzo de 2025, </w:t>
      </w:r>
      <w:r w:rsidRPr="00C134D9">
        <w:rPr>
          <w:rFonts w:ascii="Verdana" w:hAnsi="Verdana" w:cs="Arial"/>
          <w:bCs/>
          <w:shd w:val="clear" w:color="auto" w:fill="FFFFFF"/>
          <w:lang w:val="es-ES_tradnl"/>
        </w:rPr>
        <w:t>C-945 del 23 de agosto de 2025, C-1183 del 19 de septiembre de 2025, C-003 del 12 de febrero de 2026, C-300 del 9 de abril de 2026, C-460 del 16 de abril de 2026,</w:t>
      </w:r>
      <w:r>
        <w:rPr>
          <w:rFonts w:ascii="Verdana" w:hAnsi="Verdana" w:cs="Arial"/>
          <w:bCs/>
          <w:shd w:val="clear" w:color="auto" w:fill="FFFFFF"/>
          <w:lang w:val="es-ES_tradnl"/>
        </w:rPr>
        <w:t xml:space="preserve"> Concepto C-632 del 29 de mayo de 2026</w:t>
      </w:r>
      <w:r w:rsidRPr="00C134D9">
        <w:rPr>
          <w:rFonts w:ascii="Verdana" w:hAnsi="Verdana" w:cs="Arial"/>
          <w:bCs/>
          <w:shd w:val="clear" w:color="auto" w:fill="FFFFFF"/>
          <w:lang w:val="es-ES_tradnl"/>
        </w:rPr>
        <w:t xml:space="preserve"> entre otros</w:t>
      </w:r>
      <w:r>
        <w:rPr>
          <w:rFonts w:ascii="Verdana" w:eastAsia="Calibri" w:hAnsi="Verdana" w:cs="Arial"/>
          <w:shd w:val="clear" w:color="auto" w:fill="FFFFFF"/>
        </w:rPr>
        <w:t>.</w:t>
      </w:r>
      <w:r>
        <w:rPr>
          <w:rStyle w:val="normaltextrun"/>
          <w:rFonts w:ascii="Verdana" w:hAnsi="Verdana" w:cs="Arial"/>
          <w:shd w:val="clear" w:color="auto" w:fill="FFFFFF"/>
        </w:rPr>
        <w:t xml:space="preserve"> </w:t>
      </w:r>
      <w:r w:rsidRPr="00E278D2">
        <w:rPr>
          <w:rStyle w:val="normaltextrun"/>
          <w:rFonts w:ascii="Verdana" w:hAnsi="Verdana" w:cs="Arial"/>
          <w:shd w:val="clear" w:color="auto" w:fill="FFFFFF"/>
        </w:rPr>
        <w:t>Estos y otros conceptos se encuentran disponibles para consulta en el Sistema de relatoría de la Agencia</w:t>
      </w:r>
      <w:r w:rsidRPr="00A1554D">
        <w:rPr>
          <w:rFonts w:ascii="Verdana" w:hAnsi="Verdana"/>
        </w:rPr>
        <w:t>, al cual puede acceder</w:t>
      </w:r>
      <w:r>
        <w:rPr>
          <w:rFonts w:ascii="Verdana" w:hAnsi="Verdana"/>
        </w:rPr>
        <w:t>se</w:t>
      </w:r>
      <w:r w:rsidRPr="00A1554D">
        <w:rPr>
          <w:rFonts w:ascii="Verdana" w:hAnsi="Verdana"/>
        </w:rPr>
        <w:t xml:space="preserve"> a través del siguiente enlace:</w:t>
      </w:r>
      <w:r>
        <w:rPr>
          <w:rFonts w:ascii="Verdana" w:hAnsi="Verdana" w:cs="Arial"/>
          <w:shd w:val="clear" w:color="auto" w:fill="FFFFFF"/>
        </w:rPr>
        <w:t xml:space="preserv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22E04447" w14:textId="77777777" w:rsidR="00992815" w:rsidRPr="00115E3D" w:rsidRDefault="00992815" w:rsidP="00992815">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115E3D">
        <w:rPr>
          <w:rStyle w:val="normaltextrun"/>
          <w:rFonts w:ascii="Verdana" w:hAnsi="Verdana" w:cs="Arial"/>
          <w:color w:val="000000" w:themeColor="text1"/>
          <w:shd w:val="clear" w:color="auto" w:fill="FFFFFF"/>
          <w:lang w:val="es-ES"/>
        </w:rPr>
        <w:t xml:space="preserve">  </w:t>
      </w:r>
    </w:p>
    <w:p w14:paraId="10A815B0" w14:textId="77777777" w:rsidR="00992815" w:rsidRPr="009A385A" w:rsidRDefault="00992815" w:rsidP="00992815">
      <w:pPr>
        <w:jc w:val="both"/>
        <w:rPr>
          <w:rFonts w:ascii="Verdana" w:hAnsi="Verdana"/>
        </w:rPr>
      </w:pPr>
      <w:r w:rsidRPr="009A385A">
        <w:rPr>
          <w:rFonts w:ascii="Verdana" w:hAnsi="Verdana"/>
        </w:rPr>
        <w:t xml:space="preserve">La sostenibilidad no es una opción, es una </w:t>
      </w:r>
      <w:r>
        <w:rPr>
          <w:rFonts w:ascii="Verdana" w:hAnsi="Verdana"/>
        </w:rPr>
        <w:t>obligación</w:t>
      </w:r>
      <w:r w:rsidRPr="009A385A">
        <w:rPr>
          <w:rFonts w:ascii="Verdana" w:hAnsi="Verdana"/>
        </w:rPr>
        <w:t xml:space="preserve">. Por ello, la Agencia Nacional de Contratación Pública –Colombia Compra Eficiente– te invita a realizar el </w:t>
      </w:r>
      <w:r w:rsidRPr="009A385A">
        <w:rPr>
          <w:rFonts w:ascii="Verdana" w:hAnsi="Verdana"/>
          <w:b/>
          <w:bCs/>
        </w:rPr>
        <w:t>Curso de Contratación Pública Sostenible y Socialmente Responsable</w:t>
      </w:r>
      <w:r w:rsidRPr="009A385A">
        <w:rPr>
          <w:rFonts w:ascii="Verdana" w:hAnsi="Verdana"/>
        </w:rPr>
        <w:t xml:space="preserve">, una herramienta clave para fortalecer las capacidades de todos los </w:t>
      </w:r>
      <w:r>
        <w:rPr>
          <w:rFonts w:ascii="Verdana" w:hAnsi="Verdana"/>
        </w:rPr>
        <w:t xml:space="preserve">compradores públicos, proveedores, servidores públicos v para </w:t>
      </w:r>
      <w:r w:rsidRPr="009A385A">
        <w:rPr>
          <w:rFonts w:ascii="Verdana" w:hAnsi="Verdana"/>
        </w:rPr>
        <w:t>generar mayor valor público. Accede al curso</w:t>
      </w:r>
      <w:r>
        <w:rPr>
          <w:rFonts w:ascii="Verdana" w:hAnsi="Verdana"/>
        </w:rPr>
        <w:t xml:space="preserve"> y aprende como implementar criterios sociales y ambientales en las diferentes etapas del proceso de contratación</w:t>
      </w:r>
      <w:r w:rsidRPr="009A385A">
        <w:rPr>
          <w:rFonts w:ascii="Verdana" w:hAnsi="Verdana"/>
        </w:rPr>
        <w:t>:</w:t>
      </w:r>
      <w:r w:rsidRPr="009A385A">
        <w:rPr>
          <w:rFonts w:ascii="Verdana" w:hAnsi="Verdana"/>
        </w:rPr>
        <w:br/>
      </w:r>
      <w:hyperlink r:id="rId14" w:tgtFrame="_new" w:history="1">
        <w:r w:rsidRPr="009A385A">
          <w:rPr>
            <w:rStyle w:val="Hipervnculo"/>
            <w:rFonts w:ascii="Verdana" w:hAnsi="Verdana"/>
          </w:rPr>
          <w:t>https://formacionvirtual.colombiacompra.gov.co/mod/page/view.php?id=3718</w:t>
        </w:r>
      </w:hyperlink>
    </w:p>
    <w:p w14:paraId="1B54B5C4" w14:textId="77777777" w:rsidR="00992815" w:rsidRDefault="00992815" w:rsidP="00992815">
      <w:pPr>
        <w:jc w:val="both"/>
        <w:rPr>
          <w:rFonts w:ascii="Verdana" w:hAnsi="Verdana"/>
        </w:rPr>
      </w:pPr>
      <w:r>
        <w:rPr>
          <w:rFonts w:ascii="Verdana" w:hAnsi="Verdana"/>
        </w:rPr>
        <w:t>De otro lado, te contamos que</w:t>
      </w:r>
      <w:r w:rsidRPr="00B36954">
        <w:rPr>
          <w:rFonts w:ascii="Verdana" w:hAnsi="Verdana"/>
        </w:rPr>
        <w:t xml:space="preserve"> </w:t>
      </w:r>
      <w:r>
        <w:rPr>
          <w:rFonts w:ascii="Verdana" w:hAnsi="Verdana"/>
        </w:rPr>
        <w:t>esta</w:t>
      </w:r>
      <w:r w:rsidRPr="00B36954">
        <w:rPr>
          <w:rFonts w:ascii="Verdana" w:hAnsi="Verdana"/>
        </w:rPr>
        <w:t xml:space="preserve"> Agencia </w:t>
      </w:r>
      <w:r>
        <w:rPr>
          <w:rFonts w:ascii="Verdana" w:hAnsi="Verdana"/>
        </w:rPr>
        <w:t xml:space="preserve">ha </w:t>
      </w:r>
      <w:r w:rsidRPr="00635F16">
        <w:rPr>
          <w:rFonts w:ascii="Verdana" w:hAnsi="Verdana"/>
        </w:rPr>
        <w:t xml:space="preserve">da un paso decisivo en la estandarización y modernización del </w:t>
      </w:r>
      <w:r w:rsidRPr="009A385A">
        <w:rPr>
          <w:rFonts w:ascii="Verdana" w:hAnsi="Verdana"/>
          <w:b/>
          <w:bCs/>
        </w:rPr>
        <w:t>sector  social</w:t>
      </w:r>
      <w:r w:rsidRPr="00635F16">
        <w:rPr>
          <w:rFonts w:ascii="Verdana" w:hAnsi="Verdana"/>
        </w:rPr>
        <w:t xml:space="preserve"> con la expedición de las </w:t>
      </w:r>
      <w:r w:rsidRPr="009A385A">
        <w:rPr>
          <w:rFonts w:ascii="Verdana" w:hAnsi="Verdana"/>
          <w:b/>
          <w:bCs/>
        </w:rPr>
        <w:t>Resoluciones 539, 540, 541, 952 y 953 de 2025</w:t>
      </w:r>
      <w:r w:rsidRPr="00635F16">
        <w:rPr>
          <w:rFonts w:ascii="Verdana" w:hAnsi="Verdana"/>
        </w:rPr>
        <w:t xml:space="preserve">, </w:t>
      </w:r>
      <w:r w:rsidRPr="009A385A">
        <w:rPr>
          <w:rFonts w:ascii="Verdana" w:hAnsi="Verdana"/>
          <w:b/>
          <w:bCs/>
        </w:rPr>
        <w:t>mediante las cuales adopt</w:t>
      </w:r>
      <w:r>
        <w:rPr>
          <w:rFonts w:ascii="Verdana" w:hAnsi="Verdana"/>
          <w:b/>
          <w:bCs/>
        </w:rPr>
        <w:t>ó</w:t>
      </w:r>
      <w:r w:rsidRPr="009A385A">
        <w:rPr>
          <w:rFonts w:ascii="Verdana" w:hAnsi="Verdana"/>
          <w:b/>
          <w:bCs/>
        </w:rPr>
        <w:t xml:space="preserve"> Documentos Tipo</w:t>
      </w:r>
      <w:r w:rsidRPr="00635F16">
        <w:rPr>
          <w:rFonts w:ascii="Verdana" w:hAnsi="Verdana"/>
        </w:rPr>
        <w:t xml:space="preserve"> para</w:t>
      </w:r>
      <w:r>
        <w:rPr>
          <w:rFonts w:ascii="Verdana" w:hAnsi="Verdana"/>
        </w:rPr>
        <w:t xml:space="preserve"> las modalidades de selección </w:t>
      </w:r>
      <w:r w:rsidRPr="007D7084">
        <w:rPr>
          <w:rFonts w:ascii="Verdana" w:hAnsi="Verdana"/>
        </w:rPr>
        <w:t>de</w:t>
      </w:r>
      <w:r w:rsidRPr="009A385A">
        <w:rPr>
          <w:rFonts w:ascii="Verdana" w:hAnsi="Verdana"/>
          <w:b/>
          <w:bCs/>
        </w:rPr>
        <w:t xml:space="preserve"> licitación pública (versión 2), selección abreviada de menor cuantía, mínima cuantía, consultoría e interventoría</w:t>
      </w:r>
      <w:r w:rsidRPr="00635F16">
        <w:rPr>
          <w:rFonts w:ascii="Verdana" w:hAnsi="Verdana"/>
        </w:rPr>
        <w:t>, promoviendo procesos más transparentes, eficientes  competitivos</w:t>
      </w:r>
      <w:r>
        <w:rPr>
          <w:rFonts w:ascii="Verdana" w:hAnsi="Verdana"/>
        </w:rPr>
        <w:t xml:space="preserve"> y sostenibles</w:t>
      </w:r>
      <w:r w:rsidRPr="00635F16">
        <w:rPr>
          <w:rFonts w:ascii="Verdana" w:hAnsi="Verdana"/>
        </w:rPr>
        <w:t xml:space="preserve"> en sectores estratégicos como educación, salud, cultura, recreación</w:t>
      </w:r>
      <w:r>
        <w:rPr>
          <w:rFonts w:ascii="Verdana" w:hAnsi="Verdana"/>
        </w:rPr>
        <w:t xml:space="preserve">, </w:t>
      </w:r>
      <w:r w:rsidRPr="00635F16">
        <w:rPr>
          <w:rFonts w:ascii="Verdana" w:hAnsi="Verdana"/>
        </w:rPr>
        <w:t xml:space="preserve">deporte, institucional y vivienda. Consulta y descarga los documentos aquí: </w:t>
      </w:r>
      <w:hyperlink r:id="rId15" w:tgtFrame="_new" w:history="1">
        <w:r w:rsidRPr="00635F16">
          <w:rPr>
            <w:rStyle w:val="Hipervnculo"/>
            <w:rFonts w:ascii="Verdana" w:hAnsi="Verdana"/>
          </w:rPr>
          <w:t>https://www.colombiacompra.gov.co/normativa-y-relatoria/documentos-tipo</w:t>
        </w:r>
      </w:hyperlink>
    </w:p>
    <w:p w14:paraId="1BCDD5DB" w14:textId="77777777" w:rsidR="00992815" w:rsidRPr="009A385A" w:rsidRDefault="00992815" w:rsidP="00992815">
      <w:pPr>
        <w:jc w:val="both"/>
        <w:rPr>
          <w:rFonts w:ascii="Verdana" w:hAnsi="Verdana"/>
        </w:rPr>
      </w:pPr>
      <w:r>
        <w:rPr>
          <w:rFonts w:ascii="Verdana" w:hAnsi="Verdana"/>
        </w:rPr>
        <w:t>Si quieres conocer más sobre la aplicación de Documentos Tipo</w:t>
      </w:r>
      <w:r w:rsidRPr="009A385A">
        <w:rPr>
          <w:rFonts w:ascii="Verdana" w:hAnsi="Verdana"/>
        </w:rPr>
        <w:t xml:space="preserve"> </w:t>
      </w:r>
      <w:r>
        <w:rPr>
          <w:rFonts w:ascii="Verdana" w:hAnsi="Verdana"/>
        </w:rPr>
        <w:t xml:space="preserve">puedes </w:t>
      </w:r>
      <w:r w:rsidRPr="00797327">
        <w:rPr>
          <w:rFonts w:ascii="Verdana" w:hAnsi="Verdana"/>
        </w:rPr>
        <w:t>consulta</w:t>
      </w:r>
      <w:r>
        <w:rPr>
          <w:rFonts w:ascii="Verdana" w:hAnsi="Verdana"/>
        </w:rPr>
        <w:t>r</w:t>
      </w:r>
      <w:r w:rsidRPr="009A385A">
        <w:rPr>
          <w:rFonts w:ascii="Verdana" w:hAnsi="Verdana"/>
        </w:rPr>
        <w:t xml:space="preserve"> la</w:t>
      </w:r>
      <w:r w:rsidRPr="00797327">
        <w:rPr>
          <w:rFonts w:ascii="Verdana" w:hAnsi="Verdana"/>
        </w:rPr>
        <w:t xml:space="preserve"> última versión de la</w:t>
      </w:r>
      <w:r w:rsidRPr="009A385A">
        <w:rPr>
          <w:rFonts w:ascii="Verdana" w:hAnsi="Verdana"/>
        </w:rPr>
        <w:t xml:space="preserve"> </w:t>
      </w:r>
      <w:r w:rsidRPr="009A385A">
        <w:rPr>
          <w:rFonts w:ascii="Verdana" w:hAnsi="Verdana"/>
          <w:b/>
          <w:bCs/>
        </w:rPr>
        <w:t>Guía para la comprensión e implementación de los Documentos Tipo de obra pública de infraestructura de transporte</w:t>
      </w:r>
      <w:r w:rsidRPr="00797327">
        <w:rPr>
          <w:rFonts w:ascii="Verdana" w:hAnsi="Verdana"/>
        </w:rPr>
        <w:t xml:space="preserve">. En </w:t>
      </w:r>
      <w:r>
        <w:rPr>
          <w:rFonts w:ascii="Verdana" w:hAnsi="Verdana"/>
        </w:rPr>
        <w:t xml:space="preserve">esta </w:t>
      </w:r>
      <w:r w:rsidRPr="00797327">
        <w:rPr>
          <w:rFonts w:ascii="Verdana" w:hAnsi="Verdana"/>
        </w:rPr>
        <w:t>actualización</w:t>
      </w:r>
      <w:r>
        <w:rPr>
          <w:rFonts w:ascii="Verdana" w:hAnsi="Verdana"/>
        </w:rPr>
        <w:t xml:space="preserve"> </w:t>
      </w:r>
      <w:r w:rsidRPr="00797327">
        <w:rPr>
          <w:rFonts w:ascii="Verdana" w:hAnsi="Verdana"/>
        </w:rPr>
        <w:t>se incorporaron orientaciones prácticas dirigidas a entidades públicas, proveedores, organismos de control y demás interesados, con el propósito de facilitar la adecuada implementación de est</w:t>
      </w:r>
      <w:r>
        <w:rPr>
          <w:rFonts w:ascii="Verdana" w:hAnsi="Verdana"/>
        </w:rPr>
        <w:t>os</w:t>
      </w:r>
      <w:r w:rsidRPr="00797327">
        <w:rPr>
          <w:rFonts w:ascii="Verdana" w:hAnsi="Verdana"/>
        </w:rPr>
        <w:t xml:space="preserve"> instrumento</w:t>
      </w:r>
      <w:r>
        <w:rPr>
          <w:rFonts w:ascii="Verdana" w:hAnsi="Verdana"/>
        </w:rPr>
        <w:t>s</w:t>
      </w:r>
      <w:r w:rsidRPr="00797327">
        <w:rPr>
          <w:rFonts w:ascii="Verdana" w:hAnsi="Verdana"/>
        </w:rPr>
        <w:t xml:space="preserve"> en los </w:t>
      </w:r>
      <w:r w:rsidRPr="00797327">
        <w:rPr>
          <w:rFonts w:ascii="Verdana" w:hAnsi="Verdana"/>
        </w:rPr>
        <w:lastRenderedPageBreak/>
        <w:t>procesos contractuales.</w:t>
      </w:r>
      <w:r w:rsidRPr="009A385A">
        <w:rPr>
          <w:rFonts w:ascii="Verdana" w:hAnsi="Verdana"/>
        </w:rPr>
        <w:t xml:space="preserve"> </w:t>
      </w:r>
      <w:r w:rsidRPr="00797327">
        <w:rPr>
          <w:rFonts w:ascii="Verdana" w:hAnsi="Verdana"/>
        </w:rPr>
        <w:t>Además se incluye</w:t>
      </w:r>
      <w:r>
        <w:rPr>
          <w:rFonts w:ascii="Verdana" w:hAnsi="Verdana"/>
        </w:rPr>
        <w:t>ron</w:t>
      </w:r>
      <w:r w:rsidRPr="00797327">
        <w:rPr>
          <w:rFonts w:ascii="Verdana" w:hAnsi="Verdana"/>
        </w:rPr>
        <w:t xml:space="preserve"> lineamientos que orientan la implementación de los criterios ambientales y sociales incluidos en los documentos tipo: </w:t>
      </w:r>
      <w:r w:rsidRPr="009A385A">
        <w:rPr>
          <w:rFonts w:ascii="Verdana" w:hAnsi="Verdana"/>
        </w:rPr>
        <w:t>Consulta la guía aquí:</w:t>
      </w:r>
      <w:r w:rsidRPr="009A385A">
        <w:rPr>
          <w:rFonts w:ascii="Verdana" w:hAnsi="Verdana"/>
        </w:rPr>
        <w:br/>
      </w:r>
      <w:hyperlink r:id="rId16" w:tgtFrame="_new" w:history="1">
        <w:r w:rsidRPr="009A385A">
          <w:rPr>
            <w:rStyle w:val="Hipervnculo"/>
            <w:rFonts w:ascii="Verdana" w:hAnsi="Verdana"/>
          </w:rPr>
          <w:t>https://www.colombiacompra.gov.co/archivos/manual/guia-para-la-comprension-e-implementacion-de-los-documentos-tipo-de-obra-publica-de-infraestructura-de-transporte-bajo-las-diferentes-modalidades-de-contratacion-vigentes</w:t>
        </w:r>
      </w:hyperlink>
    </w:p>
    <w:p w14:paraId="4291E822" w14:textId="77777777" w:rsidR="00992815" w:rsidRPr="00115E3D" w:rsidRDefault="00992815" w:rsidP="00992815">
      <w:pPr>
        <w:spacing w:after="0" w:line="240" w:lineRule="auto"/>
        <w:jc w:val="both"/>
        <w:rPr>
          <w:rFonts w:ascii="Verdana" w:hAnsi="Verdana"/>
          <w:color w:val="000000" w:themeColor="text1"/>
        </w:rPr>
      </w:pPr>
      <w:r>
        <w:rPr>
          <w:rFonts w:ascii="Verdana" w:hAnsi="Verdana"/>
          <w:color w:val="000000" w:themeColor="text1"/>
        </w:rPr>
        <w:t>L</w:t>
      </w:r>
      <w:r w:rsidRPr="00115E3D">
        <w:rPr>
          <w:rFonts w:ascii="Verdana" w:hAnsi="Verdana"/>
          <w:color w:val="000000" w:themeColor="text1"/>
        </w:rPr>
        <w:t xml:space="preserve">o invitamos a seguirnos en las redes sociales en las cuales se difunde información institucional: </w:t>
      </w:r>
    </w:p>
    <w:p w14:paraId="72833551" w14:textId="77777777" w:rsidR="00992815" w:rsidRPr="00115E3D" w:rsidRDefault="00992815" w:rsidP="00992815">
      <w:pPr>
        <w:spacing w:after="0" w:line="240" w:lineRule="auto"/>
        <w:jc w:val="both"/>
        <w:rPr>
          <w:rFonts w:ascii="Verdana" w:hAnsi="Verdana"/>
          <w:color w:val="000000" w:themeColor="text1"/>
        </w:rPr>
      </w:pPr>
    </w:p>
    <w:p w14:paraId="2EA163E1" w14:textId="77777777" w:rsidR="00992815" w:rsidRPr="00115E3D" w:rsidRDefault="00992815" w:rsidP="00992815">
      <w:pPr>
        <w:spacing w:after="0" w:line="240"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00818788" w14:textId="77777777" w:rsidR="00992815" w:rsidRPr="00115E3D" w:rsidRDefault="00992815" w:rsidP="00992815">
      <w:pPr>
        <w:spacing w:after="0" w:line="240" w:lineRule="auto"/>
        <w:jc w:val="both"/>
        <w:rPr>
          <w:rFonts w:ascii="Verdana" w:hAnsi="Verdana"/>
          <w:color w:val="000000" w:themeColor="text1"/>
        </w:rPr>
      </w:pPr>
      <w:r w:rsidRPr="00115E3D">
        <w:rPr>
          <w:rFonts w:ascii="Verdana" w:hAnsi="Verdana"/>
          <w:color w:val="000000" w:themeColor="text1"/>
        </w:rPr>
        <w:t xml:space="preserve">Facebook: </w:t>
      </w:r>
      <w:r w:rsidRPr="00115E3D">
        <w:rPr>
          <w:rStyle w:val="Hipervnculo"/>
          <w:rFonts w:ascii="Verdana" w:hAnsi="Verdana"/>
          <w:color w:val="000000" w:themeColor="text1"/>
        </w:rPr>
        <w:t>ColombiaCompraEficiente</w:t>
      </w:r>
    </w:p>
    <w:p w14:paraId="04392941" w14:textId="77777777" w:rsidR="00992815" w:rsidRPr="00115E3D" w:rsidRDefault="00992815" w:rsidP="00992815">
      <w:pPr>
        <w:spacing w:after="0" w:line="240"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1FF0429C" w14:textId="77777777" w:rsidR="00992815" w:rsidRPr="00115E3D" w:rsidRDefault="00992815" w:rsidP="00992815">
      <w:pPr>
        <w:widowControl w:val="0"/>
        <w:autoSpaceDE w:val="0"/>
        <w:autoSpaceDN w:val="0"/>
        <w:spacing w:after="0" w:line="276" w:lineRule="auto"/>
        <w:jc w:val="both"/>
        <w:rPr>
          <w:rFonts w:ascii="Verdana" w:hAnsi="Verdana" w:cs="Arial"/>
          <w:color w:val="000000" w:themeColor="text1"/>
        </w:rPr>
      </w:pPr>
    </w:p>
    <w:p w14:paraId="5F382F26" w14:textId="77777777" w:rsidR="00992815" w:rsidRPr="00115E3D" w:rsidRDefault="00992815" w:rsidP="00992815">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0975A282" w14:textId="77777777" w:rsidR="00992815" w:rsidRDefault="00992815" w:rsidP="00992815">
      <w:pPr>
        <w:spacing w:after="0" w:line="240" w:lineRule="auto"/>
        <w:rPr>
          <w:rFonts w:ascii="Verdana" w:eastAsia="Times New Roman" w:hAnsi="Verdana" w:cs="Arial"/>
          <w:color w:val="000000" w:themeColor="text1"/>
          <w:lang w:eastAsia="es-CO"/>
        </w:rPr>
      </w:pPr>
    </w:p>
    <w:p w14:paraId="00E7FAFF" w14:textId="77777777" w:rsidR="00992815" w:rsidRDefault="00992815" w:rsidP="00992815">
      <w:pPr>
        <w:spacing w:after="0" w:line="240" w:lineRule="auto"/>
        <w:rPr>
          <w:rFonts w:ascii="Verdana" w:eastAsia="Times New Roman" w:hAnsi="Verdana" w:cs="Arial"/>
          <w:color w:val="000000" w:themeColor="text1"/>
          <w:lang w:eastAsia="es-CO"/>
        </w:rPr>
      </w:pPr>
    </w:p>
    <w:p w14:paraId="5E94AABA" w14:textId="77777777" w:rsidR="00992815" w:rsidRPr="00115E3D" w:rsidRDefault="00992815" w:rsidP="00992815">
      <w:pPr>
        <w:spacing w:after="0" w:line="240" w:lineRule="auto"/>
        <w:rPr>
          <w:rFonts w:ascii="Verdana" w:hAnsi="Verdana" w:cs="Arial"/>
          <w:color w:val="000000" w:themeColor="text1"/>
          <w:lang w:eastAsia="es-CO"/>
        </w:rPr>
      </w:pPr>
      <w:r w:rsidRPr="00115E3D">
        <w:rPr>
          <w:rFonts w:ascii="Verdana" w:eastAsia="Times New Roman" w:hAnsi="Verdana" w:cs="Arial"/>
          <w:color w:val="000000" w:themeColor="text1"/>
          <w:lang w:eastAsia="es-CO"/>
        </w:rPr>
        <w:t>Atentamente,</w:t>
      </w:r>
      <w:r w:rsidRPr="00115E3D">
        <w:rPr>
          <w:rFonts w:ascii="Verdana" w:hAnsi="Verdana" w:cs="Arial"/>
          <w:color w:val="000000" w:themeColor="text1"/>
          <w:lang w:eastAsia="es-CO"/>
        </w:rPr>
        <w:t xml:space="preserve"> </w:t>
      </w:r>
    </w:p>
    <w:p w14:paraId="620DA78E" w14:textId="26E9678F" w:rsidR="003D48CF" w:rsidRDefault="003D48CF" w:rsidP="00992815">
      <w:pPr>
        <w:spacing w:line="276" w:lineRule="auto"/>
        <w:jc w:val="center"/>
        <w:rPr>
          <w:noProof/>
        </w:rPr>
      </w:pPr>
      <w:r>
        <w:rPr>
          <w:noProof/>
        </w:rPr>
        <w:drawing>
          <wp:inline distT="0" distB="0" distL="0" distR="0" wp14:anchorId="7B710648" wp14:editId="578FC269">
            <wp:extent cx="2802255" cy="1202959"/>
            <wp:effectExtent l="0" t="0" r="0" b="0"/>
            <wp:docPr id="119422014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14413" cy="120817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992815" w:rsidRPr="00115E3D" w14:paraId="03948AB4" w14:textId="77777777" w:rsidTr="00B4022F">
        <w:trPr>
          <w:trHeight w:val="315"/>
        </w:trPr>
        <w:tc>
          <w:tcPr>
            <w:tcW w:w="893" w:type="dxa"/>
            <w:vAlign w:val="center"/>
            <w:hideMark/>
          </w:tcPr>
          <w:p w14:paraId="4E81AD56" w14:textId="77777777" w:rsidR="00992815" w:rsidRPr="00115E3D" w:rsidRDefault="00992815" w:rsidP="00B4022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FE3A909" w14:textId="77777777" w:rsidR="00992815" w:rsidRPr="00115E3D" w:rsidRDefault="00992815" w:rsidP="00B4022F">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Daniel Eduardo Rojas Poveda</w:t>
            </w:r>
          </w:p>
          <w:p w14:paraId="3BD8B495" w14:textId="77777777" w:rsidR="00992815" w:rsidRPr="00115E3D" w:rsidRDefault="00992815" w:rsidP="00B4022F">
            <w:pPr>
              <w:contextualSpacing/>
              <w:rPr>
                <w:rFonts w:ascii="Verdana" w:eastAsia="Arial" w:hAnsi="Verdana" w:cs="Arial"/>
                <w:color w:val="000000" w:themeColor="text1"/>
                <w:sz w:val="16"/>
                <w:szCs w:val="16"/>
              </w:rPr>
            </w:pPr>
            <w:r w:rsidRPr="00AB5151">
              <w:rPr>
                <w:rStyle w:val="normaltextrun"/>
                <w:rFonts w:ascii="Verdana" w:eastAsia="Arial" w:hAnsi="Verdana" w:cs="Times New Roman"/>
                <w:color w:val="000000" w:themeColor="text1"/>
                <w:sz w:val="16"/>
                <w:szCs w:val="16"/>
              </w:rPr>
              <w:t>C</w:t>
            </w:r>
            <w:r w:rsidRPr="00AB5151">
              <w:rPr>
                <w:rStyle w:val="normaltextrun"/>
                <w:rFonts w:ascii="Verdana" w:eastAsia="Arial" w:hAnsi="Verdana" w:cs="Times New Roman"/>
                <w:sz w:val="16"/>
                <w:szCs w:val="16"/>
              </w:rPr>
              <w:t xml:space="preserve">ontratista </w:t>
            </w:r>
            <w:r w:rsidRPr="00115E3D">
              <w:rPr>
                <w:rStyle w:val="normaltextrun"/>
                <w:rFonts w:ascii="Verdana" w:eastAsia="Arial" w:hAnsi="Verdana" w:cs="Arial"/>
                <w:color w:val="000000" w:themeColor="text1"/>
                <w:sz w:val="16"/>
                <w:szCs w:val="16"/>
              </w:rPr>
              <w:t>de la Subdirección de Gestión Contractual</w:t>
            </w:r>
          </w:p>
        </w:tc>
      </w:tr>
      <w:tr w:rsidR="00992815" w:rsidRPr="00115E3D" w14:paraId="4B68A760" w14:textId="77777777" w:rsidTr="00B4022F">
        <w:trPr>
          <w:trHeight w:val="330"/>
        </w:trPr>
        <w:tc>
          <w:tcPr>
            <w:tcW w:w="893" w:type="dxa"/>
            <w:vAlign w:val="center"/>
            <w:hideMark/>
          </w:tcPr>
          <w:p w14:paraId="7499D54F" w14:textId="77777777" w:rsidR="00992815" w:rsidRPr="00115E3D" w:rsidRDefault="00992815" w:rsidP="00B4022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C992133" w14:textId="77777777" w:rsidR="00992815" w:rsidRDefault="00992815" w:rsidP="00B4022F">
            <w:pPr>
              <w:pStyle w:val="paragraph"/>
              <w:spacing w:before="0" w:beforeAutospacing="0" w:after="0" w:afterAutospacing="0"/>
              <w:contextualSpacing/>
              <w:textAlignment w:val="baseline"/>
              <w:rPr>
                <w:rFonts w:ascii="Verdana" w:hAnsi="Verdana" w:cs="Segoe UI"/>
                <w:color w:val="000000" w:themeColor="text1"/>
                <w:sz w:val="16"/>
                <w:szCs w:val="16"/>
              </w:rPr>
            </w:pPr>
            <w:r w:rsidRPr="007879E1">
              <w:rPr>
                <w:rFonts w:ascii="Verdana" w:hAnsi="Verdana" w:cs="Segoe UI"/>
                <w:color w:val="000000" w:themeColor="text1"/>
                <w:sz w:val="16"/>
                <w:szCs w:val="16"/>
              </w:rPr>
              <w:t xml:space="preserve">Diana </w:t>
            </w:r>
            <w:r>
              <w:rPr>
                <w:rFonts w:ascii="Verdana" w:hAnsi="Verdana" w:cs="Segoe UI"/>
                <w:color w:val="000000" w:themeColor="text1"/>
                <w:sz w:val="16"/>
                <w:szCs w:val="16"/>
              </w:rPr>
              <w:t xml:space="preserve">Lucia </w:t>
            </w:r>
            <w:r w:rsidRPr="007879E1">
              <w:rPr>
                <w:rFonts w:ascii="Verdana" w:hAnsi="Verdana" w:cs="Segoe UI"/>
                <w:color w:val="000000" w:themeColor="text1"/>
                <w:sz w:val="16"/>
                <w:szCs w:val="16"/>
              </w:rPr>
              <w:t>Saavedra</w:t>
            </w:r>
          </w:p>
          <w:p w14:paraId="299B71C7" w14:textId="77777777" w:rsidR="00992815" w:rsidRPr="00115E3D" w:rsidRDefault="00992815" w:rsidP="00B4022F">
            <w:pPr>
              <w:pStyle w:val="paragraph"/>
              <w:spacing w:before="0" w:beforeAutospacing="0" w:after="0" w:afterAutospacing="0"/>
              <w:contextualSpacing/>
              <w:textAlignment w:val="baseline"/>
              <w:rPr>
                <w:rFonts w:ascii="Verdana" w:hAnsi="Verdana" w:cs="Segoe UI"/>
                <w:color w:val="000000" w:themeColor="text1"/>
                <w:sz w:val="16"/>
                <w:szCs w:val="16"/>
              </w:rPr>
            </w:pPr>
            <w:r>
              <w:rPr>
                <w:rStyle w:val="normaltextrun"/>
                <w:rFonts w:ascii="Verdana" w:hAnsi="Verdana" w:cs="Arial"/>
                <w:color w:val="000000" w:themeColor="text1"/>
                <w:sz w:val="16"/>
                <w:szCs w:val="16"/>
                <w:lang w:val="es-ES"/>
              </w:rPr>
              <w:t>Contratista</w:t>
            </w:r>
            <w:r w:rsidRPr="00115E3D">
              <w:rPr>
                <w:rStyle w:val="normaltextrun"/>
                <w:rFonts w:ascii="Verdana" w:hAnsi="Verdana" w:cs="Arial"/>
                <w:color w:val="000000" w:themeColor="text1"/>
                <w:sz w:val="16"/>
                <w:szCs w:val="16"/>
                <w:lang w:val="es-ES"/>
              </w:rPr>
              <w:t xml:space="preserve"> de la Subdirección de Gestión Contractual</w:t>
            </w:r>
            <w:r w:rsidRPr="00115E3D">
              <w:rPr>
                <w:rStyle w:val="eop"/>
                <w:rFonts w:ascii="Verdana" w:hAnsi="Verdana" w:cs="Arial"/>
                <w:color w:val="000000" w:themeColor="text1"/>
                <w:sz w:val="16"/>
                <w:szCs w:val="16"/>
              </w:rPr>
              <w:t> </w:t>
            </w:r>
          </w:p>
        </w:tc>
      </w:tr>
      <w:tr w:rsidR="00992815" w:rsidRPr="00115E3D" w14:paraId="15A8BF02" w14:textId="77777777" w:rsidTr="00B4022F">
        <w:trPr>
          <w:trHeight w:val="300"/>
        </w:trPr>
        <w:tc>
          <w:tcPr>
            <w:tcW w:w="893" w:type="dxa"/>
            <w:vAlign w:val="center"/>
          </w:tcPr>
          <w:p w14:paraId="08E9DDAD" w14:textId="77777777" w:rsidR="00992815" w:rsidRPr="00115E3D" w:rsidRDefault="00992815" w:rsidP="00B4022F">
            <w:pPr>
              <w:contextualSpacing/>
              <w:rPr>
                <w:rFonts w:ascii="Verdana" w:hAnsi="Verdana" w:cs="Arial"/>
                <w:color w:val="000000" w:themeColor="text1"/>
                <w:sz w:val="16"/>
                <w:szCs w:val="16"/>
                <w:lang w:val="es-ES" w:eastAsia="es-ES"/>
              </w:rPr>
            </w:pPr>
            <w:r w:rsidRPr="00115E3D">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E9FA7C" w14:textId="77777777" w:rsidR="00992815" w:rsidRPr="00115E3D" w:rsidRDefault="00992815" w:rsidP="00B4022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val="pt-BR" w:eastAsia="es-ES"/>
              </w:rPr>
              <w:t>Carolina Quintero Gacharná</w:t>
            </w:r>
          </w:p>
          <w:p w14:paraId="413B2935" w14:textId="2C55F5B1" w:rsidR="00992815" w:rsidRPr="00115E3D" w:rsidRDefault="00992815" w:rsidP="00B4022F">
            <w:pPr>
              <w:contextualSpacing/>
              <w:rPr>
                <w:rFonts w:ascii="Verdana" w:eastAsia="Calibri" w:hAnsi="Verdana" w:cs="Arial"/>
                <w:color w:val="000000" w:themeColor="text1"/>
                <w:sz w:val="16"/>
                <w:szCs w:val="16"/>
                <w:lang w:val="pt-BR" w:eastAsia="es-ES"/>
              </w:rPr>
            </w:pPr>
            <w:r w:rsidRPr="00115E3D">
              <w:rPr>
                <w:rFonts w:ascii="Verdana" w:eastAsia="Calibri" w:hAnsi="Verdana" w:cs="Arial"/>
                <w:color w:val="000000" w:themeColor="text1"/>
                <w:sz w:val="16"/>
                <w:szCs w:val="16"/>
                <w:lang w:eastAsia="es-ES"/>
              </w:rPr>
              <w:t>Subdirectora</w:t>
            </w:r>
            <w:r w:rsidRPr="00115E3D">
              <w:rPr>
                <w:rFonts w:ascii="Verdana" w:eastAsia="Calibri" w:hAnsi="Verdana" w:cs="Arial"/>
                <w:color w:val="000000" w:themeColor="text1"/>
                <w:sz w:val="16"/>
                <w:szCs w:val="16"/>
                <w:lang w:val="pt-BR" w:eastAsia="es-ES"/>
              </w:rPr>
              <w:t xml:space="preserve"> de Gestión </w:t>
            </w:r>
            <w:r w:rsidR="00674782" w:rsidRPr="00115E3D">
              <w:rPr>
                <w:rFonts w:ascii="Verdana" w:eastAsia="Calibri" w:hAnsi="Verdana" w:cs="Arial"/>
                <w:color w:val="000000" w:themeColor="text1"/>
                <w:sz w:val="16"/>
                <w:szCs w:val="16"/>
                <w:lang w:val="pt-BR" w:eastAsia="es-ES"/>
              </w:rPr>
              <w:t>Contratual</w:t>
            </w:r>
            <w:r w:rsidRPr="00115E3D">
              <w:rPr>
                <w:rFonts w:ascii="Verdana" w:eastAsia="Calibri" w:hAnsi="Verdana" w:cs="Arial"/>
                <w:color w:val="000000" w:themeColor="text1"/>
                <w:sz w:val="16"/>
                <w:szCs w:val="16"/>
                <w:lang w:val="pt-BR" w:eastAsia="es-ES"/>
              </w:rPr>
              <w:t xml:space="preserve"> ANCP – CCE</w:t>
            </w:r>
          </w:p>
        </w:tc>
      </w:tr>
    </w:tbl>
    <w:p w14:paraId="05B460A9" w14:textId="77777777" w:rsidR="00992815" w:rsidRDefault="00992815" w:rsidP="00992815"/>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3DE97D04"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296A8" w14:textId="77777777" w:rsidR="00BE3A6E" w:rsidRDefault="00BE3A6E" w:rsidP="004A1847">
      <w:pPr>
        <w:spacing w:after="0" w:line="240" w:lineRule="auto"/>
      </w:pPr>
      <w:r>
        <w:separator/>
      </w:r>
    </w:p>
  </w:endnote>
  <w:endnote w:type="continuationSeparator" w:id="0">
    <w:p w14:paraId="4D36E0E8" w14:textId="77777777" w:rsidR="00BE3A6E" w:rsidRDefault="00BE3A6E" w:rsidP="004A1847">
      <w:pPr>
        <w:spacing w:after="0" w:line="240" w:lineRule="auto"/>
      </w:pPr>
      <w:r>
        <w:continuationSeparator/>
      </w:r>
    </w:p>
  </w:endnote>
  <w:endnote w:type="continuationNotice" w:id="1">
    <w:p w14:paraId="4F9B44B1" w14:textId="77777777" w:rsidR="00BE3A6E" w:rsidRDefault="00BE3A6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68A1A6" w14:textId="77777777" w:rsidR="00BE3A6E" w:rsidRDefault="00BE3A6E" w:rsidP="004A1847">
      <w:pPr>
        <w:spacing w:after="0" w:line="240" w:lineRule="auto"/>
      </w:pPr>
      <w:r>
        <w:separator/>
      </w:r>
    </w:p>
  </w:footnote>
  <w:footnote w:type="continuationSeparator" w:id="0">
    <w:p w14:paraId="11CAC814" w14:textId="77777777" w:rsidR="00BE3A6E" w:rsidRDefault="00BE3A6E" w:rsidP="004A1847">
      <w:pPr>
        <w:spacing w:after="0" w:line="240" w:lineRule="auto"/>
      </w:pPr>
      <w:r>
        <w:continuationSeparator/>
      </w:r>
    </w:p>
  </w:footnote>
  <w:footnote w:type="continuationNotice" w:id="1">
    <w:p w14:paraId="2DFF1078" w14:textId="77777777" w:rsidR="00BE3A6E" w:rsidRDefault="00BE3A6E">
      <w:pPr>
        <w:spacing w:after="0" w:line="240" w:lineRule="auto"/>
      </w:pPr>
    </w:p>
  </w:footnote>
  <w:footnote w:id="2">
    <w:p w14:paraId="23ED24CC" w14:textId="77777777" w:rsidR="00992815" w:rsidRPr="00A628BB" w:rsidRDefault="00992815" w:rsidP="00992815">
      <w:pPr>
        <w:pStyle w:val="Textonotapie"/>
        <w:ind w:firstLine="709"/>
        <w:rPr>
          <w:rFonts w:ascii="Verdana" w:hAnsi="Verdana"/>
          <w:sz w:val="16"/>
          <w:szCs w:val="16"/>
          <w:lang w:val="es-ES"/>
        </w:rPr>
      </w:pPr>
      <w:r w:rsidRPr="00A628BB">
        <w:rPr>
          <w:rStyle w:val="Refdenotaalpie"/>
          <w:rFonts w:ascii="Verdana" w:hAnsi="Verdana"/>
          <w:sz w:val="16"/>
          <w:szCs w:val="16"/>
        </w:rPr>
        <w:footnoteRef/>
      </w:r>
      <w:r w:rsidRPr="00A628BB">
        <w:rPr>
          <w:rFonts w:ascii="Verdana" w:hAnsi="Verdana"/>
          <w:sz w:val="16"/>
          <w:szCs w:val="16"/>
        </w:rPr>
        <w:t xml:space="preserve"> Decreto 1082 de 2015, artículo 2.2.1.1.1.6.2.</w:t>
      </w:r>
    </w:p>
  </w:footnote>
  <w:footnote w:id="3">
    <w:p w14:paraId="5BA97D79" w14:textId="77777777" w:rsidR="00992815" w:rsidRPr="00A628BB" w:rsidRDefault="00992815" w:rsidP="00992815">
      <w:pPr>
        <w:pStyle w:val="Textonotapie"/>
        <w:ind w:firstLine="709"/>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Decreto 1082 de 2015: “Artículo 2.2.1.1.1.5.3. Requisitos habilitantes contenidos en el RUP. Las cámaras de comercio, con base en la información a la que hace referencia el artículo anterior, deben verificar y certificar los siguientes requisitos habilitantes: 1. Experiencia – Los contratos celebrados por el interesado para cada uno de los bienes, obras y servicios que ofrecerá a las Entidades Estatales, identificados con el Clasificador de Bienes y Servicios en el tercer nivel y su valor expresado en SMMLV. [...]”.</w:t>
      </w:r>
    </w:p>
    <w:p w14:paraId="103F8338" w14:textId="77777777" w:rsidR="00992815" w:rsidRPr="00A628BB" w:rsidRDefault="00992815" w:rsidP="00992815">
      <w:pPr>
        <w:pStyle w:val="Textonotapie"/>
        <w:ind w:firstLine="709"/>
        <w:jc w:val="both"/>
        <w:rPr>
          <w:rFonts w:ascii="Verdana" w:hAnsi="Verdana" w:cs="Arial"/>
          <w:sz w:val="16"/>
          <w:szCs w:val="16"/>
        </w:rPr>
      </w:pPr>
    </w:p>
  </w:footnote>
  <w:footnote w:id="4">
    <w:p w14:paraId="6F99C346" w14:textId="77777777" w:rsidR="00992815" w:rsidRPr="00A628BB" w:rsidRDefault="00992815" w:rsidP="00992815">
      <w:pPr>
        <w:pStyle w:val="Textonotapie"/>
        <w:ind w:firstLine="709"/>
        <w:jc w:val="both"/>
        <w:rPr>
          <w:rFonts w:ascii="Verdana" w:hAnsi="Verdana" w:cs="Arial"/>
          <w:sz w:val="16"/>
          <w:szCs w:val="16"/>
        </w:rPr>
      </w:pPr>
      <w:r w:rsidRPr="00A628BB">
        <w:rPr>
          <w:rStyle w:val="Refdenotaalpie"/>
          <w:rFonts w:ascii="Verdana" w:hAnsi="Verdana" w:cs="Arial"/>
          <w:sz w:val="16"/>
          <w:szCs w:val="16"/>
        </w:rPr>
        <w:footnoteRef/>
      </w:r>
      <w:r w:rsidRPr="00A628BB">
        <w:rPr>
          <w:rFonts w:ascii="Verdana" w:hAnsi="Verdana" w:cs="Arial"/>
          <w:sz w:val="16"/>
          <w:szCs w:val="16"/>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 [...] “El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 No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78E53CA7" w14:textId="77777777" w:rsidR="00992815" w:rsidRPr="000B0A23" w:rsidRDefault="00992815" w:rsidP="00992815">
      <w:pPr>
        <w:pStyle w:val="Textonotapie"/>
        <w:ind w:firstLine="709"/>
        <w:jc w:val="both"/>
        <w:rPr>
          <w:rFonts w:ascii="Arial" w:hAnsi="Arial" w:cs="Arial"/>
          <w:sz w:val="10"/>
          <w:szCs w:val="10"/>
          <w:lang w:val="es-CO"/>
        </w:rPr>
      </w:pPr>
    </w:p>
  </w:footnote>
  <w:footnote w:id="5">
    <w:p w14:paraId="0D54C5FC" w14:textId="77777777" w:rsidR="00992815" w:rsidRPr="008E4E89" w:rsidRDefault="00992815" w:rsidP="00992815">
      <w:pPr>
        <w:pStyle w:val="Textonotapie"/>
        <w:ind w:firstLine="709"/>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 </w:t>
      </w:r>
    </w:p>
    <w:p w14:paraId="083C1D02" w14:textId="77777777" w:rsidR="00992815" w:rsidRPr="008E4E89" w:rsidRDefault="00992815" w:rsidP="00992815">
      <w:pPr>
        <w:pStyle w:val="Textonotapie"/>
        <w:ind w:firstLine="709"/>
        <w:jc w:val="both"/>
        <w:rPr>
          <w:rFonts w:ascii="Verdana" w:hAnsi="Verdana" w:cs="Arial"/>
          <w:sz w:val="16"/>
          <w:szCs w:val="16"/>
        </w:rPr>
      </w:pPr>
      <w:r w:rsidRPr="008E4E89">
        <w:rPr>
          <w:rFonts w:ascii="Verdana" w:hAnsi="Verdana" w:cs="Arial"/>
          <w:sz w:val="16"/>
          <w:szCs w:val="16"/>
        </w:rPr>
        <w:t xml:space="preserve">[…] </w:t>
      </w:r>
    </w:p>
    <w:p w14:paraId="05317BA5" w14:textId="77777777" w:rsidR="00992815" w:rsidRPr="008E4E89" w:rsidRDefault="00992815" w:rsidP="00992815">
      <w:pPr>
        <w:pStyle w:val="Textonotapie"/>
        <w:ind w:firstLine="709"/>
        <w:jc w:val="both"/>
        <w:rPr>
          <w:rFonts w:ascii="Verdana" w:hAnsi="Verdana" w:cs="Arial"/>
          <w:sz w:val="16"/>
          <w:szCs w:val="16"/>
        </w:rPr>
      </w:pPr>
      <w:r w:rsidRPr="008E4E89">
        <w:rPr>
          <w:rFonts w:ascii="Verdana" w:hAnsi="Verdana" w:cs="Arial"/>
          <w:sz w:val="16"/>
          <w:szCs w:val="16"/>
        </w:rPr>
        <w:t>2.1. Bienes, obras y servicios que ofrecerá a las Entidades Estatales, identificados con el Clasificador de Bienes y Servicios en el tercer nivel”.</w:t>
      </w:r>
    </w:p>
  </w:footnote>
  <w:footnote w:id="6">
    <w:p w14:paraId="566118F8" w14:textId="77777777" w:rsidR="00992815" w:rsidRPr="008E4E89" w:rsidRDefault="00992815" w:rsidP="00992815">
      <w:pPr>
        <w:pStyle w:val="Textonotapie"/>
        <w:ind w:firstLine="709"/>
        <w:jc w:val="both"/>
        <w:rPr>
          <w:rFonts w:ascii="Verdana" w:hAnsi="Verdana" w:cs="Arial"/>
          <w:sz w:val="16"/>
          <w:szCs w:val="16"/>
        </w:rPr>
      </w:pPr>
    </w:p>
    <w:p w14:paraId="6607CC7D" w14:textId="77777777" w:rsidR="00992815" w:rsidRPr="008E4E89" w:rsidRDefault="00992815" w:rsidP="00992815">
      <w:pPr>
        <w:pStyle w:val="Textonotapie"/>
        <w:ind w:firstLine="709"/>
        <w:jc w:val="both"/>
        <w:rPr>
          <w:rFonts w:ascii="Verdana" w:hAnsi="Verdana" w:cs="Arial"/>
          <w:sz w:val="16"/>
          <w:szCs w:val="16"/>
        </w:rPr>
      </w:pPr>
      <w:r w:rsidRPr="008E4E89">
        <w:rPr>
          <w:rStyle w:val="Refdenotaalpie"/>
          <w:rFonts w:ascii="Verdana" w:hAnsi="Verdana" w:cs="Arial"/>
          <w:sz w:val="16"/>
          <w:szCs w:val="16"/>
        </w:rPr>
        <w:footnoteRef/>
      </w:r>
      <w:r w:rsidRPr="008E4E89">
        <w:rPr>
          <w:rFonts w:ascii="Verdana" w:hAnsi="Verdana" w:cs="Arial"/>
          <w:sz w:val="16"/>
          <w:szCs w:val="16"/>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43CD4EA" w14:textId="77777777" w:rsidR="00992815" w:rsidRPr="008E4E89" w:rsidRDefault="00992815" w:rsidP="00992815">
      <w:pPr>
        <w:pStyle w:val="Textonotapie"/>
        <w:ind w:firstLine="709"/>
        <w:jc w:val="both"/>
        <w:rPr>
          <w:rFonts w:ascii="Verdana" w:hAnsi="Verdana" w:cs="Arial"/>
          <w:sz w:val="16"/>
          <w:szCs w:val="16"/>
        </w:rPr>
      </w:pPr>
      <w:r w:rsidRPr="008E4E89">
        <w:rPr>
          <w:rFonts w:ascii="Verdana" w:hAnsi="Verdana" w:cs="Arial"/>
          <w:sz w:val="16"/>
          <w:szCs w:val="16"/>
        </w:rPr>
        <w:t xml:space="preserve">[…] </w:t>
      </w:r>
    </w:p>
    <w:p w14:paraId="3CC0F85D" w14:textId="77777777" w:rsidR="00992815" w:rsidRDefault="00992815" w:rsidP="00992815">
      <w:pPr>
        <w:pStyle w:val="Textonotapie"/>
        <w:ind w:firstLine="709"/>
        <w:jc w:val="both"/>
        <w:rPr>
          <w:rFonts w:ascii="Verdana" w:hAnsi="Verdana" w:cs="Arial"/>
          <w:sz w:val="16"/>
          <w:szCs w:val="16"/>
        </w:rPr>
      </w:pPr>
      <w:r w:rsidRPr="008E4E89">
        <w:rPr>
          <w:rFonts w:ascii="Verdana" w:hAnsi="Verdana" w:cs="Arial"/>
          <w:sz w:val="16"/>
          <w:szCs w:val="16"/>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 Si la constitución del interesado es menor a 3 años, puede acreditar la experiencia de sus accionistas, socios o constituyentes”.</w:t>
      </w:r>
    </w:p>
    <w:p w14:paraId="5204DC14" w14:textId="77777777" w:rsidR="00992815" w:rsidRPr="00BA6AAF" w:rsidRDefault="00992815" w:rsidP="00992815">
      <w:pPr>
        <w:pStyle w:val="Textonotapie"/>
        <w:ind w:firstLine="709"/>
        <w:jc w:val="both"/>
        <w:rPr>
          <w:rFonts w:ascii="Century Gothic" w:hAnsi="Century Gothic" w:cs="Arial"/>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67" w:hanging="360"/>
      </w:pPr>
      <w:rPr>
        <w:b/>
        <w:color w:val="000000" w:themeColor="text1"/>
      </w:rPr>
    </w:lvl>
    <w:lvl w:ilvl="1">
      <w:start w:val="2"/>
      <w:numFmt w:val="decimal"/>
      <w:isLgl/>
      <w:lvlText w:val="%1.%2"/>
      <w:lvlJc w:val="left"/>
      <w:pPr>
        <w:ind w:left="6307" w:hanging="360"/>
      </w:pPr>
    </w:lvl>
    <w:lvl w:ilvl="2">
      <w:start w:val="1"/>
      <w:numFmt w:val="decimal"/>
      <w:isLgl/>
      <w:lvlText w:val="%1.%2.%3"/>
      <w:lvlJc w:val="left"/>
      <w:pPr>
        <w:ind w:left="7027" w:hanging="720"/>
      </w:pPr>
    </w:lvl>
    <w:lvl w:ilvl="3">
      <w:start w:val="1"/>
      <w:numFmt w:val="decimal"/>
      <w:isLgl/>
      <w:lvlText w:val="%1.%2.%3.%4"/>
      <w:lvlJc w:val="left"/>
      <w:pPr>
        <w:ind w:left="7027" w:hanging="720"/>
      </w:pPr>
    </w:lvl>
    <w:lvl w:ilvl="4">
      <w:start w:val="1"/>
      <w:numFmt w:val="decimal"/>
      <w:isLgl/>
      <w:lvlText w:val="%1.%2.%3.%4.%5"/>
      <w:lvlJc w:val="left"/>
      <w:pPr>
        <w:ind w:left="7387" w:hanging="1080"/>
      </w:pPr>
    </w:lvl>
    <w:lvl w:ilvl="5">
      <w:start w:val="1"/>
      <w:numFmt w:val="decimal"/>
      <w:isLgl/>
      <w:lvlText w:val="%1.%2.%3.%4.%5.%6"/>
      <w:lvlJc w:val="left"/>
      <w:pPr>
        <w:ind w:left="7387" w:hanging="1080"/>
      </w:pPr>
    </w:lvl>
    <w:lvl w:ilvl="6">
      <w:start w:val="1"/>
      <w:numFmt w:val="decimal"/>
      <w:isLgl/>
      <w:lvlText w:val="%1.%2.%3.%4.%5.%6.%7"/>
      <w:lvlJc w:val="left"/>
      <w:pPr>
        <w:ind w:left="7747" w:hanging="1440"/>
      </w:pPr>
    </w:lvl>
    <w:lvl w:ilvl="7">
      <w:start w:val="1"/>
      <w:numFmt w:val="decimal"/>
      <w:isLgl/>
      <w:lvlText w:val="%1.%2.%3.%4.%5.%6.%7.%8"/>
      <w:lvlJc w:val="left"/>
      <w:pPr>
        <w:ind w:left="7747" w:hanging="1440"/>
      </w:pPr>
    </w:lvl>
    <w:lvl w:ilvl="8">
      <w:start w:val="1"/>
      <w:numFmt w:val="decimal"/>
      <w:isLgl/>
      <w:lvlText w:val="%1.%2.%3.%4.%5.%6.%7.%8.%9"/>
      <w:lvlJc w:val="left"/>
      <w:pPr>
        <w:ind w:left="8107"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946501998">
    <w:abstractNumId w:val="0"/>
  </w:num>
  <w:num w:numId="17" w16cid:durableId="6684082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6940"/>
    <w:rsid w:val="00125105"/>
    <w:rsid w:val="00127233"/>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B0069"/>
    <w:rsid w:val="002C7A84"/>
    <w:rsid w:val="002E2BF8"/>
    <w:rsid w:val="002E4FD9"/>
    <w:rsid w:val="002F181B"/>
    <w:rsid w:val="0030657A"/>
    <w:rsid w:val="00322A85"/>
    <w:rsid w:val="00324168"/>
    <w:rsid w:val="00327F92"/>
    <w:rsid w:val="00330834"/>
    <w:rsid w:val="003448F4"/>
    <w:rsid w:val="00374F5E"/>
    <w:rsid w:val="00377E3E"/>
    <w:rsid w:val="003A779E"/>
    <w:rsid w:val="003D0F4D"/>
    <w:rsid w:val="003D48CF"/>
    <w:rsid w:val="003D5B0D"/>
    <w:rsid w:val="003E0499"/>
    <w:rsid w:val="003E4F80"/>
    <w:rsid w:val="003E6439"/>
    <w:rsid w:val="003F3941"/>
    <w:rsid w:val="00406575"/>
    <w:rsid w:val="00414C74"/>
    <w:rsid w:val="0042722E"/>
    <w:rsid w:val="0044528D"/>
    <w:rsid w:val="00466E39"/>
    <w:rsid w:val="004A1847"/>
    <w:rsid w:val="004A305D"/>
    <w:rsid w:val="004E0C54"/>
    <w:rsid w:val="004F21C4"/>
    <w:rsid w:val="004F685F"/>
    <w:rsid w:val="005566E8"/>
    <w:rsid w:val="00574867"/>
    <w:rsid w:val="00591460"/>
    <w:rsid w:val="005A65E0"/>
    <w:rsid w:val="005B0E91"/>
    <w:rsid w:val="005C3777"/>
    <w:rsid w:val="005C5CDC"/>
    <w:rsid w:val="005D476C"/>
    <w:rsid w:val="006200BF"/>
    <w:rsid w:val="006219F8"/>
    <w:rsid w:val="006302F7"/>
    <w:rsid w:val="00634F28"/>
    <w:rsid w:val="00646B9F"/>
    <w:rsid w:val="00665D70"/>
    <w:rsid w:val="00674782"/>
    <w:rsid w:val="006900D9"/>
    <w:rsid w:val="00706C16"/>
    <w:rsid w:val="007340C3"/>
    <w:rsid w:val="0075235A"/>
    <w:rsid w:val="00756841"/>
    <w:rsid w:val="007649AB"/>
    <w:rsid w:val="00771D0C"/>
    <w:rsid w:val="007833AC"/>
    <w:rsid w:val="007B268C"/>
    <w:rsid w:val="007B7171"/>
    <w:rsid w:val="007C0C0F"/>
    <w:rsid w:val="007C3DC2"/>
    <w:rsid w:val="007E2E07"/>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92815"/>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B0ADB"/>
    <w:rsid w:val="00AC599D"/>
    <w:rsid w:val="00B00C0E"/>
    <w:rsid w:val="00B01B1A"/>
    <w:rsid w:val="00B0381D"/>
    <w:rsid w:val="00B44A47"/>
    <w:rsid w:val="00B72CD3"/>
    <w:rsid w:val="00B72FFF"/>
    <w:rsid w:val="00BC3D36"/>
    <w:rsid w:val="00BD54A6"/>
    <w:rsid w:val="00BD7F72"/>
    <w:rsid w:val="00BE3A6E"/>
    <w:rsid w:val="00BF7425"/>
    <w:rsid w:val="00C04FB3"/>
    <w:rsid w:val="00C11D8B"/>
    <w:rsid w:val="00C15139"/>
    <w:rsid w:val="00C330EB"/>
    <w:rsid w:val="00C50D69"/>
    <w:rsid w:val="00C5365C"/>
    <w:rsid w:val="00C754BE"/>
    <w:rsid w:val="00C76B1C"/>
    <w:rsid w:val="00C925AC"/>
    <w:rsid w:val="00CB6357"/>
    <w:rsid w:val="00CC1B26"/>
    <w:rsid w:val="00D361FD"/>
    <w:rsid w:val="00D423A2"/>
    <w:rsid w:val="00D44E26"/>
    <w:rsid w:val="00D520D8"/>
    <w:rsid w:val="00D63AC2"/>
    <w:rsid w:val="00D7383B"/>
    <w:rsid w:val="00D7788A"/>
    <w:rsid w:val="00DA231B"/>
    <w:rsid w:val="00DC39FC"/>
    <w:rsid w:val="00DD2EEA"/>
    <w:rsid w:val="00DD6F20"/>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1CB27650"/>
    <w:rsid w:val="21779BE6"/>
    <w:rsid w:val="2859CA1B"/>
    <w:rsid w:val="2C4D2425"/>
    <w:rsid w:val="2EE1E026"/>
    <w:rsid w:val="2F44F38F"/>
    <w:rsid w:val="30821638"/>
    <w:rsid w:val="32A4F9CF"/>
    <w:rsid w:val="33A1FF93"/>
    <w:rsid w:val="356CEDFD"/>
    <w:rsid w:val="3C591AFD"/>
    <w:rsid w:val="42183F0A"/>
    <w:rsid w:val="545B112A"/>
    <w:rsid w:val="5BEB1497"/>
    <w:rsid w:val="69614A15"/>
    <w:rsid w:val="740955D6"/>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992815"/>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92815"/>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olombiacompra.gov.co/archivos/manual/manual-para-determinar-y-verificar-los-requisitos-habilitantes-en-los-procesos-de-contratacion" TargetMode="Externa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ecuartecolombia@gmail.com" TargetMode="External"/><Relationship Id="rId5" Type="http://schemas.openxmlformats.org/officeDocument/2006/relationships/styles" Target="styles.xml"/><Relationship Id="rId15" Type="http://schemas.openxmlformats.org/officeDocument/2006/relationships/hyperlink" Target="https://www.colombiacompra.gov.co/normativa-y-relatoria/documentos-tipo"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formacionvirtual.colombiacompra.gov.co/mod/page/view.php?id=371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7C2B9E5-3B07-4920-8D27-3B042DB135BE}"/>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23</TotalTime>
  <Pages>15</Pages>
  <Words>5117</Words>
  <Characters>28144</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Daniel Eduardo Rojas Poveda</cp:lastModifiedBy>
  <cp:revision>4</cp:revision>
  <cp:lastPrinted>2023-01-10T21:18:00Z</cp:lastPrinted>
  <dcterms:created xsi:type="dcterms:W3CDTF">2026-06-24T12:52:00Z</dcterms:created>
  <dcterms:modified xsi:type="dcterms:W3CDTF">2026-06-25T11:26:00Z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