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F779AB" w14:textId="39E338E4" w:rsidR="00246370" w:rsidRPr="00246370" w:rsidRDefault="00246370" w:rsidP="00246370">
      <w:pPr>
        <w:spacing w:after="0"/>
        <w:jc w:val="both"/>
        <w:rPr>
          <w:rFonts w:ascii="Verdana" w:hAnsi="Verdana"/>
        </w:rPr>
      </w:pPr>
      <w:bookmarkStart w:id="0" w:name="_Hlk143780582"/>
      <w:r w:rsidRPr="00246370">
        <w:rPr>
          <w:rFonts w:ascii="Verdana" w:eastAsia="Calibri" w:hAnsi="Verdana" w:cs="Arial"/>
          <w:b/>
          <w:bCs/>
          <w:lang w:val="es-ES_tradnl" w:eastAsia="es-ES"/>
        </w:rPr>
        <w:t xml:space="preserve">GARANTÍA DE CUMPLIMIENTO – Noción </w:t>
      </w:r>
    </w:p>
    <w:p w14:paraId="11038272" w14:textId="77777777" w:rsidR="00246370" w:rsidRPr="00246370" w:rsidRDefault="00246370" w:rsidP="00246370">
      <w:pPr>
        <w:spacing w:after="0" w:line="276" w:lineRule="auto"/>
        <w:jc w:val="both"/>
        <w:rPr>
          <w:rFonts w:ascii="Verdana" w:eastAsia="Calibri" w:hAnsi="Verdana" w:cs="Arial"/>
          <w:b/>
          <w:bCs/>
          <w:lang w:val="es-ES_tradnl" w:eastAsia="es-ES"/>
        </w:rPr>
      </w:pPr>
    </w:p>
    <w:p w14:paraId="37D470D0" w14:textId="3DC5752A" w:rsidR="00723136" w:rsidRPr="00723136" w:rsidRDefault="00723136" w:rsidP="00723136">
      <w:pPr>
        <w:spacing w:after="0" w:line="240" w:lineRule="auto"/>
        <w:jc w:val="both"/>
        <w:rPr>
          <w:rFonts w:ascii="Verdana" w:eastAsia="Calibri" w:hAnsi="Verdana" w:cs="Arial"/>
          <w:bCs/>
          <w:sz w:val="20"/>
          <w:szCs w:val="20"/>
          <w:lang w:val="es-ES_tradnl"/>
        </w:rPr>
      </w:pPr>
      <w:r w:rsidRPr="00723136">
        <w:rPr>
          <w:rFonts w:ascii="Verdana" w:eastAsia="Calibri" w:hAnsi="Verdana" w:cs="Arial"/>
          <w:bCs/>
          <w:sz w:val="20"/>
          <w:szCs w:val="20"/>
          <w:lang w:val="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6BF8AAAF" w14:textId="77777777" w:rsidR="00723136" w:rsidRPr="00723136" w:rsidRDefault="00723136" w:rsidP="00723136">
      <w:pPr>
        <w:spacing w:after="0" w:line="240" w:lineRule="auto"/>
        <w:jc w:val="both"/>
        <w:rPr>
          <w:rFonts w:ascii="Verdana" w:eastAsia="Calibri" w:hAnsi="Verdana" w:cs="Arial"/>
          <w:bCs/>
          <w:sz w:val="20"/>
          <w:szCs w:val="20"/>
          <w:lang w:val="es-ES_tradnl"/>
        </w:rPr>
      </w:pPr>
    </w:p>
    <w:p w14:paraId="30320B20" w14:textId="1941E490" w:rsidR="00246370" w:rsidRPr="00246370" w:rsidRDefault="00723136" w:rsidP="00723136">
      <w:pPr>
        <w:spacing w:after="0" w:line="240" w:lineRule="auto"/>
        <w:jc w:val="both"/>
        <w:rPr>
          <w:rFonts w:ascii="Verdana" w:eastAsia="Calibri" w:hAnsi="Verdana" w:cs="Arial"/>
          <w:bCs/>
          <w:sz w:val="20"/>
          <w:szCs w:val="20"/>
          <w:lang w:val="es-ES_tradnl"/>
        </w:rPr>
      </w:pPr>
      <w:r w:rsidRPr="00723136">
        <w:rPr>
          <w:rFonts w:ascii="Verdana" w:eastAsia="Calibri" w:hAnsi="Verdana" w:cs="Arial"/>
          <w:bCs/>
          <w:sz w:val="20"/>
          <w:szCs w:val="20"/>
          <w:lang w:val="es-ES_tradnl"/>
        </w:rPr>
        <w:t>En efecto, según el artículo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la estabilidad y calidad de la obra, entre otros.</w:t>
      </w:r>
    </w:p>
    <w:p w14:paraId="0AE19B7A" w14:textId="77777777" w:rsidR="00246370" w:rsidRPr="00246370" w:rsidRDefault="00246370" w:rsidP="00246370">
      <w:pPr>
        <w:spacing w:after="0" w:line="276" w:lineRule="auto"/>
        <w:jc w:val="both"/>
        <w:rPr>
          <w:rFonts w:ascii="Verdana" w:eastAsia="Calibri" w:hAnsi="Verdana" w:cs="Arial"/>
          <w:lang w:val="es-ES_tradnl"/>
        </w:rPr>
      </w:pPr>
    </w:p>
    <w:p w14:paraId="0C164A6D" w14:textId="77777777" w:rsidR="00246370" w:rsidRPr="00246370" w:rsidRDefault="00246370" w:rsidP="00246370">
      <w:pPr>
        <w:spacing w:after="0" w:line="276" w:lineRule="auto"/>
        <w:jc w:val="both"/>
        <w:rPr>
          <w:rFonts w:ascii="Verdana" w:eastAsia="Geomanist Light" w:hAnsi="Verdana" w:cs="Arial"/>
          <w:b/>
          <w:bCs/>
          <w:lang w:val="es-ES_tradnl"/>
        </w:rPr>
      </w:pPr>
      <w:r w:rsidRPr="00246370">
        <w:rPr>
          <w:rFonts w:ascii="Verdana" w:eastAsia="Calibri" w:hAnsi="Verdana" w:cs="Arial"/>
          <w:b/>
          <w:bCs/>
          <w:lang w:val="es-ES_tradnl"/>
        </w:rPr>
        <w:t>GARANTÍA DE ESTABILIDAD Y CALIDAD DE LA OBRA – Concepto – Características</w:t>
      </w:r>
    </w:p>
    <w:p w14:paraId="4E31E66D" w14:textId="77777777" w:rsidR="00246370" w:rsidRPr="00246370" w:rsidRDefault="00246370" w:rsidP="00246370">
      <w:pPr>
        <w:spacing w:after="0" w:line="276" w:lineRule="auto"/>
        <w:jc w:val="both"/>
        <w:rPr>
          <w:rFonts w:ascii="Verdana" w:eastAsia="Geomanist Light" w:hAnsi="Verdana" w:cs="Arial"/>
          <w:lang w:val="es-ES_tradnl"/>
        </w:rPr>
      </w:pPr>
    </w:p>
    <w:p w14:paraId="6B61D197" w14:textId="0C2F95FD" w:rsidR="00246370" w:rsidRPr="00246370" w:rsidRDefault="00723136" w:rsidP="00246370">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723136">
        <w:rPr>
          <w:rFonts w:ascii="Verdana" w:eastAsia="Times New Roman" w:hAnsi="Verdana" w:cs="Arial"/>
          <w:kern w:val="2"/>
          <w:sz w:val="20"/>
          <w:szCs w:val="20"/>
          <w:shd w:val="clear" w:color="auto" w:fill="FFFFFF"/>
          <w:lang w:val="es-ES_tradnl" w:eastAsia="es-ES_tradnl"/>
          <w14:ligatures w14:val="standardContextual"/>
        </w:rPr>
        <w:t xml:space="preserve">Ahora bien, tratándose del amparo de estabilidad y calidad de la obra, sin perjuicio de la garantía decenal de que trata el artículo 2060 del Código </w:t>
      </w:r>
      <w:proofErr w:type="gramStart"/>
      <w:r w:rsidRPr="00723136">
        <w:rPr>
          <w:rFonts w:ascii="Verdana" w:eastAsia="Times New Roman" w:hAnsi="Verdana" w:cs="Arial"/>
          <w:kern w:val="2"/>
          <w:sz w:val="20"/>
          <w:szCs w:val="20"/>
          <w:shd w:val="clear" w:color="auto" w:fill="FFFFFF"/>
          <w:lang w:val="es-ES_tradnl" w:eastAsia="es-ES_tradnl"/>
          <w14:ligatures w14:val="standardContextual"/>
        </w:rPr>
        <w:t>Civil ,</w:t>
      </w:r>
      <w:proofErr w:type="gramEnd"/>
      <w:r w:rsidRPr="00723136">
        <w:rPr>
          <w:rFonts w:ascii="Verdana" w:eastAsia="Times New Roman" w:hAnsi="Verdana" w:cs="Arial"/>
          <w:kern w:val="2"/>
          <w:sz w:val="20"/>
          <w:szCs w:val="20"/>
          <w:shd w:val="clear" w:color="auto" w:fill="FFFFFF"/>
          <w:lang w:val="es-ES_tradnl" w:eastAsia="es-ES_tradnl"/>
          <w14:ligatures w14:val="standardContextual"/>
        </w:rPr>
        <w:t xml:space="preserve"> el numeral 5 del artículo 2.2.1.2.3.1.7 del Decreto 1082 de 2015 dispone que “[…] cubre a la Entidad Estatal de los perjuicios ocasionados por cualquier tipo de daño o deterioro, imputable al contratista, sufrido por la obra entregada a satisfacción”.</w:t>
      </w:r>
    </w:p>
    <w:p w14:paraId="22B28093" w14:textId="77777777" w:rsidR="00246370" w:rsidRPr="00246370" w:rsidRDefault="00246370" w:rsidP="00246370">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246370">
        <w:rPr>
          <w:rFonts w:ascii="Verdana" w:eastAsia="Times New Roman" w:hAnsi="Verdana" w:cs="Arial"/>
          <w:kern w:val="2"/>
          <w:sz w:val="20"/>
          <w:szCs w:val="20"/>
          <w:shd w:val="clear" w:color="auto" w:fill="FFFFFF"/>
          <w:lang w:val="es-ES_tradnl" w:eastAsia="es-ES_tradnl"/>
          <w14:ligatures w14:val="standardContextual"/>
        </w:rPr>
        <w:t>[…]</w:t>
      </w:r>
    </w:p>
    <w:p w14:paraId="34FB3E7A" w14:textId="709501C6" w:rsidR="00246370" w:rsidRPr="00246370" w:rsidRDefault="00723136" w:rsidP="58CF6629">
      <w:pPr>
        <w:snapToGrid w:val="0"/>
        <w:spacing w:after="0" w:line="240" w:lineRule="auto"/>
        <w:jc w:val="both"/>
        <w:rPr>
          <w:rFonts w:ascii="Verdana" w:eastAsia="Times New Roman" w:hAnsi="Verdana" w:cs="Arial"/>
          <w:kern w:val="2"/>
          <w:sz w:val="20"/>
          <w:szCs w:val="20"/>
          <w:shd w:val="clear" w:color="auto" w:fill="FFFFFF"/>
          <w:lang w:val="es-ES" w:eastAsia="es-ES"/>
          <w14:ligatures w14:val="standardContextual"/>
        </w:rPr>
      </w:pPr>
      <w:r w:rsidRPr="00723136">
        <w:rPr>
          <w:rFonts w:ascii="Verdana" w:eastAsia="Times New Roman" w:hAnsi="Verdana" w:cs="Arial"/>
          <w:kern w:val="2"/>
          <w:sz w:val="20"/>
          <w:szCs w:val="20"/>
          <w:shd w:val="clear" w:color="auto" w:fill="FFFFFF"/>
          <w:lang w:val="es-ES" w:eastAsia="es-ES"/>
          <w14:ligatures w14:val="standardContextua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y el contratista está llamado a responder por ello.</w:t>
      </w:r>
    </w:p>
    <w:p w14:paraId="25989534" w14:textId="77777777" w:rsidR="00246370" w:rsidRPr="00246370" w:rsidRDefault="00246370" w:rsidP="00246370">
      <w:pPr>
        <w:spacing w:after="0" w:line="276" w:lineRule="auto"/>
        <w:jc w:val="both"/>
        <w:rPr>
          <w:rFonts w:ascii="Verdana" w:eastAsia="Geomanist Light" w:hAnsi="Verdana" w:cs="Arial"/>
          <w:lang w:val="es-ES_tradnl"/>
        </w:rPr>
      </w:pPr>
    </w:p>
    <w:p w14:paraId="69A0BF49" w14:textId="77777777" w:rsidR="00246370" w:rsidRPr="00246370" w:rsidRDefault="00246370" w:rsidP="00246370">
      <w:pPr>
        <w:spacing w:after="0" w:line="276" w:lineRule="auto"/>
        <w:jc w:val="both"/>
        <w:rPr>
          <w:rFonts w:ascii="Verdana" w:eastAsia="Geomanist Light" w:hAnsi="Verdana" w:cs="Arial"/>
          <w:lang w:val="es-ES_tradnl"/>
        </w:rPr>
      </w:pPr>
    </w:p>
    <w:p w14:paraId="56D733BA" w14:textId="77777777" w:rsidR="00246370" w:rsidRPr="00246370" w:rsidRDefault="00246370" w:rsidP="00246370">
      <w:pPr>
        <w:spacing w:after="0" w:line="276" w:lineRule="auto"/>
        <w:jc w:val="both"/>
        <w:rPr>
          <w:rFonts w:ascii="Verdana" w:eastAsia="Geomanist Light" w:hAnsi="Verdana" w:cs="Arial"/>
          <w:lang w:val="es-ES_tradnl"/>
        </w:rPr>
      </w:pPr>
    </w:p>
    <w:p w14:paraId="18E8491B" w14:textId="77777777" w:rsidR="00246370" w:rsidRPr="00246370" w:rsidRDefault="00246370" w:rsidP="00246370">
      <w:pPr>
        <w:spacing w:after="0" w:line="276" w:lineRule="auto"/>
        <w:jc w:val="both"/>
        <w:rPr>
          <w:rFonts w:ascii="Verdana" w:eastAsia="Geomanist Light" w:hAnsi="Verdana" w:cs="Arial"/>
          <w:lang w:val="es-ES_tradnl"/>
        </w:rPr>
      </w:pPr>
    </w:p>
    <w:p w14:paraId="22493ED1" w14:textId="77777777" w:rsidR="00246370" w:rsidRPr="00246370" w:rsidRDefault="00246370" w:rsidP="00246370">
      <w:pPr>
        <w:spacing w:after="0" w:line="240" w:lineRule="auto"/>
        <w:rPr>
          <w:rFonts w:ascii="Verdana" w:eastAsia="Geomanist Light" w:hAnsi="Verdana" w:cs="Arial"/>
          <w:lang w:val="es-ES_tradnl"/>
        </w:rPr>
      </w:pPr>
    </w:p>
    <w:p w14:paraId="6EFB9FA1" w14:textId="77777777" w:rsidR="00246370" w:rsidRPr="00246370" w:rsidRDefault="00246370" w:rsidP="00246370">
      <w:pPr>
        <w:spacing w:after="0" w:line="240" w:lineRule="auto"/>
        <w:rPr>
          <w:rFonts w:ascii="Verdana" w:eastAsia="Calibri" w:hAnsi="Verdana" w:cs="Times New Roman"/>
          <w:lang w:val="es-ES_tradnl"/>
        </w:rPr>
      </w:pPr>
    </w:p>
    <w:p w14:paraId="4627DD2C" w14:textId="77777777" w:rsidR="00246370" w:rsidRPr="00246370" w:rsidRDefault="00246370" w:rsidP="00246370">
      <w:pPr>
        <w:spacing w:after="0" w:line="240" w:lineRule="auto"/>
        <w:rPr>
          <w:rFonts w:ascii="Verdana" w:eastAsia="Calibri" w:hAnsi="Verdana" w:cs="Times New Roman"/>
          <w:lang w:val="es-ES_tradnl"/>
        </w:rPr>
      </w:pPr>
    </w:p>
    <w:p w14:paraId="025CBA3A" w14:textId="77777777" w:rsidR="00246370" w:rsidRPr="00246370" w:rsidRDefault="00246370" w:rsidP="00246370">
      <w:pPr>
        <w:spacing w:after="0" w:line="240" w:lineRule="auto"/>
        <w:rPr>
          <w:rFonts w:ascii="Verdana" w:eastAsia="Calibri" w:hAnsi="Verdana" w:cs="Times New Roman"/>
          <w:lang w:val="es-ES_tradnl"/>
        </w:rPr>
      </w:pPr>
    </w:p>
    <w:p w14:paraId="3A61035C" w14:textId="77777777" w:rsidR="00246370" w:rsidRPr="00246370" w:rsidRDefault="00246370" w:rsidP="00246370">
      <w:pPr>
        <w:spacing w:after="0" w:line="240" w:lineRule="auto"/>
        <w:rPr>
          <w:rFonts w:ascii="Verdana" w:eastAsia="Calibri" w:hAnsi="Verdana" w:cs="Times New Roman"/>
          <w:lang w:val="es-ES_tradnl"/>
        </w:rPr>
      </w:pPr>
    </w:p>
    <w:p w14:paraId="36CAB46B" w14:textId="77777777" w:rsidR="00246370" w:rsidRPr="00246370" w:rsidRDefault="00246370" w:rsidP="00246370">
      <w:pPr>
        <w:spacing w:after="0" w:line="240" w:lineRule="auto"/>
        <w:rPr>
          <w:rFonts w:ascii="Verdana" w:eastAsia="Calibri" w:hAnsi="Verdana" w:cs="Times New Roman"/>
          <w:lang w:val="es-ES_tradnl"/>
        </w:rPr>
      </w:pPr>
    </w:p>
    <w:p w14:paraId="19784F1B" w14:textId="77777777" w:rsidR="00246370" w:rsidRPr="00246370" w:rsidRDefault="00246370" w:rsidP="00246370">
      <w:pPr>
        <w:spacing w:after="0" w:line="240" w:lineRule="auto"/>
        <w:rPr>
          <w:rFonts w:ascii="Verdana" w:eastAsia="Calibri" w:hAnsi="Verdana" w:cs="Times New Roman"/>
          <w:lang w:val="es-ES_tradnl"/>
        </w:rPr>
      </w:pPr>
    </w:p>
    <w:p w14:paraId="377F774E" w14:textId="77777777" w:rsidR="00246370" w:rsidRPr="00246370" w:rsidRDefault="00246370" w:rsidP="00246370">
      <w:pPr>
        <w:spacing w:after="0" w:line="240" w:lineRule="auto"/>
        <w:rPr>
          <w:rFonts w:ascii="Verdana" w:eastAsia="Calibri" w:hAnsi="Verdana" w:cs="Times New Roman"/>
          <w:lang w:val="es-ES_tradnl"/>
        </w:rPr>
      </w:pPr>
    </w:p>
    <w:p w14:paraId="3010C387" w14:textId="77777777" w:rsidR="00246370" w:rsidRPr="00246370" w:rsidRDefault="00246370" w:rsidP="00246370">
      <w:pPr>
        <w:spacing w:after="0" w:line="240" w:lineRule="auto"/>
        <w:rPr>
          <w:rFonts w:ascii="Verdana" w:eastAsia="Calibri" w:hAnsi="Verdana" w:cs="Times New Roman"/>
          <w:lang w:val="es-ES_tradnl"/>
        </w:rPr>
      </w:pPr>
    </w:p>
    <w:p w14:paraId="78177C9C" w14:textId="3768F37E" w:rsidR="00246370" w:rsidRDefault="00246370" w:rsidP="00246370">
      <w:pPr>
        <w:spacing w:after="0" w:line="240" w:lineRule="auto"/>
        <w:jc w:val="both"/>
        <w:rPr>
          <w:rFonts w:ascii="Verdana" w:hAnsi="Verdana"/>
        </w:rPr>
      </w:pPr>
      <w:r w:rsidRPr="0044528D">
        <w:rPr>
          <w:rFonts w:ascii="Verdana" w:hAnsi="Verdana"/>
        </w:rPr>
        <w:lastRenderedPageBreak/>
        <w:t>Bogotá D.C.</w:t>
      </w:r>
    </w:p>
    <w:p w14:paraId="35E1B225" w14:textId="77777777" w:rsidR="00246370" w:rsidRPr="00246370" w:rsidRDefault="00246370" w:rsidP="00246370">
      <w:pPr>
        <w:spacing w:after="0" w:line="240" w:lineRule="auto"/>
        <w:jc w:val="both"/>
        <w:rPr>
          <w:rFonts w:ascii="Verdana" w:eastAsia="Calibri" w:hAnsi="Verdana" w:cs="Arial"/>
          <w:lang w:val="es-ES_tradnl" w:eastAsia="es-ES"/>
        </w:rPr>
      </w:pPr>
    </w:p>
    <w:p w14:paraId="38145905" w14:textId="15222A36" w:rsidR="00246370" w:rsidRDefault="00C0165A" w:rsidP="00C0165A">
      <w:pPr>
        <w:spacing w:after="0" w:line="240" w:lineRule="auto"/>
        <w:jc w:val="right"/>
        <w:rPr>
          <w:rFonts w:ascii="Verdana" w:eastAsia="Calibri" w:hAnsi="Verdana" w:cs="Arial"/>
          <w:lang w:val="es-ES_tradnl" w:eastAsia="es-ES"/>
        </w:rPr>
      </w:pPr>
      <w:r w:rsidRPr="00C0165A">
        <w:rPr>
          <w:rFonts w:ascii="Verdana" w:eastAsia="Calibri" w:hAnsi="Verdana" w:cs="Arial"/>
          <w:noProof/>
          <w:lang w:val="es-ES_tradnl" w:eastAsia="es-ES"/>
        </w:rPr>
        <w:drawing>
          <wp:inline distT="0" distB="0" distL="0" distR="0" wp14:anchorId="5ABA0380" wp14:editId="4FD3F056">
            <wp:extent cx="3060700" cy="929293"/>
            <wp:effectExtent l="0" t="0" r="6350" b="4445"/>
            <wp:docPr id="11188564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56432" name="Imagen 1" descr="Texto&#10;&#10;Descripción generada automáticamente"/>
                    <pic:cNvPicPr/>
                  </pic:nvPicPr>
                  <pic:blipFill>
                    <a:blip r:embed="rId10"/>
                    <a:stretch>
                      <a:fillRect/>
                    </a:stretch>
                  </pic:blipFill>
                  <pic:spPr>
                    <a:xfrm>
                      <a:off x="0" y="0"/>
                      <a:ext cx="3083973" cy="936359"/>
                    </a:xfrm>
                    <a:prstGeom prst="rect">
                      <a:avLst/>
                    </a:prstGeom>
                  </pic:spPr>
                </pic:pic>
              </a:graphicData>
            </a:graphic>
          </wp:inline>
        </w:drawing>
      </w:r>
    </w:p>
    <w:p w14:paraId="728EF17C" w14:textId="77777777" w:rsidR="00DD2A4C" w:rsidRPr="00246370" w:rsidRDefault="00DD2A4C" w:rsidP="00246370">
      <w:pPr>
        <w:spacing w:after="0" w:line="240" w:lineRule="auto"/>
        <w:jc w:val="both"/>
        <w:rPr>
          <w:rFonts w:ascii="Verdana" w:eastAsia="Calibri" w:hAnsi="Verdana" w:cs="Arial"/>
          <w:lang w:val="es-ES_tradnl" w:eastAsia="es-ES"/>
        </w:rPr>
      </w:pPr>
    </w:p>
    <w:p w14:paraId="7FA7E177" w14:textId="77777777" w:rsidR="00246370" w:rsidRPr="00246370" w:rsidRDefault="00246370" w:rsidP="00246370">
      <w:pPr>
        <w:spacing w:after="0" w:line="240" w:lineRule="auto"/>
        <w:jc w:val="both"/>
        <w:rPr>
          <w:rFonts w:ascii="Verdana" w:eastAsia="Calibri" w:hAnsi="Verdana" w:cs="Arial"/>
          <w:lang w:val="es-ES_tradnl" w:eastAsia="es-ES"/>
        </w:rPr>
      </w:pPr>
      <w:r w:rsidRPr="00246370">
        <w:rPr>
          <w:rFonts w:ascii="Verdana" w:eastAsia="Calibri" w:hAnsi="Verdana" w:cs="Arial"/>
          <w:lang w:val="es-ES_tradnl" w:eastAsia="es-ES"/>
        </w:rPr>
        <w:t>Señor</w:t>
      </w:r>
    </w:p>
    <w:p w14:paraId="66818B76" w14:textId="77777777" w:rsidR="00246370" w:rsidRPr="00246370" w:rsidRDefault="00246370" w:rsidP="58CF6629">
      <w:pPr>
        <w:spacing w:after="0" w:line="240" w:lineRule="auto"/>
        <w:jc w:val="both"/>
        <w:rPr>
          <w:rFonts w:ascii="Verdana" w:eastAsia="Calibri" w:hAnsi="Verdana" w:cs="Arial"/>
          <w:b/>
          <w:bCs/>
          <w:lang w:val="es-ES" w:eastAsia="es-ES"/>
        </w:rPr>
      </w:pPr>
      <w:r w:rsidRPr="58CF6629">
        <w:rPr>
          <w:rFonts w:ascii="Verdana" w:eastAsia="Calibri" w:hAnsi="Verdana" w:cs="Arial"/>
          <w:b/>
          <w:bCs/>
          <w:lang w:val="es-ES" w:eastAsia="es-ES"/>
        </w:rPr>
        <w:t xml:space="preserve">Arlex Cervera </w:t>
      </w:r>
      <w:proofErr w:type="spellStart"/>
      <w:r w:rsidRPr="58CF6629">
        <w:rPr>
          <w:rFonts w:ascii="Verdana" w:eastAsia="Calibri" w:hAnsi="Verdana" w:cs="Arial"/>
          <w:b/>
          <w:bCs/>
          <w:lang w:val="es-ES" w:eastAsia="es-ES"/>
        </w:rPr>
        <w:t>Hincapie</w:t>
      </w:r>
      <w:proofErr w:type="spellEnd"/>
    </w:p>
    <w:p w14:paraId="12D02A2D" w14:textId="77777777" w:rsidR="00246370" w:rsidRPr="00246370" w:rsidRDefault="00246370" w:rsidP="00246370">
      <w:pPr>
        <w:spacing w:after="0" w:line="240" w:lineRule="auto"/>
        <w:rPr>
          <w:rFonts w:ascii="Verdana" w:eastAsia="Calibri" w:hAnsi="Verdana" w:cs="Arial"/>
          <w:lang w:val="es-ES_tradnl" w:eastAsia="es-ES"/>
        </w:rPr>
      </w:pPr>
      <w:r w:rsidRPr="00246370">
        <w:rPr>
          <w:rFonts w:ascii="Verdana" w:eastAsia="Calibri" w:hAnsi="Verdana" w:cs="Arial"/>
          <w:lang w:val="es-ES_tradnl" w:eastAsia="es-ES"/>
        </w:rPr>
        <w:t>Puerto Boyacá, Boyacá</w:t>
      </w:r>
    </w:p>
    <w:p w14:paraId="56EEC0EF" w14:textId="77777777" w:rsidR="00246370" w:rsidRPr="00246370" w:rsidRDefault="00246370" w:rsidP="00246370">
      <w:pPr>
        <w:spacing w:after="0" w:line="240" w:lineRule="auto"/>
        <w:rPr>
          <w:rFonts w:ascii="Verdana" w:eastAsia="Calibri" w:hAnsi="Verdana" w:cs="Arial"/>
          <w:b/>
          <w:bCs/>
          <w:lang w:val="es-ES_tradnl" w:eastAsia="es-ES_tradnl"/>
        </w:rPr>
      </w:pPr>
    </w:p>
    <w:p w14:paraId="206C80B2" w14:textId="77777777" w:rsidR="00246370" w:rsidRPr="00246370" w:rsidRDefault="00246370" w:rsidP="0024637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46370" w:rsidRPr="00246370" w14:paraId="57623C9C" w14:textId="77777777" w:rsidTr="005C7BEE">
        <w:trPr>
          <w:trHeight w:val="884"/>
        </w:trPr>
        <w:tc>
          <w:tcPr>
            <w:tcW w:w="2689" w:type="dxa"/>
          </w:tcPr>
          <w:p w14:paraId="7D91E768" w14:textId="77777777" w:rsidR="00246370" w:rsidRPr="00246370" w:rsidRDefault="00246370" w:rsidP="00246370">
            <w:pPr>
              <w:jc w:val="both"/>
              <w:rPr>
                <w:rFonts w:ascii="Verdana" w:eastAsia="Calibri" w:hAnsi="Verdana" w:cs="Arial"/>
                <w:b/>
                <w:bCs/>
                <w:lang w:val="es-ES_tradnl" w:eastAsia="es-ES_tradnl"/>
              </w:rPr>
            </w:pPr>
          </w:p>
        </w:tc>
        <w:tc>
          <w:tcPr>
            <w:tcW w:w="6100" w:type="dxa"/>
          </w:tcPr>
          <w:p w14:paraId="61676A34" w14:textId="77777777" w:rsidR="00246370" w:rsidRPr="00246370" w:rsidRDefault="00246370" w:rsidP="00246370">
            <w:pPr>
              <w:jc w:val="both"/>
              <w:rPr>
                <w:rFonts w:ascii="Verdana" w:eastAsia="Calibri" w:hAnsi="Verdana" w:cs="Arial"/>
                <w:b/>
                <w:bCs/>
                <w:lang w:val="es-ES_tradnl" w:eastAsia="es-ES"/>
              </w:rPr>
            </w:pPr>
            <w:r w:rsidRPr="00246370">
              <w:rPr>
                <w:rFonts w:ascii="Verdana" w:eastAsia="Calibri" w:hAnsi="Verdana" w:cs="Arial"/>
                <w:b/>
                <w:bCs/>
                <w:lang w:val="es-ES_tradnl" w:eastAsia="es-ES"/>
              </w:rPr>
              <w:t>Concepto C – 796 de 2024</w:t>
            </w:r>
          </w:p>
        </w:tc>
      </w:tr>
      <w:tr w:rsidR="00246370" w:rsidRPr="00246370" w14:paraId="4163B1FC" w14:textId="77777777" w:rsidTr="005C7BEE">
        <w:trPr>
          <w:trHeight w:val="884"/>
        </w:trPr>
        <w:tc>
          <w:tcPr>
            <w:tcW w:w="2689" w:type="dxa"/>
          </w:tcPr>
          <w:p w14:paraId="6EBBFFD7" w14:textId="77777777" w:rsidR="00246370" w:rsidRPr="00246370" w:rsidRDefault="00246370" w:rsidP="00246370">
            <w:pPr>
              <w:jc w:val="both"/>
              <w:rPr>
                <w:rFonts w:ascii="Verdana" w:eastAsia="Calibri" w:hAnsi="Verdana" w:cs="Arial"/>
                <w:lang w:val="es-ES_tradnl" w:eastAsia="es-ES_tradnl"/>
              </w:rPr>
            </w:pPr>
            <w:r w:rsidRPr="00246370">
              <w:rPr>
                <w:rFonts w:ascii="Verdana" w:eastAsia="Calibri" w:hAnsi="Verdana" w:cs="Arial"/>
                <w:b/>
                <w:lang w:val="es-ES_tradnl" w:eastAsia="es-ES_tradnl"/>
              </w:rPr>
              <w:t>Temas:</w:t>
            </w:r>
            <w:r w:rsidRPr="00246370">
              <w:rPr>
                <w:rFonts w:ascii="Verdana" w:eastAsia="Calibri" w:hAnsi="Verdana" w:cs="Arial"/>
                <w:lang w:val="es-ES_tradnl" w:eastAsia="es-ES_tradnl"/>
              </w:rPr>
              <w:t xml:space="preserve">                   </w:t>
            </w:r>
          </w:p>
        </w:tc>
        <w:tc>
          <w:tcPr>
            <w:tcW w:w="6100" w:type="dxa"/>
          </w:tcPr>
          <w:p w14:paraId="3D52CCC6" w14:textId="77777777" w:rsidR="00246370" w:rsidRPr="00246370" w:rsidRDefault="00246370" w:rsidP="00246370">
            <w:pPr>
              <w:spacing w:line="276" w:lineRule="auto"/>
              <w:jc w:val="both"/>
              <w:rPr>
                <w:rFonts w:ascii="Verdana" w:eastAsia="Geomanist Light" w:hAnsi="Verdana" w:cs="Arial"/>
                <w:lang w:val="es-ES_tradnl"/>
              </w:rPr>
            </w:pPr>
            <w:r w:rsidRPr="00246370">
              <w:rPr>
                <w:rFonts w:ascii="Verdana" w:eastAsia="Calibri" w:hAnsi="Verdana" w:cs="Arial"/>
                <w:lang w:val="es-ES_tradnl" w:eastAsia="es-ES"/>
              </w:rPr>
              <w:t xml:space="preserve">GARANTÍA DE CUMPLIMIENTO – Noción / </w:t>
            </w:r>
            <w:r w:rsidRPr="00246370">
              <w:rPr>
                <w:rFonts w:ascii="Verdana" w:eastAsia="Calibri" w:hAnsi="Verdana" w:cs="Arial"/>
                <w:lang w:val="es-ES_tradnl"/>
              </w:rPr>
              <w:t>GARANTÍA DE ESTABILIDAD Y CALIDAD DE LA OBRA – Concepto – Características</w:t>
            </w:r>
          </w:p>
          <w:p w14:paraId="2C869089" w14:textId="77777777" w:rsidR="00246370" w:rsidRPr="00246370" w:rsidRDefault="00246370" w:rsidP="00246370">
            <w:pPr>
              <w:spacing w:line="276" w:lineRule="auto"/>
              <w:jc w:val="both"/>
              <w:rPr>
                <w:rFonts w:ascii="Verdana" w:eastAsia="Calibri" w:hAnsi="Verdana" w:cs="Arial"/>
                <w:highlight w:val="yellow"/>
                <w:lang w:val="es-ES_tradnl" w:eastAsia="es-ES"/>
              </w:rPr>
            </w:pPr>
          </w:p>
        </w:tc>
      </w:tr>
      <w:tr w:rsidR="00246370" w:rsidRPr="00246370" w14:paraId="43F324A9" w14:textId="77777777" w:rsidTr="005C7BEE">
        <w:tc>
          <w:tcPr>
            <w:tcW w:w="2689" w:type="dxa"/>
          </w:tcPr>
          <w:p w14:paraId="28AFDEB3" w14:textId="77777777" w:rsidR="00246370" w:rsidRPr="00246370" w:rsidRDefault="00246370" w:rsidP="00246370">
            <w:pPr>
              <w:jc w:val="both"/>
              <w:rPr>
                <w:rFonts w:ascii="Verdana" w:eastAsia="Calibri" w:hAnsi="Verdana" w:cs="Arial"/>
                <w:b/>
                <w:lang w:val="es-ES_tradnl" w:eastAsia="es-ES_tradnl"/>
              </w:rPr>
            </w:pPr>
            <w:r w:rsidRPr="00246370">
              <w:rPr>
                <w:rFonts w:ascii="Verdana" w:eastAsia="Calibri" w:hAnsi="Verdana" w:cs="Arial"/>
                <w:b/>
                <w:lang w:val="es-ES_tradnl" w:eastAsia="es-ES_tradnl"/>
              </w:rPr>
              <w:t>Radicación:</w:t>
            </w:r>
            <w:r w:rsidRPr="00246370">
              <w:rPr>
                <w:rFonts w:ascii="Verdana" w:eastAsia="Calibri" w:hAnsi="Verdana" w:cs="Arial"/>
                <w:lang w:val="es-ES_tradnl" w:eastAsia="es-ES_tradnl"/>
              </w:rPr>
              <w:t xml:space="preserve">               </w:t>
            </w:r>
          </w:p>
        </w:tc>
        <w:tc>
          <w:tcPr>
            <w:tcW w:w="6100" w:type="dxa"/>
          </w:tcPr>
          <w:p w14:paraId="7DFF3DCF" w14:textId="77777777" w:rsidR="00246370" w:rsidRPr="00246370" w:rsidRDefault="00246370" w:rsidP="00246370">
            <w:pPr>
              <w:jc w:val="both"/>
              <w:rPr>
                <w:rFonts w:ascii="Verdana" w:eastAsia="Calibri" w:hAnsi="Verdana" w:cs="Arial"/>
                <w:lang w:val="es-ES_tradnl" w:eastAsia="es-ES_tradnl"/>
              </w:rPr>
            </w:pPr>
            <w:r w:rsidRPr="00246370">
              <w:rPr>
                <w:rFonts w:ascii="Verdana" w:eastAsia="Calibri" w:hAnsi="Verdana" w:cs="Arial"/>
                <w:lang w:val="es-ES_tradnl" w:eastAsia="es-ES_tradnl"/>
              </w:rPr>
              <w:t>Respuesta a consulta con radicado No. P20241125011872</w:t>
            </w:r>
          </w:p>
        </w:tc>
      </w:tr>
    </w:tbl>
    <w:p w14:paraId="61D247FA" w14:textId="77777777" w:rsidR="00246370" w:rsidRPr="00246370" w:rsidRDefault="00246370" w:rsidP="00246370">
      <w:pPr>
        <w:spacing w:after="0" w:line="240" w:lineRule="auto"/>
        <w:jc w:val="both"/>
        <w:rPr>
          <w:rFonts w:ascii="Verdana" w:eastAsia="Calibri" w:hAnsi="Verdana" w:cs="Arial"/>
          <w:lang w:val="es-ES_tradnl" w:eastAsia="es-ES_tradnl"/>
        </w:rPr>
      </w:pPr>
    </w:p>
    <w:p w14:paraId="5B2020D4" w14:textId="77777777" w:rsidR="00246370" w:rsidRPr="00246370" w:rsidRDefault="00246370" w:rsidP="00246370">
      <w:pPr>
        <w:spacing w:after="0" w:line="240" w:lineRule="auto"/>
        <w:jc w:val="both"/>
        <w:rPr>
          <w:rFonts w:ascii="Verdana" w:eastAsia="Calibri" w:hAnsi="Verdana" w:cs="Arial"/>
          <w:lang w:val="es-ES_tradnl" w:eastAsia="es-ES_tradnl"/>
        </w:rPr>
      </w:pPr>
    </w:p>
    <w:p w14:paraId="7A984B24" w14:textId="77777777" w:rsidR="00246370" w:rsidRPr="00246370" w:rsidRDefault="00246370" w:rsidP="58CF6629">
      <w:pPr>
        <w:spacing w:after="0" w:line="276" w:lineRule="auto"/>
        <w:jc w:val="both"/>
        <w:rPr>
          <w:rFonts w:ascii="Verdana" w:eastAsia="Calibri" w:hAnsi="Verdana" w:cs="Arial"/>
          <w:lang w:val="es-ES" w:eastAsia="es-ES"/>
        </w:rPr>
      </w:pPr>
      <w:r w:rsidRPr="58CF6629">
        <w:rPr>
          <w:rFonts w:ascii="Verdana" w:eastAsia="Calibri" w:hAnsi="Verdana" w:cs="Arial"/>
          <w:lang w:val="es-ES" w:eastAsia="es-ES"/>
        </w:rPr>
        <w:t xml:space="preserve">Estimado señor Cervera </w:t>
      </w:r>
      <w:proofErr w:type="spellStart"/>
      <w:r w:rsidRPr="58CF6629">
        <w:rPr>
          <w:rFonts w:ascii="Verdana" w:eastAsia="Calibri" w:hAnsi="Verdana" w:cs="Arial"/>
          <w:lang w:val="es-ES" w:eastAsia="es-ES"/>
        </w:rPr>
        <w:t>Hincapie</w:t>
      </w:r>
      <w:proofErr w:type="spellEnd"/>
      <w:r w:rsidRPr="58CF6629">
        <w:rPr>
          <w:rFonts w:ascii="Verdana" w:eastAsia="Calibri" w:hAnsi="Verdana" w:cs="Arial"/>
          <w:lang w:val="es-ES" w:eastAsia="es-ES"/>
        </w:rPr>
        <w:t xml:space="preserve">: </w:t>
      </w:r>
    </w:p>
    <w:p w14:paraId="3F879405" w14:textId="77777777" w:rsidR="00246370" w:rsidRPr="00246370" w:rsidRDefault="00246370" w:rsidP="00246370">
      <w:pPr>
        <w:tabs>
          <w:tab w:val="left" w:pos="3768"/>
        </w:tabs>
        <w:spacing w:after="0" w:line="276" w:lineRule="auto"/>
        <w:jc w:val="both"/>
        <w:rPr>
          <w:rFonts w:ascii="Verdana" w:eastAsia="Calibri" w:hAnsi="Verdana" w:cs="Arial"/>
          <w:lang w:val="es-ES_tradnl" w:eastAsia="es-ES"/>
        </w:rPr>
      </w:pPr>
      <w:r w:rsidRPr="00246370">
        <w:rPr>
          <w:rFonts w:ascii="Verdana" w:eastAsia="Calibri" w:hAnsi="Verdana" w:cs="Arial"/>
          <w:lang w:val="es-ES_tradnl" w:eastAsia="es-ES"/>
        </w:rPr>
        <w:tab/>
      </w:r>
    </w:p>
    <w:p w14:paraId="4F466C0B" w14:textId="77777777" w:rsidR="00246370" w:rsidRPr="00246370" w:rsidRDefault="00246370" w:rsidP="00246370">
      <w:pPr>
        <w:snapToGrid w:val="0"/>
        <w:spacing w:after="0" w:line="276" w:lineRule="auto"/>
        <w:jc w:val="both"/>
        <w:rPr>
          <w:rFonts w:ascii="Verdana" w:eastAsia="Calibri" w:hAnsi="Verdana" w:cs="Arial"/>
          <w:lang w:val="es-ES_tradnl" w:eastAsia="es-ES"/>
        </w:rPr>
      </w:pPr>
      <w:r w:rsidRPr="00246370">
        <w:rPr>
          <w:rFonts w:ascii="Verdana" w:eastAsia="Calibri" w:hAnsi="Verdana" w:cs="Arial"/>
          <w:lang w:val="es-ES_tradnl" w:eastAsia="es-ES"/>
        </w:rPr>
        <w:t>En ejercicio de la competencia otorgada por los artículos 3, numeral 5º, y 11, numeral 8º, del Decreto Ley 4170 de 2011,</w:t>
      </w:r>
      <w:r w:rsidRPr="00246370">
        <w:rPr>
          <w:rFonts w:ascii="Verdana" w:eastAsia="Arial MT" w:hAnsi="Verdana" w:cs="Arial MT"/>
          <w:lang w:val="es-ES_tradnl" w:eastAsia="es-ES"/>
        </w:rPr>
        <w:t xml:space="preserve"> </w:t>
      </w:r>
      <w:r w:rsidRPr="00246370">
        <w:rPr>
          <w:rFonts w:ascii="Verdana" w:eastAsia="Calibri" w:hAnsi="Verdana" w:cs="Arial"/>
          <w:lang w:val="es-ES_tradnl"/>
        </w:rPr>
        <w:t xml:space="preserve">así como lo establecido en el artículo 4 de la Resolución 1707 de 2018 expedida por esta Entidad, </w:t>
      </w:r>
      <w:r w:rsidRPr="00246370">
        <w:rPr>
          <w:rFonts w:ascii="Verdana" w:eastAsia="Calibri" w:hAnsi="Verdana" w:cs="Arial"/>
          <w:lang w:val="es-ES_tradnl" w:eastAsia="es-ES"/>
        </w:rPr>
        <w:t>la Agencia Nacional de Contratación Pública – Colombia Compra Eficiente– responde su solicitud de consulta de fecha 25 de noviembre de 2024, en la que manifiesta lo siguiente:</w:t>
      </w:r>
    </w:p>
    <w:p w14:paraId="5BABAEDF" w14:textId="77777777" w:rsidR="00246370" w:rsidRPr="00246370" w:rsidRDefault="00246370" w:rsidP="00246370">
      <w:pPr>
        <w:snapToGrid w:val="0"/>
        <w:spacing w:after="0" w:line="276" w:lineRule="auto"/>
        <w:jc w:val="both"/>
        <w:rPr>
          <w:rFonts w:ascii="Verdana" w:eastAsia="Calibri" w:hAnsi="Verdana" w:cs="Arial"/>
          <w:lang w:val="es-ES_tradnl" w:eastAsia="es-ES"/>
        </w:rPr>
      </w:pPr>
    </w:p>
    <w:p w14:paraId="646088C9" w14:textId="77777777" w:rsidR="00246370" w:rsidRPr="00246370" w:rsidRDefault="00246370" w:rsidP="58CF6629">
      <w:pPr>
        <w:snapToGrid w:val="0"/>
        <w:spacing w:after="0" w:line="240" w:lineRule="auto"/>
        <w:ind w:left="709" w:right="709"/>
        <w:jc w:val="both"/>
        <w:rPr>
          <w:rFonts w:ascii="Verdana" w:eastAsia="Calibri" w:hAnsi="Verdana" w:cs="Arial"/>
          <w:sz w:val="21"/>
          <w:szCs w:val="21"/>
          <w:lang w:val="es-ES" w:eastAsia="es-ES"/>
        </w:rPr>
      </w:pPr>
      <w:r w:rsidRPr="58CF6629">
        <w:rPr>
          <w:rFonts w:ascii="Verdana" w:eastAsia="Calibri" w:hAnsi="Verdana" w:cs="Arial"/>
          <w:sz w:val="21"/>
          <w:szCs w:val="21"/>
          <w:lang w:val="es-ES" w:eastAsia="es-ES"/>
        </w:rPr>
        <w:t xml:space="preserve">“Solicito amablemente me den </w:t>
      </w:r>
      <w:proofErr w:type="spellStart"/>
      <w:r w:rsidRPr="58CF6629">
        <w:rPr>
          <w:rFonts w:ascii="Verdana" w:eastAsia="Calibri" w:hAnsi="Verdana" w:cs="Arial"/>
          <w:sz w:val="21"/>
          <w:szCs w:val="21"/>
          <w:lang w:val="es-ES" w:eastAsia="es-ES"/>
        </w:rPr>
        <w:t>cun</w:t>
      </w:r>
      <w:proofErr w:type="spellEnd"/>
      <w:r w:rsidRPr="58CF6629">
        <w:rPr>
          <w:rFonts w:ascii="Verdana" w:eastAsia="Calibri" w:hAnsi="Verdana" w:cs="Arial"/>
          <w:sz w:val="21"/>
          <w:szCs w:val="21"/>
          <w:lang w:val="es-ES" w:eastAsia="es-ES"/>
        </w:rPr>
        <w:t xml:space="preserve"> concepto </w:t>
      </w:r>
      <w:proofErr w:type="spellStart"/>
      <w:r w:rsidRPr="58CF6629">
        <w:rPr>
          <w:rFonts w:ascii="Verdana" w:eastAsia="Calibri" w:hAnsi="Verdana" w:cs="Arial"/>
          <w:sz w:val="21"/>
          <w:szCs w:val="21"/>
          <w:lang w:val="es-ES" w:eastAsia="es-ES"/>
        </w:rPr>
        <w:t>juridico</w:t>
      </w:r>
      <w:proofErr w:type="spellEnd"/>
      <w:r w:rsidRPr="58CF6629">
        <w:rPr>
          <w:rFonts w:ascii="Verdana" w:eastAsia="Calibri" w:hAnsi="Verdana" w:cs="Arial"/>
          <w:sz w:val="21"/>
          <w:szCs w:val="21"/>
          <w:lang w:val="es-ES" w:eastAsia="es-ES"/>
        </w:rPr>
        <w:t xml:space="preserve"> acerca del amparo de estabilidad y calidad para contratos de obra </w:t>
      </w:r>
      <w:proofErr w:type="spellStart"/>
      <w:r w:rsidRPr="58CF6629">
        <w:rPr>
          <w:rFonts w:ascii="Verdana" w:eastAsia="Calibri" w:hAnsi="Verdana" w:cs="Arial"/>
          <w:sz w:val="21"/>
          <w:szCs w:val="21"/>
          <w:lang w:val="es-ES" w:eastAsia="es-ES"/>
        </w:rPr>
        <w:t>publica</w:t>
      </w:r>
      <w:proofErr w:type="spellEnd"/>
      <w:r w:rsidRPr="58CF6629">
        <w:rPr>
          <w:rFonts w:ascii="Verdana" w:eastAsia="Calibri" w:hAnsi="Verdana" w:cs="Arial"/>
          <w:sz w:val="21"/>
          <w:szCs w:val="21"/>
          <w:lang w:val="es-ES" w:eastAsia="es-ES"/>
        </w:rPr>
        <w:t xml:space="preserve"> cuyo alcance </w:t>
      </w:r>
      <w:proofErr w:type="spellStart"/>
      <w:r w:rsidRPr="58CF6629">
        <w:rPr>
          <w:rFonts w:ascii="Verdana" w:eastAsia="Calibri" w:hAnsi="Verdana" w:cs="Arial"/>
          <w:sz w:val="21"/>
          <w:szCs w:val="21"/>
          <w:lang w:val="es-ES" w:eastAsia="es-ES"/>
        </w:rPr>
        <w:t>esta</w:t>
      </w:r>
      <w:proofErr w:type="spellEnd"/>
      <w:r w:rsidRPr="58CF6629">
        <w:rPr>
          <w:rFonts w:ascii="Verdana" w:eastAsia="Calibri" w:hAnsi="Verdana" w:cs="Arial"/>
          <w:sz w:val="21"/>
          <w:szCs w:val="21"/>
          <w:lang w:val="es-ES" w:eastAsia="es-ES"/>
        </w:rPr>
        <w:t xml:space="preserve"> relacionado con actividades de mantenimiento o </w:t>
      </w:r>
      <w:proofErr w:type="spellStart"/>
      <w:r w:rsidRPr="58CF6629">
        <w:rPr>
          <w:rFonts w:ascii="Verdana" w:eastAsia="Calibri" w:hAnsi="Verdana" w:cs="Arial"/>
          <w:sz w:val="21"/>
          <w:szCs w:val="21"/>
          <w:lang w:val="es-ES" w:eastAsia="es-ES"/>
        </w:rPr>
        <w:t>adecuacion</w:t>
      </w:r>
      <w:proofErr w:type="spellEnd"/>
      <w:r w:rsidRPr="58CF6629">
        <w:rPr>
          <w:rFonts w:ascii="Verdana" w:eastAsia="Calibri" w:hAnsi="Verdana" w:cs="Arial"/>
          <w:sz w:val="21"/>
          <w:szCs w:val="21"/>
          <w:lang w:val="es-ES" w:eastAsia="es-ES"/>
        </w:rPr>
        <w:t xml:space="preserve"> de infraestructura caso puntual en aquellos con objeto "mantenimiento de sistemas de tratamiento de agua residual o pozos </w:t>
      </w:r>
      <w:proofErr w:type="spellStart"/>
      <w:r w:rsidRPr="58CF6629">
        <w:rPr>
          <w:rFonts w:ascii="Verdana" w:eastAsia="Calibri" w:hAnsi="Verdana" w:cs="Arial"/>
          <w:sz w:val="21"/>
          <w:szCs w:val="21"/>
          <w:lang w:val="es-ES" w:eastAsia="es-ES"/>
        </w:rPr>
        <w:t>septicos</w:t>
      </w:r>
      <w:proofErr w:type="spellEnd"/>
      <w:r w:rsidRPr="58CF6629">
        <w:rPr>
          <w:rFonts w:ascii="Verdana" w:eastAsia="Calibri" w:hAnsi="Verdana" w:cs="Arial"/>
          <w:sz w:val="21"/>
          <w:szCs w:val="21"/>
          <w:lang w:val="es-ES" w:eastAsia="es-ES"/>
        </w:rPr>
        <w:t>" o con objeto "</w:t>
      </w:r>
      <w:proofErr w:type="spellStart"/>
      <w:r w:rsidRPr="58CF6629">
        <w:rPr>
          <w:rFonts w:ascii="Verdana" w:eastAsia="Calibri" w:hAnsi="Verdana" w:cs="Arial"/>
          <w:sz w:val="21"/>
          <w:szCs w:val="21"/>
          <w:lang w:val="es-ES" w:eastAsia="es-ES"/>
        </w:rPr>
        <w:t>manteniemiento</w:t>
      </w:r>
      <w:proofErr w:type="spellEnd"/>
      <w:r w:rsidRPr="58CF6629">
        <w:rPr>
          <w:rFonts w:ascii="Verdana" w:eastAsia="Calibri" w:hAnsi="Verdana" w:cs="Arial"/>
          <w:sz w:val="21"/>
          <w:szCs w:val="21"/>
          <w:lang w:val="es-ES" w:eastAsia="es-ES"/>
        </w:rPr>
        <w:t xml:space="preserve"> de pozos profundos o de extracción de agua cruda" o con actividades similares a este; o ejemplos de proyectos de </w:t>
      </w:r>
      <w:proofErr w:type="spellStart"/>
      <w:r w:rsidRPr="58CF6629">
        <w:rPr>
          <w:rFonts w:ascii="Verdana" w:eastAsia="Calibri" w:hAnsi="Verdana" w:cs="Arial"/>
          <w:sz w:val="21"/>
          <w:szCs w:val="21"/>
          <w:lang w:val="es-ES" w:eastAsia="es-ES"/>
        </w:rPr>
        <w:t>señalizacion</w:t>
      </w:r>
      <w:proofErr w:type="spellEnd"/>
      <w:r w:rsidRPr="58CF6629">
        <w:rPr>
          <w:rFonts w:ascii="Verdana" w:eastAsia="Calibri" w:hAnsi="Verdana" w:cs="Arial"/>
          <w:sz w:val="21"/>
          <w:szCs w:val="21"/>
          <w:lang w:val="es-ES" w:eastAsia="es-ES"/>
        </w:rPr>
        <w:t xml:space="preserve"> horizontal para </w:t>
      </w:r>
      <w:proofErr w:type="spellStart"/>
      <w:r w:rsidRPr="58CF6629">
        <w:rPr>
          <w:rFonts w:ascii="Verdana" w:eastAsia="Calibri" w:hAnsi="Verdana" w:cs="Arial"/>
          <w:sz w:val="21"/>
          <w:szCs w:val="21"/>
          <w:lang w:val="es-ES" w:eastAsia="es-ES"/>
        </w:rPr>
        <w:t>vias</w:t>
      </w:r>
      <w:proofErr w:type="spellEnd"/>
      <w:r w:rsidRPr="58CF6629">
        <w:rPr>
          <w:rFonts w:ascii="Verdana" w:eastAsia="Calibri" w:hAnsi="Verdana" w:cs="Arial"/>
          <w:sz w:val="21"/>
          <w:szCs w:val="21"/>
          <w:lang w:val="es-ES" w:eastAsia="es-ES"/>
        </w:rPr>
        <w:t xml:space="preserve"> (pintura e imprimante)”. [SIC]</w:t>
      </w:r>
    </w:p>
    <w:p w14:paraId="666C76CF" w14:textId="77777777" w:rsidR="00246370" w:rsidRPr="00246370" w:rsidRDefault="00246370" w:rsidP="00246370">
      <w:pPr>
        <w:snapToGrid w:val="0"/>
        <w:spacing w:after="0" w:line="276" w:lineRule="auto"/>
        <w:jc w:val="both"/>
        <w:rPr>
          <w:rFonts w:ascii="Verdana" w:eastAsia="Calibri" w:hAnsi="Verdana" w:cs="Arial"/>
          <w:lang w:val="es-ES_tradnl" w:eastAsia="es-ES"/>
        </w:rPr>
      </w:pPr>
    </w:p>
    <w:p w14:paraId="6A16E3B3" w14:textId="77777777" w:rsidR="00246370" w:rsidRPr="00246370" w:rsidRDefault="00246370" w:rsidP="00246370">
      <w:pPr>
        <w:spacing w:after="120" w:line="276" w:lineRule="auto"/>
        <w:ind w:firstLine="709"/>
        <w:jc w:val="both"/>
        <w:rPr>
          <w:rFonts w:ascii="Verdana" w:eastAsia="Calibri" w:hAnsi="Verdana" w:cs="Arial"/>
          <w:lang w:val="es-ES" w:eastAsia="es-ES"/>
        </w:rPr>
      </w:pPr>
      <w:r w:rsidRPr="0024637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46370">
        <w:rPr>
          <w:rFonts w:ascii="Calibri" w:eastAsia="Calibri" w:hAnsi="Calibri" w:cs="Times New Roman"/>
        </w:rPr>
        <w:tab/>
      </w:r>
    </w:p>
    <w:p w14:paraId="0B2A3793" w14:textId="77777777" w:rsidR="00246370" w:rsidRPr="00246370" w:rsidRDefault="00246370" w:rsidP="00246370">
      <w:pPr>
        <w:snapToGrid w:val="0"/>
        <w:spacing w:after="0" w:line="276" w:lineRule="auto"/>
        <w:ind w:firstLine="709"/>
        <w:jc w:val="both"/>
        <w:rPr>
          <w:rFonts w:ascii="Verdana" w:eastAsia="Calibri" w:hAnsi="Verdana" w:cs="Arial"/>
          <w:lang w:val="es-ES_tradnl" w:eastAsia="es-ES"/>
        </w:rPr>
      </w:pPr>
      <w:r w:rsidRPr="0024637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DA2CB4E" w14:textId="77777777" w:rsidR="00246370" w:rsidRPr="00246370" w:rsidRDefault="00246370" w:rsidP="00246370">
      <w:pPr>
        <w:snapToGrid w:val="0"/>
        <w:spacing w:after="0" w:line="276" w:lineRule="auto"/>
        <w:ind w:firstLine="709"/>
        <w:jc w:val="both"/>
        <w:rPr>
          <w:rFonts w:ascii="Verdana" w:eastAsia="Calibri" w:hAnsi="Verdana" w:cs="Arial"/>
          <w:lang w:val="es-ES_tradnl" w:eastAsia="es-ES"/>
        </w:rPr>
      </w:pPr>
    </w:p>
    <w:p w14:paraId="195E656D" w14:textId="77777777" w:rsidR="00246370" w:rsidRPr="00246370" w:rsidRDefault="00246370" w:rsidP="002463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6370">
        <w:rPr>
          <w:rFonts w:ascii="Verdana" w:eastAsia="Century Gothic" w:hAnsi="Verdana" w:cs="Century Gothic"/>
          <w:b/>
          <w:bCs/>
          <w:lang w:val="es-ES_tradnl"/>
        </w:rPr>
        <w:t>Problema planteado:</w:t>
      </w:r>
    </w:p>
    <w:p w14:paraId="5565C443" w14:textId="77777777" w:rsidR="00246370" w:rsidRPr="00246370" w:rsidRDefault="00246370" w:rsidP="00246370">
      <w:pPr>
        <w:tabs>
          <w:tab w:val="left" w:pos="426"/>
        </w:tabs>
        <w:snapToGrid w:val="0"/>
        <w:spacing w:after="0" w:line="276" w:lineRule="auto"/>
        <w:jc w:val="both"/>
        <w:rPr>
          <w:rFonts w:ascii="Verdana" w:eastAsia="Century Gothic" w:hAnsi="Verdana" w:cs="Century Gothic"/>
          <w:lang w:val="es-ES_tradnl"/>
        </w:rPr>
      </w:pPr>
    </w:p>
    <w:p w14:paraId="3C272AFD" w14:textId="77777777" w:rsidR="00246370" w:rsidRPr="00246370" w:rsidRDefault="00246370" w:rsidP="00246370">
      <w:pPr>
        <w:snapToGrid w:val="0"/>
        <w:spacing w:after="0" w:line="276" w:lineRule="auto"/>
        <w:jc w:val="both"/>
        <w:rPr>
          <w:rFonts w:ascii="Verdana" w:eastAsia="Aptos" w:hAnsi="Verdana" w:cs="Times New Roman"/>
          <w:kern w:val="2"/>
          <w14:ligatures w14:val="standardContextual"/>
        </w:rPr>
      </w:pPr>
      <w:r w:rsidRPr="00246370">
        <w:rPr>
          <w:rFonts w:ascii="Verdana" w:eastAsia="Century Gothic" w:hAnsi="Verdana" w:cs="Century Gothic"/>
          <w:lang w:val="es-ES_tradnl"/>
        </w:rPr>
        <w:t>De acuerdo con el contenido de su solicitud, esta Agencia resolverá el siguiente problema jurídico: ¿cuál es el alcance del amparo de estabilidad y calidad de la obra?</w:t>
      </w:r>
    </w:p>
    <w:p w14:paraId="45A8EDEC" w14:textId="77777777" w:rsidR="00246370" w:rsidRPr="00246370" w:rsidRDefault="00246370" w:rsidP="00246370">
      <w:pPr>
        <w:snapToGrid w:val="0"/>
        <w:spacing w:after="0" w:line="276" w:lineRule="auto"/>
        <w:jc w:val="both"/>
        <w:rPr>
          <w:rFonts w:ascii="Verdana" w:eastAsia="Calibri" w:hAnsi="Verdana" w:cs="Arial"/>
          <w:lang w:val="es-ES_tradnl"/>
        </w:rPr>
      </w:pPr>
    </w:p>
    <w:p w14:paraId="7CBC518B" w14:textId="77777777" w:rsidR="00246370" w:rsidRPr="00246370" w:rsidRDefault="00246370" w:rsidP="002463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6370">
        <w:rPr>
          <w:rFonts w:ascii="Verdana" w:eastAsia="Century Gothic" w:hAnsi="Verdana" w:cs="Century Gothic"/>
          <w:b/>
          <w:bCs/>
          <w:lang w:val="es-ES_tradnl"/>
        </w:rPr>
        <w:t>Respuesta:</w:t>
      </w:r>
    </w:p>
    <w:p w14:paraId="5F914764" w14:textId="77777777" w:rsidR="00246370" w:rsidRPr="00246370" w:rsidRDefault="00246370" w:rsidP="0024637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6370" w:rsidRPr="00246370" w14:paraId="6A463714" w14:textId="77777777" w:rsidTr="005C7BEE">
        <w:tc>
          <w:tcPr>
            <w:tcW w:w="8828" w:type="dxa"/>
            <w:shd w:val="clear" w:color="auto" w:fill="auto"/>
          </w:tcPr>
          <w:p w14:paraId="636CB7F2" w14:textId="77777777" w:rsidR="00246370" w:rsidRPr="00246370" w:rsidRDefault="00246370" w:rsidP="00246370">
            <w:pPr>
              <w:snapToGrid w:val="0"/>
              <w:spacing w:line="276" w:lineRule="auto"/>
              <w:jc w:val="both"/>
              <w:rPr>
                <w:rFonts w:ascii="Verdana" w:eastAsia="Calibri" w:hAnsi="Verdana" w:cs="Arial"/>
                <w:lang w:val="es-ES_tradnl"/>
              </w:rPr>
            </w:pPr>
            <w:r w:rsidRPr="00246370">
              <w:rPr>
                <w:rFonts w:ascii="Verdana" w:eastAsia="Calibri" w:hAnsi="Verdana" w:cs="Arial"/>
                <w:lang w:val="es-ES_tradnl"/>
              </w:rPr>
              <w:t>El numeral 5 del artículo 2.2.1.2.3.1.7 del Decreto 1082 de 2015 dispone que el amparo de estabilidad y calidad de la obra “</w:t>
            </w:r>
            <w:r w:rsidRPr="00246370">
              <w:rPr>
                <w:rFonts w:ascii="Verdana" w:eastAsia="Calibri" w:hAnsi="Verdana" w:cs="Arial"/>
                <w:lang w:val="es-MX"/>
              </w:rPr>
              <w:t xml:space="preserve">[…] </w:t>
            </w:r>
            <w:r w:rsidRPr="00246370">
              <w:rPr>
                <w:rFonts w:ascii="Verdana" w:eastAsia="Calibri" w:hAnsi="Verdana" w:cs="Arial"/>
                <w:lang w:val="es-ES_tradnl"/>
              </w:rPr>
              <w:t xml:space="preserve">cubre a la Entidad Estatal de los perjuicios ocasionados por cualquier tipo de daño o deterioro, imputable al contratista, sufrido por la obra entregada a satisfacción”. Por su parte, el artículo 2.2.1.2.3.1.14 </w:t>
            </w:r>
            <w:r w:rsidRPr="00246370">
              <w:rPr>
                <w:rFonts w:ascii="Verdana" w:eastAsia="Calibri" w:hAnsi="Verdana" w:cs="Arial"/>
                <w:i/>
                <w:iCs/>
                <w:lang w:val="es-ES_tradnl"/>
              </w:rPr>
              <w:t>ibidem</w:t>
            </w:r>
            <w:r w:rsidRPr="00246370">
              <w:rPr>
                <w:rFonts w:ascii="Verdana" w:eastAsia="Calibri" w:hAnsi="Verdana" w:cs="Arial"/>
                <w:lang w:val="es-ES_tradnl"/>
              </w:rPr>
              <w:t xml:space="preserve"> se refiere a la suficiencia de la garantía en cometo y establece su vigencia. </w:t>
            </w:r>
          </w:p>
          <w:p w14:paraId="5CD998FA" w14:textId="77777777" w:rsidR="00246370" w:rsidRPr="00246370" w:rsidRDefault="00246370" w:rsidP="00246370">
            <w:pPr>
              <w:snapToGrid w:val="0"/>
              <w:spacing w:line="276" w:lineRule="auto"/>
              <w:jc w:val="both"/>
              <w:rPr>
                <w:rFonts w:ascii="Verdana" w:eastAsia="Calibri" w:hAnsi="Verdana" w:cs="Calibri Light"/>
              </w:rPr>
            </w:pPr>
          </w:p>
          <w:p w14:paraId="22CE9566" w14:textId="77777777" w:rsidR="00246370" w:rsidRPr="00246370" w:rsidRDefault="00246370" w:rsidP="00246370">
            <w:pPr>
              <w:widowControl w:val="0"/>
              <w:autoSpaceDE w:val="0"/>
              <w:autoSpaceDN w:val="0"/>
              <w:spacing w:line="276" w:lineRule="auto"/>
              <w:jc w:val="both"/>
              <w:rPr>
                <w:rFonts w:ascii="Verdana" w:eastAsia="Arial" w:hAnsi="Verdana" w:cs="Arial"/>
                <w:lang w:val="es-ES"/>
              </w:rPr>
            </w:pPr>
            <w:r w:rsidRPr="00246370">
              <w:rPr>
                <w:rFonts w:ascii="Verdana" w:eastAsia="Arial" w:hAnsi="Verdana" w:cs="Arial"/>
                <w:lang w:val="es-ES"/>
              </w:rPr>
              <w:t xml:space="preserve">No existe una norma específica para los casos puntuales de la petición, por lo que la constitución de la garantía de estabilidad y calidad de la obra deberá realizarse en atención a las particularidades del proceso de contratación y de </w:t>
            </w:r>
            <w:r w:rsidRPr="00246370">
              <w:rPr>
                <w:rFonts w:ascii="Verdana" w:eastAsia="Arial" w:hAnsi="Verdana" w:cs="Arial"/>
                <w:lang w:val="es-ES"/>
              </w:rPr>
              <w:lastRenderedPageBreak/>
              <w:t>conformidad con lo dispuesto por el Decreto 1082 de 2015 y demás normas aplicables.</w:t>
            </w:r>
          </w:p>
        </w:tc>
      </w:tr>
    </w:tbl>
    <w:p w14:paraId="22BBEFFB" w14:textId="77777777" w:rsidR="00246370" w:rsidRPr="00246370" w:rsidRDefault="00246370" w:rsidP="00246370">
      <w:pPr>
        <w:tabs>
          <w:tab w:val="left" w:pos="142"/>
          <w:tab w:val="left" w:pos="284"/>
        </w:tabs>
        <w:snapToGrid w:val="0"/>
        <w:spacing w:after="0" w:line="276" w:lineRule="auto"/>
        <w:jc w:val="both"/>
        <w:rPr>
          <w:rFonts w:ascii="Verdana" w:eastAsia="Century Gothic" w:hAnsi="Verdana" w:cs="Century Gothic"/>
          <w:b/>
          <w:bCs/>
          <w:lang w:val="es-ES_tradnl"/>
        </w:rPr>
      </w:pPr>
    </w:p>
    <w:p w14:paraId="1EF23160" w14:textId="77777777" w:rsidR="00246370" w:rsidRPr="00246370" w:rsidRDefault="00246370" w:rsidP="002463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6370">
        <w:rPr>
          <w:rFonts w:ascii="Verdana" w:eastAsia="Century Gothic" w:hAnsi="Verdana" w:cs="Century Gothic"/>
          <w:b/>
          <w:bCs/>
          <w:lang w:val="es-ES_tradnl"/>
        </w:rPr>
        <w:t>Razones de la respuesta:</w:t>
      </w:r>
    </w:p>
    <w:p w14:paraId="4C5CE466" w14:textId="77777777" w:rsidR="00246370" w:rsidRPr="00246370" w:rsidRDefault="00246370" w:rsidP="00246370">
      <w:pPr>
        <w:snapToGrid w:val="0"/>
        <w:spacing w:after="0" w:line="276" w:lineRule="auto"/>
        <w:jc w:val="both"/>
        <w:rPr>
          <w:rFonts w:ascii="Verdana" w:eastAsia="Calibri" w:hAnsi="Verdana" w:cs="Arial"/>
          <w:lang w:val="es-ES_tradnl"/>
        </w:rPr>
      </w:pPr>
    </w:p>
    <w:p w14:paraId="22B3038F" w14:textId="77777777" w:rsidR="00246370" w:rsidRPr="00246370" w:rsidRDefault="00246370" w:rsidP="00246370">
      <w:pPr>
        <w:snapToGrid w:val="0"/>
        <w:spacing w:after="0" w:line="276" w:lineRule="auto"/>
        <w:jc w:val="both"/>
        <w:rPr>
          <w:rFonts w:ascii="Verdana" w:eastAsia="Calibri" w:hAnsi="Verdana" w:cs="Arial"/>
          <w:lang w:val="es-ES_tradnl"/>
        </w:rPr>
      </w:pPr>
      <w:r w:rsidRPr="00246370">
        <w:rPr>
          <w:rFonts w:ascii="Verdana" w:eastAsia="Calibri" w:hAnsi="Verdana" w:cs="Arial"/>
          <w:lang w:val="es-ES_tradnl"/>
        </w:rPr>
        <w:t xml:space="preserve">Lo anterior se sustenta en las siguientes consideraciones: </w:t>
      </w:r>
    </w:p>
    <w:p w14:paraId="489C4B02" w14:textId="77777777" w:rsidR="00246370" w:rsidRPr="00246370" w:rsidRDefault="00246370" w:rsidP="00246370">
      <w:pPr>
        <w:snapToGrid w:val="0"/>
        <w:spacing w:after="0" w:line="276" w:lineRule="auto"/>
        <w:jc w:val="both"/>
        <w:rPr>
          <w:rFonts w:ascii="Verdana" w:eastAsia="Calibri" w:hAnsi="Verdana" w:cs="Arial"/>
          <w:lang w:val="es-ES_tradnl"/>
        </w:rPr>
      </w:pPr>
    </w:p>
    <w:p w14:paraId="2EF65F33"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t>La Guía de garantías en Procesos de Contratación señala que “Las garantías son instrumentos de cobertura de algunos Riesgos comunes en Procesos de Contratación”</w:t>
      </w:r>
      <w:r w:rsidRPr="00246370">
        <w:rPr>
          <w:rFonts w:ascii="Aptos" w:eastAsia="Aptos" w:hAnsi="Aptos" w:cs="Times New Roman"/>
          <w:kern w:val="2"/>
          <w:sz w:val="24"/>
          <w:szCs w:val="24"/>
          <w:vertAlign w:val="superscript"/>
          <w:lang w:val="es-ES_tradnl"/>
          <w14:ligatures w14:val="standardContextual"/>
        </w:rPr>
        <w:footnoteReference w:id="1"/>
      </w:r>
      <w:r w:rsidRPr="00246370">
        <w:rPr>
          <w:rFonts w:ascii="Verdana" w:eastAsia="Calibri" w:hAnsi="Verdana" w:cs="Arial"/>
          <w:bCs/>
          <w:lang w:val="es-ES_tradnl"/>
        </w:rPr>
        <w:t>.  En relación con la garantía de cumplimiento, la Agencia Nacional de Contratación Pública ha sostenido lo siguiente:</w:t>
      </w:r>
    </w:p>
    <w:p w14:paraId="3CAEE857" w14:textId="77777777" w:rsidR="00246370" w:rsidRPr="00246370" w:rsidRDefault="00246370" w:rsidP="00246370">
      <w:pPr>
        <w:spacing w:after="0" w:line="276" w:lineRule="auto"/>
        <w:ind w:left="720"/>
        <w:contextualSpacing/>
        <w:jc w:val="both"/>
        <w:rPr>
          <w:rFonts w:ascii="Verdana" w:eastAsia="Calibri" w:hAnsi="Verdana" w:cs="Arial"/>
          <w:bCs/>
          <w:lang w:val="es-ES_tradnl"/>
        </w:rPr>
      </w:pPr>
    </w:p>
    <w:p w14:paraId="1D143004" w14:textId="77777777" w:rsidR="00246370" w:rsidRPr="00246370" w:rsidRDefault="00246370" w:rsidP="00246370">
      <w:pPr>
        <w:spacing w:after="0" w:line="240" w:lineRule="auto"/>
        <w:ind w:left="709" w:right="758"/>
        <w:jc w:val="both"/>
        <w:rPr>
          <w:rFonts w:ascii="Verdana" w:eastAsia="Calibri" w:hAnsi="Verdana" w:cs="Arial"/>
          <w:bCs/>
          <w:sz w:val="21"/>
          <w:szCs w:val="21"/>
          <w:lang w:val="es-ES_tradnl"/>
        </w:rPr>
      </w:pPr>
      <w:r w:rsidRPr="00246370">
        <w:rPr>
          <w:rFonts w:ascii="Verdana" w:eastAsia="Calibri" w:hAnsi="Verdana" w:cs="Arial"/>
          <w:bCs/>
          <w:sz w:val="21"/>
          <w:szCs w:val="21"/>
          <w:lang w:val="es-ES_tradnl"/>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2A82DE33" w14:textId="77777777" w:rsidR="00246370" w:rsidRPr="00246370" w:rsidRDefault="00246370" w:rsidP="00246370">
      <w:pPr>
        <w:spacing w:after="0" w:line="240" w:lineRule="auto"/>
        <w:ind w:left="709" w:right="758"/>
        <w:jc w:val="both"/>
        <w:rPr>
          <w:rFonts w:ascii="Verdana" w:eastAsia="Calibri" w:hAnsi="Verdana" w:cs="Arial"/>
          <w:bCs/>
          <w:sz w:val="21"/>
          <w:szCs w:val="21"/>
          <w:lang w:val="es-ES_tradnl"/>
        </w:rPr>
      </w:pPr>
    </w:p>
    <w:p w14:paraId="79930EB5" w14:textId="77777777" w:rsidR="00246370" w:rsidRPr="00246370" w:rsidRDefault="00246370" w:rsidP="00246370">
      <w:pPr>
        <w:spacing w:after="0" w:line="240" w:lineRule="auto"/>
        <w:ind w:left="709" w:right="758"/>
        <w:jc w:val="both"/>
        <w:rPr>
          <w:rFonts w:ascii="Verdana" w:eastAsia="Calibri" w:hAnsi="Verdana" w:cs="Arial"/>
          <w:bCs/>
          <w:sz w:val="21"/>
          <w:szCs w:val="21"/>
          <w:lang w:val="es-ES_tradnl"/>
        </w:rPr>
      </w:pPr>
      <w:r w:rsidRPr="00246370">
        <w:rPr>
          <w:rFonts w:ascii="Verdana" w:eastAsia="Calibri" w:hAnsi="Verdana" w:cs="Arial"/>
          <w:bCs/>
          <w:sz w:val="21"/>
          <w:szCs w:val="21"/>
          <w:lang w:val="es-ES_tradnl"/>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sidRPr="00246370">
        <w:rPr>
          <w:rFonts w:ascii="Verdana" w:eastAsia="Calibri" w:hAnsi="Verdana" w:cs="Arial"/>
          <w:bCs/>
          <w:sz w:val="21"/>
          <w:szCs w:val="21"/>
          <w:vertAlign w:val="superscript"/>
          <w:lang w:val="es-ES_tradnl"/>
        </w:rPr>
        <w:footnoteReference w:id="2"/>
      </w:r>
      <w:r w:rsidRPr="00246370">
        <w:rPr>
          <w:rFonts w:ascii="Verdana" w:eastAsia="Calibri" w:hAnsi="Verdana" w:cs="Arial"/>
          <w:bCs/>
          <w:sz w:val="21"/>
          <w:szCs w:val="21"/>
          <w:lang w:val="es-ES_tradnl"/>
        </w:rPr>
        <w:t>.</w:t>
      </w:r>
    </w:p>
    <w:p w14:paraId="19A84133" w14:textId="77777777" w:rsidR="00246370" w:rsidRPr="00246370" w:rsidRDefault="00246370" w:rsidP="00246370">
      <w:pPr>
        <w:spacing w:after="0" w:line="240" w:lineRule="auto"/>
        <w:ind w:left="709" w:right="758"/>
        <w:jc w:val="both"/>
        <w:rPr>
          <w:rFonts w:ascii="Verdana" w:eastAsia="Calibri" w:hAnsi="Verdana" w:cs="Arial"/>
          <w:bCs/>
          <w:lang w:val="es-ES_tradnl"/>
        </w:rPr>
      </w:pPr>
    </w:p>
    <w:p w14:paraId="66D9F65A"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t xml:space="preserve">Como puede observarse, 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52CCB6B5" w14:textId="77777777" w:rsidR="00246370" w:rsidRPr="00246370" w:rsidRDefault="00246370" w:rsidP="00246370">
      <w:pPr>
        <w:spacing w:after="0" w:line="276" w:lineRule="auto"/>
        <w:ind w:left="720"/>
        <w:contextualSpacing/>
        <w:jc w:val="both"/>
        <w:rPr>
          <w:rFonts w:ascii="Verdana" w:eastAsia="Calibri" w:hAnsi="Verdana" w:cs="Arial"/>
          <w:bCs/>
          <w:lang w:val="es-ES_tradnl"/>
        </w:rPr>
      </w:pPr>
    </w:p>
    <w:p w14:paraId="128A19B2"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bCs/>
          <w:lang w:val="es-ES_tradnl"/>
        </w:rPr>
        <w:lastRenderedPageBreak/>
        <w:t>En efecto, según el artículo 2.2.1.2.3.1.7. del Decreto 1082 de 2015</w:t>
      </w:r>
      <w:r w:rsidRPr="00246370">
        <w:rPr>
          <w:rFonts w:ascii="Aptos" w:eastAsia="Aptos" w:hAnsi="Aptos" w:cs="Times New Roman"/>
          <w:kern w:val="2"/>
          <w:sz w:val="24"/>
          <w:szCs w:val="24"/>
          <w:vertAlign w:val="superscript"/>
          <w:lang w:val="es-ES_tradnl"/>
          <w14:ligatures w14:val="standardContextual"/>
        </w:rPr>
        <w:footnoteReference w:id="3"/>
      </w:r>
      <w:r w:rsidRPr="00246370">
        <w:rPr>
          <w:rFonts w:ascii="Verdana" w:eastAsia="Calibri" w:hAnsi="Verdana" w:cs="Arial"/>
          <w:bCs/>
          <w:lang w:val="es-ES_tradnl"/>
        </w:rPr>
        <w:t>,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la estabilidad y calidad de la obra, entre otros.</w:t>
      </w:r>
    </w:p>
    <w:p w14:paraId="57087045" w14:textId="77777777" w:rsidR="00246370" w:rsidRPr="00246370" w:rsidRDefault="00246370" w:rsidP="00246370">
      <w:pPr>
        <w:spacing w:line="278" w:lineRule="auto"/>
        <w:ind w:left="720"/>
        <w:contextualSpacing/>
        <w:rPr>
          <w:rFonts w:ascii="Verdana" w:eastAsia="Calibri" w:hAnsi="Verdana" w:cs="Arial"/>
          <w:bCs/>
          <w:lang w:val="es-ES_tradnl"/>
        </w:rPr>
      </w:pPr>
    </w:p>
    <w:p w14:paraId="79C7E027" w14:textId="77777777" w:rsidR="00246370" w:rsidRPr="00246370" w:rsidRDefault="00246370" w:rsidP="58CF6629">
      <w:pPr>
        <w:numPr>
          <w:ilvl w:val="0"/>
          <w:numId w:val="17"/>
        </w:numPr>
        <w:spacing w:after="0" w:line="276" w:lineRule="auto"/>
        <w:contextualSpacing/>
        <w:jc w:val="both"/>
        <w:rPr>
          <w:rFonts w:ascii="Verdana" w:eastAsia="Calibri" w:hAnsi="Verdana" w:cs="Arial"/>
          <w:lang w:val="es-ES"/>
        </w:rPr>
      </w:pPr>
      <w:r w:rsidRPr="58CF6629">
        <w:rPr>
          <w:rFonts w:ascii="Verdana" w:eastAsia="Calibri" w:hAnsi="Verdana" w:cs="Arial"/>
          <w:lang w:val="es-ES"/>
        </w:rPr>
        <w:t xml:space="preserve">Por tanto, el amparo de </w:t>
      </w:r>
      <w:proofErr w:type="gramStart"/>
      <w:r w:rsidRPr="58CF6629">
        <w:rPr>
          <w:rFonts w:ascii="Verdana" w:eastAsia="Calibri" w:hAnsi="Verdana" w:cs="Arial"/>
          <w:lang w:val="es-ES"/>
        </w:rPr>
        <w:t>cumplimiento,</w:t>
      </w:r>
      <w:proofErr w:type="gramEnd"/>
      <w:r w:rsidRPr="58CF6629">
        <w:rPr>
          <w:rFonts w:ascii="Verdana" w:eastAsia="Calibri" w:hAnsi="Verdana" w:cs="Arial"/>
          <w:lang w:val="es-ES"/>
        </w:rPr>
        <w:t xml:space="preserve"> es uno de los múltiples amparos que conforman la garantía única de cumplimiento. Al tenor de lo preceptuado en el artículo 2.2.1.2.3.1.7. </w:t>
      </w:r>
      <w:r w:rsidRPr="58CF6629">
        <w:rPr>
          <w:rFonts w:ascii="Verdana" w:eastAsia="Calibri" w:hAnsi="Verdana" w:cs="Arial"/>
          <w:i/>
          <w:iCs/>
          <w:lang w:val="es-ES"/>
        </w:rPr>
        <w:t>ibidem,</w:t>
      </w:r>
      <w:r w:rsidRPr="58CF6629">
        <w:rPr>
          <w:rFonts w:ascii="Verdana" w:eastAsia="Calibri" w:hAnsi="Verdana" w:cs="Arial"/>
          <w:lang w:val="es-ES"/>
        </w:rPr>
        <w:t xml:space="preserve"> la garantía de cumplimiento debe proteger a la entidad de los perjuicios que se puedan </w:t>
      </w:r>
      <w:r w:rsidRPr="58CF6629">
        <w:rPr>
          <w:rFonts w:ascii="Verdana" w:eastAsia="Calibri" w:hAnsi="Verdana" w:cs="Arial"/>
          <w:lang w:val="es-ES"/>
        </w:rPr>
        <w:lastRenderedPageBreak/>
        <w:t xml:space="preserve">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03EF3740" w14:textId="77777777" w:rsidR="00246370" w:rsidRPr="00246370" w:rsidRDefault="00246370" w:rsidP="00246370">
      <w:pPr>
        <w:spacing w:line="278" w:lineRule="auto"/>
        <w:ind w:left="720"/>
        <w:contextualSpacing/>
        <w:rPr>
          <w:rFonts w:ascii="Verdana" w:eastAsia="Calibri" w:hAnsi="Verdana" w:cs="Arial"/>
        </w:rPr>
      </w:pPr>
    </w:p>
    <w:p w14:paraId="0B274821"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rPr>
        <w:t>Ahora bien, tratándose del amparo de estabilidad y calidad de la obra, sin perjuicio de la</w:t>
      </w:r>
      <w:r w:rsidRPr="00246370">
        <w:rPr>
          <w:rFonts w:ascii="Verdana" w:eastAsia="Calibri" w:hAnsi="Verdana" w:cs="Arial"/>
          <w:lang w:val="es-ES_tradnl"/>
        </w:rPr>
        <w:t xml:space="preserve"> garantía decenal de que trata el artículo 2060 del Código Civil</w:t>
      </w:r>
      <w:r w:rsidRPr="00246370">
        <w:rPr>
          <w:rFonts w:ascii="Aptos" w:eastAsia="Aptos" w:hAnsi="Aptos" w:cs="Times New Roman"/>
          <w:kern w:val="2"/>
          <w:sz w:val="24"/>
          <w:szCs w:val="24"/>
          <w:vertAlign w:val="superscript"/>
          <w:lang w:val="es-ES_tradnl"/>
          <w14:ligatures w14:val="standardContextual"/>
        </w:rPr>
        <w:footnoteReference w:id="4"/>
      </w:r>
      <w:r w:rsidRPr="00246370">
        <w:rPr>
          <w:rFonts w:ascii="Verdana" w:eastAsia="Calibri" w:hAnsi="Verdana" w:cs="Arial"/>
          <w:lang w:val="es-ES_tradnl"/>
        </w:rPr>
        <w:t>, el numeral 5 del artículo 2.2.1.2.3.1.7 del Decreto 1082 de 2015 dispone que “</w:t>
      </w:r>
      <w:r w:rsidRPr="00246370">
        <w:rPr>
          <w:rFonts w:ascii="Verdana" w:eastAsia="Calibri" w:hAnsi="Verdana" w:cs="Arial"/>
          <w:lang w:val="es-MX"/>
        </w:rPr>
        <w:t xml:space="preserve">[…] </w:t>
      </w:r>
      <w:r w:rsidRPr="00246370">
        <w:rPr>
          <w:rFonts w:ascii="Verdana" w:eastAsia="Calibri" w:hAnsi="Verdana" w:cs="Arial"/>
          <w:lang w:val="es-ES_tradnl"/>
        </w:rPr>
        <w:t xml:space="preserve">cubre a la Entidad Estatal de los perjuicios ocasionados por cualquier tipo de daño o deterioro, imputable al contratista, sufrido por la obra entregada a satisfacción”. </w:t>
      </w:r>
    </w:p>
    <w:p w14:paraId="7D06BE1A" w14:textId="77777777" w:rsidR="00246370" w:rsidRPr="00246370" w:rsidRDefault="00246370" w:rsidP="00246370">
      <w:pPr>
        <w:spacing w:line="278" w:lineRule="auto"/>
        <w:ind w:left="720"/>
        <w:contextualSpacing/>
        <w:rPr>
          <w:rFonts w:ascii="Verdana" w:eastAsia="Calibri" w:hAnsi="Verdana" w:cs="Arial"/>
          <w:lang w:val="es-ES_tradnl"/>
        </w:rPr>
      </w:pPr>
    </w:p>
    <w:p w14:paraId="06B7DA6B"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 xml:space="preserve">Por otra parte, el artículo 2.2.1.2.3.1.14 prescribe que “Esta garantía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agregando que “La Entidad Estatal puede aceptar que esta garantía tenga una vigencia inferior a cinco (5) años previa justificación técnica de un experto en la materia objeto del contrato, lo cual se debe reflejar en los documentos del proceso”. A tales efectos, la norma establece que “Para establecer la complejidad técnica del proyecto, y por ende la vigencia de la garantía de estabilidad y calidad de la obra por un término inferior a los </w:t>
      </w:r>
      <w:r w:rsidRPr="00246370">
        <w:rPr>
          <w:rFonts w:ascii="Verdana" w:eastAsia="Calibri" w:hAnsi="Verdana" w:cs="Arial"/>
          <w:lang w:val="es-ES_tradnl"/>
        </w:rPr>
        <w:lastRenderedPageBreak/>
        <w:t>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p>
    <w:p w14:paraId="5642EECC" w14:textId="77777777" w:rsidR="00246370" w:rsidRPr="00246370" w:rsidRDefault="00246370" w:rsidP="00246370">
      <w:pPr>
        <w:spacing w:after="0" w:line="276" w:lineRule="auto"/>
        <w:ind w:left="720"/>
        <w:contextualSpacing/>
        <w:jc w:val="both"/>
        <w:rPr>
          <w:rFonts w:ascii="Verdana" w:eastAsia="Calibri" w:hAnsi="Verdana" w:cs="Arial"/>
          <w:bCs/>
          <w:lang w:val="es-ES_tradnl"/>
        </w:rPr>
      </w:pPr>
    </w:p>
    <w:p w14:paraId="60CFDD3A"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Pr="00246370">
        <w:rPr>
          <w:rFonts w:ascii="Verdana" w:eastAsia="Calibri" w:hAnsi="Verdana" w:cs="Arial"/>
          <w:bCs/>
          <w:lang w:val="es-ES_tradnl" w:eastAsia="es-MX"/>
        </w:rPr>
        <w:t xml:space="preserve">  </w:t>
      </w:r>
      <w:r w:rsidRPr="00246370">
        <w:rPr>
          <w:rFonts w:ascii="Verdana" w:eastAsia="Calibri" w:hAnsi="Verdana" w:cs="Arial"/>
        </w:rPr>
        <w:t>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y el contratista está llamado a responder por ello.</w:t>
      </w:r>
    </w:p>
    <w:p w14:paraId="2166E119" w14:textId="77777777" w:rsidR="00246370" w:rsidRPr="00246370" w:rsidRDefault="00246370" w:rsidP="00246370">
      <w:pPr>
        <w:spacing w:line="278" w:lineRule="auto"/>
        <w:ind w:left="720"/>
        <w:contextualSpacing/>
        <w:rPr>
          <w:rFonts w:ascii="Verdana" w:eastAsia="Calibri" w:hAnsi="Verdana" w:cs="Arial"/>
          <w:iCs/>
        </w:rPr>
      </w:pPr>
    </w:p>
    <w:p w14:paraId="02D64C8F"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iCs/>
        </w:rPr>
        <w:t xml:space="preserve">El Consejo de Estado ha delimitado la finalidad del amparo de estabilidad de la obra para indemnizar los perjuicios causados a la entidad contratante en aquellos eventos en los que la obra ejecutada amenace ruina o deterioro a consecuencia de vicio de construcción, o del suelo, o de los materiales que el contratista ha debido conocer en razón de su profesión u oficio. Lo anterior se reafirma a partir de las exigencias que el Código Civil ha establecido para que resulte procedente predicar la responsabilidad contractual del constructor, contenidas en el numeral tercero del artículo 2060. </w:t>
      </w:r>
      <w:r w:rsidRPr="00246370">
        <w:rPr>
          <w:rFonts w:ascii="Verdana" w:eastAsia="Times New Roman" w:hAnsi="Verdana" w:cs="Arial"/>
          <w:iCs/>
          <w:lang w:eastAsia="es-ES"/>
        </w:rPr>
        <w:t xml:space="preserve">Así las cosas, si bien la entidad estatal tiene la potestad de declarar el siniestro mediante acto administrativo, no por ello se le exime de demostrar el defecto de construcción y su atribución al contratista, en la medida en que no opera presunción alguna que desplace el deber de acreditar los elementos de la responsabilidad contractual. Patrocinar una presunción sobre este aspecto sería tanto como presumir la imputación por el solo estado de la vía, lo cual no resulta procedente en tanto es preciso demostrar que la afectación de la vía o las fallas presentadas en la misma son consecuencia de un defecto en la construcción, un vicio del suelo que el personal del contratista debiera </w:t>
      </w:r>
      <w:r w:rsidRPr="00246370">
        <w:rPr>
          <w:rFonts w:ascii="Verdana" w:eastAsia="Times New Roman" w:hAnsi="Verdana" w:cs="Arial"/>
          <w:iCs/>
          <w:lang w:eastAsia="es-ES"/>
        </w:rPr>
        <w:lastRenderedPageBreak/>
        <w:t>conocer o vicios en los materiales suministrados, tal como se desprende de la normativa en cita.</w:t>
      </w:r>
      <w:r w:rsidRPr="00246370">
        <w:rPr>
          <w:rFonts w:ascii="Aptos" w:eastAsia="Times New Roman" w:hAnsi="Aptos" w:cs="Times New Roman"/>
          <w:kern w:val="2"/>
          <w:sz w:val="24"/>
          <w:szCs w:val="24"/>
          <w:vertAlign w:val="superscript"/>
          <w:lang w:eastAsia="es-ES"/>
          <w14:ligatures w14:val="standardContextual"/>
        </w:rPr>
        <w:footnoteReference w:id="5"/>
      </w:r>
    </w:p>
    <w:p w14:paraId="7243C092" w14:textId="77777777" w:rsidR="00246370" w:rsidRPr="00246370" w:rsidRDefault="00246370" w:rsidP="00246370">
      <w:pPr>
        <w:spacing w:after="0" w:line="276" w:lineRule="auto"/>
        <w:ind w:left="720"/>
        <w:contextualSpacing/>
        <w:jc w:val="both"/>
        <w:rPr>
          <w:rFonts w:ascii="Verdana" w:eastAsia="Calibri" w:hAnsi="Verdana" w:cs="Arial"/>
          <w:bCs/>
          <w:lang w:val="es-ES_tradnl"/>
        </w:rPr>
      </w:pPr>
    </w:p>
    <w:p w14:paraId="2C3F8AD7"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Times New Roman" w:hAnsi="Verdana" w:cs="Arial"/>
          <w:iCs/>
          <w:lang w:eastAsia="es-ES"/>
        </w:rPr>
        <w:t xml:space="preserve">Entonces, se ha sostenido que el amparo de la estabilidad de la obra tiene por objeto </w:t>
      </w:r>
      <w:r w:rsidRPr="00246370">
        <w:rPr>
          <w:rFonts w:ascii="Verdana" w:eastAsia="Calibri" w:hAnsi="Verdana" w:cs="Arial"/>
          <w:lang w:val="es-ES_tradnl"/>
        </w:rPr>
        <w:t>“</w:t>
      </w:r>
      <w:r w:rsidRPr="00246370">
        <w:rPr>
          <w:rFonts w:ascii="Verdana" w:eastAsia="Calibri" w:hAnsi="Verdana" w:cs="Arial"/>
        </w:rPr>
        <w:t>la cobertura de los riegos que soporta la entidad contratante en aquellos eventos en los que, con posterioridad a la terminación y entrega a satisfacción de la construcción o edificación, se presenten graves deterioros que por causa de un vicio oculto no se podían advertir con anterioridad, e impidan su normal utilización</w:t>
      </w:r>
      <w:r w:rsidRPr="00246370">
        <w:rPr>
          <w:rFonts w:ascii="Verdana" w:eastAsia="Calibri" w:hAnsi="Verdana" w:cs="Arial"/>
          <w:lang w:val="es-ES_tradnl"/>
        </w:rPr>
        <w:t>”</w:t>
      </w:r>
      <w:r w:rsidRPr="00246370">
        <w:rPr>
          <w:rFonts w:ascii="Aptos" w:eastAsia="Aptos" w:hAnsi="Aptos" w:cs="Times New Roman"/>
          <w:kern w:val="2"/>
          <w:sz w:val="24"/>
          <w:szCs w:val="24"/>
          <w:vertAlign w:val="superscript"/>
          <w:lang w:val="es-ES_tradnl"/>
          <w14:ligatures w14:val="standardContextual"/>
        </w:rPr>
        <w:footnoteReference w:id="6"/>
      </w:r>
      <w:r w:rsidRPr="00246370">
        <w:rPr>
          <w:rFonts w:ascii="Verdana" w:eastAsia="Calibri" w:hAnsi="Verdana" w:cs="Arial"/>
          <w:lang w:val="es-ES_tradnl"/>
        </w:rPr>
        <w:t>.</w:t>
      </w:r>
    </w:p>
    <w:p w14:paraId="1CBE36F2" w14:textId="77777777" w:rsidR="00246370" w:rsidRPr="00246370" w:rsidRDefault="00246370" w:rsidP="00246370">
      <w:pPr>
        <w:spacing w:line="278" w:lineRule="auto"/>
        <w:ind w:left="720"/>
        <w:contextualSpacing/>
        <w:rPr>
          <w:rFonts w:ascii="Verdana" w:eastAsia="Calibri" w:hAnsi="Verdana" w:cs="Arial"/>
          <w:lang w:val="es-ES_tradnl"/>
        </w:rPr>
      </w:pPr>
    </w:p>
    <w:p w14:paraId="484E976A" w14:textId="77777777" w:rsidR="00246370" w:rsidRPr="00246370" w:rsidRDefault="00246370" w:rsidP="00246370">
      <w:pPr>
        <w:numPr>
          <w:ilvl w:val="0"/>
          <w:numId w:val="17"/>
        </w:numPr>
        <w:spacing w:after="0" w:line="276" w:lineRule="auto"/>
        <w:contextualSpacing/>
        <w:jc w:val="both"/>
        <w:rPr>
          <w:rFonts w:ascii="Verdana" w:eastAsia="Calibri" w:hAnsi="Verdana" w:cs="Arial"/>
          <w:bCs/>
          <w:lang w:val="es-ES_tradnl"/>
        </w:rPr>
      </w:pPr>
      <w:r w:rsidRPr="00246370">
        <w:rPr>
          <w:rFonts w:ascii="Verdana" w:eastAsia="Calibri" w:hAnsi="Verdana" w:cs="Arial"/>
          <w:lang w:val="es-ES_tradnl"/>
        </w:rPr>
        <w:t xml:space="preserve">Finalmente, es preciso mencionar que la jurisprudencia ha diferenciado la obligación de garantizar el contrato de obra pública mediante garantías, con la responsabilidad exigible al contratista en virtud del artículo 2060 del Código Civil, en tanto que las obligaciones de estabilidad de la obra tienen origen en el contrato y esto no lo libera de las obligaciones garantizadas por el término señalado en el Código Civil para edificaciones, por ello ha dicho: </w:t>
      </w:r>
    </w:p>
    <w:p w14:paraId="0A138B83" w14:textId="77777777" w:rsidR="00246370" w:rsidRPr="00246370" w:rsidRDefault="00246370" w:rsidP="00246370">
      <w:pPr>
        <w:spacing w:after="0" w:line="276" w:lineRule="auto"/>
        <w:jc w:val="both"/>
        <w:rPr>
          <w:rFonts w:ascii="Verdana" w:eastAsia="Calibri" w:hAnsi="Verdana" w:cs="Arial"/>
          <w:bCs/>
          <w:lang w:val="es-ES_tradnl"/>
        </w:rPr>
      </w:pPr>
    </w:p>
    <w:p w14:paraId="2ADBD770" w14:textId="77777777" w:rsidR="00246370" w:rsidRPr="00246370" w:rsidRDefault="00246370" w:rsidP="00246370">
      <w:pPr>
        <w:widowControl w:val="0"/>
        <w:autoSpaceDE w:val="0"/>
        <w:autoSpaceDN w:val="0"/>
        <w:spacing w:after="0" w:line="240" w:lineRule="auto"/>
        <w:ind w:left="709" w:right="709"/>
        <w:jc w:val="both"/>
        <w:rPr>
          <w:rFonts w:ascii="Verdana" w:eastAsia="Arial" w:hAnsi="Verdana" w:cs="Arial"/>
          <w:sz w:val="21"/>
          <w:szCs w:val="21"/>
        </w:rPr>
      </w:pPr>
      <w:r w:rsidRPr="00246370">
        <w:rPr>
          <w:rFonts w:ascii="Verdana" w:eastAsia="Arial" w:hAnsi="Verdana" w:cs="Arial"/>
          <w:sz w:val="21"/>
          <w:szCs w:val="21"/>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w:t>
      </w:r>
    </w:p>
    <w:p w14:paraId="4EE4BC07" w14:textId="77777777" w:rsidR="00246370" w:rsidRPr="00246370" w:rsidRDefault="00246370" w:rsidP="00246370">
      <w:pPr>
        <w:widowControl w:val="0"/>
        <w:autoSpaceDE w:val="0"/>
        <w:autoSpaceDN w:val="0"/>
        <w:spacing w:after="0" w:line="240" w:lineRule="auto"/>
        <w:ind w:right="709"/>
        <w:jc w:val="both"/>
        <w:rPr>
          <w:rFonts w:ascii="Verdana" w:eastAsia="Arial" w:hAnsi="Verdana" w:cs="Arial"/>
          <w:sz w:val="21"/>
          <w:szCs w:val="21"/>
        </w:rPr>
      </w:pPr>
    </w:p>
    <w:p w14:paraId="380E384D" w14:textId="77777777" w:rsidR="00246370" w:rsidRPr="00246370" w:rsidRDefault="00246370" w:rsidP="00246370">
      <w:pPr>
        <w:widowControl w:val="0"/>
        <w:autoSpaceDE w:val="0"/>
        <w:autoSpaceDN w:val="0"/>
        <w:spacing w:after="0" w:line="240" w:lineRule="auto"/>
        <w:ind w:left="709" w:right="709"/>
        <w:jc w:val="both"/>
        <w:rPr>
          <w:rFonts w:ascii="Verdana" w:eastAsia="Arial" w:hAnsi="Verdana" w:cs="Arial"/>
          <w:sz w:val="21"/>
          <w:szCs w:val="21"/>
          <w:lang w:val="es-ES"/>
        </w:rPr>
      </w:pPr>
      <w:r w:rsidRPr="00246370">
        <w:rPr>
          <w:rFonts w:ascii="Verdana" w:eastAsia="Arial" w:hAnsi="Verdana" w:cs="Arial"/>
          <w:sz w:val="21"/>
          <w:szCs w:val="21"/>
          <w:lang w:val="es-ES"/>
        </w:rPr>
        <w:t xml:space="preserve">Igualmente, el vencimiento de la garantía no libera al constructor de la responsabilidad que le incumbe por la estabilidad de la obra y la buena calidad de los materiales utilizados, durante el término que reste de la obligación decenal establecida en el artículo 2060 del Código Civil. </w:t>
      </w:r>
    </w:p>
    <w:p w14:paraId="1492C10F" w14:textId="77777777" w:rsidR="00246370" w:rsidRPr="00246370" w:rsidRDefault="00246370" w:rsidP="00246370">
      <w:pPr>
        <w:widowControl w:val="0"/>
        <w:autoSpaceDE w:val="0"/>
        <w:autoSpaceDN w:val="0"/>
        <w:spacing w:after="0" w:line="240" w:lineRule="auto"/>
        <w:ind w:left="709" w:right="709"/>
        <w:jc w:val="both"/>
        <w:rPr>
          <w:rFonts w:ascii="Verdana" w:eastAsia="Arial" w:hAnsi="Verdana" w:cs="Arial"/>
          <w:sz w:val="21"/>
          <w:szCs w:val="21"/>
          <w:lang w:val="es-ES"/>
        </w:rPr>
      </w:pPr>
    </w:p>
    <w:p w14:paraId="5D05232E" w14:textId="77777777" w:rsidR="00246370" w:rsidRPr="00246370" w:rsidRDefault="00246370" w:rsidP="00246370">
      <w:pPr>
        <w:widowControl w:val="0"/>
        <w:autoSpaceDE w:val="0"/>
        <w:autoSpaceDN w:val="0"/>
        <w:spacing w:after="0" w:line="240" w:lineRule="auto"/>
        <w:ind w:left="709" w:right="709"/>
        <w:jc w:val="both"/>
        <w:rPr>
          <w:rFonts w:ascii="Verdana" w:eastAsia="Arial" w:hAnsi="Verdana" w:cs="Arial"/>
          <w:sz w:val="21"/>
          <w:szCs w:val="21"/>
          <w:lang w:val="es-ES"/>
        </w:rPr>
      </w:pPr>
      <w:r w:rsidRPr="00246370">
        <w:rPr>
          <w:rFonts w:ascii="Verdana" w:eastAsia="Arial" w:hAnsi="Verdana" w:cs="Arial"/>
          <w:sz w:val="21"/>
          <w:szCs w:val="21"/>
          <w:lang w:val="es-ES"/>
        </w:rPr>
        <w:t xml:space="preserve">Por lo tanto, terminado el contrato de obra, debido al interés público, el contratista tiene a su cargo la obligación de dejar indemne a la entidad contratante de los perjuicios relacionados con la destrucción y </w:t>
      </w:r>
      <w:r w:rsidRPr="00246370">
        <w:rPr>
          <w:rFonts w:ascii="Verdana" w:eastAsia="Arial" w:hAnsi="Verdana" w:cs="Arial"/>
          <w:sz w:val="21"/>
          <w:szCs w:val="21"/>
          <w:lang w:val="es-ES"/>
        </w:rPr>
        <w:lastRenderedPageBreak/>
        <w:t>la amenaza de ruina de la obra por vicio de la construcción, o del suelo, o de los materiales, según el caso, por un término no inferior a diez años posteriores a la entrega, con independencia de que el plazo de vigencia de la garantía del seguro sea menor. Se dice término inferior, pues bien puede suceder que la naturaleza de la obra determine un plazo mayor de extensión de la responsabilidad.”</w:t>
      </w:r>
      <w:r w:rsidRPr="00246370">
        <w:rPr>
          <w:rFonts w:ascii="Verdana" w:eastAsia="Arial" w:hAnsi="Verdana" w:cs="Arial"/>
          <w:sz w:val="21"/>
          <w:szCs w:val="21"/>
          <w:vertAlign w:val="superscript"/>
          <w:lang w:val="es-ES"/>
        </w:rPr>
        <w:footnoteReference w:id="7"/>
      </w:r>
      <w:r w:rsidRPr="00246370">
        <w:rPr>
          <w:rFonts w:ascii="Verdana" w:eastAsia="Arial" w:hAnsi="Verdana" w:cs="Arial"/>
          <w:sz w:val="21"/>
          <w:szCs w:val="21"/>
          <w:lang w:val="es-ES"/>
        </w:rPr>
        <w:t xml:space="preserve"> </w:t>
      </w:r>
    </w:p>
    <w:p w14:paraId="29238789" w14:textId="77777777" w:rsidR="00246370" w:rsidRPr="00246370" w:rsidRDefault="00246370" w:rsidP="00246370">
      <w:pPr>
        <w:widowControl w:val="0"/>
        <w:autoSpaceDE w:val="0"/>
        <w:autoSpaceDN w:val="0"/>
        <w:spacing w:after="0" w:line="240" w:lineRule="auto"/>
        <w:ind w:right="709"/>
        <w:jc w:val="both"/>
        <w:rPr>
          <w:rFonts w:ascii="Verdana" w:eastAsia="Arial" w:hAnsi="Verdana" w:cs="Arial"/>
          <w:lang w:val="es-ES"/>
        </w:rPr>
      </w:pPr>
    </w:p>
    <w:p w14:paraId="531354DB" w14:textId="77777777" w:rsidR="00246370" w:rsidRPr="00246370" w:rsidRDefault="00246370" w:rsidP="00246370">
      <w:pPr>
        <w:widowControl w:val="0"/>
        <w:numPr>
          <w:ilvl w:val="0"/>
          <w:numId w:val="18"/>
        </w:numPr>
        <w:autoSpaceDE w:val="0"/>
        <w:autoSpaceDN w:val="0"/>
        <w:spacing w:after="0" w:line="276" w:lineRule="auto"/>
        <w:contextualSpacing/>
        <w:jc w:val="both"/>
        <w:rPr>
          <w:rFonts w:ascii="Verdana" w:eastAsia="Arial" w:hAnsi="Verdana" w:cs="Arial"/>
          <w:lang w:val="es-ES"/>
        </w:rPr>
      </w:pPr>
      <w:r w:rsidRPr="00246370">
        <w:rPr>
          <w:rFonts w:ascii="Verdana" w:eastAsia="Arial" w:hAnsi="Verdana" w:cs="Arial"/>
          <w:lang w:val="es-ES"/>
        </w:rPr>
        <w:t xml:space="preserve">En todo caso, es importante señalar que no existe una norma específica para los casos puntuales de la petición, por lo que la constitución de la garantía de estabilidad y calidad de la obra deberá realizarse en atención a las particularidades del proceso de contratación y de conformidad con lo dispuesto por el Decreto 1082 de 2015 y demás normas aplicables, en los términos expuestos en este concepto. </w:t>
      </w:r>
    </w:p>
    <w:p w14:paraId="27AB3758" w14:textId="77777777" w:rsidR="00246370" w:rsidRPr="00246370" w:rsidRDefault="00246370" w:rsidP="00246370">
      <w:pPr>
        <w:widowControl w:val="0"/>
        <w:autoSpaceDE w:val="0"/>
        <w:autoSpaceDN w:val="0"/>
        <w:spacing w:after="0" w:line="240" w:lineRule="auto"/>
        <w:ind w:right="709"/>
        <w:jc w:val="both"/>
        <w:rPr>
          <w:rFonts w:ascii="Verdana" w:eastAsia="Arial" w:hAnsi="Verdana" w:cs="Arial"/>
          <w:lang w:val="es-ES"/>
        </w:rPr>
      </w:pPr>
    </w:p>
    <w:p w14:paraId="6E76E004" w14:textId="77777777" w:rsidR="00246370" w:rsidRPr="00246370" w:rsidRDefault="00246370" w:rsidP="00246370">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246370">
        <w:rPr>
          <w:rFonts w:ascii="Verdana" w:eastAsia="Century Gothic" w:hAnsi="Verdana" w:cs="Century Gothic"/>
          <w:b/>
          <w:bCs/>
          <w:lang w:val="es-ES_tradnl"/>
        </w:rPr>
        <w:t>Referencias normativas, jurisprudenciales y otras fuentes:</w:t>
      </w:r>
    </w:p>
    <w:p w14:paraId="617CEA5E" w14:textId="77777777" w:rsidR="00246370" w:rsidRPr="00246370" w:rsidRDefault="00246370" w:rsidP="00246370">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46370" w:rsidRPr="00246370" w14:paraId="04050D0E" w14:textId="77777777" w:rsidTr="005C7BEE">
        <w:trPr>
          <w:trHeight w:val="870"/>
        </w:trPr>
        <w:tc>
          <w:tcPr>
            <w:tcW w:w="8647" w:type="dxa"/>
          </w:tcPr>
          <w:p w14:paraId="10380E2A" w14:textId="77777777" w:rsidR="00246370" w:rsidRPr="00246370" w:rsidRDefault="00246370" w:rsidP="00246370">
            <w:pPr>
              <w:widowControl w:val="0"/>
              <w:numPr>
                <w:ilvl w:val="0"/>
                <w:numId w:val="18"/>
              </w:numPr>
              <w:autoSpaceDE w:val="0"/>
              <w:autoSpaceDN w:val="0"/>
              <w:spacing w:after="120" w:line="276" w:lineRule="auto"/>
              <w:ind w:left="714" w:hanging="357"/>
              <w:jc w:val="both"/>
              <w:rPr>
                <w:rFonts w:ascii="Verdana" w:eastAsia="Calibri" w:hAnsi="Verdana" w:cs="Arial"/>
              </w:rPr>
            </w:pPr>
            <w:r w:rsidRPr="00246370">
              <w:rPr>
                <w:rFonts w:ascii="Verdana" w:eastAsia="Calibri" w:hAnsi="Verdana" w:cs="Arial"/>
              </w:rPr>
              <w:t xml:space="preserve">Código Civil, artículo 2060. </w:t>
            </w:r>
          </w:p>
          <w:p w14:paraId="518417F4" w14:textId="77777777" w:rsidR="00246370" w:rsidRPr="00246370" w:rsidRDefault="00246370" w:rsidP="00246370">
            <w:pPr>
              <w:widowControl w:val="0"/>
              <w:numPr>
                <w:ilvl w:val="0"/>
                <w:numId w:val="18"/>
              </w:numPr>
              <w:autoSpaceDE w:val="0"/>
              <w:autoSpaceDN w:val="0"/>
              <w:spacing w:after="120" w:line="276" w:lineRule="auto"/>
              <w:ind w:left="714" w:hanging="357"/>
              <w:jc w:val="both"/>
              <w:rPr>
                <w:rFonts w:ascii="Verdana" w:eastAsia="Calibri" w:hAnsi="Verdana" w:cs="Arial"/>
              </w:rPr>
            </w:pPr>
            <w:r w:rsidRPr="00246370">
              <w:rPr>
                <w:rFonts w:ascii="Verdana" w:eastAsia="Calibri" w:hAnsi="Verdana" w:cs="Arial"/>
              </w:rPr>
              <w:t xml:space="preserve">Decreto 1082 de 2015, artículos </w:t>
            </w:r>
            <w:r w:rsidRPr="00246370">
              <w:rPr>
                <w:rFonts w:ascii="Verdana" w:eastAsia="Calibri" w:hAnsi="Verdana" w:cs="Arial"/>
                <w:bCs/>
                <w:lang w:val="es-ES_tradnl"/>
              </w:rPr>
              <w:t xml:space="preserve">2.2.1.2.3.1.7 y </w:t>
            </w:r>
            <w:r w:rsidRPr="00246370">
              <w:rPr>
                <w:rFonts w:ascii="Verdana" w:eastAsia="Calibri" w:hAnsi="Verdana" w:cs="Arial"/>
                <w:lang w:val="es-ES_tradnl"/>
              </w:rPr>
              <w:t>2.2.1.2.3.1.14.</w:t>
            </w:r>
          </w:p>
          <w:p w14:paraId="5397DC68" w14:textId="77777777" w:rsidR="00246370" w:rsidRPr="00246370" w:rsidRDefault="00246370" w:rsidP="00246370">
            <w:pPr>
              <w:numPr>
                <w:ilvl w:val="0"/>
                <w:numId w:val="18"/>
              </w:numPr>
              <w:spacing w:after="120" w:line="276" w:lineRule="auto"/>
              <w:ind w:left="714" w:hanging="357"/>
              <w:jc w:val="both"/>
              <w:rPr>
                <w:rFonts w:ascii="Verdana" w:eastAsia="Aptos" w:hAnsi="Verdana" w:cs="Arial"/>
                <w:color w:val="000000"/>
              </w:rPr>
            </w:pPr>
            <w:r w:rsidRPr="00246370">
              <w:rPr>
                <w:rFonts w:ascii="Verdana" w:eastAsia="Aptos" w:hAnsi="Verdana" w:cs="Arial"/>
                <w:color w:val="000000"/>
              </w:rPr>
              <w:t>Consejo de Estado, Sala de lo Contencioso Administrativo, Sección Tercera, Subsección B, Sentencia de 23 de febrero de 2012, Exp. 20.810.</w:t>
            </w:r>
          </w:p>
          <w:p w14:paraId="03EF69C9" w14:textId="77777777" w:rsidR="00246370" w:rsidRPr="00246370" w:rsidRDefault="00246370" w:rsidP="00246370">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246370">
              <w:rPr>
                <w:rFonts w:ascii="Verdana" w:eastAsia="Aptos" w:hAnsi="Verdana" w:cs="Arial"/>
              </w:rPr>
              <w:t>Consejo de Estado, Sala de lo Contencioso Administrativo, Sección Tercera. Subsección C, Sentencia de 28 de febrero de 2020, Exp. 46852.</w:t>
            </w:r>
          </w:p>
          <w:p w14:paraId="12B9FBFE" w14:textId="77777777" w:rsidR="00246370" w:rsidRPr="00246370" w:rsidRDefault="00246370" w:rsidP="00246370">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246370">
              <w:rPr>
                <w:rFonts w:ascii="Verdana" w:eastAsia="Aptos" w:hAnsi="Verdana" w:cs="Arial"/>
                <w:lang w:val="es-ES"/>
              </w:rPr>
              <w:t xml:space="preserve">COLOMBIA COMPRA EFICIENTE. Guía de garantías en Proceso de Contratación. Disponible en: </w:t>
            </w:r>
            <w:hyperlink r:id="rId11" w:history="1">
              <w:r w:rsidRPr="00246370">
                <w:rPr>
                  <w:rFonts w:ascii="Verdana" w:eastAsia="Aptos" w:hAnsi="Verdana" w:cs="Times New Roman"/>
                  <w:color w:val="0000FF"/>
                  <w:u w:val="single"/>
                </w:rPr>
                <w:t>https://www.colombiacompra.gov.co/sites/cce_public/files/cce_documents/cce_guia_garantias.pdf</w:t>
              </w:r>
            </w:hyperlink>
            <w:r w:rsidRPr="00246370">
              <w:rPr>
                <w:rFonts w:ascii="Verdana" w:eastAsia="Aptos" w:hAnsi="Verdana" w:cs="Times New Roman"/>
                <w:color w:val="0000FF"/>
                <w:u w:val="single"/>
              </w:rPr>
              <w:t>.</w:t>
            </w:r>
          </w:p>
        </w:tc>
      </w:tr>
    </w:tbl>
    <w:p w14:paraId="50D27407" w14:textId="77777777" w:rsidR="00246370" w:rsidRPr="00246370" w:rsidRDefault="00246370" w:rsidP="00246370">
      <w:pPr>
        <w:widowControl w:val="0"/>
        <w:autoSpaceDE w:val="0"/>
        <w:autoSpaceDN w:val="0"/>
        <w:snapToGrid w:val="0"/>
        <w:spacing w:after="0" w:line="276" w:lineRule="auto"/>
        <w:jc w:val="both"/>
        <w:rPr>
          <w:rFonts w:ascii="Verdana" w:eastAsia="Calibri" w:hAnsi="Verdana" w:cs="Arial"/>
          <w:lang w:val="es-ES_tradnl"/>
        </w:rPr>
      </w:pPr>
    </w:p>
    <w:p w14:paraId="34BA153F" w14:textId="77777777" w:rsidR="00246370" w:rsidRPr="00246370" w:rsidRDefault="00246370" w:rsidP="0024637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6370">
        <w:rPr>
          <w:rFonts w:ascii="Verdana" w:eastAsia="Century Gothic" w:hAnsi="Verdana" w:cs="Century Gothic"/>
          <w:b/>
          <w:bCs/>
          <w:lang w:val="es-ES_tradnl"/>
        </w:rPr>
        <w:t>Doctrina de la Agencia Nacional de Contratación Pública:</w:t>
      </w:r>
    </w:p>
    <w:p w14:paraId="61CDF085" w14:textId="77777777" w:rsidR="00246370" w:rsidRPr="00246370" w:rsidRDefault="00246370" w:rsidP="00246370">
      <w:pPr>
        <w:widowControl w:val="0"/>
        <w:autoSpaceDE w:val="0"/>
        <w:autoSpaceDN w:val="0"/>
        <w:snapToGrid w:val="0"/>
        <w:spacing w:after="0" w:line="276" w:lineRule="auto"/>
        <w:jc w:val="both"/>
        <w:rPr>
          <w:rFonts w:ascii="Verdana" w:eastAsia="Calibri" w:hAnsi="Verdana" w:cs="Arial"/>
          <w:lang w:val="es-ES_tradnl"/>
        </w:rPr>
      </w:pPr>
    </w:p>
    <w:p w14:paraId="349107F7" w14:textId="77777777" w:rsidR="00246370" w:rsidRPr="00246370" w:rsidRDefault="00246370" w:rsidP="0024637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46370">
        <w:rPr>
          <w:rFonts w:ascii="Verdana" w:eastAsia="Calibri" w:hAnsi="Verdana" w:cs="Arial"/>
          <w:kern w:val="2"/>
          <w:shd w:val="clear" w:color="auto" w:fill="FFFFFF"/>
          <w:lang w:val="es-ES"/>
          <w14:ligatures w14:val="standardContextual"/>
        </w:rPr>
        <w:t>La Agencia Nacional de Contratación Pública – Colombia Compra Eficiente</w:t>
      </w:r>
      <w:r w:rsidRPr="00246370">
        <w:rPr>
          <w:rFonts w:ascii="Aptos" w:eastAsia="Aptos" w:hAnsi="Aptos" w:cs="Times New Roman"/>
          <w:kern w:val="2"/>
          <w:lang w:val="es-ES_tradnl"/>
          <w14:ligatures w14:val="standardContextual"/>
        </w:rPr>
        <w:t xml:space="preserve"> </w:t>
      </w:r>
      <w:r w:rsidRPr="00246370">
        <w:rPr>
          <w:rFonts w:ascii="Verdana" w:eastAsia="Calibri" w:hAnsi="Verdana" w:cs="Arial"/>
          <w:kern w:val="2"/>
          <w:shd w:val="clear" w:color="auto" w:fill="FFFFFF"/>
          <w:lang w:val="es-ES"/>
          <w14:ligatures w14:val="standardContextual"/>
        </w:rPr>
        <w:t xml:space="preserve">se pronunció en términos generales sobre las garantías en la contratación estatal, entre otros, en los conceptos 2201913000009075 del 9 de diciembre de 2019, </w:t>
      </w:r>
      <w:r w:rsidRPr="00246370">
        <w:rPr>
          <w:rFonts w:ascii="Verdana" w:eastAsia="Calibri" w:hAnsi="Verdana" w:cs="Arial"/>
          <w:kern w:val="2"/>
          <w:shd w:val="clear" w:color="auto" w:fill="FFFFFF"/>
          <w:lang w:val="es-ES"/>
          <w14:ligatures w14:val="standardContextual"/>
        </w:rPr>
        <w:lastRenderedPageBreak/>
        <w:t>C-080 del 8 de abril de 2021, C-525 del 27 de septiembre de 2021, C- 567 del 08 de octubre del 2021, C-036 del 28 de febrero del 2022, C-126 de 25 de marzo de 2022, C-845 del 7 de diciembre de 2022, entre otros</w:t>
      </w:r>
      <w:r w:rsidRPr="00246370">
        <w:rPr>
          <w:rFonts w:ascii="Verdana" w:eastAsia="Calibri" w:hAnsi="Verdana" w:cs="Arial"/>
          <w:shd w:val="clear" w:color="auto" w:fill="FFFFFF"/>
          <w:lang w:val="es-ES_tradnl"/>
        </w:rPr>
        <w:t xml:space="preserve">. </w:t>
      </w:r>
      <w:r w:rsidRPr="00246370">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AEB6CEA" w14:textId="77777777" w:rsidR="00246370" w:rsidRPr="00246370" w:rsidRDefault="00246370" w:rsidP="0024637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74BE3335" w14:textId="77777777" w:rsidR="00246370" w:rsidRPr="00246370" w:rsidRDefault="00246370" w:rsidP="0024637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46370">
        <w:rPr>
          <w:rFonts w:ascii="Verdana" w:eastAsia="Calibri" w:hAnsi="Verdana" w:cs="Arial"/>
          <w:kern w:val="2"/>
          <w:shd w:val="clear" w:color="auto" w:fill="FFFFFF"/>
          <w14:ligatures w14:val="standardContextual"/>
        </w:rPr>
        <w:t>La</w:t>
      </w:r>
      <w:r w:rsidRPr="00246370">
        <w:rPr>
          <w:rFonts w:ascii="Verdana" w:eastAsia="Calibri" w:hAnsi="Verdana" w:cs="Arial"/>
          <w:b/>
          <w:bCs/>
          <w:kern w:val="2"/>
          <w:shd w:val="clear" w:color="auto" w:fill="FFFFFF"/>
          <w14:ligatures w14:val="standardContextual"/>
        </w:rPr>
        <w:t xml:space="preserve"> Agencia Nacional de Contratación Pública - Colombia Compra Eficiente</w:t>
      </w:r>
      <w:r w:rsidRPr="00246370">
        <w:rPr>
          <w:rFonts w:ascii="Verdana" w:eastAsia="Calibri" w:hAnsi="Verdana" w:cs="Arial"/>
          <w:kern w:val="2"/>
          <w:shd w:val="clear" w:color="auto" w:fill="FFFFFF"/>
          <w14:ligatures w14:val="standardContextual"/>
        </w:rPr>
        <w:t> recomienda a todas las entidades públicas, independientemente de su naturaleza, que gestionan recursos públicos, la aplicación de los </w:t>
      </w:r>
      <w:r w:rsidRPr="00246370">
        <w:rPr>
          <w:rFonts w:ascii="Verdana" w:eastAsia="Calibri" w:hAnsi="Verdana" w:cs="Arial"/>
          <w:b/>
          <w:bCs/>
          <w:kern w:val="2"/>
          <w:shd w:val="clear" w:color="auto" w:fill="FFFFFF"/>
          <w14:ligatures w14:val="standardContextual"/>
        </w:rPr>
        <w:t>Documentos Tipo</w:t>
      </w:r>
      <w:r w:rsidRPr="00246370">
        <w:rPr>
          <w:rFonts w:ascii="Verdana" w:eastAsia="Calibri" w:hAnsi="Verdana" w:cs="Arial"/>
          <w:kern w:val="2"/>
          <w:shd w:val="clear" w:color="auto" w:fill="FFFFFF"/>
          <w14:ligatures w14:val="standardContextual"/>
        </w:rPr>
        <w:t>. Esta recomendación es válida tanto para su uso obligatorio, cuando así lo establezca la normatividad vigente, como para su implementación como una buena práctica. El objetivo es garantizar la </w:t>
      </w:r>
      <w:r w:rsidRPr="00246370">
        <w:rPr>
          <w:rFonts w:ascii="Verdana" w:eastAsia="Calibri" w:hAnsi="Verdana" w:cs="Arial"/>
          <w:b/>
          <w:bCs/>
          <w:kern w:val="2"/>
          <w:shd w:val="clear" w:color="auto" w:fill="FFFFFF"/>
          <w14:ligatures w14:val="standardContextual"/>
        </w:rPr>
        <w:t>transparencia</w:t>
      </w:r>
      <w:r w:rsidRPr="00246370">
        <w:rPr>
          <w:rFonts w:ascii="Verdana" w:eastAsia="Calibri" w:hAnsi="Verdana" w:cs="Arial"/>
          <w:kern w:val="2"/>
          <w:shd w:val="clear" w:color="auto" w:fill="FFFFFF"/>
          <w14:ligatures w14:val="standardContextual"/>
        </w:rPr>
        <w:t> y promover un proceso de </w:t>
      </w:r>
      <w:r w:rsidRPr="00246370">
        <w:rPr>
          <w:rFonts w:ascii="Verdana" w:eastAsia="Calibri" w:hAnsi="Verdana" w:cs="Arial"/>
          <w:b/>
          <w:bCs/>
          <w:kern w:val="2"/>
          <w:shd w:val="clear" w:color="auto" w:fill="FFFFFF"/>
          <w14:ligatures w14:val="standardContextual"/>
        </w:rPr>
        <w:t>selección objetiva</w:t>
      </w:r>
      <w:r w:rsidRPr="00246370">
        <w:rPr>
          <w:rFonts w:ascii="Verdana" w:eastAsia="Calibri" w:hAnsi="Verdana" w:cs="Arial"/>
          <w:kern w:val="2"/>
          <w:shd w:val="clear" w:color="auto" w:fill="FFFFFF"/>
          <w14:ligatures w14:val="standardContextual"/>
        </w:rPr>
        <w:t> en la contratación pública, contribuyendo así a mejorar la eficiencia, la competencia y la confianza en el manejo de los recursos del Estado.</w:t>
      </w:r>
    </w:p>
    <w:p w14:paraId="3FBF6F2A" w14:textId="77777777" w:rsidR="00246370" w:rsidRPr="00246370" w:rsidRDefault="00246370" w:rsidP="0024637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2E18824A" w14:textId="77777777" w:rsidR="00246370" w:rsidRPr="00246370" w:rsidRDefault="00246370" w:rsidP="00246370">
      <w:pPr>
        <w:widowControl w:val="0"/>
        <w:autoSpaceDE w:val="0"/>
        <w:autoSpaceDN w:val="0"/>
        <w:spacing w:after="0" w:line="276" w:lineRule="auto"/>
        <w:jc w:val="both"/>
        <w:rPr>
          <w:rFonts w:ascii="Verdana" w:eastAsia="Calibri" w:hAnsi="Verdana" w:cs="Arial"/>
          <w:shd w:val="clear" w:color="auto" w:fill="FFFFFF"/>
          <w:lang w:val="es-ES_tradnl"/>
        </w:rPr>
      </w:pPr>
      <w:r w:rsidRPr="00246370">
        <w:rPr>
          <w:rFonts w:ascii="Verdana" w:eastAsia="Calibri" w:hAnsi="Verdana" w:cs="Arial"/>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Original URL: https://www.colombiacompra.gov.co/sites/cce_public/files/cce_documents/manual_para_el_manejo_de_acuerdos_comerciales_vf.pdf. Click or tap if you trust this link." w:history="1">
        <w:r w:rsidRPr="00246370">
          <w:rPr>
            <w:rFonts w:ascii="Verdana" w:eastAsia="Calibri" w:hAnsi="Verdana" w:cs="Arial"/>
            <w:color w:val="0000FF"/>
            <w:u w:val="single"/>
            <w:shd w:val="clear" w:color="auto" w:fill="FFFFFF"/>
          </w:rPr>
          <w:t>manual_para_el_manejo_de_acuerdos_comerciales_vf.pdf</w:t>
        </w:r>
      </w:hyperlink>
      <w:r w:rsidRPr="00246370">
        <w:rPr>
          <w:rFonts w:ascii="Verdana" w:eastAsia="Calibri" w:hAnsi="Verdana" w:cs="Arial"/>
          <w:shd w:val="clear" w:color="auto" w:fill="FFFFFF"/>
          <w:lang w:val="es-ES_tradnl"/>
        </w:rPr>
        <w:t>.</w:t>
      </w:r>
    </w:p>
    <w:p w14:paraId="7D4B172A" w14:textId="77777777" w:rsidR="00246370" w:rsidRPr="00246370" w:rsidRDefault="00246370" w:rsidP="00246370">
      <w:pPr>
        <w:widowControl w:val="0"/>
        <w:autoSpaceDE w:val="0"/>
        <w:autoSpaceDN w:val="0"/>
        <w:spacing w:after="0" w:line="276" w:lineRule="auto"/>
        <w:jc w:val="both"/>
        <w:rPr>
          <w:rFonts w:ascii="Verdana" w:eastAsia="Calibri" w:hAnsi="Verdana" w:cs="Arial"/>
          <w:shd w:val="clear" w:color="auto" w:fill="FFFFFF"/>
        </w:rPr>
      </w:pPr>
      <w:r w:rsidRPr="00246370">
        <w:rPr>
          <w:rFonts w:ascii="Verdana" w:eastAsia="Calibri" w:hAnsi="Verdana" w:cs="Arial"/>
          <w:shd w:val="clear" w:color="auto" w:fill="FFFFFF"/>
        </w:rPr>
        <w:t> </w:t>
      </w:r>
    </w:p>
    <w:p w14:paraId="44C48EA2" w14:textId="77777777" w:rsidR="00246370" w:rsidRPr="00246370" w:rsidRDefault="00246370" w:rsidP="00246370">
      <w:pPr>
        <w:widowControl w:val="0"/>
        <w:autoSpaceDE w:val="0"/>
        <w:autoSpaceDN w:val="0"/>
        <w:spacing w:after="0" w:line="276" w:lineRule="auto"/>
        <w:jc w:val="both"/>
        <w:rPr>
          <w:rFonts w:ascii="Verdana" w:eastAsia="Calibri" w:hAnsi="Verdana" w:cs="Arial"/>
          <w:shd w:val="clear" w:color="auto" w:fill="FFFFFF"/>
        </w:rPr>
      </w:pPr>
      <w:r w:rsidRPr="00246370">
        <w:rPr>
          <w:rFonts w:ascii="Verdana" w:eastAsia="Calibri" w:hAnsi="Verdana" w:cs="Arial"/>
          <w:shd w:val="clear" w:color="auto" w:fill="FFFFFF"/>
        </w:rPr>
        <w:t>También, lo invitamos a consultar la versión VII  de 2024 del Boletín de Relatoría de la Subdirección de Gestión Contractual, relacionado con las ASOCIACIONES PÚBLICO POPULARES, el cual se puede descargar en la página web de la Agencia: </w:t>
      </w:r>
      <w:hyperlink r:id="rId13" w:tgtFrame="_blank" w:tooltip="Original URL: https://www.colombiacompra.gov.co/sala-de-prensa/boletin-digital. Click or tap if you trust this link." w:history="1">
        <w:r w:rsidRPr="00246370">
          <w:rPr>
            <w:rFonts w:ascii="Verdana" w:eastAsia="Calibri" w:hAnsi="Verdana" w:cs="Arial"/>
            <w:color w:val="0000FF"/>
            <w:u w:val="single"/>
            <w:shd w:val="clear" w:color="auto" w:fill="FFFFFF"/>
          </w:rPr>
          <w:t>https://www.colombiacompra.gov.co/sala-de-prensa/boletin-digital</w:t>
        </w:r>
      </w:hyperlink>
      <w:r w:rsidRPr="00246370">
        <w:rPr>
          <w:rFonts w:ascii="Verdana" w:eastAsia="Calibri" w:hAnsi="Verdana" w:cs="Arial"/>
          <w:shd w:val="clear" w:color="auto" w:fill="FFFFFF"/>
        </w:rPr>
        <w:t>.</w:t>
      </w:r>
    </w:p>
    <w:p w14:paraId="43A0B7BD" w14:textId="77777777" w:rsidR="00246370" w:rsidRPr="00246370" w:rsidRDefault="00246370" w:rsidP="00246370">
      <w:pPr>
        <w:widowControl w:val="0"/>
        <w:autoSpaceDE w:val="0"/>
        <w:autoSpaceDN w:val="0"/>
        <w:spacing w:after="0" w:line="276" w:lineRule="auto"/>
        <w:jc w:val="both"/>
        <w:rPr>
          <w:rFonts w:ascii="Verdana" w:eastAsia="Calibri" w:hAnsi="Verdana" w:cs="Arial"/>
          <w:shd w:val="clear" w:color="auto" w:fill="FFFFFF"/>
          <w:lang w:val="es-ES_tradnl"/>
        </w:rPr>
      </w:pPr>
    </w:p>
    <w:p w14:paraId="07B5B42A" w14:textId="77777777" w:rsidR="00246370" w:rsidRPr="00246370" w:rsidRDefault="00246370" w:rsidP="00246370">
      <w:pPr>
        <w:spacing w:after="0" w:line="240" w:lineRule="auto"/>
        <w:jc w:val="both"/>
        <w:rPr>
          <w:rFonts w:ascii="Verdana" w:eastAsia="Calibri" w:hAnsi="Verdana" w:cs="Times New Roman"/>
          <w:lang w:val="es-ES_tradnl"/>
        </w:rPr>
      </w:pPr>
      <w:r w:rsidRPr="00246370">
        <w:rPr>
          <w:rFonts w:ascii="Verdana" w:eastAsia="Calibri" w:hAnsi="Verdana" w:cs="Times New Roman"/>
          <w:lang w:val="es-ES_tradnl"/>
        </w:rPr>
        <w:t xml:space="preserve">Por último, los invitamos a seguirnos en las redes sociales, en las cuales se difunde información institucional: </w:t>
      </w:r>
    </w:p>
    <w:p w14:paraId="60CD7550" w14:textId="77777777" w:rsidR="00246370" w:rsidRPr="00246370" w:rsidRDefault="00246370" w:rsidP="00246370">
      <w:pPr>
        <w:spacing w:after="0" w:line="240" w:lineRule="auto"/>
        <w:jc w:val="both"/>
        <w:rPr>
          <w:rFonts w:ascii="Verdana" w:eastAsia="Calibri" w:hAnsi="Verdana" w:cs="Times New Roman"/>
          <w:lang w:val="es-ES_tradnl"/>
        </w:rPr>
      </w:pPr>
    </w:p>
    <w:p w14:paraId="451A77E5" w14:textId="77777777" w:rsidR="00246370" w:rsidRPr="00246370" w:rsidRDefault="00246370" w:rsidP="00246370">
      <w:pPr>
        <w:spacing w:after="0" w:line="240" w:lineRule="auto"/>
        <w:jc w:val="both"/>
        <w:rPr>
          <w:rFonts w:ascii="Verdana" w:eastAsia="Calibri" w:hAnsi="Verdana" w:cs="Times New Roman"/>
          <w:lang w:val="es-ES_tradnl"/>
        </w:rPr>
      </w:pPr>
      <w:r w:rsidRPr="00246370">
        <w:rPr>
          <w:rFonts w:ascii="Verdana" w:eastAsia="Calibri" w:hAnsi="Verdana" w:cs="Times New Roman"/>
          <w:lang w:val="es-ES_tradnl"/>
        </w:rPr>
        <w:t xml:space="preserve">Twitter: </w:t>
      </w:r>
      <w:r w:rsidRPr="00246370">
        <w:rPr>
          <w:rFonts w:ascii="Verdana" w:eastAsia="Calibri" w:hAnsi="Verdana" w:cs="Times New Roman"/>
          <w:u w:val="single"/>
          <w:lang w:val="es-ES_tradnl"/>
        </w:rPr>
        <w:t>@colombiacompra</w:t>
      </w:r>
      <w:r w:rsidRPr="00246370">
        <w:rPr>
          <w:rFonts w:ascii="Verdana" w:eastAsia="Calibri" w:hAnsi="Verdana" w:cs="Times New Roman"/>
          <w:lang w:val="es-ES_tradnl"/>
        </w:rPr>
        <w:t xml:space="preserve"> </w:t>
      </w:r>
    </w:p>
    <w:p w14:paraId="2376735F" w14:textId="77777777" w:rsidR="00246370" w:rsidRPr="00246370" w:rsidRDefault="00246370" w:rsidP="00246370">
      <w:pPr>
        <w:spacing w:after="0" w:line="240" w:lineRule="auto"/>
        <w:jc w:val="both"/>
        <w:rPr>
          <w:rFonts w:ascii="Verdana" w:eastAsia="Calibri" w:hAnsi="Verdana" w:cs="Times New Roman"/>
          <w:lang w:val="es-ES"/>
        </w:rPr>
      </w:pPr>
      <w:r w:rsidRPr="00246370">
        <w:rPr>
          <w:rFonts w:ascii="Verdana" w:eastAsia="Calibri" w:hAnsi="Verdana" w:cs="Times New Roman"/>
          <w:lang w:val="es-ES"/>
        </w:rPr>
        <w:t xml:space="preserve">Facebook: </w:t>
      </w:r>
      <w:r w:rsidRPr="00246370">
        <w:rPr>
          <w:rFonts w:ascii="Verdana" w:eastAsia="Calibri" w:hAnsi="Verdana" w:cs="Times New Roman"/>
          <w:u w:val="single"/>
          <w:lang w:val="es-ES"/>
        </w:rPr>
        <w:t>ColombiaCompraEficiente</w:t>
      </w:r>
    </w:p>
    <w:p w14:paraId="1234BB90" w14:textId="77777777" w:rsidR="00246370" w:rsidRPr="00246370" w:rsidRDefault="00246370" w:rsidP="00246370">
      <w:pPr>
        <w:spacing w:after="0" w:line="240" w:lineRule="auto"/>
        <w:jc w:val="both"/>
        <w:rPr>
          <w:rFonts w:ascii="Verdana" w:eastAsia="Calibri" w:hAnsi="Verdana" w:cs="Times New Roman"/>
          <w:lang w:val="es-ES_tradnl"/>
        </w:rPr>
      </w:pPr>
      <w:r w:rsidRPr="00246370">
        <w:rPr>
          <w:rFonts w:ascii="Verdana" w:eastAsia="Calibri" w:hAnsi="Verdana" w:cs="Times New Roman"/>
          <w:lang w:val="es-ES_tradnl"/>
        </w:rPr>
        <w:t xml:space="preserve">LinkedIn: </w:t>
      </w:r>
      <w:r w:rsidRPr="00246370">
        <w:rPr>
          <w:rFonts w:ascii="Verdana" w:eastAsia="Calibri" w:hAnsi="Verdana" w:cs="Times New Roman"/>
          <w:u w:val="single"/>
          <w:lang w:val="es-ES_tradnl"/>
        </w:rPr>
        <w:t>Agencia Nacional de Contratación Pública - Colombia Compra Eficiente</w:t>
      </w:r>
      <w:r w:rsidRPr="00246370">
        <w:rPr>
          <w:rFonts w:ascii="Verdana" w:eastAsia="Calibri" w:hAnsi="Verdana" w:cs="Times New Roman"/>
          <w:lang w:val="es-ES_tradnl"/>
        </w:rPr>
        <w:t xml:space="preserve"> Instagram: </w:t>
      </w:r>
      <w:r w:rsidRPr="00246370">
        <w:rPr>
          <w:rFonts w:ascii="Verdana" w:eastAsia="Calibri" w:hAnsi="Verdana" w:cs="Times New Roman"/>
          <w:u w:val="single"/>
          <w:lang w:val="es-ES_tradnl"/>
        </w:rPr>
        <w:t>@colombiacompraeficiente_cce</w:t>
      </w:r>
    </w:p>
    <w:p w14:paraId="0C0C31B2" w14:textId="77777777" w:rsidR="00246370" w:rsidRPr="00246370" w:rsidRDefault="00246370" w:rsidP="00246370">
      <w:pPr>
        <w:widowControl w:val="0"/>
        <w:autoSpaceDE w:val="0"/>
        <w:autoSpaceDN w:val="0"/>
        <w:spacing w:after="0" w:line="276" w:lineRule="auto"/>
        <w:jc w:val="both"/>
        <w:rPr>
          <w:rFonts w:ascii="Verdana" w:eastAsia="Calibri" w:hAnsi="Verdana" w:cs="Arial"/>
          <w:lang w:val="es-ES_tradnl"/>
        </w:rPr>
      </w:pPr>
    </w:p>
    <w:p w14:paraId="4ADB3DD9" w14:textId="77777777" w:rsidR="00246370" w:rsidRPr="00246370" w:rsidRDefault="00246370" w:rsidP="00246370">
      <w:pPr>
        <w:widowControl w:val="0"/>
        <w:autoSpaceDE w:val="0"/>
        <w:autoSpaceDN w:val="0"/>
        <w:spacing w:after="0" w:line="276" w:lineRule="auto"/>
        <w:jc w:val="both"/>
        <w:rPr>
          <w:rFonts w:ascii="Verdana" w:eastAsia="Calibri" w:hAnsi="Verdana" w:cs="Arial"/>
          <w:lang w:val="es-ES_tradnl"/>
        </w:rPr>
      </w:pPr>
      <w:r w:rsidRPr="00246370">
        <w:rPr>
          <w:rFonts w:ascii="Verdana" w:eastAsia="Calibri" w:hAnsi="Verdana"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7E092E9" w14:textId="77777777" w:rsidR="00246370" w:rsidRPr="00246370" w:rsidRDefault="00246370" w:rsidP="00246370">
      <w:pPr>
        <w:widowControl w:val="0"/>
        <w:autoSpaceDE w:val="0"/>
        <w:autoSpaceDN w:val="0"/>
        <w:spacing w:after="0" w:line="276" w:lineRule="auto"/>
        <w:jc w:val="both"/>
        <w:rPr>
          <w:rFonts w:ascii="Verdana" w:eastAsia="Calibri" w:hAnsi="Verdana" w:cs="Arial"/>
          <w:lang w:val="es-ES_tradnl"/>
        </w:rPr>
      </w:pPr>
    </w:p>
    <w:p w14:paraId="5D70CFC2" w14:textId="77777777" w:rsidR="00246370" w:rsidRPr="00246370" w:rsidRDefault="00246370" w:rsidP="00246370">
      <w:pPr>
        <w:spacing w:after="0" w:line="240" w:lineRule="auto"/>
        <w:rPr>
          <w:rFonts w:ascii="Verdana" w:eastAsia="Calibri" w:hAnsi="Verdana" w:cs="Arial"/>
          <w:lang w:val="es-ES_tradnl" w:eastAsia="es-CO"/>
        </w:rPr>
      </w:pPr>
      <w:r w:rsidRPr="00246370">
        <w:rPr>
          <w:rFonts w:ascii="Verdana" w:eastAsia="Times New Roman" w:hAnsi="Verdana" w:cs="Arial"/>
          <w:lang w:val="es-ES_tradnl" w:eastAsia="es-CO"/>
        </w:rPr>
        <w:t>Atentamente,</w:t>
      </w:r>
      <w:r w:rsidRPr="00246370">
        <w:rPr>
          <w:rFonts w:ascii="Verdana" w:eastAsia="Calibri" w:hAnsi="Verdana" w:cs="Arial"/>
          <w:lang w:val="es-ES_tradnl" w:eastAsia="es-CO"/>
        </w:rPr>
        <w:t xml:space="preserve"> </w:t>
      </w:r>
    </w:p>
    <w:p w14:paraId="4BDF1A85" w14:textId="19C6FE90" w:rsidR="00246370" w:rsidRPr="00246370" w:rsidRDefault="00F7340E" w:rsidP="00246370">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220AC96" wp14:editId="3A89BAE7">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6370" w:rsidRPr="00246370" w14:paraId="3668CBFC" w14:textId="77777777" w:rsidTr="005C7BEE">
        <w:trPr>
          <w:trHeight w:val="315"/>
        </w:trPr>
        <w:tc>
          <w:tcPr>
            <w:tcW w:w="893" w:type="dxa"/>
            <w:vAlign w:val="center"/>
            <w:hideMark/>
          </w:tcPr>
          <w:p w14:paraId="49094060" w14:textId="77777777" w:rsidR="00246370" w:rsidRPr="00246370" w:rsidRDefault="00246370" w:rsidP="00246370">
            <w:pPr>
              <w:rPr>
                <w:rFonts w:ascii="Verdana" w:eastAsia="Calibri" w:hAnsi="Verdana" w:cs="Arial"/>
                <w:sz w:val="16"/>
                <w:szCs w:val="16"/>
                <w:lang w:val="es-ES_tradnl" w:eastAsia="es-ES"/>
              </w:rPr>
            </w:pPr>
            <w:r w:rsidRPr="0024637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2F77779" w14:textId="77777777" w:rsidR="00246370" w:rsidRPr="00246370" w:rsidRDefault="00246370" w:rsidP="00246370">
            <w:pPr>
              <w:rPr>
                <w:rFonts w:ascii="Verdana" w:eastAsia="Arial" w:hAnsi="Verdana" w:cs="Arial"/>
                <w:sz w:val="16"/>
                <w:szCs w:val="16"/>
                <w:lang w:val="es-ES"/>
              </w:rPr>
            </w:pPr>
            <w:r w:rsidRPr="00246370">
              <w:rPr>
                <w:rFonts w:ascii="Verdana" w:eastAsia="Arial" w:hAnsi="Verdana" w:cs="Arial"/>
                <w:sz w:val="16"/>
                <w:szCs w:val="16"/>
                <w:lang w:val="es-ES"/>
              </w:rPr>
              <w:t>Kevin Arlid Herrera Santa</w:t>
            </w:r>
          </w:p>
          <w:p w14:paraId="6AAF1334" w14:textId="77777777" w:rsidR="00246370" w:rsidRPr="00246370" w:rsidRDefault="00246370" w:rsidP="00246370">
            <w:pPr>
              <w:rPr>
                <w:rFonts w:ascii="Verdana" w:eastAsia="Arial" w:hAnsi="Verdana" w:cs="Arial"/>
                <w:sz w:val="16"/>
                <w:szCs w:val="16"/>
                <w:lang w:val="es-ES_tradnl"/>
              </w:rPr>
            </w:pPr>
            <w:r w:rsidRPr="00246370">
              <w:rPr>
                <w:rFonts w:ascii="Verdana" w:eastAsia="Arial" w:hAnsi="Verdana" w:cs="Arial"/>
                <w:sz w:val="16"/>
                <w:szCs w:val="16"/>
                <w:lang w:val="es-ES_tradnl"/>
              </w:rPr>
              <w:t>Contratista de la Subdirección de Gestión Contractual</w:t>
            </w:r>
          </w:p>
          <w:p w14:paraId="59809F36" w14:textId="77777777" w:rsidR="00246370" w:rsidRPr="00246370" w:rsidRDefault="00246370" w:rsidP="00246370">
            <w:pPr>
              <w:rPr>
                <w:rFonts w:ascii="Verdana" w:eastAsia="Arial" w:hAnsi="Verdana" w:cs="Arial"/>
                <w:sz w:val="16"/>
                <w:szCs w:val="16"/>
                <w:lang w:val="es-ES_tradnl"/>
              </w:rPr>
            </w:pPr>
          </w:p>
        </w:tc>
      </w:tr>
      <w:tr w:rsidR="00246370" w:rsidRPr="00246370" w14:paraId="0ED5BEF5" w14:textId="77777777" w:rsidTr="005C7BEE">
        <w:trPr>
          <w:trHeight w:val="330"/>
        </w:trPr>
        <w:tc>
          <w:tcPr>
            <w:tcW w:w="893" w:type="dxa"/>
            <w:vAlign w:val="center"/>
            <w:hideMark/>
          </w:tcPr>
          <w:p w14:paraId="6D665591" w14:textId="77777777" w:rsidR="00246370" w:rsidRPr="00246370" w:rsidRDefault="00246370" w:rsidP="00246370">
            <w:pPr>
              <w:rPr>
                <w:rFonts w:ascii="Verdana" w:eastAsia="Calibri" w:hAnsi="Verdana" w:cs="Arial"/>
                <w:sz w:val="16"/>
                <w:szCs w:val="16"/>
                <w:lang w:val="es-ES_tradnl" w:eastAsia="es-ES"/>
              </w:rPr>
            </w:pPr>
            <w:r w:rsidRPr="0024637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9ED7F69" w14:textId="77777777" w:rsidR="00246370" w:rsidRPr="00246370" w:rsidRDefault="00246370" w:rsidP="00246370">
            <w:pPr>
              <w:textAlignment w:val="baseline"/>
              <w:rPr>
                <w:rFonts w:ascii="Verdana" w:eastAsia="Times New Roman" w:hAnsi="Verdana" w:cs="Segoe UI"/>
                <w:sz w:val="16"/>
                <w:szCs w:val="16"/>
                <w:lang w:val="es-ES_tradnl" w:eastAsia="es-ES_tradnl"/>
              </w:rPr>
            </w:pPr>
            <w:r w:rsidRPr="00246370">
              <w:rPr>
                <w:rFonts w:ascii="Verdana" w:eastAsia="Times New Roman" w:hAnsi="Verdana" w:cs="Segoe UI"/>
                <w:sz w:val="16"/>
                <w:szCs w:val="16"/>
                <w:lang w:val="es-ES_tradnl" w:eastAsia="es-ES_tradnl"/>
              </w:rPr>
              <w:t>Juan David Cárdenas Cabeza</w:t>
            </w:r>
          </w:p>
          <w:p w14:paraId="773D89A0" w14:textId="77777777" w:rsidR="00246370" w:rsidRPr="00246370" w:rsidRDefault="00246370" w:rsidP="00246370">
            <w:pPr>
              <w:textAlignment w:val="baseline"/>
              <w:rPr>
                <w:rFonts w:ascii="Verdana" w:eastAsia="Times New Roman" w:hAnsi="Verdana" w:cs="Segoe UI"/>
                <w:sz w:val="16"/>
                <w:szCs w:val="16"/>
                <w:lang w:val="es-ES_tradnl" w:eastAsia="es-ES_tradnl"/>
              </w:rPr>
            </w:pPr>
            <w:r w:rsidRPr="00246370">
              <w:rPr>
                <w:rFonts w:ascii="Verdana" w:eastAsia="Times New Roman" w:hAnsi="Verdana" w:cs="Arial"/>
                <w:sz w:val="16"/>
                <w:szCs w:val="16"/>
                <w:lang w:val="es-ES_tradnl" w:eastAsia="es-ES_tradnl"/>
              </w:rPr>
              <w:t>Contratista de la Subdirección de Gestión Contractual </w:t>
            </w:r>
          </w:p>
        </w:tc>
      </w:tr>
      <w:tr w:rsidR="00246370" w:rsidRPr="00246370" w14:paraId="16C4B9D7" w14:textId="77777777" w:rsidTr="005C7BEE">
        <w:trPr>
          <w:trHeight w:val="352"/>
        </w:trPr>
        <w:tc>
          <w:tcPr>
            <w:tcW w:w="893" w:type="dxa"/>
            <w:vAlign w:val="center"/>
          </w:tcPr>
          <w:p w14:paraId="390B6BFC" w14:textId="77777777" w:rsidR="00246370" w:rsidRPr="00246370" w:rsidRDefault="00246370" w:rsidP="00246370">
            <w:pPr>
              <w:rPr>
                <w:rFonts w:ascii="Verdana" w:eastAsia="Calibri" w:hAnsi="Verdana" w:cs="Arial"/>
                <w:sz w:val="16"/>
                <w:szCs w:val="16"/>
                <w:lang w:val="es-ES_tradnl" w:eastAsia="es-ES"/>
              </w:rPr>
            </w:pPr>
            <w:r w:rsidRPr="0024637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63A781E" w14:textId="77777777" w:rsidR="00246370" w:rsidRPr="00246370" w:rsidRDefault="00246370" w:rsidP="00246370">
            <w:pPr>
              <w:rPr>
                <w:rFonts w:ascii="Verdana" w:eastAsia="Calibri" w:hAnsi="Verdana" w:cs="Arial"/>
                <w:sz w:val="16"/>
                <w:szCs w:val="16"/>
                <w:lang w:val="es-ES" w:eastAsia="es-ES"/>
              </w:rPr>
            </w:pPr>
            <w:r w:rsidRPr="00246370">
              <w:rPr>
                <w:rFonts w:ascii="Verdana" w:eastAsia="Calibri" w:hAnsi="Verdana" w:cs="Arial"/>
                <w:sz w:val="16"/>
                <w:szCs w:val="16"/>
                <w:lang w:val="es-ES" w:eastAsia="es-ES"/>
              </w:rPr>
              <w:t>Carolina Quintero Gacharná</w:t>
            </w:r>
          </w:p>
          <w:p w14:paraId="0C1EDB03" w14:textId="77777777" w:rsidR="00246370" w:rsidRPr="00246370" w:rsidRDefault="00246370" w:rsidP="00246370">
            <w:pPr>
              <w:rPr>
                <w:rFonts w:ascii="Verdana" w:eastAsia="Calibri" w:hAnsi="Verdana" w:cs="Arial"/>
                <w:sz w:val="16"/>
                <w:szCs w:val="16"/>
                <w:lang w:val="es-ES_tradnl" w:eastAsia="es-ES"/>
              </w:rPr>
            </w:pPr>
            <w:r w:rsidRPr="00246370">
              <w:rPr>
                <w:rFonts w:ascii="Verdana" w:eastAsia="Calibri" w:hAnsi="Verdana" w:cs="Arial"/>
                <w:sz w:val="16"/>
                <w:szCs w:val="16"/>
                <w:lang w:val="es-ES_tradnl" w:eastAsia="es-ES"/>
              </w:rPr>
              <w:t>Subdirectora de Gestión Contractual ANCP – CCE</w:t>
            </w:r>
          </w:p>
        </w:tc>
      </w:tr>
    </w:tbl>
    <w:p w14:paraId="141A25FB" w14:textId="77777777" w:rsidR="00246370" w:rsidRPr="00246370" w:rsidRDefault="00246370" w:rsidP="00246370">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F6FFAA" w14:textId="77777777" w:rsidR="00A73A12" w:rsidRDefault="00A73A12" w:rsidP="004A1847">
      <w:pPr>
        <w:spacing w:after="0" w:line="240" w:lineRule="auto"/>
      </w:pPr>
      <w:r>
        <w:separator/>
      </w:r>
    </w:p>
  </w:endnote>
  <w:endnote w:type="continuationSeparator" w:id="0">
    <w:p w14:paraId="56DBD392" w14:textId="77777777" w:rsidR="00A73A12" w:rsidRDefault="00A73A1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82821D" w14:textId="77777777" w:rsidR="00A73A12" w:rsidRDefault="00A73A12" w:rsidP="004A1847">
      <w:pPr>
        <w:spacing w:after="0" w:line="240" w:lineRule="auto"/>
      </w:pPr>
      <w:r>
        <w:separator/>
      </w:r>
    </w:p>
  </w:footnote>
  <w:footnote w:type="continuationSeparator" w:id="0">
    <w:p w14:paraId="0A910A16" w14:textId="77777777" w:rsidR="00A73A12" w:rsidRDefault="00A73A12" w:rsidP="004A1847">
      <w:pPr>
        <w:spacing w:after="0" w:line="240" w:lineRule="auto"/>
      </w:pPr>
      <w:r>
        <w:continuationSeparator/>
      </w:r>
    </w:p>
  </w:footnote>
  <w:footnote w:id="1">
    <w:p w14:paraId="6869D51B" w14:textId="77777777" w:rsidR="00246370" w:rsidRPr="004F4A58" w:rsidRDefault="00246370" w:rsidP="00246370">
      <w:pPr>
        <w:pStyle w:val="Textonotapie"/>
        <w:ind w:firstLine="709"/>
        <w:jc w:val="both"/>
        <w:rPr>
          <w:rFonts w:ascii="Verdana" w:hAnsi="Verdana" w:cs="Arial"/>
          <w:sz w:val="18"/>
          <w:szCs w:val="18"/>
          <w:lang w:val="es-ES"/>
        </w:rPr>
      </w:pPr>
      <w:r w:rsidRPr="009C1230">
        <w:rPr>
          <w:rStyle w:val="Refdenotaalpie"/>
          <w:rFonts w:ascii="Verdana" w:hAnsi="Verdana" w:cs="Arial"/>
          <w:sz w:val="18"/>
          <w:szCs w:val="18"/>
        </w:rPr>
        <w:footnoteRef/>
      </w:r>
      <w:r w:rsidRPr="009C1230">
        <w:rPr>
          <w:rFonts w:ascii="Verdana" w:hAnsi="Verdana" w:cs="Arial"/>
          <w:sz w:val="18"/>
          <w:szCs w:val="18"/>
        </w:rPr>
        <w:t xml:space="preserve"> </w:t>
      </w:r>
      <w:r w:rsidRPr="009C1230">
        <w:rPr>
          <w:rFonts w:ascii="Verdana" w:hAnsi="Verdana" w:cs="Arial"/>
          <w:sz w:val="18"/>
          <w:szCs w:val="18"/>
          <w:lang w:val="es-ES"/>
        </w:rPr>
        <w:t xml:space="preserve">COLOMBIA COMPRA EFICIENTE. Guía de </w:t>
      </w:r>
      <w:r>
        <w:rPr>
          <w:rFonts w:ascii="Verdana" w:hAnsi="Verdana" w:cs="Arial"/>
          <w:sz w:val="18"/>
          <w:szCs w:val="18"/>
          <w:lang w:val="es-ES"/>
        </w:rPr>
        <w:t>garantías</w:t>
      </w:r>
      <w:r w:rsidRPr="009C1230">
        <w:rPr>
          <w:rFonts w:ascii="Verdana" w:hAnsi="Verdana" w:cs="Arial"/>
          <w:sz w:val="18"/>
          <w:szCs w:val="18"/>
          <w:lang w:val="es-ES"/>
        </w:rPr>
        <w:t xml:space="preserve"> en Proceso</w:t>
      </w:r>
      <w:r>
        <w:rPr>
          <w:rFonts w:ascii="Verdana" w:hAnsi="Verdana" w:cs="Arial"/>
          <w:sz w:val="18"/>
          <w:szCs w:val="18"/>
          <w:lang w:val="es-ES"/>
        </w:rPr>
        <w:t>s</w:t>
      </w:r>
      <w:r w:rsidRPr="009C1230">
        <w:rPr>
          <w:rFonts w:ascii="Verdana" w:hAnsi="Verdana" w:cs="Arial"/>
          <w:sz w:val="18"/>
          <w:szCs w:val="18"/>
          <w:lang w:val="es-ES"/>
        </w:rPr>
        <w:t xml:space="preserve"> de Contratación. Disponible en: </w:t>
      </w:r>
      <w:hyperlink r:id="rId1" w:history="1">
        <w:r w:rsidRPr="009C1230">
          <w:rPr>
            <w:rStyle w:val="Hipervnculo"/>
            <w:rFonts w:ascii="Verdana" w:hAnsi="Verdana"/>
            <w:sz w:val="18"/>
            <w:szCs w:val="18"/>
          </w:rPr>
          <w:t>https://www.colombiacompra.gov.co/sites/cce_public/files/cce_documents/cce_guia_garantias.pdf</w:t>
        </w:r>
      </w:hyperlink>
      <w:r w:rsidRPr="004F4A58">
        <w:rPr>
          <w:rStyle w:val="Hipervnculo"/>
          <w:rFonts w:ascii="Verdana" w:hAnsi="Verdana"/>
          <w:color w:val="auto"/>
          <w:sz w:val="18"/>
          <w:szCs w:val="18"/>
        </w:rPr>
        <w:t>.</w:t>
      </w:r>
      <w:r w:rsidRPr="004F4A58">
        <w:rPr>
          <w:rFonts w:ascii="Verdana" w:hAnsi="Verdana" w:cs="Arial"/>
          <w:sz w:val="18"/>
          <w:szCs w:val="18"/>
          <w:lang w:val="es-ES"/>
        </w:rPr>
        <w:t xml:space="preserve"> </w:t>
      </w:r>
    </w:p>
    <w:p w14:paraId="3F216DE9" w14:textId="77777777" w:rsidR="00246370" w:rsidRPr="009C1230" w:rsidRDefault="00246370" w:rsidP="00246370">
      <w:pPr>
        <w:pStyle w:val="Textonotapie"/>
        <w:ind w:firstLine="709"/>
        <w:jc w:val="both"/>
        <w:rPr>
          <w:rFonts w:ascii="Verdana" w:hAnsi="Verdana" w:cs="Arial"/>
          <w:sz w:val="18"/>
          <w:szCs w:val="18"/>
        </w:rPr>
      </w:pPr>
    </w:p>
  </w:footnote>
  <w:footnote w:id="2">
    <w:p w14:paraId="00825C37" w14:textId="77777777" w:rsidR="00246370" w:rsidRPr="009C1230" w:rsidRDefault="00246370" w:rsidP="00246370">
      <w:pPr>
        <w:pStyle w:val="Textonotapie"/>
        <w:ind w:firstLine="709"/>
        <w:jc w:val="both"/>
        <w:rPr>
          <w:rFonts w:ascii="Verdana" w:hAnsi="Verdana" w:cs="Arial"/>
          <w:sz w:val="18"/>
          <w:szCs w:val="18"/>
          <w:lang w:val="es-ES"/>
        </w:rPr>
      </w:pPr>
      <w:r w:rsidRPr="009C1230">
        <w:rPr>
          <w:rStyle w:val="Refdenotaalpie"/>
          <w:rFonts w:ascii="Verdana" w:hAnsi="Verdana" w:cs="Arial"/>
          <w:sz w:val="18"/>
          <w:szCs w:val="18"/>
        </w:rPr>
        <w:footnoteRef/>
      </w:r>
      <w:r w:rsidRPr="009C1230">
        <w:rPr>
          <w:rFonts w:ascii="Verdana" w:hAnsi="Verdana" w:cs="Arial"/>
          <w:sz w:val="18"/>
          <w:szCs w:val="18"/>
        </w:rPr>
        <w:t xml:space="preserve"> </w:t>
      </w:r>
      <w:r w:rsidRPr="009C1230">
        <w:rPr>
          <w:rFonts w:ascii="Verdana" w:hAnsi="Verdana" w:cs="Arial"/>
          <w:sz w:val="18"/>
          <w:szCs w:val="18"/>
          <w:lang w:val="es-ES"/>
        </w:rPr>
        <w:t xml:space="preserve">COLOMBIA COMPRA EFICIENTE. Síntesis: 8. Etapa precontractual: Garantía de cumplimiento del contrato estatal. </w:t>
      </w:r>
    </w:p>
    <w:p w14:paraId="241851EB" w14:textId="77777777" w:rsidR="00246370" w:rsidRPr="009C1230" w:rsidRDefault="00246370" w:rsidP="00246370">
      <w:pPr>
        <w:pStyle w:val="Textonotapie"/>
        <w:ind w:firstLine="709"/>
        <w:jc w:val="both"/>
        <w:rPr>
          <w:rFonts w:ascii="Verdana" w:hAnsi="Verdana" w:cs="Arial"/>
          <w:sz w:val="18"/>
          <w:szCs w:val="18"/>
        </w:rPr>
      </w:pPr>
    </w:p>
  </w:footnote>
  <w:footnote w:id="3">
    <w:p w14:paraId="540B7718" w14:textId="77777777" w:rsidR="00246370" w:rsidRPr="009C1230" w:rsidRDefault="00246370" w:rsidP="00246370">
      <w:pPr>
        <w:pStyle w:val="Textonotapie"/>
        <w:ind w:firstLine="709"/>
        <w:jc w:val="both"/>
        <w:rPr>
          <w:rFonts w:ascii="Verdana" w:hAnsi="Verdana" w:cs="Arial"/>
          <w:sz w:val="18"/>
          <w:szCs w:val="18"/>
        </w:rPr>
      </w:pPr>
      <w:r w:rsidRPr="009C1230">
        <w:rPr>
          <w:rStyle w:val="Refdenotaalpie"/>
          <w:rFonts w:ascii="Verdana" w:hAnsi="Verdana" w:cs="Arial"/>
          <w:sz w:val="18"/>
          <w:szCs w:val="18"/>
        </w:rPr>
        <w:footnoteRef/>
      </w:r>
      <w:r w:rsidRPr="009C1230">
        <w:rPr>
          <w:rFonts w:ascii="Verdana" w:hAnsi="Verdana" w:cs="Arial"/>
          <w:sz w:val="18"/>
          <w:szCs w:val="18"/>
        </w:rPr>
        <w:t xml:space="preserve"> La norma citada dispone: “Artículo 2.2.1.2.3.1.7. Garantía de cumplimiento. La garantía de cumplimiento del contrato debe cubrir:</w:t>
      </w:r>
    </w:p>
    <w:p w14:paraId="56E4A713"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1.    Buen manejo y correcta inversión del anticipo. Este amparo cubre los perjuicios sufridos por la Entidad Estatal con ocasión de: (i) la no inversión del anticipo; (</w:t>
      </w:r>
      <w:r w:rsidRPr="009C1230">
        <w:rPr>
          <w:rFonts w:ascii="Verdana" w:hAnsi="Verdana" w:cs="Arial"/>
          <w:sz w:val="18"/>
          <w:szCs w:val="18"/>
        </w:rPr>
        <w:t>ii) el uso indebido del anticipo; y (iii) la apropiación indebida de los recursos recibidos en calidad de anticipo.</w:t>
      </w:r>
    </w:p>
    <w:p w14:paraId="1CEA73D9"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696B0D8B"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3.    Cumplimiento del contrato. Este amparo cubre a la Entidad Estatal de los perjuicios derivados de:</w:t>
      </w:r>
    </w:p>
    <w:p w14:paraId="4AF372CC"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3.1.   El incumplimiento total o parcial del contrato, cuando el incumplimiento es imputable al contratista;</w:t>
      </w:r>
    </w:p>
    <w:p w14:paraId="7887EC20"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3.2.   El cumplimiento tardío o defectuoso del contrato, cuando el incumplimiento es imputable al contratista;</w:t>
      </w:r>
    </w:p>
    <w:p w14:paraId="117A76AC"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3.3.   Los daños imputables al contratista por entregas parciales de la obra, cuando el contrato no prevé entregas parciales; y</w:t>
      </w:r>
    </w:p>
    <w:p w14:paraId="22275F75"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3.4.   El pago del valor de las multas y de la cláusula penal pecuniaria.</w:t>
      </w:r>
    </w:p>
    <w:p w14:paraId="5B85BD1B"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34B49817"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La Entidad Estatal no debe exigir una garantía para cubrir este Riesgo en los contratos que se ejecuten fuera del territorio nacional con personal contratado bajo un régimen jurídico distinto al colombiano.</w:t>
      </w:r>
    </w:p>
    <w:p w14:paraId="0F3B77AF"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5.    Estabilidad y calidad de la obra. Este amparo cubre a la Entidad Estatal de los perjuicios ocasionados por cualquier tipo de daño o deterioro, imputable al contratista, sufrido por la obra entregada a satisfacción.</w:t>
      </w:r>
    </w:p>
    <w:p w14:paraId="776B396E"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6.    Calidad del servicio. Este amparo cubre a la Entidad Estatal por los perjuicios deri­vados de la deficiente calidad del servicio prestado.</w:t>
      </w:r>
    </w:p>
    <w:p w14:paraId="67872E64"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7.    Calidad y correcto funcionamiento de los bienes. Este amparo debe cubrir la calidad y el correcto funcionamiento de los bienes que recibe la Entidad Estatal en cumplimiento de un contrato.</w:t>
      </w:r>
    </w:p>
    <w:p w14:paraId="480B8EDD" w14:textId="77777777" w:rsidR="00246370" w:rsidRDefault="00246370" w:rsidP="00246370">
      <w:pPr>
        <w:pStyle w:val="Textonotapie"/>
        <w:ind w:firstLine="709"/>
        <w:jc w:val="both"/>
        <w:rPr>
          <w:rFonts w:ascii="Verdana" w:hAnsi="Verdana" w:cs="Arial"/>
          <w:sz w:val="18"/>
          <w:szCs w:val="18"/>
        </w:rPr>
      </w:pPr>
      <w:r w:rsidRPr="009C1230">
        <w:rPr>
          <w:rFonts w:ascii="Verdana" w:hAnsi="Verdana" w:cs="Arial"/>
          <w:sz w:val="18"/>
          <w:szCs w:val="18"/>
        </w:rPr>
        <w:t>8.    Los demás incumplimientos de obligaciones que la Entidad Estatal considere deben ser amparados de manera proporcional y acorde a la naturaleza del contrato”.</w:t>
      </w:r>
    </w:p>
    <w:p w14:paraId="7E749AA2" w14:textId="77777777" w:rsidR="00246370" w:rsidRPr="009C1230" w:rsidRDefault="00246370" w:rsidP="00246370">
      <w:pPr>
        <w:pStyle w:val="Textonotapie"/>
        <w:ind w:firstLine="709"/>
        <w:jc w:val="both"/>
        <w:rPr>
          <w:rFonts w:ascii="Verdana" w:hAnsi="Verdana" w:cs="Arial"/>
          <w:sz w:val="18"/>
          <w:szCs w:val="18"/>
        </w:rPr>
      </w:pPr>
    </w:p>
  </w:footnote>
  <w:footnote w:id="4">
    <w:p w14:paraId="5A5D3DB3" w14:textId="77777777" w:rsidR="00246370" w:rsidRPr="009C1230" w:rsidRDefault="00246370" w:rsidP="00246370">
      <w:pPr>
        <w:pStyle w:val="Textonotapie"/>
        <w:ind w:firstLine="709"/>
        <w:jc w:val="both"/>
        <w:rPr>
          <w:rFonts w:ascii="Verdana" w:eastAsia="Calibri" w:hAnsi="Verdana" w:cs="Arial"/>
          <w:sz w:val="18"/>
          <w:szCs w:val="18"/>
          <w:lang w:val="es-ES_tradnl"/>
        </w:rPr>
      </w:pPr>
      <w:r w:rsidRPr="009C1230">
        <w:rPr>
          <w:rStyle w:val="Refdenotaalpie"/>
          <w:rFonts w:ascii="Verdana" w:hAnsi="Verdana" w:cs="Arial"/>
          <w:sz w:val="18"/>
          <w:szCs w:val="18"/>
        </w:rPr>
        <w:footnoteRef/>
      </w:r>
      <w:r w:rsidRPr="009C1230">
        <w:rPr>
          <w:rFonts w:ascii="Verdana" w:hAnsi="Verdana" w:cs="Arial"/>
          <w:sz w:val="18"/>
          <w:szCs w:val="18"/>
        </w:rPr>
        <w:t xml:space="preserve"> </w:t>
      </w:r>
      <w:r w:rsidRPr="009C1230">
        <w:rPr>
          <w:rFonts w:ascii="Verdana" w:eastAsia="Calibri" w:hAnsi="Verdana" w:cs="Arial"/>
          <w:sz w:val="18"/>
          <w:szCs w:val="18"/>
          <w:lang w:val="es-ES_tradnl"/>
        </w:rPr>
        <w:t xml:space="preserve">Esta norma dispone que “Los contratos para construcción de edificios, celebrados con un empresario que se encarga de toda la obra por un precio único prefijado, se sujetan además a las reglas siguientes: </w:t>
      </w:r>
    </w:p>
    <w:p w14:paraId="4614D7D1" w14:textId="77777777" w:rsidR="00246370" w:rsidRPr="009C1230" w:rsidRDefault="00246370" w:rsidP="00246370">
      <w:pPr>
        <w:pStyle w:val="Textonotapie"/>
        <w:ind w:firstLine="709"/>
        <w:jc w:val="both"/>
        <w:rPr>
          <w:rFonts w:ascii="Verdana" w:eastAsia="Calibri" w:hAnsi="Verdana" w:cs="Arial"/>
          <w:sz w:val="18"/>
          <w:szCs w:val="18"/>
          <w:lang w:val="es-ES_tradnl"/>
        </w:rPr>
      </w:pPr>
      <w:r w:rsidRPr="009C1230">
        <w:rPr>
          <w:rFonts w:ascii="Verdana" w:eastAsia="Calibri" w:hAnsi="Verdana" w:cs="Arial"/>
          <w:sz w:val="18"/>
          <w:szCs w:val="18"/>
          <w:lang w:val="es-ES_tradnl"/>
        </w:rPr>
        <w:t xml:space="preserve">[…] </w:t>
      </w:r>
    </w:p>
    <w:p w14:paraId="28A833F6" w14:textId="77777777" w:rsidR="00246370" w:rsidRPr="009C1230" w:rsidRDefault="00246370" w:rsidP="00246370">
      <w:pPr>
        <w:pStyle w:val="Textonotapie"/>
        <w:ind w:firstLine="709"/>
        <w:jc w:val="both"/>
        <w:rPr>
          <w:rFonts w:ascii="Verdana" w:hAnsi="Verdana" w:cs="Arial"/>
          <w:sz w:val="18"/>
          <w:szCs w:val="18"/>
        </w:rPr>
      </w:pPr>
      <w:r w:rsidRPr="009C1230">
        <w:rPr>
          <w:rFonts w:ascii="Verdana" w:eastAsia="Calibri" w:hAnsi="Verdana" w:cs="Arial"/>
          <w:sz w:val="18"/>
          <w:szCs w:val="18"/>
          <w:lang w:val="es-ES_tradnl"/>
        </w:rPr>
        <w:t>3. Si el edificio perece o amenaza ruina, en todo o parte, en los diez años subsiguientes a su entrega, por vicio de la construcción, o por vicio del suelo que el empresario o las personas empleadas por él hayan debido conocer en razón de su oficio, o por vicio de los materiales, será responsable el empresario; si los materiales han sido suministrados por el dueño, no habrá lugar a la responsabilidad del empresario sino en conformidad al artículo 2041, &lt;sic 2057&gt; inciso final […]”.</w:t>
      </w:r>
    </w:p>
    <w:p w14:paraId="57DE1F56" w14:textId="77777777" w:rsidR="00246370" w:rsidRPr="009C1230" w:rsidRDefault="00246370" w:rsidP="00246370">
      <w:pPr>
        <w:pStyle w:val="Textonotapie"/>
        <w:ind w:firstLine="709"/>
        <w:jc w:val="both"/>
        <w:rPr>
          <w:rFonts w:ascii="Verdana" w:hAnsi="Verdana" w:cs="Arial"/>
          <w:sz w:val="18"/>
          <w:szCs w:val="18"/>
          <w:lang w:val="es-ES"/>
        </w:rPr>
      </w:pPr>
    </w:p>
  </w:footnote>
  <w:footnote w:id="5">
    <w:p w14:paraId="7F64FE34" w14:textId="77777777" w:rsidR="00246370" w:rsidRDefault="00246370" w:rsidP="00246370">
      <w:pPr>
        <w:pStyle w:val="Textonotapie"/>
        <w:ind w:firstLine="709"/>
        <w:jc w:val="both"/>
        <w:rPr>
          <w:rFonts w:ascii="Verdana" w:hAnsi="Verdana" w:cs="Arial"/>
          <w:color w:val="000000"/>
          <w:sz w:val="18"/>
          <w:szCs w:val="18"/>
          <w:lang w:val="es-CO"/>
        </w:rPr>
      </w:pPr>
      <w:r w:rsidRPr="009C1230">
        <w:rPr>
          <w:rStyle w:val="Refdenotaalpie"/>
          <w:rFonts w:ascii="Verdana" w:hAnsi="Verdana" w:cs="Arial"/>
          <w:sz w:val="18"/>
          <w:szCs w:val="18"/>
        </w:rPr>
        <w:footnoteRef/>
      </w:r>
      <w:r w:rsidRPr="009C1230">
        <w:rPr>
          <w:rFonts w:ascii="Verdana" w:hAnsi="Verdana" w:cs="Arial"/>
          <w:sz w:val="18"/>
          <w:szCs w:val="18"/>
        </w:rPr>
        <w:t xml:space="preserve"> </w:t>
      </w:r>
      <w:r w:rsidRPr="009C1230">
        <w:rPr>
          <w:rFonts w:ascii="Verdana" w:hAnsi="Verdana" w:cs="Arial"/>
          <w:color w:val="000000"/>
          <w:sz w:val="18"/>
          <w:szCs w:val="18"/>
          <w:lang w:val="es-CO"/>
        </w:rPr>
        <w:t xml:space="preserve">Consejo de Estado, Sala de lo Contencioso Administrativo, Sección Tercera, Subsección B, Sentencia de 23 de febrero de 2012, </w:t>
      </w:r>
      <w:r w:rsidRPr="009C1230">
        <w:rPr>
          <w:rFonts w:ascii="Verdana" w:hAnsi="Verdana" w:cs="Arial"/>
          <w:color w:val="000000"/>
          <w:sz w:val="18"/>
          <w:szCs w:val="18"/>
          <w:lang w:val="es-CO"/>
        </w:rPr>
        <w:t>Exp. 20.810.</w:t>
      </w:r>
    </w:p>
    <w:p w14:paraId="60791A88" w14:textId="77777777" w:rsidR="00246370" w:rsidRPr="009C1230" w:rsidRDefault="00246370" w:rsidP="00246370">
      <w:pPr>
        <w:pStyle w:val="Textonotapie"/>
        <w:ind w:firstLine="709"/>
        <w:jc w:val="both"/>
        <w:rPr>
          <w:rFonts w:ascii="Verdana" w:hAnsi="Verdana" w:cs="Arial"/>
          <w:color w:val="000000"/>
          <w:sz w:val="18"/>
          <w:szCs w:val="18"/>
          <w:lang w:val="es-CO"/>
        </w:rPr>
      </w:pPr>
    </w:p>
  </w:footnote>
  <w:footnote w:id="6">
    <w:p w14:paraId="20FBC72C" w14:textId="77777777" w:rsidR="00246370" w:rsidRPr="009C1230" w:rsidRDefault="00246370" w:rsidP="00246370">
      <w:pPr>
        <w:pStyle w:val="Textonotapie"/>
        <w:ind w:firstLine="709"/>
        <w:jc w:val="both"/>
        <w:rPr>
          <w:rFonts w:ascii="Verdana" w:hAnsi="Verdana" w:cs="Arial"/>
          <w:sz w:val="18"/>
          <w:szCs w:val="18"/>
          <w:lang w:val="es-CO"/>
        </w:rPr>
      </w:pPr>
      <w:r w:rsidRPr="009C1230">
        <w:rPr>
          <w:rStyle w:val="Refdenotaalpie"/>
          <w:rFonts w:ascii="Verdana" w:hAnsi="Verdana" w:cs="Arial"/>
          <w:sz w:val="18"/>
          <w:szCs w:val="18"/>
        </w:rPr>
        <w:footnoteRef/>
      </w:r>
      <w:r w:rsidRPr="009C1230">
        <w:rPr>
          <w:rFonts w:ascii="Verdana" w:hAnsi="Verdana" w:cs="Arial"/>
          <w:sz w:val="18"/>
          <w:szCs w:val="18"/>
        </w:rPr>
        <w:t xml:space="preserve"> Consejo de Estado, Sala de lo Contencioso Administrativo, Sección Tercera. Subsección C, Sentencia de 28 de febrero de 2020, </w:t>
      </w:r>
      <w:r w:rsidRPr="009C1230">
        <w:rPr>
          <w:rFonts w:ascii="Verdana" w:hAnsi="Verdana" w:cs="Arial"/>
          <w:sz w:val="18"/>
          <w:szCs w:val="18"/>
        </w:rPr>
        <w:t>Exp. 46852.</w:t>
      </w:r>
    </w:p>
  </w:footnote>
  <w:footnote w:id="7">
    <w:p w14:paraId="7614AECF" w14:textId="77777777" w:rsidR="00246370" w:rsidRPr="009C1230" w:rsidRDefault="00246370" w:rsidP="00246370">
      <w:pPr>
        <w:pStyle w:val="Textonotapie"/>
        <w:ind w:firstLine="709"/>
        <w:jc w:val="both"/>
        <w:rPr>
          <w:rFonts w:ascii="Verdana" w:hAnsi="Verdana" w:cs="Arial"/>
          <w:sz w:val="18"/>
          <w:szCs w:val="18"/>
          <w:lang w:val="es-CO"/>
        </w:rPr>
      </w:pPr>
      <w:r w:rsidRPr="009C1230">
        <w:rPr>
          <w:rStyle w:val="Refdenotaalpie"/>
          <w:rFonts w:ascii="Verdana" w:hAnsi="Verdana" w:cs="Arial"/>
          <w:sz w:val="18"/>
          <w:szCs w:val="18"/>
        </w:rPr>
        <w:footnoteRef/>
      </w:r>
      <w:r w:rsidRPr="009C1230">
        <w:rPr>
          <w:rFonts w:ascii="Verdana" w:hAnsi="Verdana" w:cs="Arial"/>
          <w:sz w:val="18"/>
          <w:szCs w:val="18"/>
        </w:rPr>
        <w:t xml:space="preserve"> Consejo de Estado, </w:t>
      </w:r>
      <w:r w:rsidRPr="009C1230">
        <w:rPr>
          <w:rFonts w:ascii="Verdana" w:hAnsi="Verdana" w:cs="Arial"/>
          <w:color w:val="000000"/>
          <w:sz w:val="18"/>
          <w:szCs w:val="18"/>
          <w:lang w:val="es-CO"/>
        </w:rPr>
        <w:t xml:space="preserve">Sala de lo Contencioso Administrativo, Sección Tercera, Subsección B, Sentencia del 15 de diciembre de 2011, </w:t>
      </w:r>
      <w:r w:rsidRPr="009C1230">
        <w:rPr>
          <w:rFonts w:ascii="Verdana" w:hAnsi="Verdana" w:cs="Arial"/>
          <w:color w:val="000000"/>
          <w:sz w:val="18"/>
          <w:szCs w:val="18"/>
          <w:lang w:val="es-CO"/>
        </w:rPr>
        <w:t xml:space="preserve">Exp. 40.586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F9003D"/>
    <w:multiLevelType w:val="hybridMultilevel"/>
    <w:tmpl w:val="08BEC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4E44A77"/>
    <w:multiLevelType w:val="hybridMultilevel"/>
    <w:tmpl w:val="9AA2A7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504280040">
    <w:abstractNumId w:val="3"/>
  </w:num>
  <w:num w:numId="18" w16cid:durableId="1607736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46370"/>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2713"/>
    <w:rsid w:val="004A1847"/>
    <w:rsid w:val="004A305D"/>
    <w:rsid w:val="004F21C4"/>
    <w:rsid w:val="004F685F"/>
    <w:rsid w:val="00514DE5"/>
    <w:rsid w:val="005566E8"/>
    <w:rsid w:val="00574867"/>
    <w:rsid w:val="00591460"/>
    <w:rsid w:val="005A3B7F"/>
    <w:rsid w:val="005B3816"/>
    <w:rsid w:val="005C3777"/>
    <w:rsid w:val="005C5CDC"/>
    <w:rsid w:val="005D476C"/>
    <w:rsid w:val="006219F8"/>
    <w:rsid w:val="00665D70"/>
    <w:rsid w:val="006900D9"/>
    <w:rsid w:val="00706C16"/>
    <w:rsid w:val="00723136"/>
    <w:rsid w:val="00756841"/>
    <w:rsid w:val="007649AB"/>
    <w:rsid w:val="00771D0C"/>
    <w:rsid w:val="007833AC"/>
    <w:rsid w:val="007B268C"/>
    <w:rsid w:val="007B7171"/>
    <w:rsid w:val="007C0C0F"/>
    <w:rsid w:val="007C3DC2"/>
    <w:rsid w:val="007E1878"/>
    <w:rsid w:val="007E5497"/>
    <w:rsid w:val="00806F5F"/>
    <w:rsid w:val="00820278"/>
    <w:rsid w:val="00867F95"/>
    <w:rsid w:val="008843B6"/>
    <w:rsid w:val="00891928"/>
    <w:rsid w:val="008A446D"/>
    <w:rsid w:val="008D180B"/>
    <w:rsid w:val="008F0EA7"/>
    <w:rsid w:val="00923EEF"/>
    <w:rsid w:val="00932735"/>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73A12"/>
    <w:rsid w:val="00AA751C"/>
    <w:rsid w:val="00AB0ADB"/>
    <w:rsid w:val="00B01B1A"/>
    <w:rsid w:val="00B66319"/>
    <w:rsid w:val="00B72CD3"/>
    <w:rsid w:val="00B72FFF"/>
    <w:rsid w:val="00B8437B"/>
    <w:rsid w:val="00BC3D36"/>
    <w:rsid w:val="00BD7F72"/>
    <w:rsid w:val="00C0165A"/>
    <w:rsid w:val="00C04FB3"/>
    <w:rsid w:val="00C330EB"/>
    <w:rsid w:val="00C41061"/>
    <w:rsid w:val="00C754BE"/>
    <w:rsid w:val="00C76B1C"/>
    <w:rsid w:val="00CB6357"/>
    <w:rsid w:val="00CC1B26"/>
    <w:rsid w:val="00D423A2"/>
    <w:rsid w:val="00D520D8"/>
    <w:rsid w:val="00D63AC2"/>
    <w:rsid w:val="00D7383B"/>
    <w:rsid w:val="00D90ADE"/>
    <w:rsid w:val="00DA231B"/>
    <w:rsid w:val="00DC39FC"/>
    <w:rsid w:val="00DD2A4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3C0A"/>
    <w:rsid w:val="00ED7384"/>
    <w:rsid w:val="00EE1AA8"/>
    <w:rsid w:val="00F2316C"/>
    <w:rsid w:val="00F31EDC"/>
    <w:rsid w:val="00F462B3"/>
    <w:rsid w:val="00F5664F"/>
    <w:rsid w:val="00F666C4"/>
    <w:rsid w:val="00F7340E"/>
    <w:rsid w:val="00F76AFC"/>
    <w:rsid w:val="00FA47C0"/>
    <w:rsid w:val="00FB5DD1"/>
    <w:rsid w:val="00FC2B5D"/>
    <w:rsid w:val="00FF1449"/>
    <w:rsid w:val="58CF66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4637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_guia_garantias.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garanti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http://www.w3.org/XML/1998/namespace"/>
    <ds:schemaRef ds:uri="http://schemas.microsoft.com/office/2006/metadata/properties"/>
    <ds:schemaRef ds:uri="http://schemas.microsoft.com/office/infopath/2007/PartnerControls"/>
    <ds:schemaRef ds:uri="http://purl.org/dc/terms/"/>
    <ds:schemaRef ds:uri="9d85dbaf-23eb-4e57-a637-93dcacc8b1a1"/>
    <ds:schemaRef ds:uri="http://schemas.microsoft.com/office/2006/documentManagement/types"/>
    <ds:schemaRef ds:uri="http://purl.org/dc/elements/1.1/"/>
    <ds:schemaRef ds:uri="http://schemas.openxmlformats.org/package/2006/metadata/core-properties"/>
    <ds:schemaRef ds:uri="a6cb9e4b-f1d1-4245-83ec-6cad768d538a"/>
  </ds:schemaRefs>
</ds:datastoreItem>
</file>

<file path=customXml/itemProps2.xml><?xml version="1.0" encoding="utf-8"?>
<ds:datastoreItem xmlns:ds="http://schemas.openxmlformats.org/officeDocument/2006/customXml" ds:itemID="{B5E72DFC-07B7-4B80-93A3-614D26880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3035</Words>
  <Characters>16695</Characters>
  <Application>Microsoft Office Word</Application>
  <DocSecurity>0</DocSecurity>
  <Lines>139</Lines>
  <Paragraphs>39</Paragraphs>
  <ScaleCrop>false</ScaleCrop>
  <Company/>
  <LinksUpToDate>false</LinksUpToDate>
  <CharactersWithSpaces>19691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2024-12-19T14:48:00Z</dcterms:created>
  <dcterms:modified xsi:type="dcterms:W3CDTF">2024-12-19T14:48:00Z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