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BC78A" w14:textId="77777777" w:rsidR="00456D00" w:rsidRPr="001670AD" w:rsidRDefault="00456D00" w:rsidP="00456D00">
      <w:pPr>
        <w:spacing w:after="0" w:line="240" w:lineRule="auto"/>
        <w:contextualSpacing/>
        <w:jc w:val="both"/>
        <w:rPr>
          <w:rFonts w:ascii="Arial" w:hAnsi="Arial" w:cs="Arial"/>
          <w:b/>
          <w:bCs/>
          <w:iCs/>
          <w:color w:val="000000" w:themeColor="text1"/>
          <w:lang w:val="es-ES_tradnl"/>
        </w:rPr>
      </w:pPr>
      <w:bookmarkStart w:id="0" w:name="_Hlk109054766"/>
      <w:r w:rsidRPr="001670AD">
        <w:rPr>
          <w:rFonts w:ascii="Arial" w:hAnsi="Arial" w:cs="Arial"/>
          <w:b/>
          <w:bCs/>
          <w:iCs/>
          <w:color w:val="000000" w:themeColor="text1"/>
          <w:lang w:val="es-ES_tradnl"/>
        </w:rPr>
        <w:t xml:space="preserve">DEBER DE PUBLICIDAD </w:t>
      </w:r>
      <w:r w:rsidRPr="001670AD">
        <w:rPr>
          <w:rFonts w:ascii="Arial" w:eastAsia="Calibri" w:hAnsi="Arial" w:cs="Arial"/>
          <w:b/>
          <w:color w:val="000000" w:themeColor="text1"/>
          <w:lang w:val="es-ES_tradnl"/>
        </w:rPr>
        <w:t>–</w:t>
      </w:r>
      <w:r w:rsidRPr="001670AD">
        <w:rPr>
          <w:rFonts w:ascii="Arial" w:hAnsi="Arial" w:cs="Arial"/>
          <w:b/>
          <w:bCs/>
          <w:iCs/>
          <w:color w:val="000000" w:themeColor="text1"/>
          <w:lang w:val="es-ES_tradnl"/>
        </w:rPr>
        <w:t xml:space="preserve"> Entidades Estatales exceptuadas del Estatuto General de Contratación de la Administración Pública</w:t>
      </w:r>
    </w:p>
    <w:p w14:paraId="3FE2FB5C" w14:textId="77777777" w:rsidR="00456D00" w:rsidRPr="001670AD" w:rsidRDefault="00456D00" w:rsidP="00456D00">
      <w:pPr>
        <w:spacing w:after="0" w:line="240" w:lineRule="auto"/>
        <w:contextualSpacing/>
        <w:jc w:val="both"/>
        <w:rPr>
          <w:rFonts w:ascii="Arial" w:hAnsi="Arial" w:cs="Arial"/>
          <w:b/>
          <w:bCs/>
          <w:iCs/>
          <w:color w:val="000000" w:themeColor="text1"/>
          <w:sz w:val="20"/>
          <w:szCs w:val="20"/>
          <w:lang w:val="es-ES_tradnl"/>
        </w:rPr>
      </w:pPr>
    </w:p>
    <w:p w14:paraId="7F8BC09D" w14:textId="77777777" w:rsidR="00002991" w:rsidRDefault="00002991" w:rsidP="00456D00">
      <w:pPr>
        <w:spacing w:after="0" w:line="240" w:lineRule="auto"/>
        <w:contextualSpacing/>
        <w:jc w:val="both"/>
        <w:rPr>
          <w:rFonts w:ascii="Arial" w:hAnsi="Arial" w:cs="Arial"/>
          <w:color w:val="000000" w:themeColor="text1"/>
          <w:sz w:val="20"/>
          <w:szCs w:val="20"/>
        </w:rPr>
      </w:pPr>
      <w:r w:rsidRPr="00002991">
        <w:rPr>
          <w:rFonts w:ascii="Arial" w:hAnsi="Arial" w:cs="Arial"/>
          <w:color w:val="000000" w:themeColor="text1"/>
          <w:sz w:val="20"/>
          <w:szCs w:val="20"/>
        </w:rPr>
        <w:t>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 El principio de transparencia en la información alude al deber de los sujetos de proporcionar y facilitar el acceso a la misma en los términos más amplios posibles, y a través de los medios y procedimientos legales. En el artículo 5, la ley estatutaria citada incluye dentro de la lista de sujetos obligados a todas las entidades públicas, y, además, en el literal c) a las personas naturales y jurídicas, públicas o privadas, que presten función pública, que presten servicios públicos respecto de la información directamente relacionada con la prestación del servicio público; también incluye en el literal g) a las entidades que administren recursos de naturaleza u origen público</w:t>
      </w:r>
    </w:p>
    <w:p w14:paraId="73AB2EAB" w14:textId="77777777" w:rsidR="00002991" w:rsidRDefault="00002991" w:rsidP="00456D00">
      <w:pPr>
        <w:spacing w:after="0" w:line="240" w:lineRule="auto"/>
        <w:contextualSpacing/>
        <w:jc w:val="both"/>
        <w:rPr>
          <w:rFonts w:ascii="Arial" w:hAnsi="Arial" w:cs="Arial"/>
          <w:color w:val="000000" w:themeColor="text1"/>
          <w:sz w:val="20"/>
          <w:szCs w:val="20"/>
        </w:rPr>
      </w:pPr>
    </w:p>
    <w:p w14:paraId="33892722" w14:textId="2F693F39" w:rsidR="00456D00" w:rsidRPr="001670AD" w:rsidRDefault="00456D00" w:rsidP="00456D00">
      <w:pPr>
        <w:spacing w:after="0" w:line="240" w:lineRule="auto"/>
        <w:contextualSpacing/>
        <w:jc w:val="both"/>
        <w:rPr>
          <w:rFonts w:ascii="Arial" w:hAnsi="Arial" w:cs="Arial"/>
          <w:b/>
          <w:bCs/>
          <w:iCs/>
          <w:color w:val="000000" w:themeColor="text1"/>
          <w:lang w:val="es-ES_tradnl"/>
        </w:rPr>
      </w:pPr>
      <w:r w:rsidRPr="001670AD">
        <w:rPr>
          <w:rFonts w:ascii="Arial" w:hAnsi="Arial" w:cs="Arial"/>
          <w:b/>
          <w:bCs/>
          <w:iCs/>
          <w:color w:val="000000" w:themeColor="text1"/>
          <w:lang w:val="es-ES_tradnl"/>
        </w:rPr>
        <w:t xml:space="preserve">SECOP II </w:t>
      </w:r>
      <w:r w:rsidRPr="001670AD">
        <w:rPr>
          <w:rFonts w:ascii="Arial" w:eastAsia="Calibri" w:hAnsi="Arial" w:cs="Arial"/>
          <w:b/>
          <w:color w:val="000000" w:themeColor="text1"/>
          <w:lang w:val="es-ES_tradnl"/>
        </w:rPr>
        <w:t>–</w:t>
      </w:r>
      <w:r w:rsidRPr="001670AD">
        <w:rPr>
          <w:rFonts w:ascii="Arial" w:hAnsi="Arial" w:cs="Arial"/>
          <w:b/>
          <w:bCs/>
          <w:iCs/>
          <w:color w:val="000000" w:themeColor="text1"/>
          <w:lang w:val="es-ES_tradnl"/>
        </w:rPr>
        <w:t xml:space="preserve"> Deber de publicidad </w:t>
      </w:r>
      <w:r w:rsidRPr="001670AD">
        <w:rPr>
          <w:rFonts w:ascii="Arial" w:eastAsia="Calibri" w:hAnsi="Arial" w:cs="Arial"/>
          <w:b/>
          <w:color w:val="000000" w:themeColor="text1"/>
          <w:lang w:val="es-ES_tradnl"/>
        </w:rPr>
        <w:t>–</w:t>
      </w:r>
      <w:r w:rsidRPr="001670AD">
        <w:rPr>
          <w:rFonts w:ascii="Arial" w:hAnsi="Arial" w:cs="Arial"/>
          <w:b/>
          <w:bCs/>
          <w:iCs/>
          <w:color w:val="000000" w:themeColor="text1"/>
          <w:lang w:val="es-ES_tradnl"/>
        </w:rPr>
        <w:t xml:space="preserve"> Entidades Estatales exceptuadas del Estatuto General de Contratación de la Administración Pública – Modificación artículo 53 de la Ley 2195 de 2022</w:t>
      </w:r>
    </w:p>
    <w:p w14:paraId="2FAF0810" w14:textId="77777777" w:rsidR="00456D00" w:rsidRPr="001670AD" w:rsidRDefault="00456D00" w:rsidP="00456D00">
      <w:pPr>
        <w:spacing w:after="0" w:line="240" w:lineRule="auto"/>
        <w:contextualSpacing/>
        <w:jc w:val="both"/>
        <w:rPr>
          <w:rFonts w:ascii="Arial" w:hAnsi="Arial" w:cs="Arial"/>
          <w:b/>
          <w:bCs/>
          <w:iCs/>
          <w:color w:val="000000" w:themeColor="text1"/>
          <w:sz w:val="20"/>
          <w:szCs w:val="20"/>
          <w:lang w:val="es-ES_tradnl"/>
        </w:rPr>
      </w:pPr>
    </w:p>
    <w:p w14:paraId="68D516F1" w14:textId="10128E11" w:rsidR="00456D00" w:rsidRPr="001670AD" w:rsidRDefault="001D7791" w:rsidP="00456D00">
      <w:pPr>
        <w:spacing w:after="0" w:line="240" w:lineRule="auto"/>
        <w:contextualSpacing/>
        <w:jc w:val="both"/>
        <w:rPr>
          <w:rFonts w:ascii="Arial" w:hAnsi="Arial" w:cs="Arial"/>
          <w:color w:val="000000" w:themeColor="text1"/>
          <w:sz w:val="20"/>
          <w:szCs w:val="20"/>
        </w:rPr>
      </w:pPr>
      <w:r w:rsidRPr="001670AD">
        <w:rPr>
          <w:rFonts w:ascii="Arial" w:hAnsi="Arial" w:cs="Arial"/>
          <w:color w:val="000000" w:themeColor="text1"/>
          <w:sz w:val="20"/>
          <w:szCs w:val="20"/>
        </w:rPr>
        <w:t>La Ley 2195 de 2022, por medio de la cual se adoptan medidas en materia de transparencia, prevención y lucha contra la corrupción, dispone en su artículo 1, que esta Ley «[…] 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 el artículo 53, 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w:t>
      </w:r>
      <w:r w:rsidR="00456D00" w:rsidRPr="001670AD">
        <w:rPr>
          <w:rFonts w:ascii="Arial" w:hAnsi="Arial" w:cs="Arial"/>
          <w:color w:val="000000" w:themeColor="text1"/>
          <w:sz w:val="20"/>
          <w:szCs w:val="20"/>
        </w:rPr>
        <w:t xml:space="preserve">. </w:t>
      </w:r>
    </w:p>
    <w:p w14:paraId="51DE002E" w14:textId="77777777" w:rsidR="00456D00" w:rsidRPr="001670AD" w:rsidRDefault="00456D00" w:rsidP="00456D00">
      <w:pPr>
        <w:spacing w:after="0" w:line="240" w:lineRule="auto"/>
        <w:contextualSpacing/>
        <w:jc w:val="both"/>
        <w:rPr>
          <w:rFonts w:ascii="Arial" w:hAnsi="Arial" w:cs="Arial"/>
          <w:b/>
          <w:bCs/>
          <w:iCs/>
          <w:color w:val="000000" w:themeColor="text1"/>
          <w:sz w:val="20"/>
          <w:szCs w:val="20"/>
          <w:lang w:val="es-ES_tradnl"/>
        </w:rPr>
      </w:pPr>
    </w:p>
    <w:p w14:paraId="4CB9BC60" w14:textId="77777777" w:rsidR="00456D00" w:rsidRPr="001670AD" w:rsidRDefault="00456D00" w:rsidP="00456D00">
      <w:pPr>
        <w:spacing w:after="0" w:line="240" w:lineRule="auto"/>
        <w:contextualSpacing/>
        <w:jc w:val="both"/>
        <w:rPr>
          <w:rFonts w:ascii="Arial" w:eastAsia="Calibri" w:hAnsi="Arial" w:cs="Arial"/>
          <w:b/>
          <w:color w:val="000000" w:themeColor="text1"/>
          <w:lang w:val="es-ES_tradnl"/>
        </w:rPr>
      </w:pPr>
      <w:r w:rsidRPr="001670AD">
        <w:rPr>
          <w:rFonts w:ascii="Arial" w:eastAsia="Calibri" w:hAnsi="Arial" w:cs="Arial"/>
          <w:b/>
          <w:color w:val="000000" w:themeColor="text1"/>
          <w:lang w:val="es-ES_tradnl"/>
        </w:rPr>
        <w:t>SECOP II –</w:t>
      </w:r>
      <w:r w:rsidRPr="001670AD">
        <w:rPr>
          <w:rFonts w:ascii="Arial" w:hAnsi="Arial" w:cs="Arial"/>
          <w:b/>
          <w:bCs/>
          <w:iCs/>
          <w:color w:val="000000" w:themeColor="text1"/>
          <w:lang w:val="es-ES_tradnl"/>
        </w:rPr>
        <w:t xml:space="preserve"> Deber de publicidad </w:t>
      </w:r>
      <w:r w:rsidRPr="001670AD">
        <w:rPr>
          <w:rFonts w:ascii="Arial" w:eastAsia="Calibri" w:hAnsi="Arial" w:cs="Arial"/>
          <w:b/>
          <w:color w:val="000000" w:themeColor="text1"/>
          <w:lang w:val="es-ES_tradnl"/>
        </w:rPr>
        <w:t>–</w:t>
      </w:r>
      <w:r w:rsidRPr="001670AD">
        <w:rPr>
          <w:rFonts w:ascii="Arial" w:hAnsi="Arial" w:cs="Arial"/>
          <w:b/>
          <w:bCs/>
          <w:iCs/>
          <w:color w:val="000000" w:themeColor="text1"/>
          <w:lang w:val="es-ES_tradnl"/>
        </w:rPr>
        <w:t xml:space="preserve"> Entidades Estatales exceptuadas </w:t>
      </w:r>
      <w:r w:rsidRPr="001670AD">
        <w:rPr>
          <w:rFonts w:ascii="Arial" w:eastAsia="Calibri" w:hAnsi="Arial" w:cs="Arial"/>
          <w:b/>
          <w:color w:val="000000" w:themeColor="text1"/>
          <w:lang w:val="es-ES_tradnl"/>
        </w:rPr>
        <w:t>–</w:t>
      </w:r>
      <w:r w:rsidRPr="001670AD">
        <w:rPr>
          <w:rFonts w:ascii="Arial" w:hAnsi="Arial" w:cs="Arial"/>
          <w:b/>
          <w:bCs/>
          <w:iCs/>
          <w:color w:val="000000" w:themeColor="text1"/>
          <w:lang w:val="es-ES_tradnl"/>
        </w:rPr>
        <w:t xml:space="preserve"> </w:t>
      </w:r>
      <w:r w:rsidRPr="001670AD">
        <w:rPr>
          <w:rFonts w:ascii="Arial" w:eastAsia="Calibri" w:hAnsi="Arial" w:cs="Arial"/>
          <w:b/>
          <w:color w:val="000000" w:themeColor="text1"/>
          <w:lang w:val="es-ES_tradnl"/>
        </w:rPr>
        <w:t xml:space="preserve">Documentos relacionados con la actividad contractual  </w:t>
      </w:r>
    </w:p>
    <w:p w14:paraId="0C7C9CA6" w14:textId="77777777" w:rsidR="00456D00" w:rsidRPr="001670AD" w:rsidRDefault="00456D00" w:rsidP="00456D00">
      <w:pPr>
        <w:spacing w:after="0" w:line="240" w:lineRule="auto"/>
        <w:contextualSpacing/>
        <w:jc w:val="both"/>
        <w:rPr>
          <w:rFonts w:ascii="Arial" w:eastAsia="Calibri" w:hAnsi="Arial" w:cs="Arial"/>
          <w:b/>
          <w:color w:val="000000" w:themeColor="text1"/>
          <w:sz w:val="20"/>
          <w:szCs w:val="20"/>
          <w:lang w:val="es-ES_tradnl"/>
        </w:rPr>
      </w:pPr>
    </w:p>
    <w:p w14:paraId="239243C1" w14:textId="38D270C5" w:rsidR="00456D00" w:rsidRPr="001670AD" w:rsidRDefault="00944634" w:rsidP="00456D00">
      <w:pPr>
        <w:spacing w:after="0" w:line="240" w:lineRule="auto"/>
        <w:contextualSpacing/>
        <w:jc w:val="both"/>
        <w:rPr>
          <w:rFonts w:ascii="Arial" w:hAnsi="Arial" w:cs="Arial"/>
          <w:color w:val="000000" w:themeColor="text1"/>
          <w:sz w:val="20"/>
          <w:szCs w:val="20"/>
        </w:rPr>
      </w:pPr>
      <w:r w:rsidRPr="001670AD">
        <w:rPr>
          <w:rFonts w:ascii="Arial" w:hAnsi="Arial" w:cs="Arial"/>
          <w:color w:val="000000" w:themeColor="text1"/>
          <w:sz w:val="20"/>
          <w:szCs w:val="20"/>
        </w:rPr>
        <w:t>En cuanto a los documentos que deben ser publicados en el SECOP II a efectos de dar cumplimiento al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postcontractual». En ese sentido, el artículo 53 de la Ley 2195 de 2022 establece el deber de publicar toda aquella información relacionada con el respectivo contrato, sin incluir ninguna excepción relacionada con la naturaleza u objeto contractual, por lo que no puede colegirse que los procesos de contratación relacionados con asuntos «no misionales» estén per se excluidos del deber de publicidad</w:t>
      </w:r>
      <w:r w:rsidR="00456D00" w:rsidRPr="001670AD">
        <w:rPr>
          <w:rFonts w:ascii="Arial" w:hAnsi="Arial" w:cs="Arial"/>
          <w:color w:val="000000" w:themeColor="text1"/>
          <w:sz w:val="20"/>
          <w:szCs w:val="20"/>
        </w:rPr>
        <w:t xml:space="preserve">. </w:t>
      </w:r>
    </w:p>
    <w:p w14:paraId="3D3E0679" w14:textId="77777777" w:rsidR="00456D00" w:rsidRPr="001670AD" w:rsidRDefault="00456D00" w:rsidP="00456D00">
      <w:pPr>
        <w:spacing w:after="0" w:line="240" w:lineRule="auto"/>
        <w:contextualSpacing/>
        <w:jc w:val="both"/>
        <w:rPr>
          <w:rFonts w:ascii="Arial" w:hAnsi="Arial" w:cs="Arial"/>
          <w:color w:val="000000" w:themeColor="text1"/>
          <w:sz w:val="20"/>
          <w:szCs w:val="20"/>
        </w:rPr>
      </w:pPr>
    </w:p>
    <w:p w14:paraId="0F8B351D" w14:textId="77777777" w:rsidR="00456D00" w:rsidRPr="001670AD" w:rsidRDefault="00456D00" w:rsidP="00456D00">
      <w:pPr>
        <w:spacing w:after="0" w:line="240" w:lineRule="auto"/>
        <w:contextualSpacing/>
        <w:jc w:val="both"/>
        <w:rPr>
          <w:rFonts w:ascii="Arial" w:eastAsia="Calibri" w:hAnsi="Arial" w:cs="Arial"/>
          <w:b/>
          <w:color w:val="000000" w:themeColor="text1"/>
          <w:lang w:val="es-ES_tradnl"/>
        </w:rPr>
      </w:pPr>
      <w:r w:rsidRPr="001670AD">
        <w:rPr>
          <w:rFonts w:ascii="Arial" w:eastAsia="Calibri" w:hAnsi="Arial" w:cs="Arial"/>
          <w:b/>
          <w:color w:val="000000" w:themeColor="text1"/>
          <w:lang w:val="es-ES_tradnl"/>
        </w:rPr>
        <w:t>SECOP II –</w:t>
      </w:r>
      <w:r w:rsidRPr="001670AD">
        <w:rPr>
          <w:rFonts w:ascii="Arial" w:hAnsi="Arial" w:cs="Arial"/>
          <w:b/>
          <w:bCs/>
          <w:iCs/>
          <w:color w:val="000000" w:themeColor="text1"/>
          <w:lang w:val="es-ES_tradnl"/>
        </w:rPr>
        <w:t xml:space="preserve"> Deber de publicidad </w:t>
      </w:r>
      <w:r w:rsidRPr="001670AD">
        <w:rPr>
          <w:rFonts w:ascii="Arial" w:eastAsia="Calibri" w:hAnsi="Arial" w:cs="Arial"/>
          <w:b/>
          <w:color w:val="000000" w:themeColor="text1"/>
          <w:lang w:val="es-ES_tradnl"/>
        </w:rPr>
        <w:t>–</w:t>
      </w:r>
      <w:r w:rsidRPr="001670AD">
        <w:rPr>
          <w:rFonts w:ascii="Arial" w:hAnsi="Arial" w:cs="Arial"/>
          <w:b/>
          <w:bCs/>
          <w:iCs/>
          <w:color w:val="000000" w:themeColor="text1"/>
          <w:lang w:val="es-ES_tradnl"/>
        </w:rPr>
        <w:t xml:space="preserve"> Entidades Estatales exceptuadas </w:t>
      </w:r>
      <w:r w:rsidRPr="001670AD">
        <w:rPr>
          <w:rFonts w:ascii="Arial" w:eastAsia="Calibri" w:hAnsi="Arial" w:cs="Arial"/>
          <w:b/>
          <w:color w:val="000000" w:themeColor="text1"/>
          <w:lang w:val="es-ES_tradnl"/>
        </w:rPr>
        <w:t>–</w:t>
      </w:r>
      <w:r w:rsidRPr="001670AD">
        <w:rPr>
          <w:rFonts w:ascii="Arial" w:hAnsi="Arial" w:cs="Arial"/>
          <w:b/>
          <w:bCs/>
          <w:iCs/>
          <w:color w:val="000000" w:themeColor="text1"/>
          <w:lang w:val="es-ES_tradnl"/>
        </w:rPr>
        <w:t xml:space="preserve"> </w:t>
      </w:r>
      <w:r w:rsidRPr="001670AD">
        <w:rPr>
          <w:rFonts w:ascii="Arial" w:eastAsia="Calibri" w:hAnsi="Arial" w:cs="Arial"/>
          <w:b/>
          <w:color w:val="000000" w:themeColor="text1"/>
          <w:lang w:val="es-ES_tradnl"/>
        </w:rPr>
        <w:t xml:space="preserve">Vigencia   </w:t>
      </w:r>
    </w:p>
    <w:p w14:paraId="6A815540" w14:textId="77777777" w:rsidR="00456D00" w:rsidRPr="001670AD" w:rsidRDefault="00456D00" w:rsidP="00456D00">
      <w:pPr>
        <w:spacing w:after="0" w:line="240" w:lineRule="auto"/>
        <w:contextualSpacing/>
        <w:jc w:val="both"/>
        <w:rPr>
          <w:rFonts w:ascii="Arial" w:eastAsia="Calibri" w:hAnsi="Arial" w:cs="Arial"/>
          <w:color w:val="000000" w:themeColor="text1"/>
          <w:sz w:val="20"/>
          <w:szCs w:val="20"/>
          <w:lang w:val="es-ES_tradnl"/>
        </w:rPr>
      </w:pPr>
    </w:p>
    <w:p w14:paraId="7EB06F88" w14:textId="4353CC89" w:rsidR="00456D00" w:rsidRPr="001670AD" w:rsidRDefault="00944634" w:rsidP="00456D00">
      <w:pPr>
        <w:spacing w:after="0" w:line="240" w:lineRule="auto"/>
        <w:contextualSpacing/>
        <w:jc w:val="both"/>
        <w:rPr>
          <w:rFonts w:ascii="Arial" w:eastAsia="Calibri" w:hAnsi="Arial" w:cs="Arial"/>
          <w:color w:val="000000" w:themeColor="text1"/>
          <w:sz w:val="20"/>
          <w:szCs w:val="20"/>
          <w:lang w:val="es-ES_tradnl"/>
        </w:rPr>
      </w:pPr>
      <w:r w:rsidRPr="001670AD">
        <w:rPr>
          <w:rFonts w:ascii="Arial" w:hAnsi="Arial" w:cs="Arial"/>
          <w:color w:val="000000" w:themeColor="text1"/>
          <w:sz w:val="20"/>
          <w:szCs w:val="20"/>
        </w:rPr>
        <w:t>Finalmente, el inciso final del artículo 53 dispone que «A partir de la entrada en vigencia de la presente Ley, se establecerá un periodo de transición de seis (6) meses, para que las entidades den cumplimiento efectivo a lo aquí establecido». Es decir, que se trataba un período concedido por el Legislador a las entidades con régimen especial de contratación para adelantar las gestiones administrativas, técnicas y jurídicas pertinentes, a fin de cumplir lo establecido en el artículo citado. Este período de transición estaba comprendido entre el 18 de enero y el 18 de julio de 2022</w:t>
      </w:r>
      <w:r w:rsidR="00456D00" w:rsidRPr="001670AD">
        <w:rPr>
          <w:rFonts w:ascii="Arial" w:eastAsia="Calibri" w:hAnsi="Arial" w:cs="Arial"/>
          <w:color w:val="000000" w:themeColor="text1"/>
          <w:sz w:val="20"/>
          <w:szCs w:val="20"/>
          <w:lang w:val="es-ES_tradnl"/>
        </w:rPr>
        <w:t>.</w:t>
      </w:r>
    </w:p>
    <w:p w14:paraId="51B3BB34" w14:textId="0E5D7B30" w:rsidR="00456D00" w:rsidRPr="001670AD" w:rsidRDefault="00456D00" w:rsidP="00456D00">
      <w:pPr>
        <w:spacing w:after="0" w:line="240" w:lineRule="auto"/>
        <w:contextualSpacing/>
        <w:jc w:val="both"/>
        <w:rPr>
          <w:rFonts w:ascii="Arial" w:eastAsia="Calibri" w:hAnsi="Arial" w:cs="Arial"/>
          <w:b/>
          <w:color w:val="000000" w:themeColor="text1"/>
          <w:sz w:val="20"/>
          <w:szCs w:val="20"/>
          <w:lang w:val="es-ES_tradnl"/>
        </w:rPr>
      </w:pPr>
    </w:p>
    <w:p w14:paraId="334BA3B9" w14:textId="0BE5520C" w:rsidR="00844F83" w:rsidRPr="001670AD" w:rsidRDefault="00002991" w:rsidP="00456D00">
      <w:pPr>
        <w:spacing w:after="0" w:line="240" w:lineRule="auto"/>
        <w:contextualSpacing/>
        <w:jc w:val="both"/>
        <w:rPr>
          <w:rFonts w:ascii="Arial" w:eastAsia="Calibri" w:hAnsi="Arial" w:cs="Arial"/>
          <w:b/>
          <w:color w:val="000000" w:themeColor="text1"/>
          <w:lang w:val="es-ES_tradnl"/>
        </w:rPr>
      </w:pPr>
      <w:r>
        <w:rPr>
          <w:rFonts w:ascii="Arial" w:eastAsia="Calibri" w:hAnsi="Arial" w:cs="Arial"/>
          <w:b/>
          <w:color w:val="000000" w:themeColor="text1"/>
          <w:lang w:val="es-ES_tradnl"/>
        </w:rPr>
        <w:t xml:space="preserve">FILIAL DE EMPRESAS INDUSTRIALES Y COMERCIALES DEL ESTADO </w:t>
      </w:r>
      <w:r w:rsidR="00844F83" w:rsidRPr="001670AD">
        <w:rPr>
          <w:rFonts w:ascii="Arial" w:eastAsia="Calibri" w:hAnsi="Arial" w:cs="Arial"/>
          <w:b/>
          <w:color w:val="000000" w:themeColor="text1"/>
          <w:lang w:val="es-ES_tradnl"/>
        </w:rPr>
        <w:t>– uso del SECOP II.</w:t>
      </w:r>
    </w:p>
    <w:p w14:paraId="0034DF0C" w14:textId="77777777" w:rsidR="00844F83" w:rsidRPr="001670AD" w:rsidRDefault="00844F83" w:rsidP="00456D00">
      <w:pPr>
        <w:spacing w:after="0" w:line="240" w:lineRule="auto"/>
        <w:contextualSpacing/>
        <w:jc w:val="both"/>
        <w:rPr>
          <w:rFonts w:ascii="Arial" w:eastAsia="Calibri" w:hAnsi="Arial" w:cs="Arial"/>
          <w:b/>
          <w:color w:val="000000" w:themeColor="text1"/>
          <w:lang w:val="es-ES_tradnl"/>
        </w:rPr>
      </w:pPr>
    </w:p>
    <w:p w14:paraId="4C945259" w14:textId="04F665A7" w:rsidR="00002991" w:rsidRDefault="00002991" w:rsidP="00002991">
      <w:pPr>
        <w:spacing w:after="0" w:line="240" w:lineRule="auto"/>
        <w:contextualSpacing/>
        <w:jc w:val="both"/>
        <w:rPr>
          <w:rFonts w:ascii="Arial" w:eastAsia="Calibri" w:hAnsi="Arial" w:cs="Arial"/>
          <w:bCs/>
          <w:color w:val="000000" w:themeColor="text1"/>
          <w:sz w:val="20"/>
          <w:szCs w:val="20"/>
          <w:lang w:val="es-ES_tradnl"/>
        </w:rPr>
      </w:pPr>
      <w:r>
        <w:rPr>
          <w:rFonts w:ascii="Arial" w:eastAsia="Calibri" w:hAnsi="Arial" w:cs="Arial"/>
          <w:bCs/>
          <w:color w:val="000000" w:themeColor="text1"/>
          <w:sz w:val="20"/>
          <w:szCs w:val="20"/>
          <w:lang w:val="es-ES_tradnl"/>
        </w:rPr>
        <w:t>L</w:t>
      </w:r>
      <w:r w:rsidRPr="00002991">
        <w:rPr>
          <w:rFonts w:ascii="Arial" w:eastAsia="Calibri" w:hAnsi="Arial" w:cs="Arial"/>
          <w:bCs/>
          <w:color w:val="000000" w:themeColor="text1"/>
          <w:sz w:val="20"/>
          <w:szCs w:val="20"/>
          <w:lang w:val="es-ES_tradnl"/>
        </w:rPr>
        <w:t xml:space="preserve">as filiales de empresas industriales y comerciales del estado, independientemente de que el régimen contractual que les aplica sea el derecho privado, deben publicar su actividad en el SECOP II o la plataforma transaccional que haga sus veces, de acuerdo con lo establecido en el artículo 53 de la Ley 2195 de 2022. La disposición citada no consagra ninguna excepción respecto a su aplicación, por lo cual todas las entidades que no se encuentran sometidas al Estatuto General de Contratación de la Administración Pública deberán cumplir con el deber de publicación analizado en el presente concepto, sin que sea posible modular sus efectos.   </w:t>
      </w:r>
    </w:p>
    <w:p w14:paraId="7BA669F1" w14:textId="77777777" w:rsidR="00002991" w:rsidRPr="00002991" w:rsidRDefault="00002991" w:rsidP="00002991">
      <w:pPr>
        <w:spacing w:after="0" w:line="240" w:lineRule="auto"/>
        <w:contextualSpacing/>
        <w:jc w:val="both"/>
        <w:rPr>
          <w:rFonts w:ascii="Arial" w:eastAsia="Calibri" w:hAnsi="Arial" w:cs="Arial"/>
          <w:bCs/>
          <w:color w:val="000000" w:themeColor="text1"/>
          <w:sz w:val="20"/>
          <w:szCs w:val="20"/>
          <w:lang w:val="es-ES_tradnl"/>
        </w:rPr>
      </w:pPr>
    </w:p>
    <w:p w14:paraId="4DE099A6" w14:textId="712802C9" w:rsidR="003A51B9" w:rsidRPr="001670AD" w:rsidRDefault="00002991" w:rsidP="00002991">
      <w:pPr>
        <w:spacing w:after="0" w:line="240" w:lineRule="auto"/>
        <w:contextualSpacing/>
        <w:jc w:val="both"/>
        <w:rPr>
          <w:rFonts w:ascii="Arial" w:eastAsia="Calibri" w:hAnsi="Arial" w:cs="Arial"/>
          <w:b/>
          <w:color w:val="000000" w:themeColor="text1"/>
          <w:lang w:val="es-ES_tradnl"/>
        </w:rPr>
      </w:pPr>
      <w:r w:rsidRPr="00002991">
        <w:rPr>
          <w:rFonts w:ascii="Arial" w:eastAsia="Calibri" w:hAnsi="Arial" w:cs="Arial"/>
          <w:bCs/>
          <w:color w:val="000000" w:themeColor="text1"/>
          <w:sz w:val="20"/>
          <w:szCs w:val="20"/>
          <w:lang w:val="es-ES_tradnl"/>
        </w:rPr>
        <w:t>La anterior conclusión se refuerza si se tiene en cuenta que, de conformidad con el literal e) del artículo 9 y el literal g) del artículo 11 de la Ley 1712 de 2014, desarrollados en el artículo 7 del Decreto 103 de 2015 –compilado en el artículo 2.1.1.2.1.7. del Decreto 1081 de 2015–, las entidades estatales –incluidas las que se rigen generalmente por el derecho privado en materia contractual–, al ser sujetos obligados a garantizar el derecho de acceso a la información y a los documentos públicos, deben publicar en el SECOP los documentos relacionados con su gestión contractual.</w:t>
      </w:r>
    </w:p>
    <w:p w14:paraId="2D6E1E99" w14:textId="7498AE2B" w:rsidR="003A51B9" w:rsidRPr="001670AD" w:rsidRDefault="003A51B9" w:rsidP="00456D00">
      <w:pPr>
        <w:spacing w:after="0" w:line="240" w:lineRule="auto"/>
        <w:contextualSpacing/>
        <w:jc w:val="both"/>
        <w:rPr>
          <w:rFonts w:ascii="Arial" w:eastAsia="Calibri" w:hAnsi="Arial" w:cs="Arial"/>
          <w:b/>
          <w:color w:val="000000" w:themeColor="text1"/>
          <w:lang w:val="es-ES_tradnl"/>
        </w:rPr>
      </w:pPr>
    </w:p>
    <w:p w14:paraId="205E989D" w14:textId="6FCE3407" w:rsidR="003A51B9" w:rsidRPr="001670AD" w:rsidRDefault="003A51B9" w:rsidP="00456D00">
      <w:pPr>
        <w:spacing w:after="0" w:line="240" w:lineRule="auto"/>
        <w:contextualSpacing/>
        <w:jc w:val="both"/>
        <w:rPr>
          <w:rFonts w:ascii="Arial" w:eastAsia="Calibri" w:hAnsi="Arial" w:cs="Arial"/>
          <w:b/>
          <w:color w:val="000000" w:themeColor="text1"/>
          <w:lang w:val="es-ES_tradnl"/>
        </w:rPr>
      </w:pPr>
    </w:p>
    <w:p w14:paraId="54AEF20E" w14:textId="5688EEE8" w:rsidR="003A51B9" w:rsidRPr="001670AD" w:rsidRDefault="003A51B9" w:rsidP="00456D00">
      <w:pPr>
        <w:spacing w:after="0" w:line="240" w:lineRule="auto"/>
        <w:contextualSpacing/>
        <w:jc w:val="both"/>
        <w:rPr>
          <w:rFonts w:ascii="Arial" w:eastAsia="Calibri" w:hAnsi="Arial" w:cs="Arial"/>
          <w:b/>
          <w:color w:val="000000" w:themeColor="text1"/>
          <w:lang w:val="es-ES_tradnl"/>
        </w:rPr>
      </w:pPr>
    </w:p>
    <w:p w14:paraId="5E4222BB" w14:textId="2A3B41B7" w:rsidR="003A51B9" w:rsidRPr="001670AD" w:rsidRDefault="003A51B9" w:rsidP="00456D00">
      <w:pPr>
        <w:spacing w:after="0" w:line="240" w:lineRule="auto"/>
        <w:contextualSpacing/>
        <w:jc w:val="both"/>
        <w:rPr>
          <w:rFonts w:ascii="Arial" w:eastAsia="Calibri" w:hAnsi="Arial" w:cs="Arial"/>
          <w:b/>
          <w:color w:val="000000" w:themeColor="text1"/>
          <w:lang w:val="es-ES_tradnl"/>
        </w:rPr>
      </w:pPr>
    </w:p>
    <w:p w14:paraId="3E54E4E5" w14:textId="44715FD4" w:rsidR="003A51B9" w:rsidRPr="001670AD" w:rsidRDefault="003A51B9" w:rsidP="00456D00">
      <w:pPr>
        <w:spacing w:after="0" w:line="240" w:lineRule="auto"/>
        <w:contextualSpacing/>
        <w:jc w:val="both"/>
        <w:rPr>
          <w:rFonts w:ascii="Arial" w:eastAsia="Calibri" w:hAnsi="Arial" w:cs="Arial"/>
          <w:b/>
          <w:color w:val="000000" w:themeColor="text1"/>
          <w:lang w:val="es-ES_tradnl"/>
        </w:rPr>
      </w:pPr>
    </w:p>
    <w:p w14:paraId="4C7625C0" w14:textId="6B931981" w:rsidR="003A51B9" w:rsidRPr="001670AD" w:rsidRDefault="003A51B9" w:rsidP="00456D00">
      <w:pPr>
        <w:spacing w:after="0" w:line="240" w:lineRule="auto"/>
        <w:contextualSpacing/>
        <w:jc w:val="both"/>
        <w:rPr>
          <w:rFonts w:ascii="Arial" w:eastAsia="Calibri" w:hAnsi="Arial" w:cs="Arial"/>
          <w:b/>
          <w:color w:val="000000" w:themeColor="text1"/>
          <w:lang w:val="es-ES_tradnl"/>
        </w:rPr>
      </w:pPr>
    </w:p>
    <w:p w14:paraId="05465324" w14:textId="4FF7A7C9" w:rsidR="003A51B9" w:rsidRPr="001670AD" w:rsidRDefault="003A51B9" w:rsidP="00456D00">
      <w:pPr>
        <w:spacing w:after="0" w:line="240" w:lineRule="auto"/>
        <w:contextualSpacing/>
        <w:jc w:val="both"/>
        <w:rPr>
          <w:rFonts w:ascii="Arial" w:eastAsia="Calibri" w:hAnsi="Arial" w:cs="Arial"/>
          <w:b/>
          <w:color w:val="000000" w:themeColor="text1"/>
          <w:lang w:val="es-ES_tradnl"/>
        </w:rPr>
      </w:pPr>
    </w:p>
    <w:p w14:paraId="6AECBB9C" w14:textId="16E6379A" w:rsidR="003A51B9" w:rsidRPr="001670AD" w:rsidRDefault="003A51B9" w:rsidP="00456D00">
      <w:pPr>
        <w:spacing w:after="0" w:line="240" w:lineRule="auto"/>
        <w:contextualSpacing/>
        <w:jc w:val="both"/>
        <w:rPr>
          <w:rFonts w:ascii="Arial" w:eastAsia="Calibri" w:hAnsi="Arial" w:cs="Arial"/>
          <w:b/>
          <w:color w:val="000000" w:themeColor="text1"/>
          <w:lang w:val="es-ES_tradnl"/>
        </w:rPr>
      </w:pPr>
    </w:p>
    <w:p w14:paraId="18EFC007" w14:textId="40A67F0C" w:rsidR="003A51B9" w:rsidRPr="001670AD" w:rsidRDefault="003A51B9" w:rsidP="00456D00">
      <w:pPr>
        <w:spacing w:after="0" w:line="240" w:lineRule="auto"/>
        <w:contextualSpacing/>
        <w:jc w:val="both"/>
        <w:rPr>
          <w:rFonts w:ascii="Arial" w:eastAsia="Calibri" w:hAnsi="Arial" w:cs="Arial"/>
          <w:b/>
          <w:color w:val="000000" w:themeColor="text1"/>
          <w:lang w:val="es-ES_tradnl"/>
        </w:rPr>
      </w:pPr>
    </w:p>
    <w:p w14:paraId="4E64B32B" w14:textId="083A613A" w:rsidR="003A51B9" w:rsidRPr="001670AD" w:rsidRDefault="003A51B9" w:rsidP="00456D00">
      <w:pPr>
        <w:spacing w:after="0" w:line="240" w:lineRule="auto"/>
        <w:contextualSpacing/>
        <w:jc w:val="both"/>
        <w:rPr>
          <w:rFonts w:ascii="Arial" w:eastAsia="Calibri" w:hAnsi="Arial" w:cs="Arial"/>
          <w:b/>
          <w:color w:val="000000" w:themeColor="text1"/>
          <w:lang w:val="es-ES_tradnl"/>
        </w:rPr>
      </w:pPr>
    </w:p>
    <w:p w14:paraId="42B09110" w14:textId="603F1F1D" w:rsidR="003A51B9" w:rsidRPr="001670AD" w:rsidRDefault="003A51B9" w:rsidP="00456D00">
      <w:pPr>
        <w:spacing w:after="0" w:line="240" w:lineRule="auto"/>
        <w:contextualSpacing/>
        <w:jc w:val="both"/>
        <w:rPr>
          <w:rFonts w:ascii="Arial" w:eastAsia="Calibri" w:hAnsi="Arial" w:cs="Arial"/>
          <w:b/>
          <w:color w:val="000000" w:themeColor="text1"/>
          <w:lang w:val="es-ES_tradnl"/>
        </w:rPr>
      </w:pPr>
    </w:p>
    <w:p w14:paraId="709987F4" w14:textId="57F3F3DC" w:rsidR="003A51B9" w:rsidRPr="001670AD" w:rsidRDefault="003A51B9" w:rsidP="00456D00">
      <w:pPr>
        <w:spacing w:after="0" w:line="240" w:lineRule="auto"/>
        <w:contextualSpacing/>
        <w:jc w:val="both"/>
        <w:rPr>
          <w:rFonts w:ascii="Arial" w:eastAsia="Calibri" w:hAnsi="Arial" w:cs="Arial"/>
          <w:b/>
          <w:color w:val="000000" w:themeColor="text1"/>
          <w:lang w:val="es-ES_tradnl"/>
        </w:rPr>
      </w:pPr>
    </w:p>
    <w:p w14:paraId="44DF164A" w14:textId="69279055" w:rsidR="003A51B9" w:rsidRPr="001670AD" w:rsidRDefault="003A51B9" w:rsidP="00456D00">
      <w:pPr>
        <w:spacing w:after="0" w:line="240" w:lineRule="auto"/>
        <w:contextualSpacing/>
        <w:jc w:val="both"/>
        <w:rPr>
          <w:rFonts w:ascii="Arial" w:eastAsia="Calibri" w:hAnsi="Arial" w:cs="Arial"/>
          <w:b/>
          <w:color w:val="000000" w:themeColor="text1"/>
          <w:lang w:val="es-ES_tradnl"/>
        </w:rPr>
      </w:pPr>
    </w:p>
    <w:p w14:paraId="2DD901FE" w14:textId="06B9144C" w:rsidR="003A51B9" w:rsidRPr="001670AD" w:rsidRDefault="003A51B9" w:rsidP="00456D00">
      <w:pPr>
        <w:spacing w:after="0" w:line="240" w:lineRule="auto"/>
        <w:contextualSpacing/>
        <w:jc w:val="both"/>
        <w:rPr>
          <w:rFonts w:ascii="Arial" w:eastAsia="Calibri" w:hAnsi="Arial" w:cs="Arial"/>
          <w:b/>
          <w:color w:val="000000" w:themeColor="text1"/>
          <w:lang w:val="es-ES_tradnl"/>
        </w:rPr>
      </w:pPr>
    </w:p>
    <w:p w14:paraId="054C6EF2" w14:textId="73175002" w:rsidR="003A51B9" w:rsidRPr="001670AD" w:rsidRDefault="003A51B9" w:rsidP="00456D00">
      <w:pPr>
        <w:spacing w:after="0" w:line="240" w:lineRule="auto"/>
        <w:contextualSpacing/>
        <w:jc w:val="both"/>
        <w:rPr>
          <w:rFonts w:ascii="Arial" w:eastAsia="Calibri" w:hAnsi="Arial" w:cs="Arial"/>
          <w:b/>
          <w:color w:val="000000" w:themeColor="text1"/>
          <w:lang w:val="es-ES_tradnl"/>
        </w:rPr>
      </w:pPr>
    </w:p>
    <w:p w14:paraId="6065556F" w14:textId="77777777" w:rsidR="003A51B9" w:rsidRPr="001670AD" w:rsidRDefault="003A51B9" w:rsidP="00456D00">
      <w:pPr>
        <w:spacing w:after="0" w:line="240" w:lineRule="auto"/>
        <w:contextualSpacing/>
        <w:jc w:val="both"/>
        <w:rPr>
          <w:rFonts w:ascii="Arial" w:eastAsia="Calibri" w:hAnsi="Arial" w:cs="Arial"/>
          <w:b/>
          <w:color w:val="000000" w:themeColor="text1"/>
          <w:lang w:val="es-ES_tradnl"/>
        </w:rPr>
      </w:pPr>
    </w:p>
    <w:bookmarkEnd w:id="0"/>
    <w:p w14:paraId="0B7812A6" w14:textId="4BD8EC5F" w:rsidR="00944634" w:rsidRDefault="00944634" w:rsidP="00FB17D4">
      <w:pPr>
        <w:spacing w:after="0" w:line="276" w:lineRule="auto"/>
        <w:jc w:val="both"/>
        <w:rPr>
          <w:rFonts w:ascii="Arial" w:eastAsia="Times New Roman" w:hAnsi="Arial" w:cs="Arial"/>
          <w:noProof/>
          <w:color w:val="000000" w:themeColor="text1"/>
          <w:szCs w:val="24"/>
          <w:lang w:eastAsia="es-ES_tradnl"/>
        </w:rPr>
      </w:pPr>
    </w:p>
    <w:p w14:paraId="5BF0C4B6" w14:textId="77777777" w:rsidR="000D1246" w:rsidRPr="001670AD" w:rsidRDefault="000D1246" w:rsidP="00FB17D4">
      <w:pPr>
        <w:spacing w:after="0" w:line="276" w:lineRule="auto"/>
        <w:jc w:val="both"/>
        <w:rPr>
          <w:rFonts w:ascii="Arial" w:eastAsia="Calibri" w:hAnsi="Arial" w:cs="Arial"/>
          <w:b/>
          <w:color w:val="000000" w:themeColor="text1"/>
          <w:szCs w:val="24"/>
          <w:lang w:val="es-ES_tradnl" w:eastAsia="es-ES_tradnl"/>
        </w:rPr>
      </w:pPr>
    </w:p>
    <w:p w14:paraId="37F0C8E7" w14:textId="13F39813" w:rsidR="00D43E0F" w:rsidRDefault="00D43E0F" w:rsidP="00456D00">
      <w:pPr>
        <w:jc w:val="right"/>
        <w:rPr>
          <w:rFonts w:ascii="Arial" w:eastAsia="Times New Roman" w:hAnsi="Arial" w:cs="Arial"/>
          <w:bCs/>
          <w:color w:val="000000" w:themeColor="text1"/>
          <w:sz w:val="16"/>
          <w:szCs w:val="16"/>
          <w:lang w:val="es-ES_tradnl" w:eastAsia="es-ES"/>
        </w:rPr>
      </w:pPr>
      <w:bookmarkStart w:id="1" w:name="_Hlk28946138"/>
      <w:bookmarkStart w:id="2" w:name="_Hlk29548183"/>
      <w:r w:rsidRPr="001670AD">
        <w:rPr>
          <w:rFonts w:ascii="Arial" w:eastAsia="Times New Roman" w:hAnsi="Arial" w:cs="Arial"/>
          <w:bCs/>
          <w:color w:val="000000" w:themeColor="text1"/>
          <w:sz w:val="16"/>
          <w:szCs w:val="16"/>
          <w:lang w:val="es-ES_tradnl" w:eastAsia="es-ES"/>
        </w:rPr>
        <w:t>CCE-DES-FM-17</w:t>
      </w:r>
      <w:bookmarkEnd w:id="1"/>
      <w:bookmarkEnd w:id="2"/>
    </w:p>
    <w:p w14:paraId="1E4CDF71" w14:textId="77777777" w:rsidR="000D1246" w:rsidRDefault="000D1246" w:rsidP="000D1246">
      <w:pPr>
        <w:jc w:val="both"/>
        <w:rPr>
          <w:rFonts w:ascii="œ„¯ò" w:hAnsi="œ„¯ò" w:cs="œ„¯ò"/>
          <w:color w:val="000000"/>
          <w:lang w:val="es-ES_tradnl"/>
        </w:rPr>
      </w:pPr>
    </w:p>
    <w:p w14:paraId="46792304" w14:textId="77777777" w:rsidR="000D1246" w:rsidRDefault="000D1246" w:rsidP="000D1246">
      <w:pPr>
        <w:jc w:val="both"/>
        <w:rPr>
          <w:rFonts w:ascii="œ„¯ò" w:hAnsi="œ„¯ò" w:cs="œ„¯ò"/>
          <w:color w:val="000000"/>
          <w:lang w:val="es-ES_tradnl"/>
        </w:rPr>
      </w:pPr>
    </w:p>
    <w:p w14:paraId="031DD59E" w14:textId="6D2D6725" w:rsidR="000D1246" w:rsidRPr="001670AD" w:rsidRDefault="000D1246" w:rsidP="000D1246">
      <w:pPr>
        <w:jc w:val="both"/>
        <w:rPr>
          <w:rFonts w:ascii="Arial" w:eastAsia="Calibri" w:hAnsi="Arial" w:cs="Arial"/>
          <w:b/>
          <w:color w:val="000000" w:themeColor="text1"/>
          <w:sz w:val="20"/>
          <w:szCs w:val="20"/>
          <w:lang w:val="es-ES_tradnl" w:eastAsia="es-ES_tradnl"/>
        </w:rPr>
      </w:pPr>
      <w:r>
        <w:rPr>
          <w:rFonts w:ascii="œ„¯ò" w:hAnsi="œ„¯ò" w:cs="œ„¯ò"/>
          <w:color w:val="000000"/>
          <w:lang w:val="es-ES_tradnl"/>
        </w:rPr>
        <w:t xml:space="preserve">Bogotá D.C., </w:t>
      </w:r>
      <w:r>
        <w:rPr>
          <w:rFonts w:ascii="œ„¯ò" w:hAnsi="œ„¯ò" w:cs="œ„¯ò"/>
          <w:color w:val="201F1E"/>
          <w:lang w:val="es-ES_tradnl"/>
        </w:rPr>
        <w:t xml:space="preserve">23 de noviembre de 2022                                   </w:t>
      </w:r>
      <w:r w:rsidRPr="000D1246">
        <w:rPr>
          <w:rFonts w:ascii="œ„¯ò" w:hAnsi="œ„¯ò" w:cs="œ„¯ò"/>
          <w:noProof/>
          <w:color w:val="201F1E"/>
          <w:lang w:val="es-ES_tradnl"/>
        </w:rPr>
        <w:drawing>
          <wp:inline distT="0" distB="0" distL="0" distR="0" wp14:anchorId="01DADCF3" wp14:editId="14D39341">
            <wp:extent cx="2498754" cy="864870"/>
            <wp:effectExtent l="0" t="0" r="317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11775" cy="869377"/>
                    </a:xfrm>
                    <a:prstGeom prst="rect">
                      <a:avLst/>
                    </a:prstGeom>
                  </pic:spPr>
                </pic:pic>
              </a:graphicData>
            </a:graphic>
          </wp:inline>
        </w:drawing>
      </w:r>
    </w:p>
    <w:p w14:paraId="3E839D93" w14:textId="06BE25C6" w:rsidR="00FB17D4" w:rsidRPr="001670AD" w:rsidRDefault="00634E7F" w:rsidP="006B19A4">
      <w:pPr>
        <w:spacing w:after="0" w:line="240" w:lineRule="auto"/>
        <w:contextualSpacing/>
        <w:jc w:val="both"/>
        <w:rPr>
          <w:rFonts w:ascii="Arial" w:eastAsia="Calibri" w:hAnsi="Arial" w:cs="Arial"/>
          <w:color w:val="000000" w:themeColor="text1"/>
          <w:szCs w:val="24"/>
          <w:lang w:val="es-ES_tradnl" w:eastAsia="es-ES_tradnl"/>
        </w:rPr>
      </w:pPr>
      <w:bookmarkStart w:id="3" w:name="_Hlk109055567"/>
      <w:r w:rsidRPr="001670AD">
        <w:rPr>
          <w:rFonts w:ascii="Arial" w:eastAsia="Calibri" w:hAnsi="Arial" w:cs="Arial"/>
          <w:color w:val="000000" w:themeColor="text1"/>
          <w:szCs w:val="24"/>
          <w:lang w:val="es-ES_tradnl" w:eastAsia="es-ES_tradnl"/>
        </w:rPr>
        <w:t>Señor</w:t>
      </w:r>
    </w:p>
    <w:p w14:paraId="31825D9B" w14:textId="136D3BA3" w:rsidR="00DA3914" w:rsidRPr="001670AD" w:rsidRDefault="00AB7B8A" w:rsidP="006B19A4">
      <w:pPr>
        <w:spacing w:after="0" w:line="240" w:lineRule="auto"/>
        <w:contextualSpacing/>
        <w:jc w:val="both"/>
        <w:rPr>
          <w:rFonts w:ascii="Arial" w:eastAsia="Calibri" w:hAnsi="Arial" w:cs="Arial"/>
          <w:b/>
          <w:color w:val="000000" w:themeColor="text1"/>
          <w:szCs w:val="24"/>
          <w:lang w:val="es-ES_tradnl" w:eastAsia="es-ES_tradnl"/>
        </w:rPr>
      </w:pPr>
      <w:r w:rsidRPr="001670AD">
        <w:rPr>
          <w:rFonts w:ascii="Arial" w:eastAsia="Calibri" w:hAnsi="Arial" w:cs="Arial"/>
          <w:b/>
          <w:color w:val="000000" w:themeColor="text1"/>
          <w:szCs w:val="24"/>
          <w:lang w:val="es-ES_tradnl" w:eastAsia="es-ES_tradnl"/>
        </w:rPr>
        <w:t>Mario Yepes del Portillo</w:t>
      </w:r>
    </w:p>
    <w:p w14:paraId="01A61085" w14:textId="60962910" w:rsidR="00AB7B8A" w:rsidRPr="001670AD" w:rsidRDefault="00AB7B8A" w:rsidP="006B19A4">
      <w:pPr>
        <w:spacing w:after="0" w:line="240" w:lineRule="auto"/>
        <w:contextualSpacing/>
        <w:jc w:val="both"/>
        <w:rPr>
          <w:rFonts w:ascii="Arial" w:eastAsia="Calibri" w:hAnsi="Arial" w:cs="Arial"/>
          <w:color w:val="000000" w:themeColor="text1"/>
          <w:szCs w:val="24"/>
          <w:lang w:val="es-ES_tradnl" w:eastAsia="es-ES_tradnl"/>
        </w:rPr>
      </w:pPr>
      <w:r w:rsidRPr="001670AD">
        <w:rPr>
          <w:rFonts w:ascii="Arial" w:eastAsia="Calibri" w:hAnsi="Arial" w:cs="Arial"/>
          <w:color w:val="000000" w:themeColor="text1"/>
          <w:szCs w:val="24"/>
          <w:lang w:val="es-ES_tradnl" w:eastAsia="es-ES_tradnl"/>
        </w:rPr>
        <w:t>Presidente</w:t>
      </w:r>
    </w:p>
    <w:p w14:paraId="7BB22E8A" w14:textId="19F248AA" w:rsidR="00AB7B8A" w:rsidRPr="001670AD" w:rsidRDefault="00AB7B8A" w:rsidP="006B19A4">
      <w:pPr>
        <w:spacing w:after="0" w:line="240" w:lineRule="auto"/>
        <w:contextualSpacing/>
        <w:jc w:val="both"/>
        <w:rPr>
          <w:rFonts w:ascii="Arial" w:eastAsia="Calibri" w:hAnsi="Arial" w:cs="Arial"/>
          <w:color w:val="000000" w:themeColor="text1"/>
          <w:szCs w:val="24"/>
          <w:lang w:val="es-ES_tradnl" w:eastAsia="es-ES_tradnl"/>
        </w:rPr>
      </w:pPr>
      <w:r w:rsidRPr="001670AD">
        <w:rPr>
          <w:rFonts w:ascii="Arial" w:eastAsia="Calibri" w:hAnsi="Arial" w:cs="Arial"/>
          <w:color w:val="000000" w:themeColor="text1"/>
          <w:szCs w:val="24"/>
          <w:lang w:val="es-ES_tradnl" w:eastAsia="es-ES_tradnl"/>
        </w:rPr>
        <w:t>Sorteo Extraordinario de Colombia Ltda.</w:t>
      </w:r>
    </w:p>
    <w:p w14:paraId="059B32E4" w14:textId="3E955336" w:rsidR="00FB17D4" w:rsidRPr="001670AD" w:rsidRDefault="00AB7B8A" w:rsidP="006B19A4">
      <w:pPr>
        <w:spacing w:after="0" w:line="240" w:lineRule="auto"/>
        <w:contextualSpacing/>
        <w:jc w:val="both"/>
        <w:rPr>
          <w:rFonts w:ascii="Arial" w:eastAsia="Calibri" w:hAnsi="Arial" w:cs="Arial"/>
          <w:color w:val="000000" w:themeColor="text1"/>
          <w:szCs w:val="24"/>
          <w:lang w:val="es-ES_tradnl" w:eastAsia="es-ES_tradnl"/>
        </w:rPr>
      </w:pPr>
      <w:r w:rsidRPr="001670AD">
        <w:rPr>
          <w:rFonts w:ascii="Arial" w:eastAsia="Calibri" w:hAnsi="Arial" w:cs="Arial"/>
          <w:color w:val="000000" w:themeColor="text1"/>
          <w:szCs w:val="24"/>
          <w:lang w:val="es-ES_tradnl" w:eastAsia="es-ES_tradnl"/>
        </w:rPr>
        <w:t>Ciudad</w:t>
      </w:r>
    </w:p>
    <w:p w14:paraId="39DA1E5F" w14:textId="076E24B7" w:rsidR="00FB17D4" w:rsidRPr="001670AD" w:rsidRDefault="00FB17D4" w:rsidP="006B19A4">
      <w:pPr>
        <w:spacing w:after="0" w:line="240" w:lineRule="auto"/>
        <w:contextualSpacing/>
        <w:rPr>
          <w:rFonts w:ascii="Arial" w:eastAsia="Calibri" w:hAnsi="Arial" w:cs="Arial"/>
          <w:color w:val="000000" w:themeColor="text1"/>
          <w:szCs w:val="24"/>
          <w:lang w:val="es-ES_tradnl" w:eastAsia="es-ES_tradnl"/>
        </w:rPr>
      </w:pPr>
    </w:p>
    <w:p w14:paraId="2783445E" w14:textId="77777777" w:rsidR="006B4326" w:rsidRPr="001670AD" w:rsidRDefault="006B4326" w:rsidP="006B19A4">
      <w:pPr>
        <w:spacing w:after="0" w:line="240" w:lineRule="auto"/>
        <w:contextualSpacing/>
        <w:rPr>
          <w:rFonts w:ascii="Arial" w:eastAsia="Calibri" w:hAnsi="Arial" w:cs="Arial"/>
          <w:color w:val="000000" w:themeColor="text1"/>
          <w:szCs w:val="24"/>
          <w:lang w:val="es-ES_tradnl" w:eastAsia="es-ES_tradnl"/>
        </w:rPr>
      </w:pPr>
    </w:p>
    <w:p w14:paraId="7FCBE246" w14:textId="0704D26A" w:rsidR="00FB17D4" w:rsidRPr="001670AD" w:rsidRDefault="00FB17D4" w:rsidP="006B19A4">
      <w:pPr>
        <w:spacing w:after="0" w:line="240" w:lineRule="auto"/>
        <w:contextualSpacing/>
        <w:rPr>
          <w:rFonts w:ascii="Arial" w:eastAsia="Calibri" w:hAnsi="Arial" w:cs="Arial"/>
          <w:b/>
          <w:bCs/>
          <w:color w:val="000000" w:themeColor="text1"/>
          <w:szCs w:val="24"/>
          <w:lang w:val="es-ES_tradnl" w:eastAsia="es-ES_tradnl"/>
        </w:rPr>
      </w:pPr>
      <w:r w:rsidRPr="001670AD">
        <w:rPr>
          <w:rFonts w:ascii="Arial" w:eastAsia="Calibri" w:hAnsi="Arial" w:cs="Arial"/>
          <w:color w:val="000000" w:themeColor="text1"/>
          <w:szCs w:val="24"/>
          <w:lang w:val="es-ES_tradnl" w:eastAsia="es-ES_tradnl"/>
        </w:rPr>
        <w:t xml:space="preserve">                                            </w:t>
      </w:r>
      <w:r w:rsidRPr="001670AD">
        <w:rPr>
          <w:rFonts w:ascii="Arial" w:eastAsia="Calibri" w:hAnsi="Arial" w:cs="Arial"/>
          <w:b/>
          <w:bCs/>
          <w:color w:val="000000" w:themeColor="text1"/>
          <w:szCs w:val="24"/>
          <w:lang w:val="es-ES_tradnl" w:eastAsia="es-ES_tradnl"/>
        </w:rPr>
        <w:t xml:space="preserve">Concepto C ‒ </w:t>
      </w:r>
      <w:r w:rsidR="004C5AF7" w:rsidRPr="001670AD">
        <w:rPr>
          <w:rFonts w:ascii="Arial" w:eastAsia="Calibri" w:hAnsi="Arial" w:cs="Arial"/>
          <w:b/>
          <w:bCs/>
          <w:color w:val="000000" w:themeColor="text1"/>
          <w:szCs w:val="24"/>
          <w:lang w:val="es-ES_tradnl" w:eastAsia="es-ES_tradnl"/>
        </w:rPr>
        <w:t>797</w:t>
      </w:r>
      <w:r w:rsidRPr="001670AD">
        <w:rPr>
          <w:rFonts w:ascii="Arial" w:eastAsia="Calibri" w:hAnsi="Arial" w:cs="Arial"/>
          <w:b/>
          <w:bCs/>
          <w:color w:val="000000" w:themeColor="text1"/>
          <w:szCs w:val="24"/>
          <w:lang w:val="es-ES_tradnl" w:eastAsia="es-ES_tradnl"/>
        </w:rPr>
        <w:t xml:space="preserve"> de 2022</w:t>
      </w:r>
    </w:p>
    <w:p w14:paraId="4BB4875F" w14:textId="3D8C43CB" w:rsidR="00FB17D4" w:rsidRPr="001670AD" w:rsidRDefault="00FB17D4" w:rsidP="006B19A4">
      <w:pPr>
        <w:spacing w:after="0" w:line="240" w:lineRule="auto"/>
        <w:contextualSpacing/>
        <w:jc w:val="both"/>
        <w:rPr>
          <w:rFonts w:ascii="Arial" w:eastAsia="Calibri" w:hAnsi="Arial" w:cs="Arial"/>
          <w:color w:val="000000" w:themeColor="text1"/>
          <w:szCs w:val="24"/>
          <w:lang w:val="es-ES_tradnl" w:eastAsia="es-ES_tradnl"/>
        </w:rPr>
      </w:pPr>
    </w:p>
    <w:p w14:paraId="49118A87" w14:textId="77777777" w:rsidR="006B4326" w:rsidRPr="001670AD" w:rsidRDefault="006B4326" w:rsidP="006B19A4">
      <w:pPr>
        <w:spacing w:after="0" w:line="240" w:lineRule="auto"/>
        <w:contextualSpacing/>
        <w:jc w:val="both"/>
        <w:rPr>
          <w:rFonts w:ascii="Arial" w:eastAsia="Calibri" w:hAnsi="Arial" w:cs="Arial"/>
          <w:color w:val="000000" w:themeColor="text1"/>
          <w:szCs w:val="24"/>
          <w:lang w:val="es-ES_tradnl" w:eastAsia="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B7BF3" w:rsidRPr="001670AD" w14:paraId="0A8D998C" w14:textId="77777777" w:rsidTr="00C22072">
        <w:tc>
          <w:tcPr>
            <w:tcW w:w="2689" w:type="dxa"/>
          </w:tcPr>
          <w:p w14:paraId="67BA2FBC" w14:textId="77777777" w:rsidR="00FB17D4" w:rsidRPr="001670AD" w:rsidRDefault="00FB17D4" w:rsidP="006B19A4">
            <w:pPr>
              <w:contextualSpacing/>
              <w:jc w:val="both"/>
              <w:rPr>
                <w:rFonts w:ascii="Arial" w:eastAsia="Calibri" w:hAnsi="Arial" w:cs="Arial"/>
                <w:color w:val="000000" w:themeColor="text1"/>
                <w:szCs w:val="24"/>
                <w:lang w:val="es-ES_tradnl" w:eastAsia="es-ES_tradnl"/>
              </w:rPr>
            </w:pPr>
            <w:r w:rsidRPr="001670AD">
              <w:rPr>
                <w:rFonts w:ascii="Arial" w:eastAsia="Calibri" w:hAnsi="Arial" w:cs="Arial"/>
                <w:b/>
                <w:color w:val="000000" w:themeColor="text1"/>
                <w:szCs w:val="24"/>
                <w:lang w:val="es-ES_tradnl" w:eastAsia="es-ES_tradnl"/>
              </w:rPr>
              <w:t>Temas:</w:t>
            </w:r>
            <w:r w:rsidRPr="001670AD">
              <w:rPr>
                <w:rFonts w:ascii="Arial" w:eastAsia="Calibri" w:hAnsi="Arial" w:cs="Arial"/>
                <w:color w:val="000000" w:themeColor="text1"/>
                <w:szCs w:val="24"/>
                <w:lang w:val="es-ES_tradnl" w:eastAsia="es-ES_tradnl"/>
              </w:rPr>
              <w:t xml:space="preserve">                                      </w:t>
            </w:r>
          </w:p>
        </w:tc>
        <w:tc>
          <w:tcPr>
            <w:tcW w:w="6237" w:type="dxa"/>
          </w:tcPr>
          <w:p w14:paraId="1D093D84" w14:textId="36A26B4B" w:rsidR="00456D00" w:rsidRPr="001670AD" w:rsidRDefault="00456D00" w:rsidP="00456D00">
            <w:pPr>
              <w:jc w:val="both"/>
              <w:rPr>
                <w:rFonts w:ascii="Arial" w:eastAsia="Calibri" w:hAnsi="Arial" w:cs="Arial"/>
                <w:color w:val="000000" w:themeColor="text1"/>
                <w:lang w:val="es-ES_tradnl"/>
              </w:rPr>
            </w:pPr>
            <w:r w:rsidRPr="001670AD">
              <w:rPr>
                <w:rFonts w:ascii="Arial" w:hAnsi="Arial" w:cs="Arial"/>
                <w:iCs/>
                <w:color w:val="000000" w:themeColor="text1"/>
                <w:lang w:val="es-ES_tradnl"/>
              </w:rPr>
              <w:t xml:space="preserve">DEBER DE PUBLICIDAD </w:t>
            </w:r>
            <w:r w:rsidRPr="001670AD">
              <w:rPr>
                <w:rFonts w:ascii="Arial" w:eastAsia="Calibri" w:hAnsi="Arial" w:cs="Arial"/>
                <w:color w:val="000000" w:themeColor="text1"/>
                <w:lang w:val="es-ES_tradnl"/>
              </w:rPr>
              <w:t>–</w:t>
            </w:r>
            <w:r w:rsidRPr="001670AD">
              <w:rPr>
                <w:rFonts w:ascii="Arial" w:hAnsi="Arial" w:cs="Arial"/>
                <w:iCs/>
                <w:color w:val="000000" w:themeColor="text1"/>
                <w:lang w:val="es-ES_tradnl"/>
              </w:rPr>
              <w:t xml:space="preserve"> Entidades Estatales exceptuadas del Estatuto General de Contratación de la Administración Pública / SECOP II </w:t>
            </w:r>
            <w:r w:rsidRPr="001670AD">
              <w:rPr>
                <w:rFonts w:ascii="Arial" w:eastAsia="Calibri" w:hAnsi="Arial" w:cs="Arial"/>
                <w:color w:val="000000" w:themeColor="text1"/>
                <w:lang w:val="es-ES_tradnl"/>
              </w:rPr>
              <w:t>–</w:t>
            </w:r>
            <w:r w:rsidRPr="001670AD">
              <w:rPr>
                <w:rFonts w:ascii="Arial" w:hAnsi="Arial" w:cs="Arial"/>
                <w:iCs/>
                <w:color w:val="000000" w:themeColor="text1"/>
                <w:lang w:val="es-ES_tradnl"/>
              </w:rPr>
              <w:t xml:space="preserve"> Deber de publicidad </w:t>
            </w:r>
            <w:r w:rsidRPr="001670AD">
              <w:rPr>
                <w:rFonts w:ascii="Arial" w:eastAsia="Calibri" w:hAnsi="Arial" w:cs="Arial"/>
                <w:color w:val="000000" w:themeColor="text1"/>
                <w:lang w:val="es-ES_tradnl"/>
              </w:rPr>
              <w:t>–</w:t>
            </w:r>
            <w:r w:rsidRPr="001670AD">
              <w:rPr>
                <w:rFonts w:ascii="Arial" w:hAnsi="Arial" w:cs="Arial"/>
                <w:iCs/>
                <w:color w:val="000000" w:themeColor="text1"/>
                <w:lang w:val="es-ES_tradnl"/>
              </w:rPr>
              <w:t xml:space="preserve"> Entidades Estatales exceptuadas del Estatuto General de Contratación de la Administración Pública – Modificación artículo 53 de la Ley 2195 de 2022 / </w:t>
            </w:r>
            <w:r w:rsidRPr="001670AD">
              <w:rPr>
                <w:rFonts w:ascii="Arial" w:eastAsia="Calibri" w:hAnsi="Arial" w:cs="Arial"/>
                <w:color w:val="000000" w:themeColor="text1"/>
                <w:lang w:val="es-ES_tradnl"/>
              </w:rPr>
              <w:t>SECOP II –</w:t>
            </w:r>
            <w:r w:rsidRPr="001670AD">
              <w:rPr>
                <w:rFonts w:ascii="Arial" w:hAnsi="Arial" w:cs="Arial"/>
                <w:iCs/>
                <w:color w:val="000000" w:themeColor="text1"/>
                <w:lang w:val="es-ES_tradnl"/>
              </w:rPr>
              <w:t xml:space="preserve"> Deber de publicidad </w:t>
            </w:r>
            <w:r w:rsidRPr="001670AD">
              <w:rPr>
                <w:rFonts w:ascii="Arial" w:eastAsia="Calibri" w:hAnsi="Arial" w:cs="Arial"/>
                <w:color w:val="000000" w:themeColor="text1"/>
                <w:lang w:val="es-ES_tradnl"/>
              </w:rPr>
              <w:t>–</w:t>
            </w:r>
            <w:r w:rsidRPr="001670AD">
              <w:rPr>
                <w:rFonts w:ascii="Arial" w:hAnsi="Arial" w:cs="Arial"/>
                <w:iCs/>
                <w:color w:val="000000" w:themeColor="text1"/>
                <w:lang w:val="es-ES_tradnl"/>
              </w:rPr>
              <w:t xml:space="preserve"> Entidades Estatales exceptuadas </w:t>
            </w:r>
            <w:r w:rsidRPr="001670AD">
              <w:rPr>
                <w:rFonts w:ascii="Arial" w:eastAsia="Calibri" w:hAnsi="Arial" w:cs="Arial"/>
                <w:color w:val="000000" w:themeColor="text1"/>
                <w:lang w:val="es-ES_tradnl"/>
              </w:rPr>
              <w:t>–</w:t>
            </w:r>
            <w:r w:rsidRPr="001670AD">
              <w:rPr>
                <w:rFonts w:ascii="Arial" w:hAnsi="Arial" w:cs="Arial"/>
                <w:iCs/>
                <w:color w:val="000000" w:themeColor="text1"/>
                <w:lang w:val="es-ES_tradnl"/>
              </w:rPr>
              <w:t xml:space="preserve"> </w:t>
            </w:r>
            <w:r w:rsidRPr="001670AD">
              <w:rPr>
                <w:rFonts w:ascii="Arial" w:eastAsia="Calibri" w:hAnsi="Arial" w:cs="Arial"/>
                <w:color w:val="000000" w:themeColor="text1"/>
                <w:lang w:val="es-ES_tradnl"/>
              </w:rPr>
              <w:t>Documentos relacionados con la actividad contractual</w:t>
            </w:r>
            <w:r w:rsidR="00844F83" w:rsidRPr="001670AD">
              <w:rPr>
                <w:rFonts w:ascii="Arial" w:eastAsia="Calibri" w:hAnsi="Arial" w:cs="Arial"/>
                <w:color w:val="000000" w:themeColor="text1"/>
                <w:lang w:val="es-ES_tradnl"/>
              </w:rPr>
              <w:t xml:space="preserve"> / </w:t>
            </w:r>
            <w:r w:rsidR="00002991" w:rsidRPr="00002991">
              <w:rPr>
                <w:rFonts w:ascii="Arial" w:eastAsia="Calibri" w:hAnsi="Arial" w:cs="Arial"/>
                <w:color w:val="000000" w:themeColor="text1"/>
                <w:lang w:val="es-ES_tradnl"/>
              </w:rPr>
              <w:t>FILIAL DE EMPRESAS INDUSTRIALES Y COMERCIALES DEL ESTADO – uso del SECOP II.</w:t>
            </w:r>
          </w:p>
          <w:p w14:paraId="6CC63289" w14:textId="1CC05E2B" w:rsidR="005A64C5" w:rsidRPr="001670AD" w:rsidRDefault="005A64C5" w:rsidP="006B19A4">
            <w:pPr>
              <w:contextualSpacing/>
              <w:jc w:val="both"/>
              <w:rPr>
                <w:rFonts w:ascii="Arial" w:eastAsia="Times New Roman" w:hAnsi="Arial" w:cs="Arial"/>
                <w:bCs/>
                <w:color w:val="000000" w:themeColor="text1"/>
                <w:szCs w:val="24"/>
                <w:lang w:val="es-ES_tradnl" w:eastAsia="es-ES_tradnl"/>
              </w:rPr>
            </w:pPr>
          </w:p>
        </w:tc>
      </w:tr>
      <w:tr w:rsidR="00BD648C" w:rsidRPr="001670AD" w14:paraId="554F8540" w14:textId="77777777" w:rsidTr="00C22072">
        <w:tc>
          <w:tcPr>
            <w:tcW w:w="2689" w:type="dxa"/>
          </w:tcPr>
          <w:p w14:paraId="7548595C" w14:textId="77777777" w:rsidR="00FB17D4" w:rsidRPr="001670AD" w:rsidRDefault="00FB17D4" w:rsidP="006B19A4">
            <w:pPr>
              <w:contextualSpacing/>
              <w:jc w:val="both"/>
              <w:rPr>
                <w:rFonts w:ascii="Arial" w:eastAsia="Calibri" w:hAnsi="Arial" w:cs="Arial"/>
                <w:b/>
                <w:color w:val="000000" w:themeColor="text1"/>
                <w:szCs w:val="24"/>
                <w:lang w:val="es-ES_tradnl" w:eastAsia="es-ES_tradnl"/>
              </w:rPr>
            </w:pPr>
            <w:r w:rsidRPr="001670AD">
              <w:rPr>
                <w:rFonts w:ascii="Arial" w:eastAsia="Calibri" w:hAnsi="Arial" w:cs="Arial"/>
                <w:b/>
                <w:color w:val="000000" w:themeColor="text1"/>
                <w:szCs w:val="24"/>
                <w:lang w:val="es-ES_tradnl" w:eastAsia="es-ES_tradnl"/>
              </w:rPr>
              <w:t>Radicación:</w:t>
            </w:r>
            <w:r w:rsidRPr="001670AD">
              <w:rPr>
                <w:rFonts w:ascii="Arial" w:eastAsia="Calibri" w:hAnsi="Arial" w:cs="Arial"/>
                <w:color w:val="000000" w:themeColor="text1"/>
                <w:szCs w:val="24"/>
                <w:lang w:val="es-ES_tradnl" w:eastAsia="es-ES_tradnl"/>
              </w:rPr>
              <w:t xml:space="preserve">                              </w:t>
            </w:r>
          </w:p>
        </w:tc>
        <w:tc>
          <w:tcPr>
            <w:tcW w:w="6237" w:type="dxa"/>
          </w:tcPr>
          <w:p w14:paraId="739925E4" w14:textId="753687EE" w:rsidR="00FB17D4" w:rsidRPr="001670AD" w:rsidRDefault="00FB17D4" w:rsidP="006B19A4">
            <w:pPr>
              <w:contextualSpacing/>
              <w:jc w:val="both"/>
              <w:rPr>
                <w:rFonts w:ascii="Arial" w:eastAsia="Calibri" w:hAnsi="Arial" w:cs="Arial"/>
                <w:color w:val="000000" w:themeColor="text1"/>
                <w:szCs w:val="24"/>
                <w:lang w:val="es-ES_tradnl" w:eastAsia="es-ES_tradnl"/>
              </w:rPr>
            </w:pPr>
            <w:r w:rsidRPr="001670AD">
              <w:rPr>
                <w:rFonts w:ascii="Arial" w:eastAsia="Calibri" w:hAnsi="Arial" w:cs="Arial"/>
                <w:color w:val="000000" w:themeColor="text1"/>
                <w:szCs w:val="24"/>
                <w:lang w:val="es-ES_tradnl" w:eastAsia="es-ES_tradnl"/>
              </w:rPr>
              <w:t xml:space="preserve">Respuesta a consulta </w:t>
            </w:r>
            <w:r w:rsidR="00951FA1" w:rsidRPr="001670AD">
              <w:rPr>
                <w:rFonts w:ascii="Arial" w:eastAsia="Calibri" w:hAnsi="Arial" w:cs="Arial"/>
                <w:color w:val="000000" w:themeColor="text1"/>
                <w:szCs w:val="24"/>
                <w:lang w:val="es-ES_tradnl" w:eastAsia="es-ES_tradnl"/>
              </w:rPr>
              <w:t>P20221007010143</w:t>
            </w:r>
          </w:p>
        </w:tc>
      </w:tr>
    </w:tbl>
    <w:p w14:paraId="66B7D7F7" w14:textId="77777777" w:rsidR="00FB17D4" w:rsidRPr="001670AD" w:rsidRDefault="00FB17D4" w:rsidP="006B19A4">
      <w:pPr>
        <w:spacing w:after="0" w:line="240" w:lineRule="auto"/>
        <w:contextualSpacing/>
        <w:jc w:val="both"/>
        <w:rPr>
          <w:rFonts w:ascii="Arial" w:eastAsia="Calibri" w:hAnsi="Arial" w:cs="Arial"/>
          <w:color w:val="000000" w:themeColor="text1"/>
          <w:szCs w:val="24"/>
          <w:lang w:val="es-ES_tradnl" w:eastAsia="es-ES_tradnl"/>
        </w:rPr>
      </w:pPr>
    </w:p>
    <w:p w14:paraId="35E51844" w14:textId="77777777" w:rsidR="00FB17D4" w:rsidRPr="001670AD" w:rsidRDefault="00FB17D4" w:rsidP="006B19A4">
      <w:pPr>
        <w:spacing w:after="0" w:line="240" w:lineRule="auto"/>
        <w:contextualSpacing/>
        <w:jc w:val="both"/>
        <w:rPr>
          <w:rFonts w:ascii="Arial" w:eastAsia="Calibri" w:hAnsi="Arial" w:cs="Arial"/>
          <w:color w:val="000000" w:themeColor="text1"/>
          <w:szCs w:val="24"/>
          <w:lang w:val="es-ES_tradnl" w:eastAsia="es-ES_tradnl"/>
        </w:rPr>
      </w:pPr>
    </w:p>
    <w:p w14:paraId="30E0B402" w14:textId="433A1157" w:rsidR="00FB17D4" w:rsidRPr="001670AD" w:rsidRDefault="00FB17D4" w:rsidP="00FC7E6B">
      <w:pPr>
        <w:spacing w:after="0" w:line="276" w:lineRule="auto"/>
        <w:contextualSpacing/>
        <w:jc w:val="both"/>
        <w:rPr>
          <w:rFonts w:ascii="Arial" w:eastAsia="Calibri" w:hAnsi="Arial" w:cs="Arial"/>
          <w:color w:val="000000" w:themeColor="text1"/>
          <w:szCs w:val="24"/>
          <w:lang w:val="es-ES_tradnl" w:eastAsia="es-ES_tradnl"/>
        </w:rPr>
      </w:pPr>
      <w:r w:rsidRPr="001670AD">
        <w:rPr>
          <w:rFonts w:ascii="Arial" w:eastAsia="Calibri" w:hAnsi="Arial" w:cs="Arial"/>
          <w:color w:val="000000" w:themeColor="text1"/>
          <w:szCs w:val="24"/>
          <w:lang w:val="es-ES_tradnl" w:eastAsia="es-ES_tradnl"/>
        </w:rPr>
        <w:t>Estimad</w:t>
      </w:r>
      <w:r w:rsidR="00151B52" w:rsidRPr="001670AD">
        <w:rPr>
          <w:rFonts w:ascii="Arial" w:eastAsia="Calibri" w:hAnsi="Arial" w:cs="Arial"/>
          <w:color w:val="000000" w:themeColor="text1"/>
          <w:szCs w:val="24"/>
          <w:lang w:val="es-ES_tradnl" w:eastAsia="es-ES_tradnl"/>
        </w:rPr>
        <w:t>o</w:t>
      </w:r>
      <w:r w:rsidRPr="001670AD">
        <w:rPr>
          <w:rFonts w:ascii="Arial" w:eastAsia="Calibri" w:hAnsi="Arial" w:cs="Arial"/>
          <w:color w:val="000000" w:themeColor="text1"/>
          <w:szCs w:val="24"/>
          <w:lang w:val="es-ES_tradnl" w:eastAsia="es-ES_tradnl"/>
        </w:rPr>
        <w:t xml:space="preserve"> </w:t>
      </w:r>
      <w:r w:rsidR="006E210B" w:rsidRPr="001670AD">
        <w:rPr>
          <w:rFonts w:ascii="Arial" w:eastAsia="Calibri" w:hAnsi="Arial" w:cs="Arial"/>
          <w:color w:val="000000" w:themeColor="text1"/>
          <w:szCs w:val="24"/>
          <w:lang w:val="es-ES_tradnl" w:eastAsia="es-ES_tradnl"/>
        </w:rPr>
        <w:t>señor</w:t>
      </w:r>
      <w:r w:rsidR="00951FA1" w:rsidRPr="001670AD">
        <w:rPr>
          <w:rFonts w:ascii="Arial" w:eastAsia="Calibri" w:hAnsi="Arial" w:cs="Arial"/>
          <w:color w:val="000000" w:themeColor="text1"/>
          <w:szCs w:val="24"/>
          <w:lang w:val="es-ES_tradnl" w:eastAsia="es-ES_tradnl"/>
        </w:rPr>
        <w:t xml:space="preserve"> Yepes</w:t>
      </w:r>
      <w:r w:rsidRPr="001670AD">
        <w:rPr>
          <w:rFonts w:ascii="Arial" w:eastAsia="Calibri" w:hAnsi="Arial" w:cs="Arial"/>
          <w:color w:val="000000" w:themeColor="text1"/>
          <w:szCs w:val="24"/>
          <w:lang w:val="es-ES_tradnl" w:eastAsia="es-ES_tradnl"/>
        </w:rPr>
        <w:t>:</w:t>
      </w:r>
    </w:p>
    <w:p w14:paraId="37667942" w14:textId="77777777" w:rsidR="00FB17D4" w:rsidRPr="001670AD" w:rsidRDefault="00FB17D4" w:rsidP="00FC7E6B">
      <w:pPr>
        <w:spacing w:after="0" w:line="276" w:lineRule="auto"/>
        <w:contextualSpacing/>
        <w:jc w:val="both"/>
        <w:rPr>
          <w:rFonts w:ascii="Arial" w:eastAsia="Calibri" w:hAnsi="Arial" w:cs="Arial"/>
          <w:color w:val="000000" w:themeColor="text1"/>
          <w:szCs w:val="24"/>
          <w:lang w:val="es-ES_tradnl" w:eastAsia="es-ES_tradnl"/>
        </w:rPr>
      </w:pPr>
    </w:p>
    <w:p w14:paraId="7146AC38" w14:textId="46F771F9" w:rsidR="00FB17D4" w:rsidRPr="001670AD" w:rsidRDefault="00FB17D4">
      <w:pPr>
        <w:spacing w:after="0" w:line="276" w:lineRule="auto"/>
        <w:contextualSpacing/>
        <w:jc w:val="both"/>
        <w:rPr>
          <w:rFonts w:ascii="Arial" w:eastAsia="Calibri" w:hAnsi="Arial" w:cs="Arial"/>
          <w:color w:val="000000" w:themeColor="text1"/>
          <w:szCs w:val="24"/>
          <w:lang w:val="es-ES_tradnl" w:eastAsia="es-ES_tradnl"/>
        </w:rPr>
      </w:pPr>
      <w:r w:rsidRPr="001670AD">
        <w:rPr>
          <w:rFonts w:ascii="Arial" w:eastAsia="Calibri" w:hAnsi="Arial" w:cs="Arial"/>
          <w:color w:val="000000" w:themeColor="text1"/>
          <w:szCs w:val="24"/>
          <w:lang w:val="es-ES_tradnl" w:eastAsia="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951FA1" w:rsidRPr="001670AD">
        <w:rPr>
          <w:rFonts w:ascii="Arial" w:eastAsia="Calibri" w:hAnsi="Arial" w:cs="Arial"/>
          <w:color w:val="000000" w:themeColor="text1"/>
          <w:szCs w:val="24"/>
          <w:lang w:val="es-ES_tradnl" w:eastAsia="es-ES_tradnl"/>
        </w:rPr>
        <w:t>7</w:t>
      </w:r>
      <w:r w:rsidR="00956DE4" w:rsidRPr="001670AD">
        <w:rPr>
          <w:rFonts w:ascii="Arial" w:eastAsia="Calibri" w:hAnsi="Arial" w:cs="Arial"/>
          <w:color w:val="000000" w:themeColor="text1"/>
          <w:szCs w:val="24"/>
          <w:lang w:val="es-ES_tradnl" w:eastAsia="es-ES_tradnl"/>
        </w:rPr>
        <w:t xml:space="preserve"> de </w:t>
      </w:r>
      <w:r w:rsidR="00951FA1" w:rsidRPr="001670AD">
        <w:rPr>
          <w:rFonts w:ascii="Arial" w:eastAsia="Calibri" w:hAnsi="Arial" w:cs="Arial"/>
          <w:color w:val="000000" w:themeColor="text1"/>
          <w:szCs w:val="24"/>
          <w:lang w:val="es-ES_tradnl" w:eastAsia="es-ES_tradnl"/>
        </w:rPr>
        <w:t>octubre de</w:t>
      </w:r>
      <w:r w:rsidRPr="001670AD">
        <w:rPr>
          <w:rFonts w:ascii="Arial" w:eastAsia="Calibri" w:hAnsi="Arial" w:cs="Arial"/>
          <w:color w:val="000000" w:themeColor="text1"/>
          <w:szCs w:val="24"/>
          <w:lang w:val="es-ES_tradnl" w:eastAsia="es-ES_tradnl"/>
        </w:rPr>
        <w:t xml:space="preserve"> 2022.</w:t>
      </w:r>
    </w:p>
    <w:p w14:paraId="3F49D8FB" w14:textId="77777777" w:rsidR="00FB17D4" w:rsidRPr="001670AD" w:rsidRDefault="00FB17D4" w:rsidP="00FC7E6B">
      <w:pPr>
        <w:spacing w:after="0" w:line="276" w:lineRule="auto"/>
        <w:contextualSpacing/>
        <w:jc w:val="both"/>
        <w:rPr>
          <w:rFonts w:ascii="Arial" w:eastAsia="Calibri" w:hAnsi="Arial" w:cs="Arial"/>
          <w:b/>
          <w:color w:val="000000" w:themeColor="text1"/>
          <w:szCs w:val="24"/>
          <w:lang w:val="es-ES_tradnl" w:eastAsia="es-ES_tradnl"/>
        </w:rPr>
      </w:pPr>
    </w:p>
    <w:p w14:paraId="0F15D9BF" w14:textId="77777777" w:rsidR="00FB17D4" w:rsidRPr="001670AD" w:rsidRDefault="00FB17D4" w:rsidP="00FC7E6B">
      <w:pPr>
        <w:numPr>
          <w:ilvl w:val="0"/>
          <w:numId w:val="1"/>
        </w:numPr>
        <w:tabs>
          <w:tab w:val="left" w:pos="0"/>
          <w:tab w:val="left" w:pos="142"/>
          <w:tab w:val="left" w:pos="284"/>
        </w:tabs>
        <w:spacing w:after="0" w:line="276" w:lineRule="auto"/>
        <w:ind w:left="360"/>
        <w:contextualSpacing/>
        <w:jc w:val="both"/>
        <w:rPr>
          <w:rFonts w:ascii="Arial" w:eastAsia="Calibri" w:hAnsi="Arial" w:cs="Arial"/>
          <w:b/>
          <w:color w:val="000000" w:themeColor="text1"/>
          <w:lang w:val="es-ES_tradnl"/>
        </w:rPr>
      </w:pPr>
      <w:r w:rsidRPr="001670AD">
        <w:rPr>
          <w:rFonts w:ascii="Arial" w:eastAsia="Calibri" w:hAnsi="Arial" w:cs="Arial"/>
          <w:b/>
          <w:color w:val="000000" w:themeColor="text1"/>
          <w:lang w:val="es-ES_tradnl"/>
        </w:rPr>
        <w:lastRenderedPageBreak/>
        <w:t xml:space="preserve">Problema planteado </w:t>
      </w:r>
    </w:p>
    <w:p w14:paraId="544F2F94" w14:textId="77777777" w:rsidR="00FB17D4" w:rsidRPr="001670AD" w:rsidRDefault="00FB17D4" w:rsidP="00FC7E6B">
      <w:pPr>
        <w:tabs>
          <w:tab w:val="left" w:pos="426"/>
        </w:tabs>
        <w:spacing w:after="0" w:line="276" w:lineRule="auto"/>
        <w:contextualSpacing/>
        <w:jc w:val="both"/>
        <w:rPr>
          <w:rFonts w:ascii="Arial" w:eastAsia="Calibri" w:hAnsi="Arial" w:cs="Arial"/>
          <w:b/>
          <w:color w:val="000000" w:themeColor="text1"/>
          <w:szCs w:val="24"/>
          <w:lang w:val="es-ES_tradnl" w:eastAsia="es-ES_tradnl"/>
        </w:rPr>
      </w:pPr>
    </w:p>
    <w:p w14:paraId="624513F7" w14:textId="6742F139" w:rsidR="00FB17D4" w:rsidRPr="001670AD" w:rsidRDefault="003E4E98">
      <w:pPr>
        <w:spacing w:after="0" w:line="276" w:lineRule="auto"/>
        <w:contextualSpacing/>
        <w:jc w:val="both"/>
        <w:rPr>
          <w:rFonts w:ascii="Arial" w:eastAsia="Times New Roman" w:hAnsi="Arial" w:cs="Arial"/>
          <w:color w:val="000000" w:themeColor="text1"/>
          <w:lang w:val="es-ES_tradnl" w:eastAsia="es-ES_tradnl"/>
        </w:rPr>
      </w:pPr>
      <w:r w:rsidRPr="001670AD">
        <w:rPr>
          <w:rFonts w:ascii="Arial" w:hAnsi="Arial" w:cs="Arial"/>
          <w:color w:val="000000" w:themeColor="text1"/>
        </w:rPr>
        <w:t>Usted formula la siguiente consulta:</w:t>
      </w:r>
      <w:r w:rsidR="00FB17D4" w:rsidRPr="001670AD">
        <w:rPr>
          <w:rFonts w:ascii="Arial" w:eastAsia="Times New Roman" w:hAnsi="Arial" w:cs="Arial"/>
          <w:color w:val="000000" w:themeColor="text1"/>
          <w:lang w:val="es-ES_tradnl" w:eastAsia="es-ES_tradnl"/>
        </w:rPr>
        <w:t xml:space="preserve"> «</w:t>
      </w:r>
      <w:r w:rsidR="00B73330" w:rsidRPr="001670AD">
        <w:rPr>
          <w:rFonts w:ascii="Arial" w:eastAsia="Times New Roman" w:hAnsi="Arial" w:cs="Arial"/>
          <w:color w:val="000000" w:themeColor="text1"/>
          <w:lang w:val="es-ES_tradnl" w:eastAsia="es-ES_tradnl"/>
        </w:rPr>
        <w:t>[…]</w:t>
      </w:r>
      <w:r w:rsidR="00951FA1" w:rsidRPr="001670AD">
        <w:rPr>
          <w:rFonts w:ascii="Arial" w:hAnsi="Arial" w:cs="Arial"/>
          <w:color w:val="000000" w:themeColor="text1"/>
        </w:rPr>
        <w:t>se solicita que sea emitido concepto por su parte, con el fin de determinar y dar claridad sobre la obligatoriedad de nuestra entidad al uso del sistema SECOP II, teniendo en cuenta las condiciones especiales de EXTRADEC Ltda. dentro de la actividad monopolística de los juegos de suerte y azar</w:t>
      </w:r>
      <w:r w:rsidRPr="001670AD">
        <w:rPr>
          <w:rFonts w:ascii="Arial" w:hAnsi="Arial" w:cs="Arial"/>
          <w:color w:val="000000" w:themeColor="text1"/>
        </w:rPr>
        <w:t>»</w:t>
      </w:r>
      <w:r w:rsidR="00951FA1" w:rsidRPr="001670AD">
        <w:rPr>
          <w:rFonts w:ascii="Arial" w:hAnsi="Arial" w:cs="Arial"/>
          <w:color w:val="000000" w:themeColor="text1"/>
        </w:rPr>
        <w:t>.</w:t>
      </w:r>
    </w:p>
    <w:p w14:paraId="0F1BCCBD" w14:textId="77777777" w:rsidR="00FB17D4" w:rsidRPr="001670AD" w:rsidRDefault="00FB17D4" w:rsidP="00FC7E6B">
      <w:pPr>
        <w:spacing w:after="0" w:line="276" w:lineRule="auto"/>
        <w:ind w:right="709"/>
        <w:contextualSpacing/>
        <w:jc w:val="both"/>
        <w:rPr>
          <w:rFonts w:ascii="Arial" w:eastAsia="Times New Roman" w:hAnsi="Arial" w:cs="Arial"/>
          <w:color w:val="000000" w:themeColor="text1"/>
          <w:szCs w:val="24"/>
          <w:lang w:eastAsia="es-ES_tradnl"/>
        </w:rPr>
      </w:pPr>
    </w:p>
    <w:p w14:paraId="388A389D" w14:textId="77777777" w:rsidR="00FB17D4" w:rsidRPr="001670AD" w:rsidRDefault="00FB17D4" w:rsidP="00FC7E6B">
      <w:pPr>
        <w:numPr>
          <w:ilvl w:val="0"/>
          <w:numId w:val="1"/>
        </w:numPr>
        <w:tabs>
          <w:tab w:val="left" w:pos="0"/>
          <w:tab w:val="left" w:pos="284"/>
        </w:tabs>
        <w:spacing w:after="0" w:line="276" w:lineRule="auto"/>
        <w:ind w:left="360"/>
        <w:contextualSpacing/>
        <w:jc w:val="both"/>
        <w:rPr>
          <w:rFonts w:ascii="Arial" w:eastAsia="Calibri" w:hAnsi="Arial" w:cs="Arial"/>
          <w:b/>
          <w:color w:val="000000" w:themeColor="text1"/>
          <w:lang w:val="es-ES_tradnl"/>
        </w:rPr>
      </w:pPr>
      <w:r w:rsidRPr="001670AD">
        <w:rPr>
          <w:rFonts w:ascii="Arial" w:eastAsia="Calibri" w:hAnsi="Arial" w:cs="Arial"/>
          <w:b/>
          <w:color w:val="000000" w:themeColor="text1"/>
          <w:lang w:val="es-ES_tradnl"/>
        </w:rPr>
        <w:t>Consideraciones</w:t>
      </w:r>
    </w:p>
    <w:p w14:paraId="29AAC397" w14:textId="77777777" w:rsidR="00FB17D4" w:rsidRPr="001670AD" w:rsidRDefault="00FB17D4" w:rsidP="00FC7E6B">
      <w:pPr>
        <w:spacing w:after="0" w:line="276" w:lineRule="auto"/>
        <w:contextualSpacing/>
        <w:jc w:val="both"/>
        <w:rPr>
          <w:rFonts w:ascii="Arial" w:eastAsia="Calibri" w:hAnsi="Arial" w:cs="Arial"/>
          <w:color w:val="000000" w:themeColor="text1"/>
          <w:lang w:val="es-ES_tradnl" w:eastAsia="es-ES_tradnl"/>
        </w:rPr>
      </w:pPr>
    </w:p>
    <w:p w14:paraId="3A754282" w14:textId="23C2CCD9" w:rsidR="009307C5" w:rsidRPr="001670AD" w:rsidRDefault="009307C5">
      <w:pPr>
        <w:spacing w:after="120" w:line="276" w:lineRule="auto"/>
        <w:jc w:val="both"/>
        <w:rPr>
          <w:rFonts w:ascii="Arial" w:eastAsia="Calibri" w:hAnsi="Arial" w:cs="Arial"/>
          <w:color w:val="000000" w:themeColor="text1"/>
          <w:lang w:val="es-ES_tradnl"/>
        </w:rPr>
      </w:pPr>
      <w:r w:rsidRPr="001670AD">
        <w:rPr>
          <w:rFonts w:ascii="Arial" w:eastAsia="Arial" w:hAnsi="Arial" w:cs="Arial"/>
          <w:color w:val="000000" w:themeColor="text1"/>
          <w:lang w:val="es-MX"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1670AD">
        <w:rPr>
          <w:rFonts w:ascii="Arial" w:eastAsia="Arial" w:hAnsi="Arial" w:cs="Arial"/>
          <w:color w:val="000000" w:themeColor="text1"/>
          <w:vertAlign w:val="superscript"/>
          <w:lang w:val="es-MX" w:eastAsia="es-ES_tradnl"/>
        </w:rPr>
        <w:footnoteReference w:id="1"/>
      </w:r>
      <w:r w:rsidRPr="001670AD">
        <w:rPr>
          <w:rFonts w:ascii="Arial" w:eastAsia="Arial" w:hAnsi="Arial" w:cs="Arial"/>
          <w:color w:val="000000" w:themeColor="text1"/>
          <w:lang w:val="es-MX" w:eastAsia="es-ES_tradnl"/>
        </w:rPr>
        <w:t xml:space="preserve">. </w:t>
      </w:r>
      <w:r w:rsidRPr="001670AD">
        <w:rPr>
          <w:rFonts w:ascii="Arial" w:eastAsia="Calibri" w:hAnsi="Arial" w:cs="Arial"/>
          <w:color w:val="000000" w:themeColor="text1"/>
          <w:lang w:val="es-ES_tradnl"/>
        </w:rPr>
        <w:t xml:space="preserve">Es necesario tener en cuenta que esta entidad solo tiene competencia para responder solicitudes sobre la aplicación de normas de carácter general en materia de compras y contratación pública. </w:t>
      </w:r>
    </w:p>
    <w:p w14:paraId="171E488E" w14:textId="61789625" w:rsidR="00FB17D4" w:rsidRPr="00FC7E6B" w:rsidRDefault="00E711BD" w:rsidP="00FC7E6B">
      <w:pPr>
        <w:tabs>
          <w:tab w:val="left" w:pos="426"/>
        </w:tabs>
        <w:spacing w:line="276" w:lineRule="auto"/>
        <w:jc w:val="both"/>
        <w:rPr>
          <w:rFonts w:ascii="Arial" w:eastAsia="Calibri" w:hAnsi="Arial" w:cs="Arial"/>
          <w:b/>
          <w:color w:val="000000" w:themeColor="text1"/>
          <w:lang w:val="es-ES_tradnl"/>
        </w:rPr>
      </w:pPr>
      <w:r w:rsidRPr="001670AD">
        <w:rPr>
          <w:rFonts w:ascii="Arial" w:eastAsia="Calibri" w:hAnsi="Arial" w:cs="Arial"/>
          <w:color w:val="000000" w:themeColor="text1"/>
        </w:rPr>
        <w:t>Así las cosas</w:t>
      </w:r>
      <w:r w:rsidR="0082538E" w:rsidRPr="001670AD">
        <w:rPr>
          <w:rFonts w:ascii="Arial" w:eastAsia="Calibri" w:hAnsi="Arial" w:cs="Arial"/>
          <w:color w:val="000000" w:themeColor="text1"/>
        </w:rPr>
        <w:t xml:space="preserve">, </w:t>
      </w:r>
      <w:r w:rsidR="0082538E" w:rsidRPr="001670AD">
        <w:rPr>
          <w:rFonts w:ascii="Arial" w:eastAsia="Calibri" w:hAnsi="Arial" w:cs="Arial"/>
          <w:color w:val="000000" w:themeColor="text1"/>
          <w:lang w:val="es-ES"/>
        </w:rPr>
        <w:t>la Agencia –dentro de los límites de sus atribuciones, analizará los siguientes temas</w:t>
      </w:r>
      <w:r w:rsidR="0082538E" w:rsidRPr="001670AD">
        <w:rPr>
          <w:rFonts w:ascii="Arial" w:eastAsia="Calibri" w:hAnsi="Arial" w:cs="Arial"/>
          <w:color w:val="000000" w:themeColor="text1"/>
        </w:rPr>
        <w:t xml:space="preserve">: </w:t>
      </w:r>
      <w:r w:rsidR="0082538E" w:rsidRPr="001670AD">
        <w:rPr>
          <w:rFonts w:ascii="Arial" w:eastAsia="Calibri" w:hAnsi="Arial" w:cs="Arial"/>
          <w:color w:val="000000" w:themeColor="text1"/>
          <w:lang w:val="es-ES_tradnl"/>
        </w:rPr>
        <w:t>i</w:t>
      </w:r>
      <w:r w:rsidR="00FB17D4" w:rsidRPr="001670AD">
        <w:rPr>
          <w:rFonts w:ascii="Arial" w:eastAsia="Times New Roman" w:hAnsi="Arial" w:cs="Arial"/>
          <w:color w:val="000000" w:themeColor="text1"/>
          <w:szCs w:val="24"/>
          <w:lang w:val="es-ES_tradnl" w:eastAsia="es-ES_tradnl"/>
        </w:rPr>
        <w:t xml:space="preserve">) </w:t>
      </w:r>
      <w:r w:rsidR="001670AD" w:rsidRPr="001670AD">
        <w:rPr>
          <w:rFonts w:ascii="Arial" w:eastAsia="Calibri" w:hAnsi="Arial" w:cs="Arial"/>
          <w:color w:val="000000" w:themeColor="text1"/>
          <w:lang w:val="es-ES_tradnl"/>
        </w:rPr>
        <w:t>f</w:t>
      </w:r>
      <w:r w:rsidR="001670AD" w:rsidRPr="00FC7E6B">
        <w:rPr>
          <w:rFonts w:ascii="Arial" w:eastAsia="Calibri" w:hAnsi="Arial" w:cs="Arial"/>
          <w:color w:val="000000" w:themeColor="text1"/>
          <w:lang w:val="es-ES_tradnl"/>
        </w:rPr>
        <w:t xml:space="preserve">undamento axiológico de la publicidad de la información oficial de la contratación estatal en el Sistema Electrónico para la Contratación Pública –SECOP, </w:t>
      </w:r>
      <w:proofErr w:type="spellStart"/>
      <w:r w:rsidR="001670AD" w:rsidRPr="001670AD">
        <w:rPr>
          <w:rFonts w:ascii="Arial" w:eastAsia="Times New Roman" w:hAnsi="Arial" w:cs="Arial"/>
          <w:color w:val="000000" w:themeColor="text1"/>
          <w:szCs w:val="24"/>
          <w:lang w:val="es-ES_tradnl" w:eastAsia="es-ES_tradnl"/>
        </w:rPr>
        <w:t>ii</w:t>
      </w:r>
      <w:proofErr w:type="spellEnd"/>
      <w:r w:rsidR="001670AD" w:rsidRPr="001670AD">
        <w:rPr>
          <w:rFonts w:ascii="Arial" w:eastAsia="Times New Roman" w:hAnsi="Arial" w:cs="Arial"/>
          <w:color w:val="000000" w:themeColor="text1"/>
          <w:szCs w:val="24"/>
          <w:lang w:val="es-ES_tradnl" w:eastAsia="es-ES_tradnl"/>
        </w:rPr>
        <w:t xml:space="preserve">) </w:t>
      </w:r>
      <w:r w:rsidR="00FB17D4" w:rsidRPr="001670AD">
        <w:rPr>
          <w:rFonts w:ascii="Arial" w:eastAsia="Times New Roman" w:hAnsi="Arial" w:cs="Arial"/>
          <w:color w:val="000000" w:themeColor="text1"/>
          <w:szCs w:val="24"/>
          <w:lang w:val="es-ES_tradnl" w:eastAsia="es-ES_tradnl"/>
        </w:rPr>
        <w:t>deber de las entidades estatales, exceptuadas del Estatuto General de Contratación de la Administración Pública, de publicar los documentos relacionados con su actividad contractual en el SECOP II, previsto en el artículo 53 de la Ley 2195 de 2022</w:t>
      </w:r>
      <w:r w:rsidR="00653D03" w:rsidRPr="001670AD">
        <w:rPr>
          <w:rFonts w:ascii="Arial" w:eastAsia="Times New Roman" w:hAnsi="Arial" w:cs="Arial"/>
          <w:color w:val="000000" w:themeColor="text1"/>
          <w:szCs w:val="24"/>
          <w:lang w:val="es-ES_tradnl" w:eastAsia="es-ES_tradnl"/>
        </w:rPr>
        <w:t xml:space="preserve">; </w:t>
      </w:r>
      <w:r w:rsidR="00D77B72" w:rsidRPr="001670AD">
        <w:rPr>
          <w:rFonts w:ascii="Arial" w:eastAsia="Times New Roman" w:hAnsi="Arial" w:cs="Arial"/>
          <w:color w:val="000000" w:themeColor="text1"/>
          <w:szCs w:val="24"/>
          <w:lang w:val="es-ES_tradnl" w:eastAsia="es-ES_tradnl"/>
        </w:rPr>
        <w:t xml:space="preserve">y </w:t>
      </w:r>
      <w:proofErr w:type="spellStart"/>
      <w:r w:rsidR="00BC31B2" w:rsidRPr="001670AD">
        <w:rPr>
          <w:rFonts w:ascii="Arial" w:eastAsia="Times New Roman" w:hAnsi="Arial" w:cs="Arial"/>
          <w:color w:val="000000" w:themeColor="text1"/>
          <w:szCs w:val="24"/>
          <w:lang w:val="es-ES_tradnl" w:eastAsia="es-ES_tradnl"/>
        </w:rPr>
        <w:t>ii</w:t>
      </w:r>
      <w:r w:rsidR="001670AD">
        <w:rPr>
          <w:rFonts w:ascii="Arial" w:eastAsia="Times New Roman" w:hAnsi="Arial" w:cs="Arial"/>
          <w:color w:val="000000" w:themeColor="text1"/>
          <w:szCs w:val="24"/>
          <w:lang w:val="es-ES_tradnl" w:eastAsia="es-ES_tradnl"/>
        </w:rPr>
        <w:t>i</w:t>
      </w:r>
      <w:proofErr w:type="spellEnd"/>
      <w:r w:rsidR="00BC31B2" w:rsidRPr="001670AD">
        <w:rPr>
          <w:rFonts w:ascii="Arial" w:eastAsia="Times New Roman" w:hAnsi="Arial" w:cs="Arial"/>
          <w:color w:val="000000" w:themeColor="text1"/>
          <w:szCs w:val="24"/>
          <w:lang w:val="es-ES_tradnl" w:eastAsia="es-ES_tradnl"/>
        </w:rPr>
        <w:t xml:space="preserve">) </w:t>
      </w:r>
      <w:r w:rsidR="00D77B72" w:rsidRPr="001670AD">
        <w:rPr>
          <w:rFonts w:ascii="Arial" w:eastAsia="Calibri" w:hAnsi="Arial" w:cs="Arial"/>
          <w:color w:val="000000" w:themeColor="text1"/>
          <w:lang w:val="es-ES_tradnl" w:eastAsia="es-ES_tradnl"/>
        </w:rPr>
        <w:t>u</w:t>
      </w:r>
      <w:r w:rsidR="00BC31B2" w:rsidRPr="001670AD">
        <w:rPr>
          <w:rFonts w:ascii="Arial" w:eastAsia="Calibri" w:hAnsi="Arial" w:cs="Arial"/>
          <w:color w:val="000000" w:themeColor="text1"/>
          <w:lang w:val="es-ES_tradnl" w:eastAsia="es-ES_tradnl"/>
        </w:rPr>
        <w:t xml:space="preserve">so del SECOP II por las entidades </w:t>
      </w:r>
      <w:r w:rsidR="00BC31B2" w:rsidRPr="001670AD">
        <w:rPr>
          <w:rFonts w:ascii="Arial" w:eastAsia="Times New Roman" w:hAnsi="Arial" w:cs="Arial"/>
          <w:iCs/>
          <w:color w:val="000000" w:themeColor="text1"/>
          <w:lang w:val="es-ES_tradnl" w:eastAsia="es-ES_tradnl"/>
        </w:rPr>
        <w:t>exceptuadas del Estatuto General de Contratación de la Administración Pública</w:t>
      </w:r>
      <w:r w:rsidR="00286632" w:rsidRPr="001670AD">
        <w:rPr>
          <w:rFonts w:ascii="Arial" w:eastAsia="Times New Roman" w:hAnsi="Arial" w:cs="Arial"/>
          <w:iCs/>
          <w:color w:val="000000" w:themeColor="text1"/>
          <w:lang w:val="es-ES_tradnl" w:eastAsia="es-ES_tradnl"/>
        </w:rPr>
        <w:t xml:space="preserve"> </w:t>
      </w:r>
    </w:p>
    <w:p w14:paraId="3F32A4F9" w14:textId="2E126DEB" w:rsidR="00FB17D4" w:rsidRPr="001670AD" w:rsidRDefault="00FB17D4" w:rsidP="00FC7E6B">
      <w:pPr>
        <w:spacing w:after="120" w:line="276" w:lineRule="auto"/>
        <w:ind w:firstLine="709"/>
        <w:jc w:val="both"/>
        <w:rPr>
          <w:rFonts w:ascii="Arial" w:eastAsia="Calibri" w:hAnsi="Arial" w:cs="Arial"/>
          <w:color w:val="000000" w:themeColor="text1"/>
          <w:szCs w:val="24"/>
          <w:lang w:val="es-ES" w:eastAsia="es-ES_tradnl"/>
        </w:rPr>
      </w:pPr>
      <w:r w:rsidRPr="001670AD">
        <w:rPr>
          <w:rFonts w:ascii="Arial" w:eastAsia="Times New Roman" w:hAnsi="Arial" w:cs="Arial"/>
          <w:color w:val="000000" w:themeColor="text1"/>
          <w:szCs w:val="24"/>
          <w:lang w:val="es-ES_tradnl" w:eastAsia="es-ES_tradnl"/>
        </w:rPr>
        <w:t xml:space="preserve">La Agencia Nacional de Contratación Pública – Colombia Compra Eficiente </w:t>
      </w:r>
      <w:r w:rsidRPr="001670AD">
        <w:rPr>
          <w:rFonts w:ascii="Arial" w:eastAsia="Times New Roman" w:hAnsi="Arial" w:cs="Arial"/>
          <w:color w:val="000000" w:themeColor="text1"/>
          <w:szCs w:val="24"/>
          <w:lang w:eastAsia="es-ES_tradnl"/>
        </w:rPr>
        <w:t xml:space="preserve">se ha pronunciado en múltiples ocasiones sobre los principios de publicidad y de acceso a la información pública en la contratación estatal, y sobre </w:t>
      </w:r>
      <w:r w:rsidRPr="001670AD">
        <w:rPr>
          <w:rFonts w:ascii="Arial" w:eastAsia="Calibri" w:hAnsi="Arial" w:cs="Arial"/>
          <w:color w:val="000000" w:themeColor="text1"/>
          <w:szCs w:val="24"/>
          <w:lang w:val="es-ES" w:eastAsia="es-ES_tradnl"/>
        </w:rPr>
        <w:t xml:space="preserve">los fundamentos normativos del deber de publicar la documentación contractual en </w:t>
      </w:r>
      <w:r w:rsidR="00D77B72" w:rsidRPr="001670AD">
        <w:rPr>
          <w:rFonts w:ascii="Arial" w:eastAsia="Calibri" w:hAnsi="Arial" w:cs="Arial"/>
          <w:color w:val="000000" w:themeColor="text1"/>
          <w:szCs w:val="24"/>
          <w:lang w:val="es-ES" w:eastAsia="es-ES_tradnl"/>
        </w:rPr>
        <w:t>el SECOP</w:t>
      </w:r>
      <w:r w:rsidR="00DD72D2" w:rsidRPr="001670AD">
        <w:rPr>
          <w:rFonts w:ascii="Arial" w:eastAsia="Calibri" w:hAnsi="Arial" w:cs="Arial"/>
          <w:color w:val="000000" w:themeColor="text1"/>
          <w:szCs w:val="24"/>
          <w:lang w:val="es-ES" w:eastAsia="es-ES_tradnl"/>
        </w:rPr>
        <w:t>,</w:t>
      </w:r>
      <w:r w:rsidR="00D77B72" w:rsidRPr="001670AD">
        <w:rPr>
          <w:rFonts w:ascii="Arial" w:eastAsia="Calibri" w:hAnsi="Arial" w:cs="Arial"/>
          <w:color w:val="000000" w:themeColor="text1"/>
          <w:szCs w:val="24"/>
          <w:lang w:val="es-ES" w:eastAsia="es-ES_tradnl"/>
        </w:rPr>
        <w:t xml:space="preserve"> </w:t>
      </w:r>
      <w:r w:rsidR="004A2783" w:rsidRPr="001670AD">
        <w:rPr>
          <w:rFonts w:ascii="Arial" w:eastAsia="Calibri" w:hAnsi="Arial" w:cs="Arial"/>
          <w:color w:val="000000" w:themeColor="text1"/>
          <w:szCs w:val="24"/>
          <w:lang w:val="es-ES" w:eastAsia="es-ES_tradnl"/>
        </w:rPr>
        <w:t xml:space="preserve">en conceptos como </w:t>
      </w:r>
      <w:r w:rsidR="00D77B72" w:rsidRPr="001670AD">
        <w:rPr>
          <w:rFonts w:ascii="Arial" w:eastAsia="Calibri" w:hAnsi="Arial" w:cs="Arial"/>
          <w:color w:val="000000" w:themeColor="text1"/>
          <w:szCs w:val="24"/>
          <w:lang w:val="es-ES" w:eastAsia="es-ES_tradnl"/>
        </w:rPr>
        <w:t xml:space="preserve">el </w:t>
      </w:r>
      <w:r w:rsidRPr="001670AD">
        <w:rPr>
          <w:rFonts w:ascii="Arial" w:eastAsia="Times New Roman" w:hAnsi="Arial" w:cs="Arial"/>
          <w:color w:val="000000" w:themeColor="text1"/>
          <w:szCs w:val="24"/>
          <w:lang w:eastAsia="es-ES_tradnl"/>
        </w:rPr>
        <w:t>CU-</w:t>
      </w:r>
      <w:r w:rsidRPr="001670AD">
        <w:rPr>
          <w:rFonts w:ascii="Arial" w:eastAsia="Times New Roman" w:hAnsi="Arial" w:cs="Arial"/>
          <w:color w:val="000000" w:themeColor="text1"/>
          <w:szCs w:val="24"/>
          <w:lang w:eastAsia="es-ES_tradnl"/>
        </w:rPr>
        <w:lastRenderedPageBreak/>
        <w:t>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del 6 de septiembre de 2021</w:t>
      </w:r>
      <w:r w:rsidRPr="001670AD">
        <w:rPr>
          <w:rFonts w:ascii="Arial" w:eastAsia="Times New Roman" w:hAnsi="Arial" w:cs="Arial"/>
          <w:color w:val="000000" w:themeColor="text1"/>
          <w:szCs w:val="24"/>
          <w:lang w:val="es-ES_tradnl" w:eastAsia="es-ES_tradnl"/>
        </w:rPr>
        <w:t>. De igual manera, recientemente se pronunció sobre la interpretación del artículo 53 de la Ley 2195 de 2022, en los conceptos C-049 del 7 de marzo de 2022</w:t>
      </w:r>
      <w:r w:rsidR="005F0600" w:rsidRPr="001670AD">
        <w:rPr>
          <w:rFonts w:ascii="Arial" w:eastAsia="Times New Roman" w:hAnsi="Arial" w:cs="Arial"/>
          <w:color w:val="000000" w:themeColor="text1"/>
          <w:szCs w:val="24"/>
          <w:lang w:val="es-ES_tradnl" w:eastAsia="es-ES_tradnl"/>
        </w:rPr>
        <w:t>,</w:t>
      </w:r>
      <w:r w:rsidRPr="001670AD">
        <w:rPr>
          <w:rFonts w:ascii="Arial" w:eastAsia="Times New Roman" w:hAnsi="Arial" w:cs="Arial"/>
          <w:color w:val="000000" w:themeColor="text1"/>
          <w:szCs w:val="24"/>
          <w:lang w:val="es-ES_tradnl" w:eastAsia="es-ES_tradnl"/>
        </w:rPr>
        <w:t xml:space="preserve"> C-120 del 22 de marzo de 2022</w:t>
      </w:r>
      <w:r w:rsidR="005F0600" w:rsidRPr="001670AD">
        <w:rPr>
          <w:rFonts w:ascii="Arial" w:eastAsia="Times New Roman" w:hAnsi="Arial" w:cs="Arial"/>
          <w:color w:val="000000" w:themeColor="text1"/>
          <w:szCs w:val="24"/>
          <w:lang w:val="es-ES_tradnl" w:eastAsia="es-ES_tradnl"/>
        </w:rPr>
        <w:t>, C-124 de</w:t>
      </w:r>
      <w:r w:rsidR="00F37B74" w:rsidRPr="001670AD">
        <w:rPr>
          <w:rFonts w:ascii="Arial" w:eastAsia="Times New Roman" w:hAnsi="Arial" w:cs="Arial"/>
          <w:color w:val="000000" w:themeColor="text1"/>
          <w:szCs w:val="24"/>
          <w:lang w:val="es-ES_tradnl" w:eastAsia="es-ES_tradnl"/>
        </w:rPr>
        <w:t xml:space="preserve">l 22 de marzo de 2022, </w:t>
      </w:r>
      <w:r w:rsidR="005A49DF" w:rsidRPr="001670AD">
        <w:rPr>
          <w:rFonts w:ascii="Arial" w:eastAsia="Times New Roman" w:hAnsi="Arial" w:cs="Arial"/>
          <w:color w:val="000000" w:themeColor="text1"/>
          <w:szCs w:val="24"/>
          <w:lang w:val="es-ES_tradnl" w:eastAsia="es-ES_tradnl"/>
        </w:rPr>
        <w:t>C-132 del 28 de marzo de 2022</w:t>
      </w:r>
      <w:r w:rsidR="008B0C2C" w:rsidRPr="001670AD">
        <w:rPr>
          <w:rFonts w:ascii="Arial" w:eastAsia="Times New Roman" w:hAnsi="Arial" w:cs="Arial"/>
          <w:color w:val="000000" w:themeColor="text1"/>
          <w:szCs w:val="24"/>
          <w:lang w:val="es-ES_tradnl" w:eastAsia="es-ES_tradnl"/>
        </w:rPr>
        <w:t>, C-337 del 25 de mayo de 2022</w:t>
      </w:r>
      <w:r w:rsidR="00D15314" w:rsidRPr="001670AD">
        <w:rPr>
          <w:rFonts w:ascii="Arial" w:eastAsia="Times New Roman" w:hAnsi="Arial" w:cs="Arial"/>
          <w:color w:val="000000" w:themeColor="text1"/>
          <w:szCs w:val="24"/>
          <w:lang w:val="es-ES_tradnl" w:eastAsia="es-ES_tradnl"/>
        </w:rPr>
        <w:t>,</w:t>
      </w:r>
      <w:r w:rsidR="00A26DF8" w:rsidRPr="001670AD">
        <w:rPr>
          <w:rFonts w:ascii="Arial" w:eastAsia="Times New Roman" w:hAnsi="Arial" w:cs="Arial"/>
          <w:color w:val="000000" w:themeColor="text1"/>
          <w:szCs w:val="24"/>
          <w:lang w:val="es-ES_tradnl" w:eastAsia="es-ES_tradnl"/>
        </w:rPr>
        <w:t xml:space="preserve"> C-348 del </w:t>
      </w:r>
      <w:r w:rsidR="006F057E" w:rsidRPr="001670AD">
        <w:rPr>
          <w:rFonts w:ascii="Arial" w:eastAsia="Times New Roman" w:hAnsi="Arial" w:cs="Arial"/>
          <w:color w:val="000000" w:themeColor="text1"/>
          <w:szCs w:val="24"/>
          <w:lang w:val="es-ES_tradnl" w:eastAsia="es-ES_tradnl"/>
        </w:rPr>
        <w:t>13 de junio de 2022</w:t>
      </w:r>
      <w:r w:rsidR="00951FA1" w:rsidRPr="001670AD">
        <w:rPr>
          <w:rFonts w:ascii="Arial" w:eastAsia="Times New Roman" w:hAnsi="Arial" w:cs="Arial"/>
          <w:color w:val="000000" w:themeColor="text1"/>
          <w:szCs w:val="24"/>
          <w:lang w:val="es-ES_tradnl" w:eastAsia="es-ES_tradnl"/>
        </w:rPr>
        <w:t>,</w:t>
      </w:r>
      <w:r w:rsidR="00D15314" w:rsidRPr="001670AD">
        <w:rPr>
          <w:rFonts w:ascii="Arial" w:eastAsia="Times New Roman" w:hAnsi="Arial" w:cs="Arial"/>
          <w:color w:val="000000" w:themeColor="text1"/>
          <w:szCs w:val="24"/>
          <w:lang w:val="es-ES_tradnl" w:eastAsia="es-ES_tradnl"/>
        </w:rPr>
        <w:t xml:space="preserve"> C-480 del 18 de julio de 2022</w:t>
      </w:r>
      <w:r w:rsidR="00951FA1" w:rsidRPr="001670AD">
        <w:rPr>
          <w:rFonts w:ascii="Arial" w:eastAsia="Times New Roman" w:hAnsi="Arial" w:cs="Arial"/>
          <w:color w:val="000000" w:themeColor="text1"/>
          <w:szCs w:val="24"/>
          <w:lang w:val="es-ES_tradnl" w:eastAsia="es-ES_tradnl"/>
        </w:rPr>
        <w:t xml:space="preserve"> y C-568 de 12 de septiembre de 2022</w:t>
      </w:r>
      <w:r w:rsidRPr="001670AD">
        <w:rPr>
          <w:rFonts w:ascii="Arial" w:eastAsia="Times New Roman" w:hAnsi="Arial" w:cs="Arial"/>
          <w:color w:val="000000" w:themeColor="text1"/>
          <w:szCs w:val="24"/>
          <w:lang w:val="es-ES_tradnl" w:eastAsia="es-ES_tradnl"/>
        </w:rPr>
        <w:t>.</w:t>
      </w:r>
      <w:r w:rsidR="00951FA1" w:rsidRPr="001670AD">
        <w:rPr>
          <w:rFonts w:ascii="Arial" w:eastAsia="Times New Roman" w:hAnsi="Arial" w:cs="Arial"/>
          <w:color w:val="000000" w:themeColor="text1"/>
          <w:szCs w:val="24"/>
          <w:lang w:val="es-ES_tradnl" w:eastAsia="es-ES_tradnl"/>
        </w:rPr>
        <w:t xml:space="preserve"> En particular, una consulta similar y con el mismo objeto presentada por la empresa Sorteo Extraordinario de Colombia </w:t>
      </w:r>
      <w:proofErr w:type="spellStart"/>
      <w:r w:rsidR="00951FA1" w:rsidRPr="001670AD">
        <w:rPr>
          <w:rFonts w:ascii="Arial" w:eastAsia="Times New Roman" w:hAnsi="Arial" w:cs="Arial"/>
          <w:color w:val="000000" w:themeColor="text1"/>
          <w:szCs w:val="24"/>
          <w:lang w:val="es-ES_tradnl" w:eastAsia="es-ES_tradnl"/>
        </w:rPr>
        <w:t>Ltda</w:t>
      </w:r>
      <w:proofErr w:type="spellEnd"/>
      <w:r w:rsidR="0079360F" w:rsidRPr="001670AD">
        <w:rPr>
          <w:rStyle w:val="Refdenotaalpie"/>
          <w:rFonts w:ascii="Arial" w:eastAsia="Times New Roman" w:hAnsi="Arial" w:cs="Arial"/>
          <w:color w:val="000000" w:themeColor="text1"/>
          <w:szCs w:val="24"/>
          <w:lang w:val="es-ES_tradnl" w:eastAsia="es-ES_tradnl"/>
        </w:rPr>
        <w:footnoteReference w:id="2"/>
      </w:r>
      <w:r w:rsidR="0079360F" w:rsidRPr="001670AD">
        <w:rPr>
          <w:rFonts w:ascii="Arial" w:eastAsia="Times New Roman" w:hAnsi="Arial" w:cs="Arial"/>
          <w:color w:val="000000" w:themeColor="text1"/>
          <w:szCs w:val="24"/>
          <w:lang w:val="es-ES_tradnl" w:eastAsia="es-ES_tradnl"/>
        </w:rPr>
        <w:t xml:space="preserve">. Fue atendida mediante el Concepto C-079 de 2020. </w:t>
      </w:r>
      <w:r w:rsidR="00E74F3F" w:rsidRPr="001670AD">
        <w:rPr>
          <w:rFonts w:ascii="Arial" w:eastAsia="Calibri" w:hAnsi="Arial" w:cs="Arial"/>
          <w:color w:val="000000" w:themeColor="text1"/>
        </w:rPr>
        <w:t>Los argumentos y consideraciones expuestos en los conceptos mencionados se reiteran y se complementan en lo pertinente</w:t>
      </w:r>
      <w:r w:rsidRPr="001670AD">
        <w:rPr>
          <w:rFonts w:ascii="Arial" w:eastAsia="Times New Roman" w:hAnsi="Arial" w:cs="Arial"/>
          <w:color w:val="000000" w:themeColor="text1"/>
          <w:szCs w:val="24"/>
          <w:lang w:val="es-ES_tradnl" w:eastAsia="es-ES_tradnl"/>
        </w:rPr>
        <w:t>.</w:t>
      </w:r>
    </w:p>
    <w:p w14:paraId="118525ED" w14:textId="57E5FFD9" w:rsidR="00FB17D4" w:rsidRPr="001670AD" w:rsidRDefault="00FB17D4" w:rsidP="00FC7E6B">
      <w:pPr>
        <w:spacing w:after="0" w:line="276" w:lineRule="auto"/>
        <w:contextualSpacing/>
        <w:jc w:val="both"/>
        <w:rPr>
          <w:rFonts w:ascii="Arial" w:eastAsia="Calibri" w:hAnsi="Arial" w:cs="Arial"/>
          <w:b/>
          <w:color w:val="000000" w:themeColor="text1"/>
          <w:lang w:val="es-ES" w:eastAsia="es-ES_tradnl"/>
        </w:rPr>
      </w:pPr>
    </w:p>
    <w:p w14:paraId="4B689947" w14:textId="77777777" w:rsidR="00E74F3F" w:rsidRPr="001670AD" w:rsidRDefault="00FB17D4" w:rsidP="00E74F3F">
      <w:pPr>
        <w:tabs>
          <w:tab w:val="left" w:pos="426"/>
        </w:tabs>
        <w:spacing w:line="276" w:lineRule="auto"/>
        <w:jc w:val="both"/>
        <w:rPr>
          <w:rFonts w:ascii="Arial" w:eastAsia="Calibri" w:hAnsi="Arial" w:cs="Arial"/>
          <w:b/>
          <w:color w:val="000000" w:themeColor="text1"/>
          <w:lang w:val="es-ES_tradnl"/>
        </w:rPr>
      </w:pPr>
      <w:r w:rsidRPr="001670AD">
        <w:rPr>
          <w:rFonts w:ascii="Arial" w:eastAsia="Times New Roman" w:hAnsi="Arial" w:cs="Arial"/>
          <w:b/>
          <w:bCs/>
          <w:iCs/>
          <w:color w:val="000000" w:themeColor="text1"/>
          <w:lang w:val="es-ES_tradnl" w:eastAsia="es-ES_tradnl"/>
        </w:rPr>
        <w:t>2.</w:t>
      </w:r>
      <w:r w:rsidR="00F41594" w:rsidRPr="001670AD">
        <w:rPr>
          <w:rFonts w:ascii="Arial" w:eastAsia="Times New Roman" w:hAnsi="Arial" w:cs="Arial"/>
          <w:b/>
          <w:bCs/>
          <w:iCs/>
          <w:color w:val="000000" w:themeColor="text1"/>
          <w:lang w:val="es-ES_tradnl" w:eastAsia="es-ES_tradnl"/>
        </w:rPr>
        <w:t>1</w:t>
      </w:r>
      <w:r w:rsidRPr="001670AD">
        <w:rPr>
          <w:rFonts w:ascii="Arial" w:eastAsia="Times New Roman" w:hAnsi="Arial" w:cs="Arial"/>
          <w:b/>
          <w:bCs/>
          <w:iCs/>
          <w:color w:val="000000" w:themeColor="text1"/>
          <w:lang w:val="es-ES_tradnl" w:eastAsia="es-ES_tradnl"/>
        </w:rPr>
        <w:t xml:space="preserve">. </w:t>
      </w:r>
      <w:r w:rsidR="00E74F3F" w:rsidRPr="001670AD">
        <w:rPr>
          <w:rFonts w:ascii="Arial" w:eastAsia="Calibri" w:hAnsi="Arial" w:cs="Arial"/>
          <w:b/>
          <w:color w:val="000000" w:themeColor="text1"/>
          <w:lang w:val="es-ES_tradnl"/>
        </w:rPr>
        <w:t>Fundamento axiológico de la publicidad de la información oficial de la contratación estatal en el Sistema Electrónico para la Contratación Pública –SECOP–</w:t>
      </w:r>
    </w:p>
    <w:p w14:paraId="0364ED22" w14:textId="6A24F509" w:rsidR="00E74F3F" w:rsidRPr="001670AD" w:rsidRDefault="00E74F3F" w:rsidP="00286632">
      <w:pPr>
        <w:spacing w:after="120" w:line="276" w:lineRule="auto"/>
        <w:jc w:val="both"/>
        <w:rPr>
          <w:rFonts w:ascii="Arial" w:hAnsi="Arial" w:cs="Arial"/>
          <w:color w:val="000000" w:themeColor="text1"/>
        </w:rPr>
      </w:pPr>
      <w:r w:rsidRPr="001670AD">
        <w:rPr>
          <w:rFonts w:ascii="Arial" w:eastAsia="Calibri" w:hAnsi="Arial" w:cs="Arial"/>
          <w:color w:val="000000" w:themeColor="text1"/>
          <w:lang w:val="es-ES_tradnl"/>
        </w:rPr>
        <w:t>La Agencia Naci</w:t>
      </w:r>
      <w:r w:rsidR="00101E9D" w:rsidRPr="001670AD">
        <w:rPr>
          <w:rFonts w:ascii="Arial" w:eastAsia="Calibri" w:hAnsi="Arial" w:cs="Arial"/>
          <w:color w:val="000000" w:themeColor="text1"/>
          <w:lang w:val="es-ES_tradnl"/>
        </w:rPr>
        <w:t>o</w:t>
      </w:r>
      <w:r w:rsidRPr="001670AD">
        <w:rPr>
          <w:rFonts w:ascii="Arial" w:eastAsia="Calibri" w:hAnsi="Arial" w:cs="Arial"/>
          <w:color w:val="000000" w:themeColor="text1"/>
          <w:lang w:val="es-ES_tradnl"/>
        </w:rPr>
        <w:t xml:space="preserve">nal de Contratación Pública - Colombia Compra Eficiente, analizó el fundamento axiológico del deber de publicidad de la información oficial de la contratación estatal en el SECOP, así como los </w:t>
      </w:r>
      <w:r w:rsidRPr="001670AD">
        <w:rPr>
          <w:rFonts w:ascii="Arial" w:eastAsia="Calibri" w:hAnsi="Arial" w:cs="Arial"/>
          <w:bCs/>
          <w:color w:val="000000" w:themeColor="text1"/>
          <w:lang w:val="es-ES_tradnl"/>
        </w:rPr>
        <w:t>efectos del auto del Consejo de Estado del 25 de febrero de 2021 sobre la publicación en el SECOP por parte de las entidades estatales con régimen especial de contratación,</w:t>
      </w:r>
      <w:r w:rsidRPr="001670AD">
        <w:rPr>
          <w:rFonts w:ascii="Arial" w:eastAsia="Calibri" w:hAnsi="Arial" w:cs="Arial"/>
          <w:color w:val="000000" w:themeColor="text1"/>
          <w:lang w:val="es-ES_tradnl"/>
        </w:rPr>
        <w:t xml:space="preserve"> en el concepto </w:t>
      </w:r>
      <w:r w:rsidRPr="001670AD">
        <w:rPr>
          <w:rFonts w:ascii="Arial" w:hAnsi="Arial" w:cs="Arial"/>
          <w:color w:val="000000" w:themeColor="text1"/>
        </w:rPr>
        <w:t xml:space="preserve">C-083 del 18 de marzo de 2022. </w:t>
      </w:r>
    </w:p>
    <w:p w14:paraId="51E9DD09" w14:textId="4B32DBE4" w:rsidR="00E74F3F" w:rsidRPr="001670AD" w:rsidRDefault="00E74F3F" w:rsidP="00FC7E6B">
      <w:pPr>
        <w:spacing w:after="120" w:line="276" w:lineRule="auto"/>
        <w:ind w:firstLine="709"/>
        <w:jc w:val="both"/>
        <w:rPr>
          <w:rFonts w:ascii="Arial" w:eastAsia="Calibri" w:hAnsi="Arial" w:cs="Arial"/>
          <w:color w:val="000000" w:themeColor="text1"/>
          <w:lang w:val="es-ES_tradnl"/>
        </w:rPr>
      </w:pPr>
      <w:r w:rsidRPr="001670AD">
        <w:rPr>
          <w:rFonts w:ascii="Arial" w:eastAsia="Calibri" w:hAnsi="Arial" w:cs="Arial"/>
          <w:color w:val="000000" w:themeColor="text1"/>
          <w:lang w:val="es-ES_tradnl"/>
        </w:rPr>
        <w:t xml:space="preserve">Uno de los postulados más importantes de un Estado </w:t>
      </w:r>
      <w:r w:rsidR="002E7127" w:rsidRPr="001670AD">
        <w:rPr>
          <w:rFonts w:ascii="Arial" w:eastAsia="Calibri" w:hAnsi="Arial" w:cs="Arial"/>
          <w:color w:val="000000" w:themeColor="text1"/>
          <w:lang w:val="es-ES_tradnl"/>
        </w:rPr>
        <w:t>S</w:t>
      </w:r>
      <w:r w:rsidRPr="001670AD">
        <w:rPr>
          <w:rFonts w:ascii="Arial" w:eastAsia="Calibri" w:hAnsi="Arial" w:cs="Arial"/>
          <w:color w:val="000000" w:themeColor="text1"/>
          <w:lang w:val="es-ES_tradnl"/>
        </w:rPr>
        <w:t xml:space="preserve">ocial y </w:t>
      </w:r>
      <w:r w:rsidR="002E7127" w:rsidRPr="001670AD">
        <w:rPr>
          <w:rFonts w:ascii="Arial" w:eastAsia="Calibri" w:hAnsi="Arial" w:cs="Arial"/>
          <w:color w:val="000000" w:themeColor="text1"/>
          <w:lang w:val="es-ES_tradnl"/>
        </w:rPr>
        <w:t>D</w:t>
      </w:r>
      <w:r w:rsidRPr="001670AD">
        <w:rPr>
          <w:rFonts w:ascii="Arial" w:eastAsia="Calibri" w:hAnsi="Arial" w:cs="Arial"/>
          <w:color w:val="000000" w:themeColor="text1"/>
          <w:lang w:val="es-ES_tradnl"/>
        </w:rPr>
        <w:t xml:space="preserve">emocrático de </w:t>
      </w:r>
      <w:r w:rsidR="002E7127" w:rsidRPr="001670AD">
        <w:rPr>
          <w:rFonts w:ascii="Arial" w:eastAsia="Calibri" w:hAnsi="Arial" w:cs="Arial"/>
          <w:color w:val="000000" w:themeColor="text1"/>
          <w:lang w:val="es-ES_tradnl"/>
        </w:rPr>
        <w:t>D</w:t>
      </w:r>
      <w:r w:rsidRPr="001670AD">
        <w:rPr>
          <w:rFonts w:ascii="Arial" w:eastAsia="Calibri" w:hAnsi="Arial" w:cs="Arial"/>
          <w:color w:val="000000" w:themeColor="text1"/>
          <w:lang w:val="es-ES_tradnl"/>
        </w:rPr>
        <w:t xml:space="preserve">erecho es el principio de </w:t>
      </w:r>
      <w:r w:rsidRPr="001670AD">
        <w:rPr>
          <w:rFonts w:ascii="Arial" w:eastAsia="Calibri" w:hAnsi="Arial" w:cs="Arial"/>
          <w:i/>
          <w:iCs/>
          <w:color w:val="000000" w:themeColor="text1"/>
          <w:lang w:val="es-ES_tradnl"/>
        </w:rPr>
        <w:t>publicidad</w:t>
      </w:r>
      <w:r w:rsidRPr="001670AD">
        <w:rPr>
          <w:rFonts w:ascii="Arial" w:eastAsia="Calibri" w:hAnsi="Arial" w:cs="Arial"/>
          <w:color w:val="000000" w:themeColor="text1"/>
          <w:lang w:val="es-ES_tradnl"/>
        </w:rPr>
        <w:t>,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w:t>
      </w:r>
      <w:r w:rsidRPr="001670AD">
        <w:rPr>
          <w:rStyle w:val="Refdenotaalpie"/>
          <w:rFonts w:ascii="Arial" w:eastAsia="Calibri" w:hAnsi="Arial" w:cs="Arial"/>
          <w:color w:val="000000" w:themeColor="text1"/>
          <w:lang w:val="es-ES_tradnl"/>
        </w:rPr>
        <w:footnoteReference w:id="3"/>
      </w:r>
      <w:r w:rsidRPr="001670AD">
        <w:rPr>
          <w:rFonts w:ascii="Arial" w:eastAsia="Calibri" w:hAnsi="Arial" w:cs="Arial"/>
          <w:color w:val="000000" w:themeColor="text1"/>
          <w:lang w:val="es-ES_tradn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65FAB6B2" w14:textId="2613F79E" w:rsidR="00E74F3F" w:rsidRPr="001670AD" w:rsidRDefault="00E74F3F">
      <w:pPr>
        <w:spacing w:after="120" w:line="276" w:lineRule="auto"/>
        <w:ind w:firstLine="709"/>
        <w:jc w:val="both"/>
        <w:rPr>
          <w:rFonts w:ascii="Arial" w:eastAsia="Calibri" w:hAnsi="Arial" w:cs="Arial"/>
          <w:color w:val="000000" w:themeColor="text1"/>
          <w:lang w:val="es-ES_tradnl"/>
        </w:rPr>
      </w:pPr>
      <w:r w:rsidRPr="001670AD">
        <w:rPr>
          <w:rFonts w:ascii="Arial" w:eastAsia="Calibri" w:hAnsi="Arial" w:cs="Arial"/>
          <w:color w:val="000000" w:themeColor="text1"/>
          <w:lang w:val="es-ES_tradnl"/>
        </w:rPr>
        <w:t xml:space="preserve">Inspirada en esta concepción axiológica, la Constitución Política de 1991 consagra en varios artículos la publicidad como un principio rector del Estado colombiano. Entre los más destacados, puede mencionarse el 209, que afirma que la publicidad es uno de los </w:t>
      </w:r>
      <w:r w:rsidRPr="001670AD">
        <w:rPr>
          <w:rFonts w:ascii="Arial" w:eastAsia="Calibri" w:hAnsi="Arial" w:cs="Arial"/>
          <w:color w:val="000000" w:themeColor="text1"/>
          <w:lang w:val="es-ES_tradnl"/>
        </w:rPr>
        <w:lastRenderedPageBreak/>
        <w:t>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14:paraId="4E81ED66" w14:textId="670F2B4F" w:rsidR="00E74F3F" w:rsidRPr="001670AD" w:rsidRDefault="00E74F3F" w:rsidP="00F45424">
      <w:pPr>
        <w:tabs>
          <w:tab w:val="left" w:pos="3885"/>
        </w:tabs>
        <w:ind w:left="709" w:right="709"/>
        <w:jc w:val="both"/>
        <w:rPr>
          <w:rFonts w:ascii="Arial" w:hAnsi="Arial" w:cs="Arial"/>
          <w:color w:val="000000" w:themeColor="text1"/>
          <w:sz w:val="21"/>
          <w:szCs w:val="21"/>
          <w:lang w:val="es-ES_tradnl"/>
        </w:rPr>
      </w:pPr>
      <w:r w:rsidRPr="001670AD">
        <w:rPr>
          <w:rFonts w:ascii="Arial" w:hAnsi="Arial" w:cs="Arial"/>
          <w:color w:val="000000" w:themeColor="text1"/>
          <w:sz w:val="21"/>
          <w:szCs w:val="21"/>
          <w:lang w:val="es-ES_tradn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074C90E4" w14:textId="4BFD5768" w:rsidR="00E74F3F" w:rsidRPr="001670AD" w:rsidRDefault="00E74F3F" w:rsidP="00F45424">
      <w:pPr>
        <w:tabs>
          <w:tab w:val="left" w:pos="3885"/>
          <w:tab w:val="left" w:pos="8222"/>
        </w:tabs>
        <w:ind w:left="709" w:right="709"/>
        <w:jc w:val="both"/>
        <w:rPr>
          <w:rFonts w:ascii="Arial" w:hAnsi="Arial" w:cs="Arial"/>
          <w:color w:val="000000" w:themeColor="text1"/>
          <w:lang w:val="es-ES_tradnl"/>
        </w:rPr>
      </w:pPr>
      <w:r w:rsidRPr="001670AD">
        <w:rPr>
          <w:rFonts w:ascii="Arial" w:hAnsi="Arial" w:cs="Arial"/>
          <w:color w:val="000000" w:themeColor="text1"/>
          <w:sz w:val="21"/>
          <w:szCs w:val="21"/>
          <w:lang w:val="es-ES_tradnl"/>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1670AD">
        <w:rPr>
          <w:rFonts w:ascii="Arial" w:hAnsi="Arial" w:cs="Arial"/>
          <w:color w:val="000000" w:themeColor="text1"/>
          <w:sz w:val="21"/>
          <w:szCs w:val="21"/>
          <w:lang w:val="es-ES_tradnl"/>
        </w:rPr>
        <w:t>autoridades públicas</w:t>
      </w:r>
      <w:proofErr w:type="gramEnd"/>
      <w:r w:rsidRPr="001670AD">
        <w:rPr>
          <w:rFonts w:ascii="Arial" w:hAnsi="Arial" w:cs="Arial"/>
          <w:color w:val="000000" w:themeColor="text1"/>
          <w:sz w:val="21"/>
          <w:szCs w:val="21"/>
          <w:lang w:val="es-ES_tradnl"/>
        </w:rPr>
        <w:t xml:space="preserve"> y, a través de ese conocimiento, a exigir que ellas se surtan conforme a la ley</w:t>
      </w:r>
      <w:r w:rsidRPr="001670AD">
        <w:rPr>
          <w:rStyle w:val="Refdenotaalpie"/>
          <w:rFonts w:ascii="Arial" w:eastAsia="Calibri" w:hAnsi="Arial" w:cs="Arial"/>
          <w:color w:val="000000" w:themeColor="text1"/>
          <w:sz w:val="21"/>
          <w:szCs w:val="21"/>
          <w:lang w:val="es-ES_tradnl"/>
        </w:rPr>
        <w:footnoteReference w:id="4"/>
      </w:r>
      <w:r w:rsidRPr="001670AD">
        <w:rPr>
          <w:rFonts w:ascii="Arial" w:eastAsia="Calibri" w:hAnsi="Arial" w:cs="Arial"/>
          <w:color w:val="000000" w:themeColor="text1"/>
          <w:sz w:val="21"/>
          <w:szCs w:val="21"/>
          <w:lang w:val="es-ES_tradnl"/>
        </w:rPr>
        <w:t>.</w:t>
      </w:r>
    </w:p>
    <w:p w14:paraId="1F5F1ECC" w14:textId="0AB52C45" w:rsidR="00E74F3F" w:rsidRPr="001670AD" w:rsidRDefault="00E74F3F" w:rsidP="00E74F3F">
      <w:pPr>
        <w:spacing w:after="120" w:line="276" w:lineRule="auto"/>
        <w:ind w:firstLine="709"/>
        <w:jc w:val="both"/>
        <w:rPr>
          <w:rFonts w:ascii="Arial" w:eastAsia="Calibri" w:hAnsi="Arial" w:cs="Arial"/>
          <w:color w:val="000000" w:themeColor="text1"/>
          <w:lang w:val="es-ES_tradnl"/>
        </w:rPr>
      </w:pPr>
      <w:r w:rsidRPr="001670AD">
        <w:rPr>
          <w:rFonts w:ascii="Arial" w:eastAsia="Calibri" w:hAnsi="Arial" w:cs="Arial"/>
          <w:color w:val="000000" w:themeColor="text1"/>
          <w:lang w:val="es-ES_tradnl"/>
        </w:rPr>
        <w:t xml:space="preserve">El principio de publicidad impone a las autoridades el deber de dar a conocer sus actos, contratos y decisiones, para que se divulguen y eventualmente se controlen dichas actuaciones. Es por eso </w:t>
      </w:r>
      <w:proofErr w:type="gramStart"/>
      <w:r w:rsidRPr="001670AD">
        <w:rPr>
          <w:rFonts w:ascii="Arial" w:eastAsia="Calibri" w:hAnsi="Arial" w:cs="Arial"/>
          <w:color w:val="000000" w:themeColor="text1"/>
          <w:lang w:val="es-ES_tradnl"/>
        </w:rPr>
        <w:t>que</w:t>
      </w:r>
      <w:proofErr w:type="gramEnd"/>
      <w:r w:rsidRPr="001670AD">
        <w:rPr>
          <w:rFonts w:ascii="Arial" w:eastAsia="Calibri" w:hAnsi="Arial" w:cs="Arial"/>
          <w:color w:val="000000" w:themeColor="text1"/>
          <w:lang w:val="es-ES_tradnl"/>
        </w:rPr>
        <w:t>,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1670AD">
        <w:rPr>
          <w:rStyle w:val="Refdenotaalpie"/>
          <w:rFonts w:ascii="Arial" w:eastAsia="Calibri" w:hAnsi="Arial" w:cs="Arial"/>
          <w:color w:val="000000" w:themeColor="text1"/>
          <w:lang w:val="es-ES_tradnl"/>
        </w:rPr>
        <w:footnoteReference w:id="5"/>
      </w:r>
      <w:r w:rsidRPr="001670AD">
        <w:rPr>
          <w:rFonts w:ascii="Arial" w:eastAsia="Calibri" w:hAnsi="Arial" w:cs="Arial"/>
          <w:color w:val="000000" w:themeColor="text1"/>
          <w:lang w:val="es-ES_tradnl"/>
        </w:rPr>
        <w:t xml:space="preserve">. </w:t>
      </w:r>
    </w:p>
    <w:p w14:paraId="1F2D32C8" w14:textId="77777777" w:rsidR="00E74F3F" w:rsidRPr="001670AD" w:rsidRDefault="00E74F3F" w:rsidP="00E74F3F">
      <w:pPr>
        <w:spacing w:after="120" w:line="276" w:lineRule="auto"/>
        <w:ind w:firstLine="709"/>
        <w:jc w:val="both"/>
        <w:rPr>
          <w:rFonts w:ascii="Arial" w:hAnsi="Arial" w:cs="Arial"/>
          <w:color w:val="000000" w:themeColor="text1"/>
          <w:lang w:val="es-ES_tradnl"/>
        </w:rPr>
      </w:pPr>
      <w:r w:rsidRPr="001670AD">
        <w:rPr>
          <w:rFonts w:ascii="Arial" w:hAnsi="Arial" w:cs="Arial"/>
          <w:color w:val="000000" w:themeColor="text1"/>
          <w:lang w:val="es-ES_tradnl"/>
        </w:rPr>
        <w:lastRenderedPageBreak/>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1670AD">
        <w:rPr>
          <w:rStyle w:val="Refdenotaalpie"/>
          <w:rFonts w:ascii="Arial" w:hAnsi="Arial" w:cs="Arial"/>
          <w:color w:val="000000" w:themeColor="text1"/>
          <w:lang w:val="es-ES_tradnl"/>
        </w:rPr>
        <w:footnoteReference w:id="6"/>
      </w:r>
      <w:r w:rsidRPr="001670AD">
        <w:rPr>
          <w:rFonts w:ascii="Arial" w:hAnsi="Arial" w:cs="Arial"/>
          <w:color w:val="000000" w:themeColor="text1"/>
          <w:lang w:val="es-ES_tradnl"/>
        </w:rPr>
        <w:t xml:space="preserve">. El principio de transparencia en la información alude al deber de los sujetos de proporcionar y facilitar el acceso a la misma en los términos más amplios posibles, y a través de los medios y procedimientos legales. En el artículo 5, la ley estatutaria citada incluye dentro de la lista de sujetos obligados a todas las entidades públicas, y, además, en el literal c) a las personas naturales y jurídicas, públicas o privadas, que presten función pública, que presten servicios públicos respecto de la información directamente relacionada con la prestación del servicio público; también incluye en el literal </w:t>
      </w:r>
      <w:r w:rsidRPr="001670AD">
        <w:rPr>
          <w:rFonts w:ascii="Arial" w:eastAsia="Calibri" w:hAnsi="Arial" w:cs="Arial"/>
          <w:color w:val="000000" w:themeColor="text1"/>
        </w:rPr>
        <w:t>g) a las entidades que administren recursos de naturaleza u origen público</w:t>
      </w:r>
      <w:r w:rsidRPr="001670AD">
        <w:rPr>
          <w:rStyle w:val="Refdenotaalpie"/>
          <w:rFonts w:ascii="Arial" w:hAnsi="Arial" w:cs="Arial"/>
          <w:color w:val="000000" w:themeColor="text1"/>
          <w:lang w:val="es-ES_tradnl"/>
        </w:rPr>
        <w:footnoteReference w:id="7"/>
      </w:r>
      <w:r w:rsidRPr="001670AD">
        <w:rPr>
          <w:rFonts w:ascii="Arial" w:eastAsia="Calibri" w:hAnsi="Arial" w:cs="Arial"/>
          <w:color w:val="000000" w:themeColor="text1"/>
        </w:rPr>
        <w:t>.</w:t>
      </w:r>
      <w:r w:rsidRPr="001670AD">
        <w:rPr>
          <w:rFonts w:ascii="Arial" w:hAnsi="Arial" w:cs="Arial"/>
          <w:color w:val="000000" w:themeColor="text1"/>
          <w:lang w:val="es-ES_tradnl"/>
        </w:rPr>
        <w:t xml:space="preserve"> </w:t>
      </w:r>
    </w:p>
    <w:p w14:paraId="76CB3926" w14:textId="77777777" w:rsidR="00E74F3F" w:rsidRPr="001670AD" w:rsidRDefault="00E74F3F" w:rsidP="00E74F3F">
      <w:pPr>
        <w:spacing w:after="120" w:line="276" w:lineRule="auto"/>
        <w:ind w:firstLine="709"/>
        <w:jc w:val="both"/>
        <w:rPr>
          <w:rFonts w:ascii="Arial" w:eastAsia="Calibri" w:hAnsi="Arial" w:cs="Arial"/>
          <w:color w:val="000000" w:themeColor="text1"/>
          <w:lang w:val="es-ES_tradnl"/>
        </w:rPr>
      </w:pPr>
      <w:r w:rsidRPr="001670AD">
        <w:rPr>
          <w:rFonts w:ascii="Arial" w:hAnsi="Arial" w:cs="Arial"/>
          <w:color w:val="000000" w:themeColor="text1"/>
        </w:rPr>
        <w:lastRenderedPageBreak/>
        <w:t>Uno de los deberes definidos en la Ley 1712 de 2014, que deben acatar los sujetos obligados, es publicar la información contractual en el SECOP. En efecto</w:t>
      </w:r>
      <w:r w:rsidRPr="001670AD">
        <w:rPr>
          <w:rFonts w:ascii="Arial" w:hAnsi="Arial" w:cs="Arial"/>
          <w:color w:val="000000" w:themeColor="text1"/>
          <w:lang w:val="es-ES_tradnl"/>
        </w:rPr>
        <w:t>, el literal el) del artículo 9 señala que los sujetos obligados deben publicar la información relativa a su contratación. Esta obligación fue desarrollada por el Decreto Único Reglamentario 1081 de 2015</w:t>
      </w:r>
      <w:r w:rsidRPr="001670AD">
        <w:rPr>
          <w:rStyle w:val="Refdenotaalpie"/>
          <w:rFonts w:ascii="Arial" w:hAnsi="Arial" w:cs="Arial"/>
          <w:color w:val="000000" w:themeColor="text1"/>
          <w:lang w:val="es-ES_tradnl"/>
        </w:rPr>
        <w:footnoteReference w:id="8"/>
      </w:r>
      <w:r w:rsidRPr="001670AD">
        <w:rPr>
          <w:rFonts w:ascii="Arial" w:hAnsi="Arial" w:cs="Arial"/>
          <w:color w:val="000000" w:themeColor="text1"/>
          <w:lang w:val="es-ES_tradnl"/>
        </w:rPr>
        <w:t>, el cual dispuso que la publicación de la información contractual de los sujetos obligados, que contratan con cargo a recursos públicos, debe hacerse en el Sistema Electrónico para la Contratación Pública ─</w:t>
      </w:r>
      <w:r w:rsidRPr="001670AD">
        <w:rPr>
          <w:rFonts w:ascii="Arial" w:hAnsi="Arial" w:cs="Arial"/>
          <w:color w:val="000000" w:themeColor="text1"/>
          <w:lang w:val="es-ES_tradnl"/>
        </w:rPr>
        <w:softHyphen/>
        <w:t xml:space="preserve"> </w:t>
      </w:r>
      <w:r w:rsidRPr="001670AD">
        <w:rPr>
          <w:rFonts w:ascii="Arial" w:hAnsi="Arial" w:cs="Arial"/>
          <w:color w:val="000000" w:themeColor="text1"/>
          <w:lang w:val="es-ES_tradnl"/>
        </w:rPr>
        <w:softHyphen/>
        <w:t>SECOP–</w:t>
      </w:r>
    </w:p>
    <w:p w14:paraId="6D5C58FE" w14:textId="6849651F" w:rsidR="00E74F3F" w:rsidRPr="001670AD" w:rsidRDefault="00E74F3F" w:rsidP="00E74F3F">
      <w:pPr>
        <w:spacing w:after="120" w:line="276" w:lineRule="auto"/>
        <w:ind w:firstLine="709"/>
        <w:jc w:val="both"/>
        <w:rPr>
          <w:rFonts w:ascii="Arial" w:hAnsi="Arial" w:cs="Arial"/>
          <w:color w:val="000000" w:themeColor="text1"/>
          <w:lang w:val="es-ES_tradnl"/>
        </w:rPr>
      </w:pPr>
      <w:r w:rsidRPr="001670AD">
        <w:rPr>
          <w:rFonts w:ascii="Arial" w:hAnsi="Arial" w:cs="Arial"/>
          <w:color w:val="000000" w:themeColor="text1"/>
          <w:lang w:val="es-ES_tradnl"/>
        </w:rPr>
        <w:t>As</w:t>
      </w:r>
      <w:r w:rsidR="004D05A6" w:rsidRPr="001670AD">
        <w:rPr>
          <w:rFonts w:ascii="Arial" w:hAnsi="Arial" w:cs="Arial"/>
          <w:color w:val="000000" w:themeColor="text1"/>
          <w:lang w:val="es-ES_tradnl"/>
        </w:rPr>
        <w:t xml:space="preserve">í </w:t>
      </w:r>
      <w:r w:rsidRPr="001670AD">
        <w:rPr>
          <w:rFonts w:ascii="Arial" w:hAnsi="Arial" w:cs="Arial"/>
          <w:color w:val="000000" w:themeColor="text1"/>
          <w:lang w:val="es-ES_tradnl"/>
        </w:rPr>
        <w:t xml:space="preserve">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1670AD">
        <w:rPr>
          <w:rFonts w:ascii="Arial" w:eastAsia="Calibri" w:hAnsi="Arial" w:cs="Arial"/>
          <w:color w:val="000000" w:themeColor="text1"/>
          <w:lang w:val="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1670AD">
        <w:rPr>
          <w:rStyle w:val="Refdenotaalpie"/>
          <w:rFonts w:ascii="Arial" w:eastAsia="Calibri" w:hAnsi="Arial" w:cs="Arial"/>
          <w:color w:val="000000" w:themeColor="text1"/>
          <w:lang w:val="es-ES_tradnl"/>
        </w:rPr>
        <w:footnoteReference w:id="9"/>
      </w:r>
      <w:r w:rsidRPr="001670AD">
        <w:rPr>
          <w:rFonts w:ascii="Arial" w:eastAsia="Calibri" w:hAnsi="Arial" w:cs="Arial"/>
          <w:color w:val="000000" w:themeColor="text1"/>
          <w:lang w:val="es-ES_tradnl"/>
        </w:rPr>
        <w:t>.</w:t>
      </w:r>
    </w:p>
    <w:p w14:paraId="437C3EF5" w14:textId="50E73946" w:rsidR="0087308D" w:rsidRDefault="00E74F3F" w:rsidP="008D20B4">
      <w:pPr>
        <w:spacing w:after="0" w:line="240" w:lineRule="auto"/>
        <w:contextualSpacing/>
        <w:jc w:val="both"/>
        <w:rPr>
          <w:rFonts w:ascii="Arial" w:hAnsi="Arial" w:cs="Arial"/>
          <w:color w:val="000000" w:themeColor="text1"/>
          <w:lang w:val="es-ES_tradnl"/>
        </w:rPr>
      </w:pPr>
      <w:r w:rsidRPr="001670AD">
        <w:rPr>
          <w:rFonts w:ascii="Arial" w:hAnsi="Arial" w:cs="Arial"/>
          <w:color w:val="000000" w:themeColor="text1"/>
          <w:lang w:val="es-ES_tradnl"/>
        </w:rPr>
        <w:t xml:space="preserve">La Circular Externa Única expedida por la Agencia Nacional de Contratación Pública - Colombia Compra Eficiente estableció que todas las entidades del Estado tienen el deber de publicar oportunamente la información oficial de la contratación en el SECOP, sin distinción de su régimen jurídico, naturaleza jurídica o la pertenencia a una u otra rama del </w:t>
      </w:r>
      <w:r w:rsidRPr="001670AD">
        <w:rPr>
          <w:rFonts w:ascii="Arial" w:hAnsi="Arial" w:cs="Arial"/>
          <w:color w:val="000000" w:themeColor="text1"/>
          <w:lang w:val="es-ES_tradnl"/>
        </w:rPr>
        <w:lastRenderedPageBreak/>
        <w:t>poder público</w:t>
      </w:r>
      <w:r w:rsidRPr="001670AD">
        <w:rPr>
          <w:rStyle w:val="Refdenotaalpie"/>
          <w:rFonts w:ascii="Arial" w:hAnsi="Arial" w:cs="Arial"/>
          <w:color w:val="000000" w:themeColor="text1"/>
          <w:lang w:val="es-ES_tradnl"/>
        </w:rPr>
        <w:footnoteReference w:id="10"/>
      </w:r>
      <w:r w:rsidRPr="001670AD">
        <w:rPr>
          <w:rFonts w:ascii="Arial" w:hAnsi="Arial" w:cs="Arial"/>
          <w:color w:val="000000" w:themeColor="text1"/>
          <w:lang w:val="es-ES_tradnl"/>
        </w:rPr>
        <w:t xml:space="preserve">. Además, esta circular en el numeral 1.1., estableció, que </w:t>
      </w:r>
      <w:r w:rsidR="006F5967" w:rsidRPr="001670AD">
        <w:rPr>
          <w:rFonts w:ascii="Arial" w:hAnsi="Arial" w:cs="Arial"/>
          <w:color w:val="000000" w:themeColor="text1"/>
          <w:lang w:val="es-ES_tradnl"/>
        </w:rPr>
        <w:t>«A partir del 18 de julio de 2022,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w:t>
      </w:r>
      <w:r w:rsidR="006F5967" w:rsidRPr="001670AD">
        <w:rPr>
          <w:rStyle w:val="Refdenotaalpie"/>
          <w:rFonts w:ascii="Arial" w:hAnsi="Arial" w:cs="Arial"/>
          <w:color w:val="000000" w:themeColor="text1"/>
          <w:lang w:val="es-ES_tradnl"/>
        </w:rPr>
        <w:footnoteReference w:id="11"/>
      </w:r>
      <w:r w:rsidR="0087308D">
        <w:rPr>
          <w:rFonts w:ascii="Arial" w:hAnsi="Arial" w:cs="Arial"/>
          <w:color w:val="000000" w:themeColor="text1"/>
          <w:lang w:val="es-ES_tradnl"/>
        </w:rPr>
        <w:t>.</w:t>
      </w:r>
    </w:p>
    <w:p w14:paraId="42C3811F" w14:textId="77777777" w:rsidR="0087308D" w:rsidRDefault="0087308D" w:rsidP="008D20B4">
      <w:pPr>
        <w:spacing w:after="0" w:line="240" w:lineRule="auto"/>
        <w:contextualSpacing/>
        <w:jc w:val="both"/>
        <w:rPr>
          <w:rFonts w:ascii="Arial" w:hAnsi="Arial" w:cs="Arial"/>
          <w:color w:val="000000" w:themeColor="text1"/>
          <w:lang w:val="es-ES_tradnl"/>
        </w:rPr>
      </w:pPr>
    </w:p>
    <w:p w14:paraId="39DD5946" w14:textId="680F53AF" w:rsidR="003E3306" w:rsidRPr="001670AD" w:rsidRDefault="00233A35" w:rsidP="008D20B4">
      <w:pPr>
        <w:spacing w:after="0" w:line="240" w:lineRule="auto"/>
        <w:contextualSpacing/>
        <w:jc w:val="both"/>
        <w:rPr>
          <w:rFonts w:ascii="Arial" w:hAnsi="Arial" w:cs="Arial"/>
          <w:b/>
          <w:bCs/>
          <w:iCs/>
          <w:color w:val="000000" w:themeColor="text1"/>
          <w:lang w:val="es-ES_tradnl"/>
        </w:rPr>
      </w:pPr>
      <w:r w:rsidRPr="001670AD">
        <w:rPr>
          <w:rFonts w:ascii="Arial" w:eastAsia="Times New Roman" w:hAnsi="Arial" w:cs="Arial"/>
          <w:b/>
          <w:bCs/>
          <w:iCs/>
          <w:color w:val="000000" w:themeColor="text1"/>
          <w:lang w:val="es-ES_tradnl" w:eastAsia="es-ES_tradnl"/>
        </w:rPr>
        <w:t xml:space="preserve">2.2. </w:t>
      </w:r>
      <w:r w:rsidR="00FB17D4" w:rsidRPr="001670AD">
        <w:rPr>
          <w:rFonts w:ascii="Arial" w:eastAsia="Times New Roman" w:hAnsi="Arial" w:cs="Arial"/>
          <w:b/>
          <w:bCs/>
          <w:iCs/>
          <w:color w:val="000000" w:themeColor="text1"/>
          <w:lang w:val="es-ES_tradnl" w:eastAsia="es-ES_tradnl"/>
        </w:rPr>
        <w:t xml:space="preserve">Deber de las entidades estatales, exceptuadas del Estatuto General de Contratación de la Administración Pública, de publicar los documentos relacionados con su actividad contractual en el SECOP II. </w:t>
      </w:r>
      <w:r w:rsidR="003E3306" w:rsidRPr="001670AD">
        <w:rPr>
          <w:rFonts w:ascii="Arial" w:hAnsi="Arial" w:cs="Arial"/>
          <w:b/>
          <w:bCs/>
          <w:iCs/>
          <w:color w:val="000000" w:themeColor="text1"/>
          <w:lang w:val="es-ES_tradnl"/>
        </w:rPr>
        <w:t>Modificación introducida por el artículo 53 de la Ley 2195 de 2022</w:t>
      </w:r>
    </w:p>
    <w:p w14:paraId="4B52F098" w14:textId="77777777" w:rsidR="00FB17D4" w:rsidRPr="001670AD" w:rsidRDefault="00FB17D4" w:rsidP="008D20B4">
      <w:pPr>
        <w:spacing w:after="0" w:line="240" w:lineRule="auto"/>
        <w:contextualSpacing/>
        <w:jc w:val="both"/>
        <w:rPr>
          <w:rFonts w:ascii="Arial" w:eastAsia="Calibri" w:hAnsi="Arial" w:cs="Arial"/>
          <w:color w:val="000000" w:themeColor="text1"/>
          <w:lang w:val="es-ES_tradnl" w:eastAsia="es-ES_tradnl"/>
        </w:rPr>
      </w:pPr>
    </w:p>
    <w:p w14:paraId="53375335" w14:textId="4C31F3D8" w:rsidR="007D3434" w:rsidRPr="001670AD" w:rsidRDefault="005147F7" w:rsidP="00FC7E6B">
      <w:pPr>
        <w:spacing w:after="120" w:line="276" w:lineRule="auto"/>
        <w:contextualSpacing/>
        <w:jc w:val="both"/>
        <w:rPr>
          <w:rFonts w:ascii="Arial" w:hAnsi="Arial" w:cs="Arial"/>
          <w:color w:val="000000" w:themeColor="text1"/>
        </w:rPr>
      </w:pPr>
      <w:bookmarkStart w:id="4" w:name="_Hlk109111930"/>
      <w:r w:rsidRPr="001670AD">
        <w:rPr>
          <w:rFonts w:ascii="Arial" w:hAnsi="Arial" w:cs="Arial"/>
          <w:color w:val="000000" w:themeColor="text1"/>
        </w:rPr>
        <w:t>L</w:t>
      </w:r>
      <w:r w:rsidR="007D3434" w:rsidRPr="001670AD">
        <w:rPr>
          <w:rFonts w:ascii="Arial" w:hAnsi="Arial" w:cs="Arial"/>
          <w:color w:val="000000" w:themeColor="text1"/>
        </w:rPr>
        <w:t xml:space="preserve">a Ley 2195 de 2022, </w:t>
      </w:r>
      <w:r w:rsidR="0093061A" w:rsidRPr="001670AD">
        <w:rPr>
          <w:rFonts w:ascii="Arial" w:hAnsi="Arial" w:cs="Arial"/>
          <w:color w:val="000000" w:themeColor="text1"/>
        </w:rPr>
        <w:t>por medio de la cual se adoptan medidas en materia de transparencia, prevención</w:t>
      </w:r>
      <w:r w:rsidR="006F4CAF" w:rsidRPr="001670AD">
        <w:rPr>
          <w:rFonts w:ascii="Arial" w:hAnsi="Arial" w:cs="Arial"/>
          <w:color w:val="000000" w:themeColor="text1"/>
        </w:rPr>
        <w:t xml:space="preserve"> y lucha contra la corrupción</w:t>
      </w:r>
      <w:r w:rsidRPr="001670AD">
        <w:rPr>
          <w:rFonts w:ascii="Arial" w:hAnsi="Arial" w:cs="Arial"/>
          <w:color w:val="000000" w:themeColor="text1"/>
        </w:rPr>
        <w:t xml:space="preserve">, dispone en </w:t>
      </w:r>
      <w:r w:rsidRPr="001670AD">
        <w:rPr>
          <w:rFonts w:ascii="Arial" w:eastAsia="Calibri" w:hAnsi="Arial" w:cs="Arial"/>
          <w:color w:val="000000" w:themeColor="text1"/>
          <w:lang w:val="es-ES_tradnl" w:eastAsia="es-ES_tradnl"/>
        </w:rPr>
        <w:t>su</w:t>
      </w:r>
      <w:r w:rsidR="00905CEC" w:rsidRPr="001670AD">
        <w:rPr>
          <w:rFonts w:ascii="Arial" w:eastAsia="Calibri" w:hAnsi="Arial" w:cs="Arial"/>
          <w:color w:val="000000" w:themeColor="text1"/>
          <w:lang w:val="es-ES_tradnl" w:eastAsia="es-ES_tradnl"/>
        </w:rPr>
        <w:t xml:space="preserve"> artículo 1, </w:t>
      </w:r>
      <w:r w:rsidR="00835C7F" w:rsidRPr="001670AD">
        <w:rPr>
          <w:rFonts w:ascii="Arial" w:eastAsia="Calibri" w:hAnsi="Arial" w:cs="Arial"/>
          <w:color w:val="000000" w:themeColor="text1"/>
          <w:lang w:val="es-ES_tradnl" w:eastAsia="es-ES_tradnl"/>
        </w:rPr>
        <w:t xml:space="preserve">que </w:t>
      </w:r>
      <w:r w:rsidR="00905CEC" w:rsidRPr="001670AD">
        <w:rPr>
          <w:rFonts w:ascii="Arial" w:eastAsia="Calibri" w:hAnsi="Arial" w:cs="Arial"/>
          <w:color w:val="000000" w:themeColor="text1"/>
          <w:lang w:val="es-ES_tradnl" w:eastAsia="es-ES_tradnl"/>
        </w:rPr>
        <w:t>esta Ley «</w:t>
      </w:r>
      <w:r w:rsidR="00905CEC" w:rsidRPr="001670AD">
        <w:rPr>
          <w:rFonts w:ascii="Arial" w:eastAsia="Times New Roman" w:hAnsi="Arial" w:cs="Arial"/>
          <w:color w:val="000000" w:themeColor="text1"/>
          <w:lang w:val="es-ES_tradnl" w:eastAsia="es-ES_tradnl"/>
        </w:rPr>
        <w:t xml:space="preserve">[…] </w:t>
      </w:r>
      <w:r w:rsidR="00905CEC" w:rsidRPr="001670AD">
        <w:rPr>
          <w:rFonts w:ascii="Arial" w:eastAsia="Calibri" w:hAnsi="Arial" w:cs="Arial"/>
          <w:color w:val="000000" w:themeColor="text1"/>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w:t>
      </w:r>
      <w:r w:rsidR="00FD7B08" w:rsidRPr="001670AD">
        <w:rPr>
          <w:rFonts w:ascii="Arial" w:eastAsia="Calibri" w:hAnsi="Arial" w:cs="Arial"/>
          <w:color w:val="000000" w:themeColor="text1"/>
          <w:lang w:val="es-ES_tradnl" w:eastAsia="es-ES_tradnl"/>
        </w:rPr>
        <w:t xml:space="preserve">Dentro del capítulo VIII de esta Ley, que lleva por título «Disposiciones en materia contractual para la moralización y la transparencia», se ubica </w:t>
      </w:r>
      <w:r w:rsidR="006F4CAF" w:rsidRPr="001670AD">
        <w:rPr>
          <w:rFonts w:ascii="Arial" w:hAnsi="Arial" w:cs="Arial"/>
          <w:color w:val="000000" w:themeColor="text1"/>
        </w:rPr>
        <w:t xml:space="preserve">el </w:t>
      </w:r>
      <w:r w:rsidR="0093061A" w:rsidRPr="001670AD">
        <w:rPr>
          <w:rFonts w:ascii="Arial" w:hAnsi="Arial" w:cs="Arial"/>
          <w:color w:val="000000" w:themeColor="text1"/>
        </w:rPr>
        <w:t>artículo 53</w:t>
      </w:r>
      <w:r w:rsidR="00DE64FE" w:rsidRPr="001670AD">
        <w:rPr>
          <w:rFonts w:ascii="Arial" w:hAnsi="Arial" w:cs="Arial"/>
          <w:color w:val="000000" w:themeColor="text1"/>
        </w:rPr>
        <w:t xml:space="preserve">, </w:t>
      </w:r>
      <w:r w:rsidR="00B93F90" w:rsidRPr="001670AD">
        <w:rPr>
          <w:rFonts w:ascii="Arial" w:hAnsi="Arial" w:cs="Arial"/>
          <w:color w:val="000000" w:themeColor="text1"/>
        </w:rPr>
        <w:t>mediante el cual se adiciona el artículo 13 de la Ley 1150 de 2007</w:t>
      </w:r>
      <w:r w:rsidR="006E7ACB" w:rsidRPr="001670AD">
        <w:rPr>
          <w:rFonts w:ascii="Arial" w:hAnsi="Arial" w:cs="Arial"/>
          <w:color w:val="000000" w:themeColor="text1"/>
        </w:rPr>
        <w:t xml:space="preserve">. La referida disposición </w:t>
      </w:r>
      <w:r w:rsidR="00031C68" w:rsidRPr="001670AD">
        <w:rPr>
          <w:rFonts w:ascii="Arial" w:hAnsi="Arial" w:cs="Arial"/>
          <w:color w:val="000000" w:themeColor="text1"/>
        </w:rPr>
        <w:t>les</w:t>
      </w:r>
      <w:r w:rsidR="007D3434" w:rsidRPr="001670AD">
        <w:rPr>
          <w:rFonts w:ascii="Arial" w:hAnsi="Arial" w:cs="Arial"/>
          <w:color w:val="000000" w:themeColor="text1"/>
        </w:rPr>
        <w:t xml:space="preserve">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w:t>
      </w:r>
      <w:r w:rsidR="006378C7" w:rsidRPr="001670AD">
        <w:rPr>
          <w:rFonts w:ascii="Arial" w:hAnsi="Arial" w:cs="Arial"/>
          <w:color w:val="000000" w:themeColor="text1"/>
        </w:rPr>
        <w:t>–</w:t>
      </w:r>
      <w:r w:rsidR="007D3434" w:rsidRPr="001670AD">
        <w:rPr>
          <w:rFonts w:ascii="Arial" w:hAnsi="Arial" w:cs="Arial"/>
          <w:color w:val="000000" w:themeColor="text1"/>
        </w:rPr>
        <w:t xml:space="preserve">SECOP II- o la plataforma transaccional que haga sus veces. </w:t>
      </w:r>
      <w:bookmarkEnd w:id="4"/>
      <w:r w:rsidR="007D3434" w:rsidRPr="001670AD">
        <w:rPr>
          <w:rFonts w:ascii="Arial" w:hAnsi="Arial" w:cs="Arial"/>
          <w:color w:val="000000" w:themeColor="text1"/>
        </w:rPr>
        <w:t xml:space="preserve">Al respecto, la </w:t>
      </w:r>
      <w:r w:rsidR="006E7ACB" w:rsidRPr="001670AD">
        <w:rPr>
          <w:rFonts w:ascii="Arial" w:hAnsi="Arial" w:cs="Arial"/>
          <w:color w:val="000000" w:themeColor="text1"/>
        </w:rPr>
        <w:t>norma</w:t>
      </w:r>
      <w:r w:rsidR="007D3434" w:rsidRPr="001670AD">
        <w:rPr>
          <w:rFonts w:ascii="Arial" w:hAnsi="Arial" w:cs="Arial"/>
          <w:color w:val="000000" w:themeColor="text1"/>
        </w:rPr>
        <w:t xml:space="preserve"> citada</w:t>
      </w:r>
      <w:r w:rsidR="00637BEE" w:rsidRPr="001670AD">
        <w:rPr>
          <w:rFonts w:ascii="Arial" w:hAnsi="Arial" w:cs="Arial"/>
          <w:color w:val="000000" w:themeColor="text1"/>
        </w:rPr>
        <w:t>,</w:t>
      </w:r>
      <w:r w:rsidR="007D3434" w:rsidRPr="001670AD">
        <w:rPr>
          <w:rFonts w:ascii="Arial" w:hAnsi="Arial" w:cs="Arial"/>
          <w:color w:val="000000" w:themeColor="text1"/>
        </w:rPr>
        <w:t xml:space="preserve"> de manera expresa</w:t>
      </w:r>
      <w:r w:rsidR="00637BEE" w:rsidRPr="001670AD">
        <w:rPr>
          <w:rFonts w:ascii="Arial" w:hAnsi="Arial" w:cs="Arial"/>
          <w:color w:val="000000" w:themeColor="text1"/>
        </w:rPr>
        <w:t>,</w:t>
      </w:r>
      <w:r w:rsidR="007D3434" w:rsidRPr="001670AD">
        <w:rPr>
          <w:rFonts w:ascii="Arial" w:hAnsi="Arial" w:cs="Arial"/>
          <w:color w:val="000000" w:themeColor="text1"/>
        </w:rPr>
        <w:t xml:space="preserve"> señala:</w:t>
      </w:r>
    </w:p>
    <w:p w14:paraId="0C800BCC" w14:textId="77777777" w:rsidR="007D3434" w:rsidRPr="00FC7E6B" w:rsidRDefault="007D3434" w:rsidP="00E00E46">
      <w:pPr>
        <w:spacing w:after="0" w:line="240" w:lineRule="auto"/>
        <w:ind w:firstLine="301"/>
        <w:contextualSpacing/>
        <w:rPr>
          <w:rFonts w:ascii="Arial" w:hAnsi="Arial" w:cs="Arial"/>
          <w:color w:val="000000" w:themeColor="text1"/>
        </w:rPr>
      </w:pPr>
    </w:p>
    <w:p w14:paraId="27514809" w14:textId="77777777" w:rsidR="007D3434" w:rsidRPr="001670AD" w:rsidRDefault="007D3434" w:rsidP="00E00E46">
      <w:pPr>
        <w:spacing w:after="0" w:line="240" w:lineRule="auto"/>
        <w:ind w:left="709" w:right="709"/>
        <w:contextualSpacing/>
        <w:jc w:val="both"/>
        <w:rPr>
          <w:rFonts w:ascii="Arial" w:eastAsia="Calibri" w:hAnsi="Arial" w:cs="Arial"/>
          <w:color w:val="000000" w:themeColor="text1"/>
          <w:sz w:val="21"/>
          <w:szCs w:val="21"/>
        </w:rPr>
      </w:pPr>
      <w:r w:rsidRPr="001670AD">
        <w:rPr>
          <w:rFonts w:ascii="Arial" w:eastAsia="Calibri" w:hAnsi="Arial" w:cs="Arial"/>
          <w:color w:val="000000" w:themeColor="text1"/>
          <w:sz w:val="21"/>
          <w:szCs w:val="21"/>
        </w:rPr>
        <w:t>Adiciónese los siguientes incisos al artículo 13 de la Ley 1150 de 2007, el cual quedará así:</w:t>
      </w:r>
    </w:p>
    <w:p w14:paraId="74453A36" w14:textId="77777777" w:rsidR="007D3434" w:rsidRPr="001670AD" w:rsidRDefault="007D3434" w:rsidP="00E00E46">
      <w:pPr>
        <w:spacing w:after="0" w:line="240" w:lineRule="auto"/>
        <w:ind w:left="709" w:right="709"/>
        <w:contextualSpacing/>
        <w:jc w:val="both"/>
        <w:rPr>
          <w:rFonts w:ascii="Arial" w:eastAsia="Calibri" w:hAnsi="Arial" w:cs="Arial"/>
          <w:color w:val="000000" w:themeColor="text1"/>
          <w:sz w:val="21"/>
          <w:szCs w:val="21"/>
        </w:rPr>
      </w:pPr>
    </w:p>
    <w:p w14:paraId="1ED72B9F" w14:textId="77777777" w:rsidR="007D3434" w:rsidRPr="001670AD" w:rsidRDefault="007D3434" w:rsidP="00E00E46">
      <w:pPr>
        <w:spacing w:after="0" w:line="240" w:lineRule="auto"/>
        <w:ind w:left="709" w:right="709"/>
        <w:contextualSpacing/>
        <w:jc w:val="both"/>
        <w:rPr>
          <w:rFonts w:ascii="Arial" w:eastAsia="Calibri" w:hAnsi="Arial" w:cs="Arial"/>
          <w:color w:val="000000" w:themeColor="text1"/>
          <w:sz w:val="21"/>
          <w:szCs w:val="21"/>
        </w:rPr>
      </w:pPr>
      <w:r w:rsidRPr="001670AD">
        <w:rPr>
          <w:rFonts w:ascii="Arial" w:eastAsia="Calibri" w:hAnsi="Arial" w:cs="Arial"/>
          <w:color w:val="000000" w:themeColor="text1"/>
          <w:sz w:val="21"/>
          <w:szCs w:val="21"/>
        </w:rPr>
        <w:t xml:space="preserve">Artículo 13. PRINCIPIOS GENERALES DE LA ACTIVIDAD CONTRACTUAL PARA ENTIDADES NO SOMETIDAS AL ESTATUTO GENERAL DE CONTRATACIÓN DE LA ADMINISTRACIÓN PÚBLICA. Las entidades estatales </w:t>
      </w:r>
      <w:r w:rsidRPr="001670AD">
        <w:rPr>
          <w:rFonts w:ascii="Arial" w:eastAsia="Calibri" w:hAnsi="Arial" w:cs="Arial"/>
          <w:color w:val="000000" w:themeColor="text1"/>
          <w:sz w:val="21"/>
          <w:szCs w:val="21"/>
        </w:rPr>
        <w:lastRenderedPageBreak/>
        <w:t>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3FB12BEF" w14:textId="77777777" w:rsidR="007D3434" w:rsidRPr="001670AD" w:rsidRDefault="007D3434" w:rsidP="00E00E46">
      <w:pPr>
        <w:spacing w:after="0" w:line="240" w:lineRule="auto"/>
        <w:ind w:left="709" w:right="709"/>
        <w:contextualSpacing/>
        <w:jc w:val="both"/>
        <w:rPr>
          <w:rFonts w:ascii="Arial" w:eastAsia="Calibri" w:hAnsi="Arial" w:cs="Arial"/>
          <w:color w:val="000000" w:themeColor="text1"/>
          <w:sz w:val="21"/>
          <w:szCs w:val="21"/>
        </w:rPr>
      </w:pPr>
    </w:p>
    <w:p w14:paraId="0AEF3A02" w14:textId="46630494" w:rsidR="007D3434" w:rsidRPr="001670AD" w:rsidRDefault="007D3434" w:rsidP="00E00E46">
      <w:pPr>
        <w:spacing w:after="0" w:line="240" w:lineRule="auto"/>
        <w:ind w:left="709" w:right="709"/>
        <w:contextualSpacing/>
        <w:jc w:val="both"/>
        <w:rPr>
          <w:rFonts w:ascii="Arial" w:eastAsia="Calibri" w:hAnsi="Arial" w:cs="Arial"/>
          <w:i/>
          <w:iCs/>
          <w:color w:val="000000" w:themeColor="text1"/>
          <w:sz w:val="21"/>
          <w:szCs w:val="21"/>
        </w:rPr>
      </w:pPr>
      <w:r w:rsidRPr="001670AD">
        <w:rPr>
          <w:rFonts w:ascii="Arial" w:eastAsia="Calibri" w:hAnsi="Arial" w:cs="Arial"/>
          <w:i/>
          <w:iCs/>
          <w:color w:val="000000" w:themeColor="text1"/>
          <w:sz w:val="21"/>
          <w:szCs w:val="21"/>
        </w:rPr>
        <w:t xml:space="preserve">En desarrollo de los anteriores principios, deberán publicar los documentos relacionados con su actividad contractual en el Sistema Electrónico para la Contratación </w:t>
      </w:r>
      <w:r w:rsidR="006378C7" w:rsidRPr="001670AD">
        <w:rPr>
          <w:rFonts w:ascii="Arial" w:eastAsia="Calibri" w:hAnsi="Arial" w:cs="Arial"/>
          <w:i/>
          <w:iCs/>
          <w:color w:val="000000" w:themeColor="text1"/>
          <w:sz w:val="21"/>
          <w:szCs w:val="21"/>
        </w:rPr>
        <w:t xml:space="preserve">Pública </w:t>
      </w:r>
      <w:r w:rsidRPr="001670AD">
        <w:rPr>
          <w:rFonts w:ascii="Arial" w:eastAsia="Calibri" w:hAnsi="Arial" w:cs="Arial"/>
          <w:i/>
          <w:iCs/>
          <w:color w:val="000000" w:themeColor="text1"/>
          <w:sz w:val="21"/>
          <w:szCs w:val="21"/>
        </w:rPr>
        <w:t>–SECOP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w:t>
      </w:r>
    </w:p>
    <w:p w14:paraId="16910B76" w14:textId="77777777" w:rsidR="007D3434" w:rsidRPr="001670AD" w:rsidRDefault="007D3434" w:rsidP="00E00E46">
      <w:pPr>
        <w:spacing w:after="0" w:line="240" w:lineRule="auto"/>
        <w:ind w:left="709" w:right="709"/>
        <w:contextualSpacing/>
        <w:jc w:val="both"/>
        <w:rPr>
          <w:rFonts w:ascii="Arial" w:eastAsia="Calibri" w:hAnsi="Arial" w:cs="Arial"/>
          <w:color w:val="000000" w:themeColor="text1"/>
          <w:sz w:val="21"/>
          <w:szCs w:val="21"/>
        </w:rPr>
      </w:pPr>
    </w:p>
    <w:p w14:paraId="55717233" w14:textId="77777777" w:rsidR="007D3434" w:rsidRPr="001670AD" w:rsidRDefault="007D3434" w:rsidP="00E00E46">
      <w:pPr>
        <w:spacing w:after="0" w:line="240" w:lineRule="auto"/>
        <w:ind w:left="709" w:right="709"/>
        <w:contextualSpacing/>
        <w:jc w:val="both"/>
        <w:rPr>
          <w:rFonts w:ascii="Arial" w:eastAsia="Calibri" w:hAnsi="Arial" w:cs="Arial"/>
          <w:color w:val="000000" w:themeColor="text1"/>
          <w:sz w:val="21"/>
          <w:szCs w:val="21"/>
        </w:rPr>
      </w:pPr>
      <w:r w:rsidRPr="001670AD">
        <w:rPr>
          <w:rFonts w:ascii="Arial" w:eastAsia="Calibri" w:hAnsi="Arial" w:cs="Arial"/>
          <w:color w:val="000000" w:themeColor="text1"/>
          <w:sz w:val="21"/>
          <w:szCs w:val="21"/>
        </w:rPr>
        <w:t>A partir de la entrada en vigencia de la presente Ley, se establecerá un periodo de transición de seis (6) meses, para que las entidades den cumplimiento efectivo a lo aquí establecido. (Cursiva fuera del original).</w:t>
      </w:r>
    </w:p>
    <w:p w14:paraId="28B2006D" w14:textId="77777777" w:rsidR="00294774" w:rsidRPr="00FC7E6B" w:rsidRDefault="00294774" w:rsidP="00E00E46">
      <w:pPr>
        <w:spacing w:after="0" w:line="240" w:lineRule="auto"/>
        <w:ind w:firstLine="709"/>
        <w:contextualSpacing/>
        <w:jc w:val="both"/>
        <w:rPr>
          <w:rFonts w:ascii="Arial" w:eastAsia="Calibri" w:hAnsi="Arial" w:cs="Arial"/>
          <w:color w:val="000000" w:themeColor="text1"/>
          <w:lang w:val="es-ES_tradnl"/>
        </w:rPr>
      </w:pPr>
    </w:p>
    <w:p w14:paraId="68122E95" w14:textId="5FB36A38" w:rsidR="002352CE" w:rsidRPr="001670AD" w:rsidRDefault="007D3434" w:rsidP="00835E90">
      <w:pPr>
        <w:spacing w:after="120" w:line="276" w:lineRule="auto"/>
        <w:ind w:firstLine="709"/>
        <w:jc w:val="both"/>
        <w:rPr>
          <w:rFonts w:ascii="Arial" w:eastAsia="Calibri" w:hAnsi="Arial" w:cs="Arial"/>
          <w:color w:val="000000" w:themeColor="text1"/>
          <w:lang w:val="es-ES_tradnl" w:eastAsia="es-ES_tradnl"/>
        </w:rPr>
      </w:pPr>
      <w:r w:rsidRPr="001670AD">
        <w:rPr>
          <w:rFonts w:ascii="Arial" w:eastAsia="Calibri" w:hAnsi="Arial" w:cs="Arial"/>
          <w:color w:val="000000" w:themeColor="text1"/>
          <w:lang w:val="es-ES_tradnl"/>
        </w:rPr>
        <w:t xml:space="preserve">Cabe destacar que cuando la norma trascrita hace referencia a que el mencionado deber de publicidad debe cumplirse en el SECOP II o </w:t>
      </w:r>
      <w:r w:rsidRPr="001670AD">
        <w:rPr>
          <w:rFonts w:ascii="Arial" w:hAnsi="Arial" w:cs="Arial"/>
          <w:color w:val="000000" w:themeColor="text1"/>
        </w:rPr>
        <w:t>«</w:t>
      </w:r>
      <w:r w:rsidRPr="001670AD">
        <w:rPr>
          <w:rFonts w:ascii="Arial" w:eastAsia="Calibri" w:hAnsi="Arial" w:cs="Arial"/>
          <w:color w:val="000000" w:themeColor="text1"/>
          <w:lang w:val="es-ES_tradnl"/>
        </w:rPr>
        <w:t>la plataforma transaccional que haga sus veces</w:t>
      </w:r>
      <w:r w:rsidRPr="001670AD">
        <w:rPr>
          <w:rFonts w:ascii="Arial" w:hAnsi="Arial" w:cs="Arial"/>
          <w:color w:val="000000" w:themeColor="text1"/>
        </w:rPr>
        <w:t>»</w:t>
      </w:r>
      <w:r w:rsidRPr="001670AD">
        <w:rPr>
          <w:rFonts w:ascii="Arial" w:eastAsia="Calibri" w:hAnsi="Arial" w:cs="Arial"/>
          <w:color w:val="000000" w:themeColor="text1"/>
          <w:lang w:val="es-ES_tradnl"/>
        </w:rPr>
        <w:t xml:space="preserve">,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w:t>
      </w:r>
      <w:r w:rsidRPr="001670AD">
        <w:rPr>
          <w:rFonts w:ascii="Arial" w:hAnsi="Arial" w:cs="Arial"/>
          <w:color w:val="000000" w:themeColor="text1"/>
        </w:rPr>
        <w:t>«</w:t>
      </w:r>
      <w:r w:rsidRPr="001670AD">
        <w:rPr>
          <w:rFonts w:ascii="Arial" w:eastAsia="Calibri" w:hAnsi="Arial" w:cs="Arial"/>
          <w:color w:val="000000" w:themeColor="text1"/>
          <w:lang w:val="es-ES_tradnl"/>
        </w:rPr>
        <w:t>la plataforma que haga sus veces</w:t>
      </w:r>
      <w:r w:rsidRPr="001670AD">
        <w:rPr>
          <w:rFonts w:ascii="Arial" w:hAnsi="Arial" w:cs="Arial"/>
          <w:color w:val="000000" w:themeColor="text1"/>
        </w:rPr>
        <w:t>»</w:t>
      </w:r>
      <w:r w:rsidRPr="001670AD">
        <w:rPr>
          <w:rFonts w:ascii="Arial" w:eastAsia="Calibri" w:hAnsi="Arial" w:cs="Arial"/>
          <w:color w:val="000000" w:themeColor="text1"/>
          <w:lang w:val="es-ES_tradnl"/>
        </w:rPr>
        <w:t xml:space="preserve"> no puede interpretarse como una autorización para que las entidades obligadas en virtud del artículo 53 de la Ley 2195 de 2022 pueden emplear sus páginas web o sus propios portales electrónicos para cumplir con el deber de publicidad que les asiste. </w:t>
      </w:r>
      <w:r w:rsidR="002352CE" w:rsidRPr="001670AD">
        <w:rPr>
          <w:rFonts w:ascii="Arial" w:eastAsia="Calibri" w:hAnsi="Arial" w:cs="Arial"/>
          <w:color w:val="000000" w:themeColor="text1"/>
          <w:lang w:val="es-ES_tradnl" w:eastAsia="es-ES_tradnl"/>
        </w:rPr>
        <w:t>Con esto se logra que la ciudadanía pueda encontrar en un mismo sistema la gestión de la actividad contractual del Estado, garantizándose en mayor grado la transparencia y el acceso a la documentación pública.</w:t>
      </w:r>
    </w:p>
    <w:p w14:paraId="570B6017" w14:textId="1F4EB4B5" w:rsidR="007D3434" w:rsidRPr="001670AD" w:rsidRDefault="007D3434" w:rsidP="00835E90">
      <w:pPr>
        <w:spacing w:before="120" w:after="120" w:line="276" w:lineRule="auto"/>
        <w:ind w:firstLine="709"/>
        <w:jc w:val="both"/>
        <w:rPr>
          <w:rFonts w:ascii="Arial" w:eastAsia="Calibri" w:hAnsi="Arial" w:cs="Arial"/>
          <w:color w:val="000000" w:themeColor="text1"/>
          <w:lang w:val="es-ES_tradnl"/>
        </w:rPr>
      </w:pPr>
      <w:bookmarkStart w:id="5" w:name="_Hlk109111956"/>
      <w:r w:rsidRPr="001670AD">
        <w:rPr>
          <w:rFonts w:ascii="Arial" w:eastAsia="Calibri" w:hAnsi="Arial" w:cs="Arial"/>
          <w:color w:val="000000" w:themeColor="text1"/>
          <w:lang w:val="es-ES_tradnl"/>
        </w:rPr>
        <w:t xml:space="preserve">En cuanto a los documentos que deben ser publicados en el SECOP II a efectos de dar cumplimiento al mandato consagrado en el artículo 53 de la Ley 2195 de 2022, es preciso advertir que la disposición hace referencia a los documentos relacionados con su </w:t>
      </w:r>
      <w:r w:rsidRPr="001670AD">
        <w:rPr>
          <w:rFonts w:ascii="Arial" w:eastAsia="Calibri" w:hAnsi="Arial" w:cs="Arial"/>
          <w:i/>
          <w:iCs/>
          <w:color w:val="000000" w:themeColor="text1"/>
          <w:lang w:val="es-ES_tradnl"/>
        </w:rPr>
        <w:t>actividad contractual,</w:t>
      </w:r>
      <w:r w:rsidRPr="001670AD">
        <w:rPr>
          <w:rFonts w:ascii="Arial" w:eastAsia="Calibri" w:hAnsi="Arial" w:cs="Arial"/>
          <w:color w:val="000000" w:themeColor="text1"/>
          <w:lang w:val="es-ES_tradnl"/>
        </w:rPr>
        <w:t xml:space="preserve"> la cual define como «[…] los documentos, contratos, actos e información generada por oferentes, contratista, contratante, supervisor o interventor, tanto en la etapa precontractual, como en la contractual y la postcontractual». En ese sentido, el </w:t>
      </w:r>
      <w:r w:rsidRPr="001670AD">
        <w:rPr>
          <w:rFonts w:ascii="Arial" w:eastAsia="Calibri" w:hAnsi="Arial" w:cs="Arial"/>
          <w:color w:val="000000" w:themeColor="text1"/>
          <w:lang w:val="es-ES_tradnl"/>
        </w:rPr>
        <w:lastRenderedPageBreak/>
        <w:t xml:space="preserve">artículo 53 de la Ley 2195 de 2022 establece el deber de publicar toda aquella información relacionada con el respectivo contrato, sin incluir ninguna excepción relacionada con la naturaleza u objeto </w:t>
      </w:r>
      <w:r w:rsidR="00AB62F0" w:rsidRPr="001670AD">
        <w:rPr>
          <w:rFonts w:ascii="Arial" w:eastAsia="Calibri" w:hAnsi="Arial" w:cs="Arial"/>
          <w:color w:val="000000" w:themeColor="text1"/>
          <w:lang w:val="es-ES_tradnl"/>
        </w:rPr>
        <w:t>contractual</w:t>
      </w:r>
      <w:r w:rsidRPr="001670AD">
        <w:rPr>
          <w:rFonts w:ascii="Arial" w:eastAsia="Calibri" w:hAnsi="Arial" w:cs="Arial"/>
          <w:color w:val="000000" w:themeColor="text1"/>
          <w:lang w:val="es-ES_tradnl"/>
        </w:rPr>
        <w:t xml:space="preserve">, por lo que no puede colegirse que los procesos de contratación relacionados con asuntos </w:t>
      </w:r>
      <w:r w:rsidRPr="001670AD">
        <w:rPr>
          <w:rFonts w:ascii="Arial" w:eastAsia="Calibri" w:hAnsi="Arial" w:cs="Arial"/>
          <w:i/>
          <w:iCs/>
          <w:color w:val="000000" w:themeColor="text1"/>
          <w:lang w:val="es-ES_tradnl"/>
        </w:rPr>
        <w:t>«no misionales»</w:t>
      </w:r>
      <w:r w:rsidRPr="001670AD">
        <w:rPr>
          <w:rFonts w:ascii="Arial" w:eastAsia="Calibri" w:hAnsi="Arial" w:cs="Arial"/>
          <w:color w:val="000000" w:themeColor="text1"/>
          <w:lang w:val="es-ES_tradnl"/>
        </w:rPr>
        <w:t xml:space="preserve"> estén </w:t>
      </w:r>
      <w:r w:rsidRPr="001670AD">
        <w:rPr>
          <w:rFonts w:ascii="Arial" w:eastAsia="Calibri" w:hAnsi="Arial" w:cs="Arial"/>
          <w:i/>
          <w:iCs/>
          <w:color w:val="000000" w:themeColor="text1"/>
          <w:lang w:val="es-ES_tradnl"/>
        </w:rPr>
        <w:t>per se</w:t>
      </w:r>
      <w:r w:rsidRPr="001670AD">
        <w:rPr>
          <w:rFonts w:ascii="Arial" w:eastAsia="Calibri" w:hAnsi="Arial" w:cs="Arial"/>
          <w:color w:val="000000" w:themeColor="text1"/>
          <w:lang w:val="es-ES_tradnl"/>
        </w:rPr>
        <w:t xml:space="preserve"> excluidos del deber de publicidad. </w:t>
      </w:r>
    </w:p>
    <w:bookmarkEnd w:id="5"/>
    <w:p w14:paraId="6A72394E" w14:textId="63847DC8" w:rsidR="007D3434" w:rsidRPr="001670AD" w:rsidRDefault="007D3434">
      <w:pPr>
        <w:spacing w:before="120" w:after="120" w:line="276" w:lineRule="auto"/>
        <w:ind w:firstLine="709"/>
        <w:jc w:val="both"/>
        <w:rPr>
          <w:rFonts w:ascii="Arial" w:eastAsia="Calibri" w:hAnsi="Arial" w:cs="Arial"/>
          <w:color w:val="000000" w:themeColor="text1"/>
          <w:lang w:val="es-ES_tradnl"/>
        </w:rPr>
      </w:pPr>
      <w:r w:rsidRPr="001670AD">
        <w:rPr>
          <w:rFonts w:ascii="Arial" w:eastAsia="Calibri" w:hAnsi="Arial" w:cs="Arial"/>
          <w:color w:val="000000" w:themeColor="text1"/>
          <w:lang w:val="es-ES_tradnl"/>
        </w:rPr>
        <w:t xml:space="preserve">Por lo tanto, para que las entidades exceptuadas cumplan con el deber de publicidad consagrado en el artículo 53 de la Ley 2195 de 2022, se requiere que publiquen en el SECOP II todo documento expedido durante las diferentes etapas del </w:t>
      </w:r>
      <w:r w:rsidR="00F41594" w:rsidRPr="001670AD">
        <w:rPr>
          <w:rFonts w:ascii="Arial" w:eastAsia="Calibri" w:hAnsi="Arial" w:cs="Arial"/>
          <w:color w:val="000000" w:themeColor="text1"/>
          <w:lang w:val="es-ES_tradnl"/>
        </w:rPr>
        <w:t>proceso contractual</w:t>
      </w:r>
      <w:r w:rsidRPr="001670AD">
        <w:rPr>
          <w:rFonts w:ascii="Arial" w:eastAsia="Calibri" w:hAnsi="Arial" w:cs="Arial"/>
          <w:color w:val="000000" w:themeColor="text1"/>
          <w:lang w:val="es-ES_tradnl"/>
        </w:rPr>
        <w:t xml:space="preserve">, abarcando desde la fase previa a su celebración, pasando por la ejecución y hasta la fase posterior a su ejecución. </w:t>
      </w:r>
    </w:p>
    <w:p w14:paraId="76CED7B5" w14:textId="7AB0D999" w:rsidR="00F12475" w:rsidRPr="001670AD" w:rsidRDefault="007D3434">
      <w:pPr>
        <w:spacing w:before="120" w:after="120" w:line="276" w:lineRule="auto"/>
        <w:ind w:firstLine="709"/>
        <w:jc w:val="both"/>
        <w:rPr>
          <w:rFonts w:ascii="Arial" w:eastAsia="Calibri" w:hAnsi="Arial" w:cs="Arial"/>
          <w:color w:val="000000" w:themeColor="text1"/>
          <w:lang w:val="es-ES"/>
        </w:rPr>
      </w:pPr>
      <w:r w:rsidRPr="001670AD">
        <w:rPr>
          <w:rFonts w:ascii="Arial" w:eastAsia="Calibri" w:hAnsi="Arial" w:cs="Arial"/>
          <w:color w:val="000000" w:themeColor="text1"/>
          <w:lang w:val="es-ES"/>
        </w:rPr>
        <w:t>Sin perjuicio de lo anterior, vale la pena aclarar que el cumplimiento del deber de publicación de la documentación contractual debe armonizarse con las normas aplicables al tipo de información que estas contienen</w:t>
      </w:r>
      <w:r w:rsidRPr="001670AD">
        <w:rPr>
          <w:rStyle w:val="Refdenotaalpie"/>
          <w:rFonts w:ascii="Arial" w:eastAsia="Calibri" w:hAnsi="Arial" w:cs="Arial"/>
          <w:color w:val="000000" w:themeColor="text1"/>
          <w:lang w:val="es-ES"/>
        </w:rPr>
        <w:footnoteReference w:id="12"/>
      </w:r>
      <w:r w:rsidRPr="001670AD">
        <w:rPr>
          <w:rFonts w:ascii="Arial" w:eastAsia="Calibri" w:hAnsi="Arial" w:cs="Arial"/>
          <w:color w:val="000000" w:themeColor="text1"/>
          <w:lang w:val="es-ES"/>
        </w:rPr>
        <w:t xml:space="preserve">. </w:t>
      </w:r>
    </w:p>
    <w:p w14:paraId="098A8D00" w14:textId="6E5A17B0" w:rsidR="007D3434" w:rsidRPr="001670AD" w:rsidRDefault="007D3434">
      <w:pPr>
        <w:spacing w:before="120" w:after="120" w:line="276" w:lineRule="auto"/>
        <w:ind w:firstLine="709"/>
        <w:jc w:val="both"/>
        <w:rPr>
          <w:rFonts w:ascii="Arial" w:eastAsia="Calibri" w:hAnsi="Arial" w:cs="Arial"/>
          <w:color w:val="000000" w:themeColor="text1"/>
          <w:lang w:val="es-ES_tradnl"/>
        </w:rPr>
      </w:pPr>
      <w:bookmarkStart w:id="6" w:name="_Hlk109111976"/>
      <w:r w:rsidRPr="001670AD">
        <w:rPr>
          <w:rFonts w:ascii="Arial" w:eastAsia="Calibri" w:hAnsi="Arial" w:cs="Arial"/>
          <w:color w:val="000000" w:themeColor="text1"/>
          <w:lang w:val="es-ES_tradnl"/>
        </w:rPr>
        <w:t xml:space="preserve">Finalmente, el </w:t>
      </w:r>
      <w:r w:rsidR="009365D1" w:rsidRPr="001670AD">
        <w:rPr>
          <w:rFonts w:ascii="Arial" w:eastAsia="Calibri" w:hAnsi="Arial" w:cs="Arial"/>
          <w:color w:val="000000" w:themeColor="text1"/>
          <w:lang w:val="es-ES_tradnl"/>
        </w:rPr>
        <w:t xml:space="preserve">inciso final del </w:t>
      </w:r>
      <w:r w:rsidRPr="001670AD">
        <w:rPr>
          <w:rFonts w:ascii="Arial" w:eastAsia="Calibri" w:hAnsi="Arial" w:cs="Arial"/>
          <w:color w:val="000000" w:themeColor="text1"/>
          <w:lang w:val="es-ES_tradnl"/>
        </w:rPr>
        <w:t>artículo</w:t>
      </w:r>
      <w:r w:rsidR="009365D1" w:rsidRPr="001670AD">
        <w:rPr>
          <w:rFonts w:ascii="Arial" w:eastAsia="Calibri" w:hAnsi="Arial" w:cs="Arial"/>
          <w:color w:val="000000" w:themeColor="text1"/>
          <w:lang w:val="es-ES_tradnl"/>
        </w:rPr>
        <w:t xml:space="preserve"> 53</w:t>
      </w:r>
      <w:r w:rsidRPr="001670AD">
        <w:rPr>
          <w:rFonts w:ascii="Arial" w:eastAsia="Calibri" w:hAnsi="Arial" w:cs="Arial"/>
          <w:color w:val="000000" w:themeColor="text1"/>
          <w:lang w:val="es-ES_tradnl"/>
        </w:rPr>
        <w:t xml:space="preserve"> dispone que «A partir de la </w:t>
      </w:r>
      <w:proofErr w:type="gramStart"/>
      <w:r w:rsidRPr="001670AD">
        <w:rPr>
          <w:rFonts w:ascii="Arial" w:eastAsia="Calibri" w:hAnsi="Arial" w:cs="Arial"/>
          <w:color w:val="000000" w:themeColor="text1"/>
          <w:lang w:val="es-ES_tradnl"/>
        </w:rPr>
        <w:t>entrada en vigencia</w:t>
      </w:r>
      <w:proofErr w:type="gramEnd"/>
      <w:r w:rsidRPr="001670AD">
        <w:rPr>
          <w:rFonts w:ascii="Arial" w:eastAsia="Calibri" w:hAnsi="Arial" w:cs="Arial"/>
          <w:color w:val="000000" w:themeColor="text1"/>
          <w:lang w:val="es-ES_tradnl"/>
        </w:rPr>
        <w:t xml:space="preserve"> de la presente Ley, se establecerá un periodo de transición de seis (6) meses, para que las entidades den cumplimiento efectivo a lo aquí establecido». </w:t>
      </w:r>
      <w:r w:rsidR="000C086F" w:rsidRPr="001670AD">
        <w:rPr>
          <w:rFonts w:ascii="Arial" w:eastAsia="Calibri" w:hAnsi="Arial" w:cs="Arial"/>
          <w:color w:val="000000" w:themeColor="text1"/>
          <w:lang w:val="es-ES_tradnl"/>
        </w:rPr>
        <w:t xml:space="preserve">Es decir, que se trataba un período concedido por el Legislador a las entidades con régimen especial de </w:t>
      </w:r>
      <w:r w:rsidR="000C086F" w:rsidRPr="001670AD">
        <w:rPr>
          <w:rFonts w:ascii="Arial" w:eastAsia="Calibri" w:hAnsi="Arial" w:cs="Arial"/>
          <w:color w:val="000000" w:themeColor="text1"/>
          <w:lang w:val="es-ES_tradnl"/>
        </w:rPr>
        <w:lastRenderedPageBreak/>
        <w:t xml:space="preserve">contratación para adelantar las gestiones administrativas, técnicas y jurídicas pertinentes, a fin de cumplir lo establecido en el artículo citado. Este período de transición estaba comprendido entre el 18 de enero </w:t>
      </w:r>
      <w:r w:rsidR="009024C2" w:rsidRPr="001670AD">
        <w:rPr>
          <w:rFonts w:ascii="Arial" w:eastAsia="Calibri" w:hAnsi="Arial" w:cs="Arial"/>
          <w:color w:val="000000" w:themeColor="text1"/>
          <w:lang w:val="es-ES_tradnl"/>
        </w:rPr>
        <w:t>y e</w:t>
      </w:r>
      <w:r w:rsidR="000C086F" w:rsidRPr="001670AD">
        <w:rPr>
          <w:rFonts w:ascii="Arial" w:eastAsia="Calibri" w:hAnsi="Arial" w:cs="Arial"/>
          <w:color w:val="000000" w:themeColor="text1"/>
          <w:lang w:val="es-ES_tradnl"/>
        </w:rPr>
        <w:t>l 18 de julio de 2022.</w:t>
      </w:r>
    </w:p>
    <w:bookmarkEnd w:id="6"/>
    <w:p w14:paraId="337B17EA" w14:textId="77777777" w:rsidR="0087308D" w:rsidRDefault="007D3434" w:rsidP="00FC7E6B">
      <w:pPr>
        <w:spacing w:after="120" w:line="276" w:lineRule="auto"/>
        <w:jc w:val="both"/>
        <w:rPr>
          <w:rFonts w:ascii="Arial" w:eastAsia="Calibri" w:hAnsi="Arial" w:cs="Arial"/>
          <w:color w:val="000000" w:themeColor="text1"/>
          <w:lang w:val="es-ES_tradnl"/>
        </w:rPr>
      </w:pPr>
      <w:r w:rsidRPr="001670AD">
        <w:rPr>
          <w:rFonts w:ascii="Arial" w:eastAsia="Calibri" w:hAnsi="Arial" w:cs="Arial"/>
          <w:color w:val="000000" w:themeColor="text1"/>
          <w:lang w:val="es-ES_tradnl"/>
        </w:rPr>
        <w:t>Si bien la norma materia de estudio no hace referencia a los contratos suscritos con anterioridad a su entrada en vigencia, de acuerdo con el artículo 38 de la Ley 153 de 1887, el cual dispone que en todo contrato se entenderán incorporadas las leyes vigentes al tiempo de su celebración, la obligación para las entidades estatales exceptuadas de publicar los documentos relacionados con su actividad contractual en el SECOP II aplica para los contratos suscritos con posterioridad al término dispuesto en el artículo 53 de la Ley 2195 de 2022, esto es</w:t>
      </w:r>
      <w:r w:rsidR="00854BC7" w:rsidRPr="001670AD">
        <w:rPr>
          <w:rFonts w:ascii="Arial" w:eastAsia="Calibri" w:hAnsi="Arial" w:cs="Arial"/>
          <w:color w:val="000000" w:themeColor="text1"/>
          <w:lang w:val="es-ES_tradnl"/>
        </w:rPr>
        <w:t>,</w:t>
      </w:r>
      <w:r w:rsidRPr="001670AD">
        <w:rPr>
          <w:rFonts w:ascii="Arial" w:eastAsia="Calibri" w:hAnsi="Arial" w:cs="Arial"/>
          <w:color w:val="000000" w:themeColor="text1"/>
          <w:lang w:val="es-ES_tradnl"/>
        </w:rPr>
        <w:t xml:space="preserve"> el 18 de julio de 2022</w:t>
      </w:r>
      <w:r w:rsidR="00854BC7" w:rsidRPr="001670AD">
        <w:rPr>
          <w:rStyle w:val="Refdenotaalpie"/>
          <w:rFonts w:ascii="Arial" w:eastAsia="Calibri" w:hAnsi="Arial" w:cs="Arial"/>
          <w:color w:val="000000" w:themeColor="text1"/>
          <w:lang w:val="es-ES_tradnl"/>
        </w:rPr>
        <w:footnoteReference w:id="13"/>
      </w:r>
      <w:r w:rsidRPr="001670AD">
        <w:rPr>
          <w:rFonts w:ascii="Arial" w:eastAsia="Calibri" w:hAnsi="Arial" w:cs="Arial"/>
          <w:color w:val="000000" w:themeColor="text1"/>
          <w:lang w:val="es-ES_tradnl"/>
        </w:rPr>
        <w:t>.</w:t>
      </w:r>
    </w:p>
    <w:p w14:paraId="54A1E84C" w14:textId="646EA591" w:rsidR="00ED2BA4" w:rsidRPr="001670AD" w:rsidRDefault="00ED2BA4" w:rsidP="00FC7E6B">
      <w:pPr>
        <w:spacing w:after="120" w:line="276" w:lineRule="auto"/>
        <w:jc w:val="both"/>
        <w:rPr>
          <w:rFonts w:ascii="Arial" w:eastAsia="Calibri" w:hAnsi="Arial" w:cs="Arial"/>
          <w:color w:val="000000" w:themeColor="text1"/>
          <w:lang w:val="es-ES_tradnl"/>
        </w:rPr>
      </w:pPr>
    </w:p>
    <w:p w14:paraId="24EC86D6" w14:textId="7C742C0F" w:rsidR="00EB5459" w:rsidRPr="001670AD" w:rsidRDefault="00EB5459" w:rsidP="0087308D">
      <w:pPr>
        <w:spacing w:after="0" w:line="276" w:lineRule="auto"/>
        <w:contextualSpacing/>
        <w:jc w:val="both"/>
        <w:rPr>
          <w:rFonts w:ascii="Arial" w:eastAsia="Calibri" w:hAnsi="Arial" w:cs="Arial"/>
          <w:b/>
          <w:bCs/>
          <w:color w:val="000000" w:themeColor="text1"/>
          <w:lang w:val="es-ES_tradnl" w:eastAsia="es-ES_tradnl"/>
        </w:rPr>
      </w:pPr>
      <w:r w:rsidRPr="001670AD">
        <w:rPr>
          <w:rFonts w:ascii="Arial" w:eastAsia="Calibri" w:hAnsi="Arial" w:cs="Arial"/>
          <w:b/>
          <w:bCs/>
          <w:color w:val="000000" w:themeColor="text1"/>
          <w:lang w:val="es-ES_tradnl" w:eastAsia="es-ES_tradnl"/>
        </w:rPr>
        <w:t>2.</w:t>
      </w:r>
      <w:r w:rsidR="0087308D">
        <w:rPr>
          <w:rFonts w:ascii="Arial" w:eastAsia="Calibri" w:hAnsi="Arial" w:cs="Arial"/>
          <w:b/>
          <w:bCs/>
          <w:color w:val="000000" w:themeColor="text1"/>
          <w:lang w:val="es-ES_tradnl" w:eastAsia="es-ES_tradnl"/>
        </w:rPr>
        <w:t>3</w:t>
      </w:r>
      <w:r w:rsidRPr="001670AD">
        <w:rPr>
          <w:rFonts w:ascii="Arial" w:eastAsia="Calibri" w:hAnsi="Arial" w:cs="Arial"/>
          <w:b/>
          <w:bCs/>
          <w:color w:val="000000" w:themeColor="text1"/>
          <w:lang w:val="es-ES_tradnl" w:eastAsia="es-ES_tradnl"/>
        </w:rPr>
        <w:t xml:space="preserve">. Uso del SECOP II por las entidades </w:t>
      </w:r>
      <w:r w:rsidRPr="001670AD">
        <w:rPr>
          <w:rFonts w:ascii="Arial" w:eastAsia="Times New Roman" w:hAnsi="Arial" w:cs="Arial"/>
          <w:b/>
          <w:bCs/>
          <w:iCs/>
          <w:color w:val="000000" w:themeColor="text1"/>
          <w:lang w:val="es-ES_tradnl" w:eastAsia="es-ES_tradnl"/>
        </w:rPr>
        <w:t>exceptuadas del Estatuto General de Contratación de la Administración Pública</w:t>
      </w:r>
    </w:p>
    <w:p w14:paraId="20FD7744" w14:textId="77777777" w:rsidR="00EB5459" w:rsidRPr="001670AD" w:rsidRDefault="00EB5459" w:rsidP="00A42AD1">
      <w:pPr>
        <w:spacing w:after="0" w:line="276" w:lineRule="auto"/>
        <w:contextualSpacing/>
        <w:jc w:val="both"/>
        <w:rPr>
          <w:rFonts w:ascii="Arial" w:eastAsia="Calibri" w:hAnsi="Arial" w:cs="Arial"/>
          <w:b/>
          <w:bCs/>
          <w:color w:val="000000" w:themeColor="text1"/>
          <w:lang w:val="es-ES_tradnl" w:eastAsia="es-ES_tradnl"/>
        </w:rPr>
      </w:pPr>
    </w:p>
    <w:p w14:paraId="36D53608" w14:textId="26E54066" w:rsidR="00EB5459" w:rsidRPr="001670AD" w:rsidRDefault="00EB5459" w:rsidP="002C7241">
      <w:pPr>
        <w:spacing w:after="120" w:line="276" w:lineRule="auto"/>
        <w:jc w:val="both"/>
        <w:rPr>
          <w:rFonts w:ascii="Arial" w:eastAsia="Calibri" w:hAnsi="Arial" w:cs="Arial"/>
          <w:color w:val="000000" w:themeColor="text1"/>
          <w:lang w:val="es-ES_tradnl" w:eastAsia="es-ES_tradnl"/>
        </w:rPr>
      </w:pPr>
      <w:r w:rsidRPr="001670AD">
        <w:rPr>
          <w:rFonts w:ascii="Arial" w:eastAsia="Calibri" w:hAnsi="Arial" w:cs="Arial"/>
          <w:color w:val="000000" w:themeColor="text1"/>
          <w:lang w:val="es-ES_tradnl" w:eastAsia="es-ES_tradnl"/>
        </w:rPr>
        <w:t>Con el propósito de garantizar el cumplimiento del mencionado deber de publicidad, la Agencia Nacional de Contratación Pública - Colombia Compra Eficiente, en su calidad de administrador</w:t>
      </w:r>
      <w:r w:rsidR="00D33406" w:rsidRPr="001670AD">
        <w:rPr>
          <w:rFonts w:ascii="Arial" w:eastAsia="Calibri" w:hAnsi="Arial" w:cs="Arial"/>
          <w:color w:val="000000" w:themeColor="text1"/>
          <w:lang w:val="es-ES_tradnl" w:eastAsia="es-ES_tradnl"/>
        </w:rPr>
        <w:t>a</w:t>
      </w:r>
      <w:r w:rsidRPr="001670AD">
        <w:rPr>
          <w:rFonts w:ascii="Arial" w:eastAsia="Calibri" w:hAnsi="Arial" w:cs="Arial"/>
          <w:color w:val="000000" w:themeColor="text1"/>
          <w:lang w:val="es-ES_tradnl" w:eastAsia="es-ES_tradnl"/>
        </w:rPr>
        <w:t xml:space="preserve"> del SECOP, en los términos establecidos en el numeral 8 del artículo 3 del Decreto-Ley 4170</w:t>
      </w:r>
      <w:r w:rsidRPr="001670AD">
        <w:rPr>
          <w:rFonts w:ascii="Arial" w:eastAsia="Calibri" w:hAnsi="Arial" w:cs="Arial"/>
          <w:color w:val="000000" w:themeColor="text1"/>
          <w:vertAlign w:val="superscript"/>
          <w:lang w:val="es-ES_tradnl" w:eastAsia="es-ES_tradnl"/>
        </w:rPr>
        <w:footnoteReference w:id="14"/>
      </w:r>
      <w:r w:rsidRPr="001670AD">
        <w:rPr>
          <w:rFonts w:ascii="Arial" w:eastAsia="Calibri" w:hAnsi="Arial" w:cs="Arial"/>
          <w:color w:val="000000" w:themeColor="text1"/>
          <w:lang w:val="es-ES_tradnl" w:eastAsia="es-ES_tradnl"/>
        </w:rPr>
        <w:t>, tiene dispuesto</w:t>
      </w:r>
      <w:r w:rsidR="00D33406" w:rsidRPr="001670AD">
        <w:rPr>
          <w:rFonts w:ascii="Arial" w:eastAsia="Calibri" w:hAnsi="Arial" w:cs="Arial"/>
          <w:color w:val="000000" w:themeColor="text1"/>
          <w:lang w:val="es-ES_tradnl" w:eastAsia="es-ES_tradnl"/>
        </w:rPr>
        <w:t>s</w:t>
      </w:r>
      <w:r w:rsidRPr="001670AD">
        <w:rPr>
          <w:rFonts w:ascii="Arial" w:eastAsia="Calibri" w:hAnsi="Arial" w:cs="Arial"/>
          <w:color w:val="000000" w:themeColor="text1"/>
          <w:lang w:val="es-ES_tradnl" w:eastAsia="es-ES_tradnl"/>
        </w:rPr>
        <w:t xml:space="preserve"> dos módulos para las entidades estatales con régimen especial, los cuales son:</w:t>
      </w:r>
    </w:p>
    <w:p w14:paraId="2C86B1F1" w14:textId="77777777" w:rsidR="00EB5459" w:rsidRPr="001670AD" w:rsidRDefault="00EB5459" w:rsidP="002C7241">
      <w:pPr>
        <w:numPr>
          <w:ilvl w:val="0"/>
          <w:numId w:val="3"/>
        </w:numPr>
        <w:spacing w:after="120" w:line="276" w:lineRule="auto"/>
        <w:jc w:val="both"/>
        <w:rPr>
          <w:rFonts w:ascii="Arial" w:hAnsi="Arial" w:cs="Arial"/>
          <w:color w:val="000000" w:themeColor="text1"/>
          <w:u w:val="single"/>
          <w:lang w:val="es-MX" w:eastAsia="es-ES"/>
        </w:rPr>
      </w:pPr>
      <w:r w:rsidRPr="001670AD">
        <w:rPr>
          <w:rFonts w:ascii="Arial" w:eastAsia="Times New Roman" w:hAnsi="Arial" w:cs="Arial"/>
          <w:b/>
          <w:bCs/>
          <w:color w:val="000000" w:themeColor="text1"/>
          <w:lang w:val="es-MX" w:eastAsia="es-ES"/>
        </w:rPr>
        <w:t>Contratación Régimen Especial (con ofertas)</w:t>
      </w:r>
      <w:r w:rsidRPr="001670AD">
        <w:rPr>
          <w:rFonts w:ascii="Arial" w:eastAsia="Calibri" w:hAnsi="Arial" w:cs="Arial"/>
          <w:iCs/>
          <w:color w:val="000000" w:themeColor="text1"/>
          <w:vertAlign w:val="superscript"/>
          <w:lang w:val="es-ES"/>
        </w:rPr>
        <w:footnoteReference w:id="15"/>
      </w:r>
      <w:r w:rsidRPr="001670AD">
        <w:rPr>
          <w:rFonts w:ascii="Arial" w:eastAsia="Times New Roman" w:hAnsi="Arial" w:cs="Arial"/>
          <w:b/>
          <w:bCs/>
          <w:color w:val="000000" w:themeColor="text1"/>
          <w:lang w:val="es-MX" w:eastAsia="es-ES"/>
        </w:rPr>
        <w:t>:</w:t>
      </w:r>
      <w:r w:rsidRPr="001670AD">
        <w:rPr>
          <w:rFonts w:ascii="Arial" w:eastAsia="Times New Roman" w:hAnsi="Arial" w:cs="Arial"/>
          <w:color w:val="000000" w:themeColor="text1"/>
          <w:lang w:val="es-MX" w:eastAsia="es-ES"/>
        </w:rPr>
        <w:t xml:space="preserve"> Permite a las entidades gestionar sus procesos competitivos de contratación. Mediante este módulo las entidades pueden adelantar el proceso de contratación de manera transaccional, es decir, que </w:t>
      </w:r>
      <w:r w:rsidRPr="001670AD">
        <w:rPr>
          <w:rFonts w:ascii="Arial" w:eastAsia="Times New Roman" w:hAnsi="Arial" w:cs="Arial"/>
          <w:color w:val="000000" w:themeColor="text1"/>
          <w:lang w:val="es-MX" w:eastAsia="es-CO"/>
        </w:rPr>
        <w:t xml:space="preserve">a través de este módulo las entidades estatales pueden estructurar el proceso de </w:t>
      </w:r>
      <w:r w:rsidRPr="001670AD">
        <w:rPr>
          <w:rFonts w:ascii="Arial" w:eastAsia="Times New Roman" w:hAnsi="Arial" w:cs="Arial"/>
          <w:color w:val="000000" w:themeColor="text1"/>
          <w:lang w:val="es-MX" w:eastAsia="es-CO"/>
        </w:rPr>
        <w:lastRenderedPageBreak/>
        <w:t xml:space="preserve">contratación, recibir ofertas de los proveedores, generar el contrato de electrónico y realizar la gestión contractual. </w:t>
      </w:r>
    </w:p>
    <w:p w14:paraId="5F434696" w14:textId="16AC5F42" w:rsidR="00992653" w:rsidRPr="001670AD" w:rsidRDefault="00EB5459" w:rsidP="008F04CD">
      <w:pPr>
        <w:numPr>
          <w:ilvl w:val="0"/>
          <w:numId w:val="3"/>
        </w:numPr>
        <w:spacing w:after="120" w:line="276" w:lineRule="auto"/>
        <w:jc w:val="both"/>
        <w:rPr>
          <w:rFonts w:ascii="Arial" w:hAnsi="Arial" w:cs="Arial"/>
          <w:color w:val="000000" w:themeColor="text1"/>
          <w:u w:val="single"/>
          <w:lang w:val="es-MX" w:eastAsia="es-ES"/>
        </w:rPr>
      </w:pPr>
      <w:r w:rsidRPr="001670AD">
        <w:rPr>
          <w:rFonts w:ascii="Arial" w:eastAsia="Times New Roman" w:hAnsi="Arial" w:cs="Arial"/>
          <w:b/>
          <w:bCs/>
          <w:color w:val="000000" w:themeColor="text1"/>
          <w:lang w:val="es-MX" w:eastAsia="es-ES"/>
        </w:rPr>
        <w:t>Contratación Régimen Especial (sin ofertas)</w:t>
      </w:r>
      <w:r w:rsidRPr="001670AD">
        <w:rPr>
          <w:rFonts w:ascii="Arial" w:eastAsia="Calibri" w:hAnsi="Arial" w:cs="Arial"/>
          <w:iCs/>
          <w:color w:val="000000" w:themeColor="text1"/>
          <w:vertAlign w:val="superscript"/>
          <w:lang w:val="es-ES"/>
        </w:rPr>
        <w:footnoteReference w:id="16"/>
      </w:r>
      <w:r w:rsidRPr="001670AD">
        <w:rPr>
          <w:rFonts w:ascii="Arial" w:eastAsia="Times New Roman" w:hAnsi="Arial" w:cs="Arial"/>
          <w:b/>
          <w:bCs/>
          <w:color w:val="000000" w:themeColor="text1"/>
          <w:lang w:val="es-MX" w:eastAsia="es-ES"/>
        </w:rPr>
        <w:t>:</w:t>
      </w:r>
      <w:r w:rsidRPr="001670AD">
        <w:rPr>
          <w:rFonts w:ascii="Arial" w:eastAsia="Times New Roman" w:hAnsi="Arial" w:cs="Arial"/>
          <w:color w:val="000000" w:themeColor="text1"/>
          <w:lang w:val="es-MX" w:eastAsia="es-ES"/>
        </w:rPr>
        <w:t xml:space="preserve"> Este módulo permite a las entidades gestionar sus procesos de selección directos. Asimismo, este módulo </w:t>
      </w:r>
      <w:r w:rsidRPr="001670AD">
        <w:rPr>
          <w:rFonts w:ascii="Arial" w:hAnsi="Arial" w:cs="Arial"/>
          <w:color w:val="000000" w:themeColor="text1"/>
          <w:lang w:val="es-MX"/>
        </w:rPr>
        <w:t xml:space="preserve">permite estructurar los procesos de contratación, publicar documentos generados por fuera de la plataforma y realizar la gestión contractual en línea. </w:t>
      </w:r>
    </w:p>
    <w:p w14:paraId="4248FB72" w14:textId="77777777" w:rsidR="00487A2A" w:rsidRPr="001670AD" w:rsidRDefault="00487A2A" w:rsidP="00487A2A">
      <w:pPr>
        <w:autoSpaceDE w:val="0"/>
        <w:autoSpaceDN w:val="0"/>
        <w:adjustRightInd w:val="0"/>
        <w:spacing w:after="120" w:line="276" w:lineRule="auto"/>
        <w:ind w:firstLine="709"/>
        <w:jc w:val="both"/>
        <w:rPr>
          <w:rFonts w:ascii="Arial" w:eastAsia="Calibri" w:hAnsi="Arial" w:cs="Arial"/>
          <w:iCs/>
          <w:lang w:val="es-ES" w:eastAsia="es-ES_tradnl"/>
        </w:rPr>
      </w:pPr>
      <w:r w:rsidRPr="001670AD">
        <w:rPr>
          <w:rFonts w:ascii="Arial" w:eastAsia="Calibri" w:hAnsi="Arial" w:cs="Arial"/>
          <w:iCs/>
          <w:lang w:val="es-ES" w:eastAsia="es-ES_tradnl"/>
        </w:rPr>
        <w:t xml:space="preserve">Ahora bien, </w:t>
      </w:r>
      <w:bookmarkStart w:id="7" w:name="_Hlk109112150"/>
      <w:r w:rsidRPr="001670AD">
        <w:rPr>
          <w:rFonts w:ascii="Arial" w:eastAsia="Calibri" w:hAnsi="Arial" w:cs="Arial"/>
          <w:iCs/>
          <w:lang w:val="es-ES" w:eastAsia="es-ES_tradnl"/>
        </w:rPr>
        <w:t>dado que el artículo 53 de la Ley 2195 de 2022 no cambió la forma en que se perfeccionan los contratos suscritos por estas entidades exceptuadas, para cumplir con el deber de publicidad que les asiste, estas podrán elegir cualquiera de las siguientes opciones:</w:t>
      </w:r>
    </w:p>
    <w:p w14:paraId="1CA50515" w14:textId="77777777" w:rsidR="00487A2A" w:rsidRPr="00FC7E6B" w:rsidRDefault="00487A2A" w:rsidP="00FC7E6B">
      <w:pPr>
        <w:pStyle w:val="Prrafodelista"/>
        <w:numPr>
          <w:ilvl w:val="0"/>
          <w:numId w:val="2"/>
        </w:numPr>
        <w:autoSpaceDE w:val="0"/>
        <w:autoSpaceDN w:val="0"/>
        <w:adjustRightInd w:val="0"/>
        <w:spacing w:after="120" w:line="276" w:lineRule="auto"/>
        <w:contextualSpacing w:val="0"/>
        <w:jc w:val="both"/>
        <w:rPr>
          <w:rFonts w:ascii="Arial" w:eastAsia="Calibri" w:hAnsi="Arial" w:cs="Arial"/>
          <w:iCs/>
          <w:lang w:val="es-ES" w:eastAsia="es-ES_tradnl"/>
        </w:rPr>
      </w:pPr>
      <w:r w:rsidRPr="00FC7E6B">
        <w:rPr>
          <w:rFonts w:ascii="Arial" w:hAnsi="Arial" w:cs="Arial"/>
          <w:lang w:val="es-ES"/>
        </w:rPr>
        <w:t>Firmar</w:t>
      </w:r>
      <w:r w:rsidRPr="00FC7E6B">
        <w:rPr>
          <w:rFonts w:ascii="Arial" w:hAnsi="Arial" w:cs="Arial"/>
          <w:lang w:val="es-MX"/>
        </w:rPr>
        <w:t xml:space="preserve"> el contrato electrónicamente, es decir, realizar un uso transaccional de la plataforma.</w:t>
      </w:r>
    </w:p>
    <w:p w14:paraId="3A839760" w14:textId="3C762CE4" w:rsidR="00487A2A" w:rsidRPr="00FC7E6B" w:rsidRDefault="00487A2A" w:rsidP="00FC7E6B">
      <w:pPr>
        <w:pStyle w:val="Prrafodelista"/>
        <w:numPr>
          <w:ilvl w:val="0"/>
          <w:numId w:val="2"/>
        </w:numPr>
        <w:autoSpaceDE w:val="0"/>
        <w:autoSpaceDN w:val="0"/>
        <w:adjustRightInd w:val="0"/>
        <w:spacing w:after="120" w:line="276" w:lineRule="auto"/>
        <w:contextualSpacing w:val="0"/>
        <w:jc w:val="both"/>
        <w:rPr>
          <w:rFonts w:ascii="Arial" w:eastAsia="Calibri" w:hAnsi="Arial" w:cs="Arial"/>
          <w:iCs/>
          <w:lang w:val="es-ES" w:eastAsia="es-ES_tradnl"/>
        </w:rPr>
      </w:pPr>
      <w:r w:rsidRPr="00FC7E6B">
        <w:rPr>
          <w:rFonts w:ascii="Arial" w:hAnsi="Arial" w:cs="Arial"/>
          <w:lang w:val="es-MX"/>
        </w:rPr>
        <w:t>Firmar el contrato en físico y publicar los documentos de ejecución en la etapa precontractual del SECOP II, es decir, realizar un uso publicitario de la plataforma.</w:t>
      </w:r>
    </w:p>
    <w:p w14:paraId="65532307" w14:textId="77777777" w:rsidR="00487A2A" w:rsidRPr="001670AD" w:rsidRDefault="00487A2A" w:rsidP="00FC7E6B">
      <w:pPr>
        <w:autoSpaceDE w:val="0"/>
        <w:autoSpaceDN w:val="0"/>
        <w:adjustRightInd w:val="0"/>
        <w:spacing w:after="120" w:line="276" w:lineRule="auto"/>
        <w:ind w:firstLine="709"/>
        <w:jc w:val="both"/>
        <w:rPr>
          <w:rFonts w:ascii="Arial" w:eastAsia="Times New Roman" w:hAnsi="Arial" w:cs="Arial"/>
          <w:lang w:eastAsia="es-ES_tradnl"/>
        </w:rPr>
      </w:pPr>
      <w:r w:rsidRPr="001670AD">
        <w:rPr>
          <w:rFonts w:ascii="Arial" w:eastAsia="Times New Roman" w:hAnsi="Arial" w:cs="Arial"/>
          <w:lang w:eastAsia="es-ES_tradnl"/>
        </w:rPr>
        <w:t>En el primer caso, si la entidad opta por hacer uso de la plataforma de manera transaccional (firmando el contrato electrónicamente), deberá utilizar el módulo de «Contratación Régimen Especial», estructurar el proceso de contratación, generar el contrato electrónico y realizar la gestión contractual en línea a través de la plataforma.</w:t>
      </w:r>
    </w:p>
    <w:p w14:paraId="0EB58698" w14:textId="7140E6AD" w:rsidR="00487A2A" w:rsidRPr="00FC7E6B" w:rsidRDefault="00487A2A" w:rsidP="00FC7E6B">
      <w:pPr>
        <w:autoSpaceDE w:val="0"/>
        <w:autoSpaceDN w:val="0"/>
        <w:adjustRightInd w:val="0"/>
        <w:spacing w:after="120" w:line="276" w:lineRule="auto"/>
        <w:ind w:firstLine="709"/>
        <w:jc w:val="both"/>
        <w:rPr>
          <w:rFonts w:ascii="Arial" w:eastAsia="Times New Roman" w:hAnsi="Arial" w:cs="Arial"/>
          <w:lang w:eastAsia="es-ES_tradnl"/>
        </w:rPr>
      </w:pPr>
      <w:r w:rsidRPr="001670AD">
        <w:rPr>
          <w:rFonts w:ascii="Arial" w:eastAsia="Times New Roman" w:hAnsi="Arial" w:cs="Arial"/>
          <w:lang w:eastAsia="es-ES_tradnl"/>
        </w:rPr>
        <w:t>En el segundo caso, si decide utilizar el SECOP II como herramienta de publicidad, deberá crear el proceso de contratación en el SECOP II mediante el módulo «</w:t>
      </w:r>
      <w:r w:rsidRPr="001670AD">
        <w:rPr>
          <w:rFonts w:ascii="Arial" w:eastAsia="Times New Roman" w:hAnsi="Arial" w:cs="Arial"/>
          <w:i/>
          <w:iCs/>
          <w:lang w:eastAsia="es-ES_tradnl"/>
        </w:rPr>
        <w:t>Contratación Régimen Especial (sin ofertas)»</w:t>
      </w:r>
      <w:r w:rsidRPr="001670AD">
        <w:rPr>
          <w:rFonts w:ascii="Arial" w:eastAsia="Times New Roman" w:hAnsi="Arial" w:cs="Arial"/>
          <w:lang w:eastAsia="es-ES_tradnl"/>
        </w:rPr>
        <w:t>, cargar todos los documentos del proceso en la sección dispuesta para ello y publicar el proceso. La publicación de los documentos de la gestión contractual, incluido el contrato firmado manuscritamente, debe realizarse mediante modificaciones al proceso a través de la opción “Modificaciones/Adendas”. Sin embargo, las entidades públicas deberán tener en cuenta que, si utilizan esta opción, no deben dar clic en “</w:t>
      </w:r>
      <w:r w:rsidRPr="001670AD">
        <w:rPr>
          <w:rFonts w:ascii="Arial" w:eastAsia="Times New Roman" w:hAnsi="Arial" w:cs="Arial"/>
          <w:i/>
          <w:iCs/>
          <w:lang w:eastAsia="es-ES_tradnl"/>
        </w:rPr>
        <w:t>Finalizar</w:t>
      </w:r>
      <w:r w:rsidRPr="001670AD">
        <w:rPr>
          <w:rFonts w:ascii="Arial" w:eastAsia="Times New Roman" w:hAnsi="Arial" w:cs="Arial"/>
          <w:lang w:eastAsia="es-ES_tradnl"/>
        </w:rPr>
        <w:t>” después de publicar el proceso, en tanto que la plataforma cierra el expediente y no permite la publicación posterior de ningún otro documento.</w:t>
      </w:r>
      <w:bookmarkEnd w:id="7"/>
    </w:p>
    <w:p w14:paraId="0EC7CFB7" w14:textId="0FCB3702" w:rsidR="00BC19DA" w:rsidRPr="001670AD" w:rsidRDefault="00AE0F7B" w:rsidP="00BC19DA">
      <w:pPr>
        <w:spacing w:after="120" w:line="276" w:lineRule="auto"/>
        <w:ind w:firstLine="709"/>
        <w:jc w:val="both"/>
        <w:rPr>
          <w:rFonts w:ascii="Arial" w:eastAsia="Calibri" w:hAnsi="Arial" w:cs="Arial"/>
          <w:color w:val="000000" w:themeColor="text1"/>
          <w:lang w:val="es-ES"/>
        </w:rPr>
      </w:pPr>
      <w:r w:rsidRPr="001670AD">
        <w:rPr>
          <w:rFonts w:ascii="Arial" w:eastAsia="Calibri" w:hAnsi="Arial" w:cs="Arial"/>
          <w:color w:val="000000" w:themeColor="text1"/>
          <w:lang w:val="es-ES_tradnl" w:eastAsia="es-ES_tradnl"/>
        </w:rPr>
        <w:t>Ahora bien, re</w:t>
      </w:r>
      <w:r w:rsidR="00CA614F" w:rsidRPr="001670AD">
        <w:rPr>
          <w:rFonts w:ascii="Arial" w:eastAsia="Calibri" w:hAnsi="Arial" w:cs="Arial"/>
          <w:color w:val="000000" w:themeColor="text1"/>
          <w:lang w:val="es-ES_tradnl" w:eastAsia="es-ES_tradnl"/>
        </w:rPr>
        <w:t xml:space="preserve">specto al término para publicar los documentos en el SECOP II, </w:t>
      </w:r>
      <w:r w:rsidR="007B33BE" w:rsidRPr="001670AD">
        <w:rPr>
          <w:rFonts w:ascii="Arial" w:eastAsia="Calibri" w:hAnsi="Arial" w:cs="Arial"/>
          <w:color w:val="000000" w:themeColor="text1"/>
          <w:lang w:val="es-ES_tradnl" w:eastAsia="es-ES_tradnl"/>
        </w:rPr>
        <w:t>debe señalarse</w:t>
      </w:r>
      <w:r w:rsidR="000F6E43" w:rsidRPr="001670AD">
        <w:rPr>
          <w:rFonts w:ascii="Arial" w:eastAsia="Calibri" w:hAnsi="Arial" w:cs="Arial"/>
          <w:color w:val="000000" w:themeColor="text1"/>
          <w:lang w:val="es-ES_tradnl" w:eastAsia="es-ES_tradnl"/>
        </w:rPr>
        <w:t>,</w:t>
      </w:r>
      <w:r w:rsidR="007B33BE" w:rsidRPr="001670AD">
        <w:rPr>
          <w:rFonts w:ascii="Arial" w:eastAsia="Calibri" w:hAnsi="Arial" w:cs="Arial"/>
          <w:color w:val="000000" w:themeColor="text1"/>
          <w:lang w:val="es-ES_tradnl" w:eastAsia="es-ES_tradnl"/>
        </w:rPr>
        <w:t xml:space="preserve"> tal y como se expuso en el numeral anterior,</w:t>
      </w:r>
      <w:r w:rsidR="000F6E43" w:rsidRPr="001670AD">
        <w:rPr>
          <w:rFonts w:ascii="Arial" w:eastAsia="Calibri" w:hAnsi="Arial" w:cs="Arial"/>
          <w:color w:val="000000" w:themeColor="text1"/>
          <w:lang w:val="es-ES_tradnl" w:eastAsia="es-ES_tradnl"/>
        </w:rPr>
        <w:t xml:space="preserve"> que</w:t>
      </w:r>
      <w:r w:rsidR="007B33BE" w:rsidRPr="001670AD">
        <w:rPr>
          <w:rFonts w:ascii="Arial" w:eastAsia="Calibri" w:hAnsi="Arial" w:cs="Arial"/>
          <w:color w:val="000000" w:themeColor="text1"/>
          <w:lang w:val="es-ES_tradnl" w:eastAsia="es-ES_tradnl"/>
        </w:rPr>
        <w:t xml:space="preserve"> </w:t>
      </w:r>
      <w:r w:rsidR="00A90047" w:rsidRPr="001670AD">
        <w:rPr>
          <w:rFonts w:ascii="Arial" w:eastAsia="Calibri" w:hAnsi="Arial" w:cs="Arial"/>
          <w:color w:val="000000" w:themeColor="text1"/>
          <w:lang w:val="es-ES"/>
        </w:rPr>
        <w:t xml:space="preserve">el deber de publicar los documentos relacionados con la contratación </w:t>
      </w:r>
      <w:r w:rsidRPr="001670AD">
        <w:rPr>
          <w:rFonts w:ascii="Arial" w:eastAsia="Calibri" w:hAnsi="Arial" w:cs="Arial"/>
          <w:color w:val="000000" w:themeColor="text1"/>
          <w:lang w:val="es-ES"/>
        </w:rPr>
        <w:t xml:space="preserve">también </w:t>
      </w:r>
      <w:r w:rsidR="007B33BE" w:rsidRPr="001670AD">
        <w:rPr>
          <w:rFonts w:ascii="Arial" w:eastAsia="Calibri" w:hAnsi="Arial" w:cs="Arial"/>
          <w:color w:val="000000" w:themeColor="text1"/>
          <w:lang w:val="es-ES"/>
        </w:rPr>
        <w:t xml:space="preserve">se </w:t>
      </w:r>
      <w:r w:rsidR="00A90047" w:rsidRPr="001670AD">
        <w:rPr>
          <w:rFonts w:ascii="Arial" w:eastAsia="Calibri" w:hAnsi="Arial" w:cs="Arial"/>
          <w:color w:val="000000" w:themeColor="text1"/>
          <w:lang w:val="es-ES"/>
        </w:rPr>
        <w:t xml:space="preserve">encuentra regulado </w:t>
      </w:r>
      <w:r w:rsidR="007B33BE" w:rsidRPr="001670AD">
        <w:rPr>
          <w:rFonts w:ascii="Arial" w:eastAsia="Calibri" w:hAnsi="Arial" w:cs="Arial"/>
          <w:color w:val="000000" w:themeColor="text1"/>
          <w:lang w:val="es-ES"/>
        </w:rPr>
        <w:t>en</w:t>
      </w:r>
      <w:r w:rsidR="00A90047" w:rsidRPr="001670AD">
        <w:rPr>
          <w:rFonts w:ascii="Arial" w:eastAsia="Calibri" w:hAnsi="Arial" w:cs="Arial"/>
          <w:color w:val="000000" w:themeColor="text1"/>
          <w:lang w:val="es-ES"/>
        </w:rPr>
        <w:t xml:space="preserve"> la Ley 1712 de 2014, </w:t>
      </w:r>
      <w:r w:rsidR="007B33BE" w:rsidRPr="001670AD">
        <w:rPr>
          <w:rFonts w:ascii="Arial" w:eastAsia="Calibri" w:hAnsi="Arial" w:cs="Arial"/>
          <w:color w:val="000000" w:themeColor="text1"/>
          <w:lang w:val="es-ES"/>
        </w:rPr>
        <w:t>que</w:t>
      </w:r>
      <w:r w:rsidR="00A90047" w:rsidRPr="001670AD">
        <w:rPr>
          <w:rFonts w:ascii="Arial" w:eastAsia="Calibri" w:hAnsi="Arial" w:cs="Arial"/>
          <w:color w:val="000000" w:themeColor="text1"/>
          <w:lang w:val="es-ES"/>
        </w:rPr>
        <w:t xml:space="preserve"> señala en el literal g) del artículo 11, que todo sujeto obligado debe publicar </w:t>
      </w:r>
      <w:r w:rsidR="00A90047" w:rsidRPr="001670AD">
        <w:rPr>
          <w:rFonts w:ascii="Arial" w:eastAsia="Calibri" w:hAnsi="Arial" w:cs="Arial"/>
          <w:color w:val="000000" w:themeColor="text1"/>
          <w:lang w:val="es-ES"/>
        </w:rPr>
        <w:lastRenderedPageBreak/>
        <w:t>sus procedimientos, lineamientos, políticas en materia de adquisiciones y compras, así como todos los datos de adjudicación y ejecución de sus contratos. Esta obligación, en principio, fue reglamentada por el Decreto 103 de 2015, hoy compilado en el Decreto 1081 de 2015. Este último señala</w:t>
      </w:r>
      <w:r w:rsidR="00ED4094" w:rsidRPr="001670AD">
        <w:rPr>
          <w:rFonts w:ascii="Arial" w:eastAsia="Calibri" w:hAnsi="Arial" w:cs="Arial"/>
          <w:color w:val="000000" w:themeColor="text1"/>
          <w:lang w:val="es-ES"/>
        </w:rPr>
        <w:t xml:space="preserve"> </w:t>
      </w:r>
      <w:r w:rsidR="00A90047" w:rsidRPr="001670AD">
        <w:rPr>
          <w:rFonts w:ascii="Arial" w:eastAsia="Calibri" w:hAnsi="Arial" w:cs="Arial"/>
          <w:color w:val="000000" w:themeColor="text1"/>
          <w:lang w:val="es-ES"/>
        </w:rPr>
        <w:t xml:space="preserve">en el artículo 2.1.1.2.1.7, que las entidades deberán publicar en el SECOP </w:t>
      </w:r>
      <w:r w:rsidR="00A90047" w:rsidRPr="001670AD">
        <w:rPr>
          <w:rFonts w:ascii="Arial" w:hAnsi="Arial" w:cs="Arial"/>
          <w:color w:val="000000" w:themeColor="text1"/>
          <w:lang w:val="es-ES"/>
        </w:rPr>
        <w:t>la información de su gestión contractual</w:t>
      </w:r>
      <w:r w:rsidR="00A90047" w:rsidRPr="001670AD">
        <w:rPr>
          <w:rStyle w:val="Refdenotaalpie"/>
          <w:rFonts w:ascii="Arial" w:hAnsi="Arial" w:cs="Arial"/>
          <w:color w:val="000000" w:themeColor="text1"/>
          <w:lang w:val="es-ES"/>
        </w:rPr>
        <w:footnoteReference w:id="17"/>
      </w:r>
      <w:r w:rsidR="00A90047" w:rsidRPr="001670AD">
        <w:rPr>
          <w:rFonts w:ascii="Arial" w:eastAsia="Calibri" w:hAnsi="Arial" w:cs="Arial"/>
          <w:color w:val="000000" w:themeColor="text1"/>
          <w:lang w:val="es-ES"/>
        </w:rPr>
        <w:t>.</w:t>
      </w:r>
      <w:r w:rsidR="002C7241" w:rsidRPr="001670AD">
        <w:rPr>
          <w:rFonts w:ascii="Arial" w:eastAsia="Calibri" w:hAnsi="Arial" w:cs="Arial"/>
          <w:color w:val="000000" w:themeColor="text1"/>
          <w:lang w:val="es-ES"/>
        </w:rPr>
        <w:t>As</w:t>
      </w:r>
      <w:r w:rsidR="000A4283" w:rsidRPr="001670AD">
        <w:rPr>
          <w:rFonts w:ascii="Arial" w:eastAsia="Calibri" w:hAnsi="Arial" w:cs="Arial"/>
          <w:color w:val="000000" w:themeColor="text1"/>
          <w:lang w:val="es-ES"/>
        </w:rPr>
        <w:t xml:space="preserve">í </w:t>
      </w:r>
      <w:r w:rsidR="002C7241" w:rsidRPr="001670AD">
        <w:rPr>
          <w:rFonts w:ascii="Arial" w:eastAsia="Calibri" w:hAnsi="Arial" w:cs="Arial"/>
          <w:color w:val="000000" w:themeColor="text1"/>
          <w:lang w:val="es-ES"/>
        </w:rPr>
        <w:t xml:space="preserve">mismo, este precepto consagra que: </w:t>
      </w:r>
      <w:r w:rsidR="007B33BE" w:rsidRPr="001670AD">
        <w:rPr>
          <w:rFonts w:ascii="Arial" w:eastAsia="Calibri" w:hAnsi="Arial" w:cs="Arial"/>
          <w:color w:val="000000" w:themeColor="text1"/>
          <w:lang w:val="es-ES"/>
        </w:rPr>
        <w:t xml:space="preserve">«De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9E19356" w14:textId="6D5F1C39" w:rsidR="007B33BE" w:rsidRPr="001670AD" w:rsidRDefault="007B33BE" w:rsidP="00BC19DA">
      <w:pPr>
        <w:spacing w:after="120" w:line="276" w:lineRule="auto"/>
        <w:ind w:firstLine="709"/>
        <w:jc w:val="both"/>
        <w:rPr>
          <w:rFonts w:ascii="Arial" w:eastAsia="Calibri" w:hAnsi="Arial" w:cs="Arial"/>
          <w:color w:val="000000" w:themeColor="text1"/>
          <w:lang w:val="es-ES"/>
        </w:rPr>
      </w:pPr>
      <w:r w:rsidRPr="001670AD">
        <w:rPr>
          <w:rFonts w:ascii="Arial" w:eastAsia="Calibri" w:hAnsi="Arial" w:cs="Arial"/>
          <w:color w:val="000000" w:themeColor="text1"/>
          <w:lang w:val="es-ES"/>
        </w:rPr>
        <w:t xml:space="preserve">En armonía con lo anterior, el inciso segundo de dicho artículo precisa el momento para realizar la publicación, remitiendo al mismo plazo establecido en el artículo 2.2.1.1.1.7.1 del Decreto 1082 de 2015, esto es, dentro de los </w:t>
      </w:r>
      <w:r w:rsidR="002C7241" w:rsidRPr="001670AD">
        <w:rPr>
          <w:rFonts w:ascii="Arial" w:eastAsia="Calibri" w:hAnsi="Arial" w:cs="Arial"/>
          <w:color w:val="000000" w:themeColor="text1"/>
          <w:lang w:val="es-ES"/>
        </w:rPr>
        <w:t>tres (</w:t>
      </w:r>
      <w:r w:rsidRPr="001670AD">
        <w:rPr>
          <w:rFonts w:ascii="Arial" w:eastAsia="Calibri" w:hAnsi="Arial" w:cs="Arial"/>
          <w:color w:val="000000" w:themeColor="text1"/>
          <w:lang w:val="es-ES"/>
        </w:rPr>
        <w:t>3</w:t>
      </w:r>
      <w:r w:rsidR="002C7241" w:rsidRPr="001670AD">
        <w:rPr>
          <w:rFonts w:ascii="Arial" w:eastAsia="Calibri" w:hAnsi="Arial" w:cs="Arial"/>
          <w:color w:val="000000" w:themeColor="text1"/>
          <w:lang w:val="es-ES"/>
        </w:rPr>
        <w:t>)</w:t>
      </w:r>
      <w:r w:rsidRPr="001670AD">
        <w:rPr>
          <w:rFonts w:ascii="Arial" w:eastAsia="Calibri" w:hAnsi="Arial" w:cs="Arial"/>
          <w:color w:val="000000" w:themeColor="text1"/>
          <w:lang w:val="es-ES"/>
        </w:rPr>
        <w:t xml:space="preserve"> días siguientes a la expedición del documento. En efecto, el inciso indicado establece: «Los sujetos obligados que contratan con cargo a recursos públicos deben publicar la información de su gestión contractual en el plazo previsto en el artículo 19 del Decreto 1510 de 2013, o el que lo modifique, sustituya o adicione». Cabe aclarar que el artículo 19 indicado fue compilado en el artículo 2.2.1.1.1.7.1 del Decreto 1082 de 2015. </w:t>
      </w:r>
    </w:p>
    <w:p w14:paraId="5A388B73" w14:textId="332C590E" w:rsidR="00BC19DA" w:rsidRPr="001670AD" w:rsidRDefault="00BC19DA" w:rsidP="00BC19DA">
      <w:pPr>
        <w:spacing w:after="120" w:line="276" w:lineRule="auto"/>
        <w:ind w:firstLine="709"/>
        <w:jc w:val="both"/>
        <w:rPr>
          <w:rFonts w:ascii="Arial" w:hAnsi="Arial" w:cs="Arial"/>
        </w:rPr>
      </w:pPr>
      <w:r w:rsidRPr="001670AD">
        <w:rPr>
          <w:rFonts w:ascii="Arial" w:hAnsi="Arial" w:cs="Arial"/>
        </w:rPr>
        <w:t xml:space="preserve">Asimismo, es importante precisar que si bien el Decreto 1082 de 2015, en principio, no aplica a las entidades de régimen exceptuado al Estatuto General de Contratación de la Administración Pública, porque su régimen de contratación es el derecho privado, será posible aplicarle esta norma en virtud de la remisión dispuesta en el artículo 2.1.1.2.1.7 del Decreto 1081 de 2015 al artículo 19 </w:t>
      </w:r>
      <w:r w:rsidRPr="001670AD">
        <w:rPr>
          <w:rFonts w:ascii="Arial" w:eastAsia="Calibri" w:hAnsi="Arial" w:cs="Arial"/>
          <w:lang w:val="es-ES"/>
        </w:rPr>
        <w:t xml:space="preserve">del Decreto 1510 de 2013, o el que lo modifique, sustituya o adicione, que en este caso es el artículo 2.2.1.1.1.7.1 del Decreto 1082 de 2015. </w:t>
      </w:r>
      <w:r w:rsidRPr="001670AD">
        <w:rPr>
          <w:rFonts w:ascii="Arial" w:hAnsi="Arial" w:cs="Arial"/>
        </w:rPr>
        <w:t xml:space="preserve">En este sentido, las entidades exceptuadas del régimen de contratación de Ley 80 de 1993 </w:t>
      </w:r>
      <w:r w:rsidRPr="001670AD">
        <w:rPr>
          <w:rFonts w:ascii="Arial" w:hAnsi="Arial" w:cs="Arial"/>
        </w:rPr>
        <w:lastRenderedPageBreak/>
        <w:t>publicarán en el SECOP sus documentos dentro de los tres (3) días siguientes a su expedición.</w:t>
      </w:r>
    </w:p>
    <w:p w14:paraId="03700675" w14:textId="77777777" w:rsidR="00BC19DA" w:rsidRPr="001670AD" w:rsidRDefault="00BC19DA" w:rsidP="00BC19DA">
      <w:pPr>
        <w:spacing w:after="0" w:line="276" w:lineRule="auto"/>
        <w:ind w:firstLine="709"/>
        <w:contextualSpacing/>
        <w:jc w:val="both"/>
        <w:rPr>
          <w:rFonts w:ascii="Arial" w:eastAsia="Calibri" w:hAnsi="Arial" w:cs="Arial"/>
          <w:lang w:val="es-ES_tradnl" w:eastAsia="es-ES_tradnl"/>
        </w:rPr>
      </w:pPr>
      <w:r w:rsidRPr="001670AD">
        <w:rPr>
          <w:rFonts w:ascii="Arial" w:eastAsia="Calibri" w:hAnsi="Arial" w:cs="Arial"/>
          <w:lang w:val="es-ES_tradnl" w:eastAsia="es-ES_tradnl"/>
        </w:rPr>
        <w:t xml:space="preserve">En armonía con lo anterior, </w:t>
      </w:r>
      <w:r w:rsidRPr="001670AD">
        <w:rPr>
          <w:rFonts w:ascii="Arial" w:eastAsia="Calibri" w:hAnsi="Arial" w:cs="Arial"/>
          <w:lang w:val="es-ES"/>
        </w:rPr>
        <w:t>la Circular 002 del 1 de junio de 2022</w:t>
      </w:r>
      <w:r w:rsidRPr="001670AD">
        <w:rPr>
          <w:rStyle w:val="Refdenotaalpie"/>
          <w:rFonts w:ascii="Arial" w:eastAsia="Calibri" w:hAnsi="Arial" w:cs="Arial"/>
          <w:lang w:val="es-ES"/>
        </w:rPr>
        <w:footnoteReference w:id="18"/>
      </w:r>
      <w:r w:rsidRPr="001670AD">
        <w:rPr>
          <w:rFonts w:ascii="Arial" w:eastAsia="Calibri" w:hAnsi="Arial" w:cs="Arial"/>
          <w:lang w:val="es-ES"/>
        </w:rPr>
        <w:t>, relacionada con la aplicación del artículo 53 de la Ley 2195 de 2022, dictada por el Departamento Administrativo de la Presidencia, en relación con el plazo para cargar los documentos señaló lo siguiente</w:t>
      </w:r>
      <w:r w:rsidRPr="001670AD">
        <w:rPr>
          <w:rFonts w:ascii="Arial" w:eastAsia="Calibri" w:hAnsi="Arial" w:cs="Arial"/>
          <w:lang w:val="es-ES_tradnl" w:eastAsia="es-ES_tradnl"/>
        </w:rPr>
        <w:t>:</w:t>
      </w:r>
    </w:p>
    <w:p w14:paraId="7BB47A9C" w14:textId="77777777" w:rsidR="00BC19DA" w:rsidRPr="001670AD" w:rsidRDefault="00BC19DA" w:rsidP="00BC19DA">
      <w:pPr>
        <w:spacing w:after="0" w:line="276" w:lineRule="auto"/>
        <w:ind w:firstLine="709"/>
        <w:contextualSpacing/>
        <w:jc w:val="both"/>
        <w:rPr>
          <w:rFonts w:ascii="Arial" w:eastAsia="Calibri" w:hAnsi="Arial" w:cs="Arial"/>
          <w:lang w:val="es-ES_tradnl" w:eastAsia="es-ES_tradnl"/>
        </w:rPr>
      </w:pPr>
    </w:p>
    <w:p w14:paraId="55D0B725" w14:textId="77777777" w:rsidR="00BC19DA" w:rsidRPr="001670AD" w:rsidRDefault="00BC19DA" w:rsidP="00BC19DA">
      <w:pPr>
        <w:spacing w:after="0" w:line="240" w:lineRule="auto"/>
        <w:ind w:left="709" w:right="709"/>
        <w:contextualSpacing/>
        <w:jc w:val="both"/>
        <w:rPr>
          <w:rFonts w:ascii="Arial" w:eastAsia="Times New Roman" w:hAnsi="Arial" w:cs="Arial"/>
          <w:sz w:val="21"/>
          <w:szCs w:val="21"/>
          <w:lang w:eastAsia="es-ES_tradnl"/>
        </w:rPr>
      </w:pPr>
      <w:r w:rsidRPr="001670AD">
        <w:rPr>
          <w:rFonts w:ascii="Arial" w:eastAsia="Times New Roman" w:hAnsi="Arial" w:cs="Arial"/>
          <w:sz w:val="21"/>
          <w:szCs w:val="21"/>
          <w:lang w:eastAsia="es-ES_tradnl"/>
        </w:rPr>
        <w:t xml:space="preserve">Si se utiliza el SECOP II como herramienta de publicidad, </w:t>
      </w:r>
      <w:r w:rsidRPr="001670AD">
        <w:rPr>
          <w:rFonts w:ascii="Arial" w:eastAsia="Times New Roman" w:hAnsi="Arial" w:cs="Arial"/>
          <w:i/>
          <w:iCs/>
          <w:sz w:val="21"/>
          <w:szCs w:val="21"/>
          <w:lang w:eastAsia="es-ES_tradnl"/>
        </w:rPr>
        <w:t>la publicación de los documentos relacionados con la actividad contractual deberá realizarse dentro de los 3 días siguientes a su expedición</w:t>
      </w:r>
      <w:r w:rsidRPr="001670AD">
        <w:rPr>
          <w:rFonts w:ascii="Arial" w:eastAsia="Times New Roman" w:hAnsi="Arial" w:cs="Arial"/>
          <w:sz w:val="21"/>
          <w:szCs w:val="21"/>
          <w:lang w:eastAsia="es-ES_tradnl"/>
        </w:rPr>
        <w:t>, en aplicación de lo dispuesto en el artículo 2.1.1.2.1.7. del Decreto 1081 de 2015, el cual remite al artículo 2.2.1.1.1.7.1. del Decreto 1082 de 2015, en el que se hace referencia al plazo en cita.</w:t>
      </w:r>
    </w:p>
    <w:p w14:paraId="430EE5AD" w14:textId="77777777" w:rsidR="00BC19DA" w:rsidRPr="001670AD" w:rsidRDefault="00BC19DA" w:rsidP="00BC19DA">
      <w:pPr>
        <w:spacing w:after="0" w:line="240" w:lineRule="auto"/>
        <w:ind w:left="709" w:right="709"/>
        <w:contextualSpacing/>
        <w:jc w:val="both"/>
        <w:rPr>
          <w:rFonts w:ascii="Arial" w:eastAsia="Times New Roman" w:hAnsi="Arial" w:cs="Arial"/>
          <w:sz w:val="21"/>
          <w:szCs w:val="21"/>
          <w:lang w:eastAsia="es-ES_tradnl"/>
        </w:rPr>
      </w:pPr>
    </w:p>
    <w:p w14:paraId="2D8DF285" w14:textId="77777777" w:rsidR="00BC19DA" w:rsidRPr="001670AD" w:rsidRDefault="00BC19DA" w:rsidP="00BC19DA">
      <w:pPr>
        <w:spacing w:after="0" w:line="240" w:lineRule="auto"/>
        <w:ind w:left="709" w:right="709"/>
        <w:contextualSpacing/>
        <w:jc w:val="both"/>
        <w:rPr>
          <w:rFonts w:ascii="Arial" w:eastAsia="Calibri" w:hAnsi="Arial" w:cs="Arial"/>
          <w:sz w:val="21"/>
          <w:szCs w:val="21"/>
          <w:lang w:val="es-ES_tradnl" w:eastAsia="es-ES_tradnl"/>
        </w:rPr>
      </w:pPr>
      <w:r w:rsidRPr="001670AD">
        <w:rPr>
          <w:rFonts w:ascii="Arial" w:eastAsia="Times New Roman" w:hAnsi="Arial" w:cs="Arial"/>
          <w:sz w:val="21"/>
          <w:szCs w:val="21"/>
          <w:lang w:eastAsia="es-ES_tradnl"/>
        </w:rPr>
        <w:t xml:space="preserve">Si se hace uso de la plataforma de manera transaccional, la publicación de los documentos relacionados con la actividad contractual deberá realizarse en los términos establecidos en el cronograma del proceso de selección y las reglas aplicables a cada modalidad de contratación en particular, de acuerdo con cada Manual de Contratación. </w:t>
      </w:r>
      <w:r w:rsidRPr="001670AD">
        <w:rPr>
          <w:rFonts w:ascii="Arial" w:eastAsia="Calibri" w:hAnsi="Arial" w:cs="Arial"/>
          <w:sz w:val="21"/>
          <w:szCs w:val="21"/>
        </w:rPr>
        <w:t>(Cursiva fuera del original).</w:t>
      </w:r>
    </w:p>
    <w:p w14:paraId="399D9589" w14:textId="77777777" w:rsidR="00BC19DA" w:rsidRPr="001670AD" w:rsidRDefault="00BC19DA" w:rsidP="00BC19DA">
      <w:pPr>
        <w:spacing w:after="0" w:line="276" w:lineRule="auto"/>
        <w:contextualSpacing/>
        <w:jc w:val="both"/>
        <w:rPr>
          <w:rFonts w:ascii="Arial" w:eastAsia="Calibri" w:hAnsi="Arial" w:cs="Arial"/>
          <w:b/>
          <w:bCs/>
          <w:lang w:val="es-ES" w:eastAsia="es-ES_tradnl"/>
        </w:rPr>
      </w:pPr>
    </w:p>
    <w:p w14:paraId="6D7E6B9A" w14:textId="77777777" w:rsidR="00BC19DA" w:rsidRPr="001670AD" w:rsidRDefault="00BC19DA" w:rsidP="00BC19DA">
      <w:pPr>
        <w:spacing w:after="120" w:line="276" w:lineRule="auto"/>
        <w:ind w:firstLine="709"/>
        <w:jc w:val="both"/>
        <w:rPr>
          <w:rFonts w:ascii="Arial" w:hAnsi="Arial" w:cs="Arial"/>
          <w:shd w:val="clear" w:color="auto" w:fill="FFFFFF"/>
        </w:rPr>
      </w:pPr>
      <w:r w:rsidRPr="001670AD">
        <w:rPr>
          <w:rFonts w:ascii="Arial" w:eastAsia="Calibri" w:hAnsi="Arial" w:cs="Arial"/>
          <w:lang w:val="es-ES" w:eastAsia="es-ES_tradnl"/>
        </w:rPr>
        <w:t xml:space="preserve">De conformidad con lo expuesto se concluye que el término que tienen las </w:t>
      </w:r>
      <w:r w:rsidRPr="001670AD">
        <w:rPr>
          <w:rFonts w:ascii="Arial" w:hAnsi="Arial" w:cs="Arial"/>
          <w:shd w:val="clear" w:color="auto" w:fill="FFFFFF"/>
        </w:rPr>
        <w:t>entidades estatales que por disposición legal cuenten con un régimen contractual excepcional al del Estatuto General de Contratación de la Administración Pública para publicar en el SECOP II es de tres (3) días posterior a su expedición. Lo anterior, sin perjuicio de que dichas entidades hagan uso transaccional de la plataforma, caso en el cual la publicación de los documentos deberá hacerse en tiempo real, de acuerdo al cronograma definido para el proceso de selección.</w:t>
      </w:r>
    </w:p>
    <w:p w14:paraId="03D15D79" w14:textId="020A0F70" w:rsidR="00FB1952" w:rsidRDefault="00BC19DA" w:rsidP="00FC7E6B">
      <w:pPr>
        <w:autoSpaceDE w:val="0"/>
        <w:autoSpaceDN w:val="0"/>
        <w:adjustRightInd w:val="0"/>
        <w:spacing w:after="100" w:afterAutospacing="1" w:line="276" w:lineRule="auto"/>
        <w:contextualSpacing/>
        <w:jc w:val="both"/>
        <w:rPr>
          <w:rFonts w:ascii="Arial" w:eastAsia="Calibri" w:hAnsi="Arial" w:cs="Arial"/>
          <w:b/>
          <w:bCs/>
          <w:color w:val="000000" w:themeColor="text1"/>
          <w:lang w:val="es-ES"/>
        </w:rPr>
      </w:pPr>
      <w:r w:rsidRPr="001670AD">
        <w:rPr>
          <w:rFonts w:ascii="Arial" w:eastAsia="Calibri" w:hAnsi="Arial" w:cs="Arial"/>
          <w:lang w:val="es-ES_tradnl"/>
        </w:rPr>
        <w:t xml:space="preserve">Por último, resulta importante señalar que el pasado </w:t>
      </w:r>
      <w:r w:rsidRPr="001670AD">
        <w:rPr>
          <w:rFonts w:ascii="Arial" w:eastAsia="Calibri" w:hAnsi="Arial" w:cs="Arial"/>
          <w:lang w:val="es-ES"/>
        </w:rPr>
        <w:t xml:space="preserve">1 de junio, el Departamento Administrativo de la Presidencia de la Republica expidió la Circular 02 del 2022, mediante la cual se imparten instrucciones sobre la aplicación del artículo 53 de la Ley 2195 de 2022, en los siguientes aspectos: i) publicación de los documentos contractuales en el SECOP II; </w:t>
      </w:r>
      <w:proofErr w:type="spellStart"/>
      <w:r w:rsidRPr="001670AD">
        <w:rPr>
          <w:rFonts w:ascii="Arial" w:eastAsia="Calibri" w:hAnsi="Arial" w:cs="Arial"/>
          <w:lang w:val="es-ES"/>
        </w:rPr>
        <w:t>ii</w:t>
      </w:r>
      <w:proofErr w:type="spellEnd"/>
      <w:r w:rsidRPr="001670AD">
        <w:rPr>
          <w:rFonts w:ascii="Arial" w:eastAsia="Calibri" w:hAnsi="Arial" w:cs="Arial"/>
          <w:lang w:val="es-ES"/>
        </w:rPr>
        <w:t xml:space="preserve">) reserva de los documentos relacionados con la actividad contractual y; </w:t>
      </w:r>
      <w:proofErr w:type="spellStart"/>
      <w:r w:rsidRPr="001670AD">
        <w:rPr>
          <w:rFonts w:ascii="Arial" w:eastAsia="Calibri" w:hAnsi="Arial" w:cs="Arial"/>
          <w:lang w:val="es-ES"/>
        </w:rPr>
        <w:t>iii</w:t>
      </w:r>
      <w:proofErr w:type="spellEnd"/>
      <w:r w:rsidRPr="001670AD">
        <w:rPr>
          <w:rFonts w:ascii="Arial" w:eastAsia="Calibri" w:hAnsi="Arial" w:cs="Arial"/>
          <w:lang w:val="es-ES"/>
        </w:rPr>
        <w:t xml:space="preserve">) régimen de transición de los contratos celebrados con anterioridad a la entrada en vigencia de la obligación consagrada en el artículo 53 de la Ley 2195 de 2022. La mencionada circular </w:t>
      </w:r>
      <w:r w:rsidRPr="001670AD">
        <w:rPr>
          <w:rFonts w:ascii="Arial" w:eastAsia="Calibri" w:hAnsi="Arial" w:cs="Arial"/>
          <w:lang w:val="es-ES"/>
        </w:rPr>
        <w:lastRenderedPageBreak/>
        <w:t>contiene una serie de instrucciones con miras a garantizar el cumplimiento del deber legal por parte de las entidades estatales exceptuadas del Estatuto General de Contratación Pública.</w:t>
      </w:r>
    </w:p>
    <w:p w14:paraId="1A568C92" w14:textId="56FEE8A5" w:rsidR="0087308D" w:rsidRPr="00FC7E6B" w:rsidRDefault="00B22196" w:rsidP="00FC7E6B">
      <w:pPr>
        <w:spacing w:after="100" w:afterAutospacing="1" w:line="276" w:lineRule="auto"/>
        <w:jc w:val="both"/>
        <w:rPr>
          <w:rFonts w:ascii="Arial" w:eastAsia="Calibri" w:hAnsi="Arial" w:cs="Arial"/>
          <w:b/>
          <w:bCs/>
          <w:color w:val="000000" w:themeColor="text1"/>
          <w:lang w:val="es-ES_tradnl" w:eastAsia="es-ES_tradnl"/>
        </w:rPr>
      </w:pPr>
      <w:r w:rsidRPr="00FC7E6B">
        <w:rPr>
          <w:rFonts w:ascii="Arial" w:eastAsia="Calibri" w:hAnsi="Arial" w:cs="Arial"/>
          <w:b/>
          <w:bCs/>
          <w:color w:val="000000" w:themeColor="text1"/>
          <w:lang w:val="es-ES_tradnl" w:eastAsia="es-ES_tradnl"/>
        </w:rPr>
        <w:t>2.4. Consideraciones sobre las filiales de empresas industriales y comerciales del Estado. Análisis de la aplicación del artículo 53 de la Ley 2195 de 2022</w:t>
      </w:r>
    </w:p>
    <w:p w14:paraId="433B2F92" w14:textId="31F53439" w:rsidR="0087308D" w:rsidRDefault="00B22196" w:rsidP="00FC7E6B">
      <w:pPr>
        <w:spacing w:after="120" w:line="276" w:lineRule="auto"/>
        <w:ind w:firstLine="709"/>
        <w:jc w:val="both"/>
        <w:rPr>
          <w:rFonts w:ascii="Arial" w:eastAsia="Calibri" w:hAnsi="Arial" w:cs="Arial"/>
          <w:lang w:val="es-MX"/>
        </w:rPr>
      </w:pPr>
      <w:r w:rsidRPr="00FC7E6B">
        <w:rPr>
          <w:rFonts w:ascii="Arial" w:eastAsia="Calibri" w:hAnsi="Arial" w:cs="Arial"/>
          <w:bCs/>
          <w:color w:val="000000" w:themeColor="text1"/>
          <w:lang w:val="es-ES_tradnl" w:eastAsia="es-ES_tradnl"/>
        </w:rPr>
        <w:t>En consideración</w:t>
      </w:r>
      <w:r w:rsidR="001670AD" w:rsidRPr="00FC7E6B">
        <w:rPr>
          <w:rFonts w:ascii="Arial" w:eastAsia="Calibri" w:hAnsi="Arial" w:cs="Arial"/>
          <w:bCs/>
          <w:color w:val="000000" w:themeColor="text1"/>
          <w:lang w:val="es-ES_tradnl" w:eastAsia="es-ES_tradnl"/>
        </w:rPr>
        <w:t xml:space="preserve"> a </w:t>
      </w:r>
      <w:r w:rsidRPr="00FC7E6B">
        <w:rPr>
          <w:rFonts w:ascii="Arial" w:eastAsia="Calibri" w:hAnsi="Arial" w:cs="Arial"/>
          <w:bCs/>
          <w:color w:val="000000" w:themeColor="text1"/>
          <w:lang w:val="es-ES_tradnl" w:eastAsia="es-ES_tradnl"/>
        </w:rPr>
        <w:t>la presente petición de consulta,</w:t>
      </w:r>
      <w:r w:rsidR="001670AD" w:rsidRPr="00FC7E6B">
        <w:rPr>
          <w:rFonts w:ascii="Arial" w:eastAsia="Calibri" w:hAnsi="Arial" w:cs="Arial"/>
          <w:bCs/>
          <w:color w:val="000000" w:themeColor="text1"/>
          <w:lang w:val="es-ES_tradnl" w:eastAsia="es-ES_tradnl"/>
        </w:rPr>
        <w:t xml:space="preserve"> </w:t>
      </w:r>
      <w:r w:rsidRPr="00FC7E6B">
        <w:rPr>
          <w:rFonts w:ascii="Arial" w:eastAsia="Calibri" w:hAnsi="Arial" w:cs="Arial"/>
          <w:bCs/>
          <w:color w:val="000000" w:themeColor="text1"/>
          <w:lang w:val="es-ES_tradnl" w:eastAsia="es-ES_tradnl"/>
        </w:rPr>
        <w:t xml:space="preserve">haciendo abstracción del caso particular expuesto en la misma, </w:t>
      </w:r>
      <w:r w:rsidR="0087308D" w:rsidRPr="00FC7E6B">
        <w:rPr>
          <w:rFonts w:ascii="Arial" w:eastAsia="Calibri" w:hAnsi="Arial" w:cs="Arial"/>
          <w:bCs/>
          <w:color w:val="000000" w:themeColor="text1"/>
          <w:lang w:val="es-ES_tradnl" w:eastAsia="es-ES_tradnl"/>
        </w:rPr>
        <w:t xml:space="preserve">se encuentra </w:t>
      </w:r>
      <w:r w:rsidRPr="00FC7E6B">
        <w:rPr>
          <w:rFonts w:ascii="Arial" w:eastAsia="Calibri" w:hAnsi="Arial" w:cs="Arial"/>
          <w:bCs/>
          <w:color w:val="000000" w:themeColor="text1"/>
          <w:lang w:val="es-ES_tradnl" w:eastAsia="es-ES_tradnl"/>
        </w:rPr>
        <w:t>pertinente esbozar algunas consideraciones</w:t>
      </w:r>
      <w:r w:rsidRPr="0087308D">
        <w:rPr>
          <w:rFonts w:ascii="Arial" w:eastAsia="Calibri" w:hAnsi="Arial" w:cs="Arial"/>
          <w:lang w:val="es-MX"/>
        </w:rPr>
        <w:t xml:space="preserve"> s</w:t>
      </w:r>
      <w:r>
        <w:rPr>
          <w:rFonts w:ascii="Arial" w:eastAsia="Calibri" w:hAnsi="Arial" w:cs="Arial"/>
          <w:lang w:val="es-MX"/>
        </w:rPr>
        <w:t>obre el régimen contractual de las filiales de empresas industriales y comerciales del estado y el alcance del artículo 53 de la Ley 2195 de 2022 en la gestión contractua</w:t>
      </w:r>
      <w:r w:rsidR="0087308D">
        <w:rPr>
          <w:rFonts w:ascii="Arial" w:eastAsia="Calibri" w:hAnsi="Arial" w:cs="Arial"/>
          <w:lang w:val="es-MX"/>
        </w:rPr>
        <w:t xml:space="preserve">l de las mismas. </w:t>
      </w:r>
    </w:p>
    <w:p w14:paraId="0DE154AB" w14:textId="3151A847" w:rsidR="00B22196" w:rsidRDefault="00B22196" w:rsidP="00FC7E6B">
      <w:pPr>
        <w:autoSpaceDE w:val="0"/>
        <w:autoSpaceDN w:val="0"/>
        <w:adjustRightInd w:val="0"/>
        <w:spacing w:after="120" w:line="276" w:lineRule="auto"/>
        <w:ind w:firstLine="709"/>
        <w:jc w:val="both"/>
        <w:rPr>
          <w:rFonts w:ascii="Arial" w:eastAsia="Calibri" w:hAnsi="Arial" w:cs="Arial"/>
          <w:lang w:val="es-MX"/>
        </w:rPr>
      </w:pPr>
      <w:r>
        <w:rPr>
          <w:rFonts w:ascii="Arial" w:eastAsia="Calibri" w:hAnsi="Arial" w:cs="Arial"/>
          <w:lang w:val="es-MX"/>
        </w:rPr>
        <w:t xml:space="preserve">El </w:t>
      </w:r>
      <w:r w:rsidR="001670AD" w:rsidRPr="001670AD">
        <w:rPr>
          <w:rFonts w:ascii="Arial" w:eastAsia="Calibri" w:hAnsi="Arial" w:cs="Arial"/>
          <w:lang w:val="es-MX"/>
        </w:rPr>
        <w:t xml:space="preserve">artículo 94 de la Ley 489 de 1998 </w:t>
      </w:r>
      <w:r>
        <w:rPr>
          <w:rFonts w:ascii="Arial" w:eastAsia="Calibri" w:hAnsi="Arial" w:cs="Arial"/>
          <w:lang w:val="es-MX"/>
        </w:rPr>
        <w:t>regula la creación y régimen jurídico</w:t>
      </w:r>
      <w:r w:rsidR="00286632" w:rsidRPr="001670AD">
        <w:rPr>
          <w:rFonts w:ascii="Arial" w:eastAsia="Calibri" w:hAnsi="Arial" w:cs="Arial"/>
          <w:lang w:val="es-MX"/>
        </w:rPr>
        <w:t xml:space="preserve"> de</w:t>
      </w:r>
      <w:r>
        <w:rPr>
          <w:rFonts w:ascii="Arial" w:eastAsia="Calibri" w:hAnsi="Arial" w:cs="Arial"/>
          <w:lang w:val="es-MX"/>
        </w:rPr>
        <w:t xml:space="preserve"> las</w:t>
      </w:r>
      <w:r w:rsidR="00286632" w:rsidRPr="001670AD">
        <w:rPr>
          <w:rFonts w:ascii="Arial" w:eastAsia="Calibri" w:hAnsi="Arial" w:cs="Arial"/>
          <w:lang w:val="es-MX"/>
        </w:rPr>
        <w:t xml:space="preserve"> </w:t>
      </w:r>
      <w:r w:rsidR="001670AD" w:rsidRPr="001670AD">
        <w:rPr>
          <w:rFonts w:ascii="Arial" w:eastAsia="Calibri" w:hAnsi="Arial" w:cs="Arial"/>
          <w:lang w:val="es-MX"/>
        </w:rPr>
        <w:t>filiales de empresas industriales y comerciales del estado. E</w:t>
      </w:r>
      <w:r>
        <w:rPr>
          <w:rFonts w:ascii="Arial" w:eastAsia="Calibri" w:hAnsi="Arial" w:cs="Arial"/>
          <w:lang w:val="es-MX"/>
        </w:rPr>
        <w:t xml:space="preserve">n el inciso 4 </w:t>
      </w:r>
      <w:r w:rsidR="001670AD" w:rsidRPr="001670AD">
        <w:rPr>
          <w:rFonts w:ascii="Arial" w:eastAsia="Calibri" w:hAnsi="Arial" w:cs="Arial"/>
          <w:lang w:val="es-MX"/>
        </w:rPr>
        <w:t>de esa disposición se</w:t>
      </w:r>
      <w:r w:rsidR="00286632" w:rsidRPr="001670AD">
        <w:rPr>
          <w:rFonts w:ascii="Arial" w:eastAsia="Times New Roman" w:hAnsi="Arial" w:cs="Arial"/>
          <w:color w:val="000000" w:themeColor="text1"/>
          <w:lang w:val="es-ES" w:eastAsia="es-ES_tradnl"/>
        </w:rPr>
        <w:t xml:space="preserve"> indica que: «</w:t>
      </w:r>
      <w:r w:rsidR="001670AD" w:rsidRPr="001670AD">
        <w:rPr>
          <w:rFonts w:ascii="Arial" w:eastAsia="Calibri" w:hAnsi="Arial" w:cs="Arial"/>
          <w:lang w:val="es-MX"/>
        </w:rPr>
        <w:t>e</w:t>
      </w:r>
      <w:r w:rsidR="00286632" w:rsidRPr="001670AD">
        <w:rPr>
          <w:rFonts w:ascii="Arial" w:eastAsia="Calibri" w:hAnsi="Arial" w:cs="Arial"/>
          <w:lang w:val="es-MX"/>
        </w:rPr>
        <w:t>l funcionamiento y en general el régimen jurídico de los actos, contratos, servidores y las relaciones con terceros se sujetarán a las disposiciones del derecho privado, en especial las propias de las empresas y sociedades previstas en el Código de Comercio y legislación complementaria». Adicionalmente, el numeral 5, se refiere al régimen especial de las filiales de empresas y comerciales del Estado creadas con participación de particulares, al consagrar que: «las empresas filiales en las cuales participen particulares se sujetarán a las disposiciones previstas en esta ley para las</w:t>
      </w:r>
      <w:r>
        <w:rPr>
          <w:rFonts w:ascii="Arial" w:eastAsia="Calibri" w:hAnsi="Arial" w:cs="Arial"/>
          <w:lang w:val="es-MX"/>
        </w:rPr>
        <w:t xml:space="preserve"> sociedades de economía mixta». </w:t>
      </w:r>
    </w:p>
    <w:p w14:paraId="75F41E46" w14:textId="46AD05D0" w:rsidR="00AD766E" w:rsidRPr="001670AD" w:rsidRDefault="0087308D" w:rsidP="00FC7E6B">
      <w:pPr>
        <w:autoSpaceDE w:val="0"/>
        <w:autoSpaceDN w:val="0"/>
        <w:adjustRightInd w:val="0"/>
        <w:spacing w:after="120" w:line="276" w:lineRule="auto"/>
        <w:ind w:firstLine="709"/>
        <w:jc w:val="both"/>
        <w:rPr>
          <w:rFonts w:ascii="Arial" w:eastAsia="Calibri" w:hAnsi="Arial" w:cs="Arial"/>
          <w:color w:val="000000" w:themeColor="text1"/>
        </w:rPr>
      </w:pPr>
      <w:r>
        <w:rPr>
          <w:rFonts w:ascii="Arial" w:eastAsia="Calibri" w:hAnsi="Arial" w:cs="Arial"/>
          <w:lang w:val="es-MX"/>
        </w:rPr>
        <w:t>Además,</w:t>
      </w:r>
      <w:r w:rsidR="00AD766E" w:rsidRPr="00FC7E6B">
        <w:rPr>
          <w:rFonts w:ascii="Arial" w:eastAsia="Calibri" w:hAnsi="Arial" w:cs="Arial"/>
          <w:lang w:val="es-MX"/>
        </w:rPr>
        <w:t xml:space="preserve"> el artículo 14 de la Ley 1150 de 2007</w:t>
      </w:r>
      <w:r>
        <w:rPr>
          <w:rFonts w:ascii="Arial" w:eastAsia="Calibri" w:hAnsi="Arial" w:cs="Arial"/>
          <w:lang w:val="es-MX"/>
        </w:rPr>
        <w:t xml:space="preserve"> exceptúa </w:t>
      </w:r>
      <w:r w:rsidR="00AD766E" w:rsidRPr="00FC7E6B">
        <w:rPr>
          <w:rFonts w:ascii="Arial" w:eastAsia="Calibri" w:hAnsi="Arial" w:cs="Arial"/>
          <w:lang w:val="es-MX"/>
        </w:rPr>
        <w:t xml:space="preserve">a las </w:t>
      </w:r>
      <w:r>
        <w:rPr>
          <w:rFonts w:ascii="Arial" w:eastAsia="Calibri" w:hAnsi="Arial" w:cs="Arial"/>
          <w:lang w:val="es-MX"/>
        </w:rPr>
        <w:t xml:space="preserve">empresas industriales y comerciales del estado, las sociedades de economía mixta en las que el Estado tenga una participación superior al 50%, sus filiales, entre otras, </w:t>
      </w:r>
      <w:r w:rsidR="00AD766E" w:rsidRPr="00FC7E6B">
        <w:rPr>
          <w:rFonts w:ascii="Arial" w:eastAsia="Calibri" w:hAnsi="Arial" w:cs="Arial"/>
          <w:lang w:val="es-MX"/>
        </w:rPr>
        <w:t xml:space="preserve">de la aplicación del régimen contractual público </w:t>
      </w:r>
      <w:r>
        <w:rPr>
          <w:rFonts w:ascii="Arial" w:eastAsia="Calibri" w:hAnsi="Arial" w:cs="Arial"/>
          <w:lang w:val="es-MX"/>
        </w:rPr>
        <w:t>respecto de los negocios jurídicos que se suscriban en el marco</w:t>
      </w:r>
      <w:r w:rsidR="00AD766E" w:rsidRPr="00FC7E6B">
        <w:rPr>
          <w:rFonts w:ascii="Arial" w:eastAsia="Calibri" w:hAnsi="Arial" w:cs="Arial"/>
          <w:lang w:val="es-MX"/>
        </w:rPr>
        <w:t xml:space="preserve"> de actividades comerciales en competencia con el sector privado o en mercados regulados. El texto de la norma es el siguiente:  </w:t>
      </w:r>
    </w:p>
    <w:p w14:paraId="25B7416E" w14:textId="76C4C936" w:rsidR="00AD766E" w:rsidRPr="001670AD" w:rsidRDefault="00AD766E" w:rsidP="00FC7E6B">
      <w:pPr>
        <w:spacing w:after="120" w:line="276" w:lineRule="auto"/>
        <w:ind w:left="709" w:right="709" w:firstLine="709"/>
        <w:jc w:val="both"/>
        <w:rPr>
          <w:rFonts w:ascii="Arial" w:eastAsia="Calibri" w:hAnsi="Arial" w:cs="Arial"/>
          <w:color w:val="000000" w:themeColor="text1"/>
        </w:rPr>
      </w:pPr>
      <w:r w:rsidRPr="00FC7E6B">
        <w:rPr>
          <w:rFonts w:ascii="Arial" w:eastAsia="Calibri" w:hAnsi="Arial" w:cs="Arial"/>
          <w:sz w:val="21"/>
          <w:szCs w:val="21"/>
          <w:lang w:val="es-MX"/>
        </w:rPr>
        <w:t xml:space="preserve">Artículo 14. Modificado por la Ley 1474 de 2011, artículo 93.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w:t>
      </w:r>
      <w:r w:rsidRPr="00FC7E6B">
        <w:rPr>
          <w:rFonts w:ascii="Arial" w:eastAsia="Calibri" w:hAnsi="Arial" w:cs="Arial"/>
          <w:i/>
          <w:iCs/>
          <w:sz w:val="21"/>
          <w:szCs w:val="21"/>
          <w:lang w:val="es-MX"/>
        </w:rPr>
        <w:t xml:space="preserve">con excepción de aquellas que desarrollen actividades comerciales en competencia con el sector privado y/o público, nacional o internacional o en mercados regulados, </w:t>
      </w:r>
      <w:r w:rsidRPr="00FC7E6B">
        <w:rPr>
          <w:rFonts w:ascii="Arial" w:eastAsia="Calibri" w:hAnsi="Arial" w:cs="Arial"/>
          <w:i/>
          <w:iCs/>
          <w:sz w:val="21"/>
          <w:szCs w:val="21"/>
          <w:lang w:val="es-MX"/>
        </w:rPr>
        <w:lastRenderedPageBreak/>
        <w:t>caso en el cual se regirán por las disposiciones legales y reglamentarias aplicables a sus actividades económicas y comerciales, sin perjuicio de lo previsto en el artículo 13 de la presente ley</w:t>
      </w:r>
      <w:r w:rsidRPr="00FC7E6B">
        <w:rPr>
          <w:rFonts w:ascii="Arial" w:eastAsia="Calibri" w:hAnsi="Arial" w:cs="Arial"/>
          <w:sz w:val="21"/>
          <w:szCs w:val="21"/>
          <w:lang w:val="es-MX"/>
        </w:rPr>
        <w:t>. Se exceptúan los contratos de ciencia y tecnología, que se regirán por la Ley 29 de 1990 y las disposiciones normativas existentes. [Énfasis fuera de texto]</w:t>
      </w:r>
    </w:p>
    <w:p w14:paraId="0255D01D" w14:textId="1D0C8C10" w:rsidR="00AD766E" w:rsidRPr="001670AD" w:rsidRDefault="00AD766E" w:rsidP="00FC7E6B">
      <w:pPr>
        <w:spacing w:after="120" w:line="276" w:lineRule="auto"/>
        <w:ind w:firstLine="709"/>
        <w:jc w:val="both"/>
        <w:rPr>
          <w:rFonts w:ascii="Arial" w:eastAsia="Times New Roman" w:hAnsi="Arial" w:cs="Arial"/>
          <w:color w:val="000000" w:themeColor="text1"/>
          <w:lang w:val="es-ES" w:eastAsia="es-ES_tradnl"/>
        </w:rPr>
      </w:pPr>
      <w:bookmarkStart w:id="8" w:name="_Hlk113525097"/>
      <w:r w:rsidRPr="00FC7E6B">
        <w:rPr>
          <w:rFonts w:ascii="Arial" w:eastAsia="Calibri" w:hAnsi="Arial" w:cs="Arial"/>
          <w:lang w:val="es-MX"/>
        </w:rPr>
        <w:t>En esta medida, las empresas industriales y comerciales del Estado, las sociedades de economía mixta en las que el Estado tenga participación superior al cincuenta por ciento (50%), sus filiales</w:t>
      </w:r>
      <w:r w:rsidR="0087308D">
        <w:rPr>
          <w:rFonts w:ascii="Arial" w:eastAsia="Calibri" w:hAnsi="Arial" w:cs="Arial"/>
          <w:lang w:val="es-MX"/>
        </w:rPr>
        <w:t xml:space="preserve">, </w:t>
      </w:r>
      <w:r w:rsidRPr="00FC7E6B">
        <w:rPr>
          <w:rFonts w:ascii="Arial" w:eastAsia="Calibri" w:hAnsi="Arial" w:cs="Arial"/>
          <w:lang w:val="es-MX"/>
        </w:rPr>
        <w:t xml:space="preserve">que no estén en competencia ni desarrollen su actividad en mercados regulados están sometidas al Estatuto General de Contratación de la Administración Pública y las normas que lo complementan. En contraste, el régimen contractual de los mencionados tipos de entidades cuando se encuentren en competencia o en mercados regulados es el propio de tales actividades, esto es, por regla general, el derecho privado. </w:t>
      </w:r>
    </w:p>
    <w:p w14:paraId="3DA52410" w14:textId="4516888E" w:rsidR="005F74CB" w:rsidRPr="001670AD" w:rsidRDefault="005F74CB" w:rsidP="00FB1952">
      <w:pPr>
        <w:spacing w:before="120" w:after="120" w:line="276" w:lineRule="auto"/>
        <w:ind w:firstLine="709"/>
        <w:jc w:val="both"/>
        <w:rPr>
          <w:rFonts w:ascii="Arial" w:eastAsia="Calibri" w:hAnsi="Arial" w:cs="Arial"/>
          <w:color w:val="000000"/>
          <w:lang w:val="es-ES_tradnl" w:eastAsia="es-ES_tradnl"/>
        </w:rPr>
      </w:pPr>
      <w:bookmarkStart w:id="9" w:name="_Hlk112235844"/>
      <w:bookmarkEnd w:id="8"/>
      <w:r w:rsidRPr="001670AD">
        <w:rPr>
          <w:rFonts w:ascii="Arial" w:eastAsia="Calibri" w:hAnsi="Arial" w:cs="Arial"/>
          <w:color w:val="000000"/>
          <w:lang w:val="es-ES_tradnl" w:eastAsia="es-ES_tradnl"/>
        </w:rPr>
        <w:t xml:space="preserve">En consecuencia, </w:t>
      </w:r>
      <w:r w:rsidR="001670AD" w:rsidRPr="001670AD">
        <w:rPr>
          <w:rFonts w:ascii="Arial" w:eastAsia="Calibri" w:hAnsi="Arial" w:cs="Arial"/>
          <w:color w:val="000000"/>
          <w:lang w:val="es-ES_tradnl" w:eastAsia="es-ES_tradnl"/>
        </w:rPr>
        <w:t xml:space="preserve">se tiene que, por regla general, el régimen jurídico aplicable </w:t>
      </w:r>
      <w:r w:rsidRPr="001670AD">
        <w:rPr>
          <w:rFonts w:ascii="Arial" w:eastAsia="Calibri" w:hAnsi="Arial" w:cs="Arial"/>
          <w:color w:val="000000"/>
          <w:lang w:val="es-ES_tradnl" w:eastAsia="es-ES_tradnl"/>
        </w:rPr>
        <w:t xml:space="preserve">a la contratación que efectúan </w:t>
      </w:r>
      <w:r w:rsidR="00496CFD" w:rsidRPr="001670AD">
        <w:rPr>
          <w:rFonts w:ascii="Arial" w:eastAsia="Calibri" w:hAnsi="Arial" w:cs="Arial"/>
          <w:color w:val="000000"/>
          <w:lang w:val="es-ES_tradnl" w:eastAsia="es-ES_tradnl"/>
        </w:rPr>
        <w:t xml:space="preserve">las filiales de empresas industriales y comerciales del </w:t>
      </w:r>
      <w:proofErr w:type="gramStart"/>
      <w:r w:rsidR="00496CFD" w:rsidRPr="001670AD">
        <w:rPr>
          <w:rFonts w:ascii="Arial" w:eastAsia="Calibri" w:hAnsi="Arial" w:cs="Arial"/>
          <w:color w:val="000000"/>
          <w:lang w:val="es-ES_tradnl" w:eastAsia="es-ES_tradnl"/>
        </w:rPr>
        <w:t>estado</w:t>
      </w:r>
      <w:r w:rsidRPr="001670AD">
        <w:rPr>
          <w:rFonts w:ascii="Arial" w:eastAsia="Calibri" w:hAnsi="Arial" w:cs="Arial"/>
          <w:color w:val="000000"/>
          <w:lang w:val="es-ES_tradnl" w:eastAsia="es-ES_tradnl"/>
        </w:rPr>
        <w:t>,</w:t>
      </w:r>
      <w:proofErr w:type="gramEnd"/>
      <w:r w:rsidR="00496CFD" w:rsidRPr="001670AD">
        <w:rPr>
          <w:rFonts w:ascii="Arial" w:eastAsia="Calibri" w:hAnsi="Arial" w:cs="Arial"/>
          <w:color w:val="000000"/>
          <w:lang w:val="es-ES_tradnl" w:eastAsia="es-ES_tradnl"/>
        </w:rPr>
        <w:t xml:space="preserve"> es el privado</w:t>
      </w:r>
      <w:r w:rsidRPr="001670AD">
        <w:rPr>
          <w:rFonts w:ascii="Arial" w:eastAsia="Calibri" w:hAnsi="Arial" w:cs="Arial"/>
          <w:color w:val="000000"/>
          <w:lang w:val="es-ES_tradnl" w:eastAsia="es-ES_tradnl"/>
        </w:rPr>
        <w:t xml:space="preserve"> y solo excepcionalmente el contenido en el Estatuto General de Contratación de la Administración Pública</w:t>
      </w:r>
      <w:r w:rsidRPr="001670AD">
        <w:rPr>
          <w:rFonts w:ascii="Arial" w:eastAsia="Calibri" w:hAnsi="Arial" w:cs="Arial"/>
          <w:color w:val="000000"/>
          <w:vertAlign w:val="superscript"/>
          <w:lang w:val="es-ES_tradnl" w:eastAsia="es-ES_tradnl"/>
        </w:rPr>
        <w:footnoteReference w:id="19"/>
      </w:r>
      <w:r w:rsidRPr="001670AD">
        <w:rPr>
          <w:rFonts w:ascii="Arial" w:eastAsia="Calibri" w:hAnsi="Arial" w:cs="Arial"/>
          <w:color w:val="000000"/>
          <w:lang w:val="es-ES_tradnl" w:eastAsia="es-ES_tradnl"/>
        </w:rPr>
        <w:t xml:space="preserve">. En otras palabras, </w:t>
      </w:r>
      <w:bookmarkStart w:id="10" w:name="_Hlk71653647"/>
      <w:r w:rsidRPr="001670AD">
        <w:rPr>
          <w:rFonts w:ascii="Arial" w:eastAsia="Calibri" w:hAnsi="Arial" w:cs="Arial"/>
          <w:color w:val="000000"/>
          <w:lang w:val="es-ES_tradnl" w:eastAsia="es-ES_tradnl"/>
        </w:rPr>
        <w:t xml:space="preserve">las </w:t>
      </w:r>
      <w:r w:rsidR="00496CFD" w:rsidRPr="001670AD">
        <w:rPr>
          <w:rFonts w:ascii="Arial" w:eastAsia="Calibri" w:hAnsi="Arial" w:cs="Arial"/>
          <w:color w:val="000000"/>
          <w:lang w:val="es-ES_tradnl" w:eastAsia="es-ES_tradnl"/>
        </w:rPr>
        <w:t xml:space="preserve">filiales de empresas industriales y comerciales del estado </w:t>
      </w:r>
      <w:bookmarkStart w:id="11" w:name="_Hlk71738505"/>
      <w:r w:rsidRPr="001670AD">
        <w:rPr>
          <w:rFonts w:ascii="Arial" w:eastAsia="Calibri" w:hAnsi="Arial" w:cs="Arial"/>
          <w:color w:val="000000"/>
          <w:lang w:val="es-ES_tradnl" w:eastAsia="es-ES_tradnl"/>
        </w:rPr>
        <w:t>se sujetan, en su actividad contractual, a las disposiciones del derecho privado, salvo en aquellos casos en los que la Constitución</w:t>
      </w:r>
      <w:r w:rsidR="00496CFD" w:rsidRPr="001670AD">
        <w:rPr>
          <w:rFonts w:ascii="Arial" w:eastAsia="Calibri" w:hAnsi="Arial" w:cs="Arial"/>
          <w:color w:val="000000"/>
          <w:lang w:val="es-ES_tradnl" w:eastAsia="es-ES_tradnl"/>
        </w:rPr>
        <w:t xml:space="preserve"> u</w:t>
      </w:r>
      <w:r w:rsidRPr="001670AD">
        <w:rPr>
          <w:rFonts w:ascii="Arial" w:eastAsia="Calibri" w:hAnsi="Arial" w:cs="Arial"/>
          <w:color w:val="000000"/>
          <w:lang w:val="es-ES_tradnl" w:eastAsia="es-ES_tradnl"/>
        </w:rPr>
        <w:t xml:space="preserve"> otras leyes especiales, sometan tal conducta al Estatuto General de Contratación de la Administración Pública, es decir, a la Ley 80 de 1993, la Ley 1150 de 2007 y demás normas complementarias. </w:t>
      </w:r>
    </w:p>
    <w:p w14:paraId="0365518F" w14:textId="482C9A4F" w:rsidR="005F74CB" w:rsidRPr="001670AD" w:rsidRDefault="00496CFD" w:rsidP="00FB1952">
      <w:pPr>
        <w:spacing w:before="120" w:after="120" w:line="276" w:lineRule="auto"/>
        <w:ind w:firstLine="709"/>
        <w:jc w:val="both"/>
        <w:rPr>
          <w:rFonts w:ascii="Arial" w:eastAsia="Calibri" w:hAnsi="Arial" w:cs="Arial"/>
          <w:color w:val="000000"/>
          <w:lang w:val="es-ES_tradnl" w:eastAsia="es-ES_tradnl"/>
        </w:rPr>
      </w:pPr>
      <w:bookmarkStart w:id="12" w:name="_Hlk112245717"/>
      <w:bookmarkEnd w:id="9"/>
      <w:bookmarkEnd w:id="10"/>
      <w:bookmarkEnd w:id="11"/>
      <w:r w:rsidRPr="001670AD">
        <w:rPr>
          <w:rFonts w:ascii="Arial" w:eastAsia="Calibri" w:hAnsi="Arial" w:cs="Arial"/>
          <w:color w:val="000000"/>
          <w:lang w:val="es-ES_tradnl" w:eastAsia="es-ES_tradnl"/>
        </w:rPr>
        <w:t>Así las cosas, el hecho de que las filiales de empresas industriales y comerciales del estado</w:t>
      </w:r>
      <w:r w:rsidR="005F74CB" w:rsidRPr="001670AD">
        <w:rPr>
          <w:rFonts w:ascii="Arial" w:eastAsia="Calibri" w:hAnsi="Arial" w:cs="Arial"/>
          <w:color w:val="000000"/>
          <w:lang w:val="es-ES_tradnl" w:eastAsia="es-ES_tradnl"/>
        </w:rPr>
        <w:t xml:space="preserve"> no estén sometidas al Estatuto General de Contratación de la Administración Pública no significa que su actividad contractual se rija por un «derecho privado puro», pues este se encuentra irrigado por los principios de la función administrativa y de la gestión fiscal, previstos en los artículos 209 y 267 de la Constitución. Asimismo, </w:t>
      </w:r>
      <w:r w:rsidR="005F74CB" w:rsidRPr="001670AD">
        <w:rPr>
          <w:rFonts w:ascii="Arial" w:eastAsia="Calibri" w:hAnsi="Arial" w:cs="Arial"/>
          <w:color w:val="000000"/>
          <w:lang w:eastAsia="es-ES_tradnl"/>
        </w:rPr>
        <w:t xml:space="preserve">están obligadas a cumplir con el deber de publicar su actividad contractual en los términos analizados en los numerales anteriores de este concepto, conforme lo dispone el artículo </w:t>
      </w:r>
      <w:r w:rsidR="005F74CB" w:rsidRPr="001670AD">
        <w:rPr>
          <w:rFonts w:ascii="Arial" w:eastAsia="Calibri" w:hAnsi="Arial" w:cs="Arial"/>
          <w:color w:val="000000"/>
          <w:lang w:val="es-ES_tradnl" w:eastAsia="es-ES_tradnl"/>
        </w:rPr>
        <w:t>13 de la Ley 1150 de 2007, modificado por el artículo 53 de la Ley 2195 de 2022</w:t>
      </w:r>
      <w:r w:rsidR="005F74CB" w:rsidRPr="001670AD">
        <w:rPr>
          <w:rFonts w:ascii="Arial" w:eastAsia="Calibri" w:hAnsi="Arial" w:cs="Arial"/>
          <w:color w:val="000000"/>
          <w:vertAlign w:val="superscript"/>
          <w:lang w:val="es-ES_tradnl" w:eastAsia="es-ES_tradnl"/>
        </w:rPr>
        <w:footnoteReference w:id="20"/>
      </w:r>
      <w:bookmarkStart w:id="13" w:name="_Hlk112236355"/>
      <w:r w:rsidR="005F74CB" w:rsidRPr="001670AD">
        <w:rPr>
          <w:rFonts w:ascii="Arial" w:eastAsia="Calibri" w:hAnsi="Arial" w:cs="Arial"/>
          <w:color w:val="000000"/>
          <w:lang w:val="es-ES_tradnl" w:eastAsia="es-ES_tradnl"/>
        </w:rPr>
        <w:t xml:space="preserve">.  </w:t>
      </w:r>
    </w:p>
    <w:p w14:paraId="60F682F6" w14:textId="77D201EF" w:rsidR="005F74CB" w:rsidRPr="001670AD" w:rsidRDefault="005F74CB" w:rsidP="00FB1952">
      <w:pPr>
        <w:spacing w:before="120" w:after="120" w:line="276" w:lineRule="auto"/>
        <w:ind w:firstLine="709"/>
        <w:jc w:val="both"/>
        <w:rPr>
          <w:rFonts w:ascii="Arial" w:eastAsia="Times New Roman" w:hAnsi="Arial" w:cs="Arial"/>
          <w:color w:val="000000" w:themeColor="text1"/>
          <w:lang w:val="es-ES_tradnl" w:eastAsia="es-ES_tradnl"/>
        </w:rPr>
      </w:pPr>
      <w:r w:rsidRPr="001670AD">
        <w:rPr>
          <w:rFonts w:ascii="Arial" w:eastAsia="Calibri" w:hAnsi="Arial" w:cs="Arial"/>
          <w:color w:val="000000"/>
          <w:lang w:val="es-ES_tradnl" w:eastAsia="es-ES_tradnl"/>
        </w:rPr>
        <w:lastRenderedPageBreak/>
        <w:t xml:space="preserve">De lo expuesto se concluye que </w:t>
      </w:r>
      <w:r w:rsidR="00496CFD" w:rsidRPr="001670AD">
        <w:rPr>
          <w:rFonts w:ascii="Arial" w:eastAsia="Calibri" w:hAnsi="Arial" w:cs="Arial"/>
          <w:color w:val="000000"/>
          <w:lang w:val="es-ES_tradnl" w:eastAsia="es-ES_tradnl"/>
        </w:rPr>
        <w:t>las filiales de empresas industriales y comerciales del estado</w:t>
      </w:r>
      <w:r w:rsidRPr="001670AD">
        <w:rPr>
          <w:rFonts w:ascii="Arial" w:eastAsia="Calibri" w:hAnsi="Arial" w:cs="Arial"/>
          <w:color w:val="000000"/>
          <w:lang w:val="es-ES_tradnl" w:eastAsia="es-ES_tradnl"/>
        </w:rPr>
        <w:t>, independientemente de que el régimen contractual que les aplica sea el derecho privado, deben publicar su actividad en el SECOP</w:t>
      </w:r>
      <w:r w:rsidRPr="001670AD">
        <w:rPr>
          <w:rFonts w:ascii="Arial" w:eastAsia="Times New Roman" w:hAnsi="Arial" w:cs="Arial"/>
          <w:color w:val="000000" w:themeColor="text1"/>
          <w:lang w:val="es-ES_tradnl" w:eastAsia="es-ES_tradnl"/>
        </w:rPr>
        <w:t xml:space="preserve"> II o la plataforma transaccional que haga sus veces, de acuerdo con lo establecido en el artículo 53 de la Ley 2195 de 2022</w:t>
      </w:r>
      <w:r w:rsidRPr="001670AD">
        <w:rPr>
          <w:rFonts w:ascii="Arial" w:eastAsia="Calibri" w:hAnsi="Arial" w:cs="Arial"/>
          <w:color w:val="000000"/>
          <w:lang w:val="es-ES_tradnl" w:eastAsia="es-ES_tradnl"/>
        </w:rPr>
        <w:t xml:space="preserve">. </w:t>
      </w:r>
      <w:bookmarkEnd w:id="13"/>
      <w:r w:rsidRPr="001670AD">
        <w:rPr>
          <w:rFonts w:ascii="Arial" w:eastAsia="Calibri" w:hAnsi="Arial" w:cs="Arial"/>
          <w:color w:val="000000"/>
          <w:lang w:val="es-ES_tradnl" w:eastAsia="es-ES_tradnl"/>
        </w:rPr>
        <w:t>La</w:t>
      </w:r>
      <w:r w:rsidRPr="001670AD">
        <w:rPr>
          <w:rFonts w:ascii="Arial" w:eastAsia="Times New Roman" w:hAnsi="Arial" w:cs="Arial"/>
          <w:color w:val="000000" w:themeColor="text1"/>
          <w:lang w:val="es-ES_tradnl" w:eastAsia="es-ES_tradnl"/>
        </w:rPr>
        <w:t xml:space="preserve"> disposición citada no consagra ninguna excepción respecto a su aplicación, por lo cual todas las entidades que no se encuentran sometidas al Estatuto General de Contratación de la Administración Pública deberán cumplir con el deber de publicación analizado en el presente concepto, sin que sea posible modular sus efectos.   </w:t>
      </w:r>
    </w:p>
    <w:bookmarkEnd w:id="12"/>
    <w:p w14:paraId="33D66D3C" w14:textId="163CCB64" w:rsidR="005F74CB" w:rsidRPr="00FC7E6B" w:rsidRDefault="005F74CB" w:rsidP="00FC7E6B">
      <w:pPr>
        <w:spacing w:before="120" w:after="120" w:line="276" w:lineRule="auto"/>
        <w:ind w:firstLine="709"/>
        <w:jc w:val="both"/>
        <w:rPr>
          <w:rFonts w:ascii="Arial" w:eastAsia="Times New Roman" w:hAnsi="Arial" w:cs="Arial"/>
          <w:color w:val="000000" w:themeColor="text1"/>
          <w:lang w:val="es-ES_tradnl" w:eastAsia="es-ES_tradnl"/>
        </w:rPr>
      </w:pPr>
      <w:r w:rsidRPr="001670AD">
        <w:rPr>
          <w:rFonts w:ascii="Arial" w:eastAsia="Calibri" w:hAnsi="Arial" w:cs="Arial"/>
          <w:color w:val="000000"/>
          <w:lang w:eastAsia="es-ES_tradnl"/>
        </w:rPr>
        <w:t>La anterior conclusión se refuerza si se tiene en cuenta que, de conformidad con el literal e) del artículo 9 y el literal g) del artículo 11 de la Ley 1712 de 2014, desarrollados en el</w:t>
      </w:r>
      <w:r w:rsidRPr="001670AD">
        <w:rPr>
          <w:rFonts w:ascii="Arial" w:eastAsia="Calibri" w:hAnsi="Arial" w:cs="Arial"/>
          <w:color w:val="000000" w:themeColor="text1"/>
          <w:lang w:val="es-ES_tradnl" w:eastAsia="es-ES_tradnl"/>
        </w:rPr>
        <w:t xml:space="preserve"> artículo 7 del Decreto 103 de 2015 –compilado en el artículo </w:t>
      </w:r>
      <w:r w:rsidRPr="001670AD">
        <w:rPr>
          <w:rStyle w:val="Textoennegrita"/>
          <w:rFonts w:ascii="Arial" w:hAnsi="Arial" w:cs="Arial"/>
          <w:color w:val="333333"/>
          <w:shd w:val="clear" w:color="auto" w:fill="FFFFFF"/>
        </w:rPr>
        <w:t xml:space="preserve">2.1.1.2.1.7. </w:t>
      </w:r>
      <w:r w:rsidRPr="001670AD">
        <w:rPr>
          <w:rFonts w:ascii="Arial" w:eastAsia="Calibri" w:hAnsi="Arial" w:cs="Arial"/>
          <w:color w:val="000000" w:themeColor="text1"/>
          <w:lang w:val="es-ES_tradnl" w:eastAsia="es-ES_tradnl"/>
        </w:rPr>
        <w:t>del Decreto 1081 de 2015–</w:t>
      </w:r>
      <w:r w:rsidRPr="001670AD">
        <w:rPr>
          <w:rFonts w:ascii="Arial" w:eastAsia="Times New Roman" w:hAnsi="Arial" w:cs="Arial"/>
          <w:color w:val="000000" w:themeColor="text1"/>
          <w:lang w:val="es-ES_tradnl" w:eastAsia="es-ES_tradnl"/>
        </w:rPr>
        <w:t xml:space="preserve">, las entidades estatales –incluidas las que se rigen generalmente por el derecho privado en materia contractual–, al ser </w:t>
      </w:r>
      <w:r w:rsidRPr="001670AD">
        <w:rPr>
          <w:rFonts w:ascii="Arial" w:eastAsia="Times New Roman" w:hAnsi="Arial" w:cs="Arial"/>
          <w:i/>
          <w:iCs/>
          <w:color w:val="000000" w:themeColor="text1"/>
          <w:lang w:val="es-ES_tradnl" w:eastAsia="es-ES_tradnl"/>
        </w:rPr>
        <w:t>sujetos obligados</w:t>
      </w:r>
      <w:r w:rsidRPr="001670AD">
        <w:rPr>
          <w:rFonts w:ascii="Arial" w:eastAsia="Times New Roman" w:hAnsi="Arial" w:cs="Arial"/>
          <w:color w:val="000000" w:themeColor="text1"/>
          <w:lang w:val="es-ES_tradnl" w:eastAsia="es-ES_tradnl"/>
        </w:rPr>
        <w:t xml:space="preserve"> a garantizar el derecho de acceso a la información y a los documentos públicos, deben publicar en el SECOP los documentos relacionados con su gestión contractual.</w:t>
      </w:r>
    </w:p>
    <w:p w14:paraId="61A8CD40" w14:textId="77777777" w:rsidR="00332C44" w:rsidRPr="001670AD" w:rsidRDefault="00332C44" w:rsidP="002C7241">
      <w:pPr>
        <w:spacing w:after="0" w:line="276" w:lineRule="auto"/>
        <w:contextualSpacing/>
        <w:jc w:val="both"/>
        <w:rPr>
          <w:rFonts w:ascii="Arial" w:eastAsia="Calibri" w:hAnsi="Arial" w:cs="Arial"/>
          <w:b/>
          <w:bCs/>
          <w:color w:val="000000" w:themeColor="text1"/>
          <w:szCs w:val="24"/>
          <w:lang w:val="es-ES" w:eastAsia="es-ES_tradnl"/>
        </w:rPr>
      </w:pPr>
    </w:p>
    <w:p w14:paraId="0B04994E" w14:textId="77777777" w:rsidR="00FB17D4" w:rsidRPr="001670AD" w:rsidRDefault="00FB17D4" w:rsidP="00FB17D4">
      <w:pPr>
        <w:tabs>
          <w:tab w:val="left" w:pos="0"/>
        </w:tabs>
        <w:spacing w:after="0" w:line="240" w:lineRule="auto"/>
        <w:jc w:val="both"/>
        <w:rPr>
          <w:rFonts w:ascii="Arial" w:eastAsia="Calibri" w:hAnsi="Arial" w:cs="Arial"/>
          <w:b/>
          <w:color w:val="000000" w:themeColor="text1"/>
          <w:szCs w:val="24"/>
          <w:lang w:val="es-ES_tradnl" w:eastAsia="es-ES_tradnl"/>
        </w:rPr>
      </w:pPr>
      <w:r w:rsidRPr="001670AD">
        <w:rPr>
          <w:rFonts w:ascii="Arial" w:eastAsia="Calibri" w:hAnsi="Arial" w:cs="Arial"/>
          <w:b/>
          <w:color w:val="000000" w:themeColor="text1"/>
          <w:szCs w:val="24"/>
          <w:lang w:val="es-ES_tradnl" w:eastAsia="es-ES_tradnl"/>
        </w:rPr>
        <w:t>3. Respuesta</w:t>
      </w:r>
    </w:p>
    <w:p w14:paraId="4A7A0CD1" w14:textId="77777777" w:rsidR="00FB17D4" w:rsidRPr="001670AD" w:rsidRDefault="00FB17D4" w:rsidP="00FB17D4">
      <w:pPr>
        <w:tabs>
          <w:tab w:val="left" w:pos="0"/>
        </w:tabs>
        <w:spacing w:after="0" w:line="240" w:lineRule="auto"/>
        <w:jc w:val="both"/>
        <w:rPr>
          <w:rFonts w:ascii="Arial" w:eastAsia="Calibri" w:hAnsi="Arial" w:cs="Arial"/>
          <w:color w:val="000000" w:themeColor="text1"/>
          <w:szCs w:val="24"/>
          <w:lang w:val="es-ES_tradnl" w:eastAsia="es-ES_tradnl"/>
        </w:rPr>
      </w:pPr>
    </w:p>
    <w:p w14:paraId="7E396236" w14:textId="6FFC3851" w:rsidR="00165FC7" w:rsidRPr="001670AD" w:rsidRDefault="00790F7D" w:rsidP="00165FC7">
      <w:pPr>
        <w:spacing w:after="0" w:line="240" w:lineRule="auto"/>
        <w:ind w:left="709" w:right="709"/>
        <w:contextualSpacing/>
        <w:jc w:val="both"/>
        <w:rPr>
          <w:rFonts w:ascii="Arial" w:hAnsi="Arial" w:cs="Arial"/>
          <w:color w:val="000000" w:themeColor="text1"/>
          <w:sz w:val="21"/>
          <w:szCs w:val="21"/>
        </w:rPr>
      </w:pPr>
      <w:r w:rsidRPr="001670AD">
        <w:rPr>
          <w:rFonts w:ascii="Arial" w:hAnsi="Arial" w:cs="Arial"/>
          <w:color w:val="000000" w:themeColor="text1"/>
          <w:sz w:val="21"/>
          <w:szCs w:val="21"/>
        </w:rPr>
        <w:t>«[…]se solicita que sea emitido concepto por su parte, con el fin de determinar y dar claridad sobre la obligatoriedad de nuestra entidad al uso del sistema SECOP II, teniendo en cuenta las condiciones especiales de EXTRADEC Ltda. dentro de la actividad monopolística de los juegos de suerte y azar</w:t>
      </w:r>
      <w:r w:rsidR="000A4283" w:rsidRPr="001670AD">
        <w:rPr>
          <w:rFonts w:ascii="Arial" w:hAnsi="Arial" w:cs="Arial"/>
          <w:color w:val="000000" w:themeColor="text1"/>
          <w:sz w:val="21"/>
          <w:szCs w:val="21"/>
        </w:rPr>
        <w:t>»</w:t>
      </w:r>
      <w:r w:rsidR="00165FC7" w:rsidRPr="001670AD">
        <w:rPr>
          <w:rFonts w:ascii="Arial" w:hAnsi="Arial" w:cs="Arial"/>
          <w:color w:val="000000" w:themeColor="text1"/>
          <w:sz w:val="21"/>
          <w:szCs w:val="21"/>
        </w:rPr>
        <w:t xml:space="preserve"> </w:t>
      </w:r>
    </w:p>
    <w:p w14:paraId="3A0967EC" w14:textId="77777777" w:rsidR="00DC6DE7" w:rsidRPr="001670AD" w:rsidRDefault="00DC6DE7" w:rsidP="00165FC7">
      <w:pPr>
        <w:spacing w:after="0" w:line="240" w:lineRule="auto"/>
        <w:ind w:left="709" w:right="709"/>
        <w:contextualSpacing/>
        <w:jc w:val="both"/>
        <w:rPr>
          <w:rFonts w:ascii="Arial" w:eastAsia="Times New Roman" w:hAnsi="Arial" w:cs="Arial"/>
          <w:color w:val="000000" w:themeColor="text1"/>
          <w:sz w:val="21"/>
          <w:szCs w:val="21"/>
          <w:lang w:eastAsia="es-ES_tradnl"/>
        </w:rPr>
      </w:pPr>
    </w:p>
    <w:p w14:paraId="0EF40DFC" w14:textId="0AA42401" w:rsidR="0087308D" w:rsidRPr="001670AD" w:rsidRDefault="00DC6DE7" w:rsidP="00FC7E6B">
      <w:pPr>
        <w:spacing w:before="120" w:after="120" w:line="276" w:lineRule="auto"/>
        <w:jc w:val="both"/>
        <w:rPr>
          <w:rFonts w:ascii="Arial" w:eastAsia="Calibri" w:hAnsi="Arial" w:cs="Arial"/>
          <w:color w:val="000000"/>
          <w:lang w:val="es-ES_tradnl" w:eastAsia="es-ES_tradnl"/>
        </w:rPr>
      </w:pPr>
      <w:r w:rsidRPr="001670AD">
        <w:rPr>
          <w:rFonts w:ascii="Arial" w:eastAsia="Calibri" w:hAnsi="Arial" w:cs="Arial"/>
          <w:color w:val="000000" w:themeColor="text1"/>
          <w:lang w:eastAsia="es-ES_tradnl"/>
        </w:rPr>
        <w:t xml:space="preserve">La Agencia –dentro de los límites de sus atribuciones, esto es, haciendo abstracción del caso particular expuesto–, </w:t>
      </w:r>
      <w:r w:rsidR="001670AD" w:rsidRPr="001670AD">
        <w:rPr>
          <w:rFonts w:ascii="Arial" w:eastAsia="Calibri" w:hAnsi="Arial" w:cs="Arial"/>
          <w:color w:val="000000" w:themeColor="text1"/>
          <w:lang w:eastAsia="es-ES_tradnl"/>
        </w:rPr>
        <w:t>señala que</w:t>
      </w:r>
      <w:r w:rsidR="001A5D94" w:rsidRPr="001670AD">
        <w:rPr>
          <w:rFonts w:ascii="Arial" w:eastAsia="Calibri" w:hAnsi="Arial" w:cs="Arial"/>
          <w:color w:val="000000"/>
          <w:lang w:val="es-ES_tradnl" w:eastAsia="es-ES_tradnl"/>
        </w:rPr>
        <w:t xml:space="preserve"> el régimen jurídico que, </w:t>
      </w:r>
      <w:r w:rsidR="0087308D" w:rsidRPr="001670AD">
        <w:rPr>
          <w:rFonts w:ascii="Arial" w:eastAsia="Calibri" w:hAnsi="Arial" w:cs="Arial"/>
          <w:color w:val="000000"/>
          <w:lang w:val="es-ES_tradnl" w:eastAsia="es-ES_tradnl"/>
        </w:rPr>
        <w:t xml:space="preserve">por regla general, el régimen </w:t>
      </w:r>
      <w:r w:rsidR="0087308D" w:rsidRPr="001670AD">
        <w:rPr>
          <w:rFonts w:ascii="Arial" w:eastAsia="Calibri" w:hAnsi="Arial" w:cs="Arial"/>
          <w:color w:val="000000"/>
          <w:lang w:val="es-ES_tradnl" w:eastAsia="es-ES_tradnl"/>
        </w:rPr>
        <w:lastRenderedPageBreak/>
        <w:t xml:space="preserve">jurídico aplicable a la contratación que efectúan las filiales de empresas industriales y comerciales del estado, es el privado y solo excepcionalmente el contenido en el Estatuto General de Contratación de la Administración Pública. En otras palabras, las filiales de empresas industriales y comerciales del estado se sujetan, en su actividad contractual, a las disposiciones del derecho privado, salvo en aquellos casos en los que la Constitución u otras leyes especiales, sometan tal conducta al Estatuto General de Contratación de la Administración Pública, es decir, a la Ley 80 de 1993, la Ley 1150 de 2007 y demás normas complementarias. </w:t>
      </w:r>
    </w:p>
    <w:p w14:paraId="43C93258" w14:textId="70318F17" w:rsidR="0087308D" w:rsidRPr="001670AD" w:rsidRDefault="0087308D" w:rsidP="0087308D">
      <w:pPr>
        <w:spacing w:before="120" w:after="120" w:line="276" w:lineRule="auto"/>
        <w:ind w:firstLine="709"/>
        <w:jc w:val="both"/>
        <w:rPr>
          <w:rFonts w:ascii="Arial" w:eastAsia="Calibri" w:hAnsi="Arial" w:cs="Arial"/>
          <w:color w:val="000000"/>
          <w:lang w:val="es-ES_tradnl" w:eastAsia="es-ES_tradnl"/>
        </w:rPr>
      </w:pPr>
      <w:r w:rsidRPr="001670AD">
        <w:rPr>
          <w:rFonts w:ascii="Arial" w:eastAsia="Calibri" w:hAnsi="Arial" w:cs="Arial"/>
          <w:color w:val="000000"/>
          <w:lang w:val="es-ES_tradnl" w:eastAsia="es-ES_tradnl"/>
        </w:rPr>
        <w:t xml:space="preserve">Así las cosas, el hecho de que las filiales de empresas industriales y comerciales del estado no estén sometidas al Estatuto General de Contratación de la Administración Pública no significa que su actividad contractual se rija por un «derecho privado puro», pues este se encuentra irrigado por los principios de la función administrativa y de la gestión fiscal, previstos en los artículos 209 y 267 de la Constitución. Asimismo, </w:t>
      </w:r>
      <w:r w:rsidRPr="001670AD">
        <w:rPr>
          <w:rFonts w:ascii="Arial" w:eastAsia="Calibri" w:hAnsi="Arial" w:cs="Arial"/>
          <w:color w:val="000000"/>
          <w:lang w:eastAsia="es-ES_tradnl"/>
        </w:rPr>
        <w:t xml:space="preserve">están obligadas a cumplir con el deber de publicar su actividad contractual en los términos analizados en los numerales anteriores de este concepto, conforme lo dispone el artículo </w:t>
      </w:r>
      <w:r w:rsidRPr="001670AD">
        <w:rPr>
          <w:rFonts w:ascii="Arial" w:eastAsia="Calibri" w:hAnsi="Arial" w:cs="Arial"/>
          <w:color w:val="000000"/>
          <w:lang w:val="es-ES_tradnl" w:eastAsia="es-ES_tradnl"/>
        </w:rPr>
        <w:t xml:space="preserve">13 de la Ley 1150 de 2007, modificado por el artículo 53 de la Ley 2195 de 2022.  </w:t>
      </w:r>
    </w:p>
    <w:p w14:paraId="189D43D8" w14:textId="77777777" w:rsidR="0087308D" w:rsidRPr="001670AD" w:rsidRDefault="0087308D" w:rsidP="0087308D">
      <w:pPr>
        <w:spacing w:before="120" w:after="120" w:line="276" w:lineRule="auto"/>
        <w:ind w:firstLine="709"/>
        <w:jc w:val="both"/>
        <w:rPr>
          <w:rFonts w:ascii="Arial" w:eastAsia="Times New Roman" w:hAnsi="Arial" w:cs="Arial"/>
          <w:color w:val="000000" w:themeColor="text1"/>
          <w:lang w:val="es-ES_tradnl" w:eastAsia="es-ES_tradnl"/>
        </w:rPr>
      </w:pPr>
      <w:r w:rsidRPr="001670AD">
        <w:rPr>
          <w:rFonts w:ascii="Arial" w:eastAsia="Calibri" w:hAnsi="Arial" w:cs="Arial"/>
          <w:color w:val="000000"/>
          <w:lang w:val="es-ES_tradnl" w:eastAsia="es-ES_tradnl"/>
        </w:rPr>
        <w:t>De lo expuesto se concluye que las filiales de empresas industriales y comerciales del estado, independientemente de que el régimen contractual que les aplica sea el derecho privado, deben publicar su actividad en el SECOP</w:t>
      </w:r>
      <w:r w:rsidRPr="001670AD">
        <w:rPr>
          <w:rFonts w:ascii="Arial" w:eastAsia="Times New Roman" w:hAnsi="Arial" w:cs="Arial"/>
          <w:color w:val="000000" w:themeColor="text1"/>
          <w:lang w:val="es-ES_tradnl" w:eastAsia="es-ES_tradnl"/>
        </w:rPr>
        <w:t xml:space="preserve"> II o la plataforma transaccional que haga sus veces, de acuerdo con lo establecido en el artículo 53 de la Ley 2195 de 2022</w:t>
      </w:r>
      <w:r w:rsidRPr="001670AD">
        <w:rPr>
          <w:rFonts w:ascii="Arial" w:eastAsia="Calibri" w:hAnsi="Arial" w:cs="Arial"/>
          <w:color w:val="000000"/>
          <w:lang w:val="es-ES_tradnl" w:eastAsia="es-ES_tradnl"/>
        </w:rPr>
        <w:t>. La</w:t>
      </w:r>
      <w:r w:rsidRPr="001670AD">
        <w:rPr>
          <w:rFonts w:ascii="Arial" w:eastAsia="Times New Roman" w:hAnsi="Arial" w:cs="Arial"/>
          <w:color w:val="000000" w:themeColor="text1"/>
          <w:lang w:val="es-ES_tradnl" w:eastAsia="es-ES_tradnl"/>
        </w:rPr>
        <w:t xml:space="preserve"> disposición citada no consagra ninguna excepción respecto a su aplicación, por lo cual todas las entidades que no se encuentran sometidas al Estatuto General de Contratación de la Administración Pública deberán cumplir con el deber de publicación analizado en el presente concepto, sin que sea posible modular sus efectos.   </w:t>
      </w:r>
    </w:p>
    <w:p w14:paraId="64408232" w14:textId="77777777" w:rsidR="0087308D" w:rsidRPr="001670AD" w:rsidRDefault="0087308D" w:rsidP="0087308D">
      <w:pPr>
        <w:spacing w:before="120" w:after="120" w:line="276" w:lineRule="auto"/>
        <w:ind w:firstLine="709"/>
        <w:jc w:val="both"/>
        <w:rPr>
          <w:rFonts w:ascii="Arial" w:eastAsia="Times New Roman" w:hAnsi="Arial" w:cs="Arial"/>
          <w:color w:val="000000" w:themeColor="text1"/>
          <w:lang w:val="es-ES_tradnl" w:eastAsia="es-ES_tradnl"/>
        </w:rPr>
      </w:pPr>
      <w:r w:rsidRPr="001670AD">
        <w:rPr>
          <w:rFonts w:ascii="Arial" w:eastAsia="Calibri" w:hAnsi="Arial" w:cs="Arial"/>
          <w:color w:val="000000"/>
          <w:lang w:eastAsia="es-ES_tradnl"/>
        </w:rPr>
        <w:t>La anterior conclusión se refuerza si se tiene en cuenta que, de conformidad con el literal e) del artículo 9 y el literal g) del artículo 11 de la Ley 1712 de 2014, desarrollados en el</w:t>
      </w:r>
      <w:r w:rsidRPr="001670AD">
        <w:rPr>
          <w:rFonts w:ascii="Arial" w:eastAsia="Calibri" w:hAnsi="Arial" w:cs="Arial"/>
          <w:color w:val="000000" w:themeColor="text1"/>
          <w:lang w:val="es-ES_tradnl" w:eastAsia="es-ES_tradnl"/>
        </w:rPr>
        <w:t xml:space="preserve"> artículo 7 del Decreto 103 de 2015 –compilado en el artículo </w:t>
      </w:r>
      <w:r w:rsidRPr="001670AD">
        <w:rPr>
          <w:rStyle w:val="Textoennegrita"/>
          <w:rFonts w:ascii="Arial" w:hAnsi="Arial" w:cs="Arial"/>
          <w:color w:val="333333"/>
          <w:shd w:val="clear" w:color="auto" w:fill="FFFFFF"/>
        </w:rPr>
        <w:t xml:space="preserve">2.1.1.2.1.7. </w:t>
      </w:r>
      <w:r w:rsidRPr="001670AD">
        <w:rPr>
          <w:rFonts w:ascii="Arial" w:eastAsia="Calibri" w:hAnsi="Arial" w:cs="Arial"/>
          <w:color w:val="000000" w:themeColor="text1"/>
          <w:lang w:val="es-ES_tradnl" w:eastAsia="es-ES_tradnl"/>
        </w:rPr>
        <w:t>del Decreto 1081 de 2015–</w:t>
      </w:r>
      <w:r w:rsidRPr="001670AD">
        <w:rPr>
          <w:rFonts w:ascii="Arial" w:eastAsia="Times New Roman" w:hAnsi="Arial" w:cs="Arial"/>
          <w:color w:val="000000" w:themeColor="text1"/>
          <w:lang w:val="es-ES_tradnl" w:eastAsia="es-ES_tradnl"/>
        </w:rPr>
        <w:t xml:space="preserve">, las entidades estatales –incluidas las que se rigen generalmente por el derecho privado en materia contractual–, al ser </w:t>
      </w:r>
      <w:r w:rsidRPr="001670AD">
        <w:rPr>
          <w:rFonts w:ascii="Arial" w:eastAsia="Times New Roman" w:hAnsi="Arial" w:cs="Arial"/>
          <w:i/>
          <w:iCs/>
          <w:color w:val="000000" w:themeColor="text1"/>
          <w:lang w:val="es-ES_tradnl" w:eastAsia="es-ES_tradnl"/>
        </w:rPr>
        <w:t>sujetos obligados</w:t>
      </w:r>
      <w:r w:rsidRPr="001670AD">
        <w:rPr>
          <w:rFonts w:ascii="Arial" w:eastAsia="Times New Roman" w:hAnsi="Arial" w:cs="Arial"/>
          <w:color w:val="000000" w:themeColor="text1"/>
          <w:lang w:val="es-ES_tradnl" w:eastAsia="es-ES_tradnl"/>
        </w:rPr>
        <w:t xml:space="preserve"> a garantizar el derecho de acceso a la información y a los documentos públicos, deben publicar en el SECOP los documentos relacionados con su gestión contractual.</w:t>
      </w:r>
    </w:p>
    <w:p w14:paraId="6CCABD08" w14:textId="66ED3BC2" w:rsidR="001A5D94" w:rsidRPr="001670AD" w:rsidRDefault="001A5D94" w:rsidP="00FC7E6B">
      <w:pPr>
        <w:spacing w:before="120" w:after="120" w:line="276" w:lineRule="auto"/>
        <w:jc w:val="both"/>
        <w:rPr>
          <w:rFonts w:ascii="Arial" w:eastAsia="Calibri" w:hAnsi="Arial" w:cs="Arial"/>
          <w:color w:val="000000" w:themeColor="text1"/>
          <w:lang w:val="es-ES" w:eastAsia="es-ES"/>
        </w:rPr>
      </w:pPr>
    </w:p>
    <w:p w14:paraId="28BF3CE6" w14:textId="77777777" w:rsidR="00FB17D4" w:rsidRPr="001670AD" w:rsidRDefault="00FB17D4" w:rsidP="00FB17D4">
      <w:pPr>
        <w:spacing w:after="0" w:line="276" w:lineRule="auto"/>
        <w:jc w:val="both"/>
        <w:rPr>
          <w:rFonts w:ascii="Arial" w:eastAsia="Times New Roman" w:hAnsi="Arial" w:cs="Arial"/>
          <w:color w:val="000000" w:themeColor="text1"/>
          <w:szCs w:val="24"/>
          <w:lang w:val="es-ES_tradnl" w:eastAsia="es-ES_tradnl"/>
        </w:rPr>
      </w:pPr>
      <w:r w:rsidRPr="001670AD">
        <w:rPr>
          <w:rFonts w:ascii="Arial" w:eastAsia="Times New Roman" w:hAnsi="Arial" w:cs="Arial"/>
          <w:color w:val="000000" w:themeColor="text1"/>
          <w:szCs w:val="24"/>
          <w:lang w:val="es-ES_tradnl" w:eastAsia="es-ES_tradnl"/>
        </w:rPr>
        <w:t>Este concepto tiene el alcance previsto en el artículo 28 del Código de Procedimiento Administrativo y de lo Contencioso Administrativo.</w:t>
      </w:r>
    </w:p>
    <w:p w14:paraId="4B8FFF0C" w14:textId="77777777" w:rsidR="00FB17D4" w:rsidRPr="001670AD" w:rsidRDefault="00FB17D4" w:rsidP="00FB17D4">
      <w:pPr>
        <w:spacing w:after="0" w:line="276" w:lineRule="auto"/>
        <w:jc w:val="both"/>
        <w:rPr>
          <w:rFonts w:ascii="Arial" w:eastAsia="Times New Roman" w:hAnsi="Arial" w:cs="Arial"/>
          <w:color w:val="000000" w:themeColor="text1"/>
          <w:lang w:val="es-ES_tradnl" w:eastAsia="es-CO"/>
        </w:rPr>
      </w:pPr>
    </w:p>
    <w:p w14:paraId="6E3851BD" w14:textId="51E1CE8A" w:rsidR="00FB17D4" w:rsidRPr="001670AD" w:rsidRDefault="00FB17D4" w:rsidP="00FB17D4">
      <w:pPr>
        <w:spacing w:after="0" w:line="276" w:lineRule="auto"/>
        <w:jc w:val="both"/>
        <w:rPr>
          <w:rFonts w:ascii="Arial" w:eastAsia="Times New Roman" w:hAnsi="Arial" w:cs="Arial"/>
          <w:color w:val="000000" w:themeColor="text1"/>
          <w:lang w:val="es-ES_tradnl" w:eastAsia="es-CO"/>
        </w:rPr>
      </w:pPr>
      <w:r w:rsidRPr="001670AD">
        <w:rPr>
          <w:rFonts w:ascii="Arial" w:eastAsia="Times New Roman" w:hAnsi="Arial" w:cs="Arial"/>
          <w:color w:val="000000" w:themeColor="text1"/>
          <w:lang w:val="es-ES_tradnl" w:eastAsia="es-CO"/>
        </w:rPr>
        <w:t>Atentamente,</w:t>
      </w:r>
    </w:p>
    <w:p w14:paraId="5EBD774C" w14:textId="1C477E00" w:rsidR="004F69A8" w:rsidRPr="001670AD" w:rsidRDefault="004F69A8" w:rsidP="00FB17D4">
      <w:pPr>
        <w:spacing w:after="0" w:line="276" w:lineRule="auto"/>
        <w:jc w:val="both"/>
        <w:rPr>
          <w:rFonts w:ascii="Arial" w:eastAsia="Times New Roman" w:hAnsi="Arial" w:cs="Arial"/>
          <w:color w:val="000000" w:themeColor="text1"/>
          <w:lang w:val="es-ES_tradnl" w:eastAsia="es-CO"/>
        </w:rPr>
      </w:pPr>
    </w:p>
    <w:p w14:paraId="408DFF87" w14:textId="3D4AEF1E" w:rsidR="00070BBD" w:rsidRPr="001670AD" w:rsidRDefault="00E922AD" w:rsidP="00070BBD">
      <w:pPr>
        <w:jc w:val="center"/>
        <w:rPr>
          <w:rFonts w:ascii="Arial" w:eastAsia="Times New Roman" w:hAnsi="Arial" w:cs="Arial"/>
          <w:lang w:eastAsia="es-CO"/>
        </w:rPr>
      </w:pPr>
      <w:bookmarkStart w:id="14" w:name="_Hlk108446929"/>
      <w:r>
        <w:rPr>
          <w:noProof/>
        </w:rPr>
        <w:drawing>
          <wp:inline distT="0" distB="0" distL="0" distR="0" wp14:anchorId="7EC426B7" wp14:editId="460E2BFF">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2290C5F8" w14:textId="77777777" w:rsidR="00070BBD" w:rsidRPr="001670AD" w:rsidRDefault="00070BBD" w:rsidP="00070BBD">
      <w:pPr>
        <w:jc w:val="center"/>
        <w:rPr>
          <w:rFonts w:ascii="Arial" w:eastAsia="Times New Roman" w:hAnsi="Arial" w:cs="Arial"/>
          <w:lang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5276"/>
      </w:tblGrid>
      <w:tr w:rsidR="00070BBD" w:rsidRPr="001670AD" w14:paraId="0DD48595" w14:textId="77777777" w:rsidTr="00C22072">
        <w:trPr>
          <w:trHeight w:val="291"/>
        </w:trPr>
        <w:tc>
          <w:tcPr>
            <w:tcW w:w="1266" w:type="dxa"/>
            <w:vAlign w:val="center"/>
            <w:hideMark/>
          </w:tcPr>
          <w:p w14:paraId="27079276" w14:textId="77777777" w:rsidR="00070BBD" w:rsidRPr="001670AD" w:rsidRDefault="00070BBD" w:rsidP="00FC7E6B">
            <w:pPr>
              <w:rPr>
                <w:rFonts w:ascii="Arial" w:eastAsia="Times New Roman" w:hAnsi="Arial" w:cs="Arial"/>
                <w:sz w:val="16"/>
                <w:szCs w:val="16"/>
                <w:lang w:eastAsia="es-ES"/>
              </w:rPr>
            </w:pPr>
            <w:r w:rsidRPr="001670AD">
              <w:rPr>
                <w:rFonts w:ascii="Arial" w:eastAsia="Times New Roman" w:hAnsi="Arial" w:cs="Arial"/>
                <w:sz w:val="16"/>
                <w:szCs w:val="16"/>
                <w:lang w:eastAsia="es-ES"/>
              </w:rPr>
              <w:t>Elaboró:</w:t>
            </w:r>
          </w:p>
        </w:tc>
        <w:tc>
          <w:tcPr>
            <w:tcW w:w="5276" w:type="dxa"/>
            <w:tcBorders>
              <w:top w:val="nil"/>
              <w:left w:val="nil"/>
              <w:bottom w:val="dotted" w:sz="4" w:space="0" w:color="7F7F7F"/>
              <w:right w:val="nil"/>
            </w:tcBorders>
            <w:vAlign w:val="center"/>
            <w:hideMark/>
          </w:tcPr>
          <w:p w14:paraId="688A8AC3" w14:textId="77777777" w:rsidR="00070BBD" w:rsidRPr="001670AD" w:rsidRDefault="00070BBD" w:rsidP="00FC7E6B">
            <w:pPr>
              <w:rPr>
                <w:rFonts w:ascii="Arial" w:eastAsia="Times New Roman" w:hAnsi="Arial" w:cs="Arial"/>
                <w:sz w:val="16"/>
                <w:szCs w:val="16"/>
                <w:lang w:eastAsia="es-ES"/>
              </w:rPr>
            </w:pPr>
            <w:r w:rsidRPr="001670AD">
              <w:rPr>
                <w:rFonts w:ascii="Arial" w:eastAsia="Times New Roman" w:hAnsi="Arial" w:cs="Arial"/>
                <w:sz w:val="16"/>
                <w:szCs w:val="16"/>
                <w:lang w:eastAsia="es-ES"/>
              </w:rPr>
              <w:t>Felipe Bastidas Paredes</w:t>
            </w:r>
          </w:p>
          <w:p w14:paraId="25FA4923" w14:textId="77777777" w:rsidR="00070BBD" w:rsidRPr="001670AD" w:rsidRDefault="00070BBD" w:rsidP="00FC7E6B">
            <w:pPr>
              <w:rPr>
                <w:rFonts w:ascii="Arial" w:eastAsia="Times New Roman" w:hAnsi="Arial" w:cs="Arial"/>
                <w:sz w:val="16"/>
                <w:szCs w:val="16"/>
                <w:lang w:eastAsia="es-ES"/>
              </w:rPr>
            </w:pPr>
            <w:r w:rsidRPr="001670AD">
              <w:rPr>
                <w:rFonts w:ascii="Arial" w:eastAsia="Times New Roman" w:hAnsi="Arial" w:cs="Arial"/>
                <w:sz w:val="16"/>
                <w:szCs w:val="16"/>
                <w:lang w:eastAsia="es-ES"/>
              </w:rPr>
              <w:t>Contratista de la Subdirección de Gestión Contractual</w:t>
            </w:r>
          </w:p>
        </w:tc>
      </w:tr>
      <w:tr w:rsidR="00070BBD" w:rsidRPr="001670AD" w14:paraId="75FFDB8C" w14:textId="77777777" w:rsidTr="00C22072">
        <w:trPr>
          <w:trHeight w:val="304"/>
        </w:trPr>
        <w:tc>
          <w:tcPr>
            <w:tcW w:w="1266" w:type="dxa"/>
            <w:vAlign w:val="center"/>
          </w:tcPr>
          <w:p w14:paraId="2D154BA5" w14:textId="77777777" w:rsidR="00070BBD" w:rsidRPr="001670AD" w:rsidRDefault="00070BBD" w:rsidP="00FC7E6B">
            <w:pPr>
              <w:rPr>
                <w:rFonts w:ascii="Arial" w:eastAsia="Times New Roman" w:hAnsi="Arial" w:cs="Arial"/>
                <w:sz w:val="16"/>
                <w:szCs w:val="16"/>
                <w:lang w:eastAsia="es-ES"/>
              </w:rPr>
            </w:pPr>
            <w:r w:rsidRPr="001670AD">
              <w:rPr>
                <w:rFonts w:ascii="Arial" w:eastAsia="Times New Roman" w:hAnsi="Arial" w:cs="Arial"/>
                <w:sz w:val="16"/>
                <w:szCs w:val="16"/>
                <w:lang w:eastAsia="es-ES"/>
              </w:rPr>
              <w:t>Revisó:</w:t>
            </w:r>
          </w:p>
        </w:tc>
        <w:tc>
          <w:tcPr>
            <w:tcW w:w="5276" w:type="dxa"/>
            <w:tcBorders>
              <w:top w:val="dotted" w:sz="4" w:space="0" w:color="7F7F7F"/>
              <w:left w:val="nil"/>
              <w:bottom w:val="dotted" w:sz="4" w:space="0" w:color="7F7F7F"/>
              <w:right w:val="nil"/>
            </w:tcBorders>
            <w:vAlign w:val="center"/>
          </w:tcPr>
          <w:p w14:paraId="2503BA5B" w14:textId="2DDD30B3" w:rsidR="00070BBD" w:rsidRPr="001670AD" w:rsidRDefault="001A5D94" w:rsidP="00FC7E6B">
            <w:pPr>
              <w:rPr>
                <w:rFonts w:ascii="Arial" w:eastAsia="Times New Roman" w:hAnsi="Arial" w:cs="Arial"/>
                <w:sz w:val="16"/>
                <w:szCs w:val="16"/>
                <w:lang w:eastAsia="es-ES"/>
              </w:rPr>
            </w:pPr>
            <w:r w:rsidRPr="001670AD">
              <w:rPr>
                <w:rFonts w:ascii="Arial" w:eastAsia="Times New Roman" w:hAnsi="Arial" w:cs="Arial"/>
                <w:sz w:val="16"/>
                <w:szCs w:val="16"/>
                <w:lang w:eastAsia="es-ES"/>
              </w:rPr>
              <w:t>Nina María Padrón Ballestas</w:t>
            </w:r>
          </w:p>
          <w:p w14:paraId="1B10FE7E" w14:textId="77777777" w:rsidR="00070BBD" w:rsidRPr="001670AD" w:rsidRDefault="00070BBD" w:rsidP="00FC7E6B">
            <w:pPr>
              <w:rPr>
                <w:rFonts w:ascii="Arial" w:eastAsia="Times New Roman" w:hAnsi="Arial" w:cs="Arial"/>
                <w:sz w:val="16"/>
                <w:szCs w:val="16"/>
                <w:lang w:eastAsia="es-ES"/>
              </w:rPr>
            </w:pPr>
            <w:r w:rsidRPr="001670AD">
              <w:rPr>
                <w:rFonts w:ascii="Arial" w:eastAsia="Times New Roman" w:hAnsi="Arial" w:cs="Arial"/>
                <w:sz w:val="16"/>
                <w:szCs w:val="16"/>
                <w:lang w:eastAsia="es-ES"/>
              </w:rPr>
              <w:t xml:space="preserve">Contratista de la Subdirección de Gestión Contractual </w:t>
            </w:r>
          </w:p>
        </w:tc>
      </w:tr>
      <w:tr w:rsidR="00070BBD" w:rsidRPr="001670AD" w14:paraId="66801F26" w14:textId="77777777" w:rsidTr="00C22072">
        <w:trPr>
          <w:trHeight w:val="277"/>
        </w:trPr>
        <w:tc>
          <w:tcPr>
            <w:tcW w:w="1266" w:type="dxa"/>
            <w:vAlign w:val="center"/>
            <w:hideMark/>
          </w:tcPr>
          <w:p w14:paraId="73967767" w14:textId="77777777" w:rsidR="00070BBD" w:rsidRPr="001670AD" w:rsidRDefault="00070BBD" w:rsidP="00FC7E6B">
            <w:pPr>
              <w:rPr>
                <w:rFonts w:ascii="Arial" w:eastAsia="Times New Roman" w:hAnsi="Arial" w:cs="Arial"/>
                <w:sz w:val="16"/>
                <w:szCs w:val="16"/>
                <w:lang w:eastAsia="es-ES"/>
              </w:rPr>
            </w:pPr>
            <w:r w:rsidRPr="001670AD">
              <w:rPr>
                <w:rFonts w:ascii="Arial" w:eastAsia="Times New Roman" w:hAnsi="Arial" w:cs="Arial"/>
                <w:sz w:val="16"/>
                <w:szCs w:val="16"/>
                <w:lang w:eastAsia="es-ES"/>
              </w:rPr>
              <w:t>Aprobó:</w:t>
            </w:r>
          </w:p>
        </w:tc>
        <w:tc>
          <w:tcPr>
            <w:tcW w:w="5276" w:type="dxa"/>
            <w:tcBorders>
              <w:top w:val="dotted" w:sz="4" w:space="0" w:color="7F7F7F"/>
              <w:left w:val="nil"/>
              <w:bottom w:val="dotted" w:sz="4" w:space="0" w:color="7F7F7F"/>
              <w:right w:val="nil"/>
            </w:tcBorders>
            <w:vAlign w:val="center"/>
            <w:hideMark/>
          </w:tcPr>
          <w:p w14:paraId="6E6F99D5" w14:textId="19A21813" w:rsidR="00070BBD" w:rsidRPr="001670AD" w:rsidRDefault="001A5D94" w:rsidP="00FC7E6B">
            <w:pPr>
              <w:rPr>
                <w:rFonts w:ascii="Arial" w:eastAsia="Times New Roman" w:hAnsi="Arial" w:cs="Arial"/>
                <w:sz w:val="16"/>
                <w:szCs w:val="16"/>
                <w:lang w:eastAsia="es-ES"/>
              </w:rPr>
            </w:pPr>
            <w:r w:rsidRPr="001670AD">
              <w:rPr>
                <w:rFonts w:ascii="Arial" w:eastAsia="Times New Roman" w:hAnsi="Arial" w:cs="Arial"/>
                <w:sz w:val="16"/>
                <w:szCs w:val="16"/>
                <w:lang w:eastAsia="es-ES"/>
              </w:rPr>
              <w:t xml:space="preserve">Nohelia del Carmen </w:t>
            </w:r>
            <w:proofErr w:type="spellStart"/>
            <w:r w:rsidRPr="001670AD">
              <w:rPr>
                <w:rFonts w:ascii="Arial" w:eastAsia="Times New Roman" w:hAnsi="Arial" w:cs="Arial"/>
                <w:sz w:val="16"/>
                <w:szCs w:val="16"/>
                <w:lang w:eastAsia="es-ES"/>
              </w:rPr>
              <w:t>Zawady</w:t>
            </w:r>
            <w:proofErr w:type="spellEnd"/>
            <w:r w:rsidRPr="001670AD">
              <w:rPr>
                <w:rFonts w:ascii="Arial" w:eastAsia="Times New Roman" w:hAnsi="Arial" w:cs="Arial"/>
                <w:sz w:val="16"/>
                <w:szCs w:val="16"/>
                <w:lang w:eastAsia="es-ES"/>
              </w:rPr>
              <w:t xml:space="preserve"> Palacio</w:t>
            </w:r>
          </w:p>
          <w:p w14:paraId="4A6D847A" w14:textId="77777777" w:rsidR="00070BBD" w:rsidRPr="001670AD" w:rsidRDefault="00070BBD" w:rsidP="00FC7E6B">
            <w:pPr>
              <w:rPr>
                <w:rFonts w:ascii="Arial" w:eastAsia="Times New Roman" w:hAnsi="Arial" w:cs="Arial"/>
                <w:sz w:val="16"/>
                <w:szCs w:val="16"/>
                <w:lang w:eastAsia="es-ES"/>
              </w:rPr>
            </w:pPr>
            <w:r w:rsidRPr="001670AD">
              <w:rPr>
                <w:rFonts w:ascii="Arial" w:eastAsia="Times New Roman" w:hAnsi="Arial" w:cs="Arial"/>
                <w:sz w:val="16"/>
                <w:szCs w:val="16"/>
                <w:lang w:eastAsia="es-ES"/>
              </w:rPr>
              <w:t>Subdirector de Gestión Contractual ANCP – CCE</w:t>
            </w:r>
          </w:p>
        </w:tc>
      </w:tr>
    </w:tbl>
    <w:p w14:paraId="2CD09BCC" w14:textId="77777777" w:rsidR="004F69A8" w:rsidRPr="001670AD" w:rsidRDefault="004F69A8" w:rsidP="00FC7E6B">
      <w:pPr>
        <w:spacing w:before="120" w:after="0" w:line="240" w:lineRule="auto"/>
        <w:jc w:val="center"/>
        <w:rPr>
          <w:rFonts w:ascii="Arial" w:hAnsi="Arial" w:cs="Arial"/>
          <w:color w:val="000000" w:themeColor="text1"/>
          <w:sz w:val="18"/>
          <w:szCs w:val="20"/>
          <w:lang w:eastAsia="es-CO"/>
        </w:rPr>
      </w:pPr>
    </w:p>
    <w:bookmarkEnd w:id="14"/>
    <w:p w14:paraId="0D2FFF4F" w14:textId="77777777" w:rsidR="00BC31B2" w:rsidRPr="001670AD" w:rsidRDefault="00BC31B2" w:rsidP="00FC7E6B">
      <w:pPr>
        <w:spacing w:after="0" w:line="240" w:lineRule="auto"/>
        <w:jc w:val="both"/>
        <w:rPr>
          <w:rFonts w:ascii="Arial" w:eastAsia="Times New Roman" w:hAnsi="Arial" w:cs="Arial"/>
          <w:color w:val="000000" w:themeColor="text1"/>
          <w:lang w:val="es-ES_tradnl" w:eastAsia="es-CO"/>
        </w:rPr>
      </w:pPr>
    </w:p>
    <w:p w14:paraId="40F01D03" w14:textId="77777777" w:rsidR="00FB17D4" w:rsidRPr="001670AD" w:rsidRDefault="00FB17D4" w:rsidP="001A5D94">
      <w:pPr>
        <w:spacing w:after="0" w:line="240" w:lineRule="auto"/>
        <w:jc w:val="both"/>
        <w:rPr>
          <w:rFonts w:ascii="Arial" w:eastAsia="Times New Roman" w:hAnsi="Arial" w:cs="Arial"/>
          <w:color w:val="000000" w:themeColor="text1"/>
          <w:sz w:val="24"/>
          <w:szCs w:val="24"/>
          <w:lang w:val="es-ES_tradnl" w:eastAsia="es-ES_tradnl"/>
        </w:rPr>
      </w:pPr>
    </w:p>
    <w:bookmarkEnd w:id="3"/>
    <w:p w14:paraId="5695E237" w14:textId="77777777" w:rsidR="005B7448" w:rsidRPr="00FC7E6B" w:rsidRDefault="005B7448">
      <w:pPr>
        <w:rPr>
          <w:rFonts w:ascii="Arial" w:hAnsi="Arial" w:cs="Arial"/>
          <w:color w:val="000000" w:themeColor="text1"/>
        </w:rPr>
      </w:pPr>
    </w:p>
    <w:sectPr w:rsidR="005B7448" w:rsidRPr="00FC7E6B" w:rsidSect="00C22072">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D5F80" w14:textId="77777777" w:rsidR="009E644F" w:rsidRDefault="009E644F" w:rsidP="00FB17D4">
      <w:pPr>
        <w:spacing w:after="0" w:line="240" w:lineRule="auto"/>
      </w:pPr>
      <w:r>
        <w:separator/>
      </w:r>
    </w:p>
  </w:endnote>
  <w:endnote w:type="continuationSeparator" w:id="0">
    <w:p w14:paraId="031B4597" w14:textId="77777777" w:rsidR="009E644F" w:rsidRDefault="009E644F" w:rsidP="00FB1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œ„¯ò">
    <w:altName w:val="Calibri"/>
    <w:panose1 w:val="020B0604020202020204"/>
    <w:charset w:val="4D"/>
    <w:family w:val="auto"/>
    <w:pitch w:val="default"/>
    <w:sig w:usb0="00000003" w:usb1="00000000" w:usb2="00000000" w:usb3="00000000" w:csb0="00000001" w:csb1="00000000"/>
  </w:font>
  <w:font w:name="Geomanist Light">
    <w:altName w:val="Calibri"/>
    <w:panose1 w:val="020B0604020202020204"/>
    <w:charset w:val="00"/>
    <w:family w:val="modern"/>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647F8" w14:textId="77777777" w:rsidR="00C22072" w:rsidRDefault="00C22072" w:rsidP="00077356">
    <w:pPr>
      <w:pStyle w:val="Piedepgina"/>
    </w:pPr>
    <w:r>
      <w:rPr>
        <w:noProof/>
        <w:lang w:val="en-US"/>
      </w:rPr>
      <w:drawing>
        <wp:inline distT="0" distB="0" distL="0" distR="0" wp14:anchorId="150B4A13" wp14:editId="6D257B43">
          <wp:extent cx="5885180" cy="914400"/>
          <wp:effectExtent l="0" t="0" r="1270" b="0"/>
          <wp:docPr id="3" name="Imagen 3"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420"/>
      <w:gridCol w:w="839"/>
      <w:gridCol w:w="1971"/>
      <w:gridCol w:w="718"/>
      <w:gridCol w:w="2513"/>
      <w:gridCol w:w="1368"/>
    </w:tblGrid>
    <w:tr w:rsidR="00C22072" w:rsidRPr="00080DA3" w14:paraId="7EF4EBE9" w14:textId="77777777" w:rsidTr="00C22072">
      <w:trPr>
        <w:trHeight w:val="229"/>
        <w:jc w:val="center"/>
      </w:trPr>
      <w:tc>
        <w:tcPr>
          <w:tcW w:w="1013"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133AF78" w14:textId="77777777" w:rsidR="00C22072" w:rsidRPr="00080DA3" w:rsidRDefault="00C22072" w:rsidP="00077356">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21"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6DF2ED0" w14:textId="77777777" w:rsidR="00C22072" w:rsidRPr="00080DA3" w:rsidRDefault="00C22072" w:rsidP="00077356">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3</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2B13BF73" w14:textId="77777777" w:rsidR="00C22072" w:rsidRPr="00080DA3" w:rsidRDefault="00C22072" w:rsidP="00077356">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207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2FA47492" w14:textId="77777777" w:rsidR="00C22072" w:rsidRPr="00080DA3" w:rsidRDefault="00C22072" w:rsidP="00077356">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318DE0E" w14:textId="77777777" w:rsidR="00C22072" w:rsidRPr="00080DA3" w:rsidRDefault="00C22072" w:rsidP="00077356">
          <w:pPr>
            <w:pStyle w:val="Piedepgina"/>
            <w:jc w:val="center"/>
            <w:rPr>
              <w:rFonts w:ascii="Geomanist Light" w:hAnsi="Geomanist Light"/>
              <w:sz w:val="18"/>
              <w:szCs w:val="18"/>
            </w:rPr>
          </w:pPr>
          <w:r w:rsidRPr="00080DA3">
            <w:rPr>
              <w:rFonts w:ascii="Geomanist Light" w:hAnsi="Geomanist Light"/>
              <w:sz w:val="18"/>
              <w:szCs w:val="18"/>
            </w:rPr>
            <w:t>Fecha:</w:t>
          </w:r>
        </w:p>
      </w:tc>
      <w:tc>
        <w:tcPr>
          <w:tcW w:w="264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C0B90D4" w14:textId="77777777" w:rsidR="00C22072" w:rsidRPr="00080DA3" w:rsidRDefault="00C22072" w:rsidP="00077356">
          <w:pPr>
            <w:pStyle w:val="Piedepgina"/>
            <w:jc w:val="center"/>
            <w:rPr>
              <w:rFonts w:ascii="Geomanist Light" w:hAnsi="Geomanist Light"/>
              <w:sz w:val="18"/>
              <w:szCs w:val="18"/>
            </w:rPr>
          </w:pPr>
          <w:r>
            <w:rPr>
              <w:rFonts w:ascii="Geomanist Light" w:hAnsi="Geomanist Light"/>
              <w:sz w:val="18"/>
              <w:szCs w:val="18"/>
            </w:rPr>
            <w:t>10 de agosto</w:t>
          </w:r>
          <w:r w:rsidRPr="00080DA3">
            <w:rPr>
              <w:rFonts w:ascii="Geomanist Light" w:hAnsi="Geomanist Light"/>
              <w:sz w:val="18"/>
              <w:szCs w:val="18"/>
            </w:rPr>
            <w:t xml:space="preserve"> de 202</w:t>
          </w:r>
          <w:r>
            <w:rPr>
              <w:rFonts w:ascii="Geomanist Light" w:hAnsi="Geomanist Light"/>
              <w:sz w:val="18"/>
              <w:szCs w:val="18"/>
            </w:rPr>
            <w:t>2</w:t>
          </w:r>
        </w:p>
      </w:tc>
      <w:tc>
        <w:tcPr>
          <w:tcW w:w="1416"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2C01BBC" w14:textId="0F98C497" w:rsidR="00C22072" w:rsidRPr="00080DA3" w:rsidRDefault="00C22072" w:rsidP="00077356">
          <w:pPr>
            <w:pStyle w:val="Piedepgina"/>
            <w:jc w:val="right"/>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6F6A1F">
            <w:rPr>
              <w:rFonts w:ascii="Geomanist Light" w:hAnsi="Geomanist Light"/>
              <w:b/>
              <w:bCs/>
              <w:noProof/>
              <w:sz w:val="18"/>
              <w:szCs w:val="18"/>
            </w:rPr>
            <w:t>20</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6F6A1F">
            <w:rPr>
              <w:rFonts w:ascii="Geomanist Light" w:hAnsi="Geomanist Light"/>
              <w:b/>
              <w:bCs/>
              <w:noProof/>
              <w:sz w:val="18"/>
              <w:szCs w:val="18"/>
            </w:rPr>
            <w:t>20</w:t>
          </w:r>
          <w:r w:rsidRPr="00080DA3">
            <w:rPr>
              <w:rFonts w:ascii="Geomanist Light" w:hAnsi="Geomanist Light"/>
              <w:b/>
              <w:bCs/>
              <w:sz w:val="18"/>
              <w:szCs w:val="18"/>
            </w:rPr>
            <w:fldChar w:fldCharType="end"/>
          </w:r>
        </w:p>
      </w:tc>
    </w:tr>
  </w:tbl>
  <w:p w14:paraId="37680960" w14:textId="77777777" w:rsidR="00C22072" w:rsidRDefault="00C22072" w:rsidP="00C22072">
    <w:pPr>
      <w:pStyle w:val="Sinespaciado"/>
      <w:jc w:val="right"/>
      <w:rPr>
        <w:rFonts w:ascii="Arial" w:hAnsi="Arial" w:cs="Arial"/>
        <w:sz w:val="18"/>
        <w:szCs w:val="18"/>
      </w:rPr>
    </w:pPr>
  </w:p>
  <w:p w14:paraId="06BBEA79" w14:textId="0BB78572" w:rsidR="00C22072" w:rsidRDefault="00C22072" w:rsidP="00C22072">
    <w:pPr>
      <w:pStyle w:val="Piedepgina"/>
      <w:jc w:val="center"/>
      <w:rPr>
        <w:lang w:val="es-ES"/>
      </w:rPr>
    </w:pPr>
  </w:p>
  <w:p w14:paraId="721EDC73" w14:textId="77777777" w:rsidR="00C22072" w:rsidRDefault="00C22072" w:rsidP="00C22072">
    <w:pPr>
      <w:pStyle w:val="Piedepgina"/>
      <w:jc w:val="center"/>
      <w:rPr>
        <w:lang w:val="es-ES"/>
      </w:rPr>
    </w:pPr>
  </w:p>
  <w:p w14:paraId="24FC2655" w14:textId="77777777" w:rsidR="00C22072" w:rsidRPr="007B0854" w:rsidRDefault="00C22072" w:rsidP="00C22072">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85DDA" w14:textId="77777777" w:rsidR="009E644F" w:rsidRDefault="009E644F" w:rsidP="00FB17D4">
      <w:pPr>
        <w:spacing w:after="0" w:line="240" w:lineRule="auto"/>
      </w:pPr>
      <w:r>
        <w:separator/>
      </w:r>
    </w:p>
  </w:footnote>
  <w:footnote w:type="continuationSeparator" w:id="0">
    <w:p w14:paraId="392290A6" w14:textId="77777777" w:rsidR="009E644F" w:rsidRDefault="009E644F" w:rsidP="00FB17D4">
      <w:pPr>
        <w:spacing w:after="0" w:line="240" w:lineRule="auto"/>
      </w:pPr>
      <w:r>
        <w:continuationSeparator/>
      </w:r>
    </w:p>
  </w:footnote>
  <w:footnote w:id="1">
    <w:p w14:paraId="76B8C20C" w14:textId="732E9D51" w:rsidR="00C22072" w:rsidRPr="002D5DDB" w:rsidRDefault="00C22072" w:rsidP="002D5DDB">
      <w:pPr>
        <w:pBdr>
          <w:top w:val="nil"/>
          <w:left w:val="nil"/>
          <w:bottom w:val="nil"/>
          <w:right w:val="nil"/>
          <w:between w:val="nil"/>
        </w:pBdr>
        <w:spacing w:after="0" w:line="240" w:lineRule="auto"/>
        <w:ind w:firstLine="709"/>
        <w:jc w:val="both"/>
        <w:rPr>
          <w:rFonts w:ascii="Arial" w:eastAsia="Arial" w:hAnsi="Arial" w:cs="Arial"/>
          <w:sz w:val="19"/>
          <w:szCs w:val="19"/>
        </w:rPr>
      </w:pPr>
      <w:r w:rsidRPr="002D5DDB">
        <w:rPr>
          <w:rFonts w:ascii="Arial" w:hAnsi="Arial" w:cs="Arial"/>
          <w:sz w:val="19"/>
          <w:szCs w:val="19"/>
          <w:vertAlign w:val="superscript"/>
        </w:rPr>
        <w:footnoteRef/>
      </w:r>
      <w:r w:rsidRPr="002D5DDB">
        <w:rPr>
          <w:rFonts w:ascii="Arial" w:eastAsia="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proofErr w:type="spellStart"/>
      <w:r w:rsidRPr="002D5DDB">
        <w:rPr>
          <w:rFonts w:ascii="Arial" w:eastAsia="Arial" w:hAnsi="Arial" w:cs="Arial"/>
          <w:i/>
          <w:sz w:val="19"/>
          <w:szCs w:val="19"/>
        </w:rPr>
        <w:t>ibídem</w:t>
      </w:r>
      <w:proofErr w:type="spellEnd"/>
      <w:r w:rsidRPr="002D5DDB">
        <w:rPr>
          <w:rFonts w:ascii="Arial" w:eastAsia="Arial" w:hAnsi="Arial" w:cs="Arial"/>
          <w:i/>
          <w:sz w:val="19"/>
          <w:szCs w:val="19"/>
        </w:rPr>
        <w:t xml:space="preserve"> </w:t>
      </w:r>
      <w:r w:rsidRPr="002D5DDB">
        <w:rPr>
          <w:rFonts w:ascii="Arial" w:eastAsia="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14:paraId="5E56140D" w14:textId="77777777" w:rsidR="00C22072" w:rsidRPr="002D5DDB" w:rsidRDefault="00C22072" w:rsidP="002D5DDB">
      <w:pPr>
        <w:pBdr>
          <w:top w:val="nil"/>
          <w:left w:val="nil"/>
          <w:bottom w:val="nil"/>
          <w:right w:val="nil"/>
          <w:between w:val="nil"/>
        </w:pBdr>
        <w:spacing w:after="0" w:line="240" w:lineRule="auto"/>
        <w:ind w:firstLine="709"/>
        <w:jc w:val="both"/>
        <w:rPr>
          <w:rFonts w:ascii="Arial" w:eastAsia="Arial" w:hAnsi="Arial" w:cs="Arial"/>
          <w:sz w:val="19"/>
          <w:szCs w:val="19"/>
        </w:rPr>
      </w:pPr>
    </w:p>
  </w:footnote>
  <w:footnote w:id="2">
    <w:p w14:paraId="140F8F50" w14:textId="5636E044" w:rsidR="00C22072" w:rsidRPr="0079360F" w:rsidRDefault="00C22072" w:rsidP="0079360F">
      <w:pPr>
        <w:pStyle w:val="Textonotapie"/>
        <w:ind w:firstLine="708"/>
        <w:rPr>
          <w:lang w:val="es-ES_tradnl"/>
        </w:rPr>
      </w:pPr>
      <w:r>
        <w:rPr>
          <w:rStyle w:val="Refdenotaalpie"/>
        </w:rPr>
        <w:footnoteRef/>
      </w:r>
      <w:r>
        <w:t xml:space="preserve"> Consulta radicada con el número </w:t>
      </w:r>
      <w:r w:rsidRPr="0079360F">
        <w:t>4202012000000226</w:t>
      </w:r>
      <w:r>
        <w:t xml:space="preserve"> de 14 de enero de 2020. </w:t>
      </w:r>
    </w:p>
  </w:footnote>
  <w:footnote w:id="3">
    <w:p w14:paraId="7D777CF8" w14:textId="77777777" w:rsidR="00C22072" w:rsidRPr="002D5DDB" w:rsidRDefault="00C22072" w:rsidP="00ED4368">
      <w:pPr>
        <w:pStyle w:val="Textonotapie"/>
        <w:ind w:firstLine="709"/>
        <w:jc w:val="both"/>
        <w:rPr>
          <w:rFonts w:ascii="Arial" w:hAnsi="Arial" w:cs="Arial"/>
          <w:sz w:val="19"/>
          <w:szCs w:val="19"/>
        </w:rPr>
      </w:pPr>
    </w:p>
    <w:p w14:paraId="6C023804" w14:textId="77777777" w:rsidR="00C22072" w:rsidRPr="002D5DDB" w:rsidRDefault="00C22072" w:rsidP="00ED4368">
      <w:pPr>
        <w:pStyle w:val="Textonotapie"/>
        <w:ind w:firstLine="709"/>
        <w:jc w:val="both"/>
        <w:rPr>
          <w:rFonts w:ascii="Arial" w:hAnsi="Arial" w:cs="Arial"/>
          <w:sz w:val="19"/>
          <w:szCs w:val="19"/>
          <w:lang w:val="es-ES"/>
        </w:rPr>
      </w:pPr>
      <w:r w:rsidRPr="002D5DDB">
        <w:rPr>
          <w:rStyle w:val="Refdenotaalpie"/>
          <w:rFonts w:ascii="Arial" w:hAnsi="Arial" w:cs="Arial"/>
          <w:sz w:val="19"/>
          <w:szCs w:val="19"/>
        </w:rPr>
        <w:footnoteRef/>
      </w:r>
      <w:r w:rsidRPr="002D5DDB">
        <w:rPr>
          <w:rFonts w:ascii="Arial" w:hAnsi="Arial" w:cs="Arial"/>
          <w:sz w:val="19"/>
          <w:szCs w:val="19"/>
        </w:rPr>
        <w:t xml:space="preserve"> </w:t>
      </w:r>
      <w:r w:rsidRPr="002D5DDB">
        <w:rPr>
          <w:rFonts w:ascii="Arial" w:hAnsi="Arial" w:cs="Arial"/>
          <w:sz w:val="19"/>
          <w:szCs w:val="19"/>
          <w:lang w:val="es-ES"/>
        </w:rPr>
        <w:t>BOBBIO, Norberto. Democracia y secreto. México: Fondo de Cultura Económica, 2013. p. 27.</w:t>
      </w:r>
    </w:p>
  </w:footnote>
  <w:footnote w:id="4">
    <w:p w14:paraId="2C2BF075" w14:textId="77777777" w:rsidR="00C22072" w:rsidRPr="002D5DDB" w:rsidRDefault="00C22072" w:rsidP="002D5DDB">
      <w:pPr>
        <w:pStyle w:val="Textonotapie"/>
        <w:ind w:firstLine="709"/>
        <w:jc w:val="both"/>
        <w:rPr>
          <w:rFonts w:ascii="Arial" w:hAnsi="Arial" w:cs="Arial"/>
          <w:color w:val="000000" w:themeColor="text1"/>
          <w:sz w:val="19"/>
          <w:szCs w:val="19"/>
        </w:rPr>
      </w:pPr>
    </w:p>
    <w:p w14:paraId="2CB48DD9" w14:textId="77777777" w:rsidR="00C22072" w:rsidRPr="002D5DDB" w:rsidRDefault="00C22072" w:rsidP="002D5DDB">
      <w:pPr>
        <w:pStyle w:val="Textonotapie"/>
        <w:ind w:firstLine="709"/>
        <w:jc w:val="both"/>
        <w:rPr>
          <w:rFonts w:ascii="Arial" w:hAnsi="Arial" w:cs="Arial"/>
          <w:color w:val="000000" w:themeColor="text1"/>
          <w:sz w:val="19"/>
          <w:szCs w:val="19"/>
        </w:rPr>
      </w:pPr>
      <w:r w:rsidRPr="002D5DDB">
        <w:rPr>
          <w:rStyle w:val="Refdenotaalpie"/>
          <w:rFonts w:ascii="Arial" w:hAnsi="Arial" w:cs="Arial"/>
          <w:color w:val="000000" w:themeColor="text1"/>
          <w:sz w:val="19"/>
          <w:szCs w:val="19"/>
        </w:rPr>
        <w:footnoteRef/>
      </w:r>
      <w:r w:rsidRPr="002D5DDB">
        <w:rPr>
          <w:rFonts w:ascii="Arial" w:hAnsi="Arial" w:cs="Arial"/>
          <w:color w:val="000000" w:themeColor="text1"/>
          <w:sz w:val="19"/>
          <w:szCs w:val="19"/>
        </w:rPr>
        <w:t xml:space="preserve"> Corte Constitucional. Sentencia C- 341 del 4 de junio de 2014. M. P. Mauricio González Cuervo.</w:t>
      </w:r>
    </w:p>
    <w:p w14:paraId="25B29367" w14:textId="77777777" w:rsidR="00C22072" w:rsidRPr="002D5DDB" w:rsidRDefault="00C22072" w:rsidP="002D5DDB">
      <w:pPr>
        <w:pStyle w:val="Textonotapie"/>
        <w:ind w:firstLine="709"/>
        <w:jc w:val="both"/>
        <w:rPr>
          <w:rFonts w:ascii="Arial" w:hAnsi="Arial" w:cs="Arial"/>
          <w:color w:val="000000" w:themeColor="text1"/>
          <w:sz w:val="19"/>
          <w:szCs w:val="19"/>
        </w:rPr>
      </w:pPr>
    </w:p>
  </w:footnote>
  <w:footnote w:id="5">
    <w:p w14:paraId="4ECD9A87" w14:textId="77777777" w:rsidR="00C22072" w:rsidRPr="002D5DDB" w:rsidRDefault="00C22072" w:rsidP="002D5DDB">
      <w:pPr>
        <w:pStyle w:val="Textonotapie"/>
        <w:ind w:firstLine="709"/>
        <w:jc w:val="both"/>
        <w:rPr>
          <w:rFonts w:ascii="Arial" w:hAnsi="Arial" w:cs="Arial"/>
          <w:color w:val="000000" w:themeColor="text1"/>
          <w:sz w:val="19"/>
          <w:szCs w:val="19"/>
        </w:rPr>
      </w:pPr>
      <w:r w:rsidRPr="002D5DDB">
        <w:rPr>
          <w:rStyle w:val="Refdenotaalpie"/>
          <w:rFonts w:ascii="Arial" w:hAnsi="Arial" w:cs="Arial"/>
          <w:color w:val="000000" w:themeColor="text1"/>
          <w:sz w:val="19"/>
          <w:szCs w:val="19"/>
        </w:rPr>
        <w:footnoteRef/>
      </w:r>
      <w:r w:rsidRPr="002D5DDB">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0AE0B27" w14:textId="77777777" w:rsidR="00C22072" w:rsidRPr="002D5DDB" w:rsidRDefault="00C22072" w:rsidP="002D5DDB">
      <w:pPr>
        <w:pStyle w:val="Textonotapie"/>
        <w:ind w:firstLine="709"/>
        <w:jc w:val="both"/>
        <w:rPr>
          <w:rFonts w:ascii="Arial" w:hAnsi="Arial" w:cs="Arial"/>
          <w:color w:val="000000" w:themeColor="text1"/>
          <w:sz w:val="19"/>
          <w:szCs w:val="19"/>
        </w:rPr>
      </w:pPr>
    </w:p>
    <w:p w14:paraId="6FEEB666" w14:textId="77777777" w:rsidR="00C22072" w:rsidRPr="002D5DDB" w:rsidRDefault="00C22072" w:rsidP="002D5DDB">
      <w:pPr>
        <w:pStyle w:val="Textonotapie"/>
        <w:ind w:firstLine="709"/>
        <w:jc w:val="both"/>
        <w:rPr>
          <w:rFonts w:ascii="Arial" w:hAnsi="Arial" w:cs="Arial"/>
          <w:color w:val="000000" w:themeColor="text1"/>
          <w:sz w:val="19"/>
          <w:szCs w:val="19"/>
        </w:rPr>
      </w:pPr>
      <w:r w:rsidRPr="002D5DDB">
        <w:rPr>
          <w:rFonts w:ascii="Arial" w:hAnsi="Arial" w:cs="Arial"/>
          <w:color w:val="000000" w:themeColor="text1"/>
          <w:sz w:val="19"/>
          <w:szCs w:val="19"/>
        </w:rPr>
        <w:t>»Lo anterior, sin perjuicio de las publicaciones previstas en el numeral 3 del artículo 30 de la Ley 80 de 1993.</w:t>
      </w:r>
    </w:p>
    <w:p w14:paraId="33D86217" w14:textId="77777777" w:rsidR="00C22072" w:rsidRPr="002D5DDB" w:rsidRDefault="00C22072" w:rsidP="002D5DDB">
      <w:pPr>
        <w:pStyle w:val="Textonotapie"/>
        <w:ind w:firstLine="709"/>
        <w:jc w:val="both"/>
        <w:rPr>
          <w:rFonts w:ascii="Arial" w:hAnsi="Arial" w:cs="Arial"/>
          <w:color w:val="000000" w:themeColor="text1"/>
          <w:sz w:val="19"/>
          <w:szCs w:val="19"/>
        </w:rPr>
      </w:pPr>
      <w:r w:rsidRPr="002D5DDB">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0F37C9BA" w14:textId="77777777" w:rsidR="00C22072" w:rsidRPr="002D5DDB" w:rsidRDefault="00C22072" w:rsidP="002D5DDB">
      <w:pPr>
        <w:pStyle w:val="Textonotapie"/>
        <w:ind w:firstLine="709"/>
        <w:jc w:val="both"/>
        <w:rPr>
          <w:rFonts w:ascii="Arial" w:hAnsi="Arial" w:cs="Arial"/>
          <w:color w:val="000000" w:themeColor="text1"/>
          <w:sz w:val="19"/>
          <w:szCs w:val="19"/>
        </w:rPr>
      </w:pPr>
      <w:r w:rsidRPr="002D5DDB">
        <w:rPr>
          <w:rFonts w:ascii="Arial" w:hAnsi="Arial" w:cs="Arial"/>
          <w:color w:val="000000" w:themeColor="text1"/>
          <w:sz w:val="19"/>
          <w:szCs w:val="19"/>
        </w:rPr>
        <w:t>[…]</w:t>
      </w:r>
    </w:p>
    <w:p w14:paraId="6A428EFA" w14:textId="77777777" w:rsidR="00C22072" w:rsidRPr="002D5DDB" w:rsidRDefault="00C22072" w:rsidP="002D5DDB">
      <w:pPr>
        <w:pStyle w:val="Textonotapie"/>
        <w:ind w:firstLine="709"/>
        <w:jc w:val="both"/>
        <w:rPr>
          <w:rFonts w:ascii="Arial" w:hAnsi="Arial" w:cs="Arial"/>
          <w:color w:val="000000" w:themeColor="text1"/>
          <w:sz w:val="19"/>
          <w:szCs w:val="19"/>
        </w:rPr>
      </w:pPr>
      <w:r w:rsidRPr="002D5DDB">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167405AF" w14:textId="77777777" w:rsidR="00C22072" w:rsidRPr="002D5DDB" w:rsidRDefault="00C22072" w:rsidP="002D5DDB">
      <w:pPr>
        <w:pStyle w:val="Textonotapie"/>
        <w:ind w:firstLine="709"/>
        <w:jc w:val="both"/>
        <w:rPr>
          <w:rFonts w:ascii="Arial" w:hAnsi="Arial" w:cs="Arial"/>
          <w:color w:val="000000" w:themeColor="text1"/>
          <w:sz w:val="19"/>
          <w:szCs w:val="19"/>
          <w:lang w:val="es-CO"/>
        </w:rPr>
      </w:pPr>
    </w:p>
  </w:footnote>
  <w:footnote w:id="6">
    <w:p w14:paraId="7C0ABD86" w14:textId="77777777" w:rsidR="00C22072" w:rsidRPr="002D5DDB" w:rsidRDefault="00C22072" w:rsidP="002D5DDB">
      <w:pPr>
        <w:pStyle w:val="Textonotapie"/>
        <w:ind w:firstLine="709"/>
        <w:jc w:val="both"/>
        <w:rPr>
          <w:rFonts w:ascii="Arial" w:hAnsi="Arial" w:cs="Arial"/>
          <w:color w:val="000000" w:themeColor="text1"/>
          <w:sz w:val="19"/>
          <w:szCs w:val="19"/>
        </w:rPr>
      </w:pPr>
      <w:r w:rsidRPr="002D5DDB">
        <w:rPr>
          <w:rStyle w:val="Refdenotaalpie"/>
          <w:rFonts w:ascii="Arial" w:hAnsi="Arial" w:cs="Arial"/>
          <w:color w:val="000000" w:themeColor="text1"/>
          <w:sz w:val="19"/>
          <w:szCs w:val="19"/>
        </w:rPr>
        <w:footnoteRef/>
      </w:r>
      <w:r w:rsidRPr="002D5DDB">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4315AB4D" w14:textId="77777777" w:rsidR="00C22072" w:rsidRPr="002D5DDB" w:rsidRDefault="00C22072" w:rsidP="002D5DDB">
      <w:pPr>
        <w:pStyle w:val="Textonotapie"/>
        <w:ind w:firstLine="709"/>
        <w:jc w:val="both"/>
        <w:rPr>
          <w:rFonts w:ascii="Arial" w:hAnsi="Arial" w:cs="Arial"/>
          <w:color w:val="000000" w:themeColor="text1"/>
          <w:sz w:val="19"/>
          <w:szCs w:val="19"/>
          <w:lang w:val="es-CO"/>
        </w:rPr>
      </w:pPr>
    </w:p>
  </w:footnote>
  <w:footnote w:id="7">
    <w:p w14:paraId="315978EC" w14:textId="77777777" w:rsidR="00C22072" w:rsidRPr="002D5DDB" w:rsidRDefault="00C22072" w:rsidP="002D5DDB">
      <w:pPr>
        <w:pStyle w:val="Textonotapie"/>
        <w:ind w:firstLine="709"/>
        <w:jc w:val="both"/>
        <w:rPr>
          <w:rFonts w:ascii="Arial" w:hAnsi="Arial" w:cs="Arial"/>
          <w:color w:val="000000" w:themeColor="text1"/>
          <w:sz w:val="19"/>
          <w:szCs w:val="19"/>
        </w:rPr>
      </w:pPr>
      <w:r w:rsidRPr="002D5DDB">
        <w:rPr>
          <w:rStyle w:val="Refdenotaalpie"/>
          <w:rFonts w:ascii="Arial" w:hAnsi="Arial" w:cs="Arial"/>
          <w:color w:val="000000" w:themeColor="text1"/>
          <w:sz w:val="19"/>
          <w:szCs w:val="19"/>
        </w:rPr>
        <w:footnoteRef/>
      </w:r>
      <w:r w:rsidRPr="002D5DDB">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5080C84E" w14:textId="77777777" w:rsidR="00C22072" w:rsidRPr="002D5DDB" w:rsidRDefault="00C22072" w:rsidP="002D5DDB">
      <w:pPr>
        <w:pStyle w:val="Textonotapie"/>
        <w:ind w:firstLine="709"/>
        <w:jc w:val="both"/>
        <w:rPr>
          <w:rFonts w:ascii="Arial" w:hAnsi="Arial" w:cs="Arial"/>
          <w:color w:val="000000" w:themeColor="text1"/>
          <w:sz w:val="19"/>
          <w:szCs w:val="19"/>
        </w:rPr>
      </w:pPr>
      <w:r w:rsidRPr="002D5DDB">
        <w:rPr>
          <w:rFonts w:ascii="Arial" w:hAnsi="Arial" w:cs="Arial"/>
          <w:color w:val="000000" w:themeColor="text1"/>
          <w:sz w:val="19"/>
          <w:szCs w:val="19"/>
        </w:rPr>
        <w:t>» a) Toda entidad pública, incluyendo las pertenecientes a todas las Ramas del Poder Público, en todos los niveles de la estructura estatal, central o descentralizada por servicios o territorialmente, en los órdenes nacional, departamental, municipal y distrital.</w:t>
      </w:r>
    </w:p>
    <w:p w14:paraId="7791389E" w14:textId="77777777" w:rsidR="00C22072" w:rsidRPr="002D5DDB" w:rsidRDefault="00C22072" w:rsidP="002D5DDB">
      <w:pPr>
        <w:pStyle w:val="Textonotapie"/>
        <w:ind w:firstLine="709"/>
        <w:jc w:val="both"/>
        <w:rPr>
          <w:rFonts w:ascii="Arial" w:hAnsi="Arial" w:cs="Arial"/>
          <w:color w:val="000000" w:themeColor="text1"/>
          <w:sz w:val="19"/>
          <w:szCs w:val="19"/>
        </w:rPr>
      </w:pPr>
    </w:p>
    <w:p w14:paraId="1935EEE6" w14:textId="77777777" w:rsidR="00C22072" w:rsidRPr="002D5DDB" w:rsidRDefault="00C22072" w:rsidP="002D5DDB">
      <w:pPr>
        <w:pStyle w:val="Textonotapie"/>
        <w:ind w:firstLine="709"/>
        <w:jc w:val="both"/>
        <w:rPr>
          <w:rFonts w:ascii="Arial" w:hAnsi="Arial" w:cs="Arial"/>
          <w:color w:val="000000" w:themeColor="text1"/>
          <w:sz w:val="19"/>
          <w:szCs w:val="19"/>
        </w:rPr>
      </w:pPr>
      <w:r w:rsidRPr="002D5DDB">
        <w:rPr>
          <w:rFonts w:ascii="Arial" w:hAnsi="Arial" w:cs="Arial"/>
          <w:color w:val="000000" w:themeColor="text1"/>
          <w:sz w:val="19"/>
          <w:szCs w:val="19"/>
        </w:rPr>
        <w:t>» b) Los órganos, organismos y entidades estatales independientes o autónomos y de control.</w:t>
      </w:r>
    </w:p>
    <w:p w14:paraId="451ABDCE" w14:textId="77777777" w:rsidR="00C22072" w:rsidRPr="002D5DDB" w:rsidRDefault="00C22072" w:rsidP="002D5DDB">
      <w:pPr>
        <w:pStyle w:val="Textonotapie"/>
        <w:ind w:firstLine="709"/>
        <w:jc w:val="both"/>
        <w:rPr>
          <w:rFonts w:ascii="Arial" w:hAnsi="Arial" w:cs="Arial"/>
          <w:color w:val="000000" w:themeColor="text1"/>
          <w:sz w:val="19"/>
          <w:szCs w:val="19"/>
        </w:rPr>
      </w:pPr>
    </w:p>
    <w:p w14:paraId="2DF04FEB" w14:textId="77777777" w:rsidR="00C22072" w:rsidRPr="002D5DDB" w:rsidRDefault="00C22072" w:rsidP="002D5DDB">
      <w:pPr>
        <w:pStyle w:val="Textonotapie"/>
        <w:ind w:firstLine="709"/>
        <w:jc w:val="both"/>
        <w:rPr>
          <w:rFonts w:ascii="Arial" w:hAnsi="Arial" w:cs="Arial"/>
          <w:color w:val="000000" w:themeColor="text1"/>
          <w:sz w:val="19"/>
          <w:szCs w:val="19"/>
        </w:rPr>
      </w:pPr>
      <w:r w:rsidRPr="002D5DDB">
        <w:rPr>
          <w:rFonts w:ascii="Arial" w:hAnsi="Arial" w:cs="Arial"/>
          <w:color w:val="000000" w:themeColor="text1"/>
          <w:sz w:val="19"/>
          <w:szCs w:val="19"/>
        </w:rPr>
        <w:t>» c) Las personas naturales y jurídicas, públicas o privadas, que presten función pública, que presten servicios públicos respecto de la información directamente relacionada con la prestación del servicio público.</w:t>
      </w:r>
    </w:p>
    <w:p w14:paraId="7736BA2B" w14:textId="77777777" w:rsidR="00C22072" w:rsidRPr="002D5DDB" w:rsidRDefault="00C22072" w:rsidP="002D5DDB">
      <w:pPr>
        <w:pStyle w:val="Textonotapie"/>
        <w:ind w:firstLine="709"/>
        <w:jc w:val="both"/>
        <w:rPr>
          <w:rFonts w:ascii="Arial" w:hAnsi="Arial" w:cs="Arial"/>
          <w:color w:val="000000" w:themeColor="text1"/>
          <w:sz w:val="19"/>
          <w:szCs w:val="19"/>
        </w:rPr>
      </w:pPr>
    </w:p>
    <w:p w14:paraId="0990EE9F" w14:textId="77777777" w:rsidR="00C22072" w:rsidRPr="002D5DDB" w:rsidRDefault="00C22072" w:rsidP="002D5DDB">
      <w:pPr>
        <w:pStyle w:val="Textonotapie"/>
        <w:ind w:firstLine="709"/>
        <w:jc w:val="both"/>
        <w:rPr>
          <w:rFonts w:ascii="Arial" w:hAnsi="Arial" w:cs="Arial"/>
          <w:color w:val="000000" w:themeColor="text1"/>
          <w:sz w:val="19"/>
          <w:szCs w:val="19"/>
        </w:rPr>
      </w:pPr>
      <w:r w:rsidRPr="002D5DDB">
        <w:rPr>
          <w:rFonts w:ascii="Arial" w:hAnsi="Arial" w:cs="Arial"/>
          <w:color w:val="000000" w:themeColor="text1"/>
          <w:sz w:val="19"/>
          <w:szCs w:val="19"/>
        </w:rPr>
        <w:t>» d) Cualquier persona natural, jurídica o dependencia de persona jurídica que desempeñe función pública o de autoridad pública, respecto de la información directamente relacionada con el desempeño de su función.</w:t>
      </w:r>
    </w:p>
    <w:p w14:paraId="181F0BED" w14:textId="77777777" w:rsidR="00C22072" w:rsidRPr="002D5DDB" w:rsidRDefault="00C22072" w:rsidP="002D5DDB">
      <w:pPr>
        <w:pStyle w:val="Textonotapie"/>
        <w:ind w:firstLine="709"/>
        <w:jc w:val="both"/>
        <w:rPr>
          <w:rFonts w:ascii="Arial" w:hAnsi="Arial" w:cs="Arial"/>
          <w:color w:val="000000" w:themeColor="text1"/>
          <w:sz w:val="19"/>
          <w:szCs w:val="19"/>
        </w:rPr>
      </w:pPr>
    </w:p>
    <w:p w14:paraId="7A19457B" w14:textId="77777777" w:rsidR="00C22072" w:rsidRPr="002D5DDB" w:rsidRDefault="00C22072" w:rsidP="002D5DDB">
      <w:pPr>
        <w:pStyle w:val="Textonotapie"/>
        <w:ind w:firstLine="709"/>
        <w:jc w:val="both"/>
        <w:rPr>
          <w:rFonts w:ascii="Arial" w:hAnsi="Arial" w:cs="Arial"/>
          <w:color w:val="000000" w:themeColor="text1"/>
          <w:sz w:val="19"/>
          <w:szCs w:val="19"/>
        </w:rPr>
      </w:pPr>
      <w:r w:rsidRPr="002D5DDB">
        <w:rPr>
          <w:rFonts w:ascii="Arial" w:hAnsi="Arial" w:cs="Arial"/>
          <w:color w:val="000000" w:themeColor="text1"/>
          <w:sz w:val="19"/>
          <w:szCs w:val="19"/>
        </w:rPr>
        <w:t>» e) &lt;Literal CONDICIONALMENTE exequible&gt; Las empresas públicas creadas por ley, las empresas del Estado y sociedades en que este tenga participación.</w:t>
      </w:r>
    </w:p>
    <w:p w14:paraId="368B7D57" w14:textId="77777777" w:rsidR="00C22072" w:rsidRPr="002D5DDB" w:rsidRDefault="00C22072" w:rsidP="002D5DDB">
      <w:pPr>
        <w:pStyle w:val="Textonotapie"/>
        <w:ind w:firstLine="709"/>
        <w:jc w:val="both"/>
        <w:rPr>
          <w:rFonts w:ascii="Arial" w:hAnsi="Arial" w:cs="Arial"/>
          <w:color w:val="000000" w:themeColor="text1"/>
          <w:sz w:val="19"/>
          <w:szCs w:val="19"/>
        </w:rPr>
      </w:pPr>
    </w:p>
    <w:p w14:paraId="20543D9C" w14:textId="77777777" w:rsidR="00C22072" w:rsidRPr="002D5DDB" w:rsidRDefault="00C22072" w:rsidP="002D5DDB">
      <w:pPr>
        <w:pStyle w:val="Textonotapie"/>
        <w:ind w:firstLine="709"/>
        <w:jc w:val="both"/>
        <w:rPr>
          <w:rFonts w:ascii="Arial" w:hAnsi="Arial" w:cs="Arial"/>
          <w:color w:val="000000" w:themeColor="text1"/>
          <w:sz w:val="19"/>
          <w:szCs w:val="19"/>
        </w:rPr>
      </w:pPr>
      <w:r w:rsidRPr="002D5DDB">
        <w:rPr>
          <w:rFonts w:ascii="Arial" w:hAnsi="Arial" w:cs="Arial"/>
          <w:color w:val="000000" w:themeColor="text1"/>
          <w:sz w:val="19"/>
          <w:szCs w:val="19"/>
        </w:rPr>
        <w:t>» f) Los partidos o movimientos políticos y los grupos significativos de ciudadanos.</w:t>
      </w:r>
    </w:p>
    <w:p w14:paraId="5ACC5CB1" w14:textId="77777777" w:rsidR="00C22072" w:rsidRPr="002D5DDB" w:rsidRDefault="00C22072" w:rsidP="002D5DDB">
      <w:pPr>
        <w:pStyle w:val="Textonotapie"/>
        <w:ind w:firstLine="709"/>
        <w:jc w:val="both"/>
        <w:rPr>
          <w:rFonts w:ascii="Arial" w:hAnsi="Arial" w:cs="Arial"/>
          <w:color w:val="000000" w:themeColor="text1"/>
          <w:sz w:val="19"/>
          <w:szCs w:val="19"/>
        </w:rPr>
      </w:pPr>
    </w:p>
    <w:p w14:paraId="6D0CD607" w14:textId="77777777" w:rsidR="00C22072" w:rsidRPr="002D5DDB" w:rsidRDefault="00C22072" w:rsidP="002D5DDB">
      <w:pPr>
        <w:pStyle w:val="Textonotapie"/>
        <w:ind w:firstLine="709"/>
        <w:jc w:val="both"/>
        <w:rPr>
          <w:rFonts w:ascii="Arial" w:hAnsi="Arial" w:cs="Arial"/>
          <w:color w:val="000000" w:themeColor="text1"/>
          <w:sz w:val="19"/>
          <w:szCs w:val="19"/>
        </w:rPr>
      </w:pPr>
      <w:r w:rsidRPr="002D5DDB">
        <w:rPr>
          <w:rFonts w:ascii="Arial" w:hAnsi="Arial" w:cs="Arial"/>
          <w:color w:val="000000" w:themeColor="text1"/>
          <w:sz w:val="19"/>
          <w:szCs w:val="19"/>
        </w:rPr>
        <w:t>» g) Las entidades que administren instituciones parafiscales, fondos o recursos de naturaleza u origen público.</w:t>
      </w:r>
    </w:p>
    <w:p w14:paraId="207BC1AE" w14:textId="77777777" w:rsidR="00C22072" w:rsidRPr="002D5DDB" w:rsidRDefault="00C22072" w:rsidP="002D5DDB">
      <w:pPr>
        <w:pStyle w:val="Textonotapie"/>
        <w:ind w:firstLine="709"/>
        <w:jc w:val="both"/>
        <w:rPr>
          <w:rFonts w:ascii="Arial" w:hAnsi="Arial" w:cs="Arial"/>
          <w:color w:val="000000" w:themeColor="text1"/>
          <w:sz w:val="19"/>
          <w:szCs w:val="19"/>
        </w:rPr>
      </w:pPr>
    </w:p>
    <w:p w14:paraId="46C202DB" w14:textId="77777777" w:rsidR="00C22072" w:rsidRPr="002D5DDB" w:rsidRDefault="00C22072" w:rsidP="002D5DDB">
      <w:pPr>
        <w:pStyle w:val="Textonotapie"/>
        <w:ind w:firstLine="709"/>
        <w:jc w:val="both"/>
        <w:rPr>
          <w:rFonts w:ascii="Arial" w:hAnsi="Arial" w:cs="Arial"/>
          <w:color w:val="000000" w:themeColor="text1"/>
          <w:sz w:val="19"/>
          <w:szCs w:val="19"/>
        </w:rPr>
      </w:pPr>
      <w:r w:rsidRPr="002D5DDB">
        <w:rPr>
          <w:rFonts w:ascii="Arial" w:hAnsi="Arial" w:cs="Arial"/>
          <w:color w:val="000000" w:themeColor="text1"/>
          <w:sz w:val="19"/>
          <w:szCs w:val="19"/>
        </w:rPr>
        <w:t>» 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1BF472D0" w14:textId="77777777" w:rsidR="00C22072" w:rsidRPr="002D5DDB" w:rsidRDefault="00C22072" w:rsidP="002D5DDB">
      <w:pPr>
        <w:pStyle w:val="Textonotapie"/>
        <w:ind w:firstLine="709"/>
        <w:jc w:val="both"/>
        <w:rPr>
          <w:rFonts w:ascii="Arial" w:hAnsi="Arial" w:cs="Arial"/>
          <w:color w:val="000000" w:themeColor="text1"/>
          <w:sz w:val="19"/>
          <w:szCs w:val="19"/>
        </w:rPr>
      </w:pPr>
    </w:p>
    <w:p w14:paraId="0BE55495" w14:textId="77777777" w:rsidR="00C22072" w:rsidRPr="002D5DDB" w:rsidRDefault="00C22072" w:rsidP="002D5DDB">
      <w:pPr>
        <w:pStyle w:val="Textonotapie"/>
        <w:ind w:firstLine="709"/>
        <w:jc w:val="both"/>
        <w:rPr>
          <w:rFonts w:ascii="Arial" w:hAnsi="Arial" w:cs="Arial"/>
          <w:color w:val="000000" w:themeColor="text1"/>
          <w:sz w:val="19"/>
          <w:szCs w:val="19"/>
        </w:rPr>
      </w:pPr>
      <w:r w:rsidRPr="002D5DDB">
        <w:rPr>
          <w:rFonts w:ascii="Arial" w:hAnsi="Arial" w:cs="Arial"/>
          <w:color w:val="000000" w:themeColor="text1"/>
          <w:sz w:val="19"/>
          <w:szCs w:val="19"/>
        </w:rPr>
        <w:t>» PARÁGRAFO 1o. No serán sujetos obligados aquellas personas naturales o jurídicas de carácter privado que sean usuarios de información pública.».</w:t>
      </w:r>
    </w:p>
    <w:p w14:paraId="77EA8263" w14:textId="77777777" w:rsidR="00C22072" w:rsidRPr="002D5DDB" w:rsidRDefault="00C22072" w:rsidP="002D5DDB">
      <w:pPr>
        <w:pStyle w:val="Textonotapie"/>
        <w:ind w:firstLine="709"/>
        <w:jc w:val="both"/>
        <w:rPr>
          <w:rFonts w:ascii="Arial" w:hAnsi="Arial" w:cs="Arial"/>
          <w:color w:val="000000" w:themeColor="text1"/>
          <w:sz w:val="19"/>
          <w:szCs w:val="19"/>
          <w:lang w:val="es-CO"/>
        </w:rPr>
      </w:pPr>
    </w:p>
  </w:footnote>
  <w:footnote w:id="8">
    <w:p w14:paraId="7A98FAE2" w14:textId="77777777" w:rsidR="00C22072" w:rsidRPr="002D5DDB" w:rsidRDefault="00C22072" w:rsidP="002D5DDB">
      <w:pPr>
        <w:pStyle w:val="Textonotapie"/>
        <w:ind w:firstLine="709"/>
        <w:jc w:val="both"/>
        <w:rPr>
          <w:rFonts w:ascii="Arial" w:hAnsi="Arial" w:cs="Arial"/>
          <w:color w:val="000000" w:themeColor="text1"/>
          <w:sz w:val="19"/>
          <w:szCs w:val="19"/>
        </w:rPr>
      </w:pPr>
      <w:r w:rsidRPr="002D5DDB">
        <w:rPr>
          <w:rFonts w:ascii="Arial" w:eastAsia="Times New Roman" w:hAnsi="Arial" w:cs="Arial"/>
          <w:color w:val="000000" w:themeColor="text1"/>
          <w:sz w:val="19"/>
          <w:szCs w:val="19"/>
          <w:vertAlign w:val="superscript"/>
          <w:lang w:val="es-ES" w:eastAsia="es-ES"/>
        </w:rPr>
        <w:footnoteRef/>
      </w:r>
      <w:r w:rsidRPr="002D5DDB">
        <w:rPr>
          <w:rFonts w:ascii="Arial" w:eastAsia="Times New Roman" w:hAnsi="Arial" w:cs="Arial"/>
          <w:color w:val="000000" w:themeColor="text1"/>
          <w:sz w:val="19"/>
          <w:szCs w:val="19"/>
          <w:vertAlign w:val="superscript"/>
          <w:lang w:val="es-ES" w:eastAsia="es-ES"/>
        </w:rPr>
        <w:t xml:space="preserve"> </w:t>
      </w:r>
      <w:r w:rsidRPr="002D5DDB">
        <w:rPr>
          <w:rFonts w:ascii="Arial" w:eastAsia="Times New Roman" w:hAnsi="Arial" w:cs="Arial"/>
          <w:color w:val="000000" w:themeColor="text1"/>
          <w:sz w:val="19"/>
          <w:szCs w:val="19"/>
          <w:lang w:val="es-ES" w:eastAsia="es-ES"/>
        </w:rPr>
        <w:t>«</w:t>
      </w:r>
      <w:r w:rsidRPr="002D5DDB">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59DDB818" w14:textId="77777777" w:rsidR="00C22072" w:rsidRPr="002D5DDB" w:rsidRDefault="00C22072" w:rsidP="002D5DDB">
      <w:pPr>
        <w:pStyle w:val="Textonotapie"/>
        <w:ind w:firstLine="709"/>
        <w:jc w:val="both"/>
        <w:rPr>
          <w:rFonts w:ascii="Arial" w:eastAsia="Times New Roman" w:hAnsi="Arial" w:cs="Arial"/>
          <w:color w:val="000000" w:themeColor="text1"/>
          <w:sz w:val="19"/>
          <w:szCs w:val="19"/>
          <w:lang w:val="es-ES" w:eastAsia="es-ES"/>
        </w:rPr>
      </w:pPr>
      <w:r w:rsidRPr="002D5DDB">
        <w:rPr>
          <w:rFonts w:ascii="Arial" w:hAnsi="Arial" w:cs="Arial"/>
          <w:color w:val="000000" w:themeColor="text1"/>
          <w:sz w:val="19"/>
          <w:szCs w:val="19"/>
        </w:rPr>
        <w:t>[…].</w:t>
      </w:r>
    </w:p>
    <w:p w14:paraId="29EC64A2" w14:textId="77777777" w:rsidR="00C22072" w:rsidRPr="002D5DDB" w:rsidRDefault="00C22072" w:rsidP="002D5DDB">
      <w:pPr>
        <w:pStyle w:val="Textonotapie"/>
        <w:ind w:firstLine="709"/>
        <w:jc w:val="both"/>
        <w:rPr>
          <w:rFonts w:ascii="Arial" w:eastAsia="Times New Roman" w:hAnsi="Arial" w:cs="Arial"/>
          <w:color w:val="000000" w:themeColor="text1"/>
          <w:sz w:val="19"/>
          <w:szCs w:val="19"/>
          <w:lang w:val="es-ES" w:eastAsia="es-ES"/>
        </w:rPr>
      </w:pPr>
      <w:r w:rsidRPr="002D5DDB">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6CDD749D" w14:textId="77777777" w:rsidR="00C22072" w:rsidRPr="002D5DDB" w:rsidRDefault="00C22072" w:rsidP="002D5DDB">
      <w:pPr>
        <w:pStyle w:val="Textonotapie"/>
        <w:ind w:firstLine="709"/>
        <w:jc w:val="both"/>
        <w:rPr>
          <w:rFonts w:ascii="Arial" w:eastAsia="Times New Roman" w:hAnsi="Arial" w:cs="Arial"/>
          <w:color w:val="000000" w:themeColor="text1"/>
          <w:sz w:val="19"/>
          <w:szCs w:val="19"/>
          <w:lang w:val="es-ES" w:eastAsia="es-ES"/>
        </w:rPr>
      </w:pPr>
    </w:p>
  </w:footnote>
  <w:footnote w:id="9">
    <w:p w14:paraId="06CF9C1B" w14:textId="77777777" w:rsidR="00C22072" w:rsidRPr="002D5DDB" w:rsidRDefault="00C22072" w:rsidP="002D5DDB">
      <w:pPr>
        <w:pStyle w:val="Textonotapie"/>
        <w:ind w:firstLine="709"/>
        <w:jc w:val="both"/>
        <w:rPr>
          <w:rFonts w:ascii="Arial" w:hAnsi="Arial" w:cs="Arial"/>
          <w:color w:val="000000" w:themeColor="text1"/>
          <w:sz w:val="19"/>
          <w:szCs w:val="19"/>
        </w:rPr>
      </w:pPr>
      <w:r w:rsidRPr="002D5DDB">
        <w:rPr>
          <w:rStyle w:val="Refdenotaalpie"/>
          <w:rFonts w:ascii="Arial" w:hAnsi="Arial" w:cs="Arial"/>
          <w:color w:val="000000" w:themeColor="text1"/>
          <w:sz w:val="19"/>
          <w:szCs w:val="19"/>
        </w:rPr>
        <w:footnoteRef/>
      </w:r>
      <w:r w:rsidRPr="002D5DDB">
        <w:rPr>
          <w:rFonts w:ascii="Arial" w:hAnsi="Arial" w:cs="Arial"/>
          <w:color w:val="000000" w:themeColor="text1"/>
          <w:sz w:val="19"/>
          <w:szCs w:val="19"/>
        </w:rPr>
        <w:t xml:space="preserve"> C</w:t>
      </w:r>
      <w:r w:rsidRPr="002D5DDB">
        <w:rPr>
          <w:rFonts w:ascii="Arial" w:eastAsia="Times New Roman" w:hAnsi="Arial" w:cs="Arial"/>
          <w:color w:val="000000" w:themeColor="text1"/>
          <w:sz w:val="19"/>
          <w:szCs w:val="19"/>
          <w:lang w:val="es-ES" w:eastAsia="es-ES"/>
        </w:rPr>
        <w:t xml:space="preserve">orte Constitucional. Sentencia C‒274 de 9 de mayo de 2013. M.P. María Victoria Calle Correa. </w:t>
      </w:r>
    </w:p>
    <w:p w14:paraId="65A46F07" w14:textId="77777777" w:rsidR="00C22072" w:rsidRPr="002D5DDB" w:rsidRDefault="00C22072" w:rsidP="002D5DDB">
      <w:pPr>
        <w:pStyle w:val="Textonotapie"/>
        <w:ind w:firstLine="709"/>
        <w:jc w:val="both"/>
        <w:rPr>
          <w:rFonts w:ascii="Arial" w:hAnsi="Arial" w:cs="Arial"/>
          <w:color w:val="000000" w:themeColor="text1"/>
          <w:sz w:val="19"/>
          <w:szCs w:val="19"/>
          <w:lang w:val="es-CO"/>
        </w:rPr>
      </w:pPr>
    </w:p>
  </w:footnote>
  <w:footnote w:id="10">
    <w:p w14:paraId="3EB7FDE8" w14:textId="77777777" w:rsidR="00C22072" w:rsidRPr="002D5DDB" w:rsidRDefault="00C22072" w:rsidP="002D5DDB">
      <w:pPr>
        <w:pStyle w:val="Textonotapie"/>
        <w:ind w:firstLine="709"/>
        <w:jc w:val="both"/>
        <w:rPr>
          <w:rFonts w:ascii="Arial" w:hAnsi="Arial" w:cs="Arial"/>
          <w:color w:val="000000" w:themeColor="text1"/>
          <w:sz w:val="19"/>
          <w:szCs w:val="19"/>
        </w:rPr>
      </w:pPr>
      <w:r w:rsidRPr="002D5DDB">
        <w:rPr>
          <w:rStyle w:val="Refdenotaalpie"/>
          <w:rFonts w:ascii="Arial" w:hAnsi="Arial" w:cs="Arial"/>
          <w:color w:val="000000" w:themeColor="text1"/>
          <w:sz w:val="19"/>
          <w:szCs w:val="19"/>
        </w:rPr>
        <w:footnoteRef/>
      </w:r>
      <w:r w:rsidRPr="002D5DDB">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 Esta obligación deberá cumplirse, inclusive, si la ejecución</w:t>
      </w:r>
    </w:p>
    <w:p w14:paraId="70445AB9" w14:textId="400E9AA4" w:rsidR="00C22072" w:rsidRPr="002D5DDB" w:rsidRDefault="00C22072" w:rsidP="002D5DDB">
      <w:pPr>
        <w:pStyle w:val="Textonotapie"/>
        <w:ind w:firstLine="709"/>
        <w:jc w:val="both"/>
        <w:rPr>
          <w:rFonts w:ascii="Arial" w:hAnsi="Arial" w:cs="Arial"/>
          <w:color w:val="000000" w:themeColor="text1"/>
          <w:sz w:val="19"/>
          <w:szCs w:val="19"/>
        </w:rPr>
      </w:pPr>
      <w:r w:rsidRPr="002D5DDB">
        <w:rPr>
          <w:rFonts w:ascii="Arial" w:hAnsi="Arial" w:cs="Arial"/>
          <w:color w:val="000000" w:themeColor="text1"/>
          <w:sz w:val="19"/>
          <w:szCs w:val="19"/>
        </w:rPr>
        <w:t>del contrato no implica erogación presupuestal».</w:t>
      </w:r>
    </w:p>
    <w:p w14:paraId="09595CBA" w14:textId="77777777" w:rsidR="00C22072" w:rsidRPr="002D5DDB" w:rsidRDefault="00C22072" w:rsidP="002D5DDB">
      <w:pPr>
        <w:pStyle w:val="Textonotapie"/>
        <w:ind w:firstLine="709"/>
        <w:jc w:val="both"/>
        <w:rPr>
          <w:rFonts w:ascii="Arial" w:hAnsi="Arial" w:cs="Arial"/>
          <w:color w:val="000000" w:themeColor="text1"/>
          <w:sz w:val="19"/>
          <w:szCs w:val="19"/>
          <w:lang w:val="es-CO"/>
        </w:rPr>
      </w:pPr>
    </w:p>
  </w:footnote>
  <w:footnote w:id="11">
    <w:p w14:paraId="734DD07C" w14:textId="655BF362" w:rsidR="00C22072" w:rsidRPr="00ED4368" w:rsidRDefault="00C22072" w:rsidP="00ED4368">
      <w:pPr>
        <w:pStyle w:val="Textonotapie"/>
        <w:ind w:firstLine="709"/>
        <w:jc w:val="both"/>
        <w:rPr>
          <w:rFonts w:ascii="Arial" w:hAnsi="Arial" w:cs="Arial"/>
          <w:sz w:val="19"/>
          <w:szCs w:val="19"/>
          <w:lang w:val="es-ES"/>
        </w:rPr>
      </w:pPr>
      <w:r w:rsidRPr="00ED4368">
        <w:rPr>
          <w:rStyle w:val="Refdenotaalpie"/>
          <w:rFonts w:ascii="Arial" w:hAnsi="Arial" w:cs="Arial"/>
          <w:sz w:val="19"/>
          <w:szCs w:val="19"/>
        </w:rPr>
        <w:footnoteRef/>
      </w:r>
      <w:r w:rsidRPr="00ED4368">
        <w:rPr>
          <w:rFonts w:ascii="Arial" w:hAnsi="Arial" w:cs="Arial"/>
          <w:sz w:val="19"/>
          <w:szCs w:val="19"/>
        </w:rPr>
        <w:t xml:space="preserve"> https://www.colombiacompra.gov.co/sites/cce_public/files/cce_circulares/cce-eicp-ma-06_circular_externa_con_comentarios_de_ciudadanos-_v2f_002.pdf</w:t>
      </w:r>
    </w:p>
  </w:footnote>
  <w:footnote w:id="12">
    <w:p w14:paraId="2E0B6828" w14:textId="77777777" w:rsidR="00C22072" w:rsidRPr="002D5DDB" w:rsidRDefault="00C22072" w:rsidP="00ED4368">
      <w:pPr>
        <w:pStyle w:val="Textonotapie"/>
        <w:ind w:firstLine="709"/>
        <w:jc w:val="both"/>
        <w:rPr>
          <w:rFonts w:ascii="Arial" w:hAnsi="Arial" w:cs="Arial"/>
          <w:sz w:val="19"/>
          <w:szCs w:val="19"/>
        </w:rPr>
      </w:pPr>
      <w:r w:rsidRPr="002D5DDB">
        <w:rPr>
          <w:rStyle w:val="Refdenotaalpie"/>
          <w:rFonts w:ascii="Arial" w:hAnsi="Arial" w:cs="Arial"/>
          <w:sz w:val="19"/>
          <w:szCs w:val="19"/>
        </w:rPr>
        <w:footnoteRef/>
      </w:r>
      <w:r w:rsidRPr="002D5DDB">
        <w:rPr>
          <w:rFonts w:ascii="Arial" w:hAnsi="Arial" w:cs="Arial"/>
          <w:sz w:val="19"/>
          <w:szCs w:val="19"/>
        </w:rPr>
        <w:t xml:space="preserve"> Ley 1437 de 2011: «Artículo 24. Informaciones y documentos reservados. Solo tendrán carácter reservado las informaciones y documentos expresamente sometidos a reserva por la Constitución Política o la ley, y en especial:  </w:t>
      </w:r>
    </w:p>
    <w:p w14:paraId="06A780FB" w14:textId="77777777" w:rsidR="00C22072" w:rsidRPr="002D5DDB" w:rsidRDefault="00C22072" w:rsidP="00ED4368">
      <w:pPr>
        <w:pStyle w:val="Textonotapie"/>
        <w:ind w:firstLine="709"/>
        <w:jc w:val="both"/>
        <w:rPr>
          <w:rFonts w:ascii="Arial" w:hAnsi="Arial" w:cs="Arial"/>
          <w:sz w:val="19"/>
          <w:szCs w:val="19"/>
        </w:rPr>
      </w:pPr>
      <w:r w:rsidRPr="002D5DDB">
        <w:rPr>
          <w:rFonts w:ascii="Arial" w:hAnsi="Arial" w:cs="Arial"/>
          <w:sz w:val="19"/>
          <w:szCs w:val="19"/>
        </w:rPr>
        <w:t xml:space="preserve">»1. Los relacionados con la defensa o seguridad nacionales.  </w:t>
      </w:r>
    </w:p>
    <w:p w14:paraId="630BC45F" w14:textId="77777777" w:rsidR="00C22072" w:rsidRPr="002D5DDB" w:rsidRDefault="00C22072" w:rsidP="00ED4368">
      <w:pPr>
        <w:pStyle w:val="Textonotapie"/>
        <w:ind w:firstLine="709"/>
        <w:jc w:val="both"/>
        <w:rPr>
          <w:rFonts w:ascii="Arial" w:hAnsi="Arial" w:cs="Arial"/>
          <w:sz w:val="19"/>
          <w:szCs w:val="19"/>
        </w:rPr>
      </w:pPr>
      <w:r w:rsidRPr="002D5DDB">
        <w:rPr>
          <w:rFonts w:ascii="Arial" w:hAnsi="Arial" w:cs="Arial"/>
          <w:sz w:val="19"/>
          <w:szCs w:val="19"/>
        </w:rPr>
        <w:t xml:space="preserve">»2. Las instrucciones en materia diplomática o sobre negociaciones reservadas.  </w:t>
      </w:r>
    </w:p>
    <w:p w14:paraId="55794A46" w14:textId="77777777" w:rsidR="00C22072" w:rsidRPr="002D5DDB" w:rsidRDefault="00C22072" w:rsidP="00ED4368">
      <w:pPr>
        <w:pStyle w:val="Textonotapie"/>
        <w:ind w:firstLine="709"/>
        <w:jc w:val="both"/>
        <w:rPr>
          <w:rFonts w:ascii="Arial" w:hAnsi="Arial" w:cs="Arial"/>
          <w:sz w:val="19"/>
          <w:szCs w:val="19"/>
        </w:rPr>
      </w:pPr>
      <w:r w:rsidRPr="002D5DDB">
        <w:rPr>
          <w:rFonts w:ascii="Arial" w:hAnsi="Arial" w:cs="Arial"/>
          <w:sz w:val="19"/>
          <w:szCs w:val="19"/>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29235080" w14:textId="77777777" w:rsidR="00C22072" w:rsidRPr="002D5DDB" w:rsidRDefault="00C22072" w:rsidP="00ED4368">
      <w:pPr>
        <w:pStyle w:val="Textonotapie"/>
        <w:ind w:firstLine="709"/>
        <w:jc w:val="both"/>
        <w:rPr>
          <w:rFonts w:ascii="Arial" w:hAnsi="Arial" w:cs="Arial"/>
          <w:sz w:val="19"/>
          <w:szCs w:val="19"/>
        </w:rPr>
      </w:pPr>
      <w:r w:rsidRPr="002D5DDB">
        <w:rPr>
          <w:rFonts w:ascii="Arial" w:hAnsi="Arial" w:cs="Arial"/>
          <w:sz w:val="19"/>
          <w:szCs w:val="19"/>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4AD3F5A6" w14:textId="77777777" w:rsidR="00C22072" w:rsidRPr="002D5DDB" w:rsidRDefault="00C22072" w:rsidP="00ED4368">
      <w:pPr>
        <w:pStyle w:val="Textonotapie"/>
        <w:ind w:firstLine="709"/>
        <w:jc w:val="both"/>
        <w:rPr>
          <w:rFonts w:ascii="Arial" w:hAnsi="Arial" w:cs="Arial"/>
          <w:sz w:val="19"/>
          <w:szCs w:val="19"/>
        </w:rPr>
      </w:pPr>
      <w:r w:rsidRPr="002D5DDB">
        <w:rPr>
          <w:rFonts w:ascii="Arial" w:hAnsi="Arial" w:cs="Arial"/>
          <w:sz w:val="19"/>
          <w:szCs w:val="19"/>
        </w:rPr>
        <w:t xml:space="preserve">»5. Los datos referentes a la información financiera y comercial, en los términos de la Ley Estatutaria 1266 de 2008.  </w:t>
      </w:r>
    </w:p>
    <w:p w14:paraId="4083AF28" w14:textId="77777777" w:rsidR="00C22072" w:rsidRPr="002D5DDB" w:rsidRDefault="00C22072" w:rsidP="00ED4368">
      <w:pPr>
        <w:pStyle w:val="Textonotapie"/>
        <w:ind w:firstLine="709"/>
        <w:jc w:val="both"/>
        <w:rPr>
          <w:rFonts w:ascii="Arial" w:hAnsi="Arial" w:cs="Arial"/>
          <w:sz w:val="19"/>
          <w:szCs w:val="19"/>
        </w:rPr>
      </w:pPr>
      <w:r w:rsidRPr="002D5DDB">
        <w:rPr>
          <w:rFonts w:ascii="Arial" w:hAnsi="Arial" w:cs="Arial"/>
          <w:sz w:val="19"/>
          <w:szCs w:val="19"/>
        </w:rPr>
        <w:t xml:space="preserve">»6. Los protegidos por el secreto comercial o industrial, así como los planes estratégicos de las empresas públicas de servicios públicos.  </w:t>
      </w:r>
    </w:p>
    <w:p w14:paraId="16E360CF" w14:textId="77777777" w:rsidR="00C22072" w:rsidRPr="002D5DDB" w:rsidRDefault="00C22072" w:rsidP="00ED4368">
      <w:pPr>
        <w:pStyle w:val="Textonotapie"/>
        <w:ind w:firstLine="709"/>
        <w:jc w:val="both"/>
        <w:rPr>
          <w:rFonts w:ascii="Arial" w:hAnsi="Arial" w:cs="Arial"/>
          <w:sz w:val="19"/>
          <w:szCs w:val="19"/>
        </w:rPr>
      </w:pPr>
      <w:r w:rsidRPr="002D5DDB">
        <w:rPr>
          <w:rFonts w:ascii="Arial" w:hAnsi="Arial" w:cs="Arial"/>
          <w:sz w:val="19"/>
          <w:szCs w:val="19"/>
        </w:rPr>
        <w:t xml:space="preserve">»7. Los amparados por el secreto profesional.  </w:t>
      </w:r>
    </w:p>
    <w:p w14:paraId="2C059F6C" w14:textId="77777777" w:rsidR="00C22072" w:rsidRPr="002D5DDB" w:rsidRDefault="00C22072" w:rsidP="00ED4368">
      <w:pPr>
        <w:pStyle w:val="Textonotapie"/>
        <w:ind w:firstLine="709"/>
        <w:jc w:val="both"/>
        <w:rPr>
          <w:rFonts w:ascii="Arial" w:hAnsi="Arial" w:cs="Arial"/>
          <w:sz w:val="19"/>
          <w:szCs w:val="19"/>
        </w:rPr>
      </w:pPr>
      <w:r w:rsidRPr="002D5DDB">
        <w:rPr>
          <w:rFonts w:ascii="Arial" w:hAnsi="Arial" w:cs="Arial"/>
          <w:sz w:val="19"/>
          <w:szCs w:val="19"/>
        </w:rPr>
        <w:t xml:space="preserve">»8. Los datos genéticos humanos.  </w:t>
      </w:r>
    </w:p>
    <w:p w14:paraId="6EC1AAE1" w14:textId="16588679" w:rsidR="00C22072" w:rsidRPr="002D5DDB" w:rsidRDefault="00C22072" w:rsidP="00ED4368">
      <w:pPr>
        <w:pStyle w:val="Textonotapie"/>
        <w:ind w:firstLine="709"/>
        <w:jc w:val="both"/>
        <w:rPr>
          <w:rFonts w:ascii="Arial" w:hAnsi="Arial" w:cs="Arial"/>
          <w:sz w:val="19"/>
          <w:szCs w:val="19"/>
        </w:rPr>
      </w:pPr>
      <w:r w:rsidRPr="002D5DDB">
        <w:rPr>
          <w:rFonts w:ascii="Arial" w:hAnsi="Arial" w:cs="Arial"/>
          <w:sz w:val="19"/>
          <w:szCs w:val="19"/>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5D2B9B1C" w14:textId="77777777" w:rsidR="00C22072" w:rsidRPr="002D5DDB" w:rsidRDefault="00C22072" w:rsidP="00ED4368">
      <w:pPr>
        <w:pStyle w:val="Textonotapie"/>
        <w:ind w:firstLine="709"/>
        <w:jc w:val="both"/>
        <w:rPr>
          <w:rFonts w:ascii="Arial" w:hAnsi="Arial" w:cs="Arial"/>
          <w:sz w:val="19"/>
          <w:szCs w:val="19"/>
        </w:rPr>
      </w:pPr>
    </w:p>
  </w:footnote>
  <w:footnote w:id="13">
    <w:p w14:paraId="4402B881" w14:textId="045A8F0D" w:rsidR="00C22072" w:rsidRPr="00ED4368" w:rsidRDefault="00C22072" w:rsidP="00ED4368">
      <w:pPr>
        <w:pStyle w:val="Textonotapie"/>
        <w:ind w:firstLine="709"/>
        <w:jc w:val="both"/>
        <w:rPr>
          <w:rFonts w:ascii="Arial" w:hAnsi="Arial" w:cs="Arial"/>
          <w:sz w:val="19"/>
          <w:szCs w:val="19"/>
        </w:rPr>
      </w:pPr>
      <w:r w:rsidRPr="00ED4368">
        <w:rPr>
          <w:rStyle w:val="Refdenotaalpie"/>
          <w:rFonts w:ascii="Arial" w:hAnsi="Arial" w:cs="Arial"/>
          <w:sz w:val="19"/>
          <w:szCs w:val="19"/>
        </w:rPr>
        <w:footnoteRef/>
      </w:r>
      <w:r w:rsidRPr="00ED4368">
        <w:rPr>
          <w:rFonts w:ascii="Arial" w:hAnsi="Arial" w:cs="Arial"/>
          <w:sz w:val="19"/>
          <w:szCs w:val="19"/>
        </w:rPr>
        <w:t xml:space="preserve"> </w:t>
      </w:r>
      <w:r w:rsidRPr="002D5DDB">
        <w:rPr>
          <w:rFonts w:ascii="Arial" w:eastAsia="Calibri" w:hAnsi="Arial" w:cs="Arial"/>
          <w:sz w:val="19"/>
          <w:szCs w:val="19"/>
          <w:lang w:val="es-ES_tradnl"/>
        </w:rPr>
        <w:t>En armonía con lo anterior, en la Circular Externa 002 de esta Agencia se establece, que: «Todos los procesos de contratación creados en el SECOP I antes del 18 de julio de 2022, 23:59 horas, por parte de estas entidades estatales, podrán continuar siendo gestionados en esta plataforma».</w:t>
      </w:r>
    </w:p>
    <w:p w14:paraId="095955B9" w14:textId="77777777" w:rsidR="00C22072" w:rsidRPr="00ED4368" w:rsidRDefault="00C22072" w:rsidP="00ED4368">
      <w:pPr>
        <w:pStyle w:val="Textonotapie"/>
        <w:ind w:firstLine="709"/>
        <w:jc w:val="both"/>
        <w:rPr>
          <w:rFonts w:ascii="Arial" w:hAnsi="Arial" w:cs="Arial"/>
          <w:sz w:val="19"/>
          <w:szCs w:val="19"/>
          <w:lang w:val="es-CO"/>
        </w:rPr>
      </w:pPr>
    </w:p>
  </w:footnote>
  <w:footnote w:id="14">
    <w:p w14:paraId="4022D514" w14:textId="77777777" w:rsidR="00C22072" w:rsidRPr="002D5DDB" w:rsidRDefault="00C22072" w:rsidP="00ED4368">
      <w:pPr>
        <w:pStyle w:val="Textonotapie"/>
        <w:ind w:firstLine="709"/>
        <w:jc w:val="both"/>
        <w:rPr>
          <w:rFonts w:ascii="Arial" w:hAnsi="Arial" w:cs="Arial"/>
          <w:sz w:val="19"/>
          <w:szCs w:val="19"/>
        </w:rPr>
      </w:pPr>
      <w:r w:rsidRPr="002D5DDB">
        <w:rPr>
          <w:rStyle w:val="Refdenotaalpie"/>
          <w:rFonts w:ascii="Arial" w:hAnsi="Arial" w:cs="Arial"/>
          <w:sz w:val="19"/>
          <w:szCs w:val="19"/>
        </w:rPr>
        <w:footnoteRef/>
      </w:r>
      <w:r w:rsidRPr="002D5DDB">
        <w:rPr>
          <w:rFonts w:ascii="Arial" w:hAnsi="Arial" w:cs="Arial"/>
          <w:sz w:val="19"/>
          <w:szCs w:val="19"/>
        </w:rPr>
        <w:t xml:space="preserve"> Decreto 4170 de 2011: «Artículo 3. Funciones: La Agencia Nacional de Contratación Pública –Colombia Compra Eficiente– ejercerá las siguientes funciones: [...]</w:t>
      </w:r>
    </w:p>
    <w:p w14:paraId="13553CEB" w14:textId="77777777" w:rsidR="00C22072" w:rsidRPr="002D5DDB" w:rsidRDefault="00C22072" w:rsidP="00ED4368">
      <w:pPr>
        <w:pStyle w:val="Textonotapie"/>
        <w:ind w:firstLine="709"/>
        <w:jc w:val="both"/>
        <w:rPr>
          <w:rFonts w:ascii="Arial" w:hAnsi="Arial" w:cs="Arial"/>
          <w:sz w:val="19"/>
          <w:szCs w:val="19"/>
        </w:rPr>
      </w:pPr>
      <w:r w:rsidRPr="002D5DDB">
        <w:rPr>
          <w:rFonts w:ascii="Arial" w:hAnsi="Arial" w:cs="Arial"/>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 [...]».</w:t>
      </w:r>
    </w:p>
    <w:p w14:paraId="480EBAAB" w14:textId="77777777" w:rsidR="00C22072" w:rsidRPr="002D5DDB" w:rsidRDefault="00C22072" w:rsidP="00ED4368">
      <w:pPr>
        <w:pStyle w:val="Textonotapie"/>
        <w:ind w:firstLine="709"/>
        <w:jc w:val="both"/>
        <w:rPr>
          <w:rFonts w:ascii="Arial" w:hAnsi="Arial" w:cs="Arial"/>
          <w:sz w:val="19"/>
          <w:szCs w:val="19"/>
          <w:lang w:val="es-ES"/>
        </w:rPr>
      </w:pPr>
    </w:p>
  </w:footnote>
  <w:footnote w:id="15">
    <w:p w14:paraId="781C0DE8" w14:textId="77777777" w:rsidR="00C22072" w:rsidRPr="002D5DDB" w:rsidRDefault="00C22072" w:rsidP="00ED4368">
      <w:pPr>
        <w:pStyle w:val="Textonotapie"/>
        <w:ind w:firstLine="709"/>
        <w:jc w:val="both"/>
        <w:rPr>
          <w:rStyle w:val="Hipervnculo"/>
          <w:rFonts w:ascii="Arial" w:hAnsi="Arial" w:cs="Arial"/>
          <w:color w:val="auto"/>
          <w:sz w:val="19"/>
          <w:szCs w:val="19"/>
          <w:lang w:val="es-CO"/>
        </w:rPr>
      </w:pPr>
      <w:r w:rsidRPr="002D5DDB">
        <w:rPr>
          <w:rStyle w:val="Refdenotaalpie"/>
          <w:rFonts w:ascii="Arial" w:hAnsi="Arial" w:cs="Arial"/>
          <w:sz w:val="19"/>
          <w:szCs w:val="19"/>
        </w:rPr>
        <w:footnoteRef/>
      </w:r>
      <w:r w:rsidRPr="002D5DDB">
        <w:rPr>
          <w:rFonts w:ascii="Arial" w:hAnsi="Arial" w:cs="Arial"/>
          <w:sz w:val="19"/>
          <w:szCs w:val="19"/>
        </w:rPr>
        <w:t xml:space="preserve"> En el siguiente link se puede consultar la Guía para gestionar o publicar los procesos de Régimen Especial con oferta en el SECOP II:  </w:t>
      </w:r>
      <w:hyperlink r:id="rId1" w:history="1">
        <w:r w:rsidRPr="002D5DDB">
          <w:rPr>
            <w:rStyle w:val="Hipervnculo"/>
            <w:rFonts w:ascii="Arial" w:hAnsi="Arial" w:cs="Arial"/>
            <w:color w:val="auto"/>
            <w:sz w:val="19"/>
            <w:szCs w:val="19"/>
          </w:rPr>
          <w:t>https://www.colombiacompra.gov.co/node/23628</w:t>
        </w:r>
      </w:hyperlink>
    </w:p>
    <w:p w14:paraId="674E6AAD" w14:textId="77777777" w:rsidR="00C22072" w:rsidRPr="002D5DDB" w:rsidRDefault="00C22072" w:rsidP="00ED4368">
      <w:pPr>
        <w:pStyle w:val="Textonotapie"/>
        <w:ind w:firstLine="709"/>
        <w:jc w:val="both"/>
        <w:rPr>
          <w:rFonts w:ascii="Arial" w:hAnsi="Arial" w:cs="Arial"/>
          <w:sz w:val="19"/>
          <w:szCs w:val="19"/>
        </w:rPr>
      </w:pPr>
      <w:r w:rsidRPr="002D5DDB">
        <w:rPr>
          <w:rFonts w:ascii="Arial" w:hAnsi="Arial" w:cs="Arial"/>
          <w:sz w:val="19"/>
          <w:szCs w:val="19"/>
        </w:rPr>
        <w:t xml:space="preserve"> </w:t>
      </w:r>
    </w:p>
  </w:footnote>
  <w:footnote w:id="16">
    <w:p w14:paraId="465F502E" w14:textId="77777777" w:rsidR="00C22072" w:rsidRPr="002D5DDB" w:rsidRDefault="00C22072" w:rsidP="00ED4368">
      <w:pPr>
        <w:pStyle w:val="Textonotapie"/>
        <w:ind w:firstLine="709"/>
        <w:jc w:val="both"/>
        <w:rPr>
          <w:rFonts w:ascii="Arial" w:hAnsi="Arial" w:cs="Arial"/>
          <w:sz w:val="19"/>
          <w:szCs w:val="19"/>
        </w:rPr>
      </w:pPr>
      <w:r w:rsidRPr="002D5DDB">
        <w:rPr>
          <w:rStyle w:val="Refdenotaalpie"/>
          <w:rFonts w:ascii="Arial" w:hAnsi="Arial" w:cs="Arial"/>
          <w:sz w:val="19"/>
          <w:szCs w:val="19"/>
        </w:rPr>
        <w:footnoteRef/>
      </w:r>
      <w:r w:rsidRPr="002D5DDB">
        <w:rPr>
          <w:rFonts w:ascii="Arial" w:hAnsi="Arial" w:cs="Arial"/>
          <w:sz w:val="19"/>
          <w:szCs w:val="19"/>
        </w:rPr>
        <w:t xml:space="preserve"> En el siguiente link se puede consultar la Guía para gestionar o publicar los procesos de Régimen Especial sin oferta en el SECOP II:   </w:t>
      </w:r>
      <w:hyperlink r:id="rId2" w:history="1">
        <w:r w:rsidRPr="002D5DDB">
          <w:rPr>
            <w:rStyle w:val="Hipervnculo"/>
            <w:rFonts w:ascii="Arial" w:hAnsi="Arial" w:cs="Arial"/>
            <w:color w:val="auto"/>
            <w:sz w:val="19"/>
            <w:szCs w:val="19"/>
          </w:rPr>
          <w:t>https://www.colombiacompra.gov.co/node/30741</w:t>
        </w:r>
      </w:hyperlink>
    </w:p>
  </w:footnote>
  <w:footnote w:id="17">
    <w:p w14:paraId="752C3F41" w14:textId="77777777" w:rsidR="00C22072" w:rsidRPr="002D5DDB" w:rsidRDefault="00C22072" w:rsidP="00ED4368">
      <w:pPr>
        <w:pStyle w:val="NormalWeb"/>
        <w:spacing w:before="0" w:beforeAutospacing="0" w:after="0" w:afterAutospacing="0"/>
        <w:ind w:firstLine="709"/>
        <w:jc w:val="both"/>
        <w:rPr>
          <w:rFonts w:ascii="Arial" w:hAnsi="Arial" w:cs="Arial"/>
          <w:color w:val="000000"/>
          <w:sz w:val="19"/>
          <w:szCs w:val="19"/>
        </w:rPr>
      </w:pPr>
      <w:r w:rsidRPr="002D5DDB">
        <w:rPr>
          <w:rStyle w:val="Refdenotaalpie"/>
          <w:rFonts w:ascii="Arial" w:hAnsi="Arial" w:cs="Arial"/>
          <w:sz w:val="19"/>
          <w:szCs w:val="19"/>
        </w:rPr>
        <w:footnoteRef/>
      </w:r>
      <w:r w:rsidRPr="002D5DDB">
        <w:rPr>
          <w:rFonts w:ascii="Arial" w:hAnsi="Arial" w:cs="Arial"/>
          <w:sz w:val="19"/>
          <w:szCs w:val="19"/>
        </w:rPr>
        <w:t xml:space="preserve"> Decreto 1081 de 2015 «</w:t>
      </w:r>
      <w:r w:rsidRPr="002D5DDB">
        <w:rPr>
          <w:rFonts w:ascii="Arial" w:hAnsi="Arial" w:cs="Arial"/>
          <w:color w:val="000000"/>
          <w:sz w:val="19"/>
          <w:szCs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D83A9E2" w14:textId="77777777" w:rsidR="00C22072" w:rsidRPr="002D5DDB" w:rsidRDefault="00C22072" w:rsidP="00ED4368">
      <w:pPr>
        <w:spacing w:after="0" w:line="240" w:lineRule="auto"/>
        <w:ind w:firstLine="709"/>
        <w:jc w:val="both"/>
        <w:rPr>
          <w:rFonts w:ascii="Arial" w:eastAsia="Times New Roman" w:hAnsi="Arial" w:cs="Arial"/>
          <w:color w:val="000000"/>
          <w:sz w:val="19"/>
          <w:szCs w:val="19"/>
          <w:lang w:eastAsia="es-CO"/>
        </w:rPr>
      </w:pPr>
      <w:r w:rsidRPr="002D5DDB">
        <w:rPr>
          <w:rFonts w:ascii="Arial" w:eastAsia="Times New Roman" w:hAnsi="Arial" w:cs="Arial"/>
          <w:color w:val="000000"/>
          <w:sz w:val="19"/>
          <w:szCs w:val="19"/>
          <w:lang w:eastAsia="es-CO"/>
        </w:rPr>
        <w:t>  </w:t>
      </w:r>
      <w:r w:rsidRPr="002D5DDB">
        <w:rPr>
          <w:rFonts w:ascii="Arial" w:eastAsia="Times New Roman" w:hAnsi="Arial" w:cs="Arial"/>
          <w:color w:val="000000"/>
          <w:sz w:val="19"/>
          <w:szCs w:val="19"/>
          <w:lang w:eastAsia="es-CO"/>
        </w:rPr>
        <w:tab/>
        <w:t>»Los sujetos obligados que contratan con cargo a recursos públicos deben publicar la información de su gestión contractual en el plazo previsto en el artículo 19 del Decreto 1510 de 2013, o el que lo modifique, sustituya o adicione. </w:t>
      </w:r>
    </w:p>
    <w:p w14:paraId="7F1913F2" w14:textId="77777777" w:rsidR="00C22072" w:rsidRPr="002D5DDB" w:rsidRDefault="00C22072" w:rsidP="00ED4368">
      <w:pPr>
        <w:spacing w:after="0" w:line="240" w:lineRule="auto"/>
        <w:ind w:firstLine="709"/>
        <w:jc w:val="both"/>
        <w:rPr>
          <w:rFonts w:ascii="Arial" w:hAnsi="Arial" w:cs="Arial"/>
          <w:sz w:val="19"/>
          <w:szCs w:val="19"/>
        </w:rPr>
      </w:pPr>
      <w:r w:rsidRPr="002D5DDB">
        <w:rPr>
          <w:rFonts w:ascii="Arial" w:eastAsia="Times New Roman" w:hAnsi="Arial" w:cs="Arial"/>
          <w:color w:val="000000"/>
          <w:sz w:val="19"/>
          <w:szCs w:val="19"/>
          <w:lang w:eastAsia="es-CO"/>
        </w:rPr>
        <w:t>  </w:t>
      </w:r>
      <w:r w:rsidRPr="002D5DDB">
        <w:rPr>
          <w:rFonts w:ascii="Arial" w:eastAsia="Times New Roman" w:hAnsi="Arial" w:cs="Arial"/>
          <w:color w:val="000000"/>
          <w:sz w:val="19"/>
          <w:szCs w:val="19"/>
          <w:lang w:eastAsia="es-CO"/>
        </w:rPr>
        <w:tab/>
        <w:t>»Los sujetos obligados que contratan con recursos públicos y recursos privados, deben publicar la información de su gestión contractual con cargo a recursos públicos en el Sistema Electrónico para la Contratación Pública (SECOP)</w:t>
      </w:r>
      <w:r w:rsidRPr="002D5DDB">
        <w:rPr>
          <w:rFonts w:ascii="Arial" w:hAnsi="Arial" w:cs="Arial"/>
          <w:sz w:val="19"/>
          <w:szCs w:val="19"/>
        </w:rPr>
        <w:t>».</w:t>
      </w:r>
    </w:p>
    <w:p w14:paraId="001F2ABF" w14:textId="77777777" w:rsidR="00C22072" w:rsidRPr="002D5DDB" w:rsidRDefault="00C22072" w:rsidP="00ED4368">
      <w:pPr>
        <w:spacing w:after="0" w:line="240" w:lineRule="auto"/>
        <w:ind w:firstLine="709"/>
        <w:jc w:val="both"/>
        <w:rPr>
          <w:rFonts w:ascii="Arial" w:eastAsia="Times New Roman" w:hAnsi="Arial" w:cs="Arial"/>
          <w:color w:val="000000"/>
          <w:sz w:val="19"/>
          <w:szCs w:val="19"/>
          <w:lang w:eastAsia="es-CO"/>
        </w:rPr>
      </w:pPr>
    </w:p>
  </w:footnote>
  <w:footnote w:id="18">
    <w:p w14:paraId="748948FF" w14:textId="77777777" w:rsidR="00C22072" w:rsidRPr="00A51886" w:rsidRDefault="00C22072" w:rsidP="00BC19DA">
      <w:pPr>
        <w:autoSpaceDE w:val="0"/>
        <w:autoSpaceDN w:val="0"/>
        <w:adjustRightInd w:val="0"/>
        <w:spacing w:after="0" w:line="240" w:lineRule="auto"/>
        <w:ind w:firstLine="708"/>
        <w:contextualSpacing/>
        <w:jc w:val="both"/>
        <w:rPr>
          <w:rFonts w:ascii="Arial" w:eastAsia="Times New Roman" w:hAnsi="Arial" w:cs="Arial"/>
          <w:sz w:val="19"/>
          <w:szCs w:val="19"/>
          <w:lang w:eastAsia="es-ES_tradnl"/>
        </w:rPr>
      </w:pPr>
      <w:r w:rsidRPr="00A51886">
        <w:rPr>
          <w:rStyle w:val="Refdenotaalpie"/>
          <w:rFonts w:ascii="Arial" w:hAnsi="Arial" w:cs="Arial"/>
          <w:sz w:val="19"/>
          <w:szCs w:val="19"/>
        </w:rPr>
        <w:footnoteRef/>
      </w:r>
      <w:r w:rsidRPr="00A51886">
        <w:rPr>
          <w:rFonts w:ascii="Arial" w:hAnsi="Arial" w:cs="Arial"/>
          <w:sz w:val="19"/>
          <w:szCs w:val="19"/>
        </w:rPr>
        <w:t xml:space="preserve"> </w:t>
      </w:r>
      <w:r>
        <w:rPr>
          <w:rFonts w:ascii="Arial" w:hAnsi="Arial" w:cs="Arial"/>
          <w:sz w:val="19"/>
          <w:szCs w:val="19"/>
        </w:rPr>
        <w:t>E</w:t>
      </w:r>
      <w:r w:rsidRPr="00A51886">
        <w:rPr>
          <w:rFonts w:ascii="Arial" w:eastAsia="Calibri" w:hAnsi="Arial" w:cs="Arial"/>
          <w:sz w:val="19"/>
          <w:szCs w:val="19"/>
          <w:lang w:val="es-ES" w:eastAsia="es-ES_tradnl"/>
        </w:rPr>
        <w:t>l Departamento Administrativo de la Presidencia de la Republica profirió la Circular 02 del 2022,</w:t>
      </w:r>
      <w:r>
        <w:rPr>
          <w:rFonts w:ascii="Arial" w:eastAsia="Calibri" w:hAnsi="Arial" w:cs="Arial"/>
          <w:sz w:val="19"/>
          <w:szCs w:val="19"/>
          <w:lang w:val="es-ES" w:eastAsia="es-ES_tradnl"/>
        </w:rPr>
        <w:t xml:space="preserve"> del 1 de junio de 2022,</w:t>
      </w:r>
      <w:r w:rsidRPr="00A51886">
        <w:rPr>
          <w:rFonts w:ascii="Arial" w:eastAsia="Calibri" w:hAnsi="Arial" w:cs="Arial"/>
          <w:sz w:val="19"/>
          <w:szCs w:val="19"/>
          <w:lang w:val="es-ES" w:eastAsia="es-ES_tradnl"/>
        </w:rPr>
        <w:t xml:space="preserve"> mediante la cual se imparten instrucciones sobre la aplicación del artículo 53 de la Ley 2195 de 2022</w:t>
      </w:r>
      <w:r>
        <w:rPr>
          <w:rFonts w:ascii="Arial" w:eastAsia="Calibri" w:hAnsi="Arial" w:cs="Arial"/>
          <w:sz w:val="19"/>
          <w:szCs w:val="19"/>
          <w:lang w:val="es-ES" w:eastAsia="es-ES_tradnl"/>
        </w:rPr>
        <w:t xml:space="preserve">. </w:t>
      </w:r>
      <w:r w:rsidRPr="00A51886">
        <w:rPr>
          <w:rFonts w:ascii="Arial" w:eastAsia="Calibri" w:hAnsi="Arial" w:cs="Arial"/>
          <w:sz w:val="19"/>
          <w:szCs w:val="19"/>
          <w:lang w:val="es-ES" w:eastAsia="es-ES_tradnl"/>
        </w:rPr>
        <w:t xml:space="preserve"> </w:t>
      </w:r>
    </w:p>
  </w:footnote>
  <w:footnote w:id="19">
    <w:p w14:paraId="7ACE902E" w14:textId="77777777" w:rsidR="00C22072" w:rsidRPr="00A51886" w:rsidRDefault="00C22072" w:rsidP="005F74CB">
      <w:pPr>
        <w:spacing w:after="0" w:line="240" w:lineRule="auto"/>
        <w:ind w:firstLine="709"/>
        <w:contextualSpacing/>
        <w:jc w:val="both"/>
        <w:rPr>
          <w:rFonts w:ascii="Arial" w:hAnsi="Arial" w:cs="Arial"/>
          <w:color w:val="000000"/>
          <w:sz w:val="19"/>
          <w:szCs w:val="19"/>
          <w:lang w:val="es-ES_tradnl"/>
        </w:rPr>
      </w:pPr>
      <w:r w:rsidRPr="00A51886">
        <w:rPr>
          <w:rStyle w:val="Refdenotaalpie"/>
          <w:rFonts w:ascii="Arial" w:hAnsi="Arial" w:cs="Arial"/>
          <w:color w:val="000000"/>
          <w:sz w:val="19"/>
          <w:szCs w:val="19"/>
          <w:lang w:val="es-ES_tradnl"/>
        </w:rPr>
        <w:footnoteRef/>
      </w:r>
      <w:r w:rsidRPr="00A51886">
        <w:rPr>
          <w:rFonts w:ascii="Arial" w:hAnsi="Arial" w:cs="Arial"/>
          <w:color w:val="000000"/>
          <w:sz w:val="19"/>
          <w:szCs w:val="19"/>
          <w:lang w:val="es-ES_tradnl"/>
        </w:rPr>
        <w:t xml:space="preserve"> Consejo de Estado. Sección Tercera, Subsección C. Sentencia del 13 de abril de 2011. </w:t>
      </w:r>
      <w:r w:rsidRPr="00A51886">
        <w:rPr>
          <w:rFonts w:ascii="Arial" w:hAnsi="Arial" w:cs="Arial"/>
          <w:color w:val="000000"/>
          <w:sz w:val="19"/>
          <w:szCs w:val="19"/>
          <w:lang w:val="es-ES_tradnl"/>
        </w:rPr>
        <w:t>Exp. 37423. Consejero Ponente: Jaime Orlando Santofimio Gamboa. En similar sentido, puede verse la Sentencia del Consejo de Estado. Sección Tercera. Subsección B, del 15 de noviembre de 2011. Exp. 21178. Consejera ponente: Ruth Stella Correa Palacio.</w:t>
      </w:r>
    </w:p>
    <w:p w14:paraId="617E3CB4" w14:textId="77777777" w:rsidR="00C22072" w:rsidRPr="00A51886" w:rsidRDefault="00C22072" w:rsidP="005F74CB">
      <w:pPr>
        <w:spacing w:after="0" w:line="240" w:lineRule="auto"/>
        <w:ind w:firstLine="709"/>
        <w:contextualSpacing/>
        <w:jc w:val="both"/>
        <w:rPr>
          <w:rFonts w:ascii="Arial" w:hAnsi="Arial" w:cs="Arial"/>
          <w:color w:val="000000"/>
          <w:sz w:val="19"/>
          <w:szCs w:val="19"/>
          <w:lang w:val="es-ES_tradnl"/>
        </w:rPr>
      </w:pPr>
    </w:p>
  </w:footnote>
  <w:footnote w:id="20">
    <w:p w14:paraId="42EBB94E" w14:textId="77777777" w:rsidR="00C22072" w:rsidRPr="00A51886" w:rsidRDefault="00C22072" w:rsidP="005F74CB">
      <w:pPr>
        <w:spacing w:after="0" w:line="240" w:lineRule="auto"/>
        <w:ind w:firstLine="709"/>
        <w:contextualSpacing/>
        <w:jc w:val="both"/>
        <w:rPr>
          <w:rFonts w:ascii="Arial" w:eastAsia="Calibri" w:hAnsi="Arial" w:cs="Arial"/>
          <w:color w:val="000000"/>
          <w:sz w:val="19"/>
          <w:szCs w:val="19"/>
          <w:lang w:val="es-ES_tradnl"/>
        </w:rPr>
      </w:pPr>
      <w:r w:rsidRPr="00A51886">
        <w:rPr>
          <w:rStyle w:val="Refdenotaalpie"/>
          <w:rFonts w:ascii="Arial" w:hAnsi="Arial" w:cs="Arial"/>
          <w:color w:val="000000"/>
          <w:sz w:val="19"/>
          <w:szCs w:val="19"/>
        </w:rPr>
        <w:footnoteRef/>
      </w:r>
      <w:r w:rsidRPr="00A51886">
        <w:rPr>
          <w:rFonts w:ascii="Arial" w:hAnsi="Arial" w:cs="Arial"/>
          <w:color w:val="000000"/>
          <w:sz w:val="19"/>
          <w:szCs w:val="19"/>
        </w:rPr>
        <w:t xml:space="preserve"> </w:t>
      </w:r>
      <w:r w:rsidRPr="00A51886">
        <w:rPr>
          <w:rFonts w:ascii="Arial" w:hAnsi="Arial" w:cs="Arial"/>
          <w:color w:val="000000"/>
          <w:sz w:val="19"/>
          <w:szCs w:val="19"/>
          <w:lang w:val="es-ES"/>
        </w:rPr>
        <w:t>Esta norma dispone: «</w:t>
      </w:r>
      <w:r w:rsidRPr="00A51886">
        <w:rPr>
          <w:rFonts w:ascii="Arial" w:eastAsia="Calibri" w:hAnsi="Arial" w:cs="Arial"/>
          <w:color w:val="000000"/>
          <w:sz w:val="19"/>
          <w:szCs w:val="19"/>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6830BF19" w14:textId="77777777" w:rsidR="00C22072" w:rsidRPr="00A51886" w:rsidRDefault="00C22072" w:rsidP="005F74CB">
      <w:pPr>
        <w:spacing w:after="0" w:line="240" w:lineRule="auto"/>
        <w:ind w:firstLine="709"/>
        <w:contextualSpacing/>
        <w:jc w:val="both"/>
        <w:rPr>
          <w:rFonts w:ascii="Arial" w:eastAsia="Calibri" w:hAnsi="Arial" w:cs="Arial"/>
          <w:color w:val="000000"/>
          <w:sz w:val="19"/>
          <w:szCs w:val="19"/>
          <w:lang w:val="es-ES_tradnl"/>
        </w:rPr>
      </w:pPr>
      <w:r w:rsidRPr="00A51886">
        <w:rPr>
          <w:rFonts w:ascii="Arial" w:eastAsia="Calibri" w:hAnsi="Arial" w:cs="Arial"/>
          <w:color w:val="000000"/>
          <w:sz w:val="19"/>
          <w:szCs w:val="19"/>
          <w:lang w:val="es-ES_tradnl"/>
        </w:rPr>
        <w:t xml:space="preserve">»&lt;Inciso adicionado por el artículo 53 de la Ley 2195 de 2022. El nuevo texto es el siguiente:&gt; 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w:t>
      </w:r>
      <w:r w:rsidRPr="00A51886">
        <w:rPr>
          <w:rFonts w:ascii="Arial" w:eastAsia="Calibri" w:hAnsi="Arial" w:cs="Arial"/>
          <w:color w:val="000000"/>
          <w:sz w:val="19"/>
          <w:szCs w:val="19"/>
          <w:lang w:val="es-ES_tradnl"/>
        </w:rPr>
        <w:t>contractual y la poscontractual.</w:t>
      </w:r>
    </w:p>
    <w:p w14:paraId="31201326" w14:textId="77777777" w:rsidR="00C22072" w:rsidRPr="00A51886" w:rsidRDefault="00C22072" w:rsidP="005F74CB">
      <w:pPr>
        <w:spacing w:after="0" w:line="240" w:lineRule="auto"/>
        <w:ind w:firstLine="709"/>
        <w:contextualSpacing/>
        <w:jc w:val="both"/>
        <w:rPr>
          <w:rFonts w:ascii="Arial" w:eastAsia="Calibri" w:hAnsi="Arial" w:cs="Arial"/>
          <w:color w:val="000000"/>
          <w:sz w:val="19"/>
          <w:szCs w:val="19"/>
          <w:lang w:val="es-ES_tradnl"/>
        </w:rPr>
      </w:pPr>
      <w:r w:rsidRPr="00A51886">
        <w:rPr>
          <w:rFonts w:ascii="Arial" w:eastAsia="Calibri" w:hAnsi="Arial" w:cs="Arial"/>
          <w:color w:val="000000"/>
          <w:sz w:val="19"/>
          <w:szCs w:val="19"/>
          <w:lang w:val="es-ES_tradnl"/>
        </w:rPr>
        <w:t>»&lt;Inciso adicionado por el artículo 53 de la Ley 2195 de 2022. El nuevo texto es el siguiente:&gt; A partir de la entrada en vigencia de la presente ley, se establecerá un periodo de transición de seis (6) meses, para que las entidades den cumplimiento efectivo a lo aquí establecido».</w:t>
      </w:r>
    </w:p>
    <w:p w14:paraId="368B7651" w14:textId="77777777" w:rsidR="00C22072" w:rsidRPr="00A51886" w:rsidRDefault="00C22072" w:rsidP="005F74CB">
      <w:pPr>
        <w:spacing w:after="0" w:line="240" w:lineRule="auto"/>
        <w:ind w:firstLine="709"/>
        <w:contextualSpacing/>
        <w:jc w:val="both"/>
        <w:rPr>
          <w:rFonts w:ascii="Arial" w:eastAsia="Calibri" w:hAnsi="Arial" w:cs="Arial"/>
          <w:color w:val="000000"/>
          <w:sz w:val="19"/>
          <w:szCs w:val="19"/>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CC7AB" w14:textId="121E1FFF" w:rsidR="00C22072" w:rsidRDefault="00C22072">
    <w:pPr>
      <w:pStyle w:val="Encabezado"/>
    </w:pPr>
    <w:r>
      <w:rPr>
        <w:noProof/>
        <w:lang w:val="en-US"/>
      </w:rPr>
      <w:drawing>
        <wp:anchor distT="0" distB="0" distL="114300" distR="114300" simplePos="0" relativeHeight="251659264" behindDoc="0" locked="0" layoutInCell="1" allowOverlap="1" wp14:anchorId="28BE3DD3" wp14:editId="3D6A6DB5">
          <wp:simplePos x="0" y="0"/>
          <wp:positionH relativeFrom="margin">
            <wp:posOffset>4438650</wp:posOffset>
          </wp:positionH>
          <wp:positionV relativeFrom="paragraph">
            <wp:posOffset>256540</wp:posOffset>
          </wp:positionV>
          <wp:extent cx="1420507" cy="589741"/>
          <wp:effectExtent l="0" t="0" r="8255" b="1270"/>
          <wp:wrapNone/>
          <wp:docPr id="2" name="Imagen 2"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420507" cy="58974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1E4309D"/>
    <w:multiLevelType w:val="hybridMultilevel"/>
    <w:tmpl w:val="B0E2594A"/>
    <w:lvl w:ilvl="0" w:tplc="008E945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40F82114"/>
    <w:multiLevelType w:val="multilevel"/>
    <w:tmpl w:val="7548D132"/>
    <w:lvl w:ilvl="0">
      <w:start w:val="1"/>
      <w:numFmt w:val="decimal"/>
      <w:lvlText w:val="%1."/>
      <w:lvlJc w:val="left"/>
      <w:pPr>
        <w:ind w:left="720" w:hanging="360"/>
      </w:pPr>
      <w:rPr>
        <w:rFonts w:ascii="Arial" w:eastAsia="Calibri" w:hAnsi="Arial" w:cs="Arial"/>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997800632">
    <w:abstractNumId w:val="0"/>
  </w:num>
  <w:num w:numId="2" w16cid:durableId="452021229">
    <w:abstractNumId w:val="2"/>
  </w:num>
  <w:num w:numId="3" w16cid:durableId="2084794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7D4"/>
    <w:rsid w:val="000024AE"/>
    <w:rsid w:val="00002991"/>
    <w:rsid w:val="00020808"/>
    <w:rsid w:val="00031C68"/>
    <w:rsid w:val="00034F85"/>
    <w:rsid w:val="00037098"/>
    <w:rsid w:val="00042D85"/>
    <w:rsid w:val="00055FCD"/>
    <w:rsid w:val="00070BBD"/>
    <w:rsid w:val="0007194A"/>
    <w:rsid w:val="00077356"/>
    <w:rsid w:val="0008094E"/>
    <w:rsid w:val="00080AB0"/>
    <w:rsid w:val="00081E88"/>
    <w:rsid w:val="00095A0C"/>
    <w:rsid w:val="000A03AA"/>
    <w:rsid w:val="000A4283"/>
    <w:rsid w:val="000C086F"/>
    <w:rsid w:val="000C68FC"/>
    <w:rsid w:val="000D1246"/>
    <w:rsid w:val="000D1357"/>
    <w:rsid w:val="000D2ED5"/>
    <w:rsid w:val="000D2FC6"/>
    <w:rsid w:val="000F1051"/>
    <w:rsid w:val="000F6E43"/>
    <w:rsid w:val="00101E9D"/>
    <w:rsid w:val="001255CA"/>
    <w:rsid w:val="00151B52"/>
    <w:rsid w:val="00165FC7"/>
    <w:rsid w:val="001670AD"/>
    <w:rsid w:val="0017048C"/>
    <w:rsid w:val="001A3FD4"/>
    <w:rsid w:val="001A5C54"/>
    <w:rsid w:val="001A5D94"/>
    <w:rsid w:val="001C0986"/>
    <w:rsid w:val="001D4556"/>
    <w:rsid w:val="001D7791"/>
    <w:rsid w:val="001E01A7"/>
    <w:rsid w:val="001E471D"/>
    <w:rsid w:val="001F296E"/>
    <w:rsid w:val="001F3302"/>
    <w:rsid w:val="001F3B64"/>
    <w:rsid w:val="001F7C30"/>
    <w:rsid w:val="0020722C"/>
    <w:rsid w:val="00224EEC"/>
    <w:rsid w:val="00233A35"/>
    <w:rsid w:val="002352CE"/>
    <w:rsid w:val="00236367"/>
    <w:rsid w:val="002444F7"/>
    <w:rsid w:val="00250D93"/>
    <w:rsid w:val="00274337"/>
    <w:rsid w:val="00286632"/>
    <w:rsid w:val="00293267"/>
    <w:rsid w:val="00294774"/>
    <w:rsid w:val="002958EE"/>
    <w:rsid w:val="0029598B"/>
    <w:rsid w:val="002972B7"/>
    <w:rsid w:val="002A4A95"/>
    <w:rsid w:val="002A6C0D"/>
    <w:rsid w:val="002B2AFE"/>
    <w:rsid w:val="002B2EA0"/>
    <w:rsid w:val="002B5CF0"/>
    <w:rsid w:val="002B7916"/>
    <w:rsid w:val="002C7241"/>
    <w:rsid w:val="002D5DDB"/>
    <w:rsid w:val="002E2A6F"/>
    <w:rsid w:val="002E702A"/>
    <w:rsid w:val="002E7127"/>
    <w:rsid w:val="002F6963"/>
    <w:rsid w:val="003003F5"/>
    <w:rsid w:val="00315D90"/>
    <w:rsid w:val="00317631"/>
    <w:rsid w:val="00332C44"/>
    <w:rsid w:val="00340D81"/>
    <w:rsid w:val="00356780"/>
    <w:rsid w:val="00361170"/>
    <w:rsid w:val="00373432"/>
    <w:rsid w:val="00377AD3"/>
    <w:rsid w:val="0038007F"/>
    <w:rsid w:val="00386C8A"/>
    <w:rsid w:val="003973D6"/>
    <w:rsid w:val="003A51B9"/>
    <w:rsid w:val="003A68DE"/>
    <w:rsid w:val="003B2318"/>
    <w:rsid w:val="003B4BBC"/>
    <w:rsid w:val="003B7EC7"/>
    <w:rsid w:val="003C0D74"/>
    <w:rsid w:val="003C6147"/>
    <w:rsid w:val="003C7345"/>
    <w:rsid w:val="003D1315"/>
    <w:rsid w:val="003D6056"/>
    <w:rsid w:val="003E0D5E"/>
    <w:rsid w:val="003E1ED8"/>
    <w:rsid w:val="003E31FD"/>
    <w:rsid w:val="003E3306"/>
    <w:rsid w:val="003E4E98"/>
    <w:rsid w:val="00401D20"/>
    <w:rsid w:val="00402D60"/>
    <w:rsid w:val="00417EFE"/>
    <w:rsid w:val="00421BCB"/>
    <w:rsid w:val="004223B1"/>
    <w:rsid w:val="00425FB5"/>
    <w:rsid w:val="00446E60"/>
    <w:rsid w:val="00446ED1"/>
    <w:rsid w:val="00456D00"/>
    <w:rsid w:val="00463B4C"/>
    <w:rsid w:val="00470267"/>
    <w:rsid w:val="00473548"/>
    <w:rsid w:val="00474705"/>
    <w:rsid w:val="00487A2A"/>
    <w:rsid w:val="00495490"/>
    <w:rsid w:val="00496CFD"/>
    <w:rsid w:val="004A2783"/>
    <w:rsid w:val="004C5AF7"/>
    <w:rsid w:val="004C63E3"/>
    <w:rsid w:val="004D05A6"/>
    <w:rsid w:val="004E2995"/>
    <w:rsid w:val="004E4D9B"/>
    <w:rsid w:val="004F69A8"/>
    <w:rsid w:val="00500D70"/>
    <w:rsid w:val="00502056"/>
    <w:rsid w:val="00504B5F"/>
    <w:rsid w:val="00513A3D"/>
    <w:rsid w:val="00513C05"/>
    <w:rsid w:val="005147F7"/>
    <w:rsid w:val="00525A72"/>
    <w:rsid w:val="0053168C"/>
    <w:rsid w:val="00533DFF"/>
    <w:rsid w:val="0054261D"/>
    <w:rsid w:val="0054342F"/>
    <w:rsid w:val="00553E49"/>
    <w:rsid w:val="00595E59"/>
    <w:rsid w:val="005A49DF"/>
    <w:rsid w:val="005A64C5"/>
    <w:rsid w:val="005B7448"/>
    <w:rsid w:val="005D00C8"/>
    <w:rsid w:val="005D456B"/>
    <w:rsid w:val="005E75C0"/>
    <w:rsid w:val="005F0600"/>
    <w:rsid w:val="005F0A06"/>
    <w:rsid w:val="005F74CB"/>
    <w:rsid w:val="006027D2"/>
    <w:rsid w:val="00606ED0"/>
    <w:rsid w:val="00610D75"/>
    <w:rsid w:val="006271A2"/>
    <w:rsid w:val="00634E7F"/>
    <w:rsid w:val="006378C7"/>
    <w:rsid w:val="00637BEE"/>
    <w:rsid w:val="00646E89"/>
    <w:rsid w:val="00653215"/>
    <w:rsid w:val="00653D03"/>
    <w:rsid w:val="006632C4"/>
    <w:rsid w:val="00667520"/>
    <w:rsid w:val="00684C0A"/>
    <w:rsid w:val="00684C4B"/>
    <w:rsid w:val="00686310"/>
    <w:rsid w:val="00694088"/>
    <w:rsid w:val="006A6E92"/>
    <w:rsid w:val="006B19A4"/>
    <w:rsid w:val="006B35FC"/>
    <w:rsid w:val="006B4326"/>
    <w:rsid w:val="006B66E9"/>
    <w:rsid w:val="006B79F0"/>
    <w:rsid w:val="006D5A68"/>
    <w:rsid w:val="006E210B"/>
    <w:rsid w:val="006E4BF6"/>
    <w:rsid w:val="006E7ACB"/>
    <w:rsid w:val="006F057E"/>
    <w:rsid w:val="006F4CAF"/>
    <w:rsid w:val="006F5967"/>
    <w:rsid w:val="006F5B86"/>
    <w:rsid w:val="006F6955"/>
    <w:rsid w:val="006F6A1F"/>
    <w:rsid w:val="007012B8"/>
    <w:rsid w:val="007018C6"/>
    <w:rsid w:val="00714516"/>
    <w:rsid w:val="00720710"/>
    <w:rsid w:val="007257BD"/>
    <w:rsid w:val="00736F5E"/>
    <w:rsid w:val="007512DA"/>
    <w:rsid w:val="007669E1"/>
    <w:rsid w:val="007700A9"/>
    <w:rsid w:val="00771127"/>
    <w:rsid w:val="00790F7D"/>
    <w:rsid w:val="007928F1"/>
    <w:rsid w:val="0079360F"/>
    <w:rsid w:val="007967C8"/>
    <w:rsid w:val="007A5816"/>
    <w:rsid w:val="007B33BE"/>
    <w:rsid w:val="007B6614"/>
    <w:rsid w:val="007C126C"/>
    <w:rsid w:val="007C3D8F"/>
    <w:rsid w:val="007D3434"/>
    <w:rsid w:val="007F3196"/>
    <w:rsid w:val="007F4C9B"/>
    <w:rsid w:val="007F5378"/>
    <w:rsid w:val="00807C05"/>
    <w:rsid w:val="00817D1A"/>
    <w:rsid w:val="0082538E"/>
    <w:rsid w:val="00835C7F"/>
    <w:rsid w:val="00835E90"/>
    <w:rsid w:val="00837CAA"/>
    <w:rsid w:val="008438ED"/>
    <w:rsid w:val="00844F83"/>
    <w:rsid w:val="00854BC7"/>
    <w:rsid w:val="0087308D"/>
    <w:rsid w:val="00884898"/>
    <w:rsid w:val="00890C48"/>
    <w:rsid w:val="00895FFC"/>
    <w:rsid w:val="008A6A89"/>
    <w:rsid w:val="008B0C2C"/>
    <w:rsid w:val="008B0FCE"/>
    <w:rsid w:val="008C16AD"/>
    <w:rsid w:val="008C2192"/>
    <w:rsid w:val="008D20B4"/>
    <w:rsid w:val="008D4570"/>
    <w:rsid w:val="008D4BD0"/>
    <w:rsid w:val="008D7382"/>
    <w:rsid w:val="008F04CD"/>
    <w:rsid w:val="008F0F1B"/>
    <w:rsid w:val="009024C2"/>
    <w:rsid w:val="00905CEC"/>
    <w:rsid w:val="0093061A"/>
    <w:rsid w:val="009307C5"/>
    <w:rsid w:val="0093399F"/>
    <w:rsid w:val="009365D1"/>
    <w:rsid w:val="009366FF"/>
    <w:rsid w:val="009426CD"/>
    <w:rsid w:val="00944634"/>
    <w:rsid w:val="009451C5"/>
    <w:rsid w:val="00951FA1"/>
    <w:rsid w:val="00955FDF"/>
    <w:rsid w:val="00956DE4"/>
    <w:rsid w:val="00992653"/>
    <w:rsid w:val="009A3294"/>
    <w:rsid w:val="009A71B6"/>
    <w:rsid w:val="009D1C6A"/>
    <w:rsid w:val="009D412E"/>
    <w:rsid w:val="009D4CDC"/>
    <w:rsid w:val="009E644F"/>
    <w:rsid w:val="00A054DA"/>
    <w:rsid w:val="00A14306"/>
    <w:rsid w:val="00A176D3"/>
    <w:rsid w:val="00A24344"/>
    <w:rsid w:val="00A26DF8"/>
    <w:rsid w:val="00A303D6"/>
    <w:rsid w:val="00A30578"/>
    <w:rsid w:val="00A311D6"/>
    <w:rsid w:val="00A42AD1"/>
    <w:rsid w:val="00A449E2"/>
    <w:rsid w:val="00A45CCF"/>
    <w:rsid w:val="00A501F0"/>
    <w:rsid w:val="00A53C4D"/>
    <w:rsid w:val="00A82C61"/>
    <w:rsid w:val="00A86AF0"/>
    <w:rsid w:val="00A90047"/>
    <w:rsid w:val="00A971E8"/>
    <w:rsid w:val="00AB62F0"/>
    <w:rsid w:val="00AB7B8A"/>
    <w:rsid w:val="00AD1E01"/>
    <w:rsid w:val="00AD636B"/>
    <w:rsid w:val="00AD766E"/>
    <w:rsid w:val="00AE0F7B"/>
    <w:rsid w:val="00AF3762"/>
    <w:rsid w:val="00AF50F1"/>
    <w:rsid w:val="00AF5F68"/>
    <w:rsid w:val="00B22196"/>
    <w:rsid w:val="00B24157"/>
    <w:rsid w:val="00B35E14"/>
    <w:rsid w:val="00B36341"/>
    <w:rsid w:val="00B466F9"/>
    <w:rsid w:val="00B5020B"/>
    <w:rsid w:val="00B66087"/>
    <w:rsid w:val="00B7075F"/>
    <w:rsid w:val="00B73330"/>
    <w:rsid w:val="00B93775"/>
    <w:rsid w:val="00B93F90"/>
    <w:rsid w:val="00B9543E"/>
    <w:rsid w:val="00B97C44"/>
    <w:rsid w:val="00BB2C9E"/>
    <w:rsid w:val="00BB7BF3"/>
    <w:rsid w:val="00BC19DA"/>
    <w:rsid w:val="00BC31B2"/>
    <w:rsid w:val="00BD28D0"/>
    <w:rsid w:val="00BD40F9"/>
    <w:rsid w:val="00BD648C"/>
    <w:rsid w:val="00BD6AD8"/>
    <w:rsid w:val="00BE2705"/>
    <w:rsid w:val="00C22072"/>
    <w:rsid w:val="00C318C3"/>
    <w:rsid w:val="00C47765"/>
    <w:rsid w:val="00C553EC"/>
    <w:rsid w:val="00C61E25"/>
    <w:rsid w:val="00C62964"/>
    <w:rsid w:val="00C6316F"/>
    <w:rsid w:val="00C70093"/>
    <w:rsid w:val="00C71498"/>
    <w:rsid w:val="00C934A1"/>
    <w:rsid w:val="00C96ABA"/>
    <w:rsid w:val="00CA0BD3"/>
    <w:rsid w:val="00CA614F"/>
    <w:rsid w:val="00CB0193"/>
    <w:rsid w:val="00CD0B2C"/>
    <w:rsid w:val="00CD594B"/>
    <w:rsid w:val="00CE2129"/>
    <w:rsid w:val="00CE3EDA"/>
    <w:rsid w:val="00CF236A"/>
    <w:rsid w:val="00CF6ACE"/>
    <w:rsid w:val="00D15314"/>
    <w:rsid w:val="00D236B6"/>
    <w:rsid w:val="00D33406"/>
    <w:rsid w:val="00D37D8C"/>
    <w:rsid w:val="00D43E0F"/>
    <w:rsid w:val="00D50201"/>
    <w:rsid w:val="00D54163"/>
    <w:rsid w:val="00D63EEC"/>
    <w:rsid w:val="00D77B72"/>
    <w:rsid w:val="00DA3914"/>
    <w:rsid w:val="00DA73ED"/>
    <w:rsid w:val="00DB556F"/>
    <w:rsid w:val="00DC04AE"/>
    <w:rsid w:val="00DC5052"/>
    <w:rsid w:val="00DC6DE7"/>
    <w:rsid w:val="00DD3FBE"/>
    <w:rsid w:val="00DD72D2"/>
    <w:rsid w:val="00DE64FE"/>
    <w:rsid w:val="00E00E46"/>
    <w:rsid w:val="00E15C6B"/>
    <w:rsid w:val="00E33C0F"/>
    <w:rsid w:val="00E347B4"/>
    <w:rsid w:val="00E44C9B"/>
    <w:rsid w:val="00E711BD"/>
    <w:rsid w:val="00E74F3F"/>
    <w:rsid w:val="00E922AD"/>
    <w:rsid w:val="00EA399A"/>
    <w:rsid w:val="00EB5459"/>
    <w:rsid w:val="00EC20C2"/>
    <w:rsid w:val="00EC71E9"/>
    <w:rsid w:val="00ED2BA4"/>
    <w:rsid w:val="00ED4094"/>
    <w:rsid w:val="00ED4368"/>
    <w:rsid w:val="00EE1FA5"/>
    <w:rsid w:val="00EF2AF2"/>
    <w:rsid w:val="00EF3C60"/>
    <w:rsid w:val="00F00408"/>
    <w:rsid w:val="00F034D5"/>
    <w:rsid w:val="00F12475"/>
    <w:rsid w:val="00F20BB1"/>
    <w:rsid w:val="00F21D01"/>
    <w:rsid w:val="00F22293"/>
    <w:rsid w:val="00F3516B"/>
    <w:rsid w:val="00F37B74"/>
    <w:rsid w:val="00F41594"/>
    <w:rsid w:val="00F45424"/>
    <w:rsid w:val="00F4743D"/>
    <w:rsid w:val="00F52E98"/>
    <w:rsid w:val="00F5423D"/>
    <w:rsid w:val="00F676D4"/>
    <w:rsid w:val="00F97838"/>
    <w:rsid w:val="00FA2ECB"/>
    <w:rsid w:val="00FA5AFF"/>
    <w:rsid w:val="00FA6D7D"/>
    <w:rsid w:val="00FB17D4"/>
    <w:rsid w:val="00FB1952"/>
    <w:rsid w:val="00FC4821"/>
    <w:rsid w:val="00FC7E6B"/>
    <w:rsid w:val="00FD70D8"/>
    <w:rsid w:val="00FD7B08"/>
    <w:rsid w:val="00FE7CC9"/>
    <w:rsid w:val="00FE7DDF"/>
    <w:rsid w:val="00FF2E2E"/>
    <w:rsid w:val="0DAEC46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50A55"/>
  <w15:chartTrackingRefBased/>
  <w15:docId w15:val="{D6BFE992-65FA-470E-A9C4-65AB24540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FB17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B17D4"/>
  </w:style>
  <w:style w:type="paragraph" w:styleId="Encabezado">
    <w:name w:val="header"/>
    <w:basedOn w:val="Normal"/>
    <w:link w:val="EncabezadoCar"/>
    <w:uiPriority w:val="99"/>
    <w:unhideWhenUsed/>
    <w:rsid w:val="00FB17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B17D4"/>
  </w:style>
  <w:style w:type="paragraph" w:styleId="Sinespaciado">
    <w:name w:val="No Spacing"/>
    <w:uiPriority w:val="1"/>
    <w:qFormat/>
    <w:rsid w:val="00FB17D4"/>
    <w:pPr>
      <w:spacing w:after="0" w:line="240" w:lineRule="auto"/>
    </w:pPr>
  </w:style>
  <w:style w:type="table" w:customStyle="1" w:styleId="Tablaconcuadrcula1">
    <w:name w:val="Tabla con cuadrícula1"/>
    <w:basedOn w:val="Tablanormal"/>
    <w:next w:val="Tablaconcuadrcula"/>
    <w:uiPriority w:val="59"/>
    <w:rsid w:val="00FB1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FB17D4"/>
    <w:rPr>
      <w:color w:val="F2F2F2"/>
      <w:u w:val="singl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B17D4"/>
    <w:rPr>
      <w:sz w:val="20"/>
      <w:szCs w:val="20"/>
      <w:lang w:val="es-MX"/>
    </w:rPr>
  </w:style>
  <w:style w:type="paragraph" w:customStyle="1" w:styleId="Car1">
    <w:name w:val="Car1"/>
    <w:basedOn w:val="Normal"/>
    <w:next w:val="Textonotapie"/>
    <w:uiPriority w:val="99"/>
    <w:unhideWhenUsed/>
    <w:qFormat/>
    <w:rsid w:val="00FB17D4"/>
    <w:pPr>
      <w:spacing w:after="0" w:line="240" w:lineRule="auto"/>
    </w:pPr>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FB17D4"/>
    <w:rPr>
      <w:vertAlign w:val="superscript"/>
    </w:rPr>
  </w:style>
  <w:style w:type="paragraph" w:customStyle="1" w:styleId="Appelnotedebasde">
    <w:name w:val="Appel note de bas de..."/>
    <w:basedOn w:val="Normal"/>
    <w:link w:val="Refdenotaalpie"/>
    <w:uiPriority w:val="99"/>
    <w:rsid w:val="00FB17D4"/>
    <w:pPr>
      <w:spacing w:line="240" w:lineRule="exact"/>
    </w:pPr>
    <w:rPr>
      <w:vertAlign w:val="superscript"/>
    </w:rPr>
  </w:style>
  <w:style w:type="table" w:styleId="Tablaconcuadrcula">
    <w:name w:val="Table Grid"/>
    <w:basedOn w:val="Tablanormal"/>
    <w:uiPriority w:val="59"/>
    <w:rsid w:val="00FB1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B17D4"/>
    <w:rPr>
      <w:color w:val="0563C1" w:themeColor="hyperlink"/>
      <w:u w:val="single"/>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FB17D4"/>
    <w:pPr>
      <w:spacing w:after="0" w:line="240" w:lineRule="auto"/>
    </w:pPr>
    <w:rPr>
      <w:sz w:val="20"/>
      <w:szCs w:val="20"/>
      <w:lang w:val="es-MX"/>
    </w:rPr>
  </w:style>
  <w:style w:type="character" w:customStyle="1" w:styleId="TextonotapieCar1">
    <w:name w:val="Texto nota pie Car1"/>
    <w:basedOn w:val="Fuentedeprrafopredeter"/>
    <w:uiPriority w:val="99"/>
    <w:semiHidden/>
    <w:rsid w:val="00FB17D4"/>
    <w:rPr>
      <w:sz w:val="20"/>
      <w:szCs w:val="20"/>
    </w:rPr>
  </w:style>
  <w:style w:type="paragraph" w:styleId="Prrafodelista">
    <w:name w:val="List Paragraph"/>
    <w:basedOn w:val="Normal"/>
    <w:uiPriority w:val="34"/>
    <w:qFormat/>
    <w:rsid w:val="00FD70D8"/>
    <w:pPr>
      <w:ind w:left="720"/>
      <w:contextualSpacing/>
    </w:pPr>
  </w:style>
  <w:style w:type="character" w:styleId="Refdecomentario">
    <w:name w:val="annotation reference"/>
    <w:basedOn w:val="Fuentedeprrafopredeter"/>
    <w:uiPriority w:val="99"/>
    <w:semiHidden/>
    <w:unhideWhenUsed/>
    <w:rsid w:val="00463B4C"/>
    <w:rPr>
      <w:sz w:val="16"/>
      <w:szCs w:val="16"/>
    </w:rPr>
  </w:style>
  <w:style w:type="paragraph" w:styleId="Textocomentario">
    <w:name w:val="annotation text"/>
    <w:basedOn w:val="Normal"/>
    <w:link w:val="TextocomentarioCar"/>
    <w:uiPriority w:val="99"/>
    <w:unhideWhenUsed/>
    <w:rsid w:val="00463B4C"/>
    <w:pPr>
      <w:spacing w:line="240" w:lineRule="auto"/>
    </w:pPr>
    <w:rPr>
      <w:sz w:val="20"/>
      <w:szCs w:val="20"/>
    </w:rPr>
  </w:style>
  <w:style w:type="character" w:customStyle="1" w:styleId="TextocomentarioCar">
    <w:name w:val="Texto comentario Car"/>
    <w:basedOn w:val="Fuentedeprrafopredeter"/>
    <w:link w:val="Textocomentario"/>
    <w:uiPriority w:val="99"/>
    <w:rsid w:val="00463B4C"/>
    <w:rPr>
      <w:sz w:val="20"/>
      <w:szCs w:val="20"/>
    </w:rPr>
  </w:style>
  <w:style w:type="paragraph" w:styleId="Asuntodelcomentario">
    <w:name w:val="annotation subject"/>
    <w:basedOn w:val="Textocomentario"/>
    <w:next w:val="Textocomentario"/>
    <w:link w:val="AsuntodelcomentarioCar"/>
    <w:uiPriority w:val="99"/>
    <w:semiHidden/>
    <w:unhideWhenUsed/>
    <w:rsid w:val="00463B4C"/>
    <w:rPr>
      <w:b/>
      <w:bCs/>
    </w:rPr>
  </w:style>
  <w:style w:type="character" w:customStyle="1" w:styleId="AsuntodelcomentarioCar">
    <w:name w:val="Asunto del comentario Car"/>
    <w:basedOn w:val="TextocomentarioCar"/>
    <w:link w:val="Asuntodelcomentario"/>
    <w:uiPriority w:val="99"/>
    <w:semiHidden/>
    <w:rsid w:val="00463B4C"/>
    <w:rPr>
      <w:b/>
      <w:bCs/>
      <w:sz w:val="20"/>
      <w:szCs w:val="20"/>
    </w:rPr>
  </w:style>
  <w:style w:type="paragraph" w:styleId="Textoindependiente">
    <w:name w:val="Body Text"/>
    <w:basedOn w:val="Normal"/>
    <w:link w:val="TextoindependienteCar"/>
    <w:rsid w:val="007D3434"/>
    <w:pPr>
      <w:spacing w:after="120"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rsid w:val="007D3434"/>
    <w:rPr>
      <w:rFonts w:ascii="Times New Roman" w:eastAsia="Times New Roman" w:hAnsi="Times New Roman" w:cs="Times New Roman"/>
      <w:sz w:val="24"/>
      <w:szCs w:val="24"/>
      <w:lang w:eastAsia="es-CO"/>
    </w:rPr>
  </w:style>
  <w:style w:type="character" w:customStyle="1" w:styleId="baj">
    <w:name w:val="b_aj"/>
    <w:basedOn w:val="Fuentedeprrafopredeter"/>
    <w:rsid w:val="006E4BF6"/>
  </w:style>
  <w:style w:type="paragraph" w:styleId="NormalWeb">
    <w:name w:val="Normal (Web)"/>
    <w:basedOn w:val="Normal"/>
    <w:link w:val="NormalWebCar"/>
    <w:uiPriority w:val="99"/>
    <w:unhideWhenUsed/>
    <w:rsid w:val="00A9004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A90047"/>
    <w:rPr>
      <w:rFonts w:ascii="Times New Roman" w:eastAsia="Times New Roman" w:hAnsi="Times New Roman" w:cs="Times New Roman"/>
      <w:sz w:val="24"/>
      <w:szCs w:val="24"/>
      <w:lang w:eastAsia="es-CO"/>
    </w:rPr>
  </w:style>
  <w:style w:type="paragraph" w:styleId="Revisin">
    <w:name w:val="Revision"/>
    <w:hidden/>
    <w:uiPriority w:val="99"/>
    <w:semiHidden/>
    <w:rsid w:val="00D77B72"/>
    <w:pPr>
      <w:spacing w:after="0" w:line="240" w:lineRule="auto"/>
    </w:pPr>
  </w:style>
  <w:style w:type="table" w:customStyle="1" w:styleId="Tablaconcuadrcula11">
    <w:name w:val="Tabla con cuadrícula11"/>
    <w:basedOn w:val="Tablanormal"/>
    <w:next w:val="Tablaconcuadrcula"/>
    <w:uiPriority w:val="59"/>
    <w:rsid w:val="00070BB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5F74CB"/>
    <w:rPr>
      <w:b/>
      <w:bCs/>
    </w:rPr>
  </w:style>
  <w:style w:type="paragraph" w:styleId="Textodeglobo">
    <w:name w:val="Balloon Text"/>
    <w:basedOn w:val="Normal"/>
    <w:link w:val="TextodegloboCar"/>
    <w:uiPriority w:val="99"/>
    <w:semiHidden/>
    <w:unhideWhenUsed/>
    <w:rsid w:val="001A5D9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A5D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505460">
      <w:bodyDiv w:val="1"/>
      <w:marLeft w:val="0"/>
      <w:marRight w:val="0"/>
      <w:marTop w:val="0"/>
      <w:marBottom w:val="0"/>
      <w:divBdr>
        <w:top w:val="none" w:sz="0" w:space="0" w:color="auto"/>
        <w:left w:val="none" w:sz="0" w:space="0" w:color="auto"/>
        <w:bottom w:val="none" w:sz="0" w:space="0" w:color="auto"/>
        <w:right w:val="none" w:sz="0" w:space="0" w:color="auto"/>
      </w:divBdr>
    </w:div>
    <w:div w:id="1445999008">
      <w:bodyDiv w:val="1"/>
      <w:marLeft w:val="0"/>
      <w:marRight w:val="0"/>
      <w:marTop w:val="0"/>
      <w:marBottom w:val="0"/>
      <w:divBdr>
        <w:top w:val="none" w:sz="0" w:space="0" w:color="auto"/>
        <w:left w:val="none" w:sz="0" w:space="0" w:color="auto"/>
        <w:bottom w:val="none" w:sz="0" w:space="0" w:color="auto"/>
        <w:right w:val="none" w:sz="0" w:space="0" w:color="auto"/>
      </w:divBdr>
    </w:div>
    <w:div w:id="146986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node/30741" TargetMode="External"/><Relationship Id="rId1" Type="http://schemas.openxmlformats.org/officeDocument/2006/relationships/hyperlink" Target="https://www.colombiacompra.gov.co/node/2362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CB162F-D4D9-4B3B-B3CE-E8027314514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05098E32-44AB-4578-9213-385C26A6DB70}">
  <ds:schemaRefs>
    <ds:schemaRef ds:uri="http://schemas.microsoft.com/sharepoint/v3/contenttype/forms"/>
  </ds:schemaRefs>
</ds:datastoreItem>
</file>

<file path=customXml/itemProps3.xml><?xml version="1.0" encoding="utf-8"?>
<ds:datastoreItem xmlns:ds="http://schemas.openxmlformats.org/officeDocument/2006/customXml" ds:itemID="{63E54FA4-AE3F-45AF-A8FD-BBBE97D0EE7D}">
  <ds:schemaRefs>
    <ds:schemaRef ds:uri="http://schemas.openxmlformats.org/officeDocument/2006/bibliography"/>
  </ds:schemaRefs>
</ds:datastoreItem>
</file>

<file path=customXml/itemProps4.xml><?xml version="1.0" encoding="utf-8"?>
<ds:datastoreItem xmlns:ds="http://schemas.openxmlformats.org/officeDocument/2006/customXml" ds:itemID="{D3F788A6-E7A8-421D-A5BF-978A6911B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6235</Words>
  <Characters>34297</Characters>
  <Application>Microsoft Office Word</Application>
  <DocSecurity>0</DocSecurity>
  <Lines>285</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MARIA CLAUDIA DE LA OSSA BOBADILLA</cp:lastModifiedBy>
  <cp:revision>2</cp:revision>
  <dcterms:created xsi:type="dcterms:W3CDTF">2022-12-06T18:35:00Z</dcterms:created>
  <dcterms:modified xsi:type="dcterms:W3CDTF">2022-12-06T18:35:00Z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