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43A49" w14:textId="01EA7458" w:rsidR="00366D8F" w:rsidRPr="002E1D1D" w:rsidRDefault="009070D3" w:rsidP="4DBC91EB">
      <w:pPr>
        <w:spacing w:after="0" w:line="240" w:lineRule="auto"/>
        <w:jc w:val="right"/>
        <w:rPr>
          <w:rFonts w:ascii="Arial" w:eastAsia="Times New Roman" w:hAnsi="Arial" w:cs="Arial"/>
          <w:b/>
          <w:bCs/>
          <w:color w:val="000000" w:themeColor="text1"/>
          <w:sz w:val="16"/>
          <w:szCs w:val="16"/>
          <w:lang w:val="es-ES" w:eastAsia="es-ES"/>
        </w:rPr>
      </w:pPr>
      <w:bookmarkStart w:id="0" w:name="_Hlk28946138"/>
      <w:bookmarkStart w:id="1" w:name="_Hlk29548183"/>
      <w:r w:rsidRPr="009070D3">
        <w:rPr>
          <w:rFonts w:ascii="Arial" w:eastAsia="Times New Roman" w:hAnsi="Arial" w:cs="Arial"/>
          <w:b/>
          <w:color w:val="000000" w:themeColor="text1"/>
          <w:sz w:val="16"/>
          <w:szCs w:val="16"/>
          <w:lang w:val="es-ES" w:eastAsia="es-ES"/>
        </w:rPr>
        <w:tab/>
      </w:r>
      <w:r w:rsidRPr="009070D3">
        <w:rPr>
          <w:rFonts w:ascii="Arial" w:eastAsia="Times New Roman" w:hAnsi="Arial" w:cs="Arial"/>
          <w:b/>
          <w:color w:val="000000" w:themeColor="text1"/>
          <w:sz w:val="16"/>
          <w:szCs w:val="16"/>
          <w:lang w:val="es-ES" w:eastAsia="es-ES"/>
        </w:rPr>
        <w:tab/>
      </w:r>
      <w:r w:rsidRPr="009070D3">
        <w:rPr>
          <w:rFonts w:ascii="Arial" w:eastAsia="Times New Roman" w:hAnsi="Arial" w:cs="Arial"/>
          <w:b/>
          <w:color w:val="000000" w:themeColor="text1"/>
          <w:sz w:val="16"/>
          <w:szCs w:val="16"/>
          <w:lang w:val="es-ES" w:eastAsia="es-ES"/>
        </w:rPr>
        <w:tab/>
      </w:r>
      <w:r w:rsidRPr="009070D3">
        <w:rPr>
          <w:rFonts w:ascii="Arial" w:eastAsia="Times New Roman" w:hAnsi="Arial" w:cs="Arial"/>
          <w:b/>
          <w:color w:val="000000" w:themeColor="text1"/>
          <w:sz w:val="16"/>
          <w:szCs w:val="16"/>
          <w:lang w:val="es-ES" w:eastAsia="es-ES"/>
        </w:rPr>
        <w:tab/>
      </w:r>
      <w:proofErr w:type="gramStart"/>
      <w:r w:rsidRPr="4DBC91EB">
        <w:rPr>
          <w:rFonts w:ascii="Arial" w:eastAsia="Times New Roman" w:hAnsi="Arial" w:cs="Arial"/>
          <w:b/>
          <w:bCs/>
          <w:color w:val="000000" w:themeColor="text1"/>
          <w:sz w:val="16"/>
          <w:szCs w:val="16"/>
          <w:lang w:val="es-ES" w:eastAsia="es-ES"/>
        </w:rPr>
        <w:t>1  CCE</w:t>
      </w:r>
      <w:proofErr w:type="gramEnd"/>
      <w:r w:rsidRPr="4DBC91EB">
        <w:rPr>
          <w:rFonts w:ascii="Arial" w:eastAsia="Times New Roman" w:hAnsi="Arial" w:cs="Arial"/>
          <w:b/>
          <w:bCs/>
          <w:color w:val="000000" w:themeColor="text1"/>
          <w:sz w:val="16"/>
          <w:szCs w:val="16"/>
          <w:lang w:val="es-ES" w:eastAsia="es-ES"/>
        </w:rPr>
        <w:t>-DES-FM-17</w:t>
      </w:r>
    </w:p>
    <w:p w14:paraId="5A1EDF6C" w14:textId="77777777" w:rsidR="00E5784E" w:rsidRDefault="00E5784E" w:rsidP="00366D8F">
      <w:pPr>
        <w:spacing w:after="0"/>
      </w:pPr>
    </w:p>
    <w:p w14:paraId="667A1B86" w14:textId="77777777" w:rsidR="00D16A4C" w:rsidRDefault="00366D8F" w:rsidP="00D16A4C">
      <w:pPr>
        <w:spacing w:after="0" w:line="240" w:lineRule="auto"/>
        <w:jc w:val="both"/>
        <w:rPr>
          <w:rFonts w:ascii="Arial" w:hAnsi="Arial" w:cs="Arial"/>
          <w:b/>
          <w:bCs/>
        </w:rPr>
      </w:pPr>
      <w:r w:rsidRPr="00BF185C">
        <w:rPr>
          <w:rFonts w:ascii="Arial" w:hAnsi="Arial" w:cs="Arial"/>
          <w:b/>
          <w:bCs/>
          <w:i/>
          <w:iCs/>
        </w:rPr>
        <w:t>DOCUMENTOS TIPO</w:t>
      </w:r>
      <w:r w:rsidRPr="00A665BE">
        <w:rPr>
          <w:rFonts w:ascii="Arial" w:hAnsi="Arial" w:cs="Arial"/>
          <w:b/>
          <w:bCs/>
        </w:rPr>
        <w:t xml:space="preserve"> – Inalterabilidad</w:t>
      </w:r>
      <w:r w:rsidR="00D16A4C">
        <w:rPr>
          <w:rFonts w:ascii="Arial" w:hAnsi="Arial" w:cs="Arial"/>
          <w:b/>
          <w:bCs/>
        </w:rPr>
        <w:t xml:space="preserve"> − Principios constitucionales </w:t>
      </w:r>
    </w:p>
    <w:p w14:paraId="480980A0" w14:textId="77777777" w:rsidR="00366D8F" w:rsidRDefault="00366D8F" w:rsidP="00677230">
      <w:pPr>
        <w:spacing w:after="0" w:line="240" w:lineRule="auto"/>
        <w:jc w:val="both"/>
        <w:rPr>
          <w:rFonts w:ascii="Arial" w:hAnsi="Arial" w:cs="Arial"/>
          <w:shd w:val="clear" w:color="auto" w:fill="FFFFFF"/>
        </w:rPr>
      </w:pPr>
    </w:p>
    <w:p w14:paraId="00057CF3" w14:textId="699A7E7F" w:rsidR="00366D8F" w:rsidRPr="00B40DA3" w:rsidRDefault="00677230" w:rsidP="00D16A4C">
      <w:pPr>
        <w:spacing w:after="120" w:line="240" w:lineRule="auto"/>
        <w:jc w:val="both"/>
        <w:rPr>
          <w:rFonts w:ascii="Arial" w:eastAsia="Calibri" w:hAnsi="Arial" w:cs="Arial"/>
          <w:bCs/>
          <w:sz w:val="20"/>
          <w:szCs w:val="20"/>
          <w:lang w:val="es-ES_tradnl"/>
        </w:rPr>
      </w:pPr>
      <w:r w:rsidRPr="00677230">
        <w:rPr>
          <w:rFonts w:ascii="Arial" w:hAnsi="Arial" w:cs="Arial"/>
          <w:sz w:val="20"/>
          <w:szCs w:val="20"/>
          <w:shd w:val="clear" w:color="auto" w:fill="FFFFFF"/>
        </w:rPr>
        <w:t xml:space="preserve">Para el procedimiento de licitación pública, el artículo 2.2.1.2.6.1.4 del Decreto 1082 de 2015 dispone la inalterabilidad de los documentos tipo, la cual consiste en que las entidades estatales no pueden incluir o modificar en los </w:t>
      </w:r>
      <w:r w:rsidRPr="00677230">
        <w:rPr>
          <w:rFonts w:ascii="Arial" w:hAnsi="Arial" w:cs="Arial"/>
          <w:i/>
          <w:iCs/>
          <w:sz w:val="20"/>
          <w:szCs w:val="20"/>
          <w:shd w:val="clear" w:color="auto" w:fill="FFFFFF"/>
        </w:rPr>
        <w:t>Documentos del Proceso</w:t>
      </w:r>
      <w:r w:rsidRPr="00677230">
        <w:rPr>
          <w:rFonts w:ascii="Arial" w:hAnsi="Arial" w:cs="Arial"/>
          <w:sz w:val="20"/>
          <w:szCs w:val="20"/>
          <w:shd w:val="clear" w:color="auto" w:fill="FFFFFF"/>
        </w:rPr>
        <w:t xml:space="preserve"> las condiciones habilitantes, los factores técnicos y económicos de escogencia y los sistemas de ponderación distintos a los señalados en los mismos. Lo anterior en la medida que los documentos tipo pretenden precisamente la estandarización de los procedimientos contractuales. Por tanto, las condiciones establecidas en los documentos adoptados en ejercicio del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15D162D8" w14:textId="66F3BC81" w:rsidR="00D16A4C" w:rsidRPr="00B40DA3" w:rsidRDefault="00D16A4C" w:rsidP="00D16A4C">
      <w:pPr>
        <w:spacing w:after="120" w:line="240" w:lineRule="auto"/>
        <w:jc w:val="both"/>
        <w:rPr>
          <w:rFonts w:ascii="Arial" w:hAnsi="Arial" w:cs="Arial"/>
          <w:sz w:val="20"/>
          <w:szCs w:val="20"/>
        </w:rPr>
      </w:pPr>
      <w:r w:rsidRPr="00D16A4C">
        <w:rPr>
          <w:rFonts w:ascii="Arial" w:hAnsi="Arial" w:cs="Arial"/>
        </w:rPr>
        <w:t>[…]</w:t>
      </w:r>
    </w:p>
    <w:p w14:paraId="5E3069FE" w14:textId="77777777" w:rsidR="00677230" w:rsidRPr="00677230" w:rsidRDefault="00677230" w:rsidP="00D16A4C">
      <w:pPr>
        <w:spacing w:after="0" w:line="240" w:lineRule="auto"/>
        <w:jc w:val="both"/>
        <w:rPr>
          <w:rFonts w:ascii="Arial" w:hAnsi="Arial" w:cs="Arial"/>
          <w:sz w:val="20"/>
          <w:szCs w:val="20"/>
        </w:rPr>
      </w:pPr>
      <w:r w:rsidRPr="00677230">
        <w:rPr>
          <w:rFonts w:ascii="Arial" w:hAnsi="Arial" w:cs="Arial"/>
          <w:sz w:val="20"/>
          <w:szCs w:val="20"/>
        </w:rPr>
        <w:t>De igual forma, cabe resaltar que el principio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documentos tipo, sin distingo de la formalidad de la que se sirvan para ello los actores del sistema de contratación pública.</w:t>
      </w:r>
    </w:p>
    <w:p w14:paraId="7307DA52" w14:textId="77777777" w:rsidR="00366D8F" w:rsidRDefault="00366D8F" w:rsidP="00D16A4C">
      <w:pPr>
        <w:spacing w:after="0" w:line="240" w:lineRule="auto"/>
      </w:pPr>
    </w:p>
    <w:p w14:paraId="0F4F7E8B" w14:textId="468866CC" w:rsidR="00366D8F" w:rsidRDefault="00366D8F" w:rsidP="00D16A4C">
      <w:pPr>
        <w:spacing w:after="0" w:line="240" w:lineRule="auto"/>
        <w:rPr>
          <w:rFonts w:ascii="Arial" w:hAnsi="Arial" w:cs="Arial"/>
          <w:b/>
          <w:bCs/>
        </w:rPr>
      </w:pPr>
      <w:r w:rsidRPr="00A665BE">
        <w:rPr>
          <w:rFonts w:ascii="Arial" w:hAnsi="Arial" w:cs="Arial"/>
          <w:b/>
          <w:bCs/>
        </w:rPr>
        <w:t>DOCUMENTOS TIPO – Inalterabilidad</w:t>
      </w:r>
      <w:r>
        <w:rPr>
          <w:rFonts w:ascii="Arial" w:hAnsi="Arial" w:cs="Arial"/>
          <w:b/>
          <w:bCs/>
        </w:rPr>
        <w:t xml:space="preserve"> – Anexo 3</w:t>
      </w:r>
      <w:r w:rsidR="00677230">
        <w:rPr>
          <w:rFonts w:ascii="Arial" w:hAnsi="Arial" w:cs="Arial"/>
          <w:b/>
          <w:bCs/>
        </w:rPr>
        <w:t>−</w:t>
      </w:r>
      <w:r>
        <w:rPr>
          <w:rFonts w:ascii="Arial" w:hAnsi="Arial" w:cs="Arial"/>
          <w:b/>
          <w:bCs/>
        </w:rPr>
        <w:t>Glosario</w:t>
      </w:r>
    </w:p>
    <w:p w14:paraId="77B64C9F" w14:textId="77777777" w:rsidR="00366D8F" w:rsidRDefault="00366D8F" w:rsidP="00D16A4C">
      <w:pPr>
        <w:spacing w:after="0" w:line="240" w:lineRule="auto"/>
        <w:rPr>
          <w:rFonts w:ascii="Arial" w:hAnsi="Arial" w:cs="Arial"/>
          <w:b/>
          <w:bCs/>
        </w:rPr>
      </w:pPr>
    </w:p>
    <w:p w14:paraId="7DA9CCCE" w14:textId="77777777" w:rsidR="00677230" w:rsidRPr="00677230" w:rsidRDefault="00677230" w:rsidP="00D16A4C">
      <w:pPr>
        <w:spacing w:after="0" w:line="240" w:lineRule="auto"/>
        <w:jc w:val="both"/>
        <w:rPr>
          <w:rFonts w:ascii="Arial" w:eastAsia="Arial" w:hAnsi="Arial" w:cs="Arial"/>
          <w:sz w:val="20"/>
          <w:szCs w:val="20"/>
          <w:lang w:eastAsia="es-CO"/>
        </w:rPr>
      </w:pPr>
      <w:r w:rsidRPr="00677230">
        <w:rPr>
          <w:rFonts w:ascii="Arial" w:hAnsi="Arial" w:cs="Arial"/>
          <w:color w:val="000000" w:themeColor="text1"/>
          <w:sz w:val="20"/>
          <w:szCs w:val="20"/>
        </w:rPr>
        <w:t xml:space="preserve">Uno de los aspectos regulados en </w:t>
      </w:r>
      <w:r w:rsidRPr="00677230">
        <w:rPr>
          <w:rFonts w:ascii="Arial" w:hAnsi="Arial" w:cs="Arial"/>
          <w:sz w:val="20"/>
          <w:szCs w:val="20"/>
        </w:rPr>
        <w:t>los «Documentos Tipo – Versión 2» de licitación de obra pública de infraestructura de transporte</w:t>
      </w:r>
      <w:r w:rsidRPr="00677230">
        <w:rPr>
          <w:rFonts w:ascii="Arial" w:hAnsi="Arial" w:cs="Arial"/>
          <w:color w:val="000000" w:themeColor="text1"/>
          <w:sz w:val="20"/>
          <w:szCs w:val="20"/>
        </w:rPr>
        <w:t xml:space="preserve"> en el que rige el principio de inalterabilidad se refiere al contenido del «Anexo 3 – Glosario». Este </w:t>
      </w:r>
      <w:r w:rsidRPr="00677230">
        <w:rPr>
          <w:rFonts w:ascii="Arial" w:hAnsi="Arial" w:cs="Arial"/>
          <w:sz w:val="20"/>
          <w:szCs w:val="20"/>
        </w:rPr>
        <w:t xml:space="preserve">consagra las definiciones de los términos usados en los </w:t>
      </w:r>
      <w:r w:rsidRPr="00677230">
        <w:rPr>
          <w:rFonts w:ascii="Arial" w:hAnsi="Arial" w:cs="Arial"/>
          <w:i/>
          <w:iCs/>
          <w:sz w:val="20"/>
          <w:szCs w:val="20"/>
        </w:rPr>
        <w:t>Documentos del Proceso</w:t>
      </w:r>
      <w:r w:rsidRPr="00677230">
        <w:rPr>
          <w:rFonts w:ascii="Arial" w:hAnsi="Arial" w:cs="Arial"/>
          <w:sz w:val="20"/>
          <w:szCs w:val="20"/>
        </w:rPr>
        <w:t xml:space="preserve"> propios de la ingeniería civil, que deben tenerse en cuenta para una adecuada aplicación de los criterios establecidos en el documento base.</w:t>
      </w:r>
      <w:r w:rsidRPr="00677230">
        <w:rPr>
          <w:rFonts w:ascii="Arial" w:hAnsi="Arial" w:cs="Arial"/>
          <w:color w:val="000000" w:themeColor="text1"/>
          <w:sz w:val="20"/>
          <w:szCs w:val="20"/>
        </w:rPr>
        <w:t xml:space="preserve"> Lo anterior resulta de lo dispuesto en el numeral 1.17 de este documento, el cual señala los criterios para la interpretación del pliego de condiciones. Específicamente, el literal I dispone que «</w:t>
      </w:r>
      <w:r w:rsidRPr="00677230">
        <w:rPr>
          <w:rFonts w:ascii="Arial" w:eastAsia="Arial" w:hAnsi="Arial" w:cs="Arial"/>
          <w:sz w:val="20"/>
          <w:szCs w:val="20"/>
          <w:lang w:eastAsia="es-CO"/>
        </w:rPr>
        <w:t>Los Documentos Tipo son inalterables y no se podrán incluir o modificar los Anexos, Formatos y Formularios, ni exigir soportes o requisitos adicionales; salvo cuando de forma expresa lo determinen, es decir, en los aspectos incluidos en corchetes y resaltados en gris».</w:t>
      </w:r>
    </w:p>
    <w:p w14:paraId="345C2859" w14:textId="77777777" w:rsidR="00366D8F" w:rsidRDefault="00366D8F" w:rsidP="00677230">
      <w:pPr>
        <w:spacing w:after="0" w:line="240" w:lineRule="auto"/>
        <w:jc w:val="both"/>
        <w:rPr>
          <w:rFonts w:ascii="Arial" w:eastAsia="Arial" w:hAnsi="Arial" w:cs="Arial"/>
          <w:sz w:val="20"/>
          <w:szCs w:val="20"/>
          <w:lang w:eastAsia="es-CO"/>
        </w:rPr>
      </w:pPr>
    </w:p>
    <w:p w14:paraId="4E84A5D0" w14:textId="54A7793D" w:rsidR="00366D8F" w:rsidRPr="00B82B7B" w:rsidRDefault="00366D8F" w:rsidP="00B82B7B">
      <w:pPr>
        <w:spacing w:after="0" w:line="240" w:lineRule="auto"/>
        <w:jc w:val="both"/>
        <w:rPr>
          <w:rFonts w:ascii="Arial" w:hAnsi="Arial" w:cs="Arial"/>
          <w:b/>
          <w:bCs/>
        </w:rPr>
      </w:pPr>
      <w:r w:rsidRPr="00B82B7B">
        <w:rPr>
          <w:rFonts w:ascii="Arial" w:hAnsi="Arial" w:cs="Arial"/>
          <w:b/>
          <w:bCs/>
        </w:rPr>
        <w:t xml:space="preserve">DOCUMENTOS TIPO </w:t>
      </w:r>
      <w:r w:rsidR="00D16A4C" w:rsidRPr="00B82B7B">
        <w:rPr>
          <w:rFonts w:ascii="Arial" w:hAnsi="Arial" w:cs="Arial"/>
          <w:b/>
          <w:bCs/>
        </w:rPr>
        <w:t xml:space="preserve">− </w:t>
      </w:r>
      <w:r w:rsidRPr="00B82B7B">
        <w:rPr>
          <w:rFonts w:ascii="Arial" w:hAnsi="Arial" w:cs="Arial"/>
          <w:b/>
          <w:bCs/>
        </w:rPr>
        <w:t>Anexo 3</w:t>
      </w:r>
      <w:r w:rsidR="00677230" w:rsidRPr="00B82B7B">
        <w:rPr>
          <w:rFonts w:ascii="Arial" w:hAnsi="Arial" w:cs="Arial"/>
          <w:b/>
          <w:bCs/>
        </w:rPr>
        <w:t>−</w:t>
      </w:r>
      <w:r w:rsidRPr="00B82B7B">
        <w:rPr>
          <w:rFonts w:ascii="Arial" w:hAnsi="Arial" w:cs="Arial"/>
          <w:b/>
          <w:bCs/>
        </w:rPr>
        <w:t>Glosario – Conceptos adicionales</w:t>
      </w:r>
      <w:r w:rsidR="001D4339" w:rsidRPr="00B82B7B">
        <w:rPr>
          <w:rFonts w:ascii="Arial" w:hAnsi="Arial" w:cs="Arial"/>
          <w:b/>
          <w:bCs/>
        </w:rPr>
        <w:t xml:space="preserve"> </w:t>
      </w:r>
      <w:r w:rsidR="00B82B7B" w:rsidRPr="00B82B7B">
        <w:rPr>
          <w:rFonts w:ascii="Arial" w:hAnsi="Arial" w:cs="Arial"/>
          <w:b/>
          <w:bCs/>
        </w:rPr>
        <w:t xml:space="preserve">– Definiciones previstas − </w:t>
      </w:r>
      <w:proofErr w:type="spellStart"/>
      <w:r w:rsidR="00B82B7B" w:rsidRPr="00B82B7B">
        <w:rPr>
          <w:rStyle w:val="nfasis"/>
          <w:rFonts w:ascii="Arial" w:hAnsi="Arial" w:cs="Arial"/>
          <w:b/>
          <w:bCs/>
          <w:i w:val="0"/>
          <w:iCs w:val="0"/>
          <w:sz w:val="21"/>
          <w:szCs w:val="21"/>
          <w:shd w:val="clear" w:color="auto" w:fill="FFFFFF"/>
        </w:rPr>
        <w:t>Inmodificabilidad</w:t>
      </w:r>
      <w:proofErr w:type="spellEnd"/>
    </w:p>
    <w:p w14:paraId="51DA0157" w14:textId="77777777" w:rsidR="00366D8F" w:rsidRDefault="00366D8F" w:rsidP="00A55A6B">
      <w:pPr>
        <w:spacing w:after="0" w:line="240" w:lineRule="auto"/>
        <w:rPr>
          <w:rFonts w:ascii="Arial" w:hAnsi="Arial" w:cs="Arial"/>
          <w:b/>
          <w:bCs/>
        </w:rPr>
      </w:pPr>
    </w:p>
    <w:p w14:paraId="2DC9A7A6" w14:textId="77777777" w:rsidR="00D16A4C" w:rsidRPr="00D16A4C" w:rsidRDefault="00D16A4C" w:rsidP="00D16A4C">
      <w:pPr>
        <w:pStyle w:val="Textoindependiente"/>
        <w:spacing w:after="120"/>
        <w:jc w:val="both"/>
        <w:rPr>
          <w:sz w:val="20"/>
          <w:szCs w:val="20"/>
        </w:rPr>
      </w:pPr>
      <w:r w:rsidRPr="00D16A4C">
        <w:rPr>
          <w:sz w:val="20"/>
          <w:szCs w:val="20"/>
        </w:rPr>
        <w:t xml:space="preserve">Al respecto, la introducción del </w:t>
      </w:r>
      <w:r w:rsidRPr="00D16A4C">
        <w:rPr>
          <w:color w:val="000000" w:themeColor="text1"/>
          <w:sz w:val="20"/>
          <w:szCs w:val="20"/>
        </w:rPr>
        <w:t>«Anexo 3 – Glosario»</w:t>
      </w:r>
      <w:r w:rsidRPr="00D16A4C">
        <w:rPr>
          <w:sz w:val="20"/>
          <w:szCs w:val="20"/>
        </w:rPr>
        <w:t xml:space="preserve"> dispone que</w:t>
      </w:r>
      <w:r w:rsidRPr="00D16A4C">
        <w:rPr>
          <w:sz w:val="20"/>
          <w:szCs w:val="20"/>
          <w:lang w:val="es-CO"/>
        </w:rPr>
        <w:t xml:space="preserve"> «[La Entidad deberá incluir en orden alfabético los conceptos adicionales que aplican al proceso de selección que no estén incluidos en el presente anexo con su respectiva fuente]</w:t>
      </w:r>
      <w:r w:rsidRPr="00D16A4C">
        <w:rPr>
          <w:sz w:val="20"/>
          <w:szCs w:val="20"/>
        </w:rPr>
        <w:t xml:space="preserve">». En este orden de ideas, aunque sea posible incluir términos adicionales en el anexo, las entidades no pueden modificar el contenido de las definiciones previstas en el glosario. </w:t>
      </w:r>
    </w:p>
    <w:p w14:paraId="2C315556" w14:textId="77777777" w:rsidR="00D16A4C" w:rsidRPr="00D16A4C" w:rsidRDefault="00D16A4C" w:rsidP="00D16A4C">
      <w:pPr>
        <w:pStyle w:val="Textoindependiente"/>
        <w:spacing w:after="120"/>
        <w:jc w:val="both"/>
        <w:rPr>
          <w:sz w:val="20"/>
          <w:szCs w:val="20"/>
          <w:lang w:eastAsia="es-CO"/>
        </w:rPr>
      </w:pPr>
      <w:r w:rsidRPr="00D16A4C">
        <w:rPr>
          <w:sz w:val="20"/>
          <w:szCs w:val="20"/>
        </w:rPr>
        <w:t xml:space="preserve">Lo anterior es relevante para el objeto de la consulta, pues el anexo define el </w:t>
      </w:r>
      <w:r w:rsidRPr="00D16A4C">
        <w:rPr>
          <w:i/>
          <w:iCs/>
          <w:sz w:val="20"/>
          <w:szCs w:val="20"/>
        </w:rPr>
        <w:t>puente mixto</w:t>
      </w:r>
      <w:r w:rsidRPr="00D16A4C">
        <w:rPr>
          <w:sz w:val="20"/>
          <w:szCs w:val="20"/>
        </w:rPr>
        <w:t xml:space="preserve"> como «[…] aquel que teniendo mínimo dos luces, una de ellas es metálica y la otra en concreto hidráulico». Al encontrarse esta definición de forma explícita en el glosario y al no estar entre corchetes y resaltado en gris, las entidades deberán sujetarse a su contenido de conformidad con el numeral 1.17, literal G, del documento base, el cual dispone que «</w:t>
      </w:r>
      <w:r w:rsidRPr="00D16A4C">
        <w:rPr>
          <w:sz w:val="20"/>
          <w:szCs w:val="20"/>
          <w:lang w:eastAsia="es-CO"/>
        </w:rPr>
        <w:t xml:space="preserve">Las palabras expresamente definidas en este Pliego de Condiciones deben ser entendidas únicamente en el sentido que a las mismas se les conceda según su definición». </w:t>
      </w:r>
    </w:p>
    <w:p w14:paraId="7BA38966" w14:textId="77777777" w:rsidR="00D16A4C" w:rsidRPr="00D16A4C" w:rsidRDefault="00D16A4C" w:rsidP="00D16A4C">
      <w:pPr>
        <w:pStyle w:val="Textoindependiente"/>
        <w:jc w:val="both"/>
        <w:rPr>
          <w:sz w:val="20"/>
          <w:szCs w:val="20"/>
          <w:lang w:eastAsia="es-CO"/>
        </w:rPr>
      </w:pPr>
      <w:r w:rsidRPr="00D16A4C">
        <w:rPr>
          <w:sz w:val="20"/>
          <w:szCs w:val="20"/>
          <w:lang w:eastAsia="es-CO"/>
        </w:rPr>
        <w:t xml:space="preserve">En consecuencia, dado que el Anexo 3 hace parte del contenido del pliego de condiciones conforme </w:t>
      </w:r>
      <w:r w:rsidRPr="00D16A4C">
        <w:rPr>
          <w:sz w:val="20"/>
          <w:szCs w:val="20"/>
          <w:lang w:eastAsia="es-CO"/>
        </w:rPr>
        <w:lastRenderedPageBreak/>
        <w:t>al numeral 9.1 del documento base, las definiciones establecidas en el glosario son inalterables, pues a esto se refiere el apartado introductorio del pliego cuando dispone que «La Entidad no podrá modificar los Formatos, Anexos, matrices y Formularios, ni solicitar soportes o requisitos adicionales a los establecidos en el Documento Tipo».</w:t>
      </w:r>
    </w:p>
    <w:p w14:paraId="6501CB2D" w14:textId="77777777" w:rsidR="004528AF" w:rsidRDefault="004528AF" w:rsidP="00D16A4C">
      <w:pPr>
        <w:spacing w:after="0"/>
        <w:rPr>
          <w:rFonts w:ascii="Arial" w:eastAsia="Arial" w:hAnsi="Arial" w:cs="Arial"/>
          <w:sz w:val="20"/>
          <w:szCs w:val="20"/>
          <w:lang w:val="es-ES" w:eastAsia="es-CO"/>
        </w:rPr>
      </w:pPr>
      <w:r>
        <w:rPr>
          <w:sz w:val="20"/>
          <w:szCs w:val="20"/>
          <w:lang w:eastAsia="es-CO"/>
        </w:rPr>
        <w:br w:type="page"/>
      </w:r>
    </w:p>
    <w:p w14:paraId="295B0378" w14:textId="6D1E84CB" w:rsidR="009070D3" w:rsidRDefault="002F6800" w:rsidP="005F20BA">
      <w:pPr>
        <w:spacing w:after="0" w:line="240" w:lineRule="auto"/>
        <w:jc w:val="right"/>
        <w:rPr>
          <w:rFonts w:ascii="Arial" w:eastAsia="Times New Roman" w:hAnsi="Arial" w:cs="Arial"/>
          <w:color w:val="000000" w:themeColor="text1"/>
          <w:szCs w:val="24"/>
          <w:lang w:val="es-ES"/>
        </w:rPr>
      </w:pPr>
      <w:r>
        <w:rPr>
          <w:noProof/>
        </w:rPr>
        <w:lastRenderedPageBreak/>
        <w:drawing>
          <wp:inline distT="0" distB="0" distL="0" distR="0" wp14:anchorId="46D960D9" wp14:editId="1DCEA1FF">
            <wp:extent cx="2876550" cy="8858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4806" t="34111" r="17685" b="45965"/>
                    <a:stretch/>
                  </pic:blipFill>
                  <pic:spPr bwMode="auto">
                    <a:xfrm>
                      <a:off x="0" y="0"/>
                      <a:ext cx="2915959" cy="897961"/>
                    </a:xfrm>
                    <a:prstGeom prst="rect">
                      <a:avLst/>
                    </a:prstGeom>
                    <a:ln>
                      <a:noFill/>
                    </a:ln>
                    <a:extLst>
                      <a:ext uri="{53640926-AAD7-44D8-BBD7-CCE9431645EC}">
                        <a14:shadowObscured xmlns:a14="http://schemas.microsoft.com/office/drawing/2010/main"/>
                      </a:ext>
                    </a:extLst>
                  </pic:spPr>
                </pic:pic>
              </a:graphicData>
            </a:graphic>
          </wp:inline>
        </w:drawing>
      </w:r>
    </w:p>
    <w:p w14:paraId="0E62E18D" w14:textId="48A0A3ED" w:rsidR="00366D8F" w:rsidRPr="009070D3" w:rsidRDefault="00366D8F" w:rsidP="00366D8F">
      <w:pPr>
        <w:spacing w:after="0" w:line="240" w:lineRule="auto"/>
        <w:rPr>
          <w:rFonts w:ascii="Arial" w:eastAsia="Times New Roman" w:hAnsi="Arial" w:cs="Arial"/>
          <w:color w:val="000000" w:themeColor="text1"/>
          <w:szCs w:val="24"/>
          <w:lang w:val="es-ES"/>
        </w:rPr>
      </w:pPr>
    </w:p>
    <w:p w14:paraId="23F31282" w14:textId="4D1051FB" w:rsidR="004528AF" w:rsidRDefault="004528AF" w:rsidP="005F20BA">
      <w:pPr>
        <w:spacing w:after="0" w:line="240" w:lineRule="auto"/>
        <w:jc w:val="right"/>
        <w:rPr>
          <w:rFonts w:ascii="Arial" w:eastAsia="Calibri" w:hAnsi="Arial" w:cs="Arial"/>
          <w:color w:val="000000" w:themeColor="text1"/>
          <w:lang w:val="es-ES"/>
        </w:rPr>
      </w:pPr>
    </w:p>
    <w:p w14:paraId="0EE2ACD0" w14:textId="3F19C0A5" w:rsidR="009070D3" w:rsidRPr="00345A46" w:rsidRDefault="009070D3" w:rsidP="009070D3">
      <w:pPr>
        <w:spacing w:after="0" w:line="240" w:lineRule="auto"/>
        <w:rPr>
          <w:rFonts w:ascii="Arial" w:eastAsia="Calibri" w:hAnsi="Arial" w:cs="Arial"/>
          <w:color w:val="000000" w:themeColor="text1"/>
          <w:lang w:val="es-ES"/>
        </w:rPr>
      </w:pPr>
      <w:r w:rsidRPr="009070D3">
        <w:rPr>
          <w:rFonts w:ascii="Arial" w:eastAsia="Calibri" w:hAnsi="Arial" w:cs="Arial"/>
          <w:color w:val="000000" w:themeColor="text1"/>
          <w:lang w:val="es-ES"/>
        </w:rPr>
        <w:t>Señora</w:t>
      </w:r>
    </w:p>
    <w:p w14:paraId="5D87293F" w14:textId="6862190F" w:rsidR="009070D3" w:rsidRPr="00345A46" w:rsidRDefault="009070D3" w:rsidP="009070D3">
      <w:pPr>
        <w:spacing w:after="0"/>
        <w:rPr>
          <w:rFonts w:ascii="Arial" w:eastAsia="Times New Roman" w:hAnsi="Arial" w:cs="Arial"/>
          <w:b/>
          <w:bCs/>
        </w:rPr>
      </w:pPr>
      <w:r w:rsidRPr="00345A46">
        <w:rPr>
          <w:rFonts w:ascii="Arial" w:eastAsia="Times New Roman" w:hAnsi="Arial" w:cs="Arial"/>
          <w:b/>
          <w:bCs/>
        </w:rPr>
        <w:t>Margari</w:t>
      </w:r>
      <w:r w:rsidR="00090B8D">
        <w:rPr>
          <w:rFonts w:ascii="Arial" w:eastAsia="Times New Roman" w:hAnsi="Arial" w:cs="Arial"/>
          <w:b/>
          <w:bCs/>
        </w:rPr>
        <w:t>t</w:t>
      </w:r>
      <w:r w:rsidRPr="00345A46">
        <w:rPr>
          <w:rFonts w:ascii="Arial" w:eastAsia="Times New Roman" w:hAnsi="Arial" w:cs="Arial"/>
          <w:b/>
          <w:bCs/>
        </w:rPr>
        <w:t>a Sierra</w:t>
      </w:r>
    </w:p>
    <w:p w14:paraId="73315C90" w14:textId="77777777" w:rsidR="009070D3" w:rsidRPr="009070D3" w:rsidRDefault="009070D3" w:rsidP="009070D3">
      <w:pPr>
        <w:spacing w:after="0" w:line="240" w:lineRule="auto"/>
        <w:rPr>
          <w:rFonts w:ascii="Arial" w:eastAsia="Calibri" w:hAnsi="Arial" w:cs="Arial"/>
          <w:color w:val="000000" w:themeColor="text1"/>
          <w:lang w:val="es-ES"/>
        </w:rPr>
      </w:pPr>
      <w:r w:rsidRPr="009070D3">
        <w:rPr>
          <w:rFonts w:ascii="Arial" w:eastAsia="Calibri" w:hAnsi="Arial" w:cs="Arial"/>
          <w:color w:val="000000" w:themeColor="text1"/>
          <w:lang w:val="es-ES"/>
        </w:rPr>
        <w:t>Bogotá D.C.</w:t>
      </w:r>
    </w:p>
    <w:p w14:paraId="1DBD6C11" w14:textId="1AD5356D" w:rsidR="009070D3" w:rsidRDefault="009070D3" w:rsidP="009070D3">
      <w:pPr>
        <w:spacing w:after="0" w:line="240" w:lineRule="auto"/>
        <w:rPr>
          <w:rFonts w:ascii="Arial" w:eastAsia="Calibri" w:hAnsi="Arial" w:cs="Arial"/>
          <w:color w:val="000000" w:themeColor="text1"/>
          <w:lang w:val="es-ES"/>
        </w:rPr>
      </w:pPr>
    </w:p>
    <w:p w14:paraId="3496D3FE" w14:textId="77777777" w:rsidR="00A55A6B" w:rsidRPr="009070D3" w:rsidRDefault="00A55A6B" w:rsidP="009070D3">
      <w:pPr>
        <w:spacing w:after="0" w:line="240" w:lineRule="auto"/>
        <w:rPr>
          <w:rFonts w:ascii="Arial" w:eastAsia="Calibri" w:hAnsi="Arial" w:cs="Arial"/>
          <w:color w:val="000000" w:themeColor="text1"/>
          <w:lang w:val="es-ES"/>
        </w:rPr>
      </w:pPr>
    </w:p>
    <w:p w14:paraId="06E78BEA" w14:textId="3431C41A" w:rsidR="009070D3" w:rsidRDefault="009070D3" w:rsidP="009070D3">
      <w:pPr>
        <w:spacing w:after="0" w:line="240" w:lineRule="auto"/>
        <w:ind w:firstLine="2694"/>
        <w:rPr>
          <w:rFonts w:ascii="Arial" w:eastAsia="Calibri" w:hAnsi="Arial" w:cs="Arial"/>
          <w:b/>
          <w:color w:val="000000" w:themeColor="text1"/>
          <w:lang w:val="es-ES"/>
        </w:rPr>
      </w:pPr>
      <w:r w:rsidRPr="009070D3">
        <w:rPr>
          <w:rFonts w:ascii="Arial" w:eastAsia="Calibri" w:hAnsi="Arial" w:cs="Arial"/>
          <w:b/>
          <w:color w:val="000000" w:themeColor="text1"/>
          <w:lang w:val="es-ES"/>
        </w:rPr>
        <w:t>Concepto C –</w:t>
      </w:r>
      <w:r w:rsidRPr="00345A46">
        <w:rPr>
          <w:rFonts w:ascii="Arial" w:hAnsi="Arial" w:cs="Arial"/>
          <w:b/>
        </w:rPr>
        <w:t xml:space="preserve"> 798 </w:t>
      </w:r>
      <w:r w:rsidRPr="009070D3">
        <w:rPr>
          <w:rFonts w:ascii="Arial" w:eastAsia="Calibri" w:hAnsi="Arial" w:cs="Arial"/>
          <w:b/>
          <w:color w:val="000000" w:themeColor="text1"/>
          <w:lang w:val="es-ES"/>
        </w:rPr>
        <w:t>de 2020</w:t>
      </w:r>
    </w:p>
    <w:p w14:paraId="743CF8AD" w14:textId="77777777" w:rsidR="00A55A6B" w:rsidRDefault="00A55A6B" w:rsidP="009070D3">
      <w:pPr>
        <w:spacing w:after="0" w:line="240" w:lineRule="auto"/>
        <w:ind w:firstLine="2694"/>
        <w:rPr>
          <w:rFonts w:ascii="Arial" w:eastAsia="Calibri" w:hAnsi="Arial" w:cs="Arial"/>
          <w:b/>
          <w:color w:val="000000" w:themeColor="text1"/>
          <w:lang w:val="es-ES"/>
        </w:rPr>
      </w:pPr>
    </w:p>
    <w:tbl>
      <w:tblPr>
        <w:tblStyle w:val="Tablaconcuadrcula"/>
        <w:tblW w:w="892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070D3" w:rsidRPr="009070D3" w14:paraId="6E359D16" w14:textId="77777777" w:rsidTr="009070D3">
        <w:tc>
          <w:tcPr>
            <w:tcW w:w="2689" w:type="dxa"/>
            <w:hideMark/>
          </w:tcPr>
          <w:p w14:paraId="2627B045" w14:textId="77777777" w:rsidR="009070D3" w:rsidRPr="00B82B7B" w:rsidRDefault="009070D3" w:rsidP="009070D3">
            <w:pPr>
              <w:rPr>
                <w:rFonts w:ascii="Arial" w:eastAsia="Calibri" w:hAnsi="Arial" w:cs="Arial"/>
                <w:bCs/>
                <w:color w:val="000000" w:themeColor="text1"/>
                <w:lang w:val="es-ES"/>
              </w:rPr>
            </w:pPr>
            <w:r w:rsidRPr="00B82B7B">
              <w:rPr>
                <w:rFonts w:ascii="Arial" w:eastAsia="Calibri" w:hAnsi="Arial" w:cs="Arial"/>
                <w:bCs/>
                <w:color w:val="000000" w:themeColor="text1"/>
                <w:lang w:val="es-ES"/>
              </w:rPr>
              <w:t xml:space="preserve">Temas:           </w:t>
            </w:r>
          </w:p>
          <w:p w14:paraId="5BA21A03" w14:textId="77777777" w:rsidR="009070D3" w:rsidRPr="00B82B7B" w:rsidRDefault="009070D3" w:rsidP="009070D3">
            <w:pPr>
              <w:rPr>
                <w:rFonts w:ascii="Arial" w:eastAsia="Calibri" w:hAnsi="Arial" w:cs="Arial"/>
                <w:bCs/>
                <w:color w:val="000000" w:themeColor="text1"/>
                <w:lang w:val="es-ES"/>
              </w:rPr>
            </w:pPr>
            <w:r w:rsidRPr="00B82B7B">
              <w:rPr>
                <w:rFonts w:ascii="Arial" w:eastAsia="Calibri" w:hAnsi="Arial" w:cs="Arial"/>
                <w:bCs/>
                <w:color w:val="000000" w:themeColor="text1"/>
                <w:lang w:val="es-ES"/>
              </w:rPr>
              <w:t xml:space="preserve">                           </w:t>
            </w:r>
          </w:p>
        </w:tc>
        <w:tc>
          <w:tcPr>
            <w:tcW w:w="6237" w:type="dxa"/>
            <w:hideMark/>
          </w:tcPr>
          <w:p w14:paraId="215CE583" w14:textId="0C2D8D08" w:rsidR="00D16A4C" w:rsidRPr="00B82B7B" w:rsidRDefault="00D16A4C" w:rsidP="00D16A4C">
            <w:pPr>
              <w:jc w:val="both"/>
              <w:rPr>
                <w:rFonts w:ascii="Arial" w:hAnsi="Arial" w:cs="Arial"/>
                <w:bCs/>
              </w:rPr>
            </w:pPr>
            <w:r w:rsidRPr="00B82B7B">
              <w:rPr>
                <w:rFonts w:ascii="Arial" w:hAnsi="Arial" w:cs="Arial"/>
                <w:bCs/>
              </w:rPr>
              <w:t>DOCUMENTOS TIPO – Inalterabilidad − Principios constitucionales / DOCUMENTOS TIPO – Inalterabilidad – Anexo 3−Glosario / DOCUMENTOS TIPO − Anexo 3−Glosario – Conceptos adicionales</w:t>
            </w:r>
            <w:r w:rsidR="00B82B7B" w:rsidRPr="00B82B7B">
              <w:rPr>
                <w:rFonts w:ascii="Arial" w:hAnsi="Arial" w:cs="Arial"/>
                <w:bCs/>
              </w:rPr>
              <w:t xml:space="preserve"> − Definiciones previstas − </w:t>
            </w:r>
            <w:proofErr w:type="spellStart"/>
            <w:r w:rsidR="00B82B7B" w:rsidRPr="00B82B7B">
              <w:rPr>
                <w:rStyle w:val="nfasis"/>
                <w:rFonts w:ascii="Arial" w:hAnsi="Arial" w:cs="Arial"/>
                <w:bCs/>
                <w:i w:val="0"/>
                <w:iCs w:val="0"/>
                <w:sz w:val="21"/>
                <w:szCs w:val="21"/>
                <w:shd w:val="clear" w:color="auto" w:fill="FFFFFF"/>
              </w:rPr>
              <w:t>Inmodificabilidad</w:t>
            </w:r>
            <w:proofErr w:type="spellEnd"/>
          </w:p>
          <w:p w14:paraId="6EB29E8D" w14:textId="77777777" w:rsidR="00D16A4C" w:rsidRPr="00B82B7B" w:rsidRDefault="00D16A4C" w:rsidP="00D16A4C">
            <w:pPr>
              <w:jc w:val="both"/>
              <w:rPr>
                <w:rFonts w:ascii="Arial" w:hAnsi="Arial" w:cs="Arial"/>
                <w:bCs/>
              </w:rPr>
            </w:pPr>
          </w:p>
          <w:p w14:paraId="74CCC1D9" w14:textId="134CFE54" w:rsidR="009070D3" w:rsidRPr="00B82B7B" w:rsidRDefault="009070D3" w:rsidP="00D16A4C">
            <w:pPr>
              <w:jc w:val="both"/>
              <w:rPr>
                <w:rFonts w:ascii="Arial" w:eastAsia="Calibri" w:hAnsi="Arial" w:cs="Arial"/>
                <w:bCs/>
                <w:color w:val="000000" w:themeColor="text1"/>
                <w:lang w:val="es-ES"/>
              </w:rPr>
            </w:pPr>
          </w:p>
        </w:tc>
      </w:tr>
      <w:tr w:rsidR="009070D3" w:rsidRPr="009070D3" w14:paraId="71D80A27" w14:textId="77777777" w:rsidTr="009070D3">
        <w:trPr>
          <w:trHeight w:val="95"/>
        </w:trPr>
        <w:tc>
          <w:tcPr>
            <w:tcW w:w="2689" w:type="dxa"/>
            <w:hideMark/>
          </w:tcPr>
          <w:p w14:paraId="19D84D8E" w14:textId="77777777" w:rsidR="009070D3" w:rsidRPr="009070D3" w:rsidRDefault="009070D3" w:rsidP="009070D3">
            <w:pPr>
              <w:spacing w:before="60"/>
              <w:rPr>
                <w:rFonts w:ascii="Arial" w:eastAsia="Calibri" w:hAnsi="Arial" w:cs="Arial"/>
                <w:b/>
                <w:color w:val="000000" w:themeColor="text1"/>
                <w:lang w:val="es-ES"/>
              </w:rPr>
            </w:pPr>
            <w:r w:rsidRPr="009070D3">
              <w:rPr>
                <w:rFonts w:ascii="Arial" w:eastAsia="Calibri" w:hAnsi="Arial" w:cs="Arial"/>
                <w:b/>
                <w:color w:val="000000" w:themeColor="text1"/>
                <w:lang w:val="es-ES"/>
              </w:rPr>
              <w:t>Radicación:</w:t>
            </w:r>
            <w:r w:rsidRPr="009070D3">
              <w:rPr>
                <w:rFonts w:ascii="Arial" w:eastAsia="Calibri" w:hAnsi="Arial" w:cs="Arial"/>
                <w:color w:val="000000" w:themeColor="text1"/>
                <w:lang w:val="es-ES"/>
              </w:rPr>
              <w:t xml:space="preserve">                              </w:t>
            </w:r>
          </w:p>
        </w:tc>
        <w:tc>
          <w:tcPr>
            <w:tcW w:w="6237" w:type="dxa"/>
            <w:hideMark/>
          </w:tcPr>
          <w:p w14:paraId="1A23FE1B" w14:textId="04616D0B" w:rsidR="009070D3" w:rsidRPr="009070D3" w:rsidRDefault="009070D3" w:rsidP="00D16A4C">
            <w:pPr>
              <w:jc w:val="both"/>
              <w:rPr>
                <w:rFonts w:ascii="Arial" w:eastAsia="Calibri" w:hAnsi="Arial" w:cs="Arial"/>
                <w:color w:val="000000" w:themeColor="text1"/>
                <w:lang w:val="es-ES"/>
              </w:rPr>
            </w:pPr>
            <w:r w:rsidRPr="009070D3">
              <w:rPr>
                <w:rFonts w:ascii="Arial" w:eastAsia="Calibri" w:hAnsi="Arial" w:cs="Arial"/>
                <w:color w:val="000000" w:themeColor="text1"/>
                <w:lang w:val="es-ES"/>
              </w:rPr>
              <w:t xml:space="preserve">Respuesta a la consulta # </w:t>
            </w:r>
            <w:r w:rsidRPr="00345A46">
              <w:rPr>
                <w:rFonts w:ascii="Arial" w:eastAsia="Calibri" w:hAnsi="Arial" w:cs="Arial"/>
                <w:color w:val="000000" w:themeColor="text1"/>
                <w:lang w:val="es-ES"/>
              </w:rPr>
              <w:t>P20201216000635</w:t>
            </w:r>
          </w:p>
        </w:tc>
      </w:tr>
    </w:tbl>
    <w:p w14:paraId="080A6ACA" w14:textId="05721D44" w:rsidR="009070D3" w:rsidRDefault="009070D3" w:rsidP="009070D3">
      <w:pPr>
        <w:spacing w:after="0" w:line="240" w:lineRule="auto"/>
        <w:jc w:val="both"/>
        <w:rPr>
          <w:rFonts w:ascii="Arial" w:eastAsia="Calibri" w:hAnsi="Arial" w:cs="Arial"/>
          <w:color w:val="000000" w:themeColor="text1"/>
          <w:lang w:val="es-ES"/>
        </w:rPr>
      </w:pPr>
    </w:p>
    <w:p w14:paraId="258E9DCC" w14:textId="77777777" w:rsidR="004528AF" w:rsidRDefault="004528AF" w:rsidP="009070D3">
      <w:pPr>
        <w:spacing w:after="0" w:line="240" w:lineRule="auto"/>
        <w:jc w:val="both"/>
        <w:rPr>
          <w:rFonts w:ascii="Arial" w:eastAsia="Calibri" w:hAnsi="Arial" w:cs="Arial"/>
          <w:color w:val="000000" w:themeColor="text1"/>
          <w:lang w:val="es-ES"/>
        </w:rPr>
      </w:pPr>
    </w:p>
    <w:p w14:paraId="71149B13" w14:textId="245699F5" w:rsidR="009070D3" w:rsidRPr="009070D3" w:rsidRDefault="009070D3" w:rsidP="00677230">
      <w:pPr>
        <w:spacing w:after="0" w:line="276" w:lineRule="auto"/>
        <w:rPr>
          <w:rFonts w:ascii="Arial" w:eastAsia="Times New Roman" w:hAnsi="Arial" w:cs="Arial"/>
          <w:b/>
          <w:bCs/>
        </w:rPr>
      </w:pPr>
      <w:r w:rsidRPr="009070D3">
        <w:rPr>
          <w:rFonts w:ascii="Arial" w:eastAsia="Calibri" w:hAnsi="Arial" w:cs="Arial"/>
          <w:color w:val="000000" w:themeColor="text1"/>
          <w:lang w:val="es-ES"/>
        </w:rPr>
        <w:t>Estimada señora</w:t>
      </w:r>
      <w:r w:rsidRPr="009070D3">
        <w:rPr>
          <w:rFonts w:ascii="Arial" w:eastAsia="Times New Roman" w:hAnsi="Arial" w:cs="Arial"/>
        </w:rPr>
        <w:t xml:space="preserve"> </w:t>
      </w:r>
      <w:r w:rsidRPr="00345A46">
        <w:rPr>
          <w:rFonts w:ascii="Arial" w:eastAsia="Times New Roman" w:hAnsi="Arial" w:cs="Arial"/>
        </w:rPr>
        <w:t>Sierra</w:t>
      </w:r>
      <w:r w:rsidRPr="009070D3">
        <w:rPr>
          <w:rFonts w:ascii="Arial" w:eastAsia="Times New Roman" w:hAnsi="Arial" w:cs="Arial"/>
        </w:rPr>
        <w:t>:</w:t>
      </w:r>
    </w:p>
    <w:p w14:paraId="3E8E172C" w14:textId="77777777" w:rsidR="009070D3" w:rsidRPr="009070D3" w:rsidRDefault="009070D3" w:rsidP="00677230">
      <w:pPr>
        <w:spacing w:after="0" w:line="276" w:lineRule="auto"/>
        <w:rPr>
          <w:rFonts w:ascii="Arial" w:eastAsia="Calibri" w:hAnsi="Arial" w:cs="Arial"/>
          <w:color w:val="000000" w:themeColor="text1"/>
          <w:lang w:val="es-ES"/>
        </w:rPr>
      </w:pPr>
    </w:p>
    <w:p w14:paraId="6C1BC2C8" w14:textId="31EE0A3F" w:rsidR="009070D3" w:rsidRPr="009070D3" w:rsidRDefault="009070D3">
      <w:pPr>
        <w:spacing w:after="0" w:line="276" w:lineRule="auto"/>
        <w:jc w:val="both"/>
        <w:rPr>
          <w:rFonts w:ascii="Arial" w:eastAsia="Calibri" w:hAnsi="Arial" w:cs="Arial"/>
          <w:color w:val="000000" w:themeColor="text1"/>
          <w:lang w:val="es-ES"/>
        </w:rPr>
      </w:pPr>
      <w:r w:rsidRPr="009070D3">
        <w:rPr>
          <w:rFonts w:ascii="Arial" w:eastAsia="Calibri" w:hAnsi="Arial" w:cs="Arial"/>
          <w:color w:val="000000" w:themeColor="text1"/>
          <w:lang w:val="es-ES"/>
        </w:rPr>
        <w:t xml:space="preserve">En ejercicio de la competencia otorgada por los artículos 11, numeral 8º, y 3º, numeral 5º, del Decreto Ley 4170 de 2011, la Agencia Nacional de Contratación Pública – Colombia Compra Eficiente responde su consulta del </w:t>
      </w:r>
      <w:r w:rsidRPr="00345A46">
        <w:rPr>
          <w:rFonts w:ascii="Arial" w:eastAsia="Calibri" w:hAnsi="Arial" w:cs="Arial"/>
          <w:color w:val="000000" w:themeColor="text1"/>
          <w:lang w:val="es-ES"/>
        </w:rPr>
        <w:t>15</w:t>
      </w:r>
      <w:r w:rsidRPr="009070D3">
        <w:rPr>
          <w:rFonts w:ascii="Arial" w:eastAsia="Calibri" w:hAnsi="Arial" w:cs="Arial"/>
          <w:color w:val="000000" w:themeColor="text1"/>
          <w:lang w:val="es-ES"/>
        </w:rPr>
        <w:t xml:space="preserve"> de </w:t>
      </w:r>
      <w:r w:rsidRPr="00345A46">
        <w:rPr>
          <w:rFonts w:ascii="Arial" w:eastAsia="Calibri" w:hAnsi="Arial" w:cs="Arial"/>
          <w:color w:val="000000" w:themeColor="text1"/>
          <w:lang w:val="es-ES"/>
        </w:rPr>
        <w:t>diciembre</w:t>
      </w:r>
      <w:r w:rsidRPr="009070D3">
        <w:rPr>
          <w:rFonts w:ascii="Arial" w:eastAsia="Calibri" w:hAnsi="Arial" w:cs="Arial"/>
          <w:color w:val="000000" w:themeColor="text1"/>
          <w:lang w:val="es-ES"/>
        </w:rPr>
        <w:t xml:space="preserve"> de 2020. </w:t>
      </w:r>
    </w:p>
    <w:p w14:paraId="000C5DA8" w14:textId="77777777" w:rsidR="009070D3" w:rsidRPr="009070D3" w:rsidRDefault="009070D3">
      <w:pPr>
        <w:spacing w:after="0" w:line="276" w:lineRule="auto"/>
        <w:jc w:val="both"/>
        <w:rPr>
          <w:rFonts w:ascii="Arial" w:eastAsia="Calibri" w:hAnsi="Arial" w:cs="Arial"/>
          <w:color w:val="000000" w:themeColor="text1"/>
          <w:lang w:val="es-ES"/>
        </w:rPr>
      </w:pPr>
    </w:p>
    <w:p w14:paraId="7571B831" w14:textId="7EDEF2AC" w:rsidR="009070D3" w:rsidRPr="00345A46" w:rsidRDefault="009070D3" w:rsidP="009070D3">
      <w:pPr>
        <w:numPr>
          <w:ilvl w:val="0"/>
          <w:numId w:val="1"/>
        </w:numPr>
        <w:tabs>
          <w:tab w:val="left" w:pos="284"/>
        </w:tabs>
        <w:spacing w:after="0" w:line="276" w:lineRule="auto"/>
        <w:contextualSpacing/>
        <w:jc w:val="both"/>
        <w:rPr>
          <w:rFonts w:ascii="Arial" w:eastAsia="Calibri" w:hAnsi="Arial" w:cs="Arial"/>
          <w:b/>
          <w:color w:val="000000" w:themeColor="text1"/>
          <w:lang w:val="es-ES"/>
        </w:rPr>
      </w:pPr>
      <w:r w:rsidRPr="009070D3">
        <w:rPr>
          <w:rFonts w:ascii="Arial" w:eastAsia="Calibri" w:hAnsi="Arial" w:cs="Arial"/>
          <w:b/>
          <w:color w:val="000000" w:themeColor="text1"/>
          <w:lang w:val="es-ES"/>
        </w:rPr>
        <w:t xml:space="preserve">Problema planteado </w:t>
      </w:r>
    </w:p>
    <w:p w14:paraId="4A10A9CB" w14:textId="77777777" w:rsidR="009070D3" w:rsidRPr="009070D3" w:rsidRDefault="009070D3" w:rsidP="009070D3">
      <w:pPr>
        <w:tabs>
          <w:tab w:val="left" w:pos="284"/>
        </w:tabs>
        <w:spacing w:after="0" w:line="276" w:lineRule="auto"/>
        <w:ind w:left="360"/>
        <w:contextualSpacing/>
        <w:jc w:val="both"/>
        <w:rPr>
          <w:rFonts w:ascii="Arial" w:eastAsia="Calibri" w:hAnsi="Arial" w:cs="Arial"/>
          <w:b/>
          <w:color w:val="000000" w:themeColor="text1"/>
          <w:lang w:val="es-ES"/>
        </w:rPr>
      </w:pPr>
    </w:p>
    <w:p w14:paraId="13DE52CB" w14:textId="57103A47" w:rsidR="009070D3" w:rsidRPr="00345A46" w:rsidRDefault="00F84CD3" w:rsidP="00677230">
      <w:pPr>
        <w:spacing w:after="0" w:line="276" w:lineRule="auto"/>
        <w:jc w:val="both"/>
        <w:rPr>
          <w:rFonts w:ascii="Arial" w:eastAsia="Times New Roman" w:hAnsi="Arial" w:cs="Arial"/>
        </w:rPr>
      </w:pPr>
      <w:bookmarkStart w:id="2" w:name="_Hlk60748041"/>
      <w:bookmarkStart w:id="3" w:name="_Hlk60744295"/>
      <w:r>
        <w:rPr>
          <w:rFonts w:ascii="Arial" w:eastAsia="Times New Roman" w:hAnsi="Arial" w:cs="Arial"/>
          <w:lang w:val="es-ES"/>
        </w:rPr>
        <w:t>Respecto a los «Documentos Tipo – Versión 2» de licitación para obras públicas de infraestructura de transporte</w:t>
      </w:r>
      <w:bookmarkEnd w:id="2"/>
      <w:r>
        <w:rPr>
          <w:rFonts w:ascii="Arial" w:eastAsia="Times New Roman" w:hAnsi="Arial" w:cs="Arial"/>
          <w:lang w:val="es-ES"/>
        </w:rPr>
        <w:t>, u</w:t>
      </w:r>
      <w:r w:rsidR="009070D3" w:rsidRPr="00345A46">
        <w:rPr>
          <w:rFonts w:ascii="Arial" w:eastAsia="Times New Roman" w:hAnsi="Arial" w:cs="Arial"/>
          <w:lang w:val="es-ES"/>
        </w:rPr>
        <w:t xml:space="preserve">sted </w:t>
      </w:r>
      <w:r>
        <w:rPr>
          <w:rFonts w:ascii="Arial" w:eastAsia="Times New Roman" w:hAnsi="Arial" w:cs="Arial"/>
          <w:lang w:val="es-ES"/>
        </w:rPr>
        <w:t>realiza</w:t>
      </w:r>
      <w:r w:rsidRPr="00345A46">
        <w:rPr>
          <w:rFonts w:ascii="Arial" w:eastAsia="Times New Roman" w:hAnsi="Arial" w:cs="Arial"/>
          <w:lang w:val="es-ES"/>
        </w:rPr>
        <w:t xml:space="preserve"> </w:t>
      </w:r>
      <w:r w:rsidR="009070D3" w:rsidRPr="00345A46">
        <w:rPr>
          <w:rFonts w:ascii="Arial" w:eastAsia="Times New Roman" w:hAnsi="Arial" w:cs="Arial"/>
          <w:lang w:val="es-ES"/>
        </w:rPr>
        <w:t>la siguiente pregunta «</w:t>
      </w:r>
      <w:r w:rsidR="009070D3" w:rsidRPr="00345A46">
        <w:rPr>
          <w:rFonts w:ascii="Arial" w:eastAsia="Times New Roman" w:hAnsi="Arial" w:cs="Arial"/>
        </w:rPr>
        <w:t xml:space="preserve">Si una entidad requiere como experiencia alguna actividad definida en el Anexo 3. Glosario, puede darle una definición diferente a la contenida en este documento. </w:t>
      </w:r>
      <w:proofErr w:type="gramStart"/>
      <w:r w:rsidR="009070D3" w:rsidRPr="00345A46">
        <w:rPr>
          <w:rFonts w:ascii="Arial" w:eastAsia="Times New Roman" w:hAnsi="Arial" w:cs="Arial"/>
        </w:rPr>
        <w:t>Por ejemplo, si una entidad solicita experiencia en puentes mixtos, puede modificar la definición contenida en el glosario?</w:t>
      </w:r>
      <w:proofErr w:type="gramEnd"/>
      <w:r w:rsidR="009070D3" w:rsidRPr="00345A46">
        <w:rPr>
          <w:rFonts w:ascii="Arial" w:eastAsia="Times New Roman" w:hAnsi="Arial" w:cs="Arial"/>
        </w:rPr>
        <w:t>»</w:t>
      </w:r>
      <w:bookmarkEnd w:id="3"/>
      <w:r w:rsidR="004528AF">
        <w:rPr>
          <w:rFonts w:ascii="Arial" w:eastAsia="Times New Roman" w:hAnsi="Arial" w:cs="Arial"/>
        </w:rPr>
        <w:t>.</w:t>
      </w:r>
    </w:p>
    <w:p w14:paraId="44776B16" w14:textId="531B022C" w:rsidR="009070D3" w:rsidRPr="009070D3" w:rsidRDefault="009070D3" w:rsidP="00677230">
      <w:pPr>
        <w:spacing w:after="0" w:line="276" w:lineRule="auto"/>
        <w:jc w:val="both"/>
        <w:rPr>
          <w:rFonts w:asciiTheme="minorBidi" w:eastAsia="Times New Roman" w:hAnsiTheme="minorBidi"/>
        </w:rPr>
      </w:pPr>
    </w:p>
    <w:p w14:paraId="34540009" w14:textId="77777777" w:rsidR="009070D3" w:rsidRPr="009070D3" w:rsidRDefault="009070D3">
      <w:pPr>
        <w:numPr>
          <w:ilvl w:val="0"/>
          <w:numId w:val="1"/>
        </w:numPr>
        <w:tabs>
          <w:tab w:val="left" w:pos="426"/>
        </w:tabs>
        <w:spacing w:after="0" w:line="276" w:lineRule="auto"/>
        <w:ind w:left="284" w:hanging="284"/>
        <w:contextualSpacing/>
        <w:jc w:val="both"/>
        <w:rPr>
          <w:rFonts w:ascii="Arial" w:eastAsia="Calibri" w:hAnsi="Arial" w:cs="Arial"/>
          <w:b/>
          <w:color w:val="000000" w:themeColor="text1"/>
          <w:lang w:val="es-ES"/>
        </w:rPr>
      </w:pPr>
      <w:r w:rsidRPr="009070D3">
        <w:rPr>
          <w:rFonts w:ascii="Arial" w:eastAsia="Calibri" w:hAnsi="Arial" w:cs="Arial"/>
          <w:b/>
          <w:color w:val="000000" w:themeColor="text1"/>
          <w:lang w:val="es-ES"/>
        </w:rPr>
        <w:t>Consideraciones</w:t>
      </w:r>
    </w:p>
    <w:p w14:paraId="15923955" w14:textId="77777777" w:rsidR="009070D3" w:rsidRPr="009070D3" w:rsidRDefault="009070D3">
      <w:pPr>
        <w:tabs>
          <w:tab w:val="left" w:pos="426"/>
        </w:tabs>
        <w:spacing w:after="0" w:line="276" w:lineRule="auto"/>
        <w:jc w:val="both"/>
        <w:rPr>
          <w:rFonts w:ascii="Arial" w:eastAsia="Calibri" w:hAnsi="Arial" w:cs="Arial"/>
          <w:b/>
          <w:color w:val="000000" w:themeColor="text1"/>
          <w:lang w:val="es-ES"/>
        </w:rPr>
      </w:pPr>
    </w:p>
    <w:p w14:paraId="293C4E04" w14:textId="4FEA9670" w:rsidR="00DD6EAD" w:rsidRDefault="009070D3" w:rsidP="00677230">
      <w:pPr>
        <w:spacing w:after="120" w:line="276" w:lineRule="auto"/>
        <w:jc w:val="both"/>
        <w:rPr>
          <w:rFonts w:ascii="Arial" w:hAnsi="Arial" w:cs="Arial"/>
          <w:bCs/>
          <w:lang w:val="es-ES_tradnl"/>
        </w:rPr>
      </w:pPr>
      <w:r w:rsidRPr="00B27909">
        <w:rPr>
          <w:rFonts w:ascii="Arial" w:hAnsi="Arial" w:cs="Arial"/>
          <w:color w:val="000000" w:themeColor="text1"/>
          <w:lang w:val="es-ES"/>
        </w:rPr>
        <w:t>Para resolver la consulta</w:t>
      </w:r>
      <w:r w:rsidR="00F84CD3">
        <w:rPr>
          <w:rFonts w:ascii="Arial" w:hAnsi="Arial" w:cs="Arial"/>
          <w:color w:val="000000" w:themeColor="text1"/>
          <w:lang w:val="es-ES"/>
        </w:rPr>
        <w:t xml:space="preserve"> </w:t>
      </w:r>
      <w:r w:rsidR="009B084D" w:rsidRPr="00B27909">
        <w:rPr>
          <w:rFonts w:ascii="Arial" w:hAnsi="Arial" w:cs="Arial"/>
          <w:color w:val="000000" w:themeColor="text1"/>
          <w:lang w:val="es-ES"/>
        </w:rPr>
        <w:t>se abordará</w:t>
      </w:r>
      <w:r w:rsidR="00B27909">
        <w:rPr>
          <w:rFonts w:ascii="Arial" w:hAnsi="Arial" w:cs="Arial"/>
          <w:color w:val="000000" w:themeColor="text1"/>
          <w:lang w:val="es-ES"/>
        </w:rPr>
        <w:t>n</w:t>
      </w:r>
      <w:r w:rsidR="00F84CD3">
        <w:rPr>
          <w:rFonts w:ascii="Arial" w:hAnsi="Arial" w:cs="Arial"/>
          <w:color w:val="000000" w:themeColor="text1"/>
          <w:lang w:val="es-ES"/>
        </w:rPr>
        <w:t xml:space="preserve"> los </w:t>
      </w:r>
      <w:r w:rsidR="00C40684" w:rsidRPr="00B27909">
        <w:rPr>
          <w:rFonts w:ascii="Arial" w:hAnsi="Arial" w:cs="Arial"/>
          <w:color w:val="000000" w:themeColor="text1"/>
          <w:lang w:val="es-ES"/>
        </w:rPr>
        <w:t xml:space="preserve">fundamentos jurídicos </w:t>
      </w:r>
      <w:r w:rsidR="00F84CD3">
        <w:rPr>
          <w:rFonts w:ascii="Arial" w:hAnsi="Arial" w:cs="Arial"/>
          <w:color w:val="000000" w:themeColor="text1"/>
          <w:lang w:val="es-ES"/>
        </w:rPr>
        <w:t>e</w:t>
      </w:r>
      <w:r w:rsidR="00C40684" w:rsidRPr="00B27909">
        <w:rPr>
          <w:rFonts w:ascii="Arial" w:hAnsi="Arial" w:cs="Arial"/>
          <w:color w:val="000000" w:themeColor="text1"/>
          <w:lang w:val="es-ES"/>
        </w:rPr>
        <w:t xml:space="preserve"> inalterabilidad </w:t>
      </w:r>
      <w:r w:rsidR="002E0CE0" w:rsidRPr="00B27909">
        <w:rPr>
          <w:rFonts w:ascii="Arial" w:hAnsi="Arial" w:cs="Arial"/>
          <w:bCs/>
          <w:lang w:val="es-ES_tradnl"/>
        </w:rPr>
        <w:t xml:space="preserve">de los </w:t>
      </w:r>
      <w:r w:rsidR="00F84CD3" w:rsidRPr="00B27909">
        <w:rPr>
          <w:rFonts w:ascii="Arial" w:hAnsi="Arial" w:cs="Arial"/>
          <w:bCs/>
          <w:lang w:val="es-ES_tradnl"/>
        </w:rPr>
        <w:t>documentos tipo</w:t>
      </w:r>
      <w:r w:rsidR="00F84CD3">
        <w:rPr>
          <w:rFonts w:ascii="Arial" w:hAnsi="Arial" w:cs="Arial"/>
          <w:bCs/>
          <w:lang w:val="es-ES_tradnl"/>
        </w:rPr>
        <w:t>,</w:t>
      </w:r>
      <w:r w:rsidR="002E0CE0" w:rsidRPr="00B27909">
        <w:rPr>
          <w:rFonts w:ascii="Arial" w:hAnsi="Arial" w:cs="Arial"/>
          <w:bCs/>
          <w:lang w:val="es-ES_tradnl"/>
        </w:rPr>
        <w:t xml:space="preserve"> </w:t>
      </w:r>
      <w:r w:rsidR="00F84CD3">
        <w:rPr>
          <w:rFonts w:ascii="Arial" w:hAnsi="Arial" w:cs="Arial"/>
          <w:bCs/>
          <w:lang w:val="es-ES_tradnl"/>
        </w:rPr>
        <w:t xml:space="preserve">con especial énfasis en la </w:t>
      </w:r>
      <w:proofErr w:type="spellStart"/>
      <w:r w:rsidR="00F84CD3">
        <w:rPr>
          <w:rFonts w:ascii="Arial" w:hAnsi="Arial" w:cs="Arial"/>
          <w:bCs/>
          <w:lang w:val="es-ES_tradnl"/>
        </w:rPr>
        <w:t>inmodificabilidad</w:t>
      </w:r>
      <w:proofErr w:type="spellEnd"/>
      <w:r w:rsidR="00DD6EAD" w:rsidRPr="00B27909">
        <w:rPr>
          <w:rFonts w:ascii="Arial" w:hAnsi="Arial" w:cs="Arial"/>
        </w:rPr>
        <w:t xml:space="preserve"> del </w:t>
      </w:r>
      <w:r w:rsidR="00F84CD3">
        <w:rPr>
          <w:rFonts w:ascii="Arial" w:hAnsi="Arial" w:cs="Arial"/>
        </w:rPr>
        <w:t>«</w:t>
      </w:r>
      <w:r w:rsidR="00DD6EAD" w:rsidRPr="00B27909">
        <w:rPr>
          <w:rFonts w:ascii="Arial" w:hAnsi="Arial" w:cs="Arial"/>
        </w:rPr>
        <w:t>Anexo 3</w:t>
      </w:r>
      <w:r w:rsidR="00F84CD3">
        <w:rPr>
          <w:rFonts w:ascii="Arial" w:hAnsi="Arial" w:cs="Arial"/>
        </w:rPr>
        <w:t xml:space="preserve"> – </w:t>
      </w:r>
      <w:r w:rsidR="00DD6EAD" w:rsidRPr="00B27909">
        <w:rPr>
          <w:rFonts w:ascii="Arial" w:hAnsi="Arial" w:cs="Arial"/>
        </w:rPr>
        <w:t>Glosario</w:t>
      </w:r>
      <w:r w:rsidR="00F84CD3">
        <w:rPr>
          <w:rFonts w:ascii="Arial" w:hAnsi="Arial" w:cs="Arial"/>
        </w:rPr>
        <w:t>»</w:t>
      </w:r>
      <w:r w:rsidR="00A1381A">
        <w:rPr>
          <w:rFonts w:ascii="Arial" w:hAnsi="Arial" w:cs="Arial"/>
        </w:rPr>
        <w:t xml:space="preserve">. Lo anterior </w:t>
      </w:r>
      <w:r w:rsidR="00A1381A" w:rsidRPr="00B27909">
        <w:rPr>
          <w:rFonts w:ascii="Arial" w:hAnsi="Arial" w:cs="Arial"/>
          <w:bCs/>
          <w:lang w:val="es-ES_tradnl"/>
        </w:rPr>
        <w:t>para</w:t>
      </w:r>
      <w:r w:rsidR="00F84CD3">
        <w:rPr>
          <w:rFonts w:ascii="Arial" w:hAnsi="Arial" w:cs="Arial"/>
          <w:bCs/>
          <w:lang w:val="es-ES_tradnl"/>
        </w:rPr>
        <w:t xml:space="preserve"> efectos de </w:t>
      </w:r>
      <w:r w:rsidR="00F84CD3">
        <w:rPr>
          <w:rFonts w:ascii="Arial" w:eastAsia="Times New Roman" w:hAnsi="Arial" w:cs="Arial"/>
          <w:lang w:val="es-ES"/>
        </w:rPr>
        <w:t>los «Documentos Tipo – Versión 2» de licitación para obras públicas de infraestructura de transporte</w:t>
      </w:r>
      <w:r w:rsidR="00F84CD3">
        <w:rPr>
          <w:rFonts w:ascii="Arial" w:hAnsi="Arial" w:cs="Arial"/>
          <w:bCs/>
          <w:lang w:val="es-ES_tradnl"/>
        </w:rPr>
        <w:t>.</w:t>
      </w:r>
    </w:p>
    <w:p w14:paraId="50BAEAF8" w14:textId="2B544113" w:rsidR="00B3258F" w:rsidRDefault="00F84CD3">
      <w:pPr>
        <w:spacing w:after="0" w:line="276" w:lineRule="auto"/>
        <w:ind w:firstLine="708"/>
        <w:jc w:val="both"/>
        <w:rPr>
          <w:rFonts w:ascii="Arial" w:hAnsi="Arial" w:cs="Arial"/>
        </w:rPr>
      </w:pPr>
      <w:r w:rsidRPr="00345A46">
        <w:rPr>
          <w:rFonts w:ascii="Arial" w:hAnsi="Arial" w:cs="Arial"/>
        </w:rPr>
        <w:t xml:space="preserve">La Agencia Nacional de Contratación Pública </w:t>
      </w:r>
      <w:r w:rsidR="00391575">
        <w:rPr>
          <w:rFonts w:ascii="Arial" w:hAnsi="Arial" w:cs="Arial"/>
        </w:rPr>
        <w:t>–</w:t>
      </w:r>
      <w:r w:rsidRPr="00345A46">
        <w:rPr>
          <w:rFonts w:ascii="Arial" w:hAnsi="Arial" w:cs="Arial"/>
        </w:rPr>
        <w:t xml:space="preserve"> Colombia Compra Eficiente </w:t>
      </w:r>
      <w:r w:rsidRPr="00345A46">
        <w:rPr>
          <w:rFonts w:ascii="Arial" w:eastAsia="Calibri" w:hAnsi="Arial" w:cs="Arial"/>
        </w:rPr>
        <w:t>e</w:t>
      </w:r>
      <w:r w:rsidRPr="00345A46">
        <w:rPr>
          <w:rFonts w:ascii="Arial" w:hAnsi="Arial" w:cs="Arial"/>
        </w:rPr>
        <w:t xml:space="preserve">n los conceptos C–144 de 2 de marzo de 2020, C-174 del 16 de marzo de 2020,  C-129 del 24 </w:t>
      </w:r>
      <w:r w:rsidRPr="00345A46">
        <w:rPr>
          <w:rFonts w:ascii="Arial" w:hAnsi="Arial" w:cs="Arial"/>
        </w:rPr>
        <w:lastRenderedPageBreak/>
        <w:t>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w:t>
      </w:r>
      <w:r w:rsidR="00D14A05">
        <w:rPr>
          <w:rFonts w:ascii="Arial" w:hAnsi="Arial" w:cs="Arial"/>
        </w:rPr>
        <w:t xml:space="preserve"> </w:t>
      </w:r>
      <w:r w:rsidR="00D14A05" w:rsidRPr="00345A46">
        <w:rPr>
          <w:rFonts w:ascii="Arial" w:hAnsi="Arial" w:cs="Arial"/>
        </w:rPr>
        <w:t>explicó el principio de inalterabilidad de los documentos tipo y sus excepciones</w:t>
      </w:r>
      <w:r w:rsidR="00B3258F">
        <w:rPr>
          <w:rFonts w:ascii="Arial" w:hAnsi="Arial" w:cs="Arial"/>
        </w:rPr>
        <w:t>.</w:t>
      </w:r>
    </w:p>
    <w:p w14:paraId="3BA8AA52" w14:textId="78878A91" w:rsidR="00F84CD3" w:rsidRPr="00345A46" w:rsidRDefault="00B3258F" w:rsidP="00677230">
      <w:pPr>
        <w:spacing w:after="0" w:line="276" w:lineRule="auto"/>
        <w:ind w:firstLine="708"/>
        <w:jc w:val="both"/>
        <w:rPr>
          <w:rFonts w:ascii="Arial" w:hAnsi="Arial" w:cs="Arial"/>
        </w:rPr>
      </w:pPr>
      <w:r>
        <w:rPr>
          <w:rFonts w:ascii="Arial" w:hAnsi="Arial" w:cs="Arial"/>
        </w:rPr>
        <w:t>El mismo tema se abordó también en los Conceptos</w:t>
      </w:r>
      <w:r w:rsidR="00F84CD3" w:rsidRPr="00345A46">
        <w:rPr>
          <w:rFonts w:ascii="Arial" w:hAnsi="Arial" w:cs="Arial"/>
        </w:rPr>
        <w:t xml:space="preserve">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w:t>
      </w:r>
      <w:r w:rsidR="00F84CD3">
        <w:rPr>
          <w:rFonts w:ascii="Arial" w:hAnsi="Arial" w:cs="Arial"/>
        </w:rPr>
        <w:t>,</w:t>
      </w:r>
      <w:r w:rsidR="00F84CD3" w:rsidRPr="00345A46">
        <w:rPr>
          <w:rFonts w:ascii="Arial" w:hAnsi="Arial" w:cs="Arial"/>
        </w:rPr>
        <w:t xml:space="preserve"> C-716 del 30 de noviembre de 2020</w:t>
      </w:r>
      <w:r w:rsidR="00F84CD3">
        <w:rPr>
          <w:rFonts w:ascii="Arial" w:hAnsi="Arial" w:cs="Arial"/>
        </w:rPr>
        <w:t xml:space="preserve"> y 775 del 11 de diciembre de 2020</w:t>
      </w:r>
      <w:r w:rsidR="00F84CD3" w:rsidRPr="00345A46">
        <w:rPr>
          <w:rFonts w:ascii="Arial" w:hAnsi="Arial" w:cs="Arial"/>
        </w:rPr>
        <w:t xml:space="preserve">. </w:t>
      </w:r>
      <w:r w:rsidR="00F84CD3" w:rsidRPr="00345A46">
        <w:rPr>
          <w:rFonts w:ascii="Arial" w:eastAsia="Calibri" w:hAnsi="Arial" w:cs="Arial"/>
        </w:rPr>
        <w:t>Las tesis desarrolladas en estos conceptos, en lo pertinente, se exponen a continuación</w:t>
      </w:r>
      <w:r w:rsidR="00391575">
        <w:rPr>
          <w:rFonts w:ascii="Arial" w:eastAsia="Calibri" w:hAnsi="Arial" w:cs="Arial"/>
        </w:rPr>
        <w:t>:</w:t>
      </w:r>
    </w:p>
    <w:p w14:paraId="18FE3954" w14:textId="77777777" w:rsidR="00F84CD3" w:rsidRPr="00B27909" w:rsidRDefault="00F84CD3" w:rsidP="00677230">
      <w:pPr>
        <w:spacing w:after="0" w:line="276" w:lineRule="auto"/>
        <w:jc w:val="both"/>
        <w:rPr>
          <w:rFonts w:ascii="Arial" w:hAnsi="Arial" w:cs="Arial"/>
          <w:b/>
          <w:bCs/>
        </w:rPr>
      </w:pPr>
    </w:p>
    <w:p w14:paraId="7A296A97" w14:textId="4939841A" w:rsidR="0091591E" w:rsidRPr="00A55A6B" w:rsidRDefault="009070D3" w:rsidP="00A55A6B">
      <w:pPr>
        <w:spacing w:after="0"/>
        <w:jc w:val="both"/>
        <w:rPr>
          <w:rFonts w:ascii="Arial" w:hAnsi="Arial" w:cs="Arial"/>
          <w:b/>
          <w:bCs/>
        </w:rPr>
      </w:pPr>
      <w:r w:rsidRPr="00A55A6B">
        <w:rPr>
          <w:rFonts w:ascii="Arial" w:hAnsi="Arial" w:cs="Arial"/>
          <w:b/>
          <w:bCs/>
        </w:rPr>
        <w:t xml:space="preserve">2.1 Fundamentos jurídicos </w:t>
      </w:r>
      <w:r w:rsidR="0031180C" w:rsidRPr="00A55A6B">
        <w:rPr>
          <w:rFonts w:ascii="Arial" w:hAnsi="Arial" w:cs="Arial"/>
          <w:b/>
          <w:bCs/>
        </w:rPr>
        <w:t xml:space="preserve">e inalterabilidad </w:t>
      </w:r>
      <w:r w:rsidR="00A55A6B" w:rsidRPr="00A55A6B">
        <w:rPr>
          <w:rFonts w:ascii="Arial" w:hAnsi="Arial" w:cs="Arial"/>
          <w:b/>
          <w:bCs/>
        </w:rPr>
        <w:t>d</w:t>
      </w:r>
      <w:r w:rsidR="0091591E" w:rsidRPr="00A55A6B">
        <w:rPr>
          <w:rFonts w:ascii="Arial" w:hAnsi="Arial" w:cs="Arial"/>
          <w:b/>
          <w:bCs/>
        </w:rPr>
        <w:t xml:space="preserve">e los </w:t>
      </w:r>
      <w:r w:rsidR="00F84CD3" w:rsidRPr="00A55A6B">
        <w:rPr>
          <w:rFonts w:ascii="Arial" w:hAnsi="Arial" w:cs="Arial"/>
          <w:b/>
          <w:bCs/>
        </w:rPr>
        <w:t>documentos tipo</w:t>
      </w:r>
      <w:r w:rsidR="0091591E" w:rsidRPr="00A55A6B">
        <w:rPr>
          <w:rFonts w:ascii="Arial" w:hAnsi="Arial" w:cs="Arial"/>
          <w:b/>
          <w:bCs/>
        </w:rPr>
        <w:t xml:space="preserve"> de obra pública de infraestructura de transporte</w:t>
      </w:r>
    </w:p>
    <w:p w14:paraId="73A77442" w14:textId="21EB0B88" w:rsidR="009070D3" w:rsidRPr="00345A46" w:rsidRDefault="009070D3" w:rsidP="00A55A6B">
      <w:pPr>
        <w:tabs>
          <w:tab w:val="left" w:pos="709"/>
          <w:tab w:val="left" w:pos="851"/>
        </w:tabs>
        <w:spacing w:after="0" w:line="276" w:lineRule="auto"/>
        <w:jc w:val="both"/>
        <w:rPr>
          <w:rFonts w:ascii="Arial" w:hAnsi="Arial" w:cs="Arial"/>
          <w:b/>
          <w:bCs/>
        </w:rPr>
      </w:pPr>
    </w:p>
    <w:p w14:paraId="6F61A24E" w14:textId="3E8DAD85" w:rsidR="00D37724" w:rsidRDefault="00D37724" w:rsidP="00677230">
      <w:pPr>
        <w:spacing w:line="276" w:lineRule="auto"/>
        <w:jc w:val="both"/>
        <w:rPr>
          <w:color w:val="0D0D0D" w:themeColor="text1" w:themeTint="F2"/>
        </w:rPr>
      </w:pPr>
      <w:bookmarkStart w:id="4" w:name="_Hlk40098008"/>
      <w:r>
        <w:rPr>
          <w:rFonts w:ascii="Arial" w:hAnsi="Arial" w:cs="Arial"/>
          <w:color w:val="0D0D0D" w:themeColor="text1" w:themeTint="F2"/>
          <w:lang w:val="es-ES"/>
        </w:rPr>
        <w:t>Los pliegos tipo aparecieron en nuestro ordenamiento jurídico en el 2007, cuando el legislador facultó al Gobierno Nacional para adoptarlos en la compra o suministro de bienes de características técnicas uniformes</w:t>
      </w:r>
      <w:r>
        <w:rPr>
          <w:rStyle w:val="Refdenotaalpie"/>
          <w:rFonts w:ascii="Arial" w:hAnsi="Arial" w:cs="Arial"/>
          <w:color w:val="0D0D0D" w:themeColor="text1" w:themeTint="F2"/>
          <w:lang w:val="es-ES"/>
        </w:rPr>
        <w:footnoteReference w:id="1"/>
      </w:r>
      <w:r>
        <w:rPr>
          <w:rFonts w:ascii="Arial" w:hAnsi="Arial" w:cs="Arial"/>
          <w:color w:val="0D0D0D" w:themeColor="text1" w:themeTint="F2"/>
          <w:lang w:val="es-ES"/>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Pr>
          <w:rStyle w:val="Refdenotaalpie"/>
          <w:rFonts w:ascii="Arial" w:hAnsi="Arial" w:cs="Arial"/>
          <w:color w:val="0D0D0D" w:themeColor="text1" w:themeTint="F2"/>
          <w:lang w:val="es-ES"/>
        </w:rPr>
        <w:footnoteReference w:id="2"/>
      </w:r>
      <w:r>
        <w:rPr>
          <w:rFonts w:ascii="Arial" w:hAnsi="Arial" w:cs="Arial"/>
          <w:color w:val="0D0D0D" w:themeColor="text1" w:themeTint="F2"/>
          <w:lang w:val="es-ES"/>
        </w:rPr>
        <w:t>.</w:t>
      </w:r>
    </w:p>
    <w:p w14:paraId="0F9C6AD9" w14:textId="77777777" w:rsidR="00D37724" w:rsidRDefault="00D37724" w:rsidP="00D37724">
      <w:pPr>
        <w:spacing w:before="120" w:line="276" w:lineRule="auto"/>
        <w:jc w:val="both"/>
        <w:rPr>
          <w:rFonts w:ascii="Arial" w:hAnsi="Arial" w:cs="Arial"/>
          <w:color w:val="0D0D0D" w:themeColor="text1" w:themeTint="F2"/>
          <w:lang w:val="es-ES"/>
        </w:rPr>
      </w:pPr>
      <w:r>
        <w:rPr>
          <w:color w:val="0D0D0D" w:themeColor="text1" w:themeTint="F2"/>
        </w:rPr>
        <w:tab/>
      </w:r>
      <w:r>
        <w:rPr>
          <w:rFonts w:ascii="Arial" w:hAnsi="Arial" w:cs="Arial"/>
          <w:color w:val="0D0D0D" w:themeColor="text1" w:themeTint="F2"/>
          <w:lang w:val="es-ES"/>
        </w:rPr>
        <w:t>La intención era agilizar y dar mayor transparencia a los procedimientos de selección, así como evitar el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Pr>
          <w:vertAlign w:val="superscript"/>
        </w:rPr>
        <w:footnoteReference w:id="3"/>
      </w:r>
      <w:r>
        <w:rPr>
          <w:rFonts w:ascii="Arial" w:hAnsi="Arial" w:cs="Arial"/>
          <w:color w:val="0D0D0D" w:themeColor="text1" w:themeTint="F2"/>
          <w:vertAlign w:val="superscript"/>
          <w:lang w:val="es-ES"/>
        </w:rPr>
        <w:t>.</w:t>
      </w:r>
      <w:r>
        <w:rPr>
          <w:rFonts w:ascii="Arial" w:hAnsi="Arial" w:cs="Arial"/>
          <w:color w:val="0D0D0D" w:themeColor="text1" w:themeTint="F2"/>
          <w:lang w:val="es-ES"/>
        </w:rPr>
        <w:t xml:space="preserve">. Sin embargo, en el texto </w:t>
      </w:r>
      <w:r>
        <w:rPr>
          <w:rFonts w:ascii="Arial" w:hAnsi="Arial" w:cs="Arial"/>
          <w:color w:val="0D0D0D" w:themeColor="text1" w:themeTint="F2"/>
          <w:lang w:val="es-ES"/>
        </w:rPr>
        <w:lastRenderedPageBreak/>
        <w:t>aprobado, los pliegos tipo se limitaron a la adquisición o suministro de bienes de características técnicas uniformes</w:t>
      </w:r>
      <w:r>
        <w:rPr>
          <w:rStyle w:val="Refdenotaalpie"/>
          <w:rFonts w:ascii="Arial" w:hAnsi="Arial" w:cs="Arial"/>
          <w:color w:val="0D0D0D" w:themeColor="text1" w:themeTint="F2"/>
          <w:sz w:val="21"/>
          <w:szCs w:val="21"/>
          <w:lang w:val="es-ES"/>
        </w:rPr>
        <w:footnoteReference w:id="4"/>
      </w:r>
      <w:r>
        <w:rPr>
          <w:rFonts w:ascii="Arial" w:hAnsi="Arial" w:cs="Arial"/>
          <w:color w:val="0D0D0D" w:themeColor="text1" w:themeTint="F2"/>
          <w:sz w:val="21"/>
          <w:szCs w:val="21"/>
          <w:lang w:val="es-ES"/>
        </w:rPr>
        <w:t>.</w:t>
      </w:r>
      <w:bookmarkEnd w:id="4"/>
    </w:p>
    <w:p w14:paraId="7EBBB882" w14:textId="77777777" w:rsidR="00D37724" w:rsidRDefault="00D37724" w:rsidP="00677230">
      <w:pPr>
        <w:spacing w:before="120" w:after="0" w:line="276" w:lineRule="auto"/>
        <w:ind w:firstLine="709"/>
        <w:jc w:val="both"/>
        <w:rPr>
          <w:rFonts w:ascii="Arial" w:hAnsi="Arial" w:cs="Arial"/>
          <w:color w:val="0D0D0D" w:themeColor="text1" w:themeTint="F2"/>
        </w:rPr>
      </w:pPr>
      <w:r>
        <w:rPr>
          <w:rFonts w:ascii="Arial" w:hAnsi="Arial" w:cs="Arial"/>
          <w:color w:val="0D0D0D" w:themeColor="text1" w:themeTint="F2"/>
        </w:rPr>
        <w:t xml:space="preserve">Posteriormente, el artículo 2, parágrafo 7º, de la Ley 1150 de 2007, adicionado por el artículo 4 de la Ley 1882 de 2018, establece la obligatoriedad de la adopción de documentos tipo para algunos contratos, en los siguientes términos: </w:t>
      </w:r>
    </w:p>
    <w:p w14:paraId="02A23D7B" w14:textId="77777777" w:rsidR="00D37724" w:rsidRDefault="00D37724" w:rsidP="00677230">
      <w:pPr>
        <w:spacing w:after="0"/>
        <w:ind w:firstLine="709"/>
        <w:jc w:val="both"/>
        <w:rPr>
          <w:rFonts w:ascii="Arial" w:hAnsi="Arial" w:cs="Arial"/>
          <w:color w:val="0D0D0D" w:themeColor="text1" w:themeTint="F2"/>
        </w:rPr>
      </w:pPr>
    </w:p>
    <w:p w14:paraId="251D3AAD" w14:textId="77777777" w:rsidR="00D37724" w:rsidRDefault="00D37724" w:rsidP="00677230">
      <w:pPr>
        <w:spacing w:after="0" w:line="240" w:lineRule="auto"/>
        <w:ind w:left="709" w:right="709"/>
        <w:jc w:val="both"/>
        <w:rPr>
          <w:rFonts w:ascii="Arial" w:hAnsi="Arial" w:cs="Arial"/>
          <w:color w:val="0D0D0D" w:themeColor="text1" w:themeTint="F2"/>
          <w:sz w:val="21"/>
          <w:szCs w:val="21"/>
        </w:rPr>
      </w:pPr>
      <w:r>
        <w:rPr>
          <w:rFonts w:ascii="Arial" w:hAnsi="Arial" w:cs="Arial"/>
          <w:color w:val="0D0D0D" w:themeColor="text1" w:themeTint="F2"/>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Pr>
          <w:rFonts w:ascii="Arial" w:hAnsi="Arial" w:cs="Arial"/>
          <w:i/>
          <w:iCs/>
          <w:color w:val="0D0D0D" w:themeColor="text1" w:themeTint="F2"/>
          <w:sz w:val="21"/>
          <w:szCs w:val="21"/>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Pr>
          <w:rFonts w:ascii="Arial" w:hAnsi="Arial" w:cs="Arial"/>
          <w:color w:val="0D0D0D" w:themeColor="text1" w:themeTint="F2"/>
          <w:sz w:val="21"/>
          <w:szCs w:val="21"/>
        </w:rPr>
        <w:t xml:space="preserve"> […] </w:t>
      </w:r>
      <w:r>
        <w:rPr>
          <w:rFonts w:ascii="Arial" w:hAnsi="Arial" w:cs="Arial"/>
          <w:i/>
          <w:iCs/>
          <w:color w:val="0D0D0D" w:themeColor="text1" w:themeTint="F2"/>
          <w:sz w:val="21"/>
          <w:szCs w:val="21"/>
        </w:rPr>
        <w:t>teniendo en cuenta la naturaleza y cuantía de los contratos</w:t>
      </w:r>
      <w:r>
        <w:rPr>
          <w:rFonts w:ascii="Arial" w:hAnsi="Arial" w:cs="Arial"/>
          <w:color w:val="0D0D0D" w:themeColor="text1" w:themeTint="F2"/>
          <w:sz w:val="21"/>
          <w:szCs w:val="21"/>
        </w:rPr>
        <w:t xml:space="preserve"> […]. (Énfasis fuera de texto)</w:t>
      </w:r>
    </w:p>
    <w:p w14:paraId="6D60D205" w14:textId="77777777" w:rsidR="00D37724" w:rsidRDefault="00D37724" w:rsidP="00677230">
      <w:pPr>
        <w:spacing w:after="0"/>
        <w:jc w:val="both"/>
        <w:rPr>
          <w:rFonts w:ascii="Arial" w:hAnsi="Arial" w:cs="Arial"/>
          <w:color w:val="0D0D0D" w:themeColor="text1" w:themeTint="F2"/>
        </w:rPr>
      </w:pPr>
    </w:p>
    <w:p w14:paraId="3665EC20" w14:textId="77777777" w:rsidR="00D37724" w:rsidRDefault="00D37724" w:rsidP="00D37724">
      <w:pPr>
        <w:spacing w:line="276" w:lineRule="auto"/>
        <w:ind w:firstLine="708"/>
        <w:jc w:val="both"/>
        <w:rPr>
          <w:rFonts w:ascii="Arial" w:hAnsi="Arial" w:cs="Arial"/>
          <w:color w:val="0D0D0D" w:themeColor="text1" w:themeTint="F2"/>
        </w:rPr>
      </w:pPr>
      <w:bookmarkStart w:id="5" w:name="_Hlk49775787"/>
      <w:r>
        <w:rPr>
          <w:rFonts w:ascii="Arial" w:hAnsi="Arial" w:cs="Arial"/>
          <w:color w:val="0D0D0D" w:themeColor="text1" w:themeTint="F2"/>
        </w:rPr>
        <w:t xml:space="preserve">Sin embargo, el 22 de julio de 2020, el Gobierno Nacional sancionó la Ley 2022, llamada la «ley de pliegos tipo», que rige a partir de su publicación y cuyo artículo 1 modifica el artículo 4 de la Ley 1882 de 2018 en relación con: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Pr>
          <w:rFonts w:ascii="Arial" w:hAnsi="Arial" w:cs="Arial"/>
          <w:color w:val="0D0D0D" w:themeColor="text1" w:themeTint="F2"/>
        </w:rPr>
        <w:t>ii</w:t>
      </w:r>
      <w:proofErr w:type="spellEnd"/>
      <w:r>
        <w:rPr>
          <w:rFonts w:ascii="Arial" w:hAnsi="Arial" w:cs="Arial"/>
          <w:color w:val="0D0D0D" w:themeColor="text1" w:themeTint="F2"/>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Pr>
          <w:rFonts w:ascii="Arial" w:hAnsi="Arial" w:cs="Arial"/>
          <w:color w:val="0D0D0D" w:themeColor="text1" w:themeTint="F2"/>
        </w:rPr>
        <w:t>iii</w:t>
      </w:r>
      <w:proofErr w:type="spellEnd"/>
      <w:r>
        <w:rPr>
          <w:rFonts w:ascii="Arial" w:hAnsi="Arial" w:cs="Arial"/>
          <w:color w:val="0D0D0D" w:themeColor="text1" w:themeTint="F2"/>
        </w:rPr>
        <w:t xml:space="preserve">) la implementación de procesos de capacitación en los municipios para la utilización de los documentos tipo buscando el desarrollo de la economía local; y </w:t>
      </w:r>
      <w:proofErr w:type="spellStart"/>
      <w:r>
        <w:rPr>
          <w:rFonts w:ascii="Arial" w:hAnsi="Arial" w:cs="Arial"/>
          <w:color w:val="0D0D0D" w:themeColor="text1" w:themeTint="F2"/>
        </w:rPr>
        <w:t>iv</w:t>
      </w:r>
      <w:proofErr w:type="spellEnd"/>
      <w:r>
        <w:rPr>
          <w:rFonts w:ascii="Arial" w:hAnsi="Arial" w:cs="Arial"/>
          <w:color w:val="0D0D0D" w:themeColor="text1" w:themeTint="F2"/>
        </w:rPr>
        <w:t>) la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bookmarkEnd w:id="5"/>
      <w:r>
        <w:rPr>
          <w:rStyle w:val="Refdenotaalpie"/>
          <w:rFonts w:ascii="Arial" w:hAnsi="Arial" w:cs="Arial"/>
          <w:color w:val="0D0D0D" w:themeColor="text1" w:themeTint="F2"/>
        </w:rPr>
        <w:footnoteReference w:id="5"/>
      </w:r>
      <w:r>
        <w:rPr>
          <w:rFonts w:ascii="Arial" w:hAnsi="Arial" w:cs="Arial"/>
          <w:color w:val="0D0D0D" w:themeColor="text1" w:themeTint="F2"/>
        </w:rPr>
        <w:t xml:space="preserve">. </w:t>
      </w:r>
    </w:p>
    <w:p w14:paraId="6A0F8F42" w14:textId="7E734EF3" w:rsidR="0083188D" w:rsidRPr="00046613" w:rsidRDefault="00D37724" w:rsidP="00677230">
      <w:pPr>
        <w:spacing w:line="276" w:lineRule="auto"/>
        <w:ind w:firstLine="705"/>
        <w:jc w:val="both"/>
        <w:rPr>
          <w:rFonts w:ascii="Arial" w:hAnsi="Arial" w:cs="Arial"/>
        </w:rPr>
      </w:pPr>
      <w:r>
        <w:rPr>
          <w:rFonts w:ascii="Arial" w:hAnsi="Arial" w:cs="Arial"/>
          <w:color w:val="0D0D0D" w:themeColor="text1" w:themeTint="F2"/>
          <w:lang w:val="es-ES"/>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w:t>
      </w:r>
    </w:p>
    <w:p w14:paraId="1A2D2DD9" w14:textId="09727B11" w:rsidR="009070D3" w:rsidRPr="00345A46" w:rsidRDefault="00D37724" w:rsidP="009070D3">
      <w:pPr>
        <w:spacing w:before="120" w:after="120" w:line="276" w:lineRule="auto"/>
        <w:ind w:firstLine="705"/>
        <w:jc w:val="both"/>
        <w:rPr>
          <w:rFonts w:ascii="Arial" w:hAnsi="Arial" w:cs="Arial"/>
          <w:color w:val="0D0D0D" w:themeColor="text1" w:themeTint="F2"/>
          <w:lang w:val="es-ES"/>
        </w:rPr>
      </w:pPr>
      <w:r w:rsidRPr="00D37724">
        <w:t xml:space="preserve"> </w:t>
      </w:r>
      <w:r w:rsidRPr="00D37724">
        <w:rPr>
          <w:rFonts w:ascii="Arial" w:hAnsi="Arial" w:cs="Arial"/>
        </w:rPr>
        <w:t>En ejercicio de la competencia conferida por el citado parágrafo</w:t>
      </w:r>
      <w:r w:rsidR="0083188D" w:rsidRPr="00046613">
        <w:rPr>
          <w:rFonts w:ascii="Arial" w:hAnsi="Arial" w:cs="Arial"/>
        </w:rPr>
        <w:t>, el Gobierno Nacional adop</w:t>
      </w:r>
      <w:r w:rsidR="0083188D" w:rsidRPr="00046613">
        <w:rPr>
          <w:rFonts w:ascii="Arial" w:hAnsi="Arial" w:cs="Arial"/>
          <w:shd w:val="clear" w:color="auto" w:fill="FFFFFF"/>
        </w:rPr>
        <w:t xml:space="preserve">tó los </w:t>
      </w:r>
      <w:r w:rsidR="00391575" w:rsidRPr="00046613">
        <w:rPr>
          <w:rFonts w:ascii="Arial" w:hAnsi="Arial" w:cs="Arial"/>
          <w:shd w:val="clear" w:color="auto" w:fill="FFFFFF"/>
        </w:rPr>
        <w:t>documentos tipo</w:t>
      </w:r>
      <w:r w:rsidR="0083188D" w:rsidRPr="00046613">
        <w:rPr>
          <w:rFonts w:ascii="Arial" w:hAnsi="Arial" w:cs="Arial"/>
          <w:shd w:val="clear" w:color="auto" w:fill="FFFFFF"/>
        </w:rPr>
        <w:t xml:space="preserve"> para los </w:t>
      </w:r>
      <w:r w:rsidR="00391575">
        <w:rPr>
          <w:rFonts w:ascii="Arial" w:hAnsi="Arial" w:cs="Arial"/>
          <w:shd w:val="clear" w:color="auto" w:fill="FFFFFF"/>
        </w:rPr>
        <w:t>procedimientos</w:t>
      </w:r>
      <w:r w:rsidR="0083188D" w:rsidRPr="00046613">
        <w:rPr>
          <w:rFonts w:ascii="Arial" w:hAnsi="Arial" w:cs="Arial"/>
          <w:shd w:val="clear" w:color="auto" w:fill="FFFFFF"/>
        </w:rPr>
        <w:t xml:space="preserve"> de licitación de obra pública de infraestructura de transporte mediante la expedición del Decreto 342 de 2018, el cual adicion</w:t>
      </w:r>
      <w:r w:rsidR="0083188D">
        <w:rPr>
          <w:rFonts w:ascii="Arial" w:hAnsi="Arial" w:cs="Arial"/>
          <w:shd w:val="clear" w:color="auto" w:fill="FFFFFF"/>
        </w:rPr>
        <w:t>ó</w:t>
      </w:r>
      <w:r w:rsidR="0083188D" w:rsidRPr="00046613">
        <w:rPr>
          <w:rFonts w:ascii="Arial" w:hAnsi="Arial" w:cs="Arial"/>
          <w:shd w:val="clear" w:color="auto" w:fill="FFFFFF"/>
        </w:rPr>
        <w:t xml:space="preserve"> al Decreto 1082 de 2015</w:t>
      </w:r>
      <w:r w:rsidR="009070D3" w:rsidRPr="00345A46">
        <w:rPr>
          <w:rFonts w:ascii="Arial" w:hAnsi="Arial" w:cs="Arial"/>
          <w:color w:val="0D0D0D" w:themeColor="text1" w:themeTint="F2"/>
          <w:lang w:val="es-ES"/>
        </w:rPr>
        <w:t xml:space="preserve">. </w:t>
      </w:r>
    </w:p>
    <w:p w14:paraId="5244A10B" w14:textId="77777777" w:rsidR="009070D3" w:rsidRPr="00345A46" w:rsidRDefault="009070D3" w:rsidP="009070D3">
      <w:pPr>
        <w:spacing w:before="120" w:after="120" w:line="276" w:lineRule="auto"/>
        <w:ind w:firstLine="705"/>
        <w:jc w:val="both"/>
        <w:rPr>
          <w:color w:val="0D0D0D" w:themeColor="text1" w:themeTint="F2"/>
        </w:rPr>
      </w:pPr>
      <w:r w:rsidRPr="00345A46">
        <w:rPr>
          <w:rFonts w:ascii="Arial" w:hAnsi="Arial" w:cs="Arial"/>
          <w:color w:val="0D0D0D" w:themeColor="text1" w:themeTint="F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w:t>
      </w:r>
      <w:r w:rsidRPr="00345A46">
        <w:rPr>
          <w:color w:val="0D0D0D" w:themeColor="text1" w:themeTint="F2"/>
          <w:lang w:val="es-ES"/>
        </w:rPr>
        <w:t xml:space="preserve"> </w:t>
      </w:r>
    </w:p>
    <w:p w14:paraId="2DE2FA37" w14:textId="07E7FBC5" w:rsidR="009070D3" w:rsidRPr="00345A46" w:rsidRDefault="009070D3" w:rsidP="009070D3">
      <w:pPr>
        <w:spacing w:before="120" w:after="120" w:line="276" w:lineRule="auto"/>
        <w:ind w:firstLine="705"/>
        <w:jc w:val="both"/>
        <w:rPr>
          <w:rFonts w:ascii="Arial" w:hAnsi="Arial" w:cs="Arial"/>
          <w:color w:val="0D0D0D" w:themeColor="text1" w:themeTint="F2"/>
          <w:lang w:val="es-ES"/>
        </w:rPr>
      </w:pPr>
      <w:r w:rsidRPr="00345A46">
        <w:rPr>
          <w:rFonts w:ascii="Arial" w:hAnsi="Arial" w:cs="Arial"/>
          <w:color w:val="0D0D0D" w:themeColor="text1" w:themeTint="F2"/>
          <w:lang w:val="es-ES"/>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Esto tuvo lugar con la expedición de la Resolución No. 1798 del 1º de abril de 2019 que implementó la </w:t>
      </w:r>
      <w:r w:rsidR="004463EA">
        <w:rPr>
          <w:rFonts w:ascii="Arial" w:hAnsi="Arial" w:cs="Arial"/>
          <w:color w:val="0D0D0D" w:themeColor="text1" w:themeTint="F2"/>
          <w:lang w:val="es-ES"/>
        </w:rPr>
        <w:t>primera versión</w:t>
      </w:r>
      <w:r w:rsidRPr="00345A46">
        <w:rPr>
          <w:rFonts w:ascii="Arial" w:hAnsi="Arial" w:cs="Arial"/>
          <w:color w:val="0D0D0D" w:themeColor="text1" w:themeTint="F2"/>
          <w:lang w:val="es-ES"/>
        </w:rPr>
        <w:t xml:space="preserve"> de los documentos tipo para procesos de licitación de obra pública de infraestructura de transporte.</w:t>
      </w:r>
    </w:p>
    <w:p w14:paraId="77A5D3F0" w14:textId="69B257B5" w:rsidR="009070D3" w:rsidRDefault="009070D3" w:rsidP="009070D3">
      <w:pPr>
        <w:spacing w:before="120" w:after="120" w:line="276" w:lineRule="auto"/>
        <w:jc w:val="both"/>
        <w:rPr>
          <w:rFonts w:ascii="Arial" w:hAnsi="Arial" w:cs="Arial"/>
          <w:color w:val="0D0D0D" w:themeColor="text1" w:themeTint="F2"/>
        </w:rPr>
      </w:pPr>
      <w:r w:rsidRPr="00345A46">
        <w:rPr>
          <w:rFonts w:ascii="Arial" w:hAnsi="Arial" w:cs="Arial"/>
          <w:color w:val="0D0D0D" w:themeColor="text1" w:themeTint="F2"/>
          <w:lang w:val="es-ES"/>
        </w:rPr>
        <w:tab/>
        <w:t xml:space="preserve">La Agencia Nacional de Contratación Pública – Colombia Compra Eficiente luego de identificar, junto con el Departamento Nacional de Planeación y el Ministerio de Transporte, la necesidad de actualizar los documentos tipo para los procesos de licitación pública en orden de </w:t>
      </w:r>
      <w:r w:rsidRPr="00345A46">
        <w:rPr>
          <w:rFonts w:ascii="Arial" w:hAnsi="Arial" w:cs="Arial"/>
          <w:color w:val="0D0D0D" w:themeColor="text1" w:themeTint="F2"/>
        </w:rPr>
        <w:t xml:space="preserve">fortalecerlos y adaptarlos a la realidad de la contratación del país, implementó la </w:t>
      </w:r>
      <w:r w:rsidR="004463EA">
        <w:rPr>
          <w:rFonts w:ascii="Arial" w:hAnsi="Arial" w:cs="Arial"/>
          <w:color w:val="0D0D0D" w:themeColor="text1" w:themeTint="F2"/>
        </w:rPr>
        <w:t>segunda versión</w:t>
      </w:r>
      <w:r w:rsidRPr="00345A46">
        <w:rPr>
          <w:rFonts w:ascii="Arial" w:hAnsi="Arial" w:cs="Arial"/>
          <w:color w:val="0D0D0D" w:themeColor="text1" w:themeTint="F2"/>
        </w:rPr>
        <w:t xml:space="preserve">. De esta manera expidió la Resolución No. 045 del 14 de </w:t>
      </w:r>
      <w:r w:rsidRPr="00345A46">
        <w:rPr>
          <w:rFonts w:ascii="Arial" w:hAnsi="Arial" w:cs="Arial"/>
          <w:color w:val="0D0D0D" w:themeColor="text1" w:themeTint="F2"/>
        </w:rPr>
        <w:lastRenderedPageBreak/>
        <w:t xml:space="preserve">febrero de 2020, «Por la cual se actualizan los Documentos Tipo para los procesos de selección de licitación de obra pública de infraestructura de transporte y se deroga la Resolución 1798 de 2019». </w:t>
      </w:r>
    </w:p>
    <w:p w14:paraId="7ECCB32D" w14:textId="36099B74" w:rsidR="004463EA" w:rsidRPr="00345A46" w:rsidRDefault="004463EA" w:rsidP="00FB4E4D">
      <w:pPr>
        <w:spacing w:before="120" w:after="120" w:line="276" w:lineRule="auto"/>
        <w:jc w:val="both"/>
        <w:rPr>
          <w:rFonts w:ascii="Arial" w:hAnsi="Arial" w:cs="Arial"/>
          <w:color w:val="0D0D0D" w:themeColor="text1" w:themeTint="F2"/>
        </w:rPr>
      </w:pPr>
      <w:r>
        <w:rPr>
          <w:rFonts w:ascii="Arial" w:hAnsi="Arial" w:cs="Arial"/>
          <w:color w:val="0D0D0D" w:themeColor="text1" w:themeTint="F2"/>
        </w:rPr>
        <w:tab/>
        <w:t xml:space="preserve">En todo caso, es relevante anotar que –con fundamento en la competencia atribuida en la Ley 2022 de 2020– la Agencia actualizó nuevamente los documentos tipo de licitación, implementando la tercera versión. Para estos efectos, expidió la Resolución </w:t>
      </w:r>
      <w:r w:rsidR="00FB4E4D">
        <w:rPr>
          <w:rFonts w:ascii="Arial" w:hAnsi="Arial" w:cs="Arial"/>
          <w:color w:val="0D0D0D" w:themeColor="text1" w:themeTint="F2"/>
        </w:rPr>
        <w:t>240 del 27 de noviembre de 2020, «</w:t>
      </w:r>
      <w:r w:rsidR="00FB4E4D" w:rsidRPr="00FB4E4D">
        <w:rPr>
          <w:rFonts w:ascii="Arial" w:hAnsi="Arial" w:cs="Arial"/>
          <w:color w:val="0D0D0D" w:themeColor="text1" w:themeTint="F2"/>
        </w:rPr>
        <w:t>Por la cual se actualizan los Documentos Tipo para los procesos de selección de licitación de obra pública de</w:t>
      </w:r>
      <w:r w:rsidR="00FB4E4D">
        <w:rPr>
          <w:rFonts w:ascii="Arial" w:hAnsi="Arial" w:cs="Arial"/>
          <w:color w:val="0D0D0D" w:themeColor="text1" w:themeTint="F2"/>
        </w:rPr>
        <w:t xml:space="preserve"> </w:t>
      </w:r>
      <w:r w:rsidR="00FB4E4D" w:rsidRPr="00FB4E4D">
        <w:rPr>
          <w:rFonts w:ascii="Arial" w:hAnsi="Arial" w:cs="Arial"/>
          <w:color w:val="0D0D0D" w:themeColor="text1" w:themeTint="F2"/>
        </w:rPr>
        <w:t>infraestructura de transporte y se deroga la Resolución 0045 de 2020</w:t>
      </w:r>
      <w:r w:rsidR="00132535">
        <w:rPr>
          <w:rFonts w:ascii="Arial" w:hAnsi="Arial" w:cs="Arial"/>
          <w:color w:val="0D0D0D" w:themeColor="text1" w:themeTint="F2"/>
        </w:rPr>
        <w:t xml:space="preserve">», </w:t>
      </w:r>
      <w:r w:rsidR="00AF316C">
        <w:rPr>
          <w:rFonts w:ascii="Arial" w:hAnsi="Arial" w:cs="Arial"/>
          <w:color w:val="0D0D0D" w:themeColor="text1" w:themeTint="F2"/>
        </w:rPr>
        <w:t>los cuales son</w:t>
      </w:r>
      <w:r w:rsidR="00132535">
        <w:rPr>
          <w:rFonts w:ascii="Arial" w:hAnsi="Arial" w:cs="Arial"/>
          <w:color w:val="0D0D0D" w:themeColor="text1" w:themeTint="F2"/>
        </w:rPr>
        <w:t xml:space="preserve"> obligatorio</w:t>
      </w:r>
      <w:r w:rsidR="00AF316C">
        <w:rPr>
          <w:rFonts w:ascii="Arial" w:hAnsi="Arial" w:cs="Arial"/>
          <w:color w:val="0D0D0D" w:themeColor="text1" w:themeTint="F2"/>
        </w:rPr>
        <w:t>s</w:t>
      </w:r>
      <w:r w:rsidR="00132535">
        <w:rPr>
          <w:rFonts w:ascii="Arial" w:hAnsi="Arial" w:cs="Arial"/>
          <w:color w:val="0D0D0D" w:themeColor="text1" w:themeTint="F2"/>
        </w:rPr>
        <w:t xml:space="preserve"> para los procedimientos de selección cuyos avisos de convocatoria se publiquen a partir del 1 de enero de 2021.</w:t>
      </w:r>
      <w:r>
        <w:rPr>
          <w:rFonts w:ascii="Arial" w:hAnsi="Arial" w:cs="Arial"/>
          <w:color w:val="0D0D0D" w:themeColor="text1" w:themeTint="F2"/>
        </w:rPr>
        <w:t xml:space="preserve"> </w:t>
      </w:r>
    </w:p>
    <w:p w14:paraId="45910A95" w14:textId="3CEB3C1F" w:rsidR="009949A4" w:rsidRPr="00345A46" w:rsidRDefault="009949A4" w:rsidP="00E3530D">
      <w:pPr>
        <w:spacing w:before="120" w:line="276" w:lineRule="auto"/>
        <w:ind w:firstLine="708"/>
        <w:jc w:val="both"/>
        <w:rPr>
          <w:rFonts w:ascii="Arial" w:hAnsi="Arial" w:cs="Arial"/>
          <w:shd w:val="clear" w:color="auto" w:fill="FFFFFF"/>
        </w:rPr>
      </w:pPr>
      <w:r w:rsidRPr="00345A46">
        <w:rPr>
          <w:rFonts w:ascii="Arial" w:hAnsi="Arial" w:cs="Arial"/>
          <w:shd w:val="clear" w:color="auto" w:fill="FFFFFF"/>
        </w:rPr>
        <w:t xml:space="preserve">Para el procedimiento de licitación pública, el artículo 2.2.1.2.6.1.4 del Decreto 1082 de 2015 dispone la inalterabilidad de los </w:t>
      </w:r>
      <w:r w:rsidR="00AF316C" w:rsidRPr="00345A46">
        <w:rPr>
          <w:rFonts w:ascii="Arial" w:hAnsi="Arial" w:cs="Arial"/>
          <w:shd w:val="clear" w:color="auto" w:fill="FFFFFF"/>
        </w:rPr>
        <w:t>documentos tipo</w:t>
      </w:r>
      <w:r w:rsidRPr="00345A46">
        <w:rPr>
          <w:rFonts w:ascii="Arial" w:hAnsi="Arial" w:cs="Arial"/>
          <w:shd w:val="clear" w:color="auto" w:fill="FFFFFF"/>
        </w:rPr>
        <w:t xml:space="preserve">, la cual consiste en que las entidades estatales no pueden incluir o modificar en los </w:t>
      </w:r>
      <w:r w:rsidRPr="00345A46">
        <w:rPr>
          <w:rFonts w:ascii="Arial" w:hAnsi="Arial" w:cs="Arial"/>
          <w:i/>
          <w:iCs/>
          <w:shd w:val="clear" w:color="auto" w:fill="FFFFFF"/>
        </w:rPr>
        <w:t>Documentos del Proceso</w:t>
      </w:r>
      <w:r w:rsidRPr="00345A46">
        <w:rPr>
          <w:rFonts w:ascii="Arial" w:hAnsi="Arial" w:cs="Arial"/>
          <w:shd w:val="clear" w:color="auto" w:fill="FFFFFF"/>
        </w:rPr>
        <w:t xml:space="preserve"> las condiciones habilitantes, los factores técnicos y económicos de escogencia y los sistemas de ponderación distintos a los señalados en los </w:t>
      </w:r>
      <w:r w:rsidR="00F7357A">
        <w:rPr>
          <w:rFonts w:ascii="Arial" w:hAnsi="Arial" w:cs="Arial"/>
          <w:shd w:val="clear" w:color="auto" w:fill="FFFFFF"/>
        </w:rPr>
        <w:t>mismos</w:t>
      </w:r>
      <w:r w:rsidRPr="00345A46">
        <w:rPr>
          <w:rFonts w:ascii="Arial" w:hAnsi="Arial" w:cs="Arial"/>
          <w:shd w:val="clear" w:color="auto" w:fill="FFFFFF"/>
        </w:rPr>
        <w:t xml:space="preserve">. </w:t>
      </w:r>
      <w:r w:rsidR="00406B09">
        <w:rPr>
          <w:rFonts w:ascii="Arial" w:hAnsi="Arial" w:cs="Arial"/>
          <w:shd w:val="clear" w:color="auto" w:fill="FFFFFF"/>
        </w:rPr>
        <w:t>Lo anterior en la medida que los documentos tipo pretenden precisamente la estandarización de los procedimientos contractuales. Por tanto</w:t>
      </w:r>
      <w:r w:rsidRPr="00345A46">
        <w:rPr>
          <w:rFonts w:ascii="Arial" w:hAnsi="Arial" w:cs="Arial"/>
          <w:shd w:val="clear" w:color="auto" w:fill="FFFFFF"/>
        </w:rPr>
        <w:t>, las condiciones establecidas en los documentos adopt</w:t>
      </w:r>
      <w:r w:rsidR="00F7357A">
        <w:rPr>
          <w:rFonts w:ascii="Arial" w:hAnsi="Arial" w:cs="Arial"/>
          <w:shd w:val="clear" w:color="auto" w:fill="FFFFFF"/>
        </w:rPr>
        <w:t xml:space="preserve">ados </w:t>
      </w:r>
      <w:r w:rsidRPr="00345A46">
        <w:rPr>
          <w:rFonts w:ascii="Arial" w:hAnsi="Arial" w:cs="Arial"/>
          <w:shd w:val="clear" w:color="auto" w:fill="FFFFFF"/>
        </w:rPr>
        <w:t xml:space="preserve">en ejercicio del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72591E05" w14:textId="600D7BC0" w:rsidR="0031180C" w:rsidRPr="00345A46" w:rsidRDefault="000E3BA1" w:rsidP="0031180C">
      <w:pPr>
        <w:spacing w:before="120" w:after="120" w:line="276" w:lineRule="auto"/>
        <w:ind w:firstLine="709"/>
        <w:jc w:val="both"/>
        <w:rPr>
          <w:rFonts w:ascii="Arial" w:eastAsia="Calibri" w:hAnsi="Arial" w:cs="Arial"/>
          <w:bCs/>
          <w:color w:val="000000" w:themeColor="text1"/>
        </w:rPr>
      </w:pPr>
      <w:r>
        <w:rPr>
          <w:rFonts w:ascii="Arial" w:eastAsia="Calibri" w:hAnsi="Arial" w:cs="Arial"/>
          <w:bCs/>
          <w:color w:val="000000" w:themeColor="text1"/>
        </w:rPr>
        <w:t>En</w:t>
      </w:r>
      <w:r w:rsidR="00406B09">
        <w:rPr>
          <w:rFonts w:ascii="Arial" w:eastAsia="Calibri" w:hAnsi="Arial" w:cs="Arial"/>
          <w:bCs/>
          <w:color w:val="000000" w:themeColor="text1"/>
        </w:rPr>
        <w:t xml:space="preserve"> la segunda versión, e</w:t>
      </w:r>
      <w:r w:rsidR="0031180C" w:rsidRPr="00345A46">
        <w:rPr>
          <w:rFonts w:ascii="Arial" w:eastAsia="Calibri" w:hAnsi="Arial" w:cs="Arial"/>
          <w:bCs/>
          <w:color w:val="000000" w:themeColor="text1"/>
        </w:rPr>
        <w:t xml:space="preserve">sta prohibición la ratifica el artículo 2 de la Resolución No. 0045 de 2020, al consagrar la inalterabilidad de los documentos tipo en los siguientes términos: «Las Entidades Estatales no pueden incluir condiciones o modificar las señaladas en los Documentos Tipo, a menos que expresamente se les faculte para hacerlo». </w:t>
      </w:r>
    </w:p>
    <w:p w14:paraId="061866AC" w14:textId="7E49353B" w:rsidR="007C4C9E" w:rsidRPr="00B41612" w:rsidRDefault="00903219" w:rsidP="007C4C9E">
      <w:pPr>
        <w:spacing w:before="120" w:line="276" w:lineRule="auto"/>
        <w:ind w:firstLine="709"/>
        <w:jc w:val="both"/>
        <w:rPr>
          <w:rFonts w:ascii="Arial" w:hAnsi="Arial" w:cs="Arial"/>
        </w:rPr>
      </w:pPr>
      <w:r>
        <w:rPr>
          <w:rFonts w:ascii="Arial" w:hAnsi="Arial" w:cs="Arial"/>
        </w:rPr>
        <w:t>De igual forma</w:t>
      </w:r>
      <w:r w:rsidR="00C900E2">
        <w:rPr>
          <w:rFonts w:ascii="Arial" w:hAnsi="Arial" w:cs="Arial"/>
        </w:rPr>
        <w:t xml:space="preserve">, </w:t>
      </w:r>
      <w:r w:rsidR="00406B09">
        <w:rPr>
          <w:rFonts w:ascii="Arial" w:hAnsi="Arial" w:cs="Arial"/>
        </w:rPr>
        <w:t>cabe</w:t>
      </w:r>
      <w:r w:rsidR="007C4C9E">
        <w:rPr>
          <w:rFonts w:ascii="Arial" w:hAnsi="Arial" w:cs="Arial"/>
        </w:rPr>
        <w:t xml:space="preserve"> resaltar que</w:t>
      </w:r>
      <w:r w:rsidR="007C4C9E" w:rsidRPr="00B41612">
        <w:rPr>
          <w:rFonts w:ascii="Arial" w:hAnsi="Arial" w:cs="Arial"/>
        </w:rPr>
        <w:t xml:space="preserve"> el principio de inalterabilidad de los </w:t>
      </w:r>
      <w:r w:rsidR="00406B09" w:rsidRPr="00B41612">
        <w:rPr>
          <w:rFonts w:ascii="Arial" w:hAnsi="Arial" w:cs="Arial"/>
        </w:rPr>
        <w:t>documentos tipo</w:t>
      </w:r>
      <w:r w:rsidR="007C4C9E" w:rsidRPr="00B41612">
        <w:rPr>
          <w:rFonts w:ascii="Arial" w:hAnsi="Arial" w:cs="Arial"/>
        </w:rPr>
        <w:t xml:space="preserve">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el deber que le asiste es el de tener en cuenta y aplicar los aspectos sustanciales de los </w:t>
      </w:r>
      <w:r w:rsidR="00406B09" w:rsidRPr="00B41612">
        <w:rPr>
          <w:rFonts w:ascii="Arial" w:hAnsi="Arial" w:cs="Arial"/>
        </w:rPr>
        <w:t>documentos tipo</w:t>
      </w:r>
      <w:r w:rsidR="007C4C9E" w:rsidRPr="00B41612">
        <w:rPr>
          <w:rFonts w:ascii="Arial" w:hAnsi="Arial" w:cs="Arial"/>
        </w:rPr>
        <w:t>, sin distingo de la formalidad de la que se sirva</w:t>
      </w:r>
      <w:r w:rsidR="007C4C9E">
        <w:rPr>
          <w:rFonts w:ascii="Arial" w:hAnsi="Arial" w:cs="Arial"/>
        </w:rPr>
        <w:t>n</w:t>
      </w:r>
      <w:r w:rsidR="007C4C9E" w:rsidRPr="00B41612">
        <w:rPr>
          <w:rFonts w:ascii="Arial" w:hAnsi="Arial" w:cs="Arial"/>
        </w:rPr>
        <w:t xml:space="preserve"> para ello los actores del sistema de contratación pública.</w:t>
      </w:r>
    </w:p>
    <w:p w14:paraId="71277D2B" w14:textId="77777777" w:rsidR="007C4C9E" w:rsidRPr="00B41612" w:rsidRDefault="007C4C9E" w:rsidP="007C4C9E">
      <w:pPr>
        <w:spacing w:before="120" w:line="276" w:lineRule="auto"/>
        <w:ind w:firstLine="709"/>
        <w:jc w:val="both"/>
        <w:rPr>
          <w:rFonts w:ascii="Arial" w:hAnsi="Arial" w:cs="Arial"/>
        </w:rPr>
      </w:pPr>
      <w:r w:rsidRPr="00B41612">
        <w:rPr>
          <w:rFonts w:ascii="Arial" w:hAnsi="Arial" w:cs="Arial"/>
        </w:rPr>
        <w:t xml:space="preserve">En relación con el principio constitucional </w:t>
      </w:r>
      <w:r w:rsidRPr="00B41612">
        <w:rPr>
          <w:rFonts w:ascii="Arial" w:hAnsi="Arial" w:cs="Arial"/>
          <w:i/>
          <w:iCs/>
        </w:rPr>
        <w:t>sub examine</w:t>
      </w:r>
      <w:r w:rsidRPr="00B41612">
        <w:rPr>
          <w:rFonts w:ascii="Arial" w:hAnsi="Arial" w:cs="Arial"/>
        </w:rPr>
        <w:t>, la Corte Constitucional ha señalado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B41612">
        <w:rPr>
          <w:rStyle w:val="Refdenotaalpie"/>
          <w:rFonts w:ascii="Arial" w:hAnsi="Arial" w:cs="Arial"/>
        </w:rPr>
        <w:footnoteReference w:id="6"/>
      </w:r>
      <w:r w:rsidRPr="00B41612">
        <w:rPr>
          <w:rFonts w:ascii="Arial" w:hAnsi="Arial" w:cs="Arial"/>
        </w:rPr>
        <w:t xml:space="preserve">. Ese fue el sentido que </w:t>
      </w:r>
      <w:r w:rsidRPr="00B41612">
        <w:rPr>
          <w:rFonts w:ascii="Arial" w:hAnsi="Arial" w:cs="Arial"/>
        </w:rPr>
        <w:lastRenderedPageBreak/>
        <w:t>inspiró la Sentencia C-029 de 1995, mediante la</w:t>
      </w:r>
      <w:r>
        <w:rPr>
          <w:rFonts w:ascii="Arial" w:hAnsi="Arial" w:cs="Arial"/>
        </w:rPr>
        <w:t xml:space="preserve"> cual la Corte Constitucional</w:t>
      </w:r>
      <w:r w:rsidRPr="00B41612">
        <w:rPr>
          <w:rFonts w:ascii="Arial" w:hAnsi="Arial" w:cs="Arial"/>
        </w:rPr>
        <w:t xml:space="preserve">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12F9CCAA" w14:textId="48F0F814" w:rsidR="007C4C9E" w:rsidRDefault="007C4C9E" w:rsidP="00706ABA">
      <w:pPr>
        <w:spacing w:after="0" w:line="276" w:lineRule="auto"/>
        <w:ind w:firstLine="709"/>
        <w:jc w:val="both"/>
        <w:rPr>
          <w:rFonts w:ascii="Arial" w:hAnsi="Arial" w:cs="Arial"/>
        </w:rPr>
      </w:pPr>
      <w:r>
        <w:rPr>
          <w:rFonts w:ascii="Arial" w:hAnsi="Arial" w:cs="Arial"/>
        </w:rPr>
        <w:t>De acuerdo con lo anterior, e</w:t>
      </w:r>
      <w:r w:rsidRPr="00B41612">
        <w:rPr>
          <w:rFonts w:ascii="Arial" w:hAnsi="Arial" w:cs="Arial"/>
        </w:rPr>
        <w:t xml:space="preserve">l carácter inalterable de los </w:t>
      </w:r>
      <w:r w:rsidR="00406B09" w:rsidRPr="00B41612">
        <w:rPr>
          <w:rFonts w:ascii="Arial" w:hAnsi="Arial" w:cs="Arial"/>
        </w:rPr>
        <w:t>documentos tipo</w:t>
      </w:r>
      <w:r w:rsidRPr="00B41612">
        <w:rPr>
          <w:rFonts w:ascii="Arial" w:hAnsi="Arial" w:cs="Arial"/>
        </w:rPr>
        <w:t xml:space="preserve"> no puede</w:t>
      </w:r>
      <w:r>
        <w:rPr>
          <w:rFonts w:ascii="Arial" w:hAnsi="Arial" w:cs="Arial"/>
        </w:rPr>
        <w:t xml:space="preserve"> </w:t>
      </w:r>
      <w:r w:rsidRPr="00B41612">
        <w:rPr>
          <w:rFonts w:ascii="Arial" w:hAnsi="Arial" w:cs="Arial"/>
        </w:rPr>
        <w:t xml:space="preserve">hacerse extensivo a los aspectos </w:t>
      </w:r>
      <w:r>
        <w:rPr>
          <w:rFonts w:ascii="Arial" w:hAnsi="Arial" w:cs="Arial"/>
        </w:rPr>
        <w:t>simplemente formales</w:t>
      </w:r>
      <w:r w:rsidRPr="00B41612">
        <w:rPr>
          <w:rFonts w:ascii="Arial" w:hAnsi="Arial" w:cs="Arial"/>
        </w:rPr>
        <w:t xml:space="preserve"> de tales documentos, esto es, el tamaño y tipo de letra, las márgenes o las expresiones que pretenden hacer más comprensible el documento, como es el caso de aquellas que informan que una expresión larga será referida con otra similar pero más corta. </w:t>
      </w:r>
      <w:r>
        <w:rPr>
          <w:rFonts w:ascii="Arial" w:hAnsi="Arial" w:cs="Arial"/>
        </w:rPr>
        <w:t>Lo anterior teniendo en cuenta que</w:t>
      </w:r>
      <w:r w:rsidRPr="00B41612">
        <w:rPr>
          <w:rFonts w:ascii="Arial" w:hAnsi="Arial" w:cs="Arial"/>
        </w:rPr>
        <w:t xml:space="preserve"> estos aspectos en nada afectan la aplicación y alcance de los </w:t>
      </w:r>
      <w:r w:rsidR="00406B09" w:rsidRPr="00B41612">
        <w:rPr>
          <w:rFonts w:ascii="Arial" w:hAnsi="Arial" w:cs="Arial"/>
        </w:rPr>
        <w:t>documentos tipo</w:t>
      </w:r>
      <w:r>
        <w:rPr>
          <w:rFonts w:ascii="Arial" w:hAnsi="Arial" w:cs="Arial"/>
        </w:rPr>
        <w:t xml:space="preserve">, esto es, </w:t>
      </w:r>
      <w:r w:rsidRPr="00B41612">
        <w:rPr>
          <w:rFonts w:ascii="Arial" w:hAnsi="Arial" w:cs="Arial"/>
        </w:rPr>
        <w:t>no afectan su contenido esencial y, mucho menos, las obligaciones, deberes y derechos que se derivan para las partes contratantes.</w:t>
      </w:r>
    </w:p>
    <w:p w14:paraId="0BE48BC7" w14:textId="59D3169A" w:rsidR="00706ABA" w:rsidRDefault="00706ABA" w:rsidP="00706ABA">
      <w:pPr>
        <w:spacing w:after="0" w:line="276" w:lineRule="auto"/>
        <w:jc w:val="both"/>
        <w:rPr>
          <w:rFonts w:ascii="Arial" w:hAnsi="Arial" w:cs="Arial"/>
        </w:rPr>
      </w:pPr>
    </w:p>
    <w:p w14:paraId="1216EC76" w14:textId="65038E36" w:rsidR="00706ABA" w:rsidRPr="001B33DC" w:rsidRDefault="001B33DC" w:rsidP="0091591E">
      <w:pPr>
        <w:spacing w:after="0"/>
        <w:jc w:val="both"/>
        <w:rPr>
          <w:rFonts w:ascii="Arial" w:hAnsi="Arial" w:cs="Arial"/>
          <w:b/>
          <w:bCs/>
        </w:rPr>
      </w:pPr>
      <w:r w:rsidRPr="001B33DC">
        <w:rPr>
          <w:rFonts w:ascii="Arial" w:hAnsi="Arial" w:cs="Arial"/>
          <w:b/>
          <w:bCs/>
        </w:rPr>
        <w:t>2.2</w:t>
      </w:r>
      <w:r w:rsidR="008B4D4D">
        <w:rPr>
          <w:rFonts w:ascii="Arial" w:hAnsi="Arial" w:cs="Arial"/>
          <w:b/>
          <w:bCs/>
        </w:rPr>
        <w:t>.</w:t>
      </w:r>
      <w:r w:rsidRPr="001B33DC">
        <w:rPr>
          <w:rFonts w:ascii="Arial" w:hAnsi="Arial" w:cs="Arial"/>
          <w:b/>
          <w:bCs/>
        </w:rPr>
        <w:t xml:space="preserve"> </w:t>
      </w:r>
      <w:r w:rsidR="00706ABA" w:rsidRPr="001B33DC">
        <w:rPr>
          <w:rFonts w:ascii="Arial" w:hAnsi="Arial" w:cs="Arial"/>
          <w:b/>
          <w:bCs/>
        </w:rPr>
        <w:t xml:space="preserve">Inalterabilidad del </w:t>
      </w:r>
      <w:r w:rsidR="008B4D4D">
        <w:rPr>
          <w:rFonts w:ascii="Arial" w:hAnsi="Arial" w:cs="Arial"/>
          <w:b/>
          <w:bCs/>
        </w:rPr>
        <w:t>«</w:t>
      </w:r>
      <w:r w:rsidR="00706ABA" w:rsidRPr="001B33DC">
        <w:rPr>
          <w:rFonts w:ascii="Arial" w:hAnsi="Arial" w:cs="Arial"/>
          <w:b/>
          <w:bCs/>
        </w:rPr>
        <w:t>Anexo 3</w:t>
      </w:r>
      <w:r w:rsidR="008B4D4D">
        <w:rPr>
          <w:rFonts w:ascii="Arial" w:hAnsi="Arial" w:cs="Arial"/>
          <w:b/>
          <w:bCs/>
        </w:rPr>
        <w:t xml:space="preserve"> – </w:t>
      </w:r>
      <w:r w:rsidR="00706ABA" w:rsidRPr="001B33DC">
        <w:rPr>
          <w:rFonts w:ascii="Arial" w:hAnsi="Arial" w:cs="Arial"/>
          <w:b/>
          <w:bCs/>
        </w:rPr>
        <w:t>Glosario</w:t>
      </w:r>
      <w:r w:rsidR="008B4D4D">
        <w:rPr>
          <w:rFonts w:ascii="Arial" w:hAnsi="Arial" w:cs="Arial"/>
          <w:b/>
          <w:bCs/>
        </w:rPr>
        <w:t>» en la segunda versión de los documentos tipo de licitación de obra pública de infraestructura de transporte</w:t>
      </w:r>
      <w:r w:rsidR="00706ABA" w:rsidRPr="001B33DC">
        <w:rPr>
          <w:rFonts w:ascii="Arial" w:hAnsi="Arial" w:cs="Arial"/>
          <w:b/>
          <w:bCs/>
        </w:rPr>
        <w:t xml:space="preserve"> </w:t>
      </w:r>
    </w:p>
    <w:p w14:paraId="463DD001" w14:textId="77777777" w:rsidR="00706ABA" w:rsidRPr="00706ABA" w:rsidRDefault="00706ABA" w:rsidP="0091591E">
      <w:pPr>
        <w:pStyle w:val="Prrafodelista"/>
        <w:spacing w:after="0"/>
        <w:ind w:left="0"/>
        <w:jc w:val="both"/>
        <w:rPr>
          <w:rFonts w:ascii="Arial" w:hAnsi="Arial" w:cs="Arial"/>
          <w:b/>
          <w:bCs/>
        </w:rPr>
      </w:pPr>
    </w:p>
    <w:p w14:paraId="627827D0" w14:textId="2A94BCE7" w:rsidR="007E6EE6" w:rsidRDefault="006B463B" w:rsidP="000D77FC">
      <w:pPr>
        <w:spacing w:after="120" w:line="276" w:lineRule="auto"/>
        <w:jc w:val="both"/>
        <w:rPr>
          <w:rFonts w:ascii="Arial" w:eastAsia="Arial" w:hAnsi="Arial" w:cs="Arial"/>
          <w:lang w:eastAsia="es-CO"/>
        </w:rPr>
      </w:pPr>
      <w:r w:rsidRPr="00850883">
        <w:rPr>
          <w:rFonts w:ascii="Arial" w:hAnsi="Arial" w:cs="Arial"/>
          <w:color w:val="000000" w:themeColor="text1"/>
        </w:rPr>
        <w:t xml:space="preserve">Uno de los aspectos regulados en </w:t>
      </w:r>
      <w:r w:rsidRPr="00850883">
        <w:rPr>
          <w:rFonts w:ascii="Arial" w:hAnsi="Arial" w:cs="Arial"/>
        </w:rPr>
        <w:t xml:space="preserve">los </w:t>
      </w:r>
      <w:r w:rsidR="008B4D4D">
        <w:rPr>
          <w:rFonts w:ascii="Arial" w:hAnsi="Arial" w:cs="Arial"/>
        </w:rPr>
        <w:t>«D</w:t>
      </w:r>
      <w:r w:rsidR="008B4D4D" w:rsidRPr="00850883">
        <w:rPr>
          <w:rFonts w:ascii="Arial" w:hAnsi="Arial" w:cs="Arial"/>
        </w:rPr>
        <w:t xml:space="preserve">ocumentos </w:t>
      </w:r>
      <w:r w:rsidR="008B4D4D">
        <w:rPr>
          <w:rFonts w:ascii="Arial" w:hAnsi="Arial" w:cs="Arial"/>
        </w:rPr>
        <w:t>T</w:t>
      </w:r>
      <w:r w:rsidR="008B4D4D" w:rsidRPr="00850883">
        <w:rPr>
          <w:rFonts w:ascii="Arial" w:hAnsi="Arial" w:cs="Arial"/>
        </w:rPr>
        <w:t>ipo</w:t>
      </w:r>
      <w:r w:rsidR="008B4D4D">
        <w:rPr>
          <w:rFonts w:ascii="Arial" w:hAnsi="Arial" w:cs="Arial"/>
        </w:rPr>
        <w:t xml:space="preserve"> – Versión 2»</w:t>
      </w:r>
      <w:r w:rsidRPr="00850883">
        <w:rPr>
          <w:rFonts w:ascii="Arial" w:hAnsi="Arial" w:cs="Arial"/>
        </w:rPr>
        <w:t xml:space="preserve"> </w:t>
      </w:r>
      <w:r w:rsidR="00445E58" w:rsidRPr="00850883">
        <w:rPr>
          <w:rFonts w:ascii="Arial" w:hAnsi="Arial" w:cs="Arial"/>
        </w:rPr>
        <w:t>de licitación de obra pública de infraestructura de transporte</w:t>
      </w:r>
      <w:r w:rsidR="00445E58" w:rsidRPr="00850883">
        <w:rPr>
          <w:rFonts w:ascii="Arial" w:hAnsi="Arial" w:cs="Arial"/>
          <w:color w:val="000000" w:themeColor="text1"/>
        </w:rPr>
        <w:t xml:space="preserve"> </w:t>
      </w:r>
      <w:r w:rsidR="008B4D4D">
        <w:rPr>
          <w:rFonts w:ascii="Arial" w:hAnsi="Arial" w:cs="Arial"/>
          <w:color w:val="000000" w:themeColor="text1"/>
        </w:rPr>
        <w:t>en el que rige</w:t>
      </w:r>
      <w:r w:rsidRPr="00850883">
        <w:rPr>
          <w:rFonts w:ascii="Arial" w:hAnsi="Arial" w:cs="Arial"/>
          <w:color w:val="000000" w:themeColor="text1"/>
        </w:rPr>
        <w:t xml:space="preserve"> el principio de inalterabilidad </w:t>
      </w:r>
      <w:r w:rsidR="008B4D4D">
        <w:rPr>
          <w:rFonts w:ascii="Arial" w:hAnsi="Arial" w:cs="Arial"/>
          <w:color w:val="000000" w:themeColor="text1"/>
        </w:rPr>
        <w:t>se refiere al contenido del</w:t>
      </w:r>
      <w:r w:rsidR="005A033E" w:rsidRPr="00850883">
        <w:rPr>
          <w:rFonts w:ascii="Arial" w:hAnsi="Arial" w:cs="Arial"/>
          <w:color w:val="000000" w:themeColor="text1"/>
        </w:rPr>
        <w:t xml:space="preserve"> </w:t>
      </w:r>
      <w:r w:rsidR="008B4D4D">
        <w:rPr>
          <w:rFonts w:ascii="Arial" w:hAnsi="Arial" w:cs="Arial"/>
          <w:color w:val="000000" w:themeColor="text1"/>
        </w:rPr>
        <w:t>«</w:t>
      </w:r>
      <w:r w:rsidR="005A033E" w:rsidRPr="00850883">
        <w:rPr>
          <w:rFonts w:ascii="Arial" w:hAnsi="Arial" w:cs="Arial"/>
          <w:color w:val="000000" w:themeColor="text1"/>
        </w:rPr>
        <w:t>Anexo 3</w:t>
      </w:r>
      <w:r w:rsidR="008B4D4D">
        <w:rPr>
          <w:rFonts w:ascii="Arial" w:hAnsi="Arial" w:cs="Arial"/>
          <w:color w:val="000000" w:themeColor="text1"/>
        </w:rPr>
        <w:t xml:space="preserve"> –</w:t>
      </w:r>
      <w:r w:rsidR="005A033E" w:rsidRPr="00850883">
        <w:rPr>
          <w:rFonts w:ascii="Arial" w:hAnsi="Arial" w:cs="Arial"/>
          <w:color w:val="000000" w:themeColor="text1"/>
        </w:rPr>
        <w:t xml:space="preserve"> Glosario</w:t>
      </w:r>
      <w:r w:rsidR="008B4D4D">
        <w:rPr>
          <w:rFonts w:ascii="Arial" w:hAnsi="Arial" w:cs="Arial"/>
          <w:color w:val="000000" w:themeColor="text1"/>
        </w:rPr>
        <w:t>». Este</w:t>
      </w:r>
      <w:r w:rsidR="009F7645" w:rsidRPr="00850883">
        <w:rPr>
          <w:rFonts w:ascii="Arial" w:hAnsi="Arial" w:cs="Arial"/>
          <w:color w:val="000000" w:themeColor="text1"/>
        </w:rPr>
        <w:t xml:space="preserve"> </w:t>
      </w:r>
      <w:r w:rsidR="00CF2C37">
        <w:rPr>
          <w:rFonts w:ascii="Arial" w:hAnsi="Arial" w:cs="Arial"/>
        </w:rPr>
        <w:t>consagra</w:t>
      </w:r>
      <w:r w:rsidR="00CF2C37" w:rsidRPr="00850883">
        <w:rPr>
          <w:rFonts w:ascii="Arial" w:hAnsi="Arial" w:cs="Arial"/>
        </w:rPr>
        <w:t xml:space="preserve"> </w:t>
      </w:r>
      <w:r w:rsidR="009F7645" w:rsidRPr="00850883">
        <w:rPr>
          <w:rFonts w:ascii="Arial" w:hAnsi="Arial" w:cs="Arial"/>
        </w:rPr>
        <w:t xml:space="preserve">las definiciones de los términos usados en los </w:t>
      </w:r>
      <w:r w:rsidR="009F7645" w:rsidRPr="00677230">
        <w:rPr>
          <w:rFonts w:ascii="Arial" w:hAnsi="Arial" w:cs="Arial"/>
          <w:i/>
          <w:iCs/>
        </w:rPr>
        <w:t>Documentos del Proceso</w:t>
      </w:r>
      <w:r w:rsidR="00A867F4" w:rsidRPr="00850883">
        <w:rPr>
          <w:rFonts w:ascii="Arial" w:hAnsi="Arial" w:cs="Arial"/>
        </w:rPr>
        <w:t xml:space="preserve"> propios de la ingeniería civil</w:t>
      </w:r>
      <w:r w:rsidR="00B73586" w:rsidRPr="00850883">
        <w:rPr>
          <w:rFonts w:ascii="Arial" w:hAnsi="Arial" w:cs="Arial"/>
        </w:rPr>
        <w:t xml:space="preserve">, </w:t>
      </w:r>
      <w:r w:rsidR="00A867F4" w:rsidRPr="00850883">
        <w:rPr>
          <w:rFonts w:ascii="Arial" w:hAnsi="Arial" w:cs="Arial"/>
        </w:rPr>
        <w:t>que deben tenerse</w:t>
      </w:r>
      <w:r w:rsidR="00A867F4">
        <w:rPr>
          <w:rFonts w:ascii="Arial" w:hAnsi="Arial" w:cs="Arial"/>
        </w:rPr>
        <w:t xml:space="preserve"> en cuenta</w:t>
      </w:r>
      <w:r w:rsidR="00A867F4" w:rsidRPr="00066821">
        <w:rPr>
          <w:rFonts w:ascii="Arial" w:hAnsi="Arial" w:cs="Arial"/>
        </w:rPr>
        <w:t xml:space="preserve"> para una adecuada aplicación de los criterios establecidos</w:t>
      </w:r>
      <w:r w:rsidR="005B6864">
        <w:rPr>
          <w:rFonts w:ascii="Arial" w:hAnsi="Arial" w:cs="Arial"/>
        </w:rPr>
        <w:t xml:space="preserve"> en el </w:t>
      </w:r>
      <w:r w:rsidR="008B4D4D">
        <w:rPr>
          <w:rFonts w:ascii="Arial" w:hAnsi="Arial" w:cs="Arial"/>
        </w:rPr>
        <w:t>documento base</w:t>
      </w:r>
      <w:r w:rsidR="009F7645" w:rsidRPr="00345A46">
        <w:rPr>
          <w:rFonts w:ascii="Arial" w:hAnsi="Arial" w:cs="Arial"/>
        </w:rPr>
        <w:t>.</w:t>
      </w:r>
      <w:r w:rsidR="00A156AB" w:rsidRPr="00345A46">
        <w:rPr>
          <w:rFonts w:ascii="Arial" w:hAnsi="Arial" w:cs="Arial"/>
          <w:color w:val="000000" w:themeColor="text1"/>
        </w:rPr>
        <w:t xml:space="preserve"> </w:t>
      </w:r>
      <w:r w:rsidR="009F7645" w:rsidRPr="00345A46">
        <w:rPr>
          <w:rFonts w:ascii="Arial" w:hAnsi="Arial" w:cs="Arial"/>
          <w:color w:val="000000" w:themeColor="text1"/>
        </w:rPr>
        <w:t>L</w:t>
      </w:r>
      <w:r w:rsidR="00A156AB" w:rsidRPr="00345A46">
        <w:rPr>
          <w:rFonts w:ascii="Arial" w:hAnsi="Arial" w:cs="Arial"/>
          <w:color w:val="000000" w:themeColor="text1"/>
        </w:rPr>
        <w:t>o anterior</w:t>
      </w:r>
      <w:r w:rsidR="009F7645" w:rsidRPr="00345A46">
        <w:rPr>
          <w:rFonts w:ascii="Arial" w:hAnsi="Arial" w:cs="Arial"/>
          <w:color w:val="000000" w:themeColor="text1"/>
        </w:rPr>
        <w:t xml:space="preserve"> </w:t>
      </w:r>
      <w:r w:rsidR="00A156AB" w:rsidRPr="00345A46">
        <w:rPr>
          <w:rFonts w:ascii="Arial" w:hAnsi="Arial" w:cs="Arial"/>
          <w:color w:val="000000" w:themeColor="text1"/>
        </w:rPr>
        <w:t xml:space="preserve">resulta </w:t>
      </w:r>
      <w:r w:rsidR="00C072AA">
        <w:rPr>
          <w:rFonts w:ascii="Arial" w:hAnsi="Arial" w:cs="Arial"/>
          <w:color w:val="000000" w:themeColor="text1"/>
        </w:rPr>
        <w:t>de lo dispuesto</w:t>
      </w:r>
      <w:r w:rsidR="00A156AB" w:rsidRPr="00345A46">
        <w:rPr>
          <w:rFonts w:ascii="Arial" w:hAnsi="Arial" w:cs="Arial"/>
          <w:color w:val="000000" w:themeColor="text1"/>
        </w:rPr>
        <w:t xml:space="preserve"> en el numeral 1.17 </w:t>
      </w:r>
      <w:r w:rsidR="004A7C4C">
        <w:rPr>
          <w:rFonts w:ascii="Arial" w:hAnsi="Arial" w:cs="Arial"/>
          <w:color w:val="000000" w:themeColor="text1"/>
        </w:rPr>
        <w:t xml:space="preserve">de </w:t>
      </w:r>
      <w:r w:rsidR="00C072AA">
        <w:rPr>
          <w:rFonts w:ascii="Arial" w:hAnsi="Arial" w:cs="Arial"/>
          <w:color w:val="000000" w:themeColor="text1"/>
        </w:rPr>
        <w:t xml:space="preserve">este documento, el cual </w:t>
      </w:r>
      <w:r w:rsidR="00A156AB" w:rsidRPr="00345A46">
        <w:rPr>
          <w:rFonts w:ascii="Arial" w:hAnsi="Arial" w:cs="Arial"/>
          <w:color w:val="000000" w:themeColor="text1"/>
        </w:rPr>
        <w:t>señala los criterios para la interpretación del pliego de condiciones</w:t>
      </w:r>
      <w:r w:rsidR="00C072AA">
        <w:rPr>
          <w:rFonts w:ascii="Arial" w:hAnsi="Arial" w:cs="Arial"/>
          <w:color w:val="000000" w:themeColor="text1"/>
        </w:rPr>
        <w:t>.</w:t>
      </w:r>
      <w:r w:rsidR="00A156AB" w:rsidRPr="00345A46">
        <w:rPr>
          <w:rFonts w:ascii="Arial" w:hAnsi="Arial" w:cs="Arial"/>
          <w:color w:val="000000" w:themeColor="text1"/>
        </w:rPr>
        <w:t xml:space="preserve"> </w:t>
      </w:r>
      <w:r w:rsidR="00C072AA">
        <w:rPr>
          <w:rFonts w:ascii="Arial" w:hAnsi="Arial" w:cs="Arial"/>
          <w:color w:val="000000" w:themeColor="text1"/>
        </w:rPr>
        <w:t>E</w:t>
      </w:r>
      <w:r w:rsidR="00A156AB" w:rsidRPr="00345A46">
        <w:rPr>
          <w:rFonts w:ascii="Arial" w:hAnsi="Arial" w:cs="Arial"/>
          <w:color w:val="000000" w:themeColor="text1"/>
        </w:rPr>
        <w:t>specíficamente</w:t>
      </w:r>
      <w:r w:rsidR="00C072AA">
        <w:rPr>
          <w:rFonts w:ascii="Arial" w:hAnsi="Arial" w:cs="Arial"/>
          <w:color w:val="000000" w:themeColor="text1"/>
        </w:rPr>
        <w:t>,</w:t>
      </w:r>
      <w:r w:rsidR="00A156AB" w:rsidRPr="00345A46">
        <w:rPr>
          <w:rFonts w:ascii="Arial" w:hAnsi="Arial" w:cs="Arial"/>
          <w:color w:val="000000" w:themeColor="text1"/>
        </w:rPr>
        <w:t xml:space="preserve"> el literal I</w:t>
      </w:r>
      <w:r w:rsidR="00C072AA">
        <w:rPr>
          <w:rFonts w:ascii="Arial" w:hAnsi="Arial" w:cs="Arial"/>
          <w:color w:val="000000" w:themeColor="text1"/>
        </w:rPr>
        <w:t xml:space="preserve"> dispone</w:t>
      </w:r>
      <w:r w:rsidR="00A156AB" w:rsidRPr="00345A46">
        <w:rPr>
          <w:rFonts w:ascii="Arial" w:hAnsi="Arial" w:cs="Arial"/>
          <w:color w:val="000000" w:themeColor="text1"/>
        </w:rPr>
        <w:t xml:space="preserve"> que «</w:t>
      </w:r>
      <w:r w:rsidR="00A156AB" w:rsidRPr="00345A46">
        <w:rPr>
          <w:rFonts w:ascii="Arial" w:eastAsia="Arial" w:hAnsi="Arial" w:cs="Arial"/>
          <w:lang w:eastAsia="es-CO"/>
        </w:rPr>
        <w:t>Los Documentos Tipo son inalterables y no se podrán incluir o modificar los Anexos, Formatos y Formularios, ni exigir soportes o requisitos adicionales; salvo cuando de forma expresa lo determinen, es decir, en los aspectos incluidos en corchetes y resaltados en gris»</w:t>
      </w:r>
      <w:r w:rsidR="007E6EE6">
        <w:rPr>
          <w:rFonts w:ascii="Arial" w:eastAsia="Arial" w:hAnsi="Arial" w:cs="Arial"/>
          <w:lang w:eastAsia="es-CO"/>
        </w:rPr>
        <w:t>.</w:t>
      </w:r>
    </w:p>
    <w:p w14:paraId="33E9C694" w14:textId="53B413CC" w:rsidR="009F7645" w:rsidRPr="00345A46" w:rsidRDefault="000549BA" w:rsidP="000D77FC">
      <w:pPr>
        <w:spacing w:after="120" w:line="276" w:lineRule="auto"/>
        <w:ind w:firstLine="709"/>
        <w:jc w:val="both"/>
        <w:rPr>
          <w:rFonts w:ascii="Arial" w:hAnsi="Arial" w:cs="Arial"/>
        </w:rPr>
      </w:pPr>
      <w:r>
        <w:rPr>
          <w:rFonts w:ascii="Arial" w:eastAsia="Arial" w:hAnsi="Arial" w:cs="Arial"/>
          <w:lang w:eastAsia="es-CO"/>
        </w:rPr>
        <w:t>La condición anterior</w:t>
      </w:r>
      <w:r w:rsidR="00C072AA">
        <w:rPr>
          <w:rFonts w:ascii="Arial" w:eastAsia="Arial" w:hAnsi="Arial" w:cs="Arial"/>
          <w:lang w:eastAsia="es-CO"/>
        </w:rPr>
        <w:t xml:space="preserve"> es congruente con</w:t>
      </w:r>
      <w:r w:rsidR="009F7645" w:rsidRPr="00345A46">
        <w:rPr>
          <w:rFonts w:ascii="Arial" w:eastAsia="Arial" w:hAnsi="Arial" w:cs="Arial"/>
          <w:lang w:eastAsia="es-CO"/>
        </w:rPr>
        <w:t xml:space="preserve"> lo establecido en</w:t>
      </w:r>
      <w:r w:rsidR="00826307">
        <w:rPr>
          <w:rFonts w:ascii="Arial" w:hAnsi="Arial" w:cs="Arial"/>
        </w:rPr>
        <w:t xml:space="preserve"> </w:t>
      </w:r>
      <w:r w:rsidR="009F7645" w:rsidRPr="00345A46">
        <w:rPr>
          <w:rFonts w:ascii="Arial" w:hAnsi="Arial" w:cs="Arial"/>
        </w:rPr>
        <w:t xml:space="preserve">la introducción del </w:t>
      </w:r>
      <w:r w:rsidR="00C072AA" w:rsidRPr="00345A46">
        <w:rPr>
          <w:rFonts w:ascii="Arial" w:hAnsi="Arial" w:cs="Arial"/>
        </w:rPr>
        <w:t>documento base</w:t>
      </w:r>
      <w:r w:rsidR="009F7645" w:rsidRPr="00345A46">
        <w:rPr>
          <w:rFonts w:ascii="Arial" w:hAnsi="Arial" w:cs="Arial"/>
        </w:rPr>
        <w:t xml:space="preserve"> </w:t>
      </w:r>
      <w:r w:rsidR="00E631AF" w:rsidRPr="00345A46">
        <w:rPr>
          <w:rFonts w:ascii="Arial" w:hAnsi="Arial" w:cs="Arial"/>
        </w:rPr>
        <w:t xml:space="preserve">que </w:t>
      </w:r>
      <w:r w:rsidR="009F7645" w:rsidRPr="00345A46">
        <w:rPr>
          <w:rFonts w:ascii="Arial" w:hAnsi="Arial" w:cs="Arial"/>
        </w:rPr>
        <w:t xml:space="preserve">señala </w:t>
      </w:r>
      <w:r w:rsidR="00C072AA">
        <w:rPr>
          <w:rFonts w:ascii="Arial" w:hAnsi="Arial" w:cs="Arial"/>
        </w:rPr>
        <w:t>«</w:t>
      </w:r>
      <w:r w:rsidR="009F7645" w:rsidRPr="00345A46">
        <w:rPr>
          <w:rFonts w:ascii="Arial" w:hAnsi="Arial" w:cs="Arial"/>
        </w:rPr>
        <w:t>[Los aspectos incluidos en corchetes y resaltado gris deben ser diligenciados por la Entidad]</w:t>
      </w:r>
      <w:r w:rsidR="00C072AA">
        <w:rPr>
          <w:rFonts w:ascii="Arial" w:hAnsi="Arial" w:cs="Arial"/>
        </w:rPr>
        <w:t>».</w:t>
      </w:r>
      <w:r w:rsidR="009F7645" w:rsidRPr="00345A46">
        <w:rPr>
          <w:rFonts w:ascii="Arial" w:hAnsi="Arial" w:cs="Arial"/>
        </w:rPr>
        <w:t xml:space="preserve"> </w:t>
      </w:r>
      <w:r w:rsidR="00C072AA">
        <w:rPr>
          <w:rFonts w:ascii="Arial" w:hAnsi="Arial" w:cs="Arial"/>
        </w:rPr>
        <w:t>E</w:t>
      </w:r>
      <w:r w:rsidR="009F7645" w:rsidRPr="00345A46">
        <w:rPr>
          <w:rFonts w:ascii="Arial" w:hAnsi="Arial" w:cs="Arial"/>
        </w:rPr>
        <w:t>s decir, la entidad puede modificar o estructurar los aspectos que cumplen con estos parámetros o aquellos que expresamente señalan los documentos que deben ser definidos por la entidad.</w:t>
      </w:r>
      <w:r w:rsidR="00513206">
        <w:rPr>
          <w:rFonts w:ascii="Arial" w:hAnsi="Arial" w:cs="Arial"/>
        </w:rPr>
        <w:t xml:space="preserve"> </w:t>
      </w:r>
      <w:r w:rsidR="00C072AA">
        <w:rPr>
          <w:rFonts w:ascii="Arial" w:hAnsi="Arial" w:cs="Arial"/>
        </w:rPr>
        <w:t>Por tanto,</w:t>
      </w:r>
      <w:r w:rsidR="0004241D">
        <w:rPr>
          <w:rFonts w:ascii="Arial" w:hAnsi="Arial" w:cs="Arial"/>
        </w:rPr>
        <w:t xml:space="preserve"> el contenido del </w:t>
      </w:r>
      <w:r w:rsidR="00C072AA">
        <w:rPr>
          <w:rFonts w:ascii="Arial" w:hAnsi="Arial" w:cs="Arial"/>
          <w:color w:val="000000" w:themeColor="text1"/>
        </w:rPr>
        <w:t>«</w:t>
      </w:r>
      <w:r w:rsidR="00C072AA" w:rsidRPr="00850883">
        <w:rPr>
          <w:rFonts w:ascii="Arial" w:hAnsi="Arial" w:cs="Arial"/>
          <w:color w:val="000000" w:themeColor="text1"/>
        </w:rPr>
        <w:t>Anexo 3</w:t>
      </w:r>
      <w:r w:rsidR="00C072AA">
        <w:rPr>
          <w:rFonts w:ascii="Arial" w:hAnsi="Arial" w:cs="Arial"/>
          <w:color w:val="000000" w:themeColor="text1"/>
        </w:rPr>
        <w:t xml:space="preserve"> –</w:t>
      </w:r>
      <w:r w:rsidR="00C072AA" w:rsidRPr="00850883">
        <w:rPr>
          <w:rFonts w:ascii="Arial" w:hAnsi="Arial" w:cs="Arial"/>
          <w:color w:val="000000" w:themeColor="text1"/>
        </w:rPr>
        <w:t xml:space="preserve"> Glosario</w:t>
      </w:r>
      <w:r w:rsidR="00C072AA">
        <w:rPr>
          <w:rFonts w:ascii="Arial" w:hAnsi="Arial" w:cs="Arial"/>
          <w:color w:val="000000" w:themeColor="text1"/>
        </w:rPr>
        <w:t>»</w:t>
      </w:r>
      <w:r w:rsidR="0004241D">
        <w:rPr>
          <w:rFonts w:ascii="Arial" w:hAnsi="Arial" w:cs="Arial"/>
        </w:rPr>
        <w:t xml:space="preserve"> </w:t>
      </w:r>
      <w:r w:rsidR="00C072AA">
        <w:rPr>
          <w:rFonts w:ascii="Arial" w:hAnsi="Arial" w:cs="Arial"/>
        </w:rPr>
        <w:t>es</w:t>
      </w:r>
      <w:r w:rsidR="0004241D">
        <w:rPr>
          <w:rFonts w:ascii="Arial" w:hAnsi="Arial" w:cs="Arial"/>
        </w:rPr>
        <w:t xml:space="preserve"> inalterable, salvo que expresamente </w:t>
      </w:r>
      <w:r w:rsidR="002D7B8F">
        <w:rPr>
          <w:rFonts w:ascii="Arial" w:hAnsi="Arial" w:cs="Arial"/>
        </w:rPr>
        <w:t>se faculte a la entidad para ello, y solo</w:t>
      </w:r>
      <w:r w:rsidR="00A17D75">
        <w:rPr>
          <w:rFonts w:ascii="Arial" w:hAnsi="Arial" w:cs="Arial"/>
        </w:rPr>
        <w:t>,</w:t>
      </w:r>
      <w:r w:rsidR="002D7B8F">
        <w:rPr>
          <w:rFonts w:ascii="Arial" w:hAnsi="Arial" w:cs="Arial"/>
        </w:rPr>
        <w:t xml:space="preserve"> en </w:t>
      </w:r>
      <w:r w:rsidR="00C85097">
        <w:rPr>
          <w:rFonts w:ascii="Arial" w:hAnsi="Arial" w:cs="Arial"/>
        </w:rPr>
        <w:t>los aspectos</w:t>
      </w:r>
      <w:r w:rsidR="002D7B8F">
        <w:rPr>
          <w:rFonts w:ascii="Arial" w:hAnsi="Arial" w:cs="Arial"/>
        </w:rPr>
        <w:t xml:space="preserve"> </w:t>
      </w:r>
      <w:r w:rsidR="002D7B8F" w:rsidRPr="00345A46">
        <w:rPr>
          <w:rFonts w:ascii="Arial" w:eastAsia="Arial" w:hAnsi="Arial" w:cs="Arial"/>
          <w:lang w:eastAsia="es-CO"/>
        </w:rPr>
        <w:t>incluidos en corchetes y resaltados en gris</w:t>
      </w:r>
      <w:r w:rsidR="002D7B8F">
        <w:rPr>
          <w:rFonts w:ascii="Arial" w:eastAsia="Arial" w:hAnsi="Arial" w:cs="Arial"/>
          <w:lang w:eastAsia="es-CO"/>
        </w:rPr>
        <w:t xml:space="preserve">. </w:t>
      </w:r>
    </w:p>
    <w:p w14:paraId="59C8F25D" w14:textId="73651D0B" w:rsidR="00D32E8A" w:rsidRDefault="00CF2C37" w:rsidP="00A55A6B">
      <w:pPr>
        <w:pStyle w:val="Textoindependiente"/>
        <w:spacing w:after="120" w:line="276" w:lineRule="auto"/>
        <w:ind w:firstLine="709"/>
        <w:jc w:val="both"/>
      </w:pPr>
      <w:bookmarkStart w:id="6" w:name="_Hlk60746105"/>
      <w:r>
        <w:t>Al respecto,</w:t>
      </w:r>
      <w:r w:rsidR="00E82211">
        <w:t xml:space="preserve"> </w:t>
      </w:r>
      <w:r w:rsidR="00025EDC">
        <w:t>la introducción d</w:t>
      </w:r>
      <w:r w:rsidR="00E82211">
        <w:t xml:space="preserve">el </w:t>
      </w:r>
      <w:r>
        <w:rPr>
          <w:color w:val="000000" w:themeColor="text1"/>
        </w:rPr>
        <w:t>«</w:t>
      </w:r>
      <w:r w:rsidRPr="00850883">
        <w:rPr>
          <w:color w:val="000000" w:themeColor="text1"/>
        </w:rPr>
        <w:t>Anexo 3</w:t>
      </w:r>
      <w:r>
        <w:rPr>
          <w:color w:val="000000" w:themeColor="text1"/>
        </w:rPr>
        <w:t xml:space="preserve"> –</w:t>
      </w:r>
      <w:r w:rsidRPr="00850883">
        <w:rPr>
          <w:color w:val="000000" w:themeColor="text1"/>
        </w:rPr>
        <w:t xml:space="preserve"> Glosario</w:t>
      </w:r>
      <w:r>
        <w:rPr>
          <w:color w:val="000000" w:themeColor="text1"/>
        </w:rPr>
        <w:t>»</w:t>
      </w:r>
      <w:r w:rsidR="00025EDC">
        <w:t xml:space="preserve"> </w:t>
      </w:r>
      <w:r>
        <w:t>dispone que</w:t>
      </w:r>
      <w:r w:rsidR="00E631AF" w:rsidRPr="00345A46">
        <w:rPr>
          <w:lang w:val="es-CO"/>
        </w:rPr>
        <w:t xml:space="preserve"> </w:t>
      </w:r>
      <w:r>
        <w:rPr>
          <w:lang w:val="es-CO"/>
        </w:rPr>
        <w:t>«</w:t>
      </w:r>
      <w:r w:rsidR="00E631AF" w:rsidRPr="00345A46">
        <w:rPr>
          <w:lang w:val="es-CO"/>
        </w:rPr>
        <w:t xml:space="preserve">[La Entidad deberá incluir en </w:t>
      </w:r>
      <w:bookmarkStart w:id="7" w:name="_Hlk60743319"/>
      <w:r w:rsidR="00E631AF" w:rsidRPr="00345A46">
        <w:rPr>
          <w:lang w:val="es-CO"/>
        </w:rPr>
        <w:t>orden alfabético los conceptos adicionales que aplican al proceso de selección</w:t>
      </w:r>
      <w:bookmarkEnd w:id="7"/>
      <w:r w:rsidR="00E631AF" w:rsidRPr="00345A46">
        <w:rPr>
          <w:lang w:val="es-CO"/>
        </w:rPr>
        <w:t xml:space="preserve"> que no estén incluidos en el presente anexo con su respectiva fuente]</w:t>
      </w:r>
      <w:r w:rsidR="00E631AF" w:rsidRPr="00345A46">
        <w:t>»</w:t>
      </w:r>
      <w:r w:rsidR="000375DF" w:rsidRPr="00345A46">
        <w:t>.</w:t>
      </w:r>
      <w:r w:rsidR="00D32E8A">
        <w:t xml:space="preserve"> </w:t>
      </w:r>
      <w:bookmarkStart w:id="8" w:name="_Hlk60743390"/>
      <w:r w:rsidR="000375DF" w:rsidRPr="00AA6482">
        <w:t xml:space="preserve">En </w:t>
      </w:r>
      <w:r>
        <w:t>este orden de ideas</w:t>
      </w:r>
      <w:r w:rsidR="000375DF" w:rsidRPr="00AA6482">
        <w:t xml:space="preserve">, aunque sea posible incluir términos adicionales en el </w:t>
      </w:r>
      <w:r>
        <w:t>a</w:t>
      </w:r>
      <w:r w:rsidR="000375DF" w:rsidRPr="00AA6482">
        <w:t xml:space="preserve">nexo, las entidades </w:t>
      </w:r>
      <w:r w:rsidR="000375DF" w:rsidRPr="00AA6482">
        <w:lastRenderedPageBreak/>
        <w:t xml:space="preserve">no pueden </w:t>
      </w:r>
      <w:r>
        <w:t>modificar el contenido de las definiciones previstas en el glosario</w:t>
      </w:r>
      <w:r w:rsidR="00957060" w:rsidRPr="00AA6482">
        <w:t>.</w:t>
      </w:r>
      <w:bookmarkEnd w:id="8"/>
      <w:r w:rsidR="00957060" w:rsidRPr="00AA6482">
        <w:t xml:space="preserve"> </w:t>
      </w:r>
      <w:bookmarkEnd w:id="6"/>
    </w:p>
    <w:p w14:paraId="26790E80" w14:textId="183008A9" w:rsidR="0066695C" w:rsidRDefault="00893F25" w:rsidP="00A55A6B">
      <w:pPr>
        <w:pStyle w:val="Textoindependiente"/>
        <w:spacing w:after="120" w:line="276" w:lineRule="auto"/>
        <w:ind w:firstLine="708"/>
        <w:jc w:val="both"/>
        <w:rPr>
          <w:lang w:eastAsia="es-CO"/>
        </w:rPr>
      </w:pPr>
      <w:r>
        <w:t xml:space="preserve">Lo anterior es relevante para el objeto de la consulta, pues </w:t>
      </w:r>
      <w:bookmarkStart w:id="9" w:name="_Hlk60747198"/>
      <w:r>
        <w:t>el anexo</w:t>
      </w:r>
      <w:r w:rsidR="00957060" w:rsidRPr="00893F25">
        <w:t xml:space="preserve"> </w:t>
      </w:r>
      <w:r>
        <w:t>define el</w:t>
      </w:r>
      <w:r w:rsidR="00957060" w:rsidRPr="00893F25">
        <w:t xml:space="preserve"> </w:t>
      </w:r>
      <w:r w:rsidR="00957060" w:rsidRPr="00677230">
        <w:rPr>
          <w:i/>
          <w:iCs/>
        </w:rPr>
        <w:t>puente mixto</w:t>
      </w:r>
      <w:r w:rsidR="00341E56">
        <w:t xml:space="preserve"> </w:t>
      </w:r>
      <w:r w:rsidR="00957060" w:rsidRPr="00AA6482">
        <w:t>como «</w:t>
      </w:r>
      <w:r>
        <w:t xml:space="preserve">[…] </w:t>
      </w:r>
      <w:r w:rsidR="00957060" w:rsidRPr="00AA6482">
        <w:t>aquel que teniendo mínimo dos luces, una de ellas es metálica y la otra en concreto hidráulico»</w:t>
      </w:r>
      <w:r>
        <w:t>.</w:t>
      </w:r>
      <w:r w:rsidR="00957060" w:rsidRPr="00AA6482">
        <w:t xml:space="preserve"> </w:t>
      </w:r>
      <w:r w:rsidR="0066695C">
        <w:t>A</w:t>
      </w:r>
      <w:r w:rsidR="00957060" w:rsidRPr="00AA6482">
        <w:t xml:space="preserve">l encontrarse esta definición de forma explícita en el </w:t>
      </w:r>
      <w:r>
        <w:t>glosario</w:t>
      </w:r>
      <w:r w:rsidR="00957060" w:rsidRPr="00AA6482">
        <w:t xml:space="preserve"> y</w:t>
      </w:r>
      <w:r>
        <w:t xml:space="preserve"> al</w:t>
      </w:r>
      <w:r w:rsidR="00957060" w:rsidRPr="00AA6482">
        <w:t xml:space="preserve"> </w:t>
      </w:r>
      <w:r w:rsidR="00B61463">
        <w:t xml:space="preserve">no </w:t>
      </w:r>
      <w:r w:rsidR="002E051D">
        <w:t xml:space="preserve">estar entre </w:t>
      </w:r>
      <w:r w:rsidR="00957060" w:rsidRPr="00AA6482">
        <w:t xml:space="preserve">corchetes </w:t>
      </w:r>
      <w:r w:rsidR="002E051D">
        <w:t>y</w:t>
      </w:r>
      <w:r w:rsidR="00957060" w:rsidRPr="00AA6482">
        <w:t xml:space="preserve"> resaltado en gris, </w:t>
      </w:r>
      <w:r>
        <w:t>las entidades deberán sujetarse a su</w:t>
      </w:r>
      <w:r w:rsidR="00957060" w:rsidRPr="00AA6482">
        <w:t xml:space="preserve"> contenido de conformidad con el numeral 1.17, literal G</w:t>
      </w:r>
      <w:r>
        <w:t>,</w:t>
      </w:r>
      <w:r w:rsidR="00957060" w:rsidRPr="00AA6482">
        <w:t xml:space="preserve"> del </w:t>
      </w:r>
      <w:r w:rsidRPr="00AA6482">
        <w:t>documento base</w:t>
      </w:r>
      <w:r>
        <w:t>, el cual dispone que</w:t>
      </w:r>
      <w:r w:rsidR="00957060" w:rsidRPr="00AA6482">
        <w:t xml:space="preserve"> «</w:t>
      </w:r>
      <w:r w:rsidR="00957060" w:rsidRPr="00AA6482">
        <w:rPr>
          <w:lang w:eastAsia="es-CO"/>
        </w:rPr>
        <w:t>Las palabras expresamente definidas en este Pliego de Condiciones deben ser entendidas únicamente en el sentido que a las mismas se les conceda según su definición».</w:t>
      </w:r>
      <w:r w:rsidR="0066695C">
        <w:rPr>
          <w:lang w:eastAsia="es-CO"/>
        </w:rPr>
        <w:t xml:space="preserve"> </w:t>
      </w:r>
      <w:bookmarkEnd w:id="9"/>
    </w:p>
    <w:p w14:paraId="771C9D4D" w14:textId="40A2C83B" w:rsidR="00957060" w:rsidRDefault="0066695C" w:rsidP="00A55A6B">
      <w:pPr>
        <w:pStyle w:val="Textoindependiente"/>
        <w:spacing w:after="120" w:line="276" w:lineRule="auto"/>
        <w:ind w:firstLine="708"/>
        <w:jc w:val="both"/>
        <w:rPr>
          <w:lang w:eastAsia="es-CO"/>
        </w:rPr>
      </w:pPr>
      <w:bookmarkStart w:id="10" w:name="_Hlk60747309"/>
      <w:r>
        <w:rPr>
          <w:lang w:eastAsia="es-CO"/>
        </w:rPr>
        <w:t>En consecuencia, dado que el Anexo 3 hace parte del contenido del pliego de condiciones conforme al numeral 9.1 del documento base, las definiciones establecidas en el glosario son inalterables</w:t>
      </w:r>
      <w:bookmarkEnd w:id="10"/>
      <w:r>
        <w:rPr>
          <w:lang w:eastAsia="es-CO"/>
        </w:rPr>
        <w:t>, pues a esto se refiere el apartado introductorio del pliego cuando dispone que «</w:t>
      </w:r>
      <w:r w:rsidRPr="0066695C">
        <w:rPr>
          <w:lang w:eastAsia="es-CO"/>
        </w:rPr>
        <w:t>La Entidad no podrá modificar los Formatos, Anexos, matrices y Formularios, ni solicitar soportes o requisitos adicionales a los establecidos en el Documento Tipo</w:t>
      </w:r>
      <w:r>
        <w:rPr>
          <w:lang w:eastAsia="es-CO"/>
        </w:rPr>
        <w:t>».</w:t>
      </w:r>
    </w:p>
    <w:p w14:paraId="33936C2C" w14:textId="2B465984" w:rsidR="005E643C" w:rsidRPr="0051766E" w:rsidRDefault="005E643C" w:rsidP="00A55A6B">
      <w:pPr>
        <w:spacing w:after="120" w:line="276" w:lineRule="auto"/>
        <w:ind w:firstLine="709"/>
        <w:jc w:val="both"/>
        <w:rPr>
          <w:rFonts w:ascii="Arial" w:hAnsi="Arial" w:cs="Arial"/>
        </w:rPr>
      </w:pPr>
      <w:r>
        <w:rPr>
          <w:rFonts w:ascii="Arial" w:hAnsi="Arial" w:cs="Arial"/>
        </w:rPr>
        <w:t>En es</w:t>
      </w:r>
      <w:r w:rsidR="00DB351C">
        <w:rPr>
          <w:rFonts w:ascii="Arial" w:hAnsi="Arial" w:cs="Arial"/>
        </w:rPr>
        <w:t>e</w:t>
      </w:r>
      <w:r>
        <w:rPr>
          <w:rFonts w:ascii="Arial" w:hAnsi="Arial" w:cs="Arial"/>
        </w:rPr>
        <w:t xml:space="preserve"> sentido, </w:t>
      </w:r>
      <w:r w:rsidR="0066695C">
        <w:rPr>
          <w:rFonts w:ascii="Arial" w:hAnsi="Arial" w:cs="Arial"/>
        </w:rPr>
        <w:t>conviene precisar que</w:t>
      </w:r>
      <w:r w:rsidRPr="0051766E">
        <w:rPr>
          <w:rFonts w:ascii="Arial" w:hAnsi="Arial" w:cs="Arial"/>
        </w:rPr>
        <w:t xml:space="preserve"> los artículos 27 al 30 del Código Civil tratan los métodos de interpretación.</w:t>
      </w:r>
      <w:r w:rsidR="004528F6">
        <w:rPr>
          <w:rFonts w:ascii="Arial" w:hAnsi="Arial" w:cs="Arial"/>
        </w:rPr>
        <w:t xml:space="preserve"> Uno de esos métodos aplicables al caso</w:t>
      </w:r>
      <w:r w:rsidR="002C1637">
        <w:rPr>
          <w:rFonts w:ascii="Arial" w:hAnsi="Arial" w:cs="Arial"/>
        </w:rPr>
        <w:t xml:space="preserve"> concreto</w:t>
      </w:r>
      <w:r w:rsidR="00D5294D">
        <w:rPr>
          <w:rFonts w:ascii="Arial" w:hAnsi="Arial" w:cs="Arial"/>
        </w:rPr>
        <w:t xml:space="preserve">, es la interpretación </w:t>
      </w:r>
      <w:r w:rsidRPr="0051766E">
        <w:rPr>
          <w:rFonts w:ascii="Arial" w:hAnsi="Arial" w:cs="Arial"/>
        </w:rPr>
        <w:t xml:space="preserve">gramatical contenida en </w:t>
      </w:r>
      <w:r w:rsidR="00024AA6">
        <w:rPr>
          <w:rFonts w:ascii="Arial" w:hAnsi="Arial" w:cs="Arial"/>
        </w:rPr>
        <w:t>los artículo</w:t>
      </w:r>
      <w:r w:rsidR="00BA72DA">
        <w:rPr>
          <w:rFonts w:ascii="Arial" w:hAnsi="Arial" w:cs="Arial"/>
        </w:rPr>
        <w:t>s</w:t>
      </w:r>
      <w:r w:rsidR="00024AA6">
        <w:rPr>
          <w:rFonts w:ascii="Arial" w:hAnsi="Arial" w:cs="Arial"/>
        </w:rPr>
        <w:t xml:space="preserve"> 2</w:t>
      </w:r>
      <w:r w:rsidR="000769F6">
        <w:rPr>
          <w:rFonts w:ascii="Arial" w:hAnsi="Arial" w:cs="Arial"/>
        </w:rPr>
        <w:t>8</w:t>
      </w:r>
      <w:r w:rsidR="00024AA6">
        <w:rPr>
          <w:rFonts w:ascii="Arial" w:hAnsi="Arial" w:cs="Arial"/>
        </w:rPr>
        <w:t xml:space="preserve"> y 29 del </w:t>
      </w:r>
      <w:r w:rsidR="00BA72DA">
        <w:rPr>
          <w:rFonts w:ascii="Arial" w:hAnsi="Arial" w:cs="Arial"/>
        </w:rPr>
        <w:t>C</w:t>
      </w:r>
      <w:r w:rsidR="00024AA6">
        <w:rPr>
          <w:rFonts w:ascii="Arial" w:hAnsi="Arial" w:cs="Arial"/>
        </w:rPr>
        <w:t xml:space="preserve">ódigo </w:t>
      </w:r>
      <w:r w:rsidR="00BA72DA">
        <w:rPr>
          <w:rFonts w:ascii="Arial" w:hAnsi="Arial" w:cs="Arial"/>
        </w:rPr>
        <w:t>C</w:t>
      </w:r>
      <w:r w:rsidR="00024AA6">
        <w:rPr>
          <w:rFonts w:ascii="Arial" w:hAnsi="Arial" w:cs="Arial"/>
        </w:rPr>
        <w:t>ivil</w:t>
      </w:r>
      <w:r w:rsidR="000769F6">
        <w:rPr>
          <w:rFonts w:ascii="Arial" w:hAnsi="Arial" w:cs="Arial"/>
        </w:rPr>
        <w:t xml:space="preserve">, </w:t>
      </w:r>
      <w:r w:rsidR="00936004">
        <w:rPr>
          <w:rFonts w:ascii="Arial" w:hAnsi="Arial" w:cs="Arial"/>
        </w:rPr>
        <w:t xml:space="preserve">que </w:t>
      </w:r>
      <w:r w:rsidRPr="0051766E">
        <w:rPr>
          <w:rFonts w:ascii="Arial" w:hAnsi="Arial" w:cs="Arial"/>
        </w:rPr>
        <w:t xml:space="preserve">se caracteriza porque, la actividad que desarrolla el intérprete </w:t>
      </w:r>
      <w:r w:rsidR="002C1637">
        <w:rPr>
          <w:rFonts w:ascii="Arial" w:hAnsi="Arial" w:cs="Arial"/>
        </w:rPr>
        <w:t xml:space="preserve">se dirige a establecer el </w:t>
      </w:r>
      <w:r w:rsidRPr="0051766E">
        <w:rPr>
          <w:rFonts w:ascii="Arial" w:hAnsi="Arial" w:cs="Arial"/>
        </w:rPr>
        <w:t>«significado inmediato de las palabras en que vienen expresadas las normas, a su significado gramatical, al sentido que dichas palabras tienen en el lenguaje común</w:t>
      </w:r>
      <w:r w:rsidR="004975D3">
        <w:rPr>
          <w:rFonts w:ascii="Arial" w:hAnsi="Arial" w:cs="Arial"/>
        </w:rPr>
        <w:t>»</w:t>
      </w:r>
      <w:r w:rsidR="000D10AC">
        <w:rPr>
          <w:rStyle w:val="Refdenotaalpie"/>
          <w:rFonts w:ascii="Arial" w:hAnsi="Arial" w:cs="Arial"/>
        </w:rPr>
        <w:footnoteReference w:id="7"/>
      </w:r>
      <w:r w:rsidR="00ED34A4">
        <w:rPr>
          <w:rFonts w:ascii="Arial" w:hAnsi="Arial" w:cs="Arial"/>
        </w:rPr>
        <w:t>.</w:t>
      </w:r>
    </w:p>
    <w:p w14:paraId="2026F617" w14:textId="4F80DF21" w:rsidR="00C06DEB" w:rsidRPr="0051766E" w:rsidRDefault="005E643C">
      <w:pPr>
        <w:spacing w:after="120" w:line="276" w:lineRule="auto"/>
        <w:ind w:firstLine="708"/>
        <w:jc w:val="both"/>
        <w:rPr>
          <w:rFonts w:ascii="Arial" w:hAnsi="Arial" w:cs="Arial"/>
        </w:rPr>
      </w:pPr>
      <w:r w:rsidRPr="0051766E">
        <w:rPr>
          <w:rFonts w:ascii="Arial" w:hAnsi="Arial" w:cs="Arial"/>
        </w:rPr>
        <w:t>Es así como el código civil en el artículo 28</w:t>
      </w:r>
      <w:r w:rsidR="00234997">
        <w:rPr>
          <w:rFonts w:ascii="Arial" w:hAnsi="Arial" w:cs="Arial"/>
        </w:rPr>
        <w:t xml:space="preserve"> </w:t>
      </w:r>
      <w:r w:rsidRPr="0051766E">
        <w:rPr>
          <w:rFonts w:ascii="Arial" w:hAnsi="Arial" w:cs="Arial"/>
        </w:rPr>
        <w:t xml:space="preserve">señala que «Las palabras de la ley se entenderán en su sentido natural y obvio, según el uso general de las mismas palabras; </w:t>
      </w:r>
      <w:r w:rsidRPr="00677230">
        <w:rPr>
          <w:rFonts w:ascii="Arial" w:hAnsi="Arial" w:cs="Arial"/>
          <w:i/>
          <w:iCs/>
        </w:rPr>
        <w:t>pero cuando el legislador las haya definido expresamente para ciertas materias, se les dará en éstas su significado legal</w:t>
      </w:r>
      <w:r w:rsidRPr="0051766E">
        <w:rPr>
          <w:rFonts w:ascii="Arial" w:hAnsi="Arial" w:cs="Arial"/>
        </w:rPr>
        <w:t>»</w:t>
      </w:r>
      <w:r w:rsidR="0066695C">
        <w:rPr>
          <w:rFonts w:ascii="Arial" w:hAnsi="Arial" w:cs="Arial"/>
        </w:rPr>
        <w:t xml:space="preserve"> (Énfasis fuera de texto).</w:t>
      </w:r>
      <w:r w:rsidRPr="0051766E">
        <w:rPr>
          <w:rFonts w:ascii="Arial" w:hAnsi="Arial" w:cs="Arial"/>
        </w:rPr>
        <w:t xml:space="preserve"> </w:t>
      </w:r>
      <w:r w:rsidR="00C007CC">
        <w:rPr>
          <w:rFonts w:ascii="Arial" w:hAnsi="Arial" w:cs="Arial"/>
        </w:rPr>
        <w:t>Por su parte,</w:t>
      </w:r>
      <w:r w:rsidRPr="0051766E">
        <w:rPr>
          <w:rFonts w:ascii="Arial" w:hAnsi="Arial" w:cs="Arial"/>
        </w:rPr>
        <w:t xml:space="preserve"> el artículo </w:t>
      </w:r>
      <w:r w:rsidR="00C007CC">
        <w:rPr>
          <w:rFonts w:ascii="Arial" w:hAnsi="Arial" w:cs="Arial"/>
        </w:rPr>
        <w:t>29</w:t>
      </w:r>
      <w:r w:rsidRPr="0051766E">
        <w:rPr>
          <w:rFonts w:ascii="Arial" w:hAnsi="Arial" w:cs="Arial"/>
        </w:rPr>
        <w:t xml:space="preserve"> </w:t>
      </w:r>
      <w:r w:rsidR="00680125">
        <w:rPr>
          <w:rFonts w:ascii="Arial" w:hAnsi="Arial" w:cs="Arial"/>
        </w:rPr>
        <w:t xml:space="preserve">del mismo código </w:t>
      </w:r>
      <w:r w:rsidR="00AB538A">
        <w:rPr>
          <w:rFonts w:ascii="Arial" w:hAnsi="Arial" w:cs="Arial"/>
        </w:rPr>
        <w:t xml:space="preserve">establece </w:t>
      </w:r>
      <w:r>
        <w:rPr>
          <w:rFonts w:ascii="Arial" w:hAnsi="Arial" w:cs="Arial"/>
        </w:rPr>
        <w:t xml:space="preserve">que </w:t>
      </w:r>
      <w:r w:rsidRPr="0051766E">
        <w:rPr>
          <w:rFonts w:ascii="Arial" w:hAnsi="Arial" w:cs="Arial"/>
        </w:rPr>
        <w:t xml:space="preserve">«Las palabras técnicas de toda ciencia o arte se tomarán en el sentido que les den los que profesan la misma ciencia o arte; </w:t>
      </w:r>
      <w:r w:rsidRPr="00677230">
        <w:rPr>
          <w:rFonts w:ascii="Arial" w:hAnsi="Arial" w:cs="Arial"/>
          <w:i/>
          <w:iCs/>
        </w:rPr>
        <w:t>a menos que aparezca claramente que se han formado en sentido diverso</w:t>
      </w:r>
      <w:r w:rsidRPr="0051766E">
        <w:rPr>
          <w:rFonts w:ascii="Arial" w:hAnsi="Arial" w:cs="Arial"/>
        </w:rPr>
        <w:t>»</w:t>
      </w:r>
      <w:r w:rsidR="0066695C">
        <w:rPr>
          <w:rFonts w:ascii="Arial" w:hAnsi="Arial" w:cs="Arial"/>
        </w:rPr>
        <w:t xml:space="preserve"> (Énfasis fuera de texto)</w:t>
      </w:r>
      <w:r w:rsidRPr="0051766E">
        <w:rPr>
          <w:rFonts w:ascii="Arial" w:hAnsi="Arial" w:cs="Arial"/>
        </w:rPr>
        <w:t xml:space="preserve">. </w:t>
      </w:r>
      <w:r w:rsidR="00C007CC">
        <w:rPr>
          <w:rFonts w:ascii="Arial" w:hAnsi="Arial" w:cs="Arial"/>
        </w:rPr>
        <w:t xml:space="preserve">Estas normas refuerzan el carácter vinculante de las definiciones contenidas en </w:t>
      </w:r>
      <w:r w:rsidR="0022041A">
        <w:rPr>
          <w:rFonts w:ascii="Arial" w:hAnsi="Arial" w:cs="Arial"/>
        </w:rPr>
        <w:t xml:space="preserve">las </w:t>
      </w:r>
      <w:r w:rsidR="0058280B">
        <w:rPr>
          <w:rFonts w:ascii="Arial" w:hAnsi="Arial" w:cs="Arial"/>
        </w:rPr>
        <w:t>disposiciones normativas</w:t>
      </w:r>
      <w:r w:rsidR="00C007CC">
        <w:rPr>
          <w:rFonts w:ascii="Arial" w:hAnsi="Arial" w:cs="Arial"/>
        </w:rPr>
        <w:t xml:space="preserve">, </w:t>
      </w:r>
      <w:r w:rsidR="00234997">
        <w:rPr>
          <w:rFonts w:ascii="Arial" w:hAnsi="Arial" w:cs="Arial"/>
        </w:rPr>
        <w:t>el cual</w:t>
      </w:r>
      <w:r w:rsidR="00C007CC">
        <w:rPr>
          <w:rFonts w:ascii="Arial" w:hAnsi="Arial" w:cs="Arial"/>
        </w:rPr>
        <w:t xml:space="preserve"> se extiende a los documentos tipo adoptados</w:t>
      </w:r>
      <w:r w:rsidR="00CB7353">
        <w:rPr>
          <w:rFonts w:ascii="Arial" w:hAnsi="Arial" w:cs="Arial"/>
        </w:rPr>
        <w:t xml:space="preserve"> mediante la </w:t>
      </w:r>
      <w:r w:rsidR="00CB7353" w:rsidRPr="00345A46">
        <w:rPr>
          <w:rFonts w:ascii="Arial" w:hAnsi="Arial" w:cs="Arial"/>
          <w:color w:val="0D0D0D" w:themeColor="text1" w:themeTint="F2"/>
        </w:rPr>
        <w:t>No. 045 del 14 de febrero de 2020</w:t>
      </w:r>
      <w:r w:rsidR="00CB7353">
        <w:rPr>
          <w:rFonts w:ascii="Arial" w:hAnsi="Arial" w:cs="Arial"/>
          <w:color w:val="0D0D0D" w:themeColor="text1" w:themeTint="F2"/>
        </w:rPr>
        <w:t>.</w:t>
      </w:r>
      <w:r w:rsidR="00C007CC">
        <w:rPr>
          <w:rFonts w:ascii="Arial" w:hAnsi="Arial" w:cs="Arial"/>
        </w:rPr>
        <w:t xml:space="preserve">  </w:t>
      </w:r>
    </w:p>
    <w:p w14:paraId="0CABCB10" w14:textId="233C6560" w:rsidR="00287338" w:rsidRDefault="00234997" w:rsidP="00B61463">
      <w:pPr>
        <w:spacing w:after="0" w:line="276" w:lineRule="auto"/>
        <w:ind w:firstLine="709"/>
        <w:jc w:val="both"/>
        <w:rPr>
          <w:rFonts w:ascii="Arial" w:eastAsia="Calibri" w:hAnsi="Arial" w:cs="Arial"/>
          <w:color w:val="000000" w:themeColor="text1"/>
          <w:szCs w:val="24"/>
          <w:lang w:val="es-ES"/>
        </w:rPr>
      </w:pPr>
      <w:r>
        <w:rPr>
          <w:rFonts w:ascii="Arial" w:eastAsia="Calibri" w:hAnsi="Arial" w:cs="Arial"/>
          <w:color w:val="000000" w:themeColor="text1"/>
          <w:szCs w:val="24"/>
          <w:lang w:val="es-ES"/>
        </w:rPr>
        <w:t>De esta manera, por regla general,</w:t>
      </w:r>
      <w:r w:rsidR="001043FB">
        <w:rPr>
          <w:rFonts w:ascii="Arial" w:eastAsia="Calibri" w:hAnsi="Arial" w:cs="Arial"/>
          <w:color w:val="000000" w:themeColor="text1"/>
          <w:szCs w:val="24"/>
          <w:lang w:val="es-ES"/>
        </w:rPr>
        <w:t xml:space="preserve"> </w:t>
      </w:r>
      <w:r>
        <w:rPr>
          <w:rFonts w:ascii="Arial" w:eastAsia="Calibri" w:hAnsi="Arial" w:cs="Arial"/>
          <w:color w:val="000000" w:themeColor="text1"/>
          <w:szCs w:val="24"/>
          <w:lang w:val="es-ES"/>
        </w:rPr>
        <w:t>e</w:t>
      </w:r>
      <w:r w:rsidR="001043FB">
        <w:rPr>
          <w:rFonts w:ascii="Arial" w:eastAsia="Calibri" w:hAnsi="Arial" w:cs="Arial"/>
          <w:color w:val="000000" w:themeColor="text1"/>
          <w:szCs w:val="24"/>
          <w:lang w:val="es-ES"/>
        </w:rPr>
        <w:t xml:space="preserve">l contenido </w:t>
      </w:r>
      <w:r w:rsidR="001A2955">
        <w:rPr>
          <w:rFonts w:ascii="Arial" w:eastAsia="Calibri" w:hAnsi="Arial" w:cs="Arial"/>
          <w:color w:val="000000" w:themeColor="text1"/>
          <w:szCs w:val="24"/>
          <w:lang w:val="es-ES"/>
        </w:rPr>
        <w:t xml:space="preserve">del </w:t>
      </w:r>
      <w:r>
        <w:rPr>
          <w:rFonts w:ascii="Arial" w:eastAsia="Calibri" w:hAnsi="Arial" w:cs="Arial"/>
          <w:color w:val="000000" w:themeColor="text1"/>
          <w:szCs w:val="24"/>
          <w:lang w:val="es-ES"/>
        </w:rPr>
        <w:t>«</w:t>
      </w:r>
      <w:r w:rsidR="001A2955">
        <w:rPr>
          <w:rFonts w:ascii="Arial" w:eastAsia="Calibri" w:hAnsi="Arial" w:cs="Arial"/>
          <w:color w:val="000000" w:themeColor="text1"/>
          <w:szCs w:val="24"/>
          <w:lang w:val="es-ES"/>
        </w:rPr>
        <w:t>Anexo 3</w:t>
      </w:r>
      <w:r>
        <w:rPr>
          <w:rFonts w:ascii="Arial" w:eastAsia="Calibri" w:hAnsi="Arial" w:cs="Arial"/>
          <w:color w:val="000000" w:themeColor="text1"/>
          <w:szCs w:val="24"/>
          <w:lang w:val="es-ES"/>
        </w:rPr>
        <w:t xml:space="preserve"> – </w:t>
      </w:r>
      <w:r w:rsidR="001A2955">
        <w:rPr>
          <w:rFonts w:ascii="Arial" w:eastAsia="Calibri" w:hAnsi="Arial" w:cs="Arial"/>
          <w:color w:val="000000" w:themeColor="text1"/>
          <w:szCs w:val="24"/>
          <w:lang w:val="es-ES"/>
        </w:rPr>
        <w:t>Glosario</w:t>
      </w:r>
      <w:r>
        <w:rPr>
          <w:rFonts w:ascii="Arial" w:eastAsia="Calibri" w:hAnsi="Arial" w:cs="Arial"/>
          <w:color w:val="000000" w:themeColor="text1"/>
          <w:szCs w:val="24"/>
          <w:lang w:val="es-ES"/>
        </w:rPr>
        <w:t xml:space="preserve">» </w:t>
      </w:r>
      <w:proofErr w:type="gramStart"/>
      <w:r>
        <w:rPr>
          <w:rFonts w:ascii="Arial" w:eastAsia="Calibri" w:hAnsi="Arial" w:cs="Arial"/>
          <w:color w:val="000000" w:themeColor="text1"/>
          <w:szCs w:val="24"/>
          <w:lang w:val="es-ES"/>
        </w:rPr>
        <w:t xml:space="preserve">es </w:t>
      </w:r>
      <w:r w:rsidR="001277A4">
        <w:rPr>
          <w:rFonts w:ascii="Arial" w:eastAsia="Calibri" w:hAnsi="Arial" w:cs="Arial"/>
          <w:color w:val="000000" w:themeColor="text1"/>
          <w:szCs w:val="24"/>
          <w:lang w:val="es-ES"/>
        </w:rPr>
        <w:t xml:space="preserve"> inmodificable</w:t>
      </w:r>
      <w:proofErr w:type="gramEnd"/>
      <w:r>
        <w:rPr>
          <w:rFonts w:ascii="Arial" w:eastAsia="Calibri" w:hAnsi="Arial" w:cs="Arial"/>
          <w:color w:val="000000" w:themeColor="text1"/>
          <w:szCs w:val="24"/>
          <w:lang w:val="es-ES"/>
        </w:rPr>
        <w:t xml:space="preserve">. </w:t>
      </w:r>
      <w:r w:rsidR="004A7C4C">
        <w:rPr>
          <w:rFonts w:ascii="Arial" w:eastAsia="Calibri" w:hAnsi="Arial" w:cs="Arial"/>
          <w:color w:val="000000" w:themeColor="text1"/>
          <w:szCs w:val="24"/>
          <w:lang w:val="es-ES"/>
        </w:rPr>
        <w:t>C</w:t>
      </w:r>
      <w:r>
        <w:rPr>
          <w:rFonts w:ascii="Arial" w:eastAsia="Calibri" w:hAnsi="Arial" w:cs="Arial"/>
          <w:color w:val="000000" w:themeColor="text1"/>
          <w:szCs w:val="24"/>
          <w:lang w:val="es-ES"/>
        </w:rPr>
        <w:t xml:space="preserve">omo dispone </w:t>
      </w:r>
      <w:r w:rsidR="004A7C4C">
        <w:rPr>
          <w:rFonts w:ascii="Arial" w:eastAsia="Calibri" w:hAnsi="Arial" w:cs="Arial"/>
          <w:color w:val="000000" w:themeColor="text1"/>
          <w:szCs w:val="24"/>
          <w:lang w:val="es-ES"/>
        </w:rPr>
        <w:t>la parte introductoria de este documento</w:t>
      </w:r>
      <w:r>
        <w:rPr>
          <w:rFonts w:ascii="Arial" w:eastAsia="Calibri" w:hAnsi="Arial" w:cs="Arial"/>
          <w:color w:val="000000" w:themeColor="text1"/>
          <w:szCs w:val="24"/>
          <w:lang w:val="es-ES"/>
        </w:rPr>
        <w:t xml:space="preserve">, la entidad puede incluir en </w:t>
      </w:r>
      <w:r w:rsidRPr="00234997">
        <w:rPr>
          <w:rFonts w:ascii="Arial" w:eastAsia="Calibri" w:hAnsi="Arial" w:cs="Arial"/>
          <w:color w:val="000000" w:themeColor="text1"/>
          <w:szCs w:val="24"/>
          <w:lang w:val="es-ES"/>
        </w:rPr>
        <w:t xml:space="preserve">orden alfabético los conceptos adicionales que aplican al </w:t>
      </w:r>
      <w:r>
        <w:rPr>
          <w:rFonts w:ascii="Arial" w:eastAsia="Calibri" w:hAnsi="Arial" w:cs="Arial"/>
          <w:color w:val="000000" w:themeColor="text1"/>
          <w:szCs w:val="24"/>
          <w:lang w:val="es-ES"/>
        </w:rPr>
        <w:t>procedimiento</w:t>
      </w:r>
      <w:r w:rsidRPr="00234997">
        <w:rPr>
          <w:rFonts w:ascii="Arial" w:eastAsia="Calibri" w:hAnsi="Arial" w:cs="Arial"/>
          <w:color w:val="000000" w:themeColor="text1"/>
          <w:szCs w:val="24"/>
          <w:lang w:val="es-ES"/>
        </w:rPr>
        <w:t xml:space="preserve"> de selección</w:t>
      </w:r>
      <w:r w:rsidR="004A7C4C">
        <w:rPr>
          <w:rFonts w:ascii="Arial" w:eastAsia="Calibri" w:hAnsi="Arial" w:cs="Arial"/>
          <w:color w:val="000000" w:themeColor="text1"/>
          <w:szCs w:val="24"/>
          <w:lang w:val="es-ES"/>
        </w:rPr>
        <w:t>. Sin embargo, lo anterior no implica una autorización para modificar las definiciones existentes en el glosario, las cuales se rigen por el principio de inalterabilidad de los documentos tipo</w:t>
      </w:r>
      <w:r w:rsidRPr="00234997">
        <w:rPr>
          <w:rFonts w:ascii="Arial" w:eastAsia="Calibri" w:hAnsi="Arial" w:cs="Arial"/>
          <w:color w:val="000000" w:themeColor="text1"/>
          <w:szCs w:val="24"/>
          <w:lang w:val="es-ES"/>
        </w:rPr>
        <w:t>.</w:t>
      </w:r>
      <w:r>
        <w:rPr>
          <w:rFonts w:ascii="Arial" w:eastAsia="Calibri" w:hAnsi="Arial" w:cs="Arial"/>
          <w:color w:val="000000" w:themeColor="text1"/>
          <w:szCs w:val="24"/>
          <w:lang w:val="es-ES"/>
        </w:rPr>
        <w:t xml:space="preserve"> </w:t>
      </w:r>
    </w:p>
    <w:p w14:paraId="0FCA3B90" w14:textId="77777777" w:rsidR="001043FB" w:rsidRPr="009070D3" w:rsidRDefault="001043FB" w:rsidP="00B61463">
      <w:pPr>
        <w:spacing w:after="0" w:line="276" w:lineRule="auto"/>
        <w:ind w:firstLine="709"/>
        <w:jc w:val="both"/>
        <w:rPr>
          <w:rFonts w:ascii="Arial" w:eastAsia="Calibri" w:hAnsi="Arial" w:cs="Arial"/>
          <w:color w:val="000000" w:themeColor="text1"/>
          <w:szCs w:val="24"/>
          <w:lang w:val="es-ES"/>
        </w:rPr>
      </w:pPr>
    </w:p>
    <w:p w14:paraId="76135FDA" w14:textId="5F09E83E" w:rsidR="009070D3" w:rsidRDefault="009070D3" w:rsidP="00B61463">
      <w:pPr>
        <w:numPr>
          <w:ilvl w:val="0"/>
          <w:numId w:val="1"/>
        </w:numPr>
        <w:tabs>
          <w:tab w:val="left" w:pos="284"/>
        </w:tabs>
        <w:spacing w:after="0" w:line="276" w:lineRule="auto"/>
        <w:contextualSpacing/>
        <w:rPr>
          <w:rFonts w:ascii="Arial" w:hAnsi="Arial" w:cs="Arial"/>
          <w:b/>
          <w:bCs/>
          <w:color w:val="000000" w:themeColor="text1"/>
          <w:lang w:val="es-ES"/>
        </w:rPr>
      </w:pPr>
      <w:r w:rsidRPr="009070D3">
        <w:rPr>
          <w:rFonts w:ascii="Arial" w:hAnsi="Arial" w:cs="Arial"/>
          <w:b/>
          <w:bCs/>
          <w:color w:val="000000" w:themeColor="text1"/>
          <w:lang w:val="es-ES"/>
        </w:rPr>
        <w:lastRenderedPageBreak/>
        <w:t xml:space="preserve">Respuesta </w:t>
      </w:r>
    </w:p>
    <w:p w14:paraId="78AC0D86" w14:textId="7B8FD61F" w:rsidR="00404378" w:rsidRDefault="00404378" w:rsidP="00B61463">
      <w:pPr>
        <w:tabs>
          <w:tab w:val="left" w:pos="284"/>
        </w:tabs>
        <w:spacing w:after="0" w:line="276" w:lineRule="auto"/>
        <w:ind w:left="360"/>
        <w:contextualSpacing/>
        <w:rPr>
          <w:rFonts w:ascii="Arial" w:hAnsi="Arial" w:cs="Arial"/>
          <w:b/>
          <w:bCs/>
          <w:color w:val="000000" w:themeColor="text1"/>
          <w:lang w:val="es-ES"/>
        </w:rPr>
      </w:pPr>
    </w:p>
    <w:p w14:paraId="3B2E9115" w14:textId="0427F960" w:rsidR="00404378" w:rsidRPr="00404378" w:rsidRDefault="00B84539" w:rsidP="00B61463">
      <w:pPr>
        <w:spacing w:after="0" w:line="240" w:lineRule="auto"/>
        <w:ind w:left="709" w:right="709"/>
        <w:jc w:val="both"/>
        <w:rPr>
          <w:rFonts w:ascii="Arial" w:eastAsia="Times New Roman" w:hAnsi="Arial" w:cs="Arial"/>
          <w:sz w:val="21"/>
          <w:szCs w:val="21"/>
        </w:rPr>
      </w:pPr>
      <w:r w:rsidRPr="00B84539">
        <w:rPr>
          <w:rFonts w:ascii="Arial" w:eastAsia="Times New Roman" w:hAnsi="Arial" w:cs="Arial"/>
          <w:sz w:val="21"/>
          <w:szCs w:val="21"/>
          <w:lang w:val="es-ES"/>
        </w:rPr>
        <w:t>Respecto a los «Documentos Tipo – Versión 2» de licitación para obras públicas de infraestructura de transporte</w:t>
      </w:r>
      <w:r w:rsidR="00AA7EBB">
        <w:rPr>
          <w:rFonts w:ascii="Arial" w:eastAsia="Times New Roman" w:hAnsi="Arial" w:cs="Arial"/>
          <w:sz w:val="21"/>
          <w:szCs w:val="21"/>
          <w:lang w:val="es-ES"/>
        </w:rPr>
        <w:t xml:space="preserve">, </w:t>
      </w:r>
      <w:r w:rsidR="004A7C4C" w:rsidRPr="004A7C4C">
        <w:rPr>
          <w:rFonts w:ascii="Arial" w:eastAsia="Times New Roman" w:hAnsi="Arial" w:cs="Arial"/>
          <w:sz w:val="21"/>
          <w:szCs w:val="21"/>
          <w:lang w:val="es-ES"/>
        </w:rPr>
        <w:t xml:space="preserve">«Si una entidad requiere como experiencia alguna actividad definida en el Anexo 3. Glosario, puede darle una definición diferente a la contenida en este documento. </w:t>
      </w:r>
      <w:proofErr w:type="gramStart"/>
      <w:r w:rsidR="004A7C4C" w:rsidRPr="004A7C4C">
        <w:rPr>
          <w:rFonts w:ascii="Arial" w:eastAsia="Times New Roman" w:hAnsi="Arial" w:cs="Arial"/>
          <w:sz w:val="21"/>
          <w:szCs w:val="21"/>
          <w:lang w:val="es-ES"/>
        </w:rPr>
        <w:t>Por ejemplo, si una entidad solicita experiencia en puentes mixtos, puede modificar la definición contenida en el glosario?</w:t>
      </w:r>
      <w:proofErr w:type="gramEnd"/>
      <w:r w:rsidR="004A7C4C" w:rsidRPr="004A7C4C">
        <w:rPr>
          <w:rFonts w:ascii="Arial" w:eastAsia="Times New Roman" w:hAnsi="Arial" w:cs="Arial"/>
          <w:sz w:val="21"/>
          <w:szCs w:val="21"/>
          <w:lang w:val="es-ES"/>
        </w:rPr>
        <w:t>»</w:t>
      </w:r>
      <w:r w:rsidR="004A7C4C">
        <w:rPr>
          <w:rFonts w:ascii="Arial" w:eastAsia="Times New Roman" w:hAnsi="Arial" w:cs="Arial"/>
          <w:sz w:val="21"/>
          <w:szCs w:val="21"/>
          <w:lang w:val="es-ES"/>
        </w:rPr>
        <w:t>.</w:t>
      </w:r>
    </w:p>
    <w:p w14:paraId="58165A9F" w14:textId="3CFA265B" w:rsidR="00404378" w:rsidRDefault="00404378" w:rsidP="00404378">
      <w:pPr>
        <w:tabs>
          <w:tab w:val="left" w:pos="284"/>
        </w:tabs>
        <w:spacing w:after="0" w:line="276" w:lineRule="auto"/>
        <w:ind w:left="360"/>
        <w:contextualSpacing/>
        <w:rPr>
          <w:rFonts w:ascii="Arial" w:hAnsi="Arial" w:cs="Arial"/>
          <w:b/>
          <w:bCs/>
          <w:color w:val="000000" w:themeColor="text1"/>
          <w:lang w:val="es-ES"/>
        </w:rPr>
      </w:pPr>
    </w:p>
    <w:p w14:paraId="2C31FEA6" w14:textId="2A7F20E9" w:rsidR="00941D2B" w:rsidRDefault="00AA7EBB" w:rsidP="00677230">
      <w:pPr>
        <w:spacing w:after="120" w:line="276" w:lineRule="auto"/>
        <w:jc w:val="both"/>
        <w:rPr>
          <w:rFonts w:ascii="Arial" w:eastAsia="Arial" w:hAnsi="Arial" w:cs="Arial"/>
          <w:lang w:eastAsia="es-CO"/>
        </w:rPr>
      </w:pPr>
      <w:r>
        <w:rPr>
          <w:rFonts w:ascii="Arial" w:hAnsi="Arial" w:cs="Arial"/>
          <w:color w:val="000000" w:themeColor="text1"/>
          <w:lang w:val="es-ES"/>
        </w:rPr>
        <w:t>E</w:t>
      </w:r>
      <w:r w:rsidR="00C91814">
        <w:rPr>
          <w:rFonts w:ascii="Arial" w:hAnsi="Arial" w:cs="Arial"/>
          <w:color w:val="000000" w:themeColor="text1"/>
          <w:lang w:val="es-ES"/>
        </w:rPr>
        <w:t>l</w:t>
      </w:r>
      <w:r w:rsidR="003F7542">
        <w:rPr>
          <w:rFonts w:ascii="Arial" w:hAnsi="Arial" w:cs="Arial"/>
          <w:color w:val="000000" w:themeColor="text1"/>
          <w:lang w:val="es-ES"/>
        </w:rPr>
        <w:t xml:space="preserve"> contenido del</w:t>
      </w:r>
      <w:r w:rsidR="00C91814">
        <w:rPr>
          <w:rFonts w:ascii="Arial" w:hAnsi="Arial" w:cs="Arial"/>
          <w:color w:val="000000" w:themeColor="text1"/>
          <w:lang w:val="es-ES"/>
        </w:rPr>
        <w:t xml:space="preserve"> </w:t>
      </w:r>
      <w:r w:rsidR="00E3530D">
        <w:rPr>
          <w:rFonts w:ascii="Arial" w:hAnsi="Arial" w:cs="Arial"/>
          <w:color w:val="000000" w:themeColor="text1"/>
          <w:lang w:val="es-ES"/>
        </w:rPr>
        <w:t>«</w:t>
      </w:r>
      <w:r w:rsidR="00C91814">
        <w:rPr>
          <w:rFonts w:ascii="Arial" w:hAnsi="Arial" w:cs="Arial"/>
          <w:color w:val="000000" w:themeColor="text1"/>
          <w:lang w:val="es-ES"/>
        </w:rPr>
        <w:t>Anexo 3</w:t>
      </w:r>
      <w:r w:rsidR="00E3530D">
        <w:rPr>
          <w:rFonts w:ascii="Arial" w:hAnsi="Arial" w:cs="Arial"/>
          <w:color w:val="000000" w:themeColor="text1"/>
          <w:lang w:val="es-ES"/>
        </w:rPr>
        <w:t xml:space="preserve"> –</w:t>
      </w:r>
      <w:r w:rsidR="00C91814">
        <w:rPr>
          <w:rFonts w:ascii="Arial" w:hAnsi="Arial" w:cs="Arial"/>
          <w:color w:val="000000" w:themeColor="text1"/>
          <w:lang w:val="es-ES"/>
        </w:rPr>
        <w:t xml:space="preserve"> Glosario</w:t>
      </w:r>
      <w:r w:rsidR="00E3530D">
        <w:rPr>
          <w:rFonts w:ascii="Arial" w:hAnsi="Arial" w:cs="Arial"/>
          <w:color w:val="000000" w:themeColor="text1"/>
          <w:lang w:val="es-ES"/>
        </w:rPr>
        <w:t xml:space="preserve">» </w:t>
      </w:r>
      <w:r w:rsidR="003F7542">
        <w:rPr>
          <w:rFonts w:ascii="Arial" w:hAnsi="Arial" w:cs="Arial"/>
          <w:color w:val="000000" w:themeColor="text1"/>
          <w:lang w:val="es-ES"/>
        </w:rPr>
        <w:t>es</w:t>
      </w:r>
      <w:r w:rsidR="00A55A6B">
        <w:rPr>
          <w:rFonts w:ascii="Arial" w:hAnsi="Arial" w:cs="Arial"/>
          <w:color w:val="000000" w:themeColor="text1"/>
          <w:lang w:val="es-ES"/>
        </w:rPr>
        <w:t xml:space="preserve"> </w:t>
      </w:r>
      <w:r w:rsidR="00E3530D">
        <w:rPr>
          <w:rFonts w:ascii="Arial" w:hAnsi="Arial" w:cs="Arial"/>
          <w:color w:val="000000" w:themeColor="text1"/>
          <w:lang w:val="es-ES"/>
        </w:rPr>
        <w:t>inmodificable</w:t>
      </w:r>
      <w:r w:rsidR="003F7542">
        <w:rPr>
          <w:rFonts w:ascii="Arial" w:hAnsi="Arial" w:cs="Arial"/>
          <w:color w:val="000000" w:themeColor="text1"/>
          <w:lang w:val="es-ES"/>
        </w:rPr>
        <w:t xml:space="preserve">, ya que –para efectos de la estandarización de los procedimientos </w:t>
      </w:r>
      <w:r w:rsidR="00B84539">
        <w:rPr>
          <w:rFonts w:ascii="Arial" w:hAnsi="Arial" w:cs="Arial"/>
          <w:color w:val="000000" w:themeColor="text1"/>
          <w:lang w:val="es-ES"/>
        </w:rPr>
        <w:t>licitación de obra pública de infraestructura de transporte</w:t>
      </w:r>
      <w:r w:rsidR="003F7542">
        <w:rPr>
          <w:rFonts w:ascii="Arial" w:hAnsi="Arial" w:cs="Arial"/>
          <w:color w:val="000000" w:themeColor="text1"/>
          <w:lang w:val="es-ES"/>
        </w:rPr>
        <w:t>– e</w:t>
      </w:r>
      <w:r w:rsidR="00A55A6B">
        <w:rPr>
          <w:rFonts w:ascii="Arial" w:hAnsi="Arial" w:cs="Arial"/>
          <w:color w:val="000000" w:themeColor="text1"/>
          <w:lang w:val="es-ES"/>
        </w:rPr>
        <w:t xml:space="preserve">l </w:t>
      </w:r>
      <w:r w:rsidR="00A55A6B" w:rsidRPr="00345A46">
        <w:rPr>
          <w:rFonts w:ascii="Arial" w:hAnsi="Arial" w:cs="Arial"/>
          <w:color w:val="000000" w:themeColor="text1"/>
        </w:rPr>
        <w:t>numeral 1.17</w:t>
      </w:r>
      <w:r w:rsidR="00E3530D">
        <w:rPr>
          <w:rFonts w:ascii="Arial" w:hAnsi="Arial" w:cs="Arial"/>
          <w:color w:val="000000" w:themeColor="text1"/>
        </w:rPr>
        <w:t>,</w:t>
      </w:r>
      <w:r w:rsidR="00A55A6B">
        <w:rPr>
          <w:rFonts w:ascii="Arial" w:hAnsi="Arial" w:cs="Arial"/>
          <w:color w:val="000000" w:themeColor="text1"/>
        </w:rPr>
        <w:t xml:space="preserve"> </w:t>
      </w:r>
      <w:r w:rsidR="00E3530D" w:rsidRPr="00345A46">
        <w:rPr>
          <w:rFonts w:ascii="Arial" w:hAnsi="Arial" w:cs="Arial"/>
          <w:color w:val="000000" w:themeColor="text1"/>
        </w:rPr>
        <w:t>literal I</w:t>
      </w:r>
      <w:r w:rsidR="00E3530D">
        <w:rPr>
          <w:rFonts w:ascii="Arial" w:hAnsi="Arial" w:cs="Arial"/>
          <w:color w:val="000000" w:themeColor="text1"/>
        </w:rPr>
        <w:t>,</w:t>
      </w:r>
      <w:r w:rsidR="00E3530D" w:rsidDel="00E3530D">
        <w:rPr>
          <w:rFonts w:ascii="Arial" w:hAnsi="Arial" w:cs="Arial"/>
          <w:color w:val="000000" w:themeColor="text1"/>
        </w:rPr>
        <w:t xml:space="preserve"> </w:t>
      </w:r>
      <w:r w:rsidR="00E3530D">
        <w:rPr>
          <w:rFonts w:ascii="Arial" w:hAnsi="Arial" w:cs="Arial"/>
          <w:color w:val="000000" w:themeColor="text1"/>
        </w:rPr>
        <w:t>del documento base dispone</w:t>
      </w:r>
      <w:r w:rsidR="00A55A6B" w:rsidRPr="00345A46">
        <w:rPr>
          <w:rFonts w:ascii="Arial" w:hAnsi="Arial" w:cs="Arial"/>
          <w:color w:val="000000" w:themeColor="text1"/>
        </w:rPr>
        <w:t xml:space="preserve"> que «</w:t>
      </w:r>
      <w:r w:rsidR="00A55A6B" w:rsidRPr="00345A46">
        <w:rPr>
          <w:rFonts w:ascii="Arial" w:eastAsia="Arial" w:hAnsi="Arial" w:cs="Arial"/>
          <w:lang w:eastAsia="es-CO"/>
        </w:rPr>
        <w:t>Los Documentos Tipo son inalterables y no se podrán incluir o modificar los Anexos, Formatos y Formularios, ni exigir soportes o requisitos adicionales; salvo cuando de forma expresa lo determinen, es decir, en los aspectos incluidos en corchetes y resaltados en gris»</w:t>
      </w:r>
      <w:r w:rsidR="00A55A6B">
        <w:rPr>
          <w:rFonts w:ascii="Arial" w:eastAsia="Arial" w:hAnsi="Arial" w:cs="Arial"/>
          <w:lang w:eastAsia="es-CO"/>
        </w:rPr>
        <w:t xml:space="preserve">. </w:t>
      </w:r>
    </w:p>
    <w:p w14:paraId="532C8173" w14:textId="32984B2B" w:rsidR="00941D2B" w:rsidRDefault="00941D2B" w:rsidP="00677230">
      <w:pPr>
        <w:spacing w:after="120" w:line="276" w:lineRule="auto"/>
        <w:ind w:firstLine="709"/>
        <w:jc w:val="both"/>
        <w:rPr>
          <w:rFonts w:ascii="Arial" w:eastAsia="Arial" w:hAnsi="Arial" w:cs="Arial"/>
          <w:lang w:eastAsia="es-CO"/>
        </w:rPr>
      </w:pPr>
      <w:r w:rsidRPr="00941D2B">
        <w:rPr>
          <w:rFonts w:ascii="Arial" w:eastAsia="Arial" w:hAnsi="Arial" w:cs="Arial"/>
          <w:lang w:eastAsia="es-CO"/>
        </w:rPr>
        <w:t xml:space="preserve">Al respecto, la introducción del «Anexo 3 – Glosario» dispone que «[La Entidad deberá incluir en orden alfabético los conceptos adicionales que aplican al proceso de selección que no estén incluidos en el presente anexo con su respectiva fuente]». En este orden de ideas, aunque sea posible incluir términos adicionales en el anexo, las entidades no pueden modificar el contenido de </w:t>
      </w:r>
      <w:r w:rsidR="00721017">
        <w:rPr>
          <w:rFonts w:ascii="Arial" w:eastAsia="Arial" w:hAnsi="Arial" w:cs="Arial"/>
          <w:lang w:eastAsia="es-CO"/>
        </w:rPr>
        <w:t>los conceptos previstos</w:t>
      </w:r>
      <w:r w:rsidRPr="00941D2B">
        <w:rPr>
          <w:rFonts w:ascii="Arial" w:eastAsia="Arial" w:hAnsi="Arial" w:cs="Arial"/>
          <w:lang w:eastAsia="es-CO"/>
        </w:rPr>
        <w:t xml:space="preserve"> en el glosario</w:t>
      </w:r>
      <w:r w:rsidR="00721017">
        <w:rPr>
          <w:rFonts w:ascii="Arial" w:eastAsia="Arial" w:hAnsi="Arial" w:cs="Arial"/>
          <w:lang w:eastAsia="es-CO"/>
        </w:rPr>
        <w:t>.</w:t>
      </w:r>
    </w:p>
    <w:p w14:paraId="188A4F2E" w14:textId="2AA2DEFD" w:rsidR="003F7542" w:rsidRDefault="003F7542" w:rsidP="00677230">
      <w:pPr>
        <w:spacing w:after="0" w:line="276" w:lineRule="auto"/>
        <w:ind w:firstLine="708"/>
        <w:jc w:val="both"/>
        <w:rPr>
          <w:rFonts w:ascii="Arial" w:eastAsia="Arial" w:hAnsi="Arial" w:cs="Arial"/>
          <w:lang w:eastAsia="es-CO"/>
        </w:rPr>
      </w:pPr>
      <w:r>
        <w:rPr>
          <w:rFonts w:ascii="Arial" w:eastAsia="Arial" w:hAnsi="Arial" w:cs="Arial"/>
          <w:lang w:eastAsia="es-CO"/>
        </w:rPr>
        <w:t xml:space="preserve">En efecto, </w:t>
      </w:r>
      <w:r w:rsidRPr="003F7542">
        <w:rPr>
          <w:rFonts w:ascii="Arial" w:eastAsia="Arial" w:hAnsi="Arial" w:cs="Arial"/>
          <w:lang w:eastAsia="es-CO"/>
        </w:rPr>
        <w:t xml:space="preserve">el anexo define el </w:t>
      </w:r>
      <w:r w:rsidRPr="003F7542">
        <w:rPr>
          <w:rFonts w:ascii="Arial" w:eastAsia="Arial" w:hAnsi="Arial" w:cs="Arial"/>
          <w:i/>
          <w:iCs/>
          <w:lang w:eastAsia="es-CO"/>
        </w:rPr>
        <w:t>puente mixto</w:t>
      </w:r>
      <w:r w:rsidRPr="003F7542">
        <w:rPr>
          <w:rFonts w:ascii="Arial" w:eastAsia="Arial" w:hAnsi="Arial" w:cs="Arial"/>
          <w:lang w:eastAsia="es-CO"/>
        </w:rPr>
        <w:t xml:space="preserve"> como «[…] aquel que teniendo mínimo dos luces, una de ellas es metálica y la otra en concreto hidráulico». Al encontrarse esta definición de forma explícita en el glosario y al no estar entre corchetes </w:t>
      </w:r>
      <w:r>
        <w:rPr>
          <w:rFonts w:ascii="Arial" w:eastAsia="Arial" w:hAnsi="Arial" w:cs="Arial"/>
          <w:lang w:eastAsia="es-CO"/>
        </w:rPr>
        <w:t>ni</w:t>
      </w:r>
      <w:r w:rsidRPr="003F7542">
        <w:rPr>
          <w:rFonts w:ascii="Arial" w:eastAsia="Arial" w:hAnsi="Arial" w:cs="Arial"/>
          <w:lang w:eastAsia="es-CO"/>
        </w:rPr>
        <w:t xml:space="preserve"> resaltado en gris, las entidades deberán sujetarse a su contenido </w:t>
      </w:r>
      <w:r w:rsidR="0042595F">
        <w:rPr>
          <w:rFonts w:ascii="Arial" w:eastAsia="Arial" w:hAnsi="Arial" w:cs="Arial"/>
          <w:lang w:eastAsia="es-CO"/>
        </w:rPr>
        <w:t>en los términos anteriormente expuestos.</w:t>
      </w:r>
    </w:p>
    <w:p w14:paraId="739C29FE" w14:textId="77777777" w:rsidR="004A20E5" w:rsidRDefault="004A20E5" w:rsidP="00677230">
      <w:pPr>
        <w:spacing w:after="120" w:line="276" w:lineRule="auto"/>
        <w:jc w:val="both"/>
        <w:rPr>
          <w:rFonts w:ascii="Arial" w:eastAsia="Arial" w:hAnsi="Arial" w:cs="Arial"/>
          <w:lang w:eastAsia="es-CO"/>
        </w:rPr>
      </w:pPr>
    </w:p>
    <w:p w14:paraId="639E4D85" w14:textId="7EB511CD" w:rsidR="00A326C3" w:rsidRPr="00A326C3" w:rsidRDefault="00721017">
      <w:pPr>
        <w:spacing w:after="0" w:line="276" w:lineRule="auto"/>
        <w:jc w:val="both"/>
        <w:rPr>
          <w:rFonts w:ascii="Arial" w:hAnsi="Arial" w:cs="Arial"/>
          <w:color w:val="000000" w:themeColor="text1"/>
          <w:lang w:val="es-ES"/>
        </w:rPr>
      </w:pPr>
      <w:r w:rsidRPr="00721017">
        <w:rPr>
          <w:rFonts w:ascii="Arial" w:hAnsi="Arial" w:cs="Arial"/>
          <w:color w:val="000000" w:themeColor="text1"/>
          <w:lang w:val="es-ES"/>
        </w:rPr>
        <w:t>Este concepto tiene el alcance previsto en el artículo 28 del Código de Procedimiento Administrativo y de lo Contencioso Administrativo</w:t>
      </w:r>
      <w:r w:rsidR="009756B4">
        <w:rPr>
          <w:rFonts w:ascii="Arial" w:hAnsi="Arial" w:cs="Arial"/>
          <w:color w:val="000000" w:themeColor="text1"/>
          <w:lang w:val="es-ES"/>
        </w:rPr>
        <w:t>.</w:t>
      </w:r>
    </w:p>
    <w:p w14:paraId="605125EE" w14:textId="77777777" w:rsidR="009070D3" w:rsidRPr="009070D3" w:rsidRDefault="009070D3" w:rsidP="00A55A6B">
      <w:pPr>
        <w:spacing w:after="0" w:line="240" w:lineRule="auto"/>
        <w:ind w:right="709"/>
        <w:jc w:val="both"/>
        <w:rPr>
          <w:rFonts w:ascii="Arial" w:eastAsia="Calibri" w:hAnsi="Arial" w:cs="Arial"/>
          <w:color w:val="000000" w:themeColor="text1"/>
          <w:sz w:val="21"/>
          <w:szCs w:val="21"/>
          <w:lang w:val="es-ES"/>
        </w:rPr>
      </w:pPr>
    </w:p>
    <w:bookmarkEnd w:id="0"/>
    <w:bookmarkEnd w:id="1"/>
    <w:p w14:paraId="62FF2F3C" w14:textId="36E1EB79" w:rsidR="009070D3" w:rsidRDefault="00102925" w:rsidP="009070D3">
      <w:pPr>
        <w:spacing w:after="0" w:line="240" w:lineRule="auto"/>
        <w:jc w:val="center"/>
        <w:rPr>
          <w:rFonts w:ascii="Times New Roman" w:eastAsia="Times New Roman" w:hAnsi="Times New Roman" w:cs="Times New Roman"/>
          <w:sz w:val="24"/>
          <w:szCs w:val="24"/>
          <w:lang w:val="es-ES"/>
        </w:rPr>
      </w:pPr>
      <w:r>
        <w:rPr>
          <w:rFonts w:ascii="Arial" w:hAnsi="Arial" w:cs="Arial"/>
          <w:noProof/>
          <w:color w:val="000000" w:themeColor="text1"/>
          <w:sz w:val="18"/>
          <w:szCs w:val="20"/>
        </w:rPr>
        <w:drawing>
          <wp:inline distT="0" distB="0" distL="0" distR="0" wp14:anchorId="14136537" wp14:editId="471EA3CE">
            <wp:extent cx="2047297" cy="905774"/>
            <wp:effectExtent l="0" t="0" r="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0A054AB8" w14:textId="77777777" w:rsidR="009756B4" w:rsidRDefault="009756B4" w:rsidP="009070D3">
      <w:pPr>
        <w:spacing w:after="0" w:line="240" w:lineRule="auto"/>
        <w:jc w:val="center"/>
        <w:rPr>
          <w:rFonts w:ascii="Times New Roman" w:eastAsia="Times New Roman" w:hAnsi="Times New Roman" w:cs="Times New Roman"/>
          <w:sz w:val="24"/>
          <w:szCs w:val="24"/>
          <w:lang w:val="es-ES"/>
        </w:rPr>
      </w:pPr>
    </w:p>
    <w:tbl>
      <w:tblPr>
        <w:tblStyle w:val="Tablaconcuadrc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858"/>
      </w:tblGrid>
      <w:tr w:rsidR="009070D3" w:rsidRPr="009070D3" w14:paraId="4A9B4A4B" w14:textId="77777777" w:rsidTr="003F7542">
        <w:trPr>
          <w:trHeight w:val="315"/>
        </w:trPr>
        <w:tc>
          <w:tcPr>
            <w:tcW w:w="812" w:type="dxa"/>
            <w:vAlign w:val="center"/>
            <w:hideMark/>
          </w:tcPr>
          <w:p w14:paraId="72C3F127" w14:textId="77777777"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color w:val="000000" w:themeColor="text1"/>
                <w:sz w:val="16"/>
                <w:szCs w:val="16"/>
                <w:lang w:val="es-ES" w:eastAsia="es-ES"/>
              </w:rPr>
              <w:t>Elaboró:</w:t>
            </w:r>
          </w:p>
        </w:tc>
        <w:tc>
          <w:tcPr>
            <w:tcW w:w="4858" w:type="dxa"/>
            <w:tcBorders>
              <w:top w:val="nil"/>
              <w:left w:val="nil"/>
              <w:bottom w:val="dotted" w:sz="4" w:space="0" w:color="7F7F7F" w:themeColor="text1" w:themeTint="80"/>
              <w:right w:val="nil"/>
            </w:tcBorders>
            <w:vAlign w:val="center"/>
            <w:hideMark/>
          </w:tcPr>
          <w:p w14:paraId="620755A2" w14:textId="25C60D91"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color w:val="000000" w:themeColor="text1"/>
                <w:sz w:val="16"/>
                <w:szCs w:val="16"/>
                <w:lang w:val="es-ES" w:eastAsia="es-ES"/>
              </w:rPr>
              <w:t xml:space="preserve">Carlos Mario </w:t>
            </w:r>
            <w:r w:rsidR="00820067" w:rsidRPr="009070D3">
              <w:rPr>
                <w:rFonts w:ascii="Arial" w:eastAsia="Times New Roman" w:hAnsi="Arial" w:cs="Arial"/>
                <w:color w:val="000000" w:themeColor="text1"/>
                <w:sz w:val="16"/>
                <w:szCs w:val="16"/>
                <w:lang w:val="es-ES" w:eastAsia="es-ES"/>
              </w:rPr>
              <w:t>Castrillón</w:t>
            </w:r>
            <w:r w:rsidRPr="009070D3">
              <w:rPr>
                <w:rFonts w:ascii="Arial" w:eastAsia="Times New Roman" w:hAnsi="Arial" w:cs="Arial"/>
                <w:color w:val="000000" w:themeColor="text1"/>
                <w:sz w:val="16"/>
                <w:szCs w:val="16"/>
                <w:lang w:val="es-ES" w:eastAsia="es-ES"/>
              </w:rPr>
              <w:t xml:space="preserve"> Endo</w:t>
            </w:r>
          </w:p>
          <w:p w14:paraId="4E6D1A6B" w14:textId="77777777"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color w:val="000000" w:themeColor="text1"/>
                <w:sz w:val="16"/>
                <w:szCs w:val="16"/>
                <w:lang w:val="es-ES" w:eastAsia="es-ES"/>
              </w:rPr>
              <w:t>Contratista de la Subdirección de Gestión Contractual</w:t>
            </w:r>
          </w:p>
        </w:tc>
      </w:tr>
      <w:tr w:rsidR="009070D3" w:rsidRPr="009070D3" w14:paraId="70A4C111" w14:textId="77777777" w:rsidTr="00B61463">
        <w:trPr>
          <w:trHeight w:val="70"/>
        </w:trPr>
        <w:tc>
          <w:tcPr>
            <w:tcW w:w="812" w:type="dxa"/>
            <w:vAlign w:val="center"/>
            <w:hideMark/>
          </w:tcPr>
          <w:p w14:paraId="427E0DC4" w14:textId="77777777"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color w:val="000000" w:themeColor="text1"/>
                <w:sz w:val="16"/>
                <w:szCs w:val="16"/>
                <w:lang w:val="es-ES" w:eastAsia="es-ES"/>
              </w:rPr>
              <w:t>Revisó:</w:t>
            </w:r>
          </w:p>
        </w:tc>
        <w:tc>
          <w:tcPr>
            <w:tcW w:w="4858" w:type="dxa"/>
            <w:tcBorders>
              <w:top w:val="dotted" w:sz="4" w:space="0" w:color="7F7F7F" w:themeColor="text1" w:themeTint="80"/>
              <w:left w:val="nil"/>
              <w:bottom w:val="dotted" w:sz="4" w:space="0" w:color="7F7F7F" w:themeColor="text1" w:themeTint="80"/>
              <w:right w:val="nil"/>
            </w:tcBorders>
            <w:vAlign w:val="center"/>
          </w:tcPr>
          <w:p w14:paraId="4BEBD58F" w14:textId="01B5D09D" w:rsidR="009070D3" w:rsidRDefault="009070D3" w:rsidP="009070D3">
            <w:pPr>
              <w:rPr>
                <w:rFonts w:ascii="Arial" w:eastAsia="Times New Roman" w:hAnsi="Arial" w:cs="Arial"/>
                <w:color w:val="000000" w:themeColor="text1"/>
                <w:sz w:val="16"/>
                <w:szCs w:val="16"/>
                <w:lang w:val="es-ES" w:eastAsia="es-ES"/>
              </w:rPr>
            </w:pPr>
            <w:r>
              <w:rPr>
                <w:rFonts w:ascii="Arial" w:eastAsia="Times New Roman" w:hAnsi="Arial" w:cs="Arial"/>
                <w:color w:val="000000" w:themeColor="text1"/>
                <w:sz w:val="16"/>
                <w:szCs w:val="16"/>
                <w:lang w:val="es-ES" w:eastAsia="es-ES"/>
              </w:rPr>
              <w:t>Juan David Montoya Penagos</w:t>
            </w:r>
          </w:p>
          <w:p w14:paraId="34F686F9" w14:textId="3A033B15"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sz w:val="16"/>
                <w:szCs w:val="16"/>
                <w:lang w:eastAsia="es-CO"/>
              </w:rPr>
              <w:t xml:space="preserve">Gestor T1 – 15 </w:t>
            </w:r>
            <w:r w:rsidR="00721017">
              <w:rPr>
                <w:rFonts w:ascii="Arial" w:eastAsia="Times New Roman" w:hAnsi="Arial" w:cs="Arial"/>
                <w:sz w:val="16"/>
                <w:szCs w:val="16"/>
                <w:lang w:eastAsia="es-CO"/>
              </w:rPr>
              <w:t xml:space="preserve">de la </w:t>
            </w:r>
            <w:r w:rsidRPr="009070D3">
              <w:rPr>
                <w:rFonts w:ascii="Arial" w:eastAsia="Times New Roman" w:hAnsi="Arial" w:cs="Arial"/>
                <w:color w:val="000000" w:themeColor="text1"/>
                <w:sz w:val="16"/>
                <w:szCs w:val="16"/>
                <w:lang w:val="es-ES" w:eastAsia="es-ES"/>
              </w:rPr>
              <w:t>Subdirección de Gestión Contractual</w:t>
            </w:r>
          </w:p>
        </w:tc>
      </w:tr>
      <w:tr w:rsidR="009070D3" w:rsidRPr="009070D3" w14:paraId="32AD8C3A" w14:textId="77777777" w:rsidTr="003F7542">
        <w:trPr>
          <w:trHeight w:val="300"/>
        </w:trPr>
        <w:tc>
          <w:tcPr>
            <w:tcW w:w="812" w:type="dxa"/>
            <w:vAlign w:val="center"/>
            <w:hideMark/>
          </w:tcPr>
          <w:p w14:paraId="7B8F955E" w14:textId="77777777"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color w:val="000000" w:themeColor="text1"/>
                <w:sz w:val="16"/>
                <w:szCs w:val="16"/>
                <w:lang w:val="es-ES" w:eastAsia="es-ES"/>
              </w:rPr>
              <w:t>Aprobó:</w:t>
            </w:r>
          </w:p>
        </w:tc>
        <w:tc>
          <w:tcPr>
            <w:tcW w:w="4858" w:type="dxa"/>
            <w:tcBorders>
              <w:top w:val="dotted" w:sz="4" w:space="0" w:color="7F7F7F" w:themeColor="text1" w:themeTint="80"/>
              <w:left w:val="nil"/>
              <w:bottom w:val="dotted" w:sz="4" w:space="0" w:color="7F7F7F" w:themeColor="text1" w:themeTint="80"/>
              <w:right w:val="nil"/>
            </w:tcBorders>
            <w:vAlign w:val="center"/>
            <w:hideMark/>
          </w:tcPr>
          <w:p w14:paraId="4E624271" w14:textId="77777777"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color w:val="000000" w:themeColor="text1"/>
                <w:sz w:val="16"/>
                <w:szCs w:val="16"/>
                <w:lang w:val="es-ES" w:eastAsia="es-ES"/>
              </w:rPr>
              <w:t>Jorge Augusto Tirado Navarro</w:t>
            </w:r>
          </w:p>
          <w:p w14:paraId="2A9BB64E" w14:textId="77777777" w:rsidR="009070D3" w:rsidRPr="009070D3" w:rsidRDefault="009070D3" w:rsidP="009070D3">
            <w:pPr>
              <w:rPr>
                <w:rFonts w:ascii="Arial" w:eastAsia="Times New Roman" w:hAnsi="Arial" w:cs="Arial"/>
                <w:color w:val="000000" w:themeColor="text1"/>
                <w:sz w:val="16"/>
                <w:szCs w:val="16"/>
                <w:lang w:val="es-ES" w:eastAsia="es-ES"/>
              </w:rPr>
            </w:pPr>
            <w:r w:rsidRPr="009070D3">
              <w:rPr>
                <w:rFonts w:ascii="Arial" w:eastAsia="Times New Roman" w:hAnsi="Arial" w:cs="Arial"/>
                <w:color w:val="000000" w:themeColor="text1"/>
                <w:sz w:val="16"/>
                <w:szCs w:val="16"/>
                <w:lang w:val="es-ES" w:eastAsia="es-ES"/>
              </w:rPr>
              <w:t>Subdirector de Gestión Contractual ANCP – CCE</w:t>
            </w:r>
          </w:p>
        </w:tc>
      </w:tr>
    </w:tbl>
    <w:p w14:paraId="46E96842" w14:textId="77777777" w:rsidR="009070D3" w:rsidRPr="009070D3" w:rsidRDefault="009070D3" w:rsidP="009756B4">
      <w:pPr>
        <w:spacing w:after="0" w:line="240" w:lineRule="auto"/>
        <w:rPr>
          <w:rFonts w:ascii="Times New Roman" w:eastAsia="Times New Roman" w:hAnsi="Times New Roman" w:cs="Times New Roman"/>
          <w:color w:val="000000" w:themeColor="text1"/>
          <w:sz w:val="24"/>
          <w:szCs w:val="24"/>
          <w:lang w:val="es-ES"/>
        </w:rPr>
      </w:pPr>
    </w:p>
    <w:sectPr w:rsidR="009070D3" w:rsidRPr="009070D3">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F0A79" w14:textId="77777777" w:rsidR="00B55EB5" w:rsidRDefault="00B55EB5" w:rsidP="009070D3">
      <w:pPr>
        <w:spacing w:after="0" w:line="240" w:lineRule="auto"/>
      </w:pPr>
      <w:r>
        <w:separator/>
      </w:r>
    </w:p>
  </w:endnote>
  <w:endnote w:type="continuationSeparator" w:id="0">
    <w:p w14:paraId="78F59858" w14:textId="77777777" w:rsidR="00B55EB5" w:rsidRDefault="00B55EB5" w:rsidP="009070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884BE" w14:textId="77777777" w:rsidR="003F7542" w:rsidRDefault="003F7542" w:rsidP="003F7542">
    <w:pPr>
      <w:pStyle w:val="Piedepgina"/>
      <w:jc w:val="right"/>
      <w:rPr>
        <w:rFonts w:ascii="Arial" w:hAnsi="Arial" w:cs="Arial"/>
        <w:bCs/>
        <w:color w:val="7F7F7F" w:themeColor="text1" w:themeTint="80"/>
        <w:sz w:val="16"/>
        <w:szCs w:val="16"/>
      </w:rPr>
    </w:pPr>
  </w:p>
  <w:p w14:paraId="7EDF2D0B" w14:textId="384D56D2" w:rsidR="003F7542" w:rsidRPr="008217B7" w:rsidRDefault="003F7542" w:rsidP="003F754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52CFF1A3" w14:textId="7E8DE4D1" w:rsidR="003F7542" w:rsidRDefault="003F7542" w:rsidP="003F7542">
    <w:pPr>
      <w:pStyle w:val="Piedepgina"/>
      <w:jc w:val="center"/>
      <w:rPr>
        <w:lang w:val="es-ES"/>
      </w:rPr>
    </w:pPr>
    <w:r>
      <w:rPr>
        <w:noProof/>
        <w:lang w:eastAsia="es-CO"/>
      </w:rPr>
      <w:drawing>
        <wp:inline distT="0" distB="0" distL="0" distR="0" wp14:anchorId="0A9186F5" wp14:editId="0BF30BE5">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3C254" w14:textId="77777777" w:rsidR="00B55EB5" w:rsidRDefault="00B55EB5" w:rsidP="009070D3">
      <w:pPr>
        <w:spacing w:after="0" w:line="240" w:lineRule="auto"/>
      </w:pPr>
      <w:r>
        <w:separator/>
      </w:r>
    </w:p>
  </w:footnote>
  <w:footnote w:type="continuationSeparator" w:id="0">
    <w:p w14:paraId="4F005EE1" w14:textId="77777777" w:rsidR="00B55EB5" w:rsidRDefault="00B55EB5" w:rsidP="009070D3">
      <w:pPr>
        <w:spacing w:after="0" w:line="240" w:lineRule="auto"/>
      </w:pPr>
      <w:r>
        <w:continuationSeparator/>
      </w:r>
    </w:p>
  </w:footnote>
  <w:footnote w:id="1">
    <w:p w14:paraId="1454116E" w14:textId="77777777" w:rsidR="003F7542" w:rsidRDefault="003F7542" w:rsidP="00D37724">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782D54F1" w14:textId="77777777" w:rsidR="003F7542" w:rsidRDefault="003F7542" w:rsidP="00D37724">
      <w:pPr>
        <w:pStyle w:val="Textonotapie"/>
        <w:ind w:firstLine="708"/>
        <w:jc w:val="both"/>
        <w:rPr>
          <w:rFonts w:ascii="Arial" w:hAnsi="Arial" w:cs="Arial"/>
          <w:sz w:val="19"/>
          <w:szCs w:val="19"/>
        </w:rPr>
      </w:pPr>
    </w:p>
  </w:footnote>
  <w:footnote w:id="2">
    <w:p w14:paraId="7E20934A" w14:textId="77777777" w:rsidR="003F7542" w:rsidRDefault="003F7542" w:rsidP="00D37724">
      <w:pPr>
        <w:pStyle w:val="Textonotapie"/>
        <w:ind w:firstLine="708"/>
        <w:jc w:val="both"/>
        <w:rPr>
          <w:rFonts w:ascii="Arial" w:eastAsia="Calibri" w:hAnsi="Arial" w:cs="Arial"/>
          <w:sz w:val="19"/>
          <w:szCs w:val="19"/>
        </w:rPr>
      </w:pPr>
      <w:r>
        <w:rPr>
          <w:rStyle w:val="Refdenotaalpie"/>
          <w:rFonts w:ascii="Arial" w:hAnsi="Arial" w:cs="Arial"/>
          <w:sz w:val="19"/>
          <w:szCs w:val="19"/>
        </w:rPr>
        <w:footnoteRef/>
      </w:r>
      <w:r>
        <w:rPr>
          <w:rFonts w:ascii="Arial" w:hAnsi="Arial" w:cs="Arial"/>
          <w:sz w:val="19"/>
          <w:szCs w:val="19"/>
        </w:rPr>
        <w:t xml:space="preserve"> </w:t>
      </w:r>
      <w:r>
        <w:rPr>
          <w:rFonts w:ascii="Arial" w:eastAsia="Calibri" w:hAnsi="Arial" w:cs="Arial"/>
          <w:sz w:val="19"/>
          <w:szCs w:val="19"/>
        </w:rPr>
        <w:t xml:space="preserve">Diario Oficial. Gaceta del Congreso 458 de 2005. </w:t>
      </w:r>
    </w:p>
    <w:p w14:paraId="42BF73E5" w14:textId="77777777" w:rsidR="003F7542" w:rsidRDefault="003F7542" w:rsidP="00D37724">
      <w:pPr>
        <w:pStyle w:val="Textonotapie"/>
        <w:ind w:firstLine="708"/>
        <w:jc w:val="both"/>
        <w:rPr>
          <w:rFonts w:ascii="Arial" w:hAnsi="Arial" w:cs="Arial"/>
          <w:sz w:val="19"/>
          <w:szCs w:val="19"/>
          <w:lang w:val="es-ES"/>
        </w:rPr>
      </w:pPr>
    </w:p>
  </w:footnote>
  <w:footnote w:id="3">
    <w:p w14:paraId="45CDF554" w14:textId="77777777" w:rsidR="003F7542" w:rsidRDefault="003F7542" w:rsidP="00D37724">
      <w:pPr>
        <w:pStyle w:val="Textonotapie"/>
        <w:ind w:left="708"/>
        <w:jc w:val="both"/>
        <w:rPr>
          <w:rFonts w:ascii="Arial" w:hAnsi="Arial" w:cs="Arial"/>
          <w:sz w:val="19"/>
          <w:szCs w:val="19"/>
          <w:lang w:val="es-ES"/>
        </w:rPr>
      </w:pPr>
      <w:r>
        <w:rPr>
          <w:rFonts w:ascii="Arial" w:hAnsi="Arial" w:cs="Arial"/>
          <w:sz w:val="19"/>
          <w:szCs w:val="19"/>
          <w:vertAlign w:val="superscript"/>
          <w:lang w:val="es-ES"/>
        </w:rPr>
        <w:footnoteRef/>
      </w:r>
      <w:r>
        <w:rPr>
          <w:rFonts w:ascii="Arial" w:hAnsi="Arial" w:cs="Arial"/>
          <w:sz w:val="19"/>
          <w:szCs w:val="19"/>
          <w:vertAlign w:val="superscript"/>
          <w:lang w:val="es-ES"/>
        </w:rPr>
        <w:t xml:space="preserve"> </w:t>
      </w:r>
      <w:proofErr w:type="spellStart"/>
      <w:r>
        <w:rPr>
          <w:rFonts w:ascii="Arial" w:hAnsi="Arial" w:cs="Arial"/>
          <w:i/>
          <w:iCs/>
          <w:sz w:val="19"/>
          <w:szCs w:val="19"/>
          <w:lang w:val="es-ES"/>
        </w:rPr>
        <w:t>Ibídem</w:t>
      </w:r>
      <w:proofErr w:type="spellEnd"/>
      <w:r>
        <w:rPr>
          <w:rFonts w:ascii="Arial" w:hAnsi="Arial" w:cs="Arial"/>
          <w:sz w:val="19"/>
          <w:szCs w:val="19"/>
          <w:lang w:val="es-ES"/>
        </w:rPr>
        <w:t xml:space="preserve">. </w:t>
      </w:r>
    </w:p>
    <w:p w14:paraId="094968E4" w14:textId="77777777" w:rsidR="003F7542" w:rsidRDefault="003F7542" w:rsidP="00D37724">
      <w:pPr>
        <w:pStyle w:val="Textonotapie"/>
        <w:ind w:left="708"/>
        <w:jc w:val="both"/>
        <w:rPr>
          <w:rFonts w:ascii="Arial" w:hAnsi="Arial" w:cs="Arial"/>
          <w:sz w:val="19"/>
          <w:szCs w:val="19"/>
          <w:lang w:val="es-ES"/>
        </w:rPr>
      </w:pPr>
    </w:p>
  </w:footnote>
  <w:footnote w:id="4">
    <w:p w14:paraId="6049B058" w14:textId="77777777" w:rsidR="003F7542" w:rsidRDefault="003F7542" w:rsidP="00D37724">
      <w:pPr>
        <w:pStyle w:val="Textonotapie"/>
        <w:ind w:firstLine="708"/>
        <w:jc w:val="both"/>
        <w:rPr>
          <w:rFonts w:ascii="Arial" w:hAnsi="Arial" w:cs="Arial"/>
          <w:sz w:val="19"/>
          <w:szCs w:val="19"/>
          <w:lang w:val="es-ES"/>
        </w:rPr>
      </w:pPr>
      <w:r>
        <w:rPr>
          <w:rFonts w:ascii="Arial" w:hAnsi="Arial" w:cs="Arial"/>
          <w:sz w:val="19"/>
          <w:szCs w:val="19"/>
          <w:vertAlign w:val="superscript"/>
          <w:lang w:val="es-ES"/>
        </w:rPr>
        <w:footnoteRef/>
      </w:r>
      <w:r>
        <w:rPr>
          <w:rFonts w:ascii="Arial" w:hAnsi="Arial" w:cs="Arial"/>
          <w:sz w:val="19"/>
          <w:szCs w:val="19"/>
          <w:lang w:val="es-ES"/>
        </w:rPr>
        <w:t xml:space="preserve"> Diario Oficial.</w:t>
      </w:r>
      <w:r>
        <w:rPr>
          <w:rFonts w:ascii="Arial" w:hAnsi="Arial" w:cs="Arial"/>
          <w:sz w:val="19"/>
          <w:szCs w:val="19"/>
          <w:lang w:val="es-ES"/>
        </w:rPr>
        <w:t xml:space="preserve"> Gaceta del Congreso 416 de 2007, Informe de Conciliación Senado.</w:t>
      </w:r>
    </w:p>
    <w:p w14:paraId="05FEFEAF" w14:textId="77777777" w:rsidR="003F7542" w:rsidRDefault="003F7542" w:rsidP="00D37724">
      <w:pPr>
        <w:pStyle w:val="Textonotapie"/>
        <w:ind w:firstLine="708"/>
        <w:jc w:val="both"/>
        <w:rPr>
          <w:rFonts w:ascii="Arial" w:hAnsi="Arial" w:cs="Arial"/>
          <w:sz w:val="19"/>
          <w:szCs w:val="19"/>
          <w:lang w:val="es-ES"/>
        </w:rPr>
      </w:pPr>
      <w:r>
        <w:rPr>
          <w:rFonts w:ascii="Arial" w:hAnsi="Arial" w:cs="Arial"/>
          <w:sz w:val="19"/>
          <w:szCs w:val="19"/>
          <w:lang w:val="es-ES"/>
        </w:rPr>
        <w:t xml:space="preserve"> </w:t>
      </w:r>
    </w:p>
  </w:footnote>
  <w:footnote w:id="5">
    <w:p w14:paraId="227D2378" w14:textId="77777777" w:rsidR="003F7542" w:rsidRDefault="003F7542" w:rsidP="00D37724">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5C6664C" w14:textId="77777777" w:rsidR="003F7542" w:rsidRDefault="003F7542" w:rsidP="00D37724">
      <w:pPr>
        <w:pStyle w:val="Textonotapie"/>
        <w:ind w:firstLine="708"/>
        <w:jc w:val="both"/>
        <w:rPr>
          <w:rFonts w:ascii="Arial" w:hAnsi="Arial" w:cs="Arial"/>
          <w:sz w:val="19"/>
          <w:szCs w:val="19"/>
        </w:rPr>
      </w:pPr>
      <w:r>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74F31D3" w14:textId="77777777" w:rsidR="003F7542" w:rsidRDefault="003F7542" w:rsidP="00D37724">
      <w:pPr>
        <w:pStyle w:val="Textonotapie"/>
        <w:ind w:firstLine="708"/>
        <w:jc w:val="both"/>
        <w:rPr>
          <w:rFonts w:ascii="Arial" w:hAnsi="Arial" w:cs="Arial"/>
          <w:sz w:val="19"/>
          <w:szCs w:val="19"/>
        </w:rPr>
      </w:pPr>
      <w:r>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43738AD" w14:textId="77777777" w:rsidR="003F7542" w:rsidRDefault="003F7542" w:rsidP="00D37724">
      <w:pPr>
        <w:pStyle w:val="Textonotapie"/>
        <w:ind w:firstLine="708"/>
        <w:jc w:val="both"/>
        <w:rPr>
          <w:rFonts w:ascii="Arial" w:hAnsi="Arial" w:cs="Arial"/>
          <w:sz w:val="19"/>
          <w:szCs w:val="19"/>
        </w:rPr>
      </w:pPr>
      <w:r>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9283A26" w14:textId="46347C17" w:rsidR="003F7542" w:rsidRPr="00677230" w:rsidRDefault="003F7542">
      <w:pPr>
        <w:pStyle w:val="Textonotapie"/>
        <w:ind w:firstLine="708"/>
        <w:jc w:val="both"/>
        <w:rPr>
          <w:rFonts w:ascii="Arial" w:hAnsi="Arial" w:cs="Arial"/>
          <w:sz w:val="19"/>
          <w:szCs w:val="19"/>
        </w:rPr>
      </w:pPr>
      <w:proofErr w:type="gramStart"/>
      <w:r>
        <w:rPr>
          <w:rFonts w:ascii="Arial" w:hAnsi="Arial" w:cs="Arial"/>
          <w:sz w:val="19"/>
          <w:szCs w:val="19"/>
        </w:rPr>
        <w:t>»En</w:t>
      </w:r>
      <w:proofErr w:type="gramEnd"/>
      <w:r>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531479A0" w14:textId="5457840A" w:rsidR="003F7542" w:rsidRPr="00133C4A" w:rsidRDefault="003F7542" w:rsidP="00677230">
      <w:pPr>
        <w:spacing w:after="0"/>
        <w:ind w:firstLine="708"/>
        <w:jc w:val="both"/>
        <w:rPr>
          <w:rFonts w:ascii="Arial" w:hAnsi="Arial" w:cs="Arial"/>
          <w:color w:val="000000" w:themeColor="text1"/>
          <w:sz w:val="19"/>
          <w:szCs w:val="19"/>
        </w:rPr>
      </w:pPr>
      <w:r w:rsidRPr="00133C4A">
        <w:rPr>
          <w:rStyle w:val="Refdenotaalpie"/>
          <w:rFonts w:ascii="Arial" w:hAnsi="Arial" w:cs="Arial"/>
          <w:color w:val="000000" w:themeColor="text1"/>
          <w:sz w:val="19"/>
          <w:szCs w:val="19"/>
        </w:rPr>
        <w:footnoteRef/>
      </w:r>
      <w:r w:rsidRPr="00133C4A">
        <w:rPr>
          <w:rFonts w:ascii="Arial" w:hAnsi="Arial" w:cs="Arial"/>
          <w:color w:val="000000" w:themeColor="text1"/>
          <w:sz w:val="19"/>
          <w:szCs w:val="19"/>
        </w:rPr>
        <w:t xml:space="preserve"> CONSEJO DE ESTADO</w:t>
      </w:r>
      <w:r>
        <w:rPr>
          <w:rFonts w:ascii="Arial" w:hAnsi="Arial" w:cs="Arial"/>
          <w:color w:val="000000" w:themeColor="text1"/>
          <w:sz w:val="19"/>
          <w:szCs w:val="19"/>
        </w:rPr>
        <w:t>.</w:t>
      </w:r>
      <w:r w:rsidRPr="00133C4A">
        <w:rPr>
          <w:rFonts w:ascii="Arial" w:hAnsi="Arial" w:cs="Arial"/>
          <w:color w:val="000000" w:themeColor="text1"/>
          <w:sz w:val="19"/>
          <w:szCs w:val="19"/>
        </w:rPr>
        <w:t xml:space="preserve"> Sección Tercera</w:t>
      </w:r>
      <w:r>
        <w:rPr>
          <w:rFonts w:ascii="Arial" w:hAnsi="Arial" w:cs="Arial"/>
          <w:color w:val="000000" w:themeColor="text1"/>
          <w:sz w:val="19"/>
          <w:szCs w:val="19"/>
        </w:rPr>
        <w:t>.</w:t>
      </w:r>
      <w:r w:rsidRPr="00133C4A">
        <w:rPr>
          <w:rFonts w:ascii="Arial" w:hAnsi="Arial" w:cs="Arial"/>
          <w:color w:val="000000" w:themeColor="text1"/>
          <w:sz w:val="19"/>
          <w:szCs w:val="19"/>
        </w:rPr>
        <w:t xml:space="preserve"> Subsección A</w:t>
      </w:r>
      <w:r>
        <w:rPr>
          <w:rFonts w:ascii="Arial" w:hAnsi="Arial" w:cs="Arial"/>
          <w:color w:val="000000" w:themeColor="text1"/>
          <w:sz w:val="19"/>
          <w:szCs w:val="19"/>
        </w:rPr>
        <w:t xml:space="preserve">. Sentencia </w:t>
      </w:r>
      <w:r w:rsidRPr="00133C4A">
        <w:rPr>
          <w:rFonts w:ascii="Arial" w:hAnsi="Arial" w:cs="Arial"/>
          <w:color w:val="000000" w:themeColor="text1"/>
          <w:sz w:val="19"/>
          <w:szCs w:val="19"/>
        </w:rPr>
        <w:t>del 20 de febrero de 2020</w:t>
      </w:r>
      <w:r>
        <w:rPr>
          <w:rFonts w:ascii="Arial" w:hAnsi="Arial" w:cs="Arial"/>
          <w:color w:val="000000" w:themeColor="text1"/>
          <w:sz w:val="19"/>
          <w:szCs w:val="19"/>
        </w:rPr>
        <w:t xml:space="preserve">. Exp. </w:t>
      </w:r>
      <w:r w:rsidRPr="00133C4A">
        <w:rPr>
          <w:rFonts w:ascii="Arial" w:hAnsi="Arial" w:cs="Arial"/>
          <w:color w:val="000000" w:themeColor="text1"/>
          <w:sz w:val="19"/>
          <w:szCs w:val="19"/>
        </w:rPr>
        <w:t>63</w:t>
      </w:r>
      <w:r>
        <w:rPr>
          <w:rFonts w:ascii="Arial" w:hAnsi="Arial" w:cs="Arial"/>
          <w:color w:val="000000" w:themeColor="text1"/>
          <w:sz w:val="19"/>
          <w:szCs w:val="19"/>
        </w:rPr>
        <w:t>.</w:t>
      </w:r>
      <w:r w:rsidRPr="00133C4A">
        <w:rPr>
          <w:rFonts w:ascii="Arial" w:hAnsi="Arial" w:cs="Arial"/>
          <w:color w:val="000000" w:themeColor="text1"/>
          <w:sz w:val="19"/>
          <w:szCs w:val="19"/>
        </w:rPr>
        <w:t>854</w:t>
      </w:r>
      <w:r>
        <w:rPr>
          <w:rFonts w:ascii="Arial" w:hAnsi="Arial" w:cs="Arial"/>
          <w:color w:val="000000" w:themeColor="text1"/>
          <w:sz w:val="19"/>
          <w:szCs w:val="19"/>
        </w:rPr>
        <w:t>.</w:t>
      </w:r>
      <w:r w:rsidRPr="00133C4A">
        <w:rPr>
          <w:rFonts w:ascii="Arial" w:hAnsi="Arial" w:cs="Arial"/>
          <w:color w:val="000000" w:themeColor="text1"/>
          <w:sz w:val="19"/>
          <w:szCs w:val="19"/>
        </w:rPr>
        <w:t xml:space="preserve"> </w:t>
      </w:r>
      <w:r>
        <w:rPr>
          <w:rFonts w:ascii="Arial" w:hAnsi="Arial" w:cs="Arial"/>
          <w:color w:val="000000" w:themeColor="text1"/>
          <w:sz w:val="19"/>
          <w:szCs w:val="19"/>
        </w:rPr>
        <w:t>C.P.</w:t>
      </w:r>
      <w:r w:rsidRPr="00133C4A">
        <w:rPr>
          <w:rFonts w:ascii="Arial" w:hAnsi="Arial" w:cs="Arial"/>
          <w:color w:val="000000" w:themeColor="text1"/>
          <w:sz w:val="19"/>
          <w:szCs w:val="19"/>
        </w:rPr>
        <w:t xml:space="preserve"> Marta Nubia Velásquez Rico.</w:t>
      </w:r>
    </w:p>
    <w:p w14:paraId="538AC7C4" w14:textId="77777777" w:rsidR="003F7542" w:rsidRPr="00133C4A" w:rsidRDefault="003F7542" w:rsidP="007C4C9E">
      <w:pPr>
        <w:pStyle w:val="Textonotapie"/>
        <w:ind w:firstLine="708"/>
        <w:jc w:val="both"/>
        <w:rPr>
          <w:rFonts w:ascii="Arial" w:hAnsi="Arial" w:cs="Arial"/>
          <w:color w:val="000000" w:themeColor="text1"/>
          <w:sz w:val="19"/>
          <w:szCs w:val="19"/>
        </w:rPr>
      </w:pPr>
      <w:r w:rsidRPr="00133C4A">
        <w:rPr>
          <w:rFonts w:ascii="Arial" w:hAnsi="Arial" w:cs="Arial"/>
          <w:color w:val="000000" w:themeColor="text1"/>
          <w:sz w:val="19"/>
          <w:szCs w:val="19"/>
        </w:rPr>
        <w:t xml:space="preserve"> </w:t>
      </w:r>
    </w:p>
  </w:footnote>
  <w:footnote w:id="7">
    <w:p w14:paraId="4298B723" w14:textId="28A15242" w:rsidR="003F7542" w:rsidRPr="00677230" w:rsidRDefault="003F7542" w:rsidP="000E077F">
      <w:pPr>
        <w:pStyle w:val="Textonotapie"/>
        <w:ind w:firstLine="708"/>
        <w:jc w:val="both"/>
        <w:rPr>
          <w:rFonts w:ascii="Arial" w:hAnsi="Arial" w:cs="Arial"/>
          <w:color w:val="000000" w:themeColor="text1"/>
          <w:sz w:val="19"/>
          <w:szCs w:val="19"/>
          <w:lang w:val="es-CO"/>
        </w:rPr>
      </w:pPr>
      <w:r>
        <w:rPr>
          <w:rStyle w:val="Refdenotaalpie"/>
        </w:rPr>
        <w:footnoteRef/>
      </w:r>
      <w:r>
        <w:t xml:space="preserve"> </w:t>
      </w:r>
      <w:r w:rsidRPr="00677230">
        <w:rPr>
          <w:rFonts w:ascii="Arial" w:hAnsi="Arial" w:cs="Arial"/>
          <w:color w:val="000000" w:themeColor="text1"/>
          <w:sz w:val="19"/>
          <w:szCs w:val="19"/>
          <w:lang w:val="es-CO"/>
        </w:rPr>
        <w:t xml:space="preserve">BARRÍA PAREDES, Manuela. El elemento de interpretación gramatical. Su origen en Savigny, algunos autores modernos y la doctrina nacional, p.267. Tomado de </w:t>
      </w:r>
      <w:hyperlink r:id="rId1" w:history="1">
        <w:r w:rsidRPr="00677230">
          <w:rPr>
            <w:rStyle w:val="Hipervnculo"/>
            <w:rFonts w:ascii="Arial" w:hAnsi="Arial" w:cs="Arial"/>
            <w:sz w:val="19"/>
            <w:szCs w:val="19"/>
            <w:lang w:val="es-CO"/>
          </w:rPr>
          <w:t>http://www.ubo.cl/icsyc/wp-content/uploads/2011/09/ART.8-BARRIA.pdf</w:t>
        </w:r>
      </w:hyperlink>
      <w:r>
        <w:rPr>
          <w:rFonts w:ascii="Arial" w:hAnsi="Arial" w:cs="Arial"/>
          <w:color w:val="000000" w:themeColor="text1"/>
          <w:sz w:val="19"/>
          <w:szCs w:val="19"/>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867C" w14:textId="775C8AAA" w:rsidR="003F7542" w:rsidRDefault="003F7542">
    <w:pPr>
      <w:pStyle w:val="Encabezado"/>
    </w:pPr>
    <w:r>
      <w:rPr>
        <w:noProof/>
        <w:lang w:eastAsia="es-CO"/>
      </w:rPr>
      <w:drawing>
        <wp:anchor distT="0" distB="0" distL="114300" distR="114300" simplePos="0" relativeHeight="251658240" behindDoc="1" locked="0" layoutInCell="1" allowOverlap="1" wp14:anchorId="58D67472" wp14:editId="6A201488">
          <wp:simplePos x="0" y="0"/>
          <wp:positionH relativeFrom="margin">
            <wp:align>right</wp:align>
          </wp:positionH>
          <wp:positionV relativeFrom="paragraph">
            <wp:posOffset>-66040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6DEB652"/>
    <w:lvl w:ilvl="0">
      <w:start w:val="1"/>
      <w:numFmt w:val="decimal"/>
      <w:lvlText w:val="%1."/>
      <w:lvlJc w:val="left"/>
      <w:pPr>
        <w:ind w:left="360" w:hanging="360"/>
      </w:pPr>
      <w:rPr>
        <w:b/>
        <w:color w:val="000000" w:themeColor="text1"/>
      </w:rPr>
    </w:lvl>
    <w:lvl w:ilvl="1">
      <w:start w:val="2"/>
      <w:numFmt w:val="decimal"/>
      <w:isLgl/>
      <w:lvlText w:val="%1.%2"/>
      <w:lvlJc w:val="left"/>
      <w:pPr>
        <w:ind w:left="502"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68C217FF"/>
    <w:multiLevelType w:val="hybridMultilevel"/>
    <w:tmpl w:val="A5DC723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21A0FD0"/>
    <w:multiLevelType w:val="multilevel"/>
    <w:tmpl w:val="B53A2A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4680981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01265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4577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D3"/>
    <w:rsid w:val="00024AA6"/>
    <w:rsid w:val="00025EDC"/>
    <w:rsid w:val="00036869"/>
    <w:rsid w:val="000375DF"/>
    <w:rsid w:val="0004241D"/>
    <w:rsid w:val="000549BA"/>
    <w:rsid w:val="000769F6"/>
    <w:rsid w:val="00090B8D"/>
    <w:rsid w:val="00091501"/>
    <w:rsid w:val="000B1078"/>
    <w:rsid w:val="000D10AC"/>
    <w:rsid w:val="000D4EBF"/>
    <w:rsid w:val="000D77FC"/>
    <w:rsid w:val="000E077F"/>
    <w:rsid w:val="000E3BA1"/>
    <w:rsid w:val="000F534D"/>
    <w:rsid w:val="00102925"/>
    <w:rsid w:val="001043FB"/>
    <w:rsid w:val="001277A4"/>
    <w:rsid w:val="00132535"/>
    <w:rsid w:val="00136544"/>
    <w:rsid w:val="0014549B"/>
    <w:rsid w:val="001A0E78"/>
    <w:rsid w:val="001A2955"/>
    <w:rsid w:val="001B2160"/>
    <w:rsid w:val="001B33DC"/>
    <w:rsid w:val="001C4C7B"/>
    <w:rsid w:val="001D4184"/>
    <w:rsid w:val="001D4339"/>
    <w:rsid w:val="001D74E7"/>
    <w:rsid w:val="001F0D4A"/>
    <w:rsid w:val="001F1FD2"/>
    <w:rsid w:val="001F5D04"/>
    <w:rsid w:val="001F6605"/>
    <w:rsid w:val="0022041A"/>
    <w:rsid w:val="00231809"/>
    <w:rsid w:val="00232D92"/>
    <w:rsid w:val="00234997"/>
    <w:rsid w:val="0028433A"/>
    <w:rsid w:val="00287338"/>
    <w:rsid w:val="002A3F84"/>
    <w:rsid w:val="002A7012"/>
    <w:rsid w:val="002B5A56"/>
    <w:rsid w:val="002C1637"/>
    <w:rsid w:val="002D7B8F"/>
    <w:rsid w:val="002E051D"/>
    <w:rsid w:val="002E0CE0"/>
    <w:rsid w:val="002E1D1D"/>
    <w:rsid w:val="002E7823"/>
    <w:rsid w:val="002F6800"/>
    <w:rsid w:val="0030231B"/>
    <w:rsid w:val="00306927"/>
    <w:rsid w:val="0031180C"/>
    <w:rsid w:val="00330282"/>
    <w:rsid w:val="003306E9"/>
    <w:rsid w:val="00341E56"/>
    <w:rsid w:val="00345A46"/>
    <w:rsid w:val="00366D8F"/>
    <w:rsid w:val="003726F8"/>
    <w:rsid w:val="0038332E"/>
    <w:rsid w:val="00391575"/>
    <w:rsid w:val="00397EB8"/>
    <w:rsid w:val="003B03C1"/>
    <w:rsid w:val="003B57FD"/>
    <w:rsid w:val="003C630B"/>
    <w:rsid w:val="003F7542"/>
    <w:rsid w:val="004005DF"/>
    <w:rsid w:val="00402BDF"/>
    <w:rsid w:val="00404378"/>
    <w:rsid w:val="00406B09"/>
    <w:rsid w:val="0042595F"/>
    <w:rsid w:val="00445E58"/>
    <w:rsid w:val="004463EA"/>
    <w:rsid w:val="004528AF"/>
    <w:rsid w:val="004528F6"/>
    <w:rsid w:val="00465EF1"/>
    <w:rsid w:val="00476EC8"/>
    <w:rsid w:val="00487A5B"/>
    <w:rsid w:val="0049183A"/>
    <w:rsid w:val="0049233D"/>
    <w:rsid w:val="004975D3"/>
    <w:rsid w:val="004A0E15"/>
    <w:rsid w:val="004A20E5"/>
    <w:rsid w:val="004A7A77"/>
    <w:rsid w:val="004A7C4C"/>
    <w:rsid w:val="004B30B6"/>
    <w:rsid w:val="004B7BA3"/>
    <w:rsid w:val="004C5788"/>
    <w:rsid w:val="004D2F5E"/>
    <w:rsid w:val="00513206"/>
    <w:rsid w:val="00516C59"/>
    <w:rsid w:val="00550F6D"/>
    <w:rsid w:val="0058280B"/>
    <w:rsid w:val="005A033E"/>
    <w:rsid w:val="005B00C3"/>
    <w:rsid w:val="005B6864"/>
    <w:rsid w:val="005B6A8F"/>
    <w:rsid w:val="005C5A5C"/>
    <w:rsid w:val="005D16C6"/>
    <w:rsid w:val="005E0D19"/>
    <w:rsid w:val="005E643C"/>
    <w:rsid w:val="005F20BA"/>
    <w:rsid w:val="006031A9"/>
    <w:rsid w:val="006414EC"/>
    <w:rsid w:val="0065774F"/>
    <w:rsid w:val="0066695C"/>
    <w:rsid w:val="00677230"/>
    <w:rsid w:val="00680125"/>
    <w:rsid w:val="006A6455"/>
    <w:rsid w:val="006B44BE"/>
    <w:rsid w:val="006B463B"/>
    <w:rsid w:val="006B7BE4"/>
    <w:rsid w:val="006C787D"/>
    <w:rsid w:val="006D51F0"/>
    <w:rsid w:val="00706ABA"/>
    <w:rsid w:val="00721017"/>
    <w:rsid w:val="00721088"/>
    <w:rsid w:val="007378D2"/>
    <w:rsid w:val="00744918"/>
    <w:rsid w:val="00746102"/>
    <w:rsid w:val="00746F55"/>
    <w:rsid w:val="007503B9"/>
    <w:rsid w:val="00774E1C"/>
    <w:rsid w:val="007A2757"/>
    <w:rsid w:val="007A5DAC"/>
    <w:rsid w:val="007C4C9E"/>
    <w:rsid w:val="007C6180"/>
    <w:rsid w:val="007D4D59"/>
    <w:rsid w:val="007E42D6"/>
    <w:rsid w:val="007E5880"/>
    <w:rsid w:val="007E6EE6"/>
    <w:rsid w:val="007F59A2"/>
    <w:rsid w:val="00803393"/>
    <w:rsid w:val="00817311"/>
    <w:rsid w:val="00820067"/>
    <w:rsid w:val="00826307"/>
    <w:rsid w:val="0083188D"/>
    <w:rsid w:val="00843287"/>
    <w:rsid w:val="0085025A"/>
    <w:rsid w:val="00850883"/>
    <w:rsid w:val="00856B77"/>
    <w:rsid w:val="0087195B"/>
    <w:rsid w:val="00891EBE"/>
    <w:rsid w:val="00893F25"/>
    <w:rsid w:val="008A0D13"/>
    <w:rsid w:val="008B2EC2"/>
    <w:rsid w:val="008B4D4D"/>
    <w:rsid w:val="00903219"/>
    <w:rsid w:val="009070D3"/>
    <w:rsid w:val="0091591E"/>
    <w:rsid w:val="00920D87"/>
    <w:rsid w:val="00931CDA"/>
    <w:rsid w:val="00932092"/>
    <w:rsid w:val="00936004"/>
    <w:rsid w:val="0094043F"/>
    <w:rsid w:val="00941D2B"/>
    <w:rsid w:val="00943AAE"/>
    <w:rsid w:val="00957060"/>
    <w:rsid w:val="009756B4"/>
    <w:rsid w:val="00985D15"/>
    <w:rsid w:val="009905A7"/>
    <w:rsid w:val="009949A4"/>
    <w:rsid w:val="009B084D"/>
    <w:rsid w:val="009B32E7"/>
    <w:rsid w:val="009C159D"/>
    <w:rsid w:val="009E66A7"/>
    <w:rsid w:val="009F7645"/>
    <w:rsid w:val="00A02FA9"/>
    <w:rsid w:val="00A1381A"/>
    <w:rsid w:val="00A156AB"/>
    <w:rsid w:val="00A17D75"/>
    <w:rsid w:val="00A326C3"/>
    <w:rsid w:val="00A357BE"/>
    <w:rsid w:val="00A40577"/>
    <w:rsid w:val="00A44A1B"/>
    <w:rsid w:val="00A55A6B"/>
    <w:rsid w:val="00A64F36"/>
    <w:rsid w:val="00A867F4"/>
    <w:rsid w:val="00AA6482"/>
    <w:rsid w:val="00AA7EBB"/>
    <w:rsid w:val="00AB538A"/>
    <w:rsid w:val="00AC1853"/>
    <w:rsid w:val="00AE12BA"/>
    <w:rsid w:val="00AF1A54"/>
    <w:rsid w:val="00AF316C"/>
    <w:rsid w:val="00AF3BD9"/>
    <w:rsid w:val="00B2159C"/>
    <w:rsid w:val="00B27909"/>
    <w:rsid w:val="00B32497"/>
    <w:rsid w:val="00B3258F"/>
    <w:rsid w:val="00B54D68"/>
    <w:rsid w:val="00B55EB5"/>
    <w:rsid w:val="00B57740"/>
    <w:rsid w:val="00B60E27"/>
    <w:rsid w:val="00B61463"/>
    <w:rsid w:val="00B63E45"/>
    <w:rsid w:val="00B73586"/>
    <w:rsid w:val="00B75D73"/>
    <w:rsid w:val="00B81886"/>
    <w:rsid w:val="00B82B7B"/>
    <w:rsid w:val="00B84539"/>
    <w:rsid w:val="00BA72DA"/>
    <w:rsid w:val="00BB0126"/>
    <w:rsid w:val="00BB38E1"/>
    <w:rsid w:val="00BD136E"/>
    <w:rsid w:val="00BD1F8F"/>
    <w:rsid w:val="00BD50F4"/>
    <w:rsid w:val="00BF185C"/>
    <w:rsid w:val="00C007CC"/>
    <w:rsid w:val="00C02CE8"/>
    <w:rsid w:val="00C06DEB"/>
    <w:rsid w:val="00C072AA"/>
    <w:rsid w:val="00C17C6F"/>
    <w:rsid w:val="00C40684"/>
    <w:rsid w:val="00C41FA1"/>
    <w:rsid w:val="00C6186A"/>
    <w:rsid w:val="00C73F84"/>
    <w:rsid w:val="00C746E9"/>
    <w:rsid w:val="00C84A5F"/>
    <w:rsid w:val="00C85097"/>
    <w:rsid w:val="00C87F2D"/>
    <w:rsid w:val="00C900E2"/>
    <w:rsid w:val="00C91814"/>
    <w:rsid w:val="00C92F39"/>
    <w:rsid w:val="00C940D8"/>
    <w:rsid w:val="00CA1113"/>
    <w:rsid w:val="00CB7353"/>
    <w:rsid w:val="00CC35FD"/>
    <w:rsid w:val="00CD4A78"/>
    <w:rsid w:val="00CF2C37"/>
    <w:rsid w:val="00D00A8F"/>
    <w:rsid w:val="00D14A05"/>
    <w:rsid w:val="00D16A4C"/>
    <w:rsid w:val="00D2155B"/>
    <w:rsid w:val="00D32E8A"/>
    <w:rsid w:val="00D37724"/>
    <w:rsid w:val="00D5294D"/>
    <w:rsid w:val="00D64A39"/>
    <w:rsid w:val="00D741D7"/>
    <w:rsid w:val="00D755F9"/>
    <w:rsid w:val="00D9619B"/>
    <w:rsid w:val="00D9728B"/>
    <w:rsid w:val="00DA654F"/>
    <w:rsid w:val="00DB0A9B"/>
    <w:rsid w:val="00DB2C67"/>
    <w:rsid w:val="00DB351C"/>
    <w:rsid w:val="00DD6583"/>
    <w:rsid w:val="00DD6EAD"/>
    <w:rsid w:val="00E000A3"/>
    <w:rsid w:val="00E17FA2"/>
    <w:rsid w:val="00E350C1"/>
    <w:rsid w:val="00E3522F"/>
    <w:rsid w:val="00E3530D"/>
    <w:rsid w:val="00E5784E"/>
    <w:rsid w:val="00E631AF"/>
    <w:rsid w:val="00E70D1F"/>
    <w:rsid w:val="00E82211"/>
    <w:rsid w:val="00E842B9"/>
    <w:rsid w:val="00EC6510"/>
    <w:rsid w:val="00ED34A4"/>
    <w:rsid w:val="00EF65DF"/>
    <w:rsid w:val="00F300F3"/>
    <w:rsid w:val="00F348D0"/>
    <w:rsid w:val="00F34E87"/>
    <w:rsid w:val="00F50A24"/>
    <w:rsid w:val="00F5389B"/>
    <w:rsid w:val="00F7357A"/>
    <w:rsid w:val="00F75FC3"/>
    <w:rsid w:val="00F83B97"/>
    <w:rsid w:val="00F84CD3"/>
    <w:rsid w:val="00F9091D"/>
    <w:rsid w:val="00FA4536"/>
    <w:rsid w:val="00FB4E4D"/>
    <w:rsid w:val="00FB7F79"/>
    <w:rsid w:val="00FC478B"/>
    <w:rsid w:val="00FF170E"/>
    <w:rsid w:val="4DBC91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7DAC2"/>
  <w15:chartTrackingRefBased/>
  <w15:docId w15:val="{D44FC855-1548-4108-B518-94951DD6F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070D3"/>
    <w:pPr>
      <w:spacing w:after="0" w:line="240" w:lineRule="auto"/>
    </w:p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070D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070D3"/>
    <w:pPr>
      <w:spacing w:after="0" w:line="240" w:lineRule="auto"/>
    </w:pPr>
    <w:rPr>
      <w:sz w:val="20"/>
      <w:szCs w:val="20"/>
      <w:lang w:val="es-MX"/>
    </w:rPr>
  </w:style>
  <w:style w:type="character" w:customStyle="1" w:styleId="TextonotapieCar1">
    <w:name w:val="Texto nota pie Car1"/>
    <w:basedOn w:val="Fuentedeprrafopredeter"/>
    <w:uiPriority w:val="99"/>
    <w:semiHidden/>
    <w:rsid w:val="009070D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9070D3"/>
    <w:rPr>
      <w:vertAlign w:val="superscript"/>
    </w:rPr>
  </w:style>
  <w:style w:type="table" w:styleId="Tablaconcuadrcula">
    <w:name w:val="Table Grid"/>
    <w:basedOn w:val="Tablanormal"/>
    <w:uiPriority w:val="39"/>
    <w:rsid w:val="009070D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070D3"/>
    <w:pPr>
      <w:tabs>
        <w:tab w:val="center" w:pos="4419"/>
        <w:tab w:val="right" w:pos="8838"/>
      </w:tabs>
      <w:spacing w:after="0" w:line="240" w:lineRule="auto"/>
    </w:pPr>
    <w:rPr>
      <w:rFonts w:ascii="Times New Roman" w:eastAsia="Times New Roman" w:hAnsi="Times New Roman" w:cs="Times New Roman"/>
      <w:sz w:val="24"/>
      <w:szCs w:val="24"/>
    </w:rPr>
  </w:style>
  <w:style w:type="character" w:customStyle="1" w:styleId="EncabezadoCar">
    <w:name w:val="Encabezado Car"/>
    <w:basedOn w:val="Fuentedeprrafopredeter"/>
    <w:link w:val="Encabezado"/>
    <w:uiPriority w:val="99"/>
    <w:rsid w:val="009070D3"/>
    <w:rPr>
      <w:rFonts w:ascii="Times New Roman" w:eastAsia="Times New Roman" w:hAnsi="Times New Roman" w:cs="Times New Roman"/>
      <w:sz w:val="24"/>
      <w:szCs w:val="24"/>
    </w:rPr>
  </w:style>
  <w:style w:type="paragraph" w:styleId="Piedepgina">
    <w:name w:val="footer"/>
    <w:basedOn w:val="Normal"/>
    <w:link w:val="PiedepginaCar"/>
    <w:uiPriority w:val="99"/>
    <w:unhideWhenUsed/>
    <w:rsid w:val="009070D3"/>
    <w:pPr>
      <w:tabs>
        <w:tab w:val="center" w:pos="4419"/>
        <w:tab w:val="right" w:pos="8838"/>
      </w:tabs>
      <w:spacing w:after="0" w:line="240" w:lineRule="auto"/>
    </w:pPr>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rsid w:val="009070D3"/>
    <w:rPr>
      <w:rFonts w:ascii="Times New Roman" w:eastAsia="Times New Roman" w:hAnsi="Times New Roman" w:cs="Times New Roman"/>
      <w:sz w:val="24"/>
      <w:szCs w:val="24"/>
    </w:rPr>
  </w:style>
  <w:style w:type="paragraph" w:customStyle="1" w:styleId="Appelnotedebasde">
    <w:name w:val="Appel note de bas de..."/>
    <w:basedOn w:val="Normal"/>
    <w:link w:val="Refdenotaalpie"/>
    <w:uiPriority w:val="99"/>
    <w:rsid w:val="009070D3"/>
    <w:pPr>
      <w:spacing w:line="240" w:lineRule="exact"/>
    </w:pPr>
    <w:rPr>
      <w:vertAlign w:val="superscript"/>
    </w:rPr>
  </w:style>
  <w:style w:type="character" w:customStyle="1" w:styleId="normaltextrun">
    <w:name w:val="normaltextrun"/>
    <w:basedOn w:val="Fuentedeprrafopredeter"/>
    <w:rsid w:val="009949A4"/>
  </w:style>
  <w:style w:type="paragraph" w:styleId="Textodeglobo">
    <w:name w:val="Balloon Text"/>
    <w:basedOn w:val="Normal"/>
    <w:link w:val="TextodegloboCar"/>
    <w:uiPriority w:val="99"/>
    <w:semiHidden/>
    <w:unhideWhenUsed/>
    <w:rsid w:val="0031180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80C"/>
    <w:rPr>
      <w:rFonts w:ascii="Segoe UI" w:hAnsi="Segoe UI" w:cs="Segoe UI"/>
      <w:sz w:val="18"/>
      <w:szCs w:val="18"/>
    </w:rPr>
  </w:style>
  <w:style w:type="paragraph" w:styleId="Textoindependiente">
    <w:name w:val="Body Text"/>
    <w:basedOn w:val="Normal"/>
    <w:link w:val="TextoindependienteCar"/>
    <w:uiPriority w:val="1"/>
    <w:qFormat/>
    <w:rsid w:val="000375DF"/>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0375DF"/>
    <w:rPr>
      <w:rFonts w:ascii="Arial" w:eastAsia="Arial" w:hAnsi="Arial" w:cs="Arial"/>
      <w:lang w:val="es-ES"/>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45A46"/>
    <w:pPr>
      <w:spacing w:after="200" w:line="276" w:lineRule="auto"/>
      <w:ind w:left="720"/>
      <w:contextualSpacing/>
    </w:pPr>
    <w:rPr>
      <w:rFonts w:ascii="Calibri" w:eastAsia="Calibri" w:hAnsi="Calibri" w:cs="Times New Roman"/>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345A46"/>
    <w:rPr>
      <w:rFonts w:ascii="Calibri" w:eastAsia="Calibri" w:hAnsi="Calibri" w:cs="Times New Roman"/>
    </w:rPr>
  </w:style>
  <w:style w:type="paragraph" w:styleId="NormalWeb">
    <w:name w:val="Normal (Web)"/>
    <w:basedOn w:val="Normal"/>
    <w:link w:val="NormalWebCar"/>
    <w:uiPriority w:val="99"/>
    <w:unhideWhenUsed/>
    <w:rsid w:val="0083188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83188D"/>
    <w:rPr>
      <w:rFonts w:ascii="Times New Roman" w:eastAsia="Times New Roman" w:hAnsi="Times New Roman" w:cs="Times New Roman"/>
      <w:sz w:val="24"/>
      <w:szCs w:val="24"/>
      <w:lang w:eastAsia="es-CO"/>
    </w:rPr>
  </w:style>
  <w:style w:type="paragraph" w:styleId="Textonotaalfinal">
    <w:name w:val="endnote text"/>
    <w:basedOn w:val="Normal"/>
    <w:link w:val="TextonotaalfinalCar"/>
    <w:uiPriority w:val="99"/>
    <w:semiHidden/>
    <w:unhideWhenUsed/>
    <w:rsid w:val="0083188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3188D"/>
    <w:rPr>
      <w:sz w:val="20"/>
      <w:szCs w:val="20"/>
    </w:rPr>
  </w:style>
  <w:style w:type="character" w:styleId="Refdenotaalfinal">
    <w:name w:val="endnote reference"/>
    <w:basedOn w:val="Fuentedeprrafopredeter"/>
    <w:uiPriority w:val="99"/>
    <w:semiHidden/>
    <w:unhideWhenUsed/>
    <w:rsid w:val="0083188D"/>
    <w:rPr>
      <w:vertAlign w:val="superscript"/>
    </w:rPr>
  </w:style>
  <w:style w:type="character" w:styleId="Hipervnculo">
    <w:name w:val="Hyperlink"/>
    <w:basedOn w:val="Fuentedeprrafopredeter"/>
    <w:uiPriority w:val="99"/>
    <w:unhideWhenUsed/>
    <w:rsid w:val="00DB2C67"/>
    <w:rPr>
      <w:color w:val="0563C1" w:themeColor="hyperlink"/>
      <w:u w:val="single"/>
    </w:rPr>
  </w:style>
  <w:style w:type="character" w:styleId="Mencinsinresolver">
    <w:name w:val="Unresolved Mention"/>
    <w:basedOn w:val="Fuentedeprrafopredeter"/>
    <w:uiPriority w:val="99"/>
    <w:semiHidden/>
    <w:unhideWhenUsed/>
    <w:rsid w:val="00DB2C67"/>
    <w:rPr>
      <w:color w:val="605E5C"/>
      <w:shd w:val="clear" w:color="auto" w:fill="E1DFDD"/>
    </w:rPr>
  </w:style>
  <w:style w:type="character" w:styleId="Refdecomentario">
    <w:name w:val="annotation reference"/>
    <w:basedOn w:val="Fuentedeprrafopredeter"/>
    <w:uiPriority w:val="99"/>
    <w:semiHidden/>
    <w:unhideWhenUsed/>
    <w:rsid w:val="0042595F"/>
    <w:rPr>
      <w:sz w:val="16"/>
      <w:szCs w:val="16"/>
    </w:rPr>
  </w:style>
  <w:style w:type="paragraph" w:styleId="Textocomentario">
    <w:name w:val="annotation text"/>
    <w:basedOn w:val="Normal"/>
    <w:link w:val="TextocomentarioCar"/>
    <w:uiPriority w:val="99"/>
    <w:semiHidden/>
    <w:unhideWhenUsed/>
    <w:rsid w:val="0042595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2595F"/>
    <w:rPr>
      <w:sz w:val="20"/>
      <w:szCs w:val="20"/>
    </w:rPr>
  </w:style>
  <w:style w:type="paragraph" w:styleId="Asuntodelcomentario">
    <w:name w:val="annotation subject"/>
    <w:basedOn w:val="Textocomentario"/>
    <w:next w:val="Textocomentario"/>
    <w:link w:val="AsuntodelcomentarioCar"/>
    <w:uiPriority w:val="99"/>
    <w:semiHidden/>
    <w:unhideWhenUsed/>
    <w:rsid w:val="0042595F"/>
    <w:rPr>
      <w:b/>
      <w:bCs/>
    </w:rPr>
  </w:style>
  <w:style w:type="character" w:customStyle="1" w:styleId="AsuntodelcomentarioCar">
    <w:name w:val="Asunto del comentario Car"/>
    <w:basedOn w:val="TextocomentarioCar"/>
    <w:link w:val="Asuntodelcomentario"/>
    <w:uiPriority w:val="99"/>
    <w:semiHidden/>
    <w:rsid w:val="0042595F"/>
    <w:rPr>
      <w:b/>
      <w:bCs/>
      <w:sz w:val="20"/>
      <w:szCs w:val="20"/>
    </w:rPr>
  </w:style>
  <w:style w:type="character" w:styleId="nfasis">
    <w:name w:val="Emphasis"/>
    <w:basedOn w:val="Fuentedeprrafopredeter"/>
    <w:uiPriority w:val="20"/>
    <w:qFormat/>
    <w:rsid w:val="00B82B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292897">
      <w:bodyDiv w:val="1"/>
      <w:marLeft w:val="0"/>
      <w:marRight w:val="0"/>
      <w:marTop w:val="0"/>
      <w:marBottom w:val="0"/>
      <w:divBdr>
        <w:top w:val="none" w:sz="0" w:space="0" w:color="auto"/>
        <w:left w:val="none" w:sz="0" w:space="0" w:color="auto"/>
        <w:bottom w:val="none" w:sz="0" w:space="0" w:color="auto"/>
        <w:right w:val="none" w:sz="0" w:space="0" w:color="auto"/>
      </w:divBdr>
    </w:div>
    <w:div w:id="206362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ubo.cl/icsyc/wp-content/uploads/2011/09/ART.8-BARR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EB2DDA-F6DE-43C5-A786-7BD6626BE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36559E-0EA1-462F-9DD5-4534B646831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4FCE9ED4-B91B-4ED1-81D8-AF1884B6703D}">
  <ds:schemaRefs>
    <ds:schemaRef ds:uri="http://schemas.openxmlformats.org/officeDocument/2006/bibliography"/>
  </ds:schemaRefs>
</ds:datastoreItem>
</file>

<file path=customXml/itemProps4.xml><?xml version="1.0" encoding="utf-8"?>
<ds:datastoreItem xmlns:ds="http://schemas.openxmlformats.org/officeDocument/2006/customXml" ds:itemID="{8A9E56F4-9AAD-49F9-A0AC-0648DFA501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3806</Words>
  <Characters>20937</Characters>
  <Application>Microsoft Office Word</Application>
  <DocSecurity>0</DocSecurity>
  <Lines>174</Lines>
  <Paragraphs>49</Paragraphs>
  <ScaleCrop>false</ScaleCrop>
  <Company/>
  <LinksUpToDate>false</LinksUpToDate>
  <CharactersWithSpaces>24694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Ana Maria Velez Arteaga</cp:lastModifiedBy>
  <cp:revision>3</cp:revision>
  <dcterms:created xsi:type="dcterms:W3CDTF">2023-02-16T14:34:00Z</dcterms:created>
  <dcterms:modified xsi:type="dcterms:W3CDTF">2023-02-16T14:38:00Z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