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414A3" w14:textId="77777777" w:rsidR="00BC6C87" w:rsidRDefault="00BC6C87" w:rsidP="00E80F98">
      <w:pPr>
        <w:spacing w:after="0" w:line="240" w:lineRule="auto"/>
        <w:rPr>
          <w:rFonts w:ascii="Verdana" w:eastAsia="Geomanist Light" w:hAnsi="Verdana" w:cs="Arial"/>
          <w:lang w:val="es-MX"/>
        </w:rPr>
      </w:pPr>
    </w:p>
    <w:p w14:paraId="6D6EFBEB" w14:textId="77777777" w:rsidR="00BC6C87" w:rsidRDefault="00BC6C87" w:rsidP="00E80F98">
      <w:pPr>
        <w:spacing w:after="0" w:line="240" w:lineRule="auto"/>
        <w:rPr>
          <w:rFonts w:ascii="Verdana" w:eastAsia="Geomanist Light" w:hAnsi="Verdana" w:cs="Arial"/>
          <w:lang w:val="es-MX"/>
        </w:rPr>
      </w:pPr>
    </w:p>
    <w:p w14:paraId="415A6892" w14:textId="77777777" w:rsidR="00BC6C87" w:rsidRDefault="00BC6C87" w:rsidP="00E80F98">
      <w:pPr>
        <w:spacing w:after="0" w:line="240" w:lineRule="auto"/>
        <w:rPr>
          <w:rFonts w:ascii="Verdana" w:eastAsia="Geomanist Light" w:hAnsi="Verdana" w:cs="Arial"/>
          <w:lang w:val="es-MX"/>
        </w:rPr>
      </w:pPr>
    </w:p>
    <w:p w14:paraId="36889746" w14:textId="77777777" w:rsidR="00BC6C87" w:rsidRPr="00BC6C87" w:rsidRDefault="00BC6C87" w:rsidP="00BC6C87">
      <w:pPr>
        <w:spacing w:after="0" w:line="240" w:lineRule="auto"/>
        <w:jc w:val="both"/>
        <w:rPr>
          <w:rFonts w:ascii="Verdana" w:eastAsia="Geomanist Light" w:hAnsi="Verdana" w:cs="Arial"/>
          <w:b/>
          <w:lang w:val="es-ES_tradnl"/>
        </w:rPr>
      </w:pPr>
      <w:r w:rsidRPr="00BC6C87">
        <w:rPr>
          <w:rFonts w:ascii="Verdana" w:eastAsia="Geomanist Light" w:hAnsi="Verdana" w:cs="Arial"/>
          <w:b/>
          <w:lang w:val="es-ES_tradnl"/>
        </w:rPr>
        <w:t xml:space="preserve">LIQUIDACIÓN DEL CONTRATO – Definición – Objetivo </w:t>
      </w:r>
    </w:p>
    <w:p w14:paraId="31201A11" w14:textId="77777777" w:rsidR="00BC6C87" w:rsidRPr="00BC6C87" w:rsidRDefault="00BC6C87" w:rsidP="00BC6C87">
      <w:pPr>
        <w:spacing w:after="0" w:line="240" w:lineRule="auto"/>
        <w:jc w:val="both"/>
        <w:rPr>
          <w:rFonts w:ascii="Verdana" w:eastAsia="Geomanist Light" w:hAnsi="Verdana" w:cs="Arial"/>
          <w:b/>
          <w:lang w:val="es-ES_tradnl"/>
        </w:rPr>
      </w:pPr>
    </w:p>
    <w:p w14:paraId="3794DC83" w14:textId="77777777" w:rsidR="00BC6C87" w:rsidRPr="00BC6C87" w:rsidRDefault="00BC6C87" w:rsidP="7F41951F">
      <w:pPr>
        <w:spacing w:after="0" w:line="240" w:lineRule="auto"/>
        <w:jc w:val="both"/>
        <w:rPr>
          <w:rFonts w:ascii="Verdana" w:eastAsia="Geomanist Light" w:hAnsi="Verdana" w:cs="Arial"/>
          <w:lang w:val="es-ES"/>
        </w:rPr>
      </w:pPr>
      <w:r w:rsidRPr="7F41951F">
        <w:rPr>
          <w:rFonts w:ascii="Verdana" w:eastAsia="Geomanist Light" w:hAnsi="Verdana" w:cs="Arial"/>
          <w:lang w:val="es-ES"/>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7F41951F">
        <w:rPr>
          <w:rFonts w:ascii="Verdana" w:eastAsia="Geomanist Light" w:hAnsi="Verdana" w:cs="Arial"/>
          <w:i/>
          <w:iCs/>
          <w:lang w:val="es-ES"/>
        </w:rPr>
        <w:t>liquidar</w:t>
      </w:r>
      <w:r w:rsidRPr="7F41951F">
        <w:rPr>
          <w:rFonts w:ascii="Verdana" w:eastAsia="Geomanist Light" w:hAnsi="Verdana" w:cs="Arial"/>
          <w:lang w:val="es-ES"/>
        </w:rPr>
        <w:t xml:space="preserve"> supone un ajuste en relación con las cuentas y el estado de cumplimiento del contrato estatal y, por otro, que la </w:t>
      </w:r>
      <w:r w:rsidRPr="7F41951F">
        <w:rPr>
          <w:rFonts w:ascii="Verdana" w:eastAsia="Geomanist Light" w:hAnsi="Verdana" w:cs="Arial"/>
          <w:i/>
          <w:iCs/>
          <w:lang w:val="es-ES"/>
        </w:rPr>
        <w:t>liquidación</w:t>
      </w:r>
      <w:r w:rsidRPr="7F41951F">
        <w:rPr>
          <w:rFonts w:ascii="Verdana" w:eastAsia="Geomanist Light" w:hAnsi="Verdana" w:cs="Arial"/>
          <w:lang w:val="es-ES"/>
        </w:rPr>
        <w:t xml:space="preserve"> debe incluir el análisis de las condiciones de calidad y oportunidad en la entrega de los bienes, obras o servicios, así como el balance económico y el comportamiento financiero del negocio.</w:t>
      </w:r>
    </w:p>
    <w:p w14:paraId="4414EFF4" w14:textId="77777777" w:rsidR="00BC6C87" w:rsidRDefault="00BC6C87" w:rsidP="00E80F98">
      <w:pPr>
        <w:spacing w:after="0" w:line="240" w:lineRule="auto"/>
        <w:rPr>
          <w:rFonts w:ascii="Verdana" w:eastAsia="Geomanist Light" w:hAnsi="Verdana" w:cs="Arial"/>
          <w:lang w:val="es-MX"/>
        </w:rPr>
      </w:pPr>
    </w:p>
    <w:p w14:paraId="0E0A2E54" w14:textId="77777777" w:rsidR="00BC6C87" w:rsidRDefault="00BC6C87" w:rsidP="00E80F98">
      <w:pPr>
        <w:spacing w:after="0" w:line="240" w:lineRule="auto"/>
        <w:rPr>
          <w:rFonts w:ascii="Verdana" w:eastAsia="Geomanist Light" w:hAnsi="Verdana" w:cs="Arial"/>
          <w:lang w:val="es-MX"/>
        </w:rPr>
      </w:pPr>
    </w:p>
    <w:p w14:paraId="1345E141" w14:textId="77777777" w:rsidR="00BC6C87" w:rsidRDefault="00BC6C87" w:rsidP="00E80F98">
      <w:pPr>
        <w:spacing w:after="0" w:line="240" w:lineRule="auto"/>
        <w:rPr>
          <w:rFonts w:ascii="Verdana" w:eastAsia="Geomanist Light" w:hAnsi="Verdana" w:cs="Arial"/>
          <w:lang w:val="es-MX"/>
        </w:rPr>
      </w:pPr>
    </w:p>
    <w:p w14:paraId="60EC2386" w14:textId="77777777" w:rsidR="00BC6C87" w:rsidRDefault="00BC6C87" w:rsidP="00E80F98">
      <w:pPr>
        <w:spacing w:after="0" w:line="240" w:lineRule="auto"/>
        <w:rPr>
          <w:rFonts w:ascii="Verdana" w:eastAsia="Geomanist Light" w:hAnsi="Verdana" w:cs="Arial"/>
          <w:lang w:val="es-MX"/>
        </w:rPr>
      </w:pPr>
    </w:p>
    <w:p w14:paraId="675E9D54" w14:textId="77777777" w:rsidR="00BC6C87" w:rsidRDefault="00BC6C87" w:rsidP="00E80F98">
      <w:pPr>
        <w:spacing w:after="0" w:line="240" w:lineRule="auto"/>
        <w:rPr>
          <w:rFonts w:ascii="Verdana" w:eastAsia="Geomanist Light" w:hAnsi="Verdana" w:cs="Arial"/>
          <w:lang w:val="es-MX"/>
        </w:rPr>
      </w:pPr>
    </w:p>
    <w:p w14:paraId="63F5FE04" w14:textId="77777777" w:rsidR="00BC6C87" w:rsidRDefault="00BC6C87" w:rsidP="00E80F98">
      <w:pPr>
        <w:spacing w:after="0" w:line="240" w:lineRule="auto"/>
        <w:rPr>
          <w:rFonts w:ascii="Verdana" w:eastAsia="Geomanist Light" w:hAnsi="Verdana" w:cs="Arial"/>
          <w:lang w:val="es-MX"/>
        </w:rPr>
      </w:pPr>
    </w:p>
    <w:p w14:paraId="0C9F96EA" w14:textId="77777777" w:rsidR="00BC6C87" w:rsidRDefault="00BC6C87" w:rsidP="00E80F98">
      <w:pPr>
        <w:spacing w:after="0" w:line="240" w:lineRule="auto"/>
        <w:rPr>
          <w:rFonts w:ascii="Verdana" w:eastAsia="Geomanist Light" w:hAnsi="Verdana" w:cs="Arial"/>
          <w:lang w:val="es-MX"/>
        </w:rPr>
      </w:pPr>
    </w:p>
    <w:p w14:paraId="3B1D385F" w14:textId="77777777" w:rsidR="00BC6C87" w:rsidRDefault="00BC6C87" w:rsidP="00E80F98">
      <w:pPr>
        <w:spacing w:after="0" w:line="240" w:lineRule="auto"/>
        <w:rPr>
          <w:rFonts w:ascii="Verdana" w:eastAsia="Geomanist Light" w:hAnsi="Verdana" w:cs="Arial"/>
          <w:lang w:val="es-MX"/>
        </w:rPr>
      </w:pPr>
    </w:p>
    <w:p w14:paraId="3A762749" w14:textId="77777777" w:rsidR="00BC6C87" w:rsidRDefault="00BC6C87" w:rsidP="00E80F98">
      <w:pPr>
        <w:spacing w:after="0" w:line="240" w:lineRule="auto"/>
        <w:rPr>
          <w:rFonts w:ascii="Verdana" w:eastAsia="Geomanist Light" w:hAnsi="Verdana" w:cs="Arial"/>
          <w:lang w:val="es-MX"/>
        </w:rPr>
      </w:pPr>
    </w:p>
    <w:p w14:paraId="353F1C9D" w14:textId="77777777" w:rsidR="00BC6C87" w:rsidRDefault="00BC6C87" w:rsidP="00E80F98">
      <w:pPr>
        <w:spacing w:after="0" w:line="240" w:lineRule="auto"/>
        <w:rPr>
          <w:rFonts w:ascii="Verdana" w:eastAsia="Geomanist Light" w:hAnsi="Verdana" w:cs="Arial"/>
          <w:lang w:val="es-MX"/>
        </w:rPr>
      </w:pPr>
    </w:p>
    <w:p w14:paraId="2485A597" w14:textId="77777777" w:rsidR="00BC6C87" w:rsidRDefault="00BC6C87" w:rsidP="00E80F98">
      <w:pPr>
        <w:spacing w:after="0" w:line="240" w:lineRule="auto"/>
        <w:rPr>
          <w:rFonts w:ascii="Verdana" w:eastAsia="Geomanist Light" w:hAnsi="Verdana" w:cs="Arial"/>
          <w:lang w:val="es-MX"/>
        </w:rPr>
      </w:pPr>
    </w:p>
    <w:p w14:paraId="28269F8D" w14:textId="77777777" w:rsidR="00BC6C87" w:rsidRDefault="00BC6C87" w:rsidP="00E80F98">
      <w:pPr>
        <w:spacing w:after="0" w:line="240" w:lineRule="auto"/>
        <w:rPr>
          <w:rFonts w:ascii="Verdana" w:eastAsia="Geomanist Light" w:hAnsi="Verdana" w:cs="Arial"/>
          <w:lang w:val="es-MX"/>
        </w:rPr>
      </w:pPr>
    </w:p>
    <w:p w14:paraId="2C4DFE43" w14:textId="77777777" w:rsidR="00BC6C87" w:rsidRDefault="00BC6C87" w:rsidP="00E80F98">
      <w:pPr>
        <w:spacing w:after="0" w:line="240" w:lineRule="auto"/>
        <w:rPr>
          <w:rFonts w:ascii="Verdana" w:eastAsia="Geomanist Light" w:hAnsi="Verdana" w:cs="Arial"/>
          <w:lang w:val="es-MX"/>
        </w:rPr>
      </w:pPr>
    </w:p>
    <w:p w14:paraId="35E290B2" w14:textId="77777777" w:rsidR="00BC6C87" w:rsidRDefault="00BC6C87" w:rsidP="00E80F98">
      <w:pPr>
        <w:spacing w:after="0" w:line="240" w:lineRule="auto"/>
        <w:rPr>
          <w:rFonts w:ascii="Verdana" w:eastAsia="Geomanist Light" w:hAnsi="Verdana" w:cs="Arial"/>
          <w:lang w:val="es-MX"/>
        </w:rPr>
      </w:pPr>
    </w:p>
    <w:p w14:paraId="5AA11861" w14:textId="77777777" w:rsidR="00BC6C87" w:rsidRDefault="00BC6C87" w:rsidP="00E80F98">
      <w:pPr>
        <w:spacing w:after="0" w:line="240" w:lineRule="auto"/>
        <w:rPr>
          <w:rFonts w:ascii="Verdana" w:eastAsia="Geomanist Light" w:hAnsi="Verdana" w:cs="Arial"/>
          <w:lang w:val="es-MX"/>
        </w:rPr>
      </w:pPr>
    </w:p>
    <w:p w14:paraId="0347A72F" w14:textId="77777777" w:rsidR="00BC6C87" w:rsidRDefault="00BC6C87" w:rsidP="00E80F98">
      <w:pPr>
        <w:spacing w:after="0" w:line="240" w:lineRule="auto"/>
        <w:rPr>
          <w:rFonts w:ascii="Verdana" w:eastAsia="Geomanist Light" w:hAnsi="Verdana" w:cs="Arial"/>
          <w:lang w:val="es-MX"/>
        </w:rPr>
      </w:pPr>
    </w:p>
    <w:p w14:paraId="721A9760" w14:textId="77777777" w:rsidR="00BC6C87" w:rsidRDefault="00BC6C87" w:rsidP="00E80F98">
      <w:pPr>
        <w:spacing w:after="0" w:line="240" w:lineRule="auto"/>
        <w:rPr>
          <w:rFonts w:ascii="Verdana" w:eastAsia="Geomanist Light" w:hAnsi="Verdana" w:cs="Arial"/>
          <w:lang w:val="es-MX"/>
        </w:rPr>
      </w:pPr>
    </w:p>
    <w:p w14:paraId="66FC0C68" w14:textId="77777777" w:rsidR="00BC6C87" w:rsidRDefault="00BC6C87" w:rsidP="00E80F98">
      <w:pPr>
        <w:spacing w:after="0" w:line="240" w:lineRule="auto"/>
        <w:rPr>
          <w:rFonts w:ascii="Verdana" w:eastAsia="Geomanist Light" w:hAnsi="Verdana" w:cs="Arial"/>
          <w:lang w:val="es-MX"/>
        </w:rPr>
      </w:pPr>
    </w:p>
    <w:p w14:paraId="13C837FA" w14:textId="77777777" w:rsidR="00BC6C87" w:rsidRDefault="00BC6C87" w:rsidP="00E80F98">
      <w:pPr>
        <w:spacing w:after="0" w:line="240" w:lineRule="auto"/>
        <w:rPr>
          <w:rFonts w:ascii="Verdana" w:eastAsia="Geomanist Light" w:hAnsi="Verdana" w:cs="Arial"/>
          <w:lang w:val="es-MX"/>
        </w:rPr>
      </w:pPr>
    </w:p>
    <w:p w14:paraId="4FD1AC7D" w14:textId="77777777" w:rsidR="00BC6C87" w:rsidRDefault="00BC6C87" w:rsidP="00E80F98">
      <w:pPr>
        <w:spacing w:after="0" w:line="240" w:lineRule="auto"/>
        <w:rPr>
          <w:rFonts w:ascii="Verdana" w:eastAsia="Geomanist Light" w:hAnsi="Verdana" w:cs="Arial"/>
          <w:lang w:val="es-MX"/>
        </w:rPr>
      </w:pPr>
    </w:p>
    <w:p w14:paraId="721E635A" w14:textId="77777777" w:rsidR="00BC6C87" w:rsidRDefault="00BC6C87" w:rsidP="00E80F98">
      <w:pPr>
        <w:spacing w:after="0" w:line="240" w:lineRule="auto"/>
        <w:rPr>
          <w:rFonts w:ascii="Verdana" w:eastAsia="Geomanist Light" w:hAnsi="Verdana" w:cs="Arial"/>
          <w:lang w:val="es-MX"/>
        </w:rPr>
      </w:pPr>
    </w:p>
    <w:p w14:paraId="4706BD70" w14:textId="77777777" w:rsidR="00BC6C87" w:rsidRDefault="00BC6C87" w:rsidP="00E80F98">
      <w:pPr>
        <w:spacing w:after="0" w:line="240" w:lineRule="auto"/>
        <w:rPr>
          <w:rFonts w:ascii="Verdana" w:eastAsia="Geomanist Light" w:hAnsi="Verdana" w:cs="Arial"/>
          <w:lang w:val="es-MX"/>
        </w:rPr>
      </w:pPr>
    </w:p>
    <w:p w14:paraId="1CEC5E66" w14:textId="77777777" w:rsidR="00BC6C87" w:rsidRDefault="00BC6C87" w:rsidP="00E80F98">
      <w:pPr>
        <w:spacing w:after="0" w:line="240" w:lineRule="auto"/>
        <w:rPr>
          <w:rFonts w:ascii="Verdana" w:eastAsia="Geomanist Light" w:hAnsi="Verdana" w:cs="Arial"/>
          <w:lang w:val="es-MX"/>
        </w:rPr>
      </w:pPr>
    </w:p>
    <w:p w14:paraId="743F721E" w14:textId="77777777" w:rsidR="00BC6C87" w:rsidRDefault="00BC6C87" w:rsidP="00E80F98">
      <w:pPr>
        <w:spacing w:after="0" w:line="240" w:lineRule="auto"/>
        <w:rPr>
          <w:rFonts w:ascii="Verdana" w:eastAsia="Geomanist Light" w:hAnsi="Verdana" w:cs="Arial"/>
          <w:lang w:val="es-MX"/>
        </w:rPr>
      </w:pPr>
    </w:p>
    <w:p w14:paraId="3545F080" w14:textId="77777777" w:rsidR="00BC6C87" w:rsidRDefault="00BC6C87" w:rsidP="00E80F98">
      <w:pPr>
        <w:spacing w:after="0" w:line="240" w:lineRule="auto"/>
        <w:rPr>
          <w:rFonts w:ascii="Verdana" w:eastAsia="Geomanist Light" w:hAnsi="Verdana" w:cs="Arial"/>
          <w:lang w:val="es-MX"/>
        </w:rPr>
      </w:pPr>
    </w:p>
    <w:p w14:paraId="3A966F57" w14:textId="77777777" w:rsidR="00BC6C87" w:rsidRDefault="00BC6C87" w:rsidP="00E80F98">
      <w:pPr>
        <w:spacing w:after="0" w:line="240" w:lineRule="auto"/>
        <w:rPr>
          <w:rFonts w:ascii="Verdana" w:eastAsia="Geomanist Light" w:hAnsi="Verdana" w:cs="Arial"/>
          <w:lang w:val="es-MX"/>
        </w:rPr>
      </w:pPr>
    </w:p>
    <w:p w14:paraId="3B911060" w14:textId="77777777" w:rsidR="00BC6C87" w:rsidRDefault="00BC6C87" w:rsidP="00E80F98">
      <w:pPr>
        <w:spacing w:after="0" w:line="240" w:lineRule="auto"/>
        <w:rPr>
          <w:rFonts w:ascii="Verdana" w:eastAsia="Geomanist Light" w:hAnsi="Verdana" w:cs="Arial"/>
          <w:lang w:val="es-MX"/>
        </w:rPr>
      </w:pPr>
    </w:p>
    <w:p w14:paraId="4CC1991E" w14:textId="77777777" w:rsidR="00BC6C87" w:rsidRDefault="00BC6C87" w:rsidP="00E80F98">
      <w:pPr>
        <w:spacing w:after="0" w:line="240" w:lineRule="auto"/>
        <w:rPr>
          <w:rFonts w:ascii="Verdana" w:eastAsia="Geomanist Light" w:hAnsi="Verdana" w:cs="Arial"/>
          <w:lang w:val="es-MX"/>
        </w:rPr>
      </w:pPr>
    </w:p>
    <w:p w14:paraId="5D39F4CC" w14:textId="77777777" w:rsidR="00BC6C87" w:rsidRDefault="00BC6C87" w:rsidP="00E80F98">
      <w:pPr>
        <w:spacing w:after="0" w:line="240" w:lineRule="auto"/>
        <w:rPr>
          <w:rFonts w:ascii="Verdana" w:eastAsia="Geomanist Light" w:hAnsi="Verdana" w:cs="Arial"/>
          <w:lang w:val="es-MX"/>
        </w:rPr>
      </w:pPr>
    </w:p>
    <w:p w14:paraId="72E835AC" w14:textId="77777777" w:rsidR="00BC6C87" w:rsidRDefault="00BC6C87" w:rsidP="00E80F98">
      <w:pPr>
        <w:spacing w:after="0" w:line="240" w:lineRule="auto"/>
        <w:rPr>
          <w:rFonts w:ascii="Verdana" w:eastAsia="Geomanist Light" w:hAnsi="Verdana" w:cs="Arial"/>
          <w:lang w:val="es-MX"/>
        </w:rPr>
      </w:pPr>
    </w:p>
    <w:p w14:paraId="69A118E0" w14:textId="77777777" w:rsidR="00BC6C87" w:rsidRDefault="00BC6C87" w:rsidP="00E80F98">
      <w:pPr>
        <w:spacing w:after="0" w:line="240" w:lineRule="auto"/>
        <w:rPr>
          <w:rFonts w:ascii="Verdana" w:eastAsia="Geomanist Light" w:hAnsi="Verdana" w:cs="Arial"/>
          <w:lang w:val="es-MX"/>
        </w:rPr>
      </w:pPr>
    </w:p>
    <w:p w14:paraId="6DC09294" w14:textId="644439C4" w:rsidR="00E80F98" w:rsidRPr="009322DA" w:rsidRDefault="00E80F98" w:rsidP="00E80F98">
      <w:pPr>
        <w:spacing w:after="0" w:line="240" w:lineRule="auto"/>
        <w:rPr>
          <w:rFonts w:ascii="Verdana" w:eastAsia="Geomanist Light" w:hAnsi="Verdana" w:cs="Arial"/>
          <w:lang w:val="es-MX"/>
        </w:rPr>
      </w:pPr>
      <w:r w:rsidRPr="009322DA">
        <w:rPr>
          <w:rFonts w:ascii="Verdana" w:eastAsia="Geomanist Light" w:hAnsi="Verdana" w:cs="Arial"/>
          <w:lang w:val="es-MX"/>
        </w:rPr>
        <w:lastRenderedPageBreak/>
        <w:t>Bogotá D.C., [Día] de [</w:t>
      </w:r>
      <w:proofErr w:type="spellStart"/>
      <w:r w:rsidRPr="009322DA">
        <w:rPr>
          <w:rFonts w:ascii="Verdana" w:eastAsia="Geomanist Light" w:hAnsi="Verdana" w:cs="Arial"/>
          <w:lang w:val="es-MX"/>
        </w:rPr>
        <w:t>Mes.NombreCapitalizado</w:t>
      </w:r>
      <w:proofErr w:type="spellEnd"/>
      <w:r w:rsidRPr="009322DA">
        <w:rPr>
          <w:rFonts w:ascii="Verdana" w:eastAsia="Geomanist Light" w:hAnsi="Verdana" w:cs="Arial"/>
          <w:lang w:val="es-MX"/>
        </w:rPr>
        <w:t>] de [Año]</w:t>
      </w:r>
    </w:p>
    <w:p w14:paraId="0FC423BE" w14:textId="54D95219" w:rsidR="00E80F98" w:rsidRDefault="00503D9F" w:rsidP="00E80F98">
      <w:pPr>
        <w:spacing w:after="0" w:line="240" w:lineRule="auto"/>
        <w:jc w:val="both"/>
        <w:rPr>
          <w:rFonts w:ascii="Verdana" w:eastAsia="Calibri" w:hAnsi="Verdana" w:cs="Arial"/>
          <w:lang w:val="es-ES"/>
        </w:rPr>
      </w:pPr>
      <w:r w:rsidRPr="00CF5898">
        <w:rPr>
          <w:rFonts w:ascii="Verdana" w:eastAsia="Calibri" w:hAnsi="Verdana" w:cs="Arial"/>
          <w:b/>
          <w:bCs/>
          <w:noProof/>
          <w:lang w:val="es-ES_tradnl" w:eastAsia="es-ES_tradnl"/>
        </w:rPr>
        <w:drawing>
          <wp:anchor distT="0" distB="0" distL="114300" distR="114300" simplePos="0" relativeHeight="251658240" behindDoc="1" locked="0" layoutInCell="1" allowOverlap="1" wp14:anchorId="0834F088" wp14:editId="300993FC">
            <wp:simplePos x="0" y="0"/>
            <wp:positionH relativeFrom="column">
              <wp:posOffset>2034540</wp:posOffset>
            </wp:positionH>
            <wp:positionV relativeFrom="paragraph">
              <wp:posOffset>127635</wp:posOffset>
            </wp:positionV>
            <wp:extent cx="3947502" cy="1127858"/>
            <wp:effectExtent l="0" t="0" r="0" b="0"/>
            <wp:wrapTight wrapText="bothSides">
              <wp:wrapPolygon edited="0">
                <wp:start x="0" y="0"/>
                <wp:lineTo x="0" y="21162"/>
                <wp:lineTo x="21475" y="21162"/>
                <wp:lineTo x="21475" y="0"/>
                <wp:lineTo x="0" y="0"/>
              </wp:wrapPolygon>
            </wp:wrapTight>
            <wp:docPr id="22208706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22318"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947502" cy="1127858"/>
                    </a:xfrm>
                    <a:prstGeom prst="rect">
                      <a:avLst/>
                    </a:prstGeom>
                  </pic:spPr>
                </pic:pic>
              </a:graphicData>
            </a:graphic>
          </wp:anchor>
        </w:drawing>
      </w:r>
    </w:p>
    <w:p w14:paraId="366E70A1" w14:textId="555AA1F7" w:rsidR="00503D9F" w:rsidRDefault="00503D9F" w:rsidP="00E80F98">
      <w:pPr>
        <w:spacing w:after="0" w:line="240" w:lineRule="auto"/>
        <w:jc w:val="both"/>
        <w:rPr>
          <w:rFonts w:ascii="Verdana" w:eastAsia="Calibri" w:hAnsi="Verdana" w:cs="Arial"/>
          <w:lang w:val="es-ES"/>
        </w:rPr>
      </w:pPr>
    </w:p>
    <w:p w14:paraId="4A57C6B2" w14:textId="19B23EAA" w:rsidR="00503D9F" w:rsidRDefault="00503D9F" w:rsidP="00E80F98">
      <w:pPr>
        <w:spacing w:after="0" w:line="240" w:lineRule="auto"/>
        <w:jc w:val="both"/>
        <w:rPr>
          <w:rFonts w:ascii="Verdana" w:eastAsia="Calibri" w:hAnsi="Verdana" w:cs="Arial"/>
          <w:lang w:val="es-ES"/>
        </w:rPr>
      </w:pPr>
    </w:p>
    <w:p w14:paraId="3CF9A4B7" w14:textId="506DF010" w:rsidR="00503D9F" w:rsidRDefault="00503D9F" w:rsidP="00E80F98">
      <w:pPr>
        <w:spacing w:after="0" w:line="240" w:lineRule="auto"/>
        <w:jc w:val="both"/>
        <w:rPr>
          <w:rFonts w:ascii="Verdana" w:eastAsia="Calibri" w:hAnsi="Verdana" w:cs="Arial"/>
          <w:lang w:val="es-ES"/>
        </w:rPr>
      </w:pPr>
    </w:p>
    <w:p w14:paraId="7E17633E" w14:textId="77777777" w:rsidR="00503D9F" w:rsidRDefault="00503D9F" w:rsidP="00E80F98">
      <w:pPr>
        <w:spacing w:after="0" w:line="240" w:lineRule="auto"/>
        <w:jc w:val="both"/>
        <w:rPr>
          <w:rFonts w:ascii="Verdana" w:eastAsia="Calibri" w:hAnsi="Verdana" w:cs="Arial"/>
          <w:lang w:val="es-ES"/>
        </w:rPr>
      </w:pPr>
    </w:p>
    <w:p w14:paraId="5FD44F38" w14:textId="19866B91" w:rsidR="00503D9F" w:rsidRDefault="00503D9F" w:rsidP="00E80F98">
      <w:pPr>
        <w:spacing w:after="0" w:line="240" w:lineRule="auto"/>
        <w:jc w:val="both"/>
        <w:rPr>
          <w:rFonts w:ascii="Verdana" w:eastAsia="Calibri" w:hAnsi="Verdana" w:cs="Arial"/>
          <w:lang w:val="es-ES"/>
        </w:rPr>
      </w:pPr>
    </w:p>
    <w:p w14:paraId="23A83848" w14:textId="77777777" w:rsidR="00503D9F" w:rsidRDefault="00503D9F" w:rsidP="00065E20">
      <w:pPr>
        <w:spacing w:after="0" w:line="240" w:lineRule="auto"/>
        <w:rPr>
          <w:rFonts w:ascii="Verdana" w:eastAsia="Calibri" w:hAnsi="Verdana" w:cs="Arial"/>
          <w:lang w:val="es-MX" w:eastAsia="es-ES"/>
        </w:rPr>
      </w:pPr>
    </w:p>
    <w:p w14:paraId="027FFB52" w14:textId="302F5A4E" w:rsidR="00065E20" w:rsidRPr="009322DA" w:rsidRDefault="00065E20" w:rsidP="00065E20">
      <w:pPr>
        <w:spacing w:after="0" w:line="240" w:lineRule="auto"/>
        <w:rPr>
          <w:rFonts w:ascii="Verdana" w:eastAsia="Calibri" w:hAnsi="Verdana" w:cs="Arial"/>
          <w:lang w:val="es-MX" w:eastAsia="es-ES"/>
        </w:rPr>
      </w:pPr>
      <w:r w:rsidRPr="009322DA">
        <w:rPr>
          <w:rFonts w:ascii="Verdana" w:eastAsia="Calibri" w:hAnsi="Verdana" w:cs="Arial"/>
          <w:lang w:val="es-MX" w:eastAsia="es-ES"/>
        </w:rPr>
        <w:t>Señor</w:t>
      </w:r>
    </w:p>
    <w:p w14:paraId="02D93A21" w14:textId="77777777" w:rsidR="00065E20" w:rsidRDefault="00065E20" w:rsidP="00065E20">
      <w:pPr>
        <w:spacing w:after="0" w:line="240" w:lineRule="auto"/>
        <w:rPr>
          <w:rFonts w:ascii="Verdana" w:eastAsia="Calibri" w:hAnsi="Verdana" w:cs="Arial"/>
          <w:b/>
          <w:bCs/>
          <w:lang w:val="es-MX" w:eastAsia="es-ES"/>
        </w:rPr>
      </w:pPr>
      <w:r w:rsidRPr="001A4CCF">
        <w:rPr>
          <w:rFonts w:ascii="Verdana" w:eastAsia="Calibri" w:hAnsi="Verdana" w:cs="Arial"/>
          <w:b/>
          <w:bCs/>
          <w:lang w:val="es-MX" w:eastAsia="es-ES"/>
        </w:rPr>
        <w:t>William Francisco Quintero Villarreal</w:t>
      </w:r>
    </w:p>
    <w:p w14:paraId="6297C673" w14:textId="77777777" w:rsidR="00065E20" w:rsidRDefault="00065E20" w:rsidP="00065E20">
      <w:pPr>
        <w:spacing w:after="0" w:line="240" w:lineRule="auto"/>
        <w:rPr>
          <w:rFonts w:ascii="Verdana" w:eastAsia="Calibri" w:hAnsi="Verdana" w:cs="Arial"/>
          <w:lang w:val="es-MX" w:eastAsia="es-ES"/>
        </w:rPr>
      </w:pPr>
      <w:hyperlink r:id="rId12" w:history="1">
        <w:r w:rsidRPr="00285CC0">
          <w:rPr>
            <w:rStyle w:val="Hipervnculo"/>
            <w:rFonts w:ascii="Verdana" w:eastAsia="Calibri" w:hAnsi="Verdana" w:cs="Arial"/>
            <w:lang w:val="es-MX" w:eastAsia="es-ES"/>
          </w:rPr>
          <w:t>Quintero_abo@hotmail.com</w:t>
        </w:r>
      </w:hyperlink>
    </w:p>
    <w:p w14:paraId="73A51F08" w14:textId="77777777" w:rsidR="00065E20" w:rsidRPr="009322DA" w:rsidRDefault="00065E20" w:rsidP="00065E20">
      <w:pPr>
        <w:spacing w:after="0" w:line="240" w:lineRule="auto"/>
        <w:rPr>
          <w:rFonts w:ascii="Verdana" w:eastAsia="Calibri" w:hAnsi="Verdana" w:cs="Arial"/>
          <w:b/>
          <w:bCs/>
          <w:lang w:val="es-ES" w:eastAsia="es-ES"/>
        </w:rPr>
      </w:pPr>
      <w:r>
        <w:rPr>
          <w:rFonts w:ascii="Verdana" w:eastAsia="Calibri" w:hAnsi="Verdana" w:cs="Arial"/>
          <w:lang w:val="es-MX" w:eastAsia="es-ES"/>
        </w:rPr>
        <w:t xml:space="preserve">Montería, Córdoba. </w:t>
      </w:r>
    </w:p>
    <w:p w14:paraId="20A478BC" w14:textId="77777777" w:rsidR="00065E20" w:rsidRPr="009322DA" w:rsidRDefault="00065E20" w:rsidP="00065E20">
      <w:pPr>
        <w:spacing w:after="0" w:line="240" w:lineRule="auto"/>
        <w:rPr>
          <w:rFonts w:ascii="Verdana" w:eastAsia="Calibri" w:hAnsi="Verdana" w:cs="Arial"/>
          <w:b/>
          <w:bCs/>
          <w:lang w:val="es-ES_tradnl" w:eastAsia="es-ES_tradnl"/>
        </w:rPr>
      </w:pPr>
    </w:p>
    <w:p w14:paraId="60B87D77" w14:textId="669DB3E5" w:rsidR="00065E20" w:rsidRPr="009322DA" w:rsidRDefault="00065E20" w:rsidP="00CF5898">
      <w:pPr>
        <w:spacing w:after="0" w:line="240" w:lineRule="auto"/>
        <w:jc w:val="right"/>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5E20" w:rsidRPr="009322DA" w14:paraId="523411E0" w14:textId="77777777" w:rsidTr="00B66C68">
        <w:trPr>
          <w:trHeight w:val="884"/>
        </w:trPr>
        <w:tc>
          <w:tcPr>
            <w:tcW w:w="2689" w:type="dxa"/>
          </w:tcPr>
          <w:p w14:paraId="20B22EC6" w14:textId="77777777" w:rsidR="00065E20" w:rsidRPr="009322DA" w:rsidRDefault="00065E20" w:rsidP="00B66C68">
            <w:pPr>
              <w:jc w:val="both"/>
              <w:rPr>
                <w:rFonts w:ascii="Verdana" w:hAnsi="Verdana" w:cs="Arial"/>
                <w:b/>
                <w:bCs/>
                <w:lang w:val="es-ES_tradnl" w:eastAsia="es-ES_tradnl"/>
              </w:rPr>
            </w:pPr>
          </w:p>
        </w:tc>
        <w:tc>
          <w:tcPr>
            <w:tcW w:w="6100" w:type="dxa"/>
            <w:hideMark/>
          </w:tcPr>
          <w:p w14:paraId="6EB93506" w14:textId="77777777" w:rsidR="00065E20" w:rsidRPr="009322DA" w:rsidRDefault="00065E20" w:rsidP="00B66C68">
            <w:pPr>
              <w:jc w:val="both"/>
              <w:rPr>
                <w:rFonts w:ascii="Verdana" w:hAnsi="Verdana" w:cs="Arial"/>
                <w:b/>
                <w:bCs/>
                <w:lang w:val="es-ES" w:eastAsia="es-ES"/>
              </w:rPr>
            </w:pPr>
            <w:r w:rsidRPr="009322DA">
              <w:rPr>
                <w:rFonts w:ascii="Verdana" w:hAnsi="Verdana" w:cs="Arial"/>
                <w:b/>
                <w:bCs/>
                <w:lang w:val="es-ES" w:eastAsia="es-ES"/>
              </w:rPr>
              <w:t xml:space="preserve">Concepto </w:t>
            </w:r>
            <w:r>
              <w:rPr>
                <w:rFonts w:ascii="Verdana" w:hAnsi="Verdana" w:cs="Arial"/>
                <w:b/>
                <w:bCs/>
                <w:lang w:val="es-ES" w:eastAsia="es-ES"/>
              </w:rPr>
              <w:t>C-799</w:t>
            </w:r>
            <w:r w:rsidRPr="009322DA">
              <w:rPr>
                <w:rFonts w:ascii="Verdana" w:hAnsi="Verdana" w:cs="Arial"/>
                <w:b/>
                <w:bCs/>
                <w:lang w:val="es-ES" w:eastAsia="es-ES"/>
              </w:rPr>
              <w:t xml:space="preserve"> de 2024</w:t>
            </w:r>
          </w:p>
        </w:tc>
      </w:tr>
      <w:tr w:rsidR="00065E20" w:rsidRPr="009322DA" w14:paraId="17AF70CF" w14:textId="77777777" w:rsidTr="00B66C68">
        <w:trPr>
          <w:trHeight w:val="884"/>
        </w:trPr>
        <w:tc>
          <w:tcPr>
            <w:tcW w:w="2689" w:type="dxa"/>
            <w:hideMark/>
          </w:tcPr>
          <w:p w14:paraId="329EB164" w14:textId="77777777" w:rsidR="00065E20" w:rsidRPr="009322DA" w:rsidRDefault="00065E20" w:rsidP="00B66C68">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100" w:type="dxa"/>
          </w:tcPr>
          <w:p w14:paraId="0D081C34" w14:textId="77777777" w:rsidR="00065E20" w:rsidRDefault="00065E20" w:rsidP="00B66C68">
            <w:pPr>
              <w:jc w:val="both"/>
              <w:rPr>
                <w:rFonts w:ascii="Verdana" w:eastAsia="Calibri" w:hAnsi="Verdana" w:cs="Arial"/>
                <w:bCs/>
                <w:lang w:val="es-MX" w:eastAsia="es-ES"/>
              </w:rPr>
            </w:pPr>
            <w:r w:rsidRPr="002A43BA">
              <w:rPr>
                <w:rFonts w:ascii="Verdana" w:eastAsia="Calibri" w:hAnsi="Verdana" w:cs="Arial"/>
                <w:bCs/>
                <w:lang w:val="es-MX" w:eastAsia="es-ES"/>
              </w:rPr>
              <w:t>LIQUIDACIÓN DEL CONTRATO – Definición – Objetivo / LIQUIDACIÓN DEL CONTRATO – Normativa / LIQUIDACIÓN DEL CONTRATO – Oportunidad</w:t>
            </w:r>
          </w:p>
          <w:p w14:paraId="0B2EA653" w14:textId="77777777" w:rsidR="00065E20" w:rsidRPr="00EB3000" w:rsidRDefault="00065E20" w:rsidP="00B66C68">
            <w:pPr>
              <w:jc w:val="both"/>
              <w:rPr>
                <w:rFonts w:ascii="Verdana" w:hAnsi="Verdana" w:cs="Arial"/>
                <w:lang w:val="es-ES_tradnl" w:eastAsia="es-ES"/>
              </w:rPr>
            </w:pPr>
          </w:p>
        </w:tc>
      </w:tr>
      <w:tr w:rsidR="00065E20" w:rsidRPr="009322DA" w14:paraId="22438316" w14:textId="77777777" w:rsidTr="00B66C68">
        <w:tc>
          <w:tcPr>
            <w:tcW w:w="2689" w:type="dxa"/>
            <w:hideMark/>
          </w:tcPr>
          <w:p w14:paraId="40876095" w14:textId="77777777" w:rsidR="00065E20" w:rsidRPr="009322DA" w:rsidRDefault="00065E20" w:rsidP="00B66C68">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100" w:type="dxa"/>
          </w:tcPr>
          <w:p w14:paraId="2491147D" w14:textId="77777777" w:rsidR="00065E20" w:rsidRPr="002A43BA" w:rsidRDefault="00065E20" w:rsidP="00B66C68">
            <w:pPr>
              <w:jc w:val="both"/>
              <w:rPr>
                <w:rFonts w:ascii="Verdana" w:hAnsi="Verdana"/>
                <w:b/>
                <w:bCs/>
                <w:lang w:eastAsia="es-ES_tradnl"/>
              </w:rPr>
            </w:pPr>
            <w:r w:rsidRPr="009322DA">
              <w:rPr>
                <w:rFonts w:ascii="Verdana" w:hAnsi="Verdana" w:cs="Arial"/>
                <w:lang w:val="es-ES_tradnl" w:eastAsia="es-ES_tradnl"/>
              </w:rPr>
              <w:t xml:space="preserve">Respuesta a consulta con radicado No. </w:t>
            </w:r>
            <w:r w:rsidRPr="001A4CCF">
              <w:rPr>
                <w:rFonts w:ascii="Verdana" w:hAnsi="Verdana"/>
                <w:lang w:eastAsia="es-ES_tradnl"/>
              </w:rPr>
              <w:t>P20241030011005</w:t>
            </w:r>
          </w:p>
          <w:p w14:paraId="6CCBC983" w14:textId="77777777" w:rsidR="00065E20" w:rsidRPr="00347A72" w:rsidRDefault="00065E20" w:rsidP="00B66C68">
            <w:pPr>
              <w:jc w:val="both"/>
              <w:rPr>
                <w:rFonts w:ascii="Verdana" w:hAnsi="Verdana"/>
                <w:b/>
                <w:bCs/>
                <w:lang w:eastAsia="es-ES_tradnl"/>
              </w:rPr>
            </w:pPr>
          </w:p>
          <w:p w14:paraId="60FE9914" w14:textId="77777777" w:rsidR="00065E20" w:rsidRPr="009322DA" w:rsidRDefault="00065E20" w:rsidP="00B66C68">
            <w:pPr>
              <w:jc w:val="both"/>
              <w:rPr>
                <w:rFonts w:ascii="Verdana" w:hAnsi="Verdana" w:cs="Arial"/>
                <w:lang w:val="es-ES_tradnl" w:eastAsia="es-ES_tradnl"/>
              </w:rPr>
            </w:pPr>
          </w:p>
        </w:tc>
      </w:tr>
    </w:tbl>
    <w:p w14:paraId="1308AF46" w14:textId="77777777" w:rsidR="00065E20" w:rsidRPr="009322DA" w:rsidRDefault="00065E20" w:rsidP="00065E20">
      <w:pPr>
        <w:spacing w:after="0" w:line="240" w:lineRule="auto"/>
        <w:jc w:val="both"/>
        <w:rPr>
          <w:rFonts w:ascii="Verdana" w:eastAsia="Calibri" w:hAnsi="Verdana" w:cs="Arial"/>
          <w:lang w:val="es-ES_tradnl" w:eastAsia="es-ES_tradnl"/>
        </w:rPr>
      </w:pPr>
    </w:p>
    <w:p w14:paraId="4F38C075" w14:textId="77777777" w:rsidR="00065E20" w:rsidRPr="009322DA" w:rsidRDefault="00065E20" w:rsidP="00065E20">
      <w:pPr>
        <w:spacing w:after="0" w:line="240" w:lineRule="auto"/>
        <w:jc w:val="both"/>
        <w:rPr>
          <w:rFonts w:ascii="Verdana" w:eastAsia="Calibri" w:hAnsi="Verdana" w:cs="Arial"/>
          <w:lang w:val="es-ES_tradnl" w:eastAsia="es-ES_tradnl"/>
        </w:rPr>
      </w:pPr>
    </w:p>
    <w:p w14:paraId="4F3C32E7" w14:textId="77777777" w:rsidR="00065E20" w:rsidRPr="009322DA" w:rsidRDefault="00065E20" w:rsidP="00065E20">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 señor Quintero</w:t>
      </w:r>
      <w:r w:rsidRPr="009322DA">
        <w:rPr>
          <w:rFonts w:ascii="Verdana" w:eastAsia="Calibri" w:hAnsi="Verdana" w:cs="Arial"/>
          <w:lang w:val="es-ES" w:eastAsia="es-ES"/>
        </w:rPr>
        <w:t xml:space="preserve">: </w:t>
      </w:r>
    </w:p>
    <w:p w14:paraId="53799F0F" w14:textId="77777777" w:rsidR="00065E20" w:rsidRPr="009322DA" w:rsidRDefault="00065E20" w:rsidP="00065E20">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7BD7E5CD" w14:textId="77777777" w:rsidR="00065E20" w:rsidRPr="009322DA" w:rsidRDefault="00065E20" w:rsidP="00065E20">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30 </w:t>
      </w:r>
      <w:r w:rsidRPr="009322DA">
        <w:rPr>
          <w:rFonts w:ascii="Verdana" w:eastAsia="Calibri" w:hAnsi="Verdana" w:cs="Arial"/>
          <w:lang w:val="es-ES" w:eastAsia="es-ES"/>
        </w:rPr>
        <w:t xml:space="preserve">de </w:t>
      </w:r>
      <w:r>
        <w:rPr>
          <w:rFonts w:ascii="Verdana" w:eastAsia="Calibri" w:hAnsi="Verdana" w:cs="Arial"/>
          <w:lang w:val="es-ES" w:eastAsia="es-ES"/>
        </w:rPr>
        <w:t>octubre</w:t>
      </w:r>
      <w:r w:rsidRPr="009322DA">
        <w:rPr>
          <w:rFonts w:ascii="Verdana" w:eastAsia="Calibri" w:hAnsi="Verdana" w:cs="Arial"/>
          <w:lang w:val="es-ES" w:eastAsia="es-ES"/>
        </w:rPr>
        <w:t xml:space="preserve"> de 2024, en la cual manifiesta lo siguiente: </w:t>
      </w:r>
    </w:p>
    <w:p w14:paraId="2497E422" w14:textId="77777777" w:rsidR="00065E20" w:rsidRPr="009322DA" w:rsidRDefault="00065E20" w:rsidP="00065E20">
      <w:pPr>
        <w:spacing w:after="0" w:line="240" w:lineRule="auto"/>
        <w:ind w:left="709" w:right="709"/>
        <w:jc w:val="both"/>
        <w:rPr>
          <w:rFonts w:ascii="Verdana" w:eastAsia="Century Gothic" w:hAnsi="Verdana" w:cs="Century Gothic"/>
          <w:sz w:val="20"/>
          <w:szCs w:val="20"/>
          <w:lang w:val="es-ES"/>
        </w:rPr>
      </w:pPr>
      <w:bookmarkStart w:id="0" w:name="_Hlk95313578"/>
    </w:p>
    <w:p w14:paraId="7217AD29" w14:textId="77777777" w:rsidR="00065E20" w:rsidRPr="009D4BCF" w:rsidRDefault="00065E20" w:rsidP="00065E20">
      <w:pPr>
        <w:spacing w:line="240" w:lineRule="auto"/>
        <w:ind w:left="709" w:right="709"/>
        <w:jc w:val="both"/>
        <w:rPr>
          <w:rFonts w:ascii="Verdana" w:eastAsia="Century Gothic" w:hAnsi="Verdana" w:cs="Century Gothic"/>
          <w:i/>
          <w:iCs/>
          <w:sz w:val="20"/>
          <w:szCs w:val="20"/>
        </w:rPr>
      </w:pPr>
      <w:r w:rsidRPr="00772836">
        <w:rPr>
          <w:rFonts w:ascii="Verdana" w:eastAsia="Century Gothic" w:hAnsi="Verdana" w:cs="Century Gothic"/>
          <w:i/>
          <w:iCs/>
          <w:sz w:val="20"/>
          <w:szCs w:val="20"/>
          <w:lang w:val="es-ES"/>
        </w:rPr>
        <w:t>“</w:t>
      </w:r>
      <w:r w:rsidRPr="001A4CCF">
        <w:rPr>
          <w:rFonts w:ascii="Verdana" w:eastAsia="Century Gothic" w:hAnsi="Verdana" w:cs="Century Gothic"/>
          <w:i/>
          <w:iCs/>
          <w:sz w:val="20"/>
          <w:szCs w:val="20"/>
        </w:rPr>
        <w:t>A PARTIR DE QUE FECHA SE CONTABILIZAN LOS TERMINOS QUE TIENE UNA</w:t>
      </w:r>
      <w:r>
        <w:rPr>
          <w:rFonts w:ascii="Verdana" w:eastAsia="Century Gothic" w:hAnsi="Verdana" w:cs="Century Gothic"/>
          <w:i/>
          <w:iCs/>
          <w:sz w:val="20"/>
          <w:szCs w:val="20"/>
        </w:rPr>
        <w:t xml:space="preserve"> </w:t>
      </w:r>
      <w:r w:rsidRPr="001A4CCF">
        <w:rPr>
          <w:rFonts w:ascii="Verdana" w:eastAsia="Century Gothic" w:hAnsi="Verdana" w:cs="Century Gothic"/>
          <w:i/>
          <w:iCs/>
          <w:sz w:val="20"/>
          <w:szCs w:val="20"/>
        </w:rPr>
        <w:t>ENTIDAD ESTATAL PARA LIQUIDAR UN CONTRATO DE OBRAS CUANDO LA</w:t>
      </w:r>
      <w:r>
        <w:rPr>
          <w:rFonts w:ascii="Verdana" w:eastAsia="Century Gothic" w:hAnsi="Verdana" w:cs="Century Gothic"/>
          <w:i/>
          <w:iCs/>
          <w:sz w:val="20"/>
          <w:szCs w:val="20"/>
        </w:rPr>
        <w:t xml:space="preserve"> </w:t>
      </w:r>
      <w:r w:rsidRPr="001A4CCF">
        <w:rPr>
          <w:rFonts w:ascii="Verdana" w:eastAsia="Century Gothic" w:hAnsi="Verdana" w:cs="Century Gothic"/>
          <w:i/>
          <w:iCs/>
          <w:sz w:val="20"/>
          <w:szCs w:val="20"/>
        </w:rPr>
        <w:t>CAR CORRESPONDIENTE NO HA HECHO EL CIERRE AMBIENTAL Y HAN</w:t>
      </w:r>
      <w:r>
        <w:rPr>
          <w:rFonts w:ascii="Verdana" w:eastAsia="Century Gothic" w:hAnsi="Verdana" w:cs="Century Gothic"/>
          <w:i/>
          <w:iCs/>
          <w:sz w:val="20"/>
          <w:szCs w:val="20"/>
        </w:rPr>
        <w:t xml:space="preserve"> </w:t>
      </w:r>
      <w:r w:rsidRPr="001A4CCF">
        <w:rPr>
          <w:rFonts w:ascii="Verdana" w:eastAsia="Century Gothic" w:hAnsi="Verdana" w:cs="Century Gothic"/>
          <w:i/>
          <w:iCs/>
          <w:sz w:val="20"/>
          <w:szCs w:val="20"/>
        </w:rPr>
        <w:t>TRANSCURRIDO MAS 8 MESES DE HABER SIDO RECIBIDO LAS OBRAS A</w:t>
      </w:r>
      <w:r>
        <w:rPr>
          <w:rFonts w:ascii="Verdana" w:eastAsia="Century Gothic" w:hAnsi="Verdana" w:cs="Century Gothic"/>
          <w:i/>
          <w:iCs/>
          <w:sz w:val="20"/>
          <w:szCs w:val="20"/>
        </w:rPr>
        <w:t xml:space="preserve"> </w:t>
      </w:r>
      <w:r w:rsidRPr="001A4CCF">
        <w:rPr>
          <w:rFonts w:ascii="Verdana" w:eastAsia="Century Gothic" w:hAnsi="Verdana" w:cs="Century Gothic"/>
          <w:i/>
          <w:iCs/>
          <w:sz w:val="20"/>
          <w:szCs w:val="20"/>
        </w:rPr>
        <w:t>SATISFACCION POR LA ENTIDAD CONTRATANTE. ALEGAN QUE HASTA QUE</w:t>
      </w:r>
      <w:r>
        <w:rPr>
          <w:rFonts w:ascii="Verdana" w:eastAsia="Century Gothic" w:hAnsi="Verdana" w:cs="Century Gothic"/>
          <w:i/>
          <w:iCs/>
          <w:sz w:val="20"/>
          <w:szCs w:val="20"/>
        </w:rPr>
        <w:t xml:space="preserve"> </w:t>
      </w:r>
      <w:r w:rsidRPr="001A4CCF">
        <w:rPr>
          <w:rFonts w:ascii="Verdana" w:eastAsia="Century Gothic" w:hAnsi="Verdana" w:cs="Century Gothic"/>
          <w:i/>
          <w:iCs/>
          <w:sz w:val="20"/>
          <w:szCs w:val="20"/>
        </w:rPr>
        <w:t>NO SE PRODUZCA EL CIERRE AMBIENTAL NO PUEDE INICIAR A</w:t>
      </w:r>
      <w:r>
        <w:rPr>
          <w:rFonts w:ascii="Verdana" w:eastAsia="Century Gothic" w:hAnsi="Verdana" w:cs="Century Gothic"/>
          <w:i/>
          <w:iCs/>
          <w:sz w:val="20"/>
          <w:szCs w:val="20"/>
        </w:rPr>
        <w:t xml:space="preserve"> </w:t>
      </w:r>
      <w:r w:rsidRPr="001A4CCF">
        <w:rPr>
          <w:rFonts w:ascii="Verdana" w:eastAsia="Century Gothic" w:hAnsi="Verdana" w:cs="Century Gothic"/>
          <w:i/>
          <w:iCs/>
          <w:sz w:val="20"/>
          <w:szCs w:val="20"/>
        </w:rPr>
        <w:t>LIQUIDACION DEL CONTRATO.:</w:t>
      </w:r>
      <w:r w:rsidRPr="009D4BCF">
        <w:rPr>
          <w:rFonts w:ascii="Verdana" w:eastAsia="Century Gothic" w:hAnsi="Verdana" w:cs="Century Gothic"/>
          <w:i/>
          <w:iCs/>
          <w:sz w:val="20"/>
          <w:szCs w:val="20"/>
        </w:rPr>
        <w:t>”</w:t>
      </w:r>
      <w:bookmarkEnd w:id="0"/>
      <w:r w:rsidRPr="009D4BCF">
        <w:rPr>
          <w:rFonts w:ascii="Verdana" w:eastAsia="Century Gothic" w:hAnsi="Verdana" w:cs="Century Gothic"/>
          <w:i/>
          <w:iCs/>
          <w:sz w:val="20"/>
          <w:szCs w:val="20"/>
        </w:rPr>
        <w:t>.</w:t>
      </w:r>
    </w:p>
    <w:p w14:paraId="115B02AC" w14:textId="77777777" w:rsidR="00065E20" w:rsidRPr="00D6203F" w:rsidRDefault="00065E20" w:rsidP="00065E20">
      <w:pPr>
        <w:spacing w:line="240" w:lineRule="auto"/>
        <w:ind w:left="709" w:right="709"/>
        <w:jc w:val="both"/>
        <w:rPr>
          <w:rFonts w:ascii="Verdana" w:eastAsia="Calibri" w:hAnsi="Verdana" w:cs="Arial"/>
          <w:i/>
          <w:iCs/>
          <w:sz w:val="20"/>
          <w:szCs w:val="20"/>
          <w:shd w:val="clear" w:color="auto" w:fill="FFFFFF"/>
        </w:rPr>
      </w:pPr>
    </w:p>
    <w:p w14:paraId="6B822EDD" w14:textId="77777777" w:rsidR="00065E20" w:rsidRPr="009322DA" w:rsidRDefault="00065E20" w:rsidP="00065E20">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lastRenderedPageBreak/>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7C4CBED4" w14:textId="77777777" w:rsidR="00065E20" w:rsidRPr="009322DA" w:rsidRDefault="00065E20" w:rsidP="00065E20">
      <w:pPr>
        <w:spacing w:after="0" w:line="276" w:lineRule="auto"/>
        <w:ind w:firstLine="708"/>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741D69C" w14:textId="77777777" w:rsidR="00065E20" w:rsidRPr="009322DA" w:rsidRDefault="00065E20" w:rsidP="00065E20">
      <w:pPr>
        <w:spacing w:after="0" w:line="276" w:lineRule="auto"/>
        <w:ind w:firstLine="709"/>
        <w:jc w:val="both"/>
        <w:rPr>
          <w:rFonts w:ascii="Verdana" w:eastAsia="Calibri" w:hAnsi="Verdana" w:cs="Arial"/>
          <w:lang w:val="es-ES" w:eastAsia="es-ES"/>
        </w:rPr>
      </w:pPr>
    </w:p>
    <w:p w14:paraId="23D2E16F" w14:textId="77777777" w:rsidR="00065E20" w:rsidRPr="009322DA" w:rsidRDefault="00065E20" w:rsidP="00065E2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6C1F3317" w14:textId="77777777" w:rsidR="00065E20" w:rsidRPr="009322DA" w:rsidRDefault="00065E20" w:rsidP="00065E20">
      <w:pPr>
        <w:tabs>
          <w:tab w:val="left" w:pos="426"/>
        </w:tabs>
        <w:spacing w:after="0" w:line="276" w:lineRule="auto"/>
        <w:jc w:val="both"/>
        <w:rPr>
          <w:rFonts w:ascii="Verdana" w:eastAsia="Century Gothic" w:hAnsi="Verdana" w:cs="Century Gothic"/>
          <w:lang w:val="es-ES"/>
        </w:rPr>
      </w:pPr>
    </w:p>
    <w:p w14:paraId="03F7FC69" w14:textId="77777777" w:rsidR="00065E20" w:rsidRPr="001A4CCF" w:rsidRDefault="00065E20" w:rsidP="00065E20">
      <w:pPr>
        <w:spacing w:after="0" w:line="276" w:lineRule="auto"/>
        <w:jc w:val="both"/>
        <w:rPr>
          <w:rFonts w:ascii="Verdana" w:eastAsia="Century Gothic" w:hAnsi="Verdana" w:cs="Century Gothic"/>
        </w:rPr>
      </w:pPr>
      <w:r w:rsidRPr="009322DA">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w:t>
      </w:r>
      <w:r w:rsidRPr="001A4CCF">
        <w:rPr>
          <w:rFonts w:ascii="Verdana" w:eastAsia="Century Gothic" w:hAnsi="Verdana" w:cs="Century Gothic"/>
        </w:rPr>
        <w:t xml:space="preserve">i) ¿Cuál </w:t>
      </w:r>
      <w:r>
        <w:rPr>
          <w:rFonts w:ascii="Verdana" w:eastAsia="Century Gothic" w:hAnsi="Verdana" w:cs="Century Gothic"/>
        </w:rPr>
        <w:t>es el p</w:t>
      </w:r>
      <w:r w:rsidRPr="001A4CCF">
        <w:rPr>
          <w:rFonts w:ascii="Verdana" w:eastAsia="Century Gothic" w:hAnsi="Verdana" w:cs="Century Gothic"/>
        </w:rPr>
        <w:t xml:space="preserve">lazo </w:t>
      </w:r>
      <w:r>
        <w:rPr>
          <w:rFonts w:ascii="Verdana" w:eastAsia="Century Gothic" w:hAnsi="Verdana" w:cs="Century Gothic"/>
        </w:rPr>
        <w:t>p</w:t>
      </w:r>
      <w:r w:rsidRPr="001A4CCF">
        <w:rPr>
          <w:rFonts w:ascii="Verdana" w:eastAsia="Century Gothic" w:hAnsi="Verdana" w:cs="Century Gothic"/>
        </w:rPr>
        <w:t xml:space="preserve">ara liquidar un contrato de obra de una entidad sujeta </w:t>
      </w:r>
      <w:r>
        <w:rPr>
          <w:rFonts w:ascii="Verdana" w:eastAsia="Century Gothic" w:hAnsi="Verdana" w:cs="Century Gothic"/>
        </w:rPr>
        <w:t>al estatuto general de contratación de la administración pública</w:t>
      </w:r>
      <w:r w:rsidRPr="001A4CCF">
        <w:rPr>
          <w:rFonts w:ascii="Verdana" w:eastAsia="Century Gothic" w:hAnsi="Verdana" w:cs="Century Gothic"/>
        </w:rPr>
        <w:t>?  </w:t>
      </w:r>
      <w:proofErr w:type="spellStart"/>
      <w:r>
        <w:rPr>
          <w:rFonts w:ascii="Verdana" w:eastAsia="Century Gothic" w:hAnsi="Verdana" w:cs="Century Gothic"/>
        </w:rPr>
        <w:t>i</w:t>
      </w:r>
      <w:r w:rsidRPr="001A4CCF">
        <w:rPr>
          <w:rFonts w:ascii="Verdana" w:eastAsia="Century Gothic" w:hAnsi="Verdana" w:cs="Century Gothic"/>
        </w:rPr>
        <w:t>i</w:t>
      </w:r>
      <w:proofErr w:type="spellEnd"/>
      <w:r w:rsidRPr="001A4CCF">
        <w:rPr>
          <w:rFonts w:ascii="Verdana" w:eastAsia="Century Gothic" w:hAnsi="Verdana" w:cs="Century Gothic"/>
        </w:rPr>
        <w:t xml:space="preserve">) </w:t>
      </w:r>
      <w:proofErr w:type="gramStart"/>
      <w:r w:rsidRPr="00320B44">
        <w:rPr>
          <w:rFonts w:ascii="Verdana" w:eastAsia="Century Gothic" w:hAnsi="Verdana" w:cs="Century Gothic"/>
        </w:rPr>
        <w:t>¿ Cuáles</w:t>
      </w:r>
      <w:proofErr w:type="gramEnd"/>
      <w:r w:rsidRPr="00320B44">
        <w:rPr>
          <w:rFonts w:ascii="Verdana" w:eastAsia="Century Gothic" w:hAnsi="Verdana" w:cs="Century Gothic"/>
        </w:rPr>
        <w:t xml:space="preserve"> son los documentos que hacen parte de la liquidación del contrato? </w:t>
      </w:r>
    </w:p>
    <w:p w14:paraId="5B9AEFC8" w14:textId="77777777" w:rsidR="00065E20" w:rsidRPr="001A4CCF" w:rsidRDefault="00065E20" w:rsidP="00065E20">
      <w:pPr>
        <w:spacing w:after="0" w:line="276" w:lineRule="auto"/>
        <w:jc w:val="both"/>
        <w:rPr>
          <w:rFonts w:ascii="Verdana" w:eastAsia="Century Gothic" w:hAnsi="Verdana" w:cs="Century Gothic"/>
        </w:rPr>
      </w:pPr>
    </w:p>
    <w:p w14:paraId="61EDA8DE" w14:textId="77777777" w:rsidR="00065E20" w:rsidRPr="001A4CCF" w:rsidRDefault="00065E20" w:rsidP="00065E20">
      <w:pPr>
        <w:spacing w:after="0" w:line="276" w:lineRule="auto"/>
        <w:jc w:val="both"/>
        <w:rPr>
          <w:rFonts w:ascii="Verdana" w:eastAsia="Calibri" w:hAnsi="Verdana" w:cs="Arial"/>
        </w:rPr>
      </w:pPr>
    </w:p>
    <w:p w14:paraId="757424FC" w14:textId="77777777" w:rsidR="00065E20" w:rsidRDefault="00065E20" w:rsidP="00065E2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p>
    <w:p w14:paraId="03BBDDAC" w14:textId="77777777" w:rsidR="00065E20" w:rsidRPr="009322DA" w:rsidRDefault="00065E20" w:rsidP="00065E20">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5E20" w:rsidRPr="009322DA" w14:paraId="39FBBEAA" w14:textId="77777777" w:rsidTr="00B66C68">
        <w:tc>
          <w:tcPr>
            <w:tcW w:w="8828" w:type="dxa"/>
            <w:tcBorders>
              <w:top w:val="dotted" w:sz="4" w:space="0" w:color="auto"/>
              <w:left w:val="dotted" w:sz="4" w:space="0" w:color="auto"/>
              <w:bottom w:val="dotted" w:sz="4" w:space="0" w:color="auto"/>
              <w:right w:val="dotted" w:sz="4" w:space="0" w:color="auto"/>
            </w:tcBorders>
          </w:tcPr>
          <w:p w14:paraId="5933C85B" w14:textId="77777777" w:rsidR="00065E20" w:rsidRPr="00FA2C27" w:rsidRDefault="00065E20" w:rsidP="00B66C68">
            <w:pPr>
              <w:pStyle w:val="Prrafodelista"/>
              <w:numPr>
                <w:ilvl w:val="0"/>
                <w:numId w:val="18"/>
              </w:numPr>
              <w:spacing w:after="120" w:line="276" w:lineRule="auto"/>
              <w:jc w:val="both"/>
              <w:rPr>
                <w:rFonts w:ascii="Verdana" w:eastAsia="Calibri" w:hAnsi="Verdana" w:cs="Arial"/>
              </w:rPr>
            </w:pPr>
            <w:r>
              <w:rPr>
                <w:rFonts w:ascii="Verdana" w:eastAsia="Calibri" w:hAnsi="Verdana" w:cs="Arial"/>
              </w:rPr>
              <w:t xml:space="preserve">Frente al primer interrogante planteado, </w:t>
            </w:r>
            <w:r w:rsidRPr="002A43BA">
              <w:rPr>
                <w:rFonts w:ascii="Verdana" w:eastAsia="Calibri" w:hAnsi="Verdana" w:cs="Arial"/>
              </w:rPr>
              <w:t>el artículo 11 de la Ley 1150 de 2007</w:t>
            </w:r>
            <w:r>
              <w:rPr>
                <w:rFonts w:ascii="Verdana" w:eastAsia="Calibri" w:hAnsi="Verdana" w:cs="Arial"/>
              </w:rPr>
              <w:t xml:space="preserve"> establece que la </w:t>
            </w:r>
            <w:proofErr w:type="gramStart"/>
            <w:r>
              <w:rPr>
                <w:rFonts w:ascii="Verdana" w:eastAsia="Calibri" w:hAnsi="Verdana" w:cs="Arial"/>
              </w:rPr>
              <w:t>liquidación  del</w:t>
            </w:r>
            <w:proofErr w:type="gramEnd"/>
            <w:r>
              <w:rPr>
                <w:rFonts w:ascii="Verdana" w:eastAsia="Calibri" w:hAnsi="Verdana" w:cs="Arial"/>
              </w:rPr>
              <w:t xml:space="preserve"> contrato estatal se hará  de mutuo acuerdo dentro del término fijado en los pliegos de condiciones </w:t>
            </w:r>
            <w:r w:rsidRPr="00166A60">
              <w:rPr>
                <w:rFonts w:ascii="Verdana" w:eastAsia="Calibri" w:hAnsi="Verdana" w:cs="Arial"/>
                <w:lang w:val="es-CO"/>
              </w:rPr>
              <w:t xml:space="preserve">o sus equivalentes, o dentro del que acuerden las partes para el efecto. </w:t>
            </w:r>
            <w:r>
              <w:rPr>
                <w:rFonts w:ascii="Verdana" w:eastAsia="Calibri" w:hAnsi="Verdana" w:cs="Arial"/>
                <w:lang w:val="es-CO"/>
              </w:rPr>
              <w:t xml:space="preserve"> </w:t>
            </w:r>
          </w:p>
          <w:p w14:paraId="329A1FBB" w14:textId="77777777" w:rsidR="00065E20" w:rsidRDefault="00065E20" w:rsidP="00B66C68">
            <w:pPr>
              <w:pStyle w:val="Prrafodelista"/>
              <w:spacing w:after="120" w:line="276" w:lineRule="auto"/>
              <w:ind w:left="1080"/>
              <w:jc w:val="both"/>
              <w:rPr>
                <w:rFonts w:ascii="Verdana" w:eastAsia="Calibri" w:hAnsi="Verdana" w:cs="Arial"/>
              </w:rPr>
            </w:pPr>
          </w:p>
          <w:p w14:paraId="5DC00626" w14:textId="77777777" w:rsidR="00065E20" w:rsidRDefault="00065E20" w:rsidP="00B66C68">
            <w:pPr>
              <w:pStyle w:val="Prrafodelista"/>
              <w:spacing w:after="120" w:line="276" w:lineRule="auto"/>
              <w:ind w:left="1080"/>
              <w:jc w:val="both"/>
              <w:rPr>
                <w:rFonts w:ascii="Verdana" w:eastAsia="Calibri" w:hAnsi="Verdana" w:cs="Arial"/>
                <w:lang w:val="es-CO"/>
              </w:rPr>
            </w:pPr>
            <w:r>
              <w:rPr>
                <w:rFonts w:ascii="Verdana" w:eastAsia="Calibri" w:hAnsi="Verdana" w:cs="Arial"/>
                <w:lang w:val="es-CO"/>
              </w:rPr>
              <w:t>Ahora bien, la norma ibidem establece plazos legales a falta de estipulación para liquidar el contrato estatal, bajo las siguientes consideraciones:</w:t>
            </w:r>
          </w:p>
          <w:p w14:paraId="2AB8C901" w14:textId="77777777" w:rsidR="00065E20" w:rsidRDefault="00065E20" w:rsidP="00B66C68">
            <w:pPr>
              <w:pStyle w:val="Prrafodelista"/>
              <w:spacing w:after="120" w:line="276" w:lineRule="auto"/>
              <w:ind w:left="1080"/>
              <w:jc w:val="both"/>
              <w:rPr>
                <w:rFonts w:ascii="Verdana" w:eastAsia="Calibri" w:hAnsi="Verdana" w:cs="Arial"/>
                <w:lang w:val="es-CO"/>
              </w:rPr>
            </w:pPr>
          </w:p>
          <w:p w14:paraId="0E04061B" w14:textId="77777777" w:rsidR="00065E20" w:rsidRPr="00D9362F" w:rsidRDefault="00065E20" w:rsidP="00B66C68">
            <w:pPr>
              <w:pStyle w:val="Prrafodelista"/>
              <w:numPr>
                <w:ilvl w:val="0"/>
                <w:numId w:val="23"/>
              </w:numPr>
              <w:jc w:val="both"/>
              <w:rPr>
                <w:rFonts w:asciiTheme="minorHAnsi" w:hAnsiTheme="minorHAnsi"/>
              </w:rPr>
            </w:pPr>
            <w:r w:rsidRPr="00FA2C27">
              <w:rPr>
                <w:rFonts w:ascii="Verdana" w:eastAsia="Calibri" w:hAnsi="Verdana" w:cs="Arial"/>
              </w:rPr>
              <w:t xml:space="preserve">Cuando exista falta de estipulación en los documentos del contrato </w:t>
            </w:r>
            <w:r w:rsidRPr="00D9362F">
              <w:rPr>
                <w:rFonts w:ascii="Arial" w:hAnsi="Arial" w:cs="Arial"/>
                <w:color w:val="333333"/>
                <w:sz w:val="25"/>
                <w:szCs w:val="25"/>
                <w:shd w:val="clear" w:color="auto" w:fill="FFFFFF"/>
              </w:rPr>
              <w:t>o dentro del que acuerden las partes para el efecto</w:t>
            </w:r>
            <w:r w:rsidRPr="00C3666F">
              <w:rPr>
                <w:rFonts w:ascii="Arial" w:hAnsi="Arial" w:cs="Arial"/>
                <w:color w:val="333333"/>
                <w:sz w:val="25"/>
                <w:szCs w:val="25"/>
                <w:shd w:val="clear" w:color="auto" w:fill="FFFFFF"/>
              </w:rPr>
              <w:t xml:space="preserve"> </w:t>
            </w:r>
            <w:r w:rsidRPr="00FA2C27">
              <w:rPr>
                <w:rFonts w:ascii="Verdana" w:eastAsia="Calibri" w:hAnsi="Verdana" w:cs="Arial"/>
              </w:rPr>
              <w:t>se realizará dentro de los cuatro (4) meses siguientes a la expiración del término previsto para la ejecución del contrato o a la expedición del acto administrativo que ordene la terminación, o a la fecha del acuerdo que la disponga.</w:t>
            </w:r>
          </w:p>
          <w:p w14:paraId="4B6AEC03" w14:textId="77777777" w:rsidR="00065E20" w:rsidRPr="00FA2C27" w:rsidRDefault="00065E20" w:rsidP="00B66C68">
            <w:pPr>
              <w:pStyle w:val="Prrafodelista"/>
              <w:numPr>
                <w:ilvl w:val="0"/>
                <w:numId w:val="23"/>
              </w:numPr>
              <w:spacing w:after="120" w:line="276" w:lineRule="auto"/>
              <w:jc w:val="both"/>
              <w:rPr>
                <w:rFonts w:ascii="Verdana" w:eastAsia="Calibri" w:hAnsi="Verdana" w:cs="Arial"/>
              </w:rPr>
            </w:pPr>
            <w:r>
              <w:rPr>
                <w:rFonts w:ascii="Verdana" w:eastAsia="Calibri" w:hAnsi="Verdana" w:cs="Arial"/>
              </w:rPr>
              <w:t xml:space="preserve">Cuando </w:t>
            </w:r>
            <w:r w:rsidRPr="00166A60">
              <w:rPr>
                <w:rFonts w:ascii="Verdana" w:eastAsia="Calibri" w:hAnsi="Verdana" w:cs="Arial"/>
                <w:lang w:val="es-CO"/>
              </w:rPr>
              <w:t>el contratista no se presente a la liquidación previa notificación o convocatoria que le haga la entidad, o las partes no lleguen a un acuerdo sobre su contenido, la entidad tendrá la facultad de liquidar en forma unilateral dentro de los dos (2) meses siguientes</w:t>
            </w:r>
            <w:r>
              <w:rPr>
                <w:rFonts w:ascii="Verdana" w:eastAsia="Calibri" w:hAnsi="Verdana" w:cs="Arial"/>
                <w:lang w:val="es-CO"/>
              </w:rPr>
              <w:t>.</w:t>
            </w:r>
          </w:p>
          <w:p w14:paraId="5FECFD63" w14:textId="77777777" w:rsidR="00065E20" w:rsidRPr="003575EF" w:rsidRDefault="00065E20" w:rsidP="00B66C68">
            <w:pPr>
              <w:pStyle w:val="Prrafodelista"/>
              <w:numPr>
                <w:ilvl w:val="0"/>
                <w:numId w:val="23"/>
              </w:numPr>
              <w:spacing w:after="120" w:line="276" w:lineRule="auto"/>
              <w:jc w:val="both"/>
              <w:rPr>
                <w:rFonts w:ascii="Verdana" w:eastAsia="Calibri" w:hAnsi="Verdana" w:cs="Arial"/>
              </w:rPr>
            </w:pPr>
            <w:r>
              <w:rPr>
                <w:rFonts w:ascii="Verdana" w:eastAsia="Calibri" w:hAnsi="Verdana" w:cs="Arial"/>
              </w:rPr>
              <w:t xml:space="preserve">Vencido los plazos previamente señalados, </w:t>
            </w:r>
            <w:r w:rsidRPr="003575EF">
              <w:rPr>
                <w:rFonts w:ascii="Verdana" w:eastAsia="Calibri" w:hAnsi="Verdana" w:cs="Arial"/>
              </w:rPr>
              <w:t xml:space="preserve">existe la posibilidad de liquidar de mutuo acuerdo o unilateralmente el contrato dentro de los 2 años siguientes, sin perjuicio de acudir a un proceso donde se pretenda la liquidación judicial. </w:t>
            </w:r>
          </w:p>
          <w:p w14:paraId="21C1B80D" w14:textId="77777777" w:rsidR="00065E20" w:rsidRPr="00166A60" w:rsidRDefault="00065E20" w:rsidP="00B66C68">
            <w:pPr>
              <w:pStyle w:val="Prrafodelista"/>
              <w:spacing w:after="120" w:line="276" w:lineRule="auto"/>
              <w:ind w:left="1080"/>
              <w:jc w:val="both"/>
              <w:rPr>
                <w:rFonts w:ascii="Verdana" w:eastAsia="Calibri" w:hAnsi="Verdana" w:cs="Arial"/>
                <w:lang w:val="es-CO"/>
              </w:rPr>
            </w:pPr>
          </w:p>
          <w:p w14:paraId="1FBE9295" w14:textId="77777777" w:rsidR="00065E20" w:rsidRPr="002A43BA" w:rsidRDefault="00065E20" w:rsidP="00B66C68">
            <w:pPr>
              <w:rPr>
                <w:rFonts w:eastAsia="Calibri" w:cs="Arial"/>
              </w:rPr>
            </w:pPr>
          </w:p>
          <w:p w14:paraId="6D0A1905" w14:textId="77777777" w:rsidR="00065E20" w:rsidRPr="00FA2C27" w:rsidRDefault="00065E20" w:rsidP="00B66C68">
            <w:pPr>
              <w:pStyle w:val="Prrafodelista"/>
              <w:numPr>
                <w:ilvl w:val="0"/>
                <w:numId w:val="18"/>
              </w:numPr>
              <w:spacing w:after="120" w:line="276" w:lineRule="auto"/>
              <w:jc w:val="both"/>
              <w:rPr>
                <w:rFonts w:ascii="Verdana" w:eastAsia="Calibri" w:hAnsi="Verdana" w:cs="Arial"/>
              </w:rPr>
            </w:pPr>
            <w:r>
              <w:rPr>
                <w:rFonts w:ascii="Verdana" w:eastAsia="Calibri" w:hAnsi="Verdana" w:cs="Arial"/>
              </w:rPr>
              <w:t xml:space="preserve">Frente al segundo interrogante planteado, le corresponde a la Entidad Contratante dentro de los pliegos de condiciones o documentos precontractuales y durante la etapa de ejecución establecer los documentos que hacen parte de la liquidación del contrato. Ahora bien, </w:t>
            </w:r>
            <w:r>
              <w:rPr>
                <w:rFonts w:ascii="Verdana" w:eastAsia="Calibri" w:hAnsi="Verdana" w:cs="Arial"/>
                <w:lang w:val="es-CO"/>
              </w:rPr>
              <w:t>el acta</w:t>
            </w:r>
            <w:r w:rsidRPr="00F4753F">
              <w:rPr>
                <w:rFonts w:ascii="Verdana" w:eastAsia="Calibri" w:hAnsi="Verdana" w:cs="Arial"/>
                <w:lang w:val="es-CO"/>
              </w:rPr>
              <w:t xml:space="preserve"> liquidación del contrato estatal debe</w:t>
            </w:r>
            <w:r>
              <w:rPr>
                <w:rFonts w:ascii="Verdana" w:eastAsia="Calibri" w:hAnsi="Verdana" w:cs="Arial"/>
                <w:lang w:val="es-CO"/>
              </w:rPr>
              <w:t>rá</w:t>
            </w:r>
            <w:r w:rsidRPr="00F4753F">
              <w:rPr>
                <w:rFonts w:ascii="Verdana" w:eastAsia="Calibri" w:hAnsi="Verdana" w:cs="Arial"/>
                <w:lang w:val="es-CO"/>
              </w:rPr>
              <w:t xml:space="preserve"> contener, en general, las identificaciones del contrato y de las partes </w:t>
            </w:r>
            <w:proofErr w:type="gramStart"/>
            <w:r w:rsidRPr="00F4753F">
              <w:rPr>
                <w:rFonts w:ascii="Verdana" w:eastAsia="Calibri" w:hAnsi="Verdana" w:cs="Arial"/>
                <w:lang w:val="es-CO"/>
              </w:rPr>
              <w:t>del mismo</w:t>
            </w:r>
            <w:proofErr w:type="gramEnd"/>
            <w:r w:rsidRPr="00F4753F">
              <w:rPr>
                <w:rFonts w:ascii="Verdana" w:eastAsia="Calibri" w:hAnsi="Verdana" w:cs="Arial"/>
                <w:lang w:val="es-CO"/>
              </w:rPr>
              <w:t>; los balances técnico, económico, financiero, administrativo y jurídico que arroja el contrato, el finiquito y paz y salvo a que haya lugar</w:t>
            </w:r>
            <w:r>
              <w:rPr>
                <w:rFonts w:ascii="Verdana" w:eastAsia="Calibri" w:hAnsi="Verdana" w:cs="Arial"/>
                <w:lang w:val="es-CO"/>
              </w:rPr>
              <w:t xml:space="preserve"> conforme a los dispuesto en la norma</w:t>
            </w:r>
            <w:r w:rsidRPr="00F4753F">
              <w:rPr>
                <w:rFonts w:ascii="Verdana" w:eastAsia="Calibri" w:hAnsi="Verdana" w:cs="Arial"/>
                <w:lang w:val="es-CO"/>
              </w:rPr>
              <w:t>.</w:t>
            </w:r>
          </w:p>
          <w:p w14:paraId="376ECC2E" w14:textId="77777777" w:rsidR="00065E20" w:rsidRPr="00FA2C27" w:rsidRDefault="00065E20" w:rsidP="00B66C68">
            <w:pPr>
              <w:pStyle w:val="Prrafodelista"/>
              <w:spacing w:after="120" w:line="276" w:lineRule="auto"/>
              <w:ind w:left="1080"/>
              <w:jc w:val="both"/>
              <w:rPr>
                <w:rFonts w:ascii="Verdana" w:eastAsia="Calibri" w:hAnsi="Verdana" w:cs="Arial"/>
              </w:rPr>
            </w:pPr>
          </w:p>
          <w:p w14:paraId="309BC1D3" w14:textId="77777777" w:rsidR="00065E20" w:rsidRPr="005B68B3" w:rsidRDefault="00065E20" w:rsidP="00B66C68">
            <w:pPr>
              <w:pStyle w:val="Prrafodelista"/>
              <w:spacing w:after="120" w:line="276" w:lineRule="auto"/>
              <w:ind w:left="1080"/>
              <w:jc w:val="both"/>
              <w:rPr>
                <w:rFonts w:ascii="Verdana" w:eastAsia="Calibri" w:hAnsi="Verdana" w:cs="Arial"/>
              </w:rPr>
            </w:pPr>
            <w:r w:rsidRPr="00F4753F">
              <w:rPr>
                <w:rFonts w:ascii="Verdana" w:eastAsia="Calibri" w:hAnsi="Verdana" w:cs="Arial"/>
                <w:lang w:val="es-CO"/>
              </w:rPr>
              <w:t xml:space="preserve">En razón al contenido de la liquidación se desprende que sus finalidades o funciones son de carácter declarativo, constitutivo y probatorio. Al respecto, ha señalado la Sección Tercera </w:t>
            </w:r>
            <w:r>
              <w:rPr>
                <w:rFonts w:ascii="Verdana" w:eastAsia="Calibri" w:hAnsi="Verdana" w:cs="Arial"/>
                <w:lang w:val="es-CO"/>
              </w:rPr>
              <w:t xml:space="preserve">del Consejo de Estado </w:t>
            </w:r>
            <w:r w:rsidRPr="00F4753F">
              <w:rPr>
                <w:rFonts w:ascii="Verdana" w:eastAsia="Calibri" w:hAnsi="Verdana" w:cs="Arial"/>
                <w:lang w:val="es-CO"/>
              </w:rPr>
              <w:t>que tiene por objeto: "(i) el estado en que quedaron las obligaciones que surgieron de la ejecución del contrato; (</w:t>
            </w:r>
            <w:proofErr w:type="spellStart"/>
            <w:r w:rsidRPr="00F4753F">
              <w:rPr>
                <w:rFonts w:ascii="Verdana" w:eastAsia="Calibri" w:hAnsi="Verdana" w:cs="Arial"/>
                <w:lang w:val="es-CO"/>
              </w:rPr>
              <w:t>ii</w:t>
            </w:r>
            <w:proofErr w:type="spellEnd"/>
            <w:r w:rsidRPr="00F4753F">
              <w:rPr>
                <w:rFonts w:ascii="Verdana" w:eastAsia="Calibri" w:hAnsi="Verdana" w:cs="Arial"/>
                <w:lang w:val="es-CO"/>
              </w:rPr>
              <w:t>) los ajustes, revisiones y reconocimientos a que haya lugar según lo ejecutado y lo pagado; (</w:t>
            </w:r>
            <w:proofErr w:type="spellStart"/>
            <w:r w:rsidRPr="00F4753F">
              <w:rPr>
                <w:rFonts w:ascii="Verdana" w:eastAsia="Calibri" w:hAnsi="Verdana" w:cs="Arial"/>
                <w:lang w:val="es-CO"/>
              </w:rPr>
              <w:t>iii</w:t>
            </w:r>
            <w:proofErr w:type="spellEnd"/>
            <w:r w:rsidRPr="00F4753F">
              <w:rPr>
                <w:rFonts w:ascii="Verdana" w:eastAsia="Calibri" w:hAnsi="Verdana" w:cs="Arial"/>
                <w:lang w:val="es-CO"/>
              </w:rPr>
              <w:t>) las garantías inherentes al objeto contractual, así como, (</w:t>
            </w:r>
            <w:proofErr w:type="spellStart"/>
            <w:r w:rsidRPr="00F4753F">
              <w:rPr>
                <w:rFonts w:ascii="Verdana" w:eastAsia="Calibri" w:hAnsi="Verdana" w:cs="Arial"/>
                <w:lang w:val="es-CO"/>
              </w:rPr>
              <w:t>iv</w:t>
            </w:r>
            <w:proofErr w:type="spellEnd"/>
            <w:r w:rsidRPr="00F4753F">
              <w:rPr>
                <w:rFonts w:ascii="Verdana" w:eastAsia="Calibri" w:hAnsi="Verdana" w:cs="Arial"/>
                <w:lang w:val="es-CO"/>
              </w:rPr>
              <w:t xml:space="preserve">) contener los acuerdos, conciliaciones y </w:t>
            </w:r>
            <w:r w:rsidRPr="00F4753F">
              <w:rPr>
                <w:rFonts w:ascii="Verdana" w:eastAsia="Calibri" w:hAnsi="Verdana" w:cs="Arial"/>
                <w:lang w:val="es-CO"/>
              </w:rPr>
              <w:lastRenderedPageBreak/>
              <w:t>transacciones a que llegaren las partes para poner fin a las divergencias presentadas y poder declararse a paz y salvo.</w:t>
            </w:r>
            <w:r>
              <w:rPr>
                <w:rStyle w:val="Refdenotaalpie"/>
                <w:rFonts w:ascii="Verdana" w:eastAsia="Calibri" w:hAnsi="Verdana" w:cs="Arial"/>
              </w:rPr>
              <w:footnoteReference w:id="1"/>
            </w:r>
          </w:p>
          <w:p w14:paraId="62678F92" w14:textId="77777777" w:rsidR="00065E20" w:rsidRPr="005B68B3" w:rsidRDefault="00065E20" w:rsidP="00B66C68">
            <w:pPr>
              <w:spacing w:before="120" w:line="276" w:lineRule="auto"/>
              <w:ind w:left="1156"/>
              <w:jc w:val="both"/>
              <w:rPr>
                <w:rFonts w:ascii="Arial" w:hAnsi="Arial" w:cs="Arial"/>
                <w:lang w:val="es-ES"/>
              </w:rPr>
            </w:pPr>
          </w:p>
        </w:tc>
      </w:tr>
    </w:tbl>
    <w:p w14:paraId="09CE4572" w14:textId="77777777" w:rsidR="00065E20" w:rsidRPr="009322DA" w:rsidRDefault="00065E20" w:rsidP="00065E20">
      <w:pPr>
        <w:tabs>
          <w:tab w:val="left" w:pos="142"/>
          <w:tab w:val="left" w:pos="284"/>
        </w:tabs>
        <w:spacing w:after="0" w:line="276" w:lineRule="auto"/>
        <w:jc w:val="both"/>
        <w:rPr>
          <w:rFonts w:ascii="Verdana" w:eastAsia="Century Gothic" w:hAnsi="Verdana" w:cs="Century Gothic"/>
          <w:b/>
          <w:bCs/>
          <w:lang w:val="es-ES"/>
        </w:rPr>
      </w:pPr>
    </w:p>
    <w:p w14:paraId="494AD70B" w14:textId="77777777" w:rsidR="00065E20" w:rsidRPr="009322DA" w:rsidRDefault="00065E20" w:rsidP="00065E20">
      <w:pPr>
        <w:tabs>
          <w:tab w:val="left" w:pos="142"/>
          <w:tab w:val="left" w:pos="284"/>
        </w:tabs>
        <w:spacing w:after="0" w:line="276" w:lineRule="auto"/>
        <w:jc w:val="both"/>
        <w:rPr>
          <w:rFonts w:ascii="Verdana" w:eastAsia="Century Gothic" w:hAnsi="Verdana" w:cs="Century Gothic"/>
          <w:b/>
          <w:bCs/>
          <w:lang w:val="es-ES"/>
        </w:rPr>
      </w:pPr>
    </w:p>
    <w:p w14:paraId="5728966A" w14:textId="77777777" w:rsidR="00065E20" w:rsidRPr="009322DA" w:rsidRDefault="00065E20" w:rsidP="00065E2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4B1F3D0B" w14:textId="77777777" w:rsidR="00065E20" w:rsidRPr="009322DA" w:rsidRDefault="00065E20" w:rsidP="00065E20">
      <w:pPr>
        <w:spacing w:after="0" w:line="276" w:lineRule="auto"/>
        <w:jc w:val="both"/>
        <w:rPr>
          <w:rFonts w:ascii="Verdana" w:eastAsia="Calibri" w:hAnsi="Verdana" w:cs="Arial"/>
          <w:lang w:val="es-ES"/>
        </w:rPr>
      </w:pPr>
    </w:p>
    <w:p w14:paraId="0875B55A" w14:textId="77777777" w:rsidR="00065E20" w:rsidRDefault="00065E20" w:rsidP="00065E20">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26BAF5D2" w14:textId="77777777" w:rsidR="00065E20" w:rsidRDefault="00065E20" w:rsidP="00065E20">
      <w:pPr>
        <w:spacing w:after="0" w:line="276" w:lineRule="auto"/>
        <w:jc w:val="both"/>
        <w:rPr>
          <w:rFonts w:ascii="Verdana" w:eastAsia="Calibri" w:hAnsi="Verdana" w:cs="Arial"/>
          <w:lang w:val="es-ES"/>
        </w:rPr>
      </w:pPr>
    </w:p>
    <w:p w14:paraId="6D752EA3" w14:textId="77777777" w:rsidR="00065E20" w:rsidRPr="00D9072F" w:rsidRDefault="00065E20" w:rsidP="00065E20">
      <w:pPr>
        <w:pStyle w:val="Prrafodelista"/>
        <w:numPr>
          <w:ilvl w:val="0"/>
          <w:numId w:val="21"/>
        </w:numPr>
        <w:spacing w:after="0" w:line="276" w:lineRule="auto"/>
        <w:jc w:val="both"/>
        <w:rPr>
          <w:rFonts w:ascii="Verdana" w:eastAsia="Calibri" w:hAnsi="Verdana" w:cs="Arial"/>
          <w:color w:val="000000"/>
          <w:lang w:val="es-ES_tradnl"/>
        </w:rPr>
      </w:pPr>
      <w:r w:rsidRPr="00D9072F">
        <w:rPr>
          <w:rFonts w:ascii="Verdana" w:eastAsia="Calibri" w:hAnsi="Verdana" w:cs="Arial"/>
          <w:color w:val="000000"/>
          <w:lang w:val="es-ES_tradnl"/>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00FB5FC4">
        <w:rPr>
          <w:vertAlign w:val="superscript"/>
        </w:rPr>
        <w:footnoteReference w:id="2"/>
      </w:r>
      <w:r w:rsidRPr="00D9072F">
        <w:rPr>
          <w:rFonts w:ascii="Verdana" w:eastAsia="Calibri" w:hAnsi="Verdana" w:cs="Arial"/>
          <w:color w:val="000000"/>
          <w:lang w:val="es-ES_tradnl"/>
        </w:rPr>
        <w:t>. En armonía con lo anterior, la doctrina ha definido la liquidación de la siguiente manera:</w:t>
      </w:r>
    </w:p>
    <w:p w14:paraId="438B09A4" w14:textId="77777777" w:rsidR="00065E20" w:rsidRPr="00D9072F" w:rsidRDefault="00065E20" w:rsidP="00065E20">
      <w:pPr>
        <w:pStyle w:val="Prrafodelista"/>
        <w:spacing w:after="0" w:line="276" w:lineRule="auto"/>
        <w:jc w:val="both"/>
        <w:rPr>
          <w:rFonts w:ascii="Verdana" w:eastAsia="Calibri" w:hAnsi="Verdana" w:cs="Arial"/>
          <w:color w:val="000000"/>
          <w:lang w:val="es-ES_tradnl"/>
        </w:rPr>
      </w:pPr>
    </w:p>
    <w:p w14:paraId="47FDBE1B" w14:textId="77777777" w:rsidR="00065E20" w:rsidRPr="00D9072F" w:rsidRDefault="00065E20" w:rsidP="00065E20">
      <w:pPr>
        <w:pStyle w:val="Prrafodelista"/>
        <w:spacing w:after="0" w:line="240" w:lineRule="auto"/>
        <w:ind w:right="758"/>
        <w:jc w:val="both"/>
        <w:rPr>
          <w:rFonts w:ascii="Verdana" w:eastAsia="Calibri" w:hAnsi="Verdana" w:cs="Arial"/>
          <w:sz w:val="21"/>
          <w:szCs w:val="21"/>
          <w:lang w:val="es-MX"/>
        </w:rPr>
      </w:pPr>
      <w:r w:rsidRPr="00D9072F">
        <w:rPr>
          <w:rFonts w:ascii="Verdana" w:eastAsia="Calibri" w:hAnsi="Verdana" w:cs="Arial"/>
          <w:i/>
          <w:iCs/>
          <w:color w:val="000000"/>
          <w:sz w:val="21"/>
          <w:szCs w:val="21"/>
          <w:lang w:val="es-ES_tradnl"/>
        </w:rPr>
        <w:t>“</w:t>
      </w:r>
      <w:r w:rsidRPr="00D9072F">
        <w:rPr>
          <w:rFonts w:ascii="Verdana" w:eastAsia="Calibri" w:hAnsi="Verdana" w:cs="Arial"/>
          <w:sz w:val="21"/>
          <w:szCs w:val="21"/>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D9072F">
        <w:rPr>
          <w:rFonts w:ascii="Verdana" w:eastAsia="Calibri" w:hAnsi="Verdana" w:cs="Arial"/>
          <w:sz w:val="21"/>
          <w:szCs w:val="21"/>
          <w:lang w:val="es-MX"/>
        </w:rPr>
        <w:t>ii</w:t>
      </w:r>
      <w:proofErr w:type="spellEnd"/>
      <w:r w:rsidRPr="00D9072F">
        <w:rPr>
          <w:rFonts w:ascii="Verdana" w:eastAsia="Calibri" w:hAnsi="Verdana" w:cs="Arial"/>
          <w:sz w:val="21"/>
          <w:szCs w:val="21"/>
          <w:lang w:val="es-MX"/>
        </w:rPr>
        <w:t xml:space="preserve">) definir la situación jurídica de las </w:t>
      </w:r>
      <w:r w:rsidRPr="00D9072F">
        <w:rPr>
          <w:rFonts w:ascii="Verdana" w:eastAsia="Calibri" w:hAnsi="Verdana" w:cs="Arial"/>
          <w:sz w:val="21"/>
          <w:szCs w:val="21"/>
          <w:lang w:val="es-MX"/>
        </w:rPr>
        <w:lastRenderedPageBreak/>
        <w:t>partes, estableciendo si pueden constituirse o no a paz y salvo; lo que exige, en la práctica, que los negociantes dialoguen e intenten ponerse de acuerdo (aspecto subjetivo)”</w:t>
      </w:r>
      <w:r w:rsidRPr="00FB5FC4">
        <w:rPr>
          <w:vertAlign w:val="superscript"/>
        </w:rPr>
        <w:footnoteReference w:id="3"/>
      </w:r>
      <w:r w:rsidRPr="00D9072F">
        <w:rPr>
          <w:rFonts w:ascii="Verdana" w:eastAsia="Calibri" w:hAnsi="Verdana" w:cs="Arial"/>
          <w:sz w:val="21"/>
          <w:szCs w:val="21"/>
          <w:lang w:val="es-MX"/>
        </w:rPr>
        <w:t>.</w:t>
      </w:r>
    </w:p>
    <w:p w14:paraId="6C72F05E" w14:textId="77777777" w:rsidR="00065E20" w:rsidRPr="003575EF" w:rsidRDefault="00065E20" w:rsidP="00065E20">
      <w:pPr>
        <w:pStyle w:val="Prrafodelista"/>
        <w:spacing w:after="0" w:line="276" w:lineRule="auto"/>
        <w:jc w:val="both"/>
        <w:rPr>
          <w:rFonts w:ascii="Verdana" w:eastAsia="Calibri" w:hAnsi="Verdana" w:cs="Arial"/>
          <w:color w:val="000000"/>
          <w:lang w:val="es-MX"/>
        </w:rPr>
      </w:pPr>
    </w:p>
    <w:p w14:paraId="107C28D5" w14:textId="77777777" w:rsidR="00065E20" w:rsidRPr="00D9072F" w:rsidRDefault="00065E20" w:rsidP="00065E20">
      <w:pPr>
        <w:pStyle w:val="Prrafodelista"/>
        <w:numPr>
          <w:ilvl w:val="0"/>
          <w:numId w:val="21"/>
        </w:numPr>
        <w:spacing w:after="120" w:line="276" w:lineRule="auto"/>
        <w:jc w:val="both"/>
        <w:rPr>
          <w:rFonts w:ascii="Verdana" w:eastAsia="Times New Roman" w:hAnsi="Verdana" w:cs="Arial"/>
          <w:color w:val="000000"/>
          <w:sz w:val="21"/>
          <w:szCs w:val="21"/>
          <w:lang w:val="es-ES_tradnl" w:eastAsia="es-ES_tradnl"/>
        </w:rPr>
      </w:pPr>
      <w:r w:rsidRPr="00D9072F">
        <w:rPr>
          <w:rFonts w:ascii="Verdana" w:eastAsia="Times New Roman" w:hAnsi="Verdana" w:cs="Arial"/>
          <w:color w:val="000000"/>
          <w:szCs w:val="24"/>
          <w:lang w:val="es-ES_tradnl" w:eastAsia="es-ES_tradnl"/>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D9072F">
        <w:rPr>
          <w:rFonts w:ascii="Verdana" w:eastAsia="Times New Roman" w:hAnsi="Verdana" w:cs="Arial"/>
          <w:i/>
          <w:iCs/>
          <w:color w:val="000000"/>
          <w:szCs w:val="24"/>
          <w:lang w:val="es-ES_tradnl" w:eastAsia="es-ES_tradnl"/>
        </w:rPr>
        <w:t>liquidar</w:t>
      </w:r>
      <w:r w:rsidRPr="00D9072F">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D9072F">
        <w:rPr>
          <w:rFonts w:ascii="Verdana" w:eastAsia="Times New Roman" w:hAnsi="Verdana" w:cs="Arial"/>
          <w:i/>
          <w:iCs/>
          <w:color w:val="000000"/>
          <w:szCs w:val="24"/>
          <w:lang w:val="es-ES_tradnl" w:eastAsia="es-ES_tradnl"/>
        </w:rPr>
        <w:t>liquidación</w:t>
      </w:r>
      <w:r w:rsidRPr="00D9072F">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FB5FC4">
        <w:rPr>
          <w:vertAlign w:val="superscript"/>
          <w:lang w:eastAsia="es-ES_tradnl"/>
        </w:rPr>
        <w:footnoteReference w:id="4"/>
      </w:r>
      <w:r w:rsidRPr="00D9072F">
        <w:rPr>
          <w:rFonts w:ascii="Verdana" w:eastAsia="Times New Roman" w:hAnsi="Verdana" w:cs="Arial"/>
          <w:color w:val="000000"/>
          <w:szCs w:val="24"/>
          <w:lang w:val="es-ES_tradnl" w:eastAsia="es-ES_tradnl"/>
        </w:rPr>
        <w:t xml:space="preserve">. </w:t>
      </w:r>
    </w:p>
    <w:p w14:paraId="06372F66" w14:textId="77777777" w:rsidR="00065E20" w:rsidRDefault="00065E20" w:rsidP="00065E20">
      <w:pPr>
        <w:pStyle w:val="Prrafodelista"/>
        <w:jc w:val="both"/>
        <w:rPr>
          <w:rFonts w:ascii="Verdana" w:eastAsia="Calibri" w:hAnsi="Verdana" w:cs="Arial"/>
          <w:bCs/>
          <w:color w:val="000000"/>
        </w:rPr>
      </w:pPr>
    </w:p>
    <w:p w14:paraId="0E22227E" w14:textId="77777777" w:rsidR="00065E20" w:rsidRPr="00F80DEF" w:rsidRDefault="00065E20" w:rsidP="00065E20">
      <w:pPr>
        <w:pStyle w:val="Prrafodelista"/>
        <w:numPr>
          <w:ilvl w:val="0"/>
          <w:numId w:val="21"/>
        </w:numPr>
        <w:jc w:val="both"/>
        <w:rPr>
          <w:rFonts w:ascii="Verdana" w:eastAsia="Calibri" w:hAnsi="Verdana" w:cs="Arial"/>
          <w:bCs/>
          <w:color w:val="000000"/>
        </w:rPr>
      </w:pPr>
      <w:r w:rsidRPr="00F80DEF">
        <w:rPr>
          <w:rFonts w:ascii="Verdana" w:eastAsia="Calibri" w:hAnsi="Verdana" w:cs="Arial"/>
          <w:bCs/>
          <w:color w:val="000000"/>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4E91E55C" w14:textId="77777777" w:rsidR="00065E20" w:rsidRPr="00F80DEF" w:rsidRDefault="00065E20" w:rsidP="00065E20">
      <w:pPr>
        <w:ind w:left="1416"/>
        <w:jc w:val="both"/>
        <w:rPr>
          <w:rFonts w:ascii="Verdana" w:eastAsia="Calibri" w:hAnsi="Verdana" w:cs="Arial"/>
          <w:bCs/>
          <w:color w:val="000000"/>
          <w:sz w:val="20"/>
          <w:szCs w:val="20"/>
          <w:lang w:val="es-ES"/>
        </w:rPr>
      </w:pPr>
      <w:r w:rsidRPr="00F80DEF">
        <w:rPr>
          <w:rFonts w:ascii="Verdana" w:eastAsia="Calibri" w:hAnsi="Verdana" w:cs="Arial"/>
          <w:bCs/>
          <w:color w:val="000000"/>
          <w:sz w:val="20"/>
          <w:szCs w:val="20"/>
          <w:lang w:val="es-ES"/>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F80DEF">
        <w:rPr>
          <w:rFonts w:ascii="Verdana" w:eastAsia="Calibri" w:hAnsi="Verdana" w:cs="Arial"/>
          <w:bCs/>
          <w:color w:val="000000"/>
          <w:sz w:val="10"/>
          <w:szCs w:val="10"/>
          <w:lang w:val="es-ES"/>
        </w:rPr>
        <w:footnoteReference w:id="5"/>
      </w:r>
      <w:r w:rsidRPr="00F80DEF">
        <w:rPr>
          <w:rFonts w:ascii="Verdana" w:eastAsia="Calibri" w:hAnsi="Verdana" w:cs="Arial"/>
          <w:bCs/>
          <w:color w:val="000000"/>
          <w:sz w:val="20"/>
          <w:szCs w:val="20"/>
          <w:lang w:val="es-ES"/>
        </w:rPr>
        <w:t>.”</w:t>
      </w:r>
    </w:p>
    <w:p w14:paraId="4E18CCFE" w14:textId="77777777" w:rsidR="00065E20" w:rsidRPr="00F80DEF" w:rsidRDefault="00065E20" w:rsidP="00065E20">
      <w:pPr>
        <w:jc w:val="both"/>
        <w:rPr>
          <w:rFonts w:ascii="Verdana" w:eastAsia="Calibri" w:hAnsi="Verdana" w:cs="Arial"/>
          <w:bCs/>
          <w:color w:val="000000"/>
          <w:lang w:val="es-ES_tradnl"/>
        </w:rPr>
      </w:pPr>
    </w:p>
    <w:p w14:paraId="287D0C8F" w14:textId="77777777" w:rsidR="00065E20" w:rsidRPr="00F80DEF" w:rsidRDefault="00065E20" w:rsidP="00065E20">
      <w:pPr>
        <w:numPr>
          <w:ilvl w:val="0"/>
          <w:numId w:val="20"/>
        </w:numPr>
        <w:jc w:val="both"/>
        <w:rPr>
          <w:rFonts w:ascii="Verdana" w:eastAsia="Calibri" w:hAnsi="Verdana" w:cs="Arial"/>
          <w:bCs/>
          <w:color w:val="000000"/>
          <w:lang w:val="es-ES"/>
        </w:rPr>
      </w:pPr>
      <w:r w:rsidRPr="00F80DEF">
        <w:rPr>
          <w:rFonts w:ascii="Verdana" w:eastAsia="Calibri" w:hAnsi="Verdana" w:cs="Arial"/>
          <w:bCs/>
          <w:color w:val="000000"/>
          <w:lang w:val="es-ES"/>
        </w:rPr>
        <w:lastRenderedPageBreak/>
        <w:t>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F80DEF">
        <w:rPr>
          <w:rFonts w:ascii="Verdana" w:eastAsia="Calibri" w:hAnsi="Verdana" w:cs="Arial"/>
          <w:bCs/>
          <w:color w:val="000000"/>
          <w:lang w:val="es-ES"/>
        </w:rPr>
        <w:footnoteReference w:id="6"/>
      </w:r>
      <w:r w:rsidRPr="00F80DEF">
        <w:rPr>
          <w:rFonts w:ascii="Verdana" w:eastAsia="Calibri" w:hAnsi="Verdana" w:cs="Arial"/>
          <w:bCs/>
          <w:color w:val="000000"/>
          <w:lang w:val="es-ES"/>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60578D15" w14:textId="77777777" w:rsidR="00065E20" w:rsidRPr="00F80DEF" w:rsidRDefault="00065E20" w:rsidP="00065E20">
      <w:pPr>
        <w:jc w:val="both"/>
        <w:rPr>
          <w:rFonts w:ascii="Verdana" w:eastAsia="Calibri" w:hAnsi="Verdana" w:cs="Arial"/>
          <w:bCs/>
          <w:color w:val="000000"/>
          <w:lang w:val="es-ES"/>
        </w:rPr>
      </w:pPr>
    </w:p>
    <w:p w14:paraId="19CC553E" w14:textId="77777777" w:rsidR="00065E20" w:rsidRPr="00F80DEF" w:rsidRDefault="00065E20" w:rsidP="00065E20">
      <w:pPr>
        <w:numPr>
          <w:ilvl w:val="0"/>
          <w:numId w:val="20"/>
        </w:numPr>
        <w:jc w:val="both"/>
        <w:rPr>
          <w:rFonts w:ascii="Verdana" w:eastAsia="Calibri" w:hAnsi="Verdana" w:cs="Arial"/>
          <w:bCs/>
          <w:color w:val="000000"/>
          <w:lang w:val="es-ES"/>
        </w:rPr>
      </w:pPr>
      <w:r w:rsidRPr="00F80DEF">
        <w:rPr>
          <w:rFonts w:ascii="Verdana" w:eastAsia="Calibri" w:hAnsi="Verdana" w:cs="Arial"/>
          <w:bCs/>
          <w:color w:val="000000"/>
          <w:lang w:val="es-ES"/>
        </w:rPr>
        <w:t>El artículo 11 de la Ley 1150 de 2007</w:t>
      </w:r>
      <w:r w:rsidRPr="00F80DEF">
        <w:rPr>
          <w:rFonts w:ascii="Verdana" w:eastAsia="Calibri" w:hAnsi="Verdana" w:cs="Arial"/>
          <w:bCs/>
          <w:color w:val="000000"/>
          <w:lang w:val="es-ES"/>
        </w:rPr>
        <w:footnoteReference w:id="7"/>
      </w:r>
      <w:r w:rsidRPr="00F80DEF">
        <w:rPr>
          <w:rFonts w:ascii="Verdana" w:eastAsia="Calibri" w:hAnsi="Verdana" w:cs="Arial"/>
          <w:bCs/>
          <w:color w:val="000000"/>
          <w:lang w:val="es-ES"/>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F80DEF">
        <w:rPr>
          <w:rFonts w:ascii="Verdana" w:eastAsia="Calibri" w:hAnsi="Verdana" w:cs="Arial"/>
          <w:bCs/>
          <w:color w:val="000000"/>
          <w:lang w:val="es-ES"/>
        </w:rPr>
        <w:t>ii</w:t>
      </w:r>
      <w:proofErr w:type="spellEnd"/>
      <w:r w:rsidRPr="00F80DEF">
        <w:rPr>
          <w:rFonts w:ascii="Verdana" w:eastAsia="Calibri" w:hAnsi="Verdana" w:cs="Arial"/>
          <w:bCs/>
          <w:color w:val="000000"/>
          <w:lang w:val="es-ES"/>
        </w:rPr>
        <w:t xml:space="preserve">) la expedición del acto administrativo que ordene la terminación del contrato; o, </w:t>
      </w:r>
      <w:proofErr w:type="spellStart"/>
      <w:r w:rsidRPr="00F80DEF">
        <w:rPr>
          <w:rFonts w:ascii="Verdana" w:eastAsia="Calibri" w:hAnsi="Verdana" w:cs="Arial"/>
          <w:bCs/>
          <w:color w:val="000000"/>
          <w:lang w:val="es-ES"/>
        </w:rPr>
        <w:t>iii</w:t>
      </w:r>
      <w:proofErr w:type="spellEnd"/>
      <w:r w:rsidRPr="00F80DEF">
        <w:rPr>
          <w:rFonts w:ascii="Verdana" w:eastAsia="Calibri" w:hAnsi="Verdana" w:cs="Arial"/>
          <w:bCs/>
          <w:color w:val="000000"/>
          <w:lang w:val="es-ES"/>
        </w:rPr>
        <w:t>) la fecha del acuerdo que disponga la terminación del contrato.</w:t>
      </w:r>
    </w:p>
    <w:p w14:paraId="4EEEF39B" w14:textId="77777777" w:rsidR="00065E20" w:rsidRPr="00F80DEF" w:rsidRDefault="00065E20" w:rsidP="00065E20">
      <w:pPr>
        <w:jc w:val="both"/>
        <w:rPr>
          <w:rFonts w:ascii="Verdana" w:eastAsia="Calibri" w:hAnsi="Verdana" w:cs="Arial"/>
          <w:bCs/>
          <w:color w:val="000000"/>
          <w:lang w:val="es-ES"/>
        </w:rPr>
      </w:pPr>
    </w:p>
    <w:p w14:paraId="4004511C" w14:textId="77777777" w:rsidR="00065E20" w:rsidRPr="00F80DEF" w:rsidRDefault="00065E20" w:rsidP="00065E20">
      <w:pPr>
        <w:numPr>
          <w:ilvl w:val="0"/>
          <w:numId w:val="20"/>
        </w:numPr>
        <w:jc w:val="both"/>
        <w:rPr>
          <w:rFonts w:ascii="Verdana" w:eastAsia="Calibri" w:hAnsi="Verdana" w:cs="Arial"/>
          <w:bCs/>
          <w:color w:val="000000"/>
          <w:lang w:val="es-MX"/>
        </w:rPr>
      </w:pPr>
      <w:r w:rsidRPr="00F80DEF">
        <w:rPr>
          <w:rFonts w:ascii="Verdana" w:eastAsia="Calibri" w:hAnsi="Verdana" w:cs="Arial"/>
          <w:bCs/>
          <w:color w:val="000000"/>
          <w:lang w:val="es-MX"/>
        </w:rPr>
        <w:lastRenderedPageBreak/>
        <w:t>El mismo artículo 11 de la Ley 1150 de 2007 señala que la liquidación de mutuo acuerdo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celebrar”</w:t>
      </w:r>
      <w:r w:rsidRPr="00F80DEF">
        <w:rPr>
          <w:rFonts w:ascii="Verdana" w:eastAsia="Calibri" w:hAnsi="Verdana" w:cs="Arial"/>
          <w:bCs/>
          <w:color w:val="000000"/>
          <w:lang w:val="es-MX"/>
        </w:rPr>
        <w:footnoteReference w:id="8"/>
      </w:r>
      <w:r w:rsidRPr="00F80DEF">
        <w:rPr>
          <w:rFonts w:ascii="Verdana" w:eastAsia="Calibri" w:hAnsi="Verdana" w:cs="Arial"/>
          <w:bCs/>
          <w:color w:val="000000"/>
          <w:lang w:val="es-MX"/>
        </w:rPr>
        <w:t>. A partir de tales características debe determinarse la equivalencia de un documento con un pliego de condiciones, la cual se puede ejemplificar claramente con la invitación a participar en los procesos de mínima cuantía</w:t>
      </w:r>
      <w:r w:rsidRPr="00F80DEF">
        <w:rPr>
          <w:rFonts w:ascii="Verdana" w:eastAsia="Calibri" w:hAnsi="Verdana" w:cs="Arial"/>
          <w:bCs/>
          <w:color w:val="000000"/>
          <w:lang w:val="es-MX"/>
        </w:rPr>
        <w:footnoteReference w:id="9"/>
      </w:r>
      <w:r w:rsidRPr="00F80DEF">
        <w:rPr>
          <w:rFonts w:ascii="Verdana" w:eastAsia="Calibri" w:hAnsi="Verdana" w:cs="Arial"/>
          <w:bCs/>
          <w:color w:val="000000"/>
          <w:lang w:val="es-MX"/>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r w:rsidRPr="00F80DEF">
        <w:rPr>
          <w:rFonts w:ascii="Verdana" w:eastAsia="Calibri" w:hAnsi="Verdana" w:cs="Arial"/>
          <w:bCs/>
          <w:i/>
          <w:iCs/>
          <w:color w:val="000000"/>
          <w:lang w:val="es-MX"/>
        </w:rPr>
        <w:t>Ibídem,</w:t>
      </w:r>
      <w:r w:rsidRPr="00F80DEF">
        <w:rPr>
          <w:rFonts w:ascii="Verdana" w:eastAsia="Calibri" w:hAnsi="Verdana" w:cs="Arial"/>
          <w:bCs/>
          <w:color w:val="000000"/>
          <w:lang w:val="es-MX"/>
        </w:rPr>
        <w:t xml:space="preserve"> dentro del cual es viable establecer el plazo para la liquidación de mutuo acuerdo. </w:t>
      </w:r>
    </w:p>
    <w:p w14:paraId="00A863CF" w14:textId="77777777" w:rsidR="00065E20" w:rsidRPr="00F80DEF" w:rsidRDefault="00065E20" w:rsidP="00065E20">
      <w:pPr>
        <w:jc w:val="both"/>
        <w:rPr>
          <w:rFonts w:ascii="Verdana" w:eastAsia="Calibri" w:hAnsi="Verdana" w:cs="Arial"/>
          <w:bCs/>
          <w:color w:val="000000"/>
          <w:lang w:val="es-MX"/>
        </w:rPr>
      </w:pPr>
    </w:p>
    <w:p w14:paraId="5709BE5C" w14:textId="77777777" w:rsidR="00065E20" w:rsidRDefault="00065E20" w:rsidP="00065E20">
      <w:pPr>
        <w:numPr>
          <w:ilvl w:val="0"/>
          <w:numId w:val="20"/>
        </w:numPr>
        <w:jc w:val="both"/>
        <w:rPr>
          <w:rFonts w:ascii="Verdana" w:eastAsia="Calibri" w:hAnsi="Verdana" w:cs="Arial"/>
          <w:bCs/>
          <w:color w:val="000000"/>
          <w:lang w:val="es-MX"/>
        </w:rPr>
      </w:pPr>
      <w:r w:rsidRPr="00F80DEF">
        <w:rPr>
          <w:rFonts w:ascii="Verdana" w:eastAsia="Calibri" w:hAnsi="Verdana" w:cs="Arial"/>
          <w:bCs/>
          <w:color w:val="000000"/>
          <w:lang w:val="es-MX"/>
        </w:rPr>
        <w:t xml:space="preserve">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w:t>
      </w:r>
      <w:r w:rsidRPr="00F80DEF">
        <w:rPr>
          <w:rFonts w:ascii="Verdana" w:eastAsia="Calibri" w:hAnsi="Verdana" w:cs="Arial"/>
          <w:bCs/>
          <w:color w:val="000000"/>
          <w:lang w:val="es-MX"/>
        </w:rPr>
        <w:lastRenderedPageBreak/>
        <w:t>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265537">
        <w:rPr>
          <w:rFonts w:ascii="Verdana" w:eastAsia="Calibri" w:hAnsi="Verdana" w:cs="Arial"/>
          <w:color w:val="000000"/>
          <w:vertAlign w:val="superscript"/>
          <w:lang w:val="es-MX"/>
        </w:rPr>
        <w:footnoteReference w:id="10"/>
      </w:r>
      <w:r w:rsidRPr="00F80DEF">
        <w:rPr>
          <w:rFonts w:ascii="Verdana" w:eastAsia="Calibri" w:hAnsi="Verdana" w:cs="Arial"/>
          <w:bCs/>
          <w:color w:val="000000"/>
          <w:lang w:val="es-MX"/>
        </w:rPr>
        <w:t>, lo cual implica que las mismas se desarrollen en procura de la economía y la celeridad</w:t>
      </w:r>
      <w:r w:rsidRPr="00265537">
        <w:rPr>
          <w:rFonts w:ascii="Verdana" w:eastAsia="Calibri" w:hAnsi="Verdana" w:cs="Arial"/>
          <w:color w:val="000000"/>
          <w:vertAlign w:val="superscript"/>
          <w:lang w:val="es-MX"/>
        </w:rPr>
        <w:footnoteReference w:id="11"/>
      </w:r>
      <w:r w:rsidRPr="00F80DEF">
        <w:rPr>
          <w:rFonts w:ascii="Verdana" w:eastAsia="Calibri" w:hAnsi="Verdana" w:cs="Arial"/>
          <w:bCs/>
          <w:color w:val="000000"/>
          <w:lang w:val="es-MX"/>
        </w:rPr>
        <w:t xml:space="preserve">. </w:t>
      </w:r>
    </w:p>
    <w:p w14:paraId="2BD8B82D" w14:textId="77777777" w:rsidR="00065E20" w:rsidRDefault="00065E20" w:rsidP="00065E20">
      <w:pPr>
        <w:pStyle w:val="Prrafodelista"/>
        <w:rPr>
          <w:rFonts w:ascii="Verdana" w:eastAsia="Calibri" w:hAnsi="Verdana" w:cs="Arial"/>
          <w:bCs/>
          <w:color w:val="000000"/>
          <w:lang w:val="es-MX"/>
        </w:rPr>
      </w:pPr>
    </w:p>
    <w:p w14:paraId="341E52BE" w14:textId="77777777" w:rsidR="00065E20" w:rsidRPr="003575EF" w:rsidRDefault="00065E20" w:rsidP="00065E20">
      <w:pPr>
        <w:pStyle w:val="Prrafodelista"/>
        <w:numPr>
          <w:ilvl w:val="0"/>
          <w:numId w:val="24"/>
        </w:numPr>
        <w:spacing w:after="120" w:line="276" w:lineRule="auto"/>
        <w:jc w:val="both"/>
        <w:rPr>
          <w:rFonts w:ascii="Verdana" w:hAnsi="Verdana" w:cs="Arial"/>
        </w:rPr>
      </w:pPr>
      <w:r>
        <w:rPr>
          <w:rFonts w:ascii="Verdana" w:eastAsia="Calibri" w:hAnsi="Verdana" w:cs="Arial"/>
          <w:bCs/>
          <w:color w:val="000000"/>
          <w:lang w:val="es-MX"/>
        </w:rPr>
        <w:t>Lo anterior</w:t>
      </w:r>
      <w:r w:rsidRPr="00F80DEF">
        <w:rPr>
          <w:rFonts w:ascii="Verdana" w:eastAsia="Calibri" w:hAnsi="Verdana" w:cs="Arial"/>
          <w:bCs/>
          <w:color w:val="000000"/>
          <w:lang w:val="es-MX"/>
        </w:rPr>
        <w:t xml:space="preserve"> significa que, en ejercicio de la facultad que les asiste para fijar el plazo para la liquidación bilateral, las partes deben actuar en garantía de estos principios, por lo que el término que se acuerde debe ser fijado de manera razonable.</w:t>
      </w:r>
      <w:r w:rsidRPr="001D50C1">
        <w:rPr>
          <w:rFonts w:ascii="Verdana" w:hAnsi="Verdana" w:cs="Arial"/>
          <w:color w:val="000000" w:themeColor="text1"/>
        </w:rPr>
        <w:t xml:space="preserve"> </w:t>
      </w:r>
      <w:r w:rsidRPr="00626CAA">
        <w:rPr>
          <w:rFonts w:ascii="Verdana" w:hAnsi="Verdana" w:cs="Arial"/>
          <w:color w:val="000000" w:themeColor="text1"/>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626CAA">
        <w:rPr>
          <w:rFonts w:ascii="Verdana" w:hAnsi="Verdana"/>
          <w:color w:val="000000" w:themeColor="text1"/>
          <w:vertAlign w:val="superscript"/>
        </w:rPr>
        <w:footnoteReference w:id="12"/>
      </w:r>
      <w:r w:rsidRPr="00626CAA">
        <w:rPr>
          <w:rFonts w:ascii="Verdana" w:hAnsi="Verdana" w:cs="Arial"/>
          <w:color w:val="000000" w:themeColor="text1"/>
        </w:rPr>
        <w:t>, de manera que el contrato pueda ser liquidado bilateralmente, bien sea en el plazo previsto en el pliego de condiciones, el acordado por las partes, o el supletivo de cuatro meses señalado en la ley, según corresponda.</w:t>
      </w:r>
      <w:r w:rsidRPr="0061482F">
        <w:rPr>
          <w:rFonts w:ascii="Verdana" w:hAnsi="Verdana" w:cs="Arial"/>
          <w:color w:val="000000" w:themeColor="text1"/>
        </w:rPr>
        <w:t xml:space="preserve"> </w:t>
      </w:r>
    </w:p>
    <w:p w14:paraId="0A5905F0" w14:textId="77777777" w:rsidR="00065E20" w:rsidRPr="00626CAA" w:rsidRDefault="00065E20" w:rsidP="00065E20">
      <w:pPr>
        <w:pStyle w:val="Prrafodelista"/>
        <w:numPr>
          <w:ilvl w:val="0"/>
          <w:numId w:val="24"/>
        </w:numPr>
        <w:spacing w:after="120" w:line="276" w:lineRule="auto"/>
        <w:jc w:val="both"/>
        <w:rPr>
          <w:rFonts w:ascii="Verdana" w:hAnsi="Verdana" w:cs="Arial"/>
        </w:rPr>
      </w:pPr>
      <w:r w:rsidRPr="00626CAA">
        <w:rPr>
          <w:rFonts w:ascii="Verdana" w:hAnsi="Verdana" w:cs="Arial"/>
          <w:color w:val="000000" w:themeColor="text1"/>
        </w:rPr>
        <w:t>Esta liquidación bilateral puede ser total o parcial</w:t>
      </w:r>
      <w:r w:rsidRPr="00626CAA">
        <w:rPr>
          <w:rFonts w:ascii="Verdana" w:hAnsi="Verdana"/>
          <w:color w:val="000000" w:themeColor="text1"/>
          <w:vertAlign w:val="superscript"/>
        </w:rPr>
        <w:footnoteReference w:id="13"/>
      </w:r>
      <w:r w:rsidRPr="00626CAA">
        <w:rPr>
          <w:rFonts w:ascii="Verdana" w:hAnsi="Verdana" w:cs="Arial"/>
          <w:color w:val="000000" w:themeColor="text1"/>
        </w:rPr>
        <w:t>, y el documento que la contiene presta mérito ejecutivo, siempre que se satisfagan los elementos para considerarlo como tal.</w:t>
      </w:r>
      <w:r w:rsidRPr="001F3D3D">
        <w:t xml:space="preserve"> </w:t>
      </w:r>
      <w:r w:rsidRPr="001F3D3D">
        <w:rPr>
          <w:rFonts w:ascii="Verdana" w:hAnsi="Verdana" w:cs="Arial"/>
          <w:color w:val="000000" w:themeColor="text1"/>
        </w:rPr>
        <w:t xml:space="preserve">Si no es posible efectuar la liquidación de manera bilateral, el ordenamiento jurídico prevé una </w:t>
      </w:r>
      <w:r w:rsidRPr="001F3D3D">
        <w:rPr>
          <w:rFonts w:ascii="Verdana" w:hAnsi="Verdana" w:cs="Arial"/>
          <w:color w:val="000000" w:themeColor="text1"/>
        </w:rPr>
        <w:lastRenderedPageBreak/>
        <w:t>facultad, de carácter subsidiario, para que la Entidad Estatal realice la liquidación unilateralmente</w:t>
      </w:r>
      <w:r>
        <w:rPr>
          <w:rFonts w:ascii="Verdana" w:hAnsi="Verdana" w:cs="Arial"/>
          <w:color w:val="000000" w:themeColor="text1"/>
        </w:rPr>
        <w:t>.</w:t>
      </w:r>
    </w:p>
    <w:p w14:paraId="14458389" w14:textId="77777777" w:rsidR="00065E20" w:rsidRPr="00626CAA" w:rsidRDefault="00065E20" w:rsidP="00065E20">
      <w:pPr>
        <w:pStyle w:val="Prrafodelista"/>
        <w:spacing w:after="0" w:line="276" w:lineRule="auto"/>
        <w:jc w:val="both"/>
        <w:rPr>
          <w:rFonts w:ascii="Verdana" w:eastAsia="Calibri" w:hAnsi="Verdana" w:cs="Arial"/>
          <w:lang w:val="es-MX"/>
        </w:rPr>
      </w:pPr>
    </w:p>
    <w:p w14:paraId="49D3CCDA" w14:textId="77777777" w:rsidR="00065E20" w:rsidRPr="00F80DEF" w:rsidRDefault="00065E20" w:rsidP="00065E20">
      <w:pPr>
        <w:numPr>
          <w:ilvl w:val="0"/>
          <w:numId w:val="20"/>
        </w:numPr>
        <w:jc w:val="both"/>
        <w:rPr>
          <w:rFonts w:ascii="Verdana" w:eastAsia="Calibri" w:hAnsi="Verdana" w:cs="Arial"/>
          <w:bCs/>
          <w:color w:val="000000"/>
          <w:lang w:val="es-MX"/>
        </w:rPr>
      </w:pPr>
      <w:proofErr w:type="spellStart"/>
      <w:r>
        <w:rPr>
          <w:rFonts w:ascii="Verdana" w:eastAsia="Calibri" w:hAnsi="Verdana" w:cs="Arial"/>
          <w:bCs/>
          <w:color w:val="000000"/>
          <w:lang w:val="es-MX"/>
        </w:rPr>
        <w:t>Tengase</w:t>
      </w:r>
      <w:proofErr w:type="spellEnd"/>
      <w:r>
        <w:rPr>
          <w:rFonts w:ascii="Verdana" w:eastAsia="Calibri" w:hAnsi="Verdana" w:cs="Arial"/>
          <w:bCs/>
          <w:color w:val="000000"/>
          <w:lang w:val="es-MX"/>
        </w:rPr>
        <w:t xml:space="preserve"> en cuenta que </w:t>
      </w:r>
      <w:r w:rsidRPr="00F80DEF">
        <w:rPr>
          <w:rFonts w:ascii="Verdana" w:eastAsia="Calibri" w:hAnsi="Verdana" w:cs="Arial"/>
          <w:bCs/>
          <w:color w:val="000000"/>
          <w:lang w:val="es-MX"/>
        </w:rPr>
        <w:t>ordenamiento jurídico prevé una facultad, de carácter subsidiario, para que la Entidad Estatal realice la liquidación unilateralmente</w:t>
      </w:r>
      <w:r>
        <w:rPr>
          <w:rFonts w:ascii="Verdana" w:eastAsia="Calibri" w:hAnsi="Verdana" w:cs="Arial"/>
          <w:bCs/>
          <w:color w:val="000000"/>
          <w:lang w:val="es-MX"/>
        </w:rPr>
        <w:t xml:space="preserve"> y e</w:t>
      </w:r>
      <w:r w:rsidRPr="00F80DEF">
        <w:rPr>
          <w:rFonts w:ascii="Verdana" w:eastAsia="Calibri" w:hAnsi="Verdana" w:cs="Arial"/>
          <w:bCs/>
          <w:color w:val="000000"/>
          <w:lang w:val="es-MX"/>
        </w:rPr>
        <w:t>n relación con este aspecto, la Sala de Consulta y Servicio Civil del Consejo de Estado, en concepto del 28 de junio de 2016</w:t>
      </w:r>
      <w:r w:rsidRPr="00F80DEF">
        <w:rPr>
          <w:rFonts w:ascii="Verdana" w:eastAsia="Calibri" w:hAnsi="Verdana" w:cs="Arial"/>
          <w:bCs/>
          <w:color w:val="000000"/>
          <w:lang w:val="es-MX"/>
        </w:rPr>
        <w:footnoteReference w:id="14"/>
      </w:r>
      <w:r w:rsidRPr="00F80DEF">
        <w:rPr>
          <w:rFonts w:ascii="Verdana" w:eastAsia="Calibri" w:hAnsi="Verdana" w:cs="Arial"/>
          <w:bCs/>
          <w:color w:val="000000"/>
          <w:lang w:val="es-MX"/>
        </w:rPr>
        <w:t>, manifestó que:  </w:t>
      </w:r>
    </w:p>
    <w:p w14:paraId="5D6695DE" w14:textId="77777777" w:rsidR="00065E20" w:rsidRDefault="00065E20" w:rsidP="00065E20">
      <w:pPr>
        <w:ind w:left="1068"/>
        <w:jc w:val="both"/>
        <w:rPr>
          <w:rFonts w:ascii="Verdana" w:eastAsia="Calibri" w:hAnsi="Verdana" w:cs="Arial"/>
          <w:bCs/>
          <w:color w:val="000000"/>
          <w:sz w:val="20"/>
          <w:szCs w:val="20"/>
          <w:lang w:val="es-MX"/>
        </w:rPr>
      </w:pPr>
      <w:r w:rsidRPr="00F80DEF">
        <w:rPr>
          <w:rFonts w:ascii="Verdana" w:eastAsia="Calibri" w:hAnsi="Verdana" w:cs="Arial"/>
          <w:bCs/>
          <w:color w:val="000000"/>
          <w:sz w:val="20"/>
          <w:szCs w:val="20"/>
          <w:lang w:val="es-MX"/>
        </w:rPr>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   </w:t>
      </w:r>
    </w:p>
    <w:p w14:paraId="43905B36" w14:textId="77777777" w:rsidR="00065E20" w:rsidRPr="00F80DEF" w:rsidRDefault="00065E20" w:rsidP="00065E20">
      <w:pPr>
        <w:ind w:left="1068"/>
        <w:jc w:val="both"/>
        <w:rPr>
          <w:rFonts w:ascii="Verdana" w:eastAsia="Calibri" w:hAnsi="Verdana" w:cs="Arial"/>
          <w:bCs/>
          <w:color w:val="000000"/>
          <w:sz w:val="20"/>
          <w:szCs w:val="20"/>
          <w:lang w:val="es-MX"/>
        </w:rPr>
      </w:pPr>
    </w:p>
    <w:p w14:paraId="1408003C" w14:textId="77777777" w:rsidR="00065E20" w:rsidRDefault="00065E20" w:rsidP="00065E20">
      <w:pPr>
        <w:widowControl w:val="0"/>
        <w:numPr>
          <w:ilvl w:val="0"/>
          <w:numId w:val="22"/>
        </w:numPr>
        <w:autoSpaceDE w:val="0"/>
        <w:autoSpaceDN w:val="0"/>
        <w:spacing w:after="0" w:line="276" w:lineRule="auto"/>
        <w:contextualSpacing/>
        <w:jc w:val="both"/>
        <w:rPr>
          <w:rFonts w:ascii="Verdana" w:eastAsia="Aptos" w:hAnsi="Verdana" w:cs="Arial"/>
        </w:rPr>
      </w:pPr>
      <w:r>
        <w:rPr>
          <w:rFonts w:ascii="Verdana" w:eastAsia="Calibri" w:hAnsi="Verdana" w:cs="Arial"/>
          <w:bCs/>
          <w:color w:val="000000"/>
          <w:lang w:val="es-MX"/>
        </w:rPr>
        <w:t xml:space="preserve">Por otro lado, es menester señalar que, </w:t>
      </w:r>
      <w:r>
        <w:rPr>
          <w:rFonts w:ascii="Verdana" w:eastAsia="Calibri" w:hAnsi="Verdana" w:cs="Arial"/>
          <w:bCs/>
          <w:color w:val="000000"/>
        </w:rPr>
        <w:t>l</w:t>
      </w:r>
      <w:r w:rsidRPr="002955BC">
        <w:rPr>
          <w:rFonts w:ascii="Verdana" w:eastAsia="Calibri" w:hAnsi="Verdana" w:cs="Arial"/>
          <w:bCs/>
          <w:color w:val="000000"/>
        </w:rPr>
        <w:t xml:space="preserve">a entidad contratante en los documentos precontractuales y contractuales deberá definir que documentos hacen parte de la liquidación del contrato, de no estar incorporados en estos, conforme a lo que señale el Manual de contratación de la entidad y las listas de chequeo de </w:t>
      </w:r>
      <w:proofErr w:type="gramStart"/>
      <w:r w:rsidRPr="002955BC">
        <w:rPr>
          <w:rFonts w:ascii="Verdana" w:eastAsia="Calibri" w:hAnsi="Verdana" w:cs="Arial"/>
          <w:bCs/>
          <w:color w:val="000000"/>
        </w:rPr>
        <w:t>la misma</w:t>
      </w:r>
      <w:proofErr w:type="gramEnd"/>
      <w:r w:rsidRPr="002955BC">
        <w:rPr>
          <w:rFonts w:ascii="Verdana" w:eastAsia="Calibri" w:hAnsi="Verdana" w:cs="Arial"/>
          <w:bCs/>
          <w:color w:val="000000"/>
        </w:rPr>
        <w:t>.</w:t>
      </w:r>
      <w:r>
        <w:rPr>
          <w:rFonts w:ascii="Verdana" w:eastAsia="Calibri" w:hAnsi="Verdana" w:cs="Arial"/>
          <w:bCs/>
          <w:color w:val="000000"/>
        </w:rPr>
        <w:t xml:space="preserve"> Tengas en cuanta que la liquidación </w:t>
      </w:r>
      <w:r w:rsidRPr="001B7242">
        <w:rPr>
          <w:rFonts w:ascii="Verdana" w:eastAsia="Aptos" w:hAnsi="Verdana" w:cs="Arial"/>
        </w:rPr>
        <w:t xml:space="preserve">incorporar los asuntos relacionados con las prestaciones derivadas del contrato y su </w:t>
      </w:r>
      <w:proofErr w:type="spellStart"/>
      <w:r w:rsidRPr="001B7242">
        <w:rPr>
          <w:rFonts w:ascii="Verdana" w:eastAsia="Aptos" w:hAnsi="Verdana" w:cs="Arial"/>
        </w:rPr>
        <w:t>ejecución</w:t>
      </w:r>
      <w:proofErr w:type="spellEnd"/>
      <w:r w:rsidRPr="001B7242">
        <w:rPr>
          <w:rFonts w:ascii="Verdana" w:eastAsia="Aptos" w:hAnsi="Verdana" w:cs="Arial"/>
        </w:rPr>
        <w:t xml:space="preserve">. </w:t>
      </w:r>
    </w:p>
    <w:p w14:paraId="11FDBA91" w14:textId="77777777" w:rsidR="00065E20" w:rsidRDefault="00065E20" w:rsidP="00065E20">
      <w:pPr>
        <w:widowControl w:val="0"/>
        <w:numPr>
          <w:ilvl w:val="0"/>
          <w:numId w:val="22"/>
        </w:numPr>
        <w:autoSpaceDE w:val="0"/>
        <w:autoSpaceDN w:val="0"/>
        <w:spacing w:after="0" w:line="276" w:lineRule="auto"/>
        <w:contextualSpacing/>
        <w:jc w:val="both"/>
        <w:rPr>
          <w:rFonts w:ascii="Verdana" w:eastAsia="Aptos" w:hAnsi="Verdana" w:cs="Arial"/>
        </w:rPr>
      </w:pPr>
      <w:r w:rsidRPr="00AC3900">
        <w:rPr>
          <w:rFonts w:ascii="Verdana" w:eastAsia="Aptos" w:hAnsi="Verdana" w:cs="Arial"/>
        </w:rPr>
        <w:t xml:space="preserve">En el acto de liquidación debe constar el balance </w:t>
      </w:r>
      <w:proofErr w:type="spellStart"/>
      <w:r w:rsidRPr="00AC3900">
        <w:rPr>
          <w:rFonts w:ascii="Verdana" w:eastAsia="Aptos" w:hAnsi="Verdana" w:cs="Arial"/>
        </w:rPr>
        <w:t>técnico</w:t>
      </w:r>
      <w:proofErr w:type="spellEnd"/>
      <w:r w:rsidRPr="00AC3900">
        <w:rPr>
          <w:rFonts w:ascii="Verdana" w:eastAsia="Aptos" w:hAnsi="Verdana" w:cs="Arial"/>
        </w:rPr>
        <w:t xml:space="preserve"> y </w:t>
      </w:r>
      <w:proofErr w:type="spellStart"/>
      <w:r w:rsidRPr="00AC3900">
        <w:rPr>
          <w:rFonts w:ascii="Verdana" w:eastAsia="Aptos" w:hAnsi="Verdana" w:cs="Arial"/>
        </w:rPr>
        <w:t>económico</w:t>
      </w:r>
      <w:proofErr w:type="spellEnd"/>
      <w:r w:rsidRPr="00AC3900">
        <w:rPr>
          <w:rFonts w:ascii="Verdana" w:eastAsia="Aptos" w:hAnsi="Verdana" w:cs="Arial"/>
        </w:rPr>
        <w:t xml:space="preserve"> de las obligaciones a cargo de las partes, es decir, el </w:t>
      </w:r>
      <w:proofErr w:type="spellStart"/>
      <w:r w:rsidRPr="00AC3900">
        <w:rPr>
          <w:rFonts w:ascii="Verdana" w:eastAsia="Aptos" w:hAnsi="Verdana" w:cs="Arial"/>
        </w:rPr>
        <w:t>análisis</w:t>
      </w:r>
      <w:proofErr w:type="spellEnd"/>
      <w:r w:rsidRPr="00AC3900">
        <w:rPr>
          <w:rFonts w:ascii="Verdana" w:eastAsia="Aptos" w:hAnsi="Verdana" w:cs="Arial"/>
        </w:rPr>
        <w:t xml:space="preserve"> detallado de las condiciones de calidad y oportunidad en la entrega de los bienes, obras o servicios y el balance </w:t>
      </w:r>
      <w:proofErr w:type="spellStart"/>
      <w:r w:rsidRPr="00AC3900">
        <w:rPr>
          <w:rFonts w:ascii="Verdana" w:eastAsia="Aptos" w:hAnsi="Verdana" w:cs="Arial"/>
        </w:rPr>
        <w:t>económico</w:t>
      </w:r>
      <w:proofErr w:type="spellEnd"/>
      <w:r w:rsidRPr="00AC3900">
        <w:rPr>
          <w:rFonts w:ascii="Verdana" w:eastAsia="Aptos" w:hAnsi="Verdana" w:cs="Arial"/>
        </w:rPr>
        <w:t xml:space="preserve"> que </w:t>
      </w:r>
      <w:proofErr w:type="spellStart"/>
      <w:r w:rsidRPr="00AC3900">
        <w:rPr>
          <w:rFonts w:ascii="Verdana" w:eastAsia="Aptos" w:hAnsi="Verdana" w:cs="Arial"/>
        </w:rPr>
        <w:t>dara</w:t>
      </w:r>
      <w:proofErr w:type="spellEnd"/>
      <w:r w:rsidRPr="00AC3900">
        <w:rPr>
          <w:rFonts w:ascii="Verdana" w:eastAsia="Aptos" w:hAnsi="Verdana" w:cs="Arial"/>
        </w:rPr>
        <w:t>́ cuenta del comportamiento financiero del negocio</w:t>
      </w:r>
      <w:r>
        <w:rPr>
          <w:rStyle w:val="Refdenotaalpie"/>
          <w:rFonts w:ascii="Verdana" w:eastAsia="Aptos" w:hAnsi="Verdana" w:cs="Arial"/>
        </w:rPr>
        <w:footnoteReference w:id="15"/>
      </w:r>
      <w:r>
        <w:rPr>
          <w:rFonts w:ascii="Verdana" w:eastAsia="Aptos" w:hAnsi="Verdana" w:cs="Arial"/>
        </w:rPr>
        <w:t>.</w:t>
      </w:r>
    </w:p>
    <w:p w14:paraId="4DEB0C11" w14:textId="77777777" w:rsidR="00065E20" w:rsidRPr="003575EF" w:rsidRDefault="00065E20" w:rsidP="00065E20">
      <w:pPr>
        <w:pStyle w:val="NormalWeb"/>
        <w:numPr>
          <w:ilvl w:val="0"/>
          <w:numId w:val="22"/>
        </w:numPr>
        <w:jc w:val="both"/>
        <w:rPr>
          <w:rFonts w:ascii="Verdana" w:hAnsi="Verdana"/>
          <w:sz w:val="22"/>
          <w:szCs w:val="22"/>
        </w:rPr>
      </w:pPr>
      <w:proofErr w:type="spellStart"/>
      <w:r w:rsidRPr="003575EF">
        <w:rPr>
          <w:rFonts w:ascii="Verdana" w:hAnsi="Verdana"/>
          <w:color w:val="565659"/>
          <w:sz w:val="22"/>
          <w:szCs w:val="22"/>
        </w:rPr>
        <w:t>Asi</w:t>
      </w:r>
      <w:proofErr w:type="spellEnd"/>
      <w:r w:rsidRPr="003575EF">
        <w:rPr>
          <w:rFonts w:ascii="Verdana" w:hAnsi="Verdana"/>
          <w:color w:val="565659"/>
          <w:sz w:val="22"/>
          <w:szCs w:val="22"/>
        </w:rPr>
        <w:t xml:space="preserve">́ mismo, deben constar en el acto de </w:t>
      </w:r>
      <w:proofErr w:type="spellStart"/>
      <w:r w:rsidRPr="003575EF">
        <w:rPr>
          <w:rFonts w:ascii="Verdana" w:hAnsi="Verdana"/>
          <w:color w:val="565659"/>
          <w:sz w:val="22"/>
          <w:szCs w:val="22"/>
        </w:rPr>
        <w:t>liquidación</w:t>
      </w:r>
      <w:proofErr w:type="spellEnd"/>
      <w:r w:rsidRPr="003575EF">
        <w:rPr>
          <w:rFonts w:ascii="Verdana" w:hAnsi="Verdana"/>
          <w:color w:val="565659"/>
          <w:sz w:val="22"/>
          <w:szCs w:val="22"/>
        </w:rPr>
        <w:t xml:space="preserve"> los derechos a cargo o a favor de las partes resultantes de la </w:t>
      </w:r>
      <w:proofErr w:type="spellStart"/>
      <w:r w:rsidRPr="003575EF">
        <w:rPr>
          <w:rFonts w:ascii="Verdana" w:hAnsi="Verdana"/>
          <w:color w:val="565659"/>
          <w:sz w:val="22"/>
          <w:szCs w:val="22"/>
        </w:rPr>
        <w:t>ejecución</w:t>
      </w:r>
      <w:proofErr w:type="spellEnd"/>
      <w:r w:rsidRPr="003575EF">
        <w:rPr>
          <w:rFonts w:ascii="Verdana" w:hAnsi="Verdana"/>
          <w:color w:val="565659"/>
          <w:sz w:val="22"/>
          <w:szCs w:val="22"/>
        </w:rPr>
        <w:t xml:space="preserve"> del contrato. La </w:t>
      </w:r>
      <w:proofErr w:type="spellStart"/>
      <w:r w:rsidRPr="003575EF">
        <w:rPr>
          <w:rFonts w:ascii="Verdana" w:hAnsi="Verdana"/>
          <w:color w:val="565659"/>
          <w:sz w:val="22"/>
          <w:szCs w:val="22"/>
        </w:rPr>
        <w:t>liquidación</w:t>
      </w:r>
      <w:proofErr w:type="spellEnd"/>
      <w:r w:rsidRPr="003575EF">
        <w:rPr>
          <w:rFonts w:ascii="Verdana" w:hAnsi="Verdana"/>
          <w:color w:val="565659"/>
          <w:sz w:val="22"/>
          <w:szCs w:val="22"/>
        </w:rPr>
        <w:t xml:space="preserve"> puede indicar el estado de cumplimiento de las obligaciones y </w:t>
      </w:r>
      <w:proofErr w:type="spellStart"/>
      <w:r w:rsidRPr="003575EF">
        <w:rPr>
          <w:rFonts w:ascii="Verdana" w:hAnsi="Verdana"/>
          <w:color w:val="565659"/>
          <w:sz w:val="22"/>
          <w:szCs w:val="22"/>
        </w:rPr>
        <w:lastRenderedPageBreak/>
        <w:t>también</w:t>
      </w:r>
      <w:proofErr w:type="spellEnd"/>
      <w:r w:rsidRPr="003575EF">
        <w:rPr>
          <w:rFonts w:ascii="Verdana" w:hAnsi="Verdana"/>
          <w:color w:val="565659"/>
          <w:sz w:val="22"/>
          <w:szCs w:val="22"/>
        </w:rPr>
        <w:t xml:space="preserve"> incluir obligaciones que surgen para las partes con </w:t>
      </w:r>
      <w:proofErr w:type="spellStart"/>
      <w:r w:rsidRPr="003575EF">
        <w:rPr>
          <w:rFonts w:ascii="Verdana" w:hAnsi="Verdana"/>
          <w:color w:val="565659"/>
          <w:sz w:val="22"/>
          <w:szCs w:val="22"/>
        </w:rPr>
        <w:t>ocasión</w:t>
      </w:r>
      <w:proofErr w:type="spellEnd"/>
      <w:r w:rsidRPr="003575EF">
        <w:rPr>
          <w:rFonts w:ascii="Verdana" w:hAnsi="Verdana"/>
          <w:color w:val="565659"/>
          <w:sz w:val="22"/>
          <w:szCs w:val="22"/>
        </w:rPr>
        <w:t xml:space="preserve"> de su </w:t>
      </w:r>
      <w:proofErr w:type="spellStart"/>
      <w:r w:rsidRPr="003575EF">
        <w:rPr>
          <w:rFonts w:ascii="Verdana" w:hAnsi="Verdana"/>
          <w:color w:val="565659"/>
          <w:sz w:val="22"/>
          <w:szCs w:val="22"/>
        </w:rPr>
        <w:t>suscripción</w:t>
      </w:r>
      <w:proofErr w:type="spellEnd"/>
      <w:r w:rsidRPr="003575EF">
        <w:rPr>
          <w:rFonts w:ascii="Verdana" w:hAnsi="Verdana"/>
          <w:color w:val="565659"/>
          <w:sz w:val="22"/>
          <w:szCs w:val="22"/>
        </w:rPr>
        <w:t>.</w:t>
      </w:r>
      <w:r w:rsidRPr="003575EF">
        <w:rPr>
          <w:rStyle w:val="Refdenotaalpie"/>
          <w:rFonts w:ascii="Verdana" w:hAnsi="Verdana"/>
          <w:sz w:val="22"/>
          <w:szCs w:val="22"/>
        </w:rPr>
        <w:footnoteReference w:id="16"/>
      </w:r>
    </w:p>
    <w:p w14:paraId="4D3AB547" w14:textId="77777777" w:rsidR="00065E20" w:rsidRPr="003575EF" w:rsidRDefault="00065E20" w:rsidP="00065E20">
      <w:pPr>
        <w:pStyle w:val="NormalWeb"/>
        <w:numPr>
          <w:ilvl w:val="0"/>
          <w:numId w:val="22"/>
        </w:numPr>
        <w:jc w:val="both"/>
        <w:rPr>
          <w:rFonts w:ascii="Verdana" w:hAnsi="Verdana"/>
          <w:sz w:val="22"/>
          <w:szCs w:val="22"/>
        </w:rPr>
      </w:pPr>
      <w:r w:rsidRPr="003575EF">
        <w:rPr>
          <w:rFonts w:ascii="Verdana" w:hAnsi="Verdana"/>
          <w:color w:val="565659"/>
          <w:sz w:val="22"/>
          <w:szCs w:val="22"/>
        </w:rPr>
        <w:t xml:space="preserve">De igual manera, la </w:t>
      </w:r>
      <w:proofErr w:type="spellStart"/>
      <w:r w:rsidRPr="003575EF">
        <w:rPr>
          <w:rFonts w:ascii="Verdana" w:hAnsi="Verdana"/>
          <w:color w:val="565659"/>
          <w:sz w:val="22"/>
          <w:szCs w:val="22"/>
        </w:rPr>
        <w:t>liquidación</w:t>
      </w:r>
      <w:proofErr w:type="spellEnd"/>
      <w:r w:rsidRPr="003575EF">
        <w:rPr>
          <w:rFonts w:ascii="Verdana" w:hAnsi="Verdana"/>
          <w:color w:val="565659"/>
          <w:sz w:val="22"/>
          <w:szCs w:val="22"/>
        </w:rPr>
        <w:t xml:space="preserve"> debe dar cuenta de los reconocimientos y ajustes derivados de la </w:t>
      </w:r>
      <w:proofErr w:type="spellStart"/>
      <w:r w:rsidRPr="003575EF">
        <w:rPr>
          <w:rFonts w:ascii="Verdana" w:hAnsi="Verdana"/>
          <w:color w:val="565659"/>
          <w:sz w:val="22"/>
          <w:szCs w:val="22"/>
        </w:rPr>
        <w:t>ejecución</w:t>
      </w:r>
      <w:proofErr w:type="spellEnd"/>
      <w:r w:rsidRPr="003575EF">
        <w:rPr>
          <w:rFonts w:ascii="Verdana" w:hAnsi="Verdana"/>
          <w:color w:val="565659"/>
          <w:sz w:val="22"/>
          <w:szCs w:val="22"/>
        </w:rPr>
        <w:t xml:space="preserve"> del contrato que correspondan, y de los acuerdos, conciliaciones y transacciones a los que lleguen las partes con el objeto de dar por terminadas sus diferencias y declararse a paz y salvo.</w:t>
      </w:r>
      <w:r w:rsidRPr="003575EF">
        <w:rPr>
          <w:rStyle w:val="Refdenotaalpie"/>
          <w:rFonts w:ascii="Verdana" w:hAnsi="Verdana"/>
          <w:sz w:val="22"/>
          <w:szCs w:val="22"/>
        </w:rPr>
        <w:footnoteReference w:id="17"/>
      </w:r>
    </w:p>
    <w:p w14:paraId="60493B1C" w14:textId="77777777" w:rsidR="00065E20" w:rsidRPr="00073194" w:rsidRDefault="00065E20" w:rsidP="00065E20">
      <w:pPr>
        <w:widowControl w:val="0"/>
        <w:numPr>
          <w:ilvl w:val="0"/>
          <w:numId w:val="22"/>
        </w:numPr>
        <w:autoSpaceDE w:val="0"/>
        <w:autoSpaceDN w:val="0"/>
        <w:spacing w:after="0" w:line="276" w:lineRule="auto"/>
        <w:contextualSpacing/>
        <w:jc w:val="both"/>
        <w:rPr>
          <w:rFonts w:ascii="Verdana" w:eastAsia="Aptos" w:hAnsi="Verdana" w:cs="Arial"/>
        </w:rPr>
      </w:pPr>
      <w:proofErr w:type="spellStart"/>
      <w:r>
        <w:rPr>
          <w:rFonts w:ascii="Verdana" w:eastAsia="Aptos" w:hAnsi="Verdana" w:cs="Arial"/>
        </w:rPr>
        <w:t>Tengase</w:t>
      </w:r>
      <w:proofErr w:type="spellEnd"/>
      <w:r>
        <w:rPr>
          <w:rFonts w:ascii="Verdana" w:eastAsia="Aptos" w:hAnsi="Verdana" w:cs="Arial"/>
        </w:rPr>
        <w:t xml:space="preserve"> en cuenta que, el</w:t>
      </w:r>
      <w:r w:rsidRPr="00073194">
        <w:rPr>
          <w:rFonts w:ascii="Verdana" w:eastAsia="Aptos" w:hAnsi="Verdana" w:cs="Arial"/>
        </w:rPr>
        <w:t xml:space="preserve"> </w:t>
      </w:r>
      <w:proofErr w:type="spellStart"/>
      <w:r w:rsidRPr="00073194">
        <w:rPr>
          <w:rFonts w:ascii="Verdana" w:eastAsia="Aptos" w:hAnsi="Verdana" w:cs="Arial"/>
        </w:rPr>
        <w:t>artículo</w:t>
      </w:r>
      <w:proofErr w:type="spellEnd"/>
      <w:r w:rsidRPr="00073194">
        <w:rPr>
          <w:rFonts w:ascii="Verdana" w:eastAsia="Aptos" w:hAnsi="Verdana" w:cs="Arial"/>
        </w:rPr>
        <w:t xml:space="preserve"> 11 de la Ley 1150 de 2007 permite a los contratistas efectuar salvedades a la </w:t>
      </w:r>
      <w:proofErr w:type="spellStart"/>
      <w:r w:rsidRPr="00073194">
        <w:rPr>
          <w:rFonts w:ascii="Verdana" w:eastAsia="Aptos" w:hAnsi="Verdana" w:cs="Arial"/>
        </w:rPr>
        <w:t>liquidación</w:t>
      </w:r>
      <w:proofErr w:type="spellEnd"/>
      <w:r w:rsidRPr="00073194">
        <w:rPr>
          <w:rFonts w:ascii="Verdana" w:eastAsia="Aptos" w:hAnsi="Verdana" w:cs="Arial"/>
        </w:rPr>
        <w:t xml:space="preserve"> por mutuo acuerdo y en este evento la </w:t>
      </w:r>
      <w:proofErr w:type="spellStart"/>
      <w:r w:rsidRPr="00073194">
        <w:rPr>
          <w:rFonts w:ascii="Verdana" w:eastAsia="Aptos" w:hAnsi="Verdana" w:cs="Arial"/>
        </w:rPr>
        <w:t>liquidación</w:t>
      </w:r>
      <w:proofErr w:type="spellEnd"/>
      <w:r w:rsidRPr="00073194">
        <w:rPr>
          <w:rFonts w:ascii="Verdana" w:eastAsia="Aptos" w:hAnsi="Verdana" w:cs="Arial"/>
        </w:rPr>
        <w:t xml:space="preserve"> unilateral solo </w:t>
      </w:r>
      <w:proofErr w:type="spellStart"/>
      <w:r w:rsidRPr="00073194">
        <w:rPr>
          <w:rFonts w:ascii="Verdana" w:eastAsia="Aptos" w:hAnsi="Verdana" w:cs="Arial"/>
        </w:rPr>
        <w:t>procedera</w:t>
      </w:r>
      <w:proofErr w:type="spellEnd"/>
      <w:r w:rsidRPr="00073194">
        <w:rPr>
          <w:rFonts w:ascii="Verdana" w:eastAsia="Aptos" w:hAnsi="Verdana" w:cs="Arial"/>
        </w:rPr>
        <w:t xml:space="preserve">́ en </w:t>
      </w:r>
      <w:proofErr w:type="spellStart"/>
      <w:r w:rsidRPr="00073194">
        <w:rPr>
          <w:rFonts w:ascii="Verdana" w:eastAsia="Aptos" w:hAnsi="Verdana" w:cs="Arial"/>
        </w:rPr>
        <w:t>relación</w:t>
      </w:r>
      <w:proofErr w:type="spellEnd"/>
      <w:r w:rsidRPr="00073194">
        <w:rPr>
          <w:rFonts w:ascii="Verdana" w:eastAsia="Aptos" w:hAnsi="Verdana" w:cs="Arial"/>
        </w:rPr>
        <w:t xml:space="preserve"> con los aspectos que no hayan sido objeto de acuerdo. En esas condiciones, el efecto que produce la </w:t>
      </w:r>
      <w:proofErr w:type="spellStart"/>
      <w:r w:rsidRPr="00073194">
        <w:rPr>
          <w:rFonts w:ascii="Verdana" w:eastAsia="Aptos" w:hAnsi="Verdana" w:cs="Arial"/>
        </w:rPr>
        <w:t>inclusión</w:t>
      </w:r>
      <w:proofErr w:type="spellEnd"/>
      <w:r w:rsidRPr="00073194">
        <w:rPr>
          <w:rFonts w:ascii="Verdana" w:eastAsia="Aptos" w:hAnsi="Verdana" w:cs="Arial"/>
        </w:rPr>
        <w:t xml:space="preserve"> de salvedades en el acta de </w:t>
      </w:r>
      <w:proofErr w:type="spellStart"/>
      <w:r w:rsidRPr="00073194">
        <w:rPr>
          <w:rFonts w:ascii="Verdana" w:eastAsia="Aptos" w:hAnsi="Verdana" w:cs="Arial"/>
        </w:rPr>
        <w:t>liquidación</w:t>
      </w:r>
      <w:proofErr w:type="spellEnd"/>
      <w:r w:rsidRPr="00073194">
        <w:rPr>
          <w:rFonts w:ascii="Verdana" w:eastAsia="Aptos" w:hAnsi="Verdana" w:cs="Arial"/>
        </w:rPr>
        <w:t xml:space="preserve"> bilateral consiste en restringir los asuntos respecto de los cuales tanto el contratista como la Entidad Estatal pueden reclamar posteriormente por </w:t>
      </w:r>
      <w:proofErr w:type="spellStart"/>
      <w:r w:rsidRPr="00073194">
        <w:rPr>
          <w:rFonts w:ascii="Verdana" w:eastAsia="Aptos" w:hAnsi="Verdana" w:cs="Arial"/>
        </w:rPr>
        <w:t>vía</w:t>
      </w:r>
      <w:proofErr w:type="spellEnd"/>
      <w:r w:rsidRPr="00073194">
        <w:rPr>
          <w:rFonts w:ascii="Verdana" w:eastAsia="Aptos" w:hAnsi="Verdana" w:cs="Arial"/>
        </w:rPr>
        <w:t xml:space="preserve"> judicial. </w:t>
      </w:r>
    </w:p>
    <w:p w14:paraId="746D8499" w14:textId="77777777" w:rsidR="00065E20" w:rsidRPr="00073194" w:rsidRDefault="00065E20" w:rsidP="00065E20">
      <w:pPr>
        <w:widowControl w:val="0"/>
        <w:numPr>
          <w:ilvl w:val="0"/>
          <w:numId w:val="22"/>
        </w:numPr>
        <w:autoSpaceDE w:val="0"/>
        <w:autoSpaceDN w:val="0"/>
        <w:spacing w:after="0" w:line="276" w:lineRule="auto"/>
        <w:contextualSpacing/>
        <w:jc w:val="both"/>
        <w:rPr>
          <w:rFonts w:ascii="Verdana" w:eastAsia="Aptos" w:hAnsi="Verdana" w:cs="Arial"/>
        </w:rPr>
      </w:pPr>
      <w:r w:rsidRPr="00073194">
        <w:rPr>
          <w:rFonts w:ascii="Verdana" w:eastAsia="Aptos" w:hAnsi="Verdana" w:cs="Arial"/>
        </w:rPr>
        <w:t xml:space="preserve">La </w:t>
      </w:r>
      <w:proofErr w:type="spellStart"/>
      <w:r w:rsidRPr="00073194">
        <w:rPr>
          <w:rFonts w:ascii="Verdana" w:eastAsia="Aptos" w:hAnsi="Verdana" w:cs="Arial"/>
        </w:rPr>
        <w:t>inclusión</w:t>
      </w:r>
      <w:proofErr w:type="spellEnd"/>
      <w:r w:rsidRPr="00073194">
        <w:rPr>
          <w:rFonts w:ascii="Verdana" w:eastAsia="Aptos" w:hAnsi="Verdana" w:cs="Arial"/>
        </w:rPr>
        <w:t xml:space="preserve"> de salvedades en el acta de </w:t>
      </w:r>
      <w:proofErr w:type="spellStart"/>
      <w:r w:rsidRPr="00073194">
        <w:rPr>
          <w:rFonts w:ascii="Verdana" w:eastAsia="Aptos" w:hAnsi="Verdana" w:cs="Arial"/>
        </w:rPr>
        <w:t>liquidación</w:t>
      </w:r>
      <w:proofErr w:type="spellEnd"/>
      <w:r w:rsidRPr="00073194">
        <w:rPr>
          <w:rFonts w:ascii="Verdana" w:eastAsia="Aptos" w:hAnsi="Verdana" w:cs="Arial"/>
        </w:rPr>
        <w:t xml:space="preserve"> no implica el reconocimiento por parte de la Entidad Estatal de los derechos o las situaciones a las que se refieren tales salvedades, sino que ellas reflejan los asuntos respecto de los cuales las partes no llegaron a un acuerdo </w:t>
      </w:r>
    </w:p>
    <w:p w14:paraId="2884E336" w14:textId="77777777" w:rsidR="00065E20" w:rsidRPr="003575EF" w:rsidRDefault="00065E20" w:rsidP="00065E20">
      <w:pPr>
        <w:widowControl w:val="0"/>
        <w:autoSpaceDE w:val="0"/>
        <w:autoSpaceDN w:val="0"/>
        <w:spacing w:after="0" w:line="276" w:lineRule="auto"/>
        <w:contextualSpacing/>
        <w:jc w:val="both"/>
        <w:rPr>
          <w:rFonts w:ascii="Verdana" w:eastAsia="Aptos" w:hAnsi="Verdana" w:cs="Arial"/>
        </w:rPr>
      </w:pPr>
    </w:p>
    <w:p w14:paraId="0D0D4B63" w14:textId="77777777" w:rsidR="00065E20" w:rsidRPr="00406AA6" w:rsidRDefault="00065E20" w:rsidP="00065E20">
      <w:pPr>
        <w:widowControl w:val="0"/>
        <w:numPr>
          <w:ilvl w:val="0"/>
          <w:numId w:val="22"/>
        </w:numPr>
        <w:autoSpaceDE w:val="0"/>
        <w:autoSpaceDN w:val="0"/>
        <w:spacing w:after="0" w:line="276" w:lineRule="auto"/>
        <w:contextualSpacing/>
        <w:jc w:val="both"/>
        <w:rPr>
          <w:rFonts w:ascii="Verdana" w:eastAsia="Aptos" w:hAnsi="Verdana" w:cs="Arial"/>
        </w:rPr>
      </w:pPr>
      <w:r>
        <w:rPr>
          <w:rFonts w:ascii="Verdana" w:eastAsia="Aptos" w:hAnsi="Verdana" w:cs="Arial"/>
        </w:rPr>
        <w:t xml:space="preserve">Finalmente, debe destacarse que la Agencia Nacional de Contratación Pública – Colombia Compra Eficiente, por vía consultiva, no puede </w:t>
      </w:r>
      <w:r w:rsidRPr="006157A4">
        <w:rPr>
          <w:rFonts w:ascii="Verdana" w:eastAsia="Aptos" w:hAnsi="Verdana" w:cs="Arial"/>
        </w:rPr>
        <w:t xml:space="preserve">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w:t>
      </w:r>
      <w:r>
        <w:rPr>
          <w:rFonts w:ascii="Verdana" w:eastAsia="Aptos" w:hAnsi="Verdana" w:cs="Arial"/>
        </w:rPr>
        <w:t>Entidades Estatales</w:t>
      </w:r>
      <w:r w:rsidRPr="006157A4">
        <w:rPr>
          <w:rFonts w:ascii="Verdana" w:eastAsia="Aptos" w:hAnsi="Verdana" w:cs="Arial"/>
        </w:rPr>
        <w:t>, en virtud de las facultades legales que les han sido conferidas por el ordenamiento jurídico, determinar la forma en la que realizarán la liquidación de sus contratos</w:t>
      </w:r>
      <w:r>
        <w:rPr>
          <w:rFonts w:ascii="Verdana" w:eastAsia="Aptos" w:hAnsi="Verdana" w:cs="Arial"/>
        </w:rPr>
        <w:t>.</w:t>
      </w:r>
    </w:p>
    <w:p w14:paraId="5211D45A" w14:textId="77777777" w:rsidR="00065E20" w:rsidRPr="00F80DEF" w:rsidRDefault="00065E20" w:rsidP="00065E20">
      <w:pPr>
        <w:pStyle w:val="Prrafodelista"/>
        <w:jc w:val="both"/>
        <w:rPr>
          <w:rFonts w:ascii="Verdana" w:eastAsia="Calibri" w:hAnsi="Verdana" w:cs="Arial"/>
          <w:bCs/>
          <w:color w:val="000000"/>
          <w:lang w:val="es-MX"/>
        </w:rPr>
      </w:pPr>
    </w:p>
    <w:p w14:paraId="110C742A" w14:textId="77777777" w:rsidR="00065E20" w:rsidRPr="00F80DEF" w:rsidRDefault="00065E20" w:rsidP="00065E20">
      <w:pPr>
        <w:jc w:val="both"/>
        <w:rPr>
          <w:rFonts w:ascii="Verdana" w:eastAsia="Calibri" w:hAnsi="Verdana" w:cs="Arial"/>
          <w:bCs/>
          <w:color w:val="000000"/>
          <w:lang w:val="es-MX"/>
        </w:rPr>
      </w:pPr>
    </w:p>
    <w:p w14:paraId="25D11F37" w14:textId="77777777" w:rsidR="00065E20" w:rsidRPr="009322DA" w:rsidRDefault="00065E20" w:rsidP="00065E20">
      <w:pPr>
        <w:jc w:val="both"/>
        <w:rPr>
          <w:rFonts w:ascii="Verdana" w:eastAsia="Calibri" w:hAnsi="Verdana" w:cs="Arial"/>
          <w:b/>
          <w:bCs/>
        </w:rPr>
      </w:pPr>
      <w:r w:rsidRPr="009322DA">
        <w:rPr>
          <w:rFonts w:ascii="Verdana" w:eastAsia="Calibri" w:hAnsi="Verdana" w:cs="Arial"/>
          <w:b/>
          <w:bCs/>
        </w:rPr>
        <w:t>4. Referencias</w:t>
      </w:r>
      <w:r>
        <w:rPr>
          <w:rFonts w:ascii="Verdana" w:eastAsia="Calibri" w:hAnsi="Verdana" w:cs="Arial"/>
          <w:b/>
          <w:bCs/>
        </w:rPr>
        <w:t xml:space="preserve"> </w:t>
      </w:r>
      <w:r w:rsidRPr="009322DA">
        <w:rPr>
          <w:rFonts w:ascii="Verdana" w:eastAsia="Calibri" w:hAnsi="Verdana" w:cs="Arial"/>
          <w:b/>
          <w:bCs/>
        </w:rPr>
        <w:t>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65E20" w:rsidRPr="009322DA" w14:paraId="027CE474" w14:textId="77777777" w:rsidTr="00B66C68">
        <w:trPr>
          <w:trHeight w:val="1068"/>
        </w:trPr>
        <w:tc>
          <w:tcPr>
            <w:tcW w:w="8647" w:type="dxa"/>
            <w:tcBorders>
              <w:top w:val="dotted" w:sz="4" w:space="0" w:color="auto"/>
              <w:left w:val="dotted" w:sz="4" w:space="0" w:color="auto"/>
              <w:bottom w:val="dotted" w:sz="4" w:space="0" w:color="auto"/>
              <w:right w:val="dotted" w:sz="4" w:space="0" w:color="auto"/>
            </w:tcBorders>
          </w:tcPr>
          <w:p w14:paraId="62A73E0C" w14:textId="77777777" w:rsidR="00065E20" w:rsidRPr="00F80DEF" w:rsidRDefault="00065E20" w:rsidP="00B66C68">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lastRenderedPageBreak/>
              <w:t xml:space="preserve">Ley 80 de 1993, artículo 60 modificado por el artículo 217 del Decreto 019 de 2012. </w:t>
            </w:r>
          </w:p>
          <w:p w14:paraId="45042D9F" w14:textId="77777777" w:rsidR="00065E20" w:rsidRPr="00F80DEF" w:rsidRDefault="00065E20" w:rsidP="00B66C68">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t>Ley 1150 de 2007, artículo 11.</w:t>
            </w:r>
          </w:p>
          <w:p w14:paraId="4C570FBE" w14:textId="77777777" w:rsidR="00065E20" w:rsidRPr="00F80DEF" w:rsidRDefault="00065E20" w:rsidP="00B66C68">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t xml:space="preserve">Jurisprudencia del Consejo de Estado. Disponible en: </w:t>
            </w:r>
            <w:hyperlink r:id="rId13" w:history="1">
              <w:r w:rsidRPr="006421CD">
                <w:rPr>
                  <w:rStyle w:val="Hipervnculo"/>
                  <w:rFonts w:ascii="Verdana" w:hAnsi="Verdana" w:cs="Arial"/>
                  <w:lang w:val="es-MX"/>
                </w:rPr>
                <w:t>https://relatoria.colombiacompra.gov.co/providencias-consejo-de-estado/</w:t>
              </w:r>
            </w:hyperlink>
            <w:r>
              <w:rPr>
                <w:rFonts w:ascii="Verdana" w:hAnsi="Verdana" w:cs="Arial"/>
                <w:lang w:val="es-MX"/>
              </w:rPr>
              <w:t xml:space="preserve"> </w:t>
            </w:r>
            <w:r w:rsidRPr="00F80DEF">
              <w:rPr>
                <w:rFonts w:ascii="Verdana" w:hAnsi="Verdana" w:cs="Arial"/>
                <w:lang w:val="es-MX"/>
              </w:rPr>
              <w:t xml:space="preserve"> </w:t>
            </w:r>
          </w:p>
          <w:p w14:paraId="4303C3D7" w14:textId="77777777" w:rsidR="00065E20" w:rsidRPr="00F80DEF" w:rsidRDefault="00065E20" w:rsidP="00B66C68">
            <w:pPr>
              <w:widowControl w:val="0"/>
              <w:numPr>
                <w:ilvl w:val="0"/>
                <w:numId w:val="17"/>
              </w:numPr>
              <w:autoSpaceDE w:val="0"/>
              <w:autoSpaceDN w:val="0"/>
              <w:spacing w:after="120" w:line="276" w:lineRule="auto"/>
              <w:contextualSpacing/>
              <w:jc w:val="both"/>
              <w:rPr>
                <w:rFonts w:ascii="Verdana" w:hAnsi="Verdana" w:cs="Arial"/>
                <w:lang w:val="es-MX"/>
              </w:rPr>
            </w:pPr>
            <w:r w:rsidRPr="00F80DEF">
              <w:rPr>
                <w:rFonts w:ascii="Verdana" w:hAnsi="Verdana" w:cs="Arial"/>
                <w:lang w:val="es-MX"/>
              </w:rPr>
              <w:t xml:space="preserve">Guías y manuales expedidos por la ANCP-CCE. Disponible en: </w:t>
            </w:r>
            <w:hyperlink r:id="rId14" w:history="1">
              <w:r w:rsidRPr="006421CD">
                <w:rPr>
                  <w:rStyle w:val="Hipervnculo"/>
                  <w:rFonts w:ascii="Verdana" w:hAnsi="Verdana" w:cs="Arial"/>
                  <w:lang w:val="es-MX"/>
                </w:rPr>
                <w:t>https://www.colombiacompra.gov.co/manuales-guias-y-pliegos-tipo/manuales-y-guias</w:t>
              </w:r>
            </w:hyperlink>
            <w:r>
              <w:rPr>
                <w:rFonts w:ascii="Verdana" w:hAnsi="Verdana" w:cs="Arial"/>
                <w:lang w:val="es-MX"/>
              </w:rPr>
              <w:t xml:space="preserve"> </w:t>
            </w:r>
          </w:p>
        </w:tc>
      </w:tr>
    </w:tbl>
    <w:p w14:paraId="0C54E559" w14:textId="77777777" w:rsidR="00065E20" w:rsidRPr="009322DA" w:rsidRDefault="00065E20" w:rsidP="00065E20">
      <w:pPr>
        <w:tabs>
          <w:tab w:val="left" w:pos="142"/>
          <w:tab w:val="left" w:pos="284"/>
        </w:tabs>
        <w:spacing w:after="0" w:line="276" w:lineRule="auto"/>
        <w:jc w:val="both"/>
        <w:rPr>
          <w:rFonts w:ascii="Verdana" w:eastAsia="Calibri" w:hAnsi="Verdana" w:cs="Arial"/>
        </w:rPr>
      </w:pPr>
    </w:p>
    <w:p w14:paraId="2FEF4B72" w14:textId="77777777" w:rsidR="00065E20" w:rsidRDefault="00065E20" w:rsidP="00065E20">
      <w:pPr>
        <w:tabs>
          <w:tab w:val="left" w:pos="142"/>
          <w:tab w:val="left" w:pos="284"/>
        </w:tabs>
        <w:spacing w:after="0" w:line="276" w:lineRule="auto"/>
        <w:jc w:val="both"/>
        <w:rPr>
          <w:rFonts w:ascii="Verdana" w:eastAsia="Century Gothic" w:hAnsi="Verdana" w:cs="Century Gothic"/>
          <w:b/>
          <w:bCs/>
          <w:lang w:val="es-ES"/>
        </w:rPr>
      </w:pPr>
      <w:r w:rsidRPr="00196A7A">
        <w:rPr>
          <w:rFonts w:ascii="Verdana" w:eastAsia="Calibri" w:hAnsi="Verdana" w:cs="Arial"/>
          <w:b/>
          <w:bCs/>
        </w:rPr>
        <w:t>5.</w:t>
      </w:r>
      <w:r>
        <w:rPr>
          <w:rFonts w:ascii="Verdana" w:eastAsia="Calibri" w:hAnsi="Verdana" w:cs="Arial"/>
          <w:b/>
          <w:bCs/>
        </w:rPr>
        <w:t xml:space="preserve"> </w:t>
      </w:r>
      <w:r w:rsidRPr="00196A7A">
        <w:rPr>
          <w:rFonts w:ascii="Verdana" w:eastAsia="Century Gothic" w:hAnsi="Verdana" w:cs="Century Gothic"/>
          <w:b/>
          <w:bCs/>
          <w:lang w:val="es-ES"/>
        </w:rPr>
        <w:t>Doctrina</w:t>
      </w:r>
      <w:r w:rsidRPr="009322DA">
        <w:rPr>
          <w:rFonts w:ascii="Verdana" w:eastAsia="Century Gothic" w:hAnsi="Verdana" w:cs="Century Gothic"/>
          <w:b/>
          <w:bCs/>
          <w:lang w:val="es-ES"/>
        </w:rPr>
        <w:t xml:space="preserve"> de la Agencia Nacional de Contratación Pública:</w:t>
      </w:r>
    </w:p>
    <w:p w14:paraId="0A2E2328" w14:textId="77777777" w:rsidR="00065E20" w:rsidRPr="009322DA" w:rsidRDefault="00065E20" w:rsidP="00065E20">
      <w:pPr>
        <w:tabs>
          <w:tab w:val="left" w:pos="142"/>
          <w:tab w:val="left" w:pos="284"/>
        </w:tabs>
        <w:spacing w:after="0" w:line="276" w:lineRule="auto"/>
        <w:jc w:val="both"/>
        <w:rPr>
          <w:rFonts w:ascii="Verdana" w:eastAsia="Century Gothic" w:hAnsi="Verdana" w:cs="Century Gothic"/>
          <w:b/>
          <w:bCs/>
          <w:lang w:val="es-ES"/>
        </w:rPr>
      </w:pPr>
    </w:p>
    <w:p w14:paraId="27077C74" w14:textId="77777777" w:rsidR="00065E20" w:rsidRDefault="00065E20" w:rsidP="00065E20">
      <w:pPr>
        <w:spacing w:after="0" w:line="276" w:lineRule="auto"/>
        <w:jc w:val="both"/>
        <w:rPr>
          <w:rStyle w:val="Hipervnculo"/>
          <w:rFonts w:ascii="Verdana" w:eastAsia="Calibri" w:hAnsi="Verdana" w:cs="Arial"/>
          <w:color w:val="000000" w:themeColor="text1"/>
          <w:shd w:val="clear" w:color="auto" w:fill="FFFFFF"/>
        </w:rPr>
      </w:pPr>
      <w:r w:rsidRPr="00F80DEF">
        <w:rPr>
          <w:rFonts w:ascii="Verdana" w:hAnsi="Verdana" w:cs="Arial"/>
          <w:shd w:val="clear" w:color="auto" w:fill="FFFFFF"/>
        </w:rPr>
        <w:t>L</w:t>
      </w:r>
      <w:r w:rsidRPr="00F80DEF">
        <w:rPr>
          <w:rFonts w:ascii="Verdana" w:hAnsi="Verdana" w:cs="Arial"/>
          <w:shd w:val="clear" w:color="auto" w:fill="FFFFFF"/>
          <w:lang w:val="es-ES"/>
        </w:rPr>
        <w:t xml:space="preserve">a Agencia Nacional de Contratación Pública – Colombia Compra Eficiente, en los conceptos </w:t>
      </w:r>
      <w:r w:rsidRPr="00F80DEF">
        <w:rPr>
          <w:rFonts w:ascii="Verdana" w:hAnsi="Verdana" w:cs="Arial"/>
          <w:shd w:val="clear" w:color="auto" w:fill="FFFFFF"/>
        </w:rPr>
        <w:t>4201912000004908 del 27 de septiembre de 2019, CU-028 de 25 de febrero de 2020, C-221 de 21 de abril de 2020, C-078 del 17 de marzo de 2021, C-220 del 18 de mayo de 2021, C-548 del 5 de octubre de 2021</w:t>
      </w:r>
      <w:r>
        <w:rPr>
          <w:rFonts w:ascii="Verdana" w:hAnsi="Verdana" w:cs="Arial"/>
          <w:shd w:val="clear" w:color="auto" w:fill="FFFFFF"/>
        </w:rPr>
        <w:t>,</w:t>
      </w:r>
      <w:r w:rsidRPr="00F80DEF">
        <w:rPr>
          <w:rFonts w:ascii="Verdana" w:hAnsi="Verdana" w:cs="Arial"/>
          <w:shd w:val="clear" w:color="auto" w:fill="FFFFFF"/>
        </w:rPr>
        <w:t xml:space="preserve"> C-739 del 29 de noviembre de 2022</w:t>
      </w:r>
      <w:r>
        <w:rPr>
          <w:rFonts w:ascii="Verdana" w:hAnsi="Verdana" w:cs="Arial"/>
          <w:shd w:val="clear" w:color="auto" w:fill="FFFFFF"/>
        </w:rPr>
        <w:t xml:space="preserve"> y C</w:t>
      </w:r>
      <w:r w:rsidRPr="00F80DEF">
        <w:rPr>
          <w:rFonts w:ascii="Verdana" w:hAnsi="Verdana" w:cs="Arial"/>
          <w:shd w:val="clear" w:color="auto" w:fill="FFFFFF"/>
        </w:rPr>
        <w:t>-</w:t>
      </w:r>
      <w:r>
        <w:rPr>
          <w:rFonts w:ascii="Verdana" w:hAnsi="Verdana" w:cs="Arial"/>
          <w:shd w:val="clear" w:color="auto" w:fill="FFFFFF"/>
        </w:rPr>
        <w:t>144 de 2024</w:t>
      </w:r>
      <w:r w:rsidRPr="00F80DEF">
        <w:rPr>
          <w:rFonts w:ascii="Verdana" w:hAnsi="Verdana" w:cs="Arial"/>
          <w:shd w:val="clear" w:color="auto" w:fill="FFFFFF"/>
          <w:lang w:val="es-ES"/>
        </w:rPr>
        <w:t>, analizó la etapa de liquidación</w:t>
      </w:r>
      <w:r w:rsidRPr="00EA761C">
        <w:rPr>
          <w:rStyle w:val="normaltextrun"/>
          <w:rFonts w:ascii="Verdana" w:hAnsi="Verdana" w:cs="Arial"/>
          <w:shd w:val="clear" w:color="auto" w:fill="FFFFFF"/>
          <w:lang w:val="es-ES"/>
        </w:rPr>
        <w:t xml:space="preserve">. </w:t>
      </w:r>
      <w:r w:rsidRPr="008328CE">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2D07B4">
          <w:rPr>
            <w:rStyle w:val="Hipervnculo"/>
            <w:rFonts w:ascii="Verdana" w:eastAsia="Calibri" w:hAnsi="Verdana" w:cs="Arial"/>
            <w:shd w:val="clear" w:color="auto" w:fill="FFFFFF"/>
          </w:rPr>
          <w:t>https://relatoria.colombiacompra.gov.co/</w:t>
        </w:r>
      </w:hyperlink>
    </w:p>
    <w:p w14:paraId="653E31D6" w14:textId="77777777" w:rsidR="00065E20" w:rsidRDefault="00065E20" w:rsidP="00065E20">
      <w:pPr>
        <w:spacing w:after="0" w:line="276" w:lineRule="auto"/>
        <w:jc w:val="both"/>
        <w:rPr>
          <w:rStyle w:val="Hipervnculo"/>
          <w:rFonts w:ascii="Verdana" w:eastAsia="Calibri" w:hAnsi="Verdana" w:cs="Arial"/>
          <w:color w:val="000000" w:themeColor="text1"/>
          <w:shd w:val="clear" w:color="auto" w:fill="FFFFFF"/>
        </w:rPr>
      </w:pPr>
    </w:p>
    <w:p w14:paraId="1E0AD013" w14:textId="77777777" w:rsidR="00065E20" w:rsidRDefault="00065E20" w:rsidP="00065E20">
      <w:pPr>
        <w:spacing w:after="0" w:line="276" w:lineRule="auto"/>
        <w:jc w:val="both"/>
        <w:rPr>
          <w:rFonts w:ascii="Verdana" w:eastAsia="Calibri" w:hAnsi="Verdana" w:cs="Arial"/>
          <w:color w:val="000000" w:themeColor="text1"/>
          <w:shd w:val="clear" w:color="auto" w:fill="FFFFFF"/>
        </w:rPr>
      </w:pPr>
    </w:p>
    <w:p w14:paraId="1FDD254C" w14:textId="77777777" w:rsidR="00065E20" w:rsidRPr="00942844" w:rsidRDefault="00065E20" w:rsidP="00065E20">
      <w:pPr>
        <w:widowControl w:val="0"/>
        <w:autoSpaceDE w:val="0"/>
        <w:autoSpaceDN w:val="0"/>
        <w:spacing w:after="0" w:line="276" w:lineRule="auto"/>
        <w:jc w:val="both"/>
        <w:rPr>
          <w:rFonts w:ascii="Verdana" w:eastAsia="Calibri" w:hAnsi="Verdana" w:cs="Arial"/>
          <w:shd w:val="clear" w:color="auto" w:fill="FFFFFF"/>
          <w:lang w:val="es-ES"/>
        </w:rPr>
      </w:pPr>
      <w:r w:rsidRPr="00942844">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942844">
          <w:rPr>
            <w:rStyle w:val="Hipervnculo"/>
            <w:rFonts w:ascii="Verdana" w:hAnsi="Verdana" w:cs="Arial"/>
            <w:shd w:val="clear" w:color="auto" w:fill="FFFFFF"/>
          </w:rPr>
          <w:t>https://www.colombiacompra.gov.co/sala-de-prensa/boletin-digital</w:t>
        </w:r>
      </w:hyperlink>
      <w:r w:rsidRPr="00942844">
        <w:rPr>
          <w:rFonts w:ascii="Verdana" w:hAnsi="Verdana" w:cs="Arial"/>
          <w:shd w:val="clear" w:color="auto" w:fill="FFFFFF"/>
        </w:rPr>
        <w:t>    </w:t>
      </w:r>
    </w:p>
    <w:p w14:paraId="01EC9786" w14:textId="77777777" w:rsidR="00065E20" w:rsidRPr="00942844" w:rsidRDefault="00065E20" w:rsidP="00065E20">
      <w:pPr>
        <w:spacing w:after="0" w:line="240" w:lineRule="auto"/>
        <w:jc w:val="both"/>
        <w:rPr>
          <w:rFonts w:ascii="Verdana" w:eastAsia="Calibri" w:hAnsi="Verdana" w:cs="Times New Roman"/>
        </w:rPr>
      </w:pPr>
      <w:r w:rsidRPr="00942844">
        <w:rPr>
          <w:rFonts w:ascii="Verdana" w:eastAsia="Calibri" w:hAnsi="Verdana" w:cs="Times New Roman"/>
        </w:rPr>
        <w:t xml:space="preserve">Por último, los invitamos a seguirnos en las redes sociales, en las cuales se difunde información institucional: </w:t>
      </w:r>
    </w:p>
    <w:p w14:paraId="6C7DAB05" w14:textId="77777777" w:rsidR="00065E20" w:rsidRPr="00942844" w:rsidRDefault="00065E20" w:rsidP="00065E20">
      <w:pPr>
        <w:spacing w:after="0" w:line="240" w:lineRule="auto"/>
        <w:jc w:val="both"/>
        <w:rPr>
          <w:rFonts w:ascii="Verdana" w:eastAsia="Calibri" w:hAnsi="Verdana" w:cs="Times New Roman"/>
        </w:rPr>
      </w:pPr>
    </w:p>
    <w:p w14:paraId="2C16D9A1" w14:textId="77777777" w:rsidR="00065E20" w:rsidRPr="00942844" w:rsidRDefault="00065E20" w:rsidP="00065E20">
      <w:pPr>
        <w:spacing w:after="0" w:line="240" w:lineRule="auto"/>
        <w:jc w:val="both"/>
        <w:rPr>
          <w:rFonts w:ascii="Verdana" w:eastAsia="Calibri" w:hAnsi="Verdana" w:cs="Times New Roman"/>
        </w:rPr>
      </w:pPr>
      <w:r w:rsidRPr="00942844">
        <w:rPr>
          <w:rFonts w:ascii="Verdana" w:eastAsia="Calibri" w:hAnsi="Verdana" w:cs="Times New Roman"/>
        </w:rPr>
        <w:t xml:space="preserve">Twitter: </w:t>
      </w:r>
      <w:r w:rsidRPr="00942844">
        <w:rPr>
          <w:rFonts w:ascii="Verdana" w:eastAsia="Calibri" w:hAnsi="Verdana" w:cs="Times New Roman"/>
          <w:u w:val="single"/>
        </w:rPr>
        <w:t>@colombiacompra</w:t>
      </w:r>
      <w:r w:rsidRPr="00942844">
        <w:rPr>
          <w:rFonts w:ascii="Verdana" w:eastAsia="Calibri" w:hAnsi="Verdana" w:cs="Times New Roman"/>
        </w:rPr>
        <w:t xml:space="preserve"> </w:t>
      </w:r>
    </w:p>
    <w:p w14:paraId="03A7B4CF" w14:textId="77777777" w:rsidR="00065E20" w:rsidRPr="00942844" w:rsidRDefault="00065E20" w:rsidP="00065E20">
      <w:pPr>
        <w:spacing w:after="0" w:line="240" w:lineRule="auto"/>
        <w:jc w:val="both"/>
        <w:rPr>
          <w:rFonts w:ascii="Verdana" w:eastAsia="Calibri" w:hAnsi="Verdana" w:cs="Times New Roman"/>
        </w:rPr>
      </w:pPr>
      <w:r w:rsidRPr="00942844">
        <w:rPr>
          <w:rFonts w:ascii="Verdana" w:eastAsia="Calibri" w:hAnsi="Verdana" w:cs="Times New Roman"/>
        </w:rPr>
        <w:t xml:space="preserve">Facebook: </w:t>
      </w:r>
      <w:proofErr w:type="spellStart"/>
      <w:r w:rsidRPr="00942844">
        <w:rPr>
          <w:rFonts w:ascii="Verdana" w:eastAsia="Calibri" w:hAnsi="Verdana" w:cs="Times New Roman"/>
          <w:u w:val="single"/>
        </w:rPr>
        <w:t>ColombiaCompraEficiente</w:t>
      </w:r>
      <w:proofErr w:type="spellEnd"/>
    </w:p>
    <w:p w14:paraId="53D008F8" w14:textId="77777777" w:rsidR="00065E20" w:rsidRPr="00942844" w:rsidRDefault="00065E20" w:rsidP="00065E20">
      <w:pPr>
        <w:spacing w:after="0" w:line="240" w:lineRule="auto"/>
        <w:jc w:val="both"/>
        <w:rPr>
          <w:rFonts w:ascii="Verdana" w:eastAsia="Calibri" w:hAnsi="Verdana" w:cs="Times New Roman"/>
        </w:rPr>
      </w:pPr>
      <w:r w:rsidRPr="00942844">
        <w:rPr>
          <w:rFonts w:ascii="Verdana" w:eastAsia="Calibri" w:hAnsi="Verdana" w:cs="Times New Roman"/>
        </w:rPr>
        <w:t xml:space="preserve">LinkedIn: </w:t>
      </w:r>
      <w:r w:rsidRPr="00942844">
        <w:rPr>
          <w:rFonts w:ascii="Verdana" w:eastAsia="Calibri" w:hAnsi="Verdana" w:cs="Times New Roman"/>
          <w:u w:val="single"/>
        </w:rPr>
        <w:t>Agencia Nacional de Contratación Pública - Colombia Compra Eficiente</w:t>
      </w:r>
      <w:r w:rsidRPr="00942844">
        <w:rPr>
          <w:rFonts w:ascii="Verdana" w:eastAsia="Calibri" w:hAnsi="Verdana" w:cs="Times New Roman"/>
        </w:rPr>
        <w:t xml:space="preserve"> Instagram: </w:t>
      </w:r>
      <w:r w:rsidRPr="00942844">
        <w:rPr>
          <w:rFonts w:ascii="Verdana" w:eastAsia="Calibri" w:hAnsi="Verdana" w:cs="Times New Roman"/>
          <w:u w:val="single"/>
        </w:rPr>
        <w:t>@colombiacompraeficiente_cce</w:t>
      </w:r>
    </w:p>
    <w:p w14:paraId="6EF4EC88" w14:textId="77777777" w:rsidR="00065E20" w:rsidRPr="00942844" w:rsidRDefault="00065E20" w:rsidP="00065E20">
      <w:pPr>
        <w:widowControl w:val="0"/>
        <w:autoSpaceDE w:val="0"/>
        <w:autoSpaceDN w:val="0"/>
        <w:spacing w:after="0" w:line="276" w:lineRule="auto"/>
        <w:jc w:val="both"/>
        <w:rPr>
          <w:rFonts w:ascii="Verdana" w:eastAsia="Calibri" w:hAnsi="Verdana" w:cs="Arial"/>
        </w:rPr>
      </w:pPr>
    </w:p>
    <w:p w14:paraId="45230076" w14:textId="77777777" w:rsidR="00065E20" w:rsidRPr="00942844" w:rsidRDefault="00065E20" w:rsidP="00065E20">
      <w:pPr>
        <w:widowControl w:val="0"/>
        <w:autoSpaceDE w:val="0"/>
        <w:autoSpaceDN w:val="0"/>
        <w:spacing w:after="0" w:line="276" w:lineRule="auto"/>
        <w:jc w:val="both"/>
        <w:rPr>
          <w:rFonts w:ascii="Verdana" w:eastAsia="Calibri" w:hAnsi="Verdana" w:cs="Arial"/>
          <w:lang w:val="es-ES_tradnl"/>
        </w:rPr>
      </w:pPr>
      <w:r w:rsidRPr="00942844">
        <w:rPr>
          <w:rFonts w:ascii="Verdana" w:eastAsia="Calibri" w:hAnsi="Verdana" w:cs="Arial"/>
        </w:rPr>
        <w:t xml:space="preserve">Este concepto tiene el alcance previsto en el artículo 28 del Código de Procedimiento Administrativo y de lo Contencioso Administrativo </w:t>
      </w:r>
      <w:r w:rsidRPr="00942844">
        <w:rPr>
          <w:rFonts w:ascii="Verdana" w:eastAsia="Calibri" w:hAnsi="Verdana" w:cs="Arial"/>
          <w:lang w:val="es-ES_tradnl"/>
        </w:rPr>
        <w:t xml:space="preserve">y las expresiones aquí utilizadas con mayúscula inicial deben ser entendidas con el </w:t>
      </w:r>
      <w:r w:rsidRPr="00942844">
        <w:rPr>
          <w:rFonts w:ascii="Verdana" w:eastAsia="Calibri" w:hAnsi="Verdana" w:cs="Arial"/>
          <w:lang w:val="es-ES_tradnl"/>
        </w:rPr>
        <w:lastRenderedPageBreak/>
        <w:t>significado que les otorga el artículo 2.2.1.1.1.3.1. del Decreto 1082 de 2015.</w:t>
      </w:r>
    </w:p>
    <w:p w14:paraId="6AD58DCD" w14:textId="77777777" w:rsidR="00065E20" w:rsidRPr="005B68B3" w:rsidRDefault="00065E20" w:rsidP="00065E20">
      <w:pPr>
        <w:widowControl w:val="0"/>
        <w:autoSpaceDE w:val="0"/>
        <w:autoSpaceDN w:val="0"/>
        <w:spacing w:after="0" w:line="276" w:lineRule="auto"/>
        <w:jc w:val="both"/>
        <w:rPr>
          <w:rFonts w:ascii="Verdana" w:hAnsi="Verdana"/>
          <w:lang w:val="es-ES_tradnl"/>
        </w:rPr>
      </w:pPr>
    </w:p>
    <w:p w14:paraId="1DADD0A2" w14:textId="77777777" w:rsidR="00065E20" w:rsidRPr="009322DA" w:rsidRDefault="00065E20" w:rsidP="00065E20">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3029A4B4" w14:textId="77777777" w:rsidR="00065E20" w:rsidRPr="009322DA" w:rsidRDefault="00065E20" w:rsidP="00065E20">
      <w:pPr>
        <w:widowControl w:val="0"/>
        <w:autoSpaceDE w:val="0"/>
        <w:autoSpaceDN w:val="0"/>
        <w:spacing w:after="0" w:line="276" w:lineRule="auto"/>
        <w:jc w:val="both"/>
        <w:rPr>
          <w:rFonts w:ascii="Verdana" w:eastAsia="Calibri" w:hAnsi="Verdana" w:cs="Arial"/>
        </w:rPr>
      </w:pPr>
    </w:p>
    <w:p w14:paraId="48A05CAA" w14:textId="77777777" w:rsidR="00065E20" w:rsidRPr="009322DA" w:rsidRDefault="00065E20" w:rsidP="00065E20">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4B0FC657" w14:textId="77777777" w:rsidR="00065E20" w:rsidRDefault="00065E20" w:rsidP="00065E20">
      <w:pPr>
        <w:spacing w:line="276" w:lineRule="auto"/>
        <w:jc w:val="center"/>
        <w:rPr>
          <w:rFonts w:ascii="Century Gothic" w:hAnsi="Century Gothic"/>
          <w:noProof/>
        </w:rPr>
      </w:pPr>
    </w:p>
    <w:p w14:paraId="3738D69E" w14:textId="76F30AF1" w:rsidR="00065E20" w:rsidRDefault="00003DA7" w:rsidP="00065E20">
      <w:pPr>
        <w:spacing w:line="276" w:lineRule="auto"/>
        <w:jc w:val="center"/>
        <w:rPr>
          <w:rFonts w:ascii="Century Gothic" w:hAnsi="Century Gothic"/>
          <w:noProof/>
          <w:color w:val="000000"/>
          <w:lang w:eastAsia="es-CO"/>
        </w:rPr>
      </w:pPr>
      <w:r w:rsidRPr="002C3AD6">
        <w:rPr>
          <w:rFonts w:ascii="Century Gothic" w:hAnsi="Century Gothic"/>
          <w:noProof/>
        </w:rPr>
        <w:drawing>
          <wp:inline distT="0" distB="0" distL="0" distR="0" wp14:anchorId="64F7B8C8" wp14:editId="0E78CCF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p w14:paraId="1A8E2B2A" w14:textId="77777777" w:rsidR="00065E20" w:rsidRDefault="00065E20" w:rsidP="00065E20">
      <w:pPr>
        <w:spacing w:line="276" w:lineRule="auto"/>
        <w:jc w:val="center"/>
        <w:rPr>
          <w:rFonts w:ascii="Century Gothic" w:hAnsi="Century Gothic"/>
          <w:noProof/>
          <w:color w:val="000000"/>
          <w:lang w:eastAsia="es-CO"/>
        </w:rPr>
      </w:pP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65E20" w:rsidRPr="009322DA" w14:paraId="07D19C18" w14:textId="77777777" w:rsidTr="00B66C68">
        <w:trPr>
          <w:trHeight w:val="315"/>
        </w:trPr>
        <w:tc>
          <w:tcPr>
            <w:tcW w:w="893" w:type="dxa"/>
            <w:vAlign w:val="center"/>
            <w:hideMark/>
          </w:tcPr>
          <w:p w14:paraId="5B1AB3D6" w14:textId="77777777" w:rsidR="00065E20" w:rsidRPr="009322DA" w:rsidRDefault="00065E20" w:rsidP="00B66C68">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A7200D2" w14:textId="77777777" w:rsidR="00065E20" w:rsidRPr="009322DA" w:rsidRDefault="00065E20" w:rsidP="00B66C68">
            <w:pPr>
              <w:spacing w:after="255"/>
              <w:contextualSpacing/>
              <w:rPr>
                <w:rFonts w:ascii="Verdana" w:eastAsia="Arial" w:hAnsi="Verdana" w:cs="Arial"/>
                <w:sz w:val="16"/>
                <w:szCs w:val="16"/>
              </w:rPr>
            </w:pPr>
            <w:r>
              <w:rPr>
                <w:rFonts w:ascii="Verdana" w:eastAsia="Arial" w:hAnsi="Verdana" w:cs="Arial"/>
                <w:sz w:val="16"/>
                <w:szCs w:val="16"/>
              </w:rPr>
              <w:t>D</w:t>
            </w:r>
            <w:r>
              <w:rPr>
                <w:rFonts w:eastAsia="Arial" w:cs="Arial"/>
              </w:rPr>
              <w:t xml:space="preserve">iana </w:t>
            </w:r>
            <w:r>
              <w:rPr>
                <w:rFonts w:ascii="Verdana" w:eastAsia="Arial" w:hAnsi="Verdana" w:cs="Arial"/>
                <w:sz w:val="16"/>
                <w:szCs w:val="16"/>
              </w:rPr>
              <w:t xml:space="preserve">Carolina Blanco Rodriguez </w:t>
            </w:r>
          </w:p>
          <w:p w14:paraId="7296373A" w14:textId="77777777" w:rsidR="00065E20" w:rsidRPr="009322DA" w:rsidRDefault="00065E20" w:rsidP="00B66C68">
            <w:pPr>
              <w:spacing w:after="255"/>
              <w:contextualSpacing/>
              <w:rPr>
                <w:rFonts w:ascii="Verdana" w:eastAsia="Arial" w:hAnsi="Verdana" w:cs="Arial"/>
                <w:sz w:val="16"/>
                <w:szCs w:val="16"/>
              </w:rPr>
            </w:pPr>
            <w:r w:rsidRPr="009322DA">
              <w:rPr>
                <w:rFonts w:ascii="Verdana" w:eastAsia="Arial" w:hAnsi="Verdana" w:cs="Arial"/>
                <w:sz w:val="16"/>
                <w:szCs w:val="16"/>
              </w:rPr>
              <w:t>Contratista de la Subdirección de Gestión Contractual</w:t>
            </w:r>
          </w:p>
        </w:tc>
      </w:tr>
      <w:tr w:rsidR="00065E20" w:rsidRPr="009322DA" w14:paraId="0628B65A" w14:textId="77777777" w:rsidTr="00B66C68">
        <w:trPr>
          <w:trHeight w:val="330"/>
        </w:trPr>
        <w:tc>
          <w:tcPr>
            <w:tcW w:w="893" w:type="dxa"/>
            <w:vAlign w:val="center"/>
            <w:hideMark/>
          </w:tcPr>
          <w:p w14:paraId="0F5DE71D" w14:textId="77777777" w:rsidR="00065E20" w:rsidRPr="009322DA" w:rsidRDefault="00065E20" w:rsidP="00B66C68">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780553" w14:textId="77777777" w:rsidR="00065E20" w:rsidRPr="00F80DEF" w:rsidRDefault="00065E20" w:rsidP="00B66C68">
            <w:pPr>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eastAsia="es-ES_tradnl"/>
              </w:rPr>
              <w:t xml:space="preserve">Cielo Victoria González </w:t>
            </w:r>
          </w:p>
          <w:p w14:paraId="37710710" w14:textId="77777777" w:rsidR="00065E20" w:rsidRPr="00F80DEF" w:rsidRDefault="00065E20" w:rsidP="00B66C68">
            <w:pPr>
              <w:contextualSpacing/>
              <w:textAlignment w:val="baseline"/>
              <w:rPr>
                <w:rFonts w:ascii="Verdana" w:eastAsia="Times New Roman" w:hAnsi="Verdana" w:cs="Segoe UI"/>
                <w:sz w:val="16"/>
                <w:szCs w:val="16"/>
                <w:lang w:eastAsia="es-ES_tradnl"/>
              </w:rPr>
            </w:pPr>
            <w:r w:rsidRPr="00F80DEF">
              <w:rPr>
                <w:rFonts w:ascii="Verdana" w:eastAsia="Times New Roman" w:hAnsi="Verdana" w:cs="Arial"/>
                <w:sz w:val="16"/>
                <w:szCs w:val="16"/>
                <w:lang w:eastAsia="es-ES_tradnl"/>
              </w:rPr>
              <w:t>Contratista de la Subdirección de Gestión Contractual</w:t>
            </w:r>
          </w:p>
        </w:tc>
      </w:tr>
      <w:tr w:rsidR="00065E20" w:rsidRPr="009322DA" w14:paraId="5D46F50A" w14:textId="77777777" w:rsidTr="00B66C68">
        <w:trPr>
          <w:trHeight w:val="300"/>
        </w:trPr>
        <w:tc>
          <w:tcPr>
            <w:tcW w:w="893" w:type="dxa"/>
            <w:vAlign w:val="center"/>
            <w:hideMark/>
          </w:tcPr>
          <w:p w14:paraId="62E83D63" w14:textId="77777777" w:rsidR="00065E20" w:rsidRPr="009322DA" w:rsidRDefault="00065E20" w:rsidP="00B66C68">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87DCA1" w14:textId="77777777" w:rsidR="00065E20" w:rsidRPr="009322DA" w:rsidRDefault="00065E20" w:rsidP="00B66C68">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 xml:space="preserve">Carolina Quintero </w:t>
            </w:r>
            <w:proofErr w:type="spellStart"/>
            <w:r w:rsidRPr="009322DA">
              <w:rPr>
                <w:rFonts w:ascii="Verdana" w:hAnsi="Verdana" w:cs="Arial"/>
                <w:sz w:val="16"/>
                <w:szCs w:val="16"/>
                <w:lang w:val="pt-BR" w:eastAsia="es-ES"/>
              </w:rPr>
              <w:t>Gacharná</w:t>
            </w:r>
            <w:proofErr w:type="spellEnd"/>
          </w:p>
          <w:p w14:paraId="3127C1EA" w14:textId="77777777" w:rsidR="00065E20" w:rsidRPr="009322DA" w:rsidRDefault="00065E20" w:rsidP="00B66C68">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w:t>
            </w:r>
            <w:proofErr w:type="spellStart"/>
            <w:r w:rsidRPr="009322DA">
              <w:rPr>
                <w:rFonts w:ascii="Verdana" w:hAnsi="Verdana" w:cs="Arial"/>
                <w:sz w:val="16"/>
                <w:szCs w:val="16"/>
                <w:lang w:val="pt-BR" w:eastAsia="es-ES"/>
              </w:rPr>
              <w:t>Contractual</w:t>
            </w:r>
            <w:proofErr w:type="spellEnd"/>
            <w:r w:rsidRPr="009322DA">
              <w:rPr>
                <w:rFonts w:ascii="Verdana" w:hAnsi="Verdana" w:cs="Arial"/>
                <w:sz w:val="16"/>
                <w:szCs w:val="16"/>
                <w:lang w:val="pt-BR" w:eastAsia="es-ES"/>
              </w:rPr>
              <w:t xml:space="preserve"> ANCP – CCE</w:t>
            </w:r>
          </w:p>
        </w:tc>
      </w:tr>
    </w:tbl>
    <w:p w14:paraId="063378F9" w14:textId="77777777" w:rsidR="00065E20" w:rsidRPr="00E80F98" w:rsidRDefault="00065E20" w:rsidP="00065E20"/>
    <w:p w14:paraId="7FB490FD" w14:textId="77777777" w:rsidR="00065E20" w:rsidRPr="0044528D" w:rsidRDefault="00065E20" w:rsidP="00065E20">
      <w:pPr>
        <w:spacing w:after="0"/>
        <w:rPr>
          <w:rFonts w:ascii="Verdana" w:hAnsi="Verdana"/>
        </w:rPr>
      </w:pPr>
    </w:p>
    <w:p w14:paraId="5FFDC7FC" w14:textId="77777777" w:rsidR="00E80F98" w:rsidRPr="009322DA" w:rsidRDefault="00E80F98" w:rsidP="00E80F98">
      <w:pPr>
        <w:spacing w:after="0" w:line="240" w:lineRule="auto"/>
        <w:rPr>
          <w:rFonts w:ascii="Verdana" w:eastAsia="Calibri" w:hAnsi="Verdana" w:cs="Arial"/>
          <w:lang w:val="es-MX" w:eastAsia="es-ES"/>
        </w:rPr>
      </w:pPr>
    </w:p>
    <w:sectPr w:rsidR="00E80F98" w:rsidRPr="009322D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30B31" w14:textId="77777777" w:rsidR="002E7094" w:rsidRDefault="002E7094" w:rsidP="004A1847">
      <w:pPr>
        <w:spacing w:after="0" w:line="240" w:lineRule="auto"/>
      </w:pPr>
      <w:r>
        <w:separator/>
      </w:r>
    </w:p>
  </w:endnote>
  <w:endnote w:type="continuationSeparator" w:id="0">
    <w:p w14:paraId="1BA78EAC" w14:textId="77777777" w:rsidR="002E7094" w:rsidRDefault="002E70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CC48C" w14:textId="77777777" w:rsidR="002E7094" w:rsidRDefault="002E7094" w:rsidP="004A1847">
      <w:pPr>
        <w:spacing w:after="0" w:line="240" w:lineRule="auto"/>
      </w:pPr>
      <w:r>
        <w:separator/>
      </w:r>
    </w:p>
  </w:footnote>
  <w:footnote w:type="continuationSeparator" w:id="0">
    <w:p w14:paraId="6AA3ADCE" w14:textId="77777777" w:rsidR="002E7094" w:rsidRDefault="002E7094" w:rsidP="004A1847">
      <w:pPr>
        <w:spacing w:after="0" w:line="240" w:lineRule="auto"/>
      </w:pPr>
      <w:r>
        <w:continuationSeparator/>
      </w:r>
    </w:p>
  </w:footnote>
  <w:footnote w:id="1">
    <w:p w14:paraId="46FE41AA" w14:textId="77777777" w:rsidR="00065E20" w:rsidRPr="006072DE" w:rsidRDefault="00065E20" w:rsidP="00065E20">
      <w:pPr>
        <w:pStyle w:val="Textonotapie"/>
        <w:rPr>
          <w:rFonts w:ascii="Verdana" w:hAnsi="Verdana"/>
          <w:sz w:val="14"/>
          <w:szCs w:val="14"/>
        </w:rPr>
      </w:pPr>
      <w:r w:rsidRPr="006072DE">
        <w:rPr>
          <w:rStyle w:val="Refdenotaalpie"/>
          <w:rFonts w:ascii="Verdana" w:hAnsi="Verdana"/>
          <w:sz w:val="14"/>
          <w:szCs w:val="14"/>
        </w:rPr>
        <w:footnoteRef/>
      </w:r>
      <w:r w:rsidRPr="006072DE">
        <w:rPr>
          <w:rFonts w:ascii="Verdana" w:hAnsi="Verdana"/>
          <w:sz w:val="14"/>
          <w:szCs w:val="14"/>
        </w:rPr>
        <w:t xml:space="preserve"> </w:t>
      </w:r>
      <w:r w:rsidRPr="006072DE">
        <w:rPr>
          <w:rFonts w:ascii="Verdana" w:hAnsi="Verdana"/>
          <w:sz w:val="14"/>
          <w:szCs w:val="14"/>
          <w:lang w:val="es-CO"/>
        </w:rPr>
        <w:t>Consejo de Estado, Sala de lo Contencioso Administrativo, Sección Tercera. Sentencia del 26 de mayo de 2010, Exp. n.0 18606.</w:t>
      </w:r>
    </w:p>
  </w:footnote>
  <w:footnote w:id="2">
    <w:p w14:paraId="2329F1F3" w14:textId="77777777" w:rsidR="00065E20" w:rsidRPr="008457D2" w:rsidRDefault="00065E20" w:rsidP="00065E20">
      <w:pPr>
        <w:pStyle w:val="Textonotapie"/>
        <w:ind w:firstLine="708"/>
        <w:jc w:val="both"/>
        <w:rPr>
          <w:rFonts w:ascii="Verdana" w:hAnsi="Verdana" w:cs="Arial"/>
          <w:color w:val="000000"/>
          <w:sz w:val="16"/>
          <w:szCs w:val="16"/>
        </w:rPr>
      </w:pPr>
      <w:r w:rsidRPr="006072DE">
        <w:rPr>
          <w:rStyle w:val="Refdenotaalpie"/>
          <w:rFonts w:ascii="Verdana" w:hAnsi="Verdana" w:cs="Arial"/>
          <w:color w:val="000000"/>
          <w:sz w:val="14"/>
          <w:szCs w:val="14"/>
        </w:rPr>
        <w:footnoteRef/>
      </w:r>
      <w:r w:rsidRPr="006072DE">
        <w:rPr>
          <w:rFonts w:ascii="Verdana" w:hAnsi="Verdana" w:cs="Arial"/>
          <w:color w:val="000000"/>
          <w:sz w:val="14"/>
          <w:szCs w:val="14"/>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6072DE">
        <w:rPr>
          <w:rFonts w:ascii="Verdana" w:hAnsi="Verdana" w:cs="Arial"/>
          <w:color w:val="000000"/>
          <w:sz w:val="14"/>
          <w:szCs w:val="14"/>
          <w:shd w:val="clear" w:color="auto" w:fill="FFFFFF"/>
        </w:rPr>
        <w:t>” (</w:t>
      </w:r>
      <w:r w:rsidRPr="006072DE">
        <w:rPr>
          <w:rFonts w:ascii="Verdana" w:hAnsi="Verdana" w:cs="Arial"/>
          <w:color w:val="000000"/>
          <w:sz w:val="14"/>
          <w:szCs w:val="14"/>
        </w:rPr>
        <w:t>EXPOSITO, Juan Carlos. Forma y contenido del contrato estatal. Bogotá: Universidad Externado de Colombia, p. 89 y 90).</w:t>
      </w:r>
    </w:p>
  </w:footnote>
  <w:footnote w:id="3">
    <w:p w14:paraId="1B33ACEE" w14:textId="77777777" w:rsidR="00065E20" w:rsidRPr="006072DE" w:rsidRDefault="00065E20" w:rsidP="00065E20">
      <w:pPr>
        <w:pStyle w:val="Textonotapie"/>
        <w:ind w:firstLine="708"/>
        <w:jc w:val="both"/>
        <w:rPr>
          <w:rFonts w:ascii="Verdana" w:hAnsi="Verdana" w:cs="Arial"/>
          <w:color w:val="000000"/>
          <w:sz w:val="14"/>
          <w:szCs w:val="14"/>
          <w:lang w:val="es-CO"/>
        </w:rPr>
      </w:pPr>
      <w:r w:rsidRPr="006072DE">
        <w:rPr>
          <w:rStyle w:val="Refdenotaalpie"/>
          <w:rFonts w:ascii="Verdana" w:hAnsi="Verdana" w:cs="Arial"/>
          <w:color w:val="000000"/>
          <w:sz w:val="14"/>
          <w:szCs w:val="14"/>
        </w:rPr>
        <w:footnoteRef/>
      </w:r>
      <w:r w:rsidRPr="006072DE">
        <w:rPr>
          <w:rFonts w:ascii="Verdana" w:hAnsi="Verdana" w:cs="Arial"/>
          <w:color w:val="000000"/>
          <w:sz w:val="14"/>
          <w:szCs w:val="14"/>
        </w:rPr>
        <w:t xml:space="preserve"> DÍAZ DÍEZ, Cristian Andrés. La liquidación. Serie: Las Cláusulas del Contrato Estatal. Medellín: Librería Jurídica Sánchez y Centro de Estudios de Derecho Administrativo –CEDA–, 2013, pp. 53-54.</w:t>
      </w:r>
    </w:p>
  </w:footnote>
  <w:footnote w:id="4">
    <w:p w14:paraId="287DDC09" w14:textId="77777777" w:rsidR="00065E20" w:rsidRPr="008457D2" w:rsidRDefault="00065E20" w:rsidP="00065E20">
      <w:pPr>
        <w:spacing w:after="0"/>
        <w:ind w:firstLine="708"/>
        <w:jc w:val="both"/>
        <w:rPr>
          <w:rFonts w:ascii="Verdana" w:hAnsi="Verdana" w:cs="Arial"/>
          <w:color w:val="000000"/>
          <w:sz w:val="16"/>
          <w:szCs w:val="16"/>
          <w:lang w:val="es-ES"/>
        </w:rPr>
      </w:pPr>
      <w:r w:rsidRPr="006072DE">
        <w:rPr>
          <w:rStyle w:val="Refdenotaalpie"/>
          <w:rFonts w:ascii="Verdana" w:hAnsi="Verdana" w:cs="Arial"/>
          <w:color w:val="000000"/>
          <w:sz w:val="14"/>
          <w:szCs w:val="14"/>
        </w:rPr>
        <w:footnoteRef/>
      </w:r>
      <w:r w:rsidRPr="006072DE">
        <w:rPr>
          <w:rFonts w:ascii="Verdana" w:hAnsi="Verdana" w:cs="Arial"/>
          <w:color w:val="000000"/>
          <w:sz w:val="14"/>
          <w:szCs w:val="14"/>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7F6F1A3C" w14:textId="77777777" w:rsidR="00065E20" w:rsidRPr="006072DE" w:rsidRDefault="00065E20" w:rsidP="00065E20">
      <w:pPr>
        <w:pStyle w:val="Textonotapie"/>
        <w:ind w:firstLine="708"/>
        <w:jc w:val="both"/>
        <w:rPr>
          <w:rFonts w:ascii="Verdana" w:hAnsi="Verdana" w:cs="Arial"/>
          <w:color w:val="000000" w:themeColor="text1"/>
          <w:sz w:val="14"/>
          <w:szCs w:val="14"/>
        </w:rPr>
      </w:pPr>
      <w:r w:rsidRPr="006072DE">
        <w:rPr>
          <w:rStyle w:val="Refdenotaalpie"/>
          <w:rFonts w:ascii="Verdana" w:hAnsi="Verdana" w:cs="Arial"/>
          <w:color w:val="000000" w:themeColor="text1"/>
          <w:sz w:val="14"/>
          <w:szCs w:val="14"/>
        </w:rPr>
        <w:footnoteRef/>
      </w:r>
      <w:r w:rsidRPr="006072DE">
        <w:rPr>
          <w:rFonts w:ascii="Verdana" w:hAnsi="Verdana" w:cs="Arial"/>
          <w:color w:val="000000" w:themeColor="text1"/>
          <w:sz w:val="14"/>
          <w:szCs w:val="14"/>
        </w:rPr>
        <w:t xml:space="preserve"> EXPÓSITO VÉLEZ. Juan Carlos. Forma y contenido del contrato estatal, p. 90.</w:t>
      </w:r>
    </w:p>
    <w:p w14:paraId="644E6F3F" w14:textId="77777777" w:rsidR="00065E20" w:rsidRPr="006072DE" w:rsidRDefault="00065E20" w:rsidP="00065E20">
      <w:pPr>
        <w:pStyle w:val="Textonotapie"/>
        <w:ind w:firstLine="708"/>
        <w:jc w:val="both"/>
        <w:rPr>
          <w:rFonts w:ascii="Verdana" w:hAnsi="Verdana" w:cs="Arial"/>
          <w:color w:val="000000" w:themeColor="text1"/>
          <w:sz w:val="14"/>
          <w:szCs w:val="14"/>
        </w:rPr>
      </w:pPr>
    </w:p>
  </w:footnote>
  <w:footnote w:id="6">
    <w:p w14:paraId="300EC30B" w14:textId="77777777" w:rsidR="00065E20" w:rsidRPr="006072DE" w:rsidRDefault="00065E20" w:rsidP="00065E20">
      <w:pPr>
        <w:pStyle w:val="Textonotapie"/>
        <w:ind w:firstLine="708"/>
        <w:jc w:val="both"/>
        <w:rPr>
          <w:rFonts w:ascii="Verdana" w:hAnsi="Verdana" w:cs="Arial"/>
          <w:color w:val="000000" w:themeColor="text1"/>
          <w:sz w:val="14"/>
          <w:szCs w:val="14"/>
        </w:rPr>
      </w:pPr>
      <w:r w:rsidRPr="006072DE">
        <w:rPr>
          <w:rStyle w:val="Refdenotaalpie"/>
          <w:rFonts w:ascii="Verdana" w:hAnsi="Verdana" w:cs="Arial"/>
          <w:color w:val="000000" w:themeColor="text1"/>
          <w:sz w:val="14"/>
          <w:szCs w:val="14"/>
        </w:rPr>
        <w:footnoteRef/>
      </w:r>
      <w:r w:rsidRPr="006072DE">
        <w:rPr>
          <w:rFonts w:ascii="Verdana" w:hAnsi="Verdana" w:cs="Arial"/>
          <w:color w:val="000000" w:themeColor="text1"/>
          <w:sz w:val="14"/>
          <w:szCs w:val="14"/>
        </w:rPr>
        <w:t xml:space="preserve"> CONSEJO DE ESTADO, Sala de Consulta y Servicio Civil. Radicado No. 1453. Concepto de 6 de agosto de 2003. MP. Augusto Trejos.</w:t>
      </w:r>
    </w:p>
    <w:p w14:paraId="415D39D7" w14:textId="77777777" w:rsidR="00065E20" w:rsidRPr="006072DE" w:rsidRDefault="00065E20" w:rsidP="00065E20">
      <w:pPr>
        <w:pStyle w:val="Textonotapie"/>
        <w:ind w:firstLine="708"/>
        <w:jc w:val="both"/>
        <w:rPr>
          <w:rFonts w:ascii="Verdana" w:hAnsi="Verdana" w:cs="Arial"/>
          <w:color w:val="000000" w:themeColor="text1"/>
          <w:sz w:val="14"/>
          <w:szCs w:val="14"/>
        </w:rPr>
      </w:pPr>
    </w:p>
  </w:footnote>
  <w:footnote w:id="7">
    <w:p w14:paraId="3080B377" w14:textId="77777777" w:rsidR="00065E20" w:rsidRPr="006072DE" w:rsidRDefault="00065E20" w:rsidP="00065E20">
      <w:pPr>
        <w:pStyle w:val="Textonotapie"/>
        <w:ind w:firstLine="708"/>
        <w:jc w:val="both"/>
        <w:rPr>
          <w:rFonts w:ascii="Verdana" w:hAnsi="Verdana" w:cs="Arial"/>
          <w:color w:val="000000" w:themeColor="text1"/>
          <w:sz w:val="14"/>
          <w:szCs w:val="14"/>
          <w:lang w:val="es-ES"/>
        </w:rPr>
      </w:pPr>
      <w:r w:rsidRPr="006072DE">
        <w:rPr>
          <w:rStyle w:val="Refdenotaalpie"/>
          <w:rFonts w:ascii="Verdana" w:hAnsi="Verdana" w:cs="Arial"/>
          <w:color w:val="000000" w:themeColor="text1"/>
          <w:sz w:val="14"/>
          <w:szCs w:val="14"/>
        </w:rPr>
        <w:footnoteRef/>
      </w:r>
      <w:r w:rsidRPr="006072DE">
        <w:rPr>
          <w:rFonts w:ascii="Verdana" w:hAnsi="Verdana" w:cs="Arial"/>
          <w:color w:val="000000" w:themeColor="text1"/>
          <w:sz w:val="14"/>
          <w:szCs w:val="14"/>
        </w:rPr>
        <w:t xml:space="preserve"> </w:t>
      </w:r>
      <w:r w:rsidRPr="006072DE">
        <w:rPr>
          <w:rFonts w:ascii="Verdana" w:hAnsi="Verdana" w:cs="Arial"/>
          <w:color w:val="000000" w:themeColor="text1"/>
          <w:sz w:val="14"/>
          <w:szCs w:val="14"/>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5471A536" w14:textId="77777777" w:rsidR="00065E20" w:rsidRPr="006072DE" w:rsidRDefault="00065E20" w:rsidP="00065E20">
      <w:pPr>
        <w:pStyle w:val="Textonotapie"/>
        <w:ind w:firstLine="708"/>
        <w:jc w:val="both"/>
        <w:rPr>
          <w:rFonts w:ascii="Verdana" w:hAnsi="Verdana" w:cs="Arial"/>
          <w:color w:val="000000" w:themeColor="text1"/>
          <w:sz w:val="14"/>
          <w:szCs w:val="14"/>
          <w:lang w:val="es-ES"/>
        </w:rPr>
      </w:pPr>
      <w:r w:rsidRPr="006072DE">
        <w:rPr>
          <w:rFonts w:ascii="Verdana" w:hAnsi="Verdana" w:cs="Arial"/>
          <w:color w:val="000000" w:themeColor="text1"/>
          <w:sz w:val="14"/>
          <w:szCs w:val="14"/>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26DBDF50" w14:textId="77777777" w:rsidR="00065E20" w:rsidRPr="006072DE" w:rsidRDefault="00065E20" w:rsidP="00065E20">
      <w:pPr>
        <w:pStyle w:val="Textonotapie"/>
        <w:ind w:firstLine="708"/>
        <w:jc w:val="both"/>
        <w:rPr>
          <w:rFonts w:ascii="Verdana" w:hAnsi="Verdana" w:cs="Arial"/>
          <w:color w:val="000000" w:themeColor="text1"/>
          <w:sz w:val="14"/>
          <w:szCs w:val="14"/>
          <w:lang w:val="es-ES"/>
        </w:rPr>
      </w:pPr>
      <w:r w:rsidRPr="006072DE">
        <w:rPr>
          <w:rFonts w:ascii="Verdana" w:hAnsi="Verdana" w:cs="Arial"/>
          <w:color w:val="000000" w:themeColor="text1"/>
          <w:sz w:val="14"/>
          <w:szCs w:val="14"/>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5C12B99B" w14:textId="77777777" w:rsidR="00065E20" w:rsidRPr="00541D6E" w:rsidRDefault="00065E20" w:rsidP="00065E20">
      <w:pPr>
        <w:pStyle w:val="Textonotapie"/>
        <w:ind w:firstLine="708"/>
        <w:jc w:val="both"/>
        <w:rPr>
          <w:rFonts w:ascii="Verdana" w:hAnsi="Verdana" w:cs="Arial"/>
          <w:color w:val="000000" w:themeColor="text1"/>
          <w:sz w:val="16"/>
          <w:szCs w:val="16"/>
          <w:lang w:val="es-ES"/>
        </w:rPr>
      </w:pPr>
      <w:r w:rsidRPr="006072DE">
        <w:rPr>
          <w:rFonts w:ascii="Verdana" w:hAnsi="Verdana" w:cs="Arial"/>
          <w:color w:val="000000" w:themeColor="text1"/>
          <w:sz w:val="14"/>
          <w:szCs w:val="14"/>
          <w:lang w:val="es-ES"/>
        </w:rPr>
        <w:t>“ Los contratistas tendrán derecho a efectuar salvedades a la liquidación por mutuo acuerdo, y en este evento la liquidación unilateral solo procederá en relación con los aspectos que no hayan sido objeto de acuerdo</w:t>
      </w:r>
      <w:r>
        <w:rPr>
          <w:rFonts w:ascii="Verdana" w:hAnsi="Verdana" w:cs="Arial"/>
          <w:color w:val="000000" w:themeColor="text1"/>
          <w:sz w:val="14"/>
          <w:szCs w:val="14"/>
          <w:lang w:val="es-ES"/>
        </w:rPr>
        <w:t>”</w:t>
      </w:r>
      <w:r w:rsidRPr="006072DE">
        <w:rPr>
          <w:rFonts w:ascii="Verdana" w:hAnsi="Verdana" w:cs="Arial"/>
          <w:color w:val="000000" w:themeColor="text1"/>
          <w:sz w:val="14"/>
          <w:szCs w:val="14"/>
          <w:lang w:val="es-ES"/>
        </w:rPr>
        <w:t>.</w:t>
      </w:r>
    </w:p>
  </w:footnote>
  <w:footnote w:id="8">
    <w:p w14:paraId="55675C54" w14:textId="77777777" w:rsidR="00065E20" w:rsidRPr="00C11220" w:rsidRDefault="00065E20" w:rsidP="00065E20">
      <w:pPr>
        <w:pStyle w:val="Textonotapie"/>
        <w:ind w:firstLine="709"/>
        <w:jc w:val="both"/>
        <w:rPr>
          <w:rFonts w:ascii="Verdana" w:hAnsi="Verdana" w:cs="Arial"/>
          <w:color w:val="000000" w:themeColor="text1"/>
          <w:sz w:val="14"/>
          <w:szCs w:val="14"/>
        </w:rPr>
      </w:pPr>
      <w:r w:rsidRPr="00C11220">
        <w:rPr>
          <w:rStyle w:val="Refdenotaalpie"/>
          <w:rFonts w:ascii="Verdana" w:hAnsi="Verdana" w:cs="Arial"/>
          <w:color w:val="000000" w:themeColor="text1"/>
          <w:sz w:val="14"/>
          <w:szCs w:val="14"/>
        </w:rPr>
        <w:footnoteRef/>
      </w:r>
      <w:r w:rsidRPr="00C11220">
        <w:rPr>
          <w:rFonts w:ascii="Verdana" w:hAnsi="Verdana" w:cs="Arial"/>
          <w:color w:val="000000" w:themeColor="text1"/>
          <w:sz w:val="14"/>
          <w:szCs w:val="14"/>
        </w:rPr>
        <w:t xml:space="preserve"> CONSEJO DE ESTADO, Sección Tercera, Subsección C, Sentencia del 24 de julio de 2013, radicado No. 25.642, Consejero Ponente Enrique Gil Botero.</w:t>
      </w:r>
    </w:p>
    <w:p w14:paraId="794DE75E" w14:textId="77777777" w:rsidR="00065E20" w:rsidRPr="00C11220" w:rsidRDefault="00065E20" w:rsidP="00065E20">
      <w:pPr>
        <w:pStyle w:val="Textonotapie"/>
        <w:ind w:firstLine="709"/>
        <w:jc w:val="both"/>
        <w:rPr>
          <w:rFonts w:ascii="Verdana" w:hAnsi="Verdana" w:cs="Arial"/>
          <w:color w:val="000000" w:themeColor="text1"/>
          <w:sz w:val="14"/>
          <w:szCs w:val="14"/>
          <w:lang w:val="es-CO"/>
        </w:rPr>
      </w:pPr>
    </w:p>
  </w:footnote>
  <w:footnote w:id="9">
    <w:p w14:paraId="3CB1EDB8" w14:textId="77777777" w:rsidR="00065E20" w:rsidRPr="00C11220" w:rsidRDefault="00065E20" w:rsidP="00065E20">
      <w:pPr>
        <w:pStyle w:val="NormalWeb"/>
        <w:spacing w:after="0"/>
        <w:ind w:firstLine="709"/>
        <w:jc w:val="both"/>
        <w:rPr>
          <w:rFonts w:ascii="Verdana" w:hAnsi="Verdana" w:cs="Arial"/>
          <w:color w:val="000000" w:themeColor="text1"/>
          <w:sz w:val="14"/>
          <w:szCs w:val="14"/>
        </w:rPr>
      </w:pPr>
      <w:r w:rsidRPr="00C11220">
        <w:rPr>
          <w:rStyle w:val="Refdenotaalpie"/>
          <w:rFonts w:ascii="Verdana" w:hAnsi="Verdana" w:cs="Arial"/>
          <w:color w:val="000000" w:themeColor="text1"/>
          <w:sz w:val="14"/>
          <w:szCs w:val="14"/>
        </w:rPr>
        <w:footnoteRef/>
      </w:r>
      <w:r w:rsidRPr="00C11220">
        <w:rPr>
          <w:rFonts w:ascii="Verdana" w:hAnsi="Verdana" w:cs="Arial"/>
          <w:color w:val="000000" w:themeColor="text1"/>
          <w:sz w:val="14"/>
          <w:szCs w:val="14"/>
        </w:rPr>
        <w:t xml:space="preserve"> Decreto 1082 de 2015 “</w:t>
      </w:r>
      <w:r w:rsidRPr="00C11220">
        <w:rPr>
          <w:rStyle w:val="Textoennegrita"/>
          <w:rFonts w:ascii="Verdana" w:hAnsi="Verdana" w:cs="Arial"/>
          <w:color w:val="000000" w:themeColor="text1"/>
          <w:sz w:val="14"/>
          <w:szCs w:val="14"/>
        </w:rPr>
        <w:t>Artículo 2.2.1.2.1.5.2. </w:t>
      </w:r>
      <w:r w:rsidRPr="00C11220">
        <w:rPr>
          <w:rStyle w:val="nfasis"/>
          <w:rFonts w:ascii="Verdana" w:eastAsiaTheme="minorEastAsia" w:hAnsi="Verdana" w:cs="Arial"/>
          <w:color w:val="000000" w:themeColor="text1"/>
          <w:sz w:val="14"/>
          <w:szCs w:val="14"/>
        </w:rPr>
        <w:t>Procedimiento para la contratación de mínima cuantía. </w:t>
      </w:r>
      <w:r w:rsidRPr="00C11220">
        <w:rPr>
          <w:rFonts w:ascii="Verdana" w:hAnsi="Verdana" w:cs="Arial"/>
          <w:color w:val="000000" w:themeColor="text1"/>
          <w:sz w:val="14"/>
          <w:szCs w:val="14"/>
        </w:rPr>
        <w:t>Las siguientes reglas son aplicables a la contratación cuyo valor no excede del 10% de la menor cuantía de la Entidad Estatal, independientemente de su objeto: </w:t>
      </w:r>
    </w:p>
    <w:p w14:paraId="10F98D54" w14:textId="77777777" w:rsidR="00065E20" w:rsidRPr="00C11220" w:rsidRDefault="00065E20" w:rsidP="00065E20">
      <w:pPr>
        <w:pStyle w:val="NormalWeb"/>
        <w:spacing w:after="0"/>
        <w:jc w:val="both"/>
        <w:rPr>
          <w:rFonts w:ascii="Verdana" w:hAnsi="Verdana" w:cs="Arial"/>
          <w:color w:val="000000" w:themeColor="text1"/>
          <w:sz w:val="14"/>
          <w:szCs w:val="14"/>
        </w:rPr>
      </w:pPr>
      <w:r w:rsidRPr="00C11220">
        <w:rPr>
          <w:rFonts w:ascii="Verdana" w:hAnsi="Verdana" w:cs="Arial"/>
          <w:color w:val="000000" w:themeColor="text1"/>
          <w:sz w:val="14"/>
          <w:szCs w:val="14"/>
        </w:rPr>
        <w:t>  </w:t>
      </w:r>
      <w:r w:rsidRPr="00C11220">
        <w:rPr>
          <w:rFonts w:ascii="Verdana" w:hAnsi="Verdana" w:cs="Arial"/>
          <w:color w:val="000000" w:themeColor="text1"/>
          <w:sz w:val="14"/>
          <w:szCs w:val="14"/>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50AF8F0E" w14:textId="77777777" w:rsidR="00065E20" w:rsidRPr="00541D6E" w:rsidRDefault="00065E20" w:rsidP="00065E20">
      <w:pPr>
        <w:pStyle w:val="NormalWeb"/>
        <w:spacing w:after="0"/>
        <w:jc w:val="both"/>
        <w:rPr>
          <w:rFonts w:ascii="Verdana" w:hAnsi="Verdana" w:cs="Arial"/>
          <w:color w:val="000000" w:themeColor="text1"/>
          <w:sz w:val="16"/>
          <w:szCs w:val="16"/>
        </w:rPr>
      </w:pPr>
    </w:p>
  </w:footnote>
  <w:footnote w:id="10">
    <w:p w14:paraId="7A0FE71F" w14:textId="77777777" w:rsidR="00065E20" w:rsidRPr="00C11220" w:rsidRDefault="00065E20" w:rsidP="00065E20">
      <w:pPr>
        <w:pStyle w:val="Textonotapie"/>
        <w:ind w:firstLine="709"/>
        <w:jc w:val="both"/>
        <w:rPr>
          <w:rFonts w:ascii="Verdana" w:hAnsi="Verdana" w:cs="Arial"/>
          <w:color w:val="000000" w:themeColor="text1"/>
          <w:sz w:val="14"/>
          <w:szCs w:val="14"/>
        </w:rPr>
      </w:pPr>
      <w:r w:rsidRPr="00C11220">
        <w:rPr>
          <w:rStyle w:val="Refdenotaalpie"/>
          <w:rFonts w:ascii="Verdana" w:hAnsi="Verdana" w:cs="Arial"/>
          <w:color w:val="000000" w:themeColor="text1"/>
          <w:sz w:val="14"/>
          <w:szCs w:val="14"/>
        </w:rPr>
        <w:footnoteRef/>
      </w:r>
      <w:r w:rsidRPr="00C11220">
        <w:rPr>
          <w:rFonts w:ascii="Verdana" w:hAnsi="Verdana" w:cs="Arial"/>
          <w:color w:val="000000" w:themeColor="text1"/>
          <w:sz w:val="14"/>
          <w:szCs w:val="14"/>
        </w:rPr>
        <w:t xml:space="preserve"> Ley 80 de 1993 “</w:t>
      </w:r>
      <w:r w:rsidRPr="00C11220">
        <w:rPr>
          <w:rStyle w:val="Textoennegrita"/>
          <w:rFonts w:ascii="Verdana" w:hAnsi="Verdana" w:cs="Arial"/>
          <w:color w:val="000000" w:themeColor="text1"/>
          <w:sz w:val="14"/>
          <w:szCs w:val="14"/>
        </w:rPr>
        <w:t>Artículo 77. De la normatividad aplicable en las actuaciones administrativas.</w:t>
      </w:r>
      <w:r w:rsidRPr="00C11220">
        <w:rPr>
          <w:rFonts w:ascii="Verdana" w:hAnsi="Verdana" w:cs="Arial"/>
          <w:color w:val="000000" w:themeColor="text1"/>
          <w:sz w:val="14"/>
          <w:szCs w:val="14"/>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1">
    <w:p w14:paraId="4F2284B3" w14:textId="77777777" w:rsidR="00065E20" w:rsidRPr="00C11220" w:rsidRDefault="00065E20" w:rsidP="00065E20">
      <w:pPr>
        <w:pStyle w:val="NormalWeb"/>
        <w:spacing w:after="0"/>
        <w:ind w:firstLine="709"/>
        <w:jc w:val="both"/>
        <w:rPr>
          <w:rFonts w:ascii="Verdana" w:hAnsi="Verdana" w:cs="Arial"/>
          <w:color w:val="000000" w:themeColor="text1"/>
          <w:sz w:val="14"/>
          <w:szCs w:val="14"/>
        </w:rPr>
      </w:pPr>
      <w:r w:rsidRPr="00C11220">
        <w:rPr>
          <w:rStyle w:val="Refdenotaalpie"/>
          <w:rFonts w:ascii="Verdana" w:hAnsi="Verdana" w:cs="Arial"/>
          <w:color w:val="000000" w:themeColor="text1"/>
          <w:sz w:val="14"/>
          <w:szCs w:val="14"/>
        </w:rPr>
        <w:footnoteRef/>
      </w:r>
      <w:r w:rsidRPr="00C11220">
        <w:rPr>
          <w:rFonts w:ascii="Verdana" w:hAnsi="Verdana" w:cs="Arial"/>
          <w:color w:val="000000" w:themeColor="text1"/>
          <w:sz w:val="14"/>
          <w:szCs w:val="14"/>
        </w:rPr>
        <w:t xml:space="preserve"> Ley 80 de 1993 “</w:t>
      </w:r>
      <w:r w:rsidRPr="00C11220">
        <w:rPr>
          <w:rStyle w:val="Textoennegrita"/>
          <w:rFonts w:ascii="Verdana" w:hAnsi="Verdana" w:cs="Arial"/>
          <w:color w:val="000000" w:themeColor="text1"/>
          <w:sz w:val="14"/>
          <w:szCs w:val="14"/>
        </w:rPr>
        <w:t>Artículo 25. Del principio de economía.</w:t>
      </w:r>
      <w:r w:rsidRPr="00C11220">
        <w:rPr>
          <w:rFonts w:ascii="Verdana" w:hAnsi="Verdana" w:cs="Arial"/>
          <w:color w:val="000000" w:themeColor="text1"/>
          <w:sz w:val="14"/>
          <w:szCs w:val="14"/>
        </w:rPr>
        <w:t> En virtud de este principio: </w:t>
      </w:r>
    </w:p>
    <w:p w14:paraId="7A49AB5A" w14:textId="77777777" w:rsidR="00065E20" w:rsidRPr="00C11220" w:rsidRDefault="00065E20" w:rsidP="00065E20">
      <w:pPr>
        <w:pStyle w:val="NormalWeb"/>
        <w:spacing w:after="0"/>
        <w:ind w:firstLine="709"/>
        <w:jc w:val="both"/>
        <w:rPr>
          <w:rFonts w:ascii="Verdana" w:hAnsi="Verdana" w:cs="Arial"/>
          <w:color w:val="000000" w:themeColor="text1"/>
          <w:sz w:val="14"/>
          <w:szCs w:val="14"/>
        </w:rPr>
      </w:pPr>
      <w:r w:rsidRPr="00C11220">
        <w:rPr>
          <w:rFonts w:ascii="Verdana" w:hAnsi="Verdana" w:cs="Arial"/>
          <w:color w:val="000000" w:themeColor="text1"/>
          <w:sz w:val="14"/>
          <w:szCs w:val="14"/>
        </w:rPr>
        <w:t>[…]</w:t>
      </w:r>
    </w:p>
    <w:p w14:paraId="773FA436" w14:textId="77777777" w:rsidR="00065E20" w:rsidRPr="00C11220" w:rsidRDefault="00065E20" w:rsidP="00065E20">
      <w:pPr>
        <w:pStyle w:val="NormalWeb"/>
        <w:spacing w:after="0"/>
        <w:ind w:firstLine="709"/>
        <w:jc w:val="both"/>
        <w:rPr>
          <w:rFonts w:ascii="Verdana" w:hAnsi="Verdana" w:cs="Arial"/>
          <w:color w:val="000000" w:themeColor="text1"/>
          <w:sz w:val="14"/>
          <w:szCs w:val="14"/>
        </w:rPr>
      </w:pPr>
      <w:r w:rsidRPr="00C11220">
        <w:rPr>
          <w:rFonts w:ascii="Verdana" w:hAnsi="Verdana" w:cs="Arial"/>
          <w:color w:val="000000" w:themeColor="text1"/>
          <w:sz w:val="14"/>
          <w:szCs w:val="14"/>
        </w:rPr>
        <w:t>“4o. Los trámites se adelantarán con austeridad de tiempo, medios y gastos y se impedirán las dilaciones y los retardos en la ejecución del contrato. </w:t>
      </w:r>
    </w:p>
    <w:p w14:paraId="5F8BAA05" w14:textId="77777777" w:rsidR="00065E20" w:rsidRPr="00C11220" w:rsidRDefault="00065E20" w:rsidP="00065E20">
      <w:pPr>
        <w:pStyle w:val="NormalWeb"/>
        <w:spacing w:after="0"/>
        <w:jc w:val="both"/>
        <w:rPr>
          <w:rFonts w:ascii="Verdana" w:hAnsi="Verdana" w:cs="Arial"/>
          <w:color w:val="000000" w:themeColor="text1"/>
          <w:sz w:val="14"/>
          <w:szCs w:val="14"/>
        </w:rPr>
      </w:pPr>
      <w:r w:rsidRPr="00C11220">
        <w:rPr>
          <w:rFonts w:ascii="Verdana" w:hAnsi="Verdana" w:cs="Arial"/>
          <w:color w:val="000000" w:themeColor="text1"/>
          <w:sz w:val="14"/>
          <w:szCs w:val="14"/>
        </w:rPr>
        <w:t>  </w:t>
      </w:r>
      <w:r w:rsidRPr="00C11220">
        <w:rPr>
          <w:rFonts w:ascii="Verdana" w:hAnsi="Verdana" w:cs="Arial"/>
          <w:color w:val="000000" w:themeColor="text1"/>
          <w:sz w:val="14"/>
          <w:szCs w:val="14"/>
        </w:rPr>
        <w:tab/>
        <w:t>“5o. Se adoptarán procedimientos que garanticen la pronta solución de las diferencias y controversias que con motivo de la celebración y ejecución del contrato se presenten […]”.</w:t>
      </w:r>
    </w:p>
  </w:footnote>
  <w:footnote w:id="12">
    <w:p w14:paraId="0C066C25" w14:textId="77777777" w:rsidR="00065E20" w:rsidRPr="00C11220" w:rsidRDefault="00065E20" w:rsidP="00065E20">
      <w:pPr>
        <w:pStyle w:val="Textonotapie"/>
        <w:ind w:firstLine="708"/>
        <w:jc w:val="both"/>
        <w:rPr>
          <w:rFonts w:ascii="Verdana" w:hAnsi="Verdana" w:cs="Arial"/>
          <w:color w:val="000000" w:themeColor="text1"/>
          <w:sz w:val="14"/>
          <w:szCs w:val="14"/>
        </w:rPr>
      </w:pPr>
      <w:r w:rsidRPr="00C11220">
        <w:rPr>
          <w:rStyle w:val="Refdenotaalpie"/>
          <w:rFonts w:ascii="Verdana" w:hAnsi="Verdana" w:cs="Arial"/>
          <w:color w:val="000000" w:themeColor="text1"/>
          <w:sz w:val="14"/>
          <w:szCs w:val="14"/>
        </w:rPr>
        <w:footnoteRef/>
      </w:r>
      <w:r w:rsidRPr="00C11220">
        <w:rPr>
          <w:rFonts w:ascii="Verdana" w:hAnsi="Verdana" w:cs="Arial"/>
          <w:color w:val="000000" w:themeColor="text1"/>
          <w:sz w:val="14"/>
          <w:szCs w:val="14"/>
        </w:rPr>
        <w:t xml:space="preserve"> COLOMBIA COMPRA EFICIENTE. Guía para la Liquidación de los Procesos de Contratación. página 5, disponible en:   </w:t>
      </w:r>
      <w:hyperlink r:id="rId1" w:history="1">
        <w:r w:rsidRPr="00C11220">
          <w:rPr>
            <w:rStyle w:val="Hipervnculo"/>
            <w:rFonts w:ascii="Verdana" w:hAnsi="Verdana" w:cs="Arial"/>
            <w:sz w:val="14"/>
            <w:szCs w:val="14"/>
          </w:rPr>
          <w:t>https://www.colombiacompra.gov.co/sites/cce_public/files/cce_documents/cce_guia_liquidacion_procesos.pdf</w:t>
        </w:r>
      </w:hyperlink>
      <w:r w:rsidRPr="00C11220">
        <w:rPr>
          <w:rStyle w:val="Hipervnculo"/>
          <w:rFonts w:ascii="Verdana" w:hAnsi="Verdana" w:cs="Arial"/>
          <w:color w:val="000000" w:themeColor="text1"/>
          <w:sz w:val="14"/>
          <w:szCs w:val="14"/>
        </w:rPr>
        <w:t xml:space="preserve">     </w:t>
      </w:r>
      <w:r w:rsidRPr="00C11220">
        <w:rPr>
          <w:rFonts w:ascii="Verdana" w:hAnsi="Verdana" w:cs="Arial"/>
          <w:color w:val="000000" w:themeColor="text1"/>
          <w:sz w:val="14"/>
          <w:szCs w:val="14"/>
        </w:rPr>
        <w:t xml:space="preserve">      </w:t>
      </w:r>
    </w:p>
    <w:p w14:paraId="6D6F7140" w14:textId="77777777" w:rsidR="00065E20" w:rsidRPr="00FB79F8" w:rsidRDefault="00065E20" w:rsidP="00065E20">
      <w:pPr>
        <w:pStyle w:val="Textonotapie"/>
        <w:ind w:firstLine="708"/>
        <w:jc w:val="both"/>
        <w:rPr>
          <w:rFonts w:ascii="Verdana" w:hAnsi="Verdana" w:cs="Arial"/>
          <w:color w:val="000000" w:themeColor="text1"/>
          <w:sz w:val="16"/>
          <w:szCs w:val="16"/>
        </w:rPr>
      </w:pPr>
    </w:p>
  </w:footnote>
  <w:footnote w:id="13">
    <w:p w14:paraId="67588BB9" w14:textId="77777777" w:rsidR="00065E20" w:rsidRPr="00C11220" w:rsidRDefault="00065E20" w:rsidP="00065E20">
      <w:pPr>
        <w:pStyle w:val="Textonotapie"/>
        <w:ind w:firstLine="708"/>
        <w:jc w:val="both"/>
        <w:rPr>
          <w:rFonts w:ascii="Verdana" w:hAnsi="Verdana" w:cs="Arial"/>
          <w:color w:val="000000" w:themeColor="text1"/>
          <w:sz w:val="14"/>
          <w:szCs w:val="14"/>
        </w:rPr>
      </w:pPr>
      <w:r w:rsidRPr="00C11220">
        <w:rPr>
          <w:rStyle w:val="Refdenotaalpie"/>
          <w:rFonts w:ascii="Verdana" w:hAnsi="Verdana" w:cs="Arial"/>
          <w:color w:val="000000" w:themeColor="text1"/>
          <w:sz w:val="14"/>
          <w:szCs w:val="14"/>
        </w:rPr>
        <w:footnoteRef/>
      </w:r>
      <w:r w:rsidRPr="00C11220">
        <w:rPr>
          <w:rFonts w:ascii="Verdana" w:hAnsi="Verdana" w:cs="Arial"/>
          <w:color w:val="000000" w:themeColor="text1"/>
          <w:sz w:val="14"/>
          <w:szCs w:val="14"/>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4">
    <w:p w14:paraId="4AF53291" w14:textId="77777777" w:rsidR="00065E20" w:rsidRPr="00C11220" w:rsidRDefault="00065E20" w:rsidP="00065E20">
      <w:pPr>
        <w:pStyle w:val="Textonotapie"/>
        <w:ind w:firstLine="708"/>
        <w:jc w:val="both"/>
        <w:rPr>
          <w:rFonts w:ascii="Verdana" w:hAnsi="Verdana" w:cs="Arial"/>
          <w:color w:val="000000" w:themeColor="text1"/>
          <w:sz w:val="14"/>
          <w:szCs w:val="14"/>
        </w:rPr>
      </w:pPr>
      <w:r w:rsidRPr="00C11220">
        <w:rPr>
          <w:rStyle w:val="Refdenotaalpie"/>
          <w:rFonts w:ascii="Verdana" w:hAnsi="Verdana" w:cs="Arial"/>
          <w:color w:val="000000" w:themeColor="text1"/>
          <w:sz w:val="14"/>
          <w:szCs w:val="14"/>
        </w:rPr>
        <w:footnoteRef/>
      </w:r>
      <w:r w:rsidRPr="00C11220">
        <w:rPr>
          <w:rFonts w:ascii="Verdana" w:hAnsi="Verdana" w:cs="Arial"/>
          <w:color w:val="000000" w:themeColor="text1"/>
          <w:sz w:val="14"/>
          <w:szCs w:val="14"/>
        </w:rPr>
        <w:t xml:space="preserve"> CONSEJO DE ESTADO. Sala de Consulta y Servicio Civil. Concepto de 28 de Junio de 2016. Radicación: 2253. C.P. Álvaro Namén Vargas. </w:t>
      </w:r>
    </w:p>
    <w:p w14:paraId="3BA1AFE8" w14:textId="77777777" w:rsidR="00065E20" w:rsidRPr="00D15703" w:rsidRDefault="00065E20" w:rsidP="00065E20">
      <w:pPr>
        <w:pStyle w:val="Textonotapie"/>
        <w:ind w:firstLine="708"/>
        <w:jc w:val="both"/>
        <w:rPr>
          <w:rFonts w:ascii="Arial" w:hAnsi="Arial" w:cs="Arial"/>
          <w:color w:val="000000" w:themeColor="text1"/>
          <w:sz w:val="16"/>
          <w:szCs w:val="16"/>
        </w:rPr>
      </w:pPr>
    </w:p>
  </w:footnote>
  <w:footnote w:id="15">
    <w:p w14:paraId="44E618D8" w14:textId="77777777" w:rsidR="00065E20" w:rsidRPr="00C11220" w:rsidRDefault="00065E20" w:rsidP="00065E20">
      <w:pPr>
        <w:pStyle w:val="Textonotapie"/>
        <w:rPr>
          <w:rFonts w:ascii="Verdana" w:hAnsi="Verdana"/>
          <w:sz w:val="14"/>
          <w:szCs w:val="14"/>
          <w:lang w:val="es-CO"/>
        </w:rPr>
      </w:pPr>
      <w:r w:rsidRPr="00C11220">
        <w:rPr>
          <w:rStyle w:val="Refdenotaalpie"/>
          <w:rFonts w:ascii="Verdana" w:hAnsi="Verdana"/>
          <w:sz w:val="14"/>
          <w:szCs w:val="14"/>
        </w:rPr>
        <w:footnoteRef/>
      </w:r>
      <w:r w:rsidRPr="00C11220">
        <w:rPr>
          <w:rFonts w:ascii="Verdana" w:hAnsi="Verdana"/>
          <w:sz w:val="14"/>
          <w:szCs w:val="14"/>
        </w:rPr>
        <w:t xml:space="preserve"> </w:t>
      </w:r>
      <w:r w:rsidRPr="00C11220">
        <w:rPr>
          <w:rFonts w:ascii="Verdana" w:hAnsi="Verdana"/>
          <w:sz w:val="14"/>
          <w:szCs w:val="14"/>
          <w:lang w:val="es-CO"/>
        </w:rPr>
        <w:t>Guía para la liquidación de los Procesos de Contratación  expedida por la ANCP-CCE</w:t>
      </w:r>
    </w:p>
    <w:p w14:paraId="4A53EDD6" w14:textId="77777777" w:rsidR="00065E20" w:rsidRPr="00C11220" w:rsidRDefault="00065E20" w:rsidP="00065E20">
      <w:pPr>
        <w:pStyle w:val="Textonotapie"/>
        <w:rPr>
          <w:rFonts w:ascii="Verdana" w:hAnsi="Verdana"/>
          <w:sz w:val="14"/>
          <w:szCs w:val="14"/>
          <w:lang w:val="es-ES"/>
        </w:rPr>
      </w:pPr>
    </w:p>
  </w:footnote>
  <w:footnote w:id="16">
    <w:p w14:paraId="10D7FCA4" w14:textId="77777777" w:rsidR="00065E20" w:rsidRPr="00C11220" w:rsidRDefault="00065E20" w:rsidP="00065E20">
      <w:pPr>
        <w:pStyle w:val="Textonotapie"/>
        <w:rPr>
          <w:rFonts w:ascii="Verdana" w:hAnsi="Verdana"/>
          <w:sz w:val="14"/>
          <w:szCs w:val="14"/>
          <w:lang w:val="es-CO"/>
        </w:rPr>
      </w:pPr>
      <w:r w:rsidRPr="00C11220">
        <w:rPr>
          <w:rStyle w:val="Refdenotaalpie"/>
          <w:rFonts w:ascii="Verdana" w:hAnsi="Verdana"/>
          <w:sz w:val="14"/>
          <w:szCs w:val="14"/>
        </w:rPr>
        <w:footnoteRef/>
      </w:r>
      <w:r w:rsidRPr="00C11220">
        <w:rPr>
          <w:rFonts w:ascii="Verdana" w:hAnsi="Verdana"/>
          <w:sz w:val="14"/>
          <w:szCs w:val="14"/>
        </w:rPr>
        <w:t xml:space="preserve"> </w:t>
      </w:r>
      <w:r w:rsidRPr="00C11220">
        <w:rPr>
          <w:rFonts w:ascii="Verdana" w:hAnsi="Verdana"/>
          <w:sz w:val="14"/>
          <w:szCs w:val="14"/>
          <w:lang w:val="es-CO"/>
        </w:rPr>
        <w:t xml:space="preserve">Laudo entre DRAGADOS HIDRÁULICOS LTDA. – LA NACIÓN – MINISTERIO DE TRANSPORTE.28 de Febrero de 2001 </w:t>
      </w:r>
    </w:p>
    <w:p w14:paraId="4903E782" w14:textId="77777777" w:rsidR="00065E20" w:rsidRPr="00C11220" w:rsidRDefault="00065E20" w:rsidP="00065E20">
      <w:pPr>
        <w:pStyle w:val="Textonotapie"/>
        <w:rPr>
          <w:rFonts w:ascii="Verdana" w:hAnsi="Verdana"/>
          <w:sz w:val="14"/>
          <w:szCs w:val="14"/>
          <w:lang w:val="es-CO"/>
        </w:rPr>
      </w:pPr>
    </w:p>
  </w:footnote>
  <w:footnote w:id="17">
    <w:p w14:paraId="35D54E74" w14:textId="77777777" w:rsidR="00065E20" w:rsidRPr="003575EF" w:rsidRDefault="00065E20" w:rsidP="00065E20">
      <w:pPr>
        <w:pStyle w:val="Textonotapie"/>
        <w:rPr>
          <w:lang w:val="es-ES"/>
        </w:rPr>
      </w:pPr>
      <w:r w:rsidRPr="00C11220">
        <w:rPr>
          <w:rStyle w:val="Refdenotaalpie"/>
          <w:rFonts w:ascii="Verdana" w:hAnsi="Verdana"/>
          <w:sz w:val="14"/>
          <w:szCs w:val="14"/>
        </w:rPr>
        <w:footnoteRef/>
      </w:r>
      <w:r w:rsidRPr="00C11220">
        <w:rPr>
          <w:rFonts w:ascii="Verdana" w:hAnsi="Verdana"/>
          <w:sz w:val="14"/>
          <w:szCs w:val="14"/>
        </w:rPr>
        <w:t xml:space="preserve"> </w:t>
      </w:r>
      <w:r w:rsidRPr="00C11220">
        <w:rPr>
          <w:rFonts w:ascii="Verdana" w:hAnsi="Verdana"/>
          <w:sz w:val="14"/>
          <w:szCs w:val="14"/>
          <w:lang w:val="es-CO"/>
        </w:rPr>
        <w:t>Guía para la liquidación de los Procesos de Contratación  expedida por la ANCP-CCE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D5A0D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9BC7074"/>
    <w:multiLevelType w:val="hybridMultilevel"/>
    <w:tmpl w:val="548E4D16"/>
    <w:lvl w:ilvl="0" w:tplc="2950546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2B1B38"/>
    <w:multiLevelType w:val="hybridMultilevel"/>
    <w:tmpl w:val="3A7AE4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EA26A8D"/>
    <w:multiLevelType w:val="hybridMultilevel"/>
    <w:tmpl w:val="A8B226AA"/>
    <w:lvl w:ilvl="0" w:tplc="CA20E99C">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4FDA11BD"/>
    <w:multiLevelType w:val="hybridMultilevel"/>
    <w:tmpl w:val="42BEF8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CB31985"/>
    <w:multiLevelType w:val="hybridMultilevel"/>
    <w:tmpl w:val="C0F4035C"/>
    <w:lvl w:ilvl="0" w:tplc="1B420D7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7BD047C"/>
    <w:multiLevelType w:val="hybridMultilevel"/>
    <w:tmpl w:val="90022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8"/>
  </w:num>
  <w:num w:numId="8" w16cid:durableId="152644682">
    <w:abstractNumId w:val="19"/>
  </w:num>
  <w:num w:numId="9" w16cid:durableId="1317221377">
    <w:abstractNumId w:val="10"/>
  </w:num>
  <w:num w:numId="10" w16cid:durableId="1471245386">
    <w:abstractNumId w:val="18"/>
  </w:num>
  <w:num w:numId="11" w16cid:durableId="289172385">
    <w:abstractNumId w:val="11"/>
  </w:num>
  <w:num w:numId="12" w16cid:durableId="1470781324">
    <w:abstractNumId w:val="1"/>
  </w:num>
  <w:num w:numId="13" w16cid:durableId="1512908409">
    <w:abstractNumId w:val="6"/>
  </w:num>
  <w:num w:numId="14" w16cid:durableId="895897244">
    <w:abstractNumId w:val="21"/>
  </w:num>
  <w:num w:numId="15" w16cid:durableId="390349800">
    <w:abstractNumId w:val="16"/>
  </w:num>
  <w:num w:numId="16"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089576">
    <w:abstractNumId w:val="12"/>
  </w:num>
  <w:num w:numId="18" w16cid:durableId="510485053">
    <w:abstractNumId w:val="4"/>
  </w:num>
  <w:num w:numId="19" w16cid:durableId="1321957370">
    <w:abstractNumId w:val="15"/>
  </w:num>
  <w:num w:numId="20" w16cid:durableId="354035714">
    <w:abstractNumId w:val="3"/>
  </w:num>
  <w:num w:numId="21" w16cid:durableId="2025521580">
    <w:abstractNumId w:val="14"/>
  </w:num>
  <w:num w:numId="22" w16cid:durableId="1838886980">
    <w:abstractNumId w:val="17"/>
  </w:num>
  <w:num w:numId="23" w16cid:durableId="623390158">
    <w:abstractNumId w:val="13"/>
  </w:num>
  <w:num w:numId="24" w16cid:durableId="1869298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DA7"/>
    <w:rsid w:val="00033F67"/>
    <w:rsid w:val="00061B2A"/>
    <w:rsid w:val="00065E20"/>
    <w:rsid w:val="00082362"/>
    <w:rsid w:val="0008686D"/>
    <w:rsid w:val="000A683E"/>
    <w:rsid w:val="000B19B9"/>
    <w:rsid w:val="000D0334"/>
    <w:rsid w:val="000F6486"/>
    <w:rsid w:val="00125105"/>
    <w:rsid w:val="00127233"/>
    <w:rsid w:val="00140BFF"/>
    <w:rsid w:val="001A4CCF"/>
    <w:rsid w:val="001E4177"/>
    <w:rsid w:val="001F7DC6"/>
    <w:rsid w:val="002030AD"/>
    <w:rsid w:val="002421BB"/>
    <w:rsid w:val="0025796E"/>
    <w:rsid w:val="002609E1"/>
    <w:rsid w:val="002707A2"/>
    <w:rsid w:val="002951A0"/>
    <w:rsid w:val="002962BC"/>
    <w:rsid w:val="002A093D"/>
    <w:rsid w:val="002A0DD0"/>
    <w:rsid w:val="002A49AC"/>
    <w:rsid w:val="002A64FD"/>
    <w:rsid w:val="002C7A84"/>
    <w:rsid w:val="002E4FD9"/>
    <w:rsid w:val="002E7094"/>
    <w:rsid w:val="00304414"/>
    <w:rsid w:val="00322A85"/>
    <w:rsid w:val="00324168"/>
    <w:rsid w:val="003448F4"/>
    <w:rsid w:val="00374F5E"/>
    <w:rsid w:val="00377E3E"/>
    <w:rsid w:val="00381FEF"/>
    <w:rsid w:val="003A26D1"/>
    <w:rsid w:val="003A779E"/>
    <w:rsid w:val="003D0F4D"/>
    <w:rsid w:val="003D5B0D"/>
    <w:rsid w:val="003E0499"/>
    <w:rsid w:val="003F3941"/>
    <w:rsid w:val="00406575"/>
    <w:rsid w:val="0042722E"/>
    <w:rsid w:val="0044528D"/>
    <w:rsid w:val="00461450"/>
    <w:rsid w:val="004A1847"/>
    <w:rsid w:val="004A305D"/>
    <w:rsid w:val="004B7AF5"/>
    <w:rsid w:val="004C042E"/>
    <w:rsid w:val="004F21C4"/>
    <w:rsid w:val="004F685F"/>
    <w:rsid w:val="00503D9F"/>
    <w:rsid w:val="00541D6E"/>
    <w:rsid w:val="005566E8"/>
    <w:rsid w:val="00574867"/>
    <w:rsid w:val="00591460"/>
    <w:rsid w:val="00592628"/>
    <w:rsid w:val="0059478F"/>
    <w:rsid w:val="005B68B3"/>
    <w:rsid w:val="005C3777"/>
    <w:rsid w:val="005C5CDC"/>
    <w:rsid w:val="005D476C"/>
    <w:rsid w:val="005D571F"/>
    <w:rsid w:val="00610812"/>
    <w:rsid w:val="006219F8"/>
    <w:rsid w:val="00650FF7"/>
    <w:rsid w:val="00665D70"/>
    <w:rsid w:val="00671DAC"/>
    <w:rsid w:val="006900D9"/>
    <w:rsid w:val="006D12F8"/>
    <w:rsid w:val="006D5D18"/>
    <w:rsid w:val="00706C16"/>
    <w:rsid w:val="0072412A"/>
    <w:rsid w:val="00756841"/>
    <w:rsid w:val="007649AB"/>
    <w:rsid w:val="00771D0C"/>
    <w:rsid w:val="007833AC"/>
    <w:rsid w:val="007B1A51"/>
    <w:rsid w:val="007B268C"/>
    <w:rsid w:val="007B7171"/>
    <w:rsid w:val="007C0C0F"/>
    <w:rsid w:val="007C3DC2"/>
    <w:rsid w:val="007E5497"/>
    <w:rsid w:val="00806F5F"/>
    <w:rsid w:val="00820278"/>
    <w:rsid w:val="00873E5D"/>
    <w:rsid w:val="008843B6"/>
    <w:rsid w:val="00891928"/>
    <w:rsid w:val="008A446D"/>
    <w:rsid w:val="008D13DA"/>
    <w:rsid w:val="008D180B"/>
    <w:rsid w:val="008F0EA7"/>
    <w:rsid w:val="00923EEF"/>
    <w:rsid w:val="009419F9"/>
    <w:rsid w:val="0095685E"/>
    <w:rsid w:val="00961B09"/>
    <w:rsid w:val="00965334"/>
    <w:rsid w:val="0097093E"/>
    <w:rsid w:val="009A0DFA"/>
    <w:rsid w:val="009B2D26"/>
    <w:rsid w:val="009C71FA"/>
    <w:rsid w:val="009C72E7"/>
    <w:rsid w:val="009D3058"/>
    <w:rsid w:val="009F0C66"/>
    <w:rsid w:val="009F3A13"/>
    <w:rsid w:val="00A04625"/>
    <w:rsid w:val="00A122D3"/>
    <w:rsid w:val="00A17F13"/>
    <w:rsid w:val="00A20739"/>
    <w:rsid w:val="00A33C78"/>
    <w:rsid w:val="00A62BC0"/>
    <w:rsid w:val="00A76022"/>
    <w:rsid w:val="00AB0ADB"/>
    <w:rsid w:val="00B01B1A"/>
    <w:rsid w:val="00B72CD3"/>
    <w:rsid w:val="00B72FFF"/>
    <w:rsid w:val="00BC3D36"/>
    <w:rsid w:val="00BC6C87"/>
    <w:rsid w:val="00BD7F72"/>
    <w:rsid w:val="00C04FB3"/>
    <w:rsid w:val="00C330EB"/>
    <w:rsid w:val="00C71CDC"/>
    <w:rsid w:val="00C754BE"/>
    <w:rsid w:val="00C76B1C"/>
    <w:rsid w:val="00CB6357"/>
    <w:rsid w:val="00CC1B26"/>
    <w:rsid w:val="00CF5898"/>
    <w:rsid w:val="00CF7A4C"/>
    <w:rsid w:val="00D12898"/>
    <w:rsid w:val="00D423A2"/>
    <w:rsid w:val="00D520D8"/>
    <w:rsid w:val="00D63AC2"/>
    <w:rsid w:val="00D7383B"/>
    <w:rsid w:val="00D75F5B"/>
    <w:rsid w:val="00DA231B"/>
    <w:rsid w:val="00DA23A0"/>
    <w:rsid w:val="00DC39FC"/>
    <w:rsid w:val="00DF5254"/>
    <w:rsid w:val="00E16408"/>
    <w:rsid w:val="00E20894"/>
    <w:rsid w:val="00E245AB"/>
    <w:rsid w:val="00E2764C"/>
    <w:rsid w:val="00E27F2E"/>
    <w:rsid w:val="00E413EA"/>
    <w:rsid w:val="00E50AFE"/>
    <w:rsid w:val="00E75C92"/>
    <w:rsid w:val="00E771DC"/>
    <w:rsid w:val="00E80F98"/>
    <w:rsid w:val="00E83B93"/>
    <w:rsid w:val="00E8772A"/>
    <w:rsid w:val="00E90F6B"/>
    <w:rsid w:val="00E92C27"/>
    <w:rsid w:val="00EA0E3D"/>
    <w:rsid w:val="00EC38A7"/>
    <w:rsid w:val="00EE1AA8"/>
    <w:rsid w:val="00EF28CE"/>
    <w:rsid w:val="00EF6424"/>
    <w:rsid w:val="00F31EDC"/>
    <w:rsid w:val="00F462B3"/>
    <w:rsid w:val="00F5664F"/>
    <w:rsid w:val="00F666C4"/>
    <w:rsid w:val="00F76AFC"/>
    <w:rsid w:val="00FA47C0"/>
    <w:rsid w:val="00FA71CA"/>
    <w:rsid w:val="00FB5DD1"/>
    <w:rsid w:val="00FC2B5D"/>
    <w:rsid w:val="00FF1449"/>
    <w:rsid w:val="5CEADB7B"/>
    <w:rsid w:val="7F4195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80F98"/>
    <w:pPr>
      <w:spacing w:line="240" w:lineRule="exact"/>
    </w:pPr>
    <w:rPr>
      <w:vertAlign w:val="superscript"/>
    </w:rPr>
  </w:style>
  <w:style w:type="table" w:customStyle="1" w:styleId="Tablaconcuadrcula1">
    <w:name w:val="Tabla con cuadrícula1"/>
    <w:basedOn w:val="Tablanormal"/>
    <w:next w:val="Tablaconcuadrcula"/>
    <w:uiPriority w:val="39"/>
    <w:qFormat/>
    <w:rsid w:val="00E80F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0F98"/>
    <w:rPr>
      <w:rFonts w:ascii="Geomanist Light" w:hAnsi="Geomanist Light"/>
      <w:lang w:val="es-ES"/>
    </w:rPr>
  </w:style>
  <w:style w:type="character" w:styleId="Textoennegrita">
    <w:name w:val="Strong"/>
    <w:basedOn w:val="Fuentedeprrafopredeter"/>
    <w:uiPriority w:val="22"/>
    <w:qFormat/>
    <w:rsid w:val="00E80F98"/>
    <w:rPr>
      <w:b/>
      <w:bCs/>
    </w:rPr>
  </w:style>
  <w:style w:type="character" w:styleId="nfasis">
    <w:name w:val="Emphasis"/>
    <w:basedOn w:val="Fuentedeprrafopredeter"/>
    <w:uiPriority w:val="20"/>
    <w:qFormat/>
    <w:rsid w:val="00E80F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08492">
      <w:bodyDiv w:val="1"/>
      <w:marLeft w:val="0"/>
      <w:marRight w:val="0"/>
      <w:marTop w:val="0"/>
      <w:marBottom w:val="0"/>
      <w:divBdr>
        <w:top w:val="none" w:sz="0" w:space="0" w:color="auto"/>
        <w:left w:val="none" w:sz="0" w:space="0" w:color="auto"/>
        <w:bottom w:val="none" w:sz="0" w:space="0" w:color="auto"/>
        <w:right w:val="none" w:sz="0" w:space="0" w:color="auto"/>
      </w:divBdr>
      <w:divsChild>
        <w:div w:id="449129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386240">
              <w:marLeft w:val="0"/>
              <w:marRight w:val="0"/>
              <w:marTop w:val="0"/>
              <w:marBottom w:val="0"/>
              <w:divBdr>
                <w:top w:val="none" w:sz="0" w:space="0" w:color="auto"/>
                <w:left w:val="none" w:sz="0" w:space="0" w:color="auto"/>
                <w:bottom w:val="none" w:sz="0" w:space="0" w:color="auto"/>
                <w:right w:val="none" w:sz="0" w:space="0" w:color="auto"/>
              </w:divBdr>
              <w:divsChild>
                <w:div w:id="944385235">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67612667">
      <w:bodyDiv w:val="1"/>
      <w:marLeft w:val="0"/>
      <w:marRight w:val="0"/>
      <w:marTop w:val="0"/>
      <w:marBottom w:val="0"/>
      <w:divBdr>
        <w:top w:val="none" w:sz="0" w:space="0" w:color="auto"/>
        <w:left w:val="none" w:sz="0" w:space="0" w:color="auto"/>
        <w:bottom w:val="none" w:sz="0" w:space="0" w:color="auto"/>
        <w:right w:val="none" w:sz="0" w:space="0" w:color="auto"/>
      </w:divBdr>
      <w:divsChild>
        <w:div w:id="235940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363491">
              <w:marLeft w:val="0"/>
              <w:marRight w:val="0"/>
              <w:marTop w:val="0"/>
              <w:marBottom w:val="0"/>
              <w:divBdr>
                <w:top w:val="none" w:sz="0" w:space="0" w:color="auto"/>
                <w:left w:val="none" w:sz="0" w:space="0" w:color="auto"/>
                <w:bottom w:val="none" w:sz="0" w:space="0" w:color="auto"/>
                <w:right w:val="none" w:sz="0" w:space="0" w:color="auto"/>
              </w:divBdr>
              <w:divsChild>
                <w:div w:id="564804327">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1057691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Quintero_abo@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750EF1-95F2-4ACC-9BAB-ECDAE57A2DEF}">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8981359C-48EB-40C1-A0BB-E605AA73E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13</Pages>
  <Words>3477</Words>
  <Characters>19127</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2024-12-04T03:26:00Z</dcterms:created>
  <dcterms:modified xsi:type="dcterms:W3CDTF">2024-12-23T18:02:00Z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