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D1E79" w:rsidR="00BD1E79" w:rsidP="00BD1E79" w:rsidRDefault="00BD1E79" w14:paraId="2B78E618" w14:textId="77777777">
      <w:pPr>
        <w:spacing w:line="240" w:lineRule="auto"/>
        <w:jc w:val="both"/>
        <w:rPr>
          <w:rFonts w:ascii="Verdana" w:hAnsi="Verdana" w:cs="Arial"/>
          <w:b/>
          <w:color w:val="000000" w:themeColor="text1"/>
          <w:sz w:val="20"/>
          <w:szCs w:val="20"/>
        </w:rPr>
      </w:pPr>
      <w:r w:rsidRPr="00BD1E79">
        <w:rPr>
          <w:rFonts w:ascii="Verdana" w:hAnsi="Verdana" w:cs="Arial"/>
          <w:b/>
          <w:color w:val="000000" w:themeColor="text1"/>
          <w:sz w:val="20"/>
          <w:szCs w:val="20"/>
        </w:rPr>
        <w:t>REQUISITOS HABILITANTES – Noción</w:t>
      </w:r>
    </w:p>
    <w:p w:rsidRPr="00BD1E79" w:rsidR="00BD1E79" w:rsidP="00BD1E79" w:rsidRDefault="00BD1E79" w14:paraId="581FF5C4" w14:textId="77777777">
      <w:pPr>
        <w:spacing w:line="240" w:lineRule="auto"/>
        <w:jc w:val="both"/>
        <w:rPr>
          <w:rFonts w:ascii="Verdana" w:hAnsi="Verdana" w:cs="Arial"/>
          <w:b/>
          <w:color w:val="000000" w:themeColor="text1"/>
          <w:sz w:val="20"/>
          <w:szCs w:val="20"/>
        </w:rPr>
      </w:pPr>
      <w:r w:rsidRPr="00BD1E79">
        <w:rPr>
          <w:rFonts w:ascii="Verdana" w:hAnsi="Verdana"/>
          <w:sz w:val="20"/>
          <w:szCs w:val="20"/>
        </w:rPr>
        <w:t>(…)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BD1E79" w:rsidR="00BD1E79" w:rsidP="00BD1E79" w:rsidRDefault="00BD1E79" w14:paraId="5D24523E" w14:textId="77777777">
      <w:pPr>
        <w:spacing w:line="240" w:lineRule="auto"/>
        <w:jc w:val="both"/>
        <w:rPr>
          <w:rStyle w:val="normaltextrun"/>
          <w:rFonts w:ascii="Verdana" w:hAnsi="Verdana" w:cs="Arial"/>
          <w:b/>
          <w:sz w:val="20"/>
          <w:szCs w:val="20"/>
          <w:lang w:val="es-ES"/>
        </w:rPr>
      </w:pPr>
      <w:r w:rsidRPr="00BD1E79">
        <w:rPr>
          <w:rFonts w:ascii="Verdana" w:hAnsi="Verdana" w:cs="Arial"/>
          <w:b/>
          <w:color w:val="000000" w:themeColor="text1"/>
          <w:sz w:val="20"/>
          <w:szCs w:val="20"/>
        </w:rPr>
        <w:t xml:space="preserve"> REQUISITOS HABILITANTES – </w:t>
      </w:r>
      <w:r w:rsidRPr="00BD1E79">
        <w:rPr>
          <w:rStyle w:val="normaltextrun"/>
          <w:rFonts w:ascii="Verdana" w:hAnsi="Verdana" w:cs="Arial"/>
          <w:b/>
          <w:sz w:val="20"/>
          <w:szCs w:val="20"/>
          <w:lang w:val="es-ES"/>
        </w:rPr>
        <w:t xml:space="preserve">Carácter enunciativo </w:t>
      </w:r>
    </w:p>
    <w:p w:rsidR="00C23150" w:rsidP="00BD1E79" w:rsidRDefault="00C23150" w14:paraId="1789F010" w14:textId="757031D6">
      <w:pPr>
        <w:spacing w:line="240" w:lineRule="auto"/>
        <w:jc w:val="both"/>
        <w:rPr>
          <w:rFonts w:ascii="Verdana" w:hAnsi="Verdana"/>
          <w:sz w:val="20"/>
          <w:szCs w:val="20"/>
        </w:rPr>
      </w:pPr>
      <w:r>
        <w:rPr>
          <w:rFonts w:ascii="Verdana" w:hAnsi="Verdana"/>
          <w:sz w:val="20"/>
          <w:szCs w:val="20"/>
        </w:rPr>
        <w:t>A</w:t>
      </w:r>
      <w:r w:rsidRPr="00C23150">
        <w:rPr>
          <w:rFonts w:ascii="Verdana" w:hAnsi="Verdana"/>
          <w:sz w:val="20"/>
          <w:szCs w:val="20"/>
        </w:rPr>
        <w:t>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rsidRPr="00BD1E79" w:rsidR="00BD1E79" w:rsidP="00BD1E79" w:rsidRDefault="00BD1E79" w14:paraId="6A11DADD" w14:textId="232D2FA7">
      <w:pPr>
        <w:spacing w:line="240" w:lineRule="auto"/>
        <w:jc w:val="both"/>
        <w:rPr>
          <w:rStyle w:val="normaltextrun"/>
          <w:rFonts w:ascii="Verdana" w:hAnsi="Verdana" w:cs="Arial"/>
          <w:b/>
          <w:color w:val="000000"/>
          <w:sz w:val="20"/>
          <w:szCs w:val="20"/>
          <w:lang w:val="es-ES"/>
        </w:rPr>
      </w:pPr>
      <w:r w:rsidRPr="00BD1E79">
        <w:rPr>
          <w:rStyle w:val="normaltextrun"/>
          <w:rFonts w:ascii="Verdana" w:hAnsi="Verdana" w:cs="Arial"/>
          <w:b/>
          <w:color w:val="000000"/>
          <w:sz w:val="20"/>
          <w:szCs w:val="20"/>
          <w:lang w:val="es-ES"/>
        </w:rPr>
        <w:t xml:space="preserve">REQUISITOS HABILITANTES </w:t>
      </w:r>
      <w:r w:rsidRPr="00BD1E79">
        <w:rPr>
          <w:rFonts w:ascii="Verdana" w:hAnsi="Verdana" w:cs="Arial"/>
          <w:b/>
          <w:color w:val="000000" w:themeColor="text1"/>
          <w:sz w:val="20"/>
          <w:szCs w:val="20"/>
        </w:rPr>
        <w:t xml:space="preserve">– </w:t>
      </w:r>
      <w:r w:rsidRPr="00BD1E79">
        <w:rPr>
          <w:rStyle w:val="normaltextrun"/>
          <w:rFonts w:ascii="Verdana" w:hAnsi="Verdana" w:cs="Arial"/>
          <w:b/>
          <w:color w:val="000000"/>
          <w:sz w:val="20"/>
          <w:szCs w:val="20"/>
          <w:lang w:val="es-ES"/>
        </w:rPr>
        <w:t>Autonomía de la voluntad de las entidades estatales para establecerlos</w:t>
      </w:r>
    </w:p>
    <w:p w:rsidRPr="00C23150" w:rsidR="00BD1E79" w:rsidP="00BD1E79" w:rsidRDefault="00BD1E79" w14:paraId="6A70D4F3" w14:textId="3794830B">
      <w:pPr>
        <w:spacing w:line="240" w:lineRule="auto"/>
        <w:jc w:val="both"/>
        <w:rPr>
          <w:rStyle w:val="normaltextrun"/>
          <w:rFonts w:ascii="Verdana" w:hAnsi="Verdana"/>
          <w:sz w:val="20"/>
          <w:szCs w:val="20"/>
        </w:rPr>
      </w:pPr>
      <w:r w:rsidRPr="00BD1E79">
        <w:rPr>
          <w:rFonts w:ascii="Verdana" w:hAnsi="Verdana"/>
          <w:sz w:val="20"/>
          <w:szCs w:val="20"/>
        </w:rPr>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rsidRPr="00BD1E79" w:rsidR="00BD1E79" w:rsidP="00BD1E79" w:rsidRDefault="00BD1E79" w14:paraId="05A65741" w14:textId="77777777">
      <w:pPr>
        <w:spacing w:line="240" w:lineRule="auto"/>
        <w:jc w:val="both"/>
        <w:rPr>
          <w:rFonts w:ascii="Verdana" w:hAnsi="Verdana" w:cs="Arial"/>
          <w:b/>
          <w:color w:val="000000" w:themeColor="text1"/>
          <w:sz w:val="20"/>
          <w:szCs w:val="20"/>
        </w:rPr>
      </w:pPr>
      <w:r w:rsidRPr="00BD1E79">
        <w:rPr>
          <w:rFonts w:ascii="Verdana" w:hAnsi="Verdana" w:cs="Arial"/>
          <w:b/>
          <w:color w:val="000000" w:themeColor="text1"/>
          <w:sz w:val="20"/>
          <w:szCs w:val="20"/>
        </w:rPr>
        <w:t>SISTEMA DE GESTIÓN DE SEGURIDAD Y SALUD EN EL TRABAJO SG-SST - Contratos Estatales - E</w:t>
      </w:r>
      <w:r w:rsidRPr="00BD1E79">
        <w:rPr>
          <w:rFonts w:ascii="Verdana" w:hAnsi="Verdana" w:cs="Arial"/>
          <w:b/>
          <w:color w:val="000000" w:themeColor="text1"/>
          <w:sz w:val="20"/>
          <w:szCs w:val="20"/>
          <w:lang w:eastAsia="es-MX"/>
        </w:rPr>
        <w:t>valuación y selección de proveedores y contratistas</w:t>
      </w:r>
      <w:r w:rsidRPr="00BD1E79">
        <w:rPr>
          <w:rFonts w:ascii="Verdana" w:hAnsi="Verdana" w:cs="Arial"/>
          <w:b/>
          <w:color w:val="000000" w:themeColor="text1"/>
          <w:sz w:val="20"/>
          <w:szCs w:val="20"/>
        </w:rPr>
        <w:t xml:space="preserve"> </w:t>
      </w:r>
    </w:p>
    <w:p w:rsidRPr="00BD1E79" w:rsidR="00BD1E79" w:rsidP="00BD1E79" w:rsidRDefault="00BD1E79" w14:paraId="596E1E72" w14:textId="77777777">
      <w:pPr>
        <w:spacing w:line="240" w:lineRule="auto"/>
        <w:jc w:val="both"/>
        <w:rPr>
          <w:rFonts w:ascii="Verdana" w:hAnsi="Verdana"/>
          <w:sz w:val="20"/>
          <w:szCs w:val="20"/>
        </w:rPr>
      </w:pPr>
      <w:r w:rsidRPr="00BD1E79">
        <w:rPr>
          <w:rFonts w:ascii="Verdana" w:hAnsi="Verdana"/>
          <w:sz w:val="20"/>
          <w:szCs w:val="20"/>
        </w:rPr>
        <w:t xml:space="preserve">En ese orden de ideas, el artículo 2.2.4.6.4. del Decreto 1072 de 2015 dispuso que el Sistema de Gestión de Seguridad y Salud en el Trabajo SG-SST debe ser liderado e </w:t>
      </w:r>
      <w:r w:rsidRPr="00BD1E79">
        <w:rPr>
          <w:rFonts w:ascii="Verdana" w:hAnsi="Verdana"/>
          <w:sz w:val="20"/>
          <w:szCs w:val="20"/>
        </w:rPr>
        <w:lastRenderedPageBreak/>
        <w:t>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p>
    <w:p w:rsidRPr="00BD1E79" w:rsidR="00BD1E79" w:rsidP="00BD1E79" w:rsidRDefault="00BD1E79" w14:paraId="7092E057" w14:textId="77777777">
      <w:pPr>
        <w:spacing w:line="240" w:lineRule="auto"/>
        <w:jc w:val="both"/>
        <w:rPr>
          <w:rFonts w:ascii="Verdana" w:hAnsi="Verdana"/>
          <w:sz w:val="20"/>
          <w:szCs w:val="20"/>
        </w:rPr>
      </w:pPr>
      <w:r w:rsidRPr="00BD1E79">
        <w:rPr>
          <w:rFonts w:ascii="Verdana" w:hAnsi="Verdana"/>
          <w:sz w:val="20"/>
          <w:szCs w:val="20"/>
        </w:rPr>
        <w:t>(…)</w:t>
      </w:r>
    </w:p>
    <w:p w:rsidRPr="00BD1E79" w:rsidR="00BD1E79" w:rsidP="00BD1E79" w:rsidRDefault="00BD1E79" w14:paraId="4DB55D25" w14:textId="77777777">
      <w:pPr>
        <w:spacing w:line="240" w:lineRule="auto"/>
        <w:jc w:val="both"/>
        <w:rPr>
          <w:rFonts w:ascii="Verdana" w:hAnsi="Verdana"/>
          <w:sz w:val="20"/>
          <w:szCs w:val="20"/>
        </w:rPr>
      </w:pPr>
      <w:r w:rsidRPr="00BD1E79">
        <w:rPr>
          <w:rFonts w:ascii="Verdana" w:hAnsi="Verdana"/>
          <w:sz w:val="20"/>
          <w:szCs w:val="20"/>
        </w:rPr>
        <w:t xml:space="preserve">Con base en dicho marco normativo, el Ministerio del Trabajo expidió la Resolución 312 del 13 de febrero de 2019, mediante la cual se definió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 los Procesos de Contratación Estatal. Lo anterior, a criterio de la Agencia, sería permitido siempre y cuando dichos criterios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 </w:t>
      </w:r>
    </w:p>
    <w:p w:rsidR="008C140D" w:rsidP="008C140D" w:rsidRDefault="008C140D" w14:paraId="60BFE655" w14:textId="77777777">
      <w:pPr>
        <w:spacing w:line="240" w:lineRule="auto"/>
        <w:jc w:val="both"/>
        <w:rPr>
          <w:rFonts w:ascii="Century Gothic" w:hAnsi="Century Gothic"/>
          <w:sz w:val="20"/>
          <w:szCs w:val="20"/>
        </w:rPr>
      </w:pPr>
    </w:p>
    <w:p w:rsidR="008C140D" w:rsidP="008C140D" w:rsidRDefault="008C140D" w14:paraId="7DFD8F54" w14:textId="77777777">
      <w:pPr>
        <w:spacing w:line="240" w:lineRule="auto"/>
        <w:jc w:val="both"/>
        <w:rPr>
          <w:rFonts w:ascii="Century Gothic" w:hAnsi="Century Gothic"/>
          <w:sz w:val="20"/>
          <w:szCs w:val="20"/>
        </w:rPr>
      </w:pPr>
    </w:p>
    <w:p w:rsidR="008C140D" w:rsidP="008C140D" w:rsidRDefault="008C140D" w14:paraId="1173F198" w14:textId="77777777">
      <w:pPr>
        <w:spacing w:line="240" w:lineRule="auto"/>
        <w:jc w:val="both"/>
        <w:rPr>
          <w:rFonts w:ascii="Century Gothic" w:hAnsi="Century Gothic"/>
          <w:sz w:val="20"/>
          <w:szCs w:val="20"/>
        </w:rPr>
      </w:pPr>
    </w:p>
    <w:p w:rsidR="008C140D" w:rsidP="008C140D" w:rsidRDefault="008C140D" w14:paraId="57C5A1B4" w14:textId="77777777">
      <w:pPr>
        <w:spacing w:line="240" w:lineRule="auto"/>
        <w:jc w:val="both"/>
        <w:rPr>
          <w:rFonts w:ascii="Century Gothic" w:hAnsi="Century Gothic"/>
          <w:sz w:val="20"/>
          <w:szCs w:val="20"/>
        </w:rPr>
      </w:pPr>
    </w:p>
    <w:p w:rsidR="008C140D" w:rsidP="008C140D" w:rsidRDefault="008C140D" w14:paraId="56A4EE0A" w14:textId="77777777">
      <w:pPr>
        <w:spacing w:line="240" w:lineRule="auto"/>
        <w:jc w:val="both"/>
        <w:rPr>
          <w:rFonts w:ascii="Century Gothic" w:hAnsi="Century Gothic"/>
          <w:sz w:val="20"/>
          <w:szCs w:val="20"/>
        </w:rPr>
      </w:pPr>
    </w:p>
    <w:p w:rsidR="008C140D" w:rsidP="008C140D" w:rsidRDefault="008C140D" w14:paraId="6EFF3845" w14:textId="77777777">
      <w:pPr>
        <w:spacing w:line="240" w:lineRule="auto"/>
        <w:jc w:val="both"/>
        <w:rPr>
          <w:rFonts w:ascii="Century Gothic" w:hAnsi="Century Gothic"/>
          <w:sz w:val="20"/>
          <w:szCs w:val="20"/>
        </w:rPr>
      </w:pPr>
    </w:p>
    <w:p w:rsidR="008C140D" w:rsidP="008C140D" w:rsidRDefault="008C140D" w14:paraId="44959778" w14:textId="77777777">
      <w:pPr>
        <w:spacing w:line="240" w:lineRule="auto"/>
        <w:jc w:val="both"/>
        <w:rPr>
          <w:rFonts w:ascii="Century Gothic" w:hAnsi="Century Gothic"/>
          <w:sz w:val="20"/>
          <w:szCs w:val="20"/>
        </w:rPr>
      </w:pPr>
    </w:p>
    <w:p w:rsidR="008C140D" w:rsidP="008C140D" w:rsidRDefault="008C140D" w14:paraId="7E69E6A3" w14:textId="77777777">
      <w:pPr>
        <w:spacing w:line="240" w:lineRule="auto"/>
        <w:jc w:val="both"/>
        <w:rPr>
          <w:rFonts w:ascii="Century Gothic" w:hAnsi="Century Gothic"/>
          <w:sz w:val="20"/>
          <w:szCs w:val="20"/>
        </w:rPr>
      </w:pPr>
    </w:p>
    <w:p w:rsidR="008C140D" w:rsidP="008C140D" w:rsidRDefault="008C140D" w14:paraId="0D8F83CD" w14:textId="77777777">
      <w:pPr>
        <w:spacing w:line="240" w:lineRule="auto"/>
        <w:jc w:val="both"/>
        <w:rPr>
          <w:rFonts w:ascii="Century Gothic" w:hAnsi="Century Gothic"/>
          <w:sz w:val="20"/>
          <w:szCs w:val="20"/>
        </w:rPr>
      </w:pPr>
    </w:p>
    <w:p w:rsidR="008C140D" w:rsidP="008C140D" w:rsidRDefault="008C140D" w14:paraId="41102387" w14:textId="77777777">
      <w:pPr>
        <w:spacing w:line="240" w:lineRule="auto"/>
        <w:jc w:val="both"/>
        <w:rPr>
          <w:rFonts w:ascii="Century Gothic" w:hAnsi="Century Gothic"/>
          <w:sz w:val="20"/>
          <w:szCs w:val="20"/>
        </w:rPr>
      </w:pPr>
    </w:p>
    <w:p w:rsidR="008C140D" w:rsidP="008C140D" w:rsidRDefault="008C140D" w14:paraId="7D373D0D" w14:textId="77777777">
      <w:pPr>
        <w:spacing w:line="240" w:lineRule="auto"/>
        <w:jc w:val="both"/>
        <w:rPr>
          <w:rFonts w:ascii="Century Gothic" w:hAnsi="Century Gothic"/>
          <w:sz w:val="20"/>
          <w:szCs w:val="20"/>
        </w:rPr>
      </w:pPr>
    </w:p>
    <w:p w:rsidR="008C140D" w:rsidP="008C140D" w:rsidRDefault="008C140D" w14:paraId="4481B2F1" w14:textId="77777777">
      <w:pPr>
        <w:spacing w:line="240" w:lineRule="auto"/>
        <w:jc w:val="both"/>
        <w:rPr>
          <w:rFonts w:ascii="Century Gothic" w:hAnsi="Century Gothic"/>
          <w:sz w:val="20"/>
          <w:szCs w:val="20"/>
        </w:rPr>
      </w:pPr>
    </w:p>
    <w:p w:rsidR="008C140D" w:rsidP="008C140D" w:rsidRDefault="008C140D" w14:paraId="1B384F33" w14:textId="77777777">
      <w:pPr>
        <w:spacing w:line="240" w:lineRule="auto"/>
        <w:jc w:val="both"/>
        <w:rPr>
          <w:rFonts w:ascii="Century Gothic" w:hAnsi="Century Gothic"/>
          <w:sz w:val="20"/>
          <w:szCs w:val="20"/>
        </w:rPr>
      </w:pPr>
    </w:p>
    <w:p w:rsidRPr="008C140D" w:rsidR="006458FE" w:rsidP="008C140D" w:rsidRDefault="00B30448" w14:paraId="168F2000" w14:textId="3D362DAC">
      <w:pPr>
        <w:spacing w:line="240" w:lineRule="auto"/>
        <w:jc w:val="both"/>
        <w:rPr>
          <w:rFonts w:ascii="Century Gothic" w:hAnsi="Century Gothic"/>
          <w:sz w:val="20"/>
          <w:szCs w:val="20"/>
        </w:rPr>
      </w:pPr>
      <w:r w:rsidRPr="00EB1CF7">
        <w:rPr>
          <w:rFonts w:ascii="Verdana" w:hAnsi="Verdana" w:eastAsia="Geomanist Light" w:cs="Arial"/>
          <w:color w:val="000000" w:themeColor="text1"/>
          <w:lang w:val="es-MX"/>
        </w:rPr>
        <w:lastRenderedPageBreak/>
        <w:t>Bogotá D.C., </w:t>
      </w:r>
      <w:r w:rsidR="006458FE">
        <w:rPr>
          <w:rFonts w:ascii="Verdana" w:hAnsi="Verdana" w:eastAsia="Geomanist Light" w:cs="Arial"/>
          <w:color w:val="201F1E"/>
          <w:lang w:val="es-MX"/>
        </w:rPr>
        <w:t xml:space="preserve">20 de noviembre de 2024 </w:t>
      </w:r>
    </w:p>
    <w:p w:rsidRPr="008C140D" w:rsidR="00BB3BE4" w:rsidP="008C140D" w:rsidRDefault="00AA6A7F" w14:paraId="62AA4AF4" w14:textId="3CE2C244">
      <w:pPr>
        <w:spacing w:after="0" w:line="240" w:lineRule="auto"/>
        <w:jc w:val="right"/>
        <w:rPr>
          <w:rFonts w:ascii="Verdana" w:hAnsi="Verdana" w:eastAsia="Geomanist Light" w:cs="Arial"/>
          <w:color w:val="201F1E"/>
          <w:lang w:val="es-MX"/>
        </w:rPr>
      </w:pPr>
      <w:r w:rsidRPr="00AA6A7F">
        <w:rPr>
          <w:rFonts w:ascii="Verdana" w:hAnsi="Verdana" w:eastAsia="Geomanist Light" w:cs="Arial"/>
          <w:noProof/>
          <w:color w:val="201F1E"/>
          <w:lang w:val="es-MX"/>
        </w:rPr>
        <w:drawing>
          <wp:inline distT="0" distB="0" distL="0" distR="0" wp14:anchorId="1FFCA711" wp14:editId="77958CAB">
            <wp:extent cx="2621280" cy="800100"/>
            <wp:effectExtent l="0" t="0" r="7620" b="0"/>
            <wp:docPr id="772334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1280" cy="800100"/>
                    </a:xfrm>
                    <a:prstGeom prst="rect">
                      <a:avLst/>
                    </a:prstGeom>
                    <a:noFill/>
                    <a:ln>
                      <a:noFill/>
                    </a:ln>
                  </pic:spPr>
                </pic:pic>
              </a:graphicData>
            </a:graphic>
          </wp:inline>
        </w:drawing>
      </w:r>
    </w:p>
    <w:p w:rsidRPr="00EB1CF7" w:rsidR="00B30448" w:rsidP="00CE37A3" w:rsidRDefault="00B30448" w14:paraId="02CC2859" w14:textId="118384AC">
      <w:pPr>
        <w:spacing w:after="0" w:line="240" w:lineRule="auto"/>
        <w:jc w:val="both"/>
        <w:rPr>
          <w:rFonts w:ascii="Verdana" w:hAnsi="Verdana" w:eastAsia="Calibri" w:cs="Arial"/>
          <w:lang w:val="es-ES" w:eastAsia="es-ES"/>
        </w:rPr>
      </w:pPr>
      <w:r w:rsidRPr="00EB1CF7">
        <w:rPr>
          <w:rFonts w:ascii="Verdana" w:hAnsi="Verdana" w:eastAsia="Calibri" w:cs="Arial"/>
          <w:lang w:val="es-ES" w:eastAsia="es-ES"/>
        </w:rPr>
        <w:t>Señor</w:t>
      </w:r>
    </w:p>
    <w:p w:rsidRPr="00EB1CF7" w:rsidR="006D7C99" w:rsidP="00E80D00" w:rsidRDefault="00754252" w14:paraId="1F7917CC" w14:textId="2B1EDFFF">
      <w:pPr>
        <w:spacing w:after="0" w:line="240" w:lineRule="auto"/>
        <w:rPr>
          <w:rFonts w:ascii="Verdana" w:hAnsi="Verdana" w:eastAsia="Calibri" w:cs="Arial"/>
          <w:b/>
          <w:lang w:val="es-ES_tradnl" w:eastAsia="es-ES_tradnl"/>
        </w:rPr>
      </w:pPr>
      <w:r w:rsidRPr="00EB1CF7">
        <w:rPr>
          <w:rFonts w:ascii="Verdana" w:hAnsi="Verdana" w:eastAsia="Calibri" w:cs="Arial"/>
          <w:b/>
          <w:lang w:val="es-ES_tradnl" w:eastAsia="es-ES_tradnl"/>
        </w:rPr>
        <w:t xml:space="preserve">Jeisson Orjuela </w:t>
      </w:r>
    </w:p>
    <w:p w:rsidRPr="00EB1CF7" w:rsidR="00AF7809" w:rsidP="00E80D00" w:rsidRDefault="00AF7809" w14:paraId="3B7601A0" w14:textId="34909C02">
      <w:pPr>
        <w:spacing w:after="0" w:line="240" w:lineRule="auto"/>
        <w:rPr>
          <w:rFonts w:ascii="Verdana" w:hAnsi="Verdana" w:eastAsia="Calibri" w:cs="Arial"/>
          <w:lang w:eastAsia="es-ES"/>
        </w:rPr>
      </w:pPr>
      <w:hyperlink w:history="1" r:id="rId12">
        <w:r w:rsidRPr="00EB1CF7">
          <w:rPr>
            <w:rStyle w:val="Hipervnculo"/>
            <w:rFonts w:ascii="Verdana" w:hAnsi="Verdana" w:eastAsia="Calibri" w:cs="Arial"/>
            <w:lang w:eastAsia="es-ES"/>
          </w:rPr>
          <w:t>orjuela.ing@gmail.com</w:t>
        </w:r>
      </w:hyperlink>
    </w:p>
    <w:p w:rsidRPr="00EB1CF7" w:rsidR="008E6AD9" w:rsidP="00CE37A3" w:rsidRDefault="00AB7BF3" w14:paraId="00081778" w14:textId="63F2588D">
      <w:pPr>
        <w:spacing w:after="0" w:line="240" w:lineRule="auto"/>
        <w:rPr>
          <w:rFonts w:ascii="Verdana" w:hAnsi="Verdana" w:eastAsia="Calibri" w:cs="Arial"/>
          <w:lang w:val="es-ES" w:eastAsia="es-ES"/>
        </w:rPr>
      </w:pPr>
      <w:r w:rsidRPr="00EB1CF7">
        <w:rPr>
          <w:rFonts w:ascii="Verdana" w:hAnsi="Verdana" w:eastAsia="Calibri" w:cs="Arial"/>
          <w:lang w:val="es-ES" w:eastAsia="es-ES"/>
        </w:rPr>
        <w:t>La calera, Cundinamarca</w:t>
      </w:r>
      <w:r w:rsidRPr="00EB1CF7" w:rsidR="00FA0F71">
        <w:rPr>
          <w:rFonts w:ascii="Verdana" w:hAnsi="Verdana" w:eastAsia="Calibri" w:cs="Arial"/>
          <w:lang w:val="es-ES" w:eastAsia="es-ES"/>
        </w:rPr>
        <w:t xml:space="preserve"> </w:t>
      </w:r>
    </w:p>
    <w:p w:rsidRPr="00EB1CF7" w:rsidR="00497575" w:rsidP="00CE37A3" w:rsidRDefault="00497575" w14:paraId="083F7B5B" w14:textId="77777777">
      <w:pPr>
        <w:spacing w:after="0" w:line="240" w:lineRule="auto"/>
        <w:rPr>
          <w:rFonts w:ascii="Verdana" w:hAnsi="Verdana" w:eastAsia="Calibri" w:cs="Arial"/>
          <w:b/>
          <w:bCs/>
          <w:color w:val="000000"/>
          <w:lang w:val="es-ES_tradnl" w:eastAsia="es-ES_tradnl"/>
        </w:rPr>
      </w:pPr>
    </w:p>
    <w:p w:rsidRPr="00EB1CF7" w:rsidR="00B30448" w:rsidP="00CE37A3" w:rsidRDefault="00B30448" w14:paraId="63F71607"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EB1CF7" w:rsidR="00CE37A3" w:rsidTr="000F1AD8" w14:paraId="32935393" w14:textId="77777777">
        <w:trPr>
          <w:trHeight w:val="884"/>
        </w:trPr>
        <w:tc>
          <w:tcPr>
            <w:tcW w:w="2689" w:type="dxa"/>
          </w:tcPr>
          <w:p w:rsidRPr="00EB1CF7" w:rsidR="00CE37A3" w:rsidP="00CE37A3" w:rsidRDefault="00CE37A3" w14:paraId="5615C8B0" w14:textId="77777777">
            <w:pPr>
              <w:jc w:val="both"/>
              <w:rPr>
                <w:rFonts w:ascii="Verdana" w:hAnsi="Verdana" w:eastAsia="Calibri" w:cs="Arial"/>
                <w:b/>
                <w:bCs/>
                <w:color w:val="7030A0"/>
                <w:lang w:val="es-ES_tradnl" w:eastAsia="es-ES_tradnl"/>
              </w:rPr>
            </w:pPr>
          </w:p>
        </w:tc>
        <w:tc>
          <w:tcPr>
            <w:tcW w:w="6100" w:type="dxa"/>
          </w:tcPr>
          <w:p w:rsidRPr="00AA6A7F" w:rsidR="00CE37A3" w:rsidP="00CE37A3" w:rsidRDefault="00CE37A3" w14:paraId="1CC0FC14" w14:textId="1F76C4D3">
            <w:pPr>
              <w:jc w:val="both"/>
              <w:rPr>
                <w:rFonts w:ascii="Verdana" w:hAnsi="Verdana" w:eastAsia="Calibri" w:cs="Arial"/>
                <w:b/>
                <w:bCs/>
                <w:lang w:val="es-ES" w:eastAsia="es-ES"/>
              </w:rPr>
            </w:pPr>
            <w:r w:rsidRPr="00AA6A7F">
              <w:rPr>
                <w:rFonts w:ascii="Verdana" w:hAnsi="Verdana" w:eastAsia="Calibri" w:cs="Arial"/>
                <w:b/>
                <w:bCs/>
                <w:lang w:val="es-ES" w:eastAsia="es-ES"/>
              </w:rPr>
              <w:t>Concepto C</w:t>
            </w:r>
            <w:r w:rsidRPr="00AA6A7F" w:rsidR="008E6AD9">
              <w:rPr>
                <w:rFonts w:ascii="Verdana" w:hAnsi="Verdana" w:eastAsia="Calibri" w:cs="Arial"/>
                <w:b/>
                <w:bCs/>
                <w:lang w:val="es-ES" w:eastAsia="es-ES"/>
              </w:rPr>
              <w:t xml:space="preserve"> –</w:t>
            </w:r>
            <w:r w:rsidRPr="00AA6A7F">
              <w:rPr>
                <w:rFonts w:ascii="Verdana" w:hAnsi="Verdana" w:eastAsia="Calibri" w:cs="Arial"/>
                <w:b/>
                <w:bCs/>
                <w:lang w:val="es-ES" w:eastAsia="es-ES"/>
              </w:rPr>
              <w:t xml:space="preserve"> </w:t>
            </w:r>
            <w:r w:rsidRPr="00AA6A7F" w:rsidR="006D7C99">
              <w:rPr>
                <w:rFonts w:ascii="Verdana" w:hAnsi="Verdana" w:eastAsia="Calibri" w:cs="Arial"/>
                <w:b/>
                <w:bCs/>
                <w:lang w:val="es-ES" w:eastAsia="es-ES"/>
              </w:rPr>
              <w:t>803</w:t>
            </w:r>
            <w:r w:rsidRPr="00AA6A7F">
              <w:rPr>
                <w:rFonts w:ascii="Verdana" w:hAnsi="Verdana" w:eastAsia="Calibri" w:cs="Arial"/>
                <w:b/>
                <w:bCs/>
                <w:lang w:val="es-ES" w:eastAsia="es-ES"/>
              </w:rPr>
              <w:t xml:space="preserve"> de 2024</w:t>
            </w:r>
          </w:p>
        </w:tc>
      </w:tr>
      <w:tr w:rsidRPr="00EB1CF7" w:rsidR="00B30448" w:rsidTr="000F1AD8" w14:paraId="52EC412F" w14:textId="77777777">
        <w:trPr>
          <w:trHeight w:val="884"/>
        </w:trPr>
        <w:tc>
          <w:tcPr>
            <w:tcW w:w="2689" w:type="dxa"/>
          </w:tcPr>
          <w:p w:rsidRPr="00EB1CF7" w:rsidR="00B30448" w:rsidP="00CE37A3" w:rsidRDefault="00B30448" w14:paraId="752B683B" w14:textId="77777777">
            <w:pPr>
              <w:jc w:val="both"/>
              <w:rPr>
                <w:rFonts w:ascii="Verdana" w:hAnsi="Verdana" w:eastAsia="Calibri" w:cs="Arial"/>
                <w:color w:val="000000"/>
                <w:lang w:val="es-ES_tradnl" w:eastAsia="es-ES_tradnl"/>
              </w:rPr>
            </w:pPr>
            <w:r w:rsidRPr="00EB1CF7">
              <w:rPr>
                <w:rFonts w:ascii="Verdana" w:hAnsi="Verdana" w:eastAsia="Calibri" w:cs="Arial"/>
                <w:b/>
                <w:color w:val="000000"/>
                <w:lang w:val="es-ES_tradnl" w:eastAsia="es-ES_tradnl"/>
              </w:rPr>
              <w:t>Temas:</w:t>
            </w:r>
            <w:r w:rsidRPr="00EB1CF7">
              <w:rPr>
                <w:rFonts w:ascii="Verdana" w:hAnsi="Verdana" w:eastAsia="Calibri" w:cs="Arial"/>
                <w:color w:val="000000"/>
                <w:lang w:val="es-ES_tradnl" w:eastAsia="es-ES_tradnl"/>
              </w:rPr>
              <w:t xml:space="preserve">                   </w:t>
            </w:r>
          </w:p>
        </w:tc>
        <w:tc>
          <w:tcPr>
            <w:tcW w:w="6100" w:type="dxa"/>
          </w:tcPr>
          <w:p w:rsidRPr="00EB1CF7" w:rsidR="007B7B52" w:rsidP="007B7B52" w:rsidRDefault="00832D42" w14:paraId="513F84AD" w14:textId="52767B8B">
            <w:pPr>
              <w:jc w:val="both"/>
              <w:rPr>
                <w:rFonts w:ascii="Verdana" w:hAnsi="Verdana" w:eastAsia="Calibri" w:cs="Arial"/>
                <w:lang w:val="es-ES" w:eastAsia="es-ES"/>
              </w:rPr>
            </w:pPr>
            <w:r w:rsidRPr="00EB1CF7">
              <w:rPr>
                <w:rFonts w:ascii="Verdana" w:hAnsi="Verdana" w:eastAsia="Calibri" w:cs="Arial"/>
                <w:lang w:val="es-ES" w:eastAsia="es-ES"/>
              </w:rPr>
              <w:t xml:space="preserve">REQUISITOS HABILITANTES – Noción / REQUISITOS HABILITANTES – Carácter enunciativo / REQUISITOS HABILITANTES – Autonomía de la voluntad de las entidades estatales para establecerlos / SISTEMA DE GESTIÓN DE SEGURIDAD Y SALUD EN EL TRABAJO SG-SST - Contratos Estatales - Evaluación y selección de proveedores y contratistas </w:t>
            </w:r>
          </w:p>
          <w:p w:rsidRPr="00EB1CF7" w:rsidR="00D1484F" w:rsidP="00D1484F" w:rsidRDefault="00D1484F" w14:paraId="1D4AA017" w14:textId="40062F78">
            <w:pPr>
              <w:spacing w:line="276" w:lineRule="auto"/>
              <w:jc w:val="both"/>
              <w:rPr>
                <w:rFonts w:ascii="Verdana" w:hAnsi="Verdana" w:eastAsia="Calibri" w:cs="Arial"/>
                <w:lang w:val="es-ES" w:eastAsia="es-ES"/>
              </w:rPr>
            </w:pPr>
          </w:p>
        </w:tc>
      </w:tr>
      <w:tr w:rsidRPr="00EB1CF7" w:rsidR="008E6AD9" w:rsidTr="000F1AD8" w14:paraId="496C9430" w14:textId="77777777">
        <w:tc>
          <w:tcPr>
            <w:tcW w:w="2689" w:type="dxa"/>
          </w:tcPr>
          <w:p w:rsidRPr="00EB1CF7" w:rsidR="00B30448" w:rsidP="00CE37A3" w:rsidRDefault="00B30448" w14:paraId="4C8D9612" w14:textId="77777777">
            <w:pPr>
              <w:jc w:val="both"/>
              <w:rPr>
                <w:rFonts w:ascii="Verdana" w:hAnsi="Verdana" w:eastAsia="Calibri" w:cs="Arial"/>
                <w:b/>
                <w:lang w:val="es-ES_tradnl" w:eastAsia="es-ES_tradnl"/>
              </w:rPr>
            </w:pPr>
            <w:r w:rsidRPr="00EB1CF7">
              <w:rPr>
                <w:rFonts w:ascii="Verdana" w:hAnsi="Verdana" w:eastAsia="Calibri" w:cs="Arial"/>
                <w:b/>
                <w:lang w:val="es-ES_tradnl" w:eastAsia="es-ES_tradnl"/>
              </w:rPr>
              <w:t>Radicación:</w:t>
            </w:r>
            <w:r w:rsidRPr="00EB1CF7">
              <w:rPr>
                <w:rFonts w:ascii="Verdana" w:hAnsi="Verdana" w:eastAsia="Calibri" w:cs="Arial"/>
                <w:lang w:val="es-ES_tradnl" w:eastAsia="es-ES_tradnl"/>
              </w:rPr>
              <w:t xml:space="preserve">               </w:t>
            </w:r>
          </w:p>
        </w:tc>
        <w:tc>
          <w:tcPr>
            <w:tcW w:w="6100" w:type="dxa"/>
          </w:tcPr>
          <w:p w:rsidRPr="00EB1CF7" w:rsidR="00B30448" w:rsidP="00CE37A3" w:rsidRDefault="00B30448" w14:paraId="6EC2FCE3" w14:textId="1A8854DE">
            <w:pPr>
              <w:jc w:val="both"/>
              <w:rPr>
                <w:rFonts w:ascii="Verdana" w:hAnsi="Verdana" w:eastAsia="Calibri" w:cs="Arial"/>
                <w:lang w:eastAsia="es-ES_tradnl"/>
              </w:rPr>
            </w:pPr>
            <w:r w:rsidRPr="00EB1CF7">
              <w:rPr>
                <w:rFonts w:ascii="Verdana" w:hAnsi="Verdana" w:eastAsia="Calibri" w:cs="Arial"/>
                <w:lang w:val="es-ES_tradnl" w:eastAsia="es-ES_tradnl"/>
              </w:rPr>
              <w:t xml:space="preserve">Respuesta a </w:t>
            </w:r>
            <w:r w:rsidRPr="00EB1CF7" w:rsidR="00B71607">
              <w:rPr>
                <w:rFonts w:ascii="Verdana" w:hAnsi="Verdana" w:eastAsia="Calibri" w:cs="Arial"/>
                <w:lang w:val="es-ES_tradnl" w:eastAsia="es-ES_tradnl"/>
              </w:rPr>
              <w:t xml:space="preserve">la </w:t>
            </w:r>
            <w:r w:rsidRPr="00EB1CF7">
              <w:rPr>
                <w:rFonts w:ascii="Verdana" w:hAnsi="Verdana" w:eastAsia="Calibri" w:cs="Arial"/>
                <w:lang w:val="es-ES_tradnl" w:eastAsia="es-ES_tradnl"/>
              </w:rPr>
              <w:t>consulta</w:t>
            </w:r>
            <w:r w:rsidRPr="00EB1CF7" w:rsidR="009A5453">
              <w:rPr>
                <w:rFonts w:ascii="Verdana" w:hAnsi="Verdana" w:eastAsia="Calibri" w:cs="Arial"/>
                <w:lang w:val="es-ES_tradnl" w:eastAsia="es-ES_tradnl"/>
              </w:rPr>
              <w:t xml:space="preserve"> con radicado No.</w:t>
            </w:r>
            <w:r w:rsidRPr="00EB1CF7">
              <w:rPr>
                <w:rFonts w:ascii="Verdana" w:hAnsi="Verdana" w:eastAsia="Calibri" w:cs="Arial"/>
                <w:lang w:val="es-ES_tradnl" w:eastAsia="es-ES_tradnl"/>
              </w:rPr>
              <w:t xml:space="preserve"> </w:t>
            </w:r>
            <w:r w:rsidRPr="00EB1CF7" w:rsidR="004E7B33">
              <w:rPr>
                <w:rFonts w:ascii="Verdana" w:hAnsi="Verdana" w:eastAsia="Calibri" w:cs="Arial"/>
                <w:lang w:val="es-ES_tradnl" w:eastAsia="es-ES_tradnl"/>
              </w:rPr>
              <w:t>P20241030011035</w:t>
            </w:r>
            <w:r w:rsidRPr="00EB1CF7" w:rsidR="008E6AD9">
              <w:rPr>
                <w:rFonts w:ascii="Verdana" w:hAnsi="Verdana" w:eastAsia="Calibri" w:cs="Arial"/>
                <w:lang w:val="es-ES_tradnl" w:eastAsia="es-ES_tradnl"/>
              </w:rPr>
              <w:t xml:space="preserve">                                   </w:t>
            </w:r>
          </w:p>
        </w:tc>
      </w:tr>
    </w:tbl>
    <w:p w:rsidRPr="00EB1CF7" w:rsidR="00B30448" w:rsidP="00CE37A3" w:rsidRDefault="00B30448" w14:paraId="657DDBDD" w14:textId="77777777">
      <w:pPr>
        <w:spacing w:after="0" w:line="240" w:lineRule="auto"/>
        <w:jc w:val="both"/>
        <w:rPr>
          <w:rFonts w:ascii="Verdana" w:hAnsi="Verdana" w:eastAsia="Calibri" w:cs="Arial"/>
          <w:color w:val="000000"/>
          <w:lang w:val="es-ES_tradnl" w:eastAsia="es-ES_tradnl"/>
        </w:rPr>
      </w:pPr>
    </w:p>
    <w:p w:rsidRPr="00EB1CF7" w:rsidR="00B30448" w:rsidP="00CE37A3" w:rsidRDefault="00B30448" w14:paraId="286892BD" w14:textId="77777777">
      <w:pPr>
        <w:spacing w:after="0" w:line="240" w:lineRule="auto"/>
        <w:jc w:val="both"/>
        <w:rPr>
          <w:rFonts w:ascii="Verdana" w:hAnsi="Verdana" w:eastAsia="Calibri" w:cs="Arial"/>
          <w:color w:val="000000"/>
          <w:lang w:val="es-ES_tradnl" w:eastAsia="es-ES_tradnl"/>
        </w:rPr>
      </w:pPr>
    </w:p>
    <w:p w:rsidRPr="00EB1CF7" w:rsidR="00B30448" w:rsidP="00E84D1C" w:rsidRDefault="00B30448" w14:paraId="4ED23440" w14:textId="5B1B1596">
      <w:pPr>
        <w:spacing w:after="0" w:line="276" w:lineRule="auto"/>
        <w:jc w:val="both"/>
        <w:rPr>
          <w:rFonts w:ascii="Verdana" w:hAnsi="Verdana" w:eastAsia="Calibri" w:cs="Arial"/>
          <w:lang w:val="es-ES" w:eastAsia="es-ES"/>
        </w:rPr>
      </w:pPr>
      <w:r w:rsidRPr="00EB1CF7">
        <w:rPr>
          <w:rFonts w:ascii="Verdana" w:hAnsi="Verdana" w:eastAsia="Calibri" w:cs="Arial"/>
          <w:lang w:val="es-ES" w:eastAsia="es-ES"/>
        </w:rPr>
        <w:t>Estimad</w:t>
      </w:r>
      <w:r w:rsidRPr="00EB1CF7" w:rsidR="00FA0F71">
        <w:rPr>
          <w:rFonts w:ascii="Verdana" w:hAnsi="Verdana" w:eastAsia="Calibri" w:cs="Arial"/>
          <w:lang w:val="es-ES" w:eastAsia="es-ES"/>
        </w:rPr>
        <w:t>o</w:t>
      </w:r>
      <w:r w:rsidRPr="00EB1CF7">
        <w:rPr>
          <w:rFonts w:ascii="Verdana" w:hAnsi="Verdana" w:eastAsia="Calibri" w:cs="Arial"/>
          <w:lang w:val="es-ES" w:eastAsia="es-ES"/>
        </w:rPr>
        <w:t xml:space="preserve"> señor</w:t>
      </w:r>
      <w:r w:rsidRPr="00EB1CF7" w:rsidR="00270443">
        <w:rPr>
          <w:rFonts w:ascii="Verdana" w:hAnsi="Verdana" w:eastAsia="Calibri" w:cs="Arial"/>
          <w:lang w:val="es-ES" w:eastAsia="es-ES"/>
        </w:rPr>
        <w:t xml:space="preserve"> </w:t>
      </w:r>
      <w:r w:rsidRPr="00EB1CF7" w:rsidR="001269B0">
        <w:rPr>
          <w:rFonts w:ascii="Verdana" w:hAnsi="Verdana" w:eastAsia="Calibri" w:cs="Arial"/>
          <w:lang w:val="es-ES" w:eastAsia="es-ES"/>
        </w:rPr>
        <w:t>Orjuela</w:t>
      </w:r>
      <w:r w:rsidRPr="00EB1CF7">
        <w:rPr>
          <w:rFonts w:ascii="Verdana" w:hAnsi="Verdana" w:eastAsia="Calibri" w:cs="Arial"/>
          <w:lang w:val="es-ES" w:eastAsia="es-ES"/>
        </w:rPr>
        <w:t xml:space="preserve">: </w:t>
      </w:r>
    </w:p>
    <w:p w:rsidRPr="00EB1CF7" w:rsidR="0013343F" w:rsidP="00631D4F" w:rsidRDefault="00631D4F" w14:paraId="47D52CB6" w14:textId="28FC249B">
      <w:pPr>
        <w:tabs>
          <w:tab w:val="left" w:pos="3768"/>
        </w:tabs>
        <w:spacing w:after="0" w:line="276" w:lineRule="auto"/>
        <w:jc w:val="both"/>
        <w:rPr>
          <w:rFonts w:ascii="Verdana" w:hAnsi="Verdana" w:eastAsia="Calibri" w:cs="Arial"/>
          <w:color w:val="000000" w:themeColor="text1"/>
          <w:lang w:val="es-ES" w:eastAsia="es-ES"/>
        </w:rPr>
      </w:pPr>
      <w:r w:rsidRPr="00EB1CF7">
        <w:rPr>
          <w:rFonts w:ascii="Verdana" w:hAnsi="Verdana" w:eastAsia="Calibri" w:cs="Arial"/>
          <w:color w:val="000000" w:themeColor="text1"/>
          <w:lang w:val="es-ES" w:eastAsia="es-ES"/>
        </w:rPr>
        <w:tab/>
      </w:r>
    </w:p>
    <w:p w:rsidRPr="00EB1CF7" w:rsidR="009442E8" w:rsidP="00E84D1C" w:rsidRDefault="00B30448" w14:paraId="7A40824C" w14:textId="4592037F">
      <w:pPr>
        <w:spacing w:after="0" w:line="276" w:lineRule="auto"/>
        <w:jc w:val="both"/>
        <w:rPr>
          <w:rFonts w:ascii="Verdana" w:hAnsi="Verdana" w:eastAsia="Calibri" w:cs="Arial"/>
          <w:color w:val="7030A0"/>
          <w:lang w:val="es-ES" w:eastAsia="es-ES"/>
        </w:rPr>
      </w:pPr>
      <w:r w:rsidRPr="00EB1CF7">
        <w:rPr>
          <w:rFonts w:ascii="Verdana" w:hAnsi="Verdana" w:eastAsia="Calibri" w:cs="Arial"/>
          <w:color w:val="000000" w:themeColor="text1"/>
          <w:lang w:val="es-ES" w:eastAsia="es-ES"/>
        </w:rPr>
        <w:t xml:space="preserve">En ejercicio de la competencia otorgada por </w:t>
      </w:r>
      <w:r w:rsidRPr="00EB1CF7" w:rsidR="009A5453">
        <w:rPr>
          <w:rFonts w:ascii="Verdana" w:hAnsi="Verdana" w:eastAsia="Calibri" w:cs="Arial"/>
          <w:color w:val="000000" w:themeColor="text1"/>
          <w:lang w:val="es-ES" w:eastAsia="es-ES"/>
        </w:rPr>
        <w:t>los artículo</w:t>
      </w:r>
      <w:r w:rsidRPr="00EB1CF7" w:rsidR="00AB1984">
        <w:rPr>
          <w:rFonts w:ascii="Verdana" w:hAnsi="Verdana" w:eastAsia="Calibri" w:cs="Arial"/>
          <w:color w:val="000000" w:themeColor="text1"/>
          <w:lang w:val="es-ES" w:eastAsia="es-ES"/>
        </w:rPr>
        <w:t>s</w:t>
      </w:r>
      <w:r w:rsidRPr="00EB1CF7" w:rsidR="009A5453">
        <w:rPr>
          <w:rFonts w:ascii="Verdana" w:hAnsi="Verdana" w:eastAsia="Calibri" w:cs="Arial"/>
          <w:color w:val="000000" w:themeColor="text1"/>
          <w:lang w:val="es-ES" w:eastAsia="es-ES"/>
        </w:rPr>
        <w:t xml:space="preserve"> 3,</w:t>
      </w:r>
      <w:r w:rsidRPr="00EB1CF7">
        <w:rPr>
          <w:rFonts w:ascii="Verdana" w:hAnsi="Verdana" w:eastAsia="Calibri" w:cs="Arial"/>
          <w:color w:val="000000" w:themeColor="text1"/>
          <w:lang w:val="es-ES" w:eastAsia="es-ES"/>
        </w:rPr>
        <w:t xml:space="preserve"> numeral </w:t>
      </w:r>
      <w:r w:rsidRPr="00EB1CF7" w:rsidR="009A5453">
        <w:rPr>
          <w:rFonts w:ascii="Verdana" w:hAnsi="Verdana" w:eastAsia="Calibri" w:cs="Arial"/>
          <w:color w:val="000000" w:themeColor="text1"/>
          <w:lang w:val="es-ES" w:eastAsia="es-ES"/>
        </w:rPr>
        <w:t>5</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w:t>
      </w:r>
      <w:r w:rsidRPr="00EB1CF7" w:rsidR="009A5453">
        <w:rPr>
          <w:rFonts w:ascii="Verdana" w:hAnsi="Verdana" w:eastAsia="Calibri" w:cs="Arial"/>
          <w:color w:val="000000" w:themeColor="text1"/>
          <w:lang w:val="es-ES" w:eastAsia="es-ES"/>
        </w:rPr>
        <w:t>y</w:t>
      </w:r>
      <w:r w:rsidRPr="00EB1CF7">
        <w:rPr>
          <w:rFonts w:ascii="Verdana" w:hAnsi="Verdana" w:eastAsia="Calibri" w:cs="Arial"/>
          <w:color w:val="000000" w:themeColor="text1"/>
          <w:lang w:val="es-ES" w:eastAsia="es-ES"/>
        </w:rPr>
        <w:t xml:space="preserve"> 11</w:t>
      </w:r>
      <w:r w:rsidRPr="00EB1CF7" w:rsidR="00F64D5A">
        <w:rPr>
          <w:rFonts w:ascii="Verdana" w:hAnsi="Verdana" w:eastAsia="Calibri" w:cs="Arial"/>
          <w:color w:val="000000" w:themeColor="text1"/>
          <w:lang w:val="es-ES" w:eastAsia="es-ES"/>
        </w:rPr>
        <w:t>,</w:t>
      </w:r>
      <w:r w:rsidRPr="00EB1CF7" w:rsidR="00AB1984">
        <w:rPr>
          <w:rFonts w:ascii="Verdana" w:hAnsi="Verdana" w:eastAsia="Calibri" w:cs="Arial"/>
          <w:color w:val="000000" w:themeColor="text1"/>
          <w:lang w:val="es-ES" w:eastAsia="es-ES"/>
        </w:rPr>
        <w:t xml:space="preserve"> </w:t>
      </w:r>
      <w:r w:rsidRPr="00EB1CF7">
        <w:rPr>
          <w:rFonts w:ascii="Verdana" w:hAnsi="Verdana" w:eastAsia="Calibri" w:cs="Arial"/>
          <w:color w:val="000000" w:themeColor="text1"/>
          <w:lang w:val="es-ES" w:eastAsia="es-ES"/>
        </w:rPr>
        <w:t xml:space="preserve">numeral </w:t>
      </w:r>
      <w:r w:rsidRPr="00EB1CF7" w:rsidR="00AB1984">
        <w:rPr>
          <w:rFonts w:ascii="Verdana" w:hAnsi="Verdana" w:eastAsia="Calibri" w:cs="Arial"/>
          <w:color w:val="000000" w:themeColor="text1"/>
          <w:lang w:val="es-ES" w:eastAsia="es-ES"/>
        </w:rPr>
        <w:t>8</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del Decreto Ley 4170 de 2011,</w:t>
      </w:r>
      <w:r w:rsidRPr="00EB1CF7">
        <w:rPr>
          <w:rFonts w:ascii="Verdana" w:hAnsi="Verdana" w:eastAsia="Arial MT" w:cs="Arial MT"/>
          <w:lang w:val="es-ES" w:eastAsia="es-ES"/>
        </w:rPr>
        <w:t xml:space="preserve"> </w:t>
      </w:r>
      <w:r w:rsidRPr="00EB1CF7" w:rsidR="002A0F8D">
        <w:rPr>
          <w:rFonts w:ascii="Verdana" w:hAnsi="Verdana" w:cs="Arial"/>
        </w:rPr>
        <w:t xml:space="preserve">así como lo establecido en </w:t>
      </w:r>
      <w:r w:rsidRPr="00EB1CF7" w:rsidR="00DC2C48">
        <w:rPr>
          <w:rFonts w:ascii="Verdana" w:hAnsi="Verdana" w:cs="Arial"/>
        </w:rPr>
        <w:t xml:space="preserve">el artículo 4 de </w:t>
      </w:r>
      <w:r w:rsidRPr="00EB1CF7" w:rsidR="002A0F8D">
        <w:rPr>
          <w:rFonts w:ascii="Verdana" w:hAnsi="Verdana" w:cs="Arial"/>
        </w:rPr>
        <w:t xml:space="preserve">la Resolución 1707 de 2018 expedida por esta Entidad, </w:t>
      </w:r>
      <w:r w:rsidRPr="00EB1CF7">
        <w:rPr>
          <w:rFonts w:ascii="Verdana" w:hAnsi="Verdana" w:eastAsia="Calibri" w:cs="Arial"/>
          <w:color w:val="000000" w:themeColor="text1"/>
          <w:lang w:val="es-ES" w:eastAsia="es-ES"/>
        </w:rPr>
        <w:t>la Agencia Nacional de Contratación Pública – Colombia Compra Eficiente responde su solicitud de</w:t>
      </w:r>
      <w:r w:rsidRPr="00EB1CF7" w:rsidR="004612A4">
        <w:rPr>
          <w:rFonts w:ascii="Verdana" w:hAnsi="Verdana" w:eastAsia="Calibri" w:cs="Arial"/>
          <w:color w:val="000000" w:themeColor="text1"/>
          <w:lang w:val="es-ES" w:eastAsia="es-ES"/>
        </w:rPr>
        <w:t>l</w:t>
      </w:r>
      <w:r w:rsidRPr="00EB1CF7" w:rsidR="00DC2C48">
        <w:rPr>
          <w:rFonts w:ascii="Verdana" w:hAnsi="Verdana" w:eastAsia="Calibri" w:cs="Arial"/>
          <w:color w:val="000000" w:themeColor="text1"/>
          <w:lang w:val="es-ES" w:eastAsia="es-ES"/>
        </w:rPr>
        <w:t xml:space="preserve"> </w:t>
      </w:r>
      <w:r w:rsidRPr="00EB1CF7" w:rsidR="001269B0">
        <w:rPr>
          <w:rFonts w:ascii="Verdana" w:hAnsi="Verdana" w:eastAsia="Calibri" w:cs="Arial"/>
          <w:lang w:val="es-ES" w:eastAsia="es-ES"/>
        </w:rPr>
        <w:t>30</w:t>
      </w:r>
      <w:r w:rsidRPr="00EB1CF7" w:rsidR="00772B41">
        <w:rPr>
          <w:rFonts w:ascii="Verdana" w:hAnsi="Verdana" w:eastAsia="Calibri" w:cs="Arial"/>
          <w:lang w:val="es-ES" w:eastAsia="es-ES"/>
        </w:rPr>
        <w:t xml:space="preserve"> de </w:t>
      </w:r>
      <w:r w:rsidRPr="00EB1CF7" w:rsidR="004410D3">
        <w:rPr>
          <w:rFonts w:ascii="Verdana" w:hAnsi="Verdana" w:eastAsia="Calibri" w:cs="Arial"/>
          <w:lang w:val="es-ES" w:eastAsia="es-ES"/>
        </w:rPr>
        <w:t>octubre</w:t>
      </w:r>
      <w:r w:rsidRPr="00EB1CF7">
        <w:rPr>
          <w:rFonts w:ascii="Verdana" w:hAnsi="Verdana" w:eastAsia="Calibri" w:cs="Arial"/>
          <w:lang w:val="es-ES" w:eastAsia="es-ES"/>
        </w:rPr>
        <w:t xml:space="preserve"> de 20</w:t>
      </w:r>
      <w:r w:rsidRPr="00EB1CF7" w:rsidR="008E6AD9">
        <w:rPr>
          <w:rFonts w:ascii="Verdana" w:hAnsi="Verdana" w:eastAsia="Calibri" w:cs="Arial"/>
          <w:lang w:val="es-ES" w:eastAsia="es-ES"/>
        </w:rPr>
        <w:t>24</w:t>
      </w:r>
      <w:r w:rsidRPr="00EB1CF7" w:rsidR="00057963">
        <w:rPr>
          <w:rFonts w:ascii="Verdana" w:hAnsi="Verdana" w:eastAsia="Calibri" w:cs="Arial"/>
          <w:lang w:val="es-ES" w:eastAsia="es-ES"/>
        </w:rPr>
        <w:t>,</w:t>
      </w:r>
      <w:r w:rsidRPr="00EB1CF7" w:rsidR="00772B41">
        <w:rPr>
          <w:rFonts w:ascii="Verdana" w:hAnsi="Verdana" w:eastAsia="Calibri" w:cs="Arial"/>
          <w:lang w:val="es-ES" w:eastAsia="es-ES"/>
        </w:rPr>
        <w:t xml:space="preserve"> </w:t>
      </w:r>
      <w:r w:rsidRPr="00EB1CF7" w:rsidR="00057963">
        <w:rPr>
          <w:rFonts w:ascii="Verdana" w:hAnsi="Verdana" w:eastAsia="Calibri" w:cs="Arial"/>
          <w:lang w:val="es-ES" w:eastAsia="es-ES"/>
        </w:rPr>
        <w:t>en la cua</w:t>
      </w:r>
      <w:r w:rsidRPr="00EB1CF7" w:rsidR="008E6AD9">
        <w:rPr>
          <w:rFonts w:ascii="Verdana" w:hAnsi="Verdana" w:eastAsia="Calibri" w:cs="Arial"/>
          <w:lang w:val="es-ES" w:eastAsia="es-ES"/>
        </w:rPr>
        <w:t xml:space="preserve">l </w:t>
      </w:r>
      <w:r w:rsidRPr="00EB1CF7" w:rsidR="00F535A9">
        <w:rPr>
          <w:rFonts w:ascii="Verdana" w:hAnsi="Verdana" w:eastAsia="Calibri" w:cs="Arial"/>
          <w:lang w:val="es-ES" w:eastAsia="es-ES"/>
        </w:rPr>
        <w:t>pregunta sobre</w:t>
      </w:r>
      <w:r w:rsidRPr="00EB1CF7" w:rsidR="006021B1">
        <w:rPr>
          <w:rFonts w:ascii="Verdana" w:hAnsi="Verdana" w:eastAsia="Calibri" w:cs="Arial"/>
          <w:lang w:val="es-ES" w:eastAsia="es-ES"/>
        </w:rPr>
        <w:t xml:space="preserve"> lo siguiente</w:t>
      </w:r>
      <w:r w:rsidRPr="00EB1CF7" w:rsidR="00057963">
        <w:rPr>
          <w:rFonts w:ascii="Verdana" w:hAnsi="Verdana" w:eastAsia="Calibri" w:cs="Arial"/>
          <w:lang w:val="es-ES" w:eastAsia="es-ES"/>
        </w:rPr>
        <w:t xml:space="preserve">: </w:t>
      </w:r>
    </w:p>
    <w:p w:rsidRPr="00EB1CF7" w:rsidR="00057963" w:rsidP="00057963" w:rsidRDefault="00057963" w14:paraId="38A0ECFE" w14:textId="24979823">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B1CF7" w:rsidR="00FC6D4E" w:rsidP="00C533A0" w:rsidRDefault="00FC6D4E" w14:paraId="0AC299D8" w14:textId="3D3996B8">
      <w:pPr>
        <w:spacing w:after="0" w:line="240" w:lineRule="auto"/>
        <w:ind w:left="709" w:right="709"/>
        <w:jc w:val="both"/>
        <w:rPr>
          <w:rFonts w:ascii="Verdana" w:hAnsi="Verdana" w:eastAsia="Century Gothic" w:cs="Century Gothic"/>
          <w:i/>
          <w:iCs/>
          <w:sz w:val="21"/>
          <w:szCs w:val="21"/>
        </w:rPr>
      </w:pPr>
      <w:bookmarkStart w:name="_Hlk95313578" w:id="0"/>
      <w:r w:rsidRPr="00EB1CF7">
        <w:rPr>
          <w:rFonts w:ascii="Verdana" w:hAnsi="Verdana" w:eastAsia="Century Gothic" w:cs="Century Gothic"/>
          <w:i/>
          <w:iCs/>
          <w:sz w:val="21"/>
          <w:szCs w:val="21"/>
          <w:lang w:val="es-ES"/>
        </w:rPr>
        <w:t>“</w:t>
      </w:r>
      <w:bookmarkEnd w:id="0"/>
      <w:r w:rsidRPr="00EB1CF7" w:rsidR="00C533A0">
        <w:rPr>
          <w:rFonts w:ascii="Verdana" w:hAnsi="Verdana" w:eastAsia="Century Gothic" w:cs="Century Gothic"/>
          <w:i/>
          <w:iCs/>
          <w:sz w:val="21"/>
          <w:szCs w:val="21"/>
          <w:lang w:val="es-ES"/>
        </w:rPr>
        <w:t xml:space="preserve">(…) </w:t>
      </w:r>
      <w:r w:rsidRPr="00EB1CF7" w:rsidR="00FE1370">
        <w:rPr>
          <w:rFonts w:ascii="Verdana" w:hAnsi="Verdana" w:eastAsia="Century Gothic" w:cs="Century Gothic"/>
          <w:i/>
          <w:iCs/>
          <w:sz w:val="21"/>
          <w:szCs w:val="21"/>
        </w:rPr>
        <w:t>solicito amablemente se me informe si a la fecha dentro de los procesos precontractuales, es requisito habilitante el DECRETO 1072 DE 2015 (26 DE MAYO 2015), VERSIÓN ACTUALIZADA A ABRIL DE 2024 "Por medio del cual se expide el Decreto Único Reglamentario del Sector Trabajo"; considerando que en</w:t>
      </w:r>
      <w:r w:rsidRPr="00EB1CF7" w:rsidR="004C596B">
        <w:rPr>
          <w:rFonts w:ascii="Verdana" w:hAnsi="Verdana" w:eastAsia="Century Gothic" w:cs="Century Gothic"/>
          <w:i/>
          <w:iCs/>
          <w:sz w:val="21"/>
          <w:szCs w:val="21"/>
        </w:rPr>
        <w:t xml:space="preserve"> (sic)</w:t>
      </w:r>
      <w:r w:rsidRPr="00EB1CF7" w:rsidR="00FE1370">
        <w:rPr>
          <w:rFonts w:ascii="Verdana" w:hAnsi="Verdana" w:eastAsia="Century Gothic" w:cs="Century Gothic"/>
          <w:i/>
          <w:iCs/>
          <w:sz w:val="21"/>
          <w:szCs w:val="21"/>
        </w:rPr>
        <w:t xml:space="preserve"> he revisado diferentes </w:t>
      </w:r>
      <w:r w:rsidRPr="00EB1CF7" w:rsidR="00FE1370">
        <w:rPr>
          <w:rFonts w:ascii="Verdana" w:hAnsi="Verdana" w:eastAsia="Century Gothic" w:cs="Century Gothic"/>
          <w:i/>
          <w:iCs/>
          <w:sz w:val="21"/>
          <w:szCs w:val="21"/>
        </w:rPr>
        <w:lastRenderedPageBreak/>
        <w:t>procesos en los cuales solicitan los 60 requisitos establecidos en el presente decreto, como habilitante en los procesos, siendo esto en casos causal de rechazo por el no cumplimiento del lleno de los requisitos en la etapa de evaluación de la oferta</w:t>
      </w:r>
      <w:r w:rsidRPr="00EB1CF7" w:rsidR="00497575">
        <w:rPr>
          <w:rFonts w:ascii="Verdana" w:hAnsi="Verdana" w:eastAsia="Century Gothic" w:cs="Century Gothic"/>
          <w:i/>
          <w:iCs/>
          <w:sz w:val="21"/>
          <w:szCs w:val="21"/>
          <w:lang w:val="es-ES"/>
        </w:rPr>
        <w:t>”</w:t>
      </w:r>
      <w:r w:rsidRPr="00EB1CF7">
        <w:rPr>
          <w:rFonts w:ascii="Verdana" w:hAnsi="Verdana" w:eastAsia="Century Gothic" w:cs="Century Gothic"/>
          <w:i/>
          <w:iCs/>
          <w:sz w:val="21"/>
          <w:szCs w:val="21"/>
          <w:lang w:val="es-ES"/>
        </w:rPr>
        <w:t>.</w:t>
      </w:r>
      <w:r w:rsidRPr="00EB1CF7" w:rsidR="008F3AC3">
        <w:rPr>
          <w:rFonts w:ascii="Verdana" w:hAnsi="Verdana" w:eastAsia="Century Gothic" w:cs="Century Gothic"/>
          <w:i/>
          <w:iCs/>
          <w:sz w:val="20"/>
          <w:szCs w:val="20"/>
          <w:lang w:val="es-ES"/>
        </w:rPr>
        <w:t xml:space="preserve"> </w:t>
      </w:r>
    </w:p>
    <w:p w:rsidRPr="00EB1CF7" w:rsidR="00FC6D4E" w:rsidP="00057963" w:rsidRDefault="00FC6D4E" w14:paraId="4001D734" w14:textId="527E7727">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B1CF7" w:rsidR="00992986" w:rsidP="00A652FF" w:rsidRDefault="008F27E3" w14:paraId="4ACC697B" w14:textId="03ADFEDB">
      <w:pPr>
        <w:spacing w:after="12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De manera preliminar</w:t>
      </w:r>
      <w:r w:rsidRPr="00EB1CF7" w:rsidR="00FC6D4E">
        <w:rPr>
          <w:rFonts w:ascii="Verdana" w:hAnsi="Verdana" w:eastAsia="Calibri"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sidR="00FC6D4E">
        <w:rPr>
          <w:rFonts w:ascii="Verdana" w:hAnsi="Verdana" w:eastAsia="Calibri" w:cs="Arial"/>
          <w:color w:val="000000"/>
          <w:szCs w:val="24"/>
          <w:lang w:val="es-ES_tradnl" w:eastAsia="es-ES_tradnl"/>
        </w:rPr>
        <w:tab/>
      </w:r>
    </w:p>
    <w:p w:rsidRPr="00EB1CF7" w:rsidR="00FC6D4E" w:rsidP="001918F1" w:rsidRDefault="00FC6D4E" w14:paraId="07856852" w14:textId="3C3CEEED">
      <w:pPr>
        <w:spacing w:after="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Pr="00EB1CF7" w:rsidR="00992986">
        <w:rPr>
          <w:rFonts w:ascii="Verdana" w:hAnsi="Verdana" w:eastAsia="Calibri" w:cs="Arial"/>
          <w:color w:val="000000"/>
          <w:lang w:val="es-ES" w:eastAsia="es-ES"/>
        </w:rPr>
        <w:t>s circunstancias</w:t>
      </w:r>
      <w:r w:rsidRPr="00EB1CF7">
        <w:rPr>
          <w:rFonts w:ascii="Verdana" w:hAnsi="Verdana" w:eastAsia="Calibri" w:cs="Arial"/>
          <w:color w:val="000000"/>
          <w:lang w:val="es-ES" w:eastAsia="es-ES"/>
        </w:rPr>
        <w:t xml:space="preserve"> particular</w:t>
      </w:r>
      <w:r w:rsidRPr="00EB1CF7" w:rsidR="00992986">
        <w:rPr>
          <w:rFonts w:ascii="Verdana" w:hAnsi="Verdana" w:eastAsia="Calibri" w:cs="Arial"/>
          <w:color w:val="000000"/>
          <w:lang w:val="es-ES" w:eastAsia="es-ES"/>
        </w:rPr>
        <w:t>es</w:t>
      </w:r>
      <w:r w:rsidRPr="00EB1CF7">
        <w:rPr>
          <w:rFonts w:ascii="Verdana" w:hAnsi="Verdana" w:eastAsia="Calibri" w:cs="Arial"/>
          <w:color w:val="000000"/>
          <w:lang w:val="es-ES" w:eastAsia="es-ES"/>
        </w:rPr>
        <w:t xml:space="preserve"> y concreta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mencionada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en </w:t>
      </w:r>
      <w:r w:rsidRPr="00EB1CF7" w:rsidR="00C638A6">
        <w:rPr>
          <w:rFonts w:ascii="Verdana" w:hAnsi="Verdana" w:eastAsia="Calibri" w:cs="Arial"/>
          <w:color w:val="000000"/>
          <w:lang w:val="es-ES" w:eastAsia="es-ES"/>
        </w:rPr>
        <w:t>la</w:t>
      </w:r>
      <w:r w:rsidRPr="00EB1CF7" w:rsidR="00D76E76">
        <w:rPr>
          <w:rFonts w:ascii="Verdana" w:hAnsi="Verdana" w:eastAsia="Calibri" w:cs="Arial"/>
          <w:color w:val="000000"/>
          <w:lang w:val="es-ES" w:eastAsia="es-ES"/>
        </w:rPr>
        <w:t xml:space="preserve">s </w:t>
      </w:r>
      <w:r w:rsidRPr="00EB1CF7" w:rsidR="00C638A6">
        <w:rPr>
          <w:rFonts w:ascii="Verdana" w:hAnsi="Verdana" w:eastAsia="Calibri" w:cs="Arial"/>
          <w:color w:val="000000"/>
          <w:lang w:val="es-ES" w:eastAsia="es-ES"/>
        </w:rPr>
        <w:t>pregunta</w:t>
      </w:r>
      <w:r w:rsidRPr="00EB1CF7" w:rsidR="00D76E76">
        <w:rPr>
          <w:rFonts w:ascii="Verdana" w:hAnsi="Verdana" w:eastAsia="Calibri" w:cs="Arial"/>
          <w:color w:val="000000"/>
          <w:lang w:val="es-ES" w:eastAsia="es-ES"/>
        </w:rPr>
        <w:t>s</w:t>
      </w:r>
      <w:r w:rsidRPr="00EB1CF7" w:rsidR="00C638A6">
        <w:rPr>
          <w:rFonts w:ascii="Verdana" w:hAnsi="Verdana" w:eastAsia="Calibri" w:cs="Arial"/>
          <w:color w:val="000000"/>
          <w:lang w:val="es-ES" w:eastAsia="es-ES"/>
        </w:rPr>
        <w:t xml:space="preserve"> de la</w:t>
      </w:r>
      <w:r w:rsidRPr="00EB1CF7">
        <w:rPr>
          <w:rFonts w:ascii="Verdana" w:hAnsi="Verdana" w:eastAsia="Calibri" w:cs="Arial"/>
          <w:color w:val="000000"/>
          <w:lang w:val="es-ES" w:eastAsia="es-ES"/>
        </w:rPr>
        <w:t xml:space="preserve"> petición, pero haciendo unas consideraciones sobre las normas generales relacionadas con </w:t>
      </w:r>
      <w:r w:rsidRPr="00EB1CF7" w:rsidR="00A513FD">
        <w:rPr>
          <w:rFonts w:ascii="Verdana" w:hAnsi="Verdana" w:eastAsia="Calibri" w:cs="Arial"/>
          <w:color w:val="000000"/>
          <w:lang w:val="es-ES" w:eastAsia="es-ES"/>
        </w:rPr>
        <w:t>el</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problema</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jurídico</w:t>
      </w:r>
      <w:r w:rsidRPr="00EB1CF7" w:rsidR="00A513FD">
        <w:rPr>
          <w:rFonts w:ascii="Verdana" w:hAnsi="Verdana" w:eastAsia="Calibri" w:cs="Arial"/>
          <w:color w:val="7030A0"/>
          <w:lang w:val="es-ES" w:eastAsia="es-ES"/>
        </w:rPr>
        <w:t xml:space="preserve"> </w:t>
      </w:r>
      <w:r w:rsidRPr="00EB1CF7" w:rsidR="00343B47">
        <w:rPr>
          <w:rFonts w:ascii="Verdana" w:hAnsi="Verdana" w:eastAsia="Calibri" w:cs="Arial"/>
          <w:color w:val="000000"/>
          <w:lang w:val="es-ES" w:eastAsia="es-ES"/>
        </w:rPr>
        <w:t>de su</w:t>
      </w:r>
      <w:r w:rsidRPr="00EB1CF7">
        <w:rPr>
          <w:rFonts w:ascii="Verdana" w:hAnsi="Verdana" w:eastAsia="Calibri" w:cs="Arial"/>
          <w:color w:val="000000"/>
          <w:lang w:val="es-ES" w:eastAsia="es-ES"/>
        </w:rPr>
        <w:t xml:space="preserve"> consulta. </w:t>
      </w:r>
    </w:p>
    <w:p w:rsidRPr="00EB1CF7" w:rsidR="001918F1" w:rsidP="001918F1" w:rsidRDefault="001918F1" w14:paraId="10320261" w14:textId="77777777">
      <w:pPr>
        <w:spacing w:after="0" w:line="276" w:lineRule="auto"/>
        <w:ind w:firstLine="709"/>
        <w:jc w:val="both"/>
        <w:rPr>
          <w:rFonts w:ascii="Verdana" w:hAnsi="Verdana" w:eastAsia="Calibri" w:cs="Arial"/>
          <w:color w:val="000000"/>
          <w:lang w:val="es-ES" w:eastAsia="es-ES"/>
        </w:rPr>
      </w:pPr>
    </w:p>
    <w:p w:rsidRPr="00EB1CF7" w:rsidR="00E84D1C" w:rsidP="00E84D1C" w:rsidRDefault="00E84D1C" w14:paraId="1DF0C9FE" w14:textId="2A6D862D">
      <w:pPr>
        <w:pStyle w:val="Prrafodelista"/>
        <w:numPr>
          <w:ilvl w:val="0"/>
          <w:numId w:val="1"/>
        </w:numPr>
        <w:tabs>
          <w:tab w:val="left" w:pos="142"/>
          <w:tab w:val="left" w:pos="284"/>
        </w:tabs>
        <w:spacing w:line="276" w:lineRule="auto"/>
        <w:ind w:left="0" w:firstLine="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Problema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planteado</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3981D497" w14:textId="77777777">
      <w:pPr>
        <w:tabs>
          <w:tab w:val="left" w:pos="426"/>
        </w:tabs>
        <w:spacing w:after="0" w:line="276" w:lineRule="auto"/>
        <w:jc w:val="both"/>
        <w:rPr>
          <w:rFonts w:ascii="Verdana" w:hAnsi="Verdana" w:eastAsia="Century Gothic" w:cs="Century Gothic"/>
          <w:lang w:val="es-ES"/>
        </w:rPr>
      </w:pPr>
    </w:p>
    <w:p w:rsidRPr="00EB1CF7" w:rsidR="00E84D1C" w:rsidP="00E84D1C" w:rsidRDefault="008F27E3" w14:paraId="348E2D36" w14:textId="04867296">
      <w:pPr>
        <w:spacing w:after="0" w:line="276" w:lineRule="auto"/>
        <w:jc w:val="both"/>
        <w:rPr>
          <w:rFonts w:ascii="Verdana" w:hAnsi="Verdana" w:eastAsia="Century Gothic" w:cs="Century Gothic"/>
        </w:rPr>
      </w:pPr>
      <w:r w:rsidRPr="00EB1CF7">
        <w:rPr>
          <w:rFonts w:ascii="Verdana" w:hAnsi="Verdana" w:eastAsia="Century Gothic" w:cs="Century Gothic"/>
        </w:rPr>
        <w:t>D</w:t>
      </w:r>
      <w:r w:rsidRPr="00EB1CF7" w:rsidR="00343B47">
        <w:rPr>
          <w:rFonts w:ascii="Verdana" w:hAnsi="Verdana" w:eastAsia="Century Gothic" w:cs="Century Gothic"/>
        </w:rPr>
        <w:t xml:space="preserve">e acuerdo con el contenido de </w:t>
      </w:r>
      <w:r w:rsidRPr="00EB1CF7" w:rsidR="00FC6D4E">
        <w:rPr>
          <w:rFonts w:ascii="Verdana" w:hAnsi="Verdana" w:eastAsia="Century Gothic" w:cs="Century Gothic"/>
        </w:rPr>
        <w:t xml:space="preserve">su solicitud, esta Agencia resolverá </w:t>
      </w:r>
      <w:r w:rsidRPr="00EB1CF7" w:rsidR="00CF5BE0">
        <w:rPr>
          <w:rFonts w:ascii="Verdana" w:hAnsi="Verdana" w:eastAsia="Century Gothic" w:cs="Century Gothic"/>
        </w:rPr>
        <w:t>el siguiente</w:t>
      </w:r>
      <w:r w:rsidRPr="00EB1CF7" w:rsidR="00D86D55">
        <w:rPr>
          <w:rFonts w:ascii="Verdana" w:hAnsi="Verdana" w:eastAsia="Century Gothic" w:cs="Century Gothic"/>
        </w:rPr>
        <w:t xml:space="preserve"> </w:t>
      </w:r>
      <w:r w:rsidRPr="00EB1CF7" w:rsidR="00FC6D4E">
        <w:rPr>
          <w:rFonts w:ascii="Verdana" w:hAnsi="Verdana" w:eastAsia="Century Gothic" w:cs="Century Gothic"/>
        </w:rPr>
        <w:t xml:space="preserve">problema jurídico: </w:t>
      </w:r>
      <w:r w:rsidRPr="00EB1CF7" w:rsidR="004B53F1">
        <w:rPr>
          <w:rFonts w:ascii="Verdana" w:hAnsi="Verdana" w:eastAsia="Century Gothic" w:cs="Century Gothic"/>
        </w:rPr>
        <w:t xml:space="preserve">¿Es valida </w:t>
      </w:r>
      <w:r w:rsidRPr="00EB1CF7" w:rsidR="007F4FBC">
        <w:rPr>
          <w:rFonts w:ascii="Verdana" w:hAnsi="Verdana" w:eastAsia="Century Gothic" w:cs="Century Gothic"/>
        </w:rPr>
        <w:t>l</w:t>
      </w:r>
      <w:r w:rsidRPr="00EB1CF7" w:rsidR="00FB183E">
        <w:rPr>
          <w:rFonts w:ascii="Verdana" w:hAnsi="Verdana" w:eastAsia="Century Gothic" w:cs="Century Gothic"/>
        </w:rPr>
        <w:t xml:space="preserve">a exigencia del Sistema de Gestión de Seguridad y Salud en el Trabajo </w:t>
      </w:r>
      <w:r w:rsidRPr="00EB1CF7" w:rsidR="005C7DDC">
        <w:rPr>
          <w:rFonts w:ascii="Verdana" w:hAnsi="Verdana" w:eastAsia="Century Gothic" w:cs="Century Gothic"/>
        </w:rPr>
        <w:t xml:space="preserve">establecida en </w:t>
      </w:r>
      <w:r w:rsidRPr="00EB1CF7" w:rsidR="00B23F4C">
        <w:rPr>
          <w:rFonts w:ascii="Verdana" w:hAnsi="Verdana" w:eastAsia="Century Gothic" w:cs="Century Gothic"/>
        </w:rPr>
        <w:t>el</w:t>
      </w:r>
      <w:r w:rsidRPr="00EB1CF7" w:rsidR="005C7DDC">
        <w:rPr>
          <w:rFonts w:ascii="Verdana" w:hAnsi="Verdana" w:eastAsia="Century Gothic" w:cs="Century Gothic"/>
        </w:rPr>
        <w:t xml:space="preserve"> Decreto 1075 de 2015 </w:t>
      </w:r>
      <w:r w:rsidRPr="00EB1CF7" w:rsidR="00FB183E">
        <w:rPr>
          <w:rFonts w:ascii="Verdana" w:hAnsi="Verdana" w:eastAsia="Century Gothic" w:cs="Century Gothic"/>
        </w:rPr>
        <w:t xml:space="preserve">como </w:t>
      </w:r>
      <w:r w:rsidRPr="00EB1CF7" w:rsidR="003D37B6">
        <w:rPr>
          <w:rFonts w:ascii="Verdana" w:hAnsi="Verdana" w:eastAsia="Century Gothic" w:cs="Century Gothic"/>
        </w:rPr>
        <w:t xml:space="preserve">un </w:t>
      </w:r>
      <w:r w:rsidRPr="00EB1CF7" w:rsidR="00FB183E">
        <w:rPr>
          <w:rFonts w:ascii="Verdana" w:hAnsi="Verdana" w:eastAsia="Century Gothic" w:cs="Century Gothic"/>
        </w:rPr>
        <w:t>requisito habilitante en los procesos de selección de contratistas del Estado</w:t>
      </w:r>
      <w:r w:rsidRPr="00EB1CF7" w:rsidR="00F567A4">
        <w:rPr>
          <w:rFonts w:ascii="Verdana" w:hAnsi="Verdana" w:eastAsia="Century Gothic" w:cs="Century Gothic"/>
        </w:rPr>
        <w:t>?</w:t>
      </w:r>
      <w:r w:rsidRPr="00EB1CF7" w:rsidR="007F4FBC">
        <w:rPr>
          <w:rFonts w:ascii="Verdana" w:hAnsi="Verdana" w:eastAsia="Century Gothic" w:cs="Century Gothic"/>
        </w:rPr>
        <w:t xml:space="preserve"> </w:t>
      </w:r>
    </w:p>
    <w:p w:rsidRPr="00EB1CF7" w:rsidR="00E84D1C" w:rsidP="00E84D1C" w:rsidRDefault="00E84D1C" w14:paraId="31CA4CF9" w14:textId="77777777">
      <w:pPr>
        <w:spacing w:after="0" w:line="276" w:lineRule="auto"/>
        <w:jc w:val="both"/>
        <w:rPr>
          <w:rFonts w:ascii="Verdana" w:hAnsi="Verdana" w:eastAsia="Calibri" w:cs="Arial"/>
          <w:color w:val="7030A0"/>
        </w:rPr>
      </w:pPr>
    </w:p>
    <w:p w:rsidRPr="00EB1CF7" w:rsidR="00E84D1C" w:rsidP="00E84D1C" w:rsidRDefault="00E84D1C" w14:paraId="74205EE3" w14:textId="46C13E2B">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Respuesta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4FCBB89E" w14:textId="1BF4BDFA">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EB1CF7" w:rsidR="00E84D1C" w:rsidTr="006E429F" w14:paraId="0E1945DC" w14:textId="77777777">
        <w:trPr>
          <w:jc w:val="center"/>
        </w:trPr>
        <w:tc>
          <w:tcPr>
            <w:tcW w:w="8828" w:type="dxa"/>
            <w:shd w:val="clear" w:color="auto" w:fill="auto"/>
          </w:tcPr>
          <w:p w:rsidR="00D60736" w:rsidP="00D818EC" w:rsidRDefault="005D123A" w14:paraId="397FDB58" w14:textId="187DA8E7">
            <w:pPr>
              <w:spacing w:line="276" w:lineRule="auto"/>
              <w:ind w:right="79"/>
              <w:jc w:val="both"/>
              <w:rPr>
                <w:rFonts w:ascii="Verdana" w:hAnsi="Verdana" w:eastAsia="Arial" w:cs="Arial"/>
                <w:bCs/>
              </w:rPr>
            </w:pPr>
            <w:bookmarkStart w:name="_Hlk171694685" w:id="1"/>
            <w:r>
              <w:rPr>
                <w:rFonts w:ascii="Verdana" w:hAnsi="Verdana" w:eastAsia="Arial" w:cs="Arial"/>
                <w:bCs/>
              </w:rPr>
              <w:t>A</w:t>
            </w:r>
            <w:r w:rsidRPr="00D60736" w:rsidR="00D60736">
              <w:rPr>
                <w:rFonts w:ascii="Verdana" w:hAnsi="Verdana" w:eastAsia="Arial" w:cs="Arial"/>
                <w:bCs/>
              </w:rPr>
              <w:t xml:space="preserve">unque la Ley 1150 de 2007 estableció unos requisitos habilitantes para los proponentes: la capacidad jurídica, las condiciones de experiencia, la capacidad financiera y la capacidad de organización, lo cierto es que los </w:t>
            </w:r>
            <w:r w:rsidRPr="00D60736" w:rsidR="00D60736">
              <w:rPr>
                <w:rFonts w:ascii="Verdana" w:hAnsi="Verdana" w:eastAsia="Arial" w:cs="Arial"/>
                <w:bCs/>
              </w:rPr>
              <w:lastRenderedPageBreak/>
              <w:t xml:space="preserve">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claro está, sin perjuicio de la posibilidad de subsanarlas, cuando a ello haya lugar. Todo, dentro de los parámetros explicados en </w:t>
            </w:r>
            <w:r>
              <w:rPr>
                <w:rFonts w:ascii="Verdana" w:hAnsi="Verdana" w:eastAsia="Arial" w:cs="Arial"/>
                <w:bCs/>
              </w:rPr>
              <w:t xml:space="preserve">este concepto </w:t>
            </w:r>
            <w:r w:rsidRPr="00D60736" w:rsidR="00D60736">
              <w:rPr>
                <w:rFonts w:ascii="Verdana" w:hAnsi="Verdana" w:eastAsia="Arial" w:cs="Arial"/>
                <w:bCs/>
              </w:rPr>
              <w:t>y sin perjuicio de las prohibiciones legales.</w:t>
            </w:r>
          </w:p>
          <w:p w:rsidRPr="00EB1CF7" w:rsidR="0078265B" w:rsidP="00D818EC" w:rsidRDefault="0078265B" w14:paraId="120AD838" w14:textId="77777777">
            <w:pPr>
              <w:spacing w:line="276" w:lineRule="auto"/>
              <w:ind w:right="79"/>
              <w:jc w:val="both"/>
              <w:rPr>
                <w:rFonts w:ascii="Verdana" w:hAnsi="Verdana" w:eastAsia="Arial" w:cs="Arial"/>
                <w:bCs/>
              </w:rPr>
            </w:pPr>
          </w:p>
          <w:p w:rsidRPr="00EB1CF7" w:rsidR="001F61DE" w:rsidP="00D818EC" w:rsidRDefault="00F91987" w14:paraId="327B149B" w14:textId="02C47922">
            <w:pPr>
              <w:spacing w:line="276" w:lineRule="auto"/>
              <w:ind w:right="79"/>
              <w:jc w:val="both"/>
              <w:rPr>
                <w:rFonts w:ascii="Verdana" w:hAnsi="Verdana" w:eastAsia="Arial" w:cs="Arial"/>
                <w:bCs/>
              </w:rPr>
            </w:pPr>
            <w:r w:rsidRPr="00EB1CF7">
              <w:rPr>
                <w:rFonts w:ascii="Verdana" w:hAnsi="Verdana" w:eastAsia="Arial" w:cs="Arial"/>
                <w:bCs/>
              </w:rPr>
              <w:t>D</w:t>
            </w:r>
            <w:r w:rsidRPr="00EB1CF7" w:rsidR="00E148E8">
              <w:rPr>
                <w:rFonts w:ascii="Verdana" w:hAnsi="Verdana" w:eastAsia="Arial" w:cs="Arial"/>
                <w:bCs/>
              </w:rPr>
              <w:t>e esta manera</w:t>
            </w:r>
            <w:r w:rsidRPr="00EB1CF7" w:rsidR="009D3AD2">
              <w:rPr>
                <w:rFonts w:ascii="Verdana" w:hAnsi="Verdana" w:eastAsia="Arial" w:cs="Arial"/>
                <w:bCs/>
              </w:rPr>
              <w:t>, t</w:t>
            </w:r>
            <w:r w:rsidRPr="00EB1CF7" w:rsidR="0095278F">
              <w:rPr>
                <w:rFonts w:ascii="Verdana" w:hAnsi="Verdana" w:eastAsia="Arial" w:cs="Arial"/>
                <w:bCs/>
              </w:rPr>
              <w:t>eniendo en cuenta e</w:t>
            </w:r>
            <w:r w:rsidRPr="00EB1CF7" w:rsidR="00D74D14">
              <w:rPr>
                <w:rFonts w:ascii="Verdana" w:hAnsi="Verdana" w:eastAsia="Arial" w:cs="Arial"/>
                <w:bCs/>
              </w:rPr>
              <w:t>l</w:t>
            </w:r>
            <w:r w:rsidRPr="00EB1CF7" w:rsidR="0095278F">
              <w:rPr>
                <w:rFonts w:ascii="Verdana" w:hAnsi="Verdana" w:eastAsia="Arial" w:cs="Arial"/>
                <w:bCs/>
              </w:rPr>
              <w:t xml:space="preserve"> carácter enunciativo de los requisitos habilitantes del artículo 5 de la Ley 1150 de 2007, la autonomía de la voluntad de las entidades estatales para establecerlos y lo dispuesto en los artículos 2.2.4.6.4. y 2.2.4.6.28. del Decreto 1072 de 2015 y artículos 14, 19 y 22 de la Resolución 312 de 2019 emitida por el Ministerio del Trabajo, </w:t>
            </w:r>
            <w:r w:rsidRPr="00EB1CF7" w:rsidR="009D3AD2">
              <w:rPr>
                <w:rFonts w:ascii="Verdana" w:hAnsi="Verdana" w:eastAsia="Arial" w:cs="Arial"/>
                <w:bCs/>
              </w:rPr>
              <w:t xml:space="preserve">se </w:t>
            </w:r>
            <w:r w:rsidRPr="00EB1CF7" w:rsidR="0095278F">
              <w:rPr>
                <w:rFonts w:ascii="Verdana" w:hAnsi="Verdana" w:eastAsia="Arial" w:cs="Arial"/>
                <w:bCs/>
              </w:rPr>
              <w:t>considera que las entidades estatales tienen la facultad para incorporar parámetros o criterios de selección y evaluación en sus Procesos de Contratación que le permitan conocer que los proponentes cuentan con el Sistema de Gestión de Seguridad y Salud en el Trabajo (SG-SST), si</w:t>
            </w:r>
            <w:r w:rsidRPr="00EB1CF7" w:rsidR="00AC7E18">
              <w:rPr>
                <w:rFonts w:ascii="Verdana" w:hAnsi="Verdana" w:eastAsia="Arial" w:cs="Arial"/>
                <w:bCs/>
              </w:rPr>
              <w:t>empre que se</w:t>
            </w:r>
            <w:r w:rsidRPr="00EB1CF7" w:rsidR="0095278F">
              <w:rPr>
                <w:rFonts w:ascii="Verdana" w:hAnsi="Verdana" w:eastAsia="Arial" w:cs="Arial"/>
                <w:bCs/>
              </w:rPr>
              <w:t xml:space="preserve"> justifi</w:t>
            </w:r>
            <w:r w:rsidRPr="00EB1CF7" w:rsidR="00AC7E18">
              <w:rPr>
                <w:rFonts w:ascii="Verdana" w:hAnsi="Verdana" w:eastAsia="Arial" w:cs="Arial"/>
                <w:bCs/>
              </w:rPr>
              <w:t>que</w:t>
            </w:r>
            <w:r w:rsidRPr="00EB1CF7" w:rsidR="0095278F">
              <w:rPr>
                <w:rFonts w:ascii="Verdana" w:hAnsi="Verdana" w:eastAsia="Arial" w:cs="Arial"/>
                <w:bCs/>
              </w:rPr>
              <w:t xml:space="preserve"> en los estudios previos y</w:t>
            </w:r>
            <w:r w:rsidRPr="00EB1CF7" w:rsidR="009571C2">
              <w:rPr>
                <w:rFonts w:ascii="Verdana" w:hAnsi="Verdana" w:eastAsia="Arial" w:cs="Arial"/>
                <w:bCs/>
              </w:rPr>
              <w:t xml:space="preserve"> el</w:t>
            </w:r>
            <w:r w:rsidRPr="00EB1CF7" w:rsidR="0095278F">
              <w:rPr>
                <w:rFonts w:ascii="Verdana" w:hAnsi="Verdana" w:eastAsia="Arial" w:cs="Arial"/>
                <w:bCs/>
              </w:rPr>
              <w:t xml:space="preserve"> análisis del sector del proceso de conformidad con el artículo 2.2.1.1.1.6.2 del Decreto 1082 de 2015.</w:t>
            </w:r>
          </w:p>
          <w:p w:rsidR="0095278F" w:rsidP="00D818EC" w:rsidRDefault="0095278F" w14:paraId="5A352C03" w14:textId="77777777">
            <w:pPr>
              <w:spacing w:line="276" w:lineRule="auto"/>
              <w:ind w:right="79"/>
              <w:jc w:val="both"/>
              <w:rPr>
                <w:rFonts w:ascii="Verdana" w:hAnsi="Verdana" w:eastAsia="Arial" w:cs="Arial"/>
                <w:bCs/>
              </w:rPr>
            </w:pPr>
          </w:p>
          <w:p w:rsidRPr="00EB1CF7" w:rsidR="006F4F80" w:rsidP="00D818EC" w:rsidRDefault="007F5975" w14:paraId="40181E05" w14:textId="5CE04EE4">
            <w:pPr>
              <w:spacing w:line="276" w:lineRule="auto"/>
              <w:ind w:right="79"/>
              <w:jc w:val="both"/>
              <w:rPr>
                <w:rFonts w:ascii="Verdana" w:hAnsi="Verdana" w:eastAsia="Arial" w:cs="Arial"/>
                <w:bCs/>
              </w:rPr>
            </w:pPr>
            <w:r>
              <w:rPr>
                <w:rFonts w:ascii="Verdana" w:hAnsi="Verdana" w:eastAsia="Arial" w:cs="Arial"/>
                <w:bCs/>
              </w:rPr>
              <w:t>De este modo</w:t>
            </w:r>
            <w:r w:rsidR="006F4F80">
              <w:rPr>
                <w:rFonts w:ascii="Verdana" w:hAnsi="Verdana" w:eastAsia="Arial" w:cs="Arial"/>
                <w:bCs/>
              </w:rPr>
              <w:t xml:space="preserve">, </w:t>
            </w:r>
            <w:r w:rsidRPr="006F4F80" w:rsidR="006F4F80">
              <w:rPr>
                <w:rFonts w:ascii="Verdana" w:hAnsi="Verdana" w:eastAsia="Arial" w:cs="Arial"/>
                <w:bCs/>
              </w:rPr>
              <w:t>aunque consideramos valida la inclusión de este criterio como requisito habilitante de acuerdo con la interpretación expuesta</w:t>
            </w:r>
            <w:r w:rsidR="006F4F80">
              <w:rPr>
                <w:rFonts w:ascii="Verdana" w:hAnsi="Verdana" w:eastAsia="Arial" w:cs="Arial"/>
                <w:bCs/>
              </w:rPr>
              <w:t xml:space="preserve"> en e</w:t>
            </w:r>
            <w:r w:rsidR="001C4249">
              <w:rPr>
                <w:rFonts w:ascii="Verdana" w:hAnsi="Verdana" w:eastAsia="Arial" w:cs="Arial"/>
                <w:bCs/>
              </w:rPr>
              <w:t xml:space="preserve">ste </w:t>
            </w:r>
            <w:r w:rsidR="006F4F80">
              <w:rPr>
                <w:rFonts w:ascii="Verdana" w:hAnsi="Verdana" w:eastAsia="Arial" w:cs="Arial"/>
                <w:bCs/>
              </w:rPr>
              <w:t>concepto</w:t>
            </w:r>
            <w:r w:rsidRPr="006F4F80" w:rsidR="006F4F80">
              <w:rPr>
                <w:rFonts w:ascii="Verdana" w:hAnsi="Verdana" w:eastAsia="Arial" w:cs="Arial"/>
                <w:bCs/>
              </w:rPr>
              <w:t xml:space="preserve">, es preciso señalar que su fijación en los procesos de contratación deberá estar precedida de las mismas exigencias que tiene cualquier otro requisito habilitante o de calificación, de manera que su incorporación no puede </w:t>
            </w:r>
            <w:r w:rsidR="00A95186">
              <w:rPr>
                <w:rFonts w:ascii="Verdana" w:hAnsi="Verdana" w:eastAsia="Arial" w:cs="Arial"/>
                <w:bCs/>
              </w:rPr>
              <w:t xml:space="preserve">ser </w:t>
            </w:r>
            <w:r w:rsidRPr="006F4F80" w:rsidR="006F4F80">
              <w:rPr>
                <w:rFonts w:ascii="Verdana" w:hAnsi="Verdana" w:eastAsia="Arial" w:cs="Arial"/>
                <w:bCs/>
              </w:rPr>
              <w:t>arbitraria y la Entidad Estatal tiene la carga de justificar en los estudios previos y en el análisis del sector del proceso su procedencia, de conformidad con el artículo 2.2.1.1.1.6.2 del Decreto 1082 de 2015</w:t>
            </w:r>
            <w:r w:rsidRPr="00347685" w:rsidR="00347685">
              <w:rPr>
                <w:rFonts w:ascii="Verdana" w:hAnsi="Verdana" w:eastAsia="Arial" w:cs="Arial"/>
                <w:bCs/>
              </w:rPr>
              <w:t xml:space="preserve">. Esto significa que no debe establecerse de forma mecánica en todos los procesos de contratación, sino que la </w:t>
            </w:r>
            <w:r w:rsidR="00D65893">
              <w:rPr>
                <w:rFonts w:ascii="Verdana" w:hAnsi="Verdana" w:eastAsia="Arial" w:cs="Arial"/>
                <w:bCs/>
              </w:rPr>
              <w:t>E</w:t>
            </w:r>
            <w:r w:rsidRPr="00347685" w:rsidR="00347685">
              <w:rPr>
                <w:rFonts w:ascii="Verdana" w:hAnsi="Verdana" w:eastAsia="Arial" w:cs="Arial"/>
                <w:bCs/>
              </w:rPr>
              <w:t xml:space="preserve">ntidad </w:t>
            </w:r>
            <w:r w:rsidR="00D65893">
              <w:rPr>
                <w:rFonts w:ascii="Verdana" w:hAnsi="Verdana" w:eastAsia="Arial" w:cs="Arial"/>
                <w:bCs/>
              </w:rPr>
              <w:t>E</w:t>
            </w:r>
            <w:r w:rsidRPr="00347685" w:rsidR="00347685">
              <w:rPr>
                <w:rFonts w:ascii="Verdana" w:hAnsi="Verdana" w:eastAsia="Arial" w:cs="Arial"/>
                <w:bCs/>
              </w:rPr>
              <w:t xml:space="preserve">statal deberá realizar un análisis integral de la necesidad identificada, </w:t>
            </w:r>
            <w:r w:rsidR="00800A35">
              <w:rPr>
                <w:rFonts w:ascii="Verdana" w:hAnsi="Verdana" w:eastAsia="Arial" w:cs="Arial"/>
                <w:bCs/>
              </w:rPr>
              <w:t xml:space="preserve">el valor, plazo, </w:t>
            </w:r>
            <w:r w:rsidRPr="00347685" w:rsidR="00347685">
              <w:rPr>
                <w:rFonts w:ascii="Verdana" w:hAnsi="Verdana" w:eastAsia="Arial" w:cs="Arial"/>
                <w:bCs/>
              </w:rPr>
              <w:t xml:space="preserve">el objeto contractual, obligaciones y demás condiciones para determinar si </w:t>
            </w:r>
            <w:r w:rsidR="00887865">
              <w:rPr>
                <w:rFonts w:ascii="Verdana" w:hAnsi="Verdana" w:eastAsia="Arial" w:cs="Arial"/>
                <w:bCs/>
              </w:rPr>
              <w:t xml:space="preserve">su incorporación como requisito de selección </w:t>
            </w:r>
            <w:r w:rsidRPr="00347685" w:rsidR="00347685">
              <w:rPr>
                <w:rFonts w:ascii="Verdana" w:hAnsi="Verdana" w:eastAsia="Arial" w:cs="Arial"/>
                <w:bCs/>
              </w:rPr>
              <w:t>resulta adecuad</w:t>
            </w:r>
            <w:r w:rsidR="00642405">
              <w:rPr>
                <w:rFonts w:ascii="Verdana" w:hAnsi="Verdana" w:eastAsia="Arial" w:cs="Arial"/>
                <w:bCs/>
              </w:rPr>
              <w:t>a</w:t>
            </w:r>
            <w:r w:rsidR="00D315CC">
              <w:rPr>
                <w:rFonts w:ascii="Verdana" w:hAnsi="Verdana" w:eastAsia="Arial" w:cs="Arial"/>
                <w:bCs/>
              </w:rPr>
              <w:t xml:space="preserve"> y </w:t>
            </w:r>
            <w:r w:rsidR="0034278F">
              <w:rPr>
                <w:rFonts w:ascii="Verdana" w:hAnsi="Verdana" w:eastAsia="Arial" w:cs="Arial"/>
                <w:bCs/>
              </w:rPr>
              <w:t xml:space="preserve">de </w:t>
            </w:r>
            <w:r w:rsidR="00642405">
              <w:rPr>
                <w:rFonts w:ascii="Verdana" w:hAnsi="Verdana" w:eastAsia="Arial" w:cs="Arial"/>
                <w:bCs/>
              </w:rPr>
              <w:t>qué</w:t>
            </w:r>
            <w:r w:rsidR="0034278F">
              <w:rPr>
                <w:rFonts w:ascii="Verdana" w:hAnsi="Verdana" w:eastAsia="Arial" w:cs="Arial"/>
                <w:bCs/>
              </w:rPr>
              <w:t xml:space="preserve"> maner</w:t>
            </w:r>
            <w:r w:rsidR="004D502C">
              <w:rPr>
                <w:rFonts w:ascii="Verdana" w:hAnsi="Verdana" w:eastAsia="Arial" w:cs="Arial"/>
                <w:bCs/>
              </w:rPr>
              <w:t>a s</w:t>
            </w:r>
            <w:r w:rsidR="00642405">
              <w:rPr>
                <w:rFonts w:ascii="Verdana" w:hAnsi="Verdana" w:eastAsia="Arial" w:cs="Arial"/>
                <w:bCs/>
              </w:rPr>
              <w:t xml:space="preserve">e incluyen </w:t>
            </w:r>
            <w:r w:rsidRPr="00347685" w:rsidR="00347685">
              <w:rPr>
                <w:rFonts w:ascii="Verdana" w:hAnsi="Verdana" w:eastAsia="Arial" w:cs="Arial"/>
                <w:bCs/>
              </w:rPr>
              <w:t>al proceso que se desarrollará</w:t>
            </w:r>
            <w:r w:rsidR="00BE1345">
              <w:rPr>
                <w:rFonts w:ascii="Verdana" w:hAnsi="Verdana" w:eastAsia="Arial" w:cs="Arial"/>
                <w:bCs/>
              </w:rPr>
              <w:t>.</w:t>
            </w:r>
          </w:p>
          <w:p w:rsidRPr="00EB1CF7" w:rsidR="007F0F24" w:rsidP="00B04F99" w:rsidRDefault="007F0F24" w14:paraId="073EC507" w14:textId="34E89152">
            <w:pPr>
              <w:spacing w:line="276" w:lineRule="auto"/>
              <w:ind w:right="79"/>
              <w:jc w:val="both"/>
              <w:rPr>
                <w:rFonts w:ascii="Verdana" w:hAnsi="Verdana" w:eastAsia="Calibri" w:cs="Arial"/>
              </w:rPr>
            </w:pPr>
          </w:p>
        </w:tc>
      </w:tr>
    </w:tbl>
    <w:p w:rsidRPr="00EB1CF7" w:rsidR="00E84D1C" w:rsidP="00E84D1C" w:rsidRDefault="00E84D1C" w14:paraId="1728E2BC"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EB1CF7" w:rsidR="00E84D1C" w:rsidP="00E84D1C" w:rsidRDefault="00071AB8" w14:paraId="7BD5B662" w14:textId="4AC7D64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Razones de la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respuesta</w:t>
      </w:r>
      <w:r w:rsidRPr="00EB1CF7" w:rsidR="000C42A9">
        <w:rPr>
          <w:rFonts w:ascii="Verdana" w:hAnsi="Verdana" w:eastAsia="Century Gothic" w:cs="Century Gothic"/>
          <w:b/>
          <w:bCs/>
          <w:sz w:val="22"/>
          <w:lang w:val="es-ES"/>
        </w:rPr>
        <w:t>s</w:t>
      </w:r>
      <w:r w:rsidRPr="00EB1CF7" w:rsidR="00E84D1C">
        <w:rPr>
          <w:rFonts w:ascii="Verdana" w:hAnsi="Verdana" w:eastAsia="Century Gothic" w:cs="Century Gothic"/>
          <w:b/>
          <w:bCs/>
          <w:sz w:val="22"/>
          <w:lang w:val="es-ES"/>
        </w:rPr>
        <w:t>:</w:t>
      </w:r>
    </w:p>
    <w:p w:rsidRPr="00EB1CF7" w:rsidR="00FB5FC4" w:rsidP="00E84D1C" w:rsidRDefault="00FB5FC4" w14:paraId="267A31E4" w14:textId="77777777">
      <w:pPr>
        <w:spacing w:after="0" w:line="276" w:lineRule="auto"/>
        <w:jc w:val="both"/>
        <w:rPr>
          <w:rFonts w:ascii="Verdana" w:hAnsi="Verdana" w:eastAsia="Calibri" w:cs="Arial"/>
          <w:color w:val="7030A0"/>
          <w:lang w:val="es-ES"/>
        </w:rPr>
      </w:pPr>
    </w:p>
    <w:p w:rsidRPr="00EB1CF7" w:rsidR="0025575F" w:rsidP="00E84D1C" w:rsidRDefault="00C00976" w14:paraId="1534F15C" w14:textId="654169A5">
      <w:pPr>
        <w:spacing w:after="0" w:line="276" w:lineRule="auto"/>
        <w:jc w:val="both"/>
        <w:rPr>
          <w:rFonts w:ascii="Verdana" w:hAnsi="Verdana" w:eastAsia="Calibri" w:cs="Arial"/>
          <w:lang w:val="es-ES"/>
        </w:rPr>
      </w:pPr>
      <w:r w:rsidRPr="00EB1CF7">
        <w:rPr>
          <w:rFonts w:ascii="Verdana" w:hAnsi="Verdana" w:eastAsia="Calibri" w:cs="Arial"/>
          <w:lang w:val="es-ES"/>
        </w:rPr>
        <w:t>L</w:t>
      </w:r>
      <w:r w:rsidRPr="00EB1CF7" w:rsidR="00D5798B">
        <w:rPr>
          <w:rFonts w:ascii="Verdana" w:hAnsi="Verdana" w:eastAsia="Calibri" w:cs="Arial"/>
          <w:lang w:val="es-ES"/>
        </w:rPr>
        <w:t>o</w:t>
      </w:r>
      <w:r w:rsidRPr="00EB1CF7">
        <w:rPr>
          <w:rFonts w:ascii="Verdana" w:hAnsi="Verdana" w:eastAsia="Calibri" w:cs="Arial"/>
          <w:lang w:val="es-ES"/>
        </w:rPr>
        <w:t xml:space="preserve"> anterior</w:t>
      </w:r>
      <w:r w:rsidRPr="00EB1CF7" w:rsidR="00F95CCE">
        <w:rPr>
          <w:rFonts w:ascii="Verdana" w:hAnsi="Verdana" w:eastAsia="Calibri" w:cs="Arial"/>
          <w:lang w:val="es-ES"/>
        </w:rPr>
        <w:t xml:space="preserve"> </w:t>
      </w:r>
      <w:r w:rsidRPr="00EB1CF7" w:rsidR="00E84D1C">
        <w:rPr>
          <w:rFonts w:ascii="Verdana" w:hAnsi="Verdana" w:eastAsia="Calibri" w:cs="Arial"/>
          <w:lang w:val="es-ES"/>
        </w:rPr>
        <w:t xml:space="preserve">se </w:t>
      </w:r>
      <w:r w:rsidRPr="00EB1CF7">
        <w:rPr>
          <w:rFonts w:ascii="Verdana" w:hAnsi="Verdana" w:eastAsia="Calibri" w:cs="Arial"/>
          <w:lang w:val="es-ES"/>
        </w:rPr>
        <w:t xml:space="preserve">sustenta en </w:t>
      </w:r>
      <w:r w:rsidRPr="00EB1CF7" w:rsidR="00E84D1C">
        <w:rPr>
          <w:rFonts w:ascii="Verdana" w:hAnsi="Verdana" w:eastAsia="Calibri" w:cs="Arial"/>
          <w:lang w:val="es-ES"/>
        </w:rPr>
        <w:t>las siguientes consideraciones:</w:t>
      </w:r>
    </w:p>
    <w:p w:rsidRPr="00EB1CF7" w:rsidR="0025575F" w:rsidP="00E84D1C" w:rsidRDefault="0025575F" w14:paraId="71802283" w14:textId="77777777">
      <w:pPr>
        <w:spacing w:after="0" w:line="276" w:lineRule="auto"/>
        <w:jc w:val="both"/>
        <w:rPr>
          <w:rFonts w:ascii="Verdana" w:hAnsi="Verdana" w:eastAsia="Calibri" w:cs="Arial"/>
          <w:color w:val="000000" w:themeColor="text1"/>
        </w:rPr>
      </w:pPr>
    </w:p>
    <w:p w:rsidRPr="00EB1CF7" w:rsidR="00EB1CF7" w:rsidP="00EB1CF7" w:rsidRDefault="00EB1CF7" w14:paraId="1DD4B0C1" w14:textId="77777777">
      <w:pPr>
        <w:spacing w:after="120" w:line="276" w:lineRule="auto"/>
        <w:jc w:val="both"/>
        <w:rPr>
          <w:rFonts w:ascii="Verdana" w:hAnsi="Verdana" w:eastAsia="Calibri" w:cs="Arial"/>
          <w:color w:val="000000" w:themeColor="text1"/>
          <w:lang w:val="es-ES_tradnl"/>
        </w:rPr>
      </w:pPr>
      <w:r w:rsidRPr="00EB1CF7">
        <w:rPr>
          <w:rFonts w:ascii="Verdana" w:hAnsi="Verdana" w:eastAsia="Calibri" w:cs="Arial"/>
          <w:color w:val="000000" w:themeColor="text1"/>
          <w:lang w:val="es-ES_tradnl"/>
        </w:rPr>
        <w:t xml:space="preserve">Los </w:t>
      </w:r>
      <w:r w:rsidRPr="00EB1CF7">
        <w:rPr>
          <w:rFonts w:ascii="Verdana" w:hAnsi="Verdana" w:eastAsia="Calibri" w:cs="Arial"/>
          <w:i/>
          <w:iCs/>
          <w:color w:val="000000" w:themeColor="text1"/>
          <w:lang w:val="es-ES_tradnl"/>
        </w:rPr>
        <w:t>requisitos habilitantes</w:t>
      </w:r>
      <w:r w:rsidRPr="00EB1CF7">
        <w:rPr>
          <w:rFonts w:ascii="Verdana" w:hAnsi="Verdana" w:eastAsia="Calibri"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EB1CF7">
        <w:rPr>
          <w:rFonts w:ascii="Verdana" w:hAnsi="Verdana" w:eastAsia="Calibri" w:cs="Arial"/>
          <w:i/>
          <w:iCs/>
          <w:color w:val="000000" w:themeColor="text1"/>
          <w:lang w:val="es-ES_tradnl"/>
        </w:rPr>
        <w:t>criterios de evaluación</w:t>
      </w:r>
      <w:r w:rsidRPr="00EB1CF7">
        <w:rPr>
          <w:rFonts w:ascii="Verdana" w:hAnsi="Verdana" w:eastAsia="Calibri" w:cs="Arial"/>
          <w:color w:val="000000" w:themeColor="text1"/>
          <w:lang w:val="es-ES_tradnl"/>
        </w:rPr>
        <w:t xml:space="preserve"> –también conocidos como </w:t>
      </w:r>
      <w:r w:rsidRPr="00EB1CF7">
        <w:rPr>
          <w:rFonts w:ascii="Verdana" w:hAnsi="Verdana" w:eastAsia="Calibri" w:cs="Arial"/>
          <w:i/>
          <w:iCs/>
          <w:color w:val="000000" w:themeColor="text1"/>
          <w:lang w:val="es-ES_tradnl"/>
        </w:rPr>
        <w:t>criterios de calificación</w:t>
      </w:r>
      <w:r w:rsidRPr="00EB1CF7">
        <w:rPr>
          <w:rFonts w:ascii="Verdana" w:hAnsi="Verdana" w:eastAsia="Calibri"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rsidRPr="00EB1CF7" w:rsidR="00EB1CF7" w:rsidP="796A1C81" w:rsidRDefault="00EB1CF7" w14:paraId="038D9AE8" w14:textId="77777777">
      <w:pPr>
        <w:spacing w:after="120" w:line="276" w:lineRule="auto"/>
        <w:ind w:firstLine="708"/>
        <w:jc w:val="both"/>
        <w:rPr>
          <w:rFonts w:ascii="Verdana" w:hAnsi="Verdana" w:eastAsia="Calibri" w:cs="Arial"/>
          <w:color w:val="000000" w:themeColor="text1"/>
          <w:lang w:val="es-ES"/>
        </w:rPr>
      </w:pPr>
      <w:r w:rsidRPr="796A1C81" w:rsidR="00EB1CF7">
        <w:rPr>
          <w:rFonts w:ascii="Verdana" w:hAnsi="Verdana" w:eastAsia="Calibri" w:cs="Arial"/>
          <w:color w:val="000000" w:themeColor="text1" w:themeTint="FF" w:themeShade="FF"/>
          <w:lang w:val="es-ES"/>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F61C7A" w:rsidR="00F61C7A" w:rsidP="796A1C81" w:rsidRDefault="00EB1CF7" w14:paraId="0C107842" w14:textId="77777777">
      <w:pPr>
        <w:spacing w:before="120" w:line="276" w:lineRule="auto"/>
        <w:ind w:firstLine="709"/>
        <w:jc w:val="both"/>
        <w:rPr>
          <w:rFonts w:ascii="Verdana" w:hAnsi="Verdana" w:eastAsia="Calibri" w:cs="Arial"/>
          <w:color w:val="000000" w:themeColor="text1"/>
          <w:lang w:val="es-ES"/>
        </w:rPr>
      </w:pPr>
      <w:r w:rsidRPr="796A1C81" w:rsidR="00EB1CF7">
        <w:rPr>
          <w:rFonts w:ascii="Verdana" w:hAnsi="Verdana" w:eastAsia="Calibri" w:cs="Arial"/>
          <w:color w:val="000000" w:themeColor="text1" w:themeTint="FF" w:themeShade="FF"/>
          <w:lang w:val="es-ES"/>
        </w:rPr>
        <w:t xml:space="preserve">El mencionado artículo dispone que se considera </w:t>
      </w:r>
      <w:r w:rsidRPr="796A1C81" w:rsidR="00EB1CF7">
        <w:rPr>
          <w:rFonts w:ascii="Verdana" w:hAnsi="Verdana" w:eastAsia="Calibri" w:cs="Arial"/>
          <w:i w:val="1"/>
          <w:iCs w:val="1"/>
          <w:color w:val="000000" w:themeColor="text1" w:themeTint="FF" w:themeShade="FF"/>
          <w:lang w:val="es-ES"/>
        </w:rPr>
        <w:t>“</w:t>
      </w:r>
      <w:r w:rsidRPr="796A1C81" w:rsidR="00EB1CF7">
        <w:rPr>
          <w:rFonts w:ascii="Verdana" w:hAnsi="Verdana" w:eastAsia="Calibri" w:cs="Arial"/>
          <w:color w:val="000000" w:themeColor="text1" w:themeTint="FF" w:themeShade="FF"/>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796A1C81" w:rsidR="00EB1CF7">
        <w:rPr>
          <w:rFonts w:ascii="Verdana" w:hAnsi="Verdana" w:eastAsia="Calibri" w:cs="Arial"/>
          <w:i w:val="1"/>
          <w:iCs w:val="1"/>
          <w:color w:val="000000" w:themeColor="text1" w:themeTint="FF" w:themeShade="FF"/>
          <w:lang w:val="es-ES"/>
        </w:rPr>
        <w:t>”</w:t>
      </w:r>
      <w:r w:rsidRPr="796A1C81" w:rsidR="00EB1CF7">
        <w:rPr>
          <w:rFonts w:ascii="Verdana" w:hAnsi="Verdana" w:eastAsia="Calibri" w:cs="Arial"/>
          <w:color w:val="000000" w:themeColor="text1" w:themeTint="FF" w:themeShade="FF"/>
          <w:lang w:val="es-ES"/>
        </w:rPr>
        <w:t xml:space="preserve">. </w:t>
      </w:r>
      <w:r w:rsidRPr="796A1C81" w:rsidR="007523E7">
        <w:rPr>
          <w:rFonts w:ascii="Verdana" w:hAnsi="Verdana" w:eastAsia="Calibri" w:cs="Arial"/>
          <w:color w:val="000000" w:themeColor="text1" w:themeTint="FF" w:themeShade="FF"/>
          <w:lang w:val="es-ES"/>
        </w:rPr>
        <w:t>De este modo</w:t>
      </w:r>
      <w:r w:rsidRPr="796A1C81" w:rsidR="00EB1CF7">
        <w:rPr>
          <w:rFonts w:ascii="Verdana" w:hAnsi="Verdana" w:eastAsia="Calibri" w:cs="Arial"/>
          <w:color w:val="000000" w:themeColor="text1" w:themeTint="FF" w:themeShade="FF"/>
          <w:lang w:val="es-ES"/>
        </w:rPr>
        <w:t xml:space="preserve">,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796A1C81" w:rsidR="00EB1CF7">
        <w:rPr>
          <w:rFonts w:ascii="Verdana" w:hAnsi="Verdana" w:eastAsia="Calibri" w:cs="Arial"/>
          <w:i w:val="1"/>
          <w:iCs w:val="1"/>
          <w:color w:val="000000" w:themeColor="text1" w:themeTint="FF" w:themeShade="FF"/>
          <w:lang w:val="es-ES"/>
        </w:rPr>
        <w:t>entre otros</w:t>
      </w:r>
      <w:r w:rsidRPr="796A1C81" w:rsidR="00EB1CF7">
        <w:rPr>
          <w:rFonts w:ascii="Verdana" w:hAnsi="Verdana" w:eastAsia="Calibri" w:cs="Arial"/>
          <w:color w:val="000000" w:themeColor="text1" w:themeTint="FF" w:themeShade="FF"/>
          <w:lang w:val="es-ES"/>
        </w:rPr>
        <w:t>, los siguientes: i) la capacidad jurídica; ii) la experiencia; iii) la capacidad financiera y iv) la capacidad de organización</w:t>
      </w:r>
      <w:r w:rsidRPr="796A1C81" w:rsidR="009616D4">
        <w:rPr>
          <w:rFonts w:ascii="Verdana" w:hAnsi="Verdana" w:eastAsia="Calibri" w:cs="Arial"/>
          <w:color w:val="000000" w:themeColor="text1" w:themeTint="FF" w:themeShade="FF"/>
          <w:lang w:val="es-ES"/>
        </w:rPr>
        <w:t xml:space="preserve">. </w:t>
      </w:r>
      <w:r w:rsidRPr="796A1C81" w:rsidR="00F61C7A">
        <w:rPr>
          <w:rFonts w:ascii="Verdana" w:hAnsi="Verdana" w:eastAsia="Calibri" w:cs="Arial"/>
          <w:color w:val="000000" w:themeColor="text1" w:themeTint="FF" w:themeShade="FF"/>
          <w:lang w:val="es-ES"/>
        </w:rPr>
        <w:t xml:space="preserve">En efecto, la normativa citada dispone: </w:t>
      </w:r>
    </w:p>
    <w:p w:rsidRPr="00F61C7A" w:rsidR="00F61C7A" w:rsidP="00F61C7A" w:rsidRDefault="00F61C7A" w14:paraId="6EE22E07" w14:textId="77777777">
      <w:pPr>
        <w:ind w:left="709" w:right="709"/>
        <w:jc w:val="both"/>
        <w:rPr>
          <w:rFonts w:ascii="Verdana" w:hAnsi="Verdana" w:eastAsia="Calibri" w:cs="Arial"/>
          <w:color w:val="000000" w:themeColor="text1"/>
          <w:sz w:val="21"/>
          <w:szCs w:val="21"/>
          <w:lang w:val="es-ES_tradnl"/>
        </w:rPr>
      </w:pPr>
      <w:r w:rsidRPr="00F61C7A">
        <w:rPr>
          <w:rFonts w:ascii="Verdana" w:hAnsi="Verdana" w:eastAsia="Calibri" w:cs="Arial"/>
          <w:color w:val="000000" w:themeColor="text1"/>
          <w:sz w:val="21"/>
          <w:szCs w:val="21"/>
          <w:lang w:val="es-ES_tradnl"/>
        </w:rPr>
        <w:lastRenderedPageBreak/>
        <w:t xml:space="preserve">“Artículo 5. De la Selección Objetiva. </w:t>
      </w:r>
    </w:p>
    <w:p w:rsidRPr="00F61C7A" w:rsidR="00F61C7A" w:rsidP="00F61C7A" w:rsidRDefault="00F61C7A" w14:paraId="760CA944" w14:textId="77777777">
      <w:pPr>
        <w:spacing w:after="120"/>
        <w:ind w:left="709" w:right="709"/>
        <w:jc w:val="both"/>
        <w:rPr>
          <w:rFonts w:ascii="Verdana" w:hAnsi="Verdana" w:eastAsia="Calibri" w:cs="Arial"/>
          <w:color w:val="000000" w:themeColor="text1"/>
          <w:sz w:val="21"/>
          <w:szCs w:val="21"/>
          <w:lang w:val="es-ES_tradnl"/>
        </w:rPr>
      </w:pPr>
      <w:r w:rsidRPr="00F61C7A">
        <w:rPr>
          <w:rFonts w:ascii="Verdana" w:hAnsi="Verdana" w:eastAsia="Calibri" w:cs="Arial"/>
          <w:color w:val="000000" w:themeColor="text1"/>
          <w:sz w:val="21"/>
          <w:szCs w:val="21"/>
          <w:lang w:val="es-ES_tradnl"/>
        </w:rPr>
        <w:t>[…]</w:t>
      </w:r>
    </w:p>
    <w:p w:rsidRPr="00F61C7A" w:rsidR="00E66BA2" w:rsidP="796A1C81" w:rsidRDefault="00F61C7A" w14:paraId="23151A3D" w14:textId="46AE7A08">
      <w:pPr>
        <w:spacing w:after="120"/>
        <w:ind w:left="709" w:right="709"/>
        <w:jc w:val="both"/>
        <w:rPr>
          <w:rFonts w:ascii="Verdana" w:hAnsi="Verdana" w:eastAsia="Calibri" w:cs="Arial"/>
          <w:color w:val="000000" w:themeColor="text1"/>
          <w:sz w:val="21"/>
          <w:szCs w:val="21"/>
          <w:lang w:val="es-ES"/>
        </w:rPr>
      </w:pPr>
      <w:r w:rsidRPr="796A1C81" w:rsidR="00F61C7A">
        <w:rPr>
          <w:rFonts w:ascii="Verdana" w:hAnsi="Verdana" w:eastAsia="Calibri" w:cs="Arial"/>
          <w:color w:val="000000" w:themeColor="text1" w:themeTint="FF" w:themeShade="FF"/>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rsidR="00444140" w:rsidP="004F60F4" w:rsidRDefault="009148D8" w14:paraId="00B88149" w14:textId="2F3334B9">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Conforme lo ha sosteni</w:t>
      </w:r>
      <w:r w:rsidR="00C0083F">
        <w:rPr>
          <w:rFonts w:ascii="Verdana" w:hAnsi="Verdana" w:eastAsia="Calibri" w:cs="Arial"/>
          <w:color w:val="000000" w:themeColor="text1"/>
          <w:lang w:val="es-ES_tradnl"/>
        </w:rPr>
        <w:t>do</w:t>
      </w:r>
      <w:r>
        <w:rPr>
          <w:rFonts w:ascii="Verdana" w:hAnsi="Verdana" w:eastAsia="Calibri" w:cs="Arial"/>
          <w:color w:val="000000" w:themeColor="text1"/>
          <w:lang w:val="es-ES_tradnl"/>
        </w:rPr>
        <w:t xml:space="preserve"> esta </w:t>
      </w:r>
      <w:r w:rsidR="0095770C">
        <w:rPr>
          <w:rFonts w:ascii="Verdana" w:hAnsi="Verdana" w:eastAsia="Calibri" w:cs="Arial"/>
          <w:color w:val="000000" w:themeColor="text1"/>
          <w:lang w:val="es-ES_tradnl"/>
        </w:rPr>
        <w:t>Agencia</w:t>
      </w:r>
      <w:r>
        <w:rPr>
          <w:rFonts w:ascii="Verdana" w:hAnsi="Verdana" w:eastAsia="Calibri" w:cs="Arial"/>
          <w:color w:val="000000" w:themeColor="text1"/>
          <w:lang w:val="es-ES_tradnl"/>
        </w:rPr>
        <w:t xml:space="preserve"> en distintos conc</w:t>
      </w:r>
      <w:r w:rsidR="00C0083F">
        <w:rPr>
          <w:rFonts w:ascii="Verdana" w:hAnsi="Verdana" w:eastAsia="Calibri" w:cs="Arial"/>
          <w:color w:val="000000" w:themeColor="text1"/>
          <w:lang w:val="es-ES_tradnl"/>
        </w:rPr>
        <w:t>eptos</w:t>
      </w:r>
      <w:r w:rsidR="00560C62">
        <w:rPr>
          <w:rFonts w:ascii="Verdana" w:hAnsi="Verdana" w:eastAsia="Calibri" w:cs="Arial"/>
          <w:color w:val="000000" w:themeColor="text1"/>
          <w:lang w:val="es-ES_tradnl"/>
        </w:rPr>
        <w:t xml:space="preserve">, </w:t>
      </w:r>
      <w:r w:rsidRPr="006D2F09" w:rsidR="006D2F09">
        <w:rPr>
          <w:rFonts w:ascii="Verdana" w:hAnsi="Verdana" w:eastAsia="Calibri" w:cs="Arial"/>
          <w:color w:val="000000" w:themeColor="text1"/>
          <w:lang w:val="es-ES_tradnl"/>
        </w:rPr>
        <w:t>los requisitos habilitantes establecidos en el artículo 5, numeral 1, de la Ley 1150 de 2007</w:t>
      </w:r>
      <w:r w:rsidR="00C0083F">
        <w:rPr>
          <w:rFonts w:ascii="Verdana" w:hAnsi="Verdana" w:eastAsia="Calibri" w:cs="Arial"/>
          <w:color w:val="000000" w:themeColor="text1"/>
          <w:lang w:val="es-ES_tradnl"/>
        </w:rPr>
        <w:t xml:space="preserve"> </w:t>
      </w:r>
      <w:r w:rsidR="00E47A20">
        <w:rPr>
          <w:rFonts w:ascii="Verdana" w:hAnsi="Verdana" w:eastAsia="Calibri" w:cs="Arial"/>
          <w:color w:val="000000" w:themeColor="text1"/>
          <w:lang w:val="es-ES_tradnl"/>
        </w:rPr>
        <w:t>son de carácter enunciativos y no taxativo</w:t>
      </w:r>
      <w:r w:rsidR="007F39B8">
        <w:rPr>
          <w:rFonts w:ascii="Verdana" w:hAnsi="Verdana" w:eastAsia="Calibri" w:cs="Arial"/>
          <w:color w:val="000000" w:themeColor="text1"/>
          <w:lang w:val="es-ES_tradnl"/>
        </w:rPr>
        <w:t>s</w:t>
      </w:r>
      <w:r w:rsidR="00C0083F">
        <w:rPr>
          <w:rFonts w:ascii="Verdana" w:hAnsi="Verdana" w:eastAsia="Calibri" w:cs="Arial"/>
          <w:color w:val="000000" w:themeColor="text1"/>
          <w:lang w:val="es-ES_tradnl"/>
        </w:rPr>
        <w:t xml:space="preserve">. </w:t>
      </w:r>
      <w:r w:rsidR="00F5480F">
        <w:rPr>
          <w:rFonts w:ascii="Verdana" w:hAnsi="Verdana" w:eastAsia="Calibri" w:cs="Arial"/>
          <w:color w:val="000000" w:themeColor="text1"/>
          <w:lang w:val="es-ES_tradnl"/>
        </w:rPr>
        <w:t>Esta interpretación legal</w:t>
      </w:r>
      <w:r w:rsidR="00C0083F">
        <w:rPr>
          <w:rFonts w:ascii="Verdana" w:hAnsi="Verdana" w:eastAsia="Calibri" w:cs="Arial"/>
          <w:color w:val="000000" w:themeColor="text1"/>
          <w:lang w:val="es-ES_tradnl"/>
        </w:rPr>
        <w:t xml:space="preserve"> se resume en los siguientes argumentos:</w:t>
      </w:r>
      <w:r w:rsidR="002353E3">
        <w:rPr>
          <w:rFonts w:ascii="Verdana" w:hAnsi="Verdana" w:eastAsia="Calibri" w:cs="Arial"/>
          <w:color w:val="000000" w:themeColor="text1"/>
          <w:lang w:val="es-ES_tradnl"/>
        </w:rPr>
        <w:t xml:space="preserve"> </w:t>
      </w:r>
      <w:r w:rsidR="00444140">
        <w:rPr>
          <w:rFonts w:ascii="Verdana" w:hAnsi="Verdana" w:eastAsia="Calibri" w:cs="Arial"/>
          <w:color w:val="000000" w:themeColor="text1"/>
          <w:lang w:val="es-ES_tradnl"/>
        </w:rPr>
        <w:t>E</w:t>
      </w:r>
      <w:r w:rsidRPr="007577B1" w:rsidR="007577B1">
        <w:rPr>
          <w:rFonts w:ascii="Verdana" w:hAnsi="Verdana" w:eastAsia="Calibri" w:cs="Arial"/>
          <w:color w:val="000000" w:themeColor="text1"/>
          <w:lang w:val="es-ES_tradnl"/>
        </w:rPr>
        <w:t>sta</w:t>
      </w:r>
      <w:r w:rsidR="007F39B8">
        <w:rPr>
          <w:rFonts w:ascii="Verdana" w:hAnsi="Verdana" w:eastAsia="Calibri" w:cs="Arial"/>
          <w:color w:val="000000" w:themeColor="text1"/>
          <w:lang w:val="es-ES_tradnl"/>
        </w:rPr>
        <w:t xml:space="preserve"> norma</w:t>
      </w:r>
      <w:r w:rsidRPr="007577B1" w:rsidR="007577B1">
        <w:rPr>
          <w:rFonts w:ascii="Verdana" w:hAnsi="Verdana" w:eastAsia="Calibri" w:cs="Arial"/>
          <w:color w:val="000000" w:themeColor="text1"/>
          <w:lang w:val="es-ES_tradnl"/>
        </w:rPr>
        <w:t xml:space="preserve">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00D80631">
        <w:rPr>
          <w:rStyle w:val="Refdenotaalpie"/>
          <w:rFonts w:ascii="Verdana" w:hAnsi="Verdana" w:eastAsia="Calibri" w:cs="Arial"/>
          <w:color w:val="000000" w:themeColor="text1"/>
          <w:lang w:val="es-ES_tradnl"/>
        </w:rPr>
        <w:footnoteReference w:id="2"/>
      </w:r>
      <w:r w:rsidRPr="007577B1" w:rsidR="007577B1">
        <w:rPr>
          <w:rFonts w:ascii="Verdana" w:hAnsi="Verdana" w:eastAsia="Calibri" w:cs="Arial"/>
          <w:color w:val="000000" w:themeColor="text1"/>
          <w:lang w:val="es-ES_tradnl"/>
        </w:rPr>
        <w:t>.</w:t>
      </w:r>
    </w:p>
    <w:p w:rsidR="00C5781B" w:rsidP="004F60F4" w:rsidRDefault="00C5781B" w14:paraId="4476AFEF" w14:textId="65FC9F63">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Además, l</w:t>
      </w:r>
      <w:r w:rsidRPr="008F51FF" w:rsidR="008F51FF">
        <w:rPr>
          <w:rFonts w:ascii="Verdana" w:hAnsi="Verdana" w:eastAsia="Calibri" w:cs="Arial"/>
          <w:color w:val="000000" w:themeColor="text1"/>
          <w:lang w:val="es-ES_tradnl"/>
        </w:rPr>
        <w:t>a intención del legislador, de la cual dan cuenta los antecedentes legislativos de la norma sub examine</w:t>
      </w:r>
      <w:r w:rsidR="007E577E">
        <w:rPr>
          <w:rStyle w:val="Refdenotaalpie"/>
          <w:rFonts w:ascii="Verdana" w:hAnsi="Verdana" w:eastAsia="Calibri" w:cs="Arial"/>
          <w:color w:val="000000" w:themeColor="text1"/>
          <w:lang w:val="es-ES_tradnl"/>
        </w:rPr>
        <w:footnoteReference w:id="3"/>
      </w:r>
      <w:r w:rsidRPr="008F51FF" w:rsidR="008F51FF">
        <w:rPr>
          <w:rFonts w:ascii="Verdana" w:hAnsi="Verdana" w:eastAsia="Calibri" w:cs="Arial"/>
          <w:color w:val="000000" w:themeColor="text1"/>
          <w:lang w:val="es-ES_tradnl"/>
        </w:rPr>
        <w:t>, también justifica la interpretación propuesta por esta Agencia, ya que fue hasta el cuarto debate legislativo en donde se incluyó</w:t>
      </w:r>
      <w:r w:rsidR="00524C9C">
        <w:rPr>
          <w:rFonts w:ascii="Verdana" w:hAnsi="Verdana" w:eastAsia="Calibri" w:cs="Arial"/>
          <w:color w:val="000000" w:themeColor="text1"/>
          <w:lang w:val="es-ES_tradnl"/>
        </w:rPr>
        <w:t xml:space="preserve"> </w:t>
      </w:r>
      <w:r w:rsidRPr="009B2760" w:rsidR="009B2760">
        <w:rPr>
          <w:rFonts w:ascii="Verdana" w:hAnsi="Verdana" w:eastAsia="Calibri" w:cs="Arial"/>
          <w:color w:val="000000" w:themeColor="text1"/>
          <w:lang w:val="es-ES_tradnl"/>
        </w:rPr>
        <w:t>parágrafo 2 del mismo artículo 5 de la Ley 1150 de 2007</w:t>
      </w:r>
      <w:r w:rsidR="002F03C8">
        <w:rPr>
          <w:rStyle w:val="Refdenotaalpie"/>
          <w:rFonts w:ascii="Verdana" w:hAnsi="Verdana" w:eastAsia="Calibri" w:cs="Arial"/>
          <w:color w:val="000000" w:themeColor="text1"/>
          <w:lang w:val="es-ES_tradnl"/>
        </w:rPr>
        <w:footnoteReference w:id="4"/>
      </w:r>
      <w:r w:rsidR="007E577E">
        <w:rPr>
          <w:rFonts w:ascii="Verdana" w:hAnsi="Verdana" w:eastAsia="Calibri" w:cs="Arial"/>
          <w:color w:val="000000" w:themeColor="text1"/>
          <w:lang w:val="es-ES_tradnl"/>
        </w:rPr>
        <w:t xml:space="preserve">, </w:t>
      </w:r>
      <w:r w:rsidRPr="008F51FF" w:rsidR="008F51FF">
        <w:rPr>
          <w:rFonts w:ascii="Verdana" w:hAnsi="Verdana" w:eastAsia="Calibri" w:cs="Arial"/>
          <w:color w:val="000000" w:themeColor="text1"/>
          <w:lang w:val="es-ES_tradnl"/>
        </w:rPr>
        <w:t xml:space="preserve">lo que deja ver la necesidad que tenía el Congreso de aclarar que unos documentos </w:t>
      </w:r>
      <w:r w:rsidRPr="008F51FF" w:rsidR="008F51FF">
        <w:rPr>
          <w:rFonts w:ascii="Verdana" w:hAnsi="Verdana" w:eastAsia="Calibri" w:cs="Arial"/>
          <w:color w:val="000000" w:themeColor="text1"/>
          <w:lang w:val="es-ES_tradnl"/>
        </w:rPr>
        <w:lastRenderedPageBreak/>
        <w:t xml:space="preserve">no podrían ser tenidos como requisitos habilitantes, lo que </w:t>
      </w:r>
      <w:r w:rsidR="00295002">
        <w:rPr>
          <w:rFonts w:ascii="Verdana" w:hAnsi="Verdana" w:eastAsia="Calibri" w:cs="Arial"/>
          <w:color w:val="000000" w:themeColor="text1"/>
          <w:lang w:val="es-ES_tradnl"/>
        </w:rPr>
        <w:t xml:space="preserve">asimismo evidencia </w:t>
      </w:r>
      <w:r w:rsidRPr="008F51FF" w:rsidR="008F51FF">
        <w:rPr>
          <w:rFonts w:ascii="Verdana" w:hAnsi="Verdana" w:eastAsia="Calibri" w:cs="Arial"/>
          <w:color w:val="000000" w:themeColor="text1"/>
          <w:lang w:val="es-ES_tradnl"/>
        </w:rPr>
        <w:t xml:space="preserve">el reconocimiento tácito de la existencia de otros requisitos habilitantes, distintos a los cuatro que establece el artículo 5, </w:t>
      </w:r>
      <w:r w:rsidR="00905130">
        <w:rPr>
          <w:rFonts w:ascii="Verdana" w:hAnsi="Verdana" w:eastAsia="Calibri" w:cs="Arial"/>
          <w:color w:val="000000" w:themeColor="text1"/>
          <w:lang w:val="es-ES_tradnl"/>
        </w:rPr>
        <w:t xml:space="preserve">numeral </w:t>
      </w:r>
      <w:r w:rsidRPr="008F51FF" w:rsidR="008F51FF">
        <w:rPr>
          <w:rFonts w:ascii="Verdana" w:hAnsi="Verdana" w:eastAsia="Calibri" w:cs="Arial"/>
          <w:color w:val="000000" w:themeColor="text1"/>
          <w:lang w:val="es-ES_tradnl"/>
        </w:rPr>
        <w:t>1, de la Ley 1150 de 2007</w:t>
      </w:r>
      <w:r w:rsidR="00627643">
        <w:rPr>
          <w:rStyle w:val="Refdenotaalpie"/>
          <w:rFonts w:ascii="Verdana" w:hAnsi="Verdana" w:eastAsia="Calibri" w:cs="Arial"/>
          <w:color w:val="000000" w:themeColor="text1"/>
          <w:lang w:val="es-ES_tradnl"/>
        </w:rPr>
        <w:footnoteReference w:id="5"/>
      </w:r>
      <w:r w:rsidR="00F44642">
        <w:rPr>
          <w:rFonts w:ascii="Verdana" w:hAnsi="Verdana" w:eastAsia="Calibri" w:cs="Arial"/>
          <w:color w:val="000000" w:themeColor="text1"/>
          <w:lang w:val="es-ES_tradnl"/>
        </w:rPr>
        <w:t xml:space="preserve">. </w:t>
      </w:r>
    </w:p>
    <w:p w:rsidRPr="009616D4" w:rsidR="002D2D68" w:rsidP="004F60F4" w:rsidRDefault="00C5781B" w14:paraId="0018C300" w14:textId="7D37AFE4">
      <w:pPr>
        <w:spacing w:line="276" w:lineRule="auto"/>
        <w:ind w:firstLine="708"/>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Por último, e</w:t>
      </w:r>
      <w:r w:rsidRPr="00FF0CF5" w:rsidR="00FF0CF5">
        <w:rPr>
          <w:rFonts w:ascii="Verdana" w:hAnsi="Verdana" w:eastAsia="Calibri" w:cs="Arial"/>
          <w:color w:val="000000" w:themeColor="text1"/>
          <w:lang w:val="es-ES_tradnl"/>
        </w:rPr>
        <w:t xml:space="preserve">n el “Manual para determinar y verificar los requisitos habilitantes en los Procesos de Contratación” expedido por esta Agencia, </w:t>
      </w:r>
      <w:r w:rsidR="00E17981">
        <w:rPr>
          <w:rFonts w:ascii="Verdana" w:hAnsi="Verdana" w:eastAsia="Calibri" w:cs="Arial"/>
          <w:color w:val="000000" w:themeColor="text1"/>
          <w:lang w:val="es-ES_tradnl"/>
        </w:rPr>
        <w:t xml:space="preserve">en el cual </w:t>
      </w:r>
      <w:r w:rsidRPr="00FF0CF5" w:rsidR="00FF0CF5">
        <w:rPr>
          <w:rFonts w:ascii="Verdana" w:hAnsi="Verdana" w:eastAsia="Calibri" w:cs="Arial"/>
          <w:color w:val="000000" w:themeColor="text1"/>
          <w:lang w:val="es-ES_tradnl"/>
        </w:rPr>
        <w:t>se determinaron los parámetros para establecer, acreditar y subsanar los requisitos habilitantes estudiados en los párrafos precedentes</w:t>
      </w:r>
      <w:r w:rsidR="00E17981">
        <w:rPr>
          <w:rFonts w:ascii="Verdana" w:hAnsi="Verdana" w:eastAsia="Calibri" w:cs="Arial"/>
          <w:color w:val="000000" w:themeColor="text1"/>
          <w:lang w:val="es-ES_tradnl"/>
        </w:rPr>
        <w:t xml:space="preserve">, se indica que </w:t>
      </w:r>
      <w:r w:rsidR="003B3FF1">
        <w:rPr>
          <w:rFonts w:ascii="Verdana" w:hAnsi="Verdana" w:eastAsia="Calibri" w:cs="Arial"/>
          <w:color w:val="000000" w:themeColor="text1"/>
          <w:lang w:val="es-ES_tradnl"/>
        </w:rPr>
        <w:t xml:space="preserve">su </w:t>
      </w:r>
      <w:r w:rsidRPr="00FF0CF5" w:rsidR="00FF0CF5">
        <w:rPr>
          <w:rFonts w:ascii="Verdana" w:hAnsi="Verdana" w:eastAsia="Calibri" w:cs="Arial"/>
          <w:color w:val="000000" w:themeColor="text1"/>
          <w:lang w:val="es-ES_tradnl"/>
        </w:rPr>
        <w:t>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rsidR="006037C5" w:rsidP="006037C5" w:rsidRDefault="00321FFD" w14:paraId="61F14519" w14:textId="5F51AC94">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En </w:t>
      </w:r>
      <w:r w:rsidR="0087378E">
        <w:rPr>
          <w:rFonts w:ascii="Verdana" w:hAnsi="Verdana" w:eastAsia="Calibri" w:cs="Arial"/>
          <w:color w:val="000000" w:themeColor="text1"/>
        </w:rPr>
        <w:t xml:space="preserve">consecuencia, </w:t>
      </w:r>
      <w:r w:rsidRPr="009616D4" w:rsidR="009616D4">
        <w:rPr>
          <w:rFonts w:ascii="Verdana" w:hAnsi="Verdana" w:eastAsia="Calibri" w:cs="Arial"/>
          <w:color w:val="000000" w:themeColor="text1"/>
        </w:rPr>
        <w:t xml:space="preserve">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name="_Hlk182863897" w:id="2"/>
      <w:r w:rsidRPr="009616D4" w:rsidR="009616D4">
        <w:rPr>
          <w:rFonts w:ascii="Verdana" w:hAnsi="Verdana" w:eastAsia="Calibri" w:cs="Arial"/>
          <w:color w:val="000000" w:themeColor="text1"/>
        </w:rPr>
        <w:t>con la naturaleza, el valor del contrato, la forma de pago, los riesgos asociados al contrato, el plazo y la complejidad de ejecución del objeto</w:t>
      </w:r>
      <w:r w:rsidR="00DD1941">
        <w:rPr>
          <w:rStyle w:val="Refdenotaalpie"/>
          <w:rFonts w:ascii="Verdana" w:hAnsi="Verdana" w:eastAsia="Calibri" w:cs="Arial"/>
          <w:color w:val="000000" w:themeColor="text1"/>
        </w:rPr>
        <w:footnoteReference w:id="6"/>
      </w:r>
      <w:r w:rsidRPr="009616D4" w:rsidR="009616D4">
        <w:rPr>
          <w:rFonts w:ascii="Verdana" w:hAnsi="Verdana" w:eastAsia="Calibri" w:cs="Arial"/>
          <w:color w:val="000000" w:themeColor="text1"/>
        </w:rPr>
        <w:t>.</w:t>
      </w:r>
      <w:bookmarkEnd w:id="2"/>
    </w:p>
    <w:p w:rsidRPr="009616D4" w:rsidR="009616D4" w:rsidP="006037C5" w:rsidRDefault="006037C5" w14:paraId="232DCDF7" w14:textId="14BD7E8E">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lastRenderedPageBreak/>
        <w:t>De esta manera,</w:t>
      </w:r>
      <w:r w:rsidRPr="009616D4" w:rsidR="009616D4">
        <w:rPr>
          <w:rFonts w:ascii="Verdana" w:hAnsi="Verdana" w:eastAsia="Calibri" w:cs="Arial"/>
          <w:color w:val="000000" w:themeColor="text1"/>
        </w:rPr>
        <w:t xml:space="preserv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rsidRPr="009616D4" w:rsidR="009616D4" w:rsidP="009616D4" w:rsidRDefault="009616D4" w14:paraId="2F434DE1" w14:textId="77777777">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rsidR="00584D04" w:rsidP="009616D4" w:rsidRDefault="00C15E81" w14:paraId="455CB6BB" w14:textId="681365A2">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En este sentido, e</w:t>
      </w:r>
      <w:r w:rsidRPr="009616D4" w:rsidR="009616D4">
        <w:rPr>
          <w:rFonts w:ascii="Verdana" w:hAnsi="Verdana" w:eastAsia="Calibri" w:cs="Arial"/>
          <w:color w:val="000000" w:themeColor="text1"/>
        </w:rPr>
        <w:t xml:space="preserv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rsidRPr="009616D4" w:rsidR="009616D4" w:rsidP="009616D4" w:rsidRDefault="009616D4" w14:paraId="440F7FB6" w14:textId="7B3DF5C2">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Esto en la medida que</w:t>
      </w:r>
      <w:r w:rsidR="00C91D19">
        <w:rPr>
          <w:rFonts w:ascii="Verdana" w:hAnsi="Verdana" w:eastAsia="Calibri" w:cs="Arial"/>
          <w:color w:val="000000" w:themeColor="text1"/>
        </w:rPr>
        <w:t>,</w:t>
      </w:r>
      <w:r w:rsidRPr="009616D4">
        <w:rPr>
          <w:rFonts w:ascii="Verdana" w:hAnsi="Verdana" w:eastAsia="Calibri" w:cs="Arial"/>
          <w:color w:val="000000" w:themeColor="text1"/>
        </w:rPr>
        <w:t xml:space="preserv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rsidRPr="009616D4" w:rsidR="009616D4" w:rsidP="009616D4" w:rsidRDefault="009616D4" w14:paraId="21A35431" w14:textId="77777777">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 xml:space="preserve">Considerando la discrecionalidad para establecer requisitos habilitantes, es necesario tener en cuenta que el artículo 44 de la Ley 1437 de 2011 –aplicable </w:t>
      </w:r>
      <w:r w:rsidRPr="009616D4">
        <w:rPr>
          <w:rFonts w:ascii="Verdana" w:hAnsi="Verdana" w:eastAsia="Calibri" w:cs="Arial"/>
          <w:color w:val="000000" w:themeColor="text1"/>
        </w:rPr>
        <w:lastRenderedPageBreak/>
        <w:t>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rsidR="00692401" w:rsidP="00577AC3" w:rsidRDefault="00B35EF5" w14:paraId="65DB3028" w14:textId="22925EB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Así las cosas</w:t>
      </w:r>
      <w:r w:rsidRPr="009616D4" w:rsidR="009616D4">
        <w:rPr>
          <w:rFonts w:ascii="Verdana" w:hAnsi="Verdana" w:eastAsia="Calibri" w:cs="Arial"/>
          <w:color w:val="000000" w:themeColor="text1"/>
        </w:rPr>
        <w:t xml:space="preserve">, </w:t>
      </w:r>
      <w:r>
        <w:rPr>
          <w:rFonts w:ascii="Verdana" w:hAnsi="Verdana" w:eastAsia="Calibri" w:cs="Arial"/>
          <w:color w:val="000000" w:themeColor="text1"/>
        </w:rPr>
        <w:t>se concluye</w:t>
      </w:r>
      <w:r w:rsidRPr="009616D4" w:rsidR="009616D4">
        <w:rPr>
          <w:rFonts w:ascii="Verdana" w:hAnsi="Verdana" w:eastAsia="Calibri" w:cs="Arial"/>
          <w:color w:val="000000" w:themeColor="text1"/>
        </w:rPr>
        <w:t xml:space="preserv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rsidR="002908F8" w:rsidP="002908F8" w:rsidRDefault="003F5A39" w14:paraId="513E4F8A" w14:textId="5DD0FAAE">
      <w:pPr>
        <w:widowControl w:val="0"/>
        <w:autoSpaceDE w:val="0"/>
        <w:autoSpaceDN w:val="0"/>
        <w:spacing w:line="276" w:lineRule="auto"/>
        <w:ind w:firstLine="851"/>
        <w:jc w:val="both"/>
        <w:rPr>
          <w:rFonts w:ascii="Verdana" w:hAnsi="Verdana" w:eastAsia="Calibri" w:cs="Arial"/>
          <w:color w:val="000000" w:themeColor="text1"/>
        </w:rPr>
      </w:pPr>
      <w:r>
        <w:rPr>
          <w:rFonts w:ascii="Verdana" w:hAnsi="Verdana" w:eastAsia="Calibri" w:cs="Arial"/>
          <w:color w:val="000000" w:themeColor="text1"/>
        </w:rPr>
        <w:t xml:space="preserve">Ahora bien, </w:t>
      </w:r>
      <w:r w:rsidR="00354405">
        <w:rPr>
          <w:rFonts w:ascii="Verdana" w:hAnsi="Verdana" w:eastAsia="Calibri" w:cs="Arial"/>
          <w:color w:val="000000" w:themeColor="text1"/>
        </w:rPr>
        <w:t xml:space="preserve">para </w:t>
      </w:r>
      <w:r w:rsidR="00AB37DB">
        <w:rPr>
          <w:rFonts w:ascii="Verdana" w:hAnsi="Verdana" w:eastAsia="Calibri" w:cs="Arial"/>
          <w:color w:val="000000" w:themeColor="text1"/>
        </w:rPr>
        <w:t>revisar</w:t>
      </w:r>
      <w:r w:rsidR="00354405">
        <w:rPr>
          <w:rFonts w:ascii="Verdana" w:hAnsi="Verdana" w:eastAsia="Calibri" w:cs="Arial"/>
          <w:color w:val="000000" w:themeColor="text1"/>
        </w:rPr>
        <w:t xml:space="preserve"> la validez de establecer </w:t>
      </w:r>
      <w:r w:rsidR="006B2E45">
        <w:rPr>
          <w:rFonts w:ascii="Verdana" w:hAnsi="Verdana" w:eastAsia="Calibri" w:cs="Arial"/>
          <w:color w:val="000000" w:themeColor="text1"/>
        </w:rPr>
        <w:t xml:space="preserve">como requisito habilitante </w:t>
      </w:r>
      <w:r w:rsidR="00DF0576">
        <w:rPr>
          <w:rFonts w:ascii="Verdana" w:hAnsi="Verdana" w:eastAsia="Calibri" w:cs="Arial"/>
          <w:color w:val="000000" w:themeColor="text1"/>
        </w:rPr>
        <w:t xml:space="preserve">de </w:t>
      </w:r>
      <w:r w:rsidR="006B2E45">
        <w:rPr>
          <w:rFonts w:ascii="Verdana" w:hAnsi="Verdana" w:eastAsia="Calibri" w:cs="Arial"/>
          <w:color w:val="000000" w:themeColor="text1"/>
        </w:rPr>
        <w:t>un proceso de contratación</w:t>
      </w:r>
      <w:r w:rsidRPr="00692401" w:rsidR="00354405">
        <w:rPr>
          <w:rFonts w:ascii="Verdana" w:hAnsi="Verdana" w:eastAsia="Calibri" w:cs="Arial"/>
          <w:color w:val="000000" w:themeColor="text1"/>
        </w:rPr>
        <w:t xml:space="preserve"> </w:t>
      </w:r>
      <w:r w:rsidR="00DF0576">
        <w:rPr>
          <w:rFonts w:ascii="Verdana" w:hAnsi="Verdana" w:eastAsia="Calibri" w:cs="Arial"/>
          <w:color w:val="000000" w:themeColor="text1"/>
        </w:rPr>
        <w:t xml:space="preserve">la </w:t>
      </w:r>
      <w:r w:rsidR="00B90D9B">
        <w:rPr>
          <w:rFonts w:ascii="Verdana" w:hAnsi="Verdana" w:eastAsia="Calibri" w:cs="Arial"/>
          <w:color w:val="000000" w:themeColor="text1"/>
        </w:rPr>
        <w:t>implementación d</w:t>
      </w:r>
      <w:r w:rsidR="00DF0576">
        <w:rPr>
          <w:rFonts w:ascii="Verdana" w:hAnsi="Verdana" w:eastAsia="Calibri" w:cs="Arial"/>
          <w:color w:val="000000" w:themeColor="text1"/>
        </w:rPr>
        <w:t xml:space="preserve">el </w:t>
      </w:r>
      <w:r w:rsidRPr="00692401" w:rsidR="00354405">
        <w:rPr>
          <w:rFonts w:ascii="Verdana" w:hAnsi="Verdana" w:eastAsia="Calibri" w:cs="Arial"/>
          <w:color w:val="000000" w:themeColor="text1"/>
        </w:rPr>
        <w:t>Sistema de Gestión de Seguridad y Salud en el Trabajo SG-SST</w:t>
      </w:r>
      <w:r w:rsidR="00AB37DB">
        <w:rPr>
          <w:rFonts w:ascii="Verdana" w:hAnsi="Verdana" w:eastAsia="Calibri" w:cs="Arial"/>
          <w:color w:val="000000" w:themeColor="text1"/>
        </w:rPr>
        <w:t xml:space="preserve">, es indispensable </w:t>
      </w:r>
      <w:r w:rsidR="00737821">
        <w:rPr>
          <w:rFonts w:ascii="Verdana" w:hAnsi="Verdana" w:eastAsia="Calibri" w:cs="Arial"/>
          <w:color w:val="000000" w:themeColor="text1"/>
        </w:rPr>
        <w:t xml:space="preserve">de manera preliminar </w:t>
      </w:r>
      <w:r w:rsidR="00AB37DB">
        <w:rPr>
          <w:rFonts w:ascii="Verdana" w:hAnsi="Verdana" w:eastAsia="Calibri" w:cs="Arial"/>
          <w:color w:val="000000" w:themeColor="text1"/>
        </w:rPr>
        <w:t xml:space="preserve">hacer referencia a </w:t>
      </w:r>
      <w:r w:rsidR="00030BFB">
        <w:rPr>
          <w:rFonts w:ascii="Verdana" w:hAnsi="Verdana" w:eastAsia="Calibri" w:cs="Arial"/>
          <w:color w:val="000000" w:themeColor="text1"/>
        </w:rPr>
        <w:t xml:space="preserve">su regulación en el ordenamiento jurídico. </w:t>
      </w:r>
      <w:r w:rsidR="00AA1224">
        <w:rPr>
          <w:rFonts w:ascii="Verdana" w:hAnsi="Verdana" w:eastAsia="Calibri" w:cs="Arial"/>
          <w:color w:val="000000" w:themeColor="text1"/>
        </w:rPr>
        <w:t xml:space="preserve">Así, </w:t>
      </w:r>
      <w:r w:rsidRPr="0050458E" w:rsidR="0050458E">
        <w:rPr>
          <w:rFonts w:ascii="Verdana" w:hAnsi="Verdana" w:eastAsia="Calibri" w:cs="Arial"/>
          <w:color w:val="000000" w:themeColor="text1"/>
        </w:rPr>
        <w:t xml:space="preserve">el artículo 1 de la Ley 1562 de 2012, que modificó el Sistema de Riesgos Laborales, contempló que el programa de salud ocupacional en adelante se conocería como el Sistema de Gestión de la Seguridad y Salud en el Trabajo SG-SST, definido este como un </w:t>
      </w:r>
      <w:r w:rsidRPr="006E3C3E" w:rsidR="0050458E">
        <w:rPr>
          <w:rFonts w:ascii="Verdana" w:hAnsi="Verdana" w:eastAsia="Calibri" w:cs="Arial"/>
          <w:color w:val="000000" w:themeColor="text1"/>
        </w:rPr>
        <w:t>“Sistema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rsidR="002D0907" w:rsidP="001A54DA" w:rsidRDefault="002908F8" w14:paraId="0478300A" w14:textId="31B3131E">
      <w:pPr>
        <w:widowControl w:val="0"/>
        <w:autoSpaceDE w:val="0"/>
        <w:autoSpaceDN w:val="0"/>
        <w:spacing w:line="276" w:lineRule="auto"/>
        <w:ind w:firstLine="851"/>
        <w:jc w:val="both"/>
        <w:rPr>
          <w:rFonts w:ascii="Verdana" w:hAnsi="Verdana" w:eastAsia="Calibri" w:cs="Arial"/>
          <w:color w:val="000000" w:themeColor="text1"/>
        </w:rPr>
      </w:pPr>
      <w:r>
        <w:rPr>
          <w:rFonts w:ascii="Verdana" w:hAnsi="Verdana" w:eastAsia="Calibri" w:cs="Arial"/>
          <w:color w:val="000000" w:themeColor="text1"/>
        </w:rPr>
        <w:t>E</w:t>
      </w:r>
      <w:r w:rsidR="00C70DF4">
        <w:rPr>
          <w:rFonts w:ascii="Verdana" w:hAnsi="Verdana" w:eastAsia="Calibri" w:cs="Arial"/>
          <w:color w:val="000000" w:themeColor="text1"/>
        </w:rPr>
        <w:t>n e</w:t>
      </w:r>
      <w:r w:rsidRPr="002908F8">
        <w:rPr>
          <w:rFonts w:ascii="Verdana" w:hAnsi="Verdana" w:eastAsia="Calibri" w:cs="Arial"/>
          <w:color w:val="000000" w:themeColor="text1"/>
        </w:rPr>
        <w:t>l Decreto 1443 de 2014, compilado posteriormente en el capítulo 6 del Decreto 1072 de 2015, “por medio del cual se expidió el Decreto Reglamentario del Sector Trabajo”,</w:t>
      </w:r>
      <w:r w:rsidR="0015710D">
        <w:rPr>
          <w:rFonts w:ascii="Verdana" w:hAnsi="Verdana" w:eastAsia="Calibri" w:cs="Arial"/>
          <w:color w:val="000000" w:themeColor="text1"/>
        </w:rPr>
        <w:t xml:space="preserve"> </w:t>
      </w:r>
      <w:r w:rsidRPr="002908F8">
        <w:rPr>
          <w:rFonts w:ascii="Verdana" w:hAnsi="Verdana" w:eastAsia="Calibri" w:cs="Arial"/>
          <w:color w:val="000000" w:themeColor="text1"/>
        </w:rPr>
        <w:t>se definieron directrices para la implementación del Sistema de Gestión de la Seguridad y Salud en el Trabajo (SG-SST)</w:t>
      </w:r>
      <w:r w:rsidR="001A54DA">
        <w:rPr>
          <w:rFonts w:ascii="Verdana" w:hAnsi="Verdana" w:eastAsia="Calibri" w:cs="Arial"/>
          <w:color w:val="000000" w:themeColor="text1"/>
        </w:rPr>
        <w:t xml:space="preserve">. Específicamente, </w:t>
      </w:r>
      <w:r w:rsidR="00BD2937">
        <w:rPr>
          <w:rFonts w:ascii="Verdana" w:hAnsi="Verdana" w:eastAsia="Calibri" w:cs="Arial"/>
          <w:color w:val="000000" w:themeColor="text1"/>
        </w:rPr>
        <w:t>e</w:t>
      </w:r>
      <w:r w:rsidRPr="00692401" w:rsidR="00692401">
        <w:rPr>
          <w:rFonts w:ascii="Verdana" w:hAnsi="Verdana" w:eastAsia="Calibri" w:cs="Arial"/>
          <w:color w:val="000000" w:themeColor="text1"/>
        </w:rPr>
        <w:t xml:space="preserve">l artículo 2.2.4.6.4. del Decreto 1072 de 2015 </w:t>
      </w:r>
      <w:r w:rsidRPr="00692401" w:rsidR="00692401">
        <w:rPr>
          <w:rFonts w:ascii="Verdana" w:hAnsi="Verdana" w:eastAsia="Calibri" w:cs="Arial"/>
          <w:color w:val="000000" w:themeColor="text1"/>
        </w:rPr>
        <w:lastRenderedPageBreak/>
        <w:t xml:space="preserve">dispuso que </w:t>
      </w:r>
      <w:bookmarkStart w:name="_Hlk182775658" w:id="3"/>
      <w:r w:rsidRPr="00692401" w:rsidR="00692401">
        <w:rPr>
          <w:rFonts w:ascii="Verdana" w:hAnsi="Verdana" w:eastAsia="Calibri" w:cs="Arial"/>
          <w:color w:val="000000" w:themeColor="text1"/>
        </w:rPr>
        <w:t xml:space="preserve">el Sistema de Gestión de Seguridad y Salud en el Trabajo SG-SST </w:t>
      </w:r>
      <w:bookmarkEnd w:id="3"/>
      <w:r w:rsidRPr="00692401" w:rsidR="00692401">
        <w:rPr>
          <w:rFonts w:ascii="Verdana" w:hAnsi="Verdana" w:eastAsia="Calibri" w:cs="Arial"/>
          <w:color w:val="000000" w:themeColor="text1"/>
        </w:rPr>
        <w:t xml:space="preserve">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w:t>
      </w:r>
    </w:p>
    <w:p w:rsidR="003D10EC" w:rsidP="00CC4F99" w:rsidRDefault="003D10EC" w14:paraId="5F8B9344" w14:textId="5C1EDE27">
      <w:pPr>
        <w:widowControl w:val="0"/>
        <w:autoSpaceDE w:val="0"/>
        <w:autoSpaceDN w:val="0"/>
        <w:spacing w:line="276" w:lineRule="auto"/>
        <w:ind w:firstLine="851"/>
        <w:jc w:val="both"/>
        <w:rPr>
          <w:rFonts w:ascii="Verdana" w:hAnsi="Verdana" w:eastAsia="Calibri" w:cs="Arial"/>
          <w:color w:val="000000" w:themeColor="text1"/>
        </w:rPr>
      </w:pPr>
      <w:r>
        <w:rPr>
          <w:rFonts w:ascii="Verdana" w:hAnsi="Verdana" w:eastAsia="Calibri" w:cs="Arial"/>
          <w:color w:val="000000" w:themeColor="text1"/>
        </w:rPr>
        <w:t>Para tales efectos</w:t>
      </w:r>
      <w:r w:rsidRPr="00692401" w:rsidR="00692401">
        <w:rPr>
          <w:rFonts w:ascii="Verdana" w:hAnsi="Verdana" w:eastAsia="Calibri" w:cs="Arial"/>
          <w:color w:val="000000" w:themeColor="text1"/>
        </w:rPr>
        <w:t>,</w:t>
      </w:r>
      <w:r w:rsidRPr="00B50E13" w:rsidR="00B50E13">
        <w:t xml:space="preserve"> </w:t>
      </w:r>
      <w:r w:rsidRPr="00B50E13" w:rsidR="00B50E13">
        <w:rPr>
          <w:rFonts w:ascii="Verdana" w:hAnsi="Verdana" w:eastAsia="Calibri" w:cs="Arial"/>
          <w:color w:val="000000" w:themeColor="text1"/>
        </w:rPr>
        <w:t xml:space="preserve">el parágrafo 1º </w:t>
      </w:r>
      <w:r w:rsidRPr="004607D0">
        <w:rPr>
          <w:rFonts w:ascii="Verdana" w:hAnsi="Verdana" w:eastAsia="Calibri" w:cs="Arial"/>
          <w:i/>
          <w:iCs/>
          <w:color w:val="000000" w:themeColor="text1"/>
        </w:rPr>
        <w:t>ibide</w:t>
      </w:r>
      <w:r w:rsidRPr="004607D0" w:rsidR="00FF37DC">
        <w:rPr>
          <w:rFonts w:ascii="Verdana" w:hAnsi="Verdana" w:eastAsia="Calibri" w:cs="Arial"/>
          <w:i/>
          <w:iCs/>
          <w:color w:val="000000" w:themeColor="text1"/>
        </w:rPr>
        <w:t>m</w:t>
      </w:r>
      <w:r w:rsidRPr="00B50E13" w:rsidR="00B50E13">
        <w:rPr>
          <w:rFonts w:ascii="Verdana" w:hAnsi="Verdana" w:eastAsia="Calibri" w:cs="Arial"/>
          <w:color w:val="000000" w:themeColor="text1"/>
        </w:rPr>
        <w:t xml:space="preserve"> estableció que el Ministerio del Trabajo o quien haga sus veces, determinaría de manera progresiva, los estándares que hacen parte de los diversos componentes del mencionado Sistema de Gestión de Seguridad y Salud en el Trabajo SG-SST, de conformidad con el desarrollo y avances técnicos y científicos del sector y del país, realizando los ajustes y actualizaciones a que haya lugar y que dichos estándares deberán ser implementados por los integrantes del Sistema General de Riesgos Laborales en las fases y dentro de las fechas que al respecto defina el Ministerio de Trabajo</w:t>
      </w:r>
      <w:r>
        <w:rPr>
          <w:rFonts w:ascii="Verdana" w:hAnsi="Verdana" w:eastAsia="Calibri" w:cs="Arial"/>
          <w:color w:val="000000" w:themeColor="text1"/>
        </w:rPr>
        <w:t>.</w:t>
      </w:r>
    </w:p>
    <w:p w:rsidRPr="00F837E6" w:rsidR="00F837E6" w:rsidP="00CC4F99" w:rsidRDefault="00FF37DC" w14:paraId="1531BF21" w14:textId="7A2A708D">
      <w:pPr>
        <w:widowControl w:val="0"/>
        <w:autoSpaceDE w:val="0"/>
        <w:autoSpaceDN w:val="0"/>
        <w:spacing w:line="276" w:lineRule="auto"/>
        <w:ind w:firstLine="851"/>
        <w:jc w:val="both"/>
        <w:rPr>
          <w:rFonts w:ascii="Verdana" w:hAnsi="Verdana" w:eastAsia="Calibri" w:cs="Arial"/>
          <w:color w:val="000000" w:themeColor="text1"/>
        </w:rPr>
      </w:pPr>
      <w:r>
        <w:rPr>
          <w:rFonts w:ascii="Verdana" w:hAnsi="Verdana" w:eastAsia="Calibri" w:cs="Arial"/>
          <w:color w:val="000000" w:themeColor="text1"/>
        </w:rPr>
        <w:t>Por su parte,</w:t>
      </w:r>
      <w:r w:rsidRPr="00692401" w:rsidR="00692401">
        <w:rPr>
          <w:rFonts w:ascii="Verdana" w:hAnsi="Verdana" w:eastAsia="Calibri" w:cs="Arial"/>
          <w:color w:val="000000" w:themeColor="text1"/>
        </w:rPr>
        <w:t xml:space="preserve"> el parágrafo 2°</w:t>
      </w:r>
      <w:r w:rsidR="00B22A22">
        <w:rPr>
          <w:rFonts w:ascii="Verdana" w:hAnsi="Verdana" w:eastAsia="Calibri" w:cs="Arial"/>
          <w:color w:val="000000" w:themeColor="text1"/>
        </w:rPr>
        <w:t xml:space="preserve"> </w:t>
      </w:r>
      <w:r w:rsidR="00D54640">
        <w:rPr>
          <w:rFonts w:ascii="Verdana" w:hAnsi="Verdana" w:eastAsia="Calibri" w:cs="Arial"/>
          <w:color w:val="000000" w:themeColor="text1"/>
        </w:rPr>
        <w:t xml:space="preserve">de la norma en mención dispuso </w:t>
      </w:r>
      <w:r w:rsidRPr="00692401" w:rsidR="00692401">
        <w:rPr>
          <w:rFonts w:ascii="Verdana" w:hAnsi="Verdana" w:eastAsia="Calibri" w:cs="Arial"/>
          <w:color w:val="000000" w:themeColor="text1"/>
        </w:rPr>
        <w:t>qu</w:t>
      </w:r>
      <w:r w:rsidR="00113AF2">
        <w:rPr>
          <w:rFonts w:ascii="Verdana" w:hAnsi="Verdana" w:eastAsia="Calibri" w:cs="Arial"/>
          <w:color w:val="000000" w:themeColor="text1"/>
        </w:rPr>
        <w:t>e</w:t>
      </w:r>
      <w:r w:rsidRPr="00692401" w:rsidR="00692401">
        <w:rPr>
          <w:rFonts w:ascii="Verdana" w:hAnsi="Verdana" w:eastAsia="Calibri" w:cs="Arial"/>
          <w:color w:val="000000" w:themeColor="text1"/>
        </w:rPr>
        <w:t xml:space="preserve"> “</w:t>
      </w:r>
      <w:bookmarkStart w:name="_Hlk182833290" w:id="4"/>
      <w:r w:rsidRPr="00692401" w:rsidR="00692401">
        <w:rPr>
          <w:rFonts w:ascii="Verdana" w:hAnsi="Verdana" w:eastAsia="Calibri" w:cs="Arial"/>
          <w:color w:val="000000" w:themeColor="text1"/>
        </w:rPr>
        <w:t>Dentro de los parámetros de selección y evaluación de proveedores y contratistas</w:t>
      </w:r>
      <w:bookmarkEnd w:id="4"/>
      <w:r w:rsidRPr="00692401" w:rsidR="00692401">
        <w:rPr>
          <w:rFonts w:ascii="Verdana" w:hAnsi="Verdana" w:eastAsia="Calibri" w:cs="Arial"/>
          <w:color w:val="000000" w:themeColor="text1"/>
        </w:rPr>
        <w:t>, el contratante podrá incluir criterios que le permitan conocer que la empresa a contratar cuente con el Sistema de Gestión de la Seguridad y Salud en el Trabajo (SG-SST)”.</w:t>
      </w:r>
    </w:p>
    <w:p w:rsidR="00C40126" w:rsidP="00FE321B" w:rsidRDefault="00135F76" w14:paraId="0F60DD98" w14:textId="087621CE">
      <w:pPr>
        <w:spacing w:before="120" w:after="120" w:line="276" w:lineRule="auto"/>
        <w:ind w:firstLine="709"/>
        <w:jc w:val="both"/>
        <w:rPr>
          <w:rFonts w:ascii="Verdana" w:hAnsi="Verdana" w:eastAsia="Calibri" w:cs="Arial"/>
        </w:rPr>
      </w:pPr>
      <w:r w:rsidRPr="00135F76">
        <w:rPr>
          <w:rFonts w:ascii="Verdana" w:hAnsi="Verdana" w:eastAsia="Calibri" w:cs="Arial"/>
        </w:rPr>
        <w:t>Con base en dicho marco normativo, el Ministerio del Trabajo expidió la Resolución 312 del 13 de febrero de 2019, mediante la cual se defini</w:t>
      </w:r>
      <w:r w:rsidR="00EF03DC">
        <w:rPr>
          <w:rFonts w:ascii="Verdana" w:hAnsi="Verdana" w:eastAsia="Calibri" w:cs="Arial"/>
        </w:rPr>
        <w:t>eron</w:t>
      </w:r>
      <w:r w:rsidRPr="00135F76">
        <w:rPr>
          <w:rFonts w:ascii="Verdana" w:hAnsi="Verdana" w:eastAsia="Calibri" w:cs="Arial"/>
        </w:rPr>
        <w:t xml:space="preserve">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 los Procesos de Contratación Estatal. </w:t>
      </w:r>
    </w:p>
    <w:p w:rsidR="0093442D" w:rsidP="00FE321B" w:rsidRDefault="00135F76" w14:paraId="0A4D4FC3" w14:textId="337723AC">
      <w:pPr>
        <w:spacing w:before="120" w:after="120" w:line="276" w:lineRule="auto"/>
        <w:ind w:firstLine="709"/>
        <w:jc w:val="both"/>
        <w:rPr>
          <w:rFonts w:ascii="Verdana" w:hAnsi="Verdana" w:eastAsia="Calibri" w:cs="Arial"/>
        </w:rPr>
      </w:pPr>
      <w:r w:rsidRPr="00135F76">
        <w:rPr>
          <w:rFonts w:ascii="Verdana" w:hAnsi="Verdana" w:eastAsia="Calibri" w:cs="Arial"/>
        </w:rPr>
        <w:t>Lo anterior, a criterio de la Agencia, sería permitido siempre y cuando dichos criterios</w:t>
      </w:r>
      <w:r w:rsidR="00DD26A5">
        <w:rPr>
          <w:rFonts w:ascii="Verdana" w:hAnsi="Verdana" w:eastAsia="Calibri" w:cs="Arial"/>
        </w:rPr>
        <w:t>,</w:t>
      </w:r>
      <w:r w:rsidRPr="00135F76">
        <w:rPr>
          <w:rFonts w:ascii="Verdana" w:hAnsi="Verdana" w:eastAsia="Calibri" w:cs="Arial"/>
        </w:rPr>
        <w:t xml:space="preserve">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w:t>
      </w:r>
    </w:p>
    <w:p w:rsidR="003B7F07" w:rsidP="003B7F07" w:rsidRDefault="000C02AD" w14:paraId="463B84CD" w14:textId="204FD732">
      <w:pPr>
        <w:spacing w:before="120" w:after="120" w:line="276" w:lineRule="auto"/>
        <w:ind w:firstLine="709"/>
        <w:jc w:val="both"/>
        <w:rPr>
          <w:rFonts w:ascii="Verdana" w:hAnsi="Verdana" w:eastAsia="Calibri" w:cs="Arial"/>
        </w:rPr>
      </w:pPr>
      <w:r w:rsidRPr="000C02AD">
        <w:rPr>
          <w:rFonts w:ascii="Verdana" w:hAnsi="Verdana" w:eastAsia="Calibri" w:cs="Arial"/>
        </w:rPr>
        <w:lastRenderedPageBreak/>
        <w:t xml:space="preserve">Así las cosas, </w:t>
      </w:r>
      <w:r w:rsidR="00E62ADF">
        <w:rPr>
          <w:rFonts w:ascii="Verdana" w:hAnsi="Verdana" w:eastAsia="Calibri" w:cs="Arial"/>
        </w:rPr>
        <w:t xml:space="preserve">teniendo en cuenta la presunción de legalidad </w:t>
      </w:r>
      <w:r w:rsidR="00736395">
        <w:rPr>
          <w:rFonts w:ascii="Verdana" w:hAnsi="Verdana" w:eastAsia="Calibri" w:cs="Arial"/>
        </w:rPr>
        <w:t xml:space="preserve">de las normativa </w:t>
      </w:r>
      <w:r w:rsidR="00A158E3">
        <w:rPr>
          <w:rFonts w:ascii="Verdana" w:hAnsi="Verdana" w:eastAsia="Calibri" w:cs="Arial"/>
        </w:rPr>
        <w:t xml:space="preserve">que regula el SG-SST, las cuales </w:t>
      </w:r>
      <w:r w:rsidR="00736395">
        <w:rPr>
          <w:rFonts w:ascii="Verdana" w:hAnsi="Verdana" w:eastAsia="Calibri" w:cs="Arial"/>
        </w:rPr>
        <w:t>gozan de</w:t>
      </w:r>
      <w:r w:rsidR="00C80987">
        <w:rPr>
          <w:rFonts w:ascii="Verdana" w:hAnsi="Verdana" w:eastAsia="Calibri" w:cs="Arial"/>
        </w:rPr>
        <w:t xml:space="preserve"> plena aplicación en el ordenamiento jurídico,</w:t>
      </w:r>
      <w:r w:rsidRPr="008E39D8" w:rsidR="008E39D8">
        <w:rPr>
          <w:rFonts w:ascii="Verdana" w:hAnsi="Verdana" w:eastAsia="Calibri" w:cs="Arial"/>
        </w:rPr>
        <w:t xml:space="preserve"> </w:t>
      </w:r>
      <w:r w:rsidRPr="000C02AD" w:rsidR="008E39D8">
        <w:rPr>
          <w:rFonts w:ascii="Verdana" w:hAnsi="Verdana" w:eastAsia="Calibri" w:cs="Arial"/>
        </w:rPr>
        <w:t>a juicio de esta Subdirección,</w:t>
      </w:r>
      <w:r w:rsidRPr="000C02AD">
        <w:rPr>
          <w:rFonts w:ascii="Verdana" w:hAnsi="Verdana" w:eastAsia="Calibri" w:cs="Arial"/>
        </w:rPr>
        <w:t xml:space="preserve"> la interpretación</w:t>
      </w:r>
      <w:r w:rsidR="00DF56E8">
        <w:rPr>
          <w:rFonts w:ascii="Verdana" w:hAnsi="Verdana" w:eastAsia="Calibri" w:cs="Arial"/>
        </w:rPr>
        <w:t xml:space="preserve"> de estas normas en relación con</w:t>
      </w:r>
      <w:r w:rsidRPr="000C02AD">
        <w:rPr>
          <w:rFonts w:ascii="Verdana" w:hAnsi="Verdana" w:eastAsia="Calibri" w:cs="Arial"/>
        </w:rPr>
        <w:t xml:space="preserve"> la prohibición del parágrafo 2° del artículo 5 de la Ley 1150 de 2007, es que esta última no restringe la posibilidad que tiene las entidades estatales de incluir aspectos de seguridad y salud en el trabajo en la evaluación y selección de proveedores y contratistas, que le permitan, entre otros aspectos, conocer que la empresa a contratar cuenta con la implementación de los estándares mínimos del Sistema de Gestión de la Seguridad y Salud en el Trabajo (SG-SST)</w:t>
      </w:r>
      <w:r w:rsidR="008D318B">
        <w:rPr>
          <w:rFonts w:ascii="Verdana" w:hAnsi="Verdana" w:eastAsia="Calibri" w:cs="Arial"/>
        </w:rPr>
        <w:t>,</w:t>
      </w:r>
      <w:r w:rsidRPr="000C02AD">
        <w:rPr>
          <w:rFonts w:ascii="Verdana" w:hAnsi="Verdana" w:eastAsia="Calibri" w:cs="Arial"/>
        </w:rPr>
        <w:t xml:space="preserve"> sin que </w:t>
      </w:r>
      <w:r w:rsidR="000D570C">
        <w:rPr>
          <w:rFonts w:ascii="Verdana" w:hAnsi="Verdana" w:eastAsia="Calibri" w:cs="Arial"/>
        </w:rPr>
        <w:t xml:space="preserve">ello implique la exigencia de </w:t>
      </w:r>
      <w:r w:rsidRPr="000C02AD">
        <w:rPr>
          <w:rFonts w:ascii="Verdana" w:hAnsi="Verdana" w:eastAsia="Calibri" w:cs="Arial"/>
        </w:rPr>
        <w:t>la presentación de una certificación de calidad, como lo es,</w:t>
      </w:r>
      <w:r w:rsidR="000D570C">
        <w:rPr>
          <w:rFonts w:ascii="Verdana" w:hAnsi="Verdana" w:eastAsia="Calibri" w:cs="Arial"/>
        </w:rPr>
        <w:t xml:space="preserve"> </w:t>
      </w:r>
      <w:r w:rsidRPr="000C02AD">
        <w:rPr>
          <w:rFonts w:ascii="Verdana" w:hAnsi="Verdana" w:eastAsia="Calibri" w:cs="Arial"/>
        </w:rPr>
        <w:t xml:space="preserve">por ejemplo, la certificación que otorga la ISO 9001, entre otros. Sin embargo, se aclara que las anteriores certificaciones </w:t>
      </w:r>
      <w:r w:rsidR="000E3CD9">
        <w:rPr>
          <w:rFonts w:ascii="Verdana" w:hAnsi="Verdana" w:eastAsia="Calibri" w:cs="Arial"/>
        </w:rPr>
        <w:t xml:space="preserve">de calidad </w:t>
      </w:r>
      <w:r w:rsidRPr="000C02AD">
        <w:rPr>
          <w:rFonts w:ascii="Verdana" w:hAnsi="Verdana" w:eastAsia="Calibri" w:cs="Arial"/>
        </w:rPr>
        <w:t>son diferentes a la certificación de acreditación en seguridad y salud en el trabajo que conforme el artículo 22 de la Resolución 312 del 13 de febrero de 2019 expide el Ministerio del Trabajo, de manera gratuita, a las a las empresas, entidades, empleadores y contratantes.</w:t>
      </w:r>
    </w:p>
    <w:p w:rsidR="003D29B9" w:rsidP="003D29B9" w:rsidRDefault="000C02AD" w14:paraId="5378D2C3" w14:textId="77777777">
      <w:pPr>
        <w:spacing w:before="120" w:after="120" w:line="276" w:lineRule="auto"/>
        <w:ind w:firstLine="709"/>
        <w:jc w:val="both"/>
        <w:rPr>
          <w:rFonts w:ascii="Verdana" w:hAnsi="Verdana" w:eastAsia="Calibri" w:cs="Arial"/>
        </w:rPr>
      </w:pPr>
      <w:r w:rsidRPr="000C02AD">
        <w:rPr>
          <w:rFonts w:ascii="Verdana" w:hAnsi="Verdana" w:eastAsia="Calibri" w:cs="Arial"/>
        </w:rPr>
        <w:t>La anterior interpretación es para esta Subdirección, el efecto útil de las normas sub examine, pues, aceptar una lectura extensiva del parágrafo 2 del artículo 5 de la Ley 1150 de 2007, resta los efectos prácticos a la prohibición establecida por el legislador y contraria a lo establecido en el artículo 31 del Código Civil según el cual lo “Lo favorable u odioso de una disposición no se tomará en cuenta para ampliar o restringir su interpretación. La extensión que deba darse a toda ley se determinará por su genuino sentido, y según las reglas de interpretación precedentes”. Por otro lado, desconoce</w:t>
      </w:r>
      <w:r w:rsidR="00EA0507">
        <w:rPr>
          <w:rFonts w:ascii="Verdana" w:hAnsi="Verdana" w:eastAsia="Calibri" w:cs="Arial"/>
        </w:rPr>
        <w:t>ría</w:t>
      </w:r>
      <w:r w:rsidRPr="000C02AD">
        <w:rPr>
          <w:rFonts w:ascii="Verdana" w:hAnsi="Verdana" w:eastAsia="Calibri" w:cs="Arial"/>
        </w:rPr>
        <w:t xml:space="preserve"> la finalidad perseguida por el parágrafo 2 del artículo 2.2.4.6.4. del Decreto 1072 de 2015 en la facultad otorgada a las entidades contratantes, para que, dentro de los parámetros de selección y evaluación de sus proveedores y contratistas, se les permita incluir criterios que le permitan conocer que la empresa a contratar cuente con el Sistema de Gestión de la Seguridad y Salud en el Trabajo (SG-SST).</w:t>
      </w:r>
    </w:p>
    <w:p w:rsidR="000C02AD" w:rsidP="003D29B9" w:rsidRDefault="000C02AD" w14:paraId="33E94207" w14:textId="2684E603">
      <w:pPr>
        <w:spacing w:before="120" w:after="120" w:line="276" w:lineRule="auto"/>
        <w:ind w:firstLine="709"/>
        <w:jc w:val="both"/>
        <w:rPr>
          <w:rFonts w:ascii="Verdana" w:hAnsi="Verdana" w:eastAsia="Calibri" w:cs="Arial"/>
        </w:rPr>
      </w:pPr>
      <w:r w:rsidRPr="000C02AD">
        <w:rPr>
          <w:rFonts w:ascii="Verdana" w:hAnsi="Verdana" w:eastAsia="Calibri" w:cs="Arial"/>
        </w:rPr>
        <w:t xml:space="preserve">La posibilidad de contemplar dicho requisito dentro de los procesos de selección también guarda relación con el parágrafo adicionado por el artículo 4 del Decreto 142 de 2023, que modificó el artículo 2.2.1.1.2.2.2. del Decreto 1082 de 2015, estableciendo la posibilidad de que las entidades estatales puedan incluir criterios ambientales o sociales vinculados al objeto del contrato, como </w:t>
      </w:r>
      <w:r w:rsidRPr="000C02AD">
        <w:rPr>
          <w:rFonts w:ascii="Verdana" w:hAnsi="Verdana" w:eastAsia="Calibri" w:cs="Arial"/>
        </w:rPr>
        <w:lastRenderedPageBreak/>
        <w:t xml:space="preserve">criterios de calidad para evaluar </w:t>
      </w:r>
      <w:r w:rsidRPr="00595539">
        <w:rPr>
          <w:rFonts w:ascii="Verdana" w:hAnsi="Verdana" w:eastAsia="Calibri" w:cs="Arial"/>
        </w:rPr>
        <w:t>las ofertas en relación calidad y precio, siendo factible que el cumplimiento de estándares de Seguridad y Salud en el Trabajo, puedan ser considerados por las entidades estatales como criterios sociales al aportar valor agregado en la ejecución de actividades adicionales a las establecidas en la normativa de riesgos laborales, que impactan</w:t>
      </w:r>
      <w:r w:rsidRPr="000C02AD">
        <w:rPr>
          <w:rFonts w:ascii="Verdana" w:hAnsi="Verdana" w:eastAsia="Calibri" w:cs="Arial"/>
        </w:rPr>
        <w:t xml:space="preserve"> positivamente en la salud y bienestar de los trabajadores y/o contratistas. </w:t>
      </w:r>
    </w:p>
    <w:p w:rsidR="006E310A" w:rsidP="007C73B2" w:rsidRDefault="005C410C" w14:paraId="3E98A465" w14:textId="47B7D5B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rPr>
        <w:t>Ahora bien,</w:t>
      </w:r>
      <w:r w:rsidR="00E17E36">
        <w:rPr>
          <w:rFonts w:ascii="Verdana" w:hAnsi="Verdana" w:eastAsia="Calibri" w:cs="Arial"/>
        </w:rPr>
        <w:t xml:space="preserve"> aunque consideramos valida la inclusión de est</w:t>
      </w:r>
      <w:r w:rsidR="00A65C27">
        <w:rPr>
          <w:rFonts w:ascii="Verdana" w:hAnsi="Verdana" w:eastAsia="Calibri" w:cs="Arial"/>
        </w:rPr>
        <w:t xml:space="preserve">e criterio </w:t>
      </w:r>
      <w:r w:rsidR="005B4D8F">
        <w:rPr>
          <w:rFonts w:ascii="Verdana" w:hAnsi="Verdana" w:eastAsia="Calibri" w:cs="Arial"/>
        </w:rPr>
        <w:t xml:space="preserve">como </w:t>
      </w:r>
      <w:r w:rsidR="00A65C27">
        <w:rPr>
          <w:rFonts w:ascii="Verdana" w:hAnsi="Verdana" w:eastAsia="Calibri" w:cs="Arial"/>
        </w:rPr>
        <w:t xml:space="preserve">requisito habilitante </w:t>
      </w:r>
      <w:r w:rsidR="00393EEE">
        <w:rPr>
          <w:rFonts w:ascii="Verdana" w:hAnsi="Verdana" w:eastAsia="Calibri" w:cs="Arial"/>
        </w:rPr>
        <w:t>de acuerdo con la interpretación expuesta</w:t>
      </w:r>
      <w:r w:rsidR="00A65C27">
        <w:rPr>
          <w:rFonts w:ascii="Verdana" w:hAnsi="Verdana" w:eastAsia="Calibri" w:cs="Arial"/>
        </w:rPr>
        <w:t>,</w:t>
      </w:r>
      <w:r w:rsidR="00B8319C">
        <w:rPr>
          <w:rFonts w:ascii="Verdana" w:hAnsi="Verdana" w:eastAsia="Calibri" w:cs="Arial"/>
        </w:rPr>
        <w:t xml:space="preserve"> </w:t>
      </w:r>
      <w:r w:rsidR="0068537F">
        <w:rPr>
          <w:rFonts w:ascii="Verdana" w:hAnsi="Verdana" w:eastAsia="Calibri" w:cs="Arial"/>
        </w:rPr>
        <w:t xml:space="preserve">es preciso señalar que su </w:t>
      </w:r>
      <w:r w:rsidR="00CF3948">
        <w:rPr>
          <w:rFonts w:ascii="Verdana" w:hAnsi="Verdana" w:eastAsia="Calibri" w:cs="Arial"/>
        </w:rPr>
        <w:t>fijación</w:t>
      </w:r>
      <w:r w:rsidR="0068537F">
        <w:rPr>
          <w:rFonts w:ascii="Verdana" w:hAnsi="Verdana" w:eastAsia="Calibri" w:cs="Arial"/>
        </w:rPr>
        <w:t xml:space="preserve"> en los </w:t>
      </w:r>
      <w:r w:rsidR="00886F19">
        <w:rPr>
          <w:rFonts w:ascii="Verdana" w:hAnsi="Verdana" w:eastAsia="Calibri" w:cs="Arial"/>
        </w:rPr>
        <w:t xml:space="preserve">procesos de contratación </w:t>
      </w:r>
      <w:r w:rsidR="00064721">
        <w:rPr>
          <w:rFonts w:ascii="Verdana" w:hAnsi="Verdana" w:eastAsia="Calibri" w:cs="Arial"/>
        </w:rPr>
        <w:t>deberá estar</w:t>
      </w:r>
      <w:r w:rsidR="00886F19">
        <w:rPr>
          <w:rFonts w:ascii="Verdana" w:hAnsi="Verdana" w:eastAsia="Calibri" w:cs="Arial"/>
        </w:rPr>
        <w:t xml:space="preserve"> precedida de l</w:t>
      </w:r>
      <w:r w:rsidR="0034654F">
        <w:rPr>
          <w:rFonts w:ascii="Verdana" w:hAnsi="Verdana" w:eastAsia="Calibri" w:cs="Arial"/>
        </w:rPr>
        <w:t>a</w:t>
      </w:r>
      <w:r w:rsidR="00886F19">
        <w:rPr>
          <w:rFonts w:ascii="Verdana" w:hAnsi="Verdana" w:eastAsia="Calibri" w:cs="Arial"/>
        </w:rPr>
        <w:t>s mism</w:t>
      </w:r>
      <w:r w:rsidR="003F738D">
        <w:rPr>
          <w:rFonts w:ascii="Verdana" w:hAnsi="Verdana" w:eastAsia="Calibri" w:cs="Arial"/>
        </w:rPr>
        <w:t>a</w:t>
      </w:r>
      <w:r w:rsidR="00886F19">
        <w:rPr>
          <w:rFonts w:ascii="Verdana" w:hAnsi="Verdana" w:eastAsia="Calibri" w:cs="Arial"/>
        </w:rPr>
        <w:t xml:space="preserve">s </w:t>
      </w:r>
      <w:r w:rsidR="0034654F">
        <w:rPr>
          <w:rFonts w:ascii="Verdana" w:hAnsi="Verdana" w:eastAsia="Calibri" w:cs="Arial"/>
        </w:rPr>
        <w:t>exigencias</w:t>
      </w:r>
      <w:r w:rsidR="00886F19">
        <w:rPr>
          <w:rFonts w:ascii="Verdana" w:hAnsi="Verdana" w:eastAsia="Calibri" w:cs="Arial"/>
        </w:rPr>
        <w:t xml:space="preserve"> </w:t>
      </w:r>
      <w:r w:rsidR="00D25660">
        <w:rPr>
          <w:rFonts w:ascii="Verdana" w:hAnsi="Verdana" w:eastAsia="Calibri" w:cs="Arial"/>
        </w:rPr>
        <w:t xml:space="preserve">que </w:t>
      </w:r>
      <w:r w:rsidR="002059E3">
        <w:rPr>
          <w:rFonts w:ascii="Verdana" w:hAnsi="Verdana" w:eastAsia="Calibri" w:cs="Arial"/>
        </w:rPr>
        <w:t>tiene cualquier otro requisito habilitante</w:t>
      </w:r>
      <w:r w:rsidR="003835F0">
        <w:rPr>
          <w:rFonts w:ascii="Verdana" w:hAnsi="Verdana" w:eastAsia="Calibri" w:cs="Arial"/>
        </w:rPr>
        <w:t xml:space="preserve"> o de calificación</w:t>
      </w:r>
      <w:r w:rsidR="009B7B0A">
        <w:rPr>
          <w:rFonts w:ascii="Verdana" w:hAnsi="Verdana" w:eastAsia="Calibri" w:cs="Arial"/>
        </w:rPr>
        <w:t>, de manera que su incorporación no puede</w:t>
      </w:r>
      <w:r w:rsidR="007B18C6">
        <w:rPr>
          <w:rFonts w:ascii="Verdana" w:hAnsi="Verdana" w:eastAsia="Calibri" w:cs="Arial"/>
        </w:rPr>
        <w:t xml:space="preserve"> ser</w:t>
      </w:r>
      <w:r w:rsidR="009B7B0A">
        <w:rPr>
          <w:rFonts w:ascii="Verdana" w:hAnsi="Verdana" w:eastAsia="Calibri" w:cs="Arial"/>
        </w:rPr>
        <w:t xml:space="preserve"> caprichosa </w:t>
      </w:r>
      <w:r w:rsidR="007B18C6">
        <w:rPr>
          <w:rFonts w:ascii="Verdana" w:hAnsi="Verdana" w:eastAsia="Calibri" w:cs="Arial"/>
        </w:rPr>
        <w:t xml:space="preserve">ni </w:t>
      </w:r>
      <w:r w:rsidR="009B7B0A">
        <w:rPr>
          <w:rFonts w:ascii="Verdana" w:hAnsi="Verdana" w:eastAsia="Calibri" w:cs="Arial"/>
        </w:rPr>
        <w:t>arbitr</w:t>
      </w:r>
      <w:r w:rsidR="00F86741">
        <w:rPr>
          <w:rFonts w:ascii="Verdana" w:hAnsi="Verdana" w:eastAsia="Calibri" w:cs="Arial"/>
        </w:rPr>
        <w:t>a</w:t>
      </w:r>
      <w:r w:rsidR="00FA5C0B">
        <w:rPr>
          <w:rFonts w:ascii="Verdana" w:hAnsi="Verdana" w:eastAsia="Calibri" w:cs="Arial"/>
        </w:rPr>
        <w:t>ria</w:t>
      </w:r>
      <w:r w:rsidR="00F86741">
        <w:rPr>
          <w:rFonts w:ascii="Verdana" w:hAnsi="Verdana" w:eastAsia="Calibri" w:cs="Arial"/>
        </w:rPr>
        <w:t xml:space="preserve"> y</w:t>
      </w:r>
      <w:r w:rsidR="009B7B0A">
        <w:rPr>
          <w:rFonts w:ascii="Verdana" w:hAnsi="Verdana" w:eastAsia="Calibri" w:cs="Arial"/>
        </w:rPr>
        <w:t xml:space="preserve"> </w:t>
      </w:r>
      <w:r w:rsidRPr="009616D4" w:rsidR="006E310A">
        <w:rPr>
          <w:rFonts w:ascii="Verdana" w:hAnsi="Verdana" w:eastAsia="Calibri" w:cs="Arial"/>
          <w:color w:val="000000" w:themeColor="text1"/>
        </w:rPr>
        <w:t xml:space="preserve">la Entidad Estatal tiene la carga de justificar en los estudios previos y </w:t>
      </w:r>
      <w:r w:rsidR="00FA5C0B">
        <w:rPr>
          <w:rFonts w:ascii="Verdana" w:hAnsi="Verdana" w:eastAsia="Calibri" w:cs="Arial"/>
          <w:color w:val="000000" w:themeColor="text1"/>
        </w:rPr>
        <w:t xml:space="preserve">en el </w:t>
      </w:r>
      <w:r w:rsidRPr="009616D4" w:rsidR="006E310A">
        <w:rPr>
          <w:rFonts w:ascii="Verdana" w:hAnsi="Verdana" w:eastAsia="Calibri" w:cs="Arial"/>
          <w:color w:val="000000" w:themeColor="text1"/>
        </w:rPr>
        <w:t>análisis del sector del proceso su procedencia, de conformidad con el artículo 2.2.1.1.1.6.2 del Decreto 1082 de 2015.</w:t>
      </w:r>
      <w:r w:rsidR="005D5C85">
        <w:rPr>
          <w:rFonts w:ascii="Verdana" w:hAnsi="Verdana" w:eastAsia="Calibri" w:cs="Arial"/>
          <w:color w:val="000000" w:themeColor="text1"/>
        </w:rPr>
        <w:t xml:space="preserve"> </w:t>
      </w:r>
      <w:r w:rsidRPr="00347685" w:rsidR="00124B2E">
        <w:rPr>
          <w:rFonts w:ascii="Verdana" w:hAnsi="Verdana" w:eastAsia="Arial" w:cs="Arial"/>
          <w:bCs/>
        </w:rPr>
        <w:t xml:space="preserve">Esto significa que no debe establecerse de forma mecánica en todos los procesos de contratación, sino que la </w:t>
      </w:r>
      <w:r w:rsidR="00124B2E">
        <w:rPr>
          <w:rFonts w:ascii="Verdana" w:hAnsi="Verdana" w:eastAsia="Arial" w:cs="Arial"/>
          <w:bCs/>
        </w:rPr>
        <w:t>E</w:t>
      </w:r>
      <w:r w:rsidRPr="00347685" w:rsidR="00124B2E">
        <w:rPr>
          <w:rFonts w:ascii="Verdana" w:hAnsi="Verdana" w:eastAsia="Arial" w:cs="Arial"/>
          <w:bCs/>
        </w:rPr>
        <w:t xml:space="preserve">ntidad </w:t>
      </w:r>
      <w:r w:rsidR="00124B2E">
        <w:rPr>
          <w:rFonts w:ascii="Verdana" w:hAnsi="Verdana" w:eastAsia="Arial" w:cs="Arial"/>
          <w:bCs/>
        </w:rPr>
        <w:t>E</w:t>
      </w:r>
      <w:r w:rsidRPr="00347685" w:rsidR="00124B2E">
        <w:rPr>
          <w:rFonts w:ascii="Verdana" w:hAnsi="Verdana" w:eastAsia="Arial" w:cs="Arial"/>
          <w:bCs/>
        </w:rPr>
        <w:t xml:space="preserve">statal deberá realizar un análisis integral de la necesidad identificada, </w:t>
      </w:r>
      <w:r w:rsidR="00124B2E">
        <w:rPr>
          <w:rFonts w:ascii="Verdana" w:hAnsi="Verdana" w:eastAsia="Arial" w:cs="Arial"/>
          <w:bCs/>
        </w:rPr>
        <w:t xml:space="preserve">el valor, plazo, </w:t>
      </w:r>
      <w:r w:rsidRPr="00347685" w:rsidR="00124B2E">
        <w:rPr>
          <w:rFonts w:ascii="Verdana" w:hAnsi="Verdana" w:eastAsia="Arial" w:cs="Arial"/>
          <w:bCs/>
        </w:rPr>
        <w:t xml:space="preserve">el objeto contractual, obligaciones y demás condiciones para determinar si </w:t>
      </w:r>
      <w:r w:rsidR="00124B2E">
        <w:rPr>
          <w:rFonts w:ascii="Verdana" w:hAnsi="Verdana" w:eastAsia="Arial" w:cs="Arial"/>
          <w:bCs/>
        </w:rPr>
        <w:t xml:space="preserve">su incorporación como requisito de selección </w:t>
      </w:r>
      <w:r w:rsidRPr="00347685" w:rsidR="00124B2E">
        <w:rPr>
          <w:rFonts w:ascii="Verdana" w:hAnsi="Verdana" w:eastAsia="Arial" w:cs="Arial"/>
          <w:bCs/>
        </w:rPr>
        <w:t>resulta adecuad</w:t>
      </w:r>
      <w:r w:rsidR="00124B2E">
        <w:rPr>
          <w:rFonts w:ascii="Verdana" w:hAnsi="Verdana" w:eastAsia="Arial" w:cs="Arial"/>
          <w:bCs/>
        </w:rPr>
        <w:t xml:space="preserve">a y de qué manera se incluyen </w:t>
      </w:r>
      <w:r w:rsidRPr="00347685" w:rsidR="00124B2E">
        <w:rPr>
          <w:rFonts w:ascii="Verdana" w:hAnsi="Verdana" w:eastAsia="Arial" w:cs="Arial"/>
          <w:bCs/>
        </w:rPr>
        <w:t>al proceso que se desarrollará</w:t>
      </w:r>
      <w:r w:rsidR="00124B2E">
        <w:rPr>
          <w:rFonts w:ascii="Verdana" w:hAnsi="Verdana" w:eastAsia="Arial" w:cs="Arial"/>
          <w:bCs/>
        </w:rPr>
        <w:t xml:space="preserve">. </w:t>
      </w:r>
    </w:p>
    <w:p w:rsidR="001D17C9" w:rsidP="00E56866" w:rsidRDefault="001D17C9" w14:paraId="448D7EDF" w14:textId="2329127A">
      <w:pPr>
        <w:widowControl w:val="0"/>
        <w:autoSpaceDE w:val="0"/>
        <w:autoSpaceDN w:val="0"/>
        <w:spacing w:line="276" w:lineRule="auto"/>
        <w:ind w:firstLine="709"/>
        <w:jc w:val="both"/>
        <w:rPr>
          <w:rFonts w:ascii="Verdana" w:hAnsi="Verdana" w:eastAsia="Calibri" w:cs="Arial"/>
        </w:rPr>
      </w:pPr>
      <w:r>
        <w:rPr>
          <w:rFonts w:ascii="Verdana" w:hAnsi="Verdana" w:eastAsia="Calibri" w:cs="Arial"/>
          <w:color w:val="000000" w:themeColor="text1"/>
        </w:rPr>
        <w:t xml:space="preserve">En efecto, </w:t>
      </w:r>
      <w:r w:rsidR="00680D0E">
        <w:rPr>
          <w:rFonts w:ascii="Verdana" w:hAnsi="Verdana" w:eastAsia="Calibri" w:cs="Arial"/>
          <w:color w:val="000000" w:themeColor="text1"/>
        </w:rPr>
        <w:t xml:space="preserve">al revisar </w:t>
      </w:r>
      <w:r w:rsidR="00204106">
        <w:rPr>
          <w:rFonts w:ascii="Verdana" w:hAnsi="Verdana" w:eastAsia="Calibri" w:cs="Arial"/>
          <w:color w:val="000000" w:themeColor="text1"/>
        </w:rPr>
        <w:t>el alcance d</w:t>
      </w:r>
      <w:r w:rsidRPr="000C02AD" w:rsidR="00204106">
        <w:rPr>
          <w:rFonts w:ascii="Verdana" w:hAnsi="Verdana" w:eastAsia="Calibri" w:cs="Arial"/>
        </w:rPr>
        <w:t>el parágrafo 2 del artículo 2.2.4.6.4. del Decreto 1072 de 2015</w:t>
      </w:r>
      <w:r w:rsidR="005E035A">
        <w:rPr>
          <w:rFonts w:ascii="Verdana" w:hAnsi="Verdana" w:eastAsia="Calibri" w:cs="Arial"/>
        </w:rPr>
        <w:t xml:space="preserve"> </w:t>
      </w:r>
      <w:r w:rsidR="00D41E42">
        <w:rPr>
          <w:rFonts w:ascii="Verdana" w:hAnsi="Verdana" w:eastAsia="Calibri" w:cs="Arial"/>
        </w:rPr>
        <w:t>se evidencia que la norma</w:t>
      </w:r>
      <w:r w:rsidR="002A0444">
        <w:rPr>
          <w:rFonts w:ascii="Verdana" w:hAnsi="Verdana" w:eastAsia="Calibri" w:cs="Arial"/>
        </w:rPr>
        <w:t xml:space="preserve"> </w:t>
      </w:r>
      <w:r w:rsidR="00D03EED">
        <w:rPr>
          <w:rFonts w:ascii="Verdana" w:hAnsi="Verdana" w:eastAsia="Calibri" w:cs="Arial"/>
        </w:rPr>
        <w:t xml:space="preserve">al indicar que la entidad contratante “podrá” incluir </w:t>
      </w:r>
      <w:r w:rsidRPr="005E035A" w:rsidR="00D03EED">
        <w:rPr>
          <w:rFonts w:ascii="Verdana" w:hAnsi="Verdana" w:eastAsia="Calibri" w:cs="Arial"/>
        </w:rPr>
        <w:t>criterios</w:t>
      </w:r>
      <w:r w:rsidR="00D03EED">
        <w:rPr>
          <w:rFonts w:ascii="Verdana" w:hAnsi="Verdana" w:eastAsia="Calibri" w:cs="Arial"/>
          <w:i/>
          <w:iCs/>
        </w:rPr>
        <w:t xml:space="preserve"> </w:t>
      </w:r>
      <w:bookmarkStart w:name="_Hlk182862533" w:id="5"/>
      <w:r w:rsidRPr="005E035A" w:rsidR="00D03EED">
        <w:rPr>
          <w:rFonts w:ascii="Verdana" w:hAnsi="Verdana" w:eastAsia="Calibri" w:cs="Arial"/>
        </w:rPr>
        <w:t xml:space="preserve">que le permitan conocer que la empresa a contratar cuente con el Sistema de Gestión de la Seguridad y Salud en el Trabajo </w:t>
      </w:r>
      <w:bookmarkEnd w:id="5"/>
      <w:r w:rsidRPr="005E035A" w:rsidR="00D03EED">
        <w:rPr>
          <w:rFonts w:ascii="Verdana" w:hAnsi="Verdana" w:eastAsia="Calibri" w:cs="Arial"/>
        </w:rPr>
        <w:t>(SG-SST)</w:t>
      </w:r>
      <w:r w:rsidR="00D03EED">
        <w:rPr>
          <w:rFonts w:ascii="Verdana" w:hAnsi="Verdana" w:eastAsia="Calibri" w:cs="Arial"/>
        </w:rPr>
        <w:t xml:space="preserve">, establece </w:t>
      </w:r>
      <w:r w:rsidR="001C25F5">
        <w:rPr>
          <w:rFonts w:ascii="Verdana" w:hAnsi="Verdana" w:eastAsia="Calibri" w:cs="Arial"/>
        </w:rPr>
        <w:t xml:space="preserve">una facultad </w:t>
      </w:r>
      <w:r w:rsidR="006E1647">
        <w:rPr>
          <w:rFonts w:ascii="Verdana" w:hAnsi="Verdana" w:eastAsia="Calibri" w:cs="Arial"/>
        </w:rPr>
        <w:t>para</w:t>
      </w:r>
      <w:r w:rsidR="002A264B">
        <w:rPr>
          <w:rFonts w:ascii="Verdana" w:hAnsi="Verdana" w:eastAsia="Calibri" w:cs="Arial"/>
        </w:rPr>
        <w:t xml:space="preserve"> </w:t>
      </w:r>
      <w:r w:rsidR="001C25F5">
        <w:rPr>
          <w:rFonts w:ascii="Verdana" w:hAnsi="Verdana" w:eastAsia="Calibri" w:cs="Arial"/>
        </w:rPr>
        <w:t>las entidades contratantes</w:t>
      </w:r>
      <w:r w:rsidR="003C40DE">
        <w:rPr>
          <w:rFonts w:ascii="Verdana" w:hAnsi="Verdana" w:eastAsia="Calibri" w:cs="Arial"/>
        </w:rPr>
        <w:t xml:space="preserve">, de tal </w:t>
      </w:r>
      <w:r w:rsidR="00290119">
        <w:rPr>
          <w:rFonts w:ascii="Verdana" w:hAnsi="Verdana" w:eastAsia="Calibri" w:cs="Arial"/>
        </w:rPr>
        <w:t>suerte</w:t>
      </w:r>
      <w:r w:rsidR="003C40DE">
        <w:rPr>
          <w:rFonts w:ascii="Verdana" w:hAnsi="Verdana" w:eastAsia="Calibri" w:cs="Arial"/>
        </w:rPr>
        <w:t xml:space="preserve"> que </w:t>
      </w:r>
      <w:r w:rsidR="00D96D4F">
        <w:rPr>
          <w:rFonts w:ascii="Verdana" w:hAnsi="Verdana" w:eastAsia="Calibri" w:cs="Arial"/>
        </w:rPr>
        <w:t>resulta</w:t>
      </w:r>
      <w:r w:rsidR="00F21A58">
        <w:rPr>
          <w:rFonts w:ascii="Verdana" w:hAnsi="Verdana" w:eastAsia="Calibri" w:cs="Arial"/>
        </w:rPr>
        <w:t xml:space="preserve"> discrecional de la entidad </w:t>
      </w:r>
      <w:r w:rsidR="00BA5665">
        <w:rPr>
          <w:rFonts w:ascii="Verdana" w:hAnsi="Verdana" w:eastAsia="Calibri" w:cs="Arial"/>
        </w:rPr>
        <w:t xml:space="preserve">incorporar dichos criterios </w:t>
      </w:r>
      <w:r w:rsidR="00BB58EE">
        <w:rPr>
          <w:rFonts w:ascii="Verdana" w:hAnsi="Verdana" w:eastAsia="Calibri" w:cs="Arial"/>
        </w:rPr>
        <w:t xml:space="preserve">como </w:t>
      </w:r>
      <w:r w:rsidRPr="00FE1510" w:rsidR="00BB58EE">
        <w:rPr>
          <w:rFonts w:ascii="Verdana" w:hAnsi="Verdana" w:eastAsia="Calibri" w:cs="Arial"/>
        </w:rPr>
        <w:t>parámetro</w:t>
      </w:r>
      <w:r w:rsidR="00D96D4F">
        <w:rPr>
          <w:rFonts w:ascii="Verdana" w:hAnsi="Verdana" w:eastAsia="Calibri" w:cs="Arial"/>
        </w:rPr>
        <w:t>s</w:t>
      </w:r>
      <w:r w:rsidRPr="00FE1510" w:rsidR="00BB58EE">
        <w:rPr>
          <w:rFonts w:ascii="Verdana" w:hAnsi="Verdana" w:eastAsia="Calibri" w:cs="Arial"/>
        </w:rPr>
        <w:t xml:space="preserve"> de selección y evaluación</w:t>
      </w:r>
      <w:r w:rsidR="00443A34">
        <w:rPr>
          <w:rFonts w:ascii="Verdana" w:hAnsi="Verdana" w:eastAsia="Calibri" w:cs="Arial"/>
        </w:rPr>
        <w:t xml:space="preserve"> en los procesos de </w:t>
      </w:r>
      <w:r w:rsidR="002A264B">
        <w:rPr>
          <w:rFonts w:ascii="Verdana" w:hAnsi="Verdana" w:eastAsia="Calibri" w:cs="Arial"/>
        </w:rPr>
        <w:t>selección</w:t>
      </w:r>
      <w:r w:rsidR="000F2F4C">
        <w:rPr>
          <w:rFonts w:ascii="Verdana" w:hAnsi="Verdana" w:eastAsia="Calibri" w:cs="Arial"/>
        </w:rPr>
        <w:t xml:space="preserve">. </w:t>
      </w:r>
      <w:r w:rsidR="00C137B1">
        <w:rPr>
          <w:rFonts w:ascii="Verdana" w:hAnsi="Verdana" w:eastAsia="Calibri" w:cs="Arial"/>
        </w:rPr>
        <w:t xml:space="preserve"> </w:t>
      </w:r>
    </w:p>
    <w:p w:rsidR="0034024F" w:rsidP="0034024F" w:rsidRDefault="000A2030" w14:paraId="2110D245" w14:textId="0F33B0AD">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rPr>
        <w:t>En este sentido, e</w:t>
      </w:r>
      <w:r w:rsidR="002B4EF4">
        <w:rPr>
          <w:rFonts w:ascii="Verdana" w:hAnsi="Verdana" w:eastAsia="Calibri" w:cs="Arial"/>
        </w:rPr>
        <w:t xml:space="preserve">sta </w:t>
      </w:r>
      <w:r w:rsidR="002A4B33">
        <w:rPr>
          <w:rFonts w:ascii="Verdana" w:hAnsi="Verdana" w:eastAsia="Calibri" w:cs="Arial"/>
        </w:rPr>
        <w:t>facult</w:t>
      </w:r>
      <w:r w:rsidR="00AB5F48">
        <w:rPr>
          <w:rFonts w:ascii="Verdana" w:hAnsi="Verdana" w:eastAsia="Calibri" w:cs="Arial"/>
        </w:rPr>
        <w:t>ad</w:t>
      </w:r>
      <w:r w:rsidR="002E3DD8">
        <w:rPr>
          <w:rFonts w:ascii="Verdana" w:hAnsi="Verdana" w:eastAsia="Calibri" w:cs="Arial"/>
        </w:rPr>
        <w:t xml:space="preserve"> no</w:t>
      </w:r>
      <w:r w:rsidR="002B4EF4">
        <w:rPr>
          <w:rFonts w:ascii="Verdana" w:hAnsi="Verdana" w:eastAsia="Calibri" w:cs="Arial"/>
        </w:rPr>
        <w:t xml:space="preserve"> implica que </w:t>
      </w:r>
      <w:r w:rsidR="00C137B1">
        <w:rPr>
          <w:rFonts w:ascii="Verdana" w:hAnsi="Verdana" w:eastAsia="Calibri" w:cs="Arial"/>
        </w:rPr>
        <w:t xml:space="preserve">las entidades estatales </w:t>
      </w:r>
      <w:r w:rsidR="002E3DD8">
        <w:rPr>
          <w:rFonts w:ascii="Verdana" w:hAnsi="Verdana" w:eastAsia="Calibri" w:cs="Arial"/>
        </w:rPr>
        <w:t>deben incluir</w:t>
      </w:r>
      <w:r w:rsidR="00A132A1">
        <w:rPr>
          <w:rFonts w:ascii="Verdana" w:hAnsi="Verdana" w:eastAsia="Calibri" w:cs="Arial"/>
        </w:rPr>
        <w:t xml:space="preserve"> dichos criterios</w:t>
      </w:r>
      <w:r w:rsidR="002E3DD8">
        <w:rPr>
          <w:rFonts w:ascii="Verdana" w:hAnsi="Verdana" w:eastAsia="Calibri" w:cs="Arial"/>
        </w:rPr>
        <w:t xml:space="preserve"> en todos los procesos de contratación</w:t>
      </w:r>
      <w:r w:rsidR="00E82DC6">
        <w:rPr>
          <w:rFonts w:ascii="Verdana" w:hAnsi="Verdana" w:eastAsia="Calibri" w:cs="Arial"/>
        </w:rPr>
        <w:t xml:space="preserve"> automáticamente</w:t>
      </w:r>
      <w:r w:rsidR="002E3DD8">
        <w:rPr>
          <w:rFonts w:ascii="Verdana" w:hAnsi="Verdana" w:eastAsia="Calibri" w:cs="Arial"/>
        </w:rPr>
        <w:t xml:space="preserve">, así como tampoco </w:t>
      </w:r>
      <w:r w:rsidR="002B6CA2">
        <w:rPr>
          <w:rFonts w:ascii="Verdana" w:hAnsi="Verdana" w:eastAsia="Calibri" w:cs="Arial"/>
        </w:rPr>
        <w:t>quiere decir</w:t>
      </w:r>
      <w:r w:rsidR="002E3DD8">
        <w:rPr>
          <w:rFonts w:ascii="Verdana" w:hAnsi="Verdana" w:eastAsia="Calibri" w:cs="Arial"/>
        </w:rPr>
        <w:t xml:space="preserve"> que deban descartarlo</w:t>
      </w:r>
      <w:r w:rsidR="00A132A1">
        <w:rPr>
          <w:rFonts w:ascii="Verdana" w:hAnsi="Verdana" w:eastAsia="Calibri" w:cs="Arial"/>
        </w:rPr>
        <w:t>s</w:t>
      </w:r>
      <w:r w:rsidR="002E3DD8">
        <w:rPr>
          <w:rFonts w:ascii="Verdana" w:hAnsi="Verdana" w:eastAsia="Calibri" w:cs="Arial"/>
        </w:rPr>
        <w:t xml:space="preserve"> por no ser obligatorios. Lo que </w:t>
      </w:r>
      <w:r w:rsidR="00EC75F6">
        <w:rPr>
          <w:rFonts w:ascii="Verdana" w:hAnsi="Verdana" w:eastAsia="Calibri" w:cs="Arial"/>
        </w:rPr>
        <w:t>se quier</w:t>
      </w:r>
      <w:r w:rsidR="00260496">
        <w:rPr>
          <w:rFonts w:ascii="Verdana" w:hAnsi="Verdana" w:eastAsia="Calibri" w:cs="Arial"/>
        </w:rPr>
        <w:t>e significar</w:t>
      </w:r>
      <w:r w:rsidR="00EC75F6">
        <w:rPr>
          <w:rFonts w:ascii="Verdana" w:hAnsi="Verdana" w:eastAsia="Calibri" w:cs="Arial"/>
        </w:rPr>
        <w:t xml:space="preserve"> es que </w:t>
      </w:r>
      <w:r w:rsidR="00260542">
        <w:rPr>
          <w:rFonts w:ascii="Verdana" w:hAnsi="Verdana" w:eastAsia="Calibri" w:cs="Arial"/>
        </w:rPr>
        <w:t xml:space="preserve">para establecer dichos criterios como requisitos de habilitación </w:t>
      </w:r>
      <w:r w:rsidR="00A8415A">
        <w:rPr>
          <w:rFonts w:ascii="Verdana" w:hAnsi="Verdana" w:eastAsia="Calibri" w:cs="Arial"/>
        </w:rPr>
        <w:t>y</w:t>
      </w:r>
      <w:r w:rsidR="008C2F0D">
        <w:rPr>
          <w:rFonts w:ascii="Verdana" w:hAnsi="Verdana" w:eastAsia="Calibri" w:cs="Arial"/>
        </w:rPr>
        <w:t>/</w:t>
      </w:r>
      <w:r w:rsidR="00260542">
        <w:rPr>
          <w:rFonts w:ascii="Verdana" w:hAnsi="Verdana" w:eastAsia="Calibri" w:cs="Arial"/>
        </w:rPr>
        <w:t>o de calificación la entidad deberá</w:t>
      </w:r>
      <w:r w:rsidR="00644BED">
        <w:rPr>
          <w:rFonts w:ascii="Verdana" w:hAnsi="Verdana" w:eastAsia="Calibri" w:cs="Arial"/>
        </w:rPr>
        <w:t xml:space="preserve"> </w:t>
      </w:r>
      <w:r w:rsidR="001F0822">
        <w:rPr>
          <w:rFonts w:ascii="Verdana" w:hAnsi="Verdana" w:eastAsia="Calibri" w:cs="Arial"/>
        </w:rPr>
        <w:t xml:space="preserve">siempre y </w:t>
      </w:r>
      <w:r w:rsidR="00E82DC6">
        <w:rPr>
          <w:rFonts w:ascii="Verdana" w:hAnsi="Verdana" w:eastAsia="Calibri" w:cs="Arial"/>
        </w:rPr>
        <w:t xml:space="preserve">en </w:t>
      </w:r>
      <w:r w:rsidR="001F0822">
        <w:rPr>
          <w:rFonts w:ascii="Verdana" w:hAnsi="Verdana" w:eastAsia="Calibri" w:cs="Arial"/>
        </w:rPr>
        <w:t>todo caso analizar</w:t>
      </w:r>
      <w:r w:rsidR="00C17B6E">
        <w:rPr>
          <w:rFonts w:ascii="Verdana" w:hAnsi="Verdana" w:eastAsia="Calibri" w:cs="Arial"/>
        </w:rPr>
        <w:t xml:space="preserve"> que </w:t>
      </w:r>
      <w:r w:rsidR="009763E4">
        <w:rPr>
          <w:rFonts w:ascii="Verdana" w:hAnsi="Verdana" w:eastAsia="Calibri" w:cs="Arial"/>
        </w:rPr>
        <w:t xml:space="preserve">estos </w:t>
      </w:r>
      <w:r w:rsidR="00344ACC">
        <w:rPr>
          <w:rFonts w:ascii="Verdana" w:hAnsi="Verdana" w:eastAsia="Calibri" w:cs="Arial"/>
        </w:rPr>
        <w:t>sean adecuado</w:t>
      </w:r>
      <w:r w:rsidR="00BD5712">
        <w:rPr>
          <w:rFonts w:ascii="Verdana" w:hAnsi="Verdana" w:eastAsia="Calibri" w:cs="Arial"/>
        </w:rPr>
        <w:t>s</w:t>
      </w:r>
      <w:r w:rsidR="00344ACC">
        <w:rPr>
          <w:rFonts w:ascii="Verdana" w:hAnsi="Verdana" w:eastAsia="Calibri" w:cs="Arial"/>
        </w:rPr>
        <w:t xml:space="preserve">, es decir, que </w:t>
      </w:r>
      <w:r w:rsidRPr="001A2D8F" w:rsidR="00B51581">
        <w:rPr>
          <w:rFonts w:ascii="Verdana" w:hAnsi="Verdana" w:eastAsia="Calibri" w:cs="Arial"/>
          <w:color w:val="000000" w:themeColor="text1"/>
        </w:rPr>
        <w:t>ten</w:t>
      </w:r>
      <w:r w:rsidR="00B51581">
        <w:rPr>
          <w:rFonts w:ascii="Verdana" w:hAnsi="Verdana" w:eastAsia="Calibri" w:cs="Arial"/>
          <w:color w:val="000000" w:themeColor="text1"/>
        </w:rPr>
        <w:t>gan</w:t>
      </w:r>
      <w:r w:rsidRPr="001A2D8F" w:rsidR="00B51581">
        <w:rPr>
          <w:rFonts w:ascii="Verdana" w:hAnsi="Verdana" w:eastAsia="Calibri" w:cs="Arial"/>
          <w:color w:val="000000" w:themeColor="text1"/>
        </w:rPr>
        <w:t xml:space="preserve"> una relación directa con el objeto del contrato</w:t>
      </w:r>
      <w:r w:rsidR="00B51581">
        <w:rPr>
          <w:rFonts w:ascii="Verdana" w:hAnsi="Verdana" w:eastAsia="Calibri" w:cs="Arial"/>
          <w:color w:val="000000" w:themeColor="text1"/>
        </w:rPr>
        <w:t xml:space="preserve">, </w:t>
      </w:r>
      <w:r w:rsidR="00D67B9B">
        <w:rPr>
          <w:rFonts w:ascii="Verdana" w:hAnsi="Verdana" w:eastAsia="Calibri" w:cs="Arial"/>
          <w:color w:val="000000" w:themeColor="text1"/>
        </w:rPr>
        <w:t xml:space="preserve">y </w:t>
      </w:r>
      <w:r w:rsidR="007E635E">
        <w:rPr>
          <w:rFonts w:ascii="Verdana" w:hAnsi="Verdana" w:eastAsia="Calibri" w:cs="Arial"/>
          <w:color w:val="000000" w:themeColor="text1"/>
        </w:rPr>
        <w:t xml:space="preserve">que sean </w:t>
      </w:r>
      <w:r w:rsidR="00E45B2D">
        <w:rPr>
          <w:rFonts w:ascii="Verdana" w:hAnsi="Verdana" w:eastAsia="Calibri" w:cs="Arial"/>
        </w:rPr>
        <w:t>proporcionales</w:t>
      </w:r>
      <w:r w:rsidR="00B51581">
        <w:rPr>
          <w:rFonts w:ascii="Verdana" w:hAnsi="Verdana" w:eastAsia="Calibri" w:cs="Arial"/>
        </w:rPr>
        <w:t xml:space="preserve"> a las condiciones de</w:t>
      </w:r>
      <w:r w:rsidR="002032A0">
        <w:rPr>
          <w:rFonts w:ascii="Verdana" w:hAnsi="Verdana" w:eastAsia="Calibri" w:cs="Arial"/>
        </w:rPr>
        <w:t xml:space="preserve"> este</w:t>
      </w:r>
      <w:r w:rsidRPr="001A2D8F" w:rsidR="001A2D8F">
        <w:rPr>
          <w:rFonts w:ascii="Verdana" w:hAnsi="Verdana" w:eastAsia="Calibri" w:cs="Arial"/>
          <w:color w:val="000000" w:themeColor="text1"/>
        </w:rPr>
        <w:t xml:space="preserve">, de </w:t>
      </w:r>
      <w:r w:rsidR="00D11949">
        <w:rPr>
          <w:rFonts w:ascii="Verdana" w:hAnsi="Verdana" w:eastAsia="Calibri" w:cs="Arial"/>
          <w:color w:val="000000" w:themeColor="text1"/>
        </w:rPr>
        <w:t xml:space="preserve">manera </w:t>
      </w:r>
      <w:r w:rsidRPr="001A2D8F" w:rsidR="001A2D8F">
        <w:rPr>
          <w:rFonts w:ascii="Verdana" w:hAnsi="Verdana" w:eastAsia="Calibri" w:cs="Arial"/>
          <w:color w:val="000000" w:themeColor="text1"/>
        </w:rPr>
        <w:t xml:space="preserve">que </w:t>
      </w:r>
      <w:r w:rsidR="00D0597D">
        <w:rPr>
          <w:rFonts w:ascii="Verdana" w:hAnsi="Verdana" w:eastAsia="Calibri" w:cs="Arial"/>
          <w:color w:val="000000" w:themeColor="text1"/>
        </w:rPr>
        <w:t xml:space="preserve">no se </w:t>
      </w:r>
      <w:r w:rsidRPr="001A2D8F" w:rsidR="001A2D8F">
        <w:rPr>
          <w:rFonts w:ascii="Verdana" w:hAnsi="Verdana" w:eastAsia="Calibri" w:cs="Arial"/>
          <w:color w:val="000000" w:themeColor="text1"/>
        </w:rPr>
        <w:t xml:space="preserve">establezcan </w:t>
      </w:r>
      <w:r w:rsidR="003F5717">
        <w:rPr>
          <w:rFonts w:ascii="Verdana" w:hAnsi="Verdana" w:eastAsia="Calibri" w:cs="Arial"/>
          <w:color w:val="000000" w:themeColor="text1"/>
        </w:rPr>
        <w:t xml:space="preserve">requisitos </w:t>
      </w:r>
      <w:r w:rsidRPr="001A2D8F" w:rsidR="001A2D8F">
        <w:rPr>
          <w:rFonts w:ascii="Verdana" w:hAnsi="Verdana" w:eastAsia="Calibri" w:cs="Arial"/>
          <w:color w:val="000000" w:themeColor="text1"/>
        </w:rPr>
        <w:t>más allá de las necesari</w:t>
      </w:r>
      <w:r w:rsidR="00673F50">
        <w:rPr>
          <w:rFonts w:ascii="Verdana" w:hAnsi="Verdana" w:eastAsia="Calibri" w:cs="Arial"/>
          <w:color w:val="000000" w:themeColor="text1"/>
        </w:rPr>
        <w:t>o</w:t>
      </w:r>
      <w:r w:rsidRPr="001A2D8F" w:rsidR="001A2D8F">
        <w:rPr>
          <w:rFonts w:ascii="Verdana" w:hAnsi="Verdana" w:eastAsia="Calibri" w:cs="Arial"/>
          <w:color w:val="000000" w:themeColor="text1"/>
        </w:rPr>
        <w:t>s para verificar la idoneidad requerida de los proponentes respecto del objeto ofertado</w:t>
      </w:r>
      <w:r w:rsidR="00B97A76">
        <w:rPr>
          <w:rFonts w:ascii="Verdana" w:hAnsi="Verdana" w:eastAsia="Calibri" w:cs="Arial"/>
          <w:color w:val="000000" w:themeColor="text1"/>
        </w:rPr>
        <w:t xml:space="preserve">. </w:t>
      </w:r>
    </w:p>
    <w:p w:rsidR="005846C0" w:rsidP="00D52AB4" w:rsidRDefault="00E82064" w14:paraId="2CDA7E22" w14:textId="5D0728E1">
      <w:pPr>
        <w:widowControl w:val="0"/>
        <w:autoSpaceDE w:val="0"/>
        <w:autoSpaceDN w:val="0"/>
        <w:spacing w:line="276" w:lineRule="auto"/>
        <w:ind w:firstLine="709"/>
        <w:jc w:val="both"/>
        <w:rPr>
          <w:rFonts w:ascii="Verdana" w:hAnsi="Verdana" w:eastAsia="Calibri" w:cs="Arial"/>
        </w:rPr>
      </w:pPr>
      <w:r>
        <w:rPr>
          <w:rFonts w:ascii="Verdana" w:hAnsi="Verdana" w:eastAsia="Calibri" w:cs="Arial"/>
        </w:rPr>
        <w:lastRenderedPageBreak/>
        <w:t>Así</w:t>
      </w:r>
      <w:r w:rsidR="00AA7A06">
        <w:rPr>
          <w:rFonts w:ascii="Verdana" w:hAnsi="Verdana" w:eastAsia="Calibri" w:cs="Arial"/>
        </w:rPr>
        <w:t xml:space="preserve"> las cosas</w:t>
      </w:r>
      <w:r>
        <w:rPr>
          <w:rFonts w:ascii="Verdana" w:hAnsi="Verdana" w:eastAsia="Calibri" w:cs="Arial"/>
        </w:rPr>
        <w:t>,</w:t>
      </w:r>
      <w:r w:rsidR="00EF0437">
        <w:rPr>
          <w:rFonts w:ascii="Verdana" w:hAnsi="Verdana" w:eastAsia="Calibri" w:cs="Arial"/>
        </w:rPr>
        <w:t xml:space="preserve"> </w:t>
      </w:r>
      <w:r w:rsidR="00F1377B">
        <w:rPr>
          <w:rFonts w:ascii="Verdana" w:hAnsi="Verdana" w:eastAsia="Calibri" w:cs="Arial"/>
        </w:rPr>
        <w:t xml:space="preserve">aunque </w:t>
      </w:r>
      <w:r w:rsidR="00762102">
        <w:rPr>
          <w:rFonts w:ascii="Verdana" w:hAnsi="Verdana" w:eastAsia="Calibri" w:cs="Arial"/>
        </w:rPr>
        <w:t xml:space="preserve">la norma establece una </w:t>
      </w:r>
      <w:r w:rsidR="00F1377B">
        <w:rPr>
          <w:rFonts w:ascii="Verdana" w:hAnsi="Verdana" w:eastAsia="Calibri" w:cs="Arial"/>
        </w:rPr>
        <w:t xml:space="preserve">discrecionalidad </w:t>
      </w:r>
      <w:r w:rsidR="00762102">
        <w:rPr>
          <w:rFonts w:ascii="Verdana" w:hAnsi="Verdana" w:eastAsia="Calibri" w:cs="Arial"/>
        </w:rPr>
        <w:t xml:space="preserve">que </w:t>
      </w:r>
      <w:r w:rsidRPr="00A86FBC" w:rsidR="00C13B43">
        <w:rPr>
          <w:rFonts w:ascii="Verdana" w:hAnsi="Verdana" w:eastAsia="Calibri" w:cs="Arial"/>
        </w:rPr>
        <w:t>implica una elección administrativa</w:t>
      </w:r>
      <w:r w:rsidR="0070658A">
        <w:rPr>
          <w:rFonts w:ascii="Verdana" w:hAnsi="Verdana" w:eastAsia="Calibri" w:cs="Arial"/>
        </w:rPr>
        <w:t xml:space="preserve"> de </w:t>
      </w:r>
      <w:r w:rsidR="000A1F38">
        <w:rPr>
          <w:rFonts w:ascii="Verdana" w:hAnsi="Verdana" w:eastAsia="Calibri" w:cs="Arial"/>
        </w:rPr>
        <w:t>valorar la inclusión de dichos criterios,</w:t>
      </w:r>
      <w:r w:rsidRPr="00A86FBC" w:rsidR="00C13B43">
        <w:rPr>
          <w:rFonts w:ascii="Verdana" w:hAnsi="Verdana" w:eastAsia="Calibri" w:cs="Arial"/>
        </w:rPr>
        <w:t xml:space="preserve"> no puede ser una decisión irracional o arbitraria</w:t>
      </w:r>
      <w:r w:rsidR="000A1F38">
        <w:rPr>
          <w:rFonts w:ascii="Verdana" w:hAnsi="Verdana" w:eastAsia="Calibri" w:cs="Arial"/>
        </w:rPr>
        <w:t>, pues de hecho</w:t>
      </w:r>
      <w:r w:rsidR="006E7082">
        <w:rPr>
          <w:rFonts w:ascii="Verdana" w:hAnsi="Verdana" w:eastAsia="Calibri" w:cs="Arial"/>
        </w:rPr>
        <w:t>,</w:t>
      </w:r>
      <w:r w:rsidR="000A1F38">
        <w:rPr>
          <w:rFonts w:ascii="Verdana" w:hAnsi="Verdana" w:eastAsia="Calibri" w:cs="Arial"/>
        </w:rPr>
        <w:t xml:space="preserve"> tal y </w:t>
      </w:r>
      <w:r>
        <w:rPr>
          <w:rFonts w:ascii="Verdana" w:hAnsi="Verdana" w:eastAsia="Calibri" w:cs="Arial"/>
        </w:rPr>
        <w:t xml:space="preserve">como </w:t>
      </w:r>
      <w:r w:rsidR="00C62BF2">
        <w:rPr>
          <w:rFonts w:ascii="Verdana" w:hAnsi="Verdana" w:eastAsia="Calibri" w:cs="Arial"/>
        </w:rPr>
        <w:t xml:space="preserve">sucede con </w:t>
      </w:r>
      <w:r>
        <w:rPr>
          <w:rFonts w:ascii="Verdana" w:hAnsi="Verdana" w:eastAsia="Calibri" w:cs="Arial"/>
        </w:rPr>
        <w:t>los demás requisitos de habilitación y de calificación</w:t>
      </w:r>
      <w:r w:rsidR="005B2D65">
        <w:rPr>
          <w:rFonts w:ascii="Verdana" w:hAnsi="Verdana" w:eastAsia="Calibri" w:cs="Arial"/>
        </w:rPr>
        <w:t xml:space="preserve">, </w:t>
      </w:r>
      <w:r w:rsidR="00AE3E11">
        <w:rPr>
          <w:rFonts w:ascii="Verdana" w:hAnsi="Verdana" w:eastAsia="Calibri" w:cs="Arial"/>
        </w:rPr>
        <w:t xml:space="preserve">las entidades estatales deberán </w:t>
      </w:r>
      <w:r w:rsidR="00EC2A3F">
        <w:rPr>
          <w:rFonts w:ascii="Verdana" w:hAnsi="Verdana" w:eastAsia="Calibri" w:cs="Arial"/>
        </w:rPr>
        <w:t>revisar</w:t>
      </w:r>
      <w:r w:rsidR="00FB577F">
        <w:rPr>
          <w:rFonts w:ascii="Verdana" w:hAnsi="Verdana" w:eastAsia="Calibri" w:cs="Arial"/>
        </w:rPr>
        <w:t xml:space="preserve"> la aplicación de</w:t>
      </w:r>
      <w:r w:rsidR="00212390">
        <w:rPr>
          <w:rFonts w:ascii="Verdana" w:hAnsi="Verdana" w:eastAsia="Calibri" w:cs="Arial"/>
        </w:rPr>
        <w:t xml:space="preserve"> los</w:t>
      </w:r>
      <w:r w:rsidR="00DB00EE">
        <w:rPr>
          <w:rFonts w:ascii="Verdana" w:hAnsi="Verdana" w:eastAsia="Calibri" w:cs="Arial"/>
        </w:rPr>
        <w:t xml:space="preserve"> criterios </w:t>
      </w:r>
      <w:r w:rsidRPr="005E035A" w:rsidR="00212390">
        <w:rPr>
          <w:rFonts w:ascii="Verdana" w:hAnsi="Verdana" w:eastAsia="Calibri" w:cs="Arial"/>
        </w:rPr>
        <w:t xml:space="preserve">que le permitan conocer que la empresa a contratar cuente con el Sistema de Gestión de la Seguridad y Salud en el Trabajo </w:t>
      </w:r>
      <w:r w:rsidRPr="00D67B9B" w:rsidR="00D67B9B">
        <w:rPr>
          <w:rFonts w:ascii="Verdana" w:hAnsi="Verdana" w:eastAsia="Calibri" w:cs="Arial"/>
        </w:rPr>
        <w:t xml:space="preserve">durante la etapa de planeación del contrato estatal, </w:t>
      </w:r>
      <w:r w:rsidR="00DB00EE">
        <w:rPr>
          <w:rFonts w:ascii="Verdana" w:hAnsi="Verdana" w:eastAsia="Calibri" w:cs="Arial"/>
        </w:rPr>
        <w:t xml:space="preserve">teniendo en cuenta </w:t>
      </w:r>
      <w:r w:rsidR="00A61879">
        <w:rPr>
          <w:rFonts w:ascii="Verdana" w:hAnsi="Verdana" w:eastAsia="Calibri" w:cs="Arial"/>
        </w:rPr>
        <w:t xml:space="preserve">las condiciones particulares de cada </w:t>
      </w:r>
      <w:r w:rsidR="00D00DBF">
        <w:rPr>
          <w:rFonts w:ascii="Verdana" w:hAnsi="Verdana" w:eastAsia="Calibri" w:cs="Arial"/>
        </w:rPr>
        <w:t>contrato</w:t>
      </w:r>
      <w:r w:rsidR="009A2C4C">
        <w:rPr>
          <w:rFonts w:ascii="Verdana" w:hAnsi="Verdana" w:eastAsia="Calibri" w:cs="Arial"/>
        </w:rPr>
        <w:t xml:space="preserve">, </w:t>
      </w:r>
      <w:r w:rsidRPr="009616D4" w:rsidR="009A2C4C">
        <w:rPr>
          <w:rFonts w:ascii="Verdana" w:hAnsi="Verdana" w:eastAsia="Calibri" w:cs="Arial"/>
          <w:color w:val="000000" w:themeColor="text1"/>
        </w:rPr>
        <w:t>la naturaleza, el valor del contrato, la forma de pago, los riesgos asociados al contrato, el plazo y la complejidad de ejecución del objeto</w:t>
      </w:r>
      <w:r w:rsidR="00777D6B">
        <w:rPr>
          <w:rFonts w:ascii="Verdana" w:hAnsi="Verdana" w:eastAsia="Calibri" w:cs="Arial"/>
        </w:rPr>
        <w:t xml:space="preserve"> </w:t>
      </w:r>
      <w:r w:rsidR="008F022A">
        <w:rPr>
          <w:rFonts w:ascii="Verdana" w:hAnsi="Verdana" w:eastAsia="Calibri" w:cs="Arial"/>
        </w:rPr>
        <w:t xml:space="preserve">y garantizando el cumplimiento de los principios de </w:t>
      </w:r>
      <w:r w:rsidR="00D00DBF">
        <w:rPr>
          <w:rFonts w:ascii="Verdana" w:hAnsi="Verdana" w:eastAsia="Calibri" w:cs="Arial"/>
        </w:rPr>
        <w:t>contratación estatal</w:t>
      </w:r>
      <w:r w:rsidR="00A05C04">
        <w:rPr>
          <w:rFonts w:ascii="Verdana" w:hAnsi="Verdana" w:eastAsia="Calibri" w:cs="Arial"/>
        </w:rPr>
        <w:t>.</w:t>
      </w:r>
    </w:p>
    <w:p w:rsidR="0001155E" w:rsidP="0001155E" w:rsidRDefault="000C02AD" w14:paraId="1B3F563E" w14:textId="77777777">
      <w:pPr>
        <w:widowControl w:val="0"/>
        <w:autoSpaceDE w:val="0"/>
        <w:autoSpaceDN w:val="0"/>
        <w:spacing w:line="276" w:lineRule="auto"/>
        <w:ind w:firstLine="709"/>
        <w:jc w:val="both"/>
        <w:rPr>
          <w:rFonts w:ascii="Verdana" w:hAnsi="Verdana" w:eastAsia="Calibri" w:cs="Arial"/>
        </w:rPr>
      </w:pPr>
      <w:r w:rsidRPr="000C02AD">
        <w:rPr>
          <w:rFonts w:ascii="Verdana" w:hAnsi="Verdana" w:eastAsia="Calibri" w:cs="Arial"/>
        </w:rPr>
        <w:t>La anterior no quiere decir que,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rsidR="00FE321B" w:rsidP="0001155E" w:rsidRDefault="000C02AD" w14:paraId="54D5B22D" w14:textId="123BCD4A">
      <w:pPr>
        <w:widowControl w:val="0"/>
        <w:autoSpaceDE w:val="0"/>
        <w:autoSpaceDN w:val="0"/>
        <w:spacing w:line="276" w:lineRule="auto"/>
        <w:ind w:firstLine="709"/>
        <w:jc w:val="both"/>
        <w:rPr>
          <w:rFonts w:ascii="Verdana" w:hAnsi="Verdana" w:eastAsia="Calibri" w:cs="Arial"/>
        </w:rPr>
      </w:pPr>
      <w:r w:rsidRPr="000C02AD">
        <w:rPr>
          <w:rFonts w:ascii="Verdana" w:hAnsi="Verdana" w:eastAsia="Calibri" w:cs="Arial"/>
        </w:rPr>
        <w:t>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supervisión del contrato</w:t>
      </w:r>
      <w:r w:rsidR="00161847">
        <w:rPr>
          <w:rFonts w:ascii="Verdana" w:hAnsi="Verdana" w:eastAsia="Calibri" w:cs="Arial"/>
        </w:rPr>
        <w:t>.</w:t>
      </w:r>
    </w:p>
    <w:p w:rsidR="00A433CA" w:rsidP="002D7417" w:rsidRDefault="00710530" w14:paraId="1C61D23C" w14:textId="2B8A76B4">
      <w:pPr>
        <w:spacing w:before="120" w:after="120" w:line="276" w:lineRule="auto"/>
        <w:ind w:firstLine="709"/>
        <w:jc w:val="both"/>
        <w:rPr>
          <w:rFonts w:ascii="Verdana" w:hAnsi="Verdana" w:eastAsia="Calibri" w:cs="Arial"/>
        </w:rPr>
      </w:pPr>
      <w:r>
        <w:rPr>
          <w:rFonts w:ascii="Verdana" w:hAnsi="Verdana" w:eastAsia="Calibri" w:cs="Arial"/>
        </w:rPr>
        <w:t>De este modo</w:t>
      </w:r>
      <w:r w:rsidRPr="00161847" w:rsidR="00161847">
        <w:rPr>
          <w:rFonts w:ascii="Verdana" w:hAnsi="Verdana" w:eastAsia="Calibri" w:cs="Arial"/>
        </w:rPr>
        <w:t>, el seguimiento de la ejecución del contrato para</w:t>
      </w:r>
      <w:r w:rsidR="00CC6369">
        <w:rPr>
          <w:rFonts w:ascii="Verdana" w:hAnsi="Verdana" w:eastAsia="Calibri" w:cs="Arial"/>
        </w:rPr>
        <w:t xml:space="preserve"> la</w:t>
      </w:r>
      <w:r w:rsidRPr="00161847" w:rsidR="00161847">
        <w:rPr>
          <w:rFonts w:ascii="Verdana" w:hAnsi="Verdana" w:eastAsia="Calibri" w:cs="Arial"/>
        </w:rPr>
        <w:t xml:space="preserve"> dirección, control y vigilancia del correcto cumplimiento del objeto es un deber legal que permite a las entidades estatales tomar medidas orientadas a la satisfacción de los fines de la contratación, dentro de las cuales se encuentra el cumplimiento del ordenamiento jurídico vigente, por lo que las normas técnicas que se encuentran reguladas en la Resolución 0312 de 2019, expedida por el Ministerio del Trabajo, las cuales, como se dijo en el numeral anterior, constituyen estándares mínimos que deberán ser supervisados durante la ejecución del contrato estatal por tratarse de exigencias de rango legal. </w:t>
      </w:r>
    </w:p>
    <w:p w:rsidRPr="00A433CA" w:rsidR="00577AC3" w:rsidP="005153C3" w:rsidRDefault="00161847" w14:paraId="08428A81" w14:textId="693FB28B">
      <w:pPr>
        <w:spacing w:before="120" w:after="120" w:line="276" w:lineRule="auto"/>
        <w:ind w:firstLine="709"/>
        <w:jc w:val="both"/>
        <w:rPr>
          <w:rFonts w:ascii="Verdana" w:hAnsi="Verdana" w:eastAsia="Calibri" w:cs="Arial"/>
        </w:rPr>
      </w:pPr>
      <w:r w:rsidRPr="00161847">
        <w:rPr>
          <w:rFonts w:ascii="Verdana" w:hAnsi="Verdana" w:eastAsia="Calibri" w:cs="Arial"/>
        </w:rPr>
        <w:lastRenderedPageBreak/>
        <w:t>Para los efectos de este concepto se resaltan dentro de este seguimiento la verificación del cumplimiento de obligaciones relacionadas con la revisión de los soportes de cumplimiento de las obligaciones laborales y la verificación del cumplimiento de las obligaciones del contratista en materia de seguridad social y salud ocupacional, ahora denominada Sistema de Gestión de Seguridad y Salud en el Trabajo SG-SST.</w:t>
      </w:r>
    </w:p>
    <w:p w:rsidRPr="00EB1CF7" w:rsidR="00CD2E70" w:rsidP="00CD2E70" w:rsidRDefault="00CD2E70" w14:paraId="450B1F84" w14:textId="11BACD51">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Referencia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normativa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CD2E70" w:rsidP="00E84D1C" w:rsidRDefault="00CD2E70" w14:paraId="61D4F996" w14:textId="1A993A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EB1CF7" w:rsidR="002407CE" w:rsidTr="006E429F" w14:paraId="28F1D869" w14:textId="77777777">
        <w:trPr>
          <w:trHeight w:val="870"/>
          <w:jc w:val="center"/>
        </w:trPr>
        <w:tc>
          <w:tcPr>
            <w:tcW w:w="8647" w:type="dxa"/>
          </w:tcPr>
          <w:p w:rsidR="00C647DF" w:rsidP="005B6551" w:rsidRDefault="005B6551" w14:paraId="51B07FDA" w14:textId="5660E81E">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 xml:space="preserve">Ley 1150 de 2007: artículo </w:t>
            </w:r>
            <w:r w:rsidR="006D5E84">
              <w:rPr>
                <w:rFonts w:ascii="Verdana" w:hAnsi="Verdana" w:cs="Arial"/>
                <w:sz w:val="22"/>
              </w:rPr>
              <w:t>5</w:t>
            </w:r>
          </w:p>
          <w:p w:rsidR="008D3C3D" w:rsidP="005B6551" w:rsidRDefault="008D3C3D" w14:paraId="46C47C07" w14:textId="4A99AFED">
            <w:pPr>
              <w:pStyle w:val="Prrafodelista"/>
              <w:widowControl w:val="0"/>
              <w:numPr>
                <w:ilvl w:val="0"/>
                <w:numId w:val="3"/>
              </w:numPr>
              <w:autoSpaceDE w:val="0"/>
              <w:autoSpaceDN w:val="0"/>
              <w:spacing w:line="276" w:lineRule="auto"/>
              <w:jc w:val="both"/>
              <w:rPr>
                <w:rFonts w:ascii="Verdana" w:hAnsi="Verdana" w:cs="Arial"/>
                <w:sz w:val="22"/>
              </w:rPr>
            </w:pPr>
            <w:r w:rsidRPr="008D3C3D">
              <w:rPr>
                <w:rFonts w:ascii="Verdana" w:hAnsi="Verdana" w:cs="Arial"/>
                <w:sz w:val="22"/>
              </w:rPr>
              <w:t>Ley 1437 de 2011</w:t>
            </w:r>
            <w:r>
              <w:rPr>
                <w:rFonts w:ascii="Verdana" w:hAnsi="Verdana" w:cs="Arial"/>
                <w:sz w:val="22"/>
              </w:rPr>
              <w:t xml:space="preserve">: artículo </w:t>
            </w:r>
            <w:r w:rsidRPr="008D3C3D">
              <w:rPr>
                <w:rFonts w:ascii="Verdana" w:hAnsi="Verdana" w:cs="Arial"/>
                <w:sz w:val="22"/>
              </w:rPr>
              <w:t>44</w:t>
            </w:r>
          </w:p>
          <w:p w:rsidRPr="00EB1CF7" w:rsidR="00176AE8" w:rsidP="005B6551" w:rsidRDefault="00176AE8" w14:paraId="73F07D14" w14:textId="547C0018">
            <w:pPr>
              <w:pStyle w:val="Prrafodelista"/>
              <w:widowControl w:val="0"/>
              <w:numPr>
                <w:ilvl w:val="0"/>
                <w:numId w:val="3"/>
              </w:numPr>
              <w:autoSpaceDE w:val="0"/>
              <w:autoSpaceDN w:val="0"/>
              <w:spacing w:line="276" w:lineRule="auto"/>
              <w:jc w:val="both"/>
              <w:rPr>
                <w:rFonts w:ascii="Verdana" w:hAnsi="Verdana" w:cs="Arial"/>
                <w:sz w:val="22"/>
              </w:rPr>
            </w:pPr>
            <w:r w:rsidRPr="00176AE8">
              <w:rPr>
                <w:rFonts w:ascii="Verdana" w:hAnsi="Verdana" w:cs="Arial"/>
                <w:sz w:val="22"/>
              </w:rPr>
              <w:t>Ley 1562 de 2012</w:t>
            </w:r>
            <w:r>
              <w:rPr>
                <w:rFonts w:ascii="Verdana" w:hAnsi="Verdana" w:cs="Arial"/>
                <w:sz w:val="22"/>
              </w:rPr>
              <w:t xml:space="preserve">: artículo </w:t>
            </w:r>
            <w:r w:rsidR="00285E3F">
              <w:rPr>
                <w:rFonts w:ascii="Verdana" w:hAnsi="Verdana" w:cs="Arial"/>
                <w:sz w:val="22"/>
              </w:rPr>
              <w:t>1</w:t>
            </w:r>
          </w:p>
          <w:p w:rsidR="004233DC" w:rsidP="005B6551" w:rsidRDefault="003819F5" w14:paraId="797F3B3C" w14:textId="7FAFBE0E">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Decreto</w:t>
            </w:r>
            <w:r w:rsidRPr="00EB1CF7" w:rsidR="000D5B1E">
              <w:rPr>
                <w:rFonts w:ascii="Verdana" w:hAnsi="Verdana" w:cs="Arial"/>
                <w:sz w:val="22"/>
              </w:rPr>
              <w:t xml:space="preserve"> 1082 de 2015</w:t>
            </w:r>
            <w:r w:rsidRPr="00EB1CF7">
              <w:rPr>
                <w:rFonts w:ascii="Verdana" w:hAnsi="Verdana" w:cs="Arial"/>
                <w:sz w:val="22"/>
              </w:rPr>
              <w:t>:</w:t>
            </w:r>
            <w:r w:rsidR="00A71B8B">
              <w:rPr>
                <w:rFonts w:ascii="Verdana" w:hAnsi="Verdana" w:cs="Arial"/>
                <w:sz w:val="22"/>
              </w:rPr>
              <w:t xml:space="preserve"> artículo</w:t>
            </w:r>
            <w:r w:rsidR="004233DC">
              <w:rPr>
                <w:rFonts w:ascii="Verdana" w:hAnsi="Verdana" w:cs="Arial"/>
                <w:sz w:val="22"/>
              </w:rPr>
              <w:t>s</w:t>
            </w:r>
            <w:r w:rsidRPr="00EB1CF7">
              <w:rPr>
                <w:rFonts w:ascii="Verdana" w:hAnsi="Verdana" w:cs="Arial"/>
                <w:sz w:val="22"/>
              </w:rPr>
              <w:t xml:space="preserve"> </w:t>
            </w:r>
            <w:r w:rsidRPr="00A71B8B" w:rsidR="00A71B8B">
              <w:rPr>
                <w:rFonts w:ascii="Verdana" w:hAnsi="Verdana" w:cs="Arial"/>
                <w:sz w:val="22"/>
              </w:rPr>
              <w:t>2.2.1.1.1.6.2</w:t>
            </w:r>
            <w:r w:rsidR="004233DC">
              <w:rPr>
                <w:rFonts w:ascii="Verdana" w:hAnsi="Verdana" w:cs="Arial"/>
                <w:sz w:val="22"/>
              </w:rPr>
              <w:t xml:space="preserve"> y </w:t>
            </w:r>
            <w:r w:rsidRPr="004233DC" w:rsidR="004233DC">
              <w:rPr>
                <w:rFonts w:ascii="Verdana" w:hAnsi="Verdana" w:cs="Arial"/>
                <w:sz w:val="22"/>
              </w:rPr>
              <w:t>2.2.1.1.2.2.2</w:t>
            </w:r>
          </w:p>
          <w:p w:rsidR="003819F5" w:rsidP="005B6551" w:rsidRDefault="004233DC" w14:paraId="0FA05DBD" w14:textId="66283582">
            <w:pPr>
              <w:pStyle w:val="Prrafodelista"/>
              <w:widowControl w:val="0"/>
              <w:numPr>
                <w:ilvl w:val="0"/>
                <w:numId w:val="3"/>
              </w:numPr>
              <w:autoSpaceDE w:val="0"/>
              <w:autoSpaceDN w:val="0"/>
              <w:spacing w:line="276" w:lineRule="auto"/>
              <w:jc w:val="both"/>
              <w:rPr>
                <w:rFonts w:ascii="Verdana" w:hAnsi="Verdana" w:cs="Arial"/>
                <w:sz w:val="22"/>
              </w:rPr>
            </w:pPr>
            <w:r w:rsidRPr="004233DC">
              <w:rPr>
                <w:rFonts w:ascii="Verdana" w:hAnsi="Verdana" w:cs="Arial"/>
                <w:sz w:val="22"/>
              </w:rPr>
              <w:t>Decreto 1072 de 2015</w:t>
            </w:r>
            <w:r w:rsidRPr="00EB1CF7">
              <w:rPr>
                <w:rFonts w:ascii="Verdana" w:hAnsi="Verdana" w:cs="Arial"/>
                <w:sz w:val="22"/>
              </w:rPr>
              <w:t>:</w:t>
            </w:r>
            <w:r>
              <w:rPr>
                <w:rFonts w:ascii="Verdana" w:hAnsi="Verdana" w:cs="Arial"/>
                <w:sz w:val="22"/>
              </w:rPr>
              <w:t xml:space="preserve"> artículos </w:t>
            </w:r>
            <w:r w:rsidRPr="004233DC">
              <w:rPr>
                <w:rFonts w:ascii="Verdana" w:hAnsi="Verdana" w:cs="Arial"/>
                <w:sz w:val="22"/>
              </w:rPr>
              <w:t>2.2.4.6.4</w:t>
            </w:r>
            <w:r w:rsidR="005153C3">
              <w:rPr>
                <w:rFonts w:ascii="Verdana" w:hAnsi="Verdana" w:cs="Arial"/>
                <w:sz w:val="22"/>
              </w:rPr>
              <w:t xml:space="preserve"> y </w:t>
            </w:r>
            <w:r w:rsidRPr="005153C3" w:rsidR="005153C3">
              <w:rPr>
                <w:rFonts w:ascii="Verdana" w:hAnsi="Verdana" w:cs="Arial"/>
                <w:sz w:val="22"/>
              </w:rPr>
              <w:t>2.2.4.6.28</w:t>
            </w:r>
          </w:p>
          <w:p w:rsidRPr="00EB1CF7" w:rsidR="005153C3" w:rsidP="005B6551" w:rsidRDefault="005153C3" w14:paraId="3E9D05BC" w14:textId="3921A620">
            <w:pPr>
              <w:pStyle w:val="Prrafodelista"/>
              <w:widowControl w:val="0"/>
              <w:numPr>
                <w:ilvl w:val="0"/>
                <w:numId w:val="3"/>
              </w:numPr>
              <w:autoSpaceDE w:val="0"/>
              <w:autoSpaceDN w:val="0"/>
              <w:spacing w:line="276" w:lineRule="auto"/>
              <w:jc w:val="both"/>
              <w:rPr>
                <w:rFonts w:ascii="Verdana" w:hAnsi="Verdana" w:cs="Arial"/>
                <w:sz w:val="22"/>
              </w:rPr>
            </w:pPr>
            <w:r w:rsidRPr="005153C3">
              <w:rPr>
                <w:rFonts w:ascii="Verdana" w:hAnsi="Verdana" w:cs="Arial"/>
                <w:sz w:val="22"/>
              </w:rPr>
              <w:t>Resolución 312 del 13 de febrero de 2019</w:t>
            </w:r>
          </w:p>
        </w:tc>
      </w:tr>
    </w:tbl>
    <w:p w:rsidRPr="00EB1CF7" w:rsidR="00CD2E70" w:rsidP="00E84D1C" w:rsidRDefault="00CD2E70" w14:paraId="30F3A1CE" w14:textId="77777777">
      <w:pPr>
        <w:widowControl w:val="0"/>
        <w:autoSpaceDE w:val="0"/>
        <w:autoSpaceDN w:val="0"/>
        <w:spacing w:after="0" w:line="276" w:lineRule="auto"/>
        <w:jc w:val="both"/>
        <w:rPr>
          <w:rFonts w:ascii="Verdana" w:hAnsi="Verdana" w:cs="Arial"/>
        </w:rPr>
      </w:pPr>
    </w:p>
    <w:p w:rsidRPr="00EB1CF7" w:rsidR="00057963" w:rsidP="00057963" w:rsidRDefault="00E53F2E" w14:paraId="763AF15E" w14:textId="5C1DC82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Doctrina de la Agencia Nacional de Contratación Pública</w:t>
      </w:r>
      <w:r w:rsidRPr="00EB1CF7" w:rsidR="00057963">
        <w:rPr>
          <w:rFonts w:ascii="Verdana" w:hAnsi="Verdana" w:eastAsia="Century Gothic" w:cs="Century Gothic"/>
          <w:b/>
          <w:bCs/>
          <w:sz w:val="22"/>
          <w:lang w:val="es-ES"/>
        </w:rPr>
        <w:t>:</w:t>
      </w:r>
    </w:p>
    <w:p w:rsidRPr="00EB1CF7" w:rsidR="00E84D1C" w:rsidP="00E84D1C" w:rsidRDefault="00E84D1C" w14:paraId="2E26A5BD" w14:textId="31F0C1BB">
      <w:pPr>
        <w:widowControl w:val="0"/>
        <w:autoSpaceDE w:val="0"/>
        <w:autoSpaceDN w:val="0"/>
        <w:spacing w:after="0" w:line="276" w:lineRule="auto"/>
        <w:jc w:val="both"/>
        <w:rPr>
          <w:rFonts w:ascii="Verdana" w:hAnsi="Verdana" w:cs="Arial"/>
        </w:rPr>
      </w:pPr>
    </w:p>
    <w:p w:rsidR="00BD658C" w:rsidP="00BD658C" w:rsidRDefault="00957EE7" w14:paraId="3FA1F51C" w14:textId="1D9F2134">
      <w:pPr>
        <w:widowControl w:val="0"/>
        <w:autoSpaceDE w:val="0"/>
        <w:autoSpaceDN w:val="0"/>
        <w:spacing w:after="0" w:line="276" w:lineRule="auto"/>
        <w:jc w:val="both"/>
        <w:rPr>
          <w:rFonts w:ascii="Verdana" w:hAnsi="Verdana" w:cs="Arial"/>
          <w:color w:val="000000" w:themeColor="text1"/>
          <w:shd w:val="clear" w:color="auto" w:fill="FFFFFF"/>
        </w:rPr>
      </w:pPr>
      <w:r w:rsidRPr="00957EE7">
        <w:rPr>
          <w:rFonts w:ascii="Verdana" w:hAnsi="Verdana" w:eastAsia="Calibri" w:cs="Arial"/>
          <w:lang w:val="es-ES" w:eastAsia="es-ES"/>
        </w:rPr>
        <w:t>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w:t>
      </w:r>
      <w:r w:rsidR="00C64266">
        <w:rPr>
          <w:rFonts w:ascii="Verdana" w:hAnsi="Verdana" w:eastAsia="Calibri" w:cs="Arial"/>
          <w:lang w:val="es-ES" w:eastAsia="es-ES"/>
        </w:rPr>
        <w:t xml:space="preserve"> </w:t>
      </w:r>
      <w:r w:rsidRPr="00957EE7">
        <w:rPr>
          <w:rFonts w:ascii="Verdana" w:hAnsi="Verdana" w:eastAsia="Calibri" w:cs="Arial"/>
          <w:lang w:val="es-ES" w:eastAsia="es-ES"/>
        </w:rPr>
        <w:t>entre otros, analizó la naturaleza de los requisitos habilitantes y su carácter enunciativo en el artículo 5, numeral 1, de la Ley 1150 de 2007.</w:t>
      </w:r>
      <w:r w:rsidR="00E5384D">
        <w:rPr>
          <w:rFonts w:ascii="Verdana" w:hAnsi="Verdana" w:eastAsia="Calibri" w:cs="Arial"/>
          <w:lang w:val="es-ES" w:eastAsia="es-ES"/>
        </w:rPr>
        <w:t xml:space="preserve"> </w:t>
      </w:r>
      <w:r w:rsidRPr="00EB1CF7" w:rsidR="00127D5B">
        <w:rPr>
          <w:rFonts w:ascii="Verdana" w:hAnsi="Verdana" w:eastAsia="Calibri" w:cs="Arial"/>
          <w:lang w:val="es-ES" w:eastAsia="es-ES"/>
        </w:rPr>
        <w:t>Sobre</w:t>
      </w:r>
      <w:r w:rsidRPr="004F121B" w:rsidR="004F121B">
        <w:rPr>
          <w:rFonts w:ascii="Verdana" w:hAnsi="Verdana" w:eastAsia="Calibri" w:cs="Arial"/>
          <w:lang w:val="es-ES" w:eastAsia="es-ES"/>
        </w:rPr>
        <w:t xml:space="preserve"> la implementación del Sistema de Gestión de la Seguridad y Salud del Trabajo - SG-SST a título de requisito habilitante o de calificación </w:t>
      </w:r>
      <w:r w:rsidR="004F121B">
        <w:rPr>
          <w:rFonts w:ascii="Verdana" w:hAnsi="Verdana" w:eastAsia="Calibri" w:cs="Arial"/>
          <w:lang w:val="es-ES" w:eastAsia="es-ES"/>
        </w:rPr>
        <w:t>se refirió esta subdirección en el concepto C</w:t>
      </w:r>
      <w:r w:rsidR="00562A61">
        <w:rPr>
          <w:rFonts w:ascii="Verdana" w:hAnsi="Verdana" w:eastAsia="Calibri" w:cs="Arial"/>
          <w:lang w:val="es-ES" w:eastAsia="es-ES"/>
        </w:rPr>
        <w:t>-317</w:t>
      </w:r>
      <w:r w:rsidR="00376524">
        <w:rPr>
          <w:rFonts w:ascii="Verdana" w:hAnsi="Verdana" w:eastAsia="Calibri" w:cs="Arial"/>
          <w:lang w:val="es-ES" w:eastAsia="es-ES"/>
        </w:rPr>
        <w:t xml:space="preserve"> del 18 de </w:t>
      </w:r>
      <w:r w:rsidR="00914861">
        <w:rPr>
          <w:rFonts w:ascii="Verdana" w:hAnsi="Verdana" w:eastAsia="Calibri" w:cs="Arial"/>
          <w:lang w:val="es-ES" w:eastAsia="es-ES"/>
        </w:rPr>
        <w:t>septiembre</w:t>
      </w:r>
      <w:r w:rsidR="00376524">
        <w:rPr>
          <w:rFonts w:ascii="Verdana" w:hAnsi="Verdana" w:eastAsia="Calibri" w:cs="Arial"/>
          <w:lang w:val="es-ES" w:eastAsia="es-ES"/>
        </w:rPr>
        <w:t xml:space="preserve"> de 2023</w:t>
      </w:r>
      <w:r w:rsidR="00914861">
        <w:rPr>
          <w:rFonts w:ascii="Verdana" w:hAnsi="Verdana" w:eastAsia="Calibri" w:cs="Arial"/>
          <w:lang w:val="es-ES" w:eastAsia="es-ES"/>
        </w:rPr>
        <w:t xml:space="preserve">. </w:t>
      </w:r>
      <w:r w:rsidRPr="00EB1CF7" w:rsidR="00A82DA0">
        <w:rPr>
          <w:rStyle w:val="normaltextrun"/>
          <w:rFonts w:ascii="Verdana" w:hAnsi="Verdana" w:cs="Arial"/>
          <w:shd w:val="clear" w:color="auto" w:fill="FFFFFF"/>
          <w:lang w:val="es-ES"/>
        </w:rPr>
        <w:t>Es</w:t>
      </w:r>
      <w:r w:rsidRPr="00EB1CF7" w:rsidR="00A82DA0">
        <w:rPr>
          <w:rFonts w:ascii="Verdana" w:hAnsi="Verdana"/>
        </w:rPr>
        <w:t>tos y otros conceptos se encuentran disponibles para consulta en el Sistema de relatoría de la Agencia, al cual se puede acceder a través del siguiente enlace</w:t>
      </w:r>
      <w:r w:rsidRPr="00EB1CF7" w:rsidR="00D8321A">
        <w:rPr>
          <w:rFonts w:ascii="Verdana" w:hAnsi="Verdana"/>
        </w:rPr>
        <w:t>:</w:t>
      </w:r>
      <w:r w:rsidRPr="00EB1CF7" w:rsidR="00DC525E">
        <w:rPr>
          <w:rStyle w:val="normaltextrun"/>
          <w:rFonts w:ascii="Verdana" w:hAnsi="Verdana" w:cs="Arial"/>
          <w:shd w:val="clear" w:color="auto" w:fill="FFFFFF"/>
          <w:lang w:val="es-ES"/>
        </w:rPr>
        <w:t xml:space="preserve"> </w:t>
      </w:r>
      <w:hyperlink w:history="1" r:id="rId13">
        <w:r w:rsidRPr="00EB1CF7" w:rsidR="00D8321A">
          <w:rPr>
            <w:rStyle w:val="Hipervnculo"/>
            <w:rFonts w:ascii="Verdana" w:hAnsi="Verdana" w:cs="Arial"/>
            <w:shd w:val="clear" w:color="auto" w:fill="FFFFFF"/>
            <w:lang w:val="es-ES"/>
          </w:rPr>
          <w:t>https://relatoria.colombiacompra.gov.co/busqueda/conceptos</w:t>
        </w:r>
      </w:hyperlink>
      <w:r w:rsidRPr="00EB1CF7" w:rsidR="008D1079">
        <w:rPr>
          <w:rStyle w:val="normaltextrun"/>
          <w:rFonts w:ascii="Verdana" w:hAnsi="Verdana" w:cs="Arial"/>
          <w:shd w:val="clear" w:color="auto" w:fill="FFFFFF"/>
          <w:lang w:val="es-ES"/>
        </w:rPr>
        <w:t>.</w:t>
      </w:r>
      <w:r w:rsidRPr="00EB1CF7" w:rsidR="008D1079">
        <w:rPr>
          <w:rStyle w:val="normaltextrun"/>
          <w:rFonts w:ascii="Verdana" w:hAnsi="Verdana" w:cs="Arial"/>
          <w:color w:val="FF0000"/>
          <w:shd w:val="clear" w:color="auto" w:fill="FFFFFF"/>
          <w:lang w:val="es-ES"/>
        </w:rPr>
        <w:t xml:space="preserve"> </w:t>
      </w:r>
      <w:r w:rsidRPr="00EB1CF7" w:rsidR="00BD658C">
        <w:rPr>
          <w:rFonts w:ascii="Verdana" w:hAnsi="Verdana" w:cs="Arial"/>
          <w:color w:val="000000" w:themeColor="text1"/>
          <w:shd w:val="clear" w:color="auto" w:fill="FFFFFF"/>
        </w:rPr>
        <w:t>  </w:t>
      </w:r>
    </w:p>
    <w:p w:rsidR="00E71C2D" w:rsidP="00BD658C" w:rsidRDefault="00E71C2D" w14:paraId="637D3AE1"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CB2518" w:rsidR="00E71C2D" w:rsidP="00BD658C" w:rsidRDefault="00E71C2D" w14:paraId="3E7B56A0" w14:textId="59ED5FE4">
      <w:pPr>
        <w:widowControl w:val="0"/>
        <w:autoSpaceDE w:val="0"/>
        <w:autoSpaceDN w:val="0"/>
        <w:spacing w:after="0" w:line="276" w:lineRule="auto"/>
        <w:jc w:val="both"/>
        <w:rPr>
          <w:rFonts w:ascii="Verdana" w:hAnsi="Verdana" w:eastAsia="Calibri" w:cs="Arial"/>
          <w:color w:val="000000" w:themeColor="text1"/>
        </w:rPr>
      </w:pPr>
      <w:r w:rsidRPr="00E71C2D">
        <w:rPr>
          <w:rFonts w:ascii="Verdana" w:hAnsi="Verdana" w:eastAsia="Calibri" w:cs="Arial"/>
          <w:color w:val="000000" w:themeColor="text1"/>
        </w:rPr>
        <w:t xml:space="preserve">De otra parte, te contamos que ya publicamos el borrador de la nueva Guía de Contratación Pública Sostenible y Socialmente Responsable. Conoce el documento y realiza tus comentarios hasta el </w:t>
      </w:r>
      <w:r>
        <w:rPr>
          <w:rFonts w:ascii="Verdana" w:hAnsi="Verdana" w:eastAsia="Calibri" w:cs="Arial"/>
          <w:color w:val="000000" w:themeColor="text1"/>
        </w:rPr>
        <w:t>22</w:t>
      </w:r>
      <w:r w:rsidRPr="00E71C2D">
        <w:rPr>
          <w:rFonts w:ascii="Verdana" w:hAnsi="Verdana" w:eastAsia="Calibri" w:cs="Arial"/>
          <w:color w:val="000000" w:themeColor="text1"/>
        </w:rPr>
        <w:t xml:space="preserve"> de noviembre de 2024 a través del siguiente enlace: </w:t>
      </w:r>
      <w:hyperlink w:history="1" r:id="rId14">
        <w:r w:rsidRPr="00BD677E">
          <w:rPr>
            <w:rStyle w:val="Hipervnculo"/>
            <w:rFonts w:ascii="Verdana" w:hAnsi="Verdana" w:eastAsia="Calibri" w:cs="Arial"/>
          </w:rPr>
          <w:t>https://www.sucop.gov.co/entidades/colombiacompra/Normativa?IDNorma=18320</w:t>
        </w:r>
      </w:hyperlink>
      <w:r>
        <w:rPr>
          <w:rFonts w:ascii="Verdana" w:hAnsi="Verdana" w:eastAsia="Calibri" w:cs="Arial"/>
          <w:color w:val="000000" w:themeColor="text1"/>
        </w:rPr>
        <w:t xml:space="preserve"> </w:t>
      </w:r>
      <w:r w:rsidRPr="00E71C2D">
        <w:rPr>
          <w:rFonts w:ascii="Verdana" w:hAnsi="Verdana" w:eastAsia="Calibri" w:cs="Arial"/>
          <w:color w:val="000000" w:themeColor="text1"/>
        </w:rPr>
        <w:t xml:space="preserve">  </w:t>
      </w:r>
    </w:p>
    <w:p w:rsidRPr="00EB1CF7" w:rsidR="00BD658C" w:rsidP="00BD658C" w:rsidRDefault="00BD658C" w14:paraId="464CE4F5"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EB1CF7" w:rsidR="00057963" w:rsidP="00E84D1C" w:rsidRDefault="00BD658C" w14:paraId="60B25B39" w14:textId="733731AE">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EB1CF7">
        <w:rPr>
          <w:rFonts w:ascii="Verdana" w:hAnsi="Verdana" w:cs="Arial"/>
          <w:color w:val="000000" w:themeColor="text1"/>
          <w:shd w:val="clear" w:color="auto" w:fill="FFFFFF"/>
        </w:rPr>
        <w:t xml:space="preserve">También le invitamos a consultar las versiones V y VI de 2024 del Boletín de Relatoría de la Subdirección de Gestión Contractual relacionados con las guías de Plan Anual de Adquisiciones y la </w:t>
      </w:r>
      <w:r w:rsidRPr="00EB1CF7" w:rsidR="00481318">
        <w:rPr>
          <w:rFonts w:ascii="Verdana" w:hAnsi="Verdana" w:cs="Arial"/>
          <w:color w:val="000000" w:themeColor="text1"/>
          <w:shd w:val="clear" w:color="auto" w:fill="FFFFFF"/>
        </w:rPr>
        <w:t>m</w:t>
      </w:r>
      <w:r w:rsidRPr="00EB1CF7">
        <w:rPr>
          <w:rFonts w:ascii="Verdana" w:hAnsi="Verdana" w:cs="Arial"/>
          <w:color w:val="000000" w:themeColor="text1"/>
          <w:shd w:val="clear" w:color="auto" w:fill="FFFFFF"/>
        </w:rPr>
        <w:t>odalidad de selección de mínima cuantía , los cuales se pueden descargar en la página web de la Agencia: </w:t>
      </w:r>
      <w:hyperlink w:tgtFrame="_blank" w:tooltip="Dirección URL original: https://www.colombiacompra.gov.co/sala-de-prensa/boletin-digital. Haga clic o pulse si confía en este vínculo." w:history="1" r:id="rId15">
        <w:r w:rsidRPr="00EB1CF7">
          <w:rPr>
            <w:rStyle w:val="Hipervnculo"/>
            <w:rFonts w:ascii="Verdana" w:hAnsi="Verdana" w:cs="Arial"/>
            <w:shd w:val="clear" w:color="auto" w:fill="FFFFFF"/>
          </w:rPr>
          <w:t>https://www.colombiacompra.gov.co/sala-de-prensa/boletin-digital</w:t>
        </w:r>
      </w:hyperlink>
      <w:r w:rsidRPr="00EB1CF7" w:rsidR="00985B04">
        <w:rPr>
          <w:rStyle w:val="normaltextrun"/>
          <w:rFonts w:ascii="Verdana" w:hAnsi="Verdana" w:cs="Arial"/>
          <w:color w:val="FF0000"/>
          <w:shd w:val="clear" w:color="auto" w:fill="FFFFFF"/>
          <w:lang w:val="es-ES"/>
        </w:rPr>
        <w:t xml:space="preserve"> </w:t>
      </w:r>
      <w:r w:rsidRPr="00EB1CF7" w:rsidR="00F91800">
        <w:rPr>
          <w:rStyle w:val="normaltextrun"/>
          <w:rFonts w:ascii="Verdana" w:hAnsi="Verdana" w:cs="Arial"/>
          <w:color w:val="FF0000"/>
          <w:shd w:val="clear" w:color="auto" w:fill="FFFFFF"/>
          <w:lang w:val="es-ES"/>
        </w:rPr>
        <w:t xml:space="preserve"> </w:t>
      </w:r>
      <w:r w:rsidRPr="00EB1CF7" w:rsidR="00D8321A">
        <w:rPr>
          <w:rStyle w:val="normaltextrun"/>
          <w:rFonts w:ascii="Verdana" w:hAnsi="Verdana" w:cs="Arial"/>
          <w:color w:val="FF0000"/>
          <w:shd w:val="clear" w:color="auto" w:fill="FFFFFF"/>
          <w:lang w:val="es-ES"/>
        </w:rPr>
        <w:t xml:space="preserve"> </w:t>
      </w:r>
      <w:r w:rsidRPr="00EB1CF7" w:rsidR="00DC525E">
        <w:rPr>
          <w:rStyle w:val="normaltextrun"/>
          <w:rFonts w:ascii="Verdana" w:hAnsi="Verdana" w:cs="Arial"/>
          <w:color w:val="FF0000"/>
          <w:shd w:val="clear" w:color="auto" w:fill="FFFFFF"/>
          <w:lang w:val="es-ES"/>
        </w:rPr>
        <w:t xml:space="preserve">   </w:t>
      </w:r>
    </w:p>
    <w:p w:rsidRPr="00EB1CF7" w:rsidR="00B22870" w:rsidP="00E84D1C" w:rsidRDefault="00B22870" w14:paraId="6FCEDC2D" w14:textId="77777777">
      <w:pPr>
        <w:widowControl w:val="0"/>
        <w:autoSpaceDE w:val="0"/>
        <w:autoSpaceDN w:val="0"/>
        <w:spacing w:after="0" w:line="276" w:lineRule="auto"/>
        <w:jc w:val="both"/>
        <w:rPr>
          <w:rFonts w:ascii="Verdana" w:hAnsi="Verdana" w:cs="Arial"/>
        </w:rPr>
      </w:pPr>
    </w:p>
    <w:p w:rsidRPr="00EB1CF7" w:rsidR="00A91FB7" w:rsidP="00A91FB7" w:rsidRDefault="00A91FB7" w14:paraId="61A80AFE" w14:textId="51B759DF">
      <w:pPr>
        <w:widowControl w:val="0"/>
        <w:autoSpaceDE w:val="0"/>
        <w:autoSpaceDN w:val="0"/>
        <w:spacing w:after="0" w:line="276" w:lineRule="auto"/>
        <w:jc w:val="both"/>
        <w:rPr>
          <w:rFonts w:ascii="Verdana" w:hAnsi="Verdana" w:cs="Arial"/>
          <w:lang w:val="es-ES_tradnl"/>
        </w:rPr>
      </w:pPr>
      <w:r w:rsidRPr="00EB1CF7">
        <w:rPr>
          <w:rFonts w:ascii="Verdana" w:hAnsi="Verdana" w:cs="Arial"/>
        </w:rPr>
        <w:t>Este concepto tiene el alcance previsto en el artículo 28 del Código de Procedimiento Administrativo y de lo Contencioso Administrativo</w:t>
      </w:r>
      <w:r w:rsidRPr="00EB1CF7" w:rsidR="00172F3A">
        <w:rPr>
          <w:rFonts w:ascii="Verdana" w:hAnsi="Verdana" w:cs="Arial"/>
        </w:rPr>
        <w:t xml:space="preserve"> </w:t>
      </w:r>
      <w:r w:rsidRPr="00EB1CF7" w:rsidR="00172F3A">
        <w:rPr>
          <w:rFonts w:ascii="Verdana" w:hAnsi="Verdana" w:cs="Arial"/>
          <w:lang w:val="es-ES_tradnl"/>
        </w:rPr>
        <w:t>y las expresiones aquí utilizadas con mayúscula inicial deben ser entendidas con el significado que les otorga el artículo 2.2.1.1.1.3.1. del Decreto 1082 de 2015.</w:t>
      </w:r>
    </w:p>
    <w:p w:rsidRPr="00EB1CF7" w:rsidR="00A91FB7" w:rsidP="00A91FB7" w:rsidRDefault="00A91FB7" w14:paraId="00BDA056" w14:textId="05BCB72C">
      <w:pPr>
        <w:widowControl w:val="0"/>
        <w:autoSpaceDE w:val="0"/>
        <w:autoSpaceDN w:val="0"/>
        <w:spacing w:after="0" w:line="276" w:lineRule="auto"/>
        <w:jc w:val="both"/>
        <w:rPr>
          <w:rFonts w:ascii="Verdana" w:hAnsi="Verdana" w:cs="Arial"/>
        </w:rPr>
      </w:pPr>
    </w:p>
    <w:p w:rsidRPr="00EB1CF7" w:rsidR="00CD2E70" w:rsidP="00CD2E70" w:rsidRDefault="00A91FB7" w14:paraId="3CECADB7" w14:textId="00F7F1BF">
      <w:pPr>
        <w:spacing w:after="0" w:line="240" w:lineRule="auto"/>
        <w:rPr>
          <w:rFonts w:ascii="Verdana" w:hAnsi="Verdana" w:cs="Arial"/>
          <w:lang w:eastAsia="es-CO"/>
        </w:rPr>
      </w:pPr>
      <w:r w:rsidRPr="00EB1CF7">
        <w:rPr>
          <w:rFonts w:ascii="Verdana" w:hAnsi="Verdana" w:eastAsia="Times New Roman" w:cs="Arial"/>
          <w:lang w:eastAsia="es-CO"/>
        </w:rPr>
        <w:t>Atentamente,</w:t>
      </w:r>
      <w:r w:rsidRPr="00EB1CF7" w:rsidR="00CD2E70">
        <w:rPr>
          <w:rFonts w:ascii="Verdana" w:hAnsi="Verdana" w:cs="Arial"/>
          <w:lang w:eastAsia="es-CO"/>
        </w:rPr>
        <w:t xml:space="preserve"> </w:t>
      </w:r>
    </w:p>
    <w:p w:rsidRPr="00EB1CF7" w:rsidR="00CD2E70" w:rsidP="00CD2E70" w:rsidRDefault="0045098E" w14:paraId="5ED111D5" w14:textId="5197C87B">
      <w:pPr>
        <w:spacing w:line="276" w:lineRule="auto"/>
        <w:jc w:val="center"/>
        <w:rPr>
          <w:rFonts w:ascii="Verdana" w:hAnsi="Verdana" w:cs="Arial"/>
          <w:color w:val="000000"/>
          <w:lang w:val="es-ES_tradnl" w:eastAsia="es-CO"/>
        </w:rPr>
      </w:pPr>
      <w:r>
        <w:rPr>
          <w:noProof/>
        </w:rPr>
        <w:drawing>
          <wp:inline distT="0" distB="0" distL="0" distR="0" wp14:anchorId="46F2FC96" wp14:editId="334B3ADD">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B1CF7" w:rsidR="00CD2E70" w:rsidTr="003751C7" w14:paraId="2DBC770D" w14:textId="77777777">
        <w:trPr>
          <w:trHeight w:val="315"/>
        </w:trPr>
        <w:tc>
          <w:tcPr>
            <w:tcW w:w="893" w:type="dxa"/>
            <w:vAlign w:val="center"/>
            <w:hideMark/>
          </w:tcPr>
          <w:p w:rsidRPr="00EB1CF7" w:rsidR="00CD2E70" w:rsidP="0044122F" w:rsidRDefault="00CD2E70" w14:paraId="15A5F5BE"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B1CF7" w:rsidR="00254A7A" w:rsidP="00254A7A" w:rsidRDefault="00490FD5" w14:paraId="7CEF9E9C" w14:textId="64EDEF3A">
            <w:pPr>
              <w:contextualSpacing/>
              <w:rPr>
                <w:rStyle w:val="normaltextrun"/>
                <w:rFonts w:ascii="Verdana" w:hAnsi="Verdana"/>
                <w:sz w:val="16"/>
                <w:szCs w:val="16"/>
              </w:rPr>
            </w:pPr>
            <w:r w:rsidRPr="00EB1CF7">
              <w:rPr>
                <w:rStyle w:val="normaltextrun"/>
                <w:rFonts w:ascii="Verdana" w:hAnsi="Verdana"/>
                <w:sz w:val="16"/>
                <w:szCs w:val="16"/>
              </w:rPr>
              <w:t>Tatiana Baquero Iguarán</w:t>
            </w:r>
          </w:p>
          <w:p w:rsidRPr="00EB1CF7" w:rsidR="00CD2E70" w:rsidP="00254A7A" w:rsidRDefault="00254A7A" w14:paraId="6AB49B73" w14:textId="0FA4CDFF">
            <w:pPr>
              <w:contextualSpacing/>
              <w:rPr>
                <w:rFonts w:ascii="Verdana" w:hAnsi="Verdana" w:eastAsia="Arial" w:cs="Arial"/>
                <w:sz w:val="16"/>
                <w:szCs w:val="16"/>
              </w:rPr>
            </w:pPr>
            <w:r w:rsidRPr="00EB1CF7">
              <w:rPr>
                <w:rStyle w:val="normaltextrun"/>
                <w:rFonts w:ascii="Verdana" w:hAnsi="Verdana"/>
                <w:sz w:val="16"/>
                <w:szCs w:val="16"/>
              </w:rPr>
              <w:t>Contratista de la Subdirección de Gestión Contractual</w:t>
            </w:r>
          </w:p>
        </w:tc>
      </w:tr>
      <w:tr w:rsidRPr="00EB1CF7" w:rsidR="00CD2E70" w:rsidTr="003751C7" w14:paraId="54ECFA9D" w14:textId="77777777">
        <w:trPr>
          <w:trHeight w:val="330"/>
        </w:trPr>
        <w:tc>
          <w:tcPr>
            <w:tcW w:w="893" w:type="dxa"/>
            <w:vAlign w:val="center"/>
            <w:hideMark/>
          </w:tcPr>
          <w:p w:rsidRPr="00EB1CF7" w:rsidR="00CD2E70" w:rsidP="0044122F" w:rsidRDefault="00CD2E70" w14:paraId="322FF342"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B1CF7" w:rsidR="00254A7A" w:rsidP="00254A7A" w:rsidRDefault="00254A7A" w14:paraId="01F942CE" w14:textId="77777777">
            <w:pPr>
              <w:pStyle w:val="paragraph"/>
              <w:spacing w:after="0"/>
              <w:contextualSpacing/>
              <w:textAlignment w:val="baseline"/>
              <w:rPr>
                <w:rStyle w:val="normaltextrun"/>
                <w:rFonts w:ascii="Verdana" w:hAnsi="Verdana" w:cs="Arial"/>
                <w:sz w:val="16"/>
                <w:szCs w:val="16"/>
                <w:lang w:val="es-ES"/>
              </w:rPr>
            </w:pPr>
            <w:r w:rsidRPr="00EB1CF7">
              <w:rPr>
                <w:rStyle w:val="normaltextrun"/>
                <w:rFonts w:ascii="Verdana" w:hAnsi="Verdana" w:cs="Arial"/>
                <w:sz w:val="16"/>
                <w:szCs w:val="16"/>
                <w:lang w:val="es-ES"/>
              </w:rPr>
              <w:t>Alejandro Sarmiento Cantillo</w:t>
            </w:r>
          </w:p>
          <w:p w:rsidRPr="00EB1CF7" w:rsidR="00CD2E70" w:rsidP="00254A7A" w:rsidRDefault="00254A7A" w14:paraId="6B05B490" w14:textId="5284924E">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Pr="00EB1CF7" w:rsidR="00CD2E70">
              <w:rPr>
                <w:rStyle w:val="eop"/>
                <w:rFonts w:ascii="Verdana" w:hAnsi="Verdana" w:cs="Arial"/>
                <w:sz w:val="16"/>
                <w:szCs w:val="16"/>
              </w:rPr>
              <w:t> </w:t>
            </w:r>
          </w:p>
        </w:tc>
      </w:tr>
      <w:tr w:rsidRPr="00EB1CF7" w:rsidR="00CD2E70" w:rsidTr="003751C7" w14:paraId="3D2C2D00" w14:textId="77777777">
        <w:trPr>
          <w:trHeight w:val="300"/>
        </w:trPr>
        <w:tc>
          <w:tcPr>
            <w:tcW w:w="893" w:type="dxa"/>
            <w:vAlign w:val="center"/>
          </w:tcPr>
          <w:p w:rsidRPr="00EB1CF7" w:rsidR="00CD2E70" w:rsidP="0044122F" w:rsidRDefault="00CD2E70" w14:paraId="22572E15"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B1CF7" w:rsidR="00CD2E70" w:rsidP="0044122F" w:rsidRDefault="00CD2E70" w14:paraId="058F9554"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val="pt-BR" w:eastAsia="es-ES"/>
              </w:rPr>
              <w:t>Carolina Quintero Gacharná</w:t>
            </w:r>
          </w:p>
          <w:p w:rsidRPr="00EB1CF7" w:rsidR="00CD2E70" w:rsidP="0044122F" w:rsidRDefault="00CD2E70" w14:paraId="706065BE"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eastAsia="es-ES"/>
              </w:rPr>
              <w:t>Subdirectora</w:t>
            </w:r>
            <w:r w:rsidRPr="00EB1CF7">
              <w:rPr>
                <w:rFonts w:ascii="Verdana" w:hAnsi="Verdana" w:eastAsia="Calibri" w:cs="Arial"/>
                <w:sz w:val="16"/>
                <w:szCs w:val="16"/>
                <w:lang w:val="pt-BR" w:eastAsia="es-ES"/>
              </w:rPr>
              <w:t xml:space="preserve"> de Gestión Contractual ANCP – CCE</w:t>
            </w:r>
          </w:p>
        </w:tc>
      </w:tr>
    </w:tbl>
    <w:p w:rsidRPr="00EB1CF7" w:rsidR="5D8505AD" w:rsidP="00BE73FA" w:rsidRDefault="5D8505AD" w14:paraId="0083C991" w14:textId="62C71FF5">
      <w:pPr>
        <w:spacing w:after="0" w:line="240" w:lineRule="auto"/>
        <w:rPr>
          <w:rFonts w:ascii="Verdana" w:hAnsi="Verdana" w:eastAsia="Times New Roman" w:cs="Arial"/>
          <w:sz w:val="24"/>
          <w:szCs w:val="24"/>
          <w:lang w:eastAsia="es-ES"/>
        </w:rPr>
      </w:pPr>
    </w:p>
    <w:sectPr w:rsidRPr="00EB1CF7" w:rsidR="5D8505AD" w:rsidSect="00C44B4C">
      <w:headerReference w:type="default" r:id="rId17"/>
      <w:footerReference w:type="default" r:id="rId18"/>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C4BF1" w:rsidP="00B30448" w:rsidRDefault="005C4BF1" w14:paraId="314EF9F9" w14:textId="77777777">
      <w:pPr>
        <w:spacing w:after="0" w:line="240" w:lineRule="auto"/>
      </w:pPr>
      <w:r>
        <w:separator/>
      </w:r>
    </w:p>
  </w:endnote>
  <w:endnote w:type="continuationSeparator" w:id="0">
    <w:p w:rsidR="005C4BF1" w:rsidP="00B30448" w:rsidRDefault="005C4BF1" w14:paraId="35D20CEB" w14:textId="77777777">
      <w:pPr>
        <w:spacing w:after="0" w:line="240" w:lineRule="auto"/>
      </w:pPr>
      <w:r>
        <w:continuationSeparator/>
      </w:r>
    </w:p>
  </w:endnote>
  <w:endnote w:type="continuationNotice" w:id="1">
    <w:p w:rsidR="005C4BF1" w:rsidRDefault="005C4BF1" w14:paraId="652C35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C4BF1" w:rsidP="00B30448" w:rsidRDefault="005C4BF1" w14:paraId="111972D0" w14:textId="77777777">
      <w:pPr>
        <w:spacing w:after="0" w:line="240" w:lineRule="auto"/>
      </w:pPr>
      <w:r>
        <w:separator/>
      </w:r>
    </w:p>
  </w:footnote>
  <w:footnote w:type="continuationSeparator" w:id="0">
    <w:p w:rsidR="005C4BF1" w:rsidP="00B30448" w:rsidRDefault="005C4BF1" w14:paraId="408D7E32" w14:textId="77777777">
      <w:pPr>
        <w:spacing w:after="0" w:line="240" w:lineRule="auto"/>
      </w:pPr>
      <w:r>
        <w:continuationSeparator/>
      </w:r>
    </w:p>
  </w:footnote>
  <w:footnote w:type="continuationNotice" w:id="1">
    <w:p w:rsidR="005C4BF1" w:rsidRDefault="005C4BF1" w14:paraId="1AFB5C6E" w14:textId="77777777">
      <w:pPr>
        <w:spacing w:after="0" w:line="240" w:lineRule="auto"/>
      </w:pPr>
    </w:p>
  </w:footnote>
  <w:footnote w:id="2">
    <w:p w:rsidRPr="00DA0592" w:rsidR="005B3CC1" w:rsidP="00627643" w:rsidRDefault="00D80631" w14:paraId="01F75163" w14:textId="77777777">
      <w:pPr>
        <w:pStyle w:val="Textonotapie"/>
        <w:ind w:firstLine="426"/>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w:t>
      </w:r>
      <w:r w:rsidRPr="00DA0592" w:rsidR="005B3CC1">
        <w:rPr>
          <w:rFonts w:ascii="Verdana" w:hAnsi="Verdana"/>
          <w:sz w:val="13"/>
          <w:szCs w:val="13"/>
          <w:lang w:val="es-ES"/>
        </w:rPr>
        <w:t>“</w:t>
      </w:r>
      <w:r w:rsidRPr="00DA0592" w:rsidR="005B3CC1">
        <w:rPr>
          <w:rFonts w:ascii="Verdana" w:hAnsi="Verdana"/>
          <w:sz w:val="13"/>
          <w:szCs w:val="13"/>
          <w:lang w:val="es-CO"/>
        </w:rPr>
        <w:t>Para poder participar en los procesos de selección de los contratos de obra, la capacidad residual del proponente o K de contratación deberá ser igual o superior al que la entidad haya establecido para el efecto en los pliegos de condiciones</w:t>
      </w:r>
    </w:p>
    <w:p w:rsidRPr="00DA0592" w:rsidR="00D80631" w:rsidP="00627643" w:rsidRDefault="005B3CC1" w14:paraId="5A7A6D3B" w14:textId="3A13F20B">
      <w:pPr>
        <w:pStyle w:val="Textonotapie"/>
        <w:jc w:val="both"/>
        <w:rPr>
          <w:rFonts w:ascii="Verdana" w:hAnsi="Verdana"/>
          <w:sz w:val="13"/>
          <w:szCs w:val="13"/>
          <w:lang w:val="es-CO"/>
        </w:rPr>
      </w:pPr>
      <w:r w:rsidRPr="00DA0592">
        <w:rPr>
          <w:rFonts w:ascii="Verdana" w:hAnsi="Verdana"/>
          <w:sz w:val="13"/>
          <w:szCs w:val="13"/>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rsidRPr="00DA0592" w:rsidR="007E577E" w:rsidP="00627643" w:rsidRDefault="007E577E" w14:paraId="793A1AFC" w14:textId="48D5F7BF">
      <w:pPr>
        <w:ind w:firstLine="567"/>
        <w:jc w:val="both"/>
        <w:rPr>
          <w:rFonts w:ascii="Verdana" w:hAnsi="Verdana"/>
          <w:sz w:val="13"/>
          <w:szCs w:val="13"/>
          <w:lang w:val="es-MX"/>
        </w:rPr>
      </w:pPr>
      <w:r w:rsidRPr="00DA0592">
        <w:rPr>
          <w:rStyle w:val="Refdenotaalpie"/>
          <w:rFonts w:ascii="Verdana" w:hAnsi="Verdana"/>
          <w:sz w:val="13"/>
          <w:szCs w:val="13"/>
        </w:rPr>
        <w:footnoteRef/>
      </w:r>
      <w:r w:rsidRPr="00DA0592">
        <w:rPr>
          <w:rFonts w:ascii="Verdana" w:hAnsi="Verdana"/>
          <w:sz w:val="13"/>
          <w:szCs w:val="13"/>
        </w:rPr>
        <w:t xml:space="preserve"> </w:t>
      </w:r>
      <w:r w:rsidRPr="00DA0592" w:rsidR="002F03C8">
        <w:rPr>
          <w:rFonts w:ascii="Verdana" w:hAnsi="Verdana"/>
          <w:sz w:val="13"/>
          <w:szCs w:val="13"/>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rsidRPr="00DA0592" w:rsidR="002F03C8" w:rsidP="00627643" w:rsidRDefault="002F03C8" w14:paraId="13E34AD0" w14:textId="7A349D72">
      <w:pPr>
        <w:pStyle w:val="Textonotapie"/>
        <w:ind w:firstLine="567"/>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Según este parágrafo</w:t>
      </w:r>
      <w:r w:rsidRPr="00DA0592" w:rsidR="007B404F">
        <w:rPr>
          <w:rFonts w:ascii="Verdana" w:hAnsi="Verdana" w:cs="Arial"/>
          <w:color w:val="000000" w:themeColor="text1"/>
          <w:sz w:val="13"/>
          <w:szCs w:val="13"/>
          <w:lang w:val="es-ES_tradnl"/>
        </w:rPr>
        <w:t xml:space="preserve"> </w:t>
      </w:r>
      <w:r w:rsidRPr="00DA0592" w:rsidR="007B404F">
        <w:rPr>
          <w:rFonts w:ascii="Verdana" w:hAnsi="Verdana"/>
          <w:sz w:val="13"/>
          <w:szCs w:val="13"/>
          <w:lang w:val="es-ES_tradnl"/>
        </w:rPr>
        <w:t>las certificaciones de sistemas de gestión de calidad no serán objeto de calificación, ni podrán establecerse como documento habilitante para participar en licitaciones o concursos.</w:t>
      </w:r>
      <w:r w:rsidRPr="00DA0592">
        <w:rPr>
          <w:rFonts w:ascii="Verdana" w:hAnsi="Verdana"/>
          <w:sz w:val="13"/>
          <w:szCs w:val="13"/>
        </w:rPr>
        <w:t xml:space="preserve"> </w:t>
      </w:r>
    </w:p>
  </w:footnote>
  <w:footnote w:id="5">
    <w:p w:rsidRPr="00DA0592" w:rsidR="00627643" w:rsidP="00627643" w:rsidRDefault="00627643" w14:paraId="0CB059CE" w14:textId="77777777">
      <w:pPr>
        <w:pStyle w:val="Textonotapie"/>
        <w:ind w:firstLine="567"/>
        <w:jc w:val="both"/>
        <w:rPr>
          <w:rFonts w:ascii="Verdana" w:hAnsi="Verdana"/>
          <w:sz w:val="13"/>
          <w:szCs w:val="13"/>
        </w:rPr>
      </w:pPr>
      <w:r w:rsidRPr="00DA0592">
        <w:rPr>
          <w:rStyle w:val="Refdenotaalpie"/>
          <w:rFonts w:ascii="Verdana" w:hAnsi="Verdana"/>
          <w:sz w:val="13"/>
          <w:szCs w:val="13"/>
        </w:rPr>
        <w:footnoteRef/>
      </w:r>
      <w:r w:rsidRPr="00DA0592">
        <w:rPr>
          <w:rFonts w:ascii="Verdana" w:hAnsi="Verdana"/>
          <w:sz w:val="13"/>
          <w:szCs w:val="13"/>
        </w:rPr>
        <w:t xml:space="preserve"> Artículo 2.2.1.1.1.5.3. Requisitos habilitantes contenidos en el RUP. Las cámaras de comercio, con base en la información a la que hace referencia el artículo anterior, deben verificar y certificar los siguientes requisitos habilitantes:</w:t>
      </w:r>
    </w:p>
    <w:p w:rsidRPr="00DA0592" w:rsidR="00627643" w:rsidP="00177E95" w:rsidRDefault="00627643" w14:paraId="6471F805" w14:textId="77777777">
      <w:pPr>
        <w:pStyle w:val="Textonotapie"/>
        <w:ind w:firstLine="567"/>
        <w:jc w:val="both"/>
        <w:rPr>
          <w:rFonts w:ascii="Verdana" w:hAnsi="Verdana"/>
          <w:sz w:val="13"/>
          <w:szCs w:val="13"/>
        </w:rPr>
      </w:pPr>
      <w:r w:rsidRPr="00DA0592">
        <w:rPr>
          <w:rFonts w:ascii="Verdana" w:hAnsi="Verdana"/>
          <w:sz w:val="13"/>
          <w:szCs w:val="13"/>
        </w:rPr>
        <w:t>1. Experiencia – Los contratos celebrados por el interesado para cada uno de los bienes, obras y servicios que ofrecerá a las Entidades Estatales, identificados con el Clasificador de Bienes y Servicios en el tercer nivel y su valor expresado en smmlv.</w:t>
      </w:r>
    </w:p>
    <w:p w:rsidRPr="00DA0592" w:rsidR="00627643" w:rsidP="00627643" w:rsidRDefault="00627643" w14:paraId="0344BCE6" w14:textId="77777777">
      <w:pPr>
        <w:pStyle w:val="Textonotapie"/>
        <w:jc w:val="both"/>
        <w:rPr>
          <w:rFonts w:ascii="Verdana" w:hAnsi="Verdana"/>
          <w:sz w:val="13"/>
          <w:szCs w:val="13"/>
        </w:rPr>
      </w:pPr>
      <w:r w:rsidRPr="00DA0592">
        <w:rPr>
          <w:rFonts w:ascii="Verdana" w:hAnsi="Verdana"/>
          <w:sz w:val="13"/>
          <w:szCs w:val="13"/>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rsidRPr="00DA0592" w:rsidR="00627643" w:rsidP="00177E95" w:rsidRDefault="00627643" w14:paraId="7F0F784D" w14:textId="77777777">
      <w:pPr>
        <w:pStyle w:val="Textonotapie"/>
        <w:ind w:firstLine="709"/>
        <w:jc w:val="both"/>
        <w:rPr>
          <w:rFonts w:ascii="Verdana" w:hAnsi="Verdana"/>
          <w:sz w:val="13"/>
          <w:szCs w:val="13"/>
        </w:rPr>
      </w:pPr>
      <w:r w:rsidRPr="00DA0592">
        <w:rPr>
          <w:rFonts w:ascii="Verdana" w:hAnsi="Verdana"/>
          <w:sz w:val="13"/>
          <w:szCs w:val="13"/>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rsidRPr="00DA0592" w:rsidR="00627643" w:rsidP="00177E95" w:rsidRDefault="00627643" w14:paraId="0F871D63" w14:textId="77777777">
      <w:pPr>
        <w:pStyle w:val="Textonotapie"/>
        <w:ind w:firstLine="567"/>
        <w:jc w:val="both"/>
        <w:rPr>
          <w:rFonts w:ascii="Verdana" w:hAnsi="Verdana"/>
          <w:sz w:val="13"/>
          <w:szCs w:val="13"/>
        </w:rPr>
      </w:pPr>
      <w:r w:rsidRPr="00DA0592">
        <w:rPr>
          <w:rFonts w:ascii="Verdana" w:hAnsi="Verdana"/>
          <w:sz w:val="13"/>
          <w:szCs w:val="13"/>
        </w:rPr>
        <w:t>3. Capacidad Financiera – los siguientes indicadores miden la fortaleza financiera del interesado:</w:t>
      </w:r>
    </w:p>
    <w:p w:rsidRPr="00DA0592" w:rsidR="00627643" w:rsidP="00177E95" w:rsidRDefault="00627643" w14:paraId="4D7F094D" w14:textId="77777777">
      <w:pPr>
        <w:pStyle w:val="Textonotapie"/>
        <w:ind w:firstLine="567"/>
        <w:jc w:val="both"/>
        <w:rPr>
          <w:rFonts w:ascii="Verdana" w:hAnsi="Verdana"/>
          <w:sz w:val="13"/>
          <w:szCs w:val="13"/>
        </w:rPr>
      </w:pPr>
      <w:r w:rsidRPr="00DA0592">
        <w:rPr>
          <w:rFonts w:ascii="Verdana" w:hAnsi="Verdana"/>
          <w:sz w:val="13"/>
          <w:szCs w:val="13"/>
        </w:rPr>
        <w:t>3.1. Índice de liquidez: activo corriente dividido por el pasivo corriente.</w:t>
      </w:r>
    </w:p>
    <w:p w:rsidRPr="00DA0592" w:rsidR="00627643" w:rsidP="00177E95" w:rsidRDefault="00627643" w14:paraId="1D949A81" w14:textId="77777777">
      <w:pPr>
        <w:pStyle w:val="Textonotapie"/>
        <w:ind w:firstLine="567"/>
        <w:jc w:val="both"/>
        <w:rPr>
          <w:rFonts w:ascii="Verdana" w:hAnsi="Verdana"/>
          <w:sz w:val="13"/>
          <w:szCs w:val="13"/>
        </w:rPr>
      </w:pPr>
      <w:r w:rsidRPr="00DA0592">
        <w:rPr>
          <w:rFonts w:ascii="Verdana" w:hAnsi="Verdana"/>
          <w:sz w:val="13"/>
          <w:szCs w:val="13"/>
        </w:rPr>
        <w:t>3.2. Índice de endeudamiento: pasivo total dividido por el activo total.</w:t>
      </w:r>
    </w:p>
    <w:p w:rsidRPr="00DA0592" w:rsidR="00627643" w:rsidP="00177E95" w:rsidRDefault="00627643" w14:paraId="68F7FDEF" w14:textId="77777777">
      <w:pPr>
        <w:pStyle w:val="Textonotapie"/>
        <w:ind w:firstLine="567"/>
        <w:jc w:val="both"/>
        <w:rPr>
          <w:rFonts w:ascii="Verdana" w:hAnsi="Verdana"/>
          <w:sz w:val="13"/>
          <w:szCs w:val="13"/>
        </w:rPr>
      </w:pPr>
      <w:r w:rsidRPr="00DA0592">
        <w:rPr>
          <w:rFonts w:ascii="Verdana" w:hAnsi="Verdana"/>
          <w:sz w:val="13"/>
          <w:szCs w:val="13"/>
        </w:rPr>
        <w:t>3.3. Razón de cobertura de intereses: utilidad operacional dividida por los gastos de intereses.</w:t>
      </w:r>
    </w:p>
    <w:p w:rsidRPr="00DA0592" w:rsidR="00627643" w:rsidP="00177E95" w:rsidRDefault="00627643" w14:paraId="0CD5A713" w14:textId="77777777">
      <w:pPr>
        <w:pStyle w:val="Textonotapie"/>
        <w:ind w:firstLine="567"/>
        <w:jc w:val="both"/>
        <w:rPr>
          <w:rFonts w:ascii="Verdana" w:hAnsi="Verdana"/>
          <w:sz w:val="13"/>
          <w:szCs w:val="13"/>
        </w:rPr>
      </w:pPr>
      <w:r w:rsidRPr="00DA0592">
        <w:rPr>
          <w:rFonts w:ascii="Verdana" w:hAnsi="Verdana"/>
          <w:sz w:val="13"/>
          <w:szCs w:val="13"/>
        </w:rPr>
        <w:t>4. Capacidad Organizacional – los siguientes indicadores miden el rendimiento de las inversiones y la eficiencia en el uso de activos del interesado:</w:t>
      </w:r>
    </w:p>
    <w:p w:rsidRPr="00DA0592" w:rsidR="00627643" w:rsidP="00177E95" w:rsidRDefault="00627643" w14:paraId="7B7730EE" w14:textId="77777777">
      <w:pPr>
        <w:pStyle w:val="Textonotapie"/>
        <w:ind w:firstLine="567"/>
        <w:jc w:val="both"/>
        <w:rPr>
          <w:rFonts w:ascii="Verdana" w:hAnsi="Verdana"/>
          <w:sz w:val="13"/>
          <w:szCs w:val="13"/>
        </w:rPr>
      </w:pPr>
      <w:r w:rsidRPr="00DA0592">
        <w:rPr>
          <w:rFonts w:ascii="Verdana" w:hAnsi="Verdana"/>
          <w:sz w:val="13"/>
          <w:szCs w:val="13"/>
        </w:rPr>
        <w:t>4.1. Rentabilidad del patrimonio: utilidad operacional dividida por el patrimonio.</w:t>
      </w:r>
    </w:p>
    <w:p w:rsidRPr="00DA0592" w:rsidR="00627643" w:rsidP="00177E95" w:rsidRDefault="00627643" w14:paraId="277B8DB5" w14:textId="269D2109">
      <w:pPr>
        <w:pStyle w:val="Textonotapie"/>
        <w:ind w:firstLine="567"/>
        <w:jc w:val="both"/>
        <w:rPr>
          <w:rFonts w:ascii="Verdana" w:hAnsi="Verdana"/>
          <w:sz w:val="13"/>
          <w:szCs w:val="13"/>
          <w:lang w:val="es-CO"/>
        </w:rPr>
      </w:pPr>
      <w:r w:rsidRPr="00DA0592">
        <w:rPr>
          <w:rFonts w:ascii="Verdana" w:hAnsi="Verdana"/>
          <w:sz w:val="13"/>
          <w:szCs w:val="13"/>
        </w:rPr>
        <w:t>4.2. Rentabilidad del activo: utilidad operacional dividida por el activo total”.</w:t>
      </w:r>
    </w:p>
  </w:footnote>
  <w:footnote w:id="6">
    <w:p w:rsidRPr="00DA0592" w:rsidR="00DD1941" w:rsidP="00DD1941" w:rsidRDefault="00DD1941" w14:paraId="5B5682B4" w14:textId="0D8CA6C2">
      <w:pPr>
        <w:pStyle w:val="Textonotapie"/>
        <w:ind w:firstLine="567"/>
        <w:jc w:val="both"/>
        <w:rPr>
          <w:rFonts w:ascii="Verdana" w:hAnsi="Verdana"/>
          <w:sz w:val="13"/>
          <w:szCs w:val="13"/>
          <w:lang w:val="es-CO"/>
        </w:rPr>
      </w:pPr>
      <w:r w:rsidRPr="00DA0592">
        <w:rPr>
          <w:rStyle w:val="Refdenotaalpie"/>
          <w:rFonts w:ascii="Verdana" w:hAnsi="Verdana"/>
          <w:sz w:val="13"/>
          <w:szCs w:val="13"/>
        </w:rPr>
        <w:footnoteRef/>
      </w:r>
      <w:r w:rsidRPr="00DA0592">
        <w:rPr>
          <w:rFonts w:ascii="Verdana" w:hAnsi="Verdana"/>
          <w:sz w:val="13"/>
          <w:szCs w:val="13"/>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06F59" w:rsidP="00006F59" w:rsidRDefault="00006F59" w14:paraId="5F149BFF"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29EB49FC">
    <w:pPr>
      <w:tabs>
        <w:tab w:val="left" w:pos="6217"/>
      </w:tabs>
      <w:spacing w:after="0"/>
      <w:rPr>
        <w:rFonts w:ascii="Verdana" w:hAnsi="Verdana"/>
        <w:b/>
        <w:bCs/>
        <w:sz w:val="24"/>
        <w:szCs w:val="24"/>
      </w:rPr>
    </w:pPr>
    <w:r w:rsidRPr="00A211EE">
      <w:rPr>
        <w:rFonts w:ascii="Verdana" w:hAnsi="Verdana"/>
        <w:b/>
        <w:bCs/>
        <w:sz w:val="24"/>
        <w:szCs w:val="24"/>
      </w:rPr>
      <w:t>FORMATO PQRSD</w:t>
    </w:r>
  </w:p>
  <w:p w:rsidRPr="00006F59" w:rsidR="00B30448" w:rsidP="00006F59" w:rsidRDefault="00B30448" w14:paraId="68E0C024" w14:textId="62811F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1330140246">
    <w:abstractNumId w:val="0"/>
  </w:num>
  <w:num w:numId="2" w16cid:durableId="1492209491">
    <w:abstractNumId w:val="2"/>
  </w:num>
  <w:num w:numId="3" w16cid:durableId="679089576">
    <w:abstractNumId w:val="3"/>
  </w:num>
  <w:num w:numId="4" w16cid:durableId="893472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67DD"/>
    <w:rsid w:val="00030B3D"/>
    <w:rsid w:val="00030BFB"/>
    <w:rsid w:val="00031EAF"/>
    <w:rsid w:val="00033390"/>
    <w:rsid w:val="000361EA"/>
    <w:rsid w:val="000369C0"/>
    <w:rsid w:val="00037A8B"/>
    <w:rsid w:val="000408AD"/>
    <w:rsid w:val="00041469"/>
    <w:rsid w:val="00042DD7"/>
    <w:rsid w:val="000442CC"/>
    <w:rsid w:val="00044B24"/>
    <w:rsid w:val="00050C95"/>
    <w:rsid w:val="00050CAD"/>
    <w:rsid w:val="000526A8"/>
    <w:rsid w:val="0005420B"/>
    <w:rsid w:val="0005620B"/>
    <w:rsid w:val="00057392"/>
    <w:rsid w:val="000577D3"/>
    <w:rsid w:val="00057963"/>
    <w:rsid w:val="000579AB"/>
    <w:rsid w:val="000622B9"/>
    <w:rsid w:val="00064721"/>
    <w:rsid w:val="00065C6D"/>
    <w:rsid w:val="00066646"/>
    <w:rsid w:val="00066C7A"/>
    <w:rsid w:val="000716AB"/>
    <w:rsid w:val="00071AB8"/>
    <w:rsid w:val="0007243A"/>
    <w:rsid w:val="000762C0"/>
    <w:rsid w:val="00076C2B"/>
    <w:rsid w:val="00076F81"/>
    <w:rsid w:val="00087073"/>
    <w:rsid w:val="000878E7"/>
    <w:rsid w:val="00087C01"/>
    <w:rsid w:val="000903E4"/>
    <w:rsid w:val="00091D73"/>
    <w:rsid w:val="000933BC"/>
    <w:rsid w:val="00093544"/>
    <w:rsid w:val="00094663"/>
    <w:rsid w:val="00095410"/>
    <w:rsid w:val="00096637"/>
    <w:rsid w:val="000A1F38"/>
    <w:rsid w:val="000A2030"/>
    <w:rsid w:val="000A413A"/>
    <w:rsid w:val="000B1FF7"/>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AD8"/>
    <w:rsid w:val="000F2F4C"/>
    <w:rsid w:val="000F38D9"/>
    <w:rsid w:val="000F414C"/>
    <w:rsid w:val="000F64FC"/>
    <w:rsid w:val="000F718E"/>
    <w:rsid w:val="00100207"/>
    <w:rsid w:val="001010D3"/>
    <w:rsid w:val="00101C11"/>
    <w:rsid w:val="00102F4F"/>
    <w:rsid w:val="001034DD"/>
    <w:rsid w:val="0011037E"/>
    <w:rsid w:val="00110F73"/>
    <w:rsid w:val="00111E35"/>
    <w:rsid w:val="001128B4"/>
    <w:rsid w:val="00112EBD"/>
    <w:rsid w:val="001132C2"/>
    <w:rsid w:val="00113AF2"/>
    <w:rsid w:val="00116616"/>
    <w:rsid w:val="00116FC5"/>
    <w:rsid w:val="00117BBD"/>
    <w:rsid w:val="001248AB"/>
    <w:rsid w:val="00124B2E"/>
    <w:rsid w:val="00125D81"/>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5EF1"/>
    <w:rsid w:val="00156192"/>
    <w:rsid w:val="00156E57"/>
    <w:rsid w:val="0015710D"/>
    <w:rsid w:val="00157DEB"/>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667E"/>
    <w:rsid w:val="00176AE8"/>
    <w:rsid w:val="00177E95"/>
    <w:rsid w:val="001811FC"/>
    <w:rsid w:val="00183F50"/>
    <w:rsid w:val="00186037"/>
    <w:rsid w:val="00186D14"/>
    <w:rsid w:val="001918F1"/>
    <w:rsid w:val="0019196E"/>
    <w:rsid w:val="00191FF5"/>
    <w:rsid w:val="001926D7"/>
    <w:rsid w:val="00192CCE"/>
    <w:rsid w:val="0019385B"/>
    <w:rsid w:val="00193F1C"/>
    <w:rsid w:val="00197205"/>
    <w:rsid w:val="001A2D8F"/>
    <w:rsid w:val="001A3D89"/>
    <w:rsid w:val="001A54DA"/>
    <w:rsid w:val="001A6861"/>
    <w:rsid w:val="001B143B"/>
    <w:rsid w:val="001B1777"/>
    <w:rsid w:val="001B19C5"/>
    <w:rsid w:val="001B1B6D"/>
    <w:rsid w:val="001B1C93"/>
    <w:rsid w:val="001B21CA"/>
    <w:rsid w:val="001B5A00"/>
    <w:rsid w:val="001B5F59"/>
    <w:rsid w:val="001B63A7"/>
    <w:rsid w:val="001C1074"/>
    <w:rsid w:val="001C25F5"/>
    <w:rsid w:val="001C4249"/>
    <w:rsid w:val="001C6573"/>
    <w:rsid w:val="001C7D03"/>
    <w:rsid w:val="001D0D32"/>
    <w:rsid w:val="001D17C9"/>
    <w:rsid w:val="001D1AB9"/>
    <w:rsid w:val="001D3795"/>
    <w:rsid w:val="001D4006"/>
    <w:rsid w:val="001D54BD"/>
    <w:rsid w:val="001D626E"/>
    <w:rsid w:val="001D733B"/>
    <w:rsid w:val="001E0902"/>
    <w:rsid w:val="001E1801"/>
    <w:rsid w:val="001E3A17"/>
    <w:rsid w:val="001E3FCB"/>
    <w:rsid w:val="001E6BCB"/>
    <w:rsid w:val="001E7FBC"/>
    <w:rsid w:val="001F0822"/>
    <w:rsid w:val="001F15F6"/>
    <w:rsid w:val="001F179C"/>
    <w:rsid w:val="001F2649"/>
    <w:rsid w:val="001F3496"/>
    <w:rsid w:val="001F41CA"/>
    <w:rsid w:val="001F4355"/>
    <w:rsid w:val="001F61DE"/>
    <w:rsid w:val="002000AA"/>
    <w:rsid w:val="0020302A"/>
    <w:rsid w:val="002032A0"/>
    <w:rsid w:val="00203532"/>
    <w:rsid w:val="00204106"/>
    <w:rsid w:val="00204109"/>
    <w:rsid w:val="002059E3"/>
    <w:rsid w:val="00212390"/>
    <w:rsid w:val="00212897"/>
    <w:rsid w:val="0021386A"/>
    <w:rsid w:val="00215516"/>
    <w:rsid w:val="00216EFA"/>
    <w:rsid w:val="0021798E"/>
    <w:rsid w:val="0022180C"/>
    <w:rsid w:val="002225AB"/>
    <w:rsid w:val="002250D1"/>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503"/>
    <w:rsid w:val="00252ED7"/>
    <w:rsid w:val="00253B3E"/>
    <w:rsid w:val="00254A7A"/>
    <w:rsid w:val="00254EA4"/>
    <w:rsid w:val="0025575F"/>
    <w:rsid w:val="002571E3"/>
    <w:rsid w:val="00260496"/>
    <w:rsid w:val="00260542"/>
    <w:rsid w:val="00264C7C"/>
    <w:rsid w:val="00270443"/>
    <w:rsid w:val="00270EE2"/>
    <w:rsid w:val="00272A7B"/>
    <w:rsid w:val="00273527"/>
    <w:rsid w:val="002747EF"/>
    <w:rsid w:val="00274B06"/>
    <w:rsid w:val="002769AE"/>
    <w:rsid w:val="00285237"/>
    <w:rsid w:val="00285E3F"/>
    <w:rsid w:val="00286BFE"/>
    <w:rsid w:val="00286C81"/>
    <w:rsid w:val="0028709F"/>
    <w:rsid w:val="00290119"/>
    <w:rsid w:val="002908F8"/>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C103C"/>
    <w:rsid w:val="002C12C7"/>
    <w:rsid w:val="002C30F0"/>
    <w:rsid w:val="002C401A"/>
    <w:rsid w:val="002C6D15"/>
    <w:rsid w:val="002C7E5B"/>
    <w:rsid w:val="002D0907"/>
    <w:rsid w:val="002D0E9E"/>
    <w:rsid w:val="002D2D68"/>
    <w:rsid w:val="002D38D9"/>
    <w:rsid w:val="002D7417"/>
    <w:rsid w:val="002E26E8"/>
    <w:rsid w:val="002E3DD8"/>
    <w:rsid w:val="002E5A01"/>
    <w:rsid w:val="002E717C"/>
    <w:rsid w:val="002E7A61"/>
    <w:rsid w:val="002F0106"/>
    <w:rsid w:val="002F03C8"/>
    <w:rsid w:val="002F188D"/>
    <w:rsid w:val="002F18A5"/>
    <w:rsid w:val="002F317F"/>
    <w:rsid w:val="002F7AA9"/>
    <w:rsid w:val="00301C0D"/>
    <w:rsid w:val="00311B66"/>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ACC"/>
    <w:rsid w:val="00345F01"/>
    <w:rsid w:val="0034654F"/>
    <w:rsid w:val="00347685"/>
    <w:rsid w:val="00351E21"/>
    <w:rsid w:val="00352327"/>
    <w:rsid w:val="00354405"/>
    <w:rsid w:val="0035635F"/>
    <w:rsid w:val="003607EE"/>
    <w:rsid w:val="003617AE"/>
    <w:rsid w:val="003630F7"/>
    <w:rsid w:val="003651AC"/>
    <w:rsid w:val="00366120"/>
    <w:rsid w:val="003661FF"/>
    <w:rsid w:val="00366A0C"/>
    <w:rsid w:val="00367462"/>
    <w:rsid w:val="00370507"/>
    <w:rsid w:val="00372A01"/>
    <w:rsid w:val="003733DF"/>
    <w:rsid w:val="003751C7"/>
    <w:rsid w:val="00375C84"/>
    <w:rsid w:val="00376524"/>
    <w:rsid w:val="003819F5"/>
    <w:rsid w:val="00381D47"/>
    <w:rsid w:val="003835F0"/>
    <w:rsid w:val="003853ED"/>
    <w:rsid w:val="0039082A"/>
    <w:rsid w:val="0039101F"/>
    <w:rsid w:val="00393EEE"/>
    <w:rsid w:val="00395D99"/>
    <w:rsid w:val="003968DF"/>
    <w:rsid w:val="003A3927"/>
    <w:rsid w:val="003A6E29"/>
    <w:rsid w:val="003B1844"/>
    <w:rsid w:val="003B211E"/>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7912"/>
    <w:rsid w:val="003F5717"/>
    <w:rsid w:val="003F5A39"/>
    <w:rsid w:val="003F5B56"/>
    <w:rsid w:val="003F5B9F"/>
    <w:rsid w:val="003F6A6A"/>
    <w:rsid w:val="003F738D"/>
    <w:rsid w:val="00402E56"/>
    <w:rsid w:val="00403634"/>
    <w:rsid w:val="00404592"/>
    <w:rsid w:val="00404B58"/>
    <w:rsid w:val="0040544F"/>
    <w:rsid w:val="0040625C"/>
    <w:rsid w:val="00411B17"/>
    <w:rsid w:val="0041222D"/>
    <w:rsid w:val="00417083"/>
    <w:rsid w:val="0042057C"/>
    <w:rsid w:val="00421608"/>
    <w:rsid w:val="0042261E"/>
    <w:rsid w:val="00422749"/>
    <w:rsid w:val="004233DC"/>
    <w:rsid w:val="00432F78"/>
    <w:rsid w:val="004334A2"/>
    <w:rsid w:val="00434723"/>
    <w:rsid w:val="00437D17"/>
    <w:rsid w:val="00437D2F"/>
    <w:rsid w:val="0044046D"/>
    <w:rsid w:val="004410D3"/>
    <w:rsid w:val="00441DAF"/>
    <w:rsid w:val="00443A34"/>
    <w:rsid w:val="00443D38"/>
    <w:rsid w:val="00444140"/>
    <w:rsid w:val="00444F43"/>
    <w:rsid w:val="00450744"/>
    <w:rsid w:val="0045098E"/>
    <w:rsid w:val="00450BE7"/>
    <w:rsid w:val="0045230E"/>
    <w:rsid w:val="004528FA"/>
    <w:rsid w:val="00452D67"/>
    <w:rsid w:val="00452E53"/>
    <w:rsid w:val="00455B00"/>
    <w:rsid w:val="00455B97"/>
    <w:rsid w:val="00456BFD"/>
    <w:rsid w:val="004607D0"/>
    <w:rsid w:val="00460CE3"/>
    <w:rsid w:val="004612A4"/>
    <w:rsid w:val="00464BF1"/>
    <w:rsid w:val="004676E4"/>
    <w:rsid w:val="00470C48"/>
    <w:rsid w:val="00471429"/>
    <w:rsid w:val="00473C0A"/>
    <w:rsid w:val="00474415"/>
    <w:rsid w:val="00477459"/>
    <w:rsid w:val="0048026E"/>
    <w:rsid w:val="004807A9"/>
    <w:rsid w:val="00481318"/>
    <w:rsid w:val="004813EE"/>
    <w:rsid w:val="00482CDC"/>
    <w:rsid w:val="00483B03"/>
    <w:rsid w:val="00485702"/>
    <w:rsid w:val="004867EC"/>
    <w:rsid w:val="00487662"/>
    <w:rsid w:val="004876C6"/>
    <w:rsid w:val="00487D7B"/>
    <w:rsid w:val="00490F7A"/>
    <w:rsid w:val="00490FD5"/>
    <w:rsid w:val="00491241"/>
    <w:rsid w:val="00491813"/>
    <w:rsid w:val="00493278"/>
    <w:rsid w:val="00497575"/>
    <w:rsid w:val="004A12C0"/>
    <w:rsid w:val="004A191A"/>
    <w:rsid w:val="004A1A70"/>
    <w:rsid w:val="004A419E"/>
    <w:rsid w:val="004A6B58"/>
    <w:rsid w:val="004B06C3"/>
    <w:rsid w:val="004B0B09"/>
    <w:rsid w:val="004B140F"/>
    <w:rsid w:val="004B53F1"/>
    <w:rsid w:val="004B5D6E"/>
    <w:rsid w:val="004B60BA"/>
    <w:rsid w:val="004C1619"/>
    <w:rsid w:val="004C1B59"/>
    <w:rsid w:val="004C4EA2"/>
    <w:rsid w:val="004C596B"/>
    <w:rsid w:val="004C60E7"/>
    <w:rsid w:val="004D020F"/>
    <w:rsid w:val="004D03D1"/>
    <w:rsid w:val="004D11AF"/>
    <w:rsid w:val="004D502C"/>
    <w:rsid w:val="004D60A3"/>
    <w:rsid w:val="004E016A"/>
    <w:rsid w:val="004E0461"/>
    <w:rsid w:val="004E29B1"/>
    <w:rsid w:val="004E461B"/>
    <w:rsid w:val="004E477D"/>
    <w:rsid w:val="004E5890"/>
    <w:rsid w:val="004E7B33"/>
    <w:rsid w:val="004F0D19"/>
    <w:rsid w:val="004F121B"/>
    <w:rsid w:val="004F2811"/>
    <w:rsid w:val="004F60F4"/>
    <w:rsid w:val="004F62E8"/>
    <w:rsid w:val="004F78F8"/>
    <w:rsid w:val="005001A5"/>
    <w:rsid w:val="005019AA"/>
    <w:rsid w:val="00503C3B"/>
    <w:rsid w:val="00503CE7"/>
    <w:rsid w:val="005042DB"/>
    <w:rsid w:val="0050458E"/>
    <w:rsid w:val="00510452"/>
    <w:rsid w:val="005108EC"/>
    <w:rsid w:val="005147DA"/>
    <w:rsid w:val="005153C3"/>
    <w:rsid w:val="00515745"/>
    <w:rsid w:val="00515862"/>
    <w:rsid w:val="00516942"/>
    <w:rsid w:val="00516DC0"/>
    <w:rsid w:val="005233F3"/>
    <w:rsid w:val="0052365C"/>
    <w:rsid w:val="005245D2"/>
    <w:rsid w:val="00524C98"/>
    <w:rsid w:val="00524C9C"/>
    <w:rsid w:val="00524EDD"/>
    <w:rsid w:val="00525B59"/>
    <w:rsid w:val="005269C4"/>
    <w:rsid w:val="00533DBF"/>
    <w:rsid w:val="00536442"/>
    <w:rsid w:val="005415DD"/>
    <w:rsid w:val="005423F3"/>
    <w:rsid w:val="005426DB"/>
    <w:rsid w:val="00550113"/>
    <w:rsid w:val="0055082B"/>
    <w:rsid w:val="00550F00"/>
    <w:rsid w:val="00551ED7"/>
    <w:rsid w:val="0055211C"/>
    <w:rsid w:val="0055263A"/>
    <w:rsid w:val="00552B57"/>
    <w:rsid w:val="00553E34"/>
    <w:rsid w:val="005551E9"/>
    <w:rsid w:val="00560C62"/>
    <w:rsid w:val="00562A61"/>
    <w:rsid w:val="005652D5"/>
    <w:rsid w:val="00574614"/>
    <w:rsid w:val="00574A70"/>
    <w:rsid w:val="00575C75"/>
    <w:rsid w:val="00577AC3"/>
    <w:rsid w:val="005815A8"/>
    <w:rsid w:val="00583431"/>
    <w:rsid w:val="005846C0"/>
    <w:rsid w:val="00584D04"/>
    <w:rsid w:val="0058567E"/>
    <w:rsid w:val="0058659E"/>
    <w:rsid w:val="005872DD"/>
    <w:rsid w:val="00587D3A"/>
    <w:rsid w:val="00590346"/>
    <w:rsid w:val="00590E93"/>
    <w:rsid w:val="005915E1"/>
    <w:rsid w:val="00591C75"/>
    <w:rsid w:val="00592D10"/>
    <w:rsid w:val="00593A5F"/>
    <w:rsid w:val="0059404E"/>
    <w:rsid w:val="00594269"/>
    <w:rsid w:val="00595539"/>
    <w:rsid w:val="005A3E82"/>
    <w:rsid w:val="005A4DB0"/>
    <w:rsid w:val="005A5597"/>
    <w:rsid w:val="005A6AC2"/>
    <w:rsid w:val="005A7A65"/>
    <w:rsid w:val="005A7B26"/>
    <w:rsid w:val="005A7B8E"/>
    <w:rsid w:val="005B012B"/>
    <w:rsid w:val="005B0C87"/>
    <w:rsid w:val="005B2195"/>
    <w:rsid w:val="005B2D65"/>
    <w:rsid w:val="005B3877"/>
    <w:rsid w:val="005B3CC1"/>
    <w:rsid w:val="005B45AB"/>
    <w:rsid w:val="005B4D8F"/>
    <w:rsid w:val="005B6551"/>
    <w:rsid w:val="005B71A8"/>
    <w:rsid w:val="005C3E9E"/>
    <w:rsid w:val="005C410C"/>
    <w:rsid w:val="005C4BF1"/>
    <w:rsid w:val="005C4BF2"/>
    <w:rsid w:val="005C5BED"/>
    <w:rsid w:val="005C5D86"/>
    <w:rsid w:val="005C6167"/>
    <w:rsid w:val="005C6EE2"/>
    <w:rsid w:val="005C7A07"/>
    <w:rsid w:val="005C7DDC"/>
    <w:rsid w:val="005D123A"/>
    <w:rsid w:val="005D2506"/>
    <w:rsid w:val="005D5B5E"/>
    <w:rsid w:val="005D5C85"/>
    <w:rsid w:val="005D72FC"/>
    <w:rsid w:val="005E035A"/>
    <w:rsid w:val="005E1218"/>
    <w:rsid w:val="005E1B6B"/>
    <w:rsid w:val="005E2281"/>
    <w:rsid w:val="005E38A8"/>
    <w:rsid w:val="005E39F9"/>
    <w:rsid w:val="005E55BB"/>
    <w:rsid w:val="005E5D11"/>
    <w:rsid w:val="005E667C"/>
    <w:rsid w:val="005E6A1D"/>
    <w:rsid w:val="005E6F12"/>
    <w:rsid w:val="005F077C"/>
    <w:rsid w:val="005F3CE8"/>
    <w:rsid w:val="005F4F41"/>
    <w:rsid w:val="005F68C3"/>
    <w:rsid w:val="00601E94"/>
    <w:rsid w:val="006021B1"/>
    <w:rsid w:val="006037C5"/>
    <w:rsid w:val="006040CE"/>
    <w:rsid w:val="0060467D"/>
    <w:rsid w:val="00605B9D"/>
    <w:rsid w:val="00606B57"/>
    <w:rsid w:val="00606B85"/>
    <w:rsid w:val="00607390"/>
    <w:rsid w:val="006076D8"/>
    <w:rsid w:val="00607E6D"/>
    <w:rsid w:val="00612871"/>
    <w:rsid w:val="00612A8E"/>
    <w:rsid w:val="006135DA"/>
    <w:rsid w:val="006155E2"/>
    <w:rsid w:val="00615F26"/>
    <w:rsid w:val="00620579"/>
    <w:rsid w:val="00623BC7"/>
    <w:rsid w:val="006241D0"/>
    <w:rsid w:val="00625434"/>
    <w:rsid w:val="00626032"/>
    <w:rsid w:val="00627643"/>
    <w:rsid w:val="00627788"/>
    <w:rsid w:val="006300CD"/>
    <w:rsid w:val="0063017E"/>
    <w:rsid w:val="00631D4F"/>
    <w:rsid w:val="00633496"/>
    <w:rsid w:val="006338D2"/>
    <w:rsid w:val="00635FD8"/>
    <w:rsid w:val="00636F7B"/>
    <w:rsid w:val="00637217"/>
    <w:rsid w:val="0064019C"/>
    <w:rsid w:val="00640288"/>
    <w:rsid w:val="006405AC"/>
    <w:rsid w:val="006413D8"/>
    <w:rsid w:val="00641C55"/>
    <w:rsid w:val="00642405"/>
    <w:rsid w:val="00642645"/>
    <w:rsid w:val="00644BED"/>
    <w:rsid w:val="006458FE"/>
    <w:rsid w:val="00652092"/>
    <w:rsid w:val="00652472"/>
    <w:rsid w:val="00656385"/>
    <w:rsid w:val="00660DBE"/>
    <w:rsid w:val="0066127D"/>
    <w:rsid w:val="0066351C"/>
    <w:rsid w:val="00664693"/>
    <w:rsid w:val="00664DC0"/>
    <w:rsid w:val="006651CC"/>
    <w:rsid w:val="00665CA1"/>
    <w:rsid w:val="00667A31"/>
    <w:rsid w:val="00670702"/>
    <w:rsid w:val="0067147C"/>
    <w:rsid w:val="00672A8A"/>
    <w:rsid w:val="00673F50"/>
    <w:rsid w:val="006759B0"/>
    <w:rsid w:val="00677012"/>
    <w:rsid w:val="00680D0E"/>
    <w:rsid w:val="006825B4"/>
    <w:rsid w:val="006829BA"/>
    <w:rsid w:val="00682AF2"/>
    <w:rsid w:val="006837DE"/>
    <w:rsid w:val="0068537F"/>
    <w:rsid w:val="00687628"/>
    <w:rsid w:val="00687CFE"/>
    <w:rsid w:val="00690EB8"/>
    <w:rsid w:val="006915E5"/>
    <w:rsid w:val="00692401"/>
    <w:rsid w:val="0069758B"/>
    <w:rsid w:val="006A0B6C"/>
    <w:rsid w:val="006A16E1"/>
    <w:rsid w:val="006A3C8A"/>
    <w:rsid w:val="006A3E61"/>
    <w:rsid w:val="006A6737"/>
    <w:rsid w:val="006B26B1"/>
    <w:rsid w:val="006B2E45"/>
    <w:rsid w:val="006B5D32"/>
    <w:rsid w:val="006B758B"/>
    <w:rsid w:val="006B7BF8"/>
    <w:rsid w:val="006C25D5"/>
    <w:rsid w:val="006C262B"/>
    <w:rsid w:val="006C3A2D"/>
    <w:rsid w:val="006C4666"/>
    <w:rsid w:val="006C49BF"/>
    <w:rsid w:val="006C63D7"/>
    <w:rsid w:val="006C7535"/>
    <w:rsid w:val="006D2F09"/>
    <w:rsid w:val="006D3DC0"/>
    <w:rsid w:val="006D5E84"/>
    <w:rsid w:val="006D7C99"/>
    <w:rsid w:val="006E0443"/>
    <w:rsid w:val="006E0DCF"/>
    <w:rsid w:val="006E1647"/>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62CC"/>
    <w:rsid w:val="006F681D"/>
    <w:rsid w:val="0070235F"/>
    <w:rsid w:val="00702BC3"/>
    <w:rsid w:val="00703496"/>
    <w:rsid w:val="007036FE"/>
    <w:rsid w:val="00705B37"/>
    <w:rsid w:val="0070658A"/>
    <w:rsid w:val="00706B65"/>
    <w:rsid w:val="00707C1A"/>
    <w:rsid w:val="0071023D"/>
    <w:rsid w:val="00710530"/>
    <w:rsid w:val="00712912"/>
    <w:rsid w:val="007168A0"/>
    <w:rsid w:val="00716C95"/>
    <w:rsid w:val="00717762"/>
    <w:rsid w:val="00721A63"/>
    <w:rsid w:val="00721FF9"/>
    <w:rsid w:val="00725735"/>
    <w:rsid w:val="00736395"/>
    <w:rsid w:val="00736459"/>
    <w:rsid w:val="00737821"/>
    <w:rsid w:val="00741175"/>
    <w:rsid w:val="007419FB"/>
    <w:rsid w:val="00742606"/>
    <w:rsid w:val="007441FF"/>
    <w:rsid w:val="00744EE8"/>
    <w:rsid w:val="007467E4"/>
    <w:rsid w:val="00747569"/>
    <w:rsid w:val="00750238"/>
    <w:rsid w:val="0075023C"/>
    <w:rsid w:val="007523E7"/>
    <w:rsid w:val="00754252"/>
    <w:rsid w:val="007577B1"/>
    <w:rsid w:val="00757D87"/>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7D6B"/>
    <w:rsid w:val="0078265B"/>
    <w:rsid w:val="00782E10"/>
    <w:rsid w:val="00786448"/>
    <w:rsid w:val="0079134E"/>
    <w:rsid w:val="0079278E"/>
    <w:rsid w:val="00792E3C"/>
    <w:rsid w:val="007930C1"/>
    <w:rsid w:val="007960E3"/>
    <w:rsid w:val="00796F7C"/>
    <w:rsid w:val="00797131"/>
    <w:rsid w:val="007A343D"/>
    <w:rsid w:val="007A5ACE"/>
    <w:rsid w:val="007A6528"/>
    <w:rsid w:val="007A7B48"/>
    <w:rsid w:val="007B18C6"/>
    <w:rsid w:val="007B20C2"/>
    <w:rsid w:val="007B27E4"/>
    <w:rsid w:val="007B35F6"/>
    <w:rsid w:val="007B3F87"/>
    <w:rsid w:val="007B404F"/>
    <w:rsid w:val="007B7B52"/>
    <w:rsid w:val="007C2F60"/>
    <w:rsid w:val="007C5613"/>
    <w:rsid w:val="007C6BC6"/>
    <w:rsid w:val="007C73B2"/>
    <w:rsid w:val="007D0435"/>
    <w:rsid w:val="007D400A"/>
    <w:rsid w:val="007D4B0E"/>
    <w:rsid w:val="007D4DD2"/>
    <w:rsid w:val="007E2419"/>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A0E"/>
    <w:rsid w:val="00804E4C"/>
    <w:rsid w:val="008058EC"/>
    <w:rsid w:val="0080662C"/>
    <w:rsid w:val="008070B2"/>
    <w:rsid w:val="00807D79"/>
    <w:rsid w:val="00810102"/>
    <w:rsid w:val="008117C4"/>
    <w:rsid w:val="008149D8"/>
    <w:rsid w:val="00817CFC"/>
    <w:rsid w:val="00821D81"/>
    <w:rsid w:val="00823654"/>
    <w:rsid w:val="00823A90"/>
    <w:rsid w:val="0082757E"/>
    <w:rsid w:val="00827D77"/>
    <w:rsid w:val="00830561"/>
    <w:rsid w:val="00831115"/>
    <w:rsid w:val="00832D42"/>
    <w:rsid w:val="00833419"/>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29B3"/>
    <w:rsid w:val="00852ADD"/>
    <w:rsid w:val="00853883"/>
    <w:rsid w:val="008616A2"/>
    <w:rsid w:val="00861C6C"/>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B98"/>
    <w:rsid w:val="008959FC"/>
    <w:rsid w:val="008A1D0E"/>
    <w:rsid w:val="008A31C7"/>
    <w:rsid w:val="008A4AEC"/>
    <w:rsid w:val="008A5609"/>
    <w:rsid w:val="008A6DF0"/>
    <w:rsid w:val="008A6FA0"/>
    <w:rsid w:val="008B2B19"/>
    <w:rsid w:val="008B2F40"/>
    <w:rsid w:val="008B3627"/>
    <w:rsid w:val="008B5E61"/>
    <w:rsid w:val="008B7914"/>
    <w:rsid w:val="008C127A"/>
    <w:rsid w:val="008C140D"/>
    <w:rsid w:val="008C2C7F"/>
    <w:rsid w:val="008C2F0D"/>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606F"/>
    <w:rsid w:val="008E6AD9"/>
    <w:rsid w:val="008F022A"/>
    <w:rsid w:val="008F27E3"/>
    <w:rsid w:val="008F3485"/>
    <w:rsid w:val="008F3AC3"/>
    <w:rsid w:val="008F51FF"/>
    <w:rsid w:val="008F5DEF"/>
    <w:rsid w:val="009026CB"/>
    <w:rsid w:val="00904038"/>
    <w:rsid w:val="009041AF"/>
    <w:rsid w:val="009049AB"/>
    <w:rsid w:val="009050B7"/>
    <w:rsid w:val="00905130"/>
    <w:rsid w:val="009061B8"/>
    <w:rsid w:val="009130CC"/>
    <w:rsid w:val="00914683"/>
    <w:rsid w:val="00914861"/>
    <w:rsid w:val="009148D8"/>
    <w:rsid w:val="00915CD5"/>
    <w:rsid w:val="00916093"/>
    <w:rsid w:val="009160E3"/>
    <w:rsid w:val="0091639C"/>
    <w:rsid w:val="009255FA"/>
    <w:rsid w:val="009262E4"/>
    <w:rsid w:val="00927D4E"/>
    <w:rsid w:val="00930D2A"/>
    <w:rsid w:val="00931B84"/>
    <w:rsid w:val="00932E7E"/>
    <w:rsid w:val="0093442D"/>
    <w:rsid w:val="00934CD2"/>
    <w:rsid w:val="009375E5"/>
    <w:rsid w:val="00941848"/>
    <w:rsid w:val="009437F2"/>
    <w:rsid w:val="009442E8"/>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E50"/>
    <w:rsid w:val="00971074"/>
    <w:rsid w:val="009747AA"/>
    <w:rsid w:val="00974BCB"/>
    <w:rsid w:val="009763E4"/>
    <w:rsid w:val="00980A22"/>
    <w:rsid w:val="00983599"/>
    <w:rsid w:val="00985B04"/>
    <w:rsid w:val="00986BEF"/>
    <w:rsid w:val="00992499"/>
    <w:rsid w:val="00992986"/>
    <w:rsid w:val="00994B55"/>
    <w:rsid w:val="00995D86"/>
    <w:rsid w:val="009A1F6B"/>
    <w:rsid w:val="009A2C4C"/>
    <w:rsid w:val="009A2DD8"/>
    <w:rsid w:val="009A30DE"/>
    <w:rsid w:val="009A5453"/>
    <w:rsid w:val="009A7883"/>
    <w:rsid w:val="009B2760"/>
    <w:rsid w:val="009B308D"/>
    <w:rsid w:val="009B3B62"/>
    <w:rsid w:val="009B4FFB"/>
    <w:rsid w:val="009B7489"/>
    <w:rsid w:val="009B7B0A"/>
    <w:rsid w:val="009C07C9"/>
    <w:rsid w:val="009C08D7"/>
    <w:rsid w:val="009C4E0D"/>
    <w:rsid w:val="009C4F1B"/>
    <w:rsid w:val="009C503B"/>
    <w:rsid w:val="009D3AD2"/>
    <w:rsid w:val="009D3E06"/>
    <w:rsid w:val="009D638D"/>
    <w:rsid w:val="009E1CC8"/>
    <w:rsid w:val="009E30D2"/>
    <w:rsid w:val="009E4885"/>
    <w:rsid w:val="009E508B"/>
    <w:rsid w:val="009F0A85"/>
    <w:rsid w:val="009F1B71"/>
    <w:rsid w:val="009F220A"/>
    <w:rsid w:val="009F36D6"/>
    <w:rsid w:val="00A02FA8"/>
    <w:rsid w:val="00A03F74"/>
    <w:rsid w:val="00A05C04"/>
    <w:rsid w:val="00A07DB6"/>
    <w:rsid w:val="00A11406"/>
    <w:rsid w:val="00A132A1"/>
    <w:rsid w:val="00A1554D"/>
    <w:rsid w:val="00A158E3"/>
    <w:rsid w:val="00A172E0"/>
    <w:rsid w:val="00A221A3"/>
    <w:rsid w:val="00A223D5"/>
    <w:rsid w:val="00A23F41"/>
    <w:rsid w:val="00A25547"/>
    <w:rsid w:val="00A31E14"/>
    <w:rsid w:val="00A37B0C"/>
    <w:rsid w:val="00A37D1C"/>
    <w:rsid w:val="00A37FFE"/>
    <w:rsid w:val="00A41FEF"/>
    <w:rsid w:val="00A42476"/>
    <w:rsid w:val="00A433CA"/>
    <w:rsid w:val="00A43F3C"/>
    <w:rsid w:val="00A468FD"/>
    <w:rsid w:val="00A46921"/>
    <w:rsid w:val="00A47249"/>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FB7"/>
    <w:rsid w:val="00A9298F"/>
    <w:rsid w:val="00A9301E"/>
    <w:rsid w:val="00A95186"/>
    <w:rsid w:val="00AA1224"/>
    <w:rsid w:val="00AA14F2"/>
    <w:rsid w:val="00AA180B"/>
    <w:rsid w:val="00AA1D43"/>
    <w:rsid w:val="00AA3301"/>
    <w:rsid w:val="00AA3360"/>
    <w:rsid w:val="00AA6A7F"/>
    <w:rsid w:val="00AA6B93"/>
    <w:rsid w:val="00AA7A06"/>
    <w:rsid w:val="00AB1984"/>
    <w:rsid w:val="00AB1CBB"/>
    <w:rsid w:val="00AB215B"/>
    <w:rsid w:val="00AB333E"/>
    <w:rsid w:val="00AB37DB"/>
    <w:rsid w:val="00AB5F48"/>
    <w:rsid w:val="00AB716D"/>
    <w:rsid w:val="00AB7BF3"/>
    <w:rsid w:val="00AC1AA3"/>
    <w:rsid w:val="00AC1F8E"/>
    <w:rsid w:val="00AC4CB3"/>
    <w:rsid w:val="00AC4D7C"/>
    <w:rsid w:val="00AC6EF2"/>
    <w:rsid w:val="00AC71A6"/>
    <w:rsid w:val="00AC742F"/>
    <w:rsid w:val="00AC774F"/>
    <w:rsid w:val="00AC780D"/>
    <w:rsid w:val="00AC787B"/>
    <w:rsid w:val="00AC7956"/>
    <w:rsid w:val="00AC7E18"/>
    <w:rsid w:val="00AD1B79"/>
    <w:rsid w:val="00AD50F8"/>
    <w:rsid w:val="00AD7BA9"/>
    <w:rsid w:val="00AE3E11"/>
    <w:rsid w:val="00AE4BDC"/>
    <w:rsid w:val="00AE55AD"/>
    <w:rsid w:val="00AE78ED"/>
    <w:rsid w:val="00AF1117"/>
    <w:rsid w:val="00AF1555"/>
    <w:rsid w:val="00AF18BA"/>
    <w:rsid w:val="00AF228C"/>
    <w:rsid w:val="00AF2DB9"/>
    <w:rsid w:val="00AF3B55"/>
    <w:rsid w:val="00AF3D62"/>
    <w:rsid w:val="00AF6AC5"/>
    <w:rsid w:val="00AF7809"/>
    <w:rsid w:val="00AF7F7B"/>
    <w:rsid w:val="00B0104B"/>
    <w:rsid w:val="00B021E0"/>
    <w:rsid w:val="00B03A35"/>
    <w:rsid w:val="00B04F99"/>
    <w:rsid w:val="00B057B6"/>
    <w:rsid w:val="00B07F41"/>
    <w:rsid w:val="00B11C80"/>
    <w:rsid w:val="00B12DCA"/>
    <w:rsid w:val="00B13ECB"/>
    <w:rsid w:val="00B1524F"/>
    <w:rsid w:val="00B215D5"/>
    <w:rsid w:val="00B22870"/>
    <w:rsid w:val="00B22A22"/>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386F"/>
    <w:rsid w:val="00B67346"/>
    <w:rsid w:val="00B6793A"/>
    <w:rsid w:val="00B71607"/>
    <w:rsid w:val="00B72361"/>
    <w:rsid w:val="00B75345"/>
    <w:rsid w:val="00B76327"/>
    <w:rsid w:val="00B76400"/>
    <w:rsid w:val="00B76C94"/>
    <w:rsid w:val="00B76D4E"/>
    <w:rsid w:val="00B771AA"/>
    <w:rsid w:val="00B772D0"/>
    <w:rsid w:val="00B83117"/>
    <w:rsid w:val="00B8319C"/>
    <w:rsid w:val="00B906F2"/>
    <w:rsid w:val="00B90D9B"/>
    <w:rsid w:val="00B91B81"/>
    <w:rsid w:val="00B91FF0"/>
    <w:rsid w:val="00B92FFF"/>
    <w:rsid w:val="00B96799"/>
    <w:rsid w:val="00B96DE5"/>
    <w:rsid w:val="00B97A76"/>
    <w:rsid w:val="00BA0166"/>
    <w:rsid w:val="00BA0584"/>
    <w:rsid w:val="00BA249D"/>
    <w:rsid w:val="00BA4D00"/>
    <w:rsid w:val="00BA5665"/>
    <w:rsid w:val="00BB0AB5"/>
    <w:rsid w:val="00BB33E9"/>
    <w:rsid w:val="00BB3BE4"/>
    <w:rsid w:val="00BB57D3"/>
    <w:rsid w:val="00BB58EE"/>
    <w:rsid w:val="00BB7589"/>
    <w:rsid w:val="00BC077E"/>
    <w:rsid w:val="00BC7632"/>
    <w:rsid w:val="00BC7C9E"/>
    <w:rsid w:val="00BD1E79"/>
    <w:rsid w:val="00BD23A5"/>
    <w:rsid w:val="00BD2937"/>
    <w:rsid w:val="00BD2AFC"/>
    <w:rsid w:val="00BD48A9"/>
    <w:rsid w:val="00BD5712"/>
    <w:rsid w:val="00BD658C"/>
    <w:rsid w:val="00BD7EC6"/>
    <w:rsid w:val="00BE0FF2"/>
    <w:rsid w:val="00BE1345"/>
    <w:rsid w:val="00BE2147"/>
    <w:rsid w:val="00BE3C67"/>
    <w:rsid w:val="00BE73FA"/>
    <w:rsid w:val="00BF0353"/>
    <w:rsid w:val="00BF2001"/>
    <w:rsid w:val="00BF2575"/>
    <w:rsid w:val="00BF3F0A"/>
    <w:rsid w:val="00BF4E35"/>
    <w:rsid w:val="00C0083F"/>
    <w:rsid w:val="00C00976"/>
    <w:rsid w:val="00C04E51"/>
    <w:rsid w:val="00C060B0"/>
    <w:rsid w:val="00C072F0"/>
    <w:rsid w:val="00C07344"/>
    <w:rsid w:val="00C07C1F"/>
    <w:rsid w:val="00C11A79"/>
    <w:rsid w:val="00C13607"/>
    <w:rsid w:val="00C137B1"/>
    <w:rsid w:val="00C13B43"/>
    <w:rsid w:val="00C15E81"/>
    <w:rsid w:val="00C174C9"/>
    <w:rsid w:val="00C17B6E"/>
    <w:rsid w:val="00C20754"/>
    <w:rsid w:val="00C22307"/>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CCD"/>
    <w:rsid w:val="00C46734"/>
    <w:rsid w:val="00C5105D"/>
    <w:rsid w:val="00C511F0"/>
    <w:rsid w:val="00C51639"/>
    <w:rsid w:val="00C53220"/>
    <w:rsid w:val="00C533A0"/>
    <w:rsid w:val="00C53E9D"/>
    <w:rsid w:val="00C5781B"/>
    <w:rsid w:val="00C621A7"/>
    <w:rsid w:val="00C62BF2"/>
    <w:rsid w:val="00C62D1B"/>
    <w:rsid w:val="00C638A6"/>
    <w:rsid w:val="00C64266"/>
    <w:rsid w:val="00C647DF"/>
    <w:rsid w:val="00C66CE8"/>
    <w:rsid w:val="00C70DF4"/>
    <w:rsid w:val="00C71252"/>
    <w:rsid w:val="00C7277F"/>
    <w:rsid w:val="00C74930"/>
    <w:rsid w:val="00C74B47"/>
    <w:rsid w:val="00C754BD"/>
    <w:rsid w:val="00C769A9"/>
    <w:rsid w:val="00C80987"/>
    <w:rsid w:val="00C82933"/>
    <w:rsid w:val="00C82BE2"/>
    <w:rsid w:val="00C85DEF"/>
    <w:rsid w:val="00C91106"/>
    <w:rsid w:val="00C91D19"/>
    <w:rsid w:val="00C94A14"/>
    <w:rsid w:val="00CA007B"/>
    <w:rsid w:val="00CA0AA4"/>
    <w:rsid w:val="00CA1D4C"/>
    <w:rsid w:val="00CA3347"/>
    <w:rsid w:val="00CA6FDA"/>
    <w:rsid w:val="00CA77CF"/>
    <w:rsid w:val="00CA7B58"/>
    <w:rsid w:val="00CB2518"/>
    <w:rsid w:val="00CB3920"/>
    <w:rsid w:val="00CB6413"/>
    <w:rsid w:val="00CB696F"/>
    <w:rsid w:val="00CC0F1C"/>
    <w:rsid w:val="00CC299A"/>
    <w:rsid w:val="00CC4F99"/>
    <w:rsid w:val="00CC6369"/>
    <w:rsid w:val="00CC73F3"/>
    <w:rsid w:val="00CD1B5A"/>
    <w:rsid w:val="00CD1E9C"/>
    <w:rsid w:val="00CD2E70"/>
    <w:rsid w:val="00CD3D06"/>
    <w:rsid w:val="00CD4A09"/>
    <w:rsid w:val="00CD4C7B"/>
    <w:rsid w:val="00CD5397"/>
    <w:rsid w:val="00CD5E93"/>
    <w:rsid w:val="00CE37A3"/>
    <w:rsid w:val="00CE6855"/>
    <w:rsid w:val="00CE6B6F"/>
    <w:rsid w:val="00CE7033"/>
    <w:rsid w:val="00CE770A"/>
    <w:rsid w:val="00CF02A6"/>
    <w:rsid w:val="00CF06CF"/>
    <w:rsid w:val="00CF2DC1"/>
    <w:rsid w:val="00CF2EE2"/>
    <w:rsid w:val="00CF3948"/>
    <w:rsid w:val="00CF3ACF"/>
    <w:rsid w:val="00CF441D"/>
    <w:rsid w:val="00CF4FCF"/>
    <w:rsid w:val="00CF4FDC"/>
    <w:rsid w:val="00CF56AF"/>
    <w:rsid w:val="00CF5BE0"/>
    <w:rsid w:val="00CF61CB"/>
    <w:rsid w:val="00D00DBF"/>
    <w:rsid w:val="00D01F5D"/>
    <w:rsid w:val="00D03DBE"/>
    <w:rsid w:val="00D03EED"/>
    <w:rsid w:val="00D0597D"/>
    <w:rsid w:val="00D11949"/>
    <w:rsid w:val="00D11A69"/>
    <w:rsid w:val="00D1484F"/>
    <w:rsid w:val="00D1707A"/>
    <w:rsid w:val="00D21435"/>
    <w:rsid w:val="00D2242C"/>
    <w:rsid w:val="00D25660"/>
    <w:rsid w:val="00D258EB"/>
    <w:rsid w:val="00D271CD"/>
    <w:rsid w:val="00D315CC"/>
    <w:rsid w:val="00D327A3"/>
    <w:rsid w:val="00D34C82"/>
    <w:rsid w:val="00D36550"/>
    <w:rsid w:val="00D379EC"/>
    <w:rsid w:val="00D41E42"/>
    <w:rsid w:val="00D41F6B"/>
    <w:rsid w:val="00D4348D"/>
    <w:rsid w:val="00D44E42"/>
    <w:rsid w:val="00D44FC3"/>
    <w:rsid w:val="00D50961"/>
    <w:rsid w:val="00D50A02"/>
    <w:rsid w:val="00D512A1"/>
    <w:rsid w:val="00D52AB4"/>
    <w:rsid w:val="00D538D5"/>
    <w:rsid w:val="00D54640"/>
    <w:rsid w:val="00D559B5"/>
    <w:rsid w:val="00D56420"/>
    <w:rsid w:val="00D56C0C"/>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E76"/>
    <w:rsid w:val="00D80631"/>
    <w:rsid w:val="00D818EC"/>
    <w:rsid w:val="00D81A20"/>
    <w:rsid w:val="00D81F55"/>
    <w:rsid w:val="00D8321A"/>
    <w:rsid w:val="00D86D55"/>
    <w:rsid w:val="00D8789C"/>
    <w:rsid w:val="00D90558"/>
    <w:rsid w:val="00D914EB"/>
    <w:rsid w:val="00D94085"/>
    <w:rsid w:val="00D96D4F"/>
    <w:rsid w:val="00DA0592"/>
    <w:rsid w:val="00DA1806"/>
    <w:rsid w:val="00DA3A76"/>
    <w:rsid w:val="00DA73C1"/>
    <w:rsid w:val="00DA770D"/>
    <w:rsid w:val="00DB00EE"/>
    <w:rsid w:val="00DB3687"/>
    <w:rsid w:val="00DC0445"/>
    <w:rsid w:val="00DC2C48"/>
    <w:rsid w:val="00DC46B5"/>
    <w:rsid w:val="00DC525E"/>
    <w:rsid w:val="00DC535C"/>
    <w:rsid w:val="00DC5DCB"/>
    <w:rsid w:val="00DD074A"/>
    <w:rsid w:val="00DD1941"/>
    <w:rsid w:val="00DD26A5"/>
    <w:rsid w:val="00DD34F2"/>
    <w:rsid w:val="00DD3C6B"/>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4ECF"/>
    <w:rsid w:val="00E067C4"/>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2F7"/>
    <w:rsid w:val="00E37DC0"/>
    <w:rsid w:val="00E37EC6"/>
    <w:rsid w:val="00E40432"/>
    <w:rsid w:val="00E40D52"/>
    <w:rsid w:val="00E4220D"/>
    <w:rsid w:val="00E4231E"/>
    <w:rsid w:val="00E4279A"/>
    <w:rsid w:val="00E44AC7"/>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942B8"/>
    <w:rsid w:val="00E945AF"/>
    <w:rsid w:val="00E94A0B"/>
    <w:rsid w:val="00E94A2C"/>
    <w:rsid w:val="00E95799"/>
    <w:rsid w:val="00E9683D"/>
    <w:rsid w:val="00E970B7"/>
    <w:rsid w:val="00EA010D"/>
    <w:rsid w:val="00EA0507"/>
    <w:rsid w:val="00EA25EB"/>
    <w:rsid w:val="00EA2775"/>
    <w:rsid w:val="00EA612E"/>
    <w:rsid w:val="00EA761C"/>
    <w:rsid w:val="00EA7D7F"/>
    <w:rsid w:val="00EB0B5F"/>
    <w:rsid w:val="00EB1CF7"/>
    <w:rsid w:val="00EB2B6F"/>
    <w:rsid w:val="00EB2FA2"/>
    <w:rsid w:val="00EB3272"/>
    <w:rsid w:val="00EB769A"/>
    <w:rsid w:val="00EC11E4"/>
    <w:rsid w:val="00EC14E1"/>
    <w:rsid w:val="00EC2A3F"/>
    <w:rsid w:val="00EC2E64"/>
    <w:rsid w:val="00EC3A35"/>
    <w:rsid w:val="00EC3E69"/>
    <w:rsid w:val="00EC5554"/>
    <w:rsid w:val="00EC75F6"/>
    <w:rsid w:val="00ED0065"/>
    <w:rsid w:val="00ED353D"/>
    <w:rsid w:val="00ED588C"/>
    <w:rsid w:val="00EE1062"/>
    <w:rsid w:val="00EE17F2"/>
    <w:rsid w:val="00EE188A"/>
    <w:rsid w:val="00EE1B01"/>
    <w:rsid w:val="00EE2746"/>
    <w:rsid w:val="00EE6755"/>
    <w:rsid w:val="00EF03DC"/>
    <w:rsid w:val="00EF0437"/>
    <w:rsid w:val="00EF2AC7"/>
    <w:rsid w:val="00EF493F"/>
    <w:rsid w:val="00F02C54"/>
    <w:rsid w:val="00F0448C"/>
    <w:rsid w:val="00F1377B"/>
    <w:rsid w:val="00F1601A"/>
    <w:rsid w:val="00F1675C"/>
    <w:rsid w:val="00F17428"/>
    <w:rsid w:val="00F20046"/>
    <w:rsid w:val="00F20D22"/>
    <w:rsid w:val="00F21A58"/>
    <w:rsid w:val="00F27F06"/>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D5A"/>
    <w:rsid w:val="00F65EC9"/>
    <w:rsid w:val="00F66CB1"/>
    <w:rsid w:val="00F70815"/>
    <w:rsid w:val="00F709F4"/>
    <w:rsid w:val="00F710A9"/>
    <w:rsid w:val="00F7284D"/>
    <w:rsid w:val="00F72CFE"/>
    <w:rsid w:val="00F72FB0"/>
    <w:rsid w:val="00F73423"/>
    <w:rsid w:val="00F737A4"/>
    <w:rsid w:val="00F75481"/>
    <w:rsid w:val="00F76A4C"/>
    <w:rsid w:val="00F82E2E"/>
    <w:rsid w:val="00F83601"/>
    <w:rsid w:val="00F837E6"/>
    <w:rsid w:val="00F8389A"/>
    <w:rsid w:val="00F83AE9"/>
    <w:rsid w:val="00F843D4"/>
    <w:rsid w:val="00F8516E"/>
    <w:rsid w:val="00F86741"/>
    <w:rsid w:val="00F90613"/>
    <w:rsid w:val="00F906F4"/>
    <w:rsid w:val="00F915F3"/>
    <w:rsid w:val="00F91800"/>
    <w:rsid w:val="00F91853"/>
    <w:rsid w:val="00F91987"/>
    <w:rsid w:val="00F9208E"/>
    <w:rsid w:val="00F95CCE"/>
    <w:rsid w:val="00F9692D"/>
    <w:rsid w:val="00F97D7B"/>
    <w:rsid w:val="00FA0F71"/>
    <w:rsid w:val="00FA3A97"/>
    <w:rsid w:val="00FA3AEA"/>
    <w:rsid w:val="00FA4219"/>
    <w:rsid w:val="00FA48C7"/>
    <w:rsid w:val="00FA54FF"/>
    <w:rsid w:val="00FA5570"/>
    <w:rsid w:val="00FA5C0B"/>
    <w:rsid w:val="00FA70F5"/>
    <w:rsid w:val="00FB005D"/>
    <w:rsid w:val="00FB183E"/>
    <w:rsid w:val="00FB4629"/>
    <w:rsid w:val="00FB577F"/>
    <w:rsid w:val="00FB5859"/>
    <w:rsid w:val="00FB5FC4"/>
    <w:rsid w:val="00FB6A07"/>
    <w:rsid w:val="00FB6FB1"/>
    <w:rsid w:val="00FC6D4E"/>
    <w:rsid w:val="00FC736F"/>
    <w:rsid w:val="00FD39CF"/>
    <w:rsid w:val="00FE1370"/>
    <w:rsid w:val="00FE1510"/>
    <w:rsid w:val="00FE2121"/>
    <w:rsid w:val="00FE321B"/>
    <w:rsid w:val="00FE3D07"/>
    <w:rsid w:val="00FE4B6F"/>
    <w:rsid w:val="00FE6818"/>
    <w:rsid w:val="00FF0CF5"/>
    <w:rsid w:val="00FF0D6F"/>
    <w:rsid w:val="00FF1712"/>
    <w:rsid w:val="00FF37DC"/>
    <w:rsid w:val="00FF37F2"/>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6A1C81"/>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semiHidden/>
    <w:rsid w:val="00002D55"/>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orjuela.ing@gmail.com"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cop.gov.co/entidades/colombiacompra/Normativa?IDNorma=1832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Tatiana Baquero Iguaran</lastModifiedBy>
  <revision>9</revision>
  <dcterms:created xsi:type="dcterms:W3CDTF">2024-11-22T15:05:00.0000000Z</dcterms:created>
  <dcterms:modified xsi:type="dcterms:W3CDTF">2024-11-22T15:20:57.2537719Z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