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BF0971" w:rsidRPr="00BB3BE4" w:rsidRDefault="00BF0971" w:rsidP="00BF0971">
      <w:pPr>
        <w:tabs>
          <w:tab w:val="left" w:pos="709"/>
        </w:tabs>
        <w:spacing w:after="0" w:line="240" w:lineRule="auto"/>
        <w:jc w:val="both"/>
        <w:rPr>
          <w:rFonts w:ascii="Verdana" w:eastAsia="Calibri" w:hAnsi="Verdana" w:cs="Arial"/>
          <w:bCs/>
          <w:sz w:val="20"/>
          <w:szCs w:val="20"/>
          <w:lang w:val="es-ES_tradnl" w:eastAsia="es-ES_tradnl"/>
        </w:rPr>
      </w:pPr>
    </w:p>
    <w:p w14:paraId="4380C3D6" w14:textId="77777777" w:rsidR="00BF0971" w:rsidRPr="00BB3BE4" w:rsidRDefault="00BF0971" w:rsidP="00BF0971">
      <w:pPr>
        <w:tabs>
          <w:tab w:val="left" w:pos="709"/>
        </w:tabs>
        <w:spacing w:after="0" w:line="240" w:lineRule="auto"/>
        <w:jc w:val="both"/>
        <w:rPr>
          <w:rFonts w:ascii="Verdana" w:eastAsia="Calibri" w:hAnsi="Verdana" w:cs="Arial"/>
          <w:b/>
          <w:lang w:val="es-ES_tradnl" w:eastAsia="es-ES_tradnl"/>
        </w:rPr>
      </w:pPr>
      <w:r w:rsidRPr="00BB3BE4">
        <w:rPr>
          <w:rFonts w:ascii="Verdana" w:eastAsia="Calibri" w:hAnsi="Verdana" w:cs="Arial"/>
          <w:b/>
          <w:lang w:val="es-ES_tradnl" w:eastAsia="es-ES_tradnl"/>
        </w:rPr>
        <w:t>PROPONENTE PLURAL ‒ Consorcio ‒ Uni</w:t>
      </w:r>
      <w:r w:rsidRPr="00BB3BE4">
        <w:rPr>
          <w:rFonts w:ascii="Verdana" w:eastAsia="Calibri" w:hAnsi="Verdana" w:cs="Century Gothic"/>
          <w:b/>
          <w:lang w:val="es-ES_tradnl" w:eastAsia="es-ES_tradnl"/>
        </w:rPr>
        <w:t>ó</w:t>
      </w:r>
      <w:r w:rsidRPr="00BB3BE4">
        <w:rPr>
          <w:rFonts w:ascii="Verdana" w:eastAsia="Calibri" w:hAnsi="Verdana" w:cs="Arial"/>
          <w:b/>
          <w:lang w:val="es-ES_tradnl" w:eastAsia="es-ES_tradnl"/>
        </w:rPr>
        <w:t xml:space="preserve">n temporal ‒ Concepto </w:t>
      </w:r>
      <w:r w:rsidRPr="00BB3BE4">
        <w:rPr>
          <w:rFonts w:ascii="Verdana" w:eastAsia="Calibri" w:hAnsi="Verdana" w:cs="Century Gothic"/>
          <w:b/>
          <w:lang w:val="es-ES_tradnl" w:eastAsia="es-ES_tradnl"/>
        </w:rPr>
        <w:t>–</w:t>
      </w:r>
      <w:r w:rsidRPr="00BB3BE4">
        <w:rPr>
          <w:rFonts w:ascii="Verdana" w:eastAsia="Calibri" w:hAnsi="Verdana" w:cs="Arial"/>
          <w:b/>
          <w:lang w:val="es-ES_tradnl" w:eastAsia="es-ES_tradnl"/>
        </w:rPr>
        <w:t xml:space="preserve"> Diferencias</w:t>
      </w:r>
    </w:p>
    <w:p w14:paraId="0A37501D" w14:textId="77777777" w:rsidR="00BF0971" w:rsidRPr="00BB3BE4" w:rsidRDefault="00BF0971" w:rsidP="00BF0971">
      <w:pPr>
        <w:tabs>
          <w:tab w:val="left" w:pos="709"/>
        </w:tabs>
        <w:spacing w:after="0" w:line="240" w:lineRule="auto"/>
        <w:jc w:val="both"/>
        <w:rPr>
          <w:rFonts w:ascii="Verdana" w:eastAsia="Calibri" w:hAnsi="Verdana" w:cs="Arial"/>
          <w:bCs/>
          <w:sz w:val="20"/>
          <w:szCs w:val="20"/>
          <w:lang w:val="es-ES_tradnl" w:eastAsia="es-ES_tradnl"/>
        </w:rPr>
      </w:pPr>
    </w:p>
    <w:p w14:paraId="2C90A959" w14:textId="77777777" w:rsidR="00BF0971" w:rsidRPr="00BB3BE4" w:rsidRDefault="00BF0971" w:rsidP="00BF0971">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  </w:t>
      </w:r>
    </w:p>
    <w:p w14:paraId="29D6B04F" w14:textId="77777777" w:rsidR="00BF0971" w:rsidRPr="00BB3BE4" w:rsidRDefault="00BF0971" w:rsidP="00BF0971">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w:t>
      </w:r>
    </w:p>
    <w:p w14:paraId="620B1E6B" w14:textId="77777777" w:rsidR="00BF0971" w:rsidRPr="00BB3BE4" w:rsidRDefault="00BF0971" w:rsidP="00BF0971">
      <w:pPr>
        <w:tabs>
          <w:tab w:val="left" w:pos="709"/>
        </w:tabs>
        <w:spacing w:after="0" w:line="240" w:lineRule="auto"/>
        <w:jc w:val="both"/>
        <w:rPr>
          <w:rFonts w:ascii="Verdana" w:eastAsia="Calibri" w:hAnsi="Verdana" w:cs="Arial"/>
          <w:b/>
          <w:color w:val="000000" w:themeColor="text1"/>
        </w:rPr>
      </w:pPr>
      <w:r w:rsidRPr="00BB3BE4">
        <w:rPr>
          <w:rFonts w:ascii="Verdana" w:eastAsia="Calibri" w:hAnsi="Verdana" w:cs="Arial"/>
          <w:b/>
          <w:lang w:val="es-ES_tradnl" w:eastAsia="es-ES_tradnl"/>
        </w:rPr>
        <w:t>CONSORCIOS Y UNIONES TEMPORALES – Ausencia de personería jurídica – Capacidad jurídica restringida</w:t>
      </w:r>
    </w:p>
    <w:p w14:paraId="5DAB6C7B" w14:textId="77777777" w:rsidR="00BF0971" w:rsidRPr="00BB3BE4" w:rsidRDefault="00BF0971" w:rsidP="00BF0971">
      <w:pPr>
        <w:spacing w:after="0" w:line="240" w:lineRule="auto"/>
        <w:jc w:val="both"/>
        <w:rPr>
          <w:rFonts w:ascii="Verdana" w:eastAsia="Calibri" w:hAnsi="Verdana" w:cs="Arial"/>
          <w:bCs/>
          <w:sz w:val="20"/>
          <w:szCs w:val="20"/>
          <w:lang w:val="es-ES_tradnl" w:eastAsia="es-ES_tradnl"/>
        </w:rPr>
      </w:pPr>
    </w:p>
    <w:p w14:paraId="5E53925F" w14:textId="77777777" w:rsidR="00BF0971" w:rsidRPr="00BB3BE4" w:rsidRDefault="00BF0971" w:rsidP="00BF0971">
      <w:pPr>
        <w:spacing w:after="0" w:line="240" w:lineRule="auto"/>
        <w:jc w:val="both"/>
        <w:rPr>
          <w:rFonts w:ascii="Verdana" w:eastAsia="Calibri" w:hAnsi="Verdana" w:cs="Arial"/>
          <w:bCs/>
          <w:color w:val="000000" w:themeColor="text1"/>
          <w:sz w:val="20"/>
          <w:szCs w:val="20"/>
          <w:lang w:val="es-ES"/>
        </w:rPr>
      </w:pPr>
      <w:r w:rsidRPr="00BB3BE4">
        <w:rPr>
          <w:rFonts w:ascii="Verdana" w:eastAsia="Calibri" w:hAnsi="Verdana" w:cs="Arial"/>
          <w:bCs/>
          <w:color w:val="000000" w:themeColor="text1"/>
          <w:sz w:val="20"/>
          <w:szCs w:val="20"/>
          <w:lang w:val="es-ES"/>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w:t>
      </w:r>
    </w:p>
    <w:p w14:paraId="02EB378F" w14:textId="77777777" w:rsidR="00BF0971" w:rsidRPr="00BB3BE4" w:rsidRDefault="00BF0971" w:rsidP="00BF0971">
      <w:pPr>
        <w:spacing w:after="0" w:line="240" w:lineRule="auto"/>
        <w:jc w:val="both"/>
        <w:rPr>
          <w:rFonts w:ascii="Verdana" w:eastAsia="Calibri" w:hAnsi="Verdana" w:cs="Arial"/>
          <w:bCs/>
          <w:color w:val="000000" w:themeColor="text1"/>
          <w:sz w:val="20"/>
          <w:szCs w:val="20"/>
          <w:lang w:val="es-ES"/>
        </w:rPr>
      </w:pPr>
    </w:p>
    <w:p w14:paraId="01828689" w14:textId="77777777" w:rsidR="00BF0971" w:rsidRPr="00BB3BE4" w:rsidRDefault="00BF0971" w:rsidP="00BF0971">
      <w:pPr>
        <w:spacing w:after="0" w:line="240" w:lineRule="auto"/>
        <w:jc w:val="both"/>
        <w:rPr>
          <w:rFonts w:ascii="Verdana" w:hAnsi="Verdana" w:cs="Arial"/>
          <w:color w:val="000000" w:themeColor="text1"/>
          <w:sz w:val="20"/>
          <w:szCs w:val="20"/>
        </w:rPr>
      </w:pPr>
      <w:r w:rsidRPr="00BB3BE4">
        <w:rPr>
          <w:rFonts w:ascii="Verdana" w:eastAsia="Calibri" w:hAnsi="Verdana" w:cs="Arial"/>
          <w:bCs/>
          <w:color w:val="000000" w:themeColor="text1"/>
          <w:sz w:val="20"/>
          <w:szCs w:val="20"/>
          <w:lang w:val="es-ES"/>
        </w:rPr>
        <w:t>[…] el consorcio o la unión temporal se da “Cuando dos o más personas en forma conjunta presentan una misma propuesta para la adjudicación, celebración y ejecución de un contrato […]”.</w:t>
      </w:r>
      <w:r w:rsidRPr="00BB3BE4">
        <w:rPr>
          <w:rFonts w:ascii="Verdana" w:hAnsi="Verdana" w:cs="Arial"/>
          <w:color w:val="000000" w:themeColor="text1"/>
          <w:sz w:val="20"/>
          <w:szCs w:val="20"/>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6A05A809" w14:textId="77777777" w:rsidR="00BF0971" w:rsidRPr="00BB3BE4" w:rsidRDefault="00BF0971" w:rsidP="00BF0971">
      <w:pPr>
        <w:spacing w:after="0" w:line="240" w:lineRule="auto"/>
        <w:jc w:val="both"/>
        <w:rPr>
          <w:rFonts w:ascii="Verdana" w:hAnsi="Verdana" w:cs="Arial"/>
          <w:color w:val="000000" w:themeColor="text1"/>
          <w:sz w:val="20"/>
          <w:szCs w:val="20"/>
        </w:rPr>
      </w:pPr>
    </w:p>
    <w:p w14:paraId="7592F435" w14:textId="77777777" w:rsidR="00BF0971" w:rsidRPr="00420D9C" w:rsidRDefault="00BF0971" w:rsidP="00BF0971">
      <w:pPr>
        <w:spacing w:after="0" w:line="240" w:lineRule="auto"/>
        <w:jc w:val="both"/>
        <w:rPr>
          <w:rFonts w:ascii="Verdana" w:hAnsi="Verdana" w:cs="Arial"/>
          <w:color w:val="000000" w:themeColor="text1"/>
          <w:sz w:val="20"/>
          <w:szCs w:val="20"/>
        </w:rPr>
      </w:pPr>
      <w:r>
        <w:rPr>
          <w:rFonts w:ascii="Verdana" w:hAnsi="Verdana" w:cs="Arial"/>
          <w:color w:val="000000" w:themeColor="text1"/>
          <w:sz w:val="20"/>
          <w:szCs w:val="20"/>
        </w:rPr>
        <w:t>L</w:t>
      </w:r>
      <w:r w:rsidRPr="00420D9C">
        <w:rPr>
          <w:rFonts w:ascii="Verdana" w:hAnsi="Verdana" w:cs="Arial"/>
          <w:color w:val="000000" w:themeColor="text1"/>
          <w:sz w:val="20"/>
          <w:szCs w:val="20"/>
        </w:rPr>
        <w:t xml:space="preserve">a capacidad jurídica de los proponentes plurales se limita al campo de la contratación estatal de las entidades sometidas al EGCAP, es decir, a las relaciones entre los consorcios y las uniones temporales con las entidades estatales del artículo 2 de la Ley 80 de 1993. Las personas que conforman proponentes plurales pueden presentar en forma conjunta una misma propuesta para la adjudicación, celebración y ejecución de contratos estatales con </w:t>
      </w:r>
      <w:r w:rsidRPr="00420D9C">
        <w:rPr>
          <w:rFonts w:ascii="Verdana" w:hAnsi="Verdana" w:cs="Arial"/>
          <w:i/>
          <w:iCs/>
          <w:color w:val="000000" w:themeColor="text1"/>
          <w:sz w:val="20"/>
          <w:szCs w:val="20"/>
        </w:rPr>
        <w:t>una o varias</w:t>
      </w:r>
      <w:r w:rsidRPr="00420D9C">
        <w:rPr>
          <w:rFonts w:ascii="Verdana" w:hAnsi="Verdana" w:cs="Arial"/>
          <w:color w:val="000000" w:themeColor="text1"/>
          <w:sz w:val="20"/>
          <w:szCs w:val="20"/>
        </w:rPr>
        <w:t xml:space="preserve"> de las entidades descritas en la norma precitada. Dichas ofertas serán analizadas de acuerdo con los criterios habilitantes y factores de evaluación del pliego de condiciones o documento equivalente, en el marco de las reglas previstas en el Estatuto General de Contratación, sus normas complementarias y los reglamentos respectivos.</w:t>
      </w:r>
    </w:p>
    <w:p w14:paraId="5A39BBE3" w14:textId="77777777" w:rsidR="00BF0971" w:rsidRPr="00396DBB" w:rsidRDefault="00BF0971" w:rsidP="00BF0971">
      <w:pPr>
        <w:spacing w:after="0" w:line="240" w:lineRule="auto"/>
        <w:jc w:val="both"/>
        <w:rPr>
          <w:rFonts w:ascii="Verdana" w:hAnsi="Verdana" w:cs="Arial"/>
          <w:color w:val="000000" w:themeColor="text1"/>
          <w:sz w:val="20"/>
          <w:szCs w:val="20"/>
          <w:lang w:val="es-ES_tradnl"/>
        </w:rPr>
      </w:pPr>
    </w:p>
    <w:p w14:paraId="41C8F396" w14:textId="77777777" w:rsidR="00BF0971" w:rsidRDefault="00BF0971" w:rsidP="00BF0971">
      <w:pPr>
        <w:spacing w:after="0" w:line="240" w:lineRule="auto"/>
        <w:rPr>
          <w:rFonts w:ascii="Verdana" w:hAnsi="Verdana" w:cs="Arial"/>
          <w:b/>
          <w:lang w:eastAsia="es-CO"/>
        </w:rPr>
      </w:pPr>
    </w:p>
    <w:p w14:paraId="72A3D3EC" w14:textId="77777777" w:rsidR="00BF0971" w:rsidRDefault="00BF0971" w:rsidP="00BF0971">
      <w:pPr>
        <w:spacing w:after="0" w:line="240" w:lineRule="auto"/>
        <w:jc w:val="both"/>
        <w:rPr>
          <w:rFonts w:ascii="Verdana" w:eastAsia="Times New Roman" w:hAnsi="Verdana" w:cs="Arial"/>
          <w:noProof/>
          <w:lang w:eastAsia="es-ES_tradnl"/>
        </w:rPr>
      </w:pPr>
    </w:p>
    <w:p w14:paraId="0D0B940D" w14:textId="77777777" w:rsidR="00BF0971" w:rsidRDefault="00BF0971" w:rsidP="00BF0971">
      <w:pPr>
        <w:spacing w:after="0" w:line="240" w:lineRule="auto"/>
        <w:jc w:val="both"/>
        <w:rPr>
          <w:rFonts w:ascii="Verdana" w:eastAsia="Times New Roman" w:hAnsi="Verdana" w:cs="Arial"/>
          <w:noProof/>
          <w:lang w:eastAsia="es-ES_tradnl"/>
        </w:rPr>
      </w:pPr>
    </w:p>
    <w:p w14:paraId="53234FB8" w14:textId="77777777" w:rsidR="00BF0971" w:rsidRPr="00CC5C68" w:rsidRDefault="00BF0971" w:rsidP="00BF0971">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Bogotá D.C., [Día] de [Mes.NombreCapitalizado] de [Año]</w:t>
      </w:r>
    </w:p>
    <w:p w14:paraId="0E27B00A" w14:textId="77777777" w:rsidR="00BF0971" w:rsidRDefault="00BF0971" w:rsidP="00BF0971">
      <w:pPr>
        <w:spacing w:after="0" w:line="240" w:lineRule="auto"/>
        <w:jc w:val="both"/>
        <w:rPr>
          <w:rFonts w:ascii="Verdana" w:eastAsia="Times New Roman" w:hAnsi="Verdana" w:cs="Arial"/>
          <w:noProof/>
          <w:lang w:val="es-ES_tradnl" w:eastAsia="es-ES_tradnl"/>
        </w:rPr>
      </w:pPr>
    </w:p>
    <w:p w14:paraId="778BB27D" w14:textId="77777777" w:rsidR="00BF0971" w:rsidRPr="00CC5C68" w:rsidRDefault="00AC7F30" w:rsidP="00BF0971">
      <w:pPr>
        <w:spacing w:after="0" w:line="240" w:lineRule="auto"/>
        <w:jc w:val="right"/>
        <w:rPr>
          <w:rFonts w:ascii="Verdana" w:eastAsia="Times New Roman" w:hAnsi="Verdana" w:cs="Arial"/>
          <w:noProof/>
          <w:lang w:val="es-ES_tradnl" w:eastAsia="es-ES_tradnl"/>
        </w:rPr>
      </w:pPr>
      <w:r w:rsidRPr="00AC7F30">
        <w:rPr>
          <w:rFonts w:ascii="Verdana" w:eastAsia="Times New Roman" w:hAnsi="Verdana" w:cs="Arial"/>
          <w:noProof/>
          <w:lang w:val="es-ES_tradnl" w:eastAsia="es-ES_tradnl"/>
        </w:rPr>
        <w:drawing>
          <wp:anchor distT="0" distB="0" distL="114300" distR="114300" simplePos="0" relativeHeight="251658240" behindDoc="1" locked="0" layoutInCell="1" allowOverlap="1" wp14:anchorId="7359B72A" wp14:editId="07777777">
            <wp:simplePos x="0" y="0"/>
            <wp:positionH relativeFrom="column">
              <wp:posOffset>3191962</wp:posOffset>
            </wp:positionH>
            <wp:positionV relativeFrom="paragraph">
              <wp:posOffset>16058</wp:posOffset>
            </wp:positionV>
            <wp:extent cx="3076508" cy="855597"/>
            <wp:effectExtent l="0" t="0" r="0" b="0"/>
            <wp:wrapNone/>
            <wp:docPr id="8960778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77865" name=""/>
                    <pic:cNvPicPr/>
                  </pic:nvPicPr>
                  <pic:blipFill>
                    <a:blip r:embed="rId10">
                      <a:extLst>
                        <a:ext uri="{28A0092B-C50C-407E-A947-70E740481C1C}">
                          <a14:useLocalDpi xmlns:a14="http://schemas.microsoft.com/office/drawing/2010/main" val="0"/>
                        </a:ext>
                      </a:extLst>
                    </a:blip>
                    <a:stretch>
                      <a:fillRect/>
                    </a:stretch>
                  </pic:blipFill>
                  <pic:spPr>
                    <a:xfrm>
                      <a:off x="0" y="0"/>
                      <a:ext cx="3076508" cy="855597"/>
                    </a:xfrm>
                    <a:prstGeom prst="rect">
                      <a:avLst/>
                    </a:prstGeom>
                  </pic:spPr>
                </pic:pic>
              </a:graphicData>
            </a:graphic>
            <wp14:sizeRelH relativeFrom="page">
              <wp14:pctWidth>0</wp14:pctWidth>
            </wp14:sizeRelH>
            <wp14:sizeRelV relativeFrom="page">
              <wp14:pctHeight>0</wp14:pctHeight>
            </wp14:sizeRelV>
          </wp:anchor>
        </w:drawing>
      </w:r>
    </w:p>
    <w:p w14:paraId="63D37C31" w14:textId="77777777" w:rsidR="00BF0971" w:rsidRPr="00CC5C68" w:rsidRDefault="00BF0971" w:rsidP="00BF0971">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64B9133A" w14:textId="77777777" w:rsidR="00BF0971" w:rsidRDefault="00BF0971" w:rsidP="00BF0971">
      <w:pPr>
        <w:spacing w:after="0" w:line="240" w:lineRule="auto"/>
        <w:rPr>
          <w:rFonts w:ascii="Verdana" w:eastAsia="Calibri" w:hAnsi="Verdana" w:cs="Arial"/>
          <w:b/>
          <w:bCs/>
          <w:lang w:val="es-ES" w:eastAsia="es-ES_tradnl"/>
        </w:rPr>
      </w:pPr>
      <w:proofErr w:type="spellStart"/>
      <w:r>
        <w:rPr>
          <w:rFonts w:ascii="Verdana" w:eastAsia="Calibri" w:hAnsi="Verdana" w:cs="Arial"/>
          <w:b/>
          <w:bCs/>
          <w:lang w:val="es-ES" w:eastAsia="es-ES_tradnl"/>
        </w:rPr>
        <w:t>Victor</w:t>
      </w:r>
      <w:proofErr w:type="spellEnd"/>
      <w:r>
        <w:rPr>
          <w:rFonts w:ascii="Verdana" w:eastAsia="Calibri" w:hAnsi="Verdana" w:cs="Arial"/>
          <w:b/>
          <w:bCs/>
          <w:lang w:val="es-ES" w:eastAsia="es-ES_tradnl"/>
        </w:rPr>
        <w:t xml:space="preserve"> Forero Gil</w:t>
      </w:r>
    </w:p>
    <w:p w14:paraId="25E75622" w14:textId="77777777" w:rsidR="00BF0971" w:rsidRPr="00992D2F" w:rsidRDefault="00BF0971" w:rsidP="00BF0971">
      <w:pPr>
        <w:spacing w:after="0" w:line="240" w:lineRule="auto"/>
        <w:rPr>
          <w:rFonts w:ascii="Verdana" w:hAnsi="Verdana"/>
        </w:rPr>
      </w:pPr>
      <w:hyperlink r:id="rId11" w:history="1">
        <w:r w:rsidRPr="00992D2F">
          <w:rPr>
            <w:rStyle w:val="Hipervnculo"/>
            <w:rFonts w:ascii="Verdana" w:hAnsi="Verdana"/>
          </w:rPr>
          <w:t>vforerogil@gmail.com</w:t>
        </w:r>
      </w:hyperlink>
    </w:p>
    <w:p w14:paraId="79ADEE85" w14:textId="77777777" w:rsidR="00BF0971" w:rsidRPr="00CC5C68" w:rsidRDefault="00BF0971" w:rsidP="00BF0971">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Bogotá D.C.</w:t>
      </w:r>
    </w:p>
    <w:p w14:paraId="60061E4C" w14:textId="77777777" w:rsidR="00BF0971" w:rsidRPr="00CC5C68" w:rsidRDefault="00BF0971" w:rsidP="00BF0971">
      <w:pPr>
        <w:spacing w:after="0" w:line="240" w:lineRule="auto"/>
        <w:rPr>
          <w:rFonts w:ascii="Verdana" w:eastAsia="Calibri" w:hAnsi="Verdana" w:cs="Arial"/>
          <w:lang w:val="es-ES_tradnl" w:eastAsia="es-ES_tradnl"/>
        </w:rPr>
      </w:pPr>
    </w:p>
    <w:p w14:paraId="4616EB1A" w14:textId="77777777" w:rsidR="00BF0971" w:rsidRPr="00CC5C68" w:rsidRDefault="00BF0971" w:rsidP="00BF0971">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-805</w:t>
      </w:r>
      <w:r w:rsidRPr="00CC5C68">
        <w:rPr>
          <w:rFonts w:ascii="Verdana" w:eastAsia="Calibri" w:hAnsi="Verdana" w:cs="Arial"/>
          <w:b/>
          <w:bCs/>
          <w:lang w:val="es-ES" w:eastAsia="es-ES_tradnl"/>
        </w:rPr>
        <w:t xml:space="preserve"> de 2024</w:t>
      </w:r>
    </w:p>
    <w:p w14:paraId="44EAFD9C" w14:textId="77777777" w:rsidR="00BF0971" w:rsidRPr="00CC5C68" w:rsidRDefault="00BF0971" w:rsidP="00BF0971">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BF0971" w:rsidRPr="00CC5C68" w14:paraId="5DA26D7E" w14:textId="77777777" w:rsidTr="00C77973">
        <w:tc>
          <w:tcPr>
            <w:tcW w:w="2694" w:type="dxa"/>
          </w:tcPr>
          <w:p w14:paraId="111F2341" w14:textId="77777777" w:rsidR="00BF0971" w:rsidRPr="00CC5C68" w:rsidRDefault="00BF0971" w:rsidP="00C77973">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7B739815" w14:textId="77777777" w:rsidR="00BF0971" w:rsidRDefault="00BF0971" w:rsidP="00C77973">
            <w:pPr>
              <w:contextualSpacing/>
              <w:jc w:val="both"/>
              <w:rPr>
                <w:rFonts w:ascii="Verdana" w:eastAsia="Times New Roman" w:hAnsi="Verdana" w:cs="Arial"/>
                <w:lang w:val="es-ES_tradnl" w:eastAsia="es-ES_tradnl"/>
              </w:rPr>
            </w:pPr>
            <w:r w:rsidRPr="00420D9C">
              <w:rPr>
                <w:rFonts w:ascii="Verdana" w:eastAsia="Calibri" w:hAnsi="Verdana" w:cs="Arial"/>
                <w:lang w:val="es-ES" w:eastAsia="es-ES"/>
              </w:rPr>
              <w:t>PROPONENTE PLURAL ‒ Consorcio ‒ Unión temporal ‒ Concepto – Diferencias / CONSORCIOS Y UNIONES TEMPORALES – Ausencia de personería jurídica – Capacidad jurídica restringida</w:t>
            </w:r>
            <w:r w:rsidRPr="00CC5C68">
              <w:rPr>
                <w:rFonts w:ascii="Verdana" w:eastAsia="Times New Roman" w:hAnsi="Verdana" w:cs="Arial"/>
                <w:lang w:val="es-ES_tradnl" w:eastAsia="es-ES_tradnl"/>
              </w:rPr>
              <w:t xml:space="preserve"> </w:t>
            </w:r>
          </w:p>
          <w:p w14:paraId="4B94D5A5" w14:textId="77777777" w:rsidR="00BF0971" w:rsidRPr="00CC5C68" w:rsidRDefault="00BF0971" w:rsidP="00C77973">
            <w:pPr>
              <w:contextualSpacing/>
              <w:jc w:val="both"/>
              <w:rPr>
                <w:rFonts w:ascii="Verdana" w:eastAsia="Times New Roman" w:hAnsi="Verdana" w:cs="Arial"/>
                <w:lang w:val="es-ES_tradnl" w:eastAsia="es-ES_tradnl"/>
              </w:rPr>
            </w:pPr>
          </w:p>
        </w:tc>
      </w:tr>
      <w:tr w:rsidR="00BF0971" w:rsidRPr="00CC5C68" w14:paraId="01F558B4" w14:textId="77777777" w:rsidTr="00C77973">
        <w:tc>
          <w:tcPr>
            <w:tcW w:w="2694" w:type="dxa"/>
          </w:tcPr>
          <w:p w14:paraId="2BE0AAD8" w14:textId="77777777" w:rsidR="00BF0971" w:rsidRPr="00CC5C68" w:rsidRDefault="00BF0971" w:rsidP="00C77973">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469B87B2" w14:textId="77777777" w:rsidR="00BF0971" w:rsidRPr="00CC5C68" w:rsidRDefault="00BF0971" w:rsidP="00C77973">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Pr="00992D2F">
              <w:rPr>
                <w:rFonts w:ascii="Verdana" w:eastAsia="Times New Roman" w:hAnsi="Verdana" w:cs="Arial"/>
                <w:lang w:eastAsia="es-ES_tradnl"/>
              </w:rPr>
              <w:t>P20241031011046</w:t>
            </w:r>
            <w:r>
              <w:rPr>
                <w:rFonts w:ascii="Verdana" w:eastAsia="Times New Roman" w:hAnsi="Verdana" w:cs="Arial"/>
                <w:lang w:eastAsia="es-ES_tradnl"/>
              </w:rPr>
              <w:t xml:space="preserve">, </w:t>
            </w:r>
            <w:r w:rsidRPr="00590754">
              <w:rPr>
                <w:rFonts w:ascii="Verdana" w:eastAsia="Times New Roman" w:hAnsi="Verdana" w:cs="Arial"/>
                <w:lang w:eastAsia="es-ES_tradnl"/>
              </w:rPr>
              <w:t>P20241031011048</w:t>
            </w:r>
            <w:r>
              <w:rPr>
                <w:rFonts w:ascii="Verdana" w:eastAsia="Times New Roman" w:hAnsi="Verdana" w:cs="Arial"/>
                <w:lang w:eastAsia="es-ES_tradnl"/>
              </w:rPr>
              <w:t>,</w:t>
            </w:r>
            <w:r>
              <w:rPr>
                <w:rFonts w:eastAsia="Times New Roman"/>
                <w:lang w:eastAsia="es-ES_tradnl"/>
              </w:rPr>
              <w:t xml:space="preserve"> </w:t>
            </w:r>
            <w:r w:rsidRPr="00590754">
              <w:rPr>
                <w:rFonts w:ascii="Verdana" w:eastAsia="Times New Roman" w:hAnsi="Verdana" w:cs="Arial"/>
                <w:lang w:eastAsia="es-ES_tradnl"/>
              </w:rPr>
              <w:t>P20241031011059</w:t>
            </w:r>
            <w:r>
              <w:rPr>
                <w:rFonts w:ascii="Verdana" w:eastAsia="Times New Roman" w:hAnsi="Verdana" w:cs="Arial"/>
                <w:lang w:eastAsia="es-ES_tradnl"/>
              </w:rPr>
              <w:t xml:space="preserve"> y</w:t>
            </w:r>
            <w:r>
              <w:rPr>
                <w:rFonts w:eastAsia="Times New Roman"/>
                <w:lang w:eastAsia="es-ES_tradnl"/>
              </w:rPr>
              <w:t xml:space="preserve"> </w:t>
            </w:r>
            <w:r w:rsidRPr="00590754">
              <w:rPr>
                <w:rFonts w:ascii="Verdana" w:eastAsia="Times New Roman" w:hAnsi="Verdana" w:cs="Arial"/>
                <w:lang w:eastAsia="es-ES_tradnl"/>
              </w:rPr>
              <w:t>P20241031011062</w:t>
            </w:r>
            <w:r>
              <w:rPr>
                <w:rFonts w:eastAsia="Times New Roman"/>
                <w:lang w:eastAsia="es-ES_tradnl"/>
              </w:rPr>
              <w:t xml:space="preserve"> </w:t>
            </w:r>
          </w:p>
        </w:tc>
      </w:tr>
    </w:tbl>
    <w:p w14:paraId="3DEEC669" w14:textId="77777777" w:rsidR="00BF0971" w:rsidRPr="00CC5C68" w:rsidRDefault="00BF0971" w:rsidP="00BF0971">
      <w:pPr>
        <w:spacing w:after="0" w:line="240" w:lineRule="auto"/>
        <w:jc w:val="both"/>
        <w:rPr>
          <w:rFonts w:ascii="Verdana" w:eastAsia="Calibri" w:hAnsi="Verdana" w:cs="Arial"/>
          <w:lang w:val="es-ES_tradnl" w:eastAsia="es-ES_tradnl"/>
        </w:rPr>
      </w:pPr>
    </w:p>
    <w:p w14:paraId="6CCEC00D" w14:textId="77777777" w:rsidR="00BF0971" w:rsidRPr="00CC5C68" w:rsidRDefault="00BF0971" w:rsidP="00BF0971">
      <w:pPr>
        <w:spacing w:after="0" w:line="276" w:lineRule="auto"/>
        <w:contextualSpacing/>
        <w:jc w:val="both"/>
        <w:rPr>
          <w:rFonts w:ascii="Verdana" w:eastAsia="Calibri" w:hAnsi="Verdana" w:cs="Arial"/>
          <w:lang w:val="es-ES" w:eastAsia="es-ES"/>
        </w:rPr>
      </w:pPr>
      <w:r w:rsidRPr="2D01692F">
        <w:rPr>
          <w:rFonts w:ascii="Verdana" w:eastAsia="Calibri" w:hAnsi="Verdana" w:cs="Arial"/>
          <w:lang w:val="es-ES" w:eastAsia="es-ES"/>
        </w:rPr>
        <w:t xml:space="preserve">Estimado señor </w:t>
      </w:r>
      <w:r>
        <w:rPr>
          <w:rFonts w:ascii="Verdana" w:eastAsia="Calibri" w:hAnsi="Verdana" w:cs="Arial"/>
          <w:lang w:val="es-ES" w:eastAsia="es-ES"/>
        </w:rPr>
        <w:t>Forero</w:t>
      </w:r>
      <w:r w:rsidRPr="2D01692F">
        <w:rPr>
          <w:rFonts w:ascii="Verdana" w:eastAsia="Calibri" w:hAnsi="Verdana" w:cs="Arial"/>
          <w:lang w:val="es-ES" w:eastAsia="es-ES"/>
        </w:rPr>
        <w:t>:</w:t>
      </w:r>
    </w:p>
    <w:p w14:paraId="3656B9AB" w14:textId="77777777" w:rsidR="00BF0971" w:rsidRPr="00CC5C68" w:rsidRDefault="00BF0971" w:rsidP="00BF0971">
      <w:pPr>
        <w:spacing w:after="0" w:line="276" w:lineRule="auto"/>
        <w:contextualSpacing/>
        <w:jc w:val="both"/>
        <w:rPr>
          <w:rFonts w:ascii="Verdana" w:eastAsia="Calibri" w:hAnsi="Verdana" w:cs="Arial"/>
          <w:lang w:val="es-ES_tradnl" w:eastAsia="es-ES_tradnl"/>
        </w:rPr>
      </w:pPr>
    </w:p>
    <w:p w14:paraId="0A47B38E" w14:textId="77777777" w:rsidR="00BF0971" w:rsidRPr="00CC5C68" w:rsidRDefault="00BF0971" w:rsidP="00BF0971">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31</w:t>
      </w:r>
      <w:r w:rsidRPr="00CC5C68">
        <w:rPr>
          <w:rFonts w:ascii="Verdana" w:eastAsia="Calibri" w:hAnsi="Verdana" w:cs="Arial"/>
          <w:lang w:val="es-ES" w:eastAsia="es-ES_tradnl"/>
        </w:rPr>
        <w:t xml:space="preserve"> de </w:t>
      </w:r>
      <w:r>
        <w:rPr>
          <w:rFonts w:ascii="Verdana" w:eastAsia="Calibri" w:hAnsi="Verdana" w:cs="Arial"/>
          <w:lang w:val="es-ES" w:eastAsia="es-ES_tradnl"/>
        </w:rPr>
        <w:t>octubre</w:t>
      </w:r>
      <w:r w:rsidRPr="00CC5C68">
        <w:rPr>
          <w:rFonts w:ascii="Verdana" w:eastAsia="Calibri" w:hAnsi="Verdana" w:cs="Arial"/>
          <w:lang w:val="es-ES" w:eastAsia="es-ES_tradnl"/>
        </w:rPr>
        <w:t xml:space="preserve"> de 2024, en la cual manifiesta lo siguiente:</w:t>
      </w:r>
    </w:p>
    <w:p w14:paraId="45FB0818" w14:textId="77777777" w:rsidR="00BF0971" w:rsidRPr="00CC5C68" w:rsidRDefault="00BF0971" w:rsidP="00BF0971">
      <w:pPr>
        <w:spacing w:after="0" w:line="276" w:lineRule="auto"/>
        <w:contextualSpacing/>
        <w:jc w:val="both"/>
        <w:rPr>
          <w:rFonts w:ascii="Verdana" w:eastAsia="Calibri" w:hAnsi="Verdana" w:cs="Arial"/>
          <w:b/>
          <w:szCs w:val="24"/>
          <w:lang w:val="es-ES_tradnl" w:eastAsia="es-ES_tradnl"/>
        </w:rPr>
      </w:pPr>
    </w:p>
    <w:p w14:paraId="325152D2" w14:textId="77777777" w:rsidR="00BF0971" w:rsidRDefault="00BF0971" w:rsidP="00BF0971">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4A7575">
        <w:rPr>
          <w:rFonts w:ascii="Verdana" w:eastAsia="Times New Roman" w:hAnsi="Verdana" w:cs="Arial"/>
          <w:sz w:val="21"/>
          <w:szCs w:val="21"/>
          <w:lang w:eastAsia="es-ES_tradnl"/>
        </w:rPr>
        <w:t>¿</w:t>
      </w:r>
      <w:r w:rsidRPr="00992D2F">
        <w:rPr>
          <w:rFonts w:ascii="Verdana" w:eastAsia="Times New Roman" w:hAnsi="Verdana" w:cs="Arial"/>
          <w:sz w:val="21"/>
          <w:szCs w:val="21"/>
          <w:lang w:eastAsia="es-ES_tradnl"/>
        </w:rPr>
        <w:t xml:space="preserve">LA ALCALDÍA DE SAN CRISTÓBAL BOGOTÁ, indican que un concepto No.227 </w:t>
      </w:r>
      <w:r>
        <w:rPr>
          <w:rFonts w:ascii="Verdana" w:eastAsia="Times New Roman" w:hAnsi="Verdana" w:cs="Arial"/>
          <w:sz w:val="21"/>
          <w:szCs w:val="21"/>
          <w:lang w:eastAsia="es-ES_tradnl"/>
        </w:rPr>
        <w:t xml:space="preserve">(sic) </w:t>
      </w:r>
      <w:r w:rsidRPr="00992D2F">
        <w:rPr>
          <w:rFonts w:ascii="Verdana" w:eastAsia="Times New Roman" w:hAnsi="Verdana" w:cs="Arial"/>
          <w:sz w:val="21"/>
          <w:szCs w:val="21"/>
          <w:lang w:eastAsia="es-ES_tradnl"/>
        </w:rPr>
        <w:t xml:space="preserve">del 7 de Octubre de 2024 emitido por Colombia Compra Eficiente restringe que un proponente plural que inicialmente se creó para un proceso no se puede ese mismo proponente presentar en ningún otro proceso.  La alcaldía está utilizando y malinterpretando un concepto que primero no se conoce públicamente, segundo, no creo que una entidad que está en pro de mejorar la contratación este limitando la opción de un proponente plural para un proceso. En efectos de ejemplo una empresa que requiere siempre presentase en sociedad debido que tiene limitaciones financieras, técnicas o en el caso de no contar con él % solicitado de emprendimiento empresas de mujeres, </w:t>
      </w:r>
      <w:proofErr w:type="spellStart"/>
      <w:r w:rsidRPr="00992D2F">
        <w:rPr>
          <w:rFonts w:ascii="Verdana" w:eastAsia="Times New Roman" w:hAnsi="Verdana" w:cs="Arial"/>
          <w:sz w:val="21"/>
          <w:szCs w:val="21"/>
          <w:lang w:eastAsia="es-ES_tradnl"/>
        </w:rPr>
        <w:t>etc</w:t>
      </w:r>
      <w:proofErr w:type="spellEnd"/>
      <w:r w:rsidRPr="00992D2F">
        <w:rPr>
          <w:rFonts w:ascii="Verdana" w:eastAsia="Times New Roman" w:hAnsi="Verdana" w:cs="Arial"/>
          <w:sz w:val="21"/>
          <w:szCs w:val="21"/>
          <w:lang w:eastAsia="es-ES_tradnl"/>
        </w:rPr>
        <w:t xml:space="preserve">, suponiendo que se presente esta compañía en 100 proceso en un año, supuestamente el concepto indica que se debe crear 100 proponentes plurales en el </w:t>
      </w:r>
      <w:proofErr w:type="spellStart"/>
      <w:r w:rsidRPr="00992D2F">
        <w:rPr>
          <w:rFonts w:ascii="Verdana" w:eastAsia="Times New Roman" w:hAnsi="Verdana" w:cs="Arial"/>
          <w:sz w:val="21"/>
          <w:szCs w:val="21"/>
          <w:lang w:eastAsia="es-ES_tradnl"/>
        </w:rPr>
        <w:t>secop</w:t>
      </w:r>
      <w:proofErr w:type="spellEnd"/>
      <w:r w:rsidRPr="00992D2F">
        <w:rPr>
          <w:rFonts w:ascii="Verdana" w:eastAsia="Times New Roman" w:hAnsi="Verdana" w:cs="Arial"/>
          <w:sz w:val="21"/>
          <w:szCs w:val="21"/>
          <w:lang w:eastAsia="es-ES_tradnl"/>
        </w:rPr>
        <w:t xml:space="preserve"> 2, No creo que esto lo haya indicado Colombia Compra Eficiente.</w:t>
      </w:r>
      <w:r w:rsidRPr="004A7575">
        <w:rPr>
          <w:rFonts w:ascii="Verdana" w:eastAsia="Times New Roman" w:hAnsi="Verdana" w:cs="Arial"/>
          <w:sz w:val="21"/>
          <w:szCs w:val="21"/>
          <w:lang w:eastAsia="es-ES_tradnl"/>
        </w:rPr>
        <w:t>?</w:t>
      </w:r>
      <w:r w:rsidRPr="00CC5C68">
        <w:rPr>
          <w:rFonts w:ascii="Verdana" w:eastAsia="Times New Roman" w:hAnsi="Verdana" w:cs="Arial"/>
          <w:sz w:val="21"/>
          <w:szCs w:val="21"/>
          <w:lang w:eastAsia="es-ES_tradnl"/>
        </w:rPr>
        <w:t>”</w:t>
      </w:r>
      <w:r>
        <w:rPr>
          <w:rFonts w:ascii="Verdana" w:eastAsia="Times New Roman" w:hAnsi="Verdana" w:cs="Arial"/>
          <w:sz w:val="21"/>
          <w:szCs w:val="21"/>
          <w:lang w:eastAsia="es-ES_tradnl"/>
        </w:rPr>
        <w:t xml:space="preserve"> </w:t>
      </w:r>
    </w:p>
    <w:p w14:paraId="049F31CB" w14:textId="77777777" w:rsidR="00BF0971" w:rsidRDefault="00BF0971" w:rsidP="00BF0971">
      <w:pPr>
        <w:spacing w:after="0" w:line="240" w:lineRule="auto"/>
        <w:ind w:left="709" w:right="709"/>
        <w:contextualSpacing/>
        <w:jc w:val="both"/>
        <w:rPr>
          <w:rFonts w:ascii="Verdana" w:eastAsia="Times New Roman" w:hAnsi="Verdana" w:cs="Arial"/>
          <w:sz w:val="21"/>
          <w:szCs w:val="21"/>
          <w:lang w:eastAsia="es-ES_tradnl"/>
        </w:rPr>
      </w:pPr>
    </w:p>
    <w:p w14:paraId="60D94645" w14:textId="77777777" w:rsidR="00BF0971" w:rsidRPr="006151BA" w:rsidRDefault="00BF0971" w:rsidP="00BF0971">
      <w:pPr>
        <w:spacing w:after="0" w:line="240" w:lineRule="auto"/>
        <w:ind w:left="709" w:right="709"/>
        <w:contextualSpacing/>
        <w:jc w:val="both"/>
        <w:rPr>
          <w:rFonts w:ascii="Verdana" w:eastAsia="Times New Roman" w:hAnsi="Verdana" w:cs="Arial"/>
          <w:sz w:val="21"/>
          <w:szCs w:val="21"/>
          <w:lang w:eastAsia="es-ES_tradnl"/>
        </w:rPr>
      </w:pPr>
      <w:r>
        <w:rPr>
          <w:rFonts w:ascii="Verdana" w:eastAsia="Times New Roman" w:hAnsi="Verdana" w:cs="Arial"/>
          <w:sz w:val="21"/>
          <w:szCs w:val="21"/>
          <w:lang w:eastAsia="es-ES_tradnl"/>
        </w:rPr>
        <w:t>C</w:t>
      </w:r>
      <w:r w:rsidRPr="006151BA">
        <w:rPr>
          <w:rFonts w:ascii="Verdana" w:eastAsia="Times New Roman" w:hAnsi="Verdana" w:cs="Arial"/>
          <w:sz w:val="21"/>
          <w:szCs w:val="21"/>
          <w:lang w:eastAsia="es-ES_tradnl"/>
        </w:rPr>
        <w:t xml:space="preserve">on la presente solicito concepto de </w:t>
      </w:r>
      <w:proofErr w:type="gramStart"/>
      <w:r w:rsidRPr="006151BA">
        <w:rPr>
          <w:rFonts w:ascii="Verdana" w:eastAsia="Times New Roman" w:hAnsi="Verdana" w:cs="Arial"/>
          <w:sz w:val="21"/>
          <w:szCs w:val="21"/>
          <w:lang w:eastAsia="es-ES_tradnl"/>
        </w:rPr>
        <w:t>CCE ,</w:t>
      </w:r>
      <w:proofErr w:type="gramEnd"/>
      <w:r w:rsidRPr="006151BA">
        <w:rPr>
          <w:rFonts w:ascii="Verdana" w:eastAsia="Times New Roman" w:hAnsi="Verdana" w:cs="Arial"/>
          <w:sz w:val="21"/>
          <w:szCs w:val="21"/>
          <w:lang w:eastAsia="es-ES_tradnl"/>
        </w:rPr>
        <w:t xml:space="preserve"> referente a un concepto 227 de 7 de octubre que indica la </w:t>
      </w:r>
      <w:proofErr w:type="spellStart"/>
      <w:r w:rsidRPr="006151BA">
        <w:rPr>
          <w:rFonts w:ascii="Verdana" w:eastAsia="Times New Roman" w:hAnsi="Verdana" w:cs="Arial"/>
          <w:sz w:val="21"/>
          <w:szCs w:val="21"/>
          <w:lang w:eastAsia="es-ES_tradnl"/>
        </w:rPr>
        <w:t>alcaldía</w:t>
      </w:r>
      <w:proofErr w:type="spellEnd"/>
      <w:r w:rsidRPr="006151BA">
        <w:rPr>
          <w:rFonts w:ascii="Verdana" w:eastAsia="Times New Roman" w:hAnsi="Verdana" w:cs="Arial"/>
          <w:sz w:val="21"/>
          <w:szCs w:val="21"/>
          <w:lang w:eastAsia="es-ES_tradnl"/>
        </w:rPr>
        <w:t xml:space="preserve"> de San </w:t>
      </w:r>
      <w:proofErr w:type="spellStart"/>
      <w:r w:rsidRPr="006151BA">
        <w:rPr>
          <w:rFonts w:ascii="Verdana" w:eastAsia="Times New Roman" w:hAnsi="Verdana" w:cs="Arial"/>
          <w:sz w:val="21"/>
          <w:szCs w:val="21"/>
          <w:lang w:eastAsia="es-ES_tradnl"/>
        </w:rPr>
        <w:t>Cristóbal</w:t>
      </w:r>
      <w:proofErr w:type="spellEnd"/>
      <w:r w:rsidRPr="006151BA">
        <w:rPr>
          <w:rFonts w:ascii="Verdana" w:eastAsia="Times New Roman" w:hAnsi="Verdana" w:cs="Arial"/>
          <w:sz w:val="21"/>
          <w:szCs w:val="21"/>
          <w:lang w:eastAsia="es-ES_tradnl"/>
        </w:rPr>
        <w:t xml:space="preserve"> fue emitido por ustedes y que </w:t>
      </w:r>
      <w:proofErr w:type="spellStart"/>
      <w:r w:rsidRPr="006151BA">
        <w:rPr>
          <w:rFonts w:ascii="Verdana" w:eastAsia="Times New Roman" w:hAnsi="Verdana" w:cs="Arial"/>
          <w:sz w:val="21"/>
          <w:szCs w:val="21"/>
          <w:lang w:eastAsia="es-ES_tradnl"/>
        </w:rPr>
        <w:t>conceptúa</w:t>
      </w:r>
      <w:proofErr w:type="spellEnd"/>
      <w:r w:rsidRPr="006151BA">
        <w:rPr>
          <w:rFonts w:ascii="Verdana" w:eastAsia="Times New Roman" w:hAnsi="Verdana" w:cs="Arial"/>
          <w:sz w:val="21"/>
          <w:szCs w:val="21"/>
          <w:lang w:eastAsia="es-ES_tradnl"/>
        </w:rPr>
        <w:t xml:space="preserve"> que TODO proponente plural creado en el SECOP II solo se debe presentar para un solo proceso. Estoy seguro </w:t>
      </w:r>
      <w:proofErr w:type="gramStart"/>
      <w:r w:rsidRPr="006151BA">
        <w:rPr>
          <w:rFonts w:ascii="Verdana" w:eastAsia="Times New Roman" w:hAnsi="Verdana" w:cs="Arial"/>
          <w:sz w:val="21"/>
          <w:szCs w:val="21"/>
          <w:lang w:eastAsia="es-ES_tradnl"/>
        </w:rPr>
        <w:t>que</w:t>
      </w:r>
      <w:proofErr w:type="gramEnd"/>
      <w:r w:rsidRPr="006151BA">
        <w:rPr>
          <w:rFonts w:ascii="Verdana" w:eastAsia="Times New Roman" w:hAnsi="Verdana" w:cs="Arial"/>
          <w:sz w:val="21"/>
          <w:szCs w:val="21"/>
          <w:lang w:eastAsia="es-ES_tradnl"/>
        </w:rPr>
        <w:t xml:space="preserve"> la entidad en </w:t>
      </w:r>
      <w:proofErr w:type="spellStart"/>
      <w:r w:rsidRPr="006151BA">
        <w:rPr>
          <w:rFonts w:ascii="Verdana" w:eastAsia="Times New Roman" w:hAnsi="Verdana" w:cs="Arial"/>
          <w:sz w:val="21"/>
          <w:szCs w:val="21"/>
          <w:lang w:eastAsia="es-ES_tradnl"/>
        </w:rPr>
        <w:t>ningún</w:t>
      </w:r>
      <w:proofErr w:type="spellEnd"/>
      <w:r w:rsidRPr="006151BA">
        <w:rPr>
          <w:rFonts w:ascii="Verdana" w:eastAsia="Times New Roman" w:hAnsi="Verdana" w:cs="Arial"/>
          <w:sz w:val="21"/>
          <w:szCs w:val="21"/>
          <w:lang w:eastAsia="es-ES_tradnl"/>
        </w:rPr>
        <w:t xml:space="preserve"> caso realizará dicho concepto debido que ustedes </w:t>
      </w:r>
      <w:proofErr w:type="spellStart"/>
      <w:r w:rsidRPr="006151BA">
        <w:rPr>
          <w:rFonts w:ascii="Verdana" w:eastAsia="Times New Roman" w:hAnsi="Verdana" w:cs="Arial"/>
          <w:sz w:val="21"/>
          <w:szCs w:val="21"/>
          <w:lang w:eastAsia="es-ES_tradnl"/>
        </w:rPr>
        <w:t>están</w:t>
      </w:r>
      <w:proofErr w:type="spellEnd"/>
      <w:r w:rsidRPr="006151BA">
        <w:rPr>
          <w:rFonts w:ascii="Verdana" w:eastAsia="Times New Roman" w:hAnsi="Verdana" w:cs="Arial"/>
          <w:sz w:val="21"/>
          <w:szCs w:val="21"/>
          <w:lang w:eastAsia="es-ES_tradnl"/>
        </w:rPr>
        <w:t xml:space="preserve"> en pro de la eficiencia en los procesos de </w:t>
      </w:r>
      <w:proofErr w:type="spellStart"/>
      <w:r w:rsidRPr="006151BA">
        <w:rPr>
          <w:rFonts w:ascii="Verdana" w:eastAsia="Times New Roman" w:hAnsi="Verdana" w:cs="Arial"/>
          <w:sz w:val="21"/>
          <w:szCs w:val="21"/>
          <w:lang w:eastAsia="es-ES_tradnl"/>
        </w:rPr>
        <w:t>selección</w:t>
      </w:r>
      <w:proofErr w:type="spellEnd"/>
      <w:r w:rsidRPr="006151BA">
        <w:rPr>
          <w:rFonts w:ascii="Verdana" w:eastAsia="Times New Roman" w:hAnsi="Verdana" w:cs="Arial"/>
          <w:sz w:val="21"/>
          <w:szCs w:val="21"/>
          <w:lang w:eastAsia="es-ES_tradnl"/>
        </w:rPr>
        <w:t xml:space="preserve"> de las entidades. ¿Una empresa que requiera apoyo de otra empresa y quiera presentar 200 propuestas al </w:t>
      </w:r>
      <w:proofErr w:type="spellStart"/>
      <w:r w:rsidRPr="006151BA">
        <w:rPr>
          <w:rFonts w:ascii="Verdana" w:eastAsia="Times New Roman" w:hAnsi="Verdana" w:cs="Arial"/>
          <w:sz w:val="21"/>
          <w:szCs w:val="21"/>
          <w:lang w:eastAsia="es-ES_tradnl"/>
        </w:rPr>
        <w:t>año</w:t>
      </w:r>
      <w:proofErr w:type="spellEnd"/>
      <w:r w:rsidRPr="006151BA">
        <w:rPr>
          <w:rFonts w:ascii="Verdana" w:eastAsia="Times New Roman" w:hAnsi="Verdana" w:cs="Arial"/>
          <w:sz w:val="21"/>
          <w:szCs w:val="21"/>
          <w:lang w:eastAsia="es-ES_tradnl"/>
        </w:rPr>
        <w:t xml:space="preserve"> </w:t>
      </w:r>
      <w:proofErr w:type="spellStart"/>
      <w:r w:rsidRPr="006151BA">
        <w:rPr>
          <w:rFonts w:ascii="Verdana" w:eastAsia="Times New Roman" w:hAnsi="Verdana" w:cs="Arial"/>
          <w:sz w:val="21"/>
          <w:szCs w:val="21"/>
          <w:lang w:eastAsia="es-ES_tradnl"/>
        </w:rPr>
        <w:t>debería</w:t>
      </w:r>
      <w:proofErr w:type="spellEnd"/>
      <w:r w:rsidRPr="006151BA">
        <w:rPr>
          <w:rFonts w:ascii="Verdana" w:eastAsia="Times New Roman" w:hAnsi="Verdana" w:cs="Arial"/>
          <w:sz w:val="21"/>
          <w:szCs w:val="21"/>
          <w:lang w:eastAsia="es-ES_tradnl"/>
        </w:rPr>
        <w:t xml:space="preserve"> crear 200 proponente plural? Por favor el concepto URGENTE para desvirtuar esta mala </w:t>
      </w:r>
      <w:proofErr w:type="spellStart"/>
      <w:r w:rsidRPr="006151BA">
        <w:rPr>
          <w:rFonts w:ascii="Verdana" w:eastAsia="Times New Roman" w:hAnsi="Verdana" w:cs="Arial"/>
          <w:sz w:val="21"/>
          <w:szCs w:val="21"/>
          <w:lang w:eastAsia="es-ES_tradnl"/>
        </w:rPr>
        <w:t>interpretación</w:t>
      </w:r>
      <w:proofErr w:type="spellEnd"/>
      <w:r w:rsidRPr="006151BA">
        <w:rPr>
          <w:rFonts w:ascii="Verdana" w:eastAsia="Times New Roman" w:hAnsi="Verdana" w:cs="Arial"/>
          <w:sz w:val="21"/>
          <w:szCs w:val="21"/>
          <w:lang w:eastAsia="es-ES_tradnl"/>
        </w:rPr>
        <w:t xml:space="preserve">. </w:t>
      </w:r>
    </w:p>
    <w:p w14:paraId="53128261" w14:textId="77777777" w:rsidR="00BF0971" w:rsidRDefault="00BF0971" w:rsidP="00BF0971">
      <w:pPr>
        <w:spacing w:after="0" w:line="240" w:lineRule="auto"/>
        <w:ind w:right="709"/>
        <w:contextualSpacing/>
        <w:jc w:val="both"/>
        <w:rPr>
          <w:rFonts w:ascii="Verdana" w:eastAsia="Times New Roman" w:hAnsi="Verdana" w:cs="Arial"/>
          <w:sz w:val="21"/>
          <w:szCs w:val="21"/>
          <w:lang w:eastAsia="es-ES_tradnl"/>
        </w:rPr>
      </w:pPr>
    </w:p>
    <w:p w14:paraId="62486C05" w14:textId="77777777" w:rsidR="00BF0971" w:rsidRPr="00CC5C68" w:rsidRDefault="00BF0971" w:rsidP="00BF0971">
      <w:pPr>
        <w:spacing w:after="0" w:line="240" w:lineRule="auto"/>
        <w:ind w:right="709"/>
        <w:contextualSpacing/>
        <w:jc w:val="both"/>
        <w:rPr>
          <w:rFonts w:ascii="Verdana" w:eastAsia="Times New Roman" w:hAnsi="Verdana" w:cs="Arial"/>
          <w:sz w:val="21"/>
          <w:szCs w:val="21"/>
          <w:lang w:eastAsia="es-ES_tradnl"/>
        </w:rPr>
      </w:pPr>
    </w:p>
    <w:p w14:paraId="50C2514A" w14:textId="77777777" w:rsidR="00BF0971" w:rsidRPr="00CC5C68" w:rsidRDefault="00BF0971" w:rsidP="00BF0971">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246CC439" w14:textId="77777777" w:rsidR="00BF0971" w:rsidRPr="00CC5C68" w:rsidRDefault="00BF0971" w:rsidP="00BF0971">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Conforme lo expuesto, en aras de satisfacer el derecho fundamental de petición se resolverá su consulta dentro de los límites de la referida competencia consultiva,</w:t>
      </w:r>
      <w:r>
        <w:rPr>
          <w:rFonts w:ascii="Verdana" w:eastAsia="Calibri" w:hAnsi="Verdana" w:cs="Arial"/>
          <w:lang w:val="es-ES" w:eastAsia="es-ES"/>
        </w:rPr>
        <w:t xml:space="preserve"> </w:t>
      </w:r>
      <w:r w:rsidRPr="00CC5C68">
        <w:rPr>
          <w:rFonts w:ascii="Verdana" w:eastAsia="Calibri" w:hAnsi="Verdana" w:cs="Arial"/>
          <w:lang w:val="es-ES" w:eastAsia="es-ES"/>
        </w:rPr>
        <w:t xml:space="preserve">haciendo unas consideraciones sobre las normas generales relacionadas con los problemas jurídicos de su consulta. </w:t>
      </w:r>
    </w:p>
    <w:p w14:paraId="4101652C" w14:textId="77777777" w:rsidR="00BF0971" w:rsidRPr="00CC5C68" w:rsidRDefault="00BF0971" w:rsidP="00BF0971">
      <w:pPr>
        <w:spacing w:after="0" w:line="276" w:lineRule="auto"/>
        <w:contextualSpacing/>
        <w:jc w:val="both"/>
        <w:rPr>
          <w:rFonts w:ascii="Verdana" w:eastAsia="Times New Roman" w:hAnsi="Verdana" w:cs="Arial"/>
          <w:szCs w:val="24"/>
          <w:lang w:val="es-ES_tradnl" w:eastAsia="es-ES_tradnl"/>
        </w:rPr>
      </w:pPr>
    </w:p>
    <w:p w14:paraId="2BE6DE61" w14:textId="77777777" w:rsidR="00BF0971" w:rsidRPr="00CC5C68" w:rsidRDefault="00BF0971" w:rsidP="00BF0971">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4B99056E" w14:textId="77777777" w:rsidR="00BF0971" w:rsidRPr="00CC5C68" w:rsidRDefault="00BF0971" w:rsidP="00BF0971">
      <w:pPr>
        <w:tabs>
          <w:tab w:val="left" w:pos="0"/>
          <w:tab w:val="left" w:pos="284"/>
        </w:tabs>
        <w:spacing w:after="0" w:line="276" w:lineRule="auto"/>
        <w:contextualSpacing/>
        <w:jc w:val="both"/>
        <w:rPr>
          <w:rFonts w:ascii="Verdana" w:eastAsia="Calibri" w:hAnsi="Verdana" w:cs="Arial"/>
          <w:b/>
          <w:lang w:val="es-ES_tradnl"/>
        </w:rPr>
      </w:pPr>
    </w:p>
    <w:p w14:paraId="56981776" w14:textId="77777777" w:rsidR="00BF0971" w:rsidRPr="00992D2F" w:rsidRDefault="00BF0971" w:rsidP="00BF0971">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w:t>
      </w:r>
      <w:r w:rsidRPr="00CC5C68">
        <w:rPr>
          <w:rFonts w:ascii="Verdana" w:eastAsia="Century Gothic" w:hAnsi="Verdana" w:cs="Century Gothic"/>
        </w:rPr>
        <w:t>siguiente problema jurídico</w:t>
      </w:r>
      <w:r>
        <w:rPr>
          <w:rFonts w:ascii="Verdana" w:eastAsia="Century Gothic" w:hAnsi="Verdana" w:cs="Century Gothic"/>
        </w:rPr>
        <w:t>, en materia de contratación estatal</w:t>
      </w:r>
      <w:r w:rsidRPr="00CC5C68">
        <w:rPr>
          <w:rFonts w:ascii="Verdana" w:eastAsia="Century Gothic" w:hAnsi="Verdana" w:cs="Century Gothic"/>
        </w:rPr>
        <w:t xml:space="preserve">: </w:t>
      </w:r>
      <w:r w:rsidRPr="00992D2F">
        <w:rPr>
          <w:rFonts w:ascii="Verdana" w:eastAsia="Century Gothic" w:hAnsi="Verdana" w:cs="Century Gothic"/>
        </w:rPr>
        <w:t>¿</w:t>
      </w:r>
      <w:r>
        <w:rPr>
          <w:rFonts w:ascii="Verdana" w:eastAsia="Century Gothic" w:hAnsi="Verdana" w:cs="Century Gothic"/>
          <w:lang w:val="es-ES"/>
        </w:rPr>
        <w:t>E</w:t>
      </w:r>
      <w:r w:rsidRPr="00992D2F">
        <w:rPr>
          <w:rFonts w:ascii="Verdana" w:eastAsia="Century Gothic" w:hAnsi="Verdana" w:cs="Century Gothic"/>
          <w:lang w:val="es-ES"/>
        </w:rPr>
        <w:t xml:space="preserve">s viable jurídicamente que </w:t>
      </w:r>
      <w:r>
        <w:rPr>
          <w:rFonts w:ascii="Verdana" w:eastAsia="Century Gothic" w:hAnsi="Verdana" w:cs="Century Gothic"/>
          <w:lang w:val="es-ES"/>
        </w:rPr>
        <w:t xml:space="preserve">el mismo proponente plural </w:t>
      </w:r>
      <w:r w:rsidRPr="00992D2F">
        <w:rPr>
          <w:rFonts w:ascii="Verdana" w:eastAsia="Century Gothic" w:hAnsi="Verdana" w:cs="Century Gothic"/>
          <w:lang w:val="es-ES"/>
        </w:rPr>
        <w:t>se presente en proceso</w:t>
      </w:r>
      <w:r>
        <w:rPr>
          <w:rFonts w:ascii="Verdana" w:eastAsia="Century Gothic" w:hAnsi="Verdana" w:cs="Century Gothic"/>
          <w:lang w:val="es-ES"/>
        </w:rPr>
        <w:t>s</w:t>
      </w:r>
      <w:r w:rsidRPr="00992D2F">
        <w:rPr>
          <w:rFonts w:ascii="Verdana" w:eastAsia="Century Gothic" w:hAnsi="Verdana" w:cs="Century Gothic"/>
          <w:lang w:val="es-ES"/>
        </w:rPr>
        <w:t xml:space="preserve"> de contratación adelantados por diferentes entidades pública</w:t>
      </w:r>
      <w:r>
        <w:rPr>
          <w:rFonts w:ascii="Verdana" w:eastAsia="Century Gothic" w:hAnsi="Verdana" w:cs="Century Gothic"/>
          <w:lang w:val="es-ES"/>
        </w:rPr>
        <w:t>s</w:t>
      </w:r>
      <w:r w:rsidRPr="00992D2F">
        <w:rPr>
          <w:rFonts w:ascii="Verdana" w:eastAsia="Century Gothic" w:hAnsi="Verdana" w:cs="Century Gothic"/>
        </w:rPr>
        <w:t xml:space="preserve">? </w:t>
      </w:r>
    </w:p>
    <w:p w14:paraId="1299C43A" w14:textId="77777777" w:rsidR="00BF0971" w:rsidRDefault="00BF0971" w:rsidP="00BF0971">
      <w:pPr>
        <w:spacing w:after="0" w:line="276" w:lineRule="auto"/>
        <w:jc w:val="both"/>
        <w:rPr>
          <w:rFonts w:ascii="Verdana" w:eastAsia="Century Gothic" w:hAnsi="Verdana" w:cs="Century Gothic"/>
        </w:rPr>
      </w:pPr>
    </w:p>
    <w:p w14:paraId="417F999A" w14:textId="77777777" w:rsidR="00BF0971" w:rsidRPr="00CC5C68" w:rsidRDefault="00BF0971" w:rsidP="00BF0971">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4DDBEF00" w14:textId="77777777" w:rsidR="00BF0971" w:rsidRPr="00CC5C68" w:rsidRDefault="00BF0971" w:rsidP="00BF097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F0971" w:rsidRPr="00CC5C68" w14:paraId="06FC80C3" w14:textId="77777777" w:rsidTr="00C77973">
        <w:tc>
          <w:tcPr>
            <w:tcW w:w="8828" w:type="dxa"/>
            <w:shd w:val="clear" w:color="auto" w:fill="auto"/>
          </w:tcPr>
          <w:p w14:paraId="7E128DB2" w14:textId="77777777" w:rsidR="00BF0971" w:rsidRDefault="00BF0971" w:rsidP="00C77973">
            <w:pPr>
              <w:spacing w:after="120" w:line="276" w:lineRule="auto"/>
              <w:jc w:val="both"/>
              <w:rPr>
                <w:rFonts w:ascii="Verdana" w:eastAsia="Calibri" w:hAnsi="Verdana" w:cs="Arial"/>
              </w:rPr>
            </w:pPr>
            <w:r>
              <w:rPr>
                <w:rFonts w:ascii="Verdana" w:eastAsia="Calibri" w:hAnsi="Verdana" w:cs="Arial"/>
                <w:lang w:val="es-ES"/>
              </w:rPr>
              <w:lastRenderedPageBreak/>
              <w:t xml:space="preserve">Frente al interrogante planteado, es pertinente indicar que es viable jurídicamente que el mismo proponente plural se presente en uno o varios procesos de contratación adelantados por diferentes entidades públicas, sin perjuicio </w:t>
            </w:r>
            <w:r>
              <w:rPr>
                <w:rFonts w:ascii="Verdana" w:hAnsi="Verdana" w:cs="Arial"/>
                <w:color w:val="000000" w:themeColor="text1"/>
              </w:rPr>
              <w:t>de cumplir con las condiciones de uso del SECOP II en los procesos que se gestionan de manera transaccional, es decir, es deber de los proponentes realizar la respectiva inscripción del proponente plural de manera individual a cada proceso que pretende postularse</w:t>
            </w:r>
            <w:r>
              <w:rPr>
                <w:rFonts w:ascii="Verdana" w:eastAsia="Calibri" w:hAnsi="Verdana" w:cs="Arial"/>
                <w:lang w:val="es-ES"/>
              </w:rPr>
              <w:t>. Lo anterior fundamentado en que e</w:t>
            </w:r>
            <w:r w:rsidRPr="00065C6D">
              <w:rPr>
                <w:rFonts w:ascii="Verdana" w:eastAsia="Calibri" w:hAnsi="Verdana" w:cs="Arial"/>
                <w:lang w:val="es-ES"/>
              </w:rPr>
              <w:t>l consorcio o la unión temporal surge “Cuando dos o más personas en forma conjunta presentan una misma propuesta para la adjudicación, celebración y ejecución de un contrato […]”.</w:t>
            </w:r>
            <w:r>
              <w:rPr>
                <w:rStyle w:val="Refdenotaalpie"/>
                <w:rFonts w:ascii="Verdana" w:eastAsia="Calibri" w:hAnsi="Verdana" w:cs="Arial"/>
                <w:lang w:val="es-ES"/>
              </w:rPr>
              <w:footnoteReference w:id="1"/>
            </w:r>
            <w:r w:rsidRPr="00065C6D">
              <w:rPr>
                <w:rFonts w:ascii="Verdana" w:eastAsia="Calibri" w:hAnsi="Verdana" w:cs="Arial"/>
                <w:lang w:val="es-ES"/>
              </w:rPr>
              <w:t xml:space="preserve"> </w:t>
            </w:r>
            <w:r w:rsidRPr="00071565">
              <w:rPr>
                <w:rFonts w:ascii="Verdana" w:eastAsia="Calibri" w:hAnsi="Verdana" w:cs="Arial"/>
              </w:rPr>
              <w:t xml:space="preserve">Como </w:t>
            </w:r>
            <w:r>
              <w:rPr>
                <w:rFonts w:ascii="Verdana" w:eastAsia="Calibri" w:hAnsi="Verdana" w:cs="Arial"/>
              </w:rPr>
              <w:t xml:space="preserve">se </w:t>
            </w:r>
            <w:r w:rsidRPr="00071565">
              <w:rPr>
                <w:rFonts w:ascii="Verdana" w:eastAsia="Calibri" w:hAnsi="Verdana" w:cs="Arial"/>
              </w:rPr>
              <w:t>p</w:t>
            </w:r>
            <w:r>
              <w:rPr>
                <w:rFonts w:ascii="Verdana" w:eastAsia="Calibri" w:hAnsi="Verdana" w:cs="Arial"/>
              </w:rPr>
              <w:t>uede</w:t>
            </w:r>
            <w:r w:rsidRPr="00071565">
              <w:rPr>
                <w:rFonts w:ascii="Verdana" w:eastAsia="Calibri" w:hAnsi="Verdana" w:cs="Arial"/>
              </w:rPr>
              <w:t xml:space="preserve"> observar, la definición de estos convenios hace especial precisión en que la creación de </w:t>
            </w:r>
            <w:proofErr w:type="gramStart"/>
            <w:r w:rsidRPr="00071565">
              <w:rPr>
                <w:rFonts w:ascii="Verdana" w:eastAsia="Calibri" w:hAnsi="Verdana" w:cs="Arial"/>
              </w:rPr>
              <w:t>estos</w:t>
            </w:r>
            <w:r>
              <w:rPr>
                <w:rFonts w:ascii="Verdana" w:eastAsia="Calibri" w:hAnsi="Verdana" w:cs="Arial"/>
              </w:rPr>
              <w:t>,</w:t>
            </w:r>
            <w:proofErr w:type="gramEnd"/>
            <w:r>
              <w:rPr>
                <w:rFonts w:ascii="Verdana" w:eastAsia="Calibri" w:hAnsi="Verdana" w:cs="Arial"/>
              </w:rPr>
              <w:t xml:space="preserve"> </w:t>
            </w:r>
            <w:r w:rsidRPr="00071565">
              <w:rPr>
                <w:rFonts w:ascii="Verdana" w:eastAsia="Calibri" w:hAnsi="Verdana" w:cs="Arial"/>
              </w:rPr>
              <w:t>tiene un fin claro y es la facultad de ser adjudicatarios de</w:t>
            </w:r>
            <w:r w:rsidRPr="003734FE">
              <w:rPr>
                <w:rFonts w:ascii="Verdana" w:eastAsia="Calibri" w:hAnsi="Verdana" w:cs="Arial"/>
                <w:u w:val="single"/>
              </w:rPr>
              <w:t>l contrato estatal</w:t>
            </w:r>
            <w:r w:rsidRPr="003734FE">
              <w:rPr>
                <w:rFonts w:ascii="Verdana" w:eastAsia="Calibri" w:hAnsi="Verdana" w:cs="Arial"/>
              </w:rPr>
              <w:t xml:space="preserve">. </w:t>
            </w:r>
          </w:p>
          <w:p w14:paraId="3461D779" w14:textId="77777777" w:rsidR="00BF0971" w:rsidRDefault="00BF0971" w:rsidP="00C77973">
            <w:pPr>
              <w:spacing w:after="120" w:line="276" w:lineRule="auto"/>
              <w:jc w:val="both"/>
              <w:rPr>
                <w:rFonts w:ascii="Verdana" w:eastAsia="Calibri" w:hAnsi="Verdana" w:cs="Arial"/>
              </w:rPr>
            </w:pPr>
          </w:p>
          <w:p w14:paraId="406431FF" w14:textId="77777777" w:rsidR="00BF0971" w:rsidRDefault="00BF0971" w:rsidP="00C77973">
            <w:pPr>
              <w:spacing w:after="120" w:line="276" w:lineRule="auto"/>
              <w:jc w:val="both"/>
              <w:rPr>
                <w:rFonts w:ascii="Verdana" w:eastAsia="Calibri" w:hAnsi="Verdana" w:cs="Arial"/>
              </w:rPr>
            </w:pPr>
            <w:r>
              <w:rPr>
                <w:rFonts w:ascii="Verdana" w:eastAsia="Calibri" w:hAnsi="Verdana" w:cs="Arial"/>
              </w:rPr>
              <w:t xml:space="preserve">Ahora bien, la Agencia ha definido unas líneas claras en la que se explica en los conceptos más recientes C-050 del 18 de julio de 2024, C-727 del 28 de octubre de 2024, entre otros, por lo que no hay lugar a confusión con lo emitido en el concepto </w:t>
            </w:r>
            <w:r w:rsidRPr="003734FE">
              <w:rPr>
                <w:rFonts w:ascii="Verdana" w:eastAsia="Calibri" w:hAnsi="Verdana" w:cs="Arial"/>
              </w:rPr>
              <w:t>C-627 del 7 de octubre</w:t>
            </w:r>
            <w:r>
              <w:rPr>
                <w:rFonts w:ascii="Verdana" w:eastAsia="Calibri" w:hAnsi="Verdana" w:cs="Arial"/>
              </w:rPr>
              <w:t xml:space="preserve"> de 2024, y se aclara que:</w:t>
            </w:r>
          </w:p>
          <w:p w14:paraId="3CF2D8B6" w14:textId="77777777" w:rsidR="00BF0971" w:rsidRDefault="00BF0971" w:rsidP="00C77973">
            <w:pPr>
              <w:spacing w:after="120" w:line="276" w:lineRule="auto"/>
              <w:jc w:val="both"/>
              <w:rPr>
                <w:rFonts w:ascii="Verdana" w:eastAsia="Calibri" w:hAnsi="Verdana" w:cs="Arial"/>
              </w:rPr>
            </w:pPr>
          </w:p>
          <w:p w14:paraId="3906EF29" w14:textId="77777777" w:rsidR="00BF0971" w:rsidRPr="003734FE" w:rsidRDefault="00BF0971" w:rsidP="00C77973">
            <w:pPr>
              <w:spacing w:after="120" w:line="276" w:lineRule="auto"/>
              <w:ind w:left="709" w:right="709"/>
              <w:jc w:val="both"/>
              <w:rPr>
                <w:rFonts w:ascii="Verdana" w:eastAsia="Calibri" w:hAnsi="Verdana" w:cs="Arial"/>
              </w:rPr>
            </w:pPr>
            <w:r>
              <w:rPr>
                <w:rFonts w:ascii="Verdana" w:eastAsia="Calibri" w:hAnsi="Verdana" w:cs="Arial"/>
              </w:rPr>
              <w:t>Lo</w:t>
            </w:r>
            <w:r w:rsidRPr="003734FE">
              <w:rPr>
                <w:rFonts w:ascii="Verdana" w:eastAsia="Calibri" w:hAnsi="Verdana" w:cs="Arial"/>
              </w:rPr>
              <w:t xml:space="preserve">s </w:t>
            </w:r>
            <w:r>
              <w:rPr>
                <w:rFonts w:ascii="Verdana" w:eastAsia="Calibri" w:hAnsi="Verdana" w:cs="Arial"/>
              </w:rPr>
              <w:t>proponentes plurales</w:t>
            </w:r>
            <w:r w:rsidRPr="003734FE">
              <w:rPr>
                <w:rFonts w:ascii="Verdana" w:eastAsia="Calibri" w:hAnsi="Verdana" w:cs="Arial"/>
              </w:rPr>
              <w:t>,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w:t>
            </w:r>
            <w:r>
              <w:rPr>
                <w:rFonts w:ascii="Verdana" w:eastAsia="Calibri" w:hAnsi="Verdana" w:cs="Arial"/>
              </w:rPr>
              <w:t>o</w:t>
            </w:r>
            <w:r w:rsidRPr="003734FE">
              <w:rPr>
                <w:rFonts w:ascii="Verdana" w:eastAsia="Calibri" w:hAnsi="Verdana" w:cs="Arial"/>
              </w:rPr>
              <w:t xml:space="preserve"> o varios contratos estatales, compartiendo recursos, de toda índole, para su ejecución, así como las utilidades y los riesgos.</w:t>
            </w:r>
          </w:p>
          <w:p w14:paraId="420D85F6" w14:textId="77777777" w:rsidR="00BF0971" w:rsidRDefault="00BF0971" w:rsidP="00C77973">
            <w:pPr>
              <w:spacing w:after="120" w:line="276" w:lineRule="auto"/>
              <w:ind w:left="709" w:right="709"/>
              <w:jc w:val="both"/>
              <w:rPr>
                <w:rFonts w:ascii="Verdana" w:eastAsia="Calibri" w:hAnsi="Verdana" w:cs="Arial"/>
              </w:rPr>
            </w:pPr>
            <w:r w:rsidRPr="003734FE">
              <w:rPr>
                <w:rFonts w:ascii="Verdana" w:eastAsia="Calibri" w:hAnsi="Verdana" w:cs="Arial"/>
              </w:rPr>
              <w:t>Es de tener en cuenta que un proponente plural, aunque por lo general es creado para participar en un proceso de selección en particular, no existe impedimento o prohibición alguna que limite su actividad a un solo contrato, es decir puede participar en más de un proceso de selección y así mismo ejecutar más de un contrato.</w:t>
            </w:r>
            <w:r>
              <w:rPr>
                <w:rFonts w:ascii="Verdana" w:eastAsia="Calibri" w:hAnsi="Verdana" w:cs="Arial"/>
              </w:rPr>
              <w:t xml:space="preserve"> […]</w:t>
            </w:r>
          </w:p>
          <w:p w14:paraId="0FB78278" w14:textId="77777777" w:rsidR="00BF0971" w:rsidRDefault="00BF0971" w:rsidP="00C77973">
            <w:pPr>
              <w:spacing w:after="120" w:line="276" w:lineRule="auto"/>
              <w:jc w:val="both"/>
              <w:rPr>
                <w:rFonts w:ascii="Verdana" w:eastAsia="Calibri" w:hAnsi="Verdana" w:cs="Arial"/>
              </w:rPr>
            </w:pPr>
          </w:p>
          <w:p w14:paraId="2733E9A3" w14:textId="77777777" w:rsidR="00BF0971" w:rsidRDefault="00BF0971" w:rsidP="00C77973">
            <w:pPr>
              <w:spacing w:after="120" w:line="276" w:lineRule="auto"/>
              <w:jc w:val="both"/>
              <w:rPr>
                <w:rFonts w:ascii="Verdana" w:eastAsia="Calibri" w:hAnsi="Verdana" w:cs="Arial"/>
                <w:lang w:val="es-ES"/>
              </w:rPr>
            </w:pPr>
            <w:r w:rsidRPr="00065C6D">
              <w:rPr>
                <w:rFonts w:ascii="Verdana" w:eastAsia="Calibri" w:hAnsi="Verdana" w:cs="Arial"/>
                <w:lang w:val="es-ES"/>
              </w:rPr>
              <w:lastRenderedPageBreak/>
              <w:t xml:space="preserve">Desde esta perspectiva, </w:t>
            </w:r>
            <w:r>
              <w:rPr>
                <w:rFonts w:ascii="Verdana" w:eastAsia="Calibri" w:hAnsi="Verdana" w:cs="Arial"/>
                <w:lang w:val="es-ES"/>
              </w:rPr>
              <w:t xml:space="preserve">la </w:t>
            </w:r>
            <w:r w:rsidRPr="00065C6D">
              <w:rPr>
                <w:rFonts w:ascii="Verdana" w:eastAsia="Calibri" w:hAnsi="Verdana" w:cs="Arial"/>
                <w:lang w:val="es-ES"/>
              </w:rPr>
              <w:t>capacidad jurídica</w:t>
            </w:r>
            <w:r>
              <w:rPr>
                <w:rFonts w:ascii="Verdana" w:eastAsia="Calibri" w:hAnsi="Verdana" w:cs="Arial"/>
                <w:lang w:val="es-ES"/>
              </w:rPr>
              <w:t xml:space="preserve"> de los proponentes plurales</w:t>
            </w:r>
            <w:r w:rsidRPr="00065C6D">
              <w:rPr>
                <w:rFonts w:ascii="Verdana" w:eastAsia="Calibri" w:hAnsi="Verdana" w:cs="Arial"/>
                <w:lang w:val="es-ES"/>
              </w:rPr>
              <w:t xml:space="preserve"> se limita al campo de la contratación estatal de las entidades sometidas al EGCAP, es decir, a las relaciones en consorcios y las uniones temporales con las entidades estatales del artículo 2 de la Ley 80 de 1993.</w:t>
            </w:r>
            <w:r>
              <w:rPr>
                <w:rFonts w:ascii="Verdana" w:eastAsia="Calibri" w:hAnsi="Verdana" w:cs="Arial"/>
                <w:lang w:val="es-ES"/>
              </w:rPr>
              <w:t xml:space="preserve"> </w:t>
            </w:r>
          </w:p>
          <w:p w14:paraId="511E2C42" w14:textId="77777777" w:rsidR="00BF0971" w:rsidRDefault="00BF0971" w:rsidP="00C77973">
            <w:pPr>
              <w:spacing w:after="120" w:line="276" w:lineRule="auto"/>
              <w:jc w:val="both"/>
              <w:rPr>
                <w:rFonts w:ascii="Verdana" w:hAnsi="Verdana" w:cs="Arial"/>
                <w:color w:val="000000" w:themeColor="text1"/>
              </w:rPr>
            </w:pPr>
            <w:r>
              <w:rPr>
                <w:rFonts w:ascii="Verdana" w:eastAsia="Calibri" w:hAnsi="Verdana" w:cs="Arial"/>
                <w:lang w:val="es-ES" w:eastAsia="es-ES"/>
              </w:rPr>
              <w:t>Así, l</w:t>
            </w:r>
            <w:r>
              <w:rPr>
                <w:rFonts w:ascii="Verdana" w:hAnsi="Verdana" w:cs="Arial"/>
                <w:color w:val="000000" w:themeColor="text1"/>
              </w:rPr>
              <w:t xml:space="preserve">as personas que conforman proponentes plurales pueden presentar </w:t>
            </w:r>
            <w:r w:rsidRPr="00B33BA7">
              <w:rPr>
                <w:rFonts w:ascii="Verdana" w:hAnsi="Verdana" w:cs="Arial"/>
                <w:color w:val="000000" w:themeColor="text1"/>
              </w:rPr>
              <w:t xml:space="preserve">en forma conjunta </w:t>
            </w:r>
            <w:r>
              <w:rPr>
                <w:rFonts w:ascii="Verdana" w:hAnsi="Verdana" w:cs="Arial"/>
                <w:color w:val="000000" w:themeColor="text1"/>
              </w:rPr>
              <w:t>una</w:t>
            </w:r>
            <w:r w:rsidRPr="00B33BA7">
              <w:rPr>
                <w:rFonts w:ascii="Verdana" w:hAnsi="Verdana" w:cs="Arial"/>
                <w:color w:val="000000" w:themeColor="text1"/>
              </w:rPr>
              <w:t xml:space="preserve"> propuesta para la adjudicación, celebración y ejecución d</w:t>
            </w:r>
            <w:r>
              <w:rPr>
                <w:rFonts w:ascii="Verdana" w:hAnsi="Verdana" w:cs="Arial"/>
                <w:color w:val="000000" w:themeColor="text1"/>
              </w:rPr>
              <w:t xml:space="preserve">e contratos estatales con </w:t>
            </w:r>
            <w:r w:rsidRPr="008706A7">
              <w:rPr>
                <w:rFonts w:ascii="Verdana" w:hAnsi="Verdana" w:cs="Arial"/>
                <w:i/>
                <w:iCs/>
                <w:color w:val="000000" w:themeColor="text1"/>
              </w:rPr>
              <w:t>una o varias</w:t>
            </w:r>
            <w:r>
              <w:rPr>
                <w:rFonts w:ascii="Verdana" w:hAnsi="Verdana" w:cs="Arial"/>
                <w:color w:val="000000" w:themeColor="text1"/>
              </w:rPr>
              <w:t xml:space="preserve"> de las entidades descritas en la norma precitada. Dichas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El proponente plural debe estar debidamente constituido dentro de cada uno de los procesos en que desee presentarse, sin perjuicio de cumplir con las condiciones de uso del SECOP II en los procesos que se gestionan de manera transaccional.</w:t>
            </w:r>
          </w:p>
          <w:p w14:paraId="55E9B87F" w14:textId="77777777" w:rsidR="00BF0971" w:rsidRPr="00992D2F" w:rsidRDefault="00BF0971" w:rsidP="00C77973">
            <w:pPr>
              <w:spacing w:after="120" w:line="276" w:lineRule="auto"/>
              <w:jc w:val="both"/>
              <w:rPr>
                <w:rFonts w:ascii="Verdana" w:hAnsi="Verdana" w:cs="Arial"/>
                <w:color w:val="000000" w:themeColor="text1"/>
              </w:rPr>
            </w:pPr>
            <w:r>
              <w:rPr>
                <w:rFonts w:ascii="Verdana" w:hAnsi="Verdana" w:cs="Arial"/>
                <w:color w:val="000000" w:themeColor="text1"/>
              </w:rPr>
              <w:t xml:space="preserve">Ahora bien, lo que no podría realizarse es que los integrantes del proponente plural presenten ofertas de manera individual en la misma entidad o entidades donde ya han presentado oferta a través de un proponente plural, puesto que al momento de evaluación de ofertas, se </w:t>
            </w:r>
            <w:proofErr w:type="spellStart"/>
            <w:r>
              <w:rPr>
                <w:rFonts w:ascii="Verdana" w:hAnsi="Verdana" w:cs="Arial"/>
                <w:color w:val="000000" w:themeColor="text1"/>
              </w:rPr>
              <w:t>evaluan</w:t>
            </w:r>
            <w:proofErr w:type="spellEnd"/>
            <w:r>
              <w:rPr>
                <w:rFonts w:ascii="Verdana" w:hAnsi="Verdana" w:cs="Arial"/>
                <w:color w:val="000000" w:themeColor="text1"/>
              </w:rPr>
              <w:t xml:space="preserve"> los requisitos habilitantes de oferentes, y para el caso, se </w:t>
            </w:r>
            <w:proofErr w:type="spellStart"/>
            <w:r>
              <w:rPr>
                <w:rFonts w:ascii="Verdana" w:hAnsi="Verdana" w:cs="Arial"/>
                <w:color w:val="000000" w:themeColor="text1"/>
              </w:rPr>
              <w:t>evaluan</w:t>
            </w:r>
            <w:proofErr w:type="spellEnd"/>
            <w:r>
              <w:rPr>
                <w:rFonts w:ascii="Verdana" w:hAnsi="Verdana" w:cs="Arial"/>
                <w:color w:val="000000" w:themeColor="text1"/>
              </w:rPr>
              <w:t xml:space="preserve"> los aportes de manera individual de los integrantes del proponente plural, los cuales serán evaluados </w:t>
            </w:r>
            <w:proofErr w:type="spellStart"/>
            <w:r>
              <w:rPr>
                <w:rFonts w:ascii="Verdana" w:hAnsi="Verdana" w:cs="Arial"/>
                <w:color w:val="000000" w:themeColor="text1"/>
              </w:rPr>
              <w:t>doblementente</w:t>
            </w:r>
            <w:proofErr w:type="spellEnd"/>
            <w:r>
              <w:rPr>
                <w:rFonts w:ascii="Verdana" w:hAnsi="Verdana" w:cs="Arial"/>
                <w:color w:val="000000" w:themeColor="text1"/>
              </w:rPr>
              <w:t xml:space="preserve"> en caso que se presenten la situación, rompiendo con los principios de la contratación. </w:t>
            </w:r>
          </w:p>
        </w:tc>
      </w:tr>
    </w:tbl>
    <w:p w14:paraId="1FC39945" w14:textId="77777777" w:rsidR="00BF0971" w:rsidRPr="00CC5C68" w:rsidRDefault="00BF0971" w:rsidP="00BF0971">
      <w:pPr>
        <w:spacing w:after="0" w:line="276" w:lineRule="auto"/>
        <w:contextualSpacing/>
        <w:jc w:val="both"/>
        <w:rPr>
          <w:rFonts w:ascii="Verdana" w:eastAsia="Times New Roman" w:hAnsi="Verdana" w:cs="Arial"/>
          <w:lang w:eastAsia="es-ES_tradnl"/>
        </w:rPr>
      </w:pPr>
    </w:p>
    <w:p w14:paraId="72C34D1B" w14:textId="77777777" w:rsidR="00BF0971" w:rsidRPr="00CC5C68" w:rsidRDefault="00BF0971" w:rsidP="00BF097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0562CB0E" w14:textId="77777777" w:rsidR="00BF0971" w:rsidRPr="00CC5C68" w:rsidRDefault="00BF0971" w:rsidP="00BF0971">
      <w:pPr>
        <w:spacing w:after="0" w:line="276" w:lineRule="auto"/>
        <w:jc w:val="both"/>
        <w:rPr>
          <w:rFonts w:ascii="Verdana" w:eastAsia="Calibri" w:hAnsi="Verdana" w:cs="Arial"/>
          <w:color w:val="7030A0"/>
          <w:lang w:val="es-ES"/>
        </w:rPr>
      </w:pPr>
    </w:p>
    <w:p w14:paraId="599CBBA6" w14:textId="77777777" w:rsidR="00BF0971" w:rsidRPr="00CC5C68" w:rsidRDefault="00BF0971" w:rsidP="00BF0971">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34CE0A41" w14:textId="77777777" w:rsidR="00BF0971" w:rsidRPr="00CC5C68" w:rsidRDefault="00BF0971" w:rsidP="00BF0971">
      <w:pPr>
        <w:spacing w:after="0" w:line="276" w:lineRule="auto"/>
        <w:jc w:val="both"/>
        <w:rPr>
          <w:rFonts w:ascii="Verdana" w:eastAsia="Calibri" w:hAnsi="Verdana" w:cs="Arial"/>
          <w:lang w:val="es-ES"/>
        </w:rPr>
      </w:pPr>
    </w:p>
    <w:p w14:paraId="61C58594" w14:textId="77777777" w:rsidR="00BF0971" w:rsidRDefault="00BF0971" w:rsidP="00BF0971">
      <w:pPr>
        <w:spacing w:after="120" w:line="276" w:lineRule="auto"/>
        <w:jc w:val="both"/>
        <w:rPr>
          <w:rFonts w:ascii="Verdana" w:eastAsia="Calibri" w:hAnsi="Verdana" w:cs="Arial"/>
          <w:lang w:val="es-MX"/>
        </w:rPr>
      </w:pPr>
      <w:r w:rsidRPr="008A4AEC">
        <w:rPr>
          <w:rFonts w:ascii="Verdana" w:hAnsi="Verdana" w:cs="Arial"/>
          <w:lang w:val="es-ES_tradnl"/>
        </w:rPr>
        <w:t xml:space="preserve">Si bien las personas pueden presentarse individualmente a los procesos de selección, también pueden hacerlo en forma plural a través de consorcios o uniones temporales. En efecto, </w:t>
      </w:r>
      <w:r w:rsidRPr="008A4AEC">
        <w:rPr>
          <w:rFonts w:ascii="Verdana" w:eastAsia="Calibri" w:hAnsi="Verdana" w:cs="Arial"/>
          <w:lang w:val="es-MX"/>
        </w:rPr>
        <w:t xml:space="preserve">de acuerdo con el Código Civil, la capacidad se refiere a la facultad que la ley le confiere a la persona para ejercer derechos y contraer obligaciones. Esta norma parte del supuesto de que todas las personas naturales mayores de edad son capaces, con excepción de aquellas que la ley expresamente excluye de esta presunción –artículos 1502, 1503 y 1504–, y de que la capacidad de las personas jurídicas se circunscribe a su objeto social –artículo 99 del Código de Comercio–. </w:t>
      </w:r>
    </w:p>
    <w:p w14:paraId="7D2BEB1D" w14:textId="77777777" w:rsidR="00BF0971" w:rsidRPr="008A4AEC" w:rsidRDefault="00BF0971" w:rsidP="00BF0971">
      <w:pPr>
        <w:spacing w:after="120" w:line="276" w:lineRule="auto"/>
        <w:jc w:val="both"/>
        <w:rPr>
          <w:rFonts w:ascii="Verdana" w:eastAsia="Calibri" w:hAnsi="Verdana" w:cs="Arial"/>
          <w:lang w:val="es-MX"/>
        </w:rPr>
      </w:pPr>
      <w:r w:rsidRPr="008A4AEC">
        <w:rPr>
          <w:rFonts w:ascii="Verdana" w:eastAsia="Calibri" w:hAnsi="Verdana" w:cs="Arial"/>
          <w:lang w:val="es-MX"/>
        </w:rPr>
        <w:lastRenderedPageBreak/>
        <w:t>Al respecto, el artículo 6 de la Ley 80 de 1993 –modificado por el artículo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3B9AF9C3" w14:textId="77777777" w:rsidR="00BF0971" w:rsidRPr="008A4AEC" w:rsidRDefault="00BF0971" w:rsidP="00BF0971">
      <w:pPr>
        <w:spacing w:after="0" w:line="276" w:lineRule="auto"/>
        <w:ind w:firstLine="720"/>
        <w:jc w:val="both"/>
        <w:rPr>
          <w:rFonts w:ascii="Verdana" w:eastAsia="Calibri" w:hAnsi="Verdana" w:cs="Arial"/>
          <w:bCs/>
          <w:color w:val="000000" w:themeColor="text1"/>
          <w:lang w:val="es-ES"/>
        </w:rPr>
      </w:pPr>
      <w:r w:rsidRPr="008A4AEC">
        <w:rPr>
          <w:rFonts w:ascii="Verdana" w:eastAsia="Calibri" w:hAnsi="Verdana" w:cs="Arial"/>
          <w:bCs/>
          <w:color w:val="000000" w:themeColor="text1"/>
          <w:lang w:val="es-ES"/>
        </w:rPr>
        <w:t>La capacidad para contratar, e incluso la de realizar actos jurídicamente vinculantes como la presentación de una oferta en un procedimiento de selección de contratistas, se consideró por mucho tiempo uno de los atributos de la personalidad reservado, en tanto tal, a las personas jurídicas y naturales. No obstante, el progreso en las formas negociales y asociativas hizo necesario reconocer nuevas estructuras plurales y otorgarles ciertos atributos que tradicionalmente habían estado reservados a las personas jurídicas. Tal es precisamente el caso de la capacidad para contratar otorgada a los consorcios y uniones temporales. En este sentido, la Corte Constitucional ha sostenido:</w:t>
      </w:r>
    </w:p>
    <w:p w14:paraId="62EBF3C5" w14:textId="77777777" w:rsidR="00BF0971" w:rsidRPr="008A4AEC" w:rsidRDefault="00BF0971" w:rsidP="00BF0971">
      <w:pPr>
        <w:spacing w:after="0" w:line="276" w:lineRule="auto"/>
        <w:jc w:val="both"/>
        <w:rPr>
          <w:rFonts w:ascii="Verdana" w:eastAsia="Calibri" w:hAnsi="Verdana" w:cs="Arial"/>
          <w:bCs/>
          <w:color w:val="000000" w:themeColor="text1"/>
          <w:lang w:val="es-ES"/>
        </w:rPr>
      </w:pPr>
    </w:p>
    <w:p w14:paraId="6D94D58B" w14:textId="77777777" w:rsidR="00BF0971" w:rsidRPr="008A4AEC" w:rsidRDefault="00BF0971" w:rsidP="00BF0971">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074A65D5" w14:textId="77777777" w:rsidR="00BF0971" w:rsidRPr="008A4AEC" w:rsidRDefault="00BF0971" w:rsidP="00BF0971">
      <w:pPr>
        <w:spacing w:after="12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w:t>
      </w:r>
    </w:p>
    <w:p w14:paraId="08E15519" w14:textId="77777777" w:rsidR="00BF0971" w:rsidRPr="008A4AEC" w:rsidRDefault="00BF0971" w:rsidP="00BF0971">
      <w:pPr>
        <w:spacing w:after="0" w:line="240" w:lineRule="auto"/>
        <w:ind w:left="709" w:right="709"/>
        <w:jc w:val="both"/>
        <w:rPr>
          <w:rFonts w:ascii="Verdana" w:eastAsia="Calibri" w:hAnsi="Verdana" w:cs="Arial"/>
          <w:bCs/>
          <w:color w:val="000000" w:themeColor="text1"/>
          <w:sz w:val="21"/>
          <w:szCs w:val="21"/>
        </w:rPr>
      </w:pPr>
      <w:r w:rsidRPr="008A4AEC">
        <w:rPr>
          <w:rFonts w:ascii="Verdana" w:eastAsia="Calibri" w:hAnsi="Verdana" w:cs="Arial"/>
          <w:bCs/>
          <w:color w:val="000000" w:themeColor="text1"/>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8A4AEC">
        <w:rPr>
          <w:rStyle w:val="Refdenotaalpie"/>
          <w:rFonts w:ascii="Verdana" w:eastAsia="Calibri" w:hAnsi="Verdana" w:cs="Arial"/>
          <w:bCs/>
          <w:color w:val="000000" w:themeColor="text1"/>
          <w:sz w:val="21"/>
          <w:szCs w:val="21"/>
        </w:rPr>
        <w:footnoteReference w:id="2"/>
      </w:r>
      <w:r w:rsidRPr="008A4AEC">
        <w:rPr>
          <w:rFonts w:ascii="Verdana" w:eastAsia="Calibri" w:hAnsi="Verdana" w:cs="Arial"/>
          <w:bCs/>
          <w:color w:val="000000" w:themeColor="text1"/>
          <w:sz w:val="21"/>
          <w:szCs w:val="21"/>
        </w:rPr>
        <w:t>.</w:t>
      </w:r>
    </w:p>
    <w:p w14:paraId="6D98A12B" w14:textId="77777777" w:rsidR="00BF0971" w:rsidRPr="008A4AEC" w:rsidRDefault="00BF0971" w:rsidP="00BF0971">
      <w:pPr>
        <w:spacing w:after="0"/>
        <w:ind w:left="720" w:right="730"/>
        <w:jc w:val="both"/>
        <w:rPr>
          <w:rFonts w:ascii="Verdana" w:eastAsia="Calibri" w:hAnsi="Verdana" w:cs="Arial"/>
          <w:bCs/>
          <w:color w:val="000000" w:themeColor="text1"/>
          <w:sz w:val="21"/>
          <w:szCs w:val="21"/>
        </w:rPr>
      </w:pPr>
    </w:p>
    <w:p w14:paraId="7BEE9F02" w14:textId="77777777" w:rsidR="00BF0971" w:rsidRPr="008A4AEC" w:rsidRDefault="00BF0971" w:rsidP="00BF0971">
      <w:pPr>
        <w:spacing w:after="120" w:line="276" w:lineRule="auto"/>
        <w:ind w:firstLine="720"/>
        <w:jc w:val="both"/>
        <w:rPr>
          <w:rFonts w:ascii="Verdana" w:eastAsia="Calibri" w:hAnsi="Verdana" w:cs="Arial"/>
          <w:bCs/>
          <w:color w:val="000000" w:themeColor="text1"/>
          <w:lang w:val="es-ES"/>
        </w:rPr>
      </w:pPr>
      <w:bookmarkStart w:id="0" w:name="_Hlk135067740"/>
      <w:r w:rsidRPr="008A4AEC">
        <w:rPr>
          <w:rFonts w:ascii="Verdana" w:eastAsia="Calibri" w:hAnsi="Verdana" w:cs="Arial"/>
          <w:bCs/>
          <w:color w:val="000000" w:themeColor="text1"/>
          <w:lang w:val="es-ES"/>
        </w:rPr>
        <w:t xml:space="preserve">La Corte Constitucional destaca, de un lado, que las estructuras plurales son el reconocimiento de una realidad negocial en materia de contratación estatal, y del otro, que esta colaboración económica entre sujetos de derecho </w:t>
      </w:r>
      <w:r w:rsidRPr="008A4AEC">
        <w:rPr>
          <w:rFonts w:ascii="Verdana" w:eastAsia="Calibri" w:hAnsi="Verdana" w:cs="Arial"/>
          <w:bCs/>
          <w:color w:val="000000" w:themeColor="text1"/>
          <w:lang w:val="es-ES"/>
        </w:rPr>
        <w:lastRenderedPageBreak/>
        <w:t>permite la materialización de los fines del estado, al facilitar la efectiva ejecución de los contratos. Adicionalmente, puntualiza que la capacidad contractual de los consorcios y uniones temporales se reconoce sin necesidad de exigirles como condición de su ejercicio que sean personas morales lo que, hasta cierto punto, podría considerarse una evolución en la teoría de la personalidad jurídica.</w:t>
      </w:r>
    </w:p>
    <w:bookmarkEnd w:id="0"/>
    <w:p w14:paraId="4E5102EF" w14:textId="77777777" w:rsidR="00BF0971" w:rsidRPr="008A4AEC" w:rsidRDefault="00BF0971" w:rsidP="00BF0971">
      <w:pPr>
        <w:spacing w:after="0" w:line="276" w:lineRule="auto"/>
        <w:ind w:firstLine="709"/>
        <w:jc w:val="both"/>
        <w:rPr>
          <w:rFonts w:ascii="Verdana" w:hAnsi="Verdana" w:cs="Arial"/>
        </w:rPr>
      </w:pPr>
      <w:r w:rsidRPr="008A4AEC">
        <w:rPr>
          <w:rFonts w:ascii="Verdana" w:hAnsi="Verdana" w:cs="Arial"/>
        </w:rPr>
        <w:t>Debido a que los consorcios y las uniones temporales no son personas jurídicas, su creación depende de un acuerdo en el que concurre la voluntad de sus integrantes para regular su objeto, la participación de los miembros, las obligaciones frente al proyecto, su responsabilidad, la forma en que regirán sus relaciones internas y el relacionamiento con la entidad contratante, mediante la designación de un representante, de conformidad con el parágrafo 1 del artículo 7 de la Ley 80 de 1993. En lo pertinente, la norma precitada dispone que:</w:t>
      </w:r>
    </w:p>
    <w:p w14:paraId="2946DB82" w14:textId="77777777" w:rsidR="00BF0971" w:rsidRPr="008A4AEC" w:rsidRDefault="00BF0971" w:rsidP="00BF0971">
      <w:pPr>
        <w:spacing w:after="0" w:line="276" w:lineRule="auto"/>
        <w:ind w:firstLine="709"/>
        <w:jc w:val="both"/>
        <w:rPr>
          <w:rFonts w:ascii="Verdana" w:eastAsia="Calibri" w:hAnsi="Verdana" w:cs="Arial"/>
          <w:bCs/>
          <w:color w:val="000000" w:themeColor="text1"/>
          <w:lang w:val="es-ES"/>
        </w:rPr>
      </w:pPr>
    </w:p>
    <w:p w14:paraId="0AC9C34E" w14:textId="77777777" w:rsidR="00BF0971" w:rsidRPr="008A4AEC" w:rsidRDefault="00BF0971" w:rsidP="00BF0971">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“Artículo 7º.- ENTIDADES A CONTRATAR. Artículo modificado por el artículo 3 de la Ley 2160 de 2021. Para los efectos de esta Ley se entiende por:</w:t>
      </w:r>
    </w:p>
    <w:p w14:paraId="61474BD7" w14:textId="77777777" w:rsidR="00BF0971" w:rsidRPr="008A4AEC" w:rsidRDefault="00BF0971" w:rsidP="00BF0971">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25E85F47" w14:textId="77777777" w:rsidR="00BF0971" w:rsidRPr="008A4AEC" w:rsidRDefault="00BF0971" w:rsidP="00BF0971">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 xml:space="preserve">6. Consorcio: Cuando dos o más personas </w:t>
      </w:r>
      <w:bookmarkStart w:id="1" w:name="_Hlk180410264"/>
      <w:r w:rsidRPr="008A4AEC">
        <w:rPr>
          <w:rFonts w:ascii="Verdana" w:eastAsia="Calibri" w:hAnsi="Verdana" w:cs="Arial"/>
          <w:bCs/>
          <w:color w:val="000000" w:themeColor="text1"/>
          <w:sz w:val="21"/>
          <w:lang w:val="es-ES"/>
        </w:rPr>
        <w:t>en forma conjunta presentan una misma propuesta para la adjudicación, celebración y ejecución de un contrato</w:t>
      </w:r>
      <w:bookmarkEnd w:id="1"/>
      <w:r w:rsidRPr="008A4AEC">
        <w:rPr>
          <w:rFonts w:ascii="Verdana" w:eastAsia="Calibri" w:hAnsi="Verdana" w:cs="Arial"/>
          <w:bCs/>
          <w:color w:val="000000" w:themeColor="text1"/>
          <w:sz w:val="21"/>
          <w:lang w:val="es-ES"/>
        </w:rPr>
        <w:t>,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6A84B2D3" w14:textId="77777777" w:rsidR="00BF0971" w:rsidRPr="008A4AEC" w:rsidRDefault="00BF0971" w:rsidP="00BF0971">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 </w:t>
      </w:r>
    </w:p>
    <w:p w14:paraId="384DF19F" w14:textId="77777777" w:rsidR="00BF0971" w:rsidRPr="008A4AEC" w:rsidRDefault="00BF0971" w:rsidP="00BF0971">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w:t>
      </w:r>
    </w:p>
    <w:p w14:paraId="25805830" w14:textId="77777777" w:rsidR="00BF0971" w:rsidRPr="008A4AEC" w:rsidRDefault="00BF0971" w:rsidP="00BF0971">
      <w:pPr>
        <w:spacing w:after="12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Parágrafo 1º.-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7A79ECEE" w14:textId="77777777" w:rsidR="00BF0971" w:rsidRPr="008A4AEC" w:rsidRDefault="00BF0971" w:rsidP="00BF0971">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t>Los miembros del consorcio y de la unión temporal deberán designar la persona que, para todos los efectos, representará al consorcio o unión temporal y señalarán las reglas básicas que regulen las relaciones entre ellos y su responsabilidad.</w:t>
      </w:r>
    </w:p>
    <w:p w14:paraId="57B33572" w14:textId="77777777" w:rsidR="00BF0971" w:rsidRPr="008A4AEC" w:rsidRDefault="00BF0971" w:rsidP="00BF0971">
      <w:pPr>
        <w:spacing w:after="0" w:line="240" w:lineRule="auto"/>
        <w:ind w:left="709" w:right="709"/>
        <w:jc w:val="both"/>
        <w:rPr>
          <w:rFonts w:ascii="Verdana" w:eastAsia="Calibri" w:hAnsi="Verdana" w:cs="Arial"/>
          <w:bCs/>
          <w:color w:val="000000" w:themeColor="text1"/>
          <w:sz w:val="21"/>
          <w:lang w:val="es-ES"/>
        </w:rPr>
      </w:pPr>
      <w:r w:rsidRPr="008A4AEC">
        <w:rPr>
          <w:rFonts w:ascii="Verdana" w:eastAsia="Calibri" w:hAnsi="Verdana" w:cs="Arial"/>
          <w:bCs/>
          <w:color w:val="000000" w:themeColor="text1"/>
          <w:sz w:val="21"/>
          <w:lang w:val="es-ES"/>
        </w:rPr>
        <w:lastRenderedPageBreak/>
        <w:t>[…]”.</w:t>
      </w:r>
    </w:p>
    <w:p w14:paraId="5997CC1D" w14:textId="77777777" w:rsidR="00BF0971" w:rsidRPr="008A4AEC" w:rsidRDefault="00BF0971" w:rsidP="00BF0971">
      <w:pPr>
        <w:spacing w:after="0" w:line="276" w:lineRule="auto"/>
        <w:ind w:left="720" w:right="731"/>
        <w:jc w:val="both"/>
        <w:rPr>
          <w:rFonts w:ascii="Verdana" w:eastAsia="Calibri" w:hAnsi="Verdana" w:cs="Arial"/>
          <w:bCs/>
          <w:color w:val="000000" w:themeColor="text1"/>
          <w:lang w:val="es-ES"/>
        </w:rPr>
      </w:pPr>
    </w:p>
    <w:p w14:paraId="2833FE6A" w14:textId="77777777" w:rsidR="00BF0971" w:rsidRPr="008A4AEC" w:rsidRDefault="00BF0971" w:rsidP="00BF0971">
      <w:pPr>
        <w:spacing w:after="120" w:line="276" w:lineRule="auto"/>
        <w:jc w:val="both"/>
        <w:rPr>
          <w:rFonts w:ascii="Verdana" w:hAnsi="Verdana" w:cs="Arial"/>
          <w:color w:val="000000" w:themeColor="text1"/>
        </w:rPr>
      </w:pPr>
      <w:r w:rsidRPr="008A4AEC">
        <w:rPr>
          <w:rFonts w:ascii="Verdana" w:eastAsia="Calibri" w:hAnsi="Verdana" w:cs="Arial"/>
          <w:bCs/>
          <w:color w:val="000000" w:themeColor="text1"/>
          <w:lang w:val="es-ES"/>
        </w:rPr>
        <w:tab/>
        <w:t>Como se observa, el artículo citado señala que el consorcio o la unión temporal se da “Cuando dos o más personas en forma conjunta presentan una misma propuesta para la adjudicación, celebración y ejecución de un contrato […]”.</w:t>
      </w:r>
      <w:r w:rsidRPr="008A4AEC">
        <w:rPr>
          <w:rFonts w:ascii="Verdana" w:hAnsi="Verdana" w:cs="Arial"/>
          <w:color w:val="000000" w:themeColor="text1"/>
        </w:rPr>
        <w:t xml:space="preserve"> Desde esta perspectiva, su capacidad para participar en la adjudicación, celebración y ejecución de los contratos estatales depende de que los integrantes de la estructura plural adopten la decisión conjunta de presentar una misma propuesta al proceso de selección. Como existe una relación de medio – fin, sin la entrega de la oferta no surge la habilitación legal para todo lo demás. </w:t>
      </w:r>
    </w:p>
    <w:p w14:paraId="6B0611F1" w14:textId="77777777" w:rsidR="00BF0971" w:rsidRDefault="00BF0971" w:rsidP="00BF0971">
      <w:pPr>
        <w:spacing w:after="120" w:line="276" w:lineRule="auto"/>
        <w:jc w:val="both"/>
        <w:rPr>
          <w:rFonts w:ascii="Verdana" w:hAnsi="Verdana" w:cs="Arial"/>
          <w:color w:val="000000" w:themeColor="text1"/>
        </w:rPr>
      </w:pPr>
      <w:r w:rsidRPr="008A4AEC">
        <w:rPr>
          <w:rFonts w:ascii="Verdana" w:hAnsi="Verdana" w:cs="Arial"/>
          <w:color w:val="000000" w:themeColor="text1"/>
        </w:rPr>
        <w:tab/>
        <w:t>De esta manera, 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p>
    <w:p w14:paraId="5A116D5F" w14:textId="77777777" w:rsidR="00BF0971" w:rsidRDefault="00BF0971" w:rsidP="00BF0971">
      <w:pPr>
        <w:spacing w:after="120" w:line="276" w:lineRule="auto"/>
        <w:ind w:firstLine="708"/>
        <w:jc w:val="both"/>
        <w:rPr>
          <w:rFonts w:ascii="Verdana" w:hAnsi="Verdana" w:cs="Arial"/>
          <w:color w:val="000000" w:themeColor="text1"/>
        </w:rPr>
      </w:pPr>
      <w:r>
        <w:rPr>
          <w:rFonts w:ascii="Verdana" w:hAnsi="Verdana" w:cs="Arial"/>
          <w:color w:val="000000" w:themeColor="text1"/>
        </w:rPr>
        <w:t>En conclusión, l</w:t>
      </w:r>
      <w:r w:rsidRPr="008A4AEC">
        <w:rPr>
          <w:rFonts w:ascii="Verdana" w:hAnsi="Verdana" w:cs="Arial"/>
          <w:color w:val="000000" w:themeColor="text1"/>
        </w:rPr>
        <w:t>a capacidad jurídica de lo</w:t>
      </w:r>
      <w:r>
        <w:rPr>
          <w:rFonts w:ascii="Verdana" w:hAnsi="Verdana" w:cs="Arial"/>
          <w:color w:val="000000" w:themeColor="text1"/>
        </w:rPr>
        <w:t>s</w:t>
      </w:r>
      <w:r w:rsidRPr="008A4AEC">
        <w:rPr>
          <w:rFonts w:ascii="Verdana" w:hAnsi="Verdana" w:cs="Arial"/>
          <w:color w:val="000000" w:themeColor="text1"/>
        </w:rPr>
        <w:t xml:space="preserve"> proponentes plurales se limita al campo de la contratación estatal de las entidades sometidas al EGCAP, es decir, a las relaciones en</w:t>
      </w:r>
      <w:r>
        <w:rPr>
          <w:rFonts w:ascii="Verdana" w:hAnsi="Verdana" w:cs="Arial"/>
          <w:color w:val="000000" w:themeColor="text1"/>
        </w:rPr>
        <w:t>tre los</w:t>
      </w:r>
      <w:r w:rsidRPr="008A4AEC">
        <w:rPr>
          <w:rFonts w:ascii="Verdana" w:hAnsi="Verdana" w:cs="Arial"/>
          <w:color w:val="000000" w:themeColor="text1"/>
        </w:rPr>
        <w:t xml:space="preserve"> consorcios y las uniones temporales con las entidades estatales del artículo 2 de la Ley 80 de 1993.</w:t>
      </w:r>
      <w:r>
        <w:rPr>
          <w:rFonts w:ascii="Verdana" w:hAnsi="Verdana" w:cs="Arial"/>
          <w:color w:val="000000" w:themeColor="text1"/>
        </w:rPr>
        <w:t xml:space="preserve"> Las personas que conforman proponentes plurales pueden presentar </w:t>
      </w:r>
      <w:r w:rsidRPr="00B33BA7">
        <w:rPr>
          <w:rFonts w:ascii="Verdana" w:hAnsi="Verdana" w:cs="Arial"/>
          <w:color w:val="000000" w:themeColor="text1"/>
        </w:rPr>
        <w:t>en forma conjunta una misma propuesta para la adjudicación, celebración y ejecución d</w:t>
      </w:r>
      <w:r>
        <w:rPr>
          <w:rFonts w:ascii="Verdana" w:hAnsi="Verdana" w:cs="Arial"/>
          <w:color w:val="000000" w:themeColor="text1"/>
        </w:rPr>
        <w:t xml:space="preserve">e contratos estatales con </w:t>
      </w:r>
      <w:r w:rsidRPr="008706A7">
        <w:rPr>
          <w:rFonts w:ascii="Verdana" w:hAnsi="Verdana" w:cs="Arial"/>
          <w:i/>
          <w:iCs/>
          <w:color w:val="000000" w:themeColor="text1"/>
        </w:rPr>
        <w:t>una o varias</w:t>
      </w:r>
      <w:r>
        <w:rPr>
          <w:rFonts w:ascii="Verdana" w:hAnsi="Verdana" w:cs="Arial"/>
          <w:color w:val="000000" w:themeColor="text1"/>
        </w:rPr>
        <w:t xml:space="preserve"> de las entidades descritas en la norma precitada. Dichas ofertas serán analizadas de acuerdo con los criterios habilitantes y factores de evaluación del pliego de condiciones o documento equivalente, en el marco de las reglas previstas en el Estatuto General de Contratación, sus normas complementarias y los reglamentos respectivos. El proponente plural debe estar debidamente constituido dentro de cada uno de los procesos en que desee presentarse, sin perjuicio de cumplir con las condiciones de uso del SECOP II en los procesos que se gestionan de manera transaccional.</w:t>
      </w:r>
    </w:p>
    <w:p w14:paraId="4176EBED" w14:textId="77777777" w:rsidR="00BF0971" w:rsidRDefault="00BF0971" w:rsidP="00BF0971">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Ahora bien ha sido reiterada y pacifica la línea de la ANCP-CCE, respecto a considerar la viabilidad jurídica de que los proponentes plurales al momento </w:t>
      </w:r>
      <w:r>
        <w:rPr>
          <w:rFonts w:ascii="Verdana" w:hAnsi="Verdana" w:cs="Arial"/>
          <w:color w:val="000000" w:themeColor="text1"/>
        </w:rPr>
        <w:lastRenderedPageBreak/>
        <w:t xml:space="preserve">de su </w:t>
      </w:r>
      <w:proofErr w:type="gramStart"/>
      <w:r>
        <w:rPr>
          <w:rFonts w:ascii="Verdana" w:hAnsi="Verdana" w:cs="Arial"/>
          <w:color w:val="000000" w:themeColor="text1"/>
        </w:rPr>
        <w:t>constitución,</w:t>
      </w:r>
      <w:proofErr w:type="gramEnd"/>
      <w:r>
        <w:rPr>
          <w:rFonts w:ascii="Verdana" w:hAnsi="Verdana" w:cs="Arial"/>
          <w:color w:val="000000" w:themeColor="text1"/>
        </w:rPr>
        <w:t xml:space="preserve"> puedan presentar ofertas a una o varias entidades públicas, si desconocer las obligaciones que les asiste ante la plataforma Secop II de inscripción individualmente por cada proceso en el que se pretenda participar.  </w:t>
      </w:r>
    </w:p>
    <w:p w14:paraId="264AFB94" w14:textId="77777777" w:rsidR="00BF0971" w:rsidRPr="00CC5C68" w:rsidRDefault="00BF0971" w:rsidP="00BF0971">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10FFD37" w14:textId="77777777" w:rsidR="00BF0971" w:rsidRPr="00CC5C68" w:rsidRDefault="00BF0971" w:rsidP="00BF097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F0971" w:rsidRPr="00CC5C68" w14:paraId="7CE75617" w14:textId="77777777" w:rsidTr="00C77973">
        <w:trPr>
          <w:trHeight w:val="331"/>
        </w:trPr>
        <w:tc>
          <w:tcPr>
            <w:tcW w:w="8647" w:type="dxa"/>
          </w:tcPr>
          <w:p w14:paraId="421BA112" w14:textId="77777777" w:rsidR="00BF0971" w:rsidRPr="002407CE" w:rsidRDefault="00BF0971" w:rsidP="00BF0971">
            <w:pPr>
              <w:pStyle w:val="Prrafodelista"/>
              <w:widowControl w:val="0"/>
              <w:numPr>
                <w:ilvl w:val="0"/>
                <w:numId w:val="1"/>
              </w:numPr>
              <w:autoSpaceDE w:val="0"/>
              <w:autoSpaceDN w:val="0"/>
              <w:spacing w:after="120" w:line="276" w:lineRule="auto"/>
              <w:jc w:val="both"/>
              <w:rPr>
                <w:rFonts w:ascii="Verdana" w:hAnsi="Verdana" w:cs="Arial"/>
              </w:rPr>
            </w:pPr>
            <w:r w:rsidRPr="002407CE">
              <w:rPr>
                <w:rFonts w:ascii="Verdana" w:hAnsi="Verdana" w:cs="Arial"/>
              </w:rPr>
              <w:t xml:space="preserve">Código Civil, artículos 1502, 1503 y 1504. </w:t>
            </w:r>
          </w:p>
          <w:p w14:paraId="6B699379" w14:textId="77777777" w:rsidR="00BF0971" w:rsidRPr="002407CE" w:rsidRDefault="00BF0971" w:rsidP="00C77973">
            <w:pPr>
              <w:pStyle w:val="Prrafodelista"/>
              <w:widowControl w:val="0"/>
              <w:autoSpaceDE w:val="0"/>
              <w:autoSpaceDN w:val="0"/>
              <w:spacing w:after="120" w:line="276" w:lineRule="auto"/>
              <w:jc w:val="both"/>
              <w:rPr>
                <w:rFonts w:ascii="Verdana" w:hAnsi="Verdana" w:cs="Arial"/>
                <w:sz w:val="12"/>
                <w:szCs w:val="12"/>
              </w:rPr>
            </w:pPr>
          </w:p>
          <w:p w14:paraId="1D83554A" w14:textId="77777777" w:rsidR="00BF0971" w:rsidRPr="002407CE" w:rsidRDefault="00BF0971" w:rsidP="00BF0971">
            <w:pPr>
              <w:pStyle w:val="Prrafodelista"/>
              <w:widowControl w:val="0"/>
              <w:numPr>
                <w:ilvl w:val="0"/>
                <w:numId w:val="1"/>
              </w:numPr>
              <w:autoSpaceDE w:val="0"/>
              <w:autoSpaceDN w:val="0"/>
              <w:spacing w:after="120" w:line="276" w:lineRule="auto"/>
              <w:contextualSpacing w:val="0"/>
              <w:jc w:val="both"/>
              <w:rPr>
                <w:rFonts w:ascii="Verdana" w:hAnsi="Verdana" w:cs="Arial"/>
              </w:rPr>
            </w:pPr>
            <w:r w:rsidRPr="002407CE">
              <w:rPr>
                <w:rFonts w:ascii="Verdana" w:hAnsi="Verdana" w:cs="Arial"/>
              </w:rPr>
              <w:t>Código de Comercio, artículo 99.</w:t>
            </w:r>
          </w:p>
          <w:p w14:paraId="33FFD823" w14:textId="77777777" w:rsidR="00BF0971" w:rsidRPr="002407CE" w:rsidRDefault="00BF0971" w:rsidP="00BF0971">
            <w:pPr>
              <w:pStyle w:val="Prrafodelista"/>
              <w:widowControl w:val="0"/>
              <w:numPr>
                <w:ilvl w:val="0"/>
                <w:numId w:val="1"/>
              </w:numPr>
              <w:autoSpaceDE w:val="0"/>
              <w:autoSpaceDN w:val="0"/>
              <w:spacing w:after="120" w:line="276" w:lineRule="auto"/>
              <w:contextualSpacing w:val="0"/>
              <w:jc w:val="both"/>
              <w:rPr>
                <w:rFonts w:ascii="Verdana" w:hAnsi="Verdana" w:cs="Arial"/>
              </w:rPr>
            </w:pPr>
            <w:r w:rsidRPr="002407CE">
              <w:rPr>
                <w:rFonts w:ascii="Verdana" w:hAnsi="Verdana" w:cs="Arial"/>
              </w:rPr>
              <w:t>Ley 80 de 1993, artículos 2, 6 y 7.</w:t>
            </w:r>
          </w:p>
          <w:p w14:paraId="2FD16FE5" w14:textId="77777777" w:rsidR="00BF0971" w:rsidRPr="003D2146" w:rsidRDefault="00BF0971" w:rsidP="00BF0971">
            <w:pPr>
              <w:pStyle w:val="Prrafodelista"/>
              <w:widowControl w:val="0"/>
              <w:numPr>
                <w:ilvl w:val="0"/>
                <w:numId w:val="1"/>
              </w:numPr>
              <w:tabs>
                <w:tab w:val="left" w:pos="8419"/>
              </w:tabs>
              <w:autoSpaceDE w:val="0"/>
              <w:autoSpaceDN w:val="0"/>
              <w:spacing w:after="0" w:line="276" w:lineRule="auto"/>
              <w:contextualSpacing w:val="0"/>
              <w:jc w:val="both"/>
              <w:rPr>
                <w:rFonts w:ascii="Verdana" w:hAnsi="Verdana" w:cs="Arial"/>
              </w:rPr>
            </w:pPr>
            <w:r w:rsidRPr="002407CE">
              <w:rPr>
                <w:rFonts w:ascii="Verdana" w:hAnsi="Verdana" w:cs="Arial"/>
              </w:rPr>
              <w:t xml:space="preserve">Jurisprudencia de la Corte Constitucional. Disponible en:  </w:t>
            </w:r>
            <w:hyperlink r:id="rId12" w:history="1">
              <w:r w:rsidRPr="00BB3BE4">
                <w:rPr>
                  <w:rStyle w:val="Hipervnculo"/>
                  <w:rFonts w:ascii="Verdana" w:hAnsi="Verdana" w:cs="Arial"/>
                  <w:color w:val="4472C4" w:themeColor="accent1"/>
                </w:rPr>
                <w:t>https://www.corteconstitucional.gov./relatoria/</w:t>
              </w:r>
            </w:hyperlink>
            <w:r w:rsidRPr="002407CE">
              <w:rPr>
                <w:rFonts w:ascii="Verdana" w:hAnsi="Verdana" w:cs="Arial"/>
              </w:rPr>
              <w:t xml:space="preserve">.  </w:t>
            </w:r>
          </w:p>
        </w:tc>
      </w:tr>
    </w:tbl>
    <w:p w14:paraId="3FE9F23F" w14:textId="77777777" w:rsidR="00BF0971" w:rsidRPr="00CC5C68" w:rsidRDefault="00BF0971" w:rsidP="00BF097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B64323C" w14:textId="77777777" w:rsidR="00BF0971" w:rsidRPr="00CC5C68" w:rsidRDefault="00BF0971" w:rsidP="00BF097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1F72F646" w14:textId="77777777" w:rsidR="00BF0971" w:rsidRPr="00CC5C68" w:rsidRDefault="00BF0971" w:rsidP="00BF0971">
      <w:pPr>
        <w:spacing w:after="0" w:line="276" w:lineRule="auto"/>
        <w:ind w:firstLine="709"/>
        <w:jc w:val="both"/>
        <w:rPr>
          <w:rFonts w:ascii="Verdana" w:eastAsia="Times New Roman" w:hAnsi="Verdana" w:cs="Arial"/>
          <w:szCs w:val="24"/>
          <w:lang w:val="es-ES" w:eastAsia="es-ES_tradnl"/>
        </w:rPr>
      </w:pPr>
    </w:p>
    <w:p w14:paraId="54AB76E9" w14:textId="77777777" w:rsidR="009061E6" w:rsidRDefault="00BF0971" w:rsidP="009061E6">
      <w:pPr>
        <w:spacing w:after="120" w:line="276" w:lineRule="auto"/>
        <w:jc w:val="both"/>
        <w:rPr>
          <w:rStyle w:val="normaltextrun"/>
          <w:rFonts w:ascii="Verdana" w:eastAsia="Calibri" w:hAnsi="Verdana" w:cs="Arial"/>
          <w:lang w:val="es-ES" w:eastAsia="es-ES"/>
        </w:rPr>
      </w:pPr>
      <w:r>
        <w:rPr>
          <w:rStyle w:val="normaltextrun"/>
          <w:rFonts w:ascii="Verdana" w:hAnsi="Verdana" w:cs="Arial"/>
          <w:shd w:val="clear" w:color="auto" w:fill="FFFFFF"/>
          <w:lang w:val="es-ES"/>
        </w:rPr>
        <w:t>E</w:t>
      </w:r>
      <w:r w:rsidRPr="00EA761C">
        <w:rPr>
          <w:rStyle w:val="normaltextrun"/>
          <w:rFonts w:ascii="Verdana" w:hAnsi="Verdana" w:cs="Arial"/>
          <w:shd w:val="clear" w:color="auto" w:fill="FFFFFF"/>
          <w:lang w:val="es-ES"/>
        </w:rPr>
        <w:t>sta Subdirección </w:t>
      </w:r>
      <w:r>
        <w:rPr>
          <w:rStyle w:val="normaltextrun"/>
          <w:rFonts w:ascii="Verdana" w:hAnsi="Verdana" w:cs="Arial"/>
          <w:shd w:val="clear" w:color="auto" w:fill="FFFFFF"/>
          <w:lang w:val="es-ES"/>
        </w:rPr>
        <w:t>se ha pronunciado s</w:t>
      </w:r>
      <w:r w:rsidRPr="00EA761C">
        <w:rPr>
          <w:rStyle w:val="normaltextrun"/>
          <w:rFonts w:ascii="Verdana" w:hAnsi="Verdana" w:cs="Arial"/>
          <w:shd w:val="clear" w:color="auto" w:fill="FFFFFF"/>
          <w:lang w:val="es-ES"/>
        </w:rPr>
        <w:t>obre la capacidad jurídica de los consorcios y las uniones temporales en los Conceptos</w:t>
      </w:r>
      <w:r w:rsidRPr="00EA761C">
        <w:rPr>
          <w:rStyle w:val="normaltextrun"/>
          <w:rFonts w:ascii="Verdana" w:hAnsi="Verdana" w:cs="Calibri"/>
          <w:shd w:val="clear" w:color="auto" w:fill="FFFFFF"/>
        </w:rPr>
        <w:t xml:space="preserve"> </w:t>
      </w:r>
      <w:r w:rsidRPr="00EA761C">
        <w:rPr>
          <w:rStyle w:val="normaltextrun"/>
          <w:rFonts w:ascii="Verdana" w:hAnsi="Verdana" w:cs="Arial"/>
          <w:shd w:val="clear" w:color="auto" w:fill="FFFFFF"/>
          <w:lang w:val="es-ES"/>
        </w:rPr>
        <w:t>4201913000007643 del 26 de diciembre de 2019, C-343 del 17 de junio de 2020, C-518 del 9 de septiembre de 2020, C-614 del 5 de octubre de 2022, C-882 del 21 de diciembre de 2022, C-172 del 6 de junio de 2023, C-032 del 16 de abril de 2024</w:t>
      </w:r>
      <w:r>
        <w:rPr>
          <w:rStyle w:val="normaltextrun"/>
          <w:rFonts w:ascii="Verdana" w:hAnsi="Verdana" w:cs="Arial"/>
          <w:shd w:val="clear" w:color="auto" w:fill="FFFFFF"/>
          <w:lang w:val="es-ES"/>
        </w:rPr>
        <w:t>,</w:t>
      </w:r>
      <w:r w:rsidRPr="00EA761C">
        <w:rPr>
          <w:rStyle w:val="normaltextrun"/>
          <w:rFonts w:ascii="Verdana" w:hAnsi="Verdana" w:cs="Arial"/>
          <w:shd w:val="clear" w:color="auto" w:fill="FFFFFF"/>
          <w:lang w:val="es-ES"/>
        </w:rPr>
        <w:t xml:space="preserve"> </w:t>
      </w:r>
      <w:r>
        <w:rPr>
          <w:rStyle w:val="normaltextrun"/>
          <w:rFonts w:ascii="Verdana" w:hAnsi="Verdana" w:cs="Arial"/>
          <w:shd w:val="clear" w:color="auto" w:fill="FFFFFF"/>
          <w:lang w:val="es-ES"/>
        </w:rPr>
        <w:t xml:space="preserve">C-050 del 18 de julio de 2024, </w:t>
      </w:r>
      <w:r w:rsidRPr="00EA761C">
        <w:rPr>
          <w:rStyle w:val="normaltextrun"/>
          <w:rFonts w:ascii="Verdana" w:hAnsi="Verdana" w:cs="Arial"/>
          <w:shd w:val="clear" w:color="auto" w:fill="FFFFFF"/>
          <w:lang w:val="es-ES"/>
        </w:rPr>
        <w:t>C-100 del 12 de junio de 2024</w:t>
      </w:r>
      <w:r>
        <w:rPr>
          <w:rStyle w:val="normaltextrun"/>
          <w:rFonts w:ascii="Verdana" w:hAnsi="Verdana" w:cs="Arial"/>
          <w:shd w:val="clear" w:color="auto" w:fill="FFFFFF"/>
          <w:lang w:val="es-ES"/>
        </w:rPr>
        <w:t xml:space="preserve"> y 727 del 28 de octubre de 2024</w:t>
      </w:r>
      <w:r>
        <w:rPr>
          <w:rFonts w:ascii="Verdana" w:hAnsi="Verdana"/>
        </w:rPr>
        <w:t>.</w:t>
      </w:r>
      <w:r>
        <w:rPr>
          <w:rFonts w:ascii="Verdana" w:eastAsia="Calibri" w:hAnsi="Verdana" w:cs="Arial"/>
          <w:lang w:eastAsia="es-ES"/>
        </w:rPr>
        <w:t xml:space="preserve"> </w:t>
      </w:r>
      <w:r w:rsidRPr="00EE174D">
        <w:rPr>
          <w:rFonts w:ascii="Verdana" w:hAnsi="Verdana" w:cs="Arial"/>
          <w:color w:val="000000" w:themeColor="text1"/>
          <w:shd w:val="clear" w:color="auto" w:fill="FFFFFF"/>
        </w:rPr>
        <w:t>Estos y otros conceptos se encuentran disponibles para consulta en el Sistema d</w:t>
      </w:r>
      <w:r w:rsidRPr="003D2146">
        <w:rPr>
          <w:rFonts w:ascii="Verdana" w:hAnsi="Verdana" w:cs="Arial"/>
          <w:color w:val="000000" w:themeColor="text1"/>
          <w:shd w:val="clear" w:color="auto" w:fill="FFFFFF"/>
        </w:rPr>
        <w:t>e Relatoría de la Agencia, en el cual también podrás encontrar jurisprudencia del Consejo de Estado, laudos arbitrales y la normativa de la contratación concordada con la doctrina de la Subdirección de Gestión Contractual</w:t>
      </w:r>
      <w:r w:rsidRPr="00CC5C68">
        <w:rPr>
          <w:rFonts w:ascii="Verdana" w:hAnsi="Verdana"/>
        </w:rPr>
        <w:t>, al cual se puede acceder a través del siguiente enlace:</w:t>
      </w:r>
      <w:r>
        <w:rPr>
          <w:rFonts w:ascii="Verdana" w:eastAsia="Calibri" w:hAnsi="Verdana" w:cs="Arial"/>
          <w:lang w:eastAsia="es-ES"/>
        </w:rPr>
        <w:t xml:space="preserve"> </w:t>
      </w:r>
      <w:hyperlink r:id="rId13" w:history="1">
        <w:r w:rsidRPr="00D94C94">
          <w:rPr>
            <w:rStyle w:val="Hipervnculo"/>
            <w:rFonts w:ascii="Verdana" w:hAnsi="Verdana" w:cs="Arial"/>
            <w:shd w:val="clear" w:color="auto" w:fill="FFFFFF"/>
            <w:lang w:val="es-ES"/>
          </w:rPr>
          <w:t>https://relatoria.colombiacompra.gov.co/busqueda/conceptos</w:t>
        </w:r>
      </w:hyperlink>
    </w:p>
    <w:p w14:paraId="21E9694F" w14:textId="77777777" w:rsidR="009061E6" w:rsidRDefault="009061E6" w:rsidP="009061E6">
      <w:pPr>
        <w:spacing w:after="120" w:line="276" w:lineRule="auto"/>
        <w:jc w:val="both"/>
        <w:rPr>
          <w:rFonts w:ascii="Verdana" w:hAnsi="Verdana"/>
          <w:color w:val="000000"/>
        </w:rPr>
      </w:pPr>
      <w:r w:rsidRPr="009061E6">
        <w:rPr>
          <w:rFonts w:ascii="Verdana" w:hAnsi="Verdana"/>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4" w:tgtFrame="_blank" w:tooltip="Dirección URL original: https://www.colombiacompra.gov.co/sites/cce_public/files/cce_documents/manual_para_el_manejo_de_acuerdos_comerciales_vf.pdf. Haga clic o pulse si confía en este vínculo." w:history="1">
        <w:r w:rsidRPr="009061E6">
          <w:rPr>
            <w:rStyle w:val="Hipervnculo"/>
            <w:rFonts w:ascii="Verdana" w:hAnsi="Verdana"/>
            <w:bdr w:val="none" w:sz="0" w:space="0" w:color="auto" w:frame="1"/>
          </w:rPr>
          <w:t>manual_para_el_manejo_de_acuerdos_comerciales_vf.pdf</w:t>
        </w:r>
      </w:hyperlink>
    </w:p>
    <w:p w14:paraId="482A3313" w14:textId="77777777" w:rsidR="009061E6" w:rsidRPr="009061E6" w:rsidRDefault="009061E6" w:rsidP="009061E6">
      <w:pPr>
        <w:spacing w:after="120" w:line="276" w:lineRule="auto"/>
        <w:jc w:val="both"/>
        <w:rPr>
          <w:rFonts w:ascii="Verdana" w:eastAsia="Calibri" w:hAnsi="Verdana" w:cs="Arial"/>
          <w:lang w:val="es-ES" w:eastAsia="es-ES"/>
        </w:rPr>
      </w:pPr>
      <w:r w:rsidRPr="009061E6">
        <w:rPr>
          <w:rFonts w:ascii="Verdana" w:hAnsi="Verdana"/>
          <w:color w:val="000000"/>
        </w:rPr>
        <w:t>De otra parte, te contamos que ya publicamos el borrador de la nueva Guía para Incentivar la Participación de Mujeres en el Sistema de Compras y Contratación Pública. Conoce el documento y realiza tus comentarios hasta el 2 de diciembre de 2024</w:t>
      </w:r>
      <w:r w:rsidRPr="009061E6">
        <w:rPr>
          <w:rFonts w:ascii="Verdana" w:hAnsi="Verdana"/>
          <w:b/>
          <w:bCs/>
          <w:color w:val="000000"/>
        </w:rPr>
        <w:t> </w:t>
      </w:r>
      <w:r w:rsidRPr="009061E6">
        <w:rPr>
          <w:rFonts w:ascii="Verdana" w:hAnsi="Verdana"/>
          <w:color w:val="000000"/>
        </w:rPr>
        <w:t>a través de estos enlaces:</w:t>
      </w:r>
    </w:p>
    <w:p w14:paraId="5038047C" w14:textId="77777777" w:rsidR="009061E6" w:rsidRPr="009061E6" w:rsidRDefault="009061E6" w:rsidP="009061E6">
      <w:pPr>
        <w:numPr>
          <w:ilvl w:val="0"/>
          <w:numId w:val="2"/>
        </w:numPr>
        <w:spacing w:beforeAutospacing="1" w:after="0" w:afterAutospacing="1" w:line="240" w:lineRule="auto"/>
        <w:jc w:val="both"/>
        <w:rPr>
          <w:rFonts w:ascii="Verdana" w:hAnsi="Verdana"/>
          <w:color w:val="000000"/>
        </w:rPr>
      </w:pPr>
      <w:r w:rsidRPr="009061E6">
        <w:rPr>
          <w:rFonts w:ascii="Verdana" w:hAnsi="Verdana"/>
          <w:color w:val="000000"/>
        </w:rPr>
        <w:lastRenderedPageBreak/>
        <w:t>Enlace página ANCP-CCE: </w:t>
      </w:r>
      <w:hyperlink r:id="rId15" w:tgtFrame="_blank" w:tooltip="Dirección URL original: https://www.colombiacompra.gov.co/content/convocatorias. Haga clic o pulse si confía en este vínculo." w:history="1">
        <w:r w:rsidRPr="009061E6">
          <w:rPr>
            <w:rStyle w:val="Hipervnculo"/>
            <w:rFonts w:ascii="Verdana" w:hAnsi="Verdana"/>
            <w:bdr w:val="none" w:sz="0" w:space="0" w:color="auto" w:frame="1"/>
          </w:rPr>
          <w:t>https://www.colombiacompra.gov.co/content/convocatorias</w:t>
        </w:r>
      </w:hyperlink>
    </w:p>
    <w:p w14:paraId="40081725" w14:textId="77777777" w:rsidR="009061E6" w:rsidRPr="00AC7F30" w:rsidRDefault="009061E6" w:rsidP="009061E6">
      <w:pPr>
        <w:numPr>
          <w:ilvl w:val="0"/>
          <w:numId w:val="2"/>
        </w:numPr>
        <w:spacing w:beforeAutospacing="1" w:after="0" w:afterAutospacing="1" w:line="240" w:lineRule="auto"/>
        <w:jc w:val="both"/>
        <w:rPr>
          <w:rFonts w:ascii="Verdana" w:hAnsi="Verdana"/>
          <w:color w:val="000000"/>
          <w:lang w:val="en-US"/>
        </w:rPr>
      </w:pPr>
      <w:r w:rsidRPr="00AC7F30">
        <w:rPr>
          <w:rFonts w:ascii="Verdana" w:hAnsi="Verdana"/>
          <w:color w:val="000000"/>
          <w:lang w:val="en-US"/>
        </w:rPr>
        <w:t>Enlace SUCOP:  </w:t>
      </w:r>
      <w:hyperlink r:id="rId16" w:tgtFrame="_blank" w:tooltip="Dirección URL original: https://www.sucop.gov.co/entidades/colombiacompra/Normativa?IDNorma=19201. Haga clic o pulse si confía en este vínculo." w:history="1">
        <w:r w:rsidRPr="00AC7F30">
          <w:rPr>
            <w:rStyle w:val="Hipervnculo"/>
            <w:rFonts w:ascii="Verdana" w:hAnsi="Verdana"/>
            <w:bdr w:val="none" w:sz="0" w:space="0" w:color="auto" w:frame="1"/>
            <w:lang w:val="en-US"/>
          </w:rPr>
          <w:t>https://www.sucop.gov.co/entidades/colombiacompra/Normativa?IDNorma=19201</w:t>
        </w:r>
      </w:hyperlink>
    </w:p>
    <w:p w14:paraId="6093D044" w14:textId="77777777" w:rsidR="00BF0971" w:rsidRPr="009061E6" w:rsidRDefault="009061E6" w:rsidP="009061E6">
      <w:pPr>
        <w:spacing w:beforeAutospacing="1" w:after="0" w:afterAutospacing="1" w:line="240" w:lineRule="auto"/>
        <w:jc w:val="both"/>
        <w:rPr>
          <w:rFonts w:ascii="Verdana" w:hAnsi="Verdana"/>
          <w:color w:val="000000"/>
        </w:rPr>
      </w:pPr>
      <w:r w:rsidRPr="009061E6">
        <w:rPr>
          <w:rFonts w:ascii="Verdana" w:hAnsi="Verdana"/>
          <w:color w:val="000000"/>
        </w:rPr>
        <w:t>También le invitamos a consultar la versión VII  de 2024 , del Boletín de Relatoría de la Subdirección de Gestión Contractual relacionado con las ASOCIACIONES PÚBLICO POPULARES , el cual se puede descargar en la página web de la Agencia: </w:t>
      </w:r>
      <w:hyperlink r:id="rId17" w:tgtFrame="_blank" w:tooltip="Dirección URL original: https://www.colombiacompra.gov.co/sala-de-prensa/boletin-digital. Haga clic o pulse si confía en este vínculo." w:history="1">
        <w:r w:rsidRPr="009061E6">
          <w:rPr>
            <w:rStyle w:val="Hipervnculo"/>
            <w:rFonts w:ascii="Verdana" w:hAnsi="Verdana"/>
            <w:bdr w:val="none" w:sz="0" w:space="0" w:color="auto" w:frame="1"/>
          </w:rPr>
          <w:t>https://www.colombiacompra.gov.co/sala-de-prensa/boletin-digital</w:t>
        </w:r>
      </w:hyperlink>
      <w:r w:rsidRPr="009061E6">
        <w:rPr>
          <w:rFonts w:ascii="Verdana" w:hAnsi="Verdana"/>
          <w:color w:val="000000"/>
        </w:rPr>
        <w:t> ".</w:t>
      </w:r>
    </w:p>
    <w:p w14:paraId="3D4879B8" w14:textId="77777777" w:rsidR="00BF0971" w:rsidRPr="00CC5C68" w:rsidRDefault="00BF0971" w:rsidP="00BF0971">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8CE6F91" w14:textId="77777777" w:rsidR="00BF0971" w:rsidRPr="00CC5C68" w:rsidRDefault="00BF0971" w:rsidP="00BF0971">
      <w:pPr>
        <w:spacing w:after="0" w:line="240" w:lineRule="auto"/>
        <w:jc w:val="both"/>
        <w:rPr>
          <w:rFonts w:ascii="Verdana" w:hAnsi="Verdana"/>
        </w:rPr>
      </w:pPr>
    </w:p>
    <w:p w14:paraId="5661F03B" w14:textId="77777777" w:rsidR="00BF0971" w:rsidRPr="00CC5C68" w:rsidRDefault="00BF0971" w:rsidP="00BF0971">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731B25F9" w14:textId="77777777" w:rsidR="00BF0971" w:rsidRPr="00CC5C68" w:rsidRDefault="00BF0971" w:rsidP="00BF0971">
      <w:pPr>
        <w:spacing w:after="0" w:line="240" w:lineRule="auto"/>
        <w:jc w:val="both"/>
        <w:rPr>
          <w:rFonts w:ascii="Verdana" w:hAnsi="Verdana"/>
        </w:rPr>
      </w:pPr>
      <w:r w:rsidRPr="00CC5C68">
        <w:rPr>
          <w:rFonts w:ascii="Verdana" w:hAnsi="Verdana"/>
        </w:rPr>
        <w:t xml:space="preserve">Facebook: </w:t>
      </w:r>
      <w:r w:rsidRPr="00CC5C68">
        <w:rPr>
          <w:rStyle w:val="Hipervnculo"/>
          <w:rFonts w:ascii="Verdana" w:hAnsi="Verdana"/>
          <w:color w:val="4472C4" w:themeColor="accent1"/>
        </w:rPr>
        <w:t>ColombiaCompraEficiente</w:t>
      </w:r>
    </w:p>
    <w:p w14:paraId="449C1D78" w14:textId="77777777" w:rsidR="00BF0971" w:rsidRPr="00CC5C68" w:rsidRDefault="00BF0971" w:rsidP="00BF0971">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61CDCEAD" w14:textId="77777777" w:rsidR="00BF0971" w:rsidRPr="0044528D" w:rsidRDefault="00BF0971" w:rsidP="00BF0971">
      <w:pPr>
        <w:widowControl w:val="0"/>
        <w:autoSpaceDE w:val="0"/>
        <w:autoSpaceDN w:val="0"/>
        <w:spacing w:after="0" w:line="276" w:lineRule="auto"/>
        <w:jc w:val="both"/>
        <w:rPr>
          <w:rFonts w:ascii="Verdana" w:hAnsi="Verdana"/>
        </w:rPr>
      </w:pPr>
    </w:p>
    <w:p w14:paraId="31F3F105" w14:textId="77777777" w:rsidR="00BF0971" w:rsidRPr="00CC5C68" w:rsidRDefault="00BF0971" w:rsidP="00BF0971">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6BB9E253" w14:textId="77777777" w:rsidR="00BF0971" w:rsidRPr="00CC5C68" w:rsidRDefault="00BF0971" w:rsidP="00BF0971">
      <w:pPr>
        <w:spacing w:after="0" w:line="276" w:lineRule="auto"/>
        <w:ind w:firstLine="709"/>
        <w:jc w:val="both"/>
        <w:rPr>
          <w:rFonts w:ascii="Verdana" w:eastAsia="Times New Roman" w:hAnsi="Verdana" w:cs="Arial"/>
          <w:szCs w:val="24"/>
          <w:lang w:val="es-ES_tradnl" w:eastAsia="es-ES_tradnl"/>
        </w:rPr>
      </w:pPr>
    </w:p>
    <w:p w14:paraId="7F16B3CB" w14:textId="77777777" w:rsidR="00BF0971" w:rsidRPr="00CC5C68" w:rsidRDefault="00BF0971" w:rsidP="00BF0971">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bookmarkEnd w:id="2"/>
    <w:p w14:paraId="23DE523C" w14:textId="77777777" w:rsidR="00BF0971" w:rsidRPr="00CC5C68" w:rsidRDefault="00AC7F30" w:rsidP="00BF0971">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71CD3B09" wp14:editId="695EB0D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BF0971" w:rsidRPr="00CC5C68" w14:paraId="08B3197F" w14:textId="77777777" w:rsidTr="3439BF23">
        <w:trPr>
          <w:trHeight w:val="286"/>
        </w:trPr>
        <w:tc>
          <w:tcPr>
            <w:tcW w:w="893" w:type="dxa"/>
            <w:vAlign w:val="center"/>
            <w:hideMark/>
          </w:tcPr>
          <w:p w14:paraId="37EFBCBB" w14:textId="77777777" w:rsidR="00BF0971" w:rsidRPr="00CC5C68" w:rsidRDefault="00BF0971" w:rsidP="00BF0971">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3EB4D786" w14:textId="77777777" w:rsidR="00BF0971" w:rsidRPr="00CC5C68" w:rsidRDefault="00BF0971" w:rsidP="3439BF23">
            <w:pPr>
              <w:spacing w:after="0"/>
              <w:rPr>
                <w:rFonts w:ascii="Verdana" w:eastAsia="Times New Roman" w:hAnsi="Verdana" w:cs="Arial"/>
                <w:sz w:val="16"/>
                <w:szCs w:val="16"/>
                <w:lang w:val="es-ES" w:eastAsia="es-ES"/>
              </w:rPr>
            </w:pPr>
            <w:proofErr w:type="spellStart"/>
            <w:r w:rsidRPr="3439BF23">
              <w:rPr>
                <w:rFonts w:ascii="Verdana" w:eastAsia="Times New Roman" w:hAnsi="Verdana" w:cs="Arial"/>
                <w:sz w:val="16"/>
                <w:szCs w:val="16"/>
                <w:lang w:val="es-ES" w:eastAsia="es-ES"/>
              </w:rPr>
              <w:t>Jhonattan</w:t>
            </w:r>
            <w:proofErr w:type="spellEnd"/>
            <w:r w:rsidRPr="3439BF23">
              <w:rPr>
                <w:rFonts w:ascii="Verdana" w:eastAsia="Times New Roman" w:hAnsi="Verdana" w:cs="Arial"/>
                <w:sz w:val="16"/>
                <w:szCs w:val="16"/>
                <w:lang w:val="es-ES" w:eastAsia="es-ES"/>
              </w:rPr>
              <w:t xml:space="preserve"> </w:t>
            </w:r>
            <w:proofErr w:type="spellStart"/>
            <w:r w:rsidRPr="3439BF23">
              <w:rPr>
                <w:rFonts w:ascii="Verdana" w:eastAsia="Times New Roman" w:hAnsi="Verdana" w:cs="Arial"/>
                <w:sz w:val="16"/>
                <w:szCs w:val="16"/>
                <w:lang w:val="es-ES" w:eastAsia="es-ES"/>
              </w:rPr>
              <w:t>Gualdrón</w:t>
            </w:r>
            <w:proofErr w:type="spellEnd"/>
            <w:r w:rsidRPr="3439BF23">
              <w:rPr>
                <w:rFonts w:ascii="Verdana" w:eastAsia="Times New Roman" w:hAnsi="Verdana" w:cs="Arial"/>
                <w:sz w:val="16"/>
                <w:szCs w:val="16"/>
                <w:lang w:val="es-ES" w:eastAsia="es-ES"/>
              </w:rPr>
              <w:t xml:space="preserve"> Salazar</w:t>
            </w:r>
          </w:p>
          <w:p w14:paraId="79C6BF81" w14:textId="77777777" w:rsidR="00BF0971" w:rsidRPr="00CC5C68" w:rsidRDefault="00BF0971" w:rsidP="00BF0971">
            <w:pPr>
              <w:spacing w:after="0"/>
              <w:rPr>
                <w:rFonts w:ascii="Verdana" w:eastAsia="Times New Roman" w:hAnsi="Verdana" w:cs="Arial"/>
                <w:sz w:val="14"/>
                <w:szCs w:val="14"/>
                <w:lang w:eastAsia="es-ES"/>
              </w:rPr>
            </w:pPr>
            <w:r>
              <w:rPr>
                <w:rFonts w:ascii="Verdana" w:eastAsia="Times New Roman" w:hAnsi="Verdana" w:cs="Arial"/>
                <w:sz w:val="16"/>
                <w:szCs w:val="16"/>
                <w:lang w:eastAsia="es-ES"/>
              </w:rPr>
              <w:t>Contratista de la</w:t>
            </w:r>
            <w:r w:rsidRPr="00CC5C68">
              <w:rPr>
                <w:rFonts w:ascii="Verdana" w:eastAsia="Times New Roman" w:hAnsi="Verdana" w:cs="Arial"/>
                <w:sz w:val="16"/>
                <w:szCs w:val="16"/>
                <w:lang w:eastAsia="es-ES"/>
              </w:rPr>
              <w:t xml:space="preserve"> Subdirección de Gestión Contractual</w:t>
            </w:r>
          </w:p>
        </w:tc>
      </w:tr>
      <w:tr w:rsidR="00BF0971" w:rsidRPr="00CC5C68" w14:paraId="3479A711" w14:textId="77777777" w:rsidTr="3439BF23">
        <w:trPr>
          <w:trHeight w:val="299"/>
        </w:trPr>
        <w:tc>
          <w:tcPr>
            <w:tcW w:w="893" w:type="dxa"/>
            <w:vAlign w:val="center"/>
            <w:hideMark/>
          </w:tcPr>
          <w:p w14:paraId="479AFFF9" w14:textId="77777777" w:rsidR="00BF0971" w:rsidRPr="00CC5C68" w:rsidRDefault="00BF0971" w:rsidP="00BF0971">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7BEDD46B" w14:textId="77777777" w:rsidR="00BF0971" w:rsidRPr="00CC5C68" w:rsidRDefault="00BF0971" w:rsidP="00BF0971">
            <w:pPr>
              <w:spacing w:after="0"/>
              <w:rPr>
                <w:rFonts w:ascii="Verdana" w:eastAsia="Times New Roman" w:hAnsi="Verdana" w:cs="Arial"/>
                <w:sz w:val="16"/>
                <w:szCs w:val="16"/>
                <w:lang w:val="es-ES" w:eastAsia="es-ES"/>
              </w:rPr>
            </w:pPr>
            <w:r w:rsidRPr="706705C1">
              <w:rPr>
                <w:rFonts w:ascii="Verdana" w:eastAsia="Times New Roman" w:hAnsi="Verdana" w:cs="Arial"/>
                <w:sz w:val="16"/>
                <w:szCs w:val="16"/>
                <w:lang w:val="es-ES" w:eastAsia="es-ES"/>
              </w:rPr>
              <w:t xml:space="preserve">Cielo Victoria </w:t>
            </w:r>
            <w:proofErr w:type="spellStart"/>
            <w:r w:rsidRPr="706705C1">
              <w:rPr>
                <w:rFonts w:ascii="Verdana" w:eastAsia="Times New Roman" w:hAnsi="Verdana" w:cs="Arial"/>
                <w:sz w:val="16"/>
                <w:szCs w:val="16"/>
                <w:lang w:val="es-ES" w:eastAsia="es-ES"/>
              </w:rPr>
              <w:t>Gonzalez</w:t>
            </w:r>
            <w:proofErr w:type="spellEnd"/>
            <w:r w:rsidRPr="706705C1">
              <w:rPr>
                <w:rFonts w:ascii="Verdana" w:eastAsia="Times New Roman" w:hAnsi="Verdana" w:cs="Arial"/>
                <w:sz w:val="16"/>
                <w:szCs w:val="16"/>
                <w:lang w:val="es-ES" w:eastAsia="es-ES"/>
              </w:rPr>
              <w:t xml:space="preserve"> Meza</w:t>
            </w:r>
          </w:p>
          <w:p w14:paraId="429DCFB2" w14:textId="77777777" w:rsidR="00BF0971" w:rsidRPr="00CC5C68" w:rsidRDefault="00BF0971" w:rsidP="00BF0971">
            <w:pPr>
              <w:spacing w:after="0"/>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BF0971" w:rsidRPr="00CC5C68" w14:paraId="0310C956" w14:textId="77777777" w:rsidTr="3439BF23">
        <w:trPr>
          <w:trHeight w:val="272"/>
        </w:trPr>
        <w:tc>
          <w:tcPr>
            <w:tcW w:w="893" w:type="dxa"/>
            <w:vAlign w:val="center"/>
            <w:hideMark/>
          </w:tcPr>
          <w:p w14:paraId="68943B0B" w14:textId="77777777" w:rsidR="00BF0971" w:rsidRPr="00CC5C68" w:rsidRDefault="00BF0971" w:rsidP="00BF0971">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6DD47CBF" w14:textId="77777777" w:rsidR="00BF0971" w:rsidRPr="00CC5C68" w:rsidRDefault="00BF0971" w:rsidP="00BF0971">
            <w:pPr>
              <w:spacing w:after="0"/>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2B5EFE97" w14:textId="77777777" w:rsidR="00BF0971" w:rsidRPr="00CC5C68" w:rsidRDefault="00BF0971" w:rsidP="00BF0971">
            <w:pPr>
              <w:spacing w:after="0"/>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52E56223" w14:textId="77777777" w:rsidR="00BF0971" w:rsidRPr="00CC5C68" w:rsidRDefault="00BF0971" w:rsidP="00BF0971">
      <w:pPr>
        <w:spacing w:after="0" w:line="276" w:lineRule="auto"/>
        <w:jc w:val="both"/>
        <w:rPr>
          <w:rFonts w:ascii="Verdana" w:eastAsia="Times New Roman" w:hAnsi="Verdana" w:cs="Arial"/>
          <w:lang w:val="es-ES_tradnl"/>
        </w:rPr>
      </w:pPr>
    </w:p>
    <w:p w14:paraId="07547A01" w14:textId="77777777" w:rsidR="00BF0971" w:rsidRPr="00CC5C68" w:rsidRDefault="00BF0971" w:rsidP="00BF0971">
      <w:pPr>
        <w:spacing w:after="0" w:line="240" w:lineRule="auto"/>
        <w:rPr>
          <w:rFonts w:ascii="Verdana" w:eastAsia="Times New Roman" w:hAnsi="Verdana" w:cs="Arial"/>
          <w:sz w:val="24"/>
          <w:szCs w:val="24"/>
          <w:lang w:eastAsia="es-ES_tradnl"/>
        </w:rPr>
      </w:pPr>
    </w:p>
    <w:p w14:paraId="5043CB0F" w14:textId="77777777" w:rsidR="00BF0971" w:rsidRPr="00CC5C68" w:rsidRDefault="00BF0971" w:rsidP="00BF0971">
      <w:pPr>
        <w:rPr>
          <w:rFonts w:ascii="Verdana" w:hAnsi="Verdana"/>
        </w:rPr>
      </w:pPr>
    </w:p>
    <w:p w14:paraId="07459315" w14:textId="77777777" w:rsidR="00BF0971" w:rsidRDefault="00BF0971" w:rsidP="00BF0971"/>
    <w:p w14:paraId="6537F28F" w14:textId="77777777" w:rsidR="00BF0971" w:rsidRDefault="00BF0971" w:rsidP="00BF0971"/>
    <w:p w14:paraId="6DFB9E20" w14:textId="77777777" w:rsidR="00BF0971" w:rsidRPr="00252414" w:rsidRDefault="00BF0971" w:rsidP="00BF0971"/>
    <w:p w14:paraId="70DF9E56" w14:textId="77777777" w:rsidR="00021EAB" w:rsidRPr="00BF0971" w:rsidRDefault="00021EAB" w:rsidP="00BF0971"/>
    <w:sectPr w:rsidR="00021EAB" w:rsidRPr="00BF0971" w:rsidSect="005855EB">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B4B86" w14:textId="77777777" w:rsidR="006D4B4F" w:rsidRDefault="006D4B4F" w:rsidP="00EE0E25">
      <w:pPr>
        <w:spacing w:after="0" w:line="240" w:lineRule="auto"/>
      </w:pPr>
      <w:r>
        <w:separator/>
      </w:r>
    </w:p>
  </w:endnote>
  <w:endnote w:type="continuationSeparator" w:id="0">
    <w:p w14:paraId="3A0FF5F2" w14:textId="77777777" w:rsidR="006D4B4F" w:rsidRDefault="006D4B4F" w:rsidP="00EE0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871BC" w14:textId="77777777" w:rsidR="00021EAB" w:rsidRDefault="00021EAB">
    <w:pPr>
      <w:pStyle w:val="Piedepgina"/>
    </w:pPr>
  </w:p>
  <w:p w14:paraId="0940511E" w14:textId="77777777" w:rsidR="00021EAB" w:rsidRPr="00174B77" w:rsidRDefault="008E28C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55EBF4" w14:textId="77777777" w:rsidR="00021EAB" w:rsidRDefault="008E28C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AE9658" w14:textId="77777777" w:rsidR="00021EAB" w:rsidRPr="00E41027" w:rsidRDefault="008E28C0" w:rsidP="00D520D8">
    <w:pPr>
      <w:spacing w:after="0"/>
      <w:jc w:val="both"/>
      <w:rPr>
        <w:rFonts w:ascii="Verdana" w:hAnsi="Verdana"/>
        <w:sz w:val="18"/>
        <w:szCs w:val="18"/>
      </w:rPr>
    </w:pPr>
    <w:r w:rsidRPr="00E41027">
      <w:rPr>
        <w:rFonts w:ascii="Verdana" w:hAnsi="Verdana"/>
        <w:sz w:val="18"/>
        <w:szCs w:val="18"/>
      </w:rPr>
      <w:t>Mesa de servicio: (+57) 601 7456788</w:t>
    </w:r>
  </w:p>
  <w:p w14:paraId="5A77ADEC" w14:textId="77777777" w:rsidR="00021EAB" w:rsidRDefault="008E28C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30AD66" w14:textId="77777777" w:rsidR="006D4B4F" w:rsidRDefault="006D4B4F" w:rsidP="00EE0E25">
      <w:pPr>
        <w:spacing w:after="0" w:line="240" w:lineRule="auto"/>
      </w:pPr>
      <w:r>
        <w:separator/>
      </w:r>
    </w:p>
  </w:footnote>
  <w:footnote w:type="continuationSeparator" w:id="0">
    <w:p w14:paraId="61829076" w14:textId="77777777" w:rsidR="006D4B4F" w:rsidRDefault="006D4B4F" w:rsidP="00EE0E25">
      <w:pPr>
        <w:spacing w:after="0" w:line="240" w:lineRule="auto"/>
      </w:pPr>
      <w:r>
        <w:continuationSeparator/>
      </w:r>
    </w:p>
  </w:footnote>
  <w:footnote w:id="1">
    <w:p w14:paraId="70F42D7A" w14:textId="77777777" w:rsidR="00BF0971" w:rsidRPr="003734FE" w:rsidRDefault="00BF0971" w:rsidP="00BF0971">
      <w:pPr>
        <w:pStyle w:val="Textonotapie"/>
        <w:rPr>
          <w:lang w:val="es-ES"/>
        </w:rPr>
      </w:pPr>
      <w:r>
        <w:rPr>
          <w:rStyle w:val="Refdenotaalpie"/>
        </w:rPr>
        <w:footnoteRef/>
      </w:r>
      <w:r>
        <w:t xml:space="preserve"> </w:t>
      </w:r>
      <w:r>
        <w:rPr>
          <w:lang w:val="es-ES"/>
        </w:rPr>
        <w:t>Numeral 6 y 7 del artículo 7 de la ley 80 de 1993.</w:t>
      </w:r>
    </w:p>
  </w:footnote>
  <w:footnote w:id="2">
    <w:p w14:paraId="5CF7C5AF" w14:textId="77777777" w:rsidR="00BF0971" w:rsidRPr="00003BC7" w:rsidRDefault="00BF0971" w:rsidP="00BF0971">
      <w:pPr>
        <w:pStyle w:val="Textonotapie"/>
        <w:ind w:firstLine="720"/>
        <w:jc w:val="both"/>
        <w:rPr>
          <w:rFonts w:ascii="Century Gothic" w:hAnsi="Century Gothic" w:cs="Arial"/>
          <w:sz w:val="16"/>
          <w:szCs w:val="16"/>
        </w:rPr>
      </w:pPr>
      <w:r w:rsidRPr="00003BC7">
        <w:rPr>
          <w:rStyle w:val="Refdenotaalpie"/>
          <w:rFonts w:ascii="Century Gothic" w:hAnsi="Century Gothic" w:cs="Arial"/>
          <w:sz w:val="16"/>
          <w:szCs w:val="16"/>
        </w:rPr>
        <w:footnoteRef/>
      </w:r>
      <w:r w:rsidRPr="00003BC7">
        <w:rPr>
          <w:rFonts w:ascii="Century Gothic" w:hAnsi="Century Gothic" w:cs="Arial"/>
          <w:sz w:val="16"/>
          <w:szCs w:val="16"/>
        </w:rPr>
        <w:t xml:space="preserve"> CORTE CONSTITUCIONAL. Sentencia C-949 del 5 de septiembre de 2001. M.P. 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91304" w14:textId="77777777" w:rsidR="00021EAB" w:rsidRDefault="008E28C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F28B988" wp14:editId="38627F6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5BD9870" wp14:editId="458DBF4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44A5D23" w14:textId="77777777" w:rsidR="00021EAB" w:rsidRDefault="00021EAB">
    <w:pPr>
      <w:pStyle w:val="Encabezado"/>
    </w:pPr>
  </w:p>
  <w:p w14:paraId="738610EB" w14:textId="77777777" w:rsidR="00021EAB" w:rsidRDefault="00021EAB" w:rsidP="004A305D">
    <w:pPr>
      <w:spacing w:after="0"/>
      <w:rPr>
        <w:rFonts w:ascii="Verdana" w:hAnsi="Verdana"/>
        <w:b/>
        <w:bCs/>
      </w:rPr>
    </w:pPr>
  </w:p>
  <w:p w14:paraId="637805D2" w14:textId="77777777" w:rsidR="00021EAB" w:rsidRPr="004A305D" w:rsidRDefault="00021EAB" w:rsidP="00B01B1A">
    <w:pPr>
      <w:spacing w:after="0" w:line="120" w:lineRule="auto"/>
      <w:rPr>
        <w:rFonts w:ascii="Century Gothic" w:eastAsia="Geo" w:hAnsi="Century Gothic" w:cs="Geo"/>
        <w:sz w:val="16"/>
        <w:szCs w:val="16"/>
        <w:lang w:eastAsia="es-CO"/>
      </w:rPr>
    </w:pPr>
  </w:p>
  <w:p w14:paraId="463F29E8" w14:textId="77777777" w:rsidR="00021EAB" w:rsidRDefault="00021EA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E5638AA"/>
    <w:multiLevelType w:val="multilevel"/>
    <w:tmpl w:val="29A0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9089576">
    <w:abstractNumId w:val="0"/>
  </w:num>
  <w:num w:numId="2" w16cid:durableId="1811940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E25"/>
    <w:rsid w:val="00021EAB"/>
    <w:rsid w:val="002005BE"/>
    <w:rsid w:val="002870A5"/>
    <w:rsid w:val="0043496D"/>
    <w:rsid w:val="00502628"/>
    <w:rsid w:val="00590754"/>
    <w:rsid w:val="006113E1"/>
    <w:rsid w:val="006D4B4F"/>
    <w:rsid w:val="008E28C0"/>
    <w:rsid w:val="009061E6"/>
    <w:rsid w:val="00947636"/>
    <w:rsid w:val="009E5EA1"/>
    <w:rsid w:val="00AC7F30"/>
    <w:rsid w:val="00B13B36"/>
    <w:rsid w:val="00B92F35"/>
    <w:rsid w:val="00BF0971"/>
    <w:rsid w:val="00EE0E25"/>
    <w:rsid w:val="3439BF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CBAF7"/>
  <w15:chartTrackingRefBased/>
  <w15:docId w15:val="{A6BD8ADD-7090-0044-A020-B44228FB3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E25"/>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E0E25"/>
    <w:pPr>
      <w:ind w:left="720"/>
      <w:contextualSpacing/>
    </w:pPr>
  </w:style>
  <w:style w:type="paragraph" w:styleId="Encabezado">
    <w:name w:val="header"/>
    <w:basedOn w:val="Normal"/>
    <w:link w:val="EncabezadoCar"/>
    <w:uiPriority w:val="99"/>
    <w:unhideWhenUsed/>
    <w:rsid w:val="00EE0E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0E25"/>
    <w:rPr>
      <w:kern w:val="0"/>
      <w:sz w:val="22"/>
      <w:szCs w:val="22"/>
      <w14:ligatures w14:val="none"/>
    </w:rPr>
  </w:style>
  <w:style w:type="paragraph" w:styleId="Piedepgina">
    <w:name w:val="footer"/>
    <w:basedOn w:val="Normal"/>
    <w:link w:val="PiedepginaCar"/>
    <w:uiPriority w:val="99"/>
    <w:unhideWhenUsed/>
    <w:rsid w:val="00EE0E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0E25"/>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E0E2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E0E2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E0E2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E0E25"/>
    <w:rPr>
      <w:vertAlign w:val="superscript"/>
    </w:rPr>
  </w:style>
  <w:style w:type="character" w:customStyle="1" w:styleId="normaltextrun">
    <w:name w:val="normaltextrun"/>
    <w:basedOn w:val="Fuentedeprrafopredeter"/>
    <w:rsid w:val="00EE0E25"/>
  </w:style>
  <w:style w:type="table" w:styleId="Tablaconcuadrcula">
    <w:name w:val="Table Grid"/>
    <w:basedOn w:val="Tablanormal"/>
    <w:uiPriority w:val="39"/>
    <w:qFormat/>
    <w:rsid w:val="00EE0E2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E0E25"/>
    <w:rPr>
      <w:color w:val="0000FF"/>
      <w:u w:val="single"/>
    </w:rPr>
  </w:style>
  <w:style w:type="table" w:customStyle="1" w:styleId="Tablaconcuadrcula1">
    <w:name w:val="Tabla con cuadrícula1"/>
    <w:basedOn w:val="Tablanormal"/>
    <w:next w:val="Tablaconcuadrcula"/>
    <w:uiPriority w:val="59"/>
    <w:rsid w:val="00EE0E25"/>
    <w:pPr>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E0E25"/>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E0E25"/>
    <w:rPr>
      <w:kern w:val="0"/>
      <w:sz w:val="22"/>
      <w:szCs w:val="22"/>
      <w14:ligatures w14:val="none"/>
    </w:rPr>
  </w:style>
  <w:style w:type="character" w:styleId="Hipervnculovisitado">
    <w:name w:val="FollowedHyperlink"/>
    <w:basedOn w:val="Fuentedeprrafopredeter"/>
    <w:uiPriority w:val="99"/>
    <w:semiHidden/>
    <w:unhideWhenUsed/>
    <w:rsid w:val="009061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8423699">
      <w:bodyDiv w:val="1"/>
      <w:marLeft w:val="0"/>
      <w:marRight w:val="0"/>
      <w:marTop w:val="0"/>
      <w:marBottom w:val="0"/>
      <w:divBdr>
        <w:top w:val="none" w:sz="0" w:space="0" w:color="auto"/>
        <w:left w:val="none" w:sz="0" w:space="0" w:color="auto"/>
        <w:bottom w:val="none" w:sz="0" w:space="0" w:color="auto"/>
        <w:right w:val="none" w:sz="0" w:space="0" w:color="auto"/>
      </w:divBdr>
      <w:divsChild>
        <w:div w:id="1883010746">
          <w:marLeft w:val="0"/>
          <w:marRight w:val="0"/>
          <w:marTop w:val="240"/>
          <w:marBottom w:val="240"/>
          <w:divBdr>
            <w:top w:val="none" w:sz="0" w:space="0" w:color="auto"/>
            <w:left w:val="none" w:sz="0" w:space="0" w:color="auto"/>
            <w:bottom w:val="none" w:sz="0" w:space="0" w:color="auto"/>
            <w:right w:val="none" w:sz="0" w:space="0" w:color="auto"/>
          </w:divBdr>
        </w:div>
        <w:div w:id="1921988186">
          <w:marLeft w:val="0"/>
          <w:marRight w:val="0"/>
          <w:marTop w:val="240"/>
          <w:marBottom w:val="240"/>
          <w:divBdr>
            <w:top w:val="none" w:sz="0" w:space="0" w:color="auto"/>
            <w:left w:val="none" w:sz="0" w:space="0" w:color="auto"/>
            <w:bottom w:val="none" w:sz="0" w:space="0" w:color="auto"/>
            <w:right w:val="none" w:sz="0" w:space="0" w:color="auto"/>
          </w:divBdr>
        </w:div>
        <w:div w:id="546065952">
          <w:marLeft w:val="0"/>
          <w:marRight w:val="0"/>
          <w:marTop w:val="240"/>
          <w:marBottom w:val="240"/>
          <w:divBdr>
            <w:top w:val="none" w:sz="0" w:space="0" w:color="auto"/>
            <w:left w:val="none" w:sz="0" w:space="0" w:color="auto"/>
            <w:bottom w:val="none" w:sz="0" w:space="0" w:color="auto"/>
            <w:right w:val="none" w:sz="0" w:space="0" w:color="auto"/>
          </w:divBdr>
        </w:div>
        <w:div w:id="1260597607">
          <w:marLeft w:val="0"/>
          <w:marRight w:val="0"/>
          <w:marTop w:val="240"/>
          <w:marBottom w:val="240"/>
          <w:divBdr>
            <w:top w:val="none" w:sz="0" w:space="0" w:color="auto"/>
            <w:left w:val="none" w:sz="0" w:space="0" w:color="auto"/>
            <w:bottom w:val="none" w:sz="0" w:space="0" w:color="auto"/>
            <w:right w:val="none" w:sz="0" w:space="0" w:color="auto"/>
          </w:divBdr>
        </w:div>
        <w:div w:id="154451899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rteconstitucional.gov./relatoria/" TargetMode="External"/><Relationship Id="rId17" Type="http://schemas.openxmlformats.org/officeDocument/2006/relationships/hyperlink" Target="https://nam02.safelinks.protection.outlook.com/?url=https%3A%2F%2Fwww.colombiacompra.gov.co%2Fsala-de-prensa%2Fboletin-digital&amp;data=05%7C02%7Cjhonattan.gualdron%40colombiacompra.gov.co%7C6192b0470d324981a09708dd0a6c28db%7C7b09041e245149d08cb179d5e3d8c1be%7C0%7C0%7C638678181872336115%7CUnknown%7CTWFpbGZsb3d8eyJFbXB0eU1hcGkiOnRydWUsIlYiOiIwLjAuMDAwMCIsIlAiOiJXaW4zMiIsIkFOIjoiTWFpbCIsIldUIjoyfQ%3D%3D%7C0%7C%7C%7C&amp;sdata=hJEdB1dfLd9%2FoNVOdRsSxfAuHH%2Buq8MfEiQK0eFje0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sucop.gov.co%2Fentidades%2Fcolombiacompra%2FNormativa%3FIDNorma%3D19201&amp;data=05%7C02%7Cjhonattan.gualdron%40colombiacompra.gov.co%7C6192b0470d324981a09708dd0a6c28db%7C7b09041e245149d08cb179d5e3d8c1be%7C0%7C0%7C638678181872319846%7CUnknown%7CTWFpbGZsb3d8eyJFbXB0eU1hcGkiOnRydWUsIlYiOiIwLjAuMDAwMCIsIlAiOiJXaW4zMiIsIkFOIjoiTWFpbCIsIldUIjoyfQ%3D%3D%7C0%7C%7C%7C&amp;sdata=4tf75HVk8SuChJMA27zYFJ4Jjt3y9uN3ltcBsDBcrMI%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forerogil@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jhonattan.gualdron%40colombiacompra.gov.co%7C6192b0470d324981a09708dd0a6c28db%7C7b09041e245149d08cb179d5e3d8c1be%7C0%7C0%7C638678181872303954%7CUnknown%7CTWFpbGZsb3d8eyJFbXB0eU1hcGkiOnRydWUsIlYiOiIwLjAuMDAwMCIsIlAiOiJXaW4zMiIsIkFOIjoiTWFpbCIsIldUIjoyfQ%3D%3D%7C0%7C%7C%7C&amp;sdata=VJvwxrXifTJryFSVBljFc2Ikmu4Fn95y0CO6IXPGFy4%3D&amp;reserved=0"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cce_documents%2Fmanual_para_el_manejo_de_acuerdos_comerciales_vf.pdf&amp;data=05%7C02%7Cjhonattan.gualdron%40colombiacompra.gov.co%7C6192b0470d324981a09708dd0a6c28db%7C7b09041e245149d08cb179d5e3d8c1be%7C0%7C0%7C638678181872286796%7CUnknown%7CTWFpbGZsb3d8eyJFbXB0eU1hcGkiOnRydWUsIlYiOiIwLjAuMDAwMCIsIlAiOiJXaW4zMiIsIkFOIjoiTWFpbCIsIldUIjoyfQ%3D%3D%7C0%7C%7C%7C&amp;sdata=cKSTkbemh2dgP2gDn4Nkg%2Fb9Xf%2BalSyUt7erPFodKGU%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B1F0E5-A7EE-4BA3-ABEA-621F39D79EC3}">
  <ds:schemaRefs>
    <ds:schemaRef ds:uri="http://schemas.microsoft.com/sharepoint/v3/contenttype/forms"/>
  </ds:schemaRefs>
</ds:datastoreItem>
</file>

<file path=customXml/itemProps2.xml><?xml version="1.0" encoding="utf-8"?>
<ds:datastoreItem xmlns:ds="http://schemas.openxmlformats.org/officeDocument/2006/customXml" ds:itemID="{5AB6508F-B463-4E27-9049-6B67BE41B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8FF835-F465-483A-89AD-4CD8BFC6C2F5}">
  <ds:schemaRefs>
    <ds:schemaRef ds:uri="http://purl.org/dc/elements/1.1/"/>
    <ds:schemaRef ds:uri="http://purl.org/dc/dcmitype/"/>
    <ds:schemaRef ds:uri="http://schemas.openxmlformats.org/package/2006/metadata/core-properties"/>
    <ds:schemaRef ds:uri="http://purl.org/dc/terms/"/>
    <ds:schemaRef ds:uri="9d85dbaf-23eb-4e57-a637-93dcacc8b1a1"/>
    <ds:schemaRef ds:uri="http://www.w3.org/XML/1998/namespace"/>
    <ds:schemaRef ds:uri="http://schemas.microsoft.com/office/2006/documentManagement/types"/>
    <ds:schemaRef ds:uri="http://schemas.microsoft.com/office/infopath/2007/PartnerControl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3879</Words>
  <Characters>21335</Characters>
  <Application>Microsoft Office Word</Application>
  <DocSecurity>0</DocSecurity>
  <Lines>177</Lines>
  <Paragraphs>50</Paragraphs>
  <ScaleCrop>false</ScaleCrop>
  <Company/>
  <LinksUpToDate>false</LinksUpToDate>
  <CharactersWithSpaces>25164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2024-11-28T16:45:00Z</dcterms:created>
  <dcterms:modified xsi:type="dcterms:W3CDTF">2024-11-28T16:45:00Z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