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9FF19" w14:textId="4E1B363B" w:rsidR="00A57D69" w:rsidRPr="00A57D69" w:rsidRDefault="00A57D69" w:rsidP="00A57D69">
      <w:pPr>
        <w:jc w:val="both"/>
        <w:rPr>
          <w:rFonts w:ascii="Verdana" w:eastAsia="Aptos" w:hAnsi="Verdana" w:cs="Times New Roman"/>
          <w:b/>
          <w:bCs/>
          <w:kern w:val="2"/>
          <w14:ligatures w14:val="standardContextual"/>
        </w:rPr>
      </w:pPr>
      <w:r w:rsidRPr="00A57D69">
        <w:rPr>
          <w:rFonts w:ascii="Verdana" w:eastAsia="Calibri" w:hAnsi="Verdana" w:cs="Arial"/>
          <w:b/>
          <w:bCs/>
          <w:lang w:val="es-ES" w:eastAsia="es-ES"/>
        </w:rPr>
        <w:t xml:space="preserve">PRINCIPIO DE PUBLICIDAD – Deber de publicación </w:t>
      </w:r>
      <w:r w:rsidRPr="00A57D69">
        <w:rPr>
          <w:rFonts w:ascii="Verdana" w:eastAsia="Aptos" w:hAnsi="Verdana" w:cs="Times New Roman"/>
          <w:b/>
          <w:bCs/>
          <w:kern w:val="2"/>
          <w14:ligatures w14:val="standardContextual"/>
        </w:rPr>
        <w:t xml:space="preserve">– SECOP – Actividad contractual – Recursos públicos </w:t>
      </w:r>
      <w:r w:rsidRPr="00A57D69">
        <w:rPr>
          <w:rFonts w:ascii="Verdana" w:eastAsia="Aptos" w:hAnsi="Verdana" w:cs="Times New Roman"/>
          <w:b/>
          <w:bCs/>
          <w:kern w:val="2"/>
          <w14:ligatures w14:val="standardContextual"/>
        </w:rPr>
        <w:t>–</w:t>
      </w:r>
      <w:r w:rsidRPr="00A57D69">
        <w:rPr>
          <w:rFonts w:ascii="Verdana" w:eastAsia="Aptos" w:hAnsi="Verdana" w:cs="Times New Roman"/>
          <w:b/>
          <w:bCs/>
          <w:kern w:val="2"/>
          <w14:ligatures w14:val="standardContextual"/>
        </w:rPr>
        <w:t xml:space="preserve"> Procedencia</w:t>
      </w:r>
    </w:p>
    <w:p w14:paraId="6D269764" w14:textId="274646EA" w:rsidR="00A57D69" w:rsidRPr="00E900A0" w:rsidRDefault="00A57D69" w:rsidP="00A57D69">
      <w:pPr>
        <w:spacing w:after="120" w:line="276" w:lineRule="auto"/>
        <w:jc w:val="both"/>
        <w:rPr>
          <w:rFonts w:ascii="Verdana" w:eastAsia="Calibri" w:hAnsi="Verdana" w:cs="Arial"/>
          <w:color w:val="000000" w:themeColor="text1"/>
        </w:rPr>
      </w:pPr>
      <w:r>
        <w:rPr>
          <w:rFonts w:ascii="Verdana" w:eastAsia="Calibri" w:hAnsi="Verdana" w:cs="Arial"/>
          <w:lang w:val="es-ES" w:eastAsia="es-ES"/>
        </w:rPr>
        <w:t xml:space="preserve">[…] </w:t>
      </w:r>
      <w:r>
        <w:rPr>
          <w:rFonts w:ascii="Verdana" w:eastAsia="Calibri" w:hAnsi="Verdana" w:cs="Arial"/>
          <w:lang w:val="es-ES" w:eastAsia="es-ES"/>
        </w:rPr>
        <w:t xml:space="preserve">debe señalarse que, </w:t>
      </w:r>
      <w:r w:rsidRPr="00E900A0">
        <w:rPr>
          <w:rFonts w:ascii="Verdana" w:eastAsia="Calibri" w:hAnsi="Verdana" w:cs="Arial"/>
          <w:lang w:val="es-ES" w:eastAsia="es-ES"/>
        </w:rPr>
        <w:t>tratándose del deber de publicación de las entidades exceptuadas del Estatuto General de Contratación de la Administración Pública</w:t>
      </w:r>
      <w:r>
        <w:rPr>
          <w:rFonts w:ascii="Verdana" w:eastAsia="Calibri" w:hAnsi="Verdana" w:cs="Arial"/>
          <w:lang w:val="es-ES" w:eastAsia="es-ES"/>
        </w:rPr>
        <w:t xml:space="preserve"> </w:t>
      </w:r>
      <w:r w:rsidRPr="00E900A0">
        <w:rPr>
          <w:rFonts w:ascii="Verdana" w:eastAsia="Calibri" w:hAnsi="Verdana" w:cs="Arial"/>
          <w:lang w:val="es-ES" w:eastAsia="es-ES"/>
        </w:rPr>
        <w:t xml:space="preserve">resulta particularmente relevante lo dispuesto en el artículo 53 de la Ley 2195 de 2022, </w:t>
      </w:r>
      <w:r w:rsidRPr="00E900A0">
        <w:rPr>
          <w:rFonts w:ascii="Verdana" w:hAnsi="Verdana" w:cs="Arial"/>
          <w:bCs/>
        </w:rPr>
        <w:t>mediante el cual se adiciona el artículo 13 de la Ley 1150 de 2007. La referida disposición les asigna la obligación a las entidades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r w:rsidRPr="00E900A0">
        <w:rPr>
          <w:rFonts w:ascii="Verdana" w:eastAsia="Calibri" w:hAnsi="Verdana" w:cs="Arial"/>
          <w:color w:val="000000" w:themeColor="text1"/>
        </w:rPr>
        <w:t xml:space="preserve">, sin incluir ninguna excepción relacionada con la naturaleza u objeto contractual. </w:t>
      </w:r>
    </w:p>
    <w:p w14:paraId="7C8AD61A" w14:textId="45C5BF79" w:rsidR="00A57D69" w:rsidRDefault="00A57D69" w:rsidP="00A57D69">
      <w:pPr>
        <w:spacing w:after="120" w:line="276" w:lineRule="auto"/>
        <w:jc w:val="both"/>
        <w:rPr>
          <w:rFonts w:ascii="Verdana" w:eastAsia="Calibri" w:hAnsi="Verdana" w:cs="Arial"/>
          <w:shd w:val="clear" w:color="auto" w:fill="FFFFFF"/>
          <w:lang w:val="es-ES"/>
        </w:rPr>
      </w:pPr>
      <w:r>
        <w:rPr>
          <w:rFonts w:ascii="Verdana" w:eastAsia="Calibri" w:hAnsi="Verdana" w:cs="Arial"/>
          <w:lang w:val="es-ES"/>
        </w:rPr>
        <w:t>L</w:t>
      </w:r>
      <w:r w:rsidRPr="00E900A0">
        <w:rPr>
          <w:rFonts w:ascii="Verdana" w:eastAsia="Calibri" w:hAnsi="Verdana" w:cs="Arial"/>
          <w:lang w:val="es-ES"/>
        </w:rPr>
        <w:t>a contratación a la que se refiere el artículo 53 de la Ley 2195 de 2024</w:t>
      </w:r>
      <w:r>
        <w:rPr>
          <w:rFonts w:ascii="Verdana" w:eastAsia="Calibri" w:hAnsi="Verdana" w:cs="Arial"/>
          <w:lang w:val="es-ES"/>
        </w:rPr>
        <w:t xml:space="preserve"> </w:t>
      </w:r>
      <w:r w:rsidRPr="00E900A0">
        <w:rPr>
          <w:rFonts w:ascii="Verdana" w:eastAsia="Calibri" w:hAnsi="Verdana" w:cs="Arial"/>
          <w:lang w:val="es-ES"/>
        </w:rPr>
        <w:t xml:space="preserve">es aquella realizada con cargo a recursos públicos, cuya información es la que debe publicarse en el SECOP, acorde con la interpretación sistemática que permite armonizar la referida norma con todo el contexto normativo que establece que en dicha plataforma se debe publicar sólo la información relativa a la actividad contractual financiada dineros públicos. </w:t>
      </w:r>
      <w:r w:rsidRPr="00E900A0">
        <w:rPr>
          <w:rFonts w:ascii="Verdana" w:eastAsia="Calibri" w:hAnsi="Verdana" w:cs="Arial"/>
          <w:shd w:val="clear" w:color="auto" w:fill="FFFFFF"/>
        </w:rPr>
        <w:t xml:space="preserve">En consideración a esto, resulta claro que la obligatoriedad de publicar la actividad contractual establecida en el artículo 13 de la Ley 1150 de 2007, adicionado por el artículo 53 de la Ley 2195 de 2022, se refiere a la contratación financiada con recursos públicos, deviniendo en potestativa la publicación de la contratación </w:t>
      </w:r>
      <w:r w:rsidRPr="00E900A0">
        <w:rPr>
          <w:rFonts w:ascii="Verdana" w:eastAsia="Calibri" w:hAnsi="Verdana" w:cs="Arial"/>
          <w:shd w:val="clear" w:color="auto" w:fill="FFFFFF"/>
          <w:lang w:val="es-ES"/>
        </w:rPr>
        <w:t xml:space="preserve">desarrollada con otro tipo de recursos. </w:t>
      </w:r>
    </w:p>
    <w:p w14:paraId="7544B088" w14:textId="77777777" w:rsidR="00A57D69" w:rsidRPr="00E900A0" w:rsidRDefault="00A57D69" w:rsidP="00A57D69">
      <w:pPr>
        <w:spacing w:after="120" w:line="276" w:lineRule="auto"/>
        <w:jc w:val="both"/>
        <w:rPr>
          <w:rFonts w:ascii="Verdana" w:eastAsia="Calibri" w:hAnsi="Verdana" w:cs="Arial"/>
          <w:shd w:val="clear" w:color="auto" w:fill="FFFFFF"/>
          <w:lang w:val="es-ES"/>
        </w:rPr>
      </w:pPr>
      <w:r>
        <w:rPr>
          <w:rFonts w:ascii="Verdana" w:eastAsia="Calibri" w:hAnsi="Verdana" w:cs="Arial"/>
          <w:shd w:val="clear" w:color="auto" w:fill="FFFFFF"/>
          <w:lang w:val="es-ES"/>
        </w:rPr>
        <w:t>En ese mismo sentido, l</w:t>
      </w:r>
      <w:r w:rsidRPr="00E900A0">
        <w:rPr>
          <w:rFonts w:ascii="Verdana" w:eastAsia="Calibri" w:hAnsi="Verdana" w:cs="Arial"/>
          <w:shd w:val="clear" w:color="auto" w:fill="FFFFFF"/>
          <w:lang w:val="es-ES"/>
        </w:rPr>
        <w:t xml:space="preserve">a </w:t>
      </w:r>
      <w:r w:rsidRPr="00E900A0">
        <w:rPr>
          <w:rFonts w:ascii="Verdana" w:eastAsia="Calibri" w:hAnsi="Verdana" w:cs="Arial"/>
          <w:lang w:val="es-ES"/>
        </w:rPr>
        <w:t>Circular 002 del 23 de agosto de 2024,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w:t>
      </w:r>
      <w:r>
        <w:rPr>
          <w:rFonts w:ascii="Verdana" w:eastAsia="Calibri" w:hAnsi="Verdana" w:cs="Arial"/>
          <w:lang w:val="es-ES"/>
        </w:rPr>
        <w:t xml:space="preserve"> </w:t>
      </w:r>
      <w:r w:rsidRPr="0044457E">
        <w:rPr>
          <w:rFonts w:ascii="Verdana" w:eastAsia="Calibri" w:hAnsi="Verdana" w:cs="Arial"/>
          <w:color w:val="000000"/>
        </w:rPr>
        <w:t>“La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w:t>
      </w:r>
    </w:p>
    <w:p w14:paraId="673552CE" w14:textId="72980827" w:rsidR="00A57D69" w:rsidRPr="00E900A0" w:rsidRDefault="00A57D69" w:rsidP="00A57D69">
      <w:pPr>
        <w:spacing w:after="120" w:line="276" w:lineRule="auto"/>
        <w:jc w:val="both"/>
        <w:rPr>
          <w:rFonts w:ascii="Verdana" w:eastAsia="Calibri" w:hAnsi="Verdana" w:cs="Arial"/>
          <w:color w:val="000000" w:themeColor="text1"/>
        </w:rPr>
      </w:pPr>
      <w:r w:rsidRPr="00E900A0">
        <w:rPr>
          <w:rFonts w:ascii="Verdana" w:eastAsia="Calibri" w:hAnsi="Verdana" w:cs="Arial"/>
          <w:color w:val="000000" w:themeColor="text1"/>
        </w:rPr>
        <w:lastRenderedPageBreak/>
        <w:t>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w:t>
      </w:r>
    </w:p>
    <w:p w14:paraId="4BD2B2EA" w14:textId="77777777" w:rsidR="00A57D69" w:rsidRPr="004F74AD" w:rsidRDefault="00A57D69" w:rsidP="00A57D69">
      <w:pPr>
        <w:jc w:val="both"/>
        <w:rPr>
          <w:rFonts w:ascii="Verdana" w:eastAsia="Aptos" w:hAnsi="Verdana" w:cs="Times New Roman"/>
          <w:kern w:val="2"/>
          <w14:ligatures w14:val="standardContextual"/>
        </w:rPr>
      </w:pPr>
    </w:p>
    <w:p w14:paraId="0ABD4A9F" w14:textId="77777777" w:rsidR="00A57D69" w:rsidRPr="00A57D69" w:rsidRDefault="00A57D69" w:rsidP="004F74AD">
      <w:pPr>
        <w:spacing w:after="0" w:line="240" w:lineRule="auto"/>
        <w:rPr>
          <w:rFonts w:ascii="Verdana" w:eastAsia="Geomanist Light" w:hAnsi="Verdana" w:cs="Arial"/>
          <w:color w:val="000000" w:themeColor="text1"/>
        </w:rPr>
      </w:pPr>
    </w:p>
    <w:p w14:paraId="4624EC29" w14:textId="77777777" w:rsidR="00A57D69" w:rsidRDefault="00A57D69" w:rsidP="004F74AD">
      <w:pPr>
        <w:spacing w:after="0" w:line="240" w:lineRule="auto"/>
        <w:rPr>
          <w:rFonts w:ascii="Verdana" w:eastAsia="Geomanist Light" w:hAnsi="Verdana" w:cs="Arial"/>
          <w:color w:val="000000" w:themeColor="text1"/>
          <w:lang w:val="es-MX"/>
        </w:rPr>
      </w:pPr>
    </w:p>
    <w:p w14:paraId="5DB96AC4" w14:textId="77777777" w:rsidR="00A57D69" w:rsidRDefault="00A57D69" w:rsidP="004F74AD">
      <w:pPr>
        <w:spacing w:after="0" w:line="240" w:lineRule="auto"/>
        <w:rPr>
          <w:rFonts w:ascii="Verdana" w:eastAsia="Geomanist Light" w:hAnsi="Verdana" w:cs="Arial"/>
          <w:color w:val="000000" w:themeColor="text1"/>
          <w:lang w:val="es-MX"/>
        </w:rPr>
      </w:pPr>
    </w:p>
    <w:p w14:paraId="4EC27A62" w14:textId="77777777" w:rsidR="00A57D69" w:rsidRDefault="00A57D69" w:rsidP="004F74AD">
      <w:pPr>
        <w:spacing w:after="0" w:line="240" w:lineRule="auto"/>
        <w:rPr>
          <w:rFonts w:ascii="Verdana" w:eastAsia="Geomanist Light" w:hAnsi="Verdana" w:cs="Arial"/>
          <w:color w:val="000000" w:themeColor="text1"/>
          <w:lang w:val="es-MX"/>
        </w:rPr>
      </w:pPr>
    </w:p>
    <w:p w14:paraId="79F93E13" w14:textId="77777777" w:rsidR="00A57D69" w:rsidRDefault="00A57D69" w:rsidP="004F74AD">
      <w:pPr>
        <w:spacing w:after="0" w:line="240" w:lineRule="auto"/>
        <w:rPr>
          <w:rFonts w:ascii="Verdana" w:eastAsia="Geomanist Light" w:hAnsi="Verdana" w:cs="Arial"/>
          <w:color w:val="000000" w:themeColor="text1"/>
          <w:lang w:val="es-MX"/>
        </w:rPr>
      </w:pPr>
    </w:p>
    <w:p w14:paraId="52FF0673" w14:textId="77777777" w:rsidR="00A57D69" w:rsidRDefault="00A57D69" w:rsidP="004F74AD">
      <w:pPr>
        <w:spacing w:after="0" w:line="240" w:lineRule="auto"/>
        <w:rPr>
          <w:rFonts w:ascii="Verdana" w:eastAsia="Geomanist Light" w:hAnsi="Verdana" w:cs="Arial"/>
          <w:color w:val="000000" w:themeColor="text1"/>
          <w:lang w:val="es-MX"/>
        </w:rPr>
      </w:pPr>
    </w:p>
    <w:p w14:paraId="58EAE9C8" w14:textId="77777777" w:rsidR="00A57D69" w:rsidRDefault="00A57D69" w:rsidP="004F74AD">
      <w:pPr>
        <w:spacing w:after="0" w:line="240" w:lineRule="auto"/>
        <w:rPr>
          <w:rFonts w:ascii="Verdana" w:eastAsia="Geomanist Light" w:hAnsi="Verdana" w:cs="Arial"/>
          <w:color w:val="000000" w:themeColor="text1"/>
          <w:lang w:val="es-MX"/>
        </w:rPr>
      </w:pPr>
    </w:p>
    <w:p w14:paraId="6ED0C0F2" w14:textId="77777777" w:rsidR="00A57D69" w:rsidRDefault="00A57D69" w:rsidP="004F74AD">
      <w:pPr>
        <w:spacing w:after="0" w:line="240" w:lineRule="auto"/>
        <w:rPr>
          <w:rFonts w:ascii="Verdana" w:eastAsia="Geomanist Light" w:hAnsi="Verdana" w:cs="Arial"/>
          <w:color w:val="000000" w:themeColor="text1"/>
          <w:lang w:val="es-MX"/>
        </w:rPr>
      </w:pPr>
    </w:p>
    <w:p w14:paraId="2B346A8B" w14:textId="77777777" w:rsidR="00A57D69" w:rsidRDefault="00A57D69" w:rsidP="004F74AD">
      <w:pPr>
        <w:spacing w:after="0" w:line="240" w:lineRule="auto"/>
        <w:rPr>
          <w:rFonts w:ascii="Verdana" w:eastAsia="Geomanist Light" w:hAnsi="Verdana" w:cs="Arial"/>
          <w:color w:val="000000" w:themeColor="text1"/>
          <w:lang w:val="es-MX"/>
        </w:rPr>
      </w:pPr>
    </w:p>
    <w:p w14:paraId="25E47AD8" w14:textId="77777777" w:rsidR="00A57D69" w:rsidRDefault="00A57D69" w:rsidP="004F74AD">
      <w:pPr>
        <w:spacing w:after="0" w:line="240" w:lineRule="auto"/>
        <w:rPr>
          <w:rFonts w:ascii="Verdana" w:eastAsia="Geomanist Light" w:hAnsi="Verdana" w:cs="Arial"/>
          <w:color w:val="000000" w:themeColor="text1"/>
          <w:lang w:val="es-MX"/>
        </w:rPr>
      </w:pPr>
    </w:p>
    <w:p w14:paraId="240CB8BA" w14:textId="77777777" w:rsidR="00A57D69" w:rsidRDefault="00A57D69" w:rsidP="004F74AD">
      <w:pPr>
        <w:spacing w:after="0" w:line="240" w:lineRule="auto"/>
        <w:rPr>
          <w:rFonts w:ascii="Verdana" w:eastAsia="Geomanist Light" w:hAnsi="Verdana" w:cs="Arial"/>
          <w:color w:val="000000" w:themeColor="text1"/>
          <w:lang w:val="es-MX"/>
        </w:rPr>
      </w:pPr>
    </w:p>
    <w:p w14:paraId="7DB0E0A2" w14:textId="77777777" w:rsidR="00A57D69" w:rsidRDefault="00A57D69" w:rsidP="004F74AD">
      <w:pPr>
        <w:spacing w:after="0" w:line="240" w:lineRule="auto"/>
        <w:rPr>
          <w:rFonts w:ascii="Verdana" w:eastAsia="Geomanist Light" w:hAnsi="Verdana" w:cs="Arial"/>
          <w:color w:val="000000" w:themeColor="text1"/>
          <w:lang w:val="es-MX"/>
        </w:rPr>
      </w:pPr>
    </w:p>
    <w:p w14:paraId="645E0186" w14:textId="77777777" w:rsidR="00A57D69" w:rsidRDefault="00A57D69" w:rsidP="004F74AD">
      <w:pPr>
        <w:spacing w:after="0" w:line="240" w:lineRule="auto"/>
        <w:rPr>
          <w:rFonts w:ascii="Verdana" w:eastAsia="Geomanist Light" w:hAnsi="Verdana" w:cs="Arial"/>
          <w:color w:val="000000" w:themeColor="text1"/>
          <w:lang w:val="es-MX"/>
        </w:rPr>
      </w:pPr>
    </w:p>
    <w:p w14:paraId="515AEC6C" w14:textId="77777777" w:rsidR="00A57D69" w:rsidRDefault="00A57D69" w:rsidP="004F74AD">
      <w:pPr>
        <w:spacing w:after="0" w:line="240" w:lineRule="auto"/>
        <w:rPr>
          <w:rFonts w:ascii="Verdana" w:eastAsia="Geomanist Light" w:hAnsi="Verdana" w:cs="Arial"/>
          <w:color w:val="000000" w:themeColor="text1"/>
          <w:lang w:val="es-MX"/>
        </w:rPr>
      </w:pPr>
    </w:p>
    <w:p w14:paraId="587D1C7A" w14:textId="77777777" w:rsidR="00A57D69" w:rsidRDefault="00A57D69" w:rsidP="004F74AD">
      <w:pPr>
        <w:spacing w:after="0" w:line="240" w:lineRule="auto"/>
        <w:rPr>
          <w:rFonts w:ascii="Verdana" w:eastAsia="Geomanist Light" w:hAnsi="Verdana" w:cs="Arial"/>
          <w:color w:val="000000" w:themeColor="text1"/>
          <w:lang w:val="es-MX"/>
        </w:rPr>
      </w:pPr>
    </w:p>
    <w:p w14:paraId="69670F91" w14:textId="77777777" w:rsidR="00A57D69" w:rsidRDefault="00A57D69" w:rsidP="004F74AD">
      <w:pPr>
        <w:spacing w:after="0" w:line="240" w:lineRule="auto"/>
        <w:rPr>
          <w:rFonts w:ascii="Verdana" w:eastAsia="Geomanist Light" w:hAnsi="Verdana" w:cs="Arial"/>
          <w:color w:val="000000" w:themeColor="text1"/>
          <w:lang w:val="es-MX"/>
        </w:rPr>
      </w:pPr>
    </w:p>
    <w:p w14:paraId="27298521" w14:textId="77777777" w:rsidR="00A57D69" w:rsidRDefault="00A57D69" w:rsidP="004F74AD">
      <w:pPr>
        <w:spacing w:after="0" w:line="240" w:lineRule="auto"/>
        <w:rPr>
          <w:rFonts w:ascii="Verdana" w:eastAsia="Geomanist Light" w:hAnsi="Verdana" w:cs="Arial"/>
          <w:color w:val="000000" w:themeColor="text1"/>
          <w:lang w:val="es-MX"/>
        </w:rPr>
      </w:pPr>
    </w:p>
    <w:p w14:paraId="323754BD" w14:textId="77777777" w:rsidR="00A57D69" w:rsidRDefault="00A57D69" w:rsidP="004F74AD">
      <w:pPr>
        <w:spacing w:after="0" w:line="240" w:lineRule="auto"/>
        <w:rPr>
          <w:rFonts w:ascii="Verdana" w:eastAsia="Geomanist Light" w:hAnsi="Verdana" w:cs="Arial"/>
          <w:color w:val="000000" w:themeColor="text1"/>
          <w:lang w:val="es-MX"/>
        </w:rPr>
      </w:pPr>
    </w:p>
    <w:p w14:paraId="058E0D25" w14:textId="77777777" w:rsidR="00A57D69" w:rsidRDefault="00A57D69" w:rsidP="004F74AD">
      <w:pPr>
        <w:spacing w:after="0" w:line="240" w:lineRule="auto"/>
        <w:rPr>
          <w:rFonts w:ascii="Verdana" w:eastAsia="Geomanist Light" w:hAnsi="Verdana" w:cs="Arial"/>
          <w:color w:val="000000" w:themeColor="text1"/>
          <w:lang w:val="es-MX"/>
        </w:rPr>
      </w:pPr>
    </w:p>
    <w:p w14:paraId="157080AF" w14:textId="77777777" w:rsidR="00A57D69" w:rsidRDefault="00A57D69" w:rsidP="004F74AD">
      <w:pPr>
        <w:spacing w:after="0" w:line="240" w:lineRule="auto"/>
        <w:rPr>
          <w:rFonts w:ascii="Verdana" w:eastAsia="Geomanist Light" w:hAnsi="Verdana" w:cs="Arial"/>
          <w:color w:val="000000" w:themeColor="text1"/>
          <w:lang w:val="es-MX"/>
        </w:rPr>
      </w:pPr>
    </w:p>
    <w:p w14:paraId="2454D077" w14:textId="77777777" w:rsidR="00A57D69" w:rsidRDefault="00A57D69" w:rsidP="004F74AD">
      <w:pPr>
        <w:spacing w:after="0" w:line="240" w:lineRule="auto"/>
        <w:rPr>
          <w:rFonts w:ascii="Verdana" w:eastAsia="Geomanist Light" w:hAnsi="Verdana" w:cs="Arial"/>
          <w:color w:val="000000" w:themeColor="text1"/>
          <w:lang w:val="es-MX"/>
        </w:rPr>
      </w:pPr>
    </w:p>
    <w:p w14:paraId="5300D921" w14:textId="77777777" w:rsidR="00A57D69" w:rsidRDefault="00A57D69" w:rsidP="004F74AD">
      <w:pPr>
        <w:spacing w:after="0" w:line="240" w:lineRule="auto"/>
        <w:rPr>
          <w:rFonts w:ascii="Verdana" w:eastAsia="Geomanist Light" w:hAnsi="Verdana" w:cs="Arial"/>
          <w:color w:val="000000" w:themeColor="text1"/>
          <w:lang w:val="es-MX"/>
        </w:rPr>
      </w:pPr>
    </w:p>
    <w:p w14:paraId="4A3F98AF" w14:textId="77777777" w:rsidR="00A57D69" w:rsidRDefault="00A57D69" w:rsidP="004F74AD">
      <w:pPr>
        <w:spacing w:after="0" w:line="240" w:lineRule="auto"/>
        <w:rPr>
          <w:rFonts w:ascii="Verdana" w:eastAsia="Geomanist Light" w:hAnsi="Verdana" w:cs="Arial"/>
          <w:color w:val="000000" w:themeColor="text1"/>
          <w:lang w:val="es-MX"/>
        </w:rPr>
      </w:pPr>
    </w:p>
    <w:p w14:paraId="6CA8AEC8" w14:textId="77777777" w:rsidR="00A57D69" w:rsidRDefault="00A57D69" w:rsidP="004F74AD">
      <w:pPr>
        <w:spacing w:after="0" w:line="240" w:lineRule="auto"/>
        <w:rPr>
          <w:rFonts w:ascii="Verdana" w:eastAsia="Geomanist Light" w:hAnsi="Verdana" w:cs="Arial"/>
          <w:color w:val="000000" w:themeColor="text1"/>
          <w:lang w:val="es-MX"/>
        </w:rPr>
      </w:pPr>
    </w:p>
    <w:p w14:paraId="01AF2BA5" w14:textId="77777777" w:rsidR="00A57D69" w:rsidRDefault="00A57D69" w:rsidP="004F74AD">
      <w:pPr>
        <w:spacing w:after="0" w:line="240" w:lineRule="auto"/>
        <w:rPr>
          <w:rFonts w:ascii="Verdana" w:eastAsia="Geomanist Light" w:hAnsi="Verdana" w:cs="Arial"/>
          <w:color w:val="000000" w:themeColor="text1"/>
          <w:lang w:val="es-MX"/>
        </w:rPr>
      </w:pPr>
    </w:p>
    <w:p w14:paraId="3E67EADA" w14:textId="77777777" w:rsidR="00A57D69" w:rsidRDefault="00A57D69" w:rsidP="004F74AD">
      <w:pPr>
        <w:spacing w:after="0" w:line="240" w:lineRule="auto"/>
        <w:rPr>
          <w:rFonts w:ascii="Verdana" w:eastAsia="Geomanist Light" w:hAnsi="Verdana" w:cs="Arial"/>
          <w:color w:val="000000" w:themeColor="text1"/>
          <w:lang w:val="es-MX"/>
        </w:rPr>
      </w:pPr>
    </w:p>
    <w:p w14:paraId="06895A28" w14:textId="77777777" w:rsidR="00A57D69" w:rsidRDefault="00A57D69" w:rsidP="004F74AD">
      <w:pPr>
        <w:spacing w:after="0" w:line="240" w:lineRule="auto"/>
        <w:rPr>
          <w:rFonts w:ascii="Verdana" w:eastAsia="Geomanist Light" w:hAnsi="Verdana" w:cs="Arial"/>
          <w:color w:val="000000" w:themeColor="text1"/>
          <w:lang w:val="es-MX"/>
        </w:rPr>
      </w:pPr>
    </w:p>
    <w:p w14:paraId="66EF2E00" w14:textId="77777777" w:rsidR="00A57D69" w:rsidRDefault="00A57D69" w:rsidP="004F74AD">
      <w:pPr>
        <w:spacing w:after="0" w:line="240" w:lineRule="auto"/>
        <w:rPr>
          <w:rFonts w:ascii="Verdana" w:eastAsia="Geomanist Light" w:hAnsi="Verdana" w:cs="Arial"/>
          <w:color w:val="000000" w:themeColor="text1"/>
          <w:lang w:val="es-MX"/>
        </w:rPr>
      </w:pPr>
    </w:p>
    <w:p w14:paraId="451B5648" w14:textId="62D53348" w:rsidR="004F74AD" w:rsidRPr="00843FED" w:rsidRDefault="004F74AD" w:rsidP="004F74AD">
      <w:pPr>
        <w:spacing w:after="0" w:line="240" w:lineRule="auto"/>
        <w:rPr>
          <w:rFonts w:ascii="Verdana" w:eastAsia="Geomanist Light" w:hAnsi="Verdana" w:cs="Arial"/>
          <w:color w:val="201F1E"/>
          <w:lang w:val="es-MX"/>
        </w:rPr>
      </w:pPr>
      <w:r w:rsidRPr="00843FED">
        <w:rPr>
          <w:rFonts w:ascii="Verdana" w:eastAsia="Geomanist Light" w:hAnsi="Verdana" w:cs="Arial"/>
          <w:color w:val="000000" w:themeColor="text1"/>
          <w:lang w:val="es-MX"/>
        </w:rPr>
        <w:lastRenderedPageBreak/>
        <w:t>Bogotá D.C., </w:t>
      </w:r>
      <w:r w:rsidR="00A57D69">
        <w:rPr>
          <w:rFonts w:ascii="Verdana" w:eastAsia="Geomanist Light" w:hAnsi="Verdana" w:cs="Arial"/>
          <w:color w:val="201F1E"/>
          <w:lang w:val="es-MX"/>
        </w:rPr>
        <w:t>30</w:t>
      </w:r>
      <w:r w:rsidRPr="00843FED">
        <w:rPr>
          <w:rFonts w:ascii="Verdana" w:eastAsia="Geomanist Light" w:hAnsi="Verdana" w:cs="Arial"/>
          <w:color w:val="201F1E"/>
          <w:lang w:val="es-MX"/>
        </w:rPr>
        <w:t xml:space="preserve"> de </w:t>
      </w:r>
      <w:r w:rsidR="00A57D69">
        <w:rPr>
          <w:rFonts w:ascii="Verdana" w:eastAsia="Geomanist Light" w:hAnsi="Verdana" w:cs="Arial"/>
          <w:color w:val="201F1E"/>
          <w:lang w:val="es-MX"/>
        </w:rPr>
        <w:t>julio</w:t>
      </w:r>
      <w:r w:rsidRPr="00843FED">
        <w:rPr>
          <w:rFonts w:ascii="Verdana" w:eastAsia="Geomanist Light" w:hAnsi="Verdana" w:cs="Arial"/>
          <w:color w:val="201F1E"/>
          <w:lang w:val="es-MX"/>
        </w:rPr>
        <w:t xml:space="preserve"> de </w:t>
      </w:r>
      <w:r w:rsidR="00A57D69">
        <w:rPr>
          <w:rFonts w:ascii="Verdana" w:eastAsia="Geomanist Light" w:hAnsi="Verdana" w:cs="Arial"/>
          <w:color w:val="201F1E"/>
          <w:lang w:val="es-MX"/>
        </w:rPr>
        <w:t>2025</w:t>
      </w:r>
    </w:p>
    <w:p w14:paraId="44C9E238" w14:textId="77777777" w:rsidR="004F74AD" w:rsidRPr="004A71C2" w:rsidRDefault="004F74AD" w:rsidP="004F74AD">
      <w:pPr>
        <w:spacing w:after="0" w:line="240" w:lineRule="auto"/>
        <w:jc w:val="both"/>
        <w:rPr>
          <w:rFonts w:ascii="Verdana" w:eastAsia="Calibri" w:hAnsi="Verdana" w:cs="Arial"/>
          <w:color w:val="000000"/>
          <w:lang w:val="es-MX"/>
        </w:rPr>
      </w:pPr>
    </w:p>
    <w:p w14:paraId="403C0842" w14:textId="05A8FB73" w:rsidR="00A57D69" w:rsidRDefault="00A57D69" w:rsidP="00A57D69">
      <w:pPr>
        <w:spacing w:after="0" w:line="240" w:lineRule="auto"/>
        <w:ind w:left="4956"/>
        <w:jc w:val="both"/>
        <w:rPr>
          <w:rFonts w:ascii="Verdana" w:eastAsia="Calibri" w:hAnsi="Verdana" w:cs="Arial"/>
          <w:lang w:val="es-ES" w:eastAsia="es-ES"/>
        </w:rPr>
      </w:pPr>
      <w:r w:rsidRPr="00A57D69">
        <w:rPr>
          <w:rFonts w:ascii="Verdana" w:eastAsia="Calibri" w:hAnsi="Verdana" w:cs="Arial"/>
          <w:lang w:val="es-ES" w:eastAsia="es-ES"/>
        </w:rPr>
        <w:drawing>
          <wp:inline distT="0" distB="0" distL="0" distR="0" wp14:anchorId="3EC30B85" wp14:editId="5B9DD59D">
            <wp:extent cx="3077004" cy="838317"/>
            <wp:effectExtent l="0" t="0" r="9525" b="0"/>
            <wp:docPr id="1786190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9064" name=""/>
                    <pic:cNvPicPr/>
                  </pic:nvPicPr>
                  <pic:blipFill>
                    <a:blip r:embed="rId11"/>
                    <a:stretch>
                      <a:fillRect/>
                    </a:stretch>
                  </pic:blipFill>
                  <pic:spPr>
                    <a:xfrm>
                      <a:off x="0" y="0"/>
                      <a:ext cx="3077004" cy="838317"/>
                    </a:xfrm>
                    <a:prstGeom prst="rect">
                      <a:avLst/>
                    </a:prstGeom>
                  </pic:spPr>
                </pic:pic>
              </a:graphicData>
            </a:graphic>
          </wp:inline>
        </w:drawing>
      </w:r>
    </w:p>
    <w:p w14:paraId="0FF864ED" w14:textId="6FCDAB93" w:rsidR="004F74AD" w:rsidRPr="00883962" w:rsidRDefault="004F74AD" w:rsidP="004F74AD">
      <w:pPr>
        <w:spacing w:after="0" w:line="240" w:lineRule="auto"/>
        <w:jc w:val="both"/>
        <w:rPr>
          <w:rFonts w:ascii="Verdana" w:eastAsia="Calibri" w:hAnsi="Verdana" w:cs="Arial"/>
          <w:lang w:val="es-ES" w:eastAsia="es-ES"/>
        </w:rPr>
      </w:pPr>
      <w:r>
        <w:rPr>
          <w:rFonts w:ascii="Verdana" w:eastAsia="Calibri" w:hAnsi="Verdana" w:cs="Arial"/>
          <w:lang w:val="es-ES" w:eastAsia="es-ES"/>
        </w:rPr>
        <w:t>Doctora</w:t>
      </w:r>
    </w:p>
    <w:p w14:paraId="47447EC3" w14:textId="77777777" w:rsidR="004F74AD" w:rsidRDefault="004F74AD" w:rsidP="004F74AD">
      <w:pPr>
        <w:spacing w:after="0" w:line="240" w:lineRule="auto"/>
        <w:rPr>
          <w:rFonts w:ascii="Verdana" w:eastAsia="Calibri" w:hAnsi="Verdana" w:cs="Arial"/>
          <w:b/>
          <w:lang w:val="es-ES_tradnl" w:eastAsia="es-ES_tradnl"/>
        </w:rPr>
      </w:pPr>
      <w:r w:rsidRPr="00883962">
        <w:rPr>
          <w:rFonts w:ascii="Verdana" w:eastAsia="Calibri" w:hAnsi="Verdana" w:cs="Arial"/>
          <w:b/>
          <w:lang w:val="es-ES_tradnl" w:eastAsia="es-ES_tradnl"/>
        </w:rPr>
        <w:t>Zulma Constanza Guaque Becerra</w:t>
      </w:r>
    </w:p>
    <w:p w14:paraId="59BA8C7C" w14:textId="17D54D60" w:rsidR="00132231" w:rsidRPr="0044221C" w:rsidRDefault="00132231" w:rsidP="004F74AD">
      <w:pPr>
        <w:spacing w:after="0" w:line="240" w:lineRule="auto"/>
        <w:rPr>
          <w:rFonts w:ascii="Verdana" w:eastAsia="Calibri" w:hAnsi="Verdana" w:cs="Arial"/>
          <w:lang w:eastAsia="es-ES_tradnl"/>
        </w:rPr>
      </w:pPr>
      <w:r>
        <w:rPr>
          <w:rFonts w:ascii="Verdana" w:eastAsia="Calibri" w:hAnsi="Verdana" w:cs="Arial"/>
          <w:lang w:eastAsia="es-ES_tradnl"/>
        </w:rPr>
        <w:t>Vicepresidente jurídica</w:t>
      </w:r>
    </w:p>
    <w:p w14:paraId="29BFCE31" w14:textId="6CC4ECBA" w:rsidR="004F74AD" w:rsidRPr="0044221C" w:rsidRDefault="004F74AD" w:rsidP="004F74AD">
      <w:pPr>
        <w:spacing w:after="0" w:line="240" w:lineRule="auto"/>
        <w:rPr>
          <w:rFonts w:ascii="Verdana" w:eastAsia="Calibri" w:hAnsi="Verdana" w:cs="Arial"/>
          <w:b/>
          <w:bCs/>
          <w:lang w:val="es-ES_tradnl" w:eastAsia="es-ES_tradnl"/>
        </w:rPr>
      </w:pPr>
      <w:r w:rsidRPr="0044221C">
        <w:rPr>
          <w:rFonts w:ascii="Verdana" w:eastAsia="Calibri" w:hAnsi="Verdana" w:cs="Arial"/>
          <w:b/>
          <w:bCs/>
          <w:lang w:eastAsia="es-ES_tradnl"/>
        </w:rPr>
        <w:t>Caja de Auxilios y de Prestaciones de ACDAC</w:t>
      </w:r>
    </w:p>
    <w:p w14:paraId="3E55EEFD" w14:textId="77777777" w:rsidR="004F74AD" w:rsidRPr="00883962" w:rsidRDefault="004F74AD" w:rsidP="004F74AD">
      <w:pPr>
        <w:spacing w:after="0" w:line="240" w:lineRule="auto"/>
        <w:rPr>
          <w:rFonts w:ascii="Verdana" w:hAnsi="Verdana" w:cs="CIDFont+F1"/>
          <w:color w:val="467887"/>
          <w:sz w:val="24"/>
          <w:szCs w:val="24"/>
        </w:rPr>
      </w:pPr>
      <w:hyperlink r:id="rId12" w:history="1">
        <w:r w:rsidRPr="001C3096">
          <w:rPr>
            <w:rStyle w:val="Hipervnculo"/>
            <w:rFonts w:ascii="Verdana" w:hAnsi="Verdana"/>
          </w:rPr>
          <w:t>institucional@caxdac.com</w:t>
        </w:r>
      </w:hyperlink>
      <w:r>
        <w:rPr>
          <w:rFonts w:ascii="Verdana" w:hAnsi="Verdana"/>
        </w:rPr>
        <w:t xml:space="preserve">; </w:t>
      </w:r>
    </w:p>
    <w:p w14:paraId="01BE3ACD" w14:textId="77777777" w:rsidR="004F74AD" w:rsidRPr="00883962" w:rsidRDefault="004F74AD" w:rsidP="004F74AD">
      <w:pPr>
        <w:spacing w:after="0" w:line="240" w:lineRule="auto"/>
        <w:rPr>
          <w:rFonts w:ascii="Verdana" w:eastAsia="Calibri" w:hAnsi="Verdana" w:cs="Arial"/>
          <w:b/>
          <w:bCs/>
          <w:lang w:val="es-ES" w:eastAsia="es-ES"/>
        </w:rPr>
      </w:pPr>
      <w:r w:rsidRPr="00883962">
        <w:rPr>
          <w:rFonts w:ascii="Verdana" w:eastAsia="Calibri" w:hAnsi="Verdana" w:cs="Arial"/>
          <w:lang w:val="es-ES" w:eastAsia="es-ES"/>
        </w:rPr>
        <w:t>Bogotá D.C.</w:t>
      </w:r>
    </w:p>
    <w:p w14:paraId="79E28A9C" w14:textId="77777777" w:rsidR="004F74AD" w:rsidRPr="00593A5F" w:rsidRDefault="004F74AD" w:rsidP="004F74AD">
      <w:pPr>
        <w:spacing w:after="0" w:line="240" w:lineRule="auto"/>
        <w:rPr>
          <w:rFonts w:ascii="Verdana" w:eastAsia="Calibri" w:hAnsi="Verdana" w:cs="Arial"/>
          <w:b/>
          <w:bCs/>
          <w:color w:val="000000"/>
          <w:lang w:val="es-ES_tradnl" w:eastAsia="es-ES_tradnl"/>
        </w:rPr>
      </w:pPr>
    </w:p>
    <w:p w14:paraId="02EC6F19" w14:textId="77777777" w:rsidR="004F74AD" w:rsidRPr="00593A5F" w:rsidRDefault="004F74AD" w:rsidP="004F74A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F74AD" w:rsidRPr="00593A5F" w14:paraId="616927E1" w14:textId="77777777" w:rsidTr="0044221C">
        <w:trPr>
          <w:trHeight w:val="80"/>
        </w:trPr>
        <w:tc>
          <w:tcPr>
            <w:tcW w:w="2689" w:type="dxa"/>
          </w:tcPr>
          <w:p w14:paraId="436ED631" w14:textId="77777777" w:rsidR="004F74AD" w:rsidRPr="00C00976" w:rsidRDefault="004F74AD" w:rsidP="00DF2631">
            <w:pPr>
              <w:jc w:val="both"/>
              <w:rPr>
                <w:rFonts w:ascii="Verdana" w:eastAsia="Calibri" w:hAnsi="Verdana" w:cs="Arial"/>
                <w:b/>
                <w:bCs/>
                <w:color w:val="7030A0"/>
                <w:lang w:val="es-ES_tradnl" w:eastAsia="es-ES_tradnl"/>
              </w:rPr>
            </w:pPr>
          </w:p>
        </w:tc>
        <w:tc>
          <w:tcPr>
            <w:tcW w:w="6100" w:type="dxa"/>
          </w:tcPr>
          <w:p w14:paraId="0649511A" w14:textId="77777777" w:rsidR="004F74AD" w:rsidRDefault="004F74AD" w:rsidP="00DF2631">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806</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Pr>
                <w:rFonts w:ascii="Verdana" w:eastAsia="Calibri" w:hAnsi="Verdana" w:cs="Arial"/>
                <w:b/>
                <w:bCs/>
                <w:lang w:val="es-ES" w:eastAsia="es-ES"/>
              </w:rPr>
              <w:t xml:space="preserve"> 2025</w:t>
            </w:r>
          </w:p>
          <w:p w14:paraId="0E1BF3EB" w14:textId="77777777" w:rsidR="00B501D9" w:rsidRPr="00C00976" w:rsidRDefault="00B501D9" w:rsidP="00DF2631">
            <w:pPr>
              <w:jc w:val="both"/>
              <w:rPr>
                <w:rFonts w:ascii="Verdana" w:eastAsia="Calibri" w:hAnsi="Verdana" w:cs="Arial"/>
                <w:b/>
                <w:bCs/>
                <w:color w:val="7030A0"/>
                <w:lang w:val="es-ES" w:eastAsia="es-ES"/>
              </w:rPr>
            </w:pPr>
          </w:p>
        </w:tc>
      </w:tr>
      <w:tr w:rsidR="004F74AD" w:rsidRPr="00593A5F" w14:paraId="08546BC9" w14:textId="77777777" w:rsidTr="00DF2631">
        <w:trPr>
          <w:trHeight w:val="884"/>
        </w:trPr>
        <w:tc>
          <w:tcPr>
            <w:tcW w:w="2689" w:type="dxa"/>
          </w:tcPr>
          <w:p w14:paraId="1A2BD4B5" w14:textId="77777777" w:rsidR="004F74AD" w:rsidRPr="00593A5F" w:rsidRDefault="004F74AD" w:rsidP="00DF263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E8BE1CC" w14:textId="77777777" w:rsidR="004F74AD" w:rsidRPr="004F74AD" w:rsidRDefault="004F74AD" w:rsidP="00DF2631">
            <w:pPr>
              <w:jc w:val="both"/>
              <w:rPr>
                <w:rFonts w:ascii="Verdana" w:eastAsia="Aptos" w:hAnsi="Verdana" w:cs="Times New Roman"/>
                <w:kern w:val="2"/>
                <w14:ligatures w14:val="standardContextual"/>
              </w:rPr>
            </w:pPr>
            <w:r w:rsidRPr="004F74AD">
              <w:rPr>
                <w:rFonts w:ascii="Verdana" w:eastAsia="Calibri" w:hAnsi="Verdana" w:cs="Arial"/>
                <w:lang w:val="es-ES" w:eastAsia="es-ES"/>
              </w:rPr>
              <w:t xml:space="preserve">PRINCIPIO DE PUBLICIDAD – Deber de publicación </w:t>
            </w:r>
            <w:r w:rsidRPr="004F74AD">
              <w:rPr>
                <w:rFonts w:ascii="Verdana" w:eastAsia="Aptos" w:hAnsi="Verdana" w:cs="Times New Roman"/>
                <w:kern w:val="2"/>
                <w14:ligatures w14:val="standardContextual"/>
              </w:rPr>
              <w:t>– SECOP – Actividad contractual – Recursos públicos - Procedencia</w:t>
            </w:r>
          </w:p>
          <w:p w14:paraId="776211DE" w14:textId="77777777" w:rsidR="004F74AD" w:rsidRPr="00593A5F" w:rsidRDefault="004F74AD" w:rsidP="00DF2631">
            <w:pPr>
              <w:spacing w:line="276" w:lineRule="auto"/>
              <w:jc w:val="both"/>
              <w:rPr>
                <w:rFonts w:ascii="Verdana" w:eastAsia="Calibri" w:hAnsi="Verdana" w:cs="Arial"/>
                <w:lang w:val="es-ES" w:eastAsia="es-ES"/>
              </w:rPr>
            </w:pPr>
          </w:p>
        </w:tc>
      </w:tr>
      <w:tr w:rsidR="004F74AD" w:rsidRPr="00593A5F" w14:paraId="58DB3837" w14:textId="77777777" w:rsidTr="00DF2631">
        <w:tc>
          <w:tcPr>
            <w:tcW w:w="2689" w:type="dxa"/>
          </w:tcPr>
          <w:p w14:paraId="29B7B47E" w14:textId="77777777" w:rsidR="004F74AD" w:rsidRPr="00791C6B" w:rsidRDefault="004F74AD" w:rsidP="00DF2631">
            <w:pPr>
              <w:jc w:val="both"/>
              <w:rPr>
                <w:rFonts w:ascii="Verdana" w:eastAsia="Calibri" w:hAnsi="Verdana" w:cs="Arial"/>
                <w:b/>
                <w:lang w:val="es-ES_tradnl" w:eastAsia="es-ES_tradnl"/>
              </w:rPr>
            </w:pPr>
            <w:r w:rsidRPr="00791C6B">
              <w:rPr>
                <w:rFonts w:ascii="Verdana" w:eastAsia="Calibri" w:hAnsi="Verdana" w:cs="Arial"/>
                <w:b/>
                <w:lang w:val="es-ES_tradnl" w:eastAsia="es-ES_tradnl"/>
              </w:rPr>
              <w:t xml:space="preserve"> Radicación:</w:t>
            </w:r>
            <w:r w:rsidRPr="00791C6B">
              <w:rPr>
                <w:rFonts w:ascii="Verdana" w:eastAsia="Calibri" w:hAnsi="Verdana" w:cs="Arial"/>
                <w:lang w:val="es-ES_tradnl" w:eastAsia="es-ES_tradnl"/>
              </w:rPr>
              <w:t xml:space="preserve">               </w:t>
            </w:r>
          </w:p>
        </w:tc>
        <w:tc>
          <w:tcPr>
            <w:tcW w:w="6100" w:type="dxa"/>
          </w:tcPr>
          <w:p w14:paraId="079421A4" w14:textId="77777777" w:rsidR="004F74AD" w:rsidRPr="00791C6B" w:rsidRDefault="004F74AD" w:rsidP="00DF2631">
            <w:pPr>
              <w:jc w:val="both"/>
              <w:rPr>
                <w:rFonts w:ascii="Verdana" w:eastAsia="Calibri" w:hAnsi="Verdana" w:cs="Arial"/>
                <w:lang w:val="es-ES_tradnl" w:eastAsia="es-ES_tradnl"/>
              </w:rPr>
            </w:pPr>
            <w:r w:rsidRPr="00791C6B">
              <w:rPr>
                <w:rFonts w:ascii="Verdana" w:eastAsia="Calibri" w:hAnsi="Verdana" w:cs="Arial"/>
                <w:lang w:val="es-ES_tradnl" w:eastAsia="es-ES_tradnl"/>
              </w:rPr>
              <w:t xml:space="preserve">Respuesta a consulta con radicado No. </w:t>
            </w:r>
            <w:r w:rsidRPr="004F74AD">
              <w:rPr>
                <w:rFonts w:ascii="Verdana" w:eastAsia="Calibri" w:hAnsi="Verdana" w:cs="Arial"/>
                <w:b/>
                <w:bCs/>
                <w:lang w:val="es-ES_tradnl" w:eastAsia="es-ES_tradnl"/>
              </w:rPr>
              <w:t>1_2025_06_18_006093</w:t>
            </w:r>
          </w:p>
        </w:tc>
      </w:tr>
    </w:tbl>
    <w:p w14:paraId="6D087330" w14:textId="77777777" w:rsidR="004F74AD" w:rsidRPr="00593A5F" w:rsidRDefault="004F74AD" w:rsidP="004F74AD">
      <w:pPr>
        <w:spacing w:after="0" w:line="240" w:lineRule="auto"/>
        <w:jc w:val="both"/>
        <w:rPr>
          <w:rFonts w:ascii="Verdana" w:eastAsia="Calibri" w:hAnsi="Verdana" w:cs="Arial"/>
          <w:color w:val="000000"/>
          <w:lang w:val="es-ES_tradnl" w:eastAsia="es-ES_tradnl"/>
        </w:rPr>
      </w:pPr>
    </w:p>
    <w:p w14:paraId="7837F723" w14:textId="77777777" w:rsidR="004F74AD" w:rsidRPr="00593A5F" w:rsidRDefault="004F74AD" w:rsidP="004F74AD">
      <w:pPr>
        <w:spacing w:after="0" w:line="240" w:lineRule="auto"/>
        <w:jc w:val="both"/>
        <w:rPr>
          <w:rFonts w:ascii="Verdana" w:eastAsia="Calibri" w:hAnsi="Verdana" w:cs="Arial"/>
          <w:color w:val="000000"/>
          <w:lang w:val="es-ES_tradnl" w:eastAsia="es-ES_tradnl"/>
        </w:rPr>
      </w:pPr>
    </w:p>
    <w:p w14:paraId="1610FFEA" w14:textId="23DDE3D2" w:rsidR="004F74AD" w:rsidRPr="00791C6B" w:rsidRDefault="004F74AD" w:rsidP="00B501D9">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 Doctora</w:t>
      </w:r>
      <w:r w:rsidR="00132231">
        <w:rPr>
          <w:rFonts w:ascii="Verdana" w:eastAsia="Calibri" w:hAnsi="Verdana" w:cs="Arial"/>
          <w:color w:val="000000" w:themeColor="text1"/>
          <w:lang w:val="es-ES" w:eastAsia="es-ES"/>
        </w:rPr>
        <w:t xml:space="preserve"> Guaque</w:t>
      </w:r>
      <w:r w:rsidRPr="00791C6B">
        <w:rPr>
          <w:rFonts w:ascii="Verdana" w:eastAsia="Calibri" w:hAnsi="Verdana" w:cs="Arial"/>
          <w:lang w:val="es-ES" w:eastAsia="es-ES"/>
        </w:rPr>
        <w:t>,</w:t>
      </w:r>
    </w:p>
    <w:p w14:paraId="253673C6" w14:textId="77777777" w:rsidR="004F74AD" w:rsidRPr="00791C6B" w:rsidRDefault="004F74AD" w:rsidP="00B501D9">
      <w:pPr>
        <w:tabs>
          <w:tab w:val="left" w:pos="3768"/>
        </w:tabs>
        <w:spacing w:after="0" w:line="276" w:lineRule="auto"/>
        <w:jc w:val="both"/>
        <w:rPr>
          <w:rFonts w:ascii="Verdana" w:eastAsia="Calibri" w:hAnsi="Verdana" w:cs="Arial"/>
          <w:lang w:val="es-ES" w:eastAsia="es-ES"/>
        </w:rPr>
      </w:pPr>
      <w:r w:rsidRPr="00791C6B">
        <w:rPr>
          <w:rFonts w:ascii="Verdana" w:eastAsia="Calibri" w:hAnsi="Verdana" w:cs="Arial"/>
          <w:lang w:val="es-ES" w:eastAsia="es-ES"/>
        </w:rPr>
        <w:tab/>
      </w:r>
    </w:p>
    <w:p w14:paraId="35043C83" w14:textId="77777777" w:rsidR="004F74AD" w:rsidRPr="00593A5F" w:rsidRDefault="004F74AD" w:rsidP="00B501D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 xml:space="preserve">En ejercicio de la competencia otorgada por </w:t>
      </w:r>
      <w:r w:rsidRPr="00791C6B">
        <w:rPr>
          <w:rFonts w:ascii="Verdana" w:eastAsia="Calibri" w:hAnsi="Verdana" w:cs="Arial"/>
          <w:lang w:val="es-ES" w:eastAsia="es-ES"/>
        </w:rPr>
        <w:t>los artículos 3, numeral 5º, y 11, numeral 8º, del Decreto Ley 4170 de 2011,</w:t>
      </w:r>
      <w:r w:rsidRPr="00791C6B">
        <w:rPr>
          <w:rFonts w:ascii="Verdana" w:eastAsia="Arial MT" w:hAnsi="Verdana" w:cs="Arial MT"/>
          <w:lang w:val="es-ES" w:eastAsia="es-ES"/>
        </w:rPr>
        <w:t xml:space="preserve"> </w:t>
      </w:r>
      <w:r w:rsidRPr="00791C6B">
        <w:rPr>
          <w:rFonts w:ascii="Verdana" w:hAnsi="Verdana" w:cs="Arial"/>
        </w:rPr>
        <w:t xml:space="preserve">así como lo establecido en el artículo 4 de la Resolución 1707 de 2018 expedida por esta Entidad, </w:t>
      </w:r>
      <w:r w:rsidRPr="00791C6B">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18</w:t>
      </w:r>
      <w:r w:rsidRPr="00791C6B">
        <w:rPr>
          <w:rFonts w:ascii="Verdana" w:eastAsia="Calibri" w:hAnsi="Verdana" w:cs="Arial"/>
          <w:lang w:val="es-ES" w:eastAsia="es-ES"/>
        </w:rPr>
        <w:t xml:space="preserve"> de </w:t>
      </w:r>
      <w:r>
        <w:rPr>
          <w:rFonts w:ascii="Verdana" w:eastAsia="Calibri" w:hAnsi="Verdana" w:cs="Arial"/>
          <w:lang w:val="es-ES" w:eastAsia="es-ES"/>
        </w:rPr>
        <w:t>junio</w:t>
      </w:r>
      <w:r w:rsidRPr="00791C6B">
        <w:rPr>
          <w:rFonts w:ascii="Verdana" w:eastAsia="Calibri" w:hAnsi="Verdana" w:cs="Arial"/>
          <w:lang w:val="es-ES" w:eastAsia="es-ES"/>
        </w:rPr>
        <w:t xml:space="preserve"> de 2025, en la cual manifiesta lo siguiente: </w:t>
      </w:r>
    </w:p>
    <w:p w14:paraId="7E922F4C" w14:textId="77777777" w:rsidR="004F74AD" w:rsidRPr="00272A7B" w:rsidRDefault="004F74AD" w:rsidP="0044221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92D8247" w14:textId="77777777" w:rsidR="004F74AD" w:rsidRPr="00791C6B" w:rsidRDefault="004F74AD" w:rsidP="004F74AD">
      <w:pPr>
        <w:autoSpaceDE w:val="0"/>
        <w:autoSpaceDN w:val="0"/>
        <w:adjustRightInd w:val="0"/>
        <w:spacing w:after="0" w:line="240" w:lineRule="auto"/>
        <w:ind w:left="851" w:right="616"/>
        <w:jc w:val="both"/>
        <w:rPr>
          <w:rFonts w:ascii="Verdana" w:hAnsi="Verdana" w:cs="CIDFont+F1"/>
          <w:sz w:val="20"/>
          <w:szCs w:val="20"/>
        </w:rPr>
      </w:pPr>
      <w:r w:rsidRPr="00791C6B">
        <w:rPr>
          <w:rFonts w:ascii="Verdana" w:hAnsi="Verdana" w:cs="CIDFont+F1"/>
          <w:sz w:val="20"/>
          <w:szCs w:val="20"/>
        </w:rPr>
        <w:t>“[…]</w:t>
      </w:r>
      <w:r>
        <w:rPr>
          <w:rFonts w:ascii="Verdana" w:hAnsi="Verdana" w:cs="CIDFont+F1"/>
          <w:sz w:val="20"/>
          <w:szCs w:val="20"/>
        </w:rPr>
        <w:t xml:space="preserve">De conformidad con la naturaleza jurídica de CAXDAC, el </w:t>
      </w:r>
      <w:proofErr w:type="gramStart"/>
      <w:r>
        <w:rPr>
          <w:rFonts w:ascii="Verdana" w:hAnsi="Verdana" w:cs="CIDFont+F1"/>
          <w:sz w:val="20"/>
          <w:szCs w:val="20"/>
        </w:rPr>
        <w:t>origen  de</w:t>
      </w:r>
      <w:proofErr w:type="gramEnd"/>
      <w:r>
        <w:rPr>
          <w:rFonts w:ascii="Verdana" w:hAnsi="Verdana" w:cs="CIDFont+F1"/>
          <w:sz w:val="20"/>
          <w:szCs w:val="20"/>
        </w:rPr>
        <w:t xml:space="preserve"> los recursos que administra, y la posición jurídica institucional, esta administradora solicita a Colombia compra eficiente la emisión de concepto jurídico, con el fin de establecer si la posición jurídica de la caja está acorde con los lineamientos de esa entidad o si </w:t>
      </w:r>
      <w:proofErr w:type="gramStart"/>
      <w:r>
        <w:rPr>
          <w:rFonts w:ascii="Verdana" w:hAnsi="Verdana" w:cs="CIDFont+F1"/>
          <w:sz w:val="20"/>
          <w:szCs w:val="20"/>
        </w:rPr>
        <w:t>por  el</w:t>
      </w:r>
      <w:proofErr w:type="gramEnd"/>
      <w:r>
        <w:rPr>
          <w:rFonts w:ascii="Verdana" w:hAnsi="Verdana" w:cs="CIDFont+F1"/>
          <w:sz w:val="20"/>
          <w:szCs w:val="20"/>
        </w:rPr>
        <w:t xml:space="preserve"> contrario debe modificarse, y en consecuencia CAXDAC publicar su contratación en SECOP </w:t>
      </w:r>
    </w:p>
    <w:p w14:paraId="71EBA772" w14:textId="77777777" w:rsidR="004F74AD" w:rsidRDefault="004F74AD" w:rsidP="004F74AD">
      <w:pPr>
        <w:autoSpaceDE w:val="0"/>
        <w:autoSpaceDN w:val="0"/>
        <w:adjustRightInd w:val="0"/>
        <w:spacing w:after="0" w:line="240" w:lineRule="auto"/>
        <w:ind w:left="851" w:right="616"/>
        <w:jc w:val="both"/>
        <w:rPr>
          <w:rFonts w:ascii="Verdana" w:hAnsi="Verdana" w:cs="CIDFont+F1"/>
          <w:sz w:val="20"/>
          <w:szCs w:val="20"/>
        </w:rPr>
      </w:pPr>
      <w:r w:rsidRPr="00791C6B">
        <w:rPr>
          <w:rFonts w:ascii="Verdana" w:hAnsi="Verdana" w:cs="CIDFont+F1"/>
          <w:sz w:val="20"/>
          <w:szCs w:val="20"/>
        </w:rPr>
        <w:t xml:space="preserve"> […]”</w:t>
      </w:r>
    </w:p>
    <w:p w14:paraId="7883AF74" w14:textId="77777777" w:rsidR="004F74AD" w:rsidRPr="00791C6B" w:rsidRDefault="004F74AD" w:rsidP="004F74AD">
      <w:pPr>
        <w:autoSpaceDE w:val="0"/>
        <w:autoSpaceDN w:val="0"/>
        <w:adjustRightInd w:val="0"/>
        <w:spacing w:after="0" w:line="240" w:lineRule="auto"/>
        <w:ind w:left="851" w:right="616"/>
        <w:jc w:val="both"/>
        <w:rPr>
          <w:rFonts w:ascii="Verdana" w:eastAsia="Century Gothic" w:hAnsi="Verdana" w:cs="Century Gothic"/>
          <w:b/>
          <w:bCs/>
          <w:sz w:val="20"/>
          <w:szCs w:val="20"/>
          <w:lang w:val="es-ES"/>
        </w:rPr>
      </w:pPr>
    </w:p>
    <w:p w14:paraId="6EEEFCD5" w14:textId="77777777" w:rsidR="004F74AD" w:rsidRDefault="004F74AD" w:rsidP="004F74AD">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16675C8" w14:textId="77777777" w:rsidR="004F74AD" w:rsidRDefault="004F74AD" w:rsidP="004F74AD">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2C163FB" w14:textId="77777777" w:rsidR="004F74AD" w:rsidRPr="00593A5F" w:rsidRDefault="004F74AD" w:rsidP="004F74AD">
      <w:pPr>
        <w:spacing w:after="0" w:line="276" w:lineRule="auto"/>
        <w:ind w:firstLine="709"/>
        <w:jc w:val="both"/>
        <w:rPr>
          <w:rFonts w:ascii="Verdana" w:eastAsia="Calibri" w:hAnsi="Verdana" w:cs="Arial"/>
          <w:color w:val="000000"/>
          <w:lang w:val="es-ES" w:eastAsia="es-ES"/>
        </w:rPr>
      </w:pPr>
    </w:p>
    <w:p w14:paraId="4025645B" w14:textId="77777777" w:rsidR="004F74AD" w:rsidRPr="00593A5F" w:rsidRDefault="004F74AD" w:rsidP="004F74A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587DE88" w14:textId="77777777" w:rsidR="004F74AD" w:rsidRPr="00593A5F" w:rsidRDefault="004F74AD" w:rsidP="004F74AD">
      <w:pPr>
        <w:tabs>
          <w:tab w:val="left" w:pos="426"/>
        </w:tabs>
        <w:spacing w:after="0" w:line="276" w:lineRule="auto"/>
        <w:jc w:val="both"/>
        <w:rPr>
          <w:rFonts w:ascii="Verdana" w:eastAsia="Century Gothic" w:hAnsi="Verdana" w:cs="Century Gothic"/>
          <w:lang w:val="es-ES"/>
        </w:rPr>
      </w:pPr>
    </w:p>
    <w:p w14:paraId="787101B0" w14:textId="3C0C12F9" w:rsidR="004F74AD" w:rsidRPr="00593A5F" w:rsidRDefault="004F74AD" w:rsidP="004F74AD">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sidR="00D06E0A">
        <w:rPr>
          <w:rFonts w:ascii="Verdana" w:eastAsia="Century Gothic" w:hAnsi="Verdana" w:cs="Century Gothic"/>
        </w:rPr>
        <w:t xml:space="preserve">¿Cuál es el ámbito de aplicación y </w:t>
      </w:r>
      <w:r w:rsidR="00C9493F">
        <w:rPr>
          <w:rFonts w:ascii="Verdana" w:eastAsia="Century Gothic" w:hAnsi="Verdana" w:cs="Century Gothic"/>
        </w:rPr>
        <w:t xml:space="preserve">el </w:t>
      </w:r>
      <w:r w:rsidR="00D06E0A">
        <w:rPr>
          <w:rFonts w:ascii="Verdana" w:eastAsia="Century Gothic" w:hAnsi="Verdana" w:cs="Century Gothic"/>
        </w:rPr>
        <w:t xml:space="preserve">alcance </w:t>
      </w:r>
      <w:r w:rsidR="00C9493F">
        <w:rPr>
          <w:rFonts w:ascii="Verdana" w:eastAsia="Century Gothic" w:hAnsi="Verdana" w:cs="Century Gothic"/>
        </w:rPr>
        <w:t>de</w:t>
      </w:r>
      <w:r w:rsidR="00BA6709">
        <w:rPr>
          <w:rFonts w:ascii="Verdana" w:eastAsia="Century Gothic" w:hAnsi="Verdana" w:cs="Century Gothic"/>
        </w:rPr>
        <w:t xml:space="preserve"> la obligación </w:t>
      </w:r>
      <w:r w:rsidR="009636B5">
        <w:rPr>
          <w:rFonts w:ascii="Verdana" w:eastAsia="Century Gothic" w:hAnsi="Verdana" w:cs="Century Gothic"/>
        </w:rPr>
        <w:t xml:space="preserve">de </w:t>
      </w:r>
      <w:r w:rsidRPr="005D2B87">
        <w:rPr>
          <w:rFonts w:ascii="Verdana" w:eastAsia="Century Gothic" w:hAnsi="Verdana" w:cs="Century Gothic"/>
        </w:rPr>
        <w:t xml:space="preserve">publicar </w:t>
      </w:r>
      <w:r w:rsidR="00BA6709">
        <w:rPr>
          <w:rFonts w:ascii="Verdana" w:eastAsia="Century Gothic" w:hAnsi="Verdana" w:cs="Century Gothic"/>
        </w:rPr>
        <w:t>la actividad</w:t>
      </w:r>
      <w:r w:rsidRPr="005D2B87">
        <w:rPr>
          <w:rFonts w:ascii="Verdana" w:eastAsia="Century Gothic" w:hAnsi="Verdana" w:cs="Century Gothic"/>
        </w:rPr>
        <w:t xml:space="preserve"> contractual en </w:t>
      </w:r>
      <w:r>
        <w:rPr>
          <w:rFonts w:ascii="Verdana" w:eastAsia="Century Gothic" w:hAnsi="Verdana" w:cs="Century Gothic"/>
        </w:rPr>
        <w:t xml:space="preserve">la plataforma transaccional </w:t>
      </w:r>
      <w:r w:rsidRPr="005D2B87">
        <w:rPr>
          <w:rFonts w:ascii="Verdana" w:eastAsia="Century Gothic" w:hAnsi="Verdana" w:cs="Century Gothic"/>
        </w:rPr>
        <w:t>SECOP?</w:t>
      </w:r>
    </w:p>
    <w:p w14:paraId="225AA790" w14:textId="77777777" w:rsidR="004F74AD" w:rsidRPr="00593A5F" w:rsidRDefault="004F74AD" w:rsidP="004F74AD">
      <w:pPr>
        <w:spacing w:after="0" w:line="276" w:lineRule="auto"/>
        <w:jc w:val="both"/>
        <w:rPr>
          <w:rFonts w:ascii="Verdana" w:eastAsia="Calibri" w:hAnsi="Verdana" w:cs="Arial"/>
          <w:color w:val="7030A0"/>
          <w:lang w:val="es-ES"/>
        </w:rPr>
      </w:pPr>
    </w:p>
    <w:p w14:paraId="0ADB0513" w14:textId="77777777" w:rsidR="004F74AD" w:rsidRPr="00593A5F" w:rsidRDefault="004F74AD" w:rsidP="004F74A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F5E6181" w14:textId="77777777" w:rsidR="004F74AD" w:rsidRPr="00593A5F" w:rsidRDefault="004F74AD" w:rsidP="004F74A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F74AD" w:rsidRPr="00593A5F" w14:paraId="4D3D9398" w14:textId="77777777" w:rsidTr="00DF2631">
        <w:tc>
          <w:tcPr>
            <w:tcW w:w="8828" w:type="dxa"/>
          </w:tcPr>
          <w:p w14:paraId="4622B34A" w14:textId="23A012B5" w:rsidR="00DB7BDF" w:rsidRPr="00E900A0" w:rsidRDefault="00EC3D36" w:rsidP="0044221C">
            <w:pPr>
              <w:spacing w:after="120" w:line="276" w:lineRule="auto"/>
              <w:jc w:val="both"/>
              <w:rPr>
                <w:rFonts w:ascii="Verdana" w:eastAsia="Calibri" w:hAnsi="Verdana" w:cs="Arial"/>
                <w:color w:val="000000" w:themeColor="text1"/>
              </w:rPr>
            </w:pPr>
            <w:r>
              <w:rPr>
                <w:rFonts w:ascii="Verdana" w:eastAsia="Calibri" w:hAnsi="Verdana" w:cs="Arial"/>
                <w:shd w:val="clear" w:color="auto" w:fill="FFFFFF"/>
                <w:lang w:val="es-ES"/>
              </w:rPr>
              <w:t>En relación con el problema jurídico</w:t>
            </w:r>
            <w:r w:rsidR="00EA4645" w:rsidRPr="00E900A0">
              <w:rPr>
                <w:rFonts w:ascii="Verdana" w:eastAsia="Calibri" w:hAnsi="Verdana" w:cs="Arial"/>
                <w:lang w:val="es-ES" w:eastAsia="es-ES"/>
              </w:rPr>
              <w:t xml:space="preserve">, </w:t>
            </w:r>
            <w:r w:rsidR="00C25ECB">
              <w:rPr>
                <w:rFonts w:ascii="Verdana" w:eastAsia="Calibri" w:hAnsi="Verdana" w:cs="Arial"/>
                <w:lang w:val="es-ES" w:eastAsia="es-ES"/>
              </w:rPr>
              <w:t xml:space="preserve">debe señalarse que, </w:t>
            </w:r>
            <w:r w:rsidR="00EA4645" w:rsidRPr="00E900A0">
              <w:rPr>
                <w:rFonts w:ascii="Verdana" w:eastAsia="Calibri" w:hAnsi="Verdana" w:cs="Arial"/>
                <w:lang w:val="es-ES" w:eastAsia="es-ES"/>
              </w:rPr>
              <w:t>tratándose del deber de publicación de las entidades exceptuadas del Estatuto General de Contratación de la Administración Pública</w:t>
            </w:r>
            <w:r w:rsidR="00C25ECB">
              <w:rPr>
                <w:rFonts w:ascii="Verdana" w:eastAsia="Calibri" w:hAnsi="Verdana" w:cs="Arial"/>
                <w:lang w:val="es-ES" w:eastAsia="es-ES"/>
              </w:rPr>
              <w:t xml:space="preserve"> </w:t>
            </w:r>
            <w:r w:rsidR="00EA4645" w:rsidRPr="00E900A0">
              <w:rPr>
                <w:rFonts w:ascii="Verdana" w:eastAsia="Calibri" w:hAnsi="Verdana" w:cs="Arial"/>
                <w:lang w:val="es-ES" w:eastAsia="es-ES"/>
              </w:rPr>
              <w:t xml:space="preserve">resulta particularmente relevante lo dispuesto en el artículo 53 de la Ley 2195 de 2022, </w:t>
            </w:r>
            <w:r w:rsidR="00EA4645" w:rsidRPr="00E900A0">
              <w:rPr>
                <w:rFonts w:ascii="Verdana" w:hAnsi="Verdana" w:cs="Arial"/>
                <w:bCs/>
              </w:rPr>
              <w:t xml:space="preserve">mediante el cual se adiciona el artículo 13 de la Ley 1150 de 2007. </w:t>
            </w:r>
            <w:r w:rsidR="00DB7BDF" w:rsidRPr="00E900A0">
              <w:rPr>
                <w:rFonts w:ascii="Verdana" w:hAnsi="Verdana" w:cs="Arial"/>
                <w:bCs/>
              </w:rPr>
              <w:t>La referida disposición les asigna la obligación a las entidades que por disposición legal cuenten con un régimen contractual excepcional al del Estatuto General de Contratación de la Administración Pública de publicar los documentos relacionados con su actividad contractual en el Sistema Electrónico para la Contratación Pública –</w:t>
            </w:r>
            <w:r w:rsidR="00DB7BDF" w:rsidRPr="00E900A0">
              <w:rPr>
                <w:rFonts w:ascii="Verdana" w:hAnsi="Verdana" w:cs="Arial"/>
                <w:bCs/>
              </w:rPr>
              <w:lastRenderedPageBreak/>
              <w:t>SECOP II- o la plataforma transaccional que haga sus veces</w:t>
            </w:r>
            <w:r w:rsidR="00DB7BDF" w:rsidRPr="00E900A0">
              <w:rPr>
                <w:rFonts w:ascii="Verdana" w:eastAsia="Calibri" w:hAnsi="Verdana" w:cs="Arial"/>
                <w:color w:val="000000" w:themeColor="text1"/>
              </w:rPr>
              <w:t xml:space="preserve">, sin incluir ninguna excepción relacionada con la naturaleza u objeto contractual. </w:t>
            </w:r>
          </w:p>
          <w:p w14:paraId="0B3203AA" w14:textId="2CEBAD80" w:rsidR="004F74AD" w:rsidRDefault="00DB7BDF" w:rsidP="0044221C">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lang w:val="es-ES"/>
              </w:rPr>
              <w:t>L</w:t>
            </w:r>
            <w:r w:rsidR="004F74AD" w:rsidRPr="00E900A0">
              <w:rPr>
                <w:rFonts w:ascii="Verdana" w:eastAsia="Calibri" w:hAnsi="Verdana" w:cs="Arial"/>
                <w:lang w:val="es-ES"/>
              </w:rPr>
              <w:t>a contratación a la que se refiere el artículo 53 de la Ley 2195 de 2024</w:t>
            </w:r>
            <w:r w:rsidR="00EC3D36">
              <w:rPr>
                <w:rFonts w:ascii="Verdana" w:eastAsia="Calibri" w:hAnsi="Verdana" w:cs="Arial"/>
                <w:lang w:val="es-ES"/>
              </w:rPr>
              <w:t xml:space="preserve"> </w:t>
            </w:r>
            <w:r w:rsidR="004F74AD" w:rsidRPr="00E900A0">
              <w:rPr>
                <w:rFonts w:ascii="Verdana" w:eastAsia="Calibri" w:hAnsi="Verdana" w:cs="Arial"/>
                <w:lang w:val="es-ES"/>
              </w:rPr>
              <w:t xml:space="preserve">es aquella realizada con cargo a recursos públicos, cuya información es la que debe publicarse en el SECOP, acorde con la interpretación sistemática que permite armonizar la referida norma con todo el contexto normativo que establece que en dicha plataforma se debe publicar sólo la información relativa a la actividad contractual financiada dineros públicos. </w:t>
            </w:r>
            <w:r w:rsidR="004F74AD" w:rsidRPr="00E900A0">
              <w:rPr>
                <w:rFonts w:ascii="Verdana" w:eastAsia="Calibri" w:hAnsi="Verdana" w:cs="Arial"/>
                <w:shd w:val="clear" w:color="auto" w:fill="FFFFFF"/>
              </w:rPr>
              <w:t xml:space="preserve">En consideración a esto, resulta claro que la obligatoriedad de publicar la actividad contractual establecida en el artículo 13 de la Ley 1150 de 2007, adicionado por el artículo 53 de la Ley 2195 de 2022, se refiere a la contratación financiada con recursos públicos, deviniendo en potestativa la publicación de la contratación </w:t>
            </w:r>
            <w:r w:rsidR="004F74AD" w:rsidRPr="00E900A0">
              <w:rPr>
                <w:rFonts w:ascii="Verdana" w:eastAsia="Calibri" w:hAnsi="Verdana" w:cs="Arial"/>
                <w:shd w:val="clear" w:color="auto" w:fill="FFFFFF"/>
                <w:lang w:val="es-ES"/>
              </w:rPr>
              <w:t xml:space="preserve">desarrollada con otro tipo de recursos. </w:t>
            </w:r>
          </w:p>
          <w:p w14:paraId="5F95996F" w14:textId="090C9588" w:rsidR="00DF0ADA" w:rsidRPr="00E900A0" w:rsidRDefault="00EC3D36" w:rsidP="0044221C">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En ese mismo sentido, l</w:t>
            </w:r>
            <w:r w:rsidR="00DF0ADA" w:rsidRPr="00E900A0">
              <w:rPr>
                <w:rFonts w:ascii="Verdana" w:eastAsia="Calibri" w:hAnsi="Verdana" w:cs="Arial"/>
                <w:shd w:val="clear" w:color="auto" w:fill="FFFFFF"/>
                <w:lang w:val="es-ES"/>
              </w:rPr>
              <w:t xml:space="preserve">a </w:t>
            </w:r>
            <w:r w:rsidR="00DF0ADA" w:rsidRPr="00E900A0">
              <w:rPr>
                <w:rFonts w:ascii="Verdana" w:eastAsia="Calibri" w:hAnsi="Verdana" w:cs="Arial"/>
                <w:lang w:val="es-ES"/>
              </w:rPr>
              <w:t>Circular 002 del 23 de agosto de 2024,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w:t>
            </w:r>
            <w:r w:rsidR="00DF0ADA">
              <w:rPr>
                <w:rFonts w:ascii="Verdana" w:eastAsia="Calibri" w:hAnsi="Verdana" w:cs="Arial"/>
                <w:lang w:val="es-ES"/>
              </w:rPr>
              <w:t xml:space="preserve"> </w:t>
            </w:r>
            <w:r w:rsidR="00DF0ADA" w:rsidRPr="0044457E">
              <w:rPr>
                <w:rFonts w:ascii="Verdana" w:eastAsia="Calibri" w:hAnsi="Verdana" w:cs="Arial"/>
                <w:color w:val="000000"/>
              </w:rPr>
              <w:t>“La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w:t>
            </w:r>
          </w:p>
          <w:p w14:paraId="0FC77331" w14:textId="77777777" w:rsidR="004F74AD" w:rsidRPr="00E900A0" w:rsidRDefault="004F74AD" w:rsidP="0044221C">
            <w:pPr>
              <w:spacing w:after="120" w:line="276" w:lineRule="auto"/>
              <w:ind w:firstLine="709"/>
              <w:jc w:val="both"/>
              <w:rPr>
                <w:rFonts w:ascii="Verdana" w:eastAsia="Calibri" w:hAnsi="Verdana" w:cs="Arial"/>
                <w:color w:val="000000" w:themeColor="text1"/>
              </w:rPr>
            </w:pPr>
            <w:r w:rsidRPr="00E900A0">
              <w:rPr>
                <w:rFonts w:ascii="Verdana" w:eastAsia="Calibri" w:hAnsi="Verdana" w:cs="Arial"/>
                <w:color w:val="000000" w:themeColor="text1"/>
              </w:rPr>
              <w:t>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w:t>
            </w:r>
            <w:r w:rsidRPr="00E900A0">
              <w:rPr>
                <w:rStyle w:val="Refdenotaalpie"/>
                <w:rFonts w:ascii="Verdana" w:eastAsia="Calibri" w:hAnsi="Verdana" w:cs="Arial"/>
                <w:color w:val="000000" w:themeColor="text1"/>
              </w:rPr>
              <w:footnoteReference w:id="1"/>
            </w:r>
            <w:r w:rsidRPr="00E900A0">
              <w:rPr>
                <w:rFonts w:ascii="Verdana" w:eastAsia="Calibri" w:hAnsi="Verdana" w:cs="Arial"/>
                <w:color w:val="000000" w:themeColor="text1"/>
              </w:rPr>
              <w:t xml:space="preserve">. Lo anterior significa que, respecto de </w:t>
            </w:r>
            <w:r w:rsidRPr="00E900A0">
              <w:rPr>
                <w:rFonts w:ascii="Verdana" w:eastAsia="Calibri" w:hAnsi="Verdana" w:cs="Arial"/>
                <w:color w:val="000000" w:themeColor="text1"/>
              </w:rPr>
              <w:lastRenderedPageBreak/>
              <w:t>datos sensibles, información sometida a reserva o de la cual proceda un tratamiento especial que impida su publicidad, las entidades deberán proceder de conformidad con el tratamiento que impongan tales normas.</w:t>
            </w:r>
          </w:p>
          <w:p w14:paraId="5A42ADD2" w14:textId="67B72328" w:rsidR="004F74AD" w:rsidRPr="00E900A0" w:rsidRDefault="004F74AD" w:rsidP="0044221C">
            <w:pPr>
              <w:spacing w:after="120" w:line="276" w:lineRule="auto"/>
              <w:ind w:firstLine="709"/>
              <w:jc w:val="both"/>
              <w:rPr>
                <w:rFonts w:ascii="Verdana" w:eastAsia="Aptos" w:hAnsi="Verdana" w:cs="Arial"/>
                <w:shd w:val="clear" w:color="auto" w:fill="FFFFFF"/>
              </w:rPr>
            </w:pPr>
            <w:r w:rsidRPr="00E900A0">
              <w:rPr>
                <w:rFonts w:ascii="Verdana" w:eastAsia="Calibri" w:hAnsi="Verdana" w:cs="Arial"/>
                <w:color w:val="000000" w:themeColor="text1"/>
              </w:rPr>
              <w:t>Finalmente, resulta muy importante advertir y/o aclarar que la Agencia Nacional de Contratación Pública – Colombia Compra Eficiente, por vía consultiva, no puede definir un criterio universal y absoluto sobre la materia que se aborda, sino que brinda elementos hermenéuticos de carácter general para que los partícipes del sistema de compras y contratación pública adopten la decisión que corresponda, lo cual es acorde con el principio de juridicidad. Por lo que, e</w:t>
            </w:r>
            <w:r w:rsidRPr="00E900A0">
              <w:rPr>
                <w:rFonts w:ascii="Verdana" w:eastAsia="Aptos" w:hAnsi="Verdana" w:cs="Arial"/>
                <w:shd w:val="clear" w:color="auto" w:fill="FFFFFF"/>
              </w:rPr>
              <w:t xml:space="preserve">n todo caso, corresponde a cada entidad perteneciente al Estatuto General de </w:t>
            </w:r>
            <w:r w:rsidR="00914A12" w:rsidRPr="00E900A0">
              <w:rPr>
                <w:rFonts w:ascii="Verdana" w:eastAsia="Aptos" w:hAnsi="Verdana" w:cs="Arial"/>
                <w:shd w:val="clear" w:color="auto" w:fill="FFFFFF"/>
              </w:rPr>
              <w:t>Contratación</w:t>
            </w:r>
            <w:r w:rsidRPr="00E900A0">
              <w:rPr>
                <w:rFonts w:ascii="Verdana" w:eastAsia="Aptos" w:hAnsi="Verdana" w:cs="Arial"/>
                <w:shd w:val="clear" w:color="auto" w:fill="FFFFFF"/>
              </w:rPr>
              <w:t xml:space="preserve"> dar cumplimiento al deber de publicación que les asiste en relación con su actividad contractual en cumplimiento del artículo 53 de la Ley 2195 de 2022. </w:t>
            </w:r>
          </w:p>
          <w:p w14:paraId="38EBE85A" w14:textId="77777777" w:rsidR="004F74AD" w:rsidRPr="0019287C" w:rsidRDefault="004F74AD" w:rsidP="0044221C">
            <w:pPr>
              <w:spacing w:after="120" w:line="276" w:lineRule="auto"/>
              <w:ind w:firstLine="709"/>
              <w:jc w:val="both"/>
              <w:rPr>
                <w:rFonts w:ascii="Verdana" w:eastAsia="Aptos" w:hAnsi="Verdana" w:cs="Arial"/>
                <w:shd w:val="clear" w:color="auto" w:fill="FFFFFF"/>
              </w:rPr>
            </w:pPr>
            <w:r w:rsidRPr="00E900A0">
              <w:rPr>
                <w:rFonts w:ascii="Verdana" w:eastAsia="Calibri" w:hAnsi="Verdana" w:cs="Arial"/>
              </w:rPr>
              <w:t>E</w:t>
            </w:r>
            <w:r w:rsidRPr="00E900A0">
              <w:rPr>
                <w:rFonts w:ascii="Verdana" w:eastAsia="Calibri" w:hAnsi="Verdana" w:cs="Arial"/>
                <w:lang w:val="es-ES"/>
              </w:rPr>
              <w:t>n concordancia con lo anterior, es importante aclarar que, teniendo</w:t>
            </w:r>
            <w:r w:rsidRPr="0044221C">
              <w:rPr>
                <w:rFonts w:ascii="Verdana" w:hAnsi="Verdana"/>
              </w:rPr>
              <w:t xml:space="preserve"> </w:t>
            </w:r>
            <w:r w:rsidRPr="00E900A0">
              <w:rPr>
                <w:rFonts w:ascii="Verdana" w:eastAsia="Calibri" w:hAnsi="Verdana" w:cs="Arial"/>
                <w:lang w:val="es-ES"/>
              </w:rPr>
              <w:t xml:space="preserve">en cuenta que esta entidad solo tiene competencia para responder solicitudes sobre la aplicación de normas de carácter general en materia de compras y contratación pública, </w:t>
            </w:r>
            <w:r w:rsidRPr="00E900A0">
              <w:rPr>
                <w:rFonts w:ascii="Verdana" w:eastAsia="Calibri" w:hAnsi="Verdana" w:cs="Arial"/>
                <w:i/>
                <w:lang w:val="es-ES"/>
              </w:rPr>
              <w:t>NO es la idónea para establecer la validez de la situación descrita en su consulta.</w:t>
            </w:r>
            <w:r w:rsidRPr="00E900A0">
              <w:rPr>
                <w:rFonts w:ascii="Verdana" w:eastAsia="Calibri" w:hAnsi="Verdana" w:cs="Arial"/>
                <w:u w:val="single"/>
                <w:lang w:val="es-ES"/>
              </w:rPr>
              <w:t xml:space="preserve"> </w:t>
            </w:r>
            <w:r w:rsidRPr="00E900A0">
              <w:rPr>
                <w:rFonts w:ascii="Verdana" w:eastAsia="Calibri" w:hAnsi="Verdana" w:cs="Arial"/>
                <w:lang w:val="es-ES"/>
              </w:rPr>
              <w:t>Lo anterior</w:t>
            </w:r>
            <w:r w:rsidRPr="00E900A0">
              <w:rPr>
                <w:rFonts w:ascii="Verdana" w:eastAsia="Calibri" w:hAnsi="Verdana" w:cs="Arial"/>
                <w:color w:val="000000" w:themeColor="text1"/>
              </w:rPr>
              <w:t xml:space="preserve"> debido a que la competencia consultiva se fija con límites claros, con el objeto de evitar que se actúe como una instancia de validación de las actuaciones de las entidades sujetas a la Ley 80 de 1993</w:t>
            </w:r>
            <w:r w:rsidRPr="00CF54DC">
              <w:rPr>
                <w:rFonts w:ascii="Verdana" w:eastAsia="Calibri" w:hAnsi="Verdana" w:cs="Arial"/>
                <w:color w:val="000000" w:themeColor="text1"/>
              </w:rPr>
              <w:t xml:space="preserve"> o de los demás participantes en la contratación pública, lo cual corresponde a la competencia de los entes de control y los jueces de la República.</w:t>
            </w:r>
          </w:p>
        </w:tc>
      </w:tr>
    </w:tbl>
    <w:p w14:paraId="4E541253" w14:textId="77777777" w:rsidR="004F74AD" w:rsidRPr="00593A5F" w:rsidRDefault="004F74AD" w:rsidP="00EE458F">
      <w:pPr>
        <w:tabs>
          <w:tab w:val="left" w:pos="142"/>
          <w:tab w:val="left" w:pos="284"/>
        </w:tabs>
        <w:spacing w:after="0" w:line="276" w:lineRule="auto"/>
        <w:jc w:val="both"/>
        <w:rPr>
          <w:rFonts w:ascii="Verdana" w:eastAsia="Century Gothic" w:hAnsi="Verdana" w:cs="Century Gothic"/>
          <w:b/>
          <w:bCs/>
          <w:lang w:val="es-ES"/>
        </w:rPr>
      </w:pPr>
    </w:p>
    <w:p w14:paraId="0A4FC768" w14:textId="77777777" w:rsidR="004F74AD" w:rsidRPr="00593A5F" w:rsidRDefault="004F74AD" w:rsidP="00EE45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1A19EAC" w14:textId="77777777" w:rsidR="004F74AD" w:rsidRPr="00593A5F" w:rsidRDefault="004F74AD" w:rsidP="00EE458F">
      <w:pPr>
        <w:spacing w:after="0" w:line="276" w:lineRule="auto"/>
        <w:jc w:val="both"/>
        <w:rPr>
          <w:rFonts w:ascii="Verdana" w:eastAsia="Calibri" w:hAnsi="Verdana" w:cs="Arial"/>
          <w:color w:val="7030A0"/>
          <w:lang w:val="es-ES"/>
        </w:rPr>
      </w:pPr>
    </w:p>
    <w:p w14:paraId="205107AD" w14:textId="77777777" w:rsidR="004F74AD" w:rsidRPr="00B96799" w:rsidRDefault="004F74AD" w:rsidP="00EE458F">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FA02D7F" w14:textId="77777777" w:rsidR="004F74AD" w:rsidRDefault="004F74AD" w:rsidP="00EE458F">
      <w:pPr>
        <w:spacing w:after="0" w:line="276" w:lineRule="auto"/>
        <w:jc w:val="both"/>
        <w:rPr>
          <w:rFonts w:ascii="Verdana" w:eastAsia="Calibri" w:hAnsi="Verdana" w:cs="Arial"/>
          <w:color w:val="7030A0"/>
          <w:lang w:val="es-ES"/>
        </w:rPr>
      </w:pPr>
    </w:p>
    <w:p w14:paraId="1EFE3D13" w14:textId="2E194E5C" w:rsidR="004F74AD" w:rsidRPr="000D6B45" w:rsidRDefault="004F74AD" w:rsidP="0044221C">
      <w:pPr>
        <w:spacing w:after="120" w:line="276" w:lineRule="auto"/>
        <w:jc w:val="both"/>
        <w:rPr>
          <w:rFonts w:ascii="Verdana" w:eastAsia="Times New Roman" w:hAnsi="Verdana" w:cs="Arial"/>
          <w:lang w:val="es-ES_tradnl" w:eastAsia="es-ES_tradnl"/>
          <w14:ligatures w14:val="standardContextual"/>
        </w:rPr>
      </w:pPr>
      <w:r w:rsidRPr="000D6B45">
        <w:rPr>
          <w:rFonts w:ascii="Verdana" w:eastAsia="Times New Roman" w:hAnsi="Verdana" w:cs="Arial"/>
          <w:lang w:val="es-ES_tradnl" w:eastAsia="es-ES_tradnl"/>
          <w14:ligatures w14:val="standardContextual"/>
        </w:rPr>
        <w:lastRenderedPageBreak/>
        <w:t xml:space="preserve">Para empezar, el principio de publicidad impone a las autoridades administrativas el deber de dar a conocer sus actos, contratos y decisiones para que se divulguen y eventualmente se controlen. </w:t>
      </w:r>
      <w:r w:rsidR="00C00B53" w:rsidRPr="000D6B45">
        <w:rPr>
          <w:rFonts w:ascii="Verdana" w:eastAsia="Times New Roman" w:hAnsi="Verdana" w:cs="Arial"/>
          <w:lang w:val="es-ES_tradnl" w:eastAsia="es-ES_tradnl"/>
          <w14:ligatures w14:val="standardContextual"/>
        </w:rPr>
        <w:t xml:space="preserve">Así mismo, </w:t>
      </w:r>
      <w:r w:rsidR="00C00B53" w:rsidRPr="000D6B45">
        <w:rPr>
          <w:rFonts w:ascii="Verdana" w:eastAsia="Calibri" w:hAnsi="Verdana" w:cs="Arial"/>
          <w:color w:val="000000"/>
          <w:szCs w:val="24"/>
          <w:lang w:val="es-ES_tradnl" w:eastAsia="es-ES_tradnl"/>
        </w:rPr>
        <w:t>e</w:t>
      </w:r>
      <w:r w:rsidR="00D726E2" w:rsidRPr="000D6B45">
        <w:rPr>
          <w:rFonts w:ascii="Verdana" w:eastAsia="Calibri" w:hAnsi="Verdana" w:cs="Arial"/>
          <w:color w:val="000000"/>
          <w:szCs w:val="24"/>
          <w:lang w:val="es-ES_tradnl" w:eastAsia="es-ES_tradnl"/>
        </w:rPr>
        <w:t>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00D726E2" w:rsidRPr="0044221C">
        <w:rPr>
          <w:rFonts w:ascii="Verdana" w:eastAsia="Calibri" w:hAnsi="Verdana" w:cs="Times New Roman"/>
          <w:vertAlign w:val="superscript"/>
          <w:lang w:val="es-ES_tradnl" w:eastAsia="es-ES_tradnl"/>
        </w:rPr>
        <w:footnoteReference w:id="2"/>
      </w:r>
      <w:r w:rsidR="00D726E2" w:rsidRPr="000D6B45">
        <w:rPr>
          <w:rFonts w:ascii="Verdana" w:eastAsia="Calibri" w:hAnsi="Verdana" w:cs="Arial"/>
          <w:color w:val="000000"/>
          <w:szCs w:val="24"/>
          <w:lang w:val="es-ES_tradnl" w:eastAsia="es-ES_tradnl"/>
        </w:rPr>
        <w:t>.</w:t>
      </w:r>
      <w:r w:rsidRPr="000D6B45">
        <w:rPr>
          <w:rFonts w:ascii="Verdana" w:eastAsia="Times New Roman" w:hAnsi="Verdana" w:cs="Arial"/>
          <w:lang w:val="es-ES_tradnl" w:eastAsia="es-ES_tradnl"/>
          <w14:ligatures w14:val="standardContextual"/>
        </w:rPr>
        <w:t>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0D6B45">
        <w:rPr>
          <w:rFonts w:ascii="Verdana" w:eastAsia="Times New Roman" w:hAnsi="Verdana" w:cs="Arial"/>
          <w:vertAlign w:val="superscript"/>
          <w:lang w:val="es-ES_tradnl" w:eastAsia="es-ES_tradnl"/>
          <w14:ligatures w14:val="standardContextual"/>
        </w:rPr>
        <w:footnoteReference w:id="3"/>
      </w:r>
      <w:r w:rsidRPr="000D6B45">
        <w:rPr>
          <w:rFonts w:ascii="Verdana" w:eastAsia="Times New Roman" w:hAnsi="Verdana" w:cs="Arial"/>
          <w:lang w:val="es-ES_tradnl" w:eastAsia="es-ES_tradnl"/>
          <w14:ligatures w14:val="standardContextual"/>
        </w:rPr>
        <w:t>.</w:t>
      </w:r>
    </w:p>
    <w:p w14:paraId="13473B51" w14:textId="073C4089" w:rsidR="00D34E24" w:rsidRPr="000D6B45" w:rsidRDefault="004F74AD" w:rsidP="0044221C">
      <w:pPr>
        <w:spacing w:after="120" w:line="276" w:lineRule="auto"/>
        <w:ind w:firstLine="709"/>
        <w:jc w:val="both"/>
        <w:rPr>
          <w:rFonts w:ascii="Verdana" w:eastAsia="Calibri" w:hAnsi="Verdana" w:cs="Arial"/>
          <w:color w:val="000000"/>
          <w:lang w:val="es-ES_tradnl"/>
        </w:rPr>
      </w:pPr>
      <w:r w:rsidRPr="000D6B45">
        <w:rPr>
          <w:rFonts w:ascii="Verdana" w:eastAsia="Calibri" w:hAnsi="Verdana" w:cs="Arial"/>
          <w:shd w:val="clear" w:color="auto" w:fill="FFFFFF"/>
        </w:rPr>
        <w:t>En ese</w:t>
      </w:r>
      <w:r w:rsidR="00EE458F" w:rsidRPr="000D6B45">
        <w:rPr>
          <w:rFonts w:ascii="Verdana" w:eastAsia="Calibri" w:hAnsi="Verdana" w:cs="Arial"/>
          <w:shd w:val="clear" w:color="auto" w:fill="FFFFFF"/>
        </w:rPr>
        <w:t xml:space="preserve"> mismo</w:t>
      </w:r>
      <w:r w:rsidRPr="000D6B45">
        <w:rPr>
          <w:rFonts w:ascii="Verdana" w:eastAsia="Calibri" w:hAnsi="Verdana" w:cs="Arial"/>
          <w:shd w:val="clear" w:color="auto" w:fill="FFFFFF"/>
        </w:rPr>
        <w:t xml:space="preserve"> sentido, la Ley 1712 de 2014 –</w:t>
      </w:r>
      <w:r w:rsidR="001B1495" w:rsidRPr="000D6B45">
        <w:rPr>
          <w:rFonts w:ascii="Verdana" w:eastAsia="Calibri" w:hAnsi="Verdana" w:cs="Arial"/>
          <w:shd w:val="clear" w:color="auto" w:fill="FFFFFF"/>
        </w:rPr>
        <w:t xml:space="preserve">Ley Estatutaria </w:t>
      </w:r>
      <w:r w:rsidRPr="000D6B45">
        <w:rPr>
          <w:rFonts w:ascii="Verdana" w:eastAsia="Calibri" w:hAnsi="Verdana" w:cs="Arial"/>
          <w:shd w:val="clear" w:color="auto" w:fill="FFFFFF"/>
        </w:rPr>
        <w:t>que regula la transparencia y el derecho de acceso a la información y a los documentos públicos– identifica como principios que orientan el derecho de acceso a la información pública, el</w:t>
      </w:r>
      <w:r w:rsidRPr="000D6B45">
        <w:rPr>
          <w:rFonts w:ascii="Verdana" w:eastAsia="Calibri" w:hAnsi="Verdana" w:cs="Arial"/>
          <w:color w:val="000000"/>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44221C">
        <w:rPr>
          <w:rFonts w:ascii="Verdana" w:eastAsia="Aptos" w:hAnsi="Verdana" w:cs="Times New Roman"/>
          <w:color w:val="000000"/>
          <w:vertAlign w:val="superscript"/>
          <w:lang w:val="es-ES_tradnl"/>
        </w:rPr>
        <w:footnoteReference w:id="4"/>
      </w:r>
      <w:r w:rsidRPr="000D6B45">
        <w:rPr>
          <w:rFonts w:ascii="Verdana" w:eastAsia="Calibri" w:hAnsi="Verdana" w:cs="Arial"/>
          <w:color w:val="000000"/>
          <w:lang w:val="es-ES_tradnl"/>
        </w:rPr>
        <w:t xml:space="preserve">. El principio de transparencia en la información alude al deber de los sujetos de proporcionar y facilitar el acceso a la misma en los términos más amplios posibles, y a través de los medios y procedimientos legales. </w:t>
      </w:r>
    </w:p>
    <w:p w14:paraId="4F35021A" w14:textId="16AC979C" w:rsidR="004F74AD" w:rsidRPr="000D6B45" w:rsidRDefault="004F74AD" w:rsidP="0044221C">
      <w:pPr>
        <w:spacing w:after="120" w:line="276" w:lineRule="auto"/>
        <w:ind w:firstLine="709"/>
        <w:jc w:val="both"/>
        <w:rPr>
          <w:rFonts w:ascii="Verdana" w:eastAsia="Times New Roman" w:hAnsi="Verdana" w:cs="Arial"/>
          <w:color w:val="000000"/>
          <w:szCs w:val="24"/>
          <w:lang w:val="es-ES_tradnl" w:eastAsia="es-ES_tradnl"/>
        </w:rPr>
      </w:pPr>
      <w:r w:rsidRPr="000D6B45">
        <w:rPr>
          <w:rFonts w:ascii="Verdana" w:eastAsia="Calibri" w:hAnsi="Verdana" w:cs="Arial"/>
          <w:color w:val="000000"/>
          <w:lang w:val="es-ES_tradnl"/>
        </w:rPr>
        <w:t xml:space="preserve">La </w:t>
      </w:r>
      <w:r w:rsidR="00F1330A" w:rsidRPr="000D6B45">
        <w:rPr>
          <w:rFonts w:ascii="Verdana" w:eastAsia="Calibri" w:hAnsi="Verdana" w:cs="Arial"/>
          <w:color w:val="000000"/>
          <w:lang w:val="es-ES_tradnl"/>
        </w:rPr>
        <w:t xml:space="preserve">citada </w:t>
      </w:r>
      <w:r w:rsidRPr="000D6B45">
        <w:rPr>
          <w:rFonts w:ascii="Verdana" w:eastAsia="Calibri" w:hAnsi="Verdana" w:cs="Arial"/>
          <w:color w:val="000000"/>
          <w:lang w:val="es-ES_tradnl"/>
        </w:rPr>
        <w:t xml:space="preserve">Ley </w:t>
      </w:r>
      <w:r w:rsidR="00F1330A" w:rsidRPr="000D6B45">
        <w:rPr>
          <w:rFonts w:ascii="Verdana" w:eastAsia="Calibri" w:hAnsi="Verdana" w:cs="Arial"/>
          <w:color w:val="000000"/>
          <w:lang w:val="es-ES_tradnl"/>
        </w:rPr>
        <w:t xml:space="preserve">Estatutaria </w:t>
      </w:r>
      <w:r w:rsidRPr="000D6B45">
        <w:rPr>
          <w:rFonts w:ascii="Verdana" w:eastAsia="Calibri" w:hAnsi="Verdana" w:cs="Arial"/>
          <w:color w:val="000000"/>
          <w:lang w:val="es-ES_tradnl"/>
        </w:rPr>
        <w:t>establece, en el literal e) del artículo 9, que los sujetos obligados, que son todas las entidades públicas</w:t>
      </w:r>
      <w:r w:rsidRPr="0044221C">
        <w:rPr>
          <w:rFonts w:ascii="Verdana" w:eastAsia="Aptos" w:hAnsi="Verdana" w:cs="Times New Roman"/>
          <w:color w:val="000000"/>
          <w:vertAlign w:val="superscript"/>
          <w:lang w:val="es-ES_tradnl"/>
        </w:rPr>
        <w:footnoteReference w:id="5"/>
      </w:r>
      <w:r w:rsidRPr="000D6B45">
        <w:rPr>
          <w:rFonts w:ascii="Verdana" w:eastAsia="Calibri" w:hAnsi="Verdana" w:cs="Arial"/>
          <w:color w:val="000000"/>
          <w:lang w:val="es-ES_tradnl"/>
        </w:rPr>
        <w:t xml:space="preserve">, deben publicar la </w:t>
      </w:r>
      <w:r w:rsidRPr="000D6B45">
        <w:rPr>
          <w:rFonts w:ascii="Verdana" w:eastAsia="Calibri" w:hAnsi="Verdana" w:cs="Arial"/>
          <w:color w:val="000000"/>
          <w:lang w:val="es-ES_tradnl"/>
        </w:rPr>
        <w:lastRenderedPageBreak/>
        <w:t xml:space="preserve">información relativa a su contratación. </w:t>
      </w:r>
      <w:r w:rsidRPr="000D6B45">
        <w:rPr>
          <w:rFonts w:ascii="Verdana" w:eastAsia="Times New Roman" w:hAnsi="Verdana" w:cs="Arial"/>
          <w:color w:val="000000"/>
          <w:szCs w:val="24"/>
          <w:lang w:val="es-ES_tradnl" w:eastAsia="es-ES_tradnl"/>
        </w:rPr>
        <w:t xml:space="preserve">Asimismo, de acuerdo con el literal g) del artículo 11 de la misma </w:t>
      </w:r>
      <w:r w:rsidR="00D80991" w:rsidRPr="000D6B45">
        <w:rPr>
          <w:rFonts w:ascii="Verdana" w:eastAsia="Times New Roman" w:hAnsi="Verdana" w:cs="Arial"/>
          <w:color w:val="000000"/>
          <w:szCs w:val="24"/>
          <w:lang w:val="es-ES_tradnl" w:eastAsia="es-ES_tradnl"/>
        </w:rPr>
        <w:t>Ley</w:t>
      </w:r>
      <w:r w:rsidRPr="000D6B45">
        <w:rPr>
          <w:rFonts w:ascii="Verdana" w:eastAsia="Times New Roman" w:hAnsi="Verdana" w:cs="Arial"/>
          <w:color w:val="000000"/>
          <w:szCs w:val="24"/>
          <w:lang w:val="es-ES_tradnl" w:eastAsia="es-ES_tradnl"/>
        </w:rPr>
        <w:t xml:space="preserve">,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76811E91" w14:textId="46EFA660" w:rsidR="00C00B53" w:rsidRPr="000D6B45" w:rsidRDefault="004F74AD" w:rsidP="0044221C">
      <w:pPr>
        <w:spacing w:after="120" w:line="276" w:lineRule="auto"/>
        <w:jc w:val="both"/>
        <w:rPr>
          <w:rFonts w:ascii="Verdana" w:eastAsia="Calibri" w:hAnsi="Verdana" w:cs="Arial"/>
          <w:shd w:val="clear" w:color="auto" w:fill="FFFFFF"/>
        </w:rPr>
      </w:pPr>
      <w:r w:rsidRPr="000D6B45">
        <w:rPr>
          <w:rFonts w:ascii="Verdana" w:eastAsia="Calibri" w:hAnsi="Verdana" w:cs="Arial"/>
          <w:shd w:val="clear" w:color="auto" w:fill="FFFFFF"/>
        </w:rPr>
        <w:tab/>
      </w:r>
      <w:r w:rsidR="00A339BC" w:rsidRPr="000D6B45">
        <w:rPr>
          <w:rFonts w:ascii="Verdana" w:eastAsia="Calibri" w:hAnsi="Verdana" w:cs="Arial"/>
          <w:color w:val="000000"/>
          <w:lang w:val="es-ES_tradnl"/>
        </w:rPr>
        <w:t>La anterior</w:t>
      </w:r>
      <w:r w:rsidR="005734E0" w:rsidRPr="000D6B45">
        <w:rPr>
          <w:rFonts w:ascii="Verdana" w:eastAsia="Calibri" w:hAnsi="Verdana" w:cs="Arial"/>
          <w:color w:val="000000"/>
          <w:lang w:val="es-ES_tradnl"/>
        </w:rPr>
        <w:t xml:space="preserve"> obligación fue desarrollada por el Decreto Único Reglamentario 1082 de 2015</w:t>
      </w:r>
      <w:r w:rsidR="005734E0" w:rsidRPr="0044221C">
        <w:rPr>
          <w:rFonts w:ascii="Verdana" w:eastAsia="Aptos" w:hAnsi="Verdana" w:cs="Times New Roman"/>
          <w:color w:val="000000"/>
          <w:vertAlign w:val="superscript"/>
          <w:lang w:val="es-ES_tradnl"/>
        </w:rPr>
        <w:footnoteReference w:id="6"/>
      </w:r>
      <w:r w:rsidR="005734E0" w:rsidRPr="000D6B45">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r w:rsidR="00C00B53" w:rsidRPr="000D6B45">
        <w:rPr>
          <w:rFonts w:ascii="Verdana" w:eastAsia="Calibri" w:hAnsi="Verdana" w:cs="Arial"/>
          <w:color w:val="000000"/>
          <w:lang w:val="es-ES_tradnl"/>
        </w:rPr>
        <w:t xml:space="preserve"> </w:t>
      </w:r>
      <w:r w:rsidRPr="000D6B45">
        <w:rPr>
          <w:rFonts w:ascii="Verdana" w:eastAsia="Calibri" w:hAnsi="Verdana" w:cs="Arial"/>
          <w:shd w:val="clear" w:color="auto" w:fill="FFFFFF"/>
        </w:rPr>
        <w:t xml:space="preserve">En ese contexto, las </w:t>
      </w:r>
      <w:r w:rsidR="005734E0" w:rsidRPr="000D6B45">
        <w:rPr>
          <w:rFonts w:ascii="Verdana" w:eastAsia="Calibri" w:hAnsi="Verdana" w:cs="Arial"/>
          <w:shd w:val="clear" w:color="auto" w:fill="FFFFFF"/>
        </w:rPr>
        <w:t>entidades estatales</w:t>
      </w:r>
      <w:r w:rsidRPr="000D6B45">
        <w:rPr>
          <w:rFonts w:ascii="Verdana" w:eastAsia="Calibri" w:hAnsi="Verdana" w:cs="Arial"/>
          <w:shd w:val="clear" w:color="auto" w:fill="FFFFFF"/>
        </w:rPr>
        <w:t xml:space="preserve">, conforme al artículo 2.2.1.1.1.7.1 del Decreto 1082 de 2015, tienen la obligación de publicar en el SECOP “[…] los Documentos del Proceso y los actos administrativos del Proceso de Contratación, dentro de los tres (3) días siguientes a su expedición […]”. </w:t>
      </w:r>
    </w:p>
    <w:p w14:paraId="3D749922" w14:textId="63F19690" w:rsidR="004F74AD" w:rsidRPr="001272A0" w:rsidRDefault="00C00B53" w:rsidP="0044221C">
      <w:pPr>
        <w:spacing w:after="120" w:line="276" w:lineRule="auto"/>
        <w:ind w:firstLine="708"/>
        <w:jc w:val="both"/>
        <w:rPr>
          <w:rFonts w:ascii="Verdana" w:hAnsi="Verdana" w:cs="Arial"/>
          <w:bCs/>
        </w:rPr>
      </w:pPr>
      <w:r>
        <w:rPr>
          <w:rFonts w:ascii="Verdana" w:eastAsia="Calibri" w:hAnsi="Verdana" w:cs="Arial"/>
          <w:shd w:val="clear" w:color="auto" w:fill="FFFFFF"/>
        </w:rPr>
        <w:t xml:space="preserve">Ahora bien, </w:t>
      </w:r>
      <w:r w:rsidR="004F74AD" w:rsidRPr="00CA3378">
        <w:rPr>
          <w:rFonts w:ascii="Verdana" w:eastAsia="Calibri" w:hAnsi="Verdana" w:cs="Arial"/>
          <w:lang w:val="es-ES" w:eastAsia="es-ES"/>
        </w:rPr>
        <w:t xml:space="preserve">tratándose del deber de publicación de las entidades estatales exceptuadas del Estatuto General de Contratación de la Administración Pública, resulta particularmente relevante lo dispuesto en el artículo 53 de la Ley 2195 de 2022, </w:t>
      </w:r>
      <w:r w:rsidR="004F74AD" w:rsidRPr="001272A0">
        <w:rPr>
          <w:rFonts w:ascii="Verdana" w:hAnsi="Verdana" w:cs="Arial"/>
          <w:bCs/>
        </w:rPr>
        <w:t>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Al respecto, la norma citada, de manera expresa, señala:</w:t>
      </w:r>
    </w:p>
    <w:p w14:paraId="3D2377D5" w14:textId="77777777" w:rsidR="004F74AD" w:rsidRPr="001272A0" w:rsidRDefault="004F74AD" w:rsidP="0044221C">
      <w:pPr>
        <w:spacing w:after="0"/>
        <w:ind w:firstLine="301"/>
        <w:contextualSpacing/>
        <w:rPr>
          <w:rFonts w:ascii="Verdana" w:hAnsi="Verdana" w:cs="Arial"/>
          <w:bCs/>
        </w:rPr>
      </w:pPr>
    </w:p>
    <w:p w14:paraId="14B8EEFD" w14:textId="77777777" w:rsidR="004F74AD" w:rsidRPr="001272A0" w:rsidRDefault="004F74AD" w:rsidP="0044221C">
      <w:pPr>
        <w:spacing w:after="0" w:line="240" w:lineRule="auto"/>
        <w:ind w:left="709" w:right="709"/>
        <w:jc w:val="both"/>
        <w:rPr>
          <w:rFonts w:ascii="Verdana" w:hAnsi="Verdana" w:cs="Arial"/>
          <w:bCs/>
          <w:sz w:val="20"/>
          <w:szCs w:val="20"/>
        </w:rPr>
      </w:pPr>
      <w:r w:rsidRPr="001272A0">
        <w:rPr>
          <w:rFonts w:ascii="Verdana" w:hAnsi="Verdana" w:cs="Arial"/>
          <w:bCs/>
          <w:sz w:val="20"/>
          <w:szCs w:val="20"/>
        </w:rPr>
        <w:t>“Adiciónese los siguientes incisos al artículo 13 de la Ley 1150 de 2007, el cual quedará así:</w:t>
      </w:r>
    </w:p>
    <w:p w14:paraId="15B513C3" w14:textId="77777777" w:rsidR="004F74AD" w:rsidRPr="001272A0" w:rsidRDefault="004F74AD" w:rsidP="0044221C">
      <w:pPr>
        <w:spacing w:after="0" w:line="240" w:lineRule="auto"/>
        <w:ind w:left="709" w:right="709"/>
        <w:jc w:val="both"/>
        <w:rPr>
          <w:rFonts w:ascii="Verdana" w:hAnsi="Verdana" w:cs="Arial"/>
          <w:bCs/>
          <w:sz w:val="20"/>
          <w:szCs w:val="20"/>
        </w:rPr>
      </w:pPr>
    </w:p>
    <w:p w14:paraId="5EC3EDFD" w14:textId="77777777" w:rsidR="004F74AD" w:rsidRPr="001272A0" w:rsidRDefault="004F74AD" w:rsidP="0044221C">
      <w:pPr>
        <w:spacing w:after="0" w:line="240" w:lineRule="auto"/>
        <w:ind w:left="709" w:right="709"/>
        <w:jc w:val="both"/>
        <w:rPr>
          <w:rFonts w:ascii="Verdana" w:hAnsi="Verdana" w:cs="Arial"/>
          <w:bCs/>
          <w:sz w:val="20"/>
          <w:szCs w:val="20"/>
        </w:rPr>
      </w:pPr>
      <w:r w:rsidRPr="001272A0">
        <w:rPr>
          <w:rFonts w:ascii="Verdana" w:hAnsi="Verdana" w:cs="Arial"/>
          <w:bCs/>
          <w:sz w:val="20"/>
          <w:szCs w:val="20"/>
        </w:rPr>
        <w:lastRenderedPageBreak/>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D8DEE0F" w14:textId="77777777" w:rsidR="004F74AD" w:rsidRPr="001272A0" w:rsidRDefault="004F74AD" w:rsidP="0044221C">
      <w:pPr>
        <w:spacing w:after="0" w:line="240" w:lineRule="auto"/>
        <w:ind w:left="709" w:right="709"/>
        <w:jc w:val="both"/>
        <w:rPr>
          <w:rFonts w:ascii="Verdana" w:hAnsi="Verdana" w:cs="Arial"/>
          <w:bCs/>
          <w:sz w:val="20"/>
          <w:szCs w:val="20"/>
        </w:rPr>
      </w:pPr>
    </w:p>
    <w:p w14:paraId="68F2858C" w14:textId="77777777" w:rsidR="004F74AD" w:rsidRPr="001272A0" w:rsidRDefault="004F74AD" w:rsidP="0044221C">
      <w:pPr>
        <w:spacing w:after="0" w:line="240" w:lineRule="auto"/>
        <w:ind w:left="709" w:right="709"/>
        <w:jc w:val="both"/>
        <w:rPr>
          <w:rFonts w:ascii="Verdana" w:hAnsi="Verdana" w:cs="Arial"/>
          <w:bCs/>
          <w:sz w:val="20"/>
          <w:szCs w:val="20"/>
        </w:rPr>
      </w:pPr>
      <w:r w:rsidRPr="001272A0">
        <w:rPr>
          <w:rFonts w:ascii="Verdana" w:hAnsi="Verdana" w:cs="Arial"/>
          <w:bCs/>
          <w:sz w:val="20"/>
          <w:szCs w:val="20"/>
        </w:rPr>
        <w:t xml:space="preserve">En desarrollo de los anteriores principios, deberán publicar los documentos relacionados con su </w:t>
      </w:r>
      <w:r w:rsidRPr="001272A0">
        <w:rPr>
          <w:rFonts w:ascii="Verdana" w:hAnsi="Verdana" w:cs="Arial"/>
          <w:bCs/>
          <w:i/>
          <w:iCs/>
          <w:sz w:val="20"/>
          <w:szCs w:val="20"/>
        </w:rPr>
        <w:t>actividad contractual</w:t>
      </w:r>
      <w:r w:rsidRPr="001272A0">
        <w:rPr>
          <w:rFonts w:ascii="Verdana" w:hAnsi="Verdana" w:cs="Arial"/>
          <w:bCs/>
          <w:sz w:val="20"/>
          <w:szCs w:val="20"/>
        </w:rPr>
        <w:t xml:space="preserve"> en el Sistema Electrónico para la Contratación Pública –SECOP II– o la plataforma transaccional que haga sus veces. Para los efectos de este artículo</w:t>
      </w:r>
      <w:r w:rsidRPr="00DF7FAA">
        <w:rPr>
          <w:rFonts w:ascii="Verdana" w:hAnsi="Verdana" w:cs="Arial"/>
          <w:bCs/>
          <w:sz w:val="20"/>
          <w:szCs w:val="20"/>
        </w:rPr>
        <w:t xml:space="preserve">, se entiende por actividad contractual los documentos, contratos, actos e información generada por oferentes, contratista, contratante, supervisor o interventor, tanto en la etapa precontractual, como en la contractual y la </w:t>
      </w:r>
      <w:proofErr w:type="spellStart"/>
      <w:r w:rsidRPr="00DF7FAA">
        <w:rPr>
          <w:rFonts w:ascii="Verdana" w:hAnsi="Verdana" w:cs="Arial"/>
          <w:bCs/>
          <w:sz w:val="20"/>
          <w:szCs w:val="20"/>
        </w:rPr>
        <w:t>postcontractual</w:t>
      </w:r>
      <w:proofErr w:type="spellEnd"/>
      <w:r w:rsidRPr="00DF7FAA">
        <w:rPr>
          <w:rFonts w:ascii="Verdana" w:hAnsi="Verdana" w:cs="Arial"/>
          <w:bCs/>
          <w:sz w:val="20"/>
          <w:szCs w:val="20"/>
        </w:rPr>
        <w:t>.</w:t>
      </w:r>
    </w:p>
    <w:p w14:paraId="3AFA2C5E" w14:textId="77777777" w:rsidR="004F74AD" w:rsidRPr="001272A0" w:rsidRDefault="004F74AD" w:rsidP="0044221C">
      <w:pPr>
        <w:spacing w:after="0" w:line="240" w:lineRule="auto"/>
        <w:ind w:left="709" w:right="709"/>
        <w:jc w:val="both"/>
        <w:rPr>
          <w:rFonts w:ascii="Verdana" w:hAnsi="Verdana" w:cs="Arial"/>
          <w:bCs/>
          <w:sz w:val="20"/>
          <w:szCs w:val="20"/>
        </w:rPr>
      </w:pPr>
    </w:p>
    <w:p w14:paraId="2A84EA31" w14:textId="77777777" w:rsidR="004F74AD" w:rsidRPr="001272A0" w:rsidRDefault="004F74AD" w:rsidP="0044221C">
      <w:pPr>
        <w:spacing w:after="0" w:line="240" w:lineRule="auto"/>
        <w:ind w:left="709" w:right="709"/>
        <w:jc w:val="both"/>
        <w:rPr>
          <w:rFonts w:ascii="Verdana" w:hAnsi="Verdana" w:cs="Arial"/>
          <w:bCs/>
          <w:sz w:val="20"/>
          <w:szCs w:val="20"/>
        </w:rPr>
      </w:pPr>
      <w:r w:rsidRPr="001272A0">
        <w:rPr>
          <w:rFonts w:ascii="Verdana" w:hAnsi="Verdana" w:cs="Arial"/>
          <w:bCs/>
          <w:sz w:val="20"/>
          <w:szCs w:val="20"/>
        </w:rPr>
        <w:t xml:space="preserve">A partir de la </w:t>
      </w:r>
      <w:proofErr w:type="gramStart"/>
      <w:r w:rsidRPr="001272A0">
        <w:rPr>
          <w:rFonts w:ascii="Verdana" w:hAnsi="Verdana" w:cs="Arial"/>
          <w:bCs/>
          <w:sz w:val="20"/>
          <w:szCs w:val="20"/>
        </w:rPr>
        <w:t>entrada en vigencia</w:t>
      </w:r>
      <w:proofErr w:type="gramEnd"/>
      <w:r w:rsidRPr="001272A0">
        <w:rPr>
          <w:rFonts w:ascii="Verdana" w:hAnsi="Verdana" w:cs="Arial"/>
          <w:bCs/>
          <w:sz w:val="20"/>
          <w:szCs w:val="20"/>
        </w:rPr>
        <w:t xml:space="preserve"> de la presente Ley, se establecerá un periodo de transición de seis (6) meses, para que las entidades den cumplimiento efectivo a lo aquí establecido”. </w:t>
      </w:r>
    </w:p>
    <w:p w14:paraId="48191DB0" w14:textId="77777777" w:rsidR="004F74AD" w:rsidRDefault="004F74AD" w:rsidP="004F74AD">
      <w:pPr>
        <w:spacing w:after="0" w:line="276" w:lineRule="auto"/>
        <w:jc w:val="both"/>
        <w:rPr>
          <w:rFonts w:ascii="Verdana" w:eastAsia="Calibri" w:hAnsi="Verdana" w:cs="Arial"/>
          <w:lang w:val="es-ES"/>
        </w:rPr>
      </w:pPr>
    </w:p>
    <w:p w14:paraId="0694B225" w14:textId="241A8009" w:rsidR="004F74AD" w:rsidRPr="000D6B45" w:rsidRDefault="004F74AD" w:rsidP="0044221C">
      <w:pPr>
        <w:spacing w:after="120" w:line="276" w:lineRule="auto"/>
        <w:ind w:firstLine="708"/>
        <w:jc w:val="both"/>
        <w:rPr>
          <w:rFonts w:ascii="Verdana" w:hAnsi="Verdana" w:cs="Arial"/>
          <w:bCs/>
        </w:rPr>
      </w:pPr>
      <w:r w:rsidRPr="000D6B45">
        <w:rPr>
          <w:rFonts w:ascii="Verdana" w:hAnsi="Verdana" w:cs="Arial"/>
          <w:bCs/>
        </w:rPr>
        <w:t>Cabe destacar que</w:t>
      </w:r>
      <w:r w:rsidR="000D6B45">
        <w:rPr>
          <w:rFonts w:ascii="Verdana" w:hAnsi="Verdana" w:cs="Arial"/>
          <w:bCs/>
        </w:rPr>
        <w:t>,</w:t>
      </w:r>
      <w:r w:rsidRPr="000D6B45">
        <w:rPr>
          <w:rFonts w:ascii="Verdana" w:hAnsi="Verdana" w:cs="Arial"/>
          <w:bCs/>
        </w:rPr>
        <w:t xml:space="preserve"> cuando la norma trascrita hace referencia a que el mencionado deber de publicidad debe cumplirse en el SECOP II </w:t>
      </w:r>
      <w:r w:rsidRPr="000D6B45">
        <w:rPr>
          <w:rFonts w:ascii="Verdana" w:hAnsi="Verdana" w:cs="Arial"/>
          <w:bCs/>
          <w:i/>
          <w:iCs/>
        </w:rPr>
        <w:t>“o la plataforma transaccional que haga sus veces”</w:t>
      </w:r>
      <w:r w:rsidRPr="000D6B45">
        <w:rPr>
          <w:rFonts w:ascii="Verdana" w:hAnsi="Verdana" w:cs="Arial"/>
          <w:bCs/>
        </w:rPr>
        <w:t>,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w:t>
      </w:r>
    </w:p>
    <w:p w14:paraId="0CB56252" w14:textId="77777777" w:rsidR="007F7990" w:rsidRDefault="004F74AD" w:rsidP="000D6B45">
      <w:pPr>
        <w:spacing w:after="120" w:line="276" w:lineRule="auto"/>
        <w:ind w:firstLine="708"/>
        <w:jc w:val="both"/>
        <w:rPr>
          <w:rFonts w:ascii="Verdana" w:eastAsia="Calibri" w:hAnsi="Verdana" w:cs="Arial"/>
          <w:color w:val="000000" w:themeColor="text1"/>
        </w:rPr>
      </w:pPr>
      <w:r w:rsidRPr="000D6B45">
        <w:rPr>
          <w:rFonts w:ascii="Verdana" w:eastAsia="Calibri" w:hAnsi="Verdana" w:cs="Arial"/>
          <w:color w:val="000000" w:themeColor="text1"/>
        </w:rPr>
        <w:t xml:space="preserve">Además,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68D79264" w14:textId="462A0913" w:rsidR="004F74AD" w:rsidRPr="000D6B45" w:rsidRDefault="004F74AD" w:rsidP="000D6B45">
      <w:pPr>
        <w:spacing w:after="120" w:line="276" w:lineRule="auto"/>
        <w:ind w:firstLine="708"/>
        <w:jc w:val="both"/>
        <w:rPr>
          <w:rFonts w:ascii="Verdana" w:eastAsia="Calibri" w:hAnsi="Verdana" w:cs="Arial"/>
          <w:color w:val="000000" w:themeColor="text1"/>
        </w:rPr>
      </w:pPr>
      <w:r w:rsidRPr="000D6B45">
        <w:rPr>
          <w:rFonts w:ascii="Verdana" w:eastAsia="Calibri" w:hAnsi="Verdana" w:cs="Arial"/>
          <w:color w:val="000000" w:themeColor="text1"/>
        </w:rPr>
        <w:lastRenderedPageBreak/>
        <w:t>Adicionalmente se aclara que</w:t>
      </w:r>
      <w:r w:rsidR="00B80D2D" w:rsidRPr="000D6B45">
        <w:rPr>
          <w:rFonts w:ascii="Verdana" w:eastAsia="Calibri" w:hAnsi="Verdana" w:cs="Arial"/>
          <w:color w:val="000000" w:themeColor="text1"/>
        </w:rPr>
        <w:t>,</w:t>
      </w:r>
      <w:r w:rsidRPr="000D6B45">
        <w:rPr>
          <w:rFonts w:ascii="Verdana" w:eastAsia="Calibri" w:hAnsi="Verdana" w:cs="Arial"/>
          <w:color w:val="000000" w:themeColor="text1"/>
        </w:rPr>
        <w:t xml:space="preserve"> el cumplimiento del deber de publicación de la documentación contractual debe armonizarse con las normas aplicables al tipo de información que estas contienen</w:t>
      </w:r>
      <w:r w:rsidRPr="000D6B45">
        <w:rPr>
          <w:rStyle w:val="Refdenotaalpie"/>
          <w:rFonts w:ascii="Verdana" w:eastAsia="Calibri" w:hAnsi="Verdana" w:cs="Arial"/>
          <w:color w:val="000000" w:themeColor="text1"/>
        </w:rPr>
        <w:footnoteReference w:id="7"/>
      </w:r>
      <w:r w:rsidRPr="000D6B45">
        <w:rPr>
          <w:rFonts w:ascii="Verdana" w:eastAsia="Calibri" w:hAnsi="Verdana" w:cs="Arial"/>
          <w:color w:val="000000" w:themeColor="text1"/>
        </w:rPr>
        <w:t>. Lo anterior significa que, respecto de datos sensibles, información sometida a reserva o de la cual proceda un tratamiento especial que impida su publicidad, las entidades deberán proceder de conformidad con el tratamiento que impongan tales normas, tema que se retomará más adelante.</w:t>
      </w:r>
    </w:p>
    <w:p w14:paraId="3117F479" w14:textId="1EBB2711" w:rsidR="004F74AD" w:rsidRPr="000D6B45" w:rsidRDefault="004F74AD" w:rsidP="0021050B">
      <w:pPr>
        <w:spacing w:after="120" w:line="276" w:lineRule="auto"/>
        <w:jc w:val="both"/>
        <w:rPr>
          <w:rFonts w:ascii="Verdana" w:eastAsia="Calibri" w:hAnsi="Verdana" w:cs="Arial"/>
          <w:color w:val="000000" w:themeColor="text1"/>
        </w:rPr>
      </w:pPr>
      <w:r w:rsidRPr="000D6B45">
        <w:rPr>
          <w:rFonts w:ascii="Verdana" w:eastAsia="Calibri" w:hAnsi="Verdana" w:cs="Arial"/>
          <w:color w:val="000000" w:themeColor="text1"/>
        </w:rPr>
        <w:tab/>
        <w:t>Teniendo en cuenta el marco normativo antes reseñado, la Circular Externa Única expedida por la Agencia Nacional de Contratación Pública - Colombia Compra Eficiente</w:t>
      </w:r>
      <w:r w:rsidR="00E40A42">
        <w:rPr>
          <w:rStyle w:val="Refdenotaalpie"/>
          <w:rFonts w:ascii="Verdana" w:eastAsia="Calibri" w:hAnsi="Verdana" w:cs="Arial"/>
          <w:color w:val="000000" w:themeColor="text1"/>
        </w:rPr>
        <w:footnoteReference w:id="8"/>
      </w:r>
      <w:r w:rsidRPr="000D6B45">
        <w:rPr>
          <w:rFonts w:ascii="Verdana" w:eastAsia="Calibri" w:hAnsi="Verdana" w:cs="Arial"/>
          <w:color w:val="000000" w:themeColor="text1"/>
        </w:rPr>
        <w:t xml:space="preserve"> -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0D6B45">
        <w:rPr>
          <w:rStyle w:val="Refdenotaalpie"/>
          <w:rFonts w:ascii="Verdana" w:eastAsia="Calibri" w:hAnsi="Verdana" w:cs="Arial"/>
          <w:color w:val="000000" w:themeColor="text1"/>
        </w:rPr>
        <w:footnoteReference w:id="9"/>
      </w:r>
      <w:r w:rsidRPr="000D6B45">
        <w:rPr>
          <w:rFonts w:ascii="Verdana" w:eastAsia="Calibri" w:hAnsi="Verdana" w:cs="Arial"/>
          <w:color w:val="000000" w:themeColor="text1"/>
        </w:rPr>
        <w:t>. De igual forma, en la Circular Externa No. 002 del 23 de agosto de 2024</w:t>
      </w:r>
      <w:r w:rsidR="007B12D1">
        <w:rPr>
          <w:rStyle w:val="Refdenotaalpie"/>
          <w:rFonts w:ascii="Verdana" w:eastAsia="Calibri" w:hAnsi="Verdana" w:cs="Arial"/>
          <w:color w:val="000000" w:themeColor="text1"/>
        </w:rPr>
        <w:footnoteReference w:id="10"/>
      </w:r>
      <w:r w:rsidRPr="000D6B45">
        <w:rPr>
          <w:rFonts w:ascii="Verdana" w:eastAsia="Calibri" w:hAnsi="Verdana" w:cs="Arial"/>
          <w:color w:val="000000" w:themeColor="text1"/>
        </w:rPr>
        <w:t>, estableció los lineamientos para la aplicación del artículo 53 de la Ley 2195 de 2022 por parte de las Entidades Estales que por disposición legal cuentan con un régimen contractual excepcional al del Estatuto General de Contratación de la Administración Pública.</w:t>
      </w:r>
    </w:p>
    <w:p w14:paraId="7F0AA03E" w14:textId="4EDC56C0" w:rsidR="004F74AD" w:rsidRPr="000D6B45" w:rsidRDefault="004F74AD" w:rsidP="0044221C">
      <w:pPr>
        <w:spacing w:after="120" w:line="276" w:lineRule="auto"/>
        <w:ind w:firstLine="708"/>
        <w:jc w:val="both"/>
        <w:rPr>
          <w:rFonts w:ascii="Verdana" w:eastAsia="Calibri" w:hAnsi="Verdana" w:cs="Arial"/>
          <w:lang w:val="es-ES_tradnl" w:eastAsia="es-ES_tradnl"/>
        </w:rPr>
      </w:pPr>
      <w:r w:rsidRPr="000D6B45">
        <w:rPr>
          <w:rFonts w:ascii="Verdana" w:hAnsi="Verdana" w:cs="Arial"/>
          <w:bCs/>
        </w:rPr>
        <w:lastRenderedPageBreak/>
        <w:t>Por último, d</w:t>
      </w:r>
      <w:proofErr w:type="spellStart"/>
      <w:r w:rsidRPr="000D6B45">
        <w:rPr>
          <w:rFonts w:ascii="Verdana" w:eastAsia="Calibri" w:hAnsi="Verdana" w:cs="Arial"/>
          <w:lang w:val="es-ES_tradnl" w:eastAsia="es-ES_tradnl"/>
        </w:rPr>
        <w:t>e</w:t>
      </w:r>
      <w:proofErr w:type="spellEnd"/>
      <w:r w:rsidRPr="000D6B45">
        <w:rPr>
          <w:rFonts w:ascii="Verdana" w:eastAsia="Calibri" w:hAnsi="Verdana" w:cs="Arial"/>
          <w:lang w:val="es-ES_tradnl" w:eastAsia="es-ES_tradnl"/>
        </w:rPr>
        <w:t xml:space="preserve"> la lectura del artículo antes citado se pueden extraer al menos dos (2) posturas contrapuestas relacionadas con la interpretación que se realice de la norma</w:t>
      </w:r>
      <w:r w:rsidR="00944737">
        <w:rPr>
          <w:rFonts w:ascii="Verdana" w:eastAsia="Calibri" w:hAnsi="Verdana" w:cs="Arial"/>
          <w:lang w:val="es-ES_tradnl" w:eastAsia="es-ES_tradnl"/>
        </w:rPr>
        <w:t xml:space="preserve"> respecto al origen de los recursos como factor para determinar la sujeción a esta obligación</w:t>
      </w:r>
      <w:r w:rsidR="00A63146">
        <w:rPr>
          <w:rFonts w:ascii="Verdana" w:eastAsia="Calibri" w:hAnsi="Verdana" w:cs="Arial"/>
          <w:lang w:val="es-ES_tradnl" w:eastAsia="es-ES_tradnl"/>
        </w:rPr>
        <w:t xml:space="preserve"> de las entidades con regímenes exceptuados de contratación</w:t>
      </w:r>
      <w:r w:rsidRPr="000D6B45">
        <w:rPr>
          <w:rFonts w:ascii="Verdana" w:eastAsia="Calibri" w:hAnsi="Verdana" w:cs="Arial"/>
          <w:lang w:val="es-ES_tradnl" w:eastAsia="es-ES_tradnl"/>
        </w:rPr>
        <w:t xml:space="preserve">. En primer lugar, una interpretación </w:t>
      </w:r>
      <w:r w:rsidRPr="000D6B45">
        <w:rPr>
          <w:rFonts w:ascii="Verdana" w:eastAsia="Calibri" w:hAnsi="Verdana" w:cs="Arial"/>
          <w:i/>
          <w:iCs/>
          <w:lang w:val="es-ES_tradnl" w:eastAsia="es-ES_tradnl"/>
        </w:rPr>
        <w:t xml:space="preserve">exegética </w:t>
      </w:r>
      <w:r w:rsidRPr="000D6B45">
        <w:rPr>
          <w:rFonts w:ascii="Verdana" w:eastAsia="Calibri" w:hAnsi="Verdana" w:cs="Arial"/>
          <w:lang w:val="es-ES_tradnl" w:eastAsia="es-ES_tradnl"/>
        </w:rPr>
        <w:t xml:space="preserve">de la disposición plantearía que, dado que el artículo 53 no señala que la obligación de publicar en el SECOP II recae solamente sobre la contratación que se realice con dineros públicos, se entiende que esta aplica para toda la actividad contractual que ejecute la entidad, indistintamente del origen de los recursos. En segundo lugar, una interpretación </w:t>
      </w:r>
      <w:r w:rsidRPr="000D6B45">
        <w:rPr>
          <w:rFonts w:ascii="Verdana" w:eastAsia="Calibri" w:hAnsi="Verdana" w:cs="Arial"/>
          <w:i/>
          <w:iCs/>
          <w:lang w:val="es-ES_tradnl" w:eastAsia="es-ES_tradnl"/>
        </w:rPr>
        <w:t xml:space="preserve">sistemática </w:t>
      </w:r>
      <w:r w:rsidRPr="000D6B45">
        <w:rPr>
          <w:rFonts w:ascii="Verdana" w:eastAsia="Calibri" w:hAnsi="Verdana" w:cs="Arial"/>
          <w:lang w:val="es-ES_tradnl" w:eastAsia="es-ES_tradnl"/>
        </w:rPr>
        <w:t xml:space="preserve">de la norma concluiría que el artículo 53, al modificar una disposición de la Ley 1150 de 2007, debe armonizarse con todo el cuerpo normativo consagrado en dicha ley y, dado que este se refiere a la contratación que se realiza con </w:t>
      </w:r>
      <w:r w:rsidRPr="000D6B45">
        <w:rPr>
          <w:rFonts w:ascii="Verdana" w:eastAsia="Calibri" w:hAnsi="Verdana" w:cs="Arial"/>
          <w:i/>
          <w:iCs/>
          <w:lang w:val="es-ES_tradnl" w:eastAsia="es-ES_tradnl"/>
        </w:rPr>
        <w:t xml:space="preserve">dineros públicos, </w:t>
      </w:r>
      <w:r w:rsidRPr="000D6B45">
        <w:rPr>
          <w:rFonts w:ascii="Verdana" w:eastAsia="Calibri" w:hAnsi="Verdana" w:cs="Arial"/>
          <w:lang w:val="es-ES_tradnl" w:eastAsia="es-ES_tradnl"/>
        </w:rPr>
        <w:t>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II sólo la información relacionada con al activad contractual efectuada con recursos públicos.</w:t>
      </w:r>
    </w:p>
    <w:p w14:paraId="55B26601" w14:textId="77777777" w:rsidR="004F74AD" w:rsidRPr="000D6B45" w:rsidRDefault="004F74AD" w:rsidP="0044221C">
      <w:pPr>
        <w:spacing w:after="120" w:line="276" w:lineRule="auto"/>
        <w:ind w:firstLine="709"/>
        <w:jc w:val="both"/>
        <w:rPr>
          <w:rFonts w:ascii="Verdana" w:eastAsia="Calibri" w:hAnsi="Verdana" w:cs="Arial"/>
          <w:lang w:val="es-ES" w:eastAsia="es-ES"/>
        </w:rPr>
      </w:pPr>
      <w:r w:rsidRPr="000D6B45">
        <w:rPr>
          <w:rFonts w:ascii="Verdana" w:eastAsia="Calibri" w:hAnsi="Verdana" w:cs="Arial"/>
          <w:lang w:val="es-ES" w:eastAsia="es-ES"/>
        </w:rPr>
        <w:t xml:space="preserve">Esta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materia, como, entre otros, los siguientes enunciados normativos: i) los artículos 74 y 209 de la Constitución, </w:t>
      </w:r>
      <w:proofErr w:type="spellStart"/>
      <w:r w:rsidRPr="000D6B45">
        <w:rPr>
          <w:rFonts w:ascii="Verdana" w:eastAsia="Calibri" w:hAnsi="Verdana" w:cs="Arial"/>
          <w:lang w:val="es-ES" w:eastAsia="es-ES"/>
        </w:rPr>
        <w:t>ii</w:t>
      </w:r>
      <w:proofErr w:type="spellEnd"/>
      <w:r w:rsidRPr="000D6B45">
        <w:rPr>
          <w:rFonts w:ascii="Verdana" w:eastAsia="Calibri" w:hAnsi="Verdana" w:cs="Arial"/>
          <w:lang w:val="es-ES" w:eastAsia="es-ES"/>
        </w:rPr>
        <w:t xml:space="preserve">) el artículo 3, literal c) de la Ley 1150 de 2007, </w:t>
      </w:r>
      <w:proofErr w:type="spellStart"/>
      <w:r w:rsidRPr="000D6B45">
        <w:rPr>
          <w:rFonts w:ascii="Verdana" w:eastAsia="Calibri" w:hAnsi="Verdana" w:cs="Arial"/>
          <w:lang w:val="es-ES" w:eastAsia="es-ES"/>
        </w:rPr>
        <w:t>iii</w:t>
      </w:r>
      <w:proofErr w:type="spellEnd"/>
      <w:r w:rsidRPr="000D6B45">
        <w:rPr>
          <w:rFonts w:ascii="Verdana" w:eastAsia="Calibri" w:hAnsi="Verdana" w:cs="Arial"/>
          <w:lang w:val="es-ES" w:eastAsia="es-ES"/>
        </w:rPr>
        <w:t xml:space="preserve">) los artículos 3, 9, literal e) y 11, literal g), de la Ley 1712 de 2014, y </w:t>
      </w:r>
      <w:proofErr w:type="spellStart"/>
      <w:r w:rsidRPr="000D6B45">
        <w:rPr>
          <w:rFonts w:ascii="Verdana" w:eastAsia="Calibri" w:hAnsi="Verdana" w:cs="Arial"/>
          <w:lang w:val="es-ES" w:eastAsia="es-ES"/>
        </w:rPr>
        <w:t>iv</w:t>
      </w:r>
      <w:proofErr w:type="spellEnd"/>
      <w:r w:rsidRPr="000D6B45">
        <w:rPr>
          <w:rFonts w:ascii="Verdana" w:eastAsia="Calibri" w:hAnsi="Verdana" w:cs="Arial"/>
          <w:lang w:val="es-ES" w:eastAsia="es-ES"/>
        </w:rPr>
        <w:t>) los artículos 7 al 10 del Decreto 103 de 2015 –compilado en los artículos 2.1.1.1.1. al 2.1.1.6.1. del Decreto 1081 de 2015–.</w:t>
      </w:r>
    </w:p>
    <w:p w14:paraId="061BFE0B" w14:textId="77777777" w:rsidR="00FD3712" w:rsidRDefault="004F74AD" w:rsidP="000D6B45">
      <w:pPr>
        <w:spacing w:after="120" w:line="276" w:lineRule="auto"/>
        <w:ind w:firstLine="709"/>
        <w:jc w:val="both"/>
        <w:rPr>
          <w:rFonts w:ascii="Verdana" w:eastAsia="Calibri" w:hAnsi="Verdana" w:cs="Arial"/>
          <w:lang w:val="es-ES_tradnl" w:eastAsia="es-CO"/>
        </w:rPr>
      </w:pPr>
      <w:r w:rsidRPr="000D6B45">
        <w:rPr>
          <w:rFonts w:ascii="Verdana" w:eastAsia="Calibri" w:hAnsi="Verdana" w:cs="Arial"/>
          <w:noProof/>
          <w:lang w:val="es-ES_tradnl"/>
        </w:rPr>
        <w:t xml:space="preserve">Así las cosas, dado que el artículo 53 de la Ley 2195 de 2022 complementó las disposiciones ya establecidas en la Ley 1150 de 2007, la lectura que se haga de dicho artículo debe efectuarse de forma </w:t>
      </w:r>
      <w:r w:rsidRPr="000D6B45">
        <w:rPr>
          <w:rFonts w:ascii="Verdana" w:eastAsia="Calibri" w:hAnsi="Verdana" w:cs="Arial"/>
          <w:i/>
          <w:iCs/>
          <w:noProof/>
          <w:lang w:val="es-ES_tradnl"/>
        </w:rPr>
        <w:t xml:space="preserve">sistemática. </w:t>
      </w:r>
      <w:r w:rsidRPr="000D6B45">
        <w:rPr>
          <w:rFonts w:ascii="Verdana" w:eastAsia="Calibri" w:hAnsi="Verdana" w:cs="Arial"/>
          <w:noProof/>
          <w:lang w:val="es-ES_tradnl"/>
        </w:rPr>
        <w:t xml:space="preserve">En ese sentido, debe señalarse que la </w:t>
      </w:r>
      <w:r w:rsidRPr="000D6B45">
        <w:rPr>
          <w:rFonts w:ascii="Verdana" w:eastAsia="Calibri" w:hAnsi="Verdana" w:cs="Arial"/>
          <w:lang w:val="es-ES_tradnl" w:eastAsia="es-CO"/>
        </w:rPr>
        <w:t xml:space="preserve">contratación con cargo a recursos públicos es un concepto al que alude expresamente la Ley 1150 de 2007, incluso desde el mismo título, pues este indica que dicha ley es </w:t>
      </w:r>
      <w:r w:rsidRPr="000D6B45">
        <w:rPr>
          <w:rFonts w:ascii="Verdana" w:eastAsia="Calibri" w:hAnsi="Verdana" w:cs="Arial"/>
          <w:lang w:val="es-ES_tradnl"/>
        </w:rPr>
        <w:t>“</w:t>
      </w:r>
      <w:r w:rsidRPr="000D6B45">
        <w:rPr>
          <w:rFonts w:ascii="Verdana" w:eastAsia="Calibri" w:hAnsi="Verdana" w:cs="Arial"/>
        </w:rPr>
        <w:t>Por medio de la cual se introducen medidas para la eficiencia y la transparencia en la Ley </w:t>
      </w:r>
      <w:hyperlink r:id="rId13" w:anchor="1" w:history="1">
        <w:r w:rsidRPr="000D6B45">
          <w:rPr>
            <w:rFonts w:ascii="Verdana" w:eastAsia="Calibri" w:hAnsi="Verdana" w:cs="Arial"/>
          </w:rPr>
          <w:t>80</w:t>
        </w:r>
      </w:hyperlink>
      <w:r w:rsidRPr="000D6B45">
        <w:rPr>
          <w:rFonts w:ascii="Verdana" w:eastAsia="Calibri" w:hAnsi="Verdana" w:cs="Arial"/>
        </w:rPr>
        <w:t> de 1993 y se dictan otras disposiciones generales sobre la contratación con Recursos Públicos</w:t>
      </w:r>
      <w:r w:rsidRPr="000D6B45">
        <w:rPr>
          <w:rFonts w:ascii="Verdana" w:eastAsia="Calibri" w:hAnsi="Verdana" w:cs="Arial"/>
          <w:lang w:val="es-ES_tradnl"/>
        </w:rPr>
        <w:t>”</w:t>
      </w:r>
      <w:r w:rsidRPr="000D6B45">
        <w:rPr>
          <w:rFonts w:ascii="Verdana" w:eastAsia="Calibri" w:hAnsi="Verdana" w:cs="Arial"/>
        </w:rPr>
        <w:t>.</w:t>
      </w:r>
      <w:r w:rsidRPr="000D6B45">
        <w:rPr>
          <w:rFonts w:ascii="Verdana" w:eastAsia="Calibri" w:hAnsi="Verdana" w:cs="Arial"/>
          <w:lang w:val="es-ES_tradnl" w:eastAsia="es-CO"/>
        </w:rPr>
        <w:t xml:space="preserve"> </w:t>
      </w:r>
    </w:p>
    <w:p w14:paraId="38001B64" w14:textId="6B0DA912" w:rsidR="004F74AD" w:rsidRPr="000D6B45" w:rsidRDefault="004F74AD" w:rsidP="0044221C">
      <w:pPr>
        <w:spacing w:after="120" w:line="276" w:lineRule="auto"/>
        <w:ind w:firstLine="709"/>
        <w:jc w:val="both"/>
        <w:rPr>
          <w:rFonts w:ascii="Verdana" w:eastAsia="Calibri" w:hAnsi="Verdana" w:cs="Arial"/>
          <w:shd w:val="clear" w:color="auto" w:fill="FFFFFF"/>
          <w:lang w:val="es-ES"/>
        </w:rPr>
      </w:pPr>
      <w:r w:rsidRPr="000D6B45">
        <w:rPr>
          <w:rFonts w:ascii="Verdana" w:eastAsia="Calibri" w:hAnsi="Verdana" w:cs="Arial"/>
          <w:lang w:val="es-ES_tradnl" w:eastAsia="es-CO"/>
        </w:rPr>
        <w:lastRenderedPageBreak/>
        <w:t>Asimismo, la terminología contratación con cargo recursos públicos</w:t>
      </w:r>
      <w:r w:rsidRPr="000D6B45">
        <w:rPr>
          <w:rFonts w:ascii="Verdana" w:eastAsia="Calibri" w:hAnsi="Verdana" w:cs="Arial"/>
          <w:i/>
          <w:iCs/>
          <w:lang w:val="es-ES_tradnl" w:eastAsia="es-CO"/>
        </w:rPr>
        <w:t xml:space="preserve"> </w:t>
      </w:r>
      <w:r w:rsidRPr="000D6B45">
        <w:rPr>
          <w:rFonts w:ascii="Verdana" w:eastAsia="Calibri" w:hAnsi="Verdana" w:cs="Arial"/>
          <w:lang w:val="es-ES_tradnl" w:eastAsia="es-CO"/>
        </w:rPr>
        <w:t>se encuentra en el artículo primero, al definir el ámbito de aplicación de sus disposiciones</w:t>
      </w:r>
      <w:r w:rsidRPr="0044221C">
        <w:rPr>
          <w:rFonts w:ascii="Verdana" w:eastAsia="Aptos" w:hAnsi="Verdana" w:cs="Times New Roman"/>
          <w:vertAlign w:val="superscript"/>
          <w:lang w:val="es-ES_tradnl" w:eastAsia="es-CO"/>
        </w:rPr>
        <w:footnoteReference w:id="11"/>
      </w:r>
      <w:r w:rsidRPr="000D6B45">
        <w:rPr>
          <w:rFonts w:ascii="Verdana" w:eastAsia="Calibri" w:hAnsi="Verdana" w:cs="Arial"/>
          <w:lang w:val="es-ES_tradnl" w:eastAsia="es-CO"/>
        </w:rPr>
        <w:t xml:space="preserve"> y en el literal c) del artículo 3 –del que surge el deber de publicar en el SECOP–, que expresamente </w:t>
      </w:r>
      <w:r w:rsidRPr="000D6B45">
        <w:rPr>
          <w:rFonts w:ascii="Verdana" w:eastAsia="Calibri" w:hAnsi="Verdana" w:cs="Arial"/>
          <w:shd w:val="clear" w:color="auto" w:fill="FFFFFF"/>
          <w:lang w:val="es-ES"/>
        </w:rPr>
        <w:t xml:space="preserve">establece que ese aparte del artículo se aplica a la “contratación realizada con dineros públicos”. </w:t>
      </w:r>
      <w:r w:rsidRPr="000D6B45">
        <w:rPr>
          <w:rFonts w:ascii="Verdana" w:eastAsia="Calibri" w:hAnsi="Verdana" w:cs="Arial"/>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14:paraId="77279BCC" w14:textId="77777777" w:rsidR="004F74AD" w:rsidRPr="00642EA6" w:rsidRDefault="004F74AD" w:rsidP="004F74AD">
      <w:pPr>
        <w:spacing w:after="0" w:line="276" w:lineRule="auto"/>
        <w:ind w:firstLine="708"/>
        <w:contextualSpacing/>
        <w:jc w:val="both"/>
        <w:rPr>
          <w:rFonts w:ascii="Verdana" w:eastAsia="Calibri" w:hAnsi="Verdana" w:cs="Arial"/>
        </w:rPr>
      </w:pPr>
      <w:r w:rsidRPr="00642EA6">
        <w:rPr>
          <w:rFonts w:ascii="Verdana" w:eastAsia="Calibri" w:hAnsi="Verdana" w:cs="Arial"/>
          <w:lang w:val="es-ES_tradnl" w:eastAsia="es-CO"/>
        </w:rPr>
        <w:t xml:space="preserve">Por otro lado, </w:t>
      </w:r>
      <w:r w:rsidRPr="00642EA6">
        <w:rPr>
          <w:rFonts w:ascii="Verdana" w:eastAsia="Calibri" w:hAnsi="Verdana" w:cs="Arial"/>
        </w:rPr>
        <w:t xml:space="preserve">el Decreto 103 de 2015, mediante el cual se reglamentó la Ley 1712 de 2014, y que fue compilado </w:t>
      </w:r>
      <w:r w:rsidRPr="00642EA6">
        <w:rPr>
          <w:rFonts w:ascii="Verdana" w:eastAsia="Calibri" w:hAnsi="Verdana" w:cs="Arial"/>
          <w:shd w:val="clear" w:color="auto" w:fill="FFFFFF"/>
        </w:rPr>
        <w:t xml:space="preserve">en los artículos 2.1.1.1.1. al 2.1.1.6.1. del Decreto 1081 de 2015–.  </w:t>
      </w:r>
      <w:r w:rsidRPr="00642EA6">
        <w:rPr>
          <w:rFonts w:ascii="Verdana" w:eastAsia="Calibri" w:hAnsi="Verdana" w:cs="Arial"/>
        </w:rPr>
        <w:t>señala:</w:t>
      </w:r>
    </w:p>
    <w:p w14:paraId="4590E475" w14:textId="77777777" w:rsidR="004F74AD" w:rsidRPr="00642EA6" w:rsidRDefault="004F74AD" w:rsidP="004F74AD">
      <w:pPr>
        <w:spacing w:after="0" w:line="276" w:lineRule="auto"/>
        <w:ind w:firstLine="784"/>
        <w:contextualSpacing/>
        <w:jc w:val="both"/>
        <w:rPr>
          <w:rFonts w:ascii="Verdana" w:eastAsia="Calibri" w:hAnsi="Verdana" w:cs="Arial"/>
        </w:rPr>
      </w:pPr>
    </w:p>
    <w:p w14:paraId="62994660" w14:textId="77777777" w:rsidR="004F74AD" w:rsidRDefault="004F74AD" w:rsidP="00A11BFB">
      <w:pPr>
        <w:spacing w:after="0" w:line="240" w:lineRule="auto"/>
        <w:ind w:left="709" w:right="709"/>
        <w:jc w:val="both"/>
        <w:rPr>
          <w:rFonts w:ascii="Verdana" w:eastAsia="Times New Roman" w:hAnsi="Verdana" w:cs="Arial"/>
          <w:sz w:val="20"/>
          <w:szCs w:val="20"/>
          <w:lang w:eastAsia="es-CO"/>
        </w:rPr>
      </w:pPr>
      <w:r w:rsidRPr="0044221C">
        <w:rPr>
          <w:rFonts w:ascii="Verdana" w:eastAsia="Times New Roman" w:hAnsi="Verdana" w:cs="Arial"/>
          <w:sz w:val="20"/>
          <w:szCs w:val="20"/>
          <w:lang w:eastAsia="es-CO"/>
        </w:rPr>
        <w:t>“Artículo 7°.</w:t>
      </w:r>
      <w:r w:rsidRPr="0044221C">
        <w:rPr>
          <w:rFonts w:ascii="Verdana" w:eastAsia="Times New Roman" w:hAnsi="Verdana" w:cs="Arial"/>
          <w:i/>
          <w:iCs/>
          <w:sz w:val="20"/>
          <w:szCs w:val="20"/>
          <w:lang w:eastAsia="es-CO"/>
        </w:rPr>
        <w:t xml:space="preserve"> Publicación de la información contractual. </w:t>
      </w:r>
      <w:r w:rsidRPr="0044221C">
        <w:rPr>
          <w:rFonts w:ascii="Verdana" w:eastAsia="Times New Roman" w:hAnsi="Verdana" w:cs="Arial"/>
          <w:sz w:val="20"/>
          <w:szCs w:val="20"/>
          <w:lang w:eastAsia="es-CO"/>
        </w:rPr>
        <w:t xml:space="preserve">De conformidad con el literal (c) del artículo 3° de la Ley 1150 de 2007, el sistema de información del Estado en el cual los sujetos obligados que contratan </w:t>
      </w:r>
      <w:r w:rsidRPr="0044221C">
        <w:rPr>
          <w:rFonts w:ascii="Verdana" w:eastAsia="Times New Roman" w:hAnsi="Verdana" w:cs="Arial"/>
          <w:i/>
          <w:iCs/>
          <w:sz w:val="20"/>
          <w:szCs w:val="20"/>
          <w:lang w:eastAsia="es-CO"/>
        </w:rPr>
        <w:t>con cargo a recursos públicos</w:t>
      </w:r>
      <w:r w:rsidRPr="0044221C">
        <w:rPr>
          <w:rFonts w:ascii="Verdana" w:eastAsia="Times New Roman" w:hAnsi="Verdana" w:cs="Arial"/>
          <w:sz w:val="20"/>
          <w:szCs w:val="20"/>
          <w:lang w:eastAsia="es-CO"/>
        </w:rPr>
        <w:t xml:space="preserve"> deben cumplir la obligación de publicar la información de su gestión contractual es el Sistema Electrónico para la Contratación Pública (</w:t>
      </w:r>
      <w:proofErr w:type="spellStart"/>
      <w:r w:rsidRPr="0044221C">
        <w:rPr>
          <w:rFonts w:ascii="Verdana" w:eastAsia="Times New Roman" w:hAnsi="Verdana" w:cs="Arial"/>
          <w:sz w:val="20"/>
          <w:szCs w:val="20"/>
          <w:lang w:eastAsia="es-CO"/>
        </w:rPr>
        <w:t>Secop</w:t>
      </w:r>
      <w:proofErr w:type="spellEnd"/>
      <w:r w:rsidRPr="0044221C">
        <w:rPr>
          <w:rFonts w:ascii="Verdana" w:eastAsia="Times New Roman" w:hAnsi="Verdana" w:cs="Arial"/>
          <w:sz w:val="20"/>
          <w:szCs w:val="20"/>
          <w:lang w:eastAsia="es-CO"/>
        </w:rPr>
        <w:t>). </w:t>
      </w:r>
    </w:p>
    <w:p w14:paraId="71B48D91" w14:textId="77777777" w:rsidR="00A11BFB" w:rsidRPr="0044221C" w:rsidRDefault="00A11BFB" w:rsidP="00A11BFB">
      <w:pPr>
        <w:spacing w:after="0" w:line="240" w:lineRule="auto"/>
        <w:ind w:left="709" w:right="709"/>
        <w:jc w:val="both"/>
        <w:rPr>
          <w:rFonts w:ascii="Verdana" w:eastAsia="Times New Roman" w:hAnsi="Verdana" w:cs="Arial"/>
          <w:sz w:val="20"/>
          <w:szCs w:val="20"/>
          <w:lang w:eastAsia="es-CO"/>
        </w:rPr>
      </w:pPr>
    </w:p>
    <w:p w14:paraId="2D2DC3F7" w14:textId="77777777" w:rsidR="004F74AD" w:rsidRDefault="004F74AD" w:rsidP="00A11BFB">
      <w:pPr>
        <w:spacing w:after="0" w:line="240" w:lineRule="auto"/>
        <w:ind w:left="709" w:right="709"/>
        <w:jc w:val="both"/>
        <w:rPr>
          <w:rFonts w:ascii="Verdana" w:eastAsia="Times New Roman" w:hAnsi="Verdana" w:cs="Arial"/>
          <w:sz w:val="20"/>
          <w:szCs w:val="20"/>
          <w:lang w:eastAsia="es-CO"/>
        </w:rPr>
      </w:pPr>
      <w:r w:rsidRPr="0044221C">
        <w:rPr>
          <w:rFonts w:ascii="Verdana" w:eastAsia="Times New Roman" w:hAnsi="Verdana" w:cs="Arial"/>
          <w:sz w:val="20"/>
          <w:szCs w:val="20"/>
          <w:lang w:eastAsia="es-CO"/>
        </w:rPr>
        <w:t xml:space="preserve">Los sujetos obligados que contratan </w:t>
      </w:r>
      <w:r w:rsidRPr="0044221C">
        <w:rPr>
          <w:rFonts w:ascii="Verdana" w:eastAsia="Times New Roman" w:hAnsi="Verdana" w:cs="Arial"/>
          <w:i/>
          <w:iCs/>
          <w:sz w:val="20"/>
          <w:szCs w:val="20"/>
          <w:lang w:eastAsia="es-CO"/>
        </w:rPr>
        <w:t>con cargo a recursos públicos</w:t>
      </w:r>
      <w:r w:rsidRPr="0044221C">
        <w:rPr>
          <w:rFonts w:ascii="Verdana" w:eastAsia="Times New Roman" w:hAnsi="Verdana" w:cs="Arial"/>
          <w:sz w:val="20"/>
          <w:szCs w:val="20"/>
          <w:lang w:eastAsia="es-CO"/>
        </w:rPr>
        <w:t xml:space="preserve"> deben publicar la información de su gestión contractual en el plazo previsto en el artículo 19 del Decreto 1510 de 2013, o el que lo modifique, sustituya o adicione. </w:t>
      </w:r>
    </w:p>
    <w:p w14:paraId="72DB9987" w14:textId="77777777" w:rsidR="00A11BFB" w:rsidRPr="0044221C" w:rsidRDefault="00A11BFB" w:rsidP="0044221C">
      <w:pPr>
        <w:spacing w:after="0" w:line="240" w:lineRule="auto"/>
        <w:ind w:left="709" w:right="709"/>
        <w:jc w:val="both"/>
        <w:rPr>
          <w:rFonts w:ascii="Verdana" w:eastAsia="Times New Roman" w:hAnsi="Verdana" w:cs="Arial"/>
          <w:sz w:val="20"/>
          <w:szCs w:val="20"/>
          <w:lang w:eastAsia="es-CO"/>
        </w:rPr>
      </w:pPr>
    </w:p>
    <w:p w14:paraId="4FC3B492" w14:textId="77777777" w:rsidR="004F74AD" w:rsidRPr="0044221C" w:rsidRDefault="004F74AD" w:rsidP="0044221C">
      <w:pPr>
        <w:spacing w:after="0" w:line="240" w:lineRule="auto"/>
        <w:ind w:left="709" w:right="709"/>
        <w:jc w:val="both"/>
        <w:rPr>
          <w:rFonts w:ascii="Verdana" w:eastAsia="Times New Roman" w:hAnsi="Verdana" w:cs="Arial"/>
          <w:sz w:val="20"/>
          <w:szCs w:val="20"/>
          <w:lang w:eastAsia="es-CO"/>
        </w:rPr>
      </w:pPr>
      <w:r w:rsidRPr="0044221C">
        <w:rPr>
          <w:rFonts w:ascii="Verdana" w:eastAsia="Times New Roman" w:hAnsi="Verdana" w:cs="Arial"/>
          <w:sz w:val="20"/>
          <w:szCs w:val="20"/>
          <w:lang w:eastAsia="es-CO"/>
        </w:rPr>
        <w:t xml:space="preserve">Los sujetos obligados que contratan con recursos públicos y recursos </w:t>
      </w:r>
      <w:proofErr w:type="gramStart"/>
      <w:r w:rsidRPr="0044221C">
        <w:rPr>
          <w:rFonts w:ascii="Verdana" w:eastAsia="Times New Roman" w:hAnsi="Verdana" w:cs="Arial"/>
          <w:sz w:val="20"/>
          <w:szCs w:val="20"/>
          <w:lang w:eastAsia="es-CO"/>
        </w:rPr>
        <w:t>privados,</w:t>
      </w:r>
      <w:proofErr w:type="gramEnd"/>
      <w:r w:rsidRPr="0044221C">
        <w:rPr>
          <w:rFonts w:ascii="Verdana" w:eastAsia="Times New Roman" w:hAnsi="Verdana" w:cs="Arial"/>
          <w:sz w:val="20"/>
          <w:szCs w:val="20"/>
          <w:lang w:eastAsia="es-CO"/>
        </w:rPr>
        <w:t xml:space="preserve"> deben publicar la información de su gestión contractual con cargo a recursos públicos en el Sistema Electrónico para la Contratación Pública (</w:t>
      </w:r>
      <w:proofErr w:type="spellStart"/>
      <w:r w:rsidRPr="0044221C">
        <w:rPr>
          <w:rFonts w:ascii="Verdana" w:eastAsia="Times New Roman" w:hAnsi="Verdana" w:cs="Arial"/>
          <w:sz w:val="20"/>
          <w:szCs w:val="20"/>
          <w:lang w:eastAsia="es-CO"/>
        </w:rPr>
        <w:t>Secop</w:t>
      </w:r>
      <w:proofErr w:type="spellEnd"/>
      <w:r w:rsidRPr="0044221C">
        <w:rPr>
          <w:rFonts w:ascii="Verdana" w:eastAsia="Times New Roman" w:hAnsi="Verdana" w:cs="Arial"/>
          <w:sz w:val="20"/>
          <w:szCs w:val="20"/>
          <w:lang w:eastAsia="es-CO"/>
        </w:rPr>
        <w:t>)”. [Énfasis fuera del texto original]</w:t>
      </w:r>
    </w:p>
    <w:p w14:paraId="21F316B7" w14:textId="77777777" w:rsidR="004F74AD" w:rsidRPr="00642EA6" w:rsidRDefault="004F74AD" w:rsidP="0044221C">
      <w:pPr>
        <w:spacing w:after="0" w:line="276" w:lineRule="auto"/>
        <w:ind w:left="709" w:right="709" w:firstLine="147"/>
        <w:jc w:val="both"/>
        <w:rPr>
          <w:rFonts w:ascii="Verdana" w:eastAsia="Times New Roman" w:hAnsi="Verdana" w:cs="Arial"/>
          <w:lang w:eastAsia="es-CO"/>
        </w:rPr>
      </w:pPr>
    </w:p>
    <w:p w14:paraId="05BB1D83" w14:textId="77777777" w:rsidR="004F74AD" w:rsidRPr="00642EA6" w:rsidRDefault="004F74AD" w:rsidP="0044221C">
      <w:pPr>
        <w:spacing w:after="120" w:line="276" w:lineRule="auto"/>
        <w:ind w:firstLine="709"/>
        <w:jc w:val="both"/>
        <w:rPr>
          <w:rFonts w:ascii="Verdana" w:eastAsia="Calibri" w:hAnsi="Verdana" w:cs="Arial"/>
          <w:lang w:val="es-ES_tradnl" w:eastAsia="es-ES_tradnl"/>
        </w:rPr>
      </w:pPr>
      <w:bookmarkStart w:id="0" w:name="_Hlk110869205"/>
      <w:r w:rsidRPr="00642EA6">
        <w:rPr>
          <w:rFonts w:ascii="Verdana" w:eastAsia="Calibri" w:hAnsi="Verdana"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de la Ley 2195 de 2022 –al ampliar la obligación de las entidades con regímenes especiales de publicar su actividad contractual en </w:t>
      </w:r>
      <w:r w:rsidRPr="00642EA6">
        <w:rPr>
          <w:rFonts w:ascii="Verdana" w:eastAsia="Calibri" w:hAnsi="Verdana" w:cs="Arial"/>
          <w:lang w:val="es-ES_tradnl" w:eastAsia="es-ES_tradnl"/>
        </w:rPr>
        <w:lastRenderedPageBreak/>
        <w:t xml:space="preserve">el SECOP II– se refiere a aquella actividad contractual cuya fuente de financiación </w:t>
      </w:r>
      <w:r w:rsidRPr="00E325A0">
        <w:rPr>
          <w:rFonts w:ascii="Verdana" w:eastAsia="Calibri" w:hAnsi="Verdana" w:cs="Arial"/>
          <w:shd w:val="clear" w:color="auto" w:fill="FFFFFF"/>
        </w:rPr>
        <w:t>provenga</w:t>
      </w:r>
      <w:r w:rsidRPr="00642EA6">
        <w:rPr>
          <w:rFonts w:ascii="Verdana" w:eastAsia="Calibri" w:hAnsi="Verdana" w:cs="Arial"/>
          <w:lang w:val="es-ES_tradnl" w:eastAsia="es-ES_tradnl"/>
        </w:rPr>
        <w:t xml:space="preserve"> de recursos públicos. </w:t>
      </w:r>
    </w:p>
    <w:bookmarkEnd w:id="0"/>
    <w:p w14:paraId="7667D273" w14:textId="77777777" w:rsidR="004F74AD" w:rsidRDefault="004F74AD" w:rsidP="0044221C">
      <w:pPr>
        <w:spacing w:after="0" w:line="276" w:lineRule="auto"/>
        <w:ind w:firstLine="708"/>
        <w:contextualSpacing/>
        <w:jc w:val="both"/>
        <w:rPr>
          <w:rFonts w:ascii="Verdana" w:eastAsia="Calibri" w:hAnsi="Verdana" w:cs="Arial"/>
          <w:lang w:val="es-ES"/>
        </w:rPr>
      </w:pPr>
      <w:r w:rsidRPr="00642EA6">
        <w:rPr>
          <w:rFonts w:ascii="Verdana" w:eastAsia="Calibri" w:hAnsi="Verdana" w:cs="Arial"/>
          <w:shd w:val="clear" w:color="auto" w:fill="FFFFFF"/>
          <w:lang w:val="es-ES"/>
        </w:rPr>
        <w:t xml:space="preserve">En consonancia con la interpretación antes expuesta, </w:t>
      </w:r>
      <w:r w:rsidRPr="00642EA6">
        <w:rPr>
          <w:rFonts w:ascii="Verdana" w:eastAsia="Calibri" w:hAnsi="Verdana" w:cs="Arial"/>
          <w:lang w:val="es-ES"/>
        </w:rPr>
        <w:t>la Circular 002 del 23 de agosto de 2024</w:t>
      </w:r>
      <w:r w:rsidRPr="00642EA6">
        <w:rPr>
          <w:rFonts w:ascii="Aptos" w:eastAsia="Aptos" w:hAnsi="Aptos" w:cs="Times New Roman"/>
          <w:vertAlign w:val="superscript"/>
          <w:lang w:val="es-ES"/>
        </w:rPr>
        <w:footnoteReference w:id="12"/>
      </w:r>
      <w:r w:rsidRPr="00642EA6">
        <w:rPr>
          <w:rFonts w:ascii="Verdana" w:eastAsia="Calibri" w:hAnsi="Verdana" w:cs="Arial"/>
          <w:lang w:val="es-ES"/>
        </w:rPr>
        <w:t>,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w:t>
      </w:r>
    </w:p>
    <w:p w14:paraId="080177E6" w14:textId="77777777" w:rsidR="004F74AD" w:rsidRPr="00642EA6" w:rsidRDefault="004F74AD" w:rsidP="0044221C">
      <w:pPr>
        <w:spacing w:after="0" w:line="276" w:lineRule="auto"/>
        <w:ind w:firstLine="709"/>
        <w:jc w:val="both"/>
        <w:rPr>
          <w:rFonts w:ascii="Verdana" w:eastAsia="Calibri" w:hAnsi="Verdana" w:cs="Arial"/>
          <w:lang w:val="es-ES"/>
        </w:rPr>
      </w:pPr>
    </w:p>
    <w:p w14:paraId="3B61583F" w14:textId="77777777" w:rsidR="004F74AD" w:rsidRPr="0044221C" w:rsidRDefault="004F74AD" w:rsidP="0044221C">
      <w:pPr>
        <w:spacing w:after="0" w:line="240" w:lineRule="auto"/>
        <w:ind w:left="709" w:right="709"/>
        <w:jc w:val="both"/>
        <w:rPr>
          <w:rFonts w:ascii="Verdana" w:eastAsia="Calibri" w:hAnsi="Verdana" w:cs="Arial"/>
          <w:color w:val="000000"/>
          <w:sz w:val="20"/>
          <w:szCs w:val="20"/>
        </w:rPr>
      </w:pPr>
      <w:r w:rsidRPr="0044221C">
        <w:rPr>
          <w:rFonts w:ascii="Verdana" w:eastAsia="Calibri" w:hAnsi="Verdana" w:cs="Arial"/>
          <w:color w:val="000000"/>
          <w:sz w:val="20"/>
          <w:szCs w:val="20"/>
        </w:rPr>
        <w:t xml:space="preserve">“La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De conformidad con lo expuesto, teniendo en cuenta que el artículo 53 complementa la disposición contenida en el artículo 3 de la Ley 1150 de 2007, debe entenderse que la contratación a la que se refiere es aquella </w:t>
      </w:r>
      <w:bookmarkStart w:id="1" w:name="_Hlk186230457"/>
      <w:r w:rsidRPr="0044221C">
        <w:rPr>
          <w:rFonts w:ascii="Verdana" w:eastAsia="Calibri" w:hAnsi="Verdana" w:cs="Arial"/>
          <w:color w:val="000000"/>
          <w:sz w:val="20"/>
          <w:szCs w:val="20"/>
        </w:rPr>
        <w:t>realizada con recursos públicos</w:t>
      </w:r>
      <w:bookmarkEnd w:id="1"/>
      <w:r w:rsidRPr="0044221C">
        <w:rPr>
          <w:rFonts w:ascii="Verdana" w:eastAsia="Calibri" w:hAnsi="Verdana" w:cs="Arial"/>
          <w:color w:val="000000"/>
          <w:sz w:val="20"/>
          <w:szCs w:val="20"/>
        </w:rPr>
        <w:t>, cuya información es la que debe publicarse en el SECOP II”.</w:t>
      </w:r>
    </w:p>
    <w:p w14:paraId="1AD6A42B" w14:textId="77777777" w:rsidR="00A11BFB" w:rsidRPr="00743D9D" w:rsidRDefault="00A11BFB" w:rsidP="0044221C">
      <w:pPr>
        <w:spacing w:after="0" w:line="276" w:lineRule="auto"/>
        <w:ind w:left="709" w:right="616"/>
        <w:jc w:val="both"/>
        <w:rPr>
          <w:rFonts w:ascii="Verdana" w:eastAsia="Calibri" w:hAnsi="Verdana" w:cs="Arial"/>
          <w:color w:val="000000"/>
          <w:sz w:val="21"/>
          <w:szCs w:val="21"/>
          <w:lang w:val="es-ES_tradnl"/>
        </w:rPr>
      </w:pPr>
    </w:p>
    <w:p w14:paraId="20832A60" w14:textId="77777777" w:rsidR="004F74AD" w:rsidRPr="00642EA6" w:rsidRDefault="004F74AD" w:rsidP="004F74AD">
      <w:pPr>
        <w:spacing w:after="120" w:line="276" w:lineRule="auto"/>
        <w:ind w:firstLine="709"/>
        <w:jc w:val="both"/>
        <w:rPr>
          <w:rFonts w:ascii="Verdana" w:eastAsia="Calibri" w:hAnsi="Verdana" w:cs="Arial"/>
          <w:shd w:val="clear" w:color="auto" w:fill="FFFFFF"/>
        </w:rPr>
      </w:pPr>
      <w:r w:rsidRPr="00642EA6">
        <w:rPr>
          <w:rFonts w:ascii="Verdana" w:eastAsia="Calibri" w:hAnsi="Verdana" w:cs="Arial"/>
          <w:lang w:val="es-ES"/>
        </w:rPr>
        <w:t>De conformidad con lo anterior, debe entenderse que la contratación a la que se refiere el artículo 53 de la Ley 2195 de 2024, es aquella realizada con</w:t>
      </w:r>
      <w:r>
        <w:rPr>
          <w:rFonts w:ascii="Verdana" w:eastAsia="Calibri" w:hAnsi="Verdana" w:cs="Arial"/>
          <w:lang w:val="es-ES"/>
        </w:rPr>
        <w:t xml:space="preserve"> cargo a</w:t>
      </w:r>
      <w:r w:rsidRPr="00642EA6">
        <w:rPr>
          <w:rFonts w:ascii="Verdana" w:eastAsia="Calibri" w:hAnsi="Verdana" w:cs="Arial"/>
          <w:lang w:val="es-ES"/>
        </w:rPr>
        <w:t xml:space="preserve">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w:t>
      </w:r>
      <w:r>
        <w:rPr>
          <w:rFonts w:ascii="Verdana" w:eastAsia="Calibri" w:hAnsi="Verdana" w:cs="Arial"/>
          <w:lang w:val="es-ES"/>
        </w:rPr>
        <w:t>financiada</w:t>
      </w:r>
      <w:r w:rsidRPr="00642EA6">
        <w:rPr>
          <w:rFonts w:ascii="Verdana" w:eastAsia="Calibri" w:hAnsi="Verdana" w:cs="Arial"/>
          <w:lang w:val="es-ES"/>
        </w:rPr>
        <w:t xml:space="preserve"> dineros públicos. </w:t>
      </w:r>
      <w:r>
        <w:rPr>
          <w:rFonts w:ascii="Verdana" w:eastAsia="Calibri" w:hAnsi="Verdana" w:cs="Arial"/>
          <w:shd w:val="clear" w:color="auto" w:fill="FFFFFF"/>
        </w:rPr>
        <w:t>En consideración a esto, resulta claro que la obligatoriedad de publicar la actividad contractual establecida en el artículo 13 de la Ley 1150 de 2007, adicionado por el artículo 53 de la Ley 2195 de 2022, se refiere a la contratación financiada con recursos públicos, deviniendo en potestativa la publicación de la contratación</w:t>
      </w:r>
      <w:r w:rsidRPr="00642EA6">
        <w:rPr>
          <w:rFonts w:ascii="Verdana" w:eastAsia="Calibri" w:hAnsi="Verdana" w:cs="Arial"/>
          <w:shd w:val="clear" w:color="auto" w:fill="FFFFFF"/>
        </w:rPr>
        <w:t xml:space="preserve"> </w:t>
      </w:r>
      <w:r>
        <w:rPr>
          <w:rFonts w:ascii="Verdana" w:eastAsia="Calibri" w:hAnsi="Verdana" w:cs="Arial"/>
          <w:shd w:val="clear" w:color="auto" w:fill="FFFFFF"/>
          <w:lang w:val="es-ES"/>
        </w:rPr>
        <w:t xml:space="preserve">desarrollada con otro tipo de recursos. </w:t>
      </w:r>
    </w:p>
    <w:p w14:paraId="62FD7545" w14:textId="77777777" w:rsidR="004F74AD" w:rsidRPr="00642EA6" w:rsidRDefault="004F74AD" w:rsidP="004F74AD">
      <w:pPr>
        <w:spacing w:after="0" w:line="276" w:lineRule="auto"/>
        <w:ind w:firstLine="708"/>
        <w:jc w:val="both"/>
        <w:rPr>
          <w:rFonts w:ascii="Verdana" w:eastAsia="Aptos" w:hAnsi="Verdana" w:cs="Arial"/>
          <w:shd w:val="clear" w:color="auto" w:fill="FFFFFF"/>
        </w:rPr>
      </w:pPr>
      <w:r w:rsidRPr="00A534E3">
        <w:rPr>
          <w:rFonts w:ascii="Verdana" w:eastAsia="Calibri" w:hAnsi="Verdana" w:cs="Arial"/>
          <w:color w:val="000000" w:themeColor="text1"/>
        </w:rPr>
        <w:t xml:space="preserve">Finalmente, se advierte que la Agencia Nacional de Contratación Pública – Colombia Compra Eficiente, por vía consultiva, no puede definir un criterio </w:t>
      </w:r>
      <w:r w:rsidRPr="00A534E3">
        <w:rPr>
          <w:rFonts w:ascii="Verdana" w:eastAsia="Calibri" w:hAnsi="Verdana" w:cs="Arial"/>
          <w:color w:val="000000" w:themeColor="text1"/>
        </w:rPr>
        <w:lastRenderedPageBreak/>
        <w:t>universal y absoluto sobre la materia que se aborda, sino que brinda elementos hermenéuticos de carácter general para que los partícipes del sistema de compras y contratación pública adopten la decisión que corresponda, lo cual es acorde con el principio de juridicidad.</w:t>
      </w:r>
      <w:r>
        <w:rPr>
          <w:rFonts w:ascii="Verdana" w:eastAsia="Calibri" w:hAnsi="Verdana" w:cs="Arial"/>
          <w:color w:val="000000" w:themeColor="text1"/>
        </w:rPr>
        <w:t xml:space="preserve"> Por lo que, e</w:t>
      </w:r>
      <w:r>
        <w:rPr>
          <w:rFonts w:ascii="Verdana" w:eastAsia="Aptos" w:hAnsi="Verdana" w:cs="Arial"/>
          <w:shd w:val="clear" w:color="auto" w:fill="FFFFFF"/>
        </w:rPr>
        <w:t>n todo caso</w:t>
      </w:r>
      <w:r w:rsidRPr="00642EA6">
        <w:rPr>
          <w:rFonts w:ascii="Verdana" w:eastAsia="Aptos" w:hAnsi="Verdana" w:cs="Arial"/>
          <w:shd w:val="clear" w:color="auto" w:fill="FFFFFF"/>
        </w:rPr>
        <w:t xml:space="preserve">, corresponde a </w:t>
      </w:r>
      <w:r>
        <w:rPr>
          <w:rFonts w:ascii="Verdana" w:eastAsia="Aptos" w:hAnsi="Verdana" w:cs="Arial"/>
          <w:shd w:val="clear" w:color="auto" w:fill="FFFFFF"/>
        </w:rPr>
        <w:t xml:space="preserve">cada </w:t>
      </w:r>
      <w:r w:rsidRPr="00642EA6">
        <w:rPr>
          <w:rFonts w:ascii="Verdana" w:eastAsia="Aptos" w:hAnsi="Verdana" w:cs="Arial"/>
          <w:shd w:val="clear" w:color="auto" w:fill="FFFFFF"/>
        </w:rPr>
        <w:t xml:space="preserve">entidad de régimen especial de contratación dar cumplimiento al deber </w:t>
      </w:r>
      <w:r>
        <w:rPr>
          <w:rFonts w:ascii="Verdana" w:eastAsia="Aptos" w:hAnsi="Verdana" w:cs="Arial"/>
          <w:shd w:val="clear" w:color="auto" w:fill="FFFFFF"/>
        </w:rPr>
        <w:t xml:space="preserve">de publicación </w:t>
      </w:r>
      <w:r w:rsidRPr="00642EA6">
        <w:rPr>
          <w:rFonts w:ascii="Verdana" w:eastAsia="Aptos" w:hAnsi="Verdana" w:cs="Arial"/>
          <w:shd w:val="clear" w:color="auto" w:fill="FFFFFF"/>
        </w:rPr>
        <w:t>que les asiste</w:t>
      </w:r>
      <w:r>
        <w:rPr>
          <w:rFonts w:ascii="Verdana" w:eastAsia="Aptos" w:hAnsi="Verdana" w:cs="Arial"/>
          <w:shd w:val="clear" w:color="auto" w:fill="FFFFFF"/>
        </w:rPr>
        <w:t xml:space="preserve"> en relación con su actividad contractual</w:t>
      </w:r>
      <w:r w:rsidRPr="00642EA6">
        <w:rPr>
          <w:rFonts w:ascii="Verdana" w:eastAsia="Aptos" w:hAnsi="Verdana" w:cs="Arial"/>
          <w:shd w:val="clear" w:color="auto" w:fill="FFFFFF"/>
        </w:rPr>
        <w:t xml:space="preserve"> </w:t>
      </w:r>
      <w:r>
        <w:rPr>
          <w:rFonts w:ascii="Verdana" w:eastAsia="Aptos" w:hAnsi="Verdana" w:cs="Arial"/>
          <w:shd w:val="clear" w:color="auto" w:fill="FFFFFF"/>
        </w:rPr>
        <w:t xml:space="preserve">en cumplimiento del </w:t>
      </w:r>
      <w:r w:rsidRPr="00642EA6">
        <w:rPr>
          <w:rFonts w:ascii="Verdana" w:eastAsia="Aptos" w:hAnsi="Verdana" w:cs="Arial"/>
          <w:shd w:val="clear" w:color="auto" w:fill="FFFFFF"/>
        </w:rPr>
        <w:t xml:space="preserve">artículo 53 de la Ley 2195 de 2022. </w:t>
      </w:r>
    </w:p>
    <w:p w14:paraId="0C4B0756" w14:textId="77777777" w:rsidR="004F74AD" w:rsidRPr="00593A5F" w:rsidRDefault="004F74AD" w:rsidP="00A11BFB">
      <w:pPr>
        <w:widowControl w:val="0"/>
        <w:autoSpaceDE w:val="0"/>
        <w:autoSpaceDN w:val="0"/>
        <w:spacing w:after="0" w:line="276" w:lineRule="auto"/>
        <w:jc w:val="both"/>
        <w:rPr>
          <w:rFonts w:ascii="Verdana" w:hAnsi="Verdana" w:cs="Arial"/>
        </w:rPr>
      </w:pPr>
    </w:p>
    <w:p w14:paraId="356533A0" w14:textId="77777777" w:rsidR="004F74AD" w:rsidRPr="00593A5F" w:rsidRDefault="004F74AD" w:rsidP="00A11B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67A629C" w14:textId="77777777" w:rsidR="004F74AD" w:rsidRPr="00593A5F" w:rsidRDefault="004F74AD" w:rsidP="00A11BF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F74AD" w:rsidRPr="00593A5F" w14:paraId="584909FE" w14:textId="77777777" w:rsidTr="00DF2631">
        <w:trPr>
          <w:trHeight w:val="870"/>
        </w:trPr>
        <w:tc>
          <w:tcPr>
            <w:tcW w:w="8647" w:type="dxa"/>
          </w:tcPr>
          <w:p w14:paraId="2025BA37" w14:textId="77777777" w:rsidR="004F74AD" w:rsidRPr="008F5C50" w:rsidRDefault="004F74AD" w:rsidP="0044221C">
            <w:pPr>
              <w:pStyle w:val="Prrafodelista"/>
              <w:numPr>
                <w:ilvl w:val="0"/>
                <w:numId w:val="17"/>
              </w:numPr>
              <w:spacing w:after="120" w:line="276" w:lineRule="auto"/>
              <w:ind w:left="357" w:hanging="357"/>
              <w:contextualSpacing w:val="0"/>
              <w:jc w:val="both"/>
              <w:rPr>
                <w:rFonts w:ascii="Verdana" w:eastAsia="Times New Roman" w:hAnsi="Verdana" w:cs="Arial"/>
                <w:color w:val="000000" w:themeColor="text1"/>
                <w:lang w:eastAsia="es-ES_tradnl"/>
              </w:rPr>
            </w:pPr>
            <w:r w:rsidRPr="008F5C50">
              <w:rPr>
                <w:rFonts w:ascii="Verdana" w:eastAsia="Times New Roman" w:hAnsi="Verdana" w:cs="Arial"/>
                <w:color w:val="000000" w:themeColor="text1"/>
                <w:lang w:eastAsia="es-ES_tradnl"/>
              </w:rPr>
              <w:t>Ley 1150 de 2007, artículo 3 y 13</w:t>
            </w:r>
          </w:p>
          <w:p w14:paraId="626584A7" w14:textId="68EFD9E0" w:rsidR="004F74AD" w:rsidRPr="008F5C50" w:rsidRDefault="004F74AD" w:rsidP="0044221C">
            <w:pPr>
              <w:pStyle w:val="Prrafodelista"/>
              <w:numPr>
                <w:ilvl w:val="0"/>
                <w:numId w:val="17"/>
              </w:numPr>
              <w:spacing w:after="120" w:line="276" w:lineRule="auto"/>
              <w:ind w:left="357" w:hanging="357"/>
              <w:contextualSpacing w:val="0"/>
              <w:jc w:val="both"/>
              <w:rPr>
                <w:rFonts w:ascii="Verdana" w:eastAsia="Times New Roman" w:hAnsi="Verdana" w:cs="Arial"/>
                <w:color w:val="000000" w:themeColor="text1"/>
                <w:lang w:eastAsia="es-ES_tradnl"/>
              </w:rPr>
            </w:pPr>
            <w:r w:rsidRPr="008F5C50">
              <w:rPr>
                <w:rFonts w:ascii="Verdana" w:eastAsia="Times New Roman" w:hAnsi="Verdana" w:cs="Arial"/>
                <w:color w:val="000000" w:themeColor="text1"/>
                <w:lang w:eastAsia="es-ES_tradnl"/>
              </w:rPr>
              <w:t>Ley 1712 de 2014</w:t>
            </w:r>
            <w:r w:rsidR="00A11BFB" w:rsidRPr="008F5C50">
              <w:rPr>
                <w:rFonts w:ascii="Verdana" w:eastAsia="Times New Roman" w:hAnsi="Verdana" w:cs="Arial"/>
                <w:color w:val="000000" w:themeColor="text1"/>
                <w:lang w:eastAsia="es-ES_tradnl"/>
              </w:rPr>
              <w:t>, artículos 9 y 11.</w:t>
            </w:r>
          </w:p>
          <w:p w14:paraId="6B9EEF1B" w14:textId="14709F2C" w:rsidR="004F74AD" w:rsidRPr="008F5C50" w:rsidRDefault="004F74AD" w:rsidP="0044221C">
            <w:pPr>
              <w:pStyle w:val="Prrafodelista"/>
              <w:numPr>
                <w:ilvl w:val="0"/>
                <w:numId w:val="17"/>
              </w:numPr>
              <w:spacing w:after="120" w:line="276" w:lineRule="auto"/>
              <w:ind w:left="357" w:hanging="357"/>
              <w:contextualSpacing w:val="0"/>
              <w:jc w:val="both"/>
              <w:rPr>
                <w:rFonts w:ascii="Verdana" w:eastAsia="Times New Roman" w:hAnsi="Verdana" w:cs="Arial"/>
                <w:color w:val="000000" w:themeColor="text1"/>
                <w:lang w:eastAsia="es-ES_tradnl"/>
              </w:rPr>
            </w:pPr>
            <w:r w:rsidRPr="008F5C50">
              <w:rPr>
                <w:rFonts w:ascii="Verdana" w:eastAsia="Times New Roman" w:hAnsi="Verdana" w:cs="Arial"/>
                <w:color w:val="000000" w:themeColor="text1"/>
                <w:lang w:eastAsia="es-ES_tradnl"/>
              </w:rPr>
              <w:t xml:space="preserve">Decreto 1082 de 2015, </w:t>
            </w:r>
            <w:r w:rsidR="00A11BFB" w:rsidRPr="008F5C50">
              <w:rPr>
                <w:rFonts w:ascii="Verdana" w:eastAsia="Times New Roman" w:hAnsi="Verdana" w:cs="Arial"/>
                <w:color w:val="000000" w:themeColor="text1"/>
                <w:lang w:eastAsia="es-ES_tradnl"/>
              </w:rPr>
              <w:t>a</w:t>
            </w:r>
            <w:r w:rsidRPr="008F5C50">
              <w:rPr>
                <w:rFonts w:ascii="Verdana" w:eastAsia="Times New Roman" w:hAnsi="Verdana" w:cs="Arial"/>
                <w:color w:val="000000" w:themeColor="text1"/>
                <w:lang w:eastAsia="es-ES_tradnl"/>
              </w:rPr>
              <w:t>rtículo 2.1.1.2.1.7.</w:t>
            </w:r>
            <w:r w:rsidR="00A11BFB" w:rsidRPr="008F5C50">
              <w:rPr>
                <w:rFonts w:ascii="Verdana" w:eastAsia="Times New Roman" w:hAnsi="Verdana" w:cs="Arial"/>
                <w:color w:val="000000" w:themeColor="text1"/>
                <w:lang w:eastAsia="es-ES_tradnl"/>
              </w:rPr>
              <w:t xml:space="preserve"> y</w:t>
            </w:r>
            <w:r w:rsidRPr="008F5C50">
              <w:rPr>
                <w:rFonts w:ascii="Verdana" w:eastAsia="Times New Roman" w:hAnsi="Verdana" w:cs="Arial"/>
                <w:color w:val="000000" w:themeColor="text1"/>
                <w:lang w:eastAsia="es-ES_tradnl"/>
              </w:rPr>
              <w:t xml:space="preserve"> 2.2.1.1.1.7.1.</w:t>
            </w:r>
          </w:p>
          <w:p w14:paraId="57FB1787" w14:textId="3F97155B" w:rsidR="008F5C50" w:rsidRPr="0044221C" w:rsidRDefault="004F74AD" w:rsidP="0044221C">
            <w:pPr>
              <w:pStyle w:val="Prrafodelista"/>
              <w:numPr>
                <w:ilvl w:val="0"/>
                <w:numId w:val="17"/>
              </w:numPr>
              <w:spacing w:after="120" w:line="276" w:lineRule="auto"/>
              <w:ind w:left="357" w:hanging="357"/>
              <w:contextualSpacing w:val="0"/>
              <w:jc w:val="both"/>
              <w:rPr>
                <w:rFonts w:ascii="Verdana" w:eastAsia="Times New Roman" w:hAnsi="Verdana" w:cs="Arial"/>
                <w:color w:val="000000" w:themeColor="text1"/>
                <w:lang w:eastAsia="es-ES_tradnl"/>
              </w:rPr>
            </w:pPr>
            <w:r w:rsidRPr="008F5C50">
              <w:rPr>
                <w:rFonts w:ascii="Verdana" w:eastAsia="Times New Roman" w:hAnsi="Verdana" w:cs="Arial"/>
                <w:color w:val="000000" w:themeColor="text1"/>
                <w:lang w:eastAsia="es-ES_tradnl"/>
              </w:rPr>
              <w:t>Ley 2195 de 2022, artículo 53</w:t>
            </w:r>
            <w:r w:rsidR="00A11BFB" w:rsidRPr="008F5C50">
              <w:rPr>
                <w:rFonts w:ascii="Verdana" w:eastAsia="Times New Roman" w:hAnsi="Verdana" w:cs="Arial"/>
                <w:color w:val="000000" w:themeColor="text1"/>
                <w:lang w:eastAsia="es-ES_tradnl"/>
              </w:rPr>
              <w:t>.</w:t>
            </w:r>
          </w:p>
          <w:p w14:paraId="75FF5F90" w14:textId="64A98FB6" w:rsidR="008F5C50" w:rsidRPr="0044221C" w:rsidRDefault="008F5C50" w:rsidP="0044221C">
            <w:pPr>
              <w:pStyle w:val="Prrafodelista"/>
              <w:numPr>
                <w:ilvl w:val="0"/>
                <w:numId w:val="17"/>
              </w:numPr>
              <w:spacing w:after="120" w:line="276" w:lineRule="auto"/>
              <w:ind w:left="357" w:hanging="357"/>
              <w:contextualSpacing w:val="0"/>
              <w:jc w:val="both"/>
              <w:rPr>
                <w:rFonts w:ascii="Verdana" w:eastAsia="Times New Roman" w:hAnsi="Verdana" w:cs="Arial"/>
                <w:color w:val="000000" w:themeColor="text1"/>
                <w:lang w:eastAsia="es-ES_tradnl"/>
              </w:rPr>
            </w:pPr>
            <w:r w:rsidRPr="0044221C">
              <w:rPr>
                <w:rFonts w:ascii="Verdana" w:hAnsi="Verdana" w:cs="Arial"/>
              </w:rPr>
              <w:t>Agencia Nacional de Contratación Pública – Colombia Compra Eficiente. Circular Externa Única. Disponible en el siguiente enlace:</w:t>
            </w:r>
            <w:r w:rsidRPr="0044221C">
              <w:rPr>
                <w:rFonts w:ascii="Verdana" w:hAnsi="Verdana"/>
              </w:rPr>
              <w:t xml:space="preserve"> </w:t>
            </w:r>
            <w:hyperlink r:id="rId14" w:history="1">
              <w:r w:rsidRPr="0044221C">
                <w:rPr>
                  <w:rStyle w:val="Hipervnculo"/>
                  <w:rFonts w:ascii="Verdana" w:hAnsi="Verdana"/>
                </w:rPr>
                <w:t>https://www.colombiacompra.gov.co/normativa-y-relatoria/circular-unica-externa</w:t>
              </w:r>
            </w:hyperlink>
            <w:r w:rsidRPr="0044221C">
              <w:rPr>
                <w:rFonts w:ascii="Verdana" w:hAnsi="Verdana"/>
              </w:rPr>
              <w:t xml:space="preserve"> </w:t>
            </w:r>
          </w:p>
          <w:p w14:paraId="1B103835" w14:textId="6B3C2FA9" w:rsidR="004F74AD" w:rsidRPr="0044221C" w:rsidRDefault="008F5C50" w:rsidP="0044221C">
            <w:pPr>
              <w:pStyle w:val="Prrafodelista"/>
              <w:numPr>
                <w:ilvl w:val="0"/>
                <w:numId w:val="17"/>
              </w:numPr>
              <w:spacing w:after="120" w:line="276" w:lineRule="auto"/>
              <w:ind w:left="357" w:hanging="357"/>
              <w:contextualSpacing w:val="0"/>
              <w:jc w:val="both"/>
              <w:rPr>
                <w:rFonts w:ascii="Verdana" w:eastAsia="Calibri" w:hAnsi="Verdana" w:cs="Arial"/>
                <w:sz w:val="14"/>
                <w:szCs w:val="14"/>
                <w:lang w:eastAsia="es-ES_tradnl"/>
              </w:rPr>
            </w:pPr>
            <w:r w:rsidRPr="008F5C50">
              <w:rPr>
                <w:rFonts w:ascii="Verdana" w:hAnsi="Verdana" w:cs="Arial"/>
              </w:rPr>
              <w:t xml:space="preserve">Agencia Nacional de Contratación Pública – Colombia Compra Eficiente. </w:t>
            </w:r>
            <w:r w:rsidR="004F74AD" w:rsidRPr="0044221C">
              <w:rPr>
                <w:rFonts w:ascii="Verdana" w:hAnsi="Verdana" w:cs="Arial"/>
              </w:rPr>
              <w:t>Circular Externa No. 002 del 23 de agosto de 2024</w:t>
            </w:r>
            <w:r w:rsidRPr="0044221C">
              <w:rPr>
                <w:rFonts w:ascii="Verdana" w:hAnsi="Verdana" w:cs="Arial"/>
              </w:rPr>
              <w:t xml:space="preserve">. Disponible en el siguiente enlace: </w:t>
            </w:r>
            <w:hyperlink r:id="rId15" w:history="1">
              <w:r w:rsidRPr="0044221C">
                <w:rPr>
                  <w:rStyle w:val="Hipervnculo"/>
                  <w:rFonts w:ascii="Verdana" w:hAnsi="Verdana" w:cs="Arial"/>
                </w:rPr>
                <w:t>https://www.colombiacompra.gov.co/sites/cce_public/files/cce_circulares/doc-20240823-wa0021.pdf</w:t>
              </w:r>
            </w:hyperlink>
            <w:r w:rsidRPr="0044221C">
              <w:rPr>
                <w:rFonts w:ascii="Verdana" w:hAnsi="Verdana" w:cs="Arial"/>
                <w:sz w:val="14"/>
                <w:szCs w:val="14"/>
              </w:rPr>
              <w:t xml:space="preserve"> </w:t>
            </w:r>
          </w:p>
        </w:tc>
      </w:tr>
    </w:tbl>
    <w:p w14:paraId="05112CB8" w14:textId="77777777" w:rsidR="004F74AD" w:rsidRPr="006B2E84" w:rsidRDefault="004F74AD" w:rsidP="00A11BFB">
      <w:pPr>
        <w:widowControl w:val="0"/>
        <w:autoSpaceDE w:val="0"/>
        <w:autoSpaceDN w:val="0"/>
        <w:spacing w:after="0" w:line="276" w:lineRule="auto"/>
        <w:jc w:val="both"/>
        <w:rPr>
          <w:rFonts w:ascii="Verdana" w:hAnsi="Verdana" w:cs="Arial"/>
        </w:rPr>
      </w:pPr>
    </w:p>
    <w:p w14:paraId="7EED4158" w14:textId="77777777" w:rsidR="004F74AD" w:rsidRPr="006B2E84" w:rsidRDefault="004F74AD" w:rsidP="00A11B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B2E84">
        <w:rPr>
          <w:rFonts w:ascii="Verdana" w:eastAsia="Century Gothic" w:hAnsi="Verdana" w:cs="Century Gothic"/>
          <w:b/>
          <w:bCs/>
        </w:rPr>
        <w:t>Doctrina de la Agencia Nacional de Contratación Pública:</w:t>
      </w:r>
    </w:p>
    <w:p w14:paraId="6EF0B724" w14:textId="77777777" w:rsidR="004F74AD" w:rsidRPr="006B2E84" w:rsidRDefault="004F74AD" w:rsidP="00A11BFB">
      <w:pPr>
        <w:widowControl w:val="0"/>
        <w:autoSpaceDE w:val="0"/>
        <w:autoSpaceDN w:val="0"/>
        <w:spacing w:after="0" w:line="276" w:lineRule="auto"/>
        <w:jc w:val="both"/>
        <w:rPr>
          <w:rFonts w:ascii="Verdana" w:hAnsi="Verdana" w:cs="Arial"/>
        </w:rPr>
      </w:pPr>
    </w:p>
    <w:p w14:paraId="23AEC8C1" w14:textId="77777777" w:rsidR="004F74AD" w:rsidRPr="006B2E84" w:rsidRDefault="004F74AD" w:rsidP="00A11BFB">
      <w:pPr>
        <w:widowControl w:val="0"/>
        <w:autoSpaceDE w:val="0"/>
        <w:autoSpaceDN w:val="0"/>
        <w:spacing w:after="0" w:line="276" w:lineRule="auto"/>
        <w:jc w:val="both"/>
        <w:rPr>
          <w:rStyle w:val="normaltextrun"/>
          <w:rFonts w:ascii="Verdana" w:hAnsi="Verdana" w:cs="Arial"/>
          <w:color w:val="7030A0"/>
          <w:shd w:val="clear" w:color="auto" w:fill="FFFFFF"/>
          <w:lang w:val="es-ES"/>
        </w:rPr>
      </w:pPr>
      <w:r w:rsidRPr="006B2E84">
        <w:rPr>
          <w:rStyle w:val="normaltextrun"/>
          <w:rFonts w:ascii="Verdana" w:hAnsi="Verdana" w:cs="Arial"/>
          <w:shd w:val="clear" w:color="auto" w:fill="FFFFFF"/>
          <w:lang w:val="es-ES"/>
        </w:rPr>
        <w:t xml:space="preserve">Sobre el principio de publicidad, la obligatoriedad de publicación en la plataforma SECOP II y </w:t>
      </w:r>
      <w:r w:rsidRPr="006B2E84">
        <w:rPr>
          <w:rFonts w:ascii="Verdana" w:hAnsi="Verdana"/>
        </w:rPr>
        <w:t>la interpretación del artículo 53 de la Ley 2195 de 2022, se pronunció esta Subdirección en los conceptos CU-367 del 23 de julio de 2020, C-049 del 7 de marzo de 2022, C-120 del 22 de marzo de 2022, C-124 del 22 de marzo de 2022, C-132 del 28 de marzo de 2022,</w:t>
      </w:r>
      <w:r w:rsidRPr="006B2E84">
        <w:rPr>
          <w:rStyle w:val="normaltextrun"/>
          <w:rFonts w:ascii="Verdana" w:hAnsi="Verdana" w:cs="Arial"/>
          <w:shd w:val="clear" w:color="auto" w:fill="FFFFFF"/>
          <w:lang w:val="es-ES"/>
        </w:rPr>
        <w:t xml:space="preserve"> C-872 de 2024, C-941-2024, C-009 de 2025, C-073 de 2025, C-139 de 2025, C-402 de 2025, entre otros. Es</w:t>
      </w:r>
      <w:r w:rsidRPr="006B2E84">
        <w:rPr>
          <w:rFonts w:ascii="Verdana" w:hAnsi="Verdana"/>
        </w:rPr>
        <w:t>tos y otros conceptos se encuentran disponibles para consulta en el Sistema de relatoría de la Agencia, al cual se puede acceder a través del siguiente enlace:</w:t>
      </w:r>
      <w:r w:rsidRPr="006B2E84">
        <w:rPr>
          <w:rStyle w:val="normaltextrun"/>
          <w:rFonts w:ascii="Verdana" w:hAnsi="Verdana" w:cs="Arial"/>
          <w:shd w:val="clear" w:color="auto" w:fill="FFFFFF"/>
          <w:lang w:val="es-ES"/>
        </w:rPr>
        <w:t xml:space="preserve"> </w:t>
      </w:r>
      <w:hyperlink r:id="rId16" w:history="1">
        <w:r w:rsidRPr="006B2E84">
          <w:rPr>
            <w:rStyle w:val="Hipervnculo"/>
            <w:rFonts w:ascii="Verdana" w:hAnsi="Verdana" w:cs="Arial"/>
            <w:shd w:val="clear" w:color="auto" w:fill="FFFFFF"/>
            <w:lang w:val="es-ES"/>
          </w:rPr>
          <w:t>https://relatoria.colombiacompra.gov.co/busqueda/conceptos</w:t>
        </w:r>
      </w:hyperlink>
      <w:r w:rsidRPr="006B2E84">
        <w:rPr>
          <w:rStyle w:val="normaltextrun"/>
          <w:rFonts w:ascii="Verdana" w:hAnsi="Verdana" w:cs="Arial"/>
          <w:color w:val="FF0000"/>
          <w:shd w:val="clear" w:color="auto" w:fill="FFFFFF"/>
          <w:lang w:val="es-ES"/>
        </w:rPr>
        <w:t xml:space="preserve">. </w:t>
      </w:r>
    </w:p>
    <w:p w14:paraId="03586484" w14:textId="77777777" w:rsidR="004F74AD" w:rsidRPr="006B2E84" w:rsidRDefault="004F74AD" w:rsidP="00A11BF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D5A87E4" w14:textId="2D787414" w:rsidR="004F74AD" w:rsidRPr="006B2E84" w:rsidRDefault="004F74AD" w:rsidP="0044221C">
      <w:pPr>
        <w:shd w:val="clear" w:color="auto" w:fill="FFFFFF"/>
        <w:spacing w:after="0" w:line="276" w:lineRule="auto"/>
        <w:jc w:val="both"/>
        <w:textAlignment w:val="baseline"/>
        <w:rPr>
          <w:rFonts w:ascii="Verdana" w:hAnsi="Verdana"/>
          <w:color w:val="242424"/>
        </w:rPr>
      </w:pPr>
      <w:r w:rsidRPr="006B2E84">
        <w:rPr>
          <w:rFonts w:ascii="Verdana" w:hAnsi="Verdana"/>
          <w:color w:val="000000"/>
        </w:rPr>
        <w:t xml:space="preserve">La Agencia Nacional de Contratación Pública – Colombia Compra Eficiente </w:t>
      </w:r>
      <w:r w:rsidR="006B2E84" w:rsidRPr="006B2E84">
        <w:rPr>
          <w:rFonts w:ascii="Verdana" w:hAnsi="Verdana"/>
          <w:color w:val="000000"/>
        </w:rPr>
        <w:t>informa</w:t>
      </w:r>
      <w:r w:rsidRPr="006B2E84">
        <w:rPr>
          <w:rFonts w:ascii="Verdana" w:hAnsi="Verdana"/>
          <w:color w:val="000000"/>
          <w:bdr w:val="none" w:sz="0" w:space="0" w:color="auto" w:frame="1"/>
        </w:rPr>
        <w:t xml:space="preserve"> que ya se encuentra disponible la </w:t>
      </w:r>
      <w:r w:rsidRPr="006B2E84">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sidRPr="006B2E84">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6B2E84">
        <w:rPr>
          <w:rFonts w:ascii="Verdana" w:hAnsi="Verdana"/>
          <w:color w:val="000000"/>
          <w:bdr w:val="none" w:sz="0" w:space="0" w:color="auto" w:frame="1"/>
        </w:rPr>
        <w:t>Wayúu</w:t>
      </w:r>
      <w:proofErr w:type="spellEnd"/>
      <w:r w:rsidRPr="006B2E84">
        <w:rPr>
          <w:rFonts w:ascii="Verdana" w:hAnsi="Verdana"/>
          <w:color w:val="000000"/>
          <w:bdr w:val="none" w:sz="0" w:space="0" w:color="auto" w:frame="1"/>
        </w:rPr>
        <w:t>. Puede consultar la guía en el siguiente enlace: </w:t>
      </w:r>
      <w:hyperlink r:id="rId17" w:tgtFrame="_blank" w:tooltip="Dirección URL original: https://www.colombiacompra.gov.co/wp-content/uploads/2025/05/GUIA-DE-LINEAMIENTOS-DE-TRANSPARENCIA-Y-SELECCION-OBJETIVA-1.0.pdf. Haga clic o pulse si confía en este vínculo." w:history="1">
        <w:r w:rsidRPr="006B2E84">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6B2E84">
        <w:rPr>
          <w:rFonts w:ascii="Verdana" w:hAnsi="Verdana"/>
          <w:color w:val="467886"/>
          <w:u w:val="single"/>
          <w:bdr w:val="none" w:sz="0" w:space="0" w:color="auto" w:frame="1"/>
        </w:rPr>
        <w:t>"</w:t>
      </w:r>
    </w:p>
    <w:p w14:paraId="451C1E47" w14:textId="77777777" w:rsidR="004F74AD" w:rsidRPr="006B2E84" w:rsidRDefault="004F74AD" w:rsidP="0044221C">
      <w:pPr>
        <w:spacing w:after="0" w:line="276" w:lineRule="auto"/>
        <w:jc w:val="both"/>
        <w:rPr>
          <w:rFonts w:ascii="Verdana" w:hAnsi="Verdana"/>
        </w:rPr>
      </w:pPr>
      <w:r w:rsidRPr="006B2E84">
        <w:rPr>
          <w:rFonts w:ascii="Verdana" w:hAnsi="Verdana"/>
        </w:rPr>
        <w:t xml:space="preserve">Por último, lo invitamos a seguirnos en las redes sociales en las cuales se difunde información institucional: </w:t>
      </w:r>
    </w:p>
    <w:p w14:paraId="62C26BB9" w14:textId="77777777" w:rsidR="004F74AD" w:rsidRPr="006B2E84" w:rsidRDefault="004F74AD" w:rsidP="0044221C">
      <w:pPr>
        <w:spacing w:after="0" w:line="276" w:lineRule="auto"/>
        <w:jc w:val="both"/>
        <w:rPr>
          <w:rFonts w:ascii="Verdana" w:hAnsi="Verdana"/>
        </w:rPr>
      </w:pPr>
    </w:p>
    <w:p w14:paraId="57AB818E" w14:textId="77777777" w:rsidR="004F74AD" w:rsidRPr="006B2E84" w:rsidRDefault="004F74AD" w:rsidP="0044221C">
      <w:pPr>
        <w:spacing w:after="0" w:line="276" w:lineRule="auto"/>
        <w:jc w:val="both"/>
        <w:rPr>
          <w:rFonts w:ascii="Verdana" w:hAnsi="Verdana"/>
        </w:rPr>
      </w:pPr>
      <w:r w:rsidRPr="006B2E84">
        <w:rPr>
          <w:rFonts w:ascii="Verdana" w:hAnsi="Verdana"/>
        </w:rPr>
        <w:t xml:space="preserve">Twitter: </w:t>
      </w:r>
      <w:r w:rsidRPr="006B2E84">
        <w:rPr>
          <w:rStyle w:val="Hipervnculo"/>
          <w:rFonts w:ascii="Verdana" w:hAnsi="Verdana"/>
          <w:color w:val="4472C4" w:themeColor="accent1"/>
        </w:rPr>
        <w:t>@colombiacompra</w:t>
      </w:r>
      <w:r w:rsidRPr="006B2E84">
        <w:rPr>
          <w:rFonts w:ascii="Verdana" w:hAnsi="Verdana"/>
          <w:color w:val="4472C4" w:themeColor="accent1"/>
        </w:rPr>
        <w:t xml:space="preserve"> </w:t>
      </w:r>
    </w:p>
    <w:p w14:paraId="69960D42" w14:textId="77777777" w:rsidR="004F74AD" w:rsidRPr="006B2E84" w:rsidRDefault="004F74AD" w:rsidP="0044221C">
      <w:pPr>
        <w:spacing w:after="0" w:line="276" w:lineRule="auto"/>
        <w:jc w:val="both"/>
        <w:rPr>
          <w:rFonts w:ascii="Verdana" w:hAnsi="Verdana"/>
        </w:rPr>
      </w:pPr>
      <w:r w:rsidRPr="006B2E84">
        <w:rPr>
          <w:rFonts w:ascii="Verdana" w:hAnsi="Verdana"/>
        </w:rPr>
        <w:t xml:space="preserve">Facebook: </w:t>
      </w:r>
      <w:proofErr w:type="spellStart"/>
      <w:r w:rsidRPr="006B2E84">
        <w:rPr>
          <w:rStyle w:val="Hipervnculo"/>
          <w:rFonts w:ascii="Verdana" w:hAnsi="Verdana"/>
          <w:color w:val="4472C4" w:themeColor="accent1"/>
        </w:rPr>
        <w:t>ColombiaCompraEficiente</w:t>
      </w:r>
      <w:proofErr w:type="spellEnd"/>
    </w:p>
    <w:p w14:paraId="3C8793AA" w14:textId="77777777" w:rsidR="004F74AD" w:rsidRPr="006B2E84" w:rsidRDefault="004F74AD" w:rsidP="0044221C">
      <w:pPr>
        <w:spacing w:after="0" w:line="276" w:lineRule="auto"/>
        <w:jc w:val="both"/>
        <w:rPr>
          <w:rFonts w:ascii="Verdana" w:hAnsi="Verdana"/>
        </w:rPr>
      </w:pPr>
      <w:r w:rsidRPr="006B2E84">
        <w:rPr>
          <w:rFonts w:ascii="Verdana" w:hAnsi="Verdana"/>
        </w:rPr>
        <w:t xml:space="preserve">LinkedIn: </w:t>
      </w:r>
      <w:r w:rsidRPr="006B2E84">
        <w:rPr>
          <w:rStyle w:val="Hipervnculo"/>
          <w:rFonts w:ascii="Verdana" w:hAnsi="Verdana"/>
          <w:color w:val="4472C4" w:themeColor="accent1"/>
        </w:rPr>
        <w:t>Agencia Nacional de Contratación Pública - Colombia Compra Eficiente</w:t>
      </w:r>
      <w:r w:rsidRPr="006B2E84">
        <w:rPr>
          <w:rFonts w:ascii="Verdana" w:hAnsi="Verdana"/>
          <w:color w:val="4472C4" w:themeColor="accent1"/>
        </w:rPr>
        <w:t xml:space="preserve"> </w:t>
      </w:r>
      <w:r w:rsidRPr="006B2E84">
        <w:rPr>
          <w:rFonts w:ascii="Verdana" w:hAnsi="Verdana"/>
        </w:rPr>
        <w:t xml:space="preserve">Instagram: </w:t>
      </w:r>
      <w:r w:rsidRPr="006B2E84">
        <w:rPr>
          <w:rStyle w:val="Hipervnculo"/>
          <w:rFonts w:ascii="Verdana" w:hAnsi="Verdana"/>
          <w:color w:val="4472C4" w:themeColor="accent1"/>
        </w:rPr>
        <w:t>@colombiacompraeficiente_cce</w:t>
      </w:r>
    </w:p>
    <w:p w14:paraId="3838AFCF" w14:textId="77777777" w:rsidR="004F74AD" w:rsidRPr="006B2E84" w:rsidRDefault="004F74AD" w:rsidP="00A11BFB">
      <w:pPr>
        <w:widowControl w:val="0"/>
        <w:autoSpaceDE w:val="0"/>
        <w:autoSpaceDN w:val="0"/>
        <w:spacing w:after="0" w:line="276" w:lineRule="auto"/>
        <w:jc w:val="both"/>
        <w:rPr>
          <w:rFonts w:ascii="Verdana" w:hAnsi="Verdana" w:cs="Arial"/>
        </w:rPr>
      </w:pPr>
    </w:p>
    <w:p w14:paraId="71BD63E0" w14:textId="77777777" w:rsidR="004F74AD" w:rsidRPr="006B2E84" w:rsidRDefault="004F74AD" w:rsidP="00A11BFB">
      <w:pPr>
        <w:widowControl w:val="0"/>
        <w:autoSpaceDE w:val="0"/>
        <w:autoSpaceDN w:val="0"/>
        <w:spacing w:after="0" w:line="276" w:lineRule="auto"/>
        <w:jc w:val="both"/>
        <w:rPr>
          <w:rFonts w:ascii="Verdana" w:hAnsi="Verdana" w:cs="Arial"/>
          <w:lang w:val="es-ES_tradnl"/>
        </w:rPr>
      </w:pPr>
      <w:r w:rsidRPr="006B2E84">
        <w:rPr>
          <w:rFonts w:ascii="Verdana" w:hAnsi="Verdana" w:cs="Arial"/>
        </w:rPr>
        <w:t xml:space="preserve">Este concepto tiene el alcance previsto en el artículo 28 del Código de Procedimiento Administrativo y de lo Contencioso Administrativo </w:t>
      </w:r>
      <w:r w:rsidRPr="006B2E84">
        <w:rPr>
          <w:rFonts w:ascii="Verdana" w:hAnsi="Verdana" w:cs="Arial"/>
          <w:lang w:val="es-ES_tradnl"/>
        </w:rPr>
        <w:t>y las expresiones aquí utilizadas con mayúscula inicial deben ser entendidas con el significado que les otorga el artículo 2.2.1.1.1.3.1. del Decreto 1082 de 2015.</w:t>
      </w:r>
    </w:p>
    <w:p w14:paraId="09AD73C0" w14:textId="77777777" w:rsidR="004F74AD" w:rsidRPr="006B2E84" w:rsidRDefault="004F74AD" w:rsidP="00A11BFB">
      <w:pPr>
        <w:widowControl w:val="0"/>
        <w:autoSpaceDE w:val="0"/>
        <w:autoSpaceDN w:val="0"/>
        <w:spacing w:after="0" w:line="276" w:lineRule="auto"/>
        <w:jc w:val="both"/>
        <w:rPr>
          <w:rFonts w:ascii="Verdana" w:hAnsi="Verdana" w:cs="Arial"/>
        </w:rPr>
      </w:pPr>
    </w:p>
    <w:p w14:paraId="5E3E4B77" w14:textId="77777777" w:rsidR="004F74AD" w:rsidRPr="006B2E84" w:rsidRDefault="004F74AD" w:rsidP="0044221C">
      <w:pPr>
        <w:spacing w:after="0" w:line="276" w:lineRule="auto"/>
        <w:rPr>
          <w:rFonts w:ascii="Verdana" w:hAnsi="Verdana" w:cs="Arial"/>
          <w:lang w:eastAsia="es-CO"/>
        </w:rPr>
      </w:pPr>
      <w:r w:rsidRPr="006B2E84">
        <w:rPr>
          <w:rFonts w:ascii="Verdana" w:eastAsia="Times New Roman" w:hAnsi="Verdana" w:cs="Arial"/>
          <w:lang w:eastAsia="es-CO"/>
        </w:rPr>
        <w:t>Atentamente,</w:t>
      </w:r>
      <w:r w:rsidRPr="006B2E84">
        <w:rPr>
          <w:rFonts w:ascii="Verdana" w:hAnsi="Verdana" w:cs="Arial"/>
          <w:lang w:eastAsia="es-CO"/>
        </w:rPr>
        <w:t xml:space="preserve"> </w:t>
      </w:r>
    </w:p>
    <w:p w14:paraId="16E1EF59" w14:textId="42AC482E" w:rsidR="004F74AD" w:rsidRPr="00593A5F" w:rsidRDefault="00A57D69" w:rsidP="004F74AD">
      <w:pPr>
        <w:spacing w:line="276" w:lineRule="auto"/>
        <w:jc w:val="center"/>
        <w:rPr>
          <w:rFonts w:ascii="Verdana" w:hAnsi="Verdana" w:cs="Arial"/>
          <w:color w:val="000000"/>
          <w:lang w:val="es-ES_tradnl" w:eastAsia="es-CO"/>
        </w:rPr>
      </w:pPr>
      <w:r>
        <w:rPr>
          <w:rFonts w:ascii="Verdana" w:hAnsi="Verdana" w:cs="Arial"/>
          <w:noProof/>
          <w:color w:val="000000"/>
          <w:lang w:val="es-ES_tradnl" w:eastAsia="es-CO"/>
        </w:rPr>
        <w:drawing>
          <wp:inline distT="0" distB="0" distL="0" distR="0" wp14:anchorId="6659D683" wp14:editId="7095F027">
            <wp:extent cx="3465059" cy="885825"/>
            <wp:effectExtent l="0" t="0" r="2540" b="0"/>
            <wp:docPr id="16767076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707674" name="Imagen 1676707674"/>
                    <pic:cNvPicPr/>
                  </pic:nvPicPr>
                  <pic:blipFill rotWithShape="1">
                    <a:blip r:embed="rId18">
                      <a:extLst>
                        <a:ext uri="{28A0092B-C50C-407E-A947-70E740481C1C}">
                          <a14:useLocalDpi xmlns:a14="http://schemas.microsoft.com/office/drawing/2010/main" val="0"/>
                        </a:ext>
                      </a:extLst>
                    </a:blip>
                    <a:srcRect l="9871" t="17649" r="8465" b="24599"/>
                    <a:stretch>
                      <a:fillRect/>
                    </a:stretch>
                  </pic:blipFill>
                  <pic:spPr bwMode="auto">
                    <a:xfrm>
                      <a:off x="0" y="0"/>
                      <a:ext cx="3470169" cy="88713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F74AD" w:rsidRPr="00593A5F" w14:paraId="2184F669" w14:textId="77777777" w:rsidTr="00DF2631">
        <w:trPr>
          <w:trHeight w:val="315"/>
        </w:trPr>
        <w:tc>
          <w:tcPr>
            <w:tcW w:w="893" w:type="dxa"/>
            <w:vAlign w:val="center"/>
            <w:hideMark/>
          </w:tcPr>
          <w:p w14:paraId="74A7D802" w14:textId="77777777" w:rsidR="004F74AD" w:rsidRPr="003751C7" w:rsidRDefault="004F74AD" w:rsidP="00DF263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16CB25" w14:textId="77777777" w:rsidR="004F74AD" w:rsidRPr="00791C6B" w:rsidRDefault="004F74AD" w:rsidP="00DF2631">
            <w:pPr>
              <w:contextualSpacing/>
              <w:rPr>
                <w:rFonts w:ascii="Verdana" w:eastAsia="Arial" w:hAnsi="Verdana" w:cs="Arial"/>
                <w:sz w:val="16"/>
                <w:szCs w:val="16"/>
              </w:rPr>
            </w:pPr>
            <w:r>
              <w:rPr>
                <w:rFonts w:ascii="Verdana" w:eastAsia="Arial" w:hAnsi="Verdana" w:cs="Arial"/>
                <w:sz w:val="16"/>
                <w:szCs w:val="16"/>
              </w:rPr>
              <w:t>Richard Andrés Montenegro Siefken</w:t>
            </w:r>
          </w:p>
          <w:p w14:paraId="137C458D" w14:textId="77777777" w:rsidR="004F74AD" w:rsidRPr="00791C6B" w:rsidRDefault="004F74AD" w:rsidP="00DF2631">
            <w:pPr>
              <w:contextualSpacing/>
              <w:rPr>
                <w:rFonts w:ascii="Verdana" w:eastAsia="Arial" w:hAnsi="Verdana" w:cs="Arial"/>
                <w:sz w:val="16"/>
                <w:szCs w:val="16"/>
              </w:rPr>
            </w:pPr>
            <w:r w:rsidRPr="00791C6B">
              <w:rPr>
                <w:rStyle w:val="normaltextrun"/>
                <w:rFonts w:ascii="Verdana" w:eastAsia="Arial" w:hAnsi="Verdana" w:cs="Arial"/>
                <w:sz w:val="16"/>
                <w:szCs w:val="16"/>
              </w:rPr>
              <w:t>Contratista de la Subdirección de Gestión Contractual</w:t>
            </w:r>
          </w:p>
        </w:tc>
      </w:tr>
      <w:tr w:rsidR="004F74AD" w:rsidRPr="00593A5F" w14:paraId="143A7620" w14:textId="77777777" w:rsidTr="00DF2631">
        <w:trPr>
          <w:trHeight w:val="330"/>
        </w:trPr>
        <w:tc>
          <w:tcPr>
            <w:tcW w:w="893" w:type="dxa"/>
            <w:vAlign w:val="center"/>
            <w:hideMark/>
          </w:tcPr>
          <w:p w14:paraId="04EDD8DD" w14:textId="77777777" w:rsidR="004F74AD" w:rsidRPr="003751C7" w:rsidRDefault="004F74AD" w:rsidP="00DF263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3A54B09" w14:textId="77777777" w:rsidR="004F74AD" w:rsidRPr="00791C6B" w:rsidRDefault="004F74AD" w:rsidP="00DF2631">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Diana Lucia Saavedra Castañeda</w:t>
            </w:r>
          </w:p>
          <w:p w14:paraId="673C6D50" w14:textId="77777777" w:rsidR="004F74AD" w:rsidRPr="00791C6B" w:rsidRDefault="004F74AD" w:rsidP="00DF2631">
            <w:pPr>
              <w:pStyle w:val="paragraph"/>
              <w:spacing w:before="0" w:beforeAutospacing="0" w:after="0" w:afterAutospacing="0"/>
              <w:contextualSpacing/>
              <w:textAlignment w:val="baseline"/>
              <w:rPr>
                <w:rFonts w:ascii="Verdana" w:hAnsi="Verdana" w:cs="Segoe UI"/>
                <w:sz w:val="16"/>
                <w:szCs w:val="16"/>
              </w:rPr>
            </w:pPr>
            <w:r w:rsidRPr="00791C6B">
              <w:rPr>
                <w:rStyle w:val="normaltextrun"/>
                <w:rFonts w:ascii="Verdana" w:hAnsi="Verdana" w:cs="Arial"/>
                <w:sz w:val="16"/>
                <w:szCs w:val="16"/>
                <w:lang w:val="es-ES"/>
              </w:rPr>
              <w:t>Contratista de la Subdirección de Gestión Contractual</w:t>
            </w:r>
            <w:r w:rsidRPr="00791C6B">
              <w:rPr>
                <w:rStyle w:val="eop"/>
                <w:rFonts w:ascii="Verdana" w:hAnsi="Verdana" w:cs="Arial"/>
                <w:sz w:val="16"/>
                <w:szCs w:val="16"/>
              </w:rPr>
              <w:t> </w:t>
            </w:r>
          </w:p>
        </w:tc>
      </w:tr>
      <w:tr w:rsidR="004F74AD" w:rsidRPr="00593A5F" w14:paraId="65956EEA" w14:textId="77777777" w:rsidTr="00DF2631">
        <w:trPr>
          <w:trHeight w:val="300"/>
        </w:trPr>
        <w:tc>
          <w:tcPr>
            <w:tcW w:w="893" w:type="dxa"/>
            <w:vAlign w:val="center"/>
          </w:tcPr>
          <w:p w14:paraId="21D257DC" w14:textId="77777777" w:rsidR="004F74AD" w:rsidRPr="003751C7" w:rsidRDefault="004F74AD" w:rsidP="00DF263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81492C" w14:textId="24B64F91" w:rsidR="004F74AD" w:rsidRPr="003751C7" w:rsidRDefault="006B2E84" w:rsidP="00DF2631">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Ana Maria Tolosa Rico</w:t>
            </w:r>
          </w:p>
          <w:p w14:paraId="03E0E3F2" w14:textId="48346F91" w:rsidR="004F74AD" w:rsidRPr="003751C7" w:rsidRDefault="004F74AD" w:rsidP="00DF2631">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r w:rsidR="006B2E84">
              <w:rPr>
                <w:rFonts w:ascii="Verdana" w:eastAsia="Calibri" w:hAnsi="Verdana" w:cs="Arial"/>
                <w:sz w:val="16"/>
                <w:szCs w:val="16"/>
                <w:lang w:val="pt-BR" w:eastAsia="es-ES"/>
              </w:rPr>
              <w:t xml:space="preserve"> (E)</w:t>
            </w:r>
          </w:p>
        </w:tc>
      </w:tr>
    </w:tbl>
    <w:p w14:paraId="3900974D" w14:textId="77777777" w:rsidR="003D5B0D" w:rsidRPr="003C0F98" w:rsidRDefault="003D5B0D" w:rsidP="003C0F98"/>
    <w:sectPr w:rsidR="003D5B0D" w:rsidRPr="003C0F98"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46B21" w14:textId="77777777" w:rsidR="00CB4617" w:rsidRDefault="00CB4617" w:rsidP="004A1847">
      <w:pPr>
        <w:spacing w:after="0" w:line="240" w:lineRule="auto"/>
      </w:pPr>
      <w:r>
        <w:separator/>
      </w:r>
    </w:p>
  </w:endnote>
  <w:endnote w:type="continuationSeparator" w:id="0">
    <w:p w14:paraId="2AB56E87" w14:textId="77777777" w:rsidR="00CB4617" w:rsidRDefault="00CB461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10E97" w14:textId="77777777" w:rsidR="00CB4617" w:rsidRDefault="00CB4617" w:rsidP="004A1847">
      <w:pPr>
        <w:spacing w:after="0" w:line="240" w:lineRule="auto"/>
      </w:pPr>
      <w:r>
        <w:separator/>
      </w:r>
    </w:p>
  </w:footnote>
  <w:footnote w:type="continuationSeparator" w:id="0">
    <w:p w14:paraId="0BFAC3E1" w14:textId="77777777" w:rsidR="00CB4617" w:rsidRDefault="00CB4617" w:rsidP="004A1847">
      <w:pPr>
        <w:spacing w:after="0" w:line="240" w:lineRule="auto"/>
      </w:pPr>
      <w:r>
        <w:continuationSeparator/>
      </w:r>
    </w:p>
  </w:footnote>
  <w:footnote w:id="1">
    <w:p w14:paraId="0D77D9E7" w14:textId="77777777" w:rsidR="004F74AD" w:rsidRPr="008F5C50" w:rsidRDefault="004F74AD" w:rsidP="00DF0ADA">
      <w:pPr>
        <w:pStyle w:val="Textonotapie"/>
        <w:ind w:firstLine="708"/>
        <w:jc w:val="both"/>
        <w:rPr>
          <w:rFonts w:ascii="Verdana" w:hAnsi="Verdana"/>
          <w:sz w:val="14"/>
          <w:szCs w:val="14"/>
          <w:lang w:val="es-CO"/>
        </w:rPr>
      </w:pPr>
      <w:r w:rsidRPr="008F5C50">
        <w:rPr>
          <w:rStyle w:val="Refdenotaalpie"/>
          <w:rFonts w:ascii="Verdana" w:hAnsi="Verdana"/>
          <w:sz w:val="14"/>
          <w:szCs w:val="14"/>
        </w:rPr>
        <w:footnoteRef/>
      </w:r>
      <w:r w:rsidRPr="008F5C50">
        <w:rPr>
          <w:rFonts w:ascii="Verdana" w:hAnsi="Verdana"/>
          <w:sz w:val="14"/>
          <w:szCs w:val="14"/>
        </w:rPr>
        <w:t xml:space="preserve"> </w:t>
      </w:r>
      <w:r w:rsidRPr="008F5C50">
        <w:rPr>
          <w:rFonts w:ascii="Verdana" w:hAnsi="Verdana"/>
          <w:sz w:val="14"/>
          <w:szCs w:val="14"/>
          <w:lang w:val="es-CO"/>
        </w:rPr>
        <w:t xml:space="preserve">Ley 1437 de 2011: “Artículo 24. Informaciones y documentos reservados. Solo tendrán carácter reservado las informaciones y documentos expresamente sometidos a reserva por la Constitución Política o la ley, y en especial: </w:t>
      </w:r>
    </w:p>
    <w:p w14:paraId="49EF32D5"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1. Los relacionados con la defensa o seguridad nacionales. </w:t>
      </w:r>
    </w:p>
    <w:p w14:paraId="787DECE4"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2. Las instrucciones en materia diplomática o sobre negociaciones reservadas. </w:t>
      </w:r>
    </w:p>
    <w:p w14:paraId="11F5ED07"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2292E54F"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7873D147"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5. Los datos referentes a la información financiera y comercial, en los términos de la Ley Estatutaria 1266 de 2008. </w:t>
      </w:r>
    </w:p>
    <w:p w14:paraId="0E3078DF"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6. Los protegidos por el secreto comercial o industrial, así como los planes estratégicos de las empresas públicas de servicios públicos. </w:t>
      </w:r>
    </w:p>
    <w:p w14:paraId="7499C206"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7. Los amparados por el secreto profesional. </w:t>
      </w:r>
    </w:p>
    <w:p w14:paraId="49B5572A"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8. Los datos genéticos humanos. </w:t>
      </w:r>
    </w:p>
    <w:p w14:paraId="4CDDD12E"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p>
    <w:p w14:paraId="74AEB344" w14:textId="77777777" w:rsidR="004F74AD" w:rsidRPr="008F5C50" w:rsidRDefault="004F74AD" w:rsidP="00DF0ADA">
      <w:pPr>
        <w:pStyle w:val="Textonotapie"/>
        <w:ind w:firstLine="708"/>
        <w:jc w:val="both"/>
        <w:rPr>
          <w:rFonts w:ascii="Verdana" w:hAnsi="Verdana"/>
          <w:sz w:val="14"/>
          <w:szCs w:val="14"/>
          <w:lang w:val="es-CO"/>
        </w:rPr>
      </w:pPr>
    </w:p>
  </w:footnote>
  <w:footnote w:id="2">
    <w:p w14:paraId="1B00A557" w14:textId="77777777" w:rsidR="00D726E2" w:rsidRPr="0044221C" w:rsidRDefault="00D726E2" w:rsidP="00DF0ADA">
      <w:pPr>
        <w:pStyle w:val="Textonotapie"/>
        <w:ind w:firstLine="709"/>
        <w:jc w:val="both"/>
        <w:rPr>
          <w:rFonts w:ascii="Verdana" w:hAnsi="Verdana" w:cs="Arial"/>
          <w:color w:val="000000"/>
          <w:sz w:val="14"/>
          <w:szCs w:val="14"/>
        </w:rPr>
      </w:pPr>
      <w:r w:rsidRPr="0044221C">
        <w:rPr>
          <w:rStyle w:val="Refdenotaalpie"/>
          <w:rFonts w:ascii="Verdana" w:hAnsi="Verdana" w:cs="Arial"/>
          <w:color w:val="000000"/>
          <w:sz w:val="14"/>
          <w:szCs w:val="14"/>
        </w:rPr>
        <w:footnoteRef/>
      </w:r>
      <w:r w:rsidRPr="0044221C">
        <w:rPr>
          <w:rFonts w:ascii="Verdana" w:hAnsi="Verdana" w:cs="Arial"/>
          <w:color w:val="000000"/>
          <w:sz w:val="14"/>
          <w:szCs w:val="14"/>
        </w:rPr>
        <w:t xml:space="preserve"> C</w:t>
      </w:r>
      <w:proofErr w:type="spellStart"/>
      <w:r w:rsidRPr="0044221C">
        <w:rPr>
          <w:rFonts w:ascii="Verdana" w:eastAsia="Times New Roman" w:hAnsi="Verdana" w:cs="Arial"/>
          <w:color w:val="000000"/>
          <w:sz w:val="14"/>
          <w:szCs w:val="14"/>
          <w:lang w:val="es-ES" w:eastAsia="es-ES"/>
        </w:rPr>
        <w:t>orte</w:t>
      </w:r>
      <w:proofErr w:type="spellEnd"/>
      <w:r w:rsidRPr="0044221C">
        <w:rPr>
          <w:rFonts w:ascii="Verdana" w:eastAsia="Times New Roman" w:hAnsi="Verdana" w:cs="Arial"/>
          <w:color w:val="000000"/>
          <w:sz w:val="14"/>
          <w:szCs w:val="14"/>
          <w:lang w:val="es-ES" w:eastAsia="es-ES"/>
        </w:rPr>
        <w:t xml:space="preserve"> Constitucional. Sentencia C‒274 de 9 de mayo de 2013. M.P. Mar</w:t>
      </w:r>
      <w:r w:rsidRPr="0044221C">
        <w:rPr>
          <w:rFonts w:ascii="Verdana" w:eastAsia="Times New Roman" w:hAnsi="Verdana" w:cs="Century Gothic"/>
          <w:color w:val="000000"/>
          <w:sz w:val="14"/>
          <w:szCs w:val="14"/>
          <w:lang w:val="es-ES" w:eastAsia="es-ES"/>
        </w:rPr>
        <w:t>í</w:t>
      </w:r>
      <w:r w:rsidRPr="0044221C">
        <w:rPr>
          <w:rFonts w:ascii="Verdana" w:eastAsia="Times New Roman" w:hAnsi="Verdana" w:cs="Arial"/>
          <w:color w:val="000000"/>
          <w:sz w:val="14"/>
          <w:szCs w:val="14"/>
          <w:lang w:val="es-ES" w:eastAsia="es-ES"/>
        </w:rPr>
        <w:t xml:space="preserve">a Victoria Calle Correa. </w:t>
      </w:r>
    </w:p>
    <w:p w14:paraId="02D3B0A2" w14:textId="77777777" w:rsidR="00D726E2" w:rsidRPr="0044221C" w:rsidRDefault="00D726E2" w:rsidP="00DF0ADA">
      <w:pPr>
        <w:pStyle w:val="Textonotapie"/>
        <w:ind w:firstLine="709"/>
        <w:jc w:val="both"/>
        <w:rPr>
          <w:rFonts w:ascii="Verdana" w:hAnsi="Verdana" w:cs="Arial"/>
          <w:color w:val="000000"/>
          <w:sz w:val="14"/>
          <w:szCs w:val="14"/>
          <w:lang w:val="es-CO"/>
        </w:rPr>
      </w:pPr>
    </w:p>
  </w:footnote>
  <w:footnote w:id="3">
    <w:p w14:paraId="6D202492" w14:textId="77777777" w:rsidR="004F74AD" w:rsidRPr="008F5C50" w:rsidRDefault="004F74AD" w:rsidP="00DF0ADA">
      <w:pPr>
        <w:pStyle w:val="Textonotapie"/>
        <w:ind w:firstLine="709"/>
        <w:jc w:val="both"/>
        <w:rPr>
          <w:rFonts w:ascii="Verdana" w:hAnsi="Verdana" w:cs="Arial"/>
          <w:color w:val="000000" w:themeColor="text1"/>
          <w:sz w:val="14"/>
          <w:szCs w:val="14"/>
        </w:rPr>
      </w:pPr>
      <w:r w:rsidRPr="008F5C50">
        <w:rPr>
          <w:rStyle w:val="Refdenotaalpie"/>
          <w:rFonts w:ascii="Verdana" w:hAnsi="Verdana" w:cs="Arial"/>
          <w:color w:val="000000" w:themeColor="text1"/>
          <w:sz w:val="14"/>
          <w:szCs w:val="14"/>
        </w:rPr>
        <w:footnoteRef/>
      </w:r>
      <w:r w:rsidRPr="008F5C50">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527F266" w14:textId="77777777" w:rsidR="004F74AD" w:rsidRPr="008F5C50" w:rsidRDefault="004F74AD" w:rsidP="00DF0ADA">
      <w:pPr>
        <w:pStyle w:val="Textonotapie"/>
        <w:ind w:firstLine="709"/>
        <w:jc w:val="both"/>
        <w:rPr>
          <w:rFonts w:ascii="Verdana" w:hAnsi="Verdana" w:cs="Arial"/>
          <w:color w:val="000000" w:themeColor="text1"/>
          <w:sz w:val="14"/>
          <w:szCs w:val="14"/>
        </w:rPr>
      </w:pPr>
      <w:r w:rsidRPr="008F5C50">
        <w:rPr>
          <w:rFonts w:ascii="Verdana" w:hAnsi="Verdana" w:cs="Arial"/>
          <w:color w:val="000000" w:themeColor="text1"/>
          <w:sz w:val="14"/>
          <w:szCs w:val="14"/>
        </w:rPr>
        <w:t>Lo anterior, sin perjuicio de las publicaciones previstas en el numeral 3 del artículo 30 de la Ley 80 de 1993.</w:t>
      </w:r>
    </w:p>
    <w:p w14:paraId="688AE22F" w14:textId="77777777" w:rsidR="004F74AD" w:rsidRPr="008F5C50" w:rsidRDefault="004F74AD" w:rsidP="00DF0ADA">
      <w:pPr>
        <w:pStyle w:val="Textonotapie"/>
        <w:ind w:firstLine="709"/>
        <w:jc w:val="both"/>
        <w:rPr>
          <w:rFonts w:ascii="Verdana" w:hAnsi="Verdana" w:cs="Arial"/>
          <w:color w:val="000000" w:themeColor="text1"/>
          <w:sz w:val="14"/>
          <w:szCs w:val="14"/>
        </w:rPr>
      </w:pPr>
      <w:r w:rsidRPr="008F5C50">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w:t>
      </w:r>
      <w:proofErr w:type="spellStart"/>
      <w:r w:rsidRPr="008F5C50">
        <w:rPr>
          <w:rFonts w:ascii="Verdana" w:hAnsi="Verdana" w:cs="Arial"/>
          <w:color w:val="000000" w:themeColor="text1"/>
          <w:sz w:val="14"/>
          <w:szCs w:val="14"/>
        </w:rPr>
        <w:t>Secop</w:t>
      </w:r>
      <w:proofErr w:type="spellEnd"/>
      <w:r w:rsidRPr="008F5C50">
        <w:rPr>
          <w:rFonts w:ascii="Verdana" w:hAnsi="Verdana" w:cs="Arial"/>
          <w:color w:val="000000" w:themeColor="text1"/>
          <w:sz w:val="14"/>
          <w:szCs w:val="14"/>
        </w:rPr>
        <w:t xml:space="preserve">, el cual: </w:t>
      </w:r>
    </w:p>
    <w:p w14:paraId="33140895" w14:textId="77777777" w:rsidR="004F74AD" w:rsidRPr="008F5C50" w:rsidRDefault="004F74AD" w:rsidP="00DF0ADA">
      <w:pPr>
        <w:pStyle w:val="Textonotapie"/>
        <w:ind w:firstLine="709"/>
        <w:jc w:val="both"/>
        <w:rPr>
          <w:rFonts w:ascii="Verdana" w:hAnsi="Verdana" w:cs="Arial"/>
          <w:color w:val="000000" w:themeColor="text1"/>
          <w:sz w:val="14"/>
          <w:szCs w:val="14"/>
        </w:rPr>
      </w:pPr>
      <w:r w:rsidRPr="008F5C50">
        <w:rPr>
          <w:rFonts w:ascii="Verdana" w:hAnsi="Verdana" w:cs="Arial"/>
          <w:color w:val="000000" w:themeColor="text1"/>
          <w:sz w:val="14"/>
          <w:szCs w:val="14"/>
        </w:rPr>
        <w:t>[…]</w:t>
      </w:r>
    </w:p>
    <w:p w14:paraId="2299F800" w14:textId="77777777" w:rsidR="004F74AD" w:rsidRPr="008F5C50" w:rsidRDefault="004F74AD" w:rsidP="00DF0ADA">
      <w:pPr>
        <w:pStyle w:val="Textonotapie"/>
        <w:ind w:firstLine="709"/>
        <w:jc w:val="both"/>
        <w:rPr>
          <w:rFonts w:ascii="Verdana" w:hAnsi="Verdana" w:cs="Arial"/>
          <w:color w:val="000000" w:themeColor="text1"/>
          <w:sz w:val="14"/>
          <w:szCs w:val="14"/>
        </w:rPr>
      </w:pPr>
      <w:r w:rsidRPr="008F5C50">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07CBD080" w14:textId="77777777" w:rsidR="004F74AD" w:rsidRPr="008F5C50" w:rsidRDefault="004F74AD" w:rsidP="00DF0ADA">
      <w:pPr>
        <w:pStyle w:val="Textonotapie"/>
        <w:ind w:firstLine="709"/>
        <w:jc w:val="both"/>
        <w:rPr>
          <w:rFonts w:ascii="Verdana" w:hAnsi="Verdana" w:cs="Arial"/>
          <w:color w:val="000000" w:themeColor="text1"/>
          <w:sz w:val="14"/>
          <w:szCs w:val="14"/>
          <w:lang w:val="es-CO"/>
        </w:rPr>
      </w:pPr>
    </w:p>
  </w:footnote>
  <w:footnote w:id="4">
    <w:p w14:paraId="310A7054" w14:textId="77777777" w:rsidR="004F74AD" w:rsidRPr="0044221C" w:rsidRDefault="004F74AD" w:rsidP="00DF0ADA">
      <w:pPr>
        <w:pStyle w:val="Textonotapie"/>
        <w:ind w:firstLine="709"/>
        <w:jc w:val="both"/>
        <w:rPr>
          <w:rFonts w:ascii="Verdana" w:hAnsi="Verdana" w:cs="Arial"/>
          <w:color w:val="000000"/>
          <w:sz w:val="14"/>
          <w:szCs w:val="14"/>
        </w:rPr>
      </w:pPr>
      <w:r w:rsidRPr="0044221C">
        <w:rPr>
          <w:rStyle w:val="Refdenotaalpie"/>
          <w:rFonts w:ascii="Verdana" w:hAnsi="Verdana" w:cs="Arial"/>
          <w:color w:val="000000"/>
          <w:sz w:val="14"/>
          <w:szCs w:val="14"/>
        </w:rPr>
        <w:footnoteRef/>
      </w:r>
      <w:r w:rsidRPr="0044221C">
        <w:rPr>
          <w:rFonts w:ascii="Verdana" w:hAnsi="Verdana" w:cs="Arial"/>
          <w:color w:val="000000"/>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8841856" w14:textId="77777777" w:rsidR="004F74AD" w:rsidRPr="0044221C" w:rsidRDefault="004F74AD" w:rsidP="00DF0ADA">
      <w:pPr>
        <w:pStyle w:val="Textonotapie"/>
        <w:ind w:firstLine="709"/>
        <w:jc w:val="both"/>
        <w:rPr>
          <w:rFonts w:ascii="Verdana" w:hAnsi="Verdana" w:cs="Arial"/>
          <w:color w:val="000000"/>
          <w:sz w:val="14"/>
          <w:szCs w:val="14"/>
          <w:lang w:val="es-CO"/>
        </w:rPr>
      </w:pPr>
    </w:p>
  </w:footnote>
  <w:footnote w:id="5">
    <w:p w14:paraId="7EA68291" w14:textId="77777777" w:rsidR="004F74AD" w:rsidRPr="0044221C" w:rsidRDefault="004F74AD" w:rsidP="00DF0ADA">
      <w:pPr>
        <w:pStyle w:val="Textonotapie"/>
        <w:ind w:firstLine="709"/>
        <w:jc w:val="both"/>
        <w:rPr>
          <w:rFonts w:ascii="Verdana" w:hAnsi="Verdana" w:cs="Arial"/>
          <w:color w:val="000000"/>
          <w:sz w:val="14"/>
          <w:szCs w:val="14"/>
        </w:rPr>
      </w:pPr>
      <w:r w:rsidRPr="0044221C">
        <w:rPr>
          <w:rStyle w:val="Refdenotaalpie"/>
          <w:rFonts w:ascii="Verdana" w:hAnsi="Verdana" w:cs="Arial"/>
          <w:color w:val="000000"/>
          <w:sz w:val="14"/>
          <w:szCs w:val="14"/>
        </w:rPr>
        <w:footnoteRef/>
      </w:r>
      <w:r w:rsidRPr="0044221C">
        <w:rPr>
          <w:rFonts w:ascii="Verdana" w:hAnsi="Verdana" w:cs="Arial"/>
          <w:color w:val="000000"/>
          <w:sz w:val="14"/>
          <w:szCs w:val="14"/>
        </w:rPr>
        <w:t xml:space="preserve"> Ley 1712 de 2014: “Artículo 5. Ámbito de aplicación. Las disposiciones de esta ley serán aplicables a las siguientes personas en calidad de sujetos obligados: </w:t>
      </w:r>
    </w:p>
    <w:p w14:paraId="54EBE119" w14:textId="77777777" w:rsidR="004F74AD" w:rsidRPr="0044221C" w:rsidRDefault="004F74AD" w:rsidP="00DF0ADA">
      <w:pPr>
        <w:pStyle w:val="Textonotapie"/>
        <w:ind w:firstLine="709"/>
        <w:jc w:val="both"/>
        <w:rPr>
          <w:rFonts w:ascii="Verdana" w:hAnsi="Verdana" w:cs="Arial"/>
          <w:color w:val="000000"/>
          <w:sz w:val="14"/>
          <w:szCs w:val="14"/>
        </w:rPr>
      </w:pPr>
      <w:r w:rsidRPr="0044221C">
        <w:rPr>
          <w:rFonts w:ascii="Verdana" w:hAnsi="Verdana" w:cs="Arial"/>
          <w:color w:val="000000"/>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8274FA0" w14:textId="77777777" w:rsidR="004F74AD" w:rsidRPr="0044221C" w:rsidRDefault="004F74AD" w:rsidP="00DF0ADA">
      <w:pPr>
        <w:pStyle w:val="Textonotapie"/>
        <w:ind w:firstLine="709"/>
        <w:jc w:val="both"/>
        <w:rPr>
          <w:rFonts w:ascii="Verdana" w:hAnsi="Verdana" w:cs="Arial"/>
          <w:color w:val="000000"/>
          <w:sz w:val="14"/>
          <w:szCs w:val="14"/>
          <w:lang w:val="es-CO"/>
        </w:rPr>
      </w:pPr>
    </w:p>
  </w:footnote>
  <w:footnote w:id="6">
    <w:p w14:paraId="4C436176" w14:textId="77777777" w:rsidR="005734E0" w:rsidRPr="0044221C" w:rsidRDefault="005734E0" w:rsidP="00DF0ADA">
      <w:pPr>
        <w:pStyle w:val="Textonotapie"/>
        <w:ind w:firstLine="709"/>
        <w:jc w:val="both"/>
        <w:rPr>
          <w:rFonts w:ascii="Verdana" w:hAnsi="Verdana" w:cs="Arial"/>
          <w:color w:val="000000"/>
          <w:sz w:val="14"/>
          <w:szCs w:val="14"/>
        </w:rPr>
      </w:pPr>
      <w:r w:rsidRPr="0044221C">
        <w:rPr>
          <w:rFonts w:ascii="Verdana" w:eastAsia="Times New Roman" w:hAnsi="Verdana" w:cs="Arial"/>
          <w:color w:val="000000"/>
          <w:sz w:val="14"/>
          <w:szCs w:val="14"/>
          <w:vertAlign w:val="superscript"/>
          <w:lang w:val="es-ES" w:eastAsia="es-ES"/>
        </w:rPr>
        <w:footnoteRef/>
      </w:r>
      <w:r w:rsidRPr="0044221C">
        <w:rPr>
          <w:rFonts w:ascii="Verdana" w:eastAsia="Times New Roman" w:hAnsi="Verdana" w:cs="Arial"/>
          <w:color w:val="000000"/>
          <w:sz w:val="14"/>
          <w:szCs w:val="14"/>
          <w:vertAlign w:val="superscript"/>
          <w:lang w:val="es-ES" w:eastAsia="es-ES"/>
        </w:rPr>
        <w:t xml:space="preserve"> </w:t>
      </w:r>
      <w:r w:rsidRPr="0044221C">
        <w:rPr>
          <w:rFonts w:ascii="Verdana" w:eastAsia="Times New Roman" w:hAnsi="Verdana" w:cs="Arial"/>
          <w:color w:val="000000"/>
          <w:sz w:val="14"/>
          <w:szCs w:val="14"/>
          <w:lang w:val="es-ES" w:eastAsia="es-ES"/>
        </w:rPr>
        <w:t>“</w:t>
      </w:r>
      <w:r w:rsidRPr="0044221C">
        <w:rPr>
          <w:rFonts w:ascii="Verdana" w:hAnsi="Verdana" w:cs="Arial"/>
          <w:color w:val="000000"/>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FFEDB82" w14:textId="77777777" w:rsidR="005734E0" w:rsidRPr="0044221C" w:rsidRDefault="005734E0" w:rsidP="00DF0ADA">
      <w:pPr>
        <w:pStyle w:val="Textonotapie"/>
        <w:ind w:firstLine="709"/>
        <w:jc w:val="both"/>
        <w:rPr>
          <w:rFonts w:ascii="Verdana" w:eastAsia="Times New Roman" w:hAnsi="Verdana" w:cs="Arial"/>
          <w:color w:val="000000"/>
          <w:sz w:val="14"/>
          <w:szCs w:val="14"/>
          <w:lang w:val="es-ES" w:eastAsia="es-ES"/>
        </w:rPr>
      </w:pPr>
      <w:r w:rsidRPr="0044221C">
        <w:rPr>
          <w:rFonts w:ascii="Verdana" w:hAnsi="Verdana" w:cs="Arial"/>
          <w:color w:val="000000"/>
          <w:sz w:val="14"/>
          <w:szCs w:val="14"/>
        </w:rPr>
        <w:t>[…].</w:t>
      </w:r>
    </w:p>
    <w:p w14:paraId="7F37FCCA" w14:textId="77777777" w:rsidR="005734E0" w:rsidRPr="0044221C" w:rsidRDefault="005734E0" w:rsidP="00DF0ADA">
      <w:pPr>
        <w:pStyle w:val="Textonotapie"/>
        <w:ind w:firstLine="709"/>
        <w:jc w:val="both"/>
        <w:rPr>
          <w:rFonts w:ascii="Verdana" w:eastAsia="Times New Roman" w:hAnsi="Verdana" w:cs="Arial"/>
          <w:color w:val="000000"/>
          <w:sz w:val="14"/>
          <w:szCs w:val="14"/>
          <w:lang w:val="es-ES" w:eastAsia="es-ES"/>
        </w:rPr>
      </w:pPr>
      <w:r w:rsidRPr="0044221C">
        <w:rPr>
          <w:rFonts w:ascii="Verdana" w:eastAsia="Times New Roman" w:hAnsi="Verdana" w:cs="Arial"/>
          <w:color w:val="000000"/>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1E9C72C" w14:textId="77777777" w:rsidR="005734E0" w:rsidRPr="0044221C" w:rsidRDefault="005734E0" w:rsidP="00DF0ADA">
      <w:pPr>
        <w:pStyle w:val="Textonotapie"/>
        <w:ind w:firstLine="709"/>
        <w:jc w:val="both"/>
        <w:rPr>
          <w:rFonts w:ascii="Verdana" w:eastAsia="Times New Roman" w:hAnsi="Verdana" w:cs="Arial"/>
          <w:color w:val="000000"/>
          <w:sz w:val="14"/>
          <w:szCs w:val="14"/>
          <w:lang w:val="es-ES" w:eastAsia="es-ES"/>
        </w:rPr>
      </w:pPr>
    </w:p>
  </w:footnote>
  <w:footnote w:id="7">
    <w:p w14:paraId="0A55D60A" w14:textId="77777777" w:rsidR="004F74AD" w:rsidRPr="008F5C50" w:rsidRDefault="004F74AD" w:rsidP="00DF0ADA">
      <w:pPr>
        <w:pStyle w:val="Textonotapie"/>
        <w:ind w:firstLine="708"/>
        <w:jc w:val="both"/>
        <w:rPr>
          <w:rFonts w:ascii="Verdana" w:hAnsi="Verdana"/>
          <w:sz w:val="14"/>
          <w:szCs w:val="14"/>
          <w:lang w:val="es-CO"/>
        </w:rPr>
      </w:pPr>
      <w:r w:rsidRPr="008F5C50">
        <w:rPr>
          <w:rStyle w:val="Refdenotaalpie"/>
          <w:rFonts w:ascii="Verdana" w:hAnsi="Verdana"/>
          <w:sz w:val="14"/>
          <w:szCs w:val="14"/>
        </w:rPr>
        <w:footnoteRef/>
      </w:r>
      <w:r w:rsidRPr="008F5C50">
        <w:rPr>
          <w:rFonts w:ascii="Verdana" w:hAnsi="Verdana"/>
          <w:sz w:val="14"/>
          <w:szCs w:val="14"/>
        </w:rPr>
        <w:t xml:space="preserve"> </w:t>
      </w:r>
      <w:r w:rsidRPr="008F5C50">
        <w:rPr>
          <w:rFonts w:ascii="Verdana" w:hAnsi="Verdana"/>
          <w:sz w:val="14"/>
          <w:szCs w:val="14"/>
          <w:lang w:val="es-CO"/>
        </w:rPr>
        <w:t xml:space="preserve">Ley 1437 de 2011: “Artículo 24. Informaciones y documentos reservados. Solo tendrán carácter reservado las informaciones y documentos expresamente sometidos a reserva por la Constitución Política o la ley, y en especial: </w:t>
      </w:r>
    </w:p>
    <w:p w14:paraId="1A010724"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1. Los relacionados con la defensa o seguridad nacionales. </w:t>
      </w:r>
    </w:p>
    <w:p w14:paraId="347BAAD3"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2. Las instrucciones en materia diplomática o sobre negociaciones reservadas. </w:t>
      </w:r>
    </w:p>
    <w:p w14:paraId="075523B8"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6847ECC2"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A52C10B"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5. Los datos referentes a la información financiera y comercial, en los términos de la Ley Estatutaria 1266 de 2008. </w:t>
      </w:r>
    </w:p>
    <w:p w14:paraId="43C4926C"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6. Los protegidos por el secreto comercial o industrial, así como los planes estratégicos de las empresas públicas de servicios públicos. </w:t>
      </w:r>
    </w:p>
    <w:p w14:paraId="67320163"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7. Los amparados por el secreto profesional. </w:t>
      </w:r>
    </w:p>
    <w:p w14:paraId="046C3019"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8. Los datos genéticos humanos. </w:t>
      </w:r>
    </w:p>
    <w:p w14:paraId="457DEF98" w14:textId="77777777" w:rsidR="004F74AD"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p>
    <w:p w14:paraId="0B5D831F" w14:textId="77777777" w:rsidR="004F74AD" w:rsidRPr="008F5C50" w:rsidRDefault="004F74AD" w:rsidP="00DF0ADA">
      <w:pPr>
        <w:pStyle w:val="Textonotapie"/>
        <w:ind w:firstLine="708"/>
        <w:jc w:val="both"/>
        <w:rPr>
          <w:rFonts w:ascii="Verdana" w:hAnsi="Verdana"/>
          <w:sz w:val="14"/>
          <w:szCs w:val="14"/>
          <w:lang w:val="es-CO"/>
        </w:rPr>
      </w:pPr>
    </w:p>
  </w:footnote>
  <w:footnote w:id="8">
    <w:p w14:paraId="0647B8DA" w14:textId="432475C5" w:rsidR="00E40A42" w:rsidRPr="008F5C50" w:rsidRDefault="00E40A42" w:rsidP="00DF0ADA">
      <w:pPr>
        <w:pStyle w:val="Textonotapie"/>
        <w:ind w:firstLine="708"/>
        <w:jc w:val="both"/>
        <w:rPr>
          <w:rFonts w:ascii="Verdana" w:hAnsi="Verdana"/>
          <w:sz w:val="14"/>
          <w:szCs w:val="14"/>
        </w:rPr>
      </w:pPr>
      <w:r w:rsidRPr="0044221C">
        <w:rPr>
          <w:rStyle w:val="Refdenotaalpie"/>
          <w:rFonts w:ascii="Verdana" w:hAnsi="Verdana"/>
          <w:sz w:val="14"/>
          <w:szCs w:val="14"/>
        </w:rPr>
        <w:footnoteRef/>
      </w:r>
      <w:r w:rsidRPr="0044221C">
        <w:rPr>
          <w:rFonts w:ascii="Verdana" w:hAnsi="Verdana"/>
          <w:sz w:val="14"/>
          <w:szCs w:val="14"/>
        </w:rPr>
        <w:t xml:space="preserve"> </w:t>
      </w:r>
      <w:r w:rsidR="00116749" w:rsidRPr="0044221C">
        <w:rPr>
          <w:rFonts w:ascii="Verdana" w:eastAsia="Calibri" w:hAnsi="Verdana" w:cs="Arial"/>
          <w:color w:val="000000" w:themeColor="text1"/>
          <w:sz w:val="14"/>
          <w:szCs w:val="14"/>
        </w:rPr>
        <w:t xml:space="preserve">Agencia Nacional de Contratación Pública - Colombia Compra Eficiente. Circular Externa Única. Disponible en: </w:t>
      </w:r>
      <w:hyperlink r:id="rId1" w:history="1">
        <w:r w:rsidR="00116749" w:rsidRPr="0044221C">
          <w:rPr>
            <w:rStyle w:val="Hipervnculo"/>
            <w:rFonts w:ascii="Verdana" w:hAnsi="Verdana"/>
            <w:sz w:val="14"/>
            <w:szCs w:val="14"/>
          </w:rPr>
          <w:t>https://www.colombiacompra.gov.co/normativa-y-relatoria/circular-unica-externa</w:t>
        </w:r>
      </w:hyperlink>
      <w:r w:rsidR="00116749" w:rsidRPr="0044221C">
        <w:rPr>
          <w:rFonts w:ascii="Verdana" w:hAnsi="Verdana"/>
          <w:sz w:val="14"/>
          <w:szCs w:val="14"/>
        </w:rPr>
        <w:t xml:space="preserve"> </w:t>
      </w:r>
    </w:p>
    <w:p w14:paraId="781AC164" w14:textId="77777777" w:rsidR="00116749" w:rsidRPr="0044221C" w:rsidRDefault="00116749" w:rsidP="0044221C">
      <w:pPr>
        <w:pStyle w:val="Textonotapie"/>
        <w:ind w:firstLine="708"/>
        <w:jc w:val="both"/>
        <w:rPr>
          <w:rFonts w:ascii="Verdana" w:hAnsi="Verdana"/>
          <w:sz w:val="14"/>
          <w:szCs w:val="14"/>
        </w:rPr>
      </w:pPr>
    </w:p>
  </w:footnote>
  <w:footnote w:id="9">
    <w:p w14:paraId="1D7BFB21" w14:textId="77777777" w:rsidR="004F74AD" w:rsidRPr="008F5C50" w:rsidRDefault="004F74AD" w:rsidP="00DF0ADA">
      <w:pPr>
        <w:pStyle w:val="Textonotapie"/>
        <w:ind w:firstLine="708"/>
        <w:jc w:val="both"/>
        <w:rPr>
          <w:rFonts w:ascii="Verdana" w:hAnsi="Verdana"/>
          <w:sz w:val="14"/>
          <w:szCs w:val="14"/>
          <w:lang w:val="es-CO"/>
        </w:rPr>
      </w:pPr>
      <w:r w:rsidRPr="008F5C50">
        <w:rPr>
          <w:rStyle w:val="Refdenotaalpie"/>
          <w:rFonts w:ascii="Verdana" w:hAnsi="Verdana"/>
          <w:sz w:val="14"/>
          <w:szCs w:val="14"/>
        </w:rPr>
        <w:footnoteRef/>
      </w:r>
      <w:r w:rsidRPr="008F5C50">
        <w:rPr>
          <w:rFonts w:ascii="Verdana" w:hAnsi="Verdana"/>
          <w:sz w:val="14"/>
          <w:szCs w:val="14"/>
        </w:rPr>
        <w:t xml:space="preserve"> </w:t>
      </w:r>
      <w:r w:rsidRPr="008F5C50">
        <w:rPr>
          <w:rFonts w:ascii="Verdana" w:hAnsi="Verdana"/>
          <w:sz w:val="14"/>
          <w:szCs w:val="14"/>
          <w:lang w:val="es-CO"/>
        </w:rPr>
        <w:t xml:space="preserve">“Numeral 1.1 Las Entidades Estatales de acuerdo con la definición del Decreto Reglamentario 1082 de 2015. </w:t>
      </w:r>
    </w:p>
    <w:p w14:paraId="4C10DC4A" w14:textId="3AAC723E" w:rsidR="00116749" w:rsidRPr="008F5C50"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 xml:space="preserve">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04F430A7" w14:textId="77777777" w:rsidR="004F74AD" w:rsidRDefault="004F74AD" w:rsidP="00DF0ADA">
      <w:pPr>
        <w:pStyle w:val="Textonotapie"/>
        <w:ind w:firstLine="708"/>
        <w:jc w:val="both"/>
        <w:rPr>
          <w:rFonts w:ascii="Verdana" w:hAnsi="Verdana"/>
          <w:sz w:val="14"/>
          <w:szCs w:val="14"/>
          <w:lang w:val="es-CO"/>
        </w:rPr>
      </w:pPr>
      <w:r w:rsidRPr="008F5C50">
        <w:rPr>
          <w:rFonts w:ascii="Verdana" w:hAnsi="Verdana"/>
          <w:sz w:val="14"/>
          <w:szCs w:val="14"/>
          <w:lang w:val="es-CO"/>
        </w:rPr>
        <w:t>Los particulares deberán publicar la información oficial de la contratación realizada con cargo a recursos públicos. Estos deberán realizar la publicación a través del módulo “Régimen Especial”.</w:t>
      </w:r>
    </w:p>
    <w:p w14:paraId="38074AFE" w14:textId="77777777" w:rsidR="00DF0ADA" w:rsidRPr="008F5C50" w:rsidRDefault="00DF0ADA" w:rsidP="00DF0ADA">
      <w:pPr>
        <w:pStyle w:val="Textonotapie"/>
        <w:ind w:firstLine="708"/>
        <w:jc w:val="both"/>
        <w:rPr>
          <w:rFonts w:ascii="Verdana" w:hAnsi="Verdana"/>
          <w:sz w:val="14"/>
          <w:szCs w:val="14"/>
          <w:lang w:val="es-CO"/>
        </w:rPr>
      </w:pPr>
    </w:p>
  </w:footnote>
  <w:footnote w:id="10">
    <w:p w14:paraId="4A3CF70A" w14:textId="060C09A9" w:rsidR="007B12D1" w:rsidRPr="0044221C" w:rsidRDefault="007B12D1" w:rsidP="0044221C">
      <w:pPr>
        <w:pStyle w:val="Textonotapie"/>
        <w:ind w:firstLine="708"/>
        <w:jc w:val="both"/>
        <w:rPr>
          <w:rFonts w:ascii="Verdana" w:hAnsi="Verdana"/>
          <w:sz w:val="14"/>
          <w:szCs w:val="14"/>
        </w:rPr>
      </w:pPr>
      <w:r w:rsidRPr="0044221C">
        <w:rPr>
          <w:rStyle w:val="Refdenotaalpie"/>
          <w:rFonts w:ascii="Verdana" w:hAnsi="Verdana"/>
          <w:sz w:val="14"/>
          <w:szCs w:val="14"/>
        </w:rPr>
        <w:footnoteRef/>
      </w:r>
      <w:r w:rsidRPr="0044221C">
        <w:rPr>
          <w:rFonts w:ascii="Verdana" w:hAnsi="Verdana"/>
          <w:sz w:val="14"/>
          <w:szCs w:val="14"/>
        </w:rPr>
        <w:t xml:space="preserve"> </w:t>
      </w:r>
      <w:r w:rsidRPr="008F5C50">
        <w:rPr>
          <w:rFonts w:ascii="Verdana" w:eastAsia="Calibri" w:hAnsi="Verdana" w:cs="Arial"/>
          <w:color w:val="000000" w:themeColor="text1"/>
          <w:sz w:val="14"/>
          <w:szCs w:val="14"/>
        </w:rPr>
        <w:t xml:space="preserve">Agencia Nacional de Contratación Pública - Colombia Compra Eficiente. Circular Externa No. 002 de 2024. Disponible en: </w:t>
      </w:r>
      <w:r w:rsidRPr="0044221C">
        <w:rPr>
          <w:rFonts w:ascii="Verdana" w:hAnsi="Verdana"/>
          <w:sz w:val="14"/>
          <w:szCs w:val="14"/>
        </w:rPr>
        <w:t xml:space="preserve"> </w:t>
      </w:r>
      <w:hyperlink r:id="rId2" w:history="1">
        <w:r w:rsidR="00DF0ADA" w:rsidRPr="0044221C">
          <w:rPr>
            <w:rStyle w:val="Hipervnculo"/>
            <w:rFonts w:ascii="Verdana" w:hAnsi="Verdana"/>
            <w:sz w:val="14"/>
            <w:szCs w:val="14"/>
          </w:rPr>
          <w:t>https://www.colombiacompra.gov.co/wp-content/uploads/2025/03/doc-20240823-wa0021.pdf</w:t>
        </w:r>
      </w:hyperlink>
      <w:r w:rsidR="00DF0ADA">
        <w:rPr>
          <w:rFonts w:ascii="Verdana" w:hAnsi="Verdana"/>
          <w:sz w:val="14"/>
          <w:szCs w:val="14"/>
        </w:rPr>
        <w:t xml:space="preserve"> </w:t>
      </w:r>
    </w:p>
  </w:footnote>
  <w:footnote w:id="11">
    <w:p w14:paraId="26FB311D" w14:textId="77777777" w:rsidR="004F74AD" w:rsidRPr="0044221C" w:rsidRDefault="004F74AD" w:rsidP="0044221C">
      <w:pPr>
        <w:pStyle w:val="Textonotapie"/>
        <w:ind w:firstLine="708"/>
        <w:jc w:val="both"/>
        <w:rPr>
          <w:rFonts w:ascii="Verdana" w:hAnsi="Verdana" w:cs="Arial"/>
          <w:sz w:val="14"/>
          <w:szCs w:val="14"/>
        </w:rPr>
      </w:pPr>
    </w:p>
    <w:p w14:paraId="0D97F317" w14:textId="77777777" w:rsidR="004F74AD" w:rsidRPr="0044221C" w:rsidRDefault="004F74AD" w:rsidP="0044221C">
      <w:pPr>
        <w:pStyle w:val="Textonotapie"/>
        <w:ind w:firstLine="708"/>
        <w:jc w:val="both"/>
        <w:rPr>
          <w:rFonts w:ascii="Verdana" w:hAnsi="Verdana" w:cs="Arial"/>
          <w:sz w:val="14"/>
          <w:szCs w:val="14"/>
          <w:lang w:val="es-CO"/>
        </w:rPr>
      </w:pPr>
      <w:r w:rsidRPr="0044221C">
        <w:rPr>
          <w:rStyle w:val="Refdenotaalpie"/>
          <w:rFonts w:ascii="Verdana" w:hAnsi="Verdana" w:cs="Arial"/>
          <w:sz w:val="14"/>
          <w:szCs w:val="14"/>
        </w:rPr>
        <w:footnoteRef/>
      </w:r>
      <w:r w:rsidRPr="0044221C">
        <w:rPr>
          <w:rFonts w:ascii="Verdana" w:hAnsi="Verdana" w:cs="Arial"/>
          <w:sz w:val="14"/>
          <w:szCs w:val="14"/>
        </w:rPr>
        <w:t xml:space="preserve"> Ley 1150 de 2007. “Artículo 1. Objeto. La presente ley tiene por objeto introducir modificaciones en la Ley 80 de 1993, así como dictar otras disposiciones generales aplicables a toda contratación con recursos públicos”.</w:t>
      </w:r>
    </w:p>
  </w:footnote>
  <w:footnote w:id="12">
    <w:p w14:paraId="19556CC2" w14:textId="77777777" w:rsidR="004F74AD" w:rsidRPr="0044221C" w:rsidRDefault="004F74AD" w:rsidP="0044221C">
      <w:pPr>
        <w:autoSpaceDE w:val="0"/>
        <w:autoSpaceDN w:val="0"/>
        <w:adjustRightInd w:val="0"/>
        <w:spacing w:after="0" w:line="240" w:lineRule="auto"/>
        <w:ind w:firstLine="708"/>
        <w:jc w:val="both"/>
        <w:rPr>
          <w:rFonts w:ascii="Verdana" w:eastAsia="Calibri" w:hAnsi="Verdana" w:cs="Arial"/>
          <w:sz w:val="14"/>
          <w:szCs w:val="14"/>
          <w:lang w:val="es-ES" w:eastAsia="es-ES_tradnl"/>
        </w:rPr>
      </w:pPr>
      <w:r w:rsidRPr="0044221C">
        <w:rPr>
          <w:rStyle w:val="Refdenotaalpie"/>
          <w:rFonts w:ascii="Verdana" w:hAnsi="Verdana" w:cs="Arial"/>
          <w:sz w:val="14"/>
          <w:szCs w:val="14"/>
        </w:rPr>
        <w:footnoteRef/>
      </w:r>
      <w:r w:rsidRPr="0044221C">
        <w:rPr>
          <w:rFonts w:ascii="Verdana" w:hAnsi="Verdana" w:cs="Arial"/>
          <w:sz w:val="14"/>
          <w:szCs w:val="14"/>
        </w:rPr>
        <w:t xml:space="preserve"> Disponible en el siguiente enlace: </w:t>
      </w:r>
      <w:hyperlink r:id="rId3" w:history="1">
        <w:r w:rsidRPr="0044221C">
          <w:rPr>
            <w:rStyle w:val="Hipervnculo"/>
            <w:rFonts w:ascii="Verdana" w:hAnsi="Verdana" w:cs="Arial"/>
            <w:sz w:val="14"/>
            <w:szCs w:val="14"/>
          </w:rPr>
          <w:t>https://www.colombiacompra.gov.co/sites/cce_public/files/cce_circulares/doc-20240823-wa0021.pdf</w:t>
        </w:r>
      </w:hyperlink>
      <w:r w:rsidRPr="0044221C">
        <w:rPr>
          <w:rFonts w:ascii="Verdana" w:hAnsi="Verdana" w:cs="Arial"/>
          <w:sz w:val="14"/>
          <w:szCs w:val="14"/>
        </w:rPr>
        <w:t xml:space="preserve"> </w:t>
      </w:r>
    </w:p>
    <w:p w14:paraId="7D3A192D" w14:textId="77777777" w:rsidR="004F74AD" w:rsidRPr="0044221C" w:rsidRDefault="004F74AD" w:rsidP="0044221C">
      <w:pPr>
        <w:autoSpaceDE w:val="0"/>
        <w:autoSpaceDN w:val="0"/>
        <w:adjustRightInd w:val="0"/>
        <w:spacing w:after="0" w:line="240" w:lineRule="auto"/>
        <w:ind w:firstLine="708"/>
        <w:jc w:val="both"/>
        <w:rPr>
          <w:rFonts w:ascii="Verdana" w:eastAsia="Times New Roman" w:hAnsi="Verdana" w:cs="Arial"/>
          <w:sz w:val="14"/>
          <w:szCs w:val="14"/>
          <w:lang w:eastAsia="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C569212"/>
    <w:lvl w:ilvl="0" w:tplc="5A46C10E">
      <w:start w:val="1"/>
      <w:numFmt w:val="bullet"/>
      <w:lvlText w:val=""/>
      <w:lvlJc w:val="left"/>
      <w:pPr>
        <w:ind w:left="360" w:hanging="360"/>
      </w:pPr>
      <w:rPr>
        <w:rFonts w:ascii="Symbol" w:hAnsi="Symbol" w:hint="default"/>
        <w:sz w:val="22"/>
        <w:szCs w:val="22"/>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208645615">
    <w:abstractNumId w:val="0"/>
  </w:num>
  <w:num w:numId="17" w16cid:durableId="15541485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6B45"/>
    <w:rsid w:val="000F6486"/>
    <w:rsid w:val="00116749"/>
    <w:rsid w:val="00125105"/>
    <w:rsid w:val="00127233"/>
    <w:rsid w:val="00132231"/>
    <w:rsid w:val="001511A0"/>
    <w:rsid w:val="0015751F"/>
    <w:rsid w:val="001B1495"/>
    <w:rsid w:val="001E4177"/>
    <w:rsid w:val="001F63EF"/>
    <w:rsid w:val="001F7DC6"/>
    <w:rsid w:val="0021050B"/>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C0F98"/>
    <w:rsid w:val="003D0F4D"/>
    <w:rsid w:val="003D5B0D"/>
    <w:rsid w:val="003E0499"/>
    <w:rsid w:val="003F3941"/>
    <w:rsid w:val="00406575"/>
    <w:rsid w:val="00414C74"/>
    <w:rsid w:val="0042722E"/>
    <w:rsid w:val="0044221C"/>
    <w:rsid w:val="0044528D"/>
    <w:rsid w:val="004A1847"/>
    <w:rsid w:val="004A305D"/>
    <w:rsid w:val="004F21C4"/>
    <w:rsid w:val="004F685F"/>
    <w:rsid w:val="004F74AD"/>
    <w:rsid w:val="005566E8"/>
    <w:rsid w:val="005734E0"/>
    <w:rsid w:val="00574867"/>
    <w:rsid w:val="00591460"/>
    <w:rsid w:val="005B3816"/>
    <w:rsid w:val="005C3777"/>
    <w:rsid w:val="005C5CDC"/>
    <w:rsid w:val="005D476C"/>
    <w:rsid w:val="005F294C"/>
    <w:rsid w:val="006219F8"/>
    <w:rsid w:val="00665D70"/>
    <w:rsid w:val="006900D9"/>
    <w:rsid w:val="006B2E84"/>
    <w:rsid w:val="0070362A"/>
    <w:rsid w:val="00706C16"/>
    <w:rsid w:val="00756841"/>
    <w:rsid w:val="007649AB"/>
    <w:rsid w:val="00771D0C"/>
    <w:rsid w:val="007833AC"/>
    <w:rsid w:val="00797142"/>
    <w:rsid w:val="007B12D1"/>
    <w:rsid w:val="007B268C"/>
    <w:rsid w:val="007B7171"/>
    <w:rsid w:val="007C0C0F"/>
    <w:rsid w:val="007C3DC2"/>
    <w:rsid w:val="007E5497"/>
    <w:rsid w:val="007F7990"/>
    <w:rsid w:val="00806F5F"/>
    <w:rsid w:val="00820278"/>
    <w:rsid w:val="00867F95"/>
    <w:rsid w:val="008843B6"/>
    <w:rsid w:val="00891928"/>
    <w:rsid w:val="008A446D"/>
    <w:rsid w:val="008D180B"/>
    <w:rsid w:val="008F0EA7"/>
    <w:rsid w:val="008F5C50"/>
    <w:rsid w:val="00914A12"/>
    <w:rsid w:val="00923EEF"/>
    <w:rsid w:val="009419F9"/>
    <w:rsid w:val="00944737"/>
    <w:rsid w:val="0095685E"/>
    <w:rsid w:val="00961B09"/>
    <w:rsid w:val="009636B5"/>
    <w:rsid w:val="00965334"/>
    <w:rsid w:val="0097093E"/>
    <w:rsid w:val="00986AC5"/>
    <w:rsid w:val="009A0DFA"/>
    <w:rsid w:val="009B2D26"/>
    <w:rsid w:val="009C71FA"/>
    <w:rsid w:val="009C72E7"/>
    <w:rsid w:val="009D3058"/>
    <w:rsid w:val="009F3A13"/>
    <w:rsid w:val="00A11BFB"/>
    <w:rsid w:val="00A122D3"/>
    <w:rsid w:val="00A17F13"/>
    <w:rsid w:val="00A20739"/>
    <w:rsid w:val="00A23CD3"/>
    <w:rsid w:val="00A339BC"/>
    <w:rsid w:val="00A33C78"/>
    <w:rsid w:val="00A57D69"/>
    <w:rsid w:val="00A63146"/>
    <w:rsid w:val="00AA17D5"/>
    <w:rsid w:val="00AB0ADB"/>
    <w:rsid w:val="00B01B1A"/>
    <w:rsid w:val="00B501D9"/>
    <w:rsid w:val="00B53F06"/>
    <w:rsid w:val="00B66319"/>
    <w:rsid w:val="00B72CD3"/>
    <w:rsid w:val="00B72FFF"/>
    <w:rsid w:val="00B80D2D"/>
    <w:rsid w:val="00BA6709"/>
    <w:rsid w:val="00BC3D36"/>
    <w:rsid w:val="00BC3F38"/>
    <w:rsid w:val="00BD7F72"/>
    <w:rsid w:val="00C00B53"/>
    <w:rsid w:val="00C04FB3"/>
    <w:rsid w:val="00C25ECB"/>
    <w:rsid w:val="00C330EB"/>
    <w:rsid w:val="00C41061"/>
    <w:rsid w:val="00C754BE"/>
    <w:rsid w:val="00C76B1C"/>
    <w:rsid w:val="00C9493F"/>
    <w:rsid w:val="00CB4617"/>
    <w:rsid w:val="00CB6357"/>
    <w:rsid w:val="00CC1B26"/>
    <w:rsid w:val="00D06E0A"/>
    <w:rsid w:val="00D34E24"/>
    <w:rsid w:val="00D423A2"/>
    <w:rsid w:val="00D473DD"/>
    <w:rsid w:val="00D520D8"/>
    <w:rsid w:val="00D63AC2"/>
    <w:rsid w:val="00D726E2"/>
    <w:rsid w:val="00D7383B"/>
    <w:rsid w:val="00D80991"/>
    <w:rsid w:val="00DA231B"/>
    <w:rsid w:val="00DB7BDF"/>
    <w:rsid w:val="00DC39FC"/>
    <w:rsid w:val="00DF0ADA"/>
    <w:rsid w:val="00DF5254"/>
    <w:rsid w:val="00E16408"/>
    <w:rsid w:val="00E20894"/>
    <w:rsid w:val="00E245AB"/>
    <w:rsid w:val="00E2764C"/>
    <w:rsid w:val="00E27F2E"/>
    <w:rsid w:val="00E40A42"/>
    <w:rsid w:val="00E50AFE"/>
    <w:rsid w:val="00E75C92"/>
    <w:rsid w:val="00E771DC"/>
    <w:rsid w:val="00E8772A"/>
    <w:rsid w:val="00E900A0"/>
    <w:rsid w:val="00E90F6B"/>
    <w:rsid w:val="00E92C27"/>
    <w:rsid w:val="00EA0E3D"/>
    <w:rsid w:val="00EA4645"/>
    <w:rsid w:val="00EC38A7"/>
    <w:rsid w:val="00EC3D36"/>
    <w:rsid w:val="00ED06CC"/>
    <w:rsid w:val="00ED7384"/>
    <w:rsid w:val="00EE1AA8"/>
    <w:rsid w:val="00EE458F"/>
    <w:rsid w:val="00F1330A"/>
    <w:rsid w:val="00F31EDC"/>
    <w:rsid w:val="00F462B3"/>
    <w:rsid w:val="00F5664F"/>
    <w:rsid w:val="00F666C4"/>
    <w:rsid w:val="00F76AFC"/>
    <w:rsid w:val="00FA47C0"/>
    <w:rsid w:val="00FB5DD1"/>
    <w:rsid w:val="00FC2B5D"/>
    <w:rsid w:val="00FD3712"/>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F74A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F74A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stitucional@caxdac.com" TargetMode="External"/><Relationship Id="rId17"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sites/cce_public/files/cce_circulares/doc-20240823-wa0021.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circular-unica-externa"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circulares/doc-20240823-wa0021.pdf" TargetMode="External"/><Relationship Id="rId2" Type="http://schemas.openxmlformats.org/officeDocument/2006/relationships/hyperlink" Target="https://www.colombiacompra.gov.co/wp-content/uploads/2025/03/doc-20240823-wa0021.pdf" TargetMode="External"/><Relationship Id="rId1" Type="http://schemas.openxmlformats.org/officeDocument/2006/relationships/hyperlink" Target="https://www.colombiacompra.gov.co/normativa-y-relatoria/circular-unica-exter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1DD73-A58F-42EF-89F0-E7DDAAC7FEA9}"/>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s>
</ds:datastoreItem>
</file>

<file path=customXml/itemProps4.xml><?xml version="1.0" encoding="utf-8"?>
<ds:datastoreItem xmlns:ds="http://schemas.openxmlformats.org/officeDocument/2006/customXml" ds:itemID="{383D2069-C9A4-4966-96D2-99D5C820F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4718</Words>
  <Characters>25949</Characters>
  <Application>Microsoft Office Word</Application>
  <DocSecurity>0</DocSecurity>
  <Lines>216</Lines>
  <Paragraphs>61</Paragraphs>
  <ScaleCrop>false</ScaleCrop>
  <Company/>
  <LinksUpToDate>false</LinksUpToDate>
  <CharactersWithSpaces>30606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2025-07-31T17:57:00Z</dcterms:created>
  <dcterms:modified xsi:type="dcterms:W3CDTF">2025-07-31T17:57:00Z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