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C4DDC" w14:textId="77777777" w:rsidR="00F5721C" w:rsidRPr="00F5721C" w:rsidRDefault="00F5721C">
      <w:pPr>
        <w:rPr>
          <w:rFonts w:ascii="Verdana" w:hAnsi="Verdana"/>
          <w:b/>
        </w:rPr>
      </w:pPr>
      <w:r w:rsidRPr="00F5721C">
        <w:rPr>
          <w:rFonts w:ascii="Verdana" w:hAnsi="Verdana"/>
          <w:b/>
        </w:rPr>
        <w:t xml:space="preserve">SECOP I – Principio de Publicidad y Transparencia </w:t>
      </w:r>
    </w:p>
    <w:p w14:paraId="55FF22D4" w14:textId="4D716B2C" w:rsidR="00F5721C" w:rsidRPr="00F5721C" w:rsidRDefault="00F5721C" w:rsidP="00F5721C">
      <w:pPr>
        <w:jc w:val="both"/>
        <w:rPr>
          <w:rFonts w:ascii="Verdana" w:hAnsi="Verdana"/>
          <w:sz w:val="20"/>
        </w:rPr>
      </w:pPr>
      <w:r w:rsidRPr="00F5721C">
        <w:rPr>
          <w:rFonts w:ascii="Verdana" w:hAnsi="Verdana" w:cs="Arial"/>
          <w:sz w:val="20"/>
          <w:shd w:val="clear" w:color="auto" w:fill="FFFFFF"/>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3ABA1AD4" w14:textId="77777777" w:rsidR="00F5721C" w:rsidRPr="00F5721C" w:rsidRDefault="00F5721C">
      <w:pPr>
        <w:rPr>
          <w:rFonts w:ascii="Verdana" w:hAnsi="Verdana"/>
          <w:b/>
        </w:rPr>
      </w:pPr>
      <w:r w:rsidRPr="00F5721C">
        <w:rPr>
          <w:rFonts w:ascii="Verdana" w:hAnsi="Verdana"/>
          <w:b/>
        </w:rPr>
        <w:t xml:space="preserve">OFERTA – Apertura – Publicidad – </w:t>
      </w:r>
      <w:proofErr w:type="spellStart"/>
      <w:r w:rsidRPr="00F5721C">
        <w:rPr>
          <w:rFonts w:ascii="Verdana" w:hAnsi="Verdana"/>
          <w:b/>
        </w:rPr>
        <w:t>Secop</w:t>
      </w:r>
      <w:proofErr w:type="spellEnd"/>
      <w:r w:rsidRPr="00F5721C">
        <w:rPr>
          <w:rFonts w:ascii="Verdana" w:hAnsi="Verdana"/>
          <w:b/>
        </w:rPr>
        <w:t xml:space="preserve"> </w:t>
      </w:r>
    </w:p>
    <w:p w14:paraId="7F4A48B2" w14:textId="5D2FD929" w:rsidR="00F5721C" w:rsidRPr="00F5721C" w:rsidRDefault="00F5721C" w:rsidP="00F5721C">
      <w:pPr>
        <w:jc w:val="both"/>
        <w:rPr>
          <w:rFonts w:ascii="Verdana" w:hAnsi="Verdana"/>
          <w:b/>
          <w:sz w:val="20"/>
        </w:rPr>
      </w:pPr>
      <w:r w:rsidRPr="00F5721C">
        <w:rPr>
          <w:rFonts w:ascii="Verdana" w:eastAsia="Calibri" w:hAnsi="Verdana" w:cs="Arial"/>
          <w:color w:val="000000" w:themeColor="text1"/>
          <w:sz w:val="20"/>
        </w:rPr>
        <w:t xml:space="preserve">La referida circular indica que cuando el proceso de contratación se publique en SECOP I, vencido el termino para presentar ofertas, la Entidad Estatal - sin perjuicio de lo dispuesto en el artículo </w:t>
      </w:r>
      <w:r w:rsidRPr="00F5721C">
        <w:rPr>
          <w:rFonts w:ascii="Verdana" w:hAnsi="Verdana"/>
          <w:sz w:val="20"/>
        </w:rPr>
        <w:t>2.2.1.1.2.2.5 del Decreto 1082 de 2015 – puede realizar la apertura de las propuestas en presencia de los proponentes o veedores que deseen asistir, y elaborar un acta de cierre en la cual conste la fecha y hora de recibo de las ofertas, indicando nombre o razón social de los oferentes y sus representantes legales. Además, el acta de cierre puede incluir datos generales de las propuestas, como, por ejemplo, la presentación o no de la garantía de seriedad de la oferta, en caso de que se haya requerido, o el valor ofertado, salvo en aquellos casos en que se presente sobre económico que deba permanecer cerrado</w:t>
      </w:r>
    </w:p>
    <w:p w14:paraId="61F16D46" w14:textId="77777777" w:rsidR="00F5721C" w:rsidRDefault="00F5721C">
      <w:pPr>
        <w:rPr>
          <w:rFonts w:ascii="Verdana" w:eastAsia="Calibri" w:hAnsi="Verdana" w:cs="Times New Roman"/>
        </w:rPr>
      </w:pPr>
      <w:r w:rsidRPr="00F5721C">
        <w:rPr>
          <w:rFonts w:ascii="Verdana" w:hAnsi="Verdana"/>
          <w:b/>
        </w:rPr>
        <w:t>OFERTA – Principio de transparencia – Acceso de los interesados</w:t>
      </w:r>
      <w:r>
        <w:rPr>
          <w:rFonts w:ascii="Verdana" w:eastAsia="Calibri" w:hAnsi="Verdana" w:cs="Times New Roman"/>
        </w:rPr>
        <w:t xml:space="preserve"> </w:t>
      </w:r>
    </w:p>
    <w:p w14:paraId="65F13FAD" w14:textId="05FA107E" w:rsidR="00F5721C" w:rsidRDefault="00F5721C" w:rsidP="00F5721C">
      <w:pPr>
        <w:jc w:val="both"/>
        <w:rPr>
          <w:rFonts w:ascii="Verdana" w:eastAsia="Calibri" w:hAnsi="Verdana" w:cs="Times New Roman"/>
        </w:rPr>
      </w:pPr>
      <w:r w:rsidRPr="00F5721C">
        <w:rPr>
          <w:rFonts w:ascii="Verdana" w:eastAsia="Calibri" w:hAnsi="Verdana" w:cs="Arial"/>
          <w:sz w:val="20"/>
        </w:rPr>
        <w:t>Ahora bien, los «interesados» en los procedimientos de selección pueden solicitar la copia de las ofertas mediante una petición de documentos a la entidad contratante, de acuerdo con el artículo 14 de la Ley 1437 de 2011, y la entidad tiene un plazo máximo de diez (10) días para responder, so pena que, vencido el término, deba entregar los documentos, sin la posibilidad de rechazar la solicitud, lo cual se debe cumplir en un plazo de tres (3) días</w:t>
      </w:r>
      <w:r>
        <w:rPr>
          <w:rFonts w:ascii="Verdana" w:eastAsia="Calibri" w:hAnsi="Verdana" w:cs="Times New Roman"/>
        </w:rPr>
        <w:br w:type="page"/>
      </w:r>
    </w:p>
    <w:p w14:paraId="2F0602CD" w14:textId="4AACE59B" w:rsidR="00FB4D96" w:rsidRDefault="00FB4D96" w:rsidP="00FB4D96">
      <w:pPr>
        <w:spacing w:after="0"/>
        <w:jc w:val="both"/>
        <w:rPr>
          <w:rFonts w:ascii="Verdana" w:eastAsia="Calibri" w:hAnsi="Verdana" w:cs="Times New Roman"/>
        </w:rPr>
      </w:pPr>
      <w:r w:rsidRPr="00CC2A30">
        <w:rPr>
          <w:rFonts w:ascii="Verdana" w:eastAsia="Calibri" w:hAnsi="Verdana" w:cs="Times New Roman"/>
        </w:rPr>
        <w:lastRenderedPageBreak/>
        <w:t xml:space="preserve">Bogotá D.C., </w:t>
      </w:r>
      <w:r w:rsidR="0011236F">
        <w:rPr>
          <w:rFonts w:ascii="Verdana" w:eastAsia="Calibri" w:hAnsi="Verdana" w:cs="Times New Roman"/>
        </w:rPr>
        <w:t>12 Diciembre 2024</w:t>
      </w:r>
    </w:p>
    <w:p w14:paraId="7D88D16C" w14:textId="38E04F8C" w:rsidR="0011236F" w:rsidRPr="00CC2A30" w:rsidRDefault="0011236F" w:rsidP="0011236F">
      <w:pPr>
        <w:spacing w:after="0"/>
        <w:jc w:val="right"/>
        <w:rPr>
          <w:rFonts w:ascii="Verdana" w:hAnsi="Verdana"/>
          <w:lang w:val="es-MX"/>
        </w:rPr>
      </w:pPr>
      <w:r w:rsidRPr="0011236F">
        <w:rPr>
          <w:rFonts w:ascii="Verdana" w:hAnsi="Verdana"/>
          <w:lang w:val="es-MX"/>
        </w:rPr>
        <w:drawing>
          <wp:inline distT="0" distB="0" distL="0" distR="0" wp14:anchorId="1058884D" wp14:editId="6EEB37B7">
            <wp:extent cx="2633986" cy="76880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60550" cy="776557"/>
                    </a:xfrm>
                    <a:prstGeom prst="rect">
                      <a:avLst/>
                    </a:prstGeom>
                  </pic:spPr>
                </pic:pic>
              </a:graphicData>
            </a:graphic>
          </wp:inline>
        </w:drawing>
      </w:r>
    </w:p>
    <w:p w14:paraId="14A64293" w14:textId="77777777" w:rsidR="00FB4D96" w:rsidRPr="00CC2A30" w:rsidRDefault="00FB4D96" w:rsidP="00FB4D96">
      <w:pPr>
        <w:spacing w:after="0"/>
        <w:jc w:val="both"/>
        <w:rPr>
          <w:rFonts w:ascii="Verdana" w:hAnsi="Verdana"/>
          <w:lang w:val="es-MX"/>
        </w:rPr>
      </w:pPr>
    </w:p>
    <w:p w14:paraId="3076A435" w14:textId="77777777" w:rsidR="00664F75" w:rsidRDefault="00664F75" w:rsidP="00FB4D96">
      <w:pPr>
        <w:spacing w:after="0"/>
        <w:jc w:val="both"/>
        <w:rPr>
          <w:rFonts w:ascii="Verdana" w:hAnsi="Verdana"/>
        </w:rPr>
      </w:pPr>
      <w:r w:rsidRPr="00664F75">
        <w:rPr>
          <w:rFonts w:ascii="Verdana" w:hAnsi="Verdana"/>
        </w:rPr>
        <w:t xml:space="preserve">Señores </w:t>
      </w:r>
    </w:p>
    <w:p w14:paraId="03CABDA2" w14:textId="77777777" w:rsidR="00664F75" w:rsidRPr="007C110F" w:rsidRDefault="00664F75" w:rsidP="00FB4D96">
      <w:pPr>
        <w:spacing w:after="0"/>
        <w:jc w:val="both"/>
        <w:rPr>
          <w:rFonts w:ascii="Verdana" w:hAnsi="Verdana"/>
          <w:b/>
          <w:bCs/>
        </w:rPr>
      </w:pPr>
      <w:r w:rsidRPr="007C110F">
        <w:rPr>
          <w:rFonts w:ascii="Verdana" w:hAnsi="Verdana"/>
          <w:b/>
          <w:bCs/>
        </w:rPr>
        <w:t xml:space="preserve">Grupo de Proponentes del Departamento de Nariño </w:t>
      </w:r>
    </w:p>
    <w:p w14:paraId="1FAEFB70" w14:textId="0859CB3E" w:rsidR="00664F75" w:rsidRDefault="00317EC8" w:rsidP="00FB4D96">
      <w:pPr>
        <w:spacing w:after="0"/>
        <w:jc w:val="both"/>
        <w:rPr>
          <w:rFonts w:ascii="Verdana" w:hAnsi="Verdana"/>
        </w:rPr>
      </w:pPr>
      <w:hyperlink r:id="rId12" w:history="1">
        <w:r w:rsidR="00664F75" w:rsidRPr="00073587">
          <w:rPr>
            <w:rStyle w:val="Hipervnculo"/>
            <w:rFonts w:ascii="Verdana" w:hAnsi="Verdana"/>
          </w:rPr>
          <w:t>angie98ortiz@hotmail.es</w:t>
        </w:r>
      </w:hyperlink>
      <w:r w:rsidR="00664F75" w:rsidRPr="00664F75">
        <w:rPr>
          <w:rFonts w:ascii="Verdana" w:hAnsi="Verdana"/>
        </w:rPr>
        <w:t xml:space="preserve"> </w:t>
      </w:r>
    </w:p>
    <w:p w14:paraId="25694659" w14:textId="13D9A581" w:rsidR="00533C6F" w:rsidRDefault="00664F75" w:rsidP="00FB4D96">
      <w:pPr>
        <w:spacing w:after="0"/>
        <w:jc w:val="both"/>
        <w:rPr>
          <w:rFonts w:ascii="Verdana" w:hAnsi="Verdana"/>
        </w:rPr>
      </w:pPr>
      <w:r w:rsidRPr="00664F75">
        <w:rPr>
          <w:rFonts w:ascii="Verdana" w:hAnsi="Verdana"/>
        </w:rPr>
        <w:t>Bogotá D.C</w:t>
      </w:r>
    </w:p>
    <w:p w14:paraId="6C51B298" w14:textId="77777777" w:rsidR="00A82870" w:rsidRDefault="00A82870" w:rsidP="00FB4D96">
      <w:pPr>
        <w:spacing w:after="0"/>
        <w:jc w:val="both"/>
        <w:rPr>
          <w:rFonts w:ascii="Verdana" w:hAnsi="Verdana"/>
        </w:rPr>
      </w:pPr>
    </w:p>
    <w:p w14:paraId="6D863866" w14:textId="0A7FB4A3" w:rsidR="00A82870" w:rsidRPr="00A82870" w:rsidRDefault="00A82870" w:rsidP="00FB4D96">
      <w:pPr>
        <w:spacing w:after="0"/>
        <w:jc w:val="both"/>
        <w:rPr>
          <w:rFonts w:ascii="Verdana" w:hAnsi="Verdana"/>
          <w:b/>
          <w:bCs/>
        </w:rPr>
      </w:pPr>
      <w:r>
        <w:rPr>
          <w:rFonts w:ascii="Verdana" w:hAnsi="Verdana"/>
        </w:rPr>
        <w:tab/>
      </w:r>
      <w:r>
        <w:rPr>
          <w:rFonts w:ascii="Verdana" w:hAnsi="Verdana"/>
        </w:rPr>
        <w:tab/>
      </w:r>
      <w:r>
        <w:rPr>
          <w:rFonts w:ascii="Verdana" w:hAnsi="Verdana"/>
        </w:rPr>
        <w:tab/>
      </w:r>
      <w:r>
        <w:rPr>
          <w:rFonts w:ascii="Verdana" w:hAnsi="Verdana"/>
        </w:rPr>
        <w:tab/>
      </w:r>
      <w:r w:rsidRPr="00A82870">
        <w:rPr>
          <w:rFonts w:ascii="Verdana" w:hAnsi="Verdana"/>
          <w:b/>
          <w:bCs/>
        </w:rPr>
        <w:t>Concepto C–809 de 2024</w:t>
      </w:r>
    </w:p>
    <w:p w14:paraId="05CD613C" w14:textId="77777777" w:rsidR="00FB4D96" w:rsidRPr="00CC2A30" w:rsidRDefault="00FB4D96" w:rsidP="00FB4D96">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B4D96" w:rsidRPr="00CC2A30" w14:paraId="46B554DA" w14:textId="77777777" w:rsidTr="00740A8B">
        <w:trPr>
          <w:trHeight w:val="884"/>
        </w:trPr>
        <w:tc>
          <w:tcPr>
            <w:tcW w:w="2685" w:type="dxa"/>
            <w:hideMark/>
          </w:tcPr>
          <w:p w14:paraId="3317E7FB" w14:textId="033F42FE" w:rsidR="00FB4D96" w:rsidRPr="00CC2A30" w:rsidRDefault="00A82870" w:rsidP="00740A8B">
            <w:pPr>
              <w:jc w:val="both"/>
              <w:rPr>
                <w:rFonts w:ascii="Verdana" w:eastAsia="Calibri" w:hAnsi="Verdana" w:cs="Arial"/>
                <w:b/>
                <w:bCs/>
                <w:szCs w:val="24"/>
                <w:lang w:val="es-ES_tradnl" w:eastAsia="es-ES_tradnl"/>
              </w:rPr>
            </w:pPr>
            <w:r>
              <w:rPr>
                <w:rFonts w:ascii="Verdana" w:eastAsia="Calibri" w:hAnsi="Verdana" w:cs="Arial"/>
                <w:b/>
                <w:bCs/>
                <w:szCs w:val="24"/>
                <w:lang w:val="es-ES_tradnl" w:eastAsia="es-ES_tradnl"/>
              </w:rPr>
              <w:t>Temas</w:t>
            </w:r>
            <w:r w:rsidR="00FB4D96" w:rsidRPr="00CC2A30">
              <w:rPr>
                <w:rFonts w:ascii="Verdana" w:eastAsia="Calibri" w:hAnsi="Verdana" w:cs="Arial"/>
                <w:b/>
                <w:bCs/>
                <w:szCs w:val="24"/>
                <w:lang w:val="es-ES_tradnl" w:eastAsia="es-ES_tradnl"/>
              </w:rPr>
              <w:t xml:space="preserve">:                   </w:t>
            </w:r>
          </w:p>
        </w:tc>
        <w:tc>
          <w:tcPr>
            <w:tcW w:w="6241" w:type="dxa"/>
            <w:hideMark/>
          </w:tcPr>
          <w:p w14:paraId="13A79106" w14:textId="022F48BB" w:rsidR="00FB4D96" w:rsidRPr="00CC2A30" w:rsidRDefault="00A82870" w:rsidP="00740A8B">
            <w:pPr>
              <w:spacing w:line="276" w:lineRule="auto"/>
              <w:jc w:val="both"/>
              <w:rPr>
                <w:rFonts w:ascii="Verdana" w:hAnsi="Verdana"/>
              </w:rPr>
            </w:pPr>
            <w:r w:rsidRPr="00A82870">
              <w:rPr>
                <w:rFonts w:ascii="Verdana" w:hAnsi="Verdana"/>
              </w:rPr>
              <w:t xml:space="preserve">SECOP I – Principio de Publicidad y Transparencia / OFERTA – Apertura – Publicidad – </w:t>
            </w:r>
            <w:proofErr w:type="spellStart"/>
            <w:r w:rsidRPr="00A82870">
              <w:rPr>
                <w:rFonts w:ascii="Verdana" w:hAnsi="Verdana"/>
              </w:rPr>
              <w:t>Secop</w:t>
            </w:r>
            <w:proofErr w:type="spellEnd"/>
            <w:r w:rsidRPr="00A82870">
              <w:rPr>
                <w:rFonts w:ascii="Verdana" w:hAnsi="Verdana"/>
              </w:rPr>
              <w:t xml:space="preserve"> / OFERTA – Principio de transparencia – Acceso de los interesados</w:t>
            </w:r>
          </w:p>
        </w:tc>
        <w:tc>
          <w:tcPr>
            <w:tcW w:w="6237" w:type="dxa"/>
          </w:tcPr>
          <w:p w14:paraId="1E7341F0" w14:textId="77777777" w:rsidR="00FB4D96" w:rsidRPr="00CC2A30" w:rsidRDefault="00FB4D96" w:rsidP="00740A8B">
            <w:pPr>
              <w:jc w:val="both"/>
              <w:rPr>
                <w:rFonts w:ascii="Verdana" w:hAnsi="Verdana" w:cs="Arial"/>
                <w:lang w:val="es-ES"/>
              </w:rPr>
            </w:pPr>
          </w:p>
        </w:tc>
      </w:tr>
      <w:tr w:rsidR="00FB4D96" w:rsidRPr="00CC2A30" w14:paraId="12FD476F" w14:textId="77777777" w:rsidTr="00740A8B">
        <w:tc>
          <w:tcPr>
            <w:tcW w:w="2685" w:type="dxa"/>
            <w:hideMark/>
          </w:tcPr>
          <w:p w14:paraId="3584FFAB" w14:textId="77777777" w:rsidR="00FB4D96" w:rsidRPr="00CC2A30" w:rsidRDefault="00FB4D96" w:rsidP="00740A8B">
            <w:pPr>
              <w:spacing w:before="120"/>
              <w:jc w:val="both"/>
              <w:rPr>
                <w:rFonts w:ascii="Verdana" w:eastAsia="Calibri" w:hAnsi="Verdana" w:cs="Arial"/>
                <w:b/>
                <w:bCs/>
                <w:szCs w:val="24"/>
                <w:lang w:val="es-ES_tradnl" w:eastAsia="es-ES_tradnl"/>
              </w:rPr>
            </w:pPr>
            <w:r w:rsidRPr="00CC2A30">
              <w:rPr>
                <w:rFonts w:ascii="Verdana" w:eastAsia="Calibri" w:hAnsi="Verdana" w:cs="Arial"/>
                <w:b/>
                <w:bCs/>
                <w:szCs w:val="24"/>
                <w:lang w:val="es-ES_tradnl" w:eastAsia="es-ES_tradnl"/>
              </w:rPr>
              <w:t xml:space="preserve">Radicación:               </w:t>
            </w:r>
          </w:p>
        </w:tc>
        <w:tc>
          <w:tcPr>
            <w:tcW w:w="6241" w:type="dxa"/>
            <w:hideMark/>
          </w:tcPr>
          <w:p w14:paraId="4A51201B" w14:textId="7B5A00D6" w:rsidR="00FB4D96" w:rsidRPr="00CC2A30" w:rsidRDefault="00E536AA" w:rsidP="00740A8B">
            <w:pPr>
              <w:spacing w:before="120" w:line="276" w:lineRule="auto"/>
              <w:jc w:val="both"/>
              <w:rPr>
                <w:rFonts w:ascii="Verdana" w:eastAsia="Calibri" w:hAnsi="Verdana" w:cs="Arial"/>
                <w:szCs w:val="24"/>
                <w:lang w:val="es-ES_tradnl" w:eastAsia="es-ES_tradnl"/>
              </w:rPr>
            </w:pPr>
            <w:r w:rsidRPr="00E536AA">
              <w:rPr>
                <w:rFonts w:ascii="Verdana" w:eastAsia="Calibri" w:hAnsi="Verdana" w:cs="Arial"/>
                <w:szCs w:val="24"/>
                <w:lang w:eastAsia="es-ES_tradnl"/>
              </w:rPr>
              <w:t>Respuesta a consulta con radicado No. P20241101011099</w:t>
            </w:r>
          </w:p>
        </w:tc>
        <w:tc>
          <w:tcPr>
            <w:tcW w:w="6237" w:type="dxa"/>
          </w:tcPr>
          <w:p w14:paraId="2549959C" w14:textId="77777777" w:rsidR="00FB4D96" w:rsidRPr="00CC2A30" w:rsidRDefault="00FB4D96" w:rsidP="00740A8B">
            <w:pPr>
              <w:spacing w:before="120"/>
              <w:jc w:val="both"/>
              <w:rPr>
                <w:rFonts w:ascii="Verdana" w:eastAsia="Calibri" w:hAnsi="Verdana" w:cs="Arial"/>
                <w:szCs w:val="24"/>
                <w:lang w:val="es-ES_tradnl" w:eastAsia="es-ES_tradnl"/>
              </w:rPr>
            </w:pPr>
          </w:p>
        </w:tc>
      </w:tr>
    </w:tbl>
    <w:p w14:paraId="19AA24EC" w14:textId="77777777" w:rsidR="00FB4D96" w:rsidRPr="00CC2A30" w:rsidRDefault="00FB4D96" w:rsidP="00FB4D96">
      <w:pPr>
        <w:spacing w:after="0" w:line="240" w:lineRule="auto"/>
        <w:jc w:val="both"/>
        <w:rPr>
          <w:rFonts w:ascii="Verdana" w:eastAsia="Calibri" w:hAnsi="Verdana" w:cs="Arial"/>
          <w:szCs w:val="24"/>
          <w:lang w:val="es-ES_tradnl" w:eastAsia="es-ES_tradnl"/>
        </w:rPr>
      </w:pPr>
    </w:p>
    <w:p w14:paraId="2F574308" w14:textId="55563063" w:rsidR="00FB4D96" w:rsidRPr="007075CC" w:rsidRDefault="00E536AA" w:rsidP="007075CC">
      <w:pPr>
        <w:spacing w:after="0"/>
        <w:jc w:val="both"/>
        <w:rPr>
          <w:rFonts w:ascii="Verdana" w:hAnsi="Verdana"/>
          <w:b/>
        </w:rPr>
      </w:pPr>
      <w:r w:rsidRPr="00E536AA">
        <w:rPr>
          <w:rFonts w:ascii="Verdana" w:eastAsia="Calibri" w:hAnsi="Verdana" w:cs="Arial"/>
          <w:lang w:eastAsia="es-ES"/>
        </w:rPr>
        <w:t>Estimados Grupo de Proponentes del Departamento de Nariño</w:t>
      </w:r>
      <w:r w:rsidR="0086698E">
        <w:rPr>
          <w:rFonts w:ascii="Verdana" w:eastAsia="Calibri" w:hAnsi="Verdana" w:cs="Arial"/>
          <w:lang w:val="es-ES" w:eastAsia="es-ES"/>
        </w:rPr>
        <w:t>;</w:t>
      </w:r>
      <w:r w:rsidR="00FB4D96" w:rsidRPr="00CC2A30">
        <w:rPr>
          <w:rFonts w:ascii="Verdana" w:eastAsia="Calibri" w:hAnsi="Verdana" w:cs="Arial"/>
          <w:lang w:val="es-ES" w:eastAsia="es-ES"/>
        </w:rPr>
        <w:t xml:space="preserve"> </w:t>
      </w:r>
    </w:p>
    <w:p w14:paraId="41B366D1" w14:textId="77777777" w:rsidR="00FB4D96" w:rsidRPr="00CC2A30" w:rsidRDefault="00FB4D96" w:rsidP="00FB4D96">
      <w:pPr>
        <w:spacing w:after="0" w:line="240" w:lineRule="auto"/>
        <w:jc w:val="both"/>
        <w:rPr>
          <w:rFonts w:ascii="Verdana" w:eastAsia="Calibri" w:hAnsi="Verdana" w:cs="Arial"/>
          <w:lang w:val="es-ES" w:eastAsia="es-ES"/>
        </w:rPr>
      </w:pPr>
    </w:p>
    <w:p w14:paraId="1A7C42C2" w14:textId="4D004680" w:rsidR="00FB4D96" w:rsidRDefault="00FB4D96" w:rsidP="00FB4D96">
      <w:pPr>
        <w:spacing w:after="120" w:line="276" w:lineRule="auto"/>
        <w:jc w:val="both"/>
        <w:rPr>
          <w:rFonts w:ascii="Verdana" w:eastAsia="Calibri" w:hAnsi="Verdana" w:cs="Arial"/>
          <w:lang w:val="es-ES" w:eastAsia="es-ES"/>
        </w:rPr>
      </w:pPr>
      <w:r w:rsidRPr="00CC2A30">
        <w:rPr>
          <w:rFonts w:ascii="Verdana" w:eastAsia="Calibri" w:hAnsi="Verdana" w:cs="Arial"/>
          <w:lang w:val="es-ES" w:eastAsia="es-ES"/>
        </w:rPr>
        <w:t>En ejercicio de la competencia otorgada por los artículos 3, numeral 5º, y 11, numeral 8º, del Decreto Ley 4170 de 2011,</w:t>
      </w:r>
      <w:r w:rsidRPr="00CC2A30">
        <w:rPr>
          <w:rFonts w:ascii="Verdana" w:eastAsia="Arial MT" w:hAnsi="Verdana" w:cs="Arial MT"/>
          <w:lang w:val="es-ES" w:eastAsia="es-ES"/>
        </w:rPr>
        <w:t xml:space="preserve"> </w:t>
      </w:r>
      <w:r w:rsidRPr="00CC2A30">
        <w:rPr>
          <w:rFonts w:ascii="Verdana" w:eastAsia="Calibri" w:hAnsi="Verdana" w:cs="Arial"/>
          <w:lang w:val="es-ES" w:eastAsia="es-ES"/>
        </w:rPr>
        <w:t xml:space="preserve">la Agencia Nacional de Contratación Pública – Colombia Compra Eficiente– responde la solicitud de consulta del </w:t>
      </w:r>
      <w:r w:rsidR="007075CC">
        <w:rPr>
          <w:rFonts w:ascii="Verdana" w:eastAsia="Calibri" w:hAnsi="Verdana" w:cs="Arial"/>
          <w:lang w:val="es-ES" w:eastAsia="es-ES"/>
        </w:rPr>
        <w:t>01</w:t>
      </w:r>
      <w:r w:rsidRPr="00CC2A30">
        <w:rPr>
          <w:rFonts w:ascii="Verdana" w:eastAsia="Calibri" w:hAnsi="Verdana" w:cs="Arial"/>
          <w:lang w:val="es-ES" w:eastAsia="es-ES"/>
        </w:rPr>
        <w:t xml:space="preserve"> de </w:t>
      </w:r>
      <w:r>
        <w:rPr>
          <w:rFonts w:ascii="Verdana" w:eastAsia="Calibri" w:hAnsi="Verdana" w:cs="Arial"/>
          <w:lang w:val="es-ES" w:eastAsia="es-ES"/>
        </w:rPr>
        <w:t>noviembre</w:t>
      </w:r>
      <w:r w:rsidRPr="00CC2A30">
        <w:rPr>
          <w:rFonts w:ascii="Verdana" w:eastAsia="Calibri" w:hAnsi="Verdana" w:cs="Arial"/>
          <w:lang w:val="es-ES" w:eastAsia="es-ES"/>
        </w:rPr>
        <w:t xml:space="preserve"> de 2024. En la cual manifiesta lo siguiente:</w:t>
      </w:r>
      <w:r>
        <w:rPr>
          <w:rFonts w:ascii="Verdana" w:eastAsia="Calibri" w:hAnsi="Verdana" w:cs="Arial"/>
          <w:lang w:val="es-ES" w:eastAsia="es-ES"/>
        </w:rPr>
        <w:t xml:space="preserve"> </w:t>
      </w:r>
    </w:p>
    <w:p w14:paraId="32C7667B" w14:textId="0BDF6A64" w:rsidR="006A5E68" w:rsidRDefault="00FB4D96" w:rsidP="00FB4D96">
      <w:pPr>
        <w:spacing w:after="120" w:line="276" w:lineRule="auto"/>
        <w:ind w:left="567" w:right="900"/>
        <w:jc w:val="both"/>
        <w:rPr>
          <w:rFonts w:ascii="Verdana" w:eastAsia="Calibri" w:hAnsi="Verdana" w:cs="Arial"/>
          <w:sz w:val="20"/>
          <w:szCs w:val="20"/>
          <w:lang w:val="es-ES" w:eastAsia="es-ES"/>
        </w:rPr>
      </w:pPr>
      <w:r w:rsidRPr="00AB3EE6">
        <w:rPr>
          <w:rFonts w:ascii="Verdana" w:eastAsia="Calibri" w:hAnsi="Verdana" w:cs="Arial"/>
          <w:sz w:val="20"/>
          <w:szCs w:val="20"/>
          <w:lang w:val="es-ES" w:eastAsia="es-ES"/>
        </w:rPr>
        <w:t>(…)</w:t>
      </w:r>
      <w:r w:rsidR="006A5E68">
        <w:rPr>
          <w:rFonts w:ascii="Verdana" w:eastAsia="Calibri" w:hAnsi="Verdana" w:cs="Arial"/>
          <w:sz w:val="20"/>
          <w:szCs w:val="20"/>
          <w:lang w:val="es-ES" w:eastAsia="es-ES"/>
        </w:rPr>
        <w:t xml:space="preserve"> </w:t>
      </w:r>
      <w:r w:rsidR="006A5E68" w:rsidRPr="006A5E68">
        <w:rPr>
          <w:rFonts w:ascii="Verdana" w:eastAsia="Calibri" w:hAnsi="Verdana" w:cs="Arial"/>
          <w:sz w:val="20"/>
          <w:szCs w:val="20"/>
          <w:lang w:eastAsia="es-ES"/>
        </w:rPr>
        <w:t xml:space="preserve">Ahora en materia, la consulta que realizamos a COLOMBIA COMPRA EFICIENTE ES: 1. ¿El no establecer hora de apertura de sobres dentro de una invitación pública en un proceso de mínima cuantía es procedente y está </w:t>
      </w:r>
      <w:bookmarkStart w:id="0" w:name="_Int_YRtRuU2y"/>
      <w:r w:rsidR="006A5E68" w:rsidRPr="006A5E68">
        <w:rPr>
          <w:rFonts w:ascii="Verdana" w:eastAsia="Calibri" w:hAnsi="Verdana" w:cs="Arial"/>
          <w:sz w:val="20"/>
          <w:szCs w:val="20"/>
          <w:lang w:eastAsia="es-ES"/>
        </w:rPr>
        <w:t>de acuerdo al</w:t>
      </w:r>
      <w:bookmarkEnd w:id="0"/>
      <w:r w:rsidR="006A5E68" w:rsidRPr="006A5E68">
        <w:rPr>
          <w:rFonts w:ascii="Verdana" w:eastAsia="Calibri" w:hAnsi="Verdana" w:cs="Arial"/>
          <w:sz w:val="20"/>
          <w:szCs w:val="20"/>
          <w:lang w:eastAsia="es-ES"/>
        </w:rPr>
        <w:t xml:space="preserve"> derecho de la contratación pública en Colombia y a sus principios? 2. ¿Una entidad pública no está obligada a señalar hora de apertura de sobres en un proceso de mínima cuantía? 3. ¿El no establecer hora de apertura de sobres en un proceso de mínima cuantía constituiría una violación o atentado al principio de publicidad y transparencia de la actividad de apertura de sobres teniendo en cuenta que esta actividad es diferente al informe de evaluación el cual da publicidad pero que hace parte de otro ítem del cronograma e incluso en ocasiones es publicado al día siguiente de la apertura de la oferta en un proceso de mínima cuantía? 4. ¿Es recomendable o es obligatorio señalar hora de apertura de sobres en procesos de mínimas cuantías? 5. ¿Cuáles serias las ventajas y </w:t>
      </w:r>
      <w:r w:rsidR="006A5E68" w:rsidRPr="006A5E68">
        <w:rPr>
          <w:rFonts w:ascii="Verdana" w:eastAsia="Calibri" w:hAnsi="Verdana" w:cs="Arial"/>
          <w:sz w:val="20"/>
          <w:szCs w:val="20"/>
          <w:lang w:eastAsia="es-ES"/>
        </w:rPr>
        <w:lastRenderedPageBreak/>
        <w:t>desventajas de no señalar hora de apertura de sobres en el cronograma de un proceso de mínima cuantía?</w:t>
      </w:r>
    </w:p>
    <w:p w14:paraId="2C19D65B" w14:textId="0EF6F2A5" w:rsidR="00FB4D96" w:rsidRPr="00AB3EE6" w:rsidRDefault="00FB4D96" w:rsidP="00FB4D96">
      <w:pPr>
        <w:spacing w:after="120" w:line="276" w:lineRule="auto"/>
        <w:ind w:left="567" w:right="900"/>
        <w:jc w:val="both"/>
        <w:rPr>
          <w:rFonts w:ascii="Verdana" w:eastAsia="Calibri" w:hAnsi="Verdana" w:cs="Arial"/>
          <w:sz w:val="20"/>
          <w:szCs w:val="20"/>
          <w:lang w:val="es-ES" w:eastAsia="es-ES"/>
        </w:rPr>
      </w:pPr>
      <w:r w:rsidRPr="00AB3EE6">
        <w:rPr>
          <w:rFonts w:ascii="Verdana" w:eastAsia="Calibri" w:hAnsi="Verdana" w:cs="Arial"/>
          <w:sz w:val="20"/>
          <w:szCs w:val="20"/>
          <w:lang w:val="es-ES" w:eastAsia="es-ES"/>
        </w:rPr>
        <w:t xml:space="preserve"> (…)</w:t>
      </w:r>
    </w:p>
    <w:p w14:paraId="76413EA4" w14:textId="77777777" w:rsidR="00FB4D96" w:rsidRPr="00CC2A30" w:rsidRDefault="00FB4D96" w:rsidP="00FB4D96">
      <w:pPr>
        <w:spacing w:after="120" w:line="276" w:lineRule="auto"/>
        <w:jc w:val="both"/>
        <w:rPr>
          <w:rFonts w:ascii="Verdana" w:eastAsia="Calibri" w:hAnsi="Verdana" w:cs="Arial"/>
          <w:lang w:val="es-ES" w:eastAsia="es-ES"/>
        </w:rPr>
      </w:pPr>
      <w:r>
        <w:rPr>
          <w:rFonts w:ascii="Verdana" w:eastAsia="Calibri" w:hAnsi="Verdana" w:cs="Arial"/>
          <w:lang w:val="es-ES_tradnl" w:eastAsia="es-ES_tradnl"/>
        </w:rPr>
        <w:tab/>
      </w:r>
      <w:r w:rsidRPr="00CC2A30">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00D14C3" w14:textId="77777777" w:rsidR="00FB4D96" w:rsidRPr="00CC2A30" w:rsidRDefault="00FB4D96" w:rsidP="00FB4D96">
      <w:pPr>
        <w:spacing w:after="0" w:line="276" w:lineRule="auto"/>
        <w:jc w:val="both"/>
        <w:rPr>
          <w:rFonts w:ascii="Verdana" w:eastAsia="Calibri" w:hAnsi="Verdana" w:cs="Arial"/>
          <w:lang w:val="es-ES" w:eastAsia="es-ES"/>
        </w:rPr>
      </w:pPr>
      <w:r w:rsidRPr="00CC2A30">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0E247FE" w14:textId="77777777" w:rsidR="00FB4D96" w:rsidRPr="00CC2A30" w:rsidRDefault="00FB4D96" w:rsidP="00FB4D96">
      <w:pPr>
        <w:spacing w:after="0" w:line="276" w:lineRule="auto"/>
        <w:jc w:val="both"/>
        <w:rPr>
          <w:rFonts w:ascii="Verdana" w:eastAsia="Calibri" w:hAnsi="Verdana" w:cs="Arial"/>
          <w:lang w:val="es-ES" w:eastAsia="es-ES"/>
        </w:rPr>
      </w:pPr>
    </w:p>
    <w:p w14:paraId="13F0BC3C" w14:textId="77777777" w:rsidR="00FB4D96" w:rsidRPr="00CC2A30" w:rsidRDefault="00FB4D96" w:rsidP="00FB4D9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Problema planteado:</w:t>
      </w:r>
    </w:p>
    <w:p w14:paraId="1571FEED" w14:textId="77777777" w:rsidR="00FB4D96" w:rsidRPr="00CC2A30" w:rsidRDefault="00FB4D96" w:rsidP="00FB4D96">
      <w:pPr>
        <w:spacing w:after="0" w:line="240" w:lineRule="auto"/>
        <w:jc w:val="both"/>
        <w:rPr>
          <w:rFonts w:ascii="Verdana" w:eastAsia="Century Gothic" w:hAnsi="Verdana" w:cs="Century Gothic"/>
        </w:rPr>
      </w:pPr>
    </w:p>
    <w:p w14:paraId="6450B800" w14:textId="50A0FFB7" w:rsidR="008854B8" w:rsidRPr="00FC4C72" w:rsidRDefault="00FB4D96" w:rsidP="008854B8">
      <w:pPr>
        <w:spacing w:after="0" w:line="276" w:lineRule="auto"/>
        <w:jc w:val="both"/>
        <w:rPr>
          <w:rFonts w:ascii="Verdana" w:hAnsi="Verdana"/>
          <w:sz w:val="21"/>
          <w:szCs w:val="21"/>
        </w:rPr>
      </w:pPr>
      <w:r w:rsidRPr="00EB4013">
        <w:rPr>
          <w:rFonts w:ascii="Verdana" w:eastAsia="Century Gothic" w:hAnsi="Verdana" w:cs="Century Gothic"/>
        </w:rPr>
        <w:t>De acuerdo con el contenido de su</w:t>
      </w:r>
      <w:r>
        <w:rPr>
          <w:rFonts w:ascii="Verdana" w:eastAsia="Century Gothic" w:hAnsi="Verdana" w:cs="Century Gothic"/>
        </w:rPr>
        <w:t xml:space="preserve"> solicitud</w:t>
      </w:r>
      <w:r w:rsidRPr="00EB4013">
        <w:rPr>
          <w:rFonts w:ascii="Verdana" w:eastAsia="Century Gothic" w:hAnsi="Verdana" w:cs="Century Gothic"/>
        </w:rPr>
        <w:t xml:space="preserve">, esta Agencia resolverá </w:t>
      </w:r>
      <w:r w:rsidR="008B046E">
        <w:rPr>
          <w:rFonts w:ascii="Verdana" w:eastAsia="Century Gothic" w:hAnsi="Verdana" w:cs="Century Gothic"/>
        </w:rPr>
        <w:t xml:space="preserve">el siguiente </w:t>
      </w:r>
      <w:r w:rsidRPr="00EB4013">
        <w:rPr>
          <w:rFonts w:ascii="Verdana" w:eastAsia="Century Gothic" w:hAnsi="Verdana" w:cs="Century Gothic"/>
        </w:rPr>
        <w:t xml:space="preserve">problema jurídico: </w:t>
      </w:r>
      <w:r w:rsidR="008854B8">
        <w:rPr>
          <w:rFonts w:ascii="Verdana" w:eastAsia="Century Gothic" w:hAnsi="Verdana" w:cs="Century Gothic"/>
        </w:rPr>
        <w:t xml:space="preserve">(i) </w:t>
      </w:r>
      <w:r w:rsidR="00732905">
        <w:rPr>
          <w:rFonts w:ascii="Verdana" w:eastAsia="Century Gothic" w:hAnsi="Verdana" w:cs="Century Gothic"/>
        </w:rPr>
        <w:t>¿</w:t>
      </w:r>
      <w:r w:rsidR="007727AA" w:rsidRPr="007727AA">
        <w:t xml:space="preserve"> </w:t>
      </w:r>
      <w:r w:rsidR="007727AA" w:rsidRPr="007727AA">
        <w:rPr>
          <w:rFonts w:ascii="Verdana" w:eastAsia="Century Gothic" w:hAnsi="Verdana" w:cs="Century Gothic"/>
        </w:rPr>
        <w:t>En qué procesos de contratación pública, se debe publicar la hora y fecha de la audiencia para la apertura de sobres de las ofertas?</w:t>
      </w:r>
    </w:p>
    <w:p w14:paraId="2398306E" w14:textId="77777777" w:rsidR="00FB4D96" w:rsidRPr="00CC2A30" w:rsidRDefault="00FB4D96" w:rsidP="00FB4D96">
      <w:pPr>
        <w:spacing w:after="0" w:line="276" w:lineRule="auto"/>
        <w:jc w:val="both"/>
        <w:rPr>
          <w:rFonts w:ascii="Verdana" w:eastAsia="Century Gothic" w:hAnsi="Verdana" w:cs="Century Gothic"/>
        </w:rPr>
      </w:pPr>
    </w:p>
    <w:p w14:paraId="2086C26E" w14:textId="77777777" w:rsidR="00FB4D96" w:rsidRPr="00CC2A30" w:rsidRDefault="00FB4D96" w:rsidP="00FB4D9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Respuesta:</w:t>
      </w:r>
    </w:p>
    <w:p w14:paraId="6CDDC0F6" w14:textId="77777777" w:rsidR="00FB4D96" w:rsidRPr="00CC2A30" w:rsidRDefault="00FB4D96" w:rsidP="00FB4D96">
      <w:pPr>
        <w:pStyle w:val="Prrafodelista"/>
        <w:tabs>
          <w:tab w:val="left" w:pos="142"/>
          <w:tab w:val="left" w:pos="284"/>
        </w:tabs>
        <w:spacing w:after="0" w:line="276" w:lineRule="auto"/>
        <w:ind w:left="0"/>
        <w:jc w:val="both"/>
        <w:rPr>
          <w:rFonts w:ascii="Verdana" w:eastAsia="Century Gothic" w:hAnsi="Verdana" w:cs="Century Gothic"/>
          <w:b/>
          <w:bCs/>
        </w:rPr>
      </w:pPr>
    </w:p>
    <w:p w14:paraId="3735B171" w14:textId="77777777" w:rsidR="00F5204B" w:rsidRDefault="00082A43" w:rsidP="00FB4D96">
      <w:pPr>
        <w:pStyle w:val="Textoindependiente"/>
        <w:spacing w:before="1" w:line="276" w:lineRule="auto"/>
        <w:ind w:right="205"/>
        <w:jc w:val="both"/>
        <w:rPr>
          <w:rFonts w:ascii="Verdana" w:eastAsia="Century Gothic" w:hAnsi="Verdana" w:cs="Century Gothic"/>
          <w:lang w:val="es-CO"/>
        </w:rPr>
      </w:pPr>
      <w:r>
        <w:rPr>
          <w:rFonts w:ascii="Verdana" w:eastAsia="Century Gothic" w:hAnsi="Verdana" w:cs="Century Gothic"/>
        </w:rPr>
        <w:t>Respecto al interrogante</w:t>
      </w:r>
      <w:r w:rsidR="003E1610">
        <w:rPr>
          <w:rFonts w:ascii="Verdana" w:eastAsia="Century Gothic" w:hAnsi="Verdana" w:cs="Century Gothic"/>
        </w:rPr>
        <w:t xml:space="preserve"> se debe precisar que </w:t>
      </w:r>
      <w:r w:rsidR="00C64C89">
        <w:rPr>
          <w:rFonts w:ascii="Verdana" w:eastAsia="Century Gothic" w:hAnsi="Verdana" w:cs="Century Gothic"/>
        </w:rPr>
        <w:t>aunque</w:t>
      </w:r>
      <w:r w:rsidR="00332BF6" w:rsidRPr="00332BF6">
        <w:rPr>
          <w:rFonts w:ascii="Verdana" w:eastAsia="Century Gothic" w:hAnsi="Verdana" w:cs="Century Gothic"/>
          <w:lang w:val="es-CO"/>
        </w:rPr>
        <w:t xml:space="preserve"> la normativa vigente</w:t>
      </w:r>
      <w:r w:rsidR="003E1610">
        <w:rPr>
          <w:rFonts w:ascii="Verdana" w:eastAsia="Century Gothic" w:hAnsi="Verdana" w:cs="Century Gothic"/>
          <w:lang w:val="es-CO"/>
        </w:rPr>
        <w:t>-</w:t>
      </w:r>
      <w:r w:rsidR="00C64C89">
        <w:rPr>
          <w:rFonts w:ascii="Verdana" w:eastAsia="Century Gothic" w:hAnsi="Verdana" w:cs="Century Gothic"/>
          <w:lang w:val="es-CO"/>
        </w:rPr>
        <w:t>Estatuto General de Contratación de la Administración Pública-EGCAP-</w:t>
      </w:r>
      <w:r w:rsidR="00332BF6" w:rsidRPr="00332BF6">
        <w:rPr>
          <w:rFonts w:ascii="Verdana" w:eastAsia="Century Gothic" w:hAnsi="Verdana" w:cs="Century Gothic"/>
          <w:lang w:val="es-CO"/>
        </w:rPr>
        <w:t xml:space="preserve"> no determina de manera expresa que se debe adelantar una audiencia para la apertura de sobre dentro de los procesos objeto de la consulta, la Circular </w:t>
      </w:r>
      <w:r w:rsidR="00332BF6" w:rsidRPr="00332BF6">
        <w:rPr>
          <w:rFonts w:ascii="Verdana" w:eastAsia="Century Gothic" w:hAnsi="Verdana" w:cs="Century Gothic"/>
          <w:lang w:val="es-CO"/>
        </w:rPr>
        <w:lastRenderedPageBreak/>
        <w:t>Externa Única</w:t>
      </w:r>
      <w:r w:rsidR="00657E43">
        <w:rPr>
          <w:rStyle w:val="Refdenotaalpie"/>
          <w:rFonts w:ascii="Verdana" w:eastAsia="Century Gothic" w:hAnsi="Verdana" w:cs="Century Gothic"/>
          <w:lang w:val="es-CO"/>
        </w:rPr>
        <w:footnoteReference w:id="2"/>
      </w:r>
      <w:r w:rsidR="00332BF6" w:rsidRPr="00332BF6">
        <w:rPr>
          <w:rFonts w:ascii="Verdana" w:eastAsia="Century Gothic" w:hAnsi="Verdana" w:cs="Century Gothic"/>
          <w:lang w:val="es-CO"/>
        </w:rPr>
        <w:t xml:space="preserve"> proferida por la Agencia Nacional de Contratación Pública – Colombia Compra Eficiente ha fijado un criterio para determinar la necesidad de dicha etapa o actuación, en el marco de los diferentes mecanismos previstos para garantizar el principio de publicidad. </w:t>
      </w:r>
    </w:p>
    <w:p w14:paraId="6A077A35" w14:textId="77777777" w:rsidR="00F5204B" w:rsidRDefault="00F5204B" w:rsidP="00FB4D96">
      <w:pPr>
        <w:pStyle w:val="Textoindependiente"/>
        <w:spacing w:before="1" w:line="276" w:lineRule="auto"/>
        <w:ind w:right="205"/>
        <w:jc w:val="both"/>
        <w:rPr>
          <w:rFonts w:ascii="Verdana" w:eastAsia="Century Gothic" w:hAnsi="Verdana" w:cs="Century Gothic"/>
          <w:lang w:val="es-CO"/>
        </w:rPr>
      </w:pPr>
    </w:p>
    <w:p w14:paraId="17B83EEF" w14:textId="77777777" w:rsidR="000738CA" w:rsidRDefault="00332BF6" w:rsidP="00F5204B">
      <w:pPr>
        <w:pStyle w:val="Textoindependiente"/>
        <w:spacing w:before="1" w:line="276" w:lineRule="auto"/>
        <w:ind w:right="205" w:firstLine="708"/>
        <w:jc w:val="both"/>
        <w:rPr>
          <w:rFonts w:ascii="Verdana" w:eastAsia="Century Gothic" w:hAnsi="Verdana" w:cs="Century Gothic"/>
          <w:lang w:val="es-CO"/>
        </w:rPr>
      </w:pPr>
      <w:r w:rsidRPr="00332BF6">
        <w:rPr>
          <w:rFonts w:ascii="Verdana" w:eastAsia="Century Gothic" w:hAnsi="Verdana" w:cs="Century Gothic"/>
          <w:lang w:val="es-CO"/>
        </w:rPr>
        <w:t xml:space="preserve">La referida Circular indica que cuando el proceso de contratación se publique en el SECOP I, vencido el termino para presentar ofertas, la Entidad Estatal sin perjuicio de lo dispuesto en el artículo 2.2.1.1.2.2.5 del Decreto 1082 de 2015, puede realizar la apertura de las propuestas en presencia de los proponentes o veedores que desean asistir, y elaborar un acta de cierre en la cual conste la fecha y hora de recibido de las ofertas, indicando nombre o razón social de los oferentes y sus representantes legales. Ahora bien, en los procesos realizados en el SECOP II, la apertura de las ofertas se habilita una vez se cumpla la fecha de cierre dispuesta en el cronograma, momento a partir del cual la plataforma permite abrir las ofertas. </w:t>
      </w:r>
    </w:p>
    <w:p w14:paraId="1A7392F8" w14:textId="77777777" w:rsidR="000738CA" w:rsidRDefault="000738CA" w:rsidP="00F5204B">
      <w:pPr>
        <w:pStyle w:val="Textoindependiente"/>
        <w:spacing w:before="1" w:line="276" w:lineRule="auto"/>
        <w:ind w:right="205" w:firstLine="708"/>
        <w:jc w:val="both"/>
        <w:rPr>
          <w:rFonts w:ascii="Verdana" w:eastAsia="Century Gothic" w:hAnsi="Verdana" w:cs="Century Gothic"/>
          <w:lang w:val="es-CO"/>
        </w:rPr>
      </w:pPr>
    </w:p>
    <w:p w14:paraId="6BAEFA04" w14:textId="77777777" w:rsidR="000738CA" w:rsidRDefault="00332BF6" w:rsidP="00F5204B">
      <w:pPr>
        <w:pStyle w:val="Textoindependiente"/>
        <w:spacing w:before="1" w:line="276" w:lineRule="auto"/>
        <w:ind w:right="205" w:firstLine="708"/>
        <w:jc w:val="both"/>
        <w:rPr>
          <w:rFonts w:ascii="Verdana" w:eastAsia="Century Gothic" w:hAnsi="Verdana" w:cs="Century Gothic"/>
          <w:lang w:val="es-CO"/>
        </w:rPr>
      </w:pPr>
      <w:r w:rsidRPr="00332BF6">
        <w:rPr>
          <w:rFonts w:ascii="Verdana" w:eastAsia="Century Gothic" w:hAnsi="Verdana" w:cs="Century Gothic"/>
          <w:lang w:val="es-CO"/>
        </w:rPr>
        <w:t xml:space="preserve">En conclusión, no existe una obligación legal o reglamentaria específica que determine un momento exacto para la apertura de sobres, salvo lo señalado en la Ley 1882 de 2018 para contratación de obras públicas. Para el caso de procesos de selección de mínima cuantía, las entidades deben definir en los pliegos de condiciones el procedimiento y cronograma para la apertura de ofertas, respetando el principio de selección objetiva, reiterando que las ofertas deben abrirse después del cierre del plazo para su recepción y conforme a lo estipulado en el citado cronograma del proceso, cumpliendo con las normas de transparencia y publicidad. El procedimiento exacto varía dependiendo de si se utiliza SECOP I o SECOP II. </w:t>
      </w:r>
    </w:p>
    <w:p w14:paraId="30F5497E" w14:textId="77777777" w:rsidR="000738CA" w:rsidRDefault="000738CA" w:rsidP="00F5204B">
      <w:pPr>
        <w:pStyle w:val="Textoindependiente"/>
        <w:spacing w:before="1" w:line="276" w:lineRule="auto"/>
        <w:ind w:right="205" w:firstLine="708"/>
        <w:jc w:val="both"/>
        <w:rPr>
          <w:rFonts w:ascii="Verdana" w:eastAsia="Century Gothic" w:hAnsi="Verdana" w:cs="Century Gothic"/>
          <w:lang w:val="es-CO"/>
        </w:rPr>
      </w:pPr>
    </w:p>
    <w:p w14:paraId="75ADC83B" w14:textId="32BA5255" w:rsidR="00332BF6" w:rsidRDefault="00332BF6" w:rsidP="00F5204B">
      <w:pPr>
        <w:pStyle w:val="Textoindependiente"/>
        <w:spacing w:before="1" w:line="276" w:lineRule="auto"/>
        <w:ind w:right="205" w:firstLine="708"/>
        <w:jc w:val="both"/>
        <w:rPr>
          <w:rFonts w:ascii="Verdana" w:eastAsia="Century Gothic" w:hAnsi="Verdana" w:cs="Century Gothic"/>
        </w:rPr>
      </w:pPr>
      <w:r w:rsidRPr="00332BF6">
        <w:rPr>
          <w:rFonts w:ascii="Verdana" w:eastAsia="Century Gothic" w:hAnsi="Verdana" w:cs="Century Gothic"/>
          <w:lang w:val="es-CO"/>
        </w:rPr>
        <w:t xml:space="preserve">Así las cosas, la necesidad de adelantar la apertura en público de las ofertas presentadas en el marco de un proceso de contratación dependerá de la plataforma que deba surtirse para adelantar el respectivo tramite contractual, en caso que éste deba tramitarse en el SECOP I, es necesario realizar la apertura pública de sobres, mientras que para aquellos procesos tramitados dentro de la transaccionalidad de SECOP II, la plataforma genera y pública automáticamente la lista de oferentes, la cual hace las veces de acta de cierre, por lo que no requiere de la presencia de los proponentes. En ambos </w:t>
      </w:r>
      <w:r w:rsidRPr="00332BF6">
        <w:rPr>
          <w:rFonts w:ascii="Verdana" w:eastAsia="Century Gothic" w:hAnsi="Verdana" w:cs="Century Gothic"/>
          <w:lang w:val="es-CO"/>
        </w:rPr>
        <w:lastRenderedPageBreak/>
        <w:t>casos se garantiza el principio de publicidad y por ende de transparencia del proceso de selección.</w:t>
      </w:r>
    </w:p>
    <w:p w14:paraId="094C6C43" w14:textId="77777777" w:rsidR="00A72E60" w:rsidRDefault="00A72E60" w:rsidP="00FB4D96">
      <w:pPr>
        <w:pStyle w:val="Textoindependiente"/>
        <w:spacing w:before="1" w:line="276" w:lineRule="auto"/>
        <w:ind w:right="205"/>
        <w:jc w:val="both"/>
        <w:rPr>
          <w:rFonts w:ascii="Verdana" w:eastAsia="Calibri" w:hAnsi="Verdana"/>
          <w:color w:val="000000" w:themeColor="text1"/>
        </w:rPr>
      </w:pPr>
    </w:p>
    <w:p w14:paraId="52E4277B" w14:textId="77777777" w:rsidR="00FB4D96" w:rsidRPr="00CC2A30" w:rsidRDefault="00FB4D96" w:rsidP="00FB4D9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Razones de la respuesta:</w:t>
      </w:r>
    </w:p>
    <w:p w14:paraId="15CB6A76" w14:textId="77777777" w:rsidR="00FB4D96" w:rsidRDefault="00FB4D96" w:rsidP="00FB4D96">
      <w:pPr>
        <w:spacing w:after="0" w:line="276" w:lineRule="auto"/>
        <w:jc w:val="both"/>
        <w:rPr>
          <w:rFonts w:ascii="Verdana" w:eastAsia="Calibri" w:hAnsi="Verdana" w:cs="Arial"/>
          <w:lang w:val="es-ES"/>
        </w:rPr>
      </w:pPr>
    </w:p>
    <w:p w14:paraId="37BFDD00" w14:textId="77777777" w:rsidR="00FB4D96" w:rsidRDefault="00FB4D96" w:rsidP="00FB4D96">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68E2250" w14:textId="77777777" w:rsidR="00FB4D96" w:rsidRPr="00415608" w:rsidRDefault="00FB4D96" w:rsidP="00FB4D96">
      <w:pPr>
        <w:spacing w:after="0" w:line="276" w:lineRule="auto"/>
        <w:jc w:val="both"/>
        <w:rPr>
          <w:rFonts w:ascii="Verdana" w:eastAsia="Calibri" w:hAnsi="Verdana" w:cs="Arial"/>
          <w:lang w:val="es-ES"/>
        </w:rPr>
      </w:pPr>
    </w:p>
    <w:p w14:paraId="0F99F6D0" w14:textId="77777777" w:rsidR="0044713D" w:rsidRPr="00116FB9" w:rsidRDefault="0044713D" w:rsidP="0044713D">
      <w:pPr>
        <w:pStyle w:val="Prrafodelista"/>
        <w:numPr>
          <w:ilvl w:val="0"/>
          <w:numId w:val="20"/>
        </w:numPr>
        <w:spacing w:after="0" w:line="276" w:lineRule="auto"/>
        <w:jc w:val="both"/>
        <w:rPr>
          <w:rFonts w:ascii="Verdana" w:eastAsia="Calibri" w:hAnsi="Verdana" w:cs="Arial"/>
        </w:rPr>
      </w:pPr>
      <w:bookmarkStart w:id="1" w:name="_Hlk173311098"/>
      <w:r w:rsidRPr="00D35997">
        <w:rPr>
          <w:rFonts w:ascii="Verdana" w:eastAsia="Calibri" w:hAnsi="Verdana" w:cs="Arial"/>
        </w:rPr>
        <w:t>Uno de los postulados más importantes de un Estado Social de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w:t>
      </w:r>
    </w:p>
    <w:p w14:paraId="209E3F23" w14:textId="77777777" w:rsidR="0044713D" w:rsidRPr="00D35997" w:rsidRDefault="0044713D" w:rsidP="0044713D">
      <w:pPr>
        <w:pStyle w:val="Prrafodelista"/>
        <w:spacing w:after="0" w:line="276" w:lineRule="auto"/>
        <w:jc w:val="both"/>
        <w:rPr>
          <w:rFonts w:ascii="Verdana" w:eastAsia="Calibri" w:hAnsi="Verdana" w:cs="Arial"/>
        </w:rPr>
      </w:pPr>
    </w:p>
    <w:p w14:paraId="71E8F6AE" w14:textId="77777777" w:rsidR="0044713D" w:rsidRPr="00EF0BDA" w:rsidRDefault="0044713D" w:rsidP="0044713D">
      <w:pPr>
        <w:pStyle w:val="Prrafodelista"/>
        <w:numPr>
          <w:ilvl w:val="0"/>
          <w:numId w:val="20"/>
        </w:numPr>
        <w:spacing w:after="0" w:line="276" w:lineRule="auto"/>
        <w:jc w:val="both"/>
        <w:rPr>
          <w:rFonts w:ascii="Verdana" w:eastAsia="Calibri" w:hAnsi="Verdana" w:cs="Arial"/>
        </w:rPr>
      </w:pPr>
      <w:r w:rsidRPr="0047490F">
        <w:rPr>
          <w:rFonts w:ascii="Verdana" w:hAnsi="Verdana" w:cs="Arial"/>
          <w:shd w:val="clear" w:color="auto" w:fill="FFFFFF"/>
        </w:rPr>
        <w:t xml:space="preserve">El </w:t>
      </w:r>
      <w:r w:rsidRPr="00EF0BDA">
        <w:rPr>
          <w:rFonts w:ascii="Verdana" w:hAnsi="Verdana" w:cs="Arial"/>
          <w:shd w:val="clear" w:color="auto" w:fill="FFFFFF"/>
        </w:rPr>
        <w:t>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EF0BDA">
        <w:rPr>
          <w:rStyle w:val="Refdenotaalpie"/>
          <w:rFonts w:ascii="Verdana" w:eastAsia="Calibri" w:hAnsi="Verdana" w:cs="Arial"/>
          <w:color w:val="000000" w:themeColor="text1"/>
          <w:lang w:val="es-ES_tradnl"/>
        </w:rPr>
        <w:footnoteReference w:id="3"/>
      </w:r>
      <w:r w:rsidRPr="00EF0BDA">
        <w:rPr>
          <w:rFonts w:ascii="Verdana" w:hAnsi="Verdana" w:cs="Arial"/>
          <w:shd w:val="clear" w:color="auto" w:fill="FFFFFF"/>
        </w:rPr>
        <w:t>”</w:t>
      </w:r>
      <w:r w:rsidRPr="00EF0BDA">
        <w:rPr>
          <w:rFonts w:ascii="Verdana" w:eastAsia="Calibri" w:hAnsi="Verdana" w:cs="Arial"/>
          <w:color w:val="000000" w:themeColor="text1"/>
          <w:lang w:val="es-ES_tradnl"/>
        </w:rPr>
        <w:t>.</w:t>
      </w:r>
    </w:p>
    <w:p w14:paraId="114C70AB" w14:textId="77777777" w:rsidR="0044713D" w:rsidRPr="00EF0BDA" w:rsidRDefault="0044713D" w:rsidP="0044713D">
      <w:pPr>
        <w:pStyle w:val="Prrafodelista"/>
        <w:spacing w:after="0" w:line="276" w:lineRule="auto"/>
        <w:jc w:val="both"/>
        <w:rPr>
          <w:rFonts w:ascii="Verdana" w:eastAsia="Calibri" w:hAnsi="Verdana" w:cs="Arial"/>
        </w:rPr>
      </w:pPr>
    </w:p>
    <w:p w14:paraId="3C8B028C" w14:textId="77777777" w:rsidR="0044713D" w:rsidRPr="00EB2B63" w:rsidRDefault="0044713D" w:rsidP="0044713D">
      <w:pPr>
        <w:pStyle w:val="Prrafodelista"/>
        <w:numPr>
          <w:ilvl w:val="0"/>
          <w:numId w:val="20"/>
        </w:numPr>
        <w:spacing w:before="120" w:line="276" w:lineRule="auto"/>
        <w:jc w:val="both"/>
        <w:rPr>
          <w:rFonts w:ascii="Verdana" w:eastAsia="Calibri" w:hAnsi="Verdana" w:cs="Arial"/>
          <w:color w:val="000000"/>
          <w:lang w:val="es-ES_tradnl"/>
        </w:rPr>
      </w:pPr>
      <w:r w:rsidRPr="00EF0BDA">
        <w:rPr>
          <w:rFonts w:ascii="Verdana" w:hAnsi="Verdana" w:cs="Arial"/>
          <w:shd w:val="clear" w:color="auto" w:fill="FFFFFF"/>
        </w:rPr>
        <w:t>De otra parte, la Ley 1712 de 2014 –ley estatutaria que regula la transparencia y el derecho de acceso a la información y a los documentos públicos–; identifica como principios que orientan el derecho de acceso a la información pública, el</w:t>
      </w:r>
      <w:r w:rsidRPr="00EF0BDA">
        <w:rPr>
          <w:rFonts w:ascii="Verdana" w:hAnsi="Verdana" w:cs="Arial"/>
          <w:color w:val="000000" w:themeColor="text1"/>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F0BDA">
        <w:rPr>
          <w:rStyle w:val="Refdenotaalpie"/>
          <w:rFonts w:ascii="Verdana" w:hAnsi="Verdana" w:cs="Arial"/>
          <w:color w:val="000000" w:themeColor="text1"/>
          <w:lang w:val="es-ES_tradnl"/>
        </w:rPr>
        <w:footnoteReference w:id="4"/>
      </w:r>
      <w:r w:rsidRPr="00EF0BDA">
        <w:rPr>
          <w:rFonts w:ascii="Verdana" w:hAnsi="Verdana" w:cs="Arial"/>
          <w:color w:val="000000" w:themeColor="text1"/>
          <w:lang w:val="es-ES_tradnl"/>
        </w:rPr>
        <w:t xml:space="preserve">. </w:t>
      </w:r>
    </w:p>
    <w:p w14:paraId="3BED9811" w14:textId="77777777" w:rsidR="0044713D" w:rsidRPr="00EB2B63" w:rsidRDefault="0044713D" w:rsidP="0044713D">
      <w:pPr>
        <w:pStyle w:val="Prrafodelista"/>
        <w:rPr>
          <w:rFonts w:ascii="Verdana" w:hAnsi="Verdana" w:cs="Arial"/>
          <w:color w:val="000000" w:themeColor="text1"/>
          <w:lang w:val="es-ES_tradnl"/>
        </w:rPr>
      </w:pPr>
    </w:p>
    <w:p w14:paraId="24EF8A89" w14:textId="43D5AC35" w:rsidR="0044713D" w:rsidRPr="00EF0BDA" w:rsidRDefault="0044713D" w:rsidP="0044713D">
      <w:pPr>
        <w:pStyle w:val="Prrafodelista"/>
        <w:numPr>
          <w:ilvl w:val="0"/>
          <w:numId w:val="20"/>
        </w:numPr>
        <w:spacing w:before="120" w:line="276" w:lineRule="auto"/>
        <w:jc w:val="both"/>
        <w:rPr>
          <w:rFonts w:ascii="Verdana" w:eastAsia="Calibri" w:hAnsi="Verdana" w:cs="Arial"/>
          <w:color w:val="000000"/>
          <w:lang w:val="es-ES_tradnl"/>
        </w:rPr>
      </w:pPr>
      <w:r w:rsidRPr="00EF0BDA">
        <w:rPr>
          <w:rFonts w:ascii="Verdana" w:hAnsi="Verdana" w:cs="Arial"/>
          <w:color w:val="000000" w:themeColor="text1"/>
          <w:lang w:val="es-ES_tradnl"/>
        </w:rPr>
        <w:t>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EF0BDA">
        <w:rPr>
          <w:rStyle w:val="Refdenotaalpie"/>
          <w:rFonts w:ascii="Verdana" w:hAnsi="Verdana" w:cs="Arial"/>
          <w:color w:val="000000" w:themeColor="text1"/>
          <w:lang w:val="es-ES_tradnl"/>
        </w:rPr>
        <w:footnoteReference w:id="5"/>
      </w:r>
      <w:r w:rsidRPr="00EF0BDA">
        <w:rPr>
          <w:rFonts w:ascii="Verdana" w:hAnsi="Verdana" w:cs="Arial"/>
          <w:color w:val="000000" w:themeColor="text1"/>
          <w:lang w:val="es-ES_tradnl"/>
        </w:rPr>
        <w:t xml:space="preserve">, deben publicar la información relativa a su contratación. Esta obligación fue </w:t>
      </w:r>
      <w:r w:rsidRPr="00EF0BDA">
        <w:rPr>
          <w:rFonts w:ascii="Verdana" w:eastAsia="Calibri" w:hAnsi="Verdana" w:cs="Arial"/>
          <w:color w:val="000000"/>
          <w:lang w:val="es-ES_tradnl"/>
        </w:rPr>
        <w:t>desarrollada por el Decreto Reglamentario 1082 de 2015</w:t>
      </w:r>
      <w:r w:rsidRPr="00EF0BDA">
        <w:rPr>
          <w:rFonts w:ascii="Verdana" w:eastAsia="Calibri" w:hAnsi="Verdana"/>
          <w:color w:val="000000"/>
          <w:vertAlign w:val="superscript"/>
          <w:lang w:val="es-ES_tradnl"/>
        </w:rPr>
        <w:footnoteReference w:id="6"/>
      </w:r>
      <w:r w:rsidRPr="00EF0BDA">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14A272C1" w14:textId="77777777" w:rsidR="0044713D" w:rsidRPr="00EF0BDA" w:rsidRDefault="0044713D" w:rsidP="0044713D">
      <w:pPr>
        <w:pStyle w:val="Prrafodelista"/>
        <w:spacing w:before="120" w:line="276" w:lineRule="auto"/>
        <w:jc w:val="both"/>
        <w:rPr>
          <w:rFonts w:ascii="Verdana" w:eastAsia="Calibri" w:hAnsi="Verdana" w:cs="Arial"/>
          <w:color w:val="000000"/>
          <w:lang w:val="es-ES_tradnl"/>
        </w:rPr>
      </w:pPr>
    </w:p>
    <w:p w14:paraId="71B31898" w14:textId="77777777" w:rsidR="00F5721C" w:rsidRPr="00F5721C" w:rsidRDefault="0044713D" w:rsidP="00487824">
      <w:pPr>
        <w:pStyle w:val="Prrafodelista"/>
        <w:numPr>
          <w:ilvl w:val="0"/>
          <w:numId w:val="20"/>
        </w:numPr>
        <w:tabs>
          <w:tab w:val="left" w:pos="709"/>
          <w:tab w:val="left" w:pos="1842"/>
        </w:tabs>
        <w:spacing w:before="120" w:after="0" w:line="276" w:lineRule="auto"/>
        <w:jc w:val="both"/>
        <w:rPr>
          <w:rFonts w:ascii="Verdana" w:hAnsi="Verdana" w:cs="Arial"/>
          <w:shd w:val="clear" w:color="auto" w:fill="FFFFFF"/>
        </w:rPr>
      </w:pPr>
      <w:r w:rsidRPr="00F5721C">
        <w:rPr>
          <w:rFonts w:ascii="Verdana" w:eastAsia="Times New Roman" w:hAnsi="Verdana" w:cs="Arial"/>
          <w:color w:val="000000"/>
          <w:lang w:eastAsia="es-ES"/>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F5721C">
        <w:rPr>
          <w:rFonts w:ascii="Verdana" w:eastAsia="Calibri" w:hAnsi="Verdana" w:cs="Arial"/>
          <w:color w:val="000000"/>
          <w:lang w:eastAsia="es-ES"/>
        </w:rPr>
        <w:t xml:space="preserve">El derecho de acceso a la </w:t>
      </w:r>
      <w:r w:rsidRPr="00F5721C">
        <w:rPr>
          <w:rFonts w:ascii="Verdana" w:eastAsia="Calibri" w:hAnsi="Verdana" w:cs="Arial"/>
          <w:color w:val="000000"/>
          <w:lang w:eastAsia="es-ES"/>
        </w:rPr>
        <w:lastRenderedPageBreak/>
        <w:t>información pública o de interés público permite a toda persona, sin necesidad de acreditar calidad, interés o condición particular, conocer la existencia de información pública, acceder a la misma y difundirla o publicarla, según su interés</w:t>
      </w:r>
      <w:r w:rsidRPr="56734FD3">
        <w:rPr>
          <w:rFonts w:ascii="Verdana" w:eastAsia="Calibri" w:hAnsi="Verdana"/>
          <w:vertAlign w:val="superscript"/>
          <w:lang w:eastAsia="es-ES"/>
        </w:rPr>
        <w:footnoteReference w:id="7"/>
      </w:r>
      <w:r w:rsidRPr="00F5721C">
        <w:rPr>
          <w:rFonts w:ascii="Verdana" w:eastAsia="Calibri" w:hAnsi="Verdana" w:cs="Arial"/>
          <w:color w:val="000000"/>
          <w:lang w:eastAsia="es-ES"/>
        </w:rPr>
        <w:t xml:space="preserve">. </w:t>
      </w:r>
    </w:p>
    <w:p w14:paraId="7EC371B5" w14:textId="77777777" w:rsidR="00F5721C" w:rsidRPr="00F5721C" w:rsidRDefault="00F5721C" w:rsidP="00F5721C">
      <w:pPr>
        <w:pStyle w:val="Prrafodelista"/>
        <w:rPr>
          <w:rFonts w:ascii="Verdana" w:hAnsi="Verdana" w:cs="Arial"/>
          <w:shd w:val="clear" w:color="auto" w:fill="FFFFFF"/>
        </w:rPr>
      </w:pPr>
    </w:p>
    <w:p w14:paraId="031B2182" w14:textId="407BF243" w:rsidR="0044713D" w:rsidRPr="00EF0BDA" w:rsidRDefault="0044713D" w:rsidP="0044713D">
      <w:pPr>
        <w:pStyle w:val="Prrafodelista"/>
        <w:numPr>
          <w:ilvl w:val="0"/>
          <w:numId w:val="20"/>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w:t>
      </w:r>
      <w:r w:rsidR="00996931">
        <w:rPr>
          <w:rFonts w:ascii="Verdana" w:hAnsi="Verdana" w:cs="Arial"/>
          <w:shd w:val="clear" w:color="auto" w:fill="FFFFFF"/>
        </w:rPr>
        <w:t>.</w:t>
      </w:r>
    </w:p>
    <w:p w14:paraId="42E13106" w14:textId="77777777" w:rsidR="0044713D" w:rsidRPr="00EF0BDA" w:rsidRDefault="0044713D" w:rsidP="0044713D">
      <w:pPr>
        <w:tabs>
          <w:tab w:val="left" w:pos="709"/>
        </w:tabs>
        <w:spacing w:after="0" w:line="276" w:lineRule="auto"/>
        <w:jc w:val="both"/>
        <w:rPr>
          <w:rFonts w:ascii="Verdana" w:hAnsi="Verdana" w:cs="Arial"/>
          <w:shd w:val="clear" w:color="auto" w:fill="FFFFFF"/>
        </w:rPr>
      </w:pPr>
    </w:p>
    <w:p w14:paraId="542280E2" w14:textId="77777777" w:rsidR="0044713D" w:rsidRPr="00EF0BDA" w:rsidRDefault="0044713D" w:rsidP="0044713D">
      <w:pPr>
        <w:pStyle w:val="Prrafodelista"/>
        <w:numPr>
          <w:ilvl w:val="0"/>
          <w:numId w:val="20"/>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EF0BDA">
        <w:rPr>
          <w:rFonts w:ascii="Verdana" w:eastAsia="Calibri" w:hAnsi="Verdana"/>
          <w:vertAlign w:val="superscript"/>
        </w:rPr>
        <w:footnoteReference w:id="8"/>
      </w:r>
      <w:r w:rsidRPr="00EF0BDA">
        <w:rPr>
          <w:rFonts w:ascii="Verdana" w:eastAsia="Calibri" w:hAnsi="Verdana" w:cs="Arial"/>
        </w:rPr>
        <w:t xml:space="preserve">. Dicha plataforma ha tenido dos versiones, esto es, el SECOP I y el SECOP II. </w:t>
      </w:r>
      <w:r w:rsidRPr="00EF0BDA">
        <w:rPr>
          <w:rFonts w:ascii="Verdana" w:hAnsi="Verdana" w:cs="Arial"/>
          <w:shd w:val="clear" w:color="auto" w:fill="FFFFFF"/>
        </w:rPr>
        <w:t>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4AB73671" w14:textId="578722BA" w:rsidR="0044713D" w:rsidRPr="00EF0BDA" w:rsidRDefault="0044713D" w:rsidP="0044713D">
      <w:pPr>
        <w:pStyle w:val="Prrafodelista"/>
        <w:spacing w:line="276" w:lineRule="auto"/>
        <w:rPr>
          <w:rFonts w:ascii="Verdana" w:hAnsi="Verdana" w:cs="Arial"/>
          <w:shd w:val="clear" w:color="auto" w:fill="FFFFFF"/>
        </w:rPr>
      </w:pPr>
    </w:p>
    <w:p w14:paraId="3812E2CF" w14:textId="40FAAD50" w:rsidR="00732905" w:rsidRPr="00732905" w:rsidRDefault="00732905" w:rsidP="00732905">
      <w:pPr>
        <w:pStyle w:val="Prrafodelista"/>
        <w:numPr>
          <w:ilvl w:val="0"/>
          <w:numId w:val="21"/>
        </w:numPr>
        <w:spacing w:after="0"/>
        <w:jc w:val="both"/>
        <w:rPr>
          <w:rFonts w:ascii="Verdana" w:eastAsia="Calibri" w:hAnsi="Verdana" w:cs="Arial"/>
          <w:lang w:val="es-CO"/>
        </w:rPr>
      </w:pPr>
      <w:r w:rsidRPr="00600F09">
        <w:rPr>
          <w:rFonts w:ascii="Verdana" w:eastAsia="Calibri" w:hAnsi="Verdana" w:cs="Arial"/>
          <w:color w:val="000000" w:themeColor="text1"/>
        </w:rPr>
        <w:t>A su vez, se ha señalado</w:t>
      </w:r>
      <w:r w:rsidRPr="00600F09">
        <w:rPr>
          <w:rStyle w:val="Refdenotaalpie"/>
          <w:rFonts w:ascii="Verdana" w:eastAsia="Calibri" w:hAnsi="Verdana" w:cs="Arial"/>
          <w:color w:val="000000" w:themeColor="text1"/>
        </w:rPr>
        <w:footnoteReference w:id="9"/>
      </w:r>
      <w:r w:rsidRPr="00600F09">
        <w:rPr>
          <w:rFonts w:ascii="Verdana" w:eastAsia="Calibri" w:hAnsi="Verdana" w:cs="Arial"/>
          <w:color w:val="000000" w:themeColor="text1"/>
        </w:rPr>
        <w:t xml:space="preserve"> que el desarrollo del principio de publicidad admite diversas formas de realización; cuestión que debe ser determinada por la autoridad legislativa. En esta medida y en relación con la consulta concreta, es posible observar que, aunque la norma no determina expresamente la celebración de una audiencia para la apertura de sobres, este mecanismo no es el único mediante el cual puede garantizarse el principio de transparencia dentro de un proceso de selección</w:t>
      </w:r>
      <w:r>
        <w:rPr>
          <w:rFonts w:ascii="Verdana" w:eastAsia="Calibri" w:hAnsi="Verdana" w:cs="Arial"/>
          <w:color w:val="000000" w:themeColor="text1"/>
        </w:rPr>
        <w:t xml:space="preserve">, pues dentro del procedimiento establecido en el </w:t>
      </w:r>
      <w:r w:rsidRPr="00732905">
        <w:rPr>
          <w:rFonts w:ascii="Verdana" w:eastAsia="Calibri" w:hAnsi="Verdana" w:cs="Arial"/>
          <w:color w:val="000000" w:themeColor="text1"/>
        </w:rPr>
        <w:t>artículo</w:t>
      </w:r>
      <w:r w:rsidRPr="00732905">
        <w:rPr>
          <w:rFonts w:ascii="Verdana" w:eastAsia="Calibri" w:hAnsi="Verdana"/>
          <w:iCs/>
          <w:color w:val="000000" w:themeColor="text1"/>
        </w:rPr>
        <w:t> 2.2.1.2.1.5.2</w:t>
      </w:r>
      <w:r>
        <w:rPr>
          <w:rFonts w:ascii="Verdana" w:eastAsia="Calibri" w:hAnsi="Verdana"/>
          <w:iCs/>
          <w:color w:val="000000" w:themeColor="text1"/>
        </w:rPr>
        <w:t xml:space="preserve">. del Decreto </w:t>
      </w:r>
      <w:r>
        <w:rPr>
          <w:rFonts w:ascii="Verdana" w:eastAsia="Calibri" w:hAnsi="Verdana"/>
          <w:iCs/>
          <w:color w:val="000000" w:themeColor="text1"/>
        </w:rPr>
        <w:lastRenderedPageBreak/>
        <w:t xml:space="preserve">1082 de 2015, modificado por el Decreto 1860 de 2021 no se establece la realización de una audiencia para llevar a cabo la apertura, pero si establece una fecha y hora para que los proponentes presenten sus ofertas. </w:t>
      </w:r>
    </w:p>
    <w:p w14:paraId="4793FD75" w14:textId="77777777" w:rsidR="00732905" w:rsidRPr="00600F09" w:rsidRDefault="00732905" w:rsidP="00732905">
      <w:pPr>
        <w:pStyle w:val="Prrafodelista"/>
        <w:rPr>
          <w:rFonts w:ascii="Verdana" w:eastAsia="Calibri" w:hAnsi="Verdana" w:cs="Arial"/>
          <w:color w:val="000000" w:themeColor="text1"/>
        </w:rPr>
      </w:pPr>
    </w:p>
    <w:p w14:paraId="136F5EAD" w14:textId="757592F0" w:rsidR="00732905" w:rsidRPr="005B4378" w:rsidRDefault="00732905" w:rsidP="00732905">
      <w:pPr>
        <w:pStyle w:val="Prrafodelista"/>
        <w:numPr>
          <w:ilvl w:val="0"/>
          <w:numId w:val="21"/>
        </w:numPr>
        <w:spacing w:after="0"/>
        <w:jc w:val="both"/>
        <w:rPr>
          <w:rFonts w:ascii="Verdana" w:eastAsia="Calibri" w:hAnsi="Verdana" w:cs="Arial"/>
          <w:lang w:val="es-CO"/>
        </w:rPr>
      </w:pPr>
      <w:r w:rsidRPr="00600F09">
        <w:rPr>
          <w:rFonts w:ascii="Verdana" w:eastAsia="Calibri" w:hAnsi="Verdana" w:cs="Arial"/>
          <w:color w:val="000000" w:themeColor="text1"/>
        </w:rPr>
        <w:t xml:space="preserve">Aunque la normativa vigente no determina de manera expresa que se deba adelantar una audiencia para la apertura de sobres dentro de </w:t>
      </w:r>
      <w:r w:rsidR="00DF709E">
        <w:rPr>
          <w:rFonts w:ascii="Verdana" w:eastAsia="Calibri" w:hAnsi="Verdana" w:cs="Arial"/>
          <w:color w:val="000000" w:themeColor="text1"/>
        </w:rPr>
        <w:t>la modalidad objeto de la consulta</w:t>
      </w:r>
      <w:r w:rsidRPr="00600F09">
        <w:rPr>
          <w:rFonts w:ascii="Verdana" w:eastAsia="Calibri" w:hAnsi="Verdana" w:cs="Arial"/>
          <w:color w:val="000000" w:themeColor="text1"/>
        </w:rPr>
        <w:t>, la Circular Externa Única</w:t>
      </w:r>
      <w:r w:rsidR="00505A82">
        <w:rPr>
          <w:rStyle w:val="Refdenotaalpie"/>
          <w:rFonts w:ascii="Verdana" w:eastAsia="Calibri" w:hAnsi="Verdana" w:cs="Arial"/>
          <w:color w:val="000000" w:themeColor="text1"/>
        </w:rPr>
        <w:footnoteReference w:id="10"/>
      </w:r>
      <w:r w:rsidRPr="00600F09">
        <w:rPr>
          <w:rFonts w:ascii="Verdana" w:eastAsia="Calibri" w:hAnsi="Verdana" w:cs="Arial"/>
          <w:color w:val="000000" w:themeColor="text1"/>
        </w:rPr>
        <w:t xml:space="preserve"> proferida por la Agencia Nacional de Contratación Pública – Colombia Compra Eficiente ha fijado un criterio para determinar la necesidad de dicha etapa o actuación, en el marco de los diferentes mecanismos previstos para garantizar el principio de publicidad. </w:t>
      </w:r>
    </w:p>
    <w:p w14:paraId="328FDF47" w14:textId="77777777" w:rsidR="00732905" w:rsidRPr="005B4378" w:rsidRDefault="00732905" w:rsidP="00732905">
      <w:pPr>
        <w:pStyle w:val="Prrafodelista"/>
        <w:rPr>
          <w:rFonts w:ascii="Verdana" w:eastAsia="Calibri" w:hAnsi="Verdana" w:cs="Arial"/>
          <w:color w:val="000000" w:themeColor="text1"/>
        </w:rPr>
      </w:pPr>
    </w:p>
    <w:p w14:paraId="547564C2" w14:textId="77777777" w:rsidR="00732905" w:rsidRPr="00600F09" w:rsidRDefault="00732905" w:rsidP="00732905">
      <w:pPr>
        <w:pStyle w:val="Prrafodelista"/>
        <w:numPr>
          <w:ilvl w:val="0"/>
          <w:numId w:val="21"/>
        </w:numPr>
        <w:spacing w:after="0"/>
        <w:jc w:val="both"/>
        <w:rPr>
          <w:rFonts w:ascii="Verdana" w:eastAsia="Calibri" w:hAnsi="Verdana" w:cs="Arial"/>
          <w:lang w:val="es-CO"/>
        </w:rPr>
      </w:pPr>
      <w:r w:rsidRPr="00600F09">
        <w:rPr>
          <w:rFonts w:ascii="Verdana" w:eastAsia="Calibri" w:hAnsi="Verdana" w:cs="Arial"/>
          <w:color w:val="000000" w:themeColor="text1"/>
        </w:rPr>
        <w:t xml:space="preserve">La referida circular indica que cuando el proceso de contratación se publique en SECOP I, vencido el termino para presentar ofertas, la Entidad Estatal - sin perjuicio de lo dispuesto en el artículo </w:t>
      </w:r>
      <w:r w:rsidRPr="00600F09">
        <w:rPr>
          <w:rFonts w:ascii="Verdana" w:hAnsi="Verdana"/>
        </w:rPr>
        <w:t xml:space="preserve">2.2.1.1.2.2.5 del Decreto 1082 de 2015 – puede realizar la apertura de las propuestas en presencia de los proponentes o veedores que deseen asistir, y elaborar un acta de cierre en la cual conste la fecha y hora de recibo de las ofertas, indicando nombre o razón social de los oferentes y sus representantes legales. </w:t>
      </w:r>
      <w:r w:rsidRPr="00600F09">
        <w:rPr>
          <w:rFonts w:ascii="Verdana" w:hAnsi="Verdana"/>
          <w:lang w:val="es-CO"/>
        </w:rPr>
        <w:t>Además, el acta de cierre puede incluir datos generales de las propuestas, como, por ejemplo, la presentación o no de la garantía de seriedad de la oferta, en caso de que se haya requerido, o el valor ofertado, salvo en aquellos casos en que se presente sobre económico que deba permanecer cerrado. Elaborada el acta de cierre deberá publicarse en SECOP I en el término correspondiente.</w:t>
      </w:r>
    </w:p>
    <w:p w14:paraId="36A748A2" w14:textId="77777777" w:rsidR="00732905" w:rsidRPr="00600F09" w:rsidRDefault="00732905" w:rsidP="00732905">
      <w:pPr>
        <w:pStyle w:val="Prrafodelista"/>
        <w:spacing w:after="0"/>
        <w:jc w:val="both"/>
        <w:rPr>
          <w:rFonts w:ascii="Verdana" w:eastAsia="Calibri" w:hAnsi="Verdana" w:cs="Arial"/>
          <w:lang w:val="es-CO"/>
        </w:rPr>
      </w:pPr>
    </w:p>
    <w:p w14:paraId="02924E09" w14:textId="26818C93" w:rsidR="00D72986" w:rsidRPr="00600F09" w:rsidRDefault="00D72986" w:rsidP="00D72986">
      <w:pPr>
        <w:pStyle w:val="Prrafodelista"/>
        <w:numPr>
          <w:ilvl w:val="0"/>
          <w:numId w:val="21"/>
        </w:numPr>
        <w:spacing w:after="0"/>
        <w:jc w:val="both"/>
        <w:rPr>
          <w:rFonts w:ascii="Verdana" w:eastAsia="Calibri" w:hAnsi="Verdana" w:cs="Arial"/>
          <w:lang w:val="es-CO"/>
        </w:rPr>
      </w:pPr>
      <w:r>
        <w:rPr>
          <w:rFonts w:ascii="Verdana" w:hAnsi="Verdana"/>
        </w:rPr>
        <w:t>Por otro lado, es preciso indicar que en aquellos</w:t>
      </w:r>
      <w:r w:rsidRPr="00600F09">
        <w:rPr>
          <w:rFonts w:ascii="Verdana" w:hAnsi="Verdana"/>
        </w:rPr>
        <w:t xml:space="preserve"> procesos realizados </w:t>
      </w:r>
      <w:r>
        <w:rPr>
          <w:rFonts w:ascii="Verdana" w:hAnsi="Verdana"/>
        </w:rPr>
        <w:t xml:space="preserve">bajo la plataforma </w:t>
      </w:r>
      <w:r w:rsidRPr="00600F09">
        <w:rPr>
          <w:rFonts w:ascii="Verdana" w:hAnsi="Verdana"/>
        </w:rPr>
        <w:t>SECOP II</w:t>
      </w:r>
      <w:r>
        <w:rPr>
          <w:rFonts w:ascii="Verdana" w:hAnsi="Verdana"/>
        </w:rPr>
        <w:t>,</w:t>
      </w:r>
      <w:r w:rsidRPr="00600F09">
        <w:rPr>
          <w:rFonts w:ascii="Verdana" w:hAnsi="Verdana"/>
        </w:rPr>
        <w:t xml:space="preserve"> la apertura de ofertas se habilita una vez se cumple la fecha de cierre dispuesta en el cronograma, momento a partir del cual la plataforma permite abrir las ofertas. Para realizar la apertura se debe ingresar a la sección “lista de ofertas” del área de trabajo del proceso, donde aparece el botón “Apertura de ofertas”. La plataforma muestra un panel con las ofertas presentadas, en cual se debe hacer clic en “Iniciar” y luego en “Abrir sobres”, para que la plataforma desencripte las ofertas. Luego de abrir los sobres la entidad debe publicar el acta de cierre, para lo que se debe hacer clic en “Publicar/Actualizar lista de </w:t>
      </w:r>
      <w:r w:rsidRPr="00600F09">
        <w:rPr>
          <w:rFonts w:ascii="Verdana" w:hAnsi="Verdana"/>
        </w:rPr>
        <w:lastRenderedPageBreak/>
        <w:t>oferentes”, abriéndose una ventana emergente con la lista de proveedores que presentaron oferta en el procedimiento, la fecha y hora de llegada de cada oferta. Al hacer clic en el botón “Publicar/Actualizar lista de oferentes” la plataforma genera y publica automáticamente la lista de oferentes, la cual hace las veces de acta de cierre, por lo que no se requiere de la presencia de los proponentes.</w:t>
      </w:r>
    </w:p>
    <w:p w14:paraId="41C86225" w14:textId="77777777" w:rsidR="00D72986" w:rsidRPr="00600F09" w:rsidRDefault="00D72986" w:rsidP="00D72986">
      <w:pPr>
        <w:pStyle w:val="Prrafodelista"/>
        <w:rPr>
          <w:rFonts w:ascii="Verdana" w:eastAsia="Calibri" w:hAnsi="Verdana" w:cs="Arial"/>
          <w:color w:val="000000" w:themeColor="text1"/>
        </w:rPr>
      </w:pPr>
    </w:p>
    <w:p w14:paraId="3F6A0C19" w14:textId="77777777" w:rsidR="00D72986" w:rsidRPr="00600F09" w:rsidRDefault="00D72986" w:rsidP="00D72986">
      <w:pPr>
        <w:pStyle w:val="Prrafodelista"/>
        <w:numPr>
          <w:ilvl w:val="0"/>
          <w:numId w:val="21"/>
        </w:numPr>
        <w:spacing w:after="0"/>
        <w:jc w:val="both"/>
        <w:rPr>
          <w:rFonts w:ascii="Verdana" w:eastAsia="Calibri" w:hAnsi="Verdana" w:cs="Arial"/>
          <w:lang w:val="es-CO"/>
        </w:rPr>
      </w:pPr>
      <w:r w:rsidRPr="00600F09">
        <w:rPr>
          <w:rFonts w:ascii="Verdana" w:eastAsia="Calibri" w:hAnsi="Verdana" w:cs="Arial"/>
          <w:color w:val="000000" w:themeColor="text1"/>
        </w:rPr>
        <w:t>Lo anterior tiene que ver con la naturaleza de uno y otro módulo</w:t>
      </w:r>
      <w:r w:rsidRPr="00600F09">
        <w:rPr>
          <w:rStyle w:val="Refdenotaalpie"/>
          <w:rFonts w:ascii="Verdana" w:eastAsia="Calibri" w:hAnsi="Verdana" w:cs="Arial"/>
          <w:color w:val="000000" w:themeColor="text1"/>
        </w:rPr>
        <w:footnoteReference w:id="11"/>
      </w:r>
      <w:r w:rsidRPr="00600F09">
        <w:rPr>
          <w:rFonts w:ascii="Verdana" w:eastAsia="Calibri" w:hAnsi="Verdana" w:cs="Arial"/>
          <w:color w:val="000000" w:themeColor="text1"/>
        </w:rPr>
        <w:t xml:space="preserve">, pues el SECOP I es una plataforma meramente informativa, es decir que el proceso de contratación tiene lugar fuera de ella. En cambio, el SECOP II es una plataforma transaccional por medio de la cual se surte, en su totalidad, el proceso contractual, cumpliendo así con la publicidad que rige la actuación administrativa y la contratación estatal. </w:t>
      </w:r>
    </w:p>
    <w:p w14:paraId="625EDFB7" w14:textId="77777777" w:rsidR="00D72986" w:rsidRPr="00600F09" w:rsidRDefault="00D72986" w:rsidP="00D72986">
      <w:pPr>
        <w:pStyle w:val="Prrafodelista"/>
        <w:rPr>
          <w:rFonts w:ascii="Verdana" w:eastAsia="Calibri" w:hAnsi="Verdana" w:cs="Arial"/>
          <w:lang w:val="es-CO"/>
        </w:rPr>
      </w:pPr>
    </w:p>
    <w:p w14:paraId="6CB95801" w14:textId="77777777" w:rsidR="00D72986" w:rsidRPr="005B4378" w:rsidRDefault="00D72986" w:rsidP="00D72986">
      <w:pPr>
        <w:pStyle w:val="Prrafodelista"/>
        <w:numPr>
          <w:ilvl w:val="0"/>
          <w:numId w:val="21"/>
        </w:numPr>
        <w:spacing w:after="0"/>
        <w:jc w:val="both"/>
        <w:rPr>
          <w:rFonts w:ascii="Verdana" w:eastAsia="Calibri" w:hAnsi="Verdana" w:cs="Arial"/>
          <w:lang w:val="es-CO"/>
        </w:rPr>
      </w:pPr>
      <w:r w:rsidRPr="00600F09">
        <w:rPr>
          <w:rFonts w:ascii="Verdana" w:eastAsia="Calibri" w:hAnsi="Verdana" w:cs="Arial"/>
          <w:lang w:val="es-CO"/>
        </w:rPr>
        <w:t xml:space="preserve">De lo expuesto, se concluye que </w:t>
      </w:r>
      <w:r w:rsidRPr="00600F09">
        <w:rPr>
          <w:rFonts w:ascii="Verdana" w:eastAsia="Calibri" w:hAnsi="Verdana" w:cs="Arial"/>
          <w:color w:val="000000" w:themeColor="text1"/>
        </w:rPr>
        <w:t xml:space="preserve">la necesidad de adelantar la apertura en público de las ofertas presentadas en el marco de un proceso de contratación dependerá de la plataforma que deba surtirse para adelantar el respectivo trámite contractual. Así, en caso de que este deba tramitarse en el SECOP I, es necesario realizar la apertura pública de sobres, mientras que para aquellos procesos tramitados dentro del SECOP II, </w:t>
      </w:r>
      <w:r w:rsidRPr="00600F09">
        <w:rPr>
          <w:rFonts w:ascii="Verdana" w:hAnsi="Verdana"/>
        </w:rPr>
        <w:t xml:space="preserve">la plataforma genera y publica automáticamente la lista de oferentes, la cual hace las veces de acta de cierre, por lo que no se requiere de la presencia de los proponentes. </w:t>
      </w:r>
    </w:p>
    <w:p w14:paraId="1D72071E" w14:textId="77777777" w:rsidR="00D72986" w:rsidRPr="005B4378" w:rsidRDefault="00D72986" w:rsidP="00D72986">
      <w:pPr>
        <w:pStyle w:val="Prrafodelista"/>
        <w:rPr>
          <w:rFonts w:ascii="Verdana" w:eastAsia="Calibri" w:hAnsi="Verdana" w:cs="Arial"/>
          <w:color w:val="000000" w:themeColor="text1"/>
        </w:rPr>
      </w:pPr>
    </w:p>
    <w:p w14:paraId="3A87BAFA" w14:textId="77777777" w:rsidR="00D72986" w:rsidRPr="00600F09" w:rsidRDefault="00D72986" w:rsidP="00D72986">
      <w:pPr>
        <w:pStyle w:val="Prrafodelista"/>
        <w:numPr>
          <w:ilvl w:val="0"/>
          <w:numId w:val="21"/>
        </w:numPr>
        <w:spacing w:after="0"/>
        <w:jc w:val="both"/>
        <w:rPr>
          <w:rFonts w:ascii="Verdana" w:eastAsia="Calibri" w:hAnsi="Verdana" w:cs="Arial"/>
          <w:lang w:val="es-CO"/>
        </w:rPr>
      </w:pPr>
      <w:r>
        <w:rPr>
          <w:rFonts w:ascii="Verdana" w:eastAsia="Calibri" w:hAnsi="Verdana" w:cs="Arial"/>
          <w:color w:val="000000" w:themeColor="text1"/>
        </w:rPr>
        <w:t>En ese orden de ideas, e</w:t>
      </w:r>
      <w:r w:rsidRPr="00600F09">
        <w:rPr>
          <w:rFonts w:ascii="Verdana" w:eastAsia="Calibri" w:hAnsi="Verdana" w:cs="Arial"/>
          <w:color w:val="000000" w:themeColor="text1"/>
        </w:rPr>
        <w:t>n ambos casos, se garantiza el principio de publicidad, el cual puede materializarse mediante la implementación de distintos mecanismos, sin que tenga una única forma de concreción.</w:t>
      </w:r>
    </w:p>
    <w:p w14:paraId="041CE1B0" w14:textId="77777777" w:rsidR="00D72986" w:rsidRPr="00600F09" w:rsidRDefault="00D72986" w:rsidP="00D72986">
      <w:pPr>
        <w:pStyle w:val="Prrafodelista"/>
        <w:rPr>
          <w:rFonts w:ascii="Verdana" w:eastAsia="Calibri" w:hAnsi="Verdana" w:cs="Arial"/>
          <w:lang w:val="es-CO"/>
        </w:rPr>
      </w:pPr>
    </w:p>
    <w:p w14:paraId="0ED80422" w14:textId="1BC96DF7" w:rsidR="00AC0002" w:rsidRPr="00AC0002" w:rsidRDefault="00AC0002" w:rsidP="00732905">
      <w:pPr>
        <w:pStyle w:val="Prrafodelista"/>
        <w:numPr>
          <w:ilvl w:val="0"/>
          <w:numId w:val="21"/>
        </w:numPr>
        <w:spacing w:after="0"/>
        <w:jc w:val="both"/>
        <w:rPr>
          <w:rFonts w:ascii="Verdana" w:eastAsia="Calibri" w:hAnsi="Verdana" w:cs="Arial"/>
          <w:lang w:val="es-CO"/>
        </w:rPr>
      </w:pPr>
      <w:r>
        <w:rPr>
          <w:rFonts w:ascii="Verdana" w:eastAsia="Calibri" w:hAnsi="Verdana" w:cs="Arial"/>
          <w:lang w:val="es-CO"/>
        </w:rPr>
        <w:t>Por otro lado</w:t>
      </w:r>
      <w:r w:rsidRPr="00AC0002">
        <w:rPr>
          <w:rFonts w:ascii="Verdana" w:eastAsia="Calibri" w:hAnsi="Verdana" w:cs="Arial"/>
          <w:lang w:val="es-CO"/>
        </w:rPr>
        <w:t>, la regulación del principio de transparencia menciona como intervinientes en las actuaciones del procedimiento de contratación a los “interesados”, y para definirlos, se acudirá al artículo 77 de la Ley 80 de 1993, que permite aplicar las normas de los procedimientos y actuaciones administrativas a los procedimientos contractuales</w:t>
      </w:r>
      <w:r w:rsidR="00E10D40">
        <w:rPr>
          <w:rStyle w:val="Refdenotaalpie"/>
          <w:rFonts w:ascii="Verdana" w:eastAsia="Calibri" w:hAnsi="Verdana" w:cs="Arial"/>
          <w:lang w:val="es-CO"/>
        </w:rPr>
        <w:footnoteReference w:id="12"/>
      </w:r>
      <w:r w:rsidRPr="00AC0002">
        <w:rPr>
          <w:rFonts w:ascii="Verdana" w:eastAsia="Calibri" w:hAnsi="Verdana" w:cs="Arial"/>
          <w:lang w:val="es-CO"/>
        </w:rPr>
        <w:t xml:space="preserve"> , y por ello se resalta que el Código de Procedimiento Administrativo y de lo Contencioso </w:t>
      </w:r>
      <w:r w:rsidRPr="00AC0002">
        <w:rPr>
          <w:rFonts w:ascii="Verdana" w:eastAsia="Calibri" w:hAnsi="Verdana" w:cs="Arial"/>
          <w:lang w:val="es-CO"/>
        </w:rPr>
        <w:lastRenderedPageBreak/>
        <w:t>Administrativo – CPACA – contiene algunas disposiciones sobre la intervención en las actuaciones administrativas</w:t>
      </w:r>
    </w:p>
    <w:p w14:paraId="10234B5F" w14:textId="77777777" w:rsidR="00AC0002" w:rsidRPr="00AC0002" w:rsidRDefault="00AC0002" w:rsidP="00AC0002">
      <w:pPr>
        <w:pStyle w:val="Prrafodelista"/>
        <w:rPr>
          <w:rFonts w:ascii="Verdana" w:eastAsia="Calibri" w:hAnsi="Verdana" w:cs="Arial"/>
        </w:rPr>
      </w:pPr>
    </w:p>
    <w:p w14:paraId="7690ED28" w14:textId="7198D2B3" w:rsidR="00732905" w:rsidRPr="005B4378" w:rsidRDefault="00505A82" w:rsidP="00732905">
      <w:pPr>
        <w:pStyle w:val="Prrafodelista"/>
        <w:numPr>
          <w:ilvl w:val="0"/>
          <w:numId w:val="21"/>
        </w:numPr>
        <w:spacing w:after="0"/>
        <w:jc w:val="both"/>
        <w:rPr>
          <w:rFonts w:ascii="Verdana" w:eastAsia="Calibri" w:hAnsi="Verdana" w:cs="Arial"/>
          <w:lang w:val="es-CO"/>
        </w:rPr>
      </w:pPr>
      <w:r>
        <w:rPr>
          <w:rFonts w:ascii="Verdana" w:eastAsia="Calibri" w:hAnsi="Verdana" w:cs="Arial"/>
        </w:rPr>
        <w:t xml:space="preserve">Ahora bien, es pertinente señalar que </w:t>
      </w:r>
      <w:r w:rsidR="00732905" w:rsidRPr="005B4378">
        <w:rPr>
          <w:rFonts w:ascii="Verdana" w:eastAsia="Calibri" w:hAnsi="Verdana" w:cs="Arial"/>
        </w:rPr>
        <w:t>a través de las actuaciones contractuales se ejerce función administrativa, en ellas es posible la intervención de terceros regulada en los artículos 37 y 38 del CPACA. Por tanto, si se presentan las condiciones señaladas en tales normas, es posible que aquellos tengan las mismas oportunidades que las partes para presentar una petición</w:t>
      </w:r>
      <w:r w:rsidR="00732905" w:rsidRPr="005B4378">
        <w:rPr>
          <w:rStyle w:val="Refdenotaalpie"/>
          <w:rFonts w:ascii="Verdana" w:eastAsia="Calibri" w:hAnsi="Verdana" w:cs="Arial"/>
        </w:rPr>
        <w:footnoteReference w:id="13"/>
      </w:r>
      <w:r w:rsidR="00732905" w:rsidRPr="005B4378">
        <w:rPr>
          <w:rFonts w:ascii="Verdana" w:eastAsia="Calibri" w:hAnsi="Verdana" w:cs="Arial"/>
        </w:rPr>
        <w:t xml:space="preserve">. </w:t>
      </w:r>
    </w:p>
    <w:p w14:paraId="30E70920" w14:textId="77777777" w:rsidR="00732905" w:rsidRPr="005B4378" w:rsidRDefault="00732905" w:rsidP="00732905">
      <w:pPr>
        <w:pStyle w:val="Prrafodelista"/>
        <w:rPr>
          <w:rFonts w:ascii="Verdana" w:eastAsia="Calibri" w:hAnsi="Verdana" w:cs="Arial"/>
        </w:rPr>
      </w:pPr>
    </w:p>
    <w:p w14:paraId="2A55D230" w14:textId="77777777" w:rsidR="00732905" w:rsidRPr="00600F09" w:rsidRDefault="00732905" w:rsidP="00732905">
      <w:pPr>
        <w:pStyle w:val="Prrafodelista"/>
        <w:numPr>
          <w:ilvl w:val="0"/>
          <w:numId w:val="21"/>
        </w:numPr>
        <w:spacing w:after="0"/>
        <w:jc w:val="both"/>
        <w:rPr>
          <w:rFonts w:ascii="Verdana" w:eastAsia="Calibri" w:hAnsi="Verdana" w:cs="Arial"/>
          <w:lang w:val="es-CO"/>
        </w:rPr>
      </w:pPr>
      <w:r w:rsidRPr="005B4378">
        <w:rPr>
          <w:rFonts w:ascii="Verdana" w:eastAsia="Calibri" w:hAnsi="Verdana" w:cs="Arial"/>
        </w:rPr>
        <w:t xml:space="preserve">En ese sentido, el CPACA dispone quienes son las «partes» en una actuación administrativa que, como se expuso, es aplicable a los </w:t>
      </w:r>
      <w:r w:rsidRPr="00600F09">
        <w:rPr>
          <w:rFonts w:ascii="Verdana" w:eastAsia="Calibri" w:hAnsi="Verdana" w:cs="Arial"/>
        </w:rPr>
        <w:t>procedimientos contractuales, y ese concepto contribuye a aclarar lo que se debe entender cuando se habla de «interesados», es decir, a quienes les afecta o les concierne los actos de una autoridad administrativa, al tener que asumir las consecuencias que se deriven de ello, y también complementa estas nociones, al disponer que los terceros pueden llegar a tener los mismos derechos que las partes en ciertas circunstancias.</w:t>
      </w:r>
    </w:p>
    <w:p w14:paraId="396D52CE" w14:textId="77777777" w:rsidR="00732905" w:rsidRPr="00600F09" w:rsidRDefault="00732905" w:rsidP="00732905">
      <w:pPr>
        <w:pStyle w:val="Prrafodelista"/>
        <w:rPr>
          <w:rFonts w:ascii="Verdana" w:eastAsia="Calibri" w:hAnsi="Verdana" w:cs="Arial"/>
        </w:rPr>
      </w:pPr>
    </w:p>
    <w:p w14:paraId="320E7ABC" w14:textId="7BC79D3F" w:rsidR="00732905" w:rsidRPr="00600F09" w:rsidRDefault="00732905" w:rsidP="00732905">
      <w:pPr>
        <w:pStyle w:val="Prrafodelista"/>
        <w:numPr>
          <w:ilvl w:val="0"/>
          <w:numId w:val="21"/>
        </w:numPr>
        <w:spacing w:after="0"/>
        <w:jc w:val="both"/>
        <w:rPr>
          <w:rFonts w:ascii="Verdana" w:eastAsia="Calibri" w:hAnsi="Verdana" w:cs="Arial"/>
          <w:lang w:val="es-CO"/>
        </w:rPr>
      </w:pPr>
      <w:r w:rsidRPr="00600F09">
        <w:rPr>
          <w:rFonts w:ascii="Verdana" w:eastAsia="Calibri" w:hAnsi="Verdana" w:cs="Arial"/>
        </w:rPr>
        <w:t xml:space="preserve">Ahora bien, los «interesados» en los procedimientos de selección pueden solicitar la copia de las ofertas mediante una petición de documentos a la entidad contratante, de acuerdo con el artículo 14 de la Ley 1437 de 2011, y la entidad tiene un plazo máximo de diez (10) días para responder, so pena que, vencido el término, deba entregar los documentos, sin la </w:t>
      </w:r>
      <w:r w:rsidRPr="00600F09">
        <w:rPr>
          <w:rFonts w:ascii="Verdana" w:eastAsia="Calibri" w:hAnsi="Verdana" w:cs="Arial"/>
        </w:rPr>
        <w:lastRenderedPageBreak/>
        <w:t>posibilidad de rechazar la solicitud, lo cual se debe cumplir en un plazo de tres (3) días</w:t>
      </w:r>
      <w:r w:rsidRPr="00600F09">
        <w:rPr>
          <w:rStyle w:val="Refdenotaalpie"/>
          <w:rFonts w:ascii="Verdana" w:eastAsia="Calibri" w:hAnsi="Verdana" w:cs="Arial"/>
        </w:rPr>
        <w:footnoteReference w:id="14"/>
      </w:r>
      <w:r w:rsidRPr="00600F09">
        <w:rPr>
          <w:rFonts w:ascii="Verdana" w:eastAsia="Calibri" w:hAnsi="Verdana" w:cs="Arial"/>
        </w:rPr>
        <w:t>.</w:t>
      </w:r>
    </w:p>
    <w:p w14:paraId="7087463A" w14:textId="77777777" w:rsidR="00732905" w:rsidRPr="00600F09" w:rsidRDefault="00732905" w:rsidP="00732905">
      <w:pPr>
        <w:pStyle w:val="Prrafodelista"/>
        <w:rPr>
          <w:rFonts w:ascii="Verdana" w:eastAsia="Calibri" w:hAnsi="Verdana" w:cs="Arial"/>
        </w:rPr>
      </w:pPr>
    </w:p>
    <w:p w14:paraId="109E074C" w14:textId="71E113A6" w:rsidR="00732905" w:rsidRPr="00C20D2F" w:rsidRDefault="00732905" w:rsidP="00732905">
      <w:pPr>
        <w:pStyle w:val="Prrafodelista"/>
        <w:numPr>
          <w:ilvl w:val="0"/>
          <w:numId w:val="21"/>
        </w:numPr>
        <w:spacing w:after="0"/>
        <w:jc w:val="both"/>
        <w:rPr>
          <w:rFonts w:ascii="Verdana" w:eastAsia="Calibri" w:hAnsi="Verdana" w:cs="Arial"/>
          <w:lang w:val="es-CO"/>
        </w:rPr>
      </w:pPr>
      <w:r w:rsidRPr="00600F09">
        <w:rPr>
          <w:rFonts w:ascii="Verdana" w:eastAsia="Calibri" w:hAnsi="Verdana" w:cs="Arial"/>
        </w:rPr>
        <w:t>Esas solicitudes versan sobre documentos públicos, teniendo en cuenta que la Ley 1712 de 2014, en el artículo 4, señala que las personas pueden conocer la información pública que posea un sujeto obligado</w:t>
      </w:r>
      <w:r w:rsidR="002269AA">
        <w:rPr>
          <w:rFonts w:ascii="Verdana" w:eastAsia="Calibri" w:hAnsi="Verdana" w:cs="Arial"/>
        </w:rPr>
        <w:t xml:space="preserve">, </w:t>
      </w:r>
      <w:r w:rsidR="00392C0B">
        <w:rPr>
          <w:rFonts w:ascii="Verdana" w:eastAsia="Calibri" w:hAnsi="Verdana" w:cs="Arial"/>
        </w:rPr>
        <w:t xml:space="preserve">entiéndase en principio las entidades públicas y </w:t>
      </w:r>
      <w:r w:rsidRPr="00600F09">
        <w:rPr>
          <w:rFonts w:ascii="Verdana" w:eastAsia="Calibri" w:hAnsi="Verdana" w:cs="Arial"/>
        </w:rPr>
        <w:t>otr</w:t>
      </w:r>
      <w:r w:rsidR="00392C0B">
        <w:rPr>
          <w:rFonts w:ascii="Verdana" w:eastAsia="Calibri" w:hAnsi="Verdana" w:cs="Arial"/>
        </w:rPr>
        <w:t>a tipo de personas naturales o jurídicas que puedan ser objeto de este tipo de peticiones</w:t>
      </w:r>
      <w:r w:rsidRPr="00600F09">
        <w:rPr>
          <w:rStyle w:val="Refdenotaalpie"/>
          <w:rFonts w:ascii="Verdana" w:eastAsia="Calibri" w:hAnsi="Verdana" w:cs="Arial"/>
        </w:rPr>
        <w:footnoteReference w:id="15"/>
      </w:r>
      <w:r w:rsidR="00392C0B">
        <w:rPr>
          <w:rFonts w:ascii="Verdana" w:eastAsia="Calibri" w:hAnsi="Verdana" w:cs="Arial"/>
        </w:rPr>
        <w:t>; y</w:t>
      </w:r>
      <w:r w:rsidRPr="00600F09">
        <w:rPr>
          <w:rFonts w:ascii="Verdana" w:eastAsia="Calibri" w:hAnsi="Verdana" w:cs="Arial"/>
        </w:rPr>
        <w:t xml:space="preserve"> el artículo 6 define la información pública como «toda información que un sujeto obligado </w:t>
      </w:r>
      <w:bookmarkStart w:id="2" w:name="_Int_Eec67tM8"/>
      <w:r w:rsidRPr="00600F09">
        <w:rPr>
          <w:rFonts w:ascii="Verdana" w:eastAsia="Calibri" w:hAnsi="Verdana" w:cs="Arial"/>
        </w:rPr>
        <w:t>genere,</w:t>
      </w:r>
      <w:bookmarkEnd w:id="2"/>
      <w:r w:rsidRPr="00600F09">
        <w:rPr>
          <w:rFonts w:ascii="Verdana" w:eastAsia="Calibri" w:hAnsi="Verdana" w:cs="Arial"/>
        </w:rPr>
        <w:t xml:space="preserve"> obtenga, adquiera, o controle en su calidad de tal», como es el caso de las ofertas que recibe en sus procedimientos contractuales, ya que las obtiene y controla por su rol de contratante</w:t>
      </w:r>
      <w:r w:rsidRPr="00600F09">
        <w:rPr>
          <w:rStyle w:val="Refdenotaalpie"/>
          <w:rFonts w:ascii="Verdana" w:eastAsia="Calibri" w:hAnsi="Verdana" w:cs="Arial"/>
        </w:rPr>
        <w:footnoteReference w:id="16"/>
      </w:r>
      <w:r w:rsidRPr="00600F09">
        <w:rPr>
          <w:rFonts w:ascii="Verdana" w:eastAsia="Calibri" w:hAnsi="Verdana" w:cs="Arial"/>
        </w:rPr>
        <w:t>.</w:t>
      </w:r>
    </w:p>
    <w:p w14:paraId="665B1764" w14:textId="77777777" w:rsidR="00C20D2F" w:rsidRPr="00600F09" w:rsidRDefault="00C20D2F" w:rsidP="00C20D2F">
      <w:pPr>
        <w:pStyle w:val="Prrafodelista"/>
        <w:spacing w:after="0"/>
        <w:jc w:val="both"/>
        <w:rPr>
          <w:rFonts w:ascii="Verdana" w:eastAsia="Calibri" w:hAnsi="Verdana" w:cs="Arial"/>
          <w:lang w:val="es-CO"/>
        </w:rPr>
      </w:pPr>
    </w:p>
    <w:bookmarkEnd w:id="1"/>
    <w:p w14:paraId="490C23AE" w14:textId="77777777" w:rsidR="00FB4D96" w:rsidRPr="00CC2A30" w:rsidRDefault="00FB4D96" w:rsidP="00FB4D96">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CC2A30">
        <w:rPr>
          <w:rFonts w:ascii="Verdana" w:eastAsia="Century Gothic" w:hAnsi="Verdana" w:cs="Century Gothic"/>
          <w:b/>
          <w:bCs/>
          <w:lang w:val="es-ES"/>
        </w:rPr>
        <w:t>Referencias normativas, jurisprudenciales y otras fuentes:</w:t>
      </w:r>
    </w:p>
    <w:p w14:paraId="06A11993" w14:textId="097688B7" w:rsidR="00F94B7D" w:rsidRDefault="00F94B7D" w:rsidP="00F94B7D">
      <w:pPr>
        <w:pStyle w:val="Prrafodelista"/>
        <w:widowControl w:val="0"/>
        <w:numPr>
          <w:ilvl w:val="0"/>
          <w:numId w:val="22"/>
        </w:numPr>
        <w:autoSpaceDE w:val="0"/>
        <w:autoSpaceDN w:val="0"/>
        <w:spacing w:after="120" w:line="276" w:lineRule="auto"/>
        <w:jc w:val="both"/>
        <w:rPr>
          <w:rFonts w:ascii="Verdana" w:hAnsi="Verdana" w:cs="Arial"/>
          <w:lang w:val="es-CO"/>
        </w:rPr>
      </w:pPr>
      <w:r>
        <w:rPr>
          <w:rFonts w:ascii="Verdana" w:hAnsi="Verdana" w:cs="Arial"/>
          <w:lang w:val="es-CO"/>
        </w:rPr>
        <w:t xml:space="preserve">Constitución Política de Colombia, Artículo 74, 209. Disponible en: </w:t>
      </w:r>
    </w:p>
    <w:p w14:paraId="4A10F563" w14:textId="77777777" w:rsidR="00F94B7D" w:rsidRPr="00F94B7D" w:rsidRDefault="00F94B7D" w:rsidP="00F94B7D">
      <w:pPr>
        <w:pStyle w:val="Prrafodelista"/>
        <w:widowControl w:val="0"/>
        <w:autoSpaceDE w:val="0"/>
        <w:autoSpaceDN w:val="0"/>
        <w:spacing w:after="120" w:line="276" w:lineRule="auto"/>
        <w:jc w:val="both"/>
        <w:rPr>
          <w:rFonts w:ascii="Verdana" w:hAnsi="Verdana" w:cs="Arial"/>
          <w:lang w:val="es-CO"/>
        </w:rPr>
      </w:pPr>
    </w:p>
    <w:p w14:paraId="789DCFC4" w14:textId="0D850E1E" w:rsidR="00F94B7D" w:rsidRPr="009B0972" w:rsidRDefault="00F94B7D" w:rsidP="00F94B7D">
      <w:pPr>
        <w:pStyle w:val="Prrafodelista"/>
        <w:widowControl w:val="0"/>
        <w:numPr>
          <w:ilvl w:val="0"/>
          <w:numId w:val="22"/>
        </w:numPr>
        <w:autoSpaceDE w:val="0"/>
        <w:autoSpaceDN w:val="0"/>
        <w:spacing w:after="120" w:line="276" w:lineRule="auto"/>
        <w:jc w:val="both"/>
        <w:rPr>
          <w:rFonts w:ascii="Verdana" w:hAnsi="Verdana" w:cs="Arial"/>
          <w:lang w:val="es-CO"/>
        </w:rPr>
      </w:pPr>
      <w:r w:rsidRPr="009B0972">
        <w:rPr>
          <w:rFonts w:ascii="Verdana" w:hAnsi="Verdana" w:cs="Arial"/>
        </w:rPr>
        <w:t>Ley 80 de 1993</w:t>
      </w:r>
      <w:r>
        <w:rPr>
          <w:rFonts w:ascii="Verdana" w:hAnsi="Verdana" w:cs="Arial"/>
        </w:rPr>
        <w:t xml:space="preserve">, </w:t>
      </w:r>
      <w:r w:rsidRPr="009B0972">
        <w:rPr>
          <w:rFonts w:ascii="Verdana" w:hAnsi="Verdana"/>
        </w:rPr>
        <w:t>A</w:t>
      </w:r>
      <w:r w:rsidRPr="009B0972">
        <w:rPr>
          <w:rFonts w:ascii="Verdana" w:eastAsia="Calibri" w:hAnsi="Verdana" w:cs="Arial"/>
        </w:rPr>
        <w:t xml:space="preserve">rtículo </w:t>
      </w:r>
      <w:r w:rsidRPr="009B0972">
        <w:rPr>
          <w:rFonts w:ascii="Verdana" w:hAnsi="Verdana"/>
        </w:rPr>
        <w:t>23, 24,</w:t>
      </w:r>
      <w:r>
        <w:rPr>
          <w:rFonts w:ascii="Verdana" w:hAnsi="Verdana"/>
        </w:rPr>
        <w:t xml:space="preserve"> 30</w:t>
      </w:r>
      <w:r>
        <w:rPr>
          <w:rFonts w:ascii="Verdana" w:hAnsi="Verdana" w:cs="Arial"/>
        </w:rPr>
        <w:t xml:space="preserve">. Disponible en </w:t>
      </w:r>
    </w:p>
    <w:p w14:paraId="59388272" w14:textId="77777777" w:rsidR="00F94B7D" w:rsidRPr="009B0972" w:rsidRDefault="00F94B7D" w:rsidP="00F94B7D">
      <w:pPr>
        <w:pStyle w:val="Prrafodelista"/>
        <w:widowControl w:val="0"/>
        <w:autoSpaceDE w:val="0"/>
        <w:autoSpaceDN w:val="0"/>
        <w:spacing w:after="120" w:line="276" w:lineRule="auto"/>
        <w:jc w:val="both"/>
        <w:rPr>
          <w:rFonts w:ascii="Verdana" w:hAnsi="Verdana" w:cs="Arial"/>
          <w:lang w:val="es-CO"/>
        </w:rPr>
      </w:pPr>
    </w:p>
    <w:p w14:paraId="67F12D26" w14:textId="17DEFDF5" w:rsidR="00F94B7D" w:rsidRPr="009B0972" w:rsidRDefault="00F94B7D" w:rsidP="00F94B7D">
      <w:pPr>
        <w:pStyle w:val="Prrafodelista"/>
        <w:widowControl w:val="0"/>
        <w:numPr>
          <w:ilvl w:val="0"/>
          <w:numId w:val="22"/>
        </w:numPr>
        <w:autoSpaceDE w:val="0"/>
        <w:autoSpaceDN w:val="0"/>
        <w:spacing w:after="120" w:line="276" w:lineRule="auto"/>
        <w:jc w:val="both"/>
        <w:rPr>
          <w:rFonts w:ascii="Verdana" w:hAnsi="Verdana" w:cs="Arial"/>
          <w:lang w:val="es-CO"/>
        </w:rPr>
      </w:pPr>
      <w:r w:rsidRPr="009B0972">
        <w:rPr>
          <w:rFonts w:ascii="Verdana" w:hAnsi="Verdana"/>
        </w:rPr>
        <w:t>Decreto 1082 de 2015</w:t>
      </w:r>
      <w:r>
        <w:rPr>
          <w:rFonts w:ascii="Verdana" w:hAnsi="Verdana"/>
        </w:rPr>
        <w:t xml:space="preserve">, </w:t>
      </w:r>
      <w:r w:rsidRPr="009B0972">
        <w:rPr>
          <w:rFonts w:ascii="Verdana" w:hAnsi="Verdana"/>
        </w:rPr>
        <w:t>A</w:t>
      </w:r>
      <w:r w:rsidRPr="009B0972">
        <w:rPr>
          <w:rFonts w:ascii="Verdana" w:eastAsia="Calibri" w:hAnsi="Verdana" w:cs="Arial"/>
        </w:rPr>
        <w:t xml:space="preserve">rtículo </w:t>
      </w:r>
      <w:r w:rsidRPr="00EF0BDA">
        <w:rPr>
          <w:rFonts w:ascii="Verdana" w:hAnsi="Verdana" w:cs="Arial"/>
          <w:shd w:val="clear" w:color="auto" w:fill="FFFFFF"/>
        </w:rPr>
        <w:t>2.2.1.1.1.3.1</w:t>
      </w:r>
      <w:r>
        <w:rPr>
          <w:rFonts w:ascii="Verdana" w:hAnsi="Verdana" w:cs="Arial"/>
          <w:shd w:val="clear" w:color="auto" w:fill="FFFFFF"/>
        </w:rPr>
        <w:t xml:space="preserve">, </w:t>
      </w:r>
      <w:r w:rsidRPr="00F94B7D">
        <w:rPr>
          <w:rFonts w:ascii="Verdana" w:eastAsia="Calibri" w:hAnsi="Verdana" w:cs="Arial"/>
        </w:rPr>
        <w:t>2.2.1.1.2.1.3</w:t>
      </w:r>
      <w:r>
        <w:rPr>
          <w:rFonts w:ascii="Verdana" w:eastAsia="Calibri" w:hAnsi="Verdana" w:cs="Arial"/>
        </w:rPr>
        <w:t xml:space="preserve">, </w:t>
      </w:r>
      <w:r w:rsidRPr="00732905">
        <w:rPr>
          <w:rFonts w:ascii="Verdana" w:eastAsia="Calibri" w:hAnsi="Verdana"/>
          <w:iCs/>
          <w:color w:val="000000" w:themeColor="text1"/>
        </w:rPr>
        <w:t>2.2.1.2.1.5.2</w:t>
      </w:r>
      <w:r>
        <w:rPr>
          <w:rFonts w:ascii="Verdana" w:hAnsi="Verdana"/>
        </w:rPr>
        <w:t xml:space="preserve">.,  </w:t>
      </w:r>
      <w:r w:rsidRPr="00F94B7D">
        <w:rPr>
          <w:rFonts w:ascii="Verdana" w:hAnsi="Verdana"/>
        </w:rPr>
        <w:t>2.2.1.1.1.7.1</w:t>
      </w:r>
      <w:r>
        <w:rPr>
          <w:rFonts w:ascii="Verdana" w:hAnsi="Verdana"/>
        </w:rPr>
        <w:t xml:space="preserve">, </w:t>
      </w:r>
      <w:r w:rsidRPr="00600F09">
        <w:rPr>
          <w:rFonts w:ascii="Verdana" w:hAnsi="Verdana"/>
        </w:rPr>
        <w:t xml:space="preserve">2.2.1.1.2.2.5 </w:t>
      </w:r>
      <w:r>
        <w:rPr>
          <w:rFonts w:ascii="Verdana" w:hAnsi="Verdana"/>
        </w:rPr>
        <w:t>Disponible en:</w:t>
      </w:r>
      <w:r>
        <w:rPr>
          <w:rFonts w:ascii="Verdana" w:hAnsi="Verdana"/>
        </w:rPr>
        <w:tab/>
        <w:t xml:space="preserve"> </w:t>
      </w:r>
      <w:hyperlink r:id="rId13" w:history="1">
        <w:r w:rsidRPr="00D94C94">
          <w:rPr>
            <w:rStyle w:val="Hipervnculo"/>
            <w:rFonts w:ascii="Verdana" w:hAnsi="Verdana"/>
          </w:rPr>
          <w:t>https://relatoria.colombiacompra.gov.co/normativa/decreto-1082-de-2015/</w:t>
        </w:r>
      </w:hyperlink>
      <w:r>
        <w:rPr>
          <w:rFonts w:ascii="Verdana" w:hAnsi="Verdana"/>
        </w:rPr>
        <w:t xml:space="preserve"> </w:t>
      </w:r>
    </w:p>
    <w:p w14:paraId="2A5DED90" w14:textId="77777777" w:rsidR="00F94B7D" w:rsidRPr="009B0972" w:rsidRDefault="00F94B7D" w:rsidP="00F94B7D">
      <w:pPr>
        <w:pStyle w:val="Prrafodelista"/>
        <w:rPr>
          <w:rFonts w:ascii="Verdana" w:hAnsi="Verdana"/>
        </w:rPr>
      </w:pPr>
    </w:p>
    <w:p w14:paraId="571F44EE" w14:textId="6268B369" w:rsidR="00F94B7D" w:rsidRDefault="00F94B7D" w:rsidP="00F94B7D">
      <w:pPr>
        <w:pStyle w:val="Prrafodelista"/>
        <w:widowControl w:val="0"/>
        <w:numPr>
          <w:ilvl w:val="0"/>
          <w:numId w:val="22"/>
        </w:numPr>
        <w:autoSpaceDE w:val="0"/>
        <w:autoSpaceDN w:val="0"/>
        <w:spacing w:after="120" w:line="276" w:lineRule="auto"/>
        <w:jc w:val="both"/>
        <w:rPr>
          <w:rFonts w:ascii="Verdana" w:hAnsi="Verdana" w:cs="Arial"/>
          <w:lang w:val="es-CO"/>
        </w:rPr>
      </w:pPr>
      <w:r>
        <w:rPr>
          <w:rFonts w:ascii="Verdana" w:hAnsi="Verdana" w:cs="Arial"/>
          <w:lang w:val="es-CO"/>
        </w:rPr>
        <w:t xml:space="preserve">Ley 1150 de 2007, Artículo 3. Disponible en: </w:t>
      </w:r>
      <w:hyperlink r:id="rId14" w:history="1">
        <w:r w:rsidR="003B4E0B" w:rsidRPr="00D74E6C">
          <w:rPr>
            <w:rStyle w:val="Hipervnculo"/>
            <w:rFonts w:ascii="Verdana" w:hAnsi="Verdana" w:cs="Arial"/>
            <w:lang w:val="es-CO"/>
          </w:rPr>
          <w:t>https://relatoria.colombiacompra.gov.co/normativa/ley-1150-de-2007-de-2007/</w:t>
        </w:r>
      </w:hyperlink>
    </w:p>
    <w:p w14:paraId="65B7BF4C" w14:textId="77777777" w:rsidR="003B4E0B" w:rsidRPr="003B4E0B" w:rsidRDefault="003B4E0B" w:rsidP="003B4E0B">
      <w:pPr>
        <w:pStyle w:val="Prrafodelista"/>
        <w:rPr>
          <w:rFonts w:ascii="Verdana" w:hAnsi="Verdana" w:cs="Arial"/>
          <w:lang w:val="es-CO"/>
        </w:rPr>
      </w:pPr>
    </w:p>
    <w:p w14:paraId="706F7039" w14:textId="23679080" w:rsidR="00F94B7D" w:rsidRPr="009B0972" w:rsidRDefault="00F94B7D" w:rsidP="00F94B7D">
      <w:pPr>
        <w:pStyle w:val="Prrafodelista"/>
        <w:widowControl w:val="0"/>
        <w:numPr>
          <w:ilvl w:val="0"/>
          <w:numId w:val="22"/>
        </w:numPr>
        <w:autoSpaceDE w:val="0"/>
        <w:autoSpaceDN w:val="0"/>
        <w:spacing w:after="120" w:line="276" w:lineRule="auto"/>
        <w:jc w:val="both"/>
        <w:rPr>
          <w:rFonts w:ascii="Verdana" w:hAnsi="Verdana" w:cs="Arial"/>
          <w:lang w:val="es-CO"/>
        </w:rPr>
      </w:pPr>
      <w:r w:rsidRPr="009B0972">
        <w:rPr>
          <w:rFonts w:ascii="Verdana" w:hAnsi="Verdana"/>
        </w:rPr>
        <w:t>A</w:t>
      </w:r>
      <w:r w:rsidRPr="009B0972">
        <w:rPr>
          <w:rFonts w:ascii="Verdana" w:eastAsia="Calibri" w:hAnsi="Verdana" w:cs="Arial"/>
        </w:rPr>
        <w:t>rtículo 14, 37 y 38 del CPACA de la Ley 1437 de 2011 (CPACA)</w:t>
      </w:r>
      <w:r>
        <w:rPr>
          <w:rFonts w:ascii="Verdana" w:eastAsia="Calibri" w:hAnsi="Verdana" w:cs="Arial"/>
        </w:rPr>
        <w:t xml:space="preserve">. Disponible en </w:t>
      </w:r>
      <w:hyperlink r:id="rId15" w:history="1">
        <w:r w:rsidRPr="00D94C94">
          <w:rPr>
            <w:rStyle w:val="Hipervnculo"/>
            <w:rFonts w:ascii="Verdana" w:eastAsia="Calibri" w:hAnsi="Verdana" w:cs="Arial"/>
          </w:rPr>
          <w:t>https://relatoria.colombiacompra.gov.co/normativa/ley-1437-de-2011/</w:t>
        </w:r>
      </w:hyperlink>
      <w:r>
        <w:rPr>
          <w:rFonts w:ascii="Verdana" w:eastAsia="Calibri" w:hAnsi="Verdana" w:cs="Arial"/>
        </w:rPr>
        <w:t xml:space="preserve"> </w:t>
      </w:r>
    </w:p>
    <w:p w14:paraId="7E311C69" w14:textId="77777777" w:rsidR="00F94B7D" w:rsidRPr="009B0972" w:rsidRDefault="00F94B7D" w:rsidP="00F94B7D">
      <w:pPr>
        <w:pStyle w:val="Prrafodelista"/>
        <w:rPr>
          <w:rFonts w:ascii="Verdana" w:eastAsia="Calibri" w:hAnsi="Verdana" w:cs="Arial"/>
        </w:rPr>
      </w:pPr>
    </w:p>
    <w:p w14:paraId="43BDCDBA" w14:textId="1BD97981" w:rsidR="00F94B7D" w:rsidRPr="00F94B7D" w:rsidRDefault="00F94B7D" w:rsidP="00F94B7D">
      <w:pPr>
        <w:pStyle w:val="Prrafodelista"/>
        <w:widowControl w:val="0"/>
        <w:numPr>
          <w:ilvl w:val="0"/>
          <w:numId w:val="22"/>
        </w:numPr>
        <w:autoSpaceDE w:val="0"/>
        <w:autoSpaceDN w:val="0"/>
        <w:spacing w:after="120" w:line="276" w:lineRule="auto"/>
        <w:jc w:val="both"/>
        <w:rPr>
          <w:rFonts w:ascii="Verdana" w:hAnsi="Verdana" w:cs="Arial"/>
          <w:lang w:val="es-CO"/>
        </w:rPr>
      </w:pPr>
      <w:r w:rsidRPr="009B0972">
        <w:rPr>
          <w:rFonts w:ascii="Verdana" w:eastAsia="Calibri" w:hAnsi="Verdana" w:cs="Arial"/>
        </w:rPr>
        <w:t>Ley 1712 de 2</w:t>
      </w:r>
      <w:r w:rsidRPr="00C87573">
        <w:rPr>
          <w:rFonts w:ascii="Verdana" w:eastAsia="Calibri" w:hAnsi="Verdana" w:cs="Arial"/>
        </w:rPr>
        <w:t>014</w:t>
      </w:r>
      <w:r w:rsidRPr="00C87573">
        <w:rPr>
          <w:rFonts w:ascii="Verdana" w:hAnsi="Verdana" w:cs="Arial"/>
        </w:rPr>
        <w:t>.</w:t>
      </w:r>
      <w:r w:rsidRPr="00F94B7D">
        <w:rPr>
          <w:rFonts w:ascii="Verdana" w:eastAsia="Calibri" w:hAnsi="Verdana" w:cs="Arial"/>
        </w:rPr>
        <w:t xml:space="preserve"> </w:t>
      </w:r>
      <w:r w:rsidRPr="009B0972">
        <w:rPr>
          <w:rFonts w:ascii="Verdana" w:eastAsia="Calibri" w:hAnsi="Verdana" w:cs="Arial"/>
        </w:rPr>
        <w:t>Artículo 4, 6</w:t>
      </w:r>
      <w:r>
        <w:rPr>
          <w:rFonts w:ascii="Verdana" w:eastAsia="Calibri" w:hAnsi="Verdana" w:cs="Arial"/>
        </w:rPr>
        <w:t xml:space="preserve">, 11. </w:t>
      </w:r>
      <w:r w:rsidRPr="00C87573">
        <w:rPr>
          <w:rFonts w:ascii="Verdana" w:hAnsi="Verdana" w:cs="Arial"/>
        </w:rPr>
        <w:t xml:space="preserve"> </w:t>
      </w:r>
    </w:p>
    <w:p w14:paraId="3D1BE2F4" w14:textId="5580A81A" w:rsidR="00F94B7D" w:rsidRDefault="00F94B7D" w:rsidP="00F94B7D">
      <w:pPr>
        <w:pStyle w:val="Prrafodelista"/>
        <w:widowControl w:val="0"/>
        <w:autoSpaceDE w:val="0"/>
        <w:autoSpaceDN w:val="0"/>
        <w:spacing w:after="120" w:line="276" w:lineRule="auto"/>
        <w:jc w:val="both"/>
        <w:rPr>
          <w:rFonts w:ascii="Verdana" w:hAnsi="Verdana" w:cs="Arial"/>
        </w:rPr>
      </w:pPr>
      <w:r w:rsidRPr="00C87573">
        <w:rPr>
          <w:rFonts w:ascii="Verdana" w:hAnsi="Verdana" w:cs="Arial"/>
        </w:rPr>
        <w:t xml:space="preserve">Disponible en </w:t>
      </w:r>
      <w:hyperlink r:id="rId16" w:history="1">
        <w:r w:rsidRPr="00D94C94">
          <w:rPr>
            <w:rStyle w:val="Hipervnculo"/>
            <w:rFonts w:ascii="Verdana" w:hAnsi="Verdana" w:cs="Arial"/>
          </w:rPr>
          <w:t>https://relatoria.colombiacompra.gov.co/normativa/ley-1712-de-2014/</w:t>
        </w:r>
      </w:hyperlink>
      <w:r>
        <w:rPr>
          <w:rFonts w:ascii="Verdana" w:hAnsi="Verdana" w:cs="Arial"/>
        </w:rPr>
        <w:t xml:space="preserve"> </w:t>
      </w:r>
    </w:p>
    <w:p w14:paraId="5BF16F47" w14:textId="77777777" w:rsidR="003B4E0B" w:rsidRPr="009B0972" w:rsidRDefault="003B4E0B" w:rsidP="00F94B7D">
      <w:pPr>
        <w:pStyle w:val="Prrafodelista"/>
        <w:widowControl w:val="0"/>
        <w:autoSpaceDE w:val="0"/>
        <w:autoSpaceDN w:val="0"/>
        <w:spacing w:after="120" w:line="276" w:lineRule="auto"/>
        <w:jc w:val="both"/>
        <w:rPr>
          <w:rFonts w:ascii="Verdana" w:hAnsi="Verdana" w:cs="Arial"/>
          <w:lang w:val="es-CO"/>
        </w:rPr>
      </w:pPr>
    </w:p>
    <w:p w14:paraId="5E863BA6" w14:textId="77777777" w:rsidR="00FB4D96" w:rsidRPr="00CC2A30" w:rsidRDefault="00FB4D96" w:rsidP="00FB4D9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Doctrina de la Agencia Nacional de Contratación Pública:</w:t>
      </w:r>
    </w:p>
    <w:p w14:paraId="5EAB2F36" w14:textId="77777777" w:rsidR="00FB4D96" w:rsidRPr="00CC2A30" w:rsidRDefault="00FB4D96" w:rsidP="00FB4D96">
      <w:pPr>
        <w:widowControl w:val="0"/>
        <w:autoSpaceDE w:val="0"/>
        <w:autoSpaceDN w:val="0"/>
        <w:spacing w:after="0" w:line="276" w:lineRule="auto"/>
        <w:jc w:val="both"/>
        <w:rPr>
          <w:rFonts w:ascii="Verdana" w:eastAsia="Calibri" w:hAnsi="Verdana" w:cs="Arial"/>
          <w:lang w:val="es-ES" w:eastAsia="es-ES"/>
        </w:rPr>
      </w:pPr>
    </w:p>
    <w:p w14:paraId="0FA2EDCC" w14:textId="15F8EFC5" w:rsidR="00FB4D96" w:rsidRPr="00CC2A30" w:rsidRDefault="00F94B7D" w:rsidP="00F94B7D">
      <w:pPr>
        <w:pStyle w:val="Textonotapie"/>
        <w:jc w:val="both"/>
        <w:rPr>
          <w:rFonts w:ascii="Verdana" w:eastAsia="Calibri" w:hAnsi="Verdana" w:cs="Arial"/>
          <w:color w:val="000000" w:themeColor="text1"/>
          <w:lang w:val="es-ES"/>
        </w:rPr>
      </w:pPr>
      <w:r w:rsidRPr="00C87573">
        <w:rPr>
          <w:rStyle w:val="normaltextrun"/>
          <w:rFonts w:ascii="Verdana" w:hAnsi="Verdana" w:cs="Arial"/>
          <w:sz w:val="22"/>
          <w:szCs w:val="22"/>
          <w:shd w:val="clear" w:color="auto" w:fill="FFFFFF"/>
          <w:lang w:val="es-ES"/>
        </w:rPr>
        <w:t xml:space="preserve">Sobre la presentación de ofertas y el principio de publicidad, se pronunció esta Subdirección en los conceptos 4201912000005935 del 25 de noviembre de 2019, </w:t>
      </w:r>
      <w:r w:rsidRPr="00C87573">
        <w:rPr>
          <w:rFonts w:ascii="Verdana" w:hAnsi="Verdana" w:cs="Arial"/>
          <w:sz w:val="22"/>
          <w:szCs w:val="22"/>
          <w:shd w:val="clear" w:color="auto" w:fill="FFFFFF"/>
        </w:rPr>
        <w:t>C-139 del 31 de febrero de 2020, Concepto C – 575 de 2020, C-080 del 5 de marzo de 2020, C-002 del 5 de mayo de 2020, C-093 del 22 de marzo de 2022, C-261 del 20 de mayo de 2022, C-358 del 30 de junio de 2020, C-905 del 28 de diciembre de 2022, C-313 del 31 de julio del 2023, C-324 del 20 de agosto de 2024</w:t>
      </w:r>
      <w:r w:rsidR="002C2F63">
        <w:rPr>
          <w:rFonts w:ascii="Verdana" w:hAnsi="Verdana" w:cs="Arial"/>
          <w:sz w:val="22"/>
          <w:szCs w:val="22"/>
          <w:shd w:val="clear" w:color="auto" w:fill="FFFFFF"/>
        </w:rPr>
        <w:t>,</w:t>
      </w:r>
      <w:r w:rsidR="00937531">
        <w:rPr>
          <w:rFonts w:ascii="Verdana" w:hAnsi="Verdana" w:cs="Arial"/>
          <w:sz w:val="22"/>
          <w:szCs w:val="22"/>
          <w:shd w:val="clear" w:color="auto" w:fill="FFFFFF"/>
        </w:rPr>
        <w:t xml:space="preserve"> C-682 del 17 de octubre de 2024</w:t>
      </w:r>
      <w:r w:rsidR="002C2F63">
        <w:rPr>
          <w:rFonts w:ascii="Verdana" w:hAnsi="Verdana" w:cs="Arial"/>
          <w:sz w:val="22"/>
          <w:szCs w:val="22"/>
          <w:shd w:val="clear" w:color="auto" w:fill="FFFFFF"/>
        </w:rPr>
        <w:t xml:space="preserve"> y C-835 </w:t>
      </w:r>
      <w:r w:rsidR="0016274E">
        <w:rPr>
          <w:rFonts w:ascii="Verdana" w:hAnsi="Verdana" w:cs="Arial"/>
          <w:sz w:val="22"/>
          <w:szCs w:val="22"/>
          <w:shd w:val="clear" w:color="auto" w:fill="FFFFFF"/>
        </w:rPr>
        <w:t>del 11 de diciembre de 2024.</w:t>
      </w:r>
    </w:p>
    <w:p w14:paraId="36AC87E5" w14:textId="77777777" w:rsidR="00F94B7D" w:rsidRPr="00CC2A30" w:rsidRDefault="00F94B7D" w:rsidP="00FB4D96">
      <w:pPr>
        <w:widowControl w:val="0"/>
        <w:autoSpaceDE w:val="0"/>
        <w:autoSpaceDN w:val="0"/>
        <w:spacing w:after="0" w:line="276" w:lineRule="auto"/>
        <w:jc w:val="both"/>
        <w:rPr>
          <w:rFonts w:ascii="Verdana" w:eastAsia="Calibri" w:hAnsi="Verdana" w:cs="Arial"/>
          <w:color w:val="000000" w:themeColor="text1"/>
          <w:lang w:val="es-ES"/>
        </w:rPr>
      </w:pPr>
    </w:p>
    <w:p w14:paraId="788963AD" w14:textId="77777777" w:rsidR="00FB4D96" w:rsidRPr="00CC2A30" w:rsidRDefault="00FB4D96" w:rsidP="00FB4D96">
      <w:pPr>
        <w:widowControl w:val="0"/>
        <w:autoSpaceDE w:val="0"/>
        <w:autoSpaceDN w:val="0"/>
        <w:spacing w:after="0" w:line="276" w:lineRule="auto"/>
        <w:jc w:val="both"/>
        <w:rPr>
          <w:rFonts w:ascii="Verdana" w:hAnsi="Verdana"/>
        </w:rPr>
      </w:pPr>
      <w:r w:rsidRPr="00CC2A30">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CC2A30">
        <w:rPr>
          <w:rFonts w:ascii="Verdana" w:hAnsi="Verdana"/>
        </w:rPr>
        <w:t>, accede a través del siguiente enlace:</w:t>
      </w:r>
    </w:p>
    <w:p w14:paraId="49C1E95F" w14:textId="77777777" w:rsidR="00FB4D96" w:rsidRPr="00CC2A30" w:rsidRDefault="00317EC8" w:rsidP="00FB4D96">
      <w:pPr>
        <w:widowControl w:val="0"/>
        <w:autoSpaceDE w:val="0"/>
        <w:autoSpaceDN w:val="0"/>
        <w:spacing w:after="0" w:line="276" w:lineRule="auto"/>
        <w:jc w:val="both"/>
        <w:rPr>
          <w:rStyle w:val="normaltextrun"/>
          <w:rFonts w:ascii="Verdana" w:hAnsi="Verdana"/>
        </w:rPr>
      </w:pPr>
      <w:hyperlink r:id="rId17" w:history="1">
        <w:r w:rsidR="00FB4D96" w:rsidRPr="00CC2A30">
          <w:rPr>
            <w:rStyle w:val="Hipervnculo"/>
            <w:rFonts w:ascii="Verdana" w:hAnsi="Verdana" w:cs="Arial"/>
            <w:shd w:val="clear" w:color="auto" w:fill="FFFFFF"/>
            <w:lang w:val="es-ES"/>
          </w:rPr>
          <w:t>https://relatoria.colombiacompra.gov.co/busqueda/conceptos</w:t>
        </w:r>
      </w:hyperlink>
      <w:r w:rsidR="00FB4D96" w:rsidRPr="00CC2A30">
        <w:rPr>
          <w:rStyle w:val="normaltextrun"/>
          <w:rFonts w:ascii="Verdana" w:hAnsi="Verdana" w:cs="Arial"/>
          <w:shd w:val="clear" w:color="auto" w:fill="FFFFFF"/>
        </w:rPr>
        <w:t xml:space="preserve">. </w:t>
      </w:r>
    </w:p>
    <w:p w14:paraId="2F22AF5D" w14:textId="77777777" w:rsidR="00FB4D96" w:rsidRPr="00CC2A30" w:rsidRDefault="00FB4D96" w:rsidP="00FB4D96">
      <w:pPr>
        <w:spacing w:after="0" w:line="240" w:lineRule="auto"/>
        <w:jc w:val="both"/>
        <w:rPr>
          <w:rFonts w:ascii="Verdana" w:eastAsia="Calibri" w:hAnsi="Verdana"/>
        </w:rPr>
      </w:pPr>
    </w:p>
    <w:p w14:paraId="67B62956" w14:textId="77777777" w:rsidR="00FB4D96" w:rsidRPr="00937531" w:rsidRDefault="00937531" w:rsidP="00937531">
      <w:pPr>
        <w:shd w:val="clear" w:color="auto" w:fill="FFFFFF"/>
        <w:jc w:val="both"/>
        <w:textAlignment w:val="baseline"/>
        <w:rPr>
          <w:rFonts w:ascii="Verdana" w:hAnsi="Verdana" w:cs="Calibri"/>
          <w:color w:val="000000"/>
        </w:rPr>
      </w:pPr>
      <w:r w:rsidRPr="00937531">
        <w:rPr>
          <w:rFonts w:ascii="Verdana" w:hAnsi="Verdana" w:cs="Calibri"/>
          <w:color w:val="000000"/>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8" w:tgtFrame="_blank" w:tooltip="Dirección URL original: https://www.colombiacompra.gov.co/sites/cce_public/files/cce_documents/manual_para_el_manejo_de_acuerdos_comerciales_vf.pdf. Haga clic o pulse si confía en este vínculo." w:history="1">
        <w:r w:rsidR="00FB4D96" w:rsidRPr="00937531">
          <w:rPr>
            <w:rStyle w:val="Hipervnculo"/>
            <w:rFonts w:ascii="Verdana" w:hAnsi="Verdana" w:cs="Calibri"/>
            <w:bdr w:val="none" w:sz="0" w:space="0" w:color="auto" w:frame="1"/>
          </w:rPr>
          <w:t>manual_para_el_manejo_de_acuerdos_comerciales_vf.pdf</w:t>
        </w:r>
      </w:hyperlink>
    </w:p>
    <w:p w14:paraId="525CB915" w14:textId="77777777" w:rsidR="00FB4D96" w:rsidRPr="00937531" w:rsidRDefault="00FB4D96" w:rsidP="00937531">
      <w:pPr>
        <w:shd w:val="clear" w:color="auto" w:fill="FFFFFF"/>
        <w:jc w:val="both"/>
        <w:textAlignment w:val="baseline"/>
        <w:rPr>
          <w:rFonts w:ascii="Verdana" w:hAnsi="Verdana" w:cs="Calibri"/>
          <w:color w:val="000000"/>
        </w:rPr>
      </w:pPr>
      <w:r w:rsidRPr="00937531">
        <w:rPr>
          <w:rFonts w:ascii="Verdana" w:hAnsi="Verdana" w:cs="Calibri"/>
          <w:color w:val="000000"/>
        </w:rPr>
        <w:t>De otra parte, te contamos que ya publicamos el borrador de la nueva Guía para Incentivar la Participación de Mujeres en el Sistema de Compras y Contratación Pública. Conoce el documento y realiza tus comentarios hasta el 2 de diciembre de 2024</w:t>
      </w:r>
      <w:r w:rsidRPr="00937531">
        <w:rPr>
          <w:rFonts w:ascii="Verdana" w:hAnsi="Verdana" w:cs="Calibri"/>
          <w:b/>
          <w:color w:val="000000"/>
        </w:rPr>
        <w:t> </w:t>
      </w:r>
      <w:r w:rsidRPr="00937531">
        <w:rPr>
          <w:rFonts w:ascii="Verdana" w:hAnsi="Verdana" w:cs="Calibri"/>
          <w:color w:val="000000"/>
        </w:rPr>
        <w:t>a través de estos enlaces:</w:t>
      </w:r>
    </w:p>
    <w:p w14:paraId="4A354999" w14:textId="77777777" w:rsidR="00FB4D96" w:rsidRPr="00C20D2F" w:rsidRDefault="00FB4D96" w:rsidP="00937531">
      <w:pPr>
        <w:numPr>
          <w:ilvl w:val="0"/>
          <w:numId w:val="23"/>
        </w:numPr>
        <w:shd w:val="clear" w:color="auto" w:fill="FFFFFF"/>
        <w:spacing w:beforeAutospacing="1" w:after="0" w:afterAutospacing="1" w:line="240" w:lineRule="auto"/>
        <w:jc w:val="both"/>
        <w:rPr>
          <w:rFonts w:ascii="Verdana" w:hAnsi="Verdana" w:cs="Calibri"/>
          <w:color w:val="000000"/>
          <w:sz w:val="20"/>
          <w:szCs w:val="20"/>
        </w:rPr>
      </w:pPr>
      <w:r w:rsidRPr="00C20D2F">
        <w:rPr>
          <w:rFonts w:ascii="Verdana" w:hAnsi="Verdana" w:cs="Calibri"/>
          <w:color w:val="000000"/>
          <w:sz w:val="20"/>
          <w:szCs w:val="20"/>
        </w:rPr>
        <w:lastRenderedPageBreak/>
        <w:t>Enlace página ANCP-CCE: </w:t>
      </w:r>
      <w:hyperlink r:id="rId19" w:tgtFrame="_blank" w:tooltip="Dirección URL original: https://www.colombiacompra.gov.co/content/convocatorias. Haga clic o pulse si confía en este vínculo." w:history="1">
        <w:r w:rsidRPr="00C20D2F">
          <w:rPr>
            <w:rStyle w:val="Hipervnculo"/>
            <w:rFonts w:ascii="Verdana" w:hAnsi="Verdana" w:cs="Calibri"/>
            <w:sz w:val="20"/>
            <w:szCs w:val="20"/>
            <w:bdr w:val="none" w:sz="0" w:space="0" w:color="auto" w:frame="1"/>
          </w:rPr>
          <w:t>https://www.colombiacompra.gov.co/content/convocatorias</w:t>
        </w:r>
      </w:hyperlink>
    </w:p>
    <w:p w14:paraId="79554CCB" w14:textId="77777777" w:rsidR="00FB4D96" w:rsidRPr="00C20D2F" w:rsidRDefault="00FB4D96" w:rsidP="002D2280">
      <w:pPr>
        <w:numPr>
          <w:ilvl w:val="0"/>
          <w:numId w:val="23"/>
        </w:numPr>
        <w:shd w:val="clear" w:color="auto" w:fill="FFFFFF"/>
        <w:spacing w:before="100" w:beforeAutospacing="1" w:after="100" w:afterAutospacing="1" w:line="240" w:lineRule="auto"/>
        <w:jc w:val="both"/>
        <w:rPr>
          <w:rFonts w:ascii="Verdana" w:hAnsi="Verdana" w:cs="Calibri"/>
          <w:color w:val="000000"/>
          <w:sz w:val="20"/>
          <w:szCs w:val="20"/>
        </w:rPr>
      </w:pPr>
      <w:r w:rsidRPr="00C20D2F">
        <w:rPr>
          <w:rFonts w:ascii="Verdana" w:hAnsi="Verdana" w:cs="Calibri"/>
          <w:color w:val="000000"/>
          <w:sz w:val="20"/>
          <w:szCs w:val="20"/>
        </w:rPr>
        <w:t>Enlace SUCOP:  </w:t>
      </w:r>
      <w:hyperlink r:id="rId20" w:tgtFrame="_blank" w:tooltip="Dirección URL original: https://www.sucop.gov.co/entidades/colombiacompra/Normativa?IDNorma=19201. Haga clic o pulse si confía en este vínculo." w:history="1">
        <w:r w:rsidRPr="00C20D2F">
          <w:rPr>
            <w:rStyle w:val="Hipervnculo"/>
            <w:rFonts w:ascii="Verdana" w:hAnsi="Verdana" w:cs="Calibri"/>
            <w:sz w:val="20"/>
            <w:szCs w:val="20"/>
            <w:bdr w:val="none" w:sz="0" w:space="0" w:color="auto" w:frame="1"/>
          </w:rPr>
          <w:t>https://www.sucop.gov.co/entidades/colombiacompra/Normativa?IDNorma=19201</w:t>
        </w:r>
      </w:hyperlink>
    </w:p>
    <w:p w14:paraId="5B2D5B33" w14:textId="6E9FC913" w:rsidR="00FB4D96" w:rsidRPr="00937531" w:rsidRDefault="00FB4D96" w:rsidP="00937531">
      <w:pPr>
        <w:shd w:val="clear" w:color="auto" w:fill="FFFFFF"/>
        <w:jc w:val="both"/>
        <w:textAlignment w:val="baseline"/>
        <w:rPr>
          <w:rFonts w:ascii="Verdana" w:hAnsi="Verdana" w:cs="Calibri"/>
          <w:color w:val="000000"/>
        </w:rPr>
      </w:pPr>
      <w:r w:rsidRPr="00937531">
        <w:rPr>
          <w:rFonts w:ascii="Verdana" w:hAnsi="Verdana" w:cs="Calibri"/>
          <w:color w:val="000000"/>
        </w:rPr>
        <w:t>También le invitamos a consultar la versión VII  de 2024 , del Boletín de Relatoría de la Subdirección de Gestión Contractual relacionado con las ASOCIACIONES PÚBLICO POPULARES , el cual se puede descargar en la página web de la Agencia: </w:t>
      </w:r>
      <w:hyperlink r:id="rId21" w:tgtFrame="_blank" w:tooltip="Dirección URL original: https://www.colombiacompra.gov.co/sala-de-prensa/boletin-digital. Haga clic o pulse si confía en este vínculo." w:history="1">
        <w:r w:rsidRPr="00937531">
          <w:rPr>
            <w:rStyle w:val="Hipervnculo"/>
            <w:rFonts w:ascii="Verdana" w:hAnsi="Verdana" w:cs="Calibri"/>
            <w:bdr w:val="none" w:sz="0" w:space="0" w:color="auto" w:frame="1"/>
          </w:rPr>
          <w:t>https://www.colombiacompra.gov.co/sala-de-prensa/boletin-digital</w:t>
        </w:r>
      </w:hyperlink>
      <w:r w:rsidRPr="00937531">
        <w:rPr>
          <w:rFonts w:ascii="Verdana" w:hAnsi="Verdana" w:cs="Calibri"/>
          <w:color w:val="000000"/>
        </w:rPr>
        <w:t> ".</w:t>
      </w:r>
    </w:p>
    <w:p w14:paraId="0F645A40" w14:textId="77777777" w:rsidR="00FB4D96" w:rsidRPr="00CC2A30" w:rsidRDefault="00FB4D96" w:rsidP="00FB4D96">
      <w:pPr>
        <w:spacing w:after="0" w:line="254" w:lineRule="auto"/>
        <w:rPr>
          <w:rFonts w:ascii="Verdana" w:eastAsia="Calibri" w:hAnsi="Verdana" w:cs="Times New Roman"/>
        </w:rPr>
      </w:pPr>
      <w:r w:rsidRPr="00CC2A30">
        <w:rPr>
          <w:rFonts w:ascii="Verdana" w:eastAsia="Calibri" w:hAnsi="Verdana" w:cs="Times New Roman"/>
        </w:rPr>
        <w:t xml:space="preserve">Por último, lo invitamos a seguirnos en las redes sociales en las cuales se difunde información institucional: </w:t>
      </w:r>
    </w:p>
    <w:p w14:paraId="1385BCBA" w14:textId="77777777" w:rsidR="00FB4D96" w:rsidRPr="00CC2A30" w:rsidRDefault="00FB4D96" w:rsidP="00FB4D96">
      <w:pPr>
        <w:spacing w:after="0" w:line="254" w:lineRule="auto"/>
        <w:rPr>
          <w:rFonts w:ascii="Verdana" w:eastAsia="Calibri" w:hAnsi="Verdana" w:cs="Times New Roman"/>
        </w:rPr>
      </w:pPr>
      <w:r w:rsidRPr="00CC2A30">
        <w:rPr>
          <w:rFonts w:ascii="Verdana" w:eastAsia="Calibri" w:hAnsi="Verdana" w:cs="Times New Roman"/>
        </w:rPr>
        <w:t xml:space="preserve">Twitter: </w:t>
      </w:r>
      <w:r w:rsidRPr="00CC2A30">
        <w:rPr>
          <w:rFonts w:ascii="Verdana" w:eastAsia="Calibri" w:hAnsi="Verdana" w:cs="Times New Roman"/>
          <w:u w:val="single"/>
        </w:rPr>
        <w:t>@</w:t>
      </w:r>
      <w:proofErr w:type="spellStart"/>
      <w:r w:rsidRPr="00CC2A30">
        <w:rPr>
          <w:rFonts w:ascii="Verdana" w:eastAsia="Calibri" w:hAnsi="Verdana" w:cs="Times New Roman"/>
          <w:u w:val="single"/>
        </w:rPr>
        <w:t>colombiacompra</w:t>
      </w:r>
      <w:proofErr w:type="spellEnd"/>
      <w:r w:rsidRPr="00CC2A30">
        <w:rPr>
          <w:rFonts w:ascii="Verdana" w:eastAsia="Calibri" w:hAnsi="Verdana" w:cs="Times New Roman"/>
        </w:rPr>
        <w:t xml:space="preserve"> </w:t>
      </w:r>
    </w:p>
    <w:p w14:paraId="0CA5F47B" w14:textId="77777777" w:rsidR="00FB4D96" w:rsidRPr="00CC2A30" w:rsidRDefault="00FB4D96" w:rsidP="00FB4D96">
      <w:pPr>
        <w:spacing w:after="0" w:line="254" w:lineRule="auto"/>
        <w:rPr>
          <w:rFonts w:ascii="Verdana" w:eastAsia="Calibri" w:hAnsi="Verdana" w:cs="Times New Roman"/>
        </w:rPr>
      </w:pPr>
      <w:r w:rsidRPr="00CC2A30">
        <w:rPr>
          <w:rFonts w:ascii="Verdana" w:eastAsia="Calibri" w:hAnsi="Verdana" w:cs="Times New Roman"/>
        </w:rPr>
        <w:t xml:space="preserve">Facebook: </w:t>
      </w:r>
      <w:proofErr w:type="spellStart"/>
      <w:r w:rsidRPr="00CC2A30">
        <w:rPr>
          <w:rFonts w:ascii="Verdana" w:eastAsia="Calibri" w:hAnsi="Verdana" w:cs="Times New Roman"/>
          <w:u w:val="single"/>
        </w:rPr>
        <w:t>ColombiaCompraEficiente</w:t>
      </w:r>
      <w:proofErr w:type="spellEnd"/>
    </w:p>
    <w:p w14:paraId="55A0BC0B" w14:textId="77777777" w:rsidR="00FB4D96" w:rsidRPr="00CC2A30" w:rsidRDefault="00FB4D96" w:rsidP="00FB4D96">
      <w:pPr>
        <w:spacing w:after="0" w:line="254" w:lineRule="auto"/>
        <w:rPr>
          <w:rFonts w:ascii="Verdana" w:eastAsia="Calibri" w:hAnsi="Verdana" w:cs="Times New Roman"/>
          <w:u w:val="single"/>
        </w:rPr>
      </w:pPr>
      <w:r w:rsidRPr="00CC2A30">
        <w:rPr>
          <w:rFonts w:ascii="Verdana" w:eastAsia="Calibri" w:hAnsi="Verdana" w:cs="Times New Roman"/>
        </w:rPr>
        <w:t xml:space="preserve">LinkedIn: </w:t>
      </w:r>
      <w:r w:rsidRPr="00CC2A30">
        <w:rPr>
          <w:rFonts w:ascii="Verdana" w:eastAsia="Calibri" w:hAnsi="Verdana" w:cs="Times New Roman"/>
          <w:u w:val="single"/>
        </w:rPr>
        <w:t>Agencia Nacional de Contratación Pública - Colombia Compra Eficiente</w:t>
      </w:r>
      <w:r w:rsidRPr="00CC2A30">
        <w:rPr>
          <w:rFonts w:ascii="Verdana" w:eastAsia="Calibri" w:hAnsi="Verdana" w:cs="Times New Roman"/>
        </w:rPr>
        <w:t xml:space="preserve"> Instagram: </w:t>
      </w:r>
      <w:r w:rsidRPr="00CC2A30">
        <w:rPr>
          <w:rFonts w:ascii="Verdana" w:eastAsia="Calibri" w:hAnsi="Verdana" w:cs="Times New Roman"/>
          <w:u w:val="single"/>
        </w:rPr>
        <w:t>@</w:t>
      </w:r>
      <w:proofErr w:type="spellStart"/>
      <w:r w:rsidRPr="00CC2A30">
        <w:rPr>
          <w:rFonts w:ascii="Verdana" w:eastAsia="Calibri" w:hAnsi="Verdana" w:cs="Times New Roman"/>
          <w:u w:val="single"/>
        </w:rPr>
        <w:t>colombiacompraeficiente_cce</w:t>
      </w:r>
      <w:proofErr w:type="spellEnd"/>
    </w:p>
    <w:p w14:paraId="125AD607" w14:textId="77777777" w:rsidR="00FB4D96" w:rsidRPr="00CC2A30" w:rsidRDefault="00FB4D96" w:rsidP="00FB4D96">
      <w:pPr>
        <w:spacing w:after="0" w:line="254" w:lineRule="auto"/>
        <w:rPr>
          <w:rFonts w:ascii="Verdana" w:eastAsia="Calibri" w:hAnsi="Verdana" w:cs="Times New Roman"/>
          <w:b/>
          <w:bCs/>
        </w:rPr>
      </w:pPr>
    </w:p>
    <w:p w14:paraId="41D190D3" w14:textId="77777777" w:rsidR="00FB4D96" w:rsidRPr="00CC2A30" w:rsidRDefault="00FB4D96" w:rsidP="00FB4D96">
      <w:pPr>
        <w:spacing w:after="0" w:line="254" w:lineRule="auto"/>
        <w:jc w:val="both"/>
        <w:rPr>
          <w:rFonts w:ascii="Verdana" w:eastAsia="Calibri" w:hAnsi="Verdana" w:cs="Times New Roman"/>
          <w:lang w:val="es-ES_tradnl"/>
        </w:rPr>
      </w:pPr>
      <w:r w:rsidRPr="00CC2A3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FADD708" w14:textId="77777777" w:rsidR="00FB4D96" w:rsidRPr="00CC2A30" w:rsidRDefault="00FB4D96" w:rsidP="00FB4D96">
      <w:pPr>
        <w:spacing w:after="0" w:line="240" w:lineRule="auto"/>
        <w:jc w:val="both"/>
        <w:rPr>
          <w:rFonts w:ascii="Verdana" w:eastAsia="Calibri" w:hAnsi="Verdana"/>
        </w:rPr>
      </w:pPr>
    </w:p>
    <w:p w14:paraId="6B1F025B" w14:textId="77777777" w:rsidR="00FB4D96" w:rsidRPr="00CC2A30" w:rsidRDefault="00FB4D96" w:rsidP="00FB4D96">
      <w:pPr>
        <w:spacing w:after="0" w:line="240" w:lineRule="auto"/>
        <w:jc w:val="both"/>
        <w:rPr>
          <w:rFonts w:ascii="Verdana" w:eastAsia="Times New Roman" w:hAnsi="Verdana" w:cs="Arial"/>
          <w:lang w:eastAsia="es-CO"/>
        </w:rPr>
      </w:pPr>
      <w:r w:rsidRPr="00CC2A30">
        <w:rPr>
          <w:rFonts w:ascii="Verdana" w:eastAsia="Times New Roman" w:hAnsi="Verdana" w:cs="Arial"/>
          <w:lang w:eastAsia="es-CO"/>
        </w:rPr>
        <w:t>Atentamente,</w:t>
      </w:r>
    </w:p>
    <w:p w14:paraId="0D85C506" w14:textId="32677FF7" w:rsidR="00FB4D96" w:rsidRPr="00CC2A30" w:rsidRDefault="00F5721C" w:rsidP="00FB4D96">
      <w:pPr>
        <w:spacing w:after="0" w:line="240" w:lineRule="auto"/>
        <w:jc w:val="center"/>
        <w:rPr>
          <w:rFonts w:ascii="Verdana" w:eastAsia="Times New Roman" w:hAnsi="Verdana" w:cs="Arial"/>
          <w:lang w:eastAsia="es-CO"/>
        </w:rPr>
      </w:pPr>
      <w:r w:rsidRPr="002C3AD6">
        <w:rPr>
          <w:rFonts w:ascii="Century Gothic" w:hAnsi="Century Gothic"/>
          <w:noProof/>
        </w:rPr>
        <w:drawing>
          <wp:inline distT="0" distB="0" distL="0" distR="0" wp14:anchorId="47A5042A" wp14:editId="209DAC8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FB4D96" w:rsidRPr="00C20D2F" w14:paraId="0693BE96" w14:textId="77777777" w:rsidTr="00740A8B">
        <w:trPr>
          <w:trHeight w:val="409"/>
        </w:trPr>
        <w:tc>
          <w:tcPr>
            <w:tcW w:w="817" w:type="dxa"/>
            <w:tcBorders>
              <w:top w:val="nil"/>
              <w:left w:val="nil"/>
              <w:bottom w:val="nil"/>
              <w:right w:val="nil"/>
            </w:tcBorders>
            <w:vAlign w:val="center"/>
            <w:hideMark/>
          </w:tcPr>
          <w:p w14:paraId="512DEAB8" w14:textId="77777777" w:rsidR="00FB4D96" w:rsidRPr="00C20D2F" w:rsidRDefault="00FB4D96" w:rsidP="00740A8B">
            <w:pPr>
              <w:spacing w:after="0" w:line="240" w:lineRule="auto"/>
              <w:jc w:val="both"/>
              <w:rPr>
                <w:rFonts w:ascii="Verdana" w:hAnsi="Verdana" w:cs="Arial"/>
                <w:sz w:val="12"/>
                <w:szCs w:val="12"/>
              </w:rPr>
            </w:pPr>
            <w:r w:rsidRPr="00C20D2F">
              <w:rPr>
                <w:rFonts w:ascii="Verdana" w:hAnsi="Verdana" w:cs="Arial"/>
                <w:sz w:val="12"/>
                <w:szCs w:val="12"/>
              </w:rPr>
              <w:t>Elaboró: </w:t>
            </w:r>
          </w:p>
        </w:tc>
        <w:tc>
          <w:tcPr>
            <w:tcW w:w="4937" w:type="dxa"/>
            <w:tcBorders>
              <w:top w:val="nil"/>
              <w:left w:val="nil"/>
              <w:bottom w:val="dotted" w:sz="6" w:space="0" w:color="7F7F7F" w:themeColor="text1" w:themeTint="80"/>
              <w:right w:val="nil"/>
            </w:tcBorders>
            <w:vAlign w:val="center"/>
            <w:hideMark/>
          </w:tcPr>
          <w:p w14:paraId="69926431" w14:textId="77777777" w:rsidR="00FB4D96" w:rsidRPr="00C20D2F" w:rsidRDefault="00FB4D96" w:rsidP="00740A8B">
            <w:pPr>
              <w:spacing w:after="0" w:line="240" w:lineRule="auto"/>
              <w:jc w:val="both"/>
              <w:rPr>
                <w:rFonts w:ascii="Verdana" w:hAnsi="Verdana" w:cs="Arial"/>
                <w:sz w:val="12"/>
                <w:szCs w:val="12"/>
              </w:rPr>
            </w:pPr>
            <w:r w:rsidRPr="00C20D2F">
              <w:rPr>
                <w:rFonts w:ascii="Verdana" w:hAnsi="Verdana" w:cs="Arial"/>
                <w:sz w:val="12"/>
                <w:szCs w:val="12"/>
              </w:rPr>
              <w:t>Gustavo Hinestroza Martínez</w:t>
            </w:r>
          </w:p>
          <w:p w14:paraId="301A935A" w14:textId="77777777" w:rsidR="00FB4D96" w:rsidRPr="00C20D2F" w:rsidRDefault="00FB4D96" w:rsidP="00740A8B">
            <w:pPr>
              <w:spacing w:after="0" w:line="240" w:lineRule="auto"/>
              <w:jc w:val="both"/>
              <w:rPr>
                <w:rFonts w:ascii="Verdana" w:hAnsi="Verdana" w:cs="Arial"/>
                <w:sz w:val="12"/>
                <w:szCs w:val="12"/>
              </w:rPr>
            </w:pPr>
            <w:r w:rsidRPr="00C20D2F">
              <w:rPr>
                <w:rFonts w:ascii="Verdana" w:hAnsi="Verdana" w:cs="Arial"/>
                <w:sz w:val="12"/>
                <w:szCs w:val="12"/>
              </w:rPr>
              <w:t>Contratista de la Subdirección de Gestión Contractual</w:t>
            </w:r>
          </w:p>
        </w:tc>
      </w:tr>
      <w:tr w:rsidR="00FB4D96" w:rsidRPr="00C20D2F" w14:paraId="1AA2D196" w14:textId="77777777" w:rsidTr="00740A8B">
        <w:trPr>
          <w:trHeight w:val="409"/>
        </w:trPr>
        <w:tc>
          <w:tcPr>
            <w:tcW w:w="817" w:type="dxa"/>
            <w:tcBorders>
              <w:top w:val="nil"/>
              <w:left w:val="nil"/>
              <w:bottom w:val="nil"/>
              <w:right w:val="nil"/>
            </w:tcBorders>
            <w:vAlign w:val="center"/>
            <w:hideMark/>
          </w:tcPr>
          <w:p w14:paraId="6D0340A1" w14:textId="77777777" w:rsidR="00FB4D96" w:rsidRPr="00C20D2F" w:rsidRDefault="00FB4D96" w:rsidP="00740A8B">
            <w:pPr>
              <w:spacing w:after="0"/>
              <w:jc w:val="both"/>
              <w:rPr>
                <w:rFonts w:ascii="Verdana" w:hAnsi="Verdana" w:cs="Arial"/>
                <w:sz w:val="12"/>
                <w:szCs w:val="12"/>
              </w:rPr>
            </w:pPr>
            <w:r w:rsidRPr="00C20D2F">
              <w:rPr>
                <w:rFonts w:ascii="Verdana" w:hAnsi="Verdana" w:cs="Arial"/>
                <w:sz w:val="12"/>
                <w:szCs w:val="12"/>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5695804" w14:textId="77777777" w:rsidR="003A1158" w:rsidRPr="00C20D2F" w:rsidRDefault="003A1158" w:rsidP="00740A8B">
            <w:pPr>
              <w:spacing w:after="0" w:line="240" w:lineRule="auto"/>
              <w:jc w:val="both"/>
              <w:rPr>
                <w:rFonts w:ascii="Verdana" w:hAnsi="Verdana" w:cs="Arial"/>
                <w:sz w:val="12"/>
                <w:szCs w:val="12"/>
              </w:rPr>
            </w:pPr>
            <w:r w:rsidRPr="00C20D2F">
              <w:rPr>
                <w:rFonts w:ascii="Verdana" w:hAnsi="Verdana" w:cs="Arial"/>
                <w:sz w:val="12"/>
                <w:szCs w:val="12"/>
              </w:rPr>
              <w:t xml:space="preserve">Juan Carlos </w:t>
            </w:r>
            <w:proofErr w:type="spellStart"/>
            <w:r w:rsidRPr="00C20D2F">
              <w:rPr>
                <w:rFonts w:ascii="Verdana" w:hAnsi="Verdana" w:cs="Arial"/>
                <w:sz w:val="12"/>
                <w:szCs w:val="12"/>
              </w:rPr>
              <w:t>Gonzalez</w:t>
            </w:r>
            <w:proofErr w:type="spellEnd"/>
            <w:r w:rsidRPr="00C20D2F">
              <w:rPr>
                <w:rFonts w:ascii="Verdana" w:hAnsi="Verdana" w:cs="Arial"/>
                <w:sz w:val="12"/>
                <w:szCs w:val="12"/>
              </w:rPr>
              <w:t xml:space="preserve"> </w:t>
            </w:r>
            <w:proofErr w:type="spellStart"/>
            <w:r w:rsidRPr="00C20D2F">
              <w:rPr>
                <w:rFonts w:ascii="Verdana" w:hAnsi="Verdana" w:cs="Arial"/>
                <w:sz w:val="12"/>
                <w:szCs w:val="12"/>
              </w:rPr>
              <w:t>Vasquez</w:t>
            </w:r>
            <w:proofErr w:type="spellEnd"/>
          </w:p>
          <w:p w14:paraId="353A5A31" w14:textId="5F8A6525" w:rsidR="00FB4D96" w:rsidRPr="00C20D2F" w:rsidRDefault="003A1158" w:rsidP="00740A8B">
            <w:pPr>
              <w:spacing w:after="0" w:line="240" w:lineRule="auto"/>
              <w:jc w:val="both"/>
              <w:rPr>
                <w:rFonts w:ascii="Verdana" w:hAnsi="Verdana" w:cs="Arial"/>
                <w:sz w:val="12"/>
                <w:szCs w:val="12"/>
              </w:rPr>
            </w:pPr>
            <w:r w:rsidRPr="00C20D2F">
              <w:rPr>
                <w:rFonts w:ascii="Verdana" w:hAnsi="Verdana" w:cs="Arial"/>
                <w:sz w:val="12"/>
                <w:szCs w:val="12"/>
              </w:rPr>
              <w:t>Contratista de la</w:t>
            </w:r>
            <w:r w:rsidR="00FB4D96" w:rsidRPr="00C20D2F">
              <w:rPr>
                <w:rFonts w:ascii="Verdana" w:hAnsi="Verdana" w:cs="Arial"/>
                <w:sz w:val="12"/>
                <w:szCs w:val="12"/>
              </w:rPr>
              <w:t xml:space="preserve"> Subdirección de Gestión Contractual</w:t>
            </w:r>
          </w:p>
        </w:tc>
      </w:tr>
      <w:tr w:rsidR="00FB4D96" w:rsidRPr="00C20D2F" w14:paraId="51FC63A9" w14:textId="77777777" w:rsidTr="00740A8B">
        <w:trPr>
          <w:trHeight w:val="389"/>
        </w:trPr>
        <w:tc>
          <w:tcPr>
            <w:tcW w:w="817" w:type="dxa"/>
            <w:tcBorders>
              <w:top w:val="nil"/>
              <w:left w:val="nil"/>
              <w:bottom w:val="nil"/>
              <w:right w:val="nil"/>
            </w:tcBorders>
            <w:vAlign w:val="center"/>
            <w:hideMark/>
          </w:tcPr>
          <w:p w14:paraId="734F1B6A" w14:textId="77777777" w:rsidR="00FB4D96" w:rsidRPr="00C20D2F" w:rsidRDefault="00FB4D96" w:rsidP="00740A8B">
            <w:pPr>
              <w:spacing w:after="0" w:line="240" w:lineRule="auto"/>
              <w:jc w:val="both"/>
              <w:rPr>
                <w:rFonts w:ascii="Verdana" w:hAnsi="Verdana" w:cs="Arial"/>
                <w:sz w:val="12"/>
                <w:szCs w:val="12"/>
              </w:rPr>
            </w:pPr>
            <w:r w:rsidRPr="00C20D2F">
              <w:rPr>
                <w:rFonts w:ascii="Verdana" w:hAnsi="Verdana" w:cs="Arial"/>
                <w:sz w:val="12"/>
                <w:szCs w:val="12"/>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CDBACFD" w14:textId="77777777" w:rsidR="00FB4D96" w:rsidRPr="00C20D2F" w:rsidRDefault="00FB4D96" w:rsidP="00740A8B">
            <w:pPr>
              <w:spacing w:after="0"/>
              <w:jc w:val="both"/>
              <w:rPr>
                <w:rFonts w:ascii="Verdana" w:hAnsi="Verdana" w:cs="Arial"/>
                <w:sz w:val="12"/>
                <w:szCs w:val="12"/>
              </w:rPr>
            </w:pPr>
            <w:r w:rsidRPr="00C20D2F">
              <w:rPr>
                <w:rFonts w:ascii="Verdana" w:hAnsi="Verdana" w:cs="Arial"/>
                <w:sz w:val="12"/>
                <w:szCs w:val="12"/>
              </w:rPr>
              <w:t xml:space="preserve">Carolina Quintero </w:t>
            </w:r>
            <w:proofErr w:type="spellStart"/>
            <w:r w:rsidRPr="00C20D2F">
              <w:rPr>
                <w:rFonts w:ascii="Verdana" w:hAnsi="Verdana" w:cs="Arial"/>
                <w:sz w:val="12"/>
                <w:szCs w:val="12"/>
              </w:rPr>
              <w:t>Gacharná</w:t>
            </w:r>
            <w:proofErr w:type="spellEnd"/>
          </w:p>
          <w:p w14:paraId="52884CF0" w14:textId="77777777" w:rsidR="00FB4D96" w:rsidRPr="00C20D2F" w:rsidRDefault="00FB4D96" w:rsidP="00740A8B">
            <w:pPr>
              <w:spacing w:after="0" w:line="240" w:lineRule="auto"/>
              <w:jc w:val="both"/>
              <w:rPr>
                <w:rFonts w:ascii="Verdana" w:hAnsi="Verdana" w:cs="Arial"/>
                <w:sz w:val="12"/>
                <w:szCs w:val="12"/>
              </w:rPr>
            </w:pPr>
            <w:r w:rsidRPr="00C20D2F">
              <w:rPr>
                <w:rFonts w:ascii="Verdana" w:hAnsi="Verdana" w:cs="Arial"/>
                <w:sz w:val="12"/>
                <w:szCs w:val="12"/>
              </w:rPr>
              <w:t>Subdirectora de Gestión Contractual ANCP – CCE</w:t>
            </w:r>
          </w:p>
        </w:tc>
      </w:tr>
    </w:tbl>
    <w:p w14:paraId="3900974D" w14:textId="77777777" w:rsidR="003D5B0D" w:rsidRPr="00FB4D96" w:rsidRDefault="003D5B0D" w:rsidP="00C20D2F">
      <w:bookmarkStart w:id="3" w:name="_GoBack"/>
      <w:bookmarkEnd w:id="3"/>
    </w:p>
    <w:sectPr w:rsidR="003D5B0D" w:rsidRPr="00FB4D96"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274DB" w14:textId="77777777" w:rsidR="00317EC8" w:rsidRDefault="00317EC8" w:rsidP="004A1847">
      <w:pPr>
        <w:spacing w:after="0" w:line="240" w:lineRule="auto"/>
      </w:pPr>
      <w:r>
        <w:separator/>
      </w:r>
    </w:p>
  </w:endnote>
  <w:endnote w:type="continuationSeparator" w:id="0">
    <w:p w14:paraId="40AF84AD" w14:textId="77777777" w:rsidR="00317EC8" w:rsidRDefault="00317EC8" w:rsidP="004A1847">
      <w:pPr>
        <w:spacing w:after="0" w:line="240" w:lineRule="auto"/>
      </w:pPr>
      <w:r>
        <w:continuationSeparator/>
      </w:r>
    </w:p>
  </w:endnote>
  <w:endnote w:type="continuationNotice" w:id="1">
    <w:p w14:paraId="10D5E6CA" w14:textId="77777777" w:rsidR="00317EC8" w:rsidRDefault="00317E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2E596" w14:textId="77777777" w:rsidR="00317EC8" w:rsidRDefault="00317EC8" w:rsidP="004A1847">
      <w:pPr>
        <w:spacing w:after="0" w:line="240" w:lineRule="auto"/>
      </w:pPr>
      <w:r>
        <w:separator/>
      </w:r>
    </w:p>
  </w:footnote>
  <w:footnote w:type="continuationSeparator" w:id="0">
    <w:p w14:paraId="43211C98" w14:textId="77777777" w:rsidR="00317EC8" w:rsidRDefault="00317EC8" w:rsidP="004A1847">
      <w:pPr>
        <w:spacing w:after="0" w:line="240" w:lineRule="auto"/>
      </w:pPr>
      <w:r>
        <w:continuationSeparator/>
      </w:r>
    </w:p>
  </w:footnote>
  <w:footnote w:type="continuationNotice" w:id="1">
    <w:p w14:paraId="49CB5E8E" w14:textId="77777777" w:rsidR="00317EC8" w:rsidRDefault="00317EC8">
      <w:pPr>
        <w:spacing w:after="0" w:line="240" w:lineRule="auto"/>
      </w:pPr>
    </w:p>
  </w:footnote>
  <w:footnote w:id="2">
    <w:p w14:paraId="1761436D" w14:textId="7C01E3BF" w:rsidR="00657E43" w:rsidRPr="00E10D40" w:rsidRDefault="00657E43" w:rsidP="00657E43">
      <w:pPr>
        <w:pStyle w:val="Textonotapie"/>
        <w:ind w:firstLine="708"/>
        <w:rPr>
          <w:rFonts w:ascii="Verdana" w:hAnsi="Verdana"/>
        </w:rPr>
      </w:pPr>
      <w:r w:rsidRPr="00E10D40">
        <w:rPr>
          <w:rStyle w:val="Refdenotaalpie"/>
          <w:rFonts w:ascii="Verdana" w:hAnsi="Verdana"/>
        </w:rPr>
        <w:footnoteRef/>
      </w:r>
      <w:r w:rsidRPr="00E10D40">
        <w:rPr>
          <w:rFonts w:ascii="Verdana" w:hAnsi="Verdana"/>
        </w:rPr>
        <w:t xml:space="preserve"> </w:t>
      </w:r>
      <w:r w:rsidRPr="00E10D40">
        <w:rPr>
          <w:rFonts w:ascii="Verdana" w:hAnsi="Verdana"/>
          <w:sz w:val="14"/>
          <w:szCs w:val="14"/>
        </w:rPr>
        <w:t>https://colombiacompra.gov.co/sites/cce_public/files/cce_circulares/circular_externa_unica_version_3_vf49.pdf</w:t>
      </w:r>
    </w:p>
  </w:footnote>
  <w:footnote w:id="3">
    <w:p w14:paraId="1628C5D5" w14:textId="77777777" w:rsidR="0044713D" w:rsidRPr="00E10D40" w:rsidRDefault="0044713D" w:rsidP="00C20D2F">
      <w:pPr>
        <w:pStyle w:val="Textonotapie"/>
        <w:ind w:firstLine="709"/>
        <w:jc w:val="both"/>
        <w:rPr>
          <w:rFonts w:ascii="Verdana" w:hAnsi="Verdana" w:cs="Arial"/>
          <w:color w:val="000000" w:themeColor="text1"/>
          <w:sz w:val="14"/>
          <w:szCs w:val="14"/>
        </w:rPr>
      </w:pPr>
      <w:r w:rsidRPr="00E10D40">
        <w:rPr>
          <w:rStyle w:val="Refdenotaalpie"/>
          <w:rFonts w:ascii="Verdana" w:hAnsi="Verdana" w:cs="Arial"/>
          <w:color w:val="000000" w:themeColor="text1"/>
          <w:sz w:val="14"/>
          <w:szCs w:val="14"/>
        </w:rPr>
        <w:footnoteRef/>
      </w:r>
      <w:r w:rsidRPr="00E10D40">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53A3626" w14:textId="77777777" w:rsidR="0044713D" w:rsidRPr="00E10D40" w:rsidRDefault="0044713D" w:rsidP="00C20D2F">
      <w:pPr>
        <w:pStyle w:val="Textonotapie"/>
        <w:ind w:firstLine="709"/>
        <w:jc w:val="both"/>
        <w:rPr>
          <w:rFonts w:ascii="Verdana" w:hAnsi="Verdana" w:cs="Arial"/>
          <w:color w:val="000000" w:themeColor="text1"/>
          <w:sz w:val="14"/>
          <w:szCs w:val="14"/>
        </w:rPr>
      </w:pPr>
      <w:r w:rsidRPr="00E10D40">
        <w:rPr>
          <w:rFonts w:ascii="Verdana" w:hAnsi="Verdana" w:cs="Arial"/>
          <w:color w:val="000000" w:themeColor="text1"/>
          <w:sz w:val="14"/>
          <w:szCs w:val="14"/>
        </w:rPr>
        <w:t>Lo anterior, sin perjuicio de las publicaciones previstas en el numeral 3 del artículo 30 de la Ley 80 de 1993.</w:t>
      </w:r>
    </w:p>
    <w:p w14:paraId="153C2B5F" w14:textId="77777777" w:rsidR="0044713D" w:rsidRPr="00E10D40" w:rsidRDefault="0044713D" w:rsidP="00C20D2F">
      <w:pPr>
        <w:pStyle w:val="Textonotapie"/>
        <w:ind w:firstLine="709"/>
        <w:jc w:val="both"/>
        <w:rPr>
          <w:rFonts w:ascii="Verdana" w:hAnsi="Verdana" w:cs="Arial"/>
          <w:color w:val="000000" w:themeColor="text1"/>
          <w:sz w:val="14"/>
          <w:szCs w:val="14"/>
        </w:rPr>
      </w:pPr>
      <w:r w:rsidRPr="00E10D40">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w:t>
      </w:r>
      <w:proofErr w:type="spellStart"/>
      <w:r w:rsidRPr="00E10D40">
        <w:rPr>
          <w:rFonts w:ascii="Verdana" w:hAnsi="Verdana" w:cs="Arial"/>
          <w:color w:val="000000" w:themeColor="text1"/>
          <w:sz w:val="14"/>
          <w:szCs w:val="14"/>
        </w:rPr>
        <w:t>Secop</w:t>
      </w:r>
      <w:proofErr w:type="spellEnd"/>
      <w:r w:rsidRPr="00E10D40">
        <w:rPr>
          <w:rFonts w:ascii="Verdana" w:hAnsi="Verdana" w:cs="Arial"/>
          <w:color w:val="000000" w:themeColor="text1"/>
          <w:sz w:val="14"/>
          <w:szCs w:val="14"/>
        </w:rPr>
        <w:t xml:space="preserve">, el cual: </w:t>
      </w:r>
    </w:p>
    <w:p w14:paraId="40588DA4" w14:textId="77777777" w:rsidR="0044713D" w:rsidRPr="00E10D40" w:rsidRDefault="0044713D" w:rsidP="00C20D2F">
      <w:pPr>
        <w:pStyle w:val="Textonotapie"/>
        <w:ind w:firstLine="709"/>
        <w:jc w:val="both"/>
        <w:rPr>
          <w:rFonts w:ascii="Verdana" w:hAnsi="Verdana" w:cs="Arial"/>
          <w:color w:val="000000" w:themeColor="text1"/>
          <w:sz w:val="14"/>
          <w:szCs w:val="14"/>
        </w:rPr>
      </w:pPr>
      <w:r w:rsidRPr="00E10D40">
        <w:rPr>
          <w:rFonts w:ascii="Verdana" w:hAnsi="Verdana" w:cs="Arial"/>
          <w:color w:val="000000" w:themeColor="text1"/>
          <w:sz w:val="14"/>
          <w:szCs w:val="14"/>
        </w:rPr>
        <w:t>[…]</w:t>
      </w:r>
    </w:p>
    <w:p w14:paraId="203E93EA" w14:textId="77777777" w:rsidR="0044713D" w:rsidRPr="00E10D40" w:rsidRDefault="0044713D" w:rsidP="00C20D2F">
      <w:pPr>
        <w:pStyle w:val="Textonotapie"/>
        <w:ind w:firstLine="709"/>
        <w:jc w:val="both"/>
        <w:rPr>
          <w:rFonts w:ascii="Verdana" w:hAnsi="Verdana" w:cs="Arial"/>
          <w:color w:val="000000" w:themeColor="text1"/>
          <w:sz w:val="14"/>
          <w:szCs w:val="14"/>
        </w:rPr>
      </w:pPr>
      <w:r w:rsidRPr="00E10D40">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1BBD287D" w14:textId="77777777" w:rsidR="0044713D" w:rsidRPr="00E10D40" w:rsidRDefault="0044713D" w:rsidP="00C20D2F">
      <w:pPr>
        <w:pStyle w:val="Textonotapie"/>
        <w:ind w:firstLine="709"/>
        <w:jc w:val="both"/>
        <w:rPr>
          <w:rFonts w:ascii="Verdana" w:hAnsi="Verdana" w:cs="Arial"/>
          <w:color w:val="000000" w:themeColor="text1"/>
          <w:sz w:val="14"/>
          <w:szCs w:val="14"/>
          <w:lang w:val="es-CO"/>
        </w:rPr>
      </w:pPr>
    </w:p>
  </w:footnote>
  <w:footnote w:id="4">
    <w:p w14:paraId="42C70AE4" w14:textId="77777777" w:rsidR="0044713D" w:rsidRPr="00E10D40" w:rsidRDefault="0044713D" w:rsidP="00C20D2F">
      <w:pPr>
        <w:pStyle w:val="Textonotapie"/>
        <w:ind w:firstLine="709"/>
        <w:jc w:val="both"/>
        <w:rPr>
          <w:rFonts w:ascii="Verdana" w:hAnsi="Verdana" w:cs="Arial"/>
          <w:color w:val="000000" w:themeColor="text1"/>
          <w:sz w:val="14"/>
          <w:szCs w:val="14"/>
        </w:rPr>
      </w:pPr>
      <w:r w:rsidRPr="00E10D40">
        <w:rPr>
          <w:rStyle w:val="Refdenotaalpie"/>
          <w:rFonts w:ascii="Verdana" w:hAnsi="Verdana" w:cs="Arial"/>
          <w:color w:val="000000" w:themeColor="text1"/>
          <w:sz w:val="14"/>
          <w:szCs w:val="14"/>
        </w:rPr>
        <w:footnoteRef/>
      </w:r>
      <w:r w:rsidRPr="00E10D40">
        <w:rPr>
          <w:rFonts w:ascii="Verdana" w:hAnsi="Verdana" w:cs="Arial"/>
          <w:color w:val="000000" w:themeColor="text1"/>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8F9B19B" w14:textId="77777777" w:rsidR="0044713D" w:rsidRPr="00E10D40" w:rsidRDefault="0044713D" w:rsidP="00C20D2F">
      <w:pPr>
        <w:pStyle w:val="Textonotapie"/>
        <w:ind w:firstLine="709"/>
        <w:jc w:val="both"/>
        <w:rPr>
          <w:rFonts w:ascii="Verdana" w:hAnsi="Verdana" w:cs="Arial"/>
          <w:color w:val="000000" w:themeColor="text1"/>
          <w:sz w:val="14"/>
          <w:szCs w:val="14"/>
          <w:lang w:val="es-CO"/>
        </w:rPr>
      </w:pPr>
    </w:p>
  </w:footnote>
  <w:footnote w:id="5">
    <w:p w14:paraId="4E1F6CE9" w14:textId="77777777" w:rsidR="0044713D" w:rsidRPr="00E10D40" w:rsidRDefault="0044713D" w:rsidP="00C20D2F">
      <w:pPr>
        <w:pStyle w:val="Textonotapie"/>
        <w:ind w:firstLine="709"/>
        <w:jc w:val="both"/>
        <w:rPr>
          <w:rFonts w:ascii="Verdana" w:hAnsi="Verdana" w:cs="Arial"/>
          <w:color w:val="000000" w:themeColor="text1"/>
          <w:sz w:val="14"/>
          <w:szCs w:val="14"/>
        </w:rPr>
      </w:pPr>
      <w:r w:rsidRPr="00E10D40">
        <w:rPr>
          <w:rStyle w:val="Refdenotaalpie"/>
          <w:rFonts w:ascii="Verdana" w:hAnsi="Verdana" w:cs="Arial"/>
          <w:color w:val="000000" w:themeColor="text1"/>
          <w:sz w:val="14"/>
          <w:szCs w:val="14"/>
        </w:rPr>
        <w:footnoteRef/>
      </w:r>
      <w:r w:rsidRPr="00E10D40">
        <w:rPr>
          <w:rFonts w:ascii="Verdana" w:hAnsi="Verdana" w:cs="Arial"/>
          <w:color w:val="000000" w:themeColor="text1"/>
          <w:sz w:val="14"/>
          <w:szCs w:val="14"/>
        </w:rPr>
        <w:t xml:space="preserve"> Ley 1712 de 2014: “Artículo 5. Ámbito de aplicación. Las disposiciones de esta ley serán aplicables a las siguientes personas en calidad de sujetos obligados: </w:t>
      </w:r>
    </w:p>
    <w:p w14:paraId="26A20C2D" w14:textId="77777777" w:rsidR="0044713D" w:rsidRPr="00E10D40" w:rsidRDefault="0044713D" w:rsidP="00C20D2F">
      <w:pPr>
        <w:pStyle w:val="Textonotapie"/>
        <w:ind w:firstLine="709"/>
        <w:jc w:val="both"/>
        <w:rPr>
          <w:rFonts w:ascii="Verdana" w:hAnsi="Verdana" w:cs="Arial"/>
          <w:color w:val="000000" w:themeColor="text1"/>
          <w:sz w:val="14"/>
          <w:szCs w:val="14"/>
        </w:rPr>
      </w:pPr>
      <w:r w:rsidRPr="00E10D40">
        <w:rPr>
          <w:rFonts w:ascii="Verdana" w:hAnsi="Verdana"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1B9D28C" w14:textId="77777777" w:rsidR="0044713D" w:rsidRPr="00E10D40" w:rsidRDefault="0044713D" w:rsidP="00C20D2F">
      <w:pPr>
        <w:pStyle w:val="Textonotapie"/>
        <w:ind w:firstLine="709"/>
        <w:jc w:val="both"/>
        <w:rPr>
          <w:rFonts w:ascii="Verdana" w:hAnsi="Verdana" w:cs="Arial"/>
          <w:color w:val="000000" w:themeColor="text1"/>
          <w:sz w:val="14"/>
          <w:szCs w:val="14"/>
          <w:lang w:val="es-CO"/>
        </w:rPr>
      </w:pPr>
    </w:p>
  </w:footnote>
  <w:footnote w:id="6">
    <w:p w14:paraId="40CF012D" w14:textId="77777777" w:rsidR="0044713D" w:rsidRPr="00E10D40" w:rsidRDefault="0044713D" w:rsidP="00C20D2F">
      <w:pPr>
        <w:pStyle w:val="Textonotapie"/>
        <w:ind w:firstLine="709"/>
        <w:jc w:val="both"/>
        <w:rPr>
          <w:rFonts w:ascii="Verdana" w:hAnsi="Verdana" w:cs="Arial"/>
          <w:color w:val="000000"/>
          <w:sz w:val="14"/>
          <w:szCs w:val="14"/>
        </w:rPr>
      </w:pPr>
      <w:r w:rsidRPr="00E10D40">
        <w:rPr>
          <w:rFonts w:ascii="Verdana" w:eastAsia="Times New Roman" w:hAnsi="Verdana" w:cs="Arial"/>
          <w:color w:val="000000"/>
          <w:sz w:val="14"/>
          <w:szCs w:val="14"/>
          <w:vertAlign w:val="superscript"/>
          <w:lang w:val="es-ES" w:eastAsia="es-ES"/>
        </w:rPr>
        <w:footnoteRef/>
      </w:r>
      <w:r w:rsidRPr="00E10D40">
        <w:rPr>
          <w:rFonts w:ascii="Verdana" w:eastAsia="Times New Roman" w:hAnsi="Verdana" w:cs="Arial"/>
          <w:color w:val="000000"/>
          <w:sz w:val="14"/>
          <w:szCs w:val="14"/>
          <w:vertAlign w:val="superscript"/>
          <w:lang w:val="es-ES" w:eastAsia="es-ES"/>
        </w:rPr>
        <w:t xml:space="preserve"> </w:t>
      </w:r>
      <w:r w:rsidRPr="00E10D40">
        <w:rPr>
          <w:rFonts w:ascii="Verdana" w:eastAsia="Times New Roman" w:hAnsi="Verdana" w:cs="Arial"/>
          <w:color w:val="000000"/>
          <w:sz w:val="14"/>
          <w:szCs w:val="14"/>
          <w:lang w:val="es-ES" w:eastAsia="es-ES"/>
        </w:rPr>
        <w:t>“</w:t>
      </w:r>
      <w:r w:rsidRPr="00E10D40">
        <w:rPr>
          <w:rFonts w:ascii="Verdana" w:hAnsi="Verdana" w:cs="Arial"/>
          <w:color w:val="000000"/>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06CFDA7" w14:textId="77777777" w:rsidR="0044713D" w:rsidRPr="00E10D40" w:rsidRDefault="0044713D" w:rsidP="00C20D2F">
      <w:pPr>
        <w:pStyle w:val="Textonotapie"/>
        <w:ind w:firstLine="709"/>
        <w:jc w:val="both"/>
        <w:rPr>
          <w:rFonts w:ascii="Verdana" w:eastAsia="Times New Roman" w:hAnsi="Verdana" w:cs="Arial"/>
          <w:color w:val="000000"/>
          <w:sz w:val="14"/>
          <w:szCs w:val="14"/>
          <w:lang w:val="es-ES" w:eastAsia="es-ES"/>
        </w:rPr>
      </w:pPr>
      <w:r w:rsidRPr="00E10D40">
        <w:rPr>
          <w:rFonts w:ascii="Verdana" w:hAnsi="Verdana" w:cs="Arial"/>
          <w:color w:val="000000"/>
          <w:sz w:val="14"/>
          <w:szCs w:val="14"/>
        </w:rPr>
        <w:t>[…].</w:t>
      </w:r>
    </w:p>
    <w:p w14:paraId="504BD57F" w14:textId="77777777" w:rsidR="0044713D" w:rsidRPr="00E10D40" w:rsidRDefault="0044713D" w:rsidP="00C20D2F">
      <w:pPr>
        <w:pStyle w:val="Textonotapie"/>
        <w:ind w:firstLine="709"/>
        <w:jc w:val="both"/>
        <w:rPr>
          <w:rFonts w:ascii="Verdana" w:eastAsia="Times New Roman" w:hAnsi="Verdana" w:cs="Arial"/>
          <w:color w:val="000000"/>
          <w:sz w:val="14"/>
          <w:szCs w:val="14"/>
          <w:lang w:val="es-ES" w:eastAsia="es-ES"/>
        </w:rPr>
      </w:pPr>
      <w:r w:rsidRPr="00E10D40">
        <w:rPr>
          <w:rFonts w:ascii="Verdana" w:eastAsia="Times New Roman" w:hAnsi="Verdana" w:cs="Arial"/>
          <w:color w:val="000000"/>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84A3D36" w14:textId="77777777" w:rsidR="0044713D" w:rsidRPr="00E10D40" w:rsidRDefault="0044713D" w:rsidP="00C20D2F">
      <w:pPr>
        <w:pStyle w:val="Textonotapie"/>
        <w:ind w:firstLine="709"/>
        <w:jc w:val="both"/>
        <w:rPr>
          <w:rFonts w:ascii="Verdana" w:eastAsia="Times New Roman" w:hAnsi="Verdana" w:cs="Arial"/>
          <w:color w:val="000000"/>
          <w:sz w:val="14"/>
          <w:szCs w:val="14"/>
          <w:lang w:val="es-ES" w:eastAsia="es-ES"/>
        </w:rPr>
      </w:pPr>
    </w:p>
  </w:footnote>
  <w:footnote w:id="7">
    <w:p w14:paraId="231AEC74" w14:textId="77777777" w:rsidR="0044713D" w:rsidRPr="00E10D40" w:rsidRDefault="0044713D" w:rsidP="00C20D2F">
      <w:pPr>
        <w:pStyle w:val="Textonotapie"/>
        <w:ind w:firstLine="709"/>
        <w:jc w:val="both"/>
        <w:rPr>
          <w:rFonts w:ascii="Verdana" w:hAnsi="Verdana" w:cs="Arial"/>
          <w:color w:val="000000"/>
          <w:sz w:val="14"/>
          <w:szCs w:val="14"/>
        </w:rPr>
      </w:pPr>
      <w:r w:rsidRPr="00E10D40">
        <w:rPr>
          <w:rStyle w:val="Refdenotaalpie"/>
          <w:rFonts w:ascii="Verdana" w:hAnsi="Verdana" w:cs="Arial"/>
          <w:color w:val="000000"/>
          <w:sz w:val="14"/>
          <w:szCs w:val="14"/>
        </w:rPr>
        <w:footnoteRef/>
      </w:r>
      <w:r w:rsidRPr="00E10D40">
        <w:rPr>
          <w:rFonts w:ascii="Verdana" w:hAnsi="Verdana" w:cs="Arial"/>
          <w:color w:val="000000"/>
          <w:sz w:val="14"/>
          <w:szCs w:val="14"/>
        </w:rPr>
        <w:t xml:space="preserve"> C</w:t>
      </w:r>
      <w:proofErr w:type="spellStart"/>
      <w:r w:rsidRPr="00E10D40">
        <w:rPr>
          <w:rFonts w:ascii="Verdana" w:eastAsia="Times New Roman" w:hAnsi="Verdana" w:cs="Arial"/>
          <w:color w:val="000000"/>
          <w:sz w:val="14"/>
          <w:szCs w:val="14"/>
          <w:lang w:val="es-ES" w:eastAsia="es-ES"/>
        </w:rPr>
        <w:t>orte</w:t>
      </w:r>
      <w:proofErr w:type="spellEnd"/>
      <w:r w:rsidRPr="00E10D40">
        <w:rPr>
          <w:rFonts w:ascii="Verdana" w:eastAsia="Times New Roman" w:hAnsi="Verdana" w:cs="Arial"/>
          <w:color w:val="000000"/>
          <w:sz w:val="14"/>
          <w:szCs w:val="14"/>
          <w:lang w:val="es-ES" w:eastAsia="es-ES"/>
        </w:rPr>
        <w:t xml:space="preserve"> Constitucional. Sentencia C‒274 de 9 de mayo de 2013. M.P. Mar</w:t>
      </w:r>
      <w:r w:rsidRPr="00E10D40">
        <w:rPr>
          <w:rFonts w:ascii="Verdana" w:eastAsia="Times New Roman" w:hAnsi="Verdana" w:cs="Century Gothic"/>
          <w:color w:val="000000"/>
          <w:sz w:val="14"/>
          <w:szCs w:val="14"/>
          <w:lang w:val="es-ES" w:eastAsia="es-ES"/>
        </w:rPr>
        <w:t>í</w:t>
      </w:r>
      <w:r w:rsidRPr="00E10D40">
        <w:rPr>
          <w:rFonts w:ascii="Verdana" w:eastAsia="Times New Roman" w:hAnsi="Verdana" w:cs="Arial"/>
          <w:color w:val="000000"/>
          <w:sz w:val="14"/>
          <w:szCs w:val="14"/>
          <w:lang w:val="es-ES" w:eastAsia="es-ES"/>
        </w:rPr>
        <w:t xml:space="preserve">a Victoria Calle Correa. </w:t>
      </w:r>
    </w:p>
    <w:p w14:paraId="5AEDDB95" w14:textId="77777777" w:rsidR="0044713D" w:rsidRPr="00E10D40" w:rsidRDefault="0044713D" w:rsidP="00C20D2F">
      <w:pPr>
        <w:pStyle w:val="Textonotapie"/>
        <w:ind w:firstLine="709"/>
        <w:jc w:val="both"/>
        <w:rPr>
          <w:rFonts w:ascii="Verdana" w:hAnsi="Verdana" w:cs="Arial"/>
          <w:color w:val="000000"/>
          <w:sz w:val="14"/>
          <w:szCs w:val="14"/>
          <w:lang w:val="es-CO"/>
        </w:rPr>
      </w:pPr>
    </w:p>
  </w:footnote>
  <w:footnote w:id="8">
    <w:p w14:paraId="720DBADE" w14:textId="4B966156" w:rsidR="0044713D" w:rsidRPr="00E10D40" w:rsidRDefault="0044713D" w:rsidP="00C20D2F">
      <w:pPr>
        <w:pStyle w:val="Textonotapie"/>
        <w:ind w:firstLine="708"/>
        <w:jc w:val="both"/>
        <w:rPr>
          <w:rFonts w:ascii="Verdana" w:hAnsi="Verdana" w:cs="Arial"/>
          <w:color w:val="000000"/>
          <w:sz w:val="14"/>
          <w:szCs w:val="14"/>
        </w:rPr>
      </w:pPr>
      <w:r w:rsidRPr="00E10D40">
        <w:rPr>
          <w:rStyle w:val="Refdenotaalpie"/>
          <w:rFonts w:ascii="Verdana" w:hAnsi="Verdana" w:cs="Arial"/>
          <w:color w:val="000000"/>
          <w:sz w:val="14"/>
          <w:szCs w:val="14"/>
        </w:rPr>
        <w:footnoteRef/>
      </w:r>
      <w:r w:rsidRPr="00E10D40">
        <w:rPr>
          <w:rFonts w:ascii="Verdana" w:hAnsi="Verdana" w:cs="Arial"/>
          <w:color w:val="000000"/>
          <w:sz w:val="14"/>
          <w:szCs w:val="14"/>
        </w:rPr>
        <w:t xml:space="preserve"> Decreto 4170 de 2011: “Artículo 3. Funciones: La Agencia Nacional de Contratación Pública –Colombia Compra Eficiente– ejercerá las siguientes funciones: [...]</w:t>
      </w:r>
    </w:p>
    <w:p w14:paraId="63210DA3" w14:textId="77777777" w:rsidR="00DF709E" w:rsidRPr="00E10D40" w:rsidRDefault="00DF709E" w:rsidP="00C20D2F">
      <w:pPr>
        <w:pStyle w:val="Textonotapie"/>
        <w:ind w:firstLine="708"/>
        <w:jc w:val="both"/>
        <w:rPr>
          <w:rFonts w:ascii="Verdana" w:hAnsi="Verdana" w:cs="Arial"/>
          <w:color w:val="000000"/>
          <w:sz w:val="14"/>
          <w:szCs w:val="14"/>
        </w:rPr>
      </w:pPr>
    </w:p>
    <w:p w14:paraId="13C6CB64" w14:textId="014F4AF0" w:rsidR="0044713D" w:rsidRPr="00E10D40" w:rsidRDefault="0044713D" w:rsidP="00C20D2F">
      <w:pPr>
        <w:pStyle w:val="Textonotapie"/>
        <w:ind w:firstLine="708"/>
        <w:jc w:val="both"/>
        <w:rPr>
          <w:rFonts w:ascii="Verdana" w:hAnsi="Verdana" w:cs="Arial"/>
          <w:color w:val="000000"/>
          <w:sz w:val="14"/>
          <w:szCs w:val="14"/>
        </w:rPr>
      </w:pPr>
      <w:r w:rsidRPr="00E10D40">
        <w:rPr>
          <w:rFonts w:ascii="Verdana" w:hAnsi="Verdana" w:cs="Arial"/>
          <w:color w:val="000000"/>
          <w:sz w:val="14"/>
          <w:szCs w:val="14"/>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59FA8039" w14:textId="77777777" w:rsidR="0044713D" w:rsidRPr="00E10D40" w:rsidRDefault="0044713D" w:rsidP="00C20D2F">
      <w:pPr>
        <w:pStyle w:val="Textonotapie"/>
        <w:ind w:firstLine="708"/>
        <w:jc w:val="both"/>
        <w:rPr>
          <w:rFonts w:ascii="Verdana" w:hAnsi="Verdana" w:cs="Arial"/>
          <w:color w:val="000000"/>
          <w:sz w:val="14"/>
          <w:szCs w:val="14"/>
        </w:rPr>
      </w:pPr>
    </w:p>
  </w:footnote>
  <w:footnote w:id="9">
    <w:p w14:paraId="198ABB90" w14:textId="77777777" w:rsidR="00732905" w:rsidRPr="00E10D40" w:rsidRDefault="00732905" w:rsidP="00C20D2F">
      <w:pPr>
        <w:pStyle w:val="Textonotapie"/>
        <w:spacing w:after="120"/>
        <w:ind w:firstLine="708"/>
        <w:jc w:val="both"/>
        <w:rPr>
          <w:rFonts w:ascii="Verdana" w:hAnsi="Verdana" w:cs="Arial"/>
          <w:sz w:val="14"/>
          <w:szCs w:val="14"/>
          <w:lang w:val="es-ES"/>
        </w:rPr>
      </w:pPr>
      <w:r w:rsidRPr="00E10D40">
        <w:rPr>
          <w:rStyle w:val="Refdenotaalpie"/>
          <w:rFonts w:ascii="Verdana" w:hAnsi="Verdana" w:cs="Arial"/>
          <w:sz w:val="14"/>
          <w:szCs w:val="14"/>
        </w:rPr>
        <w:footnoteRef/>
      </w:r>
      <w:r w:rsidRPr="00E10D40">
        <w:rPr>
          <w:rFonts w:ascii="Verdana" w:hAnsi="Verdana" w:cs="Arial"/>
          <w:sz w:val="14"/>
          <w:szCs w:val="14"/>
        </w:rPr>
        <w:t xml:space="preserve"> </w:t>
      </w:r>
      <w:r w:rsidRPr="00E10D40">
        <w:rPr>
          <w:rFonts w:ascii="Verdana" w:hAnsi="Verdana" w:cs="Arial"/>
          <w:sz w:val="14"/>
          <w:szCs w:val="14"/>
          <w:lang w:val="es-ES"/>
        </w:rPr>
        <w:t>Ibidem.</w:t>
      </w:r>
    </w:p>
  </w:footnote>
  <w:footnote w:id="10">
    <w:p w14:paraId="3A9302AA" w14:textId="30B20B8B" w:rsidR="00505A82" w:rsidRPr="00E10D40" w:rsidRDefault="00505A82" w:rsidP="00C20D2F">
      <w:pPr>
        <w:pStyle w:val="Textonotapie"/>
        <w:ind w:firstLine="708"/>
        <w:rPr>
          <w:rFonts w:ascii="Verdana" w:hAnsi="Verdana"/>
          <w:sz w:val="14"/>
          <w:szCs w:val="14"/>
          <w:lang w:val="es-ES"/>
        </w:rPr>
      </w:pPr>
      <w:r w:rsidRPr="00E10D40">
        <w:rPr>
          <w:rStyle w:val="Refdenotaalpie"/>
          <w:rFonts w:ascii="Verdana" w:hAnsi="Verdana"/>
          <w:sz w:val="14"/>
          <w:szCs w:val="14"/>
        </w:rPr>
        <w:footnoteRef/>
      </w:r>
      <w:r w:rsidRPr="00E10D40">
        <w:rPr>
          <w:rFonts w:ascii="Verdana" w:hAnsi="Verdana" w:cs="Times New Roman"/>
          <w:sz w:val="14"/>
          <w:szCs w:val="14"/>
        </w:rPr>
        <w:t xml:space="preserve"> Para consultar: https://colombiacompra.gov.co/sites/cce_public/files/cce_circulares/circular_externa_unica_version_3_vf49.pdf</w:t>
      </w:r>
      <w:r w:rsidRPr="00E10D40">
        <w:rPr>
          <w:rFonts w:ascii="Verdana" w:hAnsi="Verdana"/>
          <w:sz w:val="14"/>
          <w:szCs w:val="14"/>
        </w:rPr>
        <w:t xml:space="preserve"> </w:t>
      </w:r>
    </w:p>
  </w:footnote>
  <w:footnote w:id="11">
    <w:p w14:paraId="335CE7FD" w14:textId="77777777" w:rsidR="00D72986" w:rsidRPr="00E10D40" w:rsidRDefault="00D72986" w:rsidP="00C20D2F">
      <w:pPr>
        <w:pStyle w:val="Textonotapie"/>
        <w:spacing w:after="120"/>
        <w:ind w:firstLine="708"/>
        <w:jc w:val="both"/>
        <w:rPr>
          <w:rFonts w:ascii="Verdana" w:hAnsi="Verdana" w:cs="Arial"/>
          <w:sz w:val="14"/>
          <w:szCs w:val="14"/>
          <w:lang w:val="es-ES"/>
        </w:rPr>
      </w:pPr>
      <w:r w:rsidRPr="00E10D40">
        <w:rPr>
          <w:rStyle w:val="Refdenotaalpie"/>
          <w:rFonts w:ascii="Verdana" w:hAnsi="Verdana" w:cs="Arial"/>
          <w:sz w:val="14"/>
          <w:szCs w:val="14"/>
        </w:rPr>
        <w:footnoteRef/>
      </w:r>
      <w:r w:rsidRPr="00E10D40">
        <w:rPr>
          <w:rFonts w:ascii="Verdana" w:hAnsi="Verdana" w:cs="Arial"/>
          <w:sz w:val="14"/>
          <w:szCs w:val="14"/>
        </w:rPr>
        <w:t xml:space="preserve"> </w:t>
      </w:r>
      <w:r w:rsidRPr="00E10D40">
        <w:rPr>
          <w:rFonts w:ascii="Verdana" w:hAnsi="Verdana" w:cs="Arial"/>
          <w:color w:val="000000" w:themeColor="text1"/>
          <w:sz w:val="14"/>
          <w:szCs w:val="14"/>
        </w:rPr>
        <w:t>Agencia Nacional de Contratación Pública - Colombia Compra Eficiente</w:t>
      </w:r>
      <w:r w:rsidRPr="00E10D40">
        <w:rPr>
          <w:rFonts w:ascii="Verdana" w:hAnsi="Verdana" w:cs="Arial"/>
          <w:color w:val="000000" w:themeColor="text1"/>
          <w:sz w:val="14"/>
          <w:szCs w:val="14"/>
          <w:lang w:val="es-CO"/>
        </w:rPr>
        <w:t xml:space="preserve">, Concepto C – 575 de 2020. </w:t>
      </w:r>
    </w:p>
  </w:footnote>
  <w:footnote w:id="12">
    <w:p w14:paraId="198C67E3" w14:textId="0DAACC21" w:rsidR="00E10D40" w:rsidRPr="00E10D40" w:rsidRDefault="00E10D40" w:rsidP="00E10D40">
      <w:pPr>
        <w:pStyle w:val="Textonotapie"/>
        <w:ind w:firstLine="708"/>
        <w:jc w:val="both"/>
        <w:rPr>
          <w:rFonts w:ascii="Verdana" w:hAnsi="Verdana"/>
        </w:rPr>
      </w:pPr>
      <w:r w:rsidRPr="00E10D40">
        <w:rPr>
          <w:rStyle w:val="Refdenotaalpie"/>
          <w:rFonts w:ascii="Verdana" w:hAnsi="Verdana"/>
        </w:rPr>
        <w:footnoteRef/>
      </w:r>
      <w:r w:rsidRPr="00E10D40">
        <w:rPr>
          <w:rFonts w:ascii="Verdana" w:hAnsi="Verdana"/>
        </w:rPr>
        <w:t xml:space="preserve"> </w:t>
      </w:r>
      <w:r w:rsidRPr="00E10D40">
        <w:rPr>
          <w:rFonts w:ascii="Verdana" w:hAnsi="Verdana"/>
          <w:sz w:val="14"/>
          <w:szCs w:val="14"/>
          <w:lang w:val="es-CO"/>
        </w:rPr>
        <w:t>Ley 80 de 1993: «Artículo 77. De la normatividad aplicable en las actuaciones administrativas.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 “Los actos administrativos que se produzcan con motivo u ocasión de la actividad contractual sólo serán susceptibles de recurso de reposición y del ejercicio de la acción contractual, de acuerdo con las reglas del Código Contencioso Administrativo.</w:t>
      </w:r>
    </w:p>
  </w:footnote>
  <w:footnote w:id="13">
    <w:p w14:paraId="0745D13A" w14:textId="77777777" w:rsidR="00732905" w:rsidRPr="00E10D40" w:rsidRDefault="00732905" w:rsidP="00C20D2F">
      <w:pPr>
        <w:pStyle w:val="Textonotapie"/>
        <w:spacing w:after="120"/>
        <w:ind w:firstLine="708"/>
        <w:jc w:val="both"/>
        <w:rPr>
          <w:rFonts w:ascii="Verdana" w:hAnsi="Verdana" w:cs="Arial"/>
          <w:sz w:val="12"/>
          <w:szCs w:val="12"/>
        </w:rPr>
      </w:pPr>
      <w:r w:rsidRPr="00E10D40">
        <w:rPr>
          <w:rStyle w:val="Refdenotaalpie"/>
          <w:rFonts w:ascii="Verdana" w:hAnsi="Verdana" w:cs="Arial"/>
          <w:sz w:val="12"/>
          <w:szCs w:val="12"/>
        </w:rPr>
        <w:footnoteRef/>
      </w:r>
      <w:r w:rsidRPr="00E10D40">
        <w:rPr>
          <w:rFonts w:ascii="Verdana" w:hAnsi="Verdana" w:cs="Arial"/>
          <w:sz w:val="12"/>
          <w:szCs w:val="12"/>
        </w:rPr>
        <w:t xml:space="preserve"> Ley 1437 de 2011: </w:t>
      </w:r>
      <w:r w:rsidRPr="00E10D40">
        <w:rPr>
          <w:rFonts w:ascii="Verdana" w:eastAsia="Calibri" w:hAnsi="Verdana" w:cs="Arial"/>
          <w:sz w:val="12"/>
          <w:szCs w:val="12"/>
        </w:rPr>
        <w:t>«</w:t>
      </w:r>
      <w:r w:rsidRPr="00E10D40">
        <w:rPr>
          <w:rFonts w:ascii="Verdana" w:hAnsi="Verdana" w:cs="Arial"/>
          <w:sz w:val="12"/>
          <w:szCs w:val="12"/>
        </w:rPr>
        <w:t xml:space="preserve">Artículo 37. Deber de comunicar las actuaciones administrativas a terceros. Cuando en una actuación administrativa de contenido particular y concreto la autoridad advierta que terceras personas puedan resultar directamente afectadas por la decisión, les comunicará la existencia de la actuación, el objeto de la misma y el nombre del peticionario, si </w:t>
      </w:r>
      <w:proofErr w:type="spellStart"/>
      <w:r w:rsidRPr="00E10D40">
        <w:rPr>
          <w:rFonts w:ascii="Verdana" w:hAnsi="Verdana" w:cs="Arial"/>
          <w:sz w:val="12"/>
          <w:szCs w:val="12"/>
        </w:rPr>
        <w:t>lo</w:t>
      </w:r>
      <w:proofErr w:type="spellEnd"/>
      <w:r w:rsidRPr="00E10D40">
        <w:rPr>
          <w:rFonts w:ascii="Verdana" w:hAnsi="Verdana" w:cs="Arial"/>
          <w:sz w:val="12"/>
          <w:szCs w:val="12"/>
        </w:rPr>
        <w:t xml:space="preserve"> hubiere, para que puedan constituirse como parte y hacer valer sus derechos.</w:t>
      </w:r>
    </w:p>
    <w:p w14:paraId="1C785645" w14:textId="77777777" w:rsidR="00732905" w:rsidRPr="00E10D40" w:rsidRDefault="00732905" w:rsidP="00C20D2F">
      <w:pPr>
        <w:pStyle w:val="Textonotapie"/>
        <w:spacing w:after="120"/>
        <w:ind w:firstLine="708"/>
        <w:jc w:val="both"/>
        <w:rPr>
          <w:rFonts w:ascii="Verdana" w:hAnsi="Verdana" w:cs="Arial"/>
          <w:sz w:val="12"/>
          <w:szCs w:val="12"/>
        </w:rPr>
      </w:pPr>
      <w:r w:rsidRPr="00E10D40">
        <w:rPr>
          <w:rFonts w:ascii="Verdana" w:hAnsi="Verdana" w:cs="Arial"/>
          <w:sz w:val="12"/>
          <w:szCs w:val="12"/>
        </w:rPr>
        <w:t>»La comunicación se remitirá a la dirección o correo electrónico que se conozca si no hay otro medio más eficaz. De no ser posible dicha comunicación, o tratándose de terceros indeterminados, la información se divulgará a través de un medio masivo de comunicación nacional o local, según el caso, o a través de cualquier otro mecanismo eficaz, habida cuenta de las condiciones de los posibles interesados. De tales actuaciones se dejará constancia escrita en el expediente.</w:t>
      </w:r>
    </w:p>
    <w:p w14:paraId="4F925162" w14:textId="77777777" w:rsidR="00732905" w:rsidRPr="00E10D40" w:rsidRDefault="00732905" w:rsidP="00C20D2F">
      <w:pPr>
        <w:pStyle w:val="Textonotapie"/>
        <w:spacing w:after="120"/>
        <w:ind w:firstLine="708"/>
        <w:jc w:val="both"/>
        <w:rPr>
          <w:rFonts w:ascii="Verdana" w:hAnsi="Verdana" w:cs="Arial"/>
          <w:sz w:val="12"/>
          <w:szCs w:val="12"/>
        </w:rPr>
      </w:pPr>
      <w:r w:rsidRPr="00E10D40">
        <w:rPr>
          <w:rFonts w:ascii="Verdana" w:hAnsi="Verdana" w:cs="Arial"/>
          <w:sz w:val="12"/>
          <w:szCs w:val="12"/>
        </w:rPr>
        <w:t>»Artículo 38. Intervención de terceros. Los terceros podrán intervenir en las actuaciones administrativas con los mismos derechos, deberes y responsabilidades de quienes son parte interesada, en los siguientes casos:</w:t>
      </w:r>
    </w:p>
    <w:p w14:paraId="3B48FEE8" w14:textId="77777777" w:rsidR="00732905" w:rsidRPr="00E10D40" w:rsidRDefault="00732905" w:rsidP="00C20D2F">
      <w:pPr>
        <w:pStyle w:val="Textonotapie"/>
        <w:spacing w:after="120"/>
        <w:ind w:firstLine="708"/>
        <w:jc w:val="both"/>
        <w:rPr>
          <w:rFonts w:ascii="Verdana" w:hAnsi="Verdana" w:cs="Arial"/>
          <w:sz w:val="12"/>
          <w:szCs w:val="12"/>
        </w:rPr>
      </w:pPr>
      <w:r w:rsidRPr="00E10D40">
        <w:rPr>
          <w:rFonts w:ascii="Verdana" w:hAnsi="Verdana" w:cs="Arial"/>
          <w:sz w:val="12"/>
          <w:szCs w:val="12"/>
        </w:rPr>
        <w:t>»1. Cuando hayan promovido la actuación administrativa sancionatoria en calidad de denunciantes, resulten afectados con la conducta por la cual se adelanta la investigación, o estén en capacidad de aportar pruebas que contribuyan a dilucidar los hechos materia de la misma.</w:t>
      </w:r>
    </w:p>
    <w:p w14:paraId="7A67F01B" w14:textId="77777777" w:rsidR="00732905" w:rsidRPr="00E10D40" w:rsidRDefault="00732905" w:rsidP="00C20D2F">
      <w:pPr>
        <w:pStyle w:val="Textonotapie"/>
        <w:spacing w:after="120"/>
        <w:ind w:firstLine="708"/>
        <w:jc w:val="both"/>
        <w:rPr>
          <w:rFonts w:ascii="Verdana" w:hAnsi="Verdana" w:cs="Arial"/>
          <w:sz w:val="12"/>
          <w:szCs w:val="12"/>
        </w:rPr>
      </w:pPr>
      <w:r w:rsidRPr="00E10D40">
        <w:rPr>
          <w:rFonts w:ascii="Verdana" w:hAnsi="Verdana" w:cs="Arial"/>
          <w:sz w:val="12"/>
          <w:szCs w:val="12"/>
        </w:rPr>
        <w:t>»2. Cuando sus derechos o su situación jurídica puedan resultar afectados con la actuación administrativa adelantada en interés particular, o cuando la decisión que sobre ella recaiga pueda ocasionarles perjuicios.</w:t>
      </w:r>
    </w:p>
    <w:p w14:paraId="0073363F" w14:textId="77777777" w:rsidR="00732905" w:rsidRPr="00E10D40" w:rsidRDefault="00732905" w:rsidP="00C20D2F">
      <w:pPr>
        <w:pStyle w:val="Textonotapie"/>
        <w:spacing w:after="120"/>
        <w:ind w:firstLine="708"/>
        <w:jc w:val="both"/>
        <w:rPr>
          <w:rFonts w:ascii="Verdana" w:hAnsi="Verdana" w:cs="Arial"/>
          <w:sz w:val="12"/>
          <w:szCs w:val="12"/>
        </w:rPr>
      </w:pPr>
      <w:r w:rsidRPr="00E10D40">
        <w:rPr>
          <w:rFonts w:ascii="Verdana" w:hAnsi="Verdana" w:cs="Arial"/>
          <w:sz w:val="12"/>
          <w:szCs w:val="12"/>
        </w:rPr>
        <w:t>»3. Cuando la actuación haya sido iniciada en interés general.</w:t>
      </w:r>
    </w:p>
    <w:p w14:paraId="5EF4BADE" w14:textId="77777777" w:rsidR="00732905" w:rsidRPr="00E10D40" w:rsidRDefault="00732905" w:rsidP="00C20D2F">
      <w:pPr>
        <w:pStyle w:val="Textonotapie"/>
        <w:spacing w:after="120"/>
        <w:ind w:firstLine="708"/>
        <w:jc w:val="both"/>
        <w:rPr>
          <w:rFonts w:ascii="Verdana" w:hAnsi="Verdana" w:cs="Arial"/>
          <w:sz w:val="12"/>
          <w:szCs w:val="12"/>
        </w:rPr>
      </w:pPr>
      <w:r w:rsidRPr="00E10D40">
        <w:rPr>
          <w:rFonts w:ascii="Verdana" w:hAnsi="Verdana" w:cs="Arial"/>
          <w:sz w:val="12"/>
          <w:szCs w:val="12"/>
        </w:rPr>
        <w:t>»Parágrafo. La petición deberá reunir los requisitos previstos en el artículo 16 y en ella se indicará cuál es el interés de participar en la actuación y se allegarán o solicitarán las pruebas que el interesado pretenda hacer valer. La autoridad que la tramita la resolverá de plano y contra esta decisión no procederá recurso alguno”.</w:t>
      </w:r>
    </w:p>
  </w:footnote>
  <w:footnote w:id="14">
    <w:p w14:paraId="6DB1C863" w14:textId="77777777" w:rsidR="00732905" w:rsidRPr="00E10D40" w:rsidRDefault="00732905" w:rsidP="00C20D2F">
      <w:pPr>
        <w:pStyle w:val="Textonotapie"/>
        <w:spacing w:after="120"/>
        <w:ind w:firstLine="708"/>
        <w:jc w:val="both"/>
        <w:rPr>
          <w:rFonts w:ascii="Verdana" w:hAnsi="Verdana" w:cs="Arial"/>
          <w:sz w:val="14"/>
          <w:szCs w:val="14"/>
        </w:rPr>
      </w:pPr>
      <w:r w:rsidRPr="00E10D40">
        <w:rPr>
          <w:rStyle w:val="Refdenotaalpie"/>
          <w:rFonts w:ascii="Verdana" w:hAnsi="Verdana" w:cs="Arial"/>
          <w:sz w:val="14"/>
          <w:szCs w:val="14"/>
        </w:rPr>
        <w:footnoteRef/>
      </w:r>
      <w:r w:rsidRPr="00E10D40">
        <w:rPr>
          <w:rFonts w:ascii="Verdana" w:hAnsi="Verdana" w:cs="Arial"/>
          <w:sz w:val="14"/>
          <w:szCs w:val="14"/>
        </w:rPr>
        <w:t xml:space="preserve"> Ley 1437 de 2011: «Artículo 14. Términos para resolver las distintas modalidades de peticiones. Salvo norma legal especial y so pena de sanción disciplinaria, toda petición deberá resolverse dentro de los quince (15) días siguientes a su recepción. Estará sometida a término especial la resolución de las siguientes peticiones:</w:t>
      </w:r>
    </w:p>
    <w:p w14:paraId="58617F4A" w14:textId="77777777" w:rsidR="00732905" w:rsidRPr="00E10D40" w:rsidRDefault="00732905" w:rsidP="00C20D2F">
      <w:pPr>
        <w:pStyle w:val="Textonotapie"/>
        <w:spacing w:after="120"/>
        <w:ind w:firstLine="708"/>
        <w:jc w:val="both"/>
        <w:rPr>
          <w:rFonts w:ascii="Verdana" w:hAnsi="Verdana" w:cs="Arial"/>
          <w:sz w:val="14"/>
          <w:szCs w:val="14"/>
        </w:rPr>
      </w:pPr>
      <w:r w:rsidRPr="00E10D40">
        <w:rPr>
          <w:rFonts w:ascii="Verdana" w:hAnsi="Verdana" w:cs="Arial"/>
          <w:sz w:val="14"/>
          <w:szCs w:val="14"/>
        </w:rPr>
        <w:t>»1. Las peticiones de documentos y de información deberán resolverse dentro de los diez (10) días siguientes a su recepción. Si en ese lapso no se ha dado respuesta al peticionario, se entenderá, para todos los efectos legales, que la respectiva solicitud ha sido aceptada y, por consiguiente, la administración ya no podrá negar la entrega de dichos documentos al peticionario, y como consecuencia las copias se entregarán dentro de los tres (3) días siguientes.</w:t>
      </w:r>
    </w:p>
    <w:p w14:paraId="2F5D2781" w14:textId="77777777" w:rsidR="00732905" w:rsidRPr="00E10D40" w:rsidRDefault="00732905" w:rsidP="00C20D2F">
      <w:pPr>
        <w:pStyle w:val="Textonotapie"/>
        <w:spacing w:after="120"/>
        <w:ind w:firstLine="708"/>
        <w:jc w:val="both"/>
        <w:rPr>
          <w:rFonts w:ascii="Verdana" w:hAnsi="Verdana" w:cs="Arial"/>
          <w:sz w:val="14"/>
          <w:szCs w:val="14"/>
        </w:rPr>
      </w:pPr>
      <w:r w:rsidRPr="00E10D40">
        <w:rPr>
          <w:rFonts w:ascii="Verdana" w:hAnsi="Verdana" w:cs="Arial"/>
          <w:sz w:val="14"/>
          <w:szCs w:val="14"/>
        </w:rPr>
        <w:t>[…]</w:t>
      </w:r>
      <w:r w:rsidRPr="00E10D40">
        <w:rPr>
          <w:rFonts w:ascii="Verdana" w:eastAsia="Calibri" w:hAnsi="Verdana" w:cs="Arial"/>
          <w:sz w:val="14"/>
          <w:szCs w:val="14"/>
        </w:rPr>
        <w:t>»</w:t>
      </w:r>
      <w:r w:rsidRPr="00E10D40">
        <w:rPr>
          <w:rFonts w:ascii="Verdana" w:hAnsi="Verdana" w:cs="Arial"/>
          <w:sz w:val="14"/>
          <w:szCs w:val="14"/>
        </w:rPr>
        <w:t>.</w:t>
      </w:r>
    </w:p>
  </w:footnote>
  <w:footnote w:id="15">
    <w:p w14:paraId="23C14FBD" w14:textId="77777777" w:rsidR="00732905" w:rsidRPr="00E10D40" w:rsidRDefault="00732905" w:rsidP="00C20D2F">
      <w:pPr>
        <w:pStyle w:val="Textonotapie"/>
        <w:spacing w:after="120"/>
        <w:ind w:firstLine="708"/>
        <w:jc w:val="both"/>
        <w:rPr>
          <w:rFonts w:ascii="Verdana" w:hAnsi="Verdana" w:cs="Arial"/>
          <w:sz w:val="14"/>
          <w:szCs w:val="14"/>
        </w:rPr>
      </w:pPr>
      <w:r w:rsidRPr="00E10D40">
        <w:rPr>
          <w:rStyle w:val="Refdenotaalpie"/>
          <w:rFonts w:ascii="Verdana" w:hAnsi="Verdana" w:cs="Arial"/>
          <w:sz w:val="14"/>
          <w:szCs w:val="14"/>
        </w:rPr>
        <w:footnoteRef/>
      </w:r>
      <w:r w:rsidRPr="00E10D40">
        <w:rPr>
          <w:rFonts w:ascii="Verdana" w:hAnsi="Verdana" w:cs="Arial"/>
          <w:sz w:val="14"/>
          <w:szCs w:val="14"/>
        </w:rPr>
        <w:t xml:space="preserve"> Ley 1712 de 2014: «Artículo 4. Concepto del derecho. En ejercicio del derecho fundamental de acceso a la información, toda persona puede conocer sobre la existencia y acceder a la información pública en posesión o bajo control de los sujetos obligados. El acceso a la información solamente podrá ser restringido excepcionalmente. Las excepciones serán limitadas y proporcionales, deberán estar contempladas en la ley o en la Constitución y ser acordes con los principios de una sociedad democrática.</w:t>
      </w:r>
    </w:p>
    <w:p w14:paraId="4A1CD143" w14:textId="77777777" w:rsidR="00732905" w:rsidRPr="00E10D40" w:rsidRDefault="00732905" w:rsidP="00C20D2F">
      <w:pPr>
        <w:pStyle w:val="Textonotapie"/>
        <w:spacing w:after="120"/>
        <w:ind w:firstLine="708"/>
        <w:jc w:val="both"/>
        <w:rPr>
          <w:rFonts w:ascii="Verdana" w:hAnsi="Verdana" w:cs="Arial"/>
          <w:sz w:val="14"/>
          <w:szCs w:val="14"/>
        </w:rPr>
      </w:pPr>
      <w:r w:rsidRPr="00E10D40">
        <w:rPr>
          <w:rFonts w:ascii="Verdana" w:hAnsi="Verdana" w:cs="Arial"/>
          <w:sz w:val="14"/>
          <w:szCs w:val="14"/>
        </w:rPr>
        <w:t>[…]</w:t>
      </w:r>
    </w:p>
    <w:p w14:paraId="1B361294" w14:textId="77777777" w:rsidR="00732905" w:rsidRPr="00E10D40" w:rsidRDefault="00732905" w:rsidP="00C20D2F">
      <w:pPr>
        <w:pStyle w:val="Textonotapie"/>
        <w:spacing w:after="120"/>
        <w:ind w:firstLine="708"/>
        <w:jc w:val="both"/>
        <w:rPr>
          <w:rFonts w:ascii="Verdana" w:hAnsi="Verdana" w:cs="Arial"/>
          <w:sz w:val="14"/>
          <w:szCs w:val="14"/>
        </w:rPr>
      </w:pPr>
      <w:r w:rsidRPr="00E10D40">
        <w:rPr>
          <w:rFonts w:ascii="Verdana" w:hAnsi="Verdana" w:cs="Arial"/>
          <w:sz w:val="14"/>
          <w:szCs w:val="14"/>
        </w:rPr>
        <w:t>[…]</w:t>
      </w:r>
      <w:r w:rsidRPr="00E10D40">
        <w:rPr>
          <w:rFonts w:ascii="Verdana" w:eastAsia="Calibri" w:hAnsi="Verdana" w:cs="Arial"/>
          <w:sz w:val="14"/>
          <w:szCs w:val="14"/>
        </w:rPr>
        <w:t>»</w:t>
      </w:r>
      <w:r w:rsidRPr="00E10D40">
        <w:rPr>
          <w:rFonts w:ascii="Verdana" w:hAnsi="Verdana" w:cs="Arial"/>
          <w:sz w:val="14"/>
          <w:szCs w:val="14"/>
        </w:rPr>
        <w:t>.</w:t>
      </w:r>
    </w:p>
  </w:footnote>
  <w:footnote w:id="16">
    <w:p w14:paraId="04736E18" w14:textId="77777777" w:rsidR="00732905" w:rsidRPr="00E10D40" w:rsidRDefault="00732905" w:rsidP="00C20D2F">
      <w:pPr>
        <w:pStyle w:val="Textonotapie"/>
        <w:spacing w:after="120"/>
        <w:ind w:firstLine="708"/>
        <w:jc w:val="both"/>
        <w:rPr>
          <w:rFonts w:ascii="Verdana" w:hAnsi="Verdana" w:cs="Arial"/>
          <w:sz w:val="14"/>
          <w:szCs w:val="14"/>
        </w:rPr>
      </w:pPr>
      <w:r w:rsidRPr="00E10D40">
        <w:rPr>
          <w:rStyle w:val="Refdenotaalpie"/>
          <w:rFonts w:ascii="Verdana" w:hAnsi="Verdana" w:cs="Arial"/>
          <w:sz w:val="14"/>
          <w:szCs w:val="14"/>
        </w:rPr>
        <w:footnoteRef/>
      </w:r>
      <w:r w:rsidRPr="00E10D40">
        <w:rPr>
          <w:rFonts w:ascii="Verdana" w:hAnsi="Verdana" w:cs="Arial"/>
          <w:sz w:val="14"/>
          <w:szCs w:val="14"/>
        </w:rPr>
        <w:t xml:space="preserve"> «En conclusión, para los exclusivos efectos del derecho de petición un documento es público, si lo genera, obtiene, adquiere o controla el sujeto pasivo u obligado; es decir, no importa si él lo produce o no, basta con que esté en su poder para que sea de acceso universal</w:t>
      </w:r>
      <w:r w:rsidRPr="00E10D40">
        <w:rPr>
          <w:rFonts w:ascii="Verdana" w:eastAsia="Calibri" w:hAnsi="Verdana" w:cs="Arial"/>
          <w:sz w:val="14"/>
          <w:szCs w:val="14"/>
        </w:rPr>
        <w:t>»</w:t>
      </w:r>
      <w:r w:rsidRPr="00E10D40">
        <w:rPr>
          <w:rFonts w:ascii="Verdana" w:hAnsi="Verdana" w:cs="Arial"/>
          <w:sz w:val="14"/>
          <w:szCs w:val="14"/>
        </w:rPr>
        <w:t xml:space="preserve"> (MARIN CORTÉS, Fabián G. Derecho de petición y procedimiento administrativo. Librería Jurídica Sánchez R. Ltda. y Centro de Estudios de derecho Administrativo, primera edición, Bogotá, 2017. p 357).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intelligence2.xml><?xml version="1.0" encoding="utf-8"?>
<int2:intelligence xmlns:int2="http://schemas.microsoft.com/office/intelligence/2020/intelligence" xmlns:oel="http://schemas.microsoft.com/office/2019/extlst">
  <int2:observations>
    <int2:bookmark int2:bookmarkName="_Int_Eec67tM8" int2:invalidationBookmarkName="" int2:hashCode="ByHsqEwpOoND5U" int2:id="ieCWpRdE">
      <int2:state int2:value="Rejected" int2:type="AugLoop_Text_Critique"/>
    </int2:bookmark>
    <int2:bookmark int2:bookmarkName="_Int_YRtRuU2y" int2:invalidationBookmarkName="" int2:hashCode="c23zDyAg8lKXRr" int2:id="dSmegqW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933537"/>
    <w:multiLevelType w:val="multilevel"/>
    <w:tmpl w:val="6972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F6398A"/>
    <w:multiLevelType w:val="multilevel"/>
    <w:tmpl w:val="1EFA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26B6B69"/>
    <w:multiLevelType w:val="hybridMultilevel"/>
    <w:tmpl w:val="F260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7"/>
  </w:num>
  <w:num w:numId="7">
    <w:abstractNumId w:val="8"/>
  </w:num>
  <w:num w:numId="8">
    <w:abstractNumId w:val="16"/>
  </w:num>
  <w:num w:numId="9">
    <w:abstractNumId w:val="10"/>
  </w:num>
  <w:num w:numId="10">
    <w:abstractNumId w:val="15"/>
  </w:num>
  <w:num w:numId="11">
    <w:abstractNumId w:val="11"/>
  </w:num>
  <w:num w:numId="12">
    <w:abstractNumId w:val="1"/>
  </w:num>
  <w:num w:numId="13">
    <w:abstractNumId w:val="4"/>
  </w:num>
  <w:num w:numId="14">
    <w:abstractNumId w:val="18"/>
  </w:num>
  <w:num w:numId="15">
    <w:abstractNumId w:val="14"/>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9"/>
  </w:num>
  <w:num w:numId="19">
    <w:abstractNumId w:val="5"/>
  </w:num>
  <w:num w:numId="20">
    <w:abstractNumId w:val="7"/>
  </w:num>
  <w:num w:numId="21">
    <w:abstractNumId w:val="13"/>
  </w:num>
  <w:num w:numId="22">
    <w:abstractNumId w:val="12"/>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8CA"/>
    <w:rsid w:val="00082362"/>
    <w:rsid w:val="00082A43"/>
    <w:rsid w:val="000A683E"/>
    <w:rsid w:val="000B19B9"/>
    <w:rsid w:val="000D0334"/>
    <w:rsid w:val="000F6486"/>
    <w:rsid w:val="0011236F"/>
    <w:rsid w:val="00125105"/>
    <w:rsid w:val="00127233"/>
    <w:rsid w:val="001511A0"/>
    <w:rsid w:val="0016274E"/>
    <w:rsid w:val="00197727"/>
    <w:rsid w:val="001E4177"/>
    <w:rsid w:val="001F7DC6"/>
    <w:rsid w:val="00206BBA"/>
    <w:rsid w:val="002242EE"/>
    <w:rsid w:val="002269AA"/>
    <w:rsid w:val="002421BB"/>
    <w:rsid w:val="0025796E"/>
    <w:rsid w:val="002707A2"/>
    <w:rsid w:val="002951A0"/>
    <w:rsid w:val="002962BC"/>
    <w:rsid w:val="002A093D"/>
    <w:rsid w:val="002A0DD0"/>
    <w:rsid w:val="002A49AC"/>
    <w:rsid w:val="002A64FD"/>
    <w:rsid w:val="002C2F63"/>
    <w:rsid w:val="002C4485"/>
    <w:rsid w:val="002C7A84"/>
    <w:rsid w:val="002D2280"/>
    <w:rsid w:val="002E3734"/>
    <w:rsid w:val="002E4FD9"/>
    <w:rsid w:val="00317EC8"/>
    <w:rsid w:val="00322A85"/>
    <w:rsid w:val="00324168"/>
    <w:rsid w:val="00332BF6"/>
    <w:rsid w:val="003448F4"/>
    <w:rsid w:val="00374F5E"/>
    <w:rsid w:val="00377E3E"/>
    <w:rsid w:val="00392C0B"/>
    <w:rsid w:val="003A1158"/>
    <w:rsid w:val="003A779E"/>
    <w:rsid w:val="003B4E0B"/>
    <w:rsid w:val="003B71AF"/>
    <w:rsid w:val="003D0F4D"/>
    <w:rsid w:val="003D5B0D"/>
    <w:rsid w:val="003E0499"/>
    <w:rsid w:val="003E1610"/>
    <w:rsid w:val="003F3941"/>
    <w:rsid w:val="00406575"/>
    <w:rsid w:val="00406D64"/>
    <w:rsid w:val="00414C74"/>
    <w:rsid w:val="0042722E"/>
    <w:rsid w:val="0044528D"/>
    <w:rsid w:val="0044713D"/>
    <w:rsid w:val="004A1847"/>
    <w:rsid w:val="004A305D"/>
    <w:rsid w:val="004D2C2B"/>
    <w:rsid w:val="004D3C6C"/>
    <w:rsid w:val="004D77CF"/>
    <w:rsid w:val="004F21C4"/>
    <w:rsid w:val="004F685F"/>
    <w:rsid w:val="00505A82"/>
    <w:rsid w:val="005209D1"/>
    <w:rsid w:val="00533596"/>
    <w:rsid w:val="00533C6F"/>
    <w:rsid w:val="00540E60"/>
    <w:rsid w:val="005566E8"/>
    <w:rsid w:val="00574867"/>
    <w:rsid w:val="00591460"/>
    <w:rsid w:val="005B3816"/>
    <w:rsid w:val="005C3777"/>
    <w:rsid w:val="005C5CDC"/>
    <w:rsid w:val="005D476C"/>
    <w:rsid w:val="006219F8"/>
    <w:rsid w:val="00657E43"/>
    <w:rsid w:val="00664F75"/>
    <w:rsid w:val="00665D70"/>
    <w:rsid w:val="006900D9"/>
    <w:rsid w:val="006A5E68"/>
    <w:rsid w:val="006D3D9E"/>
    <w:rsid w:val="00706C16"/>
    <w:rsid w:val="007075CC"/>
    <w:rsid w:val="00732905"/>
    <w:rsid w:val="007429B9"/>
    <w:rsid w:val="00756841"/>
    <w:rsid w:val="007649AB"/>
    <w:rsid w:val="00771D0C"/>
    <w:rsid w:val="007727AA"/>
    <w:rsid w:val="007833AC"/>
    <w:rsid w:val="007B268C"/>
    <w:rsid w:val="007B7171"/>
    <w:rsid w:val="007C0C0F"/>
    <w:rsid w:val="007C110F"/>
    <w:rsid w:val="007C3DC2"/>
    <w:rsid w:val="007E5497"/>
    <w:rsid w:val="00803F25"/>
    <w:rsid w:val="00806F5F"/>
    <w:rsid w:val="00820278"/>
    <w:rsid w:val="00843276"/>
    <w:rsid w:val="0086698E"/>
    <w:rsid w:val="00867F95"/>
    <w:rsid w:val="008843B6"/>
    <w:rsid w:val="008854B8"/>
    <w:rsid w:val="00891928"/>
    <w:rsid w:val="008A446D"/>
    <w:rsid w:val="008B046E"/>
    <w:rsid w:val="008D180B"/>
    <w:rsid w:val="008F0EA7"/>
    <w:rsid w:val="00905C50"/>
    <w:rsid w:val="00923EEF"/>
    <w:rsid w:val="00937531"/>
    <w:rsid w:val="009419F9"/>
    <w:rsid w:val="00946D35"/>
    <w:rsid w:val="0095685E"/>
    <w:rsid w:val="00961B09"/>
    <w:rsid w:val="00965334"/>
    <w:rsid w:val="0097093E"/>
    <w:rsid w:val="00986AC5"/>
    <w:rsid w:val="00996931"/>
    <w:rsid w:val="009A0DFA"/>
    <w:rsid w:val="009A49F7"/>
    <w:rsid w:val="009B2D26"/>
    <w:rsid w:val="009B2D31"/>
    <w:rsid w:val="009C71FA"/>
    <w:rsid w:val="009C72E7"/>
    <w:rsid w:val="009D3058"/>
    <w:rsid w:val="009F3A13"/>
    <w:rsid w:val="00A122D3"/>
    <w:rsid w:val="00A17F13"/>
    <w:rsid w:val="00A20739"/>
    <w:rsid w:val="00A227BE"/>
    <w:rsid w:val="00A33C78"/>
    <w:rsid w:val="00A63A80"/>
    <w:rsid w:val="00A72E60"/>
    <w:rsid w:val="00A82870"/>
    <w:rsid w:val="00AB0ADB"/>
    <w:rsid w:val="00AC0002"/>
    <w:rsid w:val="00B01B1A"/>
    <w:rsid w:val="00B6287C"/>
    <w:rsid w:val="00B66319"/>
    <w:rsid w:val="00B704C7"/>
    <w:rsid w:val="00B72CD3"/>
    <w:rsid w:val="00B72FFF"/>
    <w:rsid w:val="00B823B5"/>
    <w:rsid w:val="00BA59AF"/>
    <w:rsid w:val="00BC3D36"/>
    <w:rsid w:val="00BD16E3"/>
    <w:rsid w:val="00BD7F72"/>
    <w:rsid w:val="00C04FB3"/>
    <w:rsid w:val="00C20D2F"/>
    <w:rsid w:val="00C330EB"/>
    <w:rsid w:val="00C41061"/>
    <w:rsid w:val="00C64C89"/>
    <w:rsid w:val="00C754BE"/>
    <w:rsid w:val="00C76B1C"/>
    <w:rsid w:val="00C901AA"/>
    <w:rsid w:val="00CB6357"/>
    <w:rsid w:val="00CC1B26"/>
    <w:rsid w:val="00D423A2"/>
    <w:rsid w:val="00D520D8"/>
    <w:rsid w:val="00D63AC2"/>
    <w:rsid w:val="00D72986"/>
    <w:rsid w:val="00D7383B"/>
    <w:rsid w:val="00DA231B"/>
    <w:rsid w:val="00DC39FC"/>
    <w:rsid w:val="00DF5254"/>
    <w:rsid w:val="00DF709E"/>
    <w:rsid w:val="00E10D40"/>
    <w:rsid w:val="00E13844"/>
    <w:rsid w:val="00E16408"/>
    <w:rsid w:val="00E20894"/>
    <w:rsid w:val="00E23C7E"/>
    <w:rsid w:val="00E245AB"/>
    <w:rsid w:val="00E2764C"/>
    <w:rsid w:val="00E27F2E"/>
    <w:rsid w:val="00E30D40"/>
    <w:rsid w:val="00E50AFE"/>
    <w:rsid w:val="00E536AA"/>
    <w:rsid w:val="00E75C92"/>
    <w:rsid w:val="00E771DC"/>
    <w:rsid w:val="00E8772A"/>
    <w:rsid w:val="00E90F6B"/>
    <w:rsid w:val="00E92C27"/>
    <w:rsid w:val="00EA0E3D"/>
    <w:rsid w:val="00EC38A7"/>
    <w:rsid w:val="00ED7384"/>
    <w:rsid w:val="00EE1AA8"/>
    <w:rsid w:val="00EF72BB"/>
    <w:rsid w:val="00F31EDC"/>
    <w:rsid w:val="00F462B3"/>
    <w:rsid w:val="00F5204B"/>
    <w:rsid w:val="00F5664F"/>
    <w:rsid w:val="00F5721C"/>
    <w:rsid w:val="00F666C4"/>
    <w:rsid w:val="00F76AFC"/>
    <w:rsid w:val="00F94B7D"/>
    <w:rsid w:val="00FA47C0"/>
    <w:rsid w:val="00FB4D96"/>
    <w:rsid w:val="00FB5DD1"/>
    <w:rsid w:val="00FC2B5D"/>
    <w:rsid w:val="00FD0697"/>
    <w:rsid w:val="00FF1449"/>
    <w:rsid w:val="07C21F7E"/>
    <w:rsid w:val="16D836B1"/>
    <w:rsid w:val="1A8A45C7"/>
    <w:rsid w:val="2015815E"/>
    <w:rsid w:val="32850A03"/>
    <w:rsid w:val="440039E6"/>
    <w:rsid w:val="4463D6A3"/>
    <w:rsid w:val="49451883"/>
    <w:rsid w:val="519E0E6A"/>
    <w:rsid w:val="56734FD3"/>
    <w:rsid w:val="6BA674AC"/>
    <w:rsid w:val="789370B4"/>
    <w:rsid w:val="7925BD8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75C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B4D9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B4D96"/>
    <w:rPr>
      <w:rFonts w:ascii="Geomanist Light" w:hAnsi="Geomanist Light"/>
      <w:lang w:val="es-ES"/>
    </w:rPr>
  </w:style>
  <w:style w:type="paragraph" w:styleId="Textoindependiente">
    <w:name w:val="Body Text"/>
    <w:basedOn w:val="Normal"/>
    <w:link w:val="TextoindependienteCar"/>
    <w:uiPriority w:val="1"/>
    <w:qFormat/>
    <w:rsid w:val="00FB4D96"/>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B4D96"/>
    <w:rPr>
      <w:rFonts w:ascii="Arial" w:eastAsia="Arial" w:hAnsi="Arial" w:cs="Arial"/>
      <w:lang w:val="es-ES"/>
    </w:rPr>
  </w:style>
  <w:style w:type="character" w:styleId="Textoennegrita">
    <w:name w:val="Strong"/>
    <w:basedOn w:val="Fuentedeprrafopredeter"/>
    <w:uiPriority w:val="22"/>
    <w:qFormat/>
    <w:rsid w:val="00FD0697"/>
    <w:rPr>
      <w:b/>
      <w:bCs/>
    </w:rPr>
  </w:style>
  <w:style w:type="character" w:styleId="nfasis">
    <w:name w:val="Emphasis"/>
    <w:basedOn w:val="Fuentedeprrafopredeter"/>
    <w:uiPriority w:val="20"/>
    <w:qFormat/>
    <w:rsid w:val="00FD0697"/>
    <w:rPr>
      <w:i/>
      <w:iCs/>
    </w:rPr>
  </w:style>
  <w:style w:type="paragraph" w:styleId="Textocomentario">
    <w:name w:val="annotation text"/>
    <w:basedOn w:val="Normal"/>
    <w:link w:val="TextocomentarioCar"/>
    <w:uiPriority w:val="99"/>
    <w:semiHidden/>
    <w:unhideWhenUsed/>
    <w:rsid w:val="00FD069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D0697"/>
    <w:rPr>
      <w:sz w:val="20"/>
      <w:szCs w:val="20"/>
    </w:rPr>
  </w:style>
  <w:style w:type="character" w:styleId="Refdecomentario">
    <w:name w:val="annotation reference"/>
    <w:basedOn w:val="Fuentedeprrafopredeter"/>
    <w:uiPriority w:val="99"/>
    <w:semiHidden/>
    <w:unhideWhenUsed/>
    <w:rsid w:val="00FD069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2493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055969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93804284">
      <w:bodyDiv w:val="1"/>
      <w:marLeft w:val="0"/>
      <w:marRight w:val="0"/>
      <w:marTop w:val="0"/>
      <w:marBottom w:val="0"/>
      <w:divBdr>
        <w:top w:val="none" w:sz="0" w:space="0" w:color="auto"/>
        <w:left w:val="none" w:sz="0" w:space="0" w:color="auto"/>
        <w:bottom w:val="none" w:sz="0" w:space="0" w:color="auto"/>
        <w:right w:val="none" w:sz="0" w:space="0" w:color="auto"/>
      </w:divBdr>
    </w:div>
    <w:div w:id="1703701929">
      <w:bodyDiv w:val="1"/>
      <w:marLeft w:val="0"/>
      <w:marRight w:val="0"/>
      <w:marTop w:val="0"/>
      <w:marBottom w:val="0"/>
      <w:divBdr>
        <w:top w:val="none" w:sz="0" w:space="0" w:color="auto"/>
        <w:left w:val="none" w:sz="0" w:space="0" w:color="auto"/>
        <w:bottom w:val="none" w:sz="0" w:space="0" w:color="auto"/>
        <w:right w:val="none" w:sz="0" w:space="0" w:color="auto"/>
      </w:divBdr>
    </w:div>
    <w:div w:id="1975911361">
      <w:bodyDiv w:val="1"/>
      <w:marLeft w:val="0"/>
      <w:marRight w:val="0"/>
      <w:marTop w:val="0"/>
      <w:marBottom w:val="0"/>
      <w:divBdr>
        <w:top w:val="none" w:sz="0" w:space="0" w:color="auto"/>
        <w:left w:val="none" w:sz="0" w:space="0" w:color="auto"/>
        <w:bottom w:val="none" w:sz="0" w:space="0" w:color="auto"/>
        <w:right w:val="none" w:sz="0" w:space="0" w:color="auto"/>
      </w:divBdr>
      <w:divsChild>
        <w:div w:id="170995862">
          <w:marLeft w:val="0"/>
          <w:marRight w:val="0"/>
          <w:marTop w:val="240"/>
          <w:marBottom w:val="240"/>
          <w:divBdr>
            <w:top w:val="none" w:sz="0" w:space="0" w:color="auto"/>
            <w:left w:val="none" w:sz="0" w:space="0" w:color="auto"/>
            <w:bottom w:val="none" w:sz="0" w:space="0" w:color="auto"/>
            <w:right w:val="none" w:sz="0" w:space="0" w:color="auto"/>
          </w:divBdr>
        </w:div>
        <w:div w:id="881088678">
          <w:marLeft w:val="0"/>
          <w:marRight w:val="0"/>
          <w:marTop w:val="240"/>
          <w:marBottom w:val="240"/>
          <w:divBdr>
            <w:top w:val="none" w:sz="0" w:space="0" w:color="auto"/>
            <w:left w:val="none" w:sz="0" w:space="0" w:color="auto"/>
            <w:bottom w:val="none" w:sz="0" w:space="0" w:color="auto"/>
            <w:right w:val="none" w:sz="0" w:space="0" w:color="auto"/>
          </w:divBdr>
        </w:div>
        <w:div w:id="1978953656">
          <w:marLeft w:val="0"/>
          <w:marRight w:val="0"/>
          <w:marTop w:val="240"/>
          <w:marBottom w:val="240"/>
          <w:divBdr>
            <w:top w:val="none" w:sz="0" w:space="0" w:color="auto"/>
            <w:left w:val="none" w:sz="0" w:space="0" w:color="auto"/>
            <w:bottom w:val="none" w:sz="0" w:space="0" w:color="auto"/>
            <w:right w:val="none" w:sz="0" w:space="0" w:color="auto"/>
          </w:divBdr>
        </w:div>
        <w:div w:id="1988433876">
          <w:marLeft w:val="0"/>
          <w:marRight w:val="0"/>
          <w:marTop w:val="240"/>
          <w:marBottom w:val="240"/>
          <w:divBdr>
            <w:top w:val="none" w:sz="0" w:space="0" w:color="auto"/>
            <w:left w:val="none" w:sz="0" w:space="0" w:color="auto"/>
            <w:bottom w:val="none" w:sz="0" w:space="0" w:color="auto"/>
            <w:right w:val="none" w:sz="0" w:space="0" w:color="auto"/>
          </w:divBdr>
        </w:div>
      </w:divsChild>
    </w:div>
    <w:div w:id="1995059208">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decreto-1082-de-2015/" TargetMode="External"/><Relationship Id="rId18" Type="http://schemas.openxmlformats.org/officeDocument/2006/relationships/hyperlink" Target="https://nam02.safelinks.protection.outlook.com/?url=https%3A%2F%2Fwww.colombiacompra.gov.co%2Fsites%2Fcce_public%2Ffiles%2Fcce_documents%2Fmanual_para_el_manejo_de_acuerdos_comerciales_vf.pdf&amp;data=05%7C02%7Cgustavo.hinestroza%40colombiacompra.gov.co%7C6192b0470d324981a09708dd0a6c28db%7C7b09041e245149d08cb179d5e3d8c1be%7C0%7C0%7C638678181875638724%7CUnknown%7CTWFpbGZsb3d8eyJFbXB0eU1hcGkiOnRydWUsIlYiOiIwLjAuMDAwMCIsIlAiOiJXaW4zMiIsIkFOIjoiTWFpbCIsIldUIjoyfQ%3D%3D%7C0%7C%7C%7C&amp;sdata=D2gvwV1HBSM3Glv6qzrJ%2BhQK0MQfollQEGy%2BIJz57QQ%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 TargetMode="External"/><Relationship Id="rId7" Type="http://schemas.openxmlformats.org/officeDocument/2006/relationships/settings" Target="settings.xml"/><Relationship Id="rId12" Type="http://schemas.openxmlformats.org/officeDocument/2006/relationships/hyperlink" Target="mailto:angie98ortiz@hotmail.es" TargetMode="External"/><Relationship Id="rId17" Type="http://schemas.openxmlformats.org/officeDocument/2006/relationships/hyperlink" Target="https://relatoria.colombiacompra.gov.co/busqueda/concepto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normativa/ley-1712-de-2014/" TargetMode="External"/><Relationship Id="rId20" Type="http://schemas.openxmlformats.org/officeDocument/2006/relationships/hyperlink" Target="https://nam02.safelinks.protection.outlook.com/?url=https%3A%2F%2Fwww.sucop.gov.co%2Fentidades%2Fcolombiacompra%2FNormativa%3FIDNorma%3D19201&amp;data=05%7C02%7Cgustavo.hinestroza%40colombiacompra.gov.co%7C6192b0470d324981a09708dd0a6c28db%7C7b09041e245149d08cb179d5e3d8c1be%7C0%7C0%7C638678181875698928%7CUnknown%7CTWFpbGZsb3d8eyJFbXB0eU1hcGkiOnRydWUsIlYiOiIwLjAuMDAwMCIsIlAiOiJXaW4zMiIsIkFOIjoiTWFpbCIsIldUIjoyfQ%3D%3D%7C0%7C%7C%7C&amp;sdata=d6Pq8tmoFNCQVJDjbsN5eKlyuEzPqvfVD%2BFSZIOxnn4%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normativa/ley-1437-de-2011/"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ontent%2Fconvocatorias&amp;data=05%7C02%7Cgustavo.hinestroza%40colombiacompra.gov.co%7C6192b0470d324981a09708dd0a6c28db%7C7b09041e245149d08cb179d5e3d8c1be%7C0%7C0%7C638678181875672262%7CUnknown%7CTWFpbGZsb3d8eyJFbXB0eU1hcGkiOnRydWUsIlYiOiIwLjAuMDAwMCIsIlAiOiJXaW4zMiIsIkFOIjoiTWFpbCIsIldUIjoyfQ%3D%3D%7C0%7C%7C%7C&amp;sdata=mMvqN7MhPHfjRn3%2BCIG7h%2BZkrFrLGW%2FUOZjYJyIZyu4%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de-2007/" TargetMode="External"/><Relationship Id="rId22" Type="http://schemas.openxmlformats.org/officeDocument/2006/relationships/image" Target="media/image3.png"/><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6F3F5-2907-4201-BDFF-79732A796BD7}"/>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2C05F74-F015-4FB0-9D96-B2505F70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4098</Words>
  <Characters>22539</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2024-12-17T13:10:00Z</dcterms:created>
  <dcterms:modified xsi:type="dcterms:W3CDTF">2024-12-17T13:14:00Z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