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1753A6" w14:textId="77777777" w:rsidR="004D14DA" w:rsidRPr="00BE151B" w:rsidRDefault="004D14DA" w:rsidP="004D14DA">
      <w:pPr>
        <w:spacing w:after="0" w:line="240" w:lineRule="auto"/>
        <w:jc w:val="both"/>
        <w:rPr>
          <w:rFonts w:ascii="Verdana" w:eastAsia="Calibri" w:hAnsi="Verdana" w:cs="Arial"/>
          <w:b/>
          <w:bCs/>
          <w:color w:val="000000"/>
          <w:kern w:val="2"/>
          <w14:ligatures w14:val="standardContextual"/>
        </w:rPr>
      </w:pPr>
      <w:r w:rsidRPr="00BE151B">
        <w:rPr>
          <w:rFonts w:ascii="Verdana" w:eastAsia="Calibri" w:hAnsi="Verdana" w:cs="Arial"/>
          <w:b/>
          <w:bCs/>
          <w:color w:val="000000"/>
          <w:kern w:val="2"/>
          <w14:ligatures w14:val="standardContextual"/>
        </w:rPr>
        <w:t xml:space="preserve">INHABILIDADES E INCOMPATIBILIDADES </w:t>
      </w:r>
      <w:r w:rsidRPr="00BE151B">
        <w:rPr>
          <w:rFonts w:ascii="Verdana" w:eastAsia="Calibri" w:hAnsi="Verdana" w:cs="Arial"/>
          <w:b/>
          <w:color w:val="000000"/>
          <w:kern w:val="2"/>
          <w14:ligatures w14:val="standardContextual"/>
        </w:rPr>
        <w:t>–</w:t>
      </w:r>
      <w:r w:rsidRPr="00BE151B">
        <w:rPr>
          <w:rFonts w:ascii="Verdana" w:eastAsia="Calibri" w:hAnsi="Verdana" w:cs="Arial"/>
          <w:b/>
          <w:bCs/>
          <w:color w:val="000000"/>
          <w:kern w:val="2"/>
          <w14:ligatures w14:val="standardContextual"/>
        </w:rPr>
        <w:t xml:space="preserve"> Concepto </w:t>
      </w:r>
      <w:r w:rsidRPr="00BE151B">
        <w:rPr>
          <w:rFonts w:ascii="Verdana" w:eastAsia="Calibri" w:hAnsi="Verdana" w:cs="Arial"/>
          <w:b/>
          <w:color w:val="000000"/>
          <w:kern w:val="2"/>
          <w14:ligatures w14:val="standardContextual"/>
        </w:rPr>
        <w:t xml:space="preserve">– </w:t>
      </w:r>
      <w:r w:rsidRPr="00BE151B">
        <w:rPr>
          <w:rFonts w:ascii="Verdana" w:eastAsia="Calibri" w:hAnsi="Verdana" w:cs="Arial"/>
          <w:b/>
          <w:bCs/>
          <w:color w:val="000000"/>
          <w:kern w:val="2"/>
          <w14:ligatures w14:val="standardContextual"/>
        </w:rPr>
        <w:t xml:space="preserve">Principio de legalidad </w:t>
      </w:r>
      <w:r w:rsidRPr="00BE151B">
        <w:rPr>
          <w:rFonts w:ascii="Verdana" w:eastAsia="Calibri" w:hAnsi="Verdana" w:cs="Arial"/>
          <w:b/>
          <w:color w:val="000000"/>
          <w:kern w:val="2"/>
          <w14:ligatures w14:val="standardContextual"/>
        </w:rPr>
        <w:t>–</w:t>
      </w:r>
      <w:r w:rsidRPr="00BE151B">
        <w:rPr>
          <w:rFonts w:ascii="Verdana" w:eastAsia="Calibri" w:hAnsi="Verdana" w:cs="Arial"/>
          <w:b/>
          <w:bCs/>
          <w:color w:val="000000"/>
          <w:kern w:val="2"/>
          <w14:ligatures w14:val="standardContextual"/>
        </w:rPr>
        <w:t xml:space="preserve"> Interpretación restrictiva</w:t>
      </w:r>
    </w:p>
    <w:p w14:paraId="5EF0CB1D" w14:textId="77777777" w:rsidR="004D14DA" w:rsidRPr="00BE151B" w:rsidRDefault="004D14DA" w:rsidP="004D14DA">
      <w:pPr>
        <w:spacing w:after="0" w:line="240" w:lineRule="auto"/>
        <w:jc w:val="both"/>
        <w:rPr>
          <w:rFonts w:ascii="Verdana" w:eastAsia="Calibri" w:hAnsi="Verdana" w:cs="Arial"/>
          <w:b/>
          <w:bCs/>
          <w:color w:val="000000"/>
          <w:kern w:val="2"/>
          <w14:ligatures w14:val="standardContextual"/>
        </w:rPr>
      </w:pPr>
    </w:p>
    <w:p w14:paraId="56AD0022" w14:textId="77777777" w:rsidR="004D14DA" w:rsidRPr="00BE151B" w:rsidRDefault="004D14DA" w:rsidP="004D14DA">
      <w:pPr>
        <w:spacing w:after="0" w:line="240" w:lineRule="auto"/>
        <w:jc w:val="both"/>
        <w:rPr>
          <w:rFonts w:ascii="Verdana" w:eastAsia="Calibri" w:hAnsi="Verdana" w:cs="Arial"/>
          <w:color w:val="000000"/>
          <w:kern w:val="2"/>
          <w:sz w:val="20"/>
          <w:szCs w:val="20"/>
          <w14:ligatures w14:val="standardContextual"/>
        </w:rPr>
      </w:pPr>
      <w:r w:rsidRPr="00BE151B">
        <w:rPr>
          <w:rFonts w:ascii="Verdana" w:eastAsia="Calibri" w:hAnsi="Verdana" w:cs="Arial"/>
          <w:color w:val="000000"/>
          <w:kern w:val="2"/>
          <w:sz w:val="20"/>
          <w:szCs w:val="20"/>
          <w14:ligatures w14:val="standardContextual"/>
        </w:rPr>
        <w:t xml:space="preserve">Las </w:t>
      </w:r>
      <w:r w:rsidRPr="00BE151B">
        <w:rPr>
          <w:rFonts w:ascii="Verdana" w:eastAsia="Calibri" w:hAnsi="Verdana" w:cs="Arial"/>
          <w:i/>
          <w:iCs/>
          <w:color w:val="000000"/>
          <w:kern w:val="2"/>
          <w:sz w:val="20"/>
          <w:szCs w:val="20"/>
          <w14:ligatures w14:val="standardContextual"/>
        </w:rPr>
        <w:t>inhabilidades</w:t>
      </w:r>
      <w:r w:rsidRPr="00BE151B">
        <w:rPr>
          <w:rFonts w:ascii="Verdana" w:eastAsia="Calibri" w:hAnsi="Verdana" w:cs="Arial"/>
          <w:color w:val="000000"/>
          <w:kern w:val="2"/>
          <w:sz w:val="20"/>
          <w:szCs w:val="20"/>
          <w14:ligatures w14:val="standardContextual"/>
        </w:rPr>
        <w:t xml:space="preserve"> son prohibiciones para concurrir a los procedimientos de selección y para contratar con el Estado, que se derivan de:  i) la existencia de comportamientos reprochables o sanciones anteriormente impuestas, ii) vínculos personales relativos al parentesco o al estado civil o iii) una actividad u oficio que se desempeñó en el pasado. De otro lado, las </w:t>
      </w:r>
      <w:r w:rsidRPr="00BE151B">
        <w:rPr>
          <w:rFonts w:ascii="Verdana" w:eastAsia="Calibri" w:hAnsi="Verdana" w:cs="Arial"/>
          <w:i/>
          <w:iCs/>
          <w:color w:val="000000"/>
          <w:kern w:val="2"/>
          <w:sz w:val="20"/>
          <w:szCs w:val="20"/>
          <w14:ligatures w14:val="standardContextual"/>
        </w:rPr>
        <w:t>incompatibilidades</w:t>
      </w:r>
      <w:r w:rsidRPr="00BE151B">
        <w:rPr>
          <w:rFonts w:ascii="Verdana" w:eastAsia="Calibri" w:hAnsi="Verdana" w:cs="Arial"/>
          <w:color w:val="000000"/>
          <w:kern w:val="2"/>
          <w:sz w:val="20"/>
          <w:szCs w:val="20"/>
          <w14:ligatures w14:val="standardContextua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45EB0812" w14:textId="77777777" w:rsidR="004D14DA" w:rsidRPr="00BE151B" w:rsidRDefault="004D14DA" w:rsidP="004D14DA">
      <w:pPr>
        <w:spacing w:after="120" w:line="240" w:lineRule="auto"/>
        <w:jc w:val="both"/>
        <w:rPr>
          <w:rFonts w:ascii="Verdana" w:eastAsia="Calibri" w:hAnsi="Verdana" w:cs="Arial"/>
          <w:color w:val="000000"/>
          <w:kern w:val="2"/>
          <w:sz w:val="20"/>
          <w:szCs w:val="20"/>
          <w14:ligatures w14:val="standardContextual"/>
        </w:rPr>
      </w:pPr>
      <w:r w:rsidRPr="00BE151B">
        <w:rPr>
          <w:rFonts w:ascii="Verdana" w:eastAsia="Calibri" w:hAnsi="Verdana" w:cs="Arial"/>
          <w:color w:val="000000"/>
          <w:kern w:val="2"/>
          <w:sz w:val="20"/>
          <w:szCs w:val="20"/>
          <w14:ligatures w14:val="standardContextual"/>
        </w:rPr>
        <w:t>[…]</w:t>
      </w:r>
    </w:p>
    <w:p w14:paraId="64A16DB5" w14:textId="77777777" w:rsidR="004D14DA" w:rsidRPr="00BE151B" w:rsidRDefault="004D14DA" w:rsidP="004D14DA">
      <w:pPr>
        <w:spacing w:after="0" w:line="240" w:lineRule="auto"/>
        <w:jc w:val="both"/>
        <w:rPr>
          <w:rFonts w:ascii="Verdana" w:eastAsia="Calibri" w:hAnsi="Verdana" w:cs="Arial"/>
          <w:color w:val="000000"/>
          <w:kern w:val="2"/>
          <w:sz w:val="20"/>
          <w:szCs w:val="20"/>
          <w14:ligatures w14:val="standardContextual"/>
        </w:rPr>
      </w:pPr>
      <w:r w:rsidRPr="00BE151B">
        <w:rPr>
          <w:rFonts w:ascii="Verdana" w:eastAsia="Calibri" w:hAnsi="Verdana" w:cs="Arial"/>
          <w:color w:val="000000"/>
          <w:kern w:val="2"/>
          <w:sz w:val="20"/>
          <w:szCs w:val="20"/>
          <w14:ligatures w14:val="standardContextua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1FFAAA6C" w14:textId="77777777" w:rsidR="004D14DA" w:rsidRPr="00BE151B" w:rsidRDefault="004D14DA" w:rsidP="004D14DA">
      <w:pPr>
        <w:spacing w:after="0" w:line="240" w:lineRule="auto"/>
        <w:jc w:val="both"/>
        <w:rPr>
          <w:rFonts w:ascii="Verdana" w:eastAsia="Calibri" w:hAnsi="Verdana" w:cs="Arial"/>
          <w:color w:val="000000"/>
          <w:kern w:val="2"/>
          <w:sz w:val="20"/>
          <w:szCs w:val="20"/>
          <w14:ligatures w14:val="standardContextual"/>
        </w:rPr>
      </w:pPr>
    </w:p>
    <w:p w14:paraId="6E68B9C3" w14:textId="77777777" w:rsidR="004D14DA" w:rsidRDefault="004D14DA" w:rsidP="004D14DA">
      <w:pPr>
        <w:spacing w:after="0" w:line="240" w:lineRule="auto"/>
        <w:jc w:val="both"/>
        <w:rPr>
          <w:rFonts w:ascii="Verdana" w:eastAsia="Calibri" w:hAnsi="Verdana" w:cs="Arial"/>
          <w:b/>
          <w:color w:val="000000"/>
          <w:kern w:val="2"/>
          <w14:ligatures w14:val="standardContextual"/>
        </w:rPr>
      </w:pPr>
      <w:r w:rsidRPr="0078487A">
        <w:rPr>
          <w:rFonts w:ascii="Verdana" w:eastAsia="Calibri" w:hAnsi="Verdana" w:cs="Arial"/>
          <w:b/>
          <w:color w:val="000000"/>
          <w:kern w:val="2"/>
          <w14:ligatures w14:val="standardContextual"/>
        </w:rPr>
        <w:t>INHABILIDADES E INCOMPATIBILIDADES – Ley 80 de 1993 – Numeral 2, literal A) – Exservidor público – Niveles directivo, asesor o ejecutivo - Elemento temporal (1) un año</w:t>
      </w:r>
    </w:p>
    <w:p w14:paraId="42AB6773" w14:textId="77777777" w:rsidR="004D14DA" w:rsidRPr="00BE151B" w:rsidRDefault="004D14DA" w:rsidP="004D14DA">
      <w:pPr>
        <w:spacing w:after="0" w:line="240" w:lineRule="auto"/>
        <w:jc w:val="both"/>
        <w:rPr>
          <w:rFonts w:ascii="Verdana" w:eastAsia="Calibri" w:hAnsi="Verdana" w:cs="Arial"/>
          <w:b/>
          <w:color w:val="000000"/>
          <w:kern w:val="2"/>
          <w14:ligatures w14:val="standardContextual"/>
        </w:rPr>
      </w:pPr>
    </w:p>
    <w:p w14:paraId="44AC7920" w14:textId="77777777" w:rsidR="004D14DA" w:rsidRDefault="004D14DA" w:rsidP="004D14DA">
      <w:pPr>
        <w:spacing w:after="0" w:line="240" w:lineRule="auto"/>
        <w:jc w:val="both"/>
        <w:rPr>
          <w:rFonts w:ascii="Verdana" w:eastAsia="Calibri" w:hAnsi="Verdana" w:cs="Arial"/>
          <w:color w:val="000000"/>
          <w:kern w:val="2"/>
          <w:sz w:val="20"/>
          <w:szCs w:val="20"/>
          <w14:ligatures w14:val="standardContextual"/>
        </w:rPr>
      </w:pPr>
      <w:r w:rsidRPr="00E2445B">
        <w:rPr>
          <w:rFonts w:ascii="Verdana" w:eastAsia="Calibri" w:hAnsi="Verdana" w:cs="Arial"/>
          <w:color w:val="000000"/>
          <w:kern w:val="2"/>
          <w:sz w:val="20"/>
          <w:szCs w:val="20"/>
          <w14:ligatures w14:val="standardContextual"/>
        </w:rPr>
        <w:t>Los literales a) y f) prohíben a las entidades públicas contratar, para la primera, con i) miembros de la junta o consejo directivo o ii) servidores públicos, en cualquiera de sus clasificaciones, sean estos miembros de corporaciones públicas, sean empleados y/o trabajadores del Estado y/o de sus entidades descentralizadas territorialmente y/o por servicios, que hubiesen ejercido funciones en los niveles directivo, asesor o ejecutivo, en los que su vinculación hubiere terminado dentro del año inmediatamente anterior en la entidad contratante.</w:t>
      </w:r>
    </w:p>
    <w:p w14:paraId="27AF8C01" w14:textId="77777777" w:rsidR="004D14DA" w:rsidRDefault="004D14DA" w:rsidP="004D14DA">
      <w:pPr>
        <w:spacing w:after="0" w:line="240" w:lineRule="auto"/>
        <w:jc w:val="both"/>
        <w:rPr>
          <w:rFonts w:ascii="Verdana" w:eastAsia="Calibri" w:hAnsi="Verdana" w:cs="Arial"/>
          <w:color w:val="000000"/>
          <w:kern w:val="2"/>
          <w:sz w:val="20"/>
          <w:szCs w:val="20"/>
          <w14:ligatures w14:val="standardContextual"/>
        </w:rPr>
      </w:pPr>
    </w:p>
    <w:p w14:paraId="149AD1DD" w14:textId="77777777" w:rsidR="004D14DA" w:rsidRPr="00DA5964" w:rsidRDefault="004D14DA" w:rsidP="004D14DA">
      <w:pPr>
        <w:spacing w:after="0" w:line="240" w:lineRule="auto"/>
        <w:jc w:val="both"/>
        <w:rPr>
          <w:rFonts w:ascii="Verdana" w:eastAsia="Calibri" w:hAnsi="Verdana" w:cs="Arial"/>
          <w:b/>
          <w:color w:val="000000"/>
          <w:kern w:val="2"/>
          <w14:ligatures w14:val="standardContextual"/>
        </w:rPr>
      </w:pPr>
      <w:r w:rsidRPr="00DA5964">
        <w:rPr>
          <w:rFonts w:ascii="Verdana" w:eastAsia="Calibri" w:hAnsi="Verdana" w:cs="Arial"/>
          <w:b/>
          <w:color w:val="000000"/>
          <w:kern w:val="2"/>
          <w14:ligatures w14:val="standardContextual"/>
        </w:rPr>
        <w:t>INHABILIDADES E INCOMPATIBILIDADES – Ley 80 de 1993 – Numeral 2, literal F) – Contratación directa e indirecta – Exservidor público – Cargo Directivo – Elemento temporal (2) dos años – Sociedades</w:t>
      </w:r>
    </w:p>
    <w:p w14:paraId="1271DA6A" w14:textId="77777777" w:rsidR="004D14DA" w:rsidRPr="00E2445B" w:rsidRDefault="004D14DA" w:rsidP="004D14DA">
      <w:pPr>
        <w:spacing w:after="0" w:line="240" w:lineRule="auto"/>
        <w:jc w:val="both"/>
        <w:rPr>
          <w:rFonts w:ascii="Verdana" w:eastAsia="Calibri" w:hAnsi="Verdana" w:cs="Arial"/>
          <w:color w:val="000000"/>
          <w:kern w:val="2"/>
          <w:sz w:val="20"/>
          <w:szCs w:val="20"/>
          <w14:ligatures w14:val="standardContextual"/>
        </w:rPr>
      </w:pPr>
    </w:p>
    <w:p w14:paraId="34D4C0CB" w14:textId="77777777" w:rsidR="004D14DA" w:rsidRPr="00BE151B" w:rsidRDefault="004D14DA" w:rsidP="004D14DA">
      <w:pPr>
        <w:spacing w:after="0" w:line="240" w:lineRule="auto"/>
        <w:jc w:val="both"/>
        <w:rPr>
          <w:rFonts w:ascii="Verdana" w:eastAsia="Calibri" w:hAnsi="Verdana" w:cs="Arial"/>
          <w:color w:val="000000"/>
          <w:kern w:val="2"/>
          <w:sz w:val="20"/>
          <w:szCs w:val="20"/>
          <w14:ligatures w14:val="standardContextual"/>
        </w:rPr>
      </w:pPr>
      <w:r w:rsidRPr="00E2445B">
        <w:rPr>
          <w:rFonts w:ascii="Verdana" w:eastAsia="Calibri" w:hAnsi="Verdana" w:cs="Arial"/>
          <w:color w:val="000000"/>
          <w:kern w:val="2"/>
          <w:sz w:val="20"/>
          <w:szCs w:val="20"/>
          <w14:ligatures w14:val="standardContextual"/>
        </w:rPr>
        <w:t xml:space="preserve">Para la segunda, dicha prohibición recae en exservidores públicos que hubiesen ejercido cargos en el nivel directivo en entidades del Estado y las sociedades en las cuales dichos exservidores púbicos hagan parte o estén vinculados a cualquier título, dentro de los (2) dos años siguientes al retiro del ejercicio del cargo público, cuando el contrato que pretenden suscribir (sea el exservidor público persona natural o sea la sociedad en la que estos hagan parte o estén vinculados a la persona jurídica) establezcan por objeto contractual uno que tenga relación directa con el sector al cual prestó sus servicios. Según el inciso segundo del literal f), dicha incompatibilidad opera para las personas que </w:t>
      </w:r>
      <w:r w:rsidRPr="00E2445B">
        <w:rPr>
          <w:rFonts w:ascii="Verdana" w:eastAsia="Calibri" w:hAnsi="Verdana" w:cs="Arial"/>
          <w:color w:val="000000"/>
          <w:kern w:val="2"/>
          <w:sz w:val="20"/>
          <w:szCs w:val="20"/>
          <w14:ligatures w14:val="standardContextual"/>
        </w:rPr>
        <w:lastRenderedPageBreak/>
        <w:t>se encuentren dentro del primer grado de consanguinidad, primero de afinidad, o primero civil del exempleado público.</w:t>
      </w:r>
    </w:p>
    <w:p w14:paraId="60F4ECA2" w14:textId="77777777" w:rsidR="004D14DA" w:rsidRPr="00BE151B" w:rsidRDefault="004D14DA" w:rsidP="004D14DA">
      <w:pPr>
        <w:spacing w:after="0" w:line="240" w:lineRule="auto"/>
        <w:jc w:val="both"/>
        <w:rPr>
          <w:rFonts w:ascii="Verdana" w:eastAsia="Calibri" w:hAnsi="Verdana" w:cs="Arial"/>
          <w:color w:val="000000"/>
          <w:kern w:val="2"/>
          <w:sz w:val="20"/>
          <w:szCs w:val="20"/>
          <w14:ligatures w14:val="standardContextual"/>
        </w:rPr>
      </w:pPr>
    </w:p>
    <w:p w14:paraId="2F26E83B" w14:textId="77777777" w:rsidR="004D14DA" w:rsidRDefault="004D14DA" w:rsidP="004D14DA">
      <w:pPr>
        <w:spacing w:after="0" w:line="240" w:lineRule="auto"/>
        <w:jc w:val="both"/>
        <w:rPr>
          <w:rFonts w:ascii="Verdana" w:hAnsi="Verdana" w:cs="Arial"/>
          <w:b/>
          <w:bCs/>
          <w:sz w:val="20"/>
          <w:szCs w:val="20"/>
          <w:lang w:eastAsia="es-ES"/>
        </w:rPr>
      </w:pPr>
      <w:r w:rsidRPr="00DA5964">
        <w:rPr>
          <w:rFonts w:ascii="Verdana" w:hAnsi="Verdana" w:cs="Arial"/>
          <w:b/>
          <w:bCs/>
          <w:sz w:val="20"/>
          <w:szCs w:val="20"/>
          <w:lang w:eastAsia="es-ES"/>
        </w:rPr>
        <w:t>INHABILIDADES E INCOMPATIBILIDADES – Aplica parientes - No aplica en sociedades SAS</w:t>
      </w:r>
    </w:p>
    <w:p w14:paraId="02A7F00F" w14:textId="77777777" w:rsidR="004D14DA" w:rsidRPr="00BE151B" w:rsidRDefault="004D14DA" w:rsidP="004D14DA">
      <w:pPr>
        <w:spacing w:after="0" w:line="240" w:lineRule="auto"/>
        <w:jc w:val="both"/>
        <w:rPr>
          <w:rFonts w:ascii="Verdana" w:hAnsi="Verdana" w:cs="Arial"/>
          <w:b/>
          <w:bCs/>
          <w:sz w:val="20"/>
          <w:szCs w:val="20"/>
          <w:lang w:eastAsia="es-ES"/>
        </w:rPr>
      </w:pPr>
    </w:p>
    <w:p w14:paraId="7FB13401" w14:textId="77777777" w:rsidR="004D14DA" w:rsidRDefault="004D14DA" w:rsidP="004D14DA">
      <w:pPr>
        <w:spacing w:after="0" w:line="240" w:lineRule="auto"/>
        <w:jc w:val="both"/>
        <w:rPr>
          <w:rFonts w:ascii="Verdana" w:hAnsi="Verdana" w:cs="Arial"/>
          <w:sz w:val="20"/>
          <w:szCs w:val="20"/>
          <w:lang w:eastAsia="es-ES"/>
        </w:rPr>
      </w:pPr>
      <w:r w:rsidRPr="00BE151B">
        <w:rPr>
          <w:rFonts w:ascii="Verdana" w:hAnsi="Verdana" w:cs="Arial"/>
          <w:sz w:val="20"/>
          <w:szCs w:val="20"/>
          <w:lang w:eastAsia="es-ES"/>
        </w:rPr>
        <w:t xml:space="preserve">[…] </w:t>
      </w:r>
      <w:r w:rsidRPr="0078487A">
        <w:rPr>
          <w:rFonts w:ascii="Verdana" w:hAnsi="Verdana" w:cs="Arial"/>
          <w:sz w:val="20"/>
          <w:szCs w:val="20"/>
          <w:lang w:eastAsia="es-ES"/>
        </w:rPr>
        <w:t>No obstante, el planteamiento del demandante que gira en torno a las sociedades anónimas por acciones, por sus características esenciales, empujaron a que la Corte considerara inviable la restricción e incluso inaplicable, porque se hace imposible tener control sobre los accionistas que pudieran acceder a la compra de acciones, y que lo pueden hacer con plena libertad, incluso en el mercado bursátil abierto, en razón de la capacidad económica y voluntad del inversionista y no por sus condiciones personales y de manera particular por su condición de ex servidor público.</w:t>
      </w:r>
    </w:p>
    <w:p w14:paraId="4C251249" w14:textId="77777777" w:rsidR="004D14DA" w:rsidRDefault="004D14DA" w:rsidP="004D14DA">
      <w:pPr>
        <w:spacing w:after="0" w:line="240" w:lineRule="auto"/>
        <w:rPr>
          <w:rFonts w:ascii="Verdana" w:eastAsia="Times New Roman" w:hAnsi="Verdana" w:cs="Arial"/>
          <w:lang w:eastAsia="es-ES_tradnl"/>
        </w:rPr>
      </w:pPr>
    </w:p>
    <w:p w14:paraId="453B581B" w14:textId="77777777" w:rsidR="004D14DA" w:rsidRPr="00900D47" w:rsidRDefault="004D14DA" w:rsidP="004D14DA">
      <w:pPr>
        <w:spacing w:after="0" w:line="240" w:lineRule="auto"/>
        <w:jc w:val="both"/>
        <w:rPr>
          <w:rFonts w:ascii="Verdana" w:hAnsi="Verdana" w:cs="Arial"/>
          <w:b/>
          <w:bCs/>
          <w:sz w:val="20"/>
          <w:szCs w:val="20"/>
          <w:lang w:eastAsia="es-ES"/>
        </w:rPr>
      </w:pPr>
      <w:r w:rsidRPr="00900D47">
        <w:rPr>
          <w:rFonts w:ascii="Verdana" w:hAnsi="Verdana" w:cs="Arial"/>
          <w:b/>
          <w:bCs/>
          <w:sz w:val="20"/>
          <w:szCs w:val="20"/>
          <w:lang w:eastAsia="es-ES"/>
        </w:rPr>
        <w:t xml:space="preserve">LEY 1474 DE 2011 </w:t>
      </w:r>
      <w:r w:rsidRPr="00DA5964">
        <w:rPr>
          <w:rFonts w:ascii="Verdana" w:hAnsi="Verdana" w:cs="Arial"/>
          <w:b/>
          <w:bCs/>
          <w:sz w:val="20"/>
          <w:szCs w:val="20"/>
          <w:lang w:eastAsia="es-ES"/>
        </w:rPr>
        <w:t xml:space="preserve">– </w:t>
      </w:r>
      <w:r w:rsidRPr="00900D47">
        <w:rPr>
          <w:rFonts w:ascii="Verdana" w:hAnsi="Verdana" w:cs="Arial"/>
          <w:b/>
          <w:bCs/>
          <w:sz w:val="20"/>
          <w:szCs w:val="20"/>
          <w:lang w:eastAsia="es-ES"/>
        </w:rPr>
        <w:t>artículo 3</w:t>
      </w:r>
      <w:r>
        <w:rPr>
          <w:rFonts w:ascii="Verdana" w:hAnsi="Verdana" w:cs="Arial"/>
          <w:b/>
          <w:bCs/>
          <w:sz w:val="20"/>
          <w:szCs w:val="20"/>
          <w:lang w:eastAsia="es-ES"/>
        </w:rPr>
        <w:t xml:space="preserve"> </w:t>
      </w:r>
      <w:r w:rsidRPr="00DA5964">
        <w:rPr>
          <w:rFonts w:ascii="Verdana" w:hAnsi="Verdana" w:cs="Arial"/>
          <w:b/>
          <w:bCs/>
          <w:sz w:val="20"/>
          <w:szCs w:val="20"/>
          <w:lang w:eastAsia="es-ES"/>
        </w:rPr>
        <w:t>–</w:t>
      </w:r>
      <w:r>
        <w:rPr>
          <w:rFonts w:ascii="Verdana" w:eastAsia="Arial MT" w:hAnsi="Verdana" w:cs="Arial"/>
          <w:lang w:eastAsia="es-ES" w:bidi="es-ES"/>
        </w:rPr>
        <w:t xml:space="preserve"> </w:t>
      </w:r>
      <w:r w:rsidRPr="00900D47">
        <w:rPr>
          <w:rFonts w:ascii="Verdana" w:eastAsia="Arial MT" w:hAnsi="Verdana" w:cs="Arial"/>
          <w:b/>
          <w:bCs/>
          <w:lang w:eastAsia="es-ES" w:bidi="es-ES"/>
        </w:rPr>
        <w:t>Pr</w:t>
      </w:r>
      <w:r w:rsidRPr="00900D47">
        <w:rPr>
          <w:rFonts w:ascii="Verdana" w:hAnsi="Verdana" w:cs="Arial"/>
          <w:b/>
          <w:bCs/>
          <w:sz w:val="20"/>
          <w:szCs w:val="20"/>
          <w:lang w:eastAsia="es-ES"/>
        </w:rPr>
        <w:t>ohibición gestión de intereses privados en exservidores públicos - No limita capacidad jurídica para contratar con el Estado</w:t>
      </w:r>
    </w:p>
    <w:p w14:paraId="10AFD8A1" w14:textId="77777777" w:rsidR="004D14DA" w:rsidRDefault="004D14DA" w:rsidP="004D14DA">
      <w:pPr>
        <w:spacing w:after="0" w:line="240" w:lineRule="auto"/>
        <w:rPr>
          <w:rFonts w:ascii="Verdana" w:eastAsia="Times New Roman" w:hAnsi="Verdana" w:cs="Arial"/>
          <w:lang w:eastAsia="es-ES_tradnl"/>
        </w:rPr>
      </w:pPr>
    </w:p>
    <w:p w14:paraId="451663A4" w14:textId="77777777" w:rsidR="004D14DA" w:rsidRPr="00900D47" w:rsidRDefault="004D14DA" w:rsidP="004D14DA">
      <w:pPr>
        <w:spacing w:line="240" w:lineRule="auto"/>
        <w:jc w:val="both"/>
        <w:rPr>
          <w:rFonts w:ascii="Verdana" w:hAnsi="Verdana" w:cs="Arial"/>
          <w:sz w:val="20"/>
          <w:szCs w:val="20"/>
          <w:lang w:eastAsia="es-ES"/>
        </w:rPr>
      </w:pPr>
      <w:r w:rsidRPr="00900D47">
        <w:rPr>
          <w:rFonts w:ascii="Verdana" w:hAnsi="Verdana" w:cs="Arial"/>
          <w:sz w:val="20"/>
          <w:szCs w:val="20"/>
          <w:lang w:eastAsia="es-ES"/>
        </w:rPr>
        <w:t>Frente al alcance y ámbito de aplicación del artículo 3 de la Ley 1474 de 2011, es importante señalar que esta Subdirección solo tiene competencia para absolver consultas sobre la aplicación de normas de carácter general en materia de compras y contratación pública. En consecuencia, al revisar el contenido de la norma en cita se advierte que aquella pretende proscribir la gestión de intereses privados en los exservidores públicos, más no se orienta a limitar la capacidad jurídica de las personas para contratar con el Estado. Materia esta de la que sí se ocupa el artículo 4 del mismo cuerpo normativo, y que justamente incorpora la incompatibilidad explicada en la respuesta al primer punto de la presente consulta, consagrada en el literal f) al numeral 2 del artículo 8° de la Ley 80 de 1993.</w:t>
      </w:r>
    </w:p>
    <w:p w14:paraId="06F96B8A" w14:textId="77777777" w:rsidR="004D14DA" w:rsidRDefault="004D14DA" w:rsidP="004D14DA">
      <w:pPr>
        <w:spacing w:after="0" w:line="240" w:lineRule="auto"/>
        <w:rPr>
          <w:rFonts w:ascii="Verdana" w:eastAsia="Times New Roman" w:hAnsi="Verdana" w:cs="Arial"/>
          <w:lang w:eastAsia="es-ES_tradnl"/>
        </w:rPr>
      </w:pPr>
    </w:p>
    <w:p w14:paraId="299F4242" w14:textId="77777777" w:rsidR="004D14DA" w:rsidRDefault="004D14DA" w:rsidP="004D14DA">
      <w:pPr>
        <w:spacing w:after="0" w:line="240" w:lineRule="auto"/>
        <w:rPr>
          <w:rFonts w:ascii="Verdana" w:eastAsia="Times New Roman" w:hAnsi="Verdana" w:cs="Arial"/>
          <w:lang w:eastAsia="es-ES_tradnl"/>
        </w:rPr>
      </w:pPr>
    </w:p>
    <w:p w14:paraId="5DBDAF7F" w14:textId="77777777" w:rsidR="004D14DA" w:rsidRDefault="004D14DA" w:rsidP="004D14DA">
      <w:pPr>
        <w:spacing w:after="0" w:line="240" w:lineRule="auto"/>
        <w:rPr>
          <w:rFonts w:ascii="Verdana" w:eastAsia="Times New Roman" w:hAnsi="Verdana" w:cs="Arial"/>
          <w:lang w:eastAsia="es-ES_tradnl"/>
        </w:rPr>
      </w:pPr>
    </w:p>
    <w:p w14:paraId="51028CF4" w14:textId="77777777" w:rsidR="004D14DA" w:rsidRDefault="004D14DA" w:rsidP="004D14DA">
      <w:pPr>
        <w:spacing w:after="0" w:line="240" w:lineRule="auto"/>
        <w:rPr>
          <w:rFonts w:ascii="Verdana" w:eastAsia="Times New Roman" w:hAnsi="Verdana" w:cs="Arial"/>
          <w:lang w:eastAsia="es-ES_tradnl"/>
        </w:rPr>
      </w:pPr>
    </w:p>
    <w:p w14:paraId="69E6431B" w14:textId="77777777" w:rsidR="004D14DA" w:rsidRDefault="004D14DA" w:rsidP="004D14DA">
      <w:pPr>
        <w:spacing w:after="0" w:line="240" w:lineRule="auto"/>
        <w:rPr>
          <w:rFonts w:ascii="Verdana" w:eastAsia="Times New Roman" w:hAnsi="Verdana" w:cs="Arial"/>
          <w:lang w:eastAsia="es-ES_tradnl"/>
        </w:rPr>
      </w:pPr>
    </w:p>
    <w:p w14:paraId="41A9542D" w14:textId="77777777" w:rsidR="004D14DA" w:rsidRDefault="004D14DA" w:rsidP="004D14DA">
      <w:pPr>
        <w:spacing w:after="0" w:line="240" w:lineRule="auto"/>
        <w:rPr>
          <w:rFonts w:ascii="Verdana" w:eastAsia="Times New Roman" w:hAnsi="Verdana" w:cs="Arial"/>
          <w:lang w:eastAsia="es-ES_tradnl"/>
        </w:rPr>
      </w:pPr>
    </w:p>
    <w:p w14:paraId="180F155F" w14:textId="77777777" w:rsidR="004D14DA" w:rsidRDefault="004D14DA" w:rsidP="004D14DA">
      <w:pPr>
        <w:spacing w:after="0" w:line="240" w:lineRule="auto"/>
        <w:rPr>
          <w:rFonts w:ascii="Verdana" w:eastAsia="Times New Roman" w:hAnsi="Verdana" w:cs="Arial"/>
          <w:lang w:eastAsia="es-ES_tradnl"/>
        </w:rPr>
      </w:pPr>
    </w:p>
    <w:p w14:paraId="15B39AE2" w14:textId="77777777" w:rsidR="004D14DA" w:rsidRDefault="004D14DA" w:rsidP="004D14DA">
      <w:pPr>
        <w:spacing w:after="0" w:line="240" w:lineRule="auto"/>
        <w:rPr>
          <w:rFonts w:ascii="Verdana" w:eastAsia="Times New Roman" w:hAnsi="Verdana" w:cs="Arial"/>
          <w:lang w:eastAsia="es-ES_tradnl"/>
        </w:rPr>
      </w:pPr>
    </w:p>
    <w:p w14:paraId="26497A83" w14:textId="77777777" w:rsidR="004D14DA" w:rsidRDefault="004D14DA" w:rsidP="004D14DA">
      <w:pPr>
        <w:spacing w:after="0" w:line="240" w:lineRule="auto"/>
        <w:rPr>
          <w:rFonts w:ascii="Verdana" w:eastAsia="Times New Roman" w:hAnsi="Verdana" w:cs="Arial"/>
          <w:lang w:eastAsia="es-ES_tradnl"/>
        </w:rPr>
      </w:pPr>
    </w:p>
    <w:p w14:paraId="6BEDC615" w14:textId="77777777" w:rsidR="004D14DA" w:rsidRDefault="004D14DA" w:rsidP="004D14DA">
      <w:pPr>
        <w:spacing w:after="0" w:line="240" w:lineRule="auto"/>
        <w:rPr>
          <w:rFonts w:ascii="Verdana" w:eastAsia="Times New Roman" w:hAnsi="Verdana" w:cs="Arial"/>
          <w:lang w:eastAsia="es-ES_tradnl"/>
        </w:rPr>
      </w:pPr>
    </w:p>
    <w:p w14:paraId="1BD5134F" w14:textId="77777777" w:rsidR="004D14DA" w:rsidRDefault="004D14DA" w:rsidP="004D14DA">
      <w:pPr>
        <w:spacing w:after="0" w:line="240" w:lineRule="auto"/>
        <w:rPr>
          <w:rFonts w:ascii="Verdana" w:eastAsia="Times New Roman" w:hAnsi="Verdana" w:cs="Arial"/>
          <w:lang w:eastAsia="es-ES_tradnl"/>
        </w:rPr>
      </w:pPr>
    </w:p>
    <w:p w14:paraId="585284F4" w14:textId="77777777" w:rsidR="004D14DA" w:rsidRDefault="004D14DA" w:rsidP="004D14DA">
      <w:pPr>
        <w:spacing w:after="0" w:line="240" w:lineRule="auto"/>
        <w:rPr>
          <w:rFonts w:ascii="Verdana" w:eastAsia="Times New Roman" w:hAnsi="Verdana" w:cs="Arial"/>
          <w:lang w:eastAsia="es-ES_tradnl"/>
        </w:rPr>
      </w:pPr>
    </w:p>
    <w:p w14:paraId="70C37AE0" w14:textId="77777777" w:rsidR="004D14DA" w:rsidRDefault="004D14DA" w:rsidP="004D14DA">
      <w:pPr>
        <w:spacing w:after="0" w:line="240" w:lineRule="auto"/>
        <w:rPr>
          <w:rFonts w:ascii="Verdana" w:eastAsia="Times New Roman" w:hAnsi="Verdana" w:cs="Arial"/>
          <w:lang w:eastAsia="es-ES_tradnl"/>
        </w:rPr>
      </w:pPr>
    </w:p>
    <w:p w14:paraId="164DD558" w14:textId="77777777" w:rsidR="004D14DA" w:rsidRDefault="004D14DA" w:rsidP="004D14DA">
      <w:pPr>
        <w:spacing w:after="0" w:line="240" w:lineRule="auto"/>
        <w:rPr>
          <w:rFonts w:ascii="Verdana" w:eastAsia="Times New Roman" w:hAnsi="Verdana" w:cs="Arial"/>
          <w:lang w:eastAsia="es-ES_tradnl"/>
        </w:rPr>
      </w:pPr>
    </w:p>
    <w:p w14:paraId="42FE4F16" w14:textId="77777777" w:rsidR="004D14DA" w:rsidRDefault="004D14DA" w:rsidP="004D14DA">
      <w:pPr>
        <w:spacing w:after="0" w:line="240" w:lineRule="auto"/>
        <w:rPr>
          <w:rFonts w:ascii="Verdana" w:eastAsia="Times New Roman" w:hAnsi="Verdana" w:cs="Arial"/>
          <w:lang w:eastAsia="es-ES_tradnl"/>
        </w:rPr>
      </w:pPr>
    </w:p>
    <w:p w14:paraId="312CC8B9" w14:textId="77777777" w:rsidR="004D14DA" w:rsidRDefault="004D14DA" w:rsidP="004D14DA">
      <w:pPr>
        <w:spacing w:after="0" w:line="240" w:lineRule="auto"/>
        <w:rPr>
          <w:rFonts w:ascii="Verdana" w:eastAsia="Times New Roman" w:hAnsi="Verdana" w:cs="Arial"/>
          <w:lang w:eastAsia="es-ES_tradnl"/>
        </w:rPr>
      </w:pPr>
    </w:p>
    <w:p w14:paraId="1E1D30DC" w14:textId="77777777" w:rsidR="004D14DA" w:rsidRDefault="004D14DA" w:rsidP="004D14DA">
      <w:pPr>
        <w:spacing w:after="0" w:line="240" w:lineRule="auto"/>
        <w:rPr>
          <w:rFonts w:ascii="Verdana" w:eastAsia="Times New Roman" w:hAnsi="Verdana" w:cs="Arial"/>
          <w:lang w:eastAsia="es-ES_tradnl"/>
        </w:rPr>
      </w:pPr>
    </w:p>
    <w:p w14:paraId="60E81E9E" w14:textId="77777777" w:rsidR="004D14DA" w:rsidRPr="005B7C42" w:rsidRDefault="004D14DA" w:rsidP="004D14DA">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43EB842A" w14:textId="77777777" w:rsidR="004D14DA" w:rsidRPr="005B7C42" w:rsidRDefault="004D14DA" w:rsidP="004D14DA">
      <w:pPr>
        <w:spacing w:after="0" w:line="240" w:lineRule="auto"/>
        <w:rPr>
          <w:rFonts w:ascii="Verdana" w:eastAsia="Times New Roman" w:hAnsi="Verdana" w:cs="Arial"/>
          <w:lang w:eastAsia="es-ES_tradnl"/>
        </w:rPr>
      </w:pPr>
    </w:p>
    <w:p w14:paraId="3D3A2742" w14:textId="01D5BD1E" w:rsidR="004D14DA" w:rsidRPr="005B7C42" w:rsidRDefault="004D1DC3" w:rsidP="004D14DA">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7FC4CEDC" wp14:editId="0CFD1F36">
            <wp:extent cx="3351520" cy="980237"/>
            <wp:effectExtent l="0" t="0" r="1905" b="0"/>
            <wp:docPr id="142761942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19427" name="Imagen 1" descr="Interfaz de usuario gráfica, Aplicación&#10;&#10;Descripción generada automáticamente"/>
                    <pic:cNvPicPr/>
                  </pic:nvPicPr>
                  <pic:blipFill rotWithShape="1">
                    <a:blip r:embed="rId7"/>
                    <a:srcRect l="11994" t="30858" r="51902" b="33454"/>
                    <a:stretch/>
                  </pic:blipFill>
                  <pic:spPr bwMode="auto">
                    <a:xfrm>
                      <a:off x="0" y="0"/>
                      <a:ext cx="3366512" cy="984622"/>
                    </a:xfrm>
                    <a:prstGeom prst="rect">
                      <a:avLst/>
                    </a:prstGeom>
                    <a:ln>
                      <a:noFill/>
                    </a:ln>
                    <a:extLst>
                      <a:ext uri="{53640926-AAD7-44D8-BBD7-CCE9431645EC}">
                        <a14:shadowObscured xmlns:a14="http://schemas.microsoft.com/office/drawing/2010/main"/>
                      </a:ext>
                    </a:extLst>
                  </pic:spPr>
                </pic:pic>
              </a:graphicData>
            </a:graphic>
          </wp:inline>
        </w:drawing>
      </w:r>
    </w:p>
    <w:p w14:paraId="7B00ED4F" w14:textId="77777777" w:rsidR="004D14DA" w:rsidRPr="005B7C42" w:rsidRDefault="004D14DA" w:rsidP="004D14DA">
      <w:pPr>
        <w:spacing w:after="0" w:line="240" w:lineRule="auto"/>
        <w:jc w:val="right"/>
        <w:rPr>
          <w:rFonts w:ascii="Verdana" w:eastAsia="Times New Roman" w:hAnsi="Verdana" w:cs="Arial"/>
          <w:lang w:eastAsia="es-ES_tradnl"/>
        </w:rPr>
      </w:pPr>
    </w:p>
    <w:p w14:paraId="6D9CE3D6" w14:textId="77777777" w:rsidR="004D14DA" w:rsidRPr="005B7C42" w:rsidRDefault="004D14DA" w:rsidP="004D14DA">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Pr>
          <w:rFonts w:ascii="Verdana" w:eastAsia="Calibri" w:hAnsi="Verdana" w:cs="Arial"/>
          <w:lang w:eastAsia="es-ES_tradnl"/>
        </w:rPr>
        <w:t>a</w:t>
      </w:r>
    </w:p>
    <w:p w14:paraId="36DD7790" w14:textId="77777777" w:rsidR="004D14DA" w:rsidRPr="00066E94" w:rsidRDefault="004D14DA" w:rsidP="004D14DA">
      <w:pPr>
        <w:spacing w:after="0" w:line="240" w:lineRule="auto"/>
        <w:jc w:val="both"/>
        <w:rPr>
          <w:rFonts w:ascii="Verdana" w:eastAsia="Calibri" w:hAnsi="Verdana" w:cs="Arial"/>
          <w:b/>
          <w:bCs/>
          <w:lang w:val="pt-BR" w:eastAsia="es-ES_tradnl"/>
        </w:rPr>
      </w:pPr>
      <w:r w:rsidRPr="00066E94">
        <w:rPr>
          <w:rFonts w:ascii="Verdana" w:eastAsia="Calibri" w:hAnsi="Verdana" w:cs="Arial"/>
          <w:b/>
          <w:bCs/>
          <w:lang w:val="pt-BR" w:eastAsia="es-ES_tradnl"/>
        </w:rPr>
        <w:t>Jessica Lorena</w:t>
      </w:r>
      <w:r>
        <w:rPr>
          <w:rFonts w:ascii="Verdana" w:eastAsia="Calibri" w:hAnsi="Verdana" w:cs="Arial"/>
          <w:b/>
          <w:bCs/>
          <w:lang w:val="pt-BR" w:eastAsia="es-ES_tradnl"/>
        </w:rPr>
        <w:t xml:space="preserve"> </w:t>
      </w:r>
      <w:r w:rsidRPr="008A3751">
        <w:rPr>
          <w:rFonts w:ascii="Verdana" w:eastAsia="Calibri" w:hAnsi="Verdana" w:cs="Arial"/>
          <w:b/>
          <w:bCs/>
          <w:lang w:val="pt-BR" w:eastAsia="es-ES_tradnl"/>
        </w:rPr>
        <w:t>Delgado Baquero</w:t>
      </w:r>
    </w:p>
    <w:p w14:paraId="69409BAA" w14:textId="77777777" w:rsidR="004D14DA" w:rsidRPr="00066E94" w:rsidRDefault="004D14DA" w:rsidP="004D14DA">
      <w:pPr>
        <w:spacing w:after="0" w:line="240" w:lineRule="auto"/>
        <w:jc w:val="both"/>
        <w:rPr>
          <w:rFonts w:ascii="Verdana" w:eastAsia="Calibri" w:hAnsi="Verdana" w:cs="Arial"/>
          <w:lang w:val="pt-BR" w:eastAsia="es-ES_tradnl"/>
        </w:rPr>
      </w:pPr>
      <w:hyperlink r:id="rId8" w:history="1">
        <w:r w:rsidRPr="001F44D5">
          <w:rPr>
            <w:rStyle w:val="Hipervnculo"/>
            <w:rFonts w:ascii="Verdana" w:hAnsi="Verdana"/>
            <w:lang w:val="pt-BR"/>
          </w:rPr>
          <w:t>lorenadelgadob02@gmail.com</w:t>
        </w:r>
      </w:hyperlink>
      <w:r>
        <w:rPr>
          <w:rFonts w:ascii="Verdana" w:hAnsi="Verdana"/>
          <w:lang w:val="pt-BR"/>
        </w:rPr>
        <w:t xml:space="preserve"> </w:t>
      </w:r>
      <w:r w:rsidRPr="00066E94">
        <w:rPr>
          <w:rFonts w:ascii="Verdana" w:hAnsi="Verdana"/>
          <w:lang w:val="pt-BR"/>
        </w:rPr>
        <w:t xml:space="preserve"> </w:t>
      </w:r>
      <w:r w:rsidRPr="00066E94">
        <w:rPr>
          <w:rFonts w:ascii="Verdana" w:eastAsia="Calibri" w:hAnsi="Verdana" w:cs="Arial"/>
          <w:lang w:val="pt-BR" w:eastAsia="es-ES_tradnl"/>
        </w:rPr>
        <w:t xml:space="preserve"> </w:t>
      </w:r>
      <w:hyperlink r:id="rId9" w:history="1"/>
      <w:r w:rsidRPr="00066E94">
        <w:rPr>
          <w:rFonts w:ascii="Verdana" w:eastAsia="Calibri" w:hAnsi="Verdana" w:cs="Arial"/>
          <w:lang w:val="pt-BR" w:eastAsia="es-ES_tradnl"/>
        </w:rPr>
        <w:t xml:space="preserve"> </w:t>
      </w:r>
    </w:p>
    <w:p w14:paraId="6EA0A61E" w14:textId="77777777" w:rsidR="004D14DA" w:rsidRPr="005B7C42" w:rsidRDefault="004D14DA" w:rsidP="004D14DA">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2411B32D" w14:textId="77777777" w:rsidR="004D14DA" w:rsidRPr="005B7C42" w:rsidRDefault="004D14DA" w:rsidP="004D14DA">
      <w:pPr>
        <w:spacing w:after="0" w:line="240" w:lineRule="auto"/>
        <w:rPr>
          <w:rFonts w:ascii="Verdana" w:eastAsia="Calibri" w:hAnsi="Verdana" w:cs="Arial"/>
          <w:lang w:eastAsia="es-ES_tradnl"/>
        </w:rPr>
      </w:pPr>
    </w:p>
    <w:p w14:paraId="56139CF0" w14:textId="77777777" w:rsidR="004D14DA" w:rsidRPr="005B7C42" w:rsidRDefault="004D14DA" w:rsidP="004D14DA">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811</w:t>
      </w:r>
      <w:r w:rsidRPr="005B7C42">
        <w:rPr>
          <w:rFonts w:ascii="Verdana" w:eastAsia="Calibri" w:hAnsi="Verdana" w:cs="Arial"/>
          <w:b/>
          <w:bCs/>
          <w:lang w:eastAsia="es-ES_tradnl"/>
        </w:rPr>
        <w:t xml:space="preserve"> de 2024</w:t>
      </w:r>
    </w:p>
    <w:p w14:paraId="497889FD" w14:textId="77777777" w:rsidR="004D14DA" w:rsidRPr="005B7C42" w:rsidRDefault="004D14DA" w:rsidP="004D14DA">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4D14DA" w:rsidRPr="005B7C42" w14:paraId="028C57D2" w14:textId="77777777" w:rsidTr="004F03A1">
        <w:trPr>
          <w:trHeight w:val="2239"/>
          <w:jc w:val="right"/>
        </w:trPr>
        <w:tc>
          <w:tcPr>
            <w:tcW w:w="2688" w:type="dxa"/>
          </w:tcPr>
          <w:p w14:paraId="305290D8" w14:textId="77777777" w:rsidR="004D14DA" w:rsidRPr="005B7C42" w:rsidRDefault="004D14DA" w:rsidP="004F03A1">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6A8B7174" w14:textId="77777777" w:rsidR="004D14DA" w:rsidRPr="00900D47" w:rsidRDefault="004D14DA" w:rsidP="004F03A1">
            <w:pPr>
              <w:jc w:val="both"/>
              <w:rPr>
                <w:rFonts w:ascii="Verdana" w:eastAsia="Times New Roman" w:hAnsi="Verdana" w:cs="Arial"/>
                <w:highlight w:val="yellow"/>
                <w:lang w:eastAsia="es-ES_tradnl"/>
              </w:rPr>
            </w:pPr>
            <w:r w:rsidRPr="00900D47">
              <w:rPr>
                <w:rFonts w:ascii="Verdana" w:eastAsia="Calibri" w:hAnsi="Verdana" w:cs="Arial"/>
                <w:color w:val="000000"/>
                <w:kern w:val="2"/>
                <w14:ligatures w14:val="standardContextual"/>
              </w:rPr>
              <w:t xml:space="preserve">INHABILIDADES E INCOMPATIBILIDADES – Concepto – Principio de legalidad – Interpretación restrictiva / INHABILIDADES E INCOMPATIBILIDADES – Ley 80 de 1993 – Numeral 2, literal A) – Exservidor público – Niveles directivo, asesor o ejecutivo - Elemento temporal (1) un año / INHABILIDADES E INCOMPATIBILIDADES – Ley 80 de 1993 – Numeral 2, literal F) – Contratación directa e indirecta – Exservidor público – Cargo Directivo – Elemento temporal (2) dos años – Sociedades </w:t>
            </w:r>
            <w:r w:rsidRPr="004D1DC3">
              <w:rPr>
                <w:rFonts w:ascii="Verdana" w:eastAsia="Calibri" w:hAnsi="Verdana" w:cs="Arial"/>
                <w:color w:val="000000"/>
                <w:kern w:val="2"/>
                <w14:ligatures w14:val="standardContextual"/>
              </w:rPr>
              <w:t xml:space="preserve">/ </w:t>
            </w:r>
            <w:r w:rsidRPr="004D1DC3">
              <w:rPr>
                <w:rFonts w:ascii="Verdana" w:hAnsi="Verdana" w:cs="Arial"/>
                <w:lang w:eastAsia="es-ES"/>
              </w:rPr>
              <w:t>INHABILIDADES E INCOMPATIBILIDADES – Aplica parientes - No aplica en sociedades SAS / LEY 1474 DE 2011 – artículo 3 –</w:t>
            </w:r>
            <w:r w:rsidRPr="004D1DC3">
              <w:rPr>
                <w:rFonts w:ascii="Verdana" w:eastAsia="Arial MT" w:hAnsi="Verdana" w:cs="Arial"/>
                <w:lang w:eastAsia="es-ES" w:bidi="es-ES"/>
              </w:rPr>
              <w:t xml:space="preserve"> Pr</w:t>
            </w:r>
            <w:r w:rsidRPr="004D1DC3">
              <w:rPr>
                <w:rFonts w:ascii="Verdana" w:hAnsi="Verdana" w:cs="Arial"/>
                <w:lang w:eastAsia="es-ES"/>
              </w:rPr>
              <w:t>ohibición gestión de intereses privados en exservidores públicos - No limita capacidad jurídica para contratar con el Estado</w:t>
            </w:r>
          </w:p>
        </w:tc>
      </w:tr>
      <w:tr w:rsidR="004D14DA" w:rsidRPr="005B7C42" w14:paraId="73D5DFA6" w14:textId="77777777" w:rsidTr="004F03A1">
        <w:trPr>
          <w:jc w:val="right"/>
        </w:trPr>
        <w:tc>
          <w:tcPr>
            <w:tcW w:w="2688" w:type="dxa"/>
          </w:tcPr>
          <w:p w14:paraId="5D11BD3F" w14:textId="77777777" w:rsidR="004D14DA" w:rsidRPr="005B7C42" w:rsidRDefault="004D14DA" w:rsidP="004F03A1">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0C960F4E" w14:textId="77777777" w:rsidR="004D14DA" w:rsidRPr="005B7C42" w:rsidRDefault="004D14DA" w:rsidP="004F03A1">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600201">
              <w:rPr>
                <w:rFonts w:ascii="Verdana" w:eastAsia="Times New Roman" w:hAnsi="Verdana" w:cs="Arial"/>
                <w:lang w:eastAsia="es-ES_tradnl"/>
              </w:rPr>
              <w:t>P20241101011104</w:t>
            </w:r>
          </w:p>
        </w:tc>
      </w:tr>
    </w:tbl>
    <w:p w14:paraId="6EF1EBF9" w14:textId="77777777" w:rsidR="004D14DA" w:rsidRPr="005B7C42" w:rsidRDefault="004D14DA" w:rsidP="004D14DA">
      <w:pPr>
        <w:spacing w:after="0" w:line="240" w:lineRule="auto"/>
        <w:jc w:val="both"/>
        <w:rPr>
          <w:rFonts w:ascii="Verdana" w:eastAsia="Calibri" w:hAnsi="Verdana" w:cs="Arial"/>
          <w:lang w:eastAsia="es-ES_tradnl"/>
        </w:rPr>
      </w:pPr>
    </w:p>
    <w:p w14:paraId="51F69549" w14:textId="77777777" w:rsidR="004D14DA" w:rsidRPr="005B7C42" w:rsidRDefault="004D14DA" w:rsidP="004D14DA">
      <w:pPr>
        <w:spacing w:after="0" w:line="240" w:lineRule="auto"/>
        <w:jc w:val="both"/>
        <w:rPr>
          <w:rFonts w:ascii="Verdana" w:eastAsia="Calibri" w:hAnsi="Verdana" w:cs="Arial"/>
          <w:lang w:eastAsia="es-ES_tradnl"/>
        </w:rPr>
      </w:pPr>
    </w:p>
    <w:p w14:paraId="7BC9E5A9" w14:textId="77777777" w:rsidR="004D14DA" w:rsidRPr="005B7C42" w:rsidRDefault="004D14DA" w:rsidP="004D14DA">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a</w:t>
      </w:r>
      <w:r w:rsidRPr="005B7C42">
        <w:rPr>
          <w:rFonts w:ascii="Verdana" w:eastAsia="Calibri" w:hAnsi="Verdana" w:cs="Arial"/>
          <w:lang w:eastAsia="es-ES_tradnl"/>
        </w:rPr>
        <w:t xml:space="preserve"> señor</w:t>
      </w:r>
      <w:r>
        <w:rPr>
          <w:rFonts w:ascii="Verdana" w:eastAsia="Calibri" w:hAnsi="Verdana" w:cs="Arial"/>
          <w:lang w:eastAsia="es-ES_tradnl"/>
        </w:rPr>
        <w:t>a</w:t>
      </w:r>
      <w:r w:rsidRPr="005B7C42">
        <w:rPr>
          <w:rFonts w:ascii="Verdana" w:eastAsia="Calibri" w:hAnsi="Verdana" w:cs="Arial"/>
          <w:lang w:eastAsia="es-ES_tradnl"/>
        </w:rPr>
        <w:t xml:space="preserve"> </w:t>
      </w:r>
      <w:r>
        <w:rPr>
          <w:rFonts w:ascii="Verdana" w:eastAsia="Calibri" w:hAnsi="Verdana" w:cs="Arial"/>
          <w:lang w:eastAsia="es-ES_tradnl"/>
        </w:rPr>
        <w:t>Delgado Baquero</w:t>
      </w:r>
      <w:r w:rsidRPr="005B7C42">
        <w:rPr>
          <w:rFonts w:ascii="Verdana" w:eastAsia="Calibri" w:hAnsi="Verdana" w:cs="Arial"/>
          <w:bCs/>
          <w:lang w:eastAsia="es-ES_tradnl"/>
        </w:rPr>
        <w:t>,</w:t>
      </w:r>
    </w:p>
    <w:p w14:paraId="0B7C83ED" w14:textId="77777777" w:rsidR="004D14DA" w:rsidRPr="005B7C42" w:rsidRDefault="004D14DA" w:rsidP="004D14DA">
      <w:pPr>
        <w:spacing w:after="0" w:line="276" w:lineRule="auto"/>
        <w:contextualSpacing/>
        <w:jc w:val="both"/>
        <w:rPr>
          <w:rFonts w:ascii="Verdana" w:eastAsia="Calibri" w:hAnsi="Verdana" w:cs="Arial"/>
          <w:lang w:eastAsia="es-ES_tradnl"/>
        </w:rPr>
      </w:pPr>
    </w:p>
    <w:p w14:paraId="42DDD491" w14:textId="77777777" w:rsidR="004D14DA" w:rsidRPr="005B7C42" w:rsidRDefault="004D14DA" w:rsidP="004D14DA">
      <w:pPr>
        <w:spacing w:line="276" w:lineRule="auto"/>
        <w:jc w:val="both"/>
        <w:rPr>
          <w:rFonts w:ascii="Verdana" w:eastAsia="Calibri" w:hAnsi="Verdana" w:cs="Arial"/>
          <w:lang w:eastAsia="es-ES_tradnl"/>
        </w:rPr>
      </w:pPr>
      <w:r w:rsidRPr="005B7C42">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1</w:t>
      </w:r>
      <w:r w:rsidRPr="005B7C42">
        <w:rPr>
          <w:rFonts w:ascii="Verdana" w:eastAsia="Calibri" w:hAnsi="Verdana" w:cs="Arial"/>
          <w:lang w:eastAsia="es-ES_tradnl"/>
        </w:rPr>
        <w:t xml:space="preserve"> de </w:t>
      </w:r>
      <w:r>
        <w:rPr>
          <w:rFonts w:ascii="Verdana" w:eastAsia="Calibri" w:hAnsi="Verdana" w:cs="Arial"/>
          <w:lang w:eastAsia="es-ES_tradnl"/>
        </w:rPr>
        <w:t>noviembre</w:t>
      </w:r>
      <w:r w:rsidRPr="005B7C42">
        <w:rPr>
          <w:rFonts w:ascii="Verdana" w:eastAsia="Calibri" w:hAnsi="Verdana" w:cs="Arial"/>
          <w:lang w:eastAsia="es-ES_tradnl"/>
        </w:rPr>
        <w:t xml:space="preserve"> de 2024, en la cual consulta lo siguiente: </w:t>
      </w:r>
    </w:p>
    <w:p w14:paraId="5330A4BA" w14:textId="77777777" w:rsidR="004D14DA" w:rsidRPr="005B7C42" w:rsidRDefault="004D14DA" w:rsidP="004D14DA">
      <w:pPr>
        <w:spacing w:after="0" w:line="276" w:lineRule="auto"/>
        <w:jc w:val="both"/>
        <w:rPr>
          <w:rFonts w:ascii="Verdana" w:eastAsia="Calibri" w:hAnsi="Verdana" w:cs="Arial"/>
          <w:lang w:eastAsia="es-ES_tradnl"/>
        </w:rPr>
      </w:pPr>
    </w:p>
    <w:p w14:paraId="0C2C5C8C" w14:textId="77777777" w:rsidR="004D14DA" w:rsidRDefault="004D14DA" w:rsidP="004D14DA">
      <w:pPr>
        <w:spacing w:after="120" w:line="240" w:lineRule="auto"/>
        <w:ind w:left="709" w:right="709"/>
        <w:jc w:val="both"/>
        <w:rPr>
          <w:rFonts w:ascii="Verdana" w:hAnsi="Verdana"/>
          <w:i/>
        </w:rPr>
      </w:pPr>
      <w:r w:rsidRPr="005B7C42">
        <w:rPr>
          <w:rFonts w:ascii="Verdana" w:eastAsia="Times New Roman" w:hAnsi="Verdana" w:cs="Arial"/>
          <w:iCs/>
          <w:sz w:val="20"/>
          <w:szCs w:val="20"/>
          <w:lang w:eastAsia="es-ES_tradnl"/>
        </w:rPr>
        <w:lastRenderedPageBreak/>
        <w:t>“[…]</w:t>
      </w:r>
      <w:r w:rsidRPr="005B7C42">
        <w:rPr>
          <w:rFonts w:ascii="Verdana" w:eastAsia="Times New Roman" w:hAnsi="Verdana" w:cs="Arial"/>
          <w:i/>
          <w:sz w:val="20"/>
          <w:szCs w:val="20"/>
          <w:lang w:eastAsia="es-ES_tradnl"/>
        </w:rPr>
        <w:t xml:space="preserve"> </w:t>
      </w:r>
      <w:r w:rsidRPr="00A310F2">
        <w:rPr>
          <w:rFonts w:ascii="Verdana" w:hAnsi="Verdana"/>
          <w:i/>
        </w:rPr>
        <w:t>¿Existen limitaciones para la contratación directa o indirecta de una persona que ha ocupado un cargo directivo en una entidad pública? En caso afirmativo, ¿cuáles son las restricciones aplicables?</w:t>
      </w:r>
    </w:p>
    <w:p w14:paraId="1CE72CB2" w14:textId="77777777" w:rsidR="004D14DA" w:rsidRPr="00E02D2E" w:rsidRDefault="004D14DA" w:rsidP="004D14DA">
      <w:pPr>
        <w:spacing w:after="120" w:line="240" w:lineRule="auto"/>
        <w:ind w:left="709" w:right="709"/>
        <w:jc w:val="both"/>
        <w:rPr>
          <w:rFonts w:ascii="Verdana" w:hAnsi="Verdana"/>
          <w:i/>
        </w:rPr>
      </w:pPr>
      <w:r w:rsidRPr="00E02D2E">
        <w:rPr>
          <w:rFonts w:ascii="Verdana" w:hAnsi="Verdana"/>
          <w:i/>
        </w:rPr>
        <w:t>¿Cuál es el período exacto durante el cual un ex servidor público está restringido para ofrecer servicios de asistencia, representación o asesoría a entidades o personas sujetas a la inspección, vigilancia, control o regulación de la entidad en la que prestó servicios?</w:t>
      </w:r>
    </w:p>
    <w:p w14:paraId="6BAA673A" w14:textId="77777777" w:rsidR="004D14DA" w:rsidRDefault="004D14DA" w:rsidP="004D14DA">
      <w:pPr>
        <w:spacing w:after="120" w:line="240" w:lineRule="auto"/>
        <w:ind w:left="709" w:right="709"/>
        <w:jc w:val="both"/>
        <w:rPr>
          <w:rFonts w:ascii="Verdana" w:hAnsi="Verdana"/>
          <w:i/>
        </w:rPr>
      </w:pPr>
      <w:r w:rsidRPr="00E02D2E">
        <w:rPr>
          <w:rFonts w:ascii="Verdana" w:hAnsi="Verdana"/>
          <w:i/>
        </w:rPr>
        <w:t>¿El período de restricción de dos años se aplica igualmente a todos los tipos de cargos directivos, o existen diferencias según el nivel del cargo o la naturaleza de la entidad?</w:t>
      </w:r>
    </w:p>
    <w:p w14:paraId="03470F9D" w14:textId="77777777" w:rsidR="004D14DA" w:rsidRDefault="004D14DA" w:rsidP="004D14DA">
      <w:pPr>
        <w:spacing w:after="120" w:line="240" w:lineRule="auto"/>
        <w:ind w:left="709" w:right="709"/>
        <w:jc w:val="both"/>
        <w:rPr>
          <w:rFonts w:ascii="Verdana" w:hAnsi="Verdana"/>
          <w:i/>
        </w:rPr>
      </w:pPr>
      <w:r w:rsidRPr="00696C2B">
        <w:rPr>
          <w:rFonts w:ascii="Verdana" w:hAnsi="Verdana"/>
          <w:i/>
        </w:rPr>
        <w:t>En caso de que existan cambios recientes en la normativa o en las directrices relacionadas con la contratación de ex-directivos de entidades públicas, ¿podrían indicarnos cómo estos cambios afectan las limitaciones y el periodo de restricción mencionados?</w:t>
      </w:r>
    </w:p>
    <w:p w14:paraId="582EB11B" w14:textId="77777777" w:rsidR="004D14DA" w:rsidRDefault="004D14DA" w:rsidP="004D14DA">
      <w:pPr>
        <w:spacing w:after="120" w:line="240" w:lineRule="auto"/>
        <w:ind w:left="709" w:right="709"/>
        <w:jc w:val="both"/>
        <w:rPr>
          <w:rFonts w:ascii="Verdana" w:hAnsi="Verdana"/>
          <w:i/>
        </w:rPr>
      </w:pPr>
      <w:r w:rsidRPr="005737BA">
        <w:rPr>
          <w:rFonts w:ascii="Verdana" w:hAnsi="Verdana"/>
          <w:i/>
        </w:rPr>
        <w:t>En caso de que existan limitaciones para la contratación directa o indirecta de ex-directivos de entidades públicas, ¿qué alternativas de contratación están disponibles para dichas personas? ¿Existen procedimientos específicos que puedan seguirse para permitir su vinculación bajo estas restricciones?</w:t>
      </w:r>
    </w:p>
    <w:p w14:paraId="124D460F" w14:textId="77777777" w:rsidR="004D14DA" w:rsidRPr="00514EA8" w:rsidRDefault="004D14DA" w:rsidP="004D14DA">
      <w:pPr>
        <w:spacing w:after="120" w:line="240" w:lineRule="auto"/>
        <w:ind w:left="709" w:right="709"/>
        <w:jc w:val="both"/>
        <w:rPr>
          <w:rFonts w:ascii="Verdana" w:hAnsi="Verdana"/>
          <w:i/>
        </w:rPr>
      </w:pPr>
      <w:r w:rsidRPr="00514EA8">
        <w:rPr>
          <w:rFonts w:ascii="Verdana" w:hAnsi="Verdana"/>
          <w:i/>
        </w:rPr>
        <w:t>¿Existe algún impedimento para que un ex empleado del nivel directivo sea vinculado a una nueva entidad, mediante nombramiento provisional, contrato de prestación de servicios o convenio?</w:t>
      </w:r>
    </w:p>
    <w:p w14:paraId="3985717C" w14:textId="77777777" w:rsidR="004D14DA" w:rsidRDefault="004D14DA" w:rsidP="004D14DA">
      <w:pPr>
        <w:spacing w:after="120" w:line="240" w:lineRule="auto"/>
        <w:ind w:left="709" w:right="709"/>
        <w:jc w:val="both"/>
        <w:rPr>
          <w:rFonts w:ascii="Verdana" w:hAnsi="Verdana"/>
          <w:i/>
        </w:rPr>
      </w:pPr>
      <w:r w:rsidRPr="00514EA8">
        <w:rPr>
          <w:rFonts w:ascii="Verdana" w:hAnsi="Verdana"/>
          <w:i/>
        </w:rPr>
        <w:t>¿Qué criterios o condiciones deben cumplirse para que una persona que ha ocupado un cargo directivo en una entidad pública pueda ser contratada en una entidad distinta sin infringir las normativas?</w:t>
      </w:r>
    </w:p>
    <w:p w14:paraId="4F5F7930" w14:textId="77777777" w:rsidR="004D14DA" w:rsidRDefault="004D14DA" w:rsidP="004D14DA">
      <w:pPr>
        <w:spacing w:after="120" w:line="240" w:lineRule="auto"/>
        <w:ind w:left="709" w:right="709"/>
        <w:jc w:val="both"/>
        <w:rPr>
          <w:rFonts w:ascii="Verdana" w:hAnsi="Verdana"/>
          <w:i/>
        </w:rPr>
      </w:pPr>
      <w:r w:rsidRPr="00F91BA7">
        <w:rPr>
          <w:rFonts w:ascii="Verdana" w:hAnsi="Verdana"/>
          <w:i/>
        </w:rPr>
        <w:t>¿Qué documentación o certificaciones son necesarias para demostrar el cumplimiento con las restricciones legales y evitar posibles conflictos de interés durante el proceso de contratación de un ex-directivo?</w:t>
      </w:r>
    </w:p>
    <w:p w14:paraId="1CB909CB" w14:textId="77777777" w:rsidR="004D14DA" w:rsidRDefault="004D14DA" w:rsidP="004D14DA">
      <w:pPr>
        <w:spacing w:after="120" w:line="240" w:lineRule="auto"/>
        <w:ind w:left="709" w:right="709"/>
        <w:jc w:val="both"/>
        <w:rPr>
          <w:rFonts w:ascii="Verdana" w:hAnsi="Verdana"/>
          <w:i/>
        </w:rPr>
      </w:pPr>
      <w:r w:rsidRPr="00B31319">
        <w:rPr>
          <w:rFonts w:ascii="Verdana" w:hAnsi="Verdana"/>
          <w:i/>
        </w:rPr>
        <w:t>¿Qué sanciones o consecuencias están previstas en caso de incumplimiento de las normativas relacionadas con la contratación de ex-directivos?</w:t>
      </w:r>
    </w:p>
    <w:p w14:paraId="01B9850B" w14:textId="77777777" w:rsidR="004D14DA" w:rsidRPr="0085372C" w:rsidRDefault="004D14DA" w:rsidP="004D14DA">
      <w:pPr>
        <w:spacing w:after="120" w:line="240" w:lineRule="auto"/>
        <w:ind w:left="709" w:right="709"/>
        <w:jc w:val="both"/>
        <w:rPr>
          <w:rFonts w:ascii="Verdana" w:hAnsi="Verdana"/>
          <w:i/>
        </w:rPr>
      </w:pPr>
      <w:r w:rsidRPr="0085372C">
        <w:rPr>
          <w:rFonts w:ascii="Verdana" w:hAnsi="Verdana"/>
          <w:i/>
        </w:rPr>
        <w:t>¿La prohibición establecida en el Artículo 3 de la Ley 1474 de 2011 para prestar servicios de asistencia, representación o asesoría se aplica únicamente a los asuntos directamente relacionados con las funciones del cargo desempeñado o se extiende a otras áreas de la entidad?</w:t>
      </w:r>
    </w:p>
    <w:p w14:paraId="4531B7BC" w14:textId="77777777" w:rsidR="004D14DA" w:rsidRPr="005B7C42" w:rsidRDefault="004D14DA" w:rsidP="004D14DA">
      <w:pPr>
        <w:spacing w:after="120" w:line="240" w:lineRule="auto"/>
        <w:ind w:left="709" w:right="709"/>
        <w:jc w:val="both"/>
        <w:rPr>
          <w:rFonts w:ascii="Verdana" w:eastAsia="Times New Roman" w:hAnsi="Verdana" w:cs="Arial"/>
          <w:i/>
          <w:sz w:val="20"/>
          <w:szCs w:val="20"/>
          <w:lang w:eastAsia="es-ES_tradnl"/>
        </w:rPr>
      </w:pPr>
      <w:r w:rsidRPr="0085372C">
        <w:rPr>
          <w:rFonts w:ascii="Verdana" w:hAnsi="Verdana"/>
          <w:i/>
        </w:rPr>
        <w:lastRenderedPageBreak/>
        <w:t>¿Cómo se determina si un asunto está relacionado con las funciones propias del cargo del ex servidor público según el Artículo 3 de la Ley 1474 de 2011?</w:t>
      </w:r>
      <w:r w:rsidRPr="005B7C42">
        <w:rPr>
          <w:rFonts w:ascii="Verdana" w:eastAsia="Times New Roman" w:hAnsi="Verdana" w:cs="Arial"/>
          <w:iCs/>
          <w:sz w:val="20"/>
          <w:szCs w:val="20"/>
          <w:lang w:eastAsia="es-ES_tradnl"/>
        </w:rPr>
        <w:t>” [SIC].</w:t>
      </w:r>
    </w:p>
    <w:p w14:paraId="1F627EBE" w14:textId="77777777" w:rsidR="004D14DA" w:rsidRPr="005B7C42" w:rsidRDefault="004D14DA" w:rsidP="004D14DA">
      <w:pPr>
        <w:spacing w:after="120" w:line="240" w:lineRule="auto"/>
        <w:ind w:left="709" w:right="709"/>
        <w:jc w:val="both"/>
        <w:rPr>
          <w:rFonts w:ascii="Verdana" w:eastAsia="Times New Roman" w:hAnsi="Verdana" w:cs="Arial"/>
          <w:i/>
          <w:lang w:eastAsia="es-ES_tradnl"/>
        </w:rPr>
      </w:pPr>
    </w:p>
    <w:p w14:paraId="20A50888" w14:textId="77777777" w:rsidR="004D14DA" w:rsidRPr="005B7C42" w:rsidRDefault="004D14DA" w:rsidP="004D14DA">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76450426" w14:textId="77777777" w:rsidR="004D14DA" w:rsidRPr="005B7C42" w:rsidRDefault="004D14DA" w:rsidP="004D14DA">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haciendo unas consideraciones sobre las normas generales relacionadas con el problema jurídico de su consulta. </w:t>
      </w:r>
    </w:p>
    <w:p w14:paraId="50BD0F3A" w14:textId="77777777" w:rsidR="004D14DA" w:rsidRPr="005B7C42" w:rsidRDefault="004D14DA" w:rsidP="004D14DA">
      <w:pPr>
        <w:spacing w:after="0" w:line="276" w:lineRule="auto"/>
        <w:contextualSpacing/>
        <w:jc w:val="both"/>
        <w:rPr>
          <w:rFonts w:ascii="Verdana" w:eastAsia="Times New Roman" w:hAnsi="Verdana" w:cs="Arial"/>
          <w:szCs w:val="24"/>
          <w:lang w:eastAsia="es-ES_tradnl"/>
        </w:rPr>
      </w:pPr>
    </w:p>
    <w:p w14:paraId="7FFE13C9" w14:textId="77777777" w:rsidR="004D14DA" w:rsidRPr="005B7C42" w:rsidRDefault="004D14DA" w:rsidP="004D14DA">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5149FF8D" w14:textId="77777777" w:rsidR="004D14DA" w:rsidRPr="005B7C42" w:rsidRDefault="004D14DA" w:rsidP="004D14DA">
      <w:pPr>
        <w:tabs>
          <w:tab w:val="left" w:pos="0"/>
          <w:tab w:val="left" w:pos="284"/>
        </w:tabs>
        <w:spacing w:after="0" w:line="276" w:lineRule="auto"/>
        <w:contextualSpacing/>
        <w:jc w:val="both"/>
        <w:rPr>
          <w:rFonts w:ascii="Verdana" w:eastAsia="Calibri" w:hAnsi="Verdana" w:cs="Arial"/>
          <w:b/>
        </w:rPr>
      </w:pPr>
    </w:p>
    <w:p w14:paraId="1EDDB60B" w14:textId="77777777" w:rsidR="004D14DA" w:rsidRDefault="004D14DA" w:rsidP="004D14DA">
      <w:pPr>
        <w:spacing w:after="0" w:line="276" w:lineRule="auto"/>
        <w:jc w:val="both"/>
        <w:rPr>
          <w:rFonts w:ascii="Verdana" w:hAnsi="Verdana"/>
        </w:rPr>
      </w:pPr>
      <w:r>
        <w:rPr>
          <w:rFonts w:ascii="Verdana" w:hAnsi="Verdana"/>
        </w:rPr>
        <w:t>Revisados los interrogantes, esta Subdirección propone los siguientes problemas jurídicos a saber:</w:t>
      </w:r>
    </w:p>
    <w:p w14:paraId="3A9D741A" w14:textId="77777777" w:rsidR="004D14DA" w:rsidRDefault="004D14DA" w:rsidP="004D14DA">
      <w:pPr>
        <w:spacing w:after="0" w:line="276" w:lineRule="auto"/>
        <w:jc w:val="both"/>
        <w:rPr>
          <w:rFonts w:ascii="Verdana" w:hAnsi="Verdana"/>
        </w:rPr>
      </w:pPr>
    </w:p>
    <w:p w14:paraId="457BD473" w14:textId="77777777" w:rsidR="004D14DA" w:rsidRPr="005C1B0F" w:rsidRDefault="004D14DA" w:rsidP="004D14DA">
      <w:pPr>
        <w:spacing w:after="0" w:line="276" w:lineRule="auto"/>
        <w:jc w:val="both"/>
        <w:rPr>
          <w:rFonts w:ascii="Verdana" w:hAnsi="Verdana"/>
        </w:rPr>
      </w:pPr>
      <w:r w:rsidRPr="005C1B0F">
        <w:rPr>
          <w:rFonts w:ascii="Verdana" w:hAnsi="Verdana"/>
        </w:rPr>
        <w:t>1.</w:t>
      </w:r>
      <w:r>
        <w:rPr>
          <w:rFonts w:ascii="Verdana" w:hAnsi="Verdana"/>
        </w:rPr>
        <w:t xml:space="preserve"> </w:t>
      </w:r>
      <w:r w:rsidRPr="005C1B0F">
        <w:rPr>
          <w:rFonts w:ascii="Verdana" w:hAnsi="Verdana"/>
        </w:rPr>
        <w:t>De conformidad con el régimen de inhabilidades e incompatibilidades vigente que impera en la actividad contractual de las entidades públicas, ¿Existe alguna que limite la capacidad jurídica de las personas que ostenten la condición de exservidores públicos y que hubiesen ejercido cargos directivos en determinadas entidades públicas? En caso de que existan, ¿Cuál es el alcance y ámbito de aplicación de dichas causales de inhabilidad e incompatibilidad?</w:t>
      </w:r>
    </w:p>
    <w:p w14:paraId="3A9212CC" w14:textId="77777777" w:rsidR="004D14DA" w:rsidRDefault="004D14DA" w:rsidP="004D14DA">
      <w:pPr>
        <w:spacing w:after="0" w:line="276" w:lineRule="auto"/>
        <w:jc w:val="both"/>
        <w:rPr>
          <w:rFonts w:ascii="Verdana" w:hAnsi="Verdana"/>
        </w:rPr>
      </w:pPr>
    </w:p>
    <w:p w14:paraId="10E7FFD8" w14:textId="77777777" w:rsidR="004D14DA" w:rsidRPr="005B7C42" w:rsidRDefault="004D14DA" w:rsidP="004D14DA">
      <w:pPr>
        <w:spacing w:after="0" w:line="276" w:lineRule="auto"/>
        <w:jc w:val="both"/>
        <w:rPr>
          <w:rFonts w:ascii="Verdana" w:hAnsi="Verdana"/>
        </w:rPr>
      </w:pPr>
      <w:r>
        <w:rPr>
          <w:rFonts w:ascii="Verdana" w:hAnsi="Verdana"/>
        </w:rPr>
        <w:t>2. ¿Cuál es el alcance y ámbito de aplicación del artículo 3 de la Ley 1474 de 2011 en materia de contratación estatal?</w:t>
      </w:r>
    </w:p>
    <w:p w14:paraId="2F4EABE1" w14:textId="77777777" w:rsidR="004D14DA" w:rsidRPr="005B7C42" w:rsidRDefault="004D14DA" w:rsidP="004D14DA">
      <w:pPr>
        <w:spacing w:after="0" w:line="276" w:lineRule="auto"/>
        <w:jc w:val="both"/>
        <w:rPr>
          <w:rFonts w:ascii="Verdana" w:hAnsi="Verdana"/>
        </w:rPr>
      </w:pPr>
    </w:p>
    <w:p w14:paraId="7824A93B" w14:textId="77777777" w:rsidR="004D14DA" w:rsidRPr="005B7C42" w:rsidRDefault="004D14DA" w:rsidP="004D14DA">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317D3C1D" w14:textId="77777777" w:rsidR="004D14DA" w:rsidRPr="005B7C42" w:rsidRDefault="004D14DA" w:rsidP="004D14DA">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D14DA" w:rsidRPr="005B7C42" w14:paraId="00BE4239" w14:textId="77777777" w:rsidTr="004F03A1">
        <w:tc>
          <w:tcPr>
            <w:tcW w:w="8828" w:type="dxa"/>
            <w:shd w:val="clear" w:color="auto" w:fill="auto"/>
          </w:tcPr>
          <w:p w14:paraId="2C77EBCB" w14:textId="77777777" w:rsidR="004D14DA"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t>En atención a lo dispuesto en el literal a) del numeral 2 del artículo 8 de la Ley 80 de 1993 se configura incompatibilidad para contratar con una entidad determinada en quienes fueron miembros de junta o consejo directivo, así como en los exservidores públicos de los niveles directivo, asesor o ejecutivo. Esta restricción a la capacidad rige únicamente respecto de la entidad contratante a la que estuvo vinculado el respectivo miembro de junta o servidor, durante el año siguiente a la fecha de retiro.</w:t>
            </w:r>
          </w:p>
          <w:p w14:paraId="0F9D9A9F" w14:textId="77777777" w:rsidR="004D14DA" w:rsidRDefault="004D14DA" w:rsidP="004F03A1">
            <w:pPr>
              <w:spacing w:line="276" w:lineRule="auto"/>
              <w:jc w:val="both"/>
              <w:rPr>
                <w:rFonts w:ascii="Verdana" w:eastAsia="Arial MT" w:hAnsi="Verdana" w:cs="Arial"/>
                <w:lang w:eastAsia="es-ES" w:bidi="es-ES"/>
              </w:rPr>
            </w:pPr>
          </w:p>
          <w:p w14:paraId="2C41915E" w14:textId="77777777" w:rsidR="004D14DA"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t>Por otro lado, de conformidad con el literal f) del numeral 2 del artículo 8 de la Ley 80 de 1993, adicionado por el artículo 4 de la Ley 1474 de 2011, se configura incompatibilidad de manera directa en las personas naturales que ejercieron cargos del nivel directivo en entidades del Estado, y, de manera indirecta, en las sociedades a las que se encuentren vinculados dichos exservidores públicos, a cualquier título. La restricción a la capacidad contractual que deviene de esta causal aplica solo respecto de</w:t>
            </w:r>
            <w:r w:rsidRPr="00867319">
              <w:rPr>
                <w:rFonts w:ascii="Verdana" w:eastAsia="Arial MT" w:hAnsi="Verdana" w:cs="Arial"/>
                <w:lang w:eastAsia="es-ES" w:bidi="es-ES"/>
              </w:rPr>
              <w:t xml:space="preserve"> objeto</w:t>
            </w:r>
            <w:r>
              <w:rPr>
                <w:rFonts w:ascii="Verdana" w:eastAsia="Arial MT" w:hAnsi="Verdana" w:cs="Arial"/>
                <w:lang w:eastAsia="es-ES" w:bidi="es-ES"/>
              </w:rPr>
              <w:t>s contractuales</w:t>
            </w:r>
            <w:r w:rsidRPr="00867319">
              <w:rPr>
                <w:rFonts w:ascii="Verdana" w:eastAsia="Arial MT" w:hAnsi="Verdana" w:cs="Arial"/>
                <w:lang w:eastAsia="es-ES" w:bidi="es-ES"/>
              </w:rPr>
              <w:t xml:space="preserve"> que desarrollen</w:t>
            </w:r>
            <w:r>
              <w:rPr>
                <w:rFonts w:ascii="Verdana" w:eastAsia="Arial MT" w:hAnsi="Verdana" w:cs="Arial"/>
                <w:lang w:eastAsia="es-ES" w:bidi="es-ES"/>
              </w:rPr>
              <w:t xml:space="preserve"> y</w:t>
            </w:r>
            <w:r w:rsidRPr="00867319">
              <w:rPr>
                <w:rFonts w:ascii="Verdana" w:eastAsia="Arial MT" w:hAnsi="Verdana" w:cs="Arial"/>
                <w:lang w:eastAsia="es-ES" w:bidi="es-ES"/>
              </w:rPr>
              <w:t xml:space="preserve"> tenga relación con el sector al cual</w:t>
            </w:r>
            <w:r>
              <w:rPr>
                <w:rFonts w:ascii="Verdana" w:eastAsia="Arial MT" w:hAnsi="Verdana" w:cs="Arial"/>
                <w:lang w:eastAsia="es-ES" w:bidi="es-ES"/>
              </w:rPr>
              <w:t xml:space="preserve"> el ex funcionario del nivel directivo </w:t>
            </w:r>
            <w:r w:rsidRPr="00867319">
              <w:rPr>
                <w:rFonts w:ascii="Verdana" w:eastAsia="Arial MT" w:hAnsi="Verdana" w:cs="Arial"/>
                <w:lang w:eastAsia="es-ES" w:bidi="es-ES"/>
              </w:rPr>
              <w:t>prest</w:t>
            </w:r>
            <w:r>
              <w:rPr>
                <w:rFonts w:ascii="Verdana" w:eastAsia="Arial MT" w:hAnsi="Verdana" w:cs="Arial"/>
                <w:lang w:eastAsia="es-ES" w:bidi="es-ES"/>
              </w:rPr>
              <w:t>ó</w:t>
            </w:r>
            <w:r w:rsidRPr="00867319">
              <w:rPr>
                <w:rFonts w:ascii="Verdana" w:eastAsia="Arial MT" w:hAnsi="Verdana" w:cs="Arial"/>
                <w:lang w:eastAsia="es-ES" w:bidi="es-ES"/>
              </w:rPr>
              <w:t xml:space="preserve"> sus servicios</w:t>
            </w:r>
            <w:r>
              <w:rPr>
                <w:rFonts w:ascii="Verdana" w:eastAsia="Arial MT" w:hAnsi="Verdana" w:cs="Arial"/>
                <w:lang w:eastAsia="es-ES" w:bidi="es-ES"/>
              </w:rPr>
              <w:t xml:space="preserve"> y se extenderá durante los dos años siguientes a su retiro. </w:t>
            </w:r>
          </w:p>
          <w:p w14:paraId="6A728130" w14:textId="77777777" w:rsidR="004D14DA"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  </w:t>
            </w:r>
          </w:p>
          <w:p w14:paraId="45D2F790" w14:textId="77777777" w:rsidR="004D14DA"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t>Adicionalmente, por expresa disposición del literal f) del artículo 8, numeral 2 de la Ley 80 de 1993, esta incompatibilidad también se extiende a</w:t>
            </w:r>
            <w:r w:rsidRPr="002A4999">
              <w:rPr>
                <w:rFonts w:ascii="Verdana" w:eastAsia="Arial MT" w:hAnsi="Verdana" w:cs="Arial"/>
                <w:lang w:eastAsia="es-ES" w:bidi="es-ES"/>
              </w:rPr>
              <w:t xml:space="preserve"> las personas</w:t>
            </w:r>
            <w:r>
              <w:rPr>
                <w:rFonts w:ascii="Verdana" w:eastAsia="Arial MT" w:hAnsi="Verdana" w:cs="Arial"/>
                <w:lang w:eastAsia="es-ES" w:bidi="es-ES"/>
              </w:rPr>
              <w:t xml:space="preserve"> naturales</w:t>
            </w:r>
            <w:r w:rsidRPr="002A4999">
              <w:rPr>
                <w:rFonts w:ascii="Verdana" w:eastAsia="Arial MT" w:hAnsi="Verdana" w:cs="Arial"/>
                <w:lang w:eastAsia="es-ES" w:bidi="es-ES"/>
              </w:rPr>
              <w:t xml:space="preserve"> que se encuentren dentro del primer grado de consanguinidad, primero de afinidad, o primero civil del exempleado público</w:t>
            </w:r>
            <w:r>
              <w:rPr>
                <w:rFonts w:ascii="Verdana" w:eastAsia="Arial MT" w:hAnsi="Verdana" w:cs="Arial"/>
                <w:lang w:eastAsia="es-ES" w:bidi="es-ES"/>
              </w:rPr>
              <w:t xml:space="preserve">.  Esto significa que personas con dicho tipo de vínculos con el exfuncionario del nivel directivo, tampoco podrán celebrar contratos estatales con objetos relacionados el sector donde este haya trabajado, hasta pasados dos años de su retiro del servicio. </w:t>
            </w:r>
          </w:p>
          <w:p w14:paraId="49702315" w14:textId="77777777" w:rsidR="004D14DA" w:rsidRDefault="004D14DA" w:rsidP="004F03A1">
            <w:pPr>
              <w:spacing w:line="276" w:lineRule="auto"/>
              <w:jc w:val="both"/>
              <w:rPr>
                <w:rFonts w:ascii="Verdana" w:eastAsia="Arial MT" w:hAnsi="Verdana" w:cs="Arial"/>
                <w:lang w:eastAsia="es-ES" w:bidi="es-ES"/>
              </w:rPr>
            </w:pPr>
          </w:p>
          <w:p w14:paraId="6DFEB950" w14:textId="77777777" w:rsidR="004D14DA"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t>Así mismo, es necesario destacar que el régimen de inhabilidades e incompatibilidades no establece una excepción particular en relación con modalidades de selección o tipologías contractuales que evite la configuración de las causales expuestas en el EGCAP, de manera que aquellas se aplican en la medida en que el supuesto fáctico concreto se adecue a la descripción que hace cada causal consagrada en la norma. Incluso, el parágrafo tercero del artículo 8 de la Ley 80 de 1993 aclara que l</w:t>
            </w:r>
            <w:r w:rsidRPr="005C1B0F">
              <w:rPr>
                <w:rFonts w:ascii="Verdana" w:eastAsia="Arial MT" w:hAnsi="Verdana" w:cs="Arial"/>
                <w:lang w:eastAsia="es-ES" w:bidi="es-ES"/>
              </w:rPr>
              <w:t xml:space="preserve">as inhabilidades e incompatibilidades </w:t>
            </w:r>
            <w:r>
              <w:rPr>
                <w:rFonts w:ascii="Verdana" w:eastAsia="Arial MT" w:hAnsi="Verdana" w:cs="Arial"/>
                <w:lang w:eastAsia="es-ES" w:bidi="es-ES"/>
              </w:rPr>
              <w:t>allí señaladas</w:t>
            </w:r>
            <w:r w:rsidRPr="005C1B0F">
              <w:rPr>
                <w:rFonts w:ascii="Verdana" w:eastAsia="Arial MT" w:hAnsi="Verdana" w:cs="Arial"/>
                <w:lang w:eastAsia="es-ES" w:bidi="es-ES"/>
              </w:rPr>
              <w:t xml:space="preserve"> se aplicarán a cualquier proceso de contratación privada en el que se comprometan recursos públicos. </w:t>
            </w:r>
          </w:p>
          <w:p w14:paraId="60182659" w14:textId="77777777" w:rsidR="004D14DA"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 xml:space="preserve">  </w:t>
            </w:r>
          </w:p>
          <w:p w14:paraId="198420F1" w14:textId="77777777" w:rsidR="004D14DA"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t>En todo caso, corresponde a la entidad estatal contratante determinar en cada caso concreto si se cumplen o no los supuestos de hecho y condiciones que dan lugar a la configuración de las referidas incompatibilidades y establecer los mecanismos que empleará para realizar la debida verificación, so pena de las consecuencias propias que pueden generarse producto de la omisión a los deberes en cabeza de los servidores públicos hallados responsables por las autoridades competentes en materia penal, fiscal y disciplinaria.</w:t>
            </w:r>
          </w:p>
          <w:p w14:paraId="7CF073A5" w14:textId="77777777" w:rsidR="004D14DA" w:rsidRDefault="004D14DA" w:rsidP="004F03A1">
            <w:pPr>
              <w:spacing w:line="276" w:lineRule="auto"/>
              <w:jc w:val="both"/>
              <w:rPr>
                <w:rFonts w:ascii="Verdana" w:eastAsia="Arial MT" w:hAnsi="Verdana" w:cs="Arial"/>
                <w:lang w:eastAsia="es-ES" w:bidi="es-ES"/>
              </w:rPr>
            </w:pPr>
          </w:p>
          <w:p w14:paraId="2F9186B1" w14:textId="77777777" w:rsidR="004D14DA"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2. Frente al alcance y ámbito de aplicación del artículo 3 de la Ley 1474 de 2011, es importante señalar que esta Subdirección solo tiene competencia para absolver consultas </w:t>
            </w:r>
            <w:r w:rsidRPr="00B177C6">
              <w:rPr>
                <w:rFonts w:ascii="Verdana" w:eastAsia="Arial MT" w:hAnsi="Verdana" w:cs="Arial"/>
                <w:lang w:eastAsia="es-ES" w:bidi="es-ES"/>
              </w:rPr>
              <w:t>sobre la aplicación de normas de carácter general en materia de compras y contratación pública</w:t>
            </w:r>
            <w:r>
              <w:rPr>
                <w:rFonts w:ascii="Verdana" w:eastAsia="Arial MT" w:hAnsi="Verdana" w:cs="Arial"/>
                <w:lang w:eastAsia="es-ES" w:bidi="es-ES"/>
              </w:rPr>
              <w:t xml:space="preserve">. En consecuencia, al revisar el contenido de la norma en cita se advierte que aquella pretende proscribir la gestión de intereses privados en los exservidores públicos, más no se orienta a limitar la capacidad jurídica de las personas para contratar con el Estado. Materia esta de la que sí se ocupa el artículo 4 del mismo cuerpo normativo, y que justamente incorpora la incompatibilidad explicada en la respuesta al primer punto de la presente consulta, consagrada en el </w:t>
            </w:r>
            <w:r w:rsidRPr="005129B6">
              <w:rPr>
                <w:rFonts w:ascii="Verdana" w:eastAsia="Arial MT" w:hAnsi="Verdana" w:cs="Arial"/>
                <w:lang w:eastAsia="es-ES" w:bidi="es-ES"/>
              </w:rPr>
              <w:t>literal f) al numeral 2 del artículo 8° de la Ley 80 de 1993</w:t>
            </w:r>
            <w:r>
              <w:rPr>
                <w:rFonts w:ascii="Verdana" w:eastAsia="Arial MT" w:hAnsi="Verdana" w:cs="Arial"/>
                <w:lang w:eastAsia="es-ES" w:bidi="es-ES"/>
              </w:rPr>
              <w:t>.</w:t>
            </w:r>
          </w:p>
          <w:p w14:paraId="7CE8F09D" w14:textId="77777777" w:rsidR="004D14DA" w:rsidRDefault="004D14DA" w:rsidP="004F03A1">
            <w:pPr>
              <w:spacing w:line="276" w:lineRule="auto"/>
              <w:jc w:val="both"/>
              <w:rPr>
                <w:rFonts w:ascii="Verdana" w:eastAsia="Arial MT" w:hAnsi="Verdana" w:cs="Arial"/>
                <w:lang w:eastAsia="es-ES" w:bidi="es-ES"/>
              </w:rPr>
            </w:pPr>
          </w:p>
          <w:p w14:paraId="0F63BFB5" w14:textId="77777777" w:rsidR="004D14DA" w:rsidRPr="005B7C42" w:rsidRDefault="004D14DA" w:rsidP="004F03A1">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No obstante, le invitamos a consultar el Concepto </w:t>
            </w:r>
            <w:r w:rsidRPr="001F7D25">
              <w:rPr>
                <w:rFonts w:ascii="Verdana" w:eastAsia="Arial MT" w:hAnsi="Verdana" w:cs="Arial"/>
                <w:lang w:eastAsia="es-ES" w:bidi="es-ES"/>
              </w:rPr>
              <w:t>48991 de 2020 Departamento Administrativo de la Función Pública</w:t>
            </w:r>
            <w:r>
              <w:rPr>
                <w:rFonts w:ascii="Verdana" w:eastAsia="Arial MT" w:hAnsi="Verdana" w:cs="Arial"/>
                <w:lang w:eastAsia="es-ES" w:bidi="es-ES"/>
              </w:rPr>
              <w:t xml:space="preserve"> – DAFP en el cual expone la interpretación general sobre la norma en comento.</w:t>
            </w:r>
          </w:p>
        </w:tc>
      </w:tr>
    </w:tbl>
    <w:p w14:paraId="1DFF326A" w14:textId="77777777" w:rsidR="004D14DA" w:rsidRPr="005B7C42" w:rsidRDefault="004D14DA" w:rsidP="004D14DA">
      <w:pPr>
        <w:spacing w:after="0" w:line="276" w:lineRule="auto"/>
        <w:contextualSpacing/>
        <w:jc w:val="both"/>
        <w:rPr>
          <w:rFonts w:ascii="Verdana" w:eastAsia="Times New Roman" w:hAnsi="Verdana" w:cs="Arial"/>
          <w:lang w:eastAsia="es-ES_tradnl"/>
        </w:rPr>
      </w:pPr>
    </w:p>
    <w:p w14:paraId="623DDEB4" w14:textId="77777777" w:rsidR="004D14DA" w:rsidRPr="005B7C42" w:rsidRDefault="004D14DA" w:rsidP="004D14D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7A958EB1" w14:textId="77777777" w:rsidR="004D14DA" w:rsidRPr="005B7C42" w:rsidRDefault="004D14DA" w:rsidP="004D14DA">
      <w:pPr>
        <w:spacing w:after="0" w:line="276" w:lineRule="auto"/>
        <w:jc w:val="both"/>
        <w:rPr>
          <w:rFonts w:ascii="Verdana" w:eastAsia="Calibri" w:hAnsi="Verdana" w:cs="Arial"/>
          <w:color w:val="7030A0"/>
        </w:rPr>
      </w:pPr>
    </w:p>
    <w:p w14:paraId="56902904" w14:textId="77777777" w:rsidR="004D14DA" w:rsidRPr="005B7C42" w:rsidRDefault="004D14DA" w:rsidP="004D14DA">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73825D16" w14:textId="77777777" w:rsidR="004D14DA" w:rsidRPr="00882C14" w:rsidRDefault="004D14DA" w:rsidP="004D14DA">
      <w:pPr>
        <w:spacing w:after="0" w:line="276" w:lineRule="auto"/>
        <w:jc w:val="both"/>
        <w:rPr>
          <w:rFonts w:ascii="Verdana" w:eastAsia="Calibri" w:hAnsi="Verdana" w:cs="Arial"/>
        </w:rPr>
      </w:pPr>
    </w:p>
    <w:p w14:paraId="6B39FEA4" w14:textId="77777777" w:rsidR="004D14DA" w:rsidRPr="00BE151B" w:rsidRDefault="004D14DA" w:rsidP="004D14DA">
      <w:pPr>
        <w:widowControl w:val="0"/>
        <w:autoSpaceDE w:val="0"/>
        <w:autoSpaceDN w:val="0"/>
        <w:spacing w:after="0" w:line="276" w:lineRule="auto"/>
        <w:ind w:right="68"/>
        <w:jc w:val="both"/>
        <w:rPr>
          <w:rFonts w:ascii="Verdana" w:eastAsia="Arial MT" w:hAnsi="Verdana" w:cs="Arial"/>
          <w:u w:val="single"/>
        </w:rPr>
      </w:pPr>
      <w:r w:rsidRPr="00BE151B">
        <w:rPr>
          <w:rFonts w:ascii="Verdana" w:eastAsia="Arial MT" w:hAnsi="Verdana" w:cs="Arial"/>
        </w:rPr>
        <w:t>El régimen de inhabilidades e incompatibilidades en la contratación pública</w:t>
      </w:r>
      <w:r w:rsidRPr="00BE151B">
        <w:rPr>
          <w:rFonts w:ascii="Verdana" w:eastAsia="Arial MT" w:hAnsi="Verdana" w:cs="Arial"/>
          <w:spacing w:val="1"/>
        </w:rPr>
        <w:t xml:space="preserve"> </w:t>
      </w:r>
      <w:r w:rsidRPr="00BE151B">
        <w:rPr>
          <w:rFonts w:ascii="Verdana" w:eastAsia="Arial MT" w:hAnsi="Verdana" w:cs="Arial"/>
        </w:rPr>
        <w:t xml:space="preserve">responde al propósito de asegurar que la actividad de adquisición y provisión de </w:t>
      </w:r>
      <w:r w:rsidRPr="00BE151B">
        <w:rPr>
          <w:rFonts w:ascii="Verdana" w:eastAsia="Arial MT" w:hAnsi="Verdana" w:cs="Arial"/>
          <w:spacing w:val="1"/>
        </w:rPr>
        <w:t>bienes</w:t>
      </w:r>
      <w:r w:rsidRPr="00BE151B">
        <w:rPr>
          <w:rFonts w:ascii="Verdana" w:eastAsia="Arial MT" w:hAnsi="Verdana" w:cs="Arial"/>
        </w:rPr>
        <w:t xml:space="preserve"> y servicios por parte de las entidades estatales se efectúe cumpliendo con los</w:t>
      </w:r>
      <w:r w:rsidRPr="00BE151B">
        <w:rPr>
          <w:rFonts w:ascii="Verdana" w:eastAsia="Arial MT" w:hAnsi="Verdana" w:cs="Arial"/>
          <w:spacing w:val="1"/>
        </w:rPr>
        <w:t xml:space="preserve"> </w:t>
      </w:r>
      <w:r w:rsidRPr="00BE151B">
        <w:rPr>
          <w:rFonts w:ascii="Verdana" w:eastAsia="Arial MT" w:hAnsi="Verdana" w:cs="Arial"/>
        </w:rPr>
        <w:t>principios</w:t>
      </w:r>
      <w:r w:rsidRPr="00BE151B">
        <w:rPr>
          <w:rFonts w:ascii="Verdana" w:eastAsia="Arial MT" w:hAnsi="Verdana" w:cs="Arial"/>
          <w:spacing w:val="-11"/>
        </w:rPr>
        <w:t xml:space="preserve"> </w:t>
      </w:r>
      <w:r w:rsidRPr="00BE151B">
        <w:rPr>
          <w:rFonts w:ascii="Verdana" w:eastAsia="Arial MT" w:hAnsi="Verdana" w:cs="Arial"/>
        </w:rPr>
        <w:t>de</w:t>
      </w:r>
      <w:r w:rsidRPr="00BE151B">
        <w:rPr>
          <w:rFonts w:ascii="Verdana" w:eastAsia="Arial MT" w:hAnsi="Verdana" w:cs="Arial"/>
          <w:spacing w:val="-11"/>
        </w:rPr>
        <w:t xml:space="preserve"> </w:t>
      </w:r>
      <w:r w:rsidRPr="00BE151B">
        <w:rPr>
          <w:rFonts w:ascii="Verdana" w:eastAsia="Arial MT" w:hAnsi="Verdana" w:cs="Arial"/>
        </w:rPr>
        <w:t>la</w:t>
      </w:r>
      <w:r w:rsidRPr="00BE151B">
        <w:rPr>
          <w:rFonts w:ascii="Verdana" w:eastAsia="Arial MT" w:hAnsi="Verdana" w:cs="Arial"/>
          <w:spacing w:val="-11"/>
        </w:rPr>
        <w:t xml:space="preserve"> </w:t>
      </w:r>
      <w:r w:rsidRPr="00BE151B">
        <w:rPr>
          <w:rFonts w:ascii="Verdana" w:eastAsia="Arial MT" w:hAnsi="Verdana" w:cs="Arial"/>
        </w:rPr>
        <w:t>función</w:t>
      </w:r>
      <w:r w:rsidRPr="00BE151B">
        <w:rPr>
          <w:rFonts w:ascii="Verdana" w:eastAsia="Arial MT" w:hAnsi="Verdana" w:cs="Arial"/>
          <w:spacing w:val="-10"/>
        </w:rPr>
        <w:t xml:space="preserve"> </w:t>
      </w:r>
      <w:r w:rsidRPr="00BE151B">
        <w:rPr>
          <w:rFonts w:ascii="Verdana" w:eastAsia="Arial MT" w:hAnsi="Verdana" w:cs="Arial"/>
        </w:rPr>
        <w:t>administrativa</w:t>
      </w:r>
      <w:r w:rsidRPr="00BE151B">
        <w:rPr>
          <w:rFonts w:ascii="Verdana" w:eastAsia="Arial MT" w:hAnsi="Verdana" w:cs="Arial"/>
          <w:spacing w:val="-11"/>
        </w:rPr>
        <w:t xml:space="preserve"> </w:t>
      </w:r>
      <w:r w:rsidRPr="00BE151B">
        <w:rPr>
          <w:rFonts w:ascii="Verdana" w:eastAsia="Arial MT" w:hAnsi="Verdana" w:cs="Arial"/>
        </w:rPr>
        <w:t>y</w:t>
      </w:r>
      <w:r w:rsidRPr="00BE151B">
        <w:rPr>
          <w:rFonts w:ascii="Verdana" w:eastAsia="Arial MT" w:hAnsi="Verdana" w:cs="Arial"/>
          <w:spacing w:val="-10"/>
        </w:rPr>
        <w:t xml:space="preserve"> </w:t>
      </w:r>
      <w:r w:rsidRPr="00BE151B">
        <w:rPr>
          <w:rFonts w:ascii="Verdana" w:eastAsia="Arial MT" w:hAnsi="Verdana" w:cs="Arial"/>
        </w:rPr>
        <w:t>de</w:t>
      </w:r>
      <w:r w:rsidRPr="00BE151B">
        <w:rPr>
          <w:rFonts w:ascii="Verdana" w:eastAsia="Arial MT" w:hAnsi="Verdana" w:cs="Arial"/>
          <w:spacing w:val="-11"/>
        </w:rPr>
        <w:t xml:space="preserve"> </w:t>
      </w:r>
      <w:r w:rsidRPr="00BE151B">
        <w:rPr>
          <w:rFonts w:ascii="Verdana" w:eastAsia="Arial MT" w:hAnsi="Verdana" w:cs="Arial"/>
        </w:rPr>
        <w:t>la</w:t>
      </w:r>
      <w:r w:rsidRPr="00BE151B">
        <w:rPr>
          <w:rFonts w:ascii="Verdana" w:eastAsia="Arial MT" w:hAnsi="Verdana" w:cs="Arial"/>
          <w:spacing w:val="-11"/>
        </w:rPr>
        <w:t xml:space="preserve"> </w:t>
      </w:r>
      <w:r w:rsidRPr="00BE151B">
        <w:rPr>
          <w:rFonts w:ascii="Verdana" w:eastAsia="Arial MT" w:hAnsi="Verdana" w:cs="Arial"/>
        </w:rPr>
        <w:t>gestión</w:t>
      </w:r>
      <w:r w:rsidRPr="00BE151B">
        <w:rPr>
          <w:rFonts w:ascii="Verdana" w:eastAsia="Arial MT" w:hAnsi="Verdana" w:cs="Arial"/>
          <w:spacing w:val="-11"/>
        </w:rPr>
        <w:t xml:space="preserve"> </w:t>
      </w:r>
      <w:r w:rsidRPr="00BE151B">
        <w:rPr>
          <w:rFonts w:ascii="Verdana" w:eastAsia="Arial MT" w:hAnsi="Verdana" w:cs="Arial"/>
        </w:rPr>
        <w:t>fiscal,</w:t>
      </w:r>
      <w:r w:rsidRPr="00BE151B">
        <w:rPr>
          <w:rFonts w:ascii="Verdana" w:eastAsia="Arial MT" w:hAnsi="Verdana" w:cs="Arial"/>
          <w:spacing w:val="-10"/>
        </w:rPr>
        <w:t xml:space="preserve"> </w:t>
      </w:r>
      <w:r w:rsidRPr="00BE151B">
        <w:rPr>
          <w:rFonts w:ascii="Verdana" w:eastAsia="Arial MT" w:hAnsi="Verdana" w:cs="Arial"/>
        </w:rPr>
        <w:t>especialmente</w:t>
      </w:r>
      <w:r w:rsidRPr="00BE151B">
        <w:rPr>
          <w:rFonts w:ascii="Verdana" w:eastAsia="Arial MT" w:hAnsi="Verdana" w:cs="Arial"/>
          <w:spacing w:val="-11"/>
        </w:rPr>
        <w:t xml:space="preserve"> </w:t>
      </w:r>
      <w:r w:rsidRPr="00BE151B">
        <w:rPr>
          <w:rFonts w:ascii="Verdana" w:eastAsia="Arial MT" w:hAnsi="Verdana" w:cs="Arial"/>
        </w:rPr>
        <w:t>con</w:t>
      </w:r>
      <w:r w:rsidRPr="00BE151B">
        <w:rPr>
          <w:rFonts w:ascii="Verdana" w:eastAsia="Arial MT" w:hAnsi="Verdana" w:cs="Arial"/>
          <w:spacing w:val="-11"/>
        </w:rPr>
        <w:t xml:space="preserve"> </w:t>
      </w:r>
      <w:r w:rsidRPr="00BE151B">
        <w:rPr>
          <w:rFonts w:ascii="Verdana" w:eastAsia="Arial MT" w:hAnsi="Verdana" w:cs="Arial"/>
        </w:rPr>
        <w:t>probidad</w:t>
      </w:r>
      <w:r w:rsidRPr="00BE151B">
        <w:rPr>
          <w:rFonts w:ascii="Verdana" w:eastAsia="Arial MT" w:hAnsi="Verdana" w:cs="Arial"/>
          <w:spacing w:val="1"/>
        </w:rPr>
        <w:t xml:space="preserve"> </w:t>
      </w:r>
      <w:r w:rsidRPr="00BE151B">
        <w:rPr>
          <w:rFonts w:ascii="Verdana" w:eastAsia="Arial MT" w:hAnsi="Verdana" w:cs="Arial"/>
        </w:rPr>
        <w:t>y</w:t>
      </w:r>
      <w:r w:rsidRPr="00BE151B">
        <w:rPr>
          <w:rFonts w:ascii="Verdana" w:eastAsia="Arial MT" w:hAnsi="Verdana" w:cs="Arial"/>
          <w:spacing w:val="1"/>
        </w:rPr>
        <w:t xml:space="preserve"> </w:t>
      </w:r>
      <w:r w:rsidRPr="00BE151B">
        <w:rPr>
          <w:rFonts w:ascii="Verdana" w:eastAsia="Arial MT" w:hAnsi="Verdana" w:cs="Arial"/>
        </w:rPr>
        <w:t>transparencia.</w:t>
      </w:r>
      <w:r w:rsidRPr="00BE151B">
        <w:rPr>
          <w:rFonts w:ascii="Verdana" w:eastAsia="Arial MT" w:hAnsi="Verdana" w:cs="Arial"/>
          <w:spacing w:val="1"/>
        </w:rPr>
        <w:t xml:space="preserve"> </w:t>
      </w:r>
      <w:r w:rsidRPr="00BE151B">
        <w:rPr>
          <w:rFonts w:ascii="Verdana" w:eastAsia="Arial MT" w:hAnsi="Verdana" w:cs="Arial"/>
        </w:rPr>
        <w:t>Por</w:t>
      </w:r>
      <w:r w:rsidRPr="00BE151B">
        <w:rPr>
          <w:rFonts w:ascii="Verdana" w:eastAsia="Arial MT" w:hAnsi="Verdana" w:cs="Arial"/>
          <w:spacing w:val="1"/>
        </w:rPr>
        <w:t xml:space="preserve"> </w:t>
      </w:r>
      <w:r w:rsidRPr="00BE151B">
        <w:rPr>
          <w:rFonts w:ascii="Verdana" w:eastAsia="Arial MT" w:hAnsi="Verdana" w:cs="Arial"/>
        </w:rPr>
        <w:t>ello,</w:t>
      </w:r>
      <w:r w:rsidRPr="00BE151B">
        <w:rPr>
          <w:rFonts w:ascii="Verdana" w:eastAsia="Arial MT" w:hAnsi="Verdana" w:cs="Arial"/>
          <w:spacing w:val="1"/>
        </w:rPr>
        <w:t xml:space="preserve"> </w:t>
      </w:r>
      <w:r w:rsidRPr="00BE151B">
        <w:rPr>
          <w:rFonts w:ascii="Verdana" w:eastAsia="Arial MT" w:hAnsi="Verdana" w:cs="Arial"/>
        </w:rPr>
        <w:t>como</w:t>
      </w:r>
      <w:r w:rsidRPr="00BE151B">
        <w:rPr>
          <w:rFonts w:ascii="Verdana" w:eastAsia="Arial MT" w:hAnsi="Verdana" w:cs="Arial"/>
          <w:spacing w:val="1"/>
        </w:rPr>
        <w:t xml:space="preserve"> </w:t>
      </w:r>
      <w:r w:rsidRPr="00BE151B">
        <w:rPr>
          <w:rFonts w:ascii="Verdana" w:eastAsia="Arial MT" w:hAnsi="Verdana" w:cs="Arial"/>
        </w:rPr>
        <w:t>lo</w:t>
      </w:r>
      <w:r w:rsidRPr="00BE151B">
        <w:rPr>
          <w:rFonts w:ascii="Verdana" w:eastAsia="Arial MT" w:hAnsi="Verdana" w:cs="Arial"/>
          <w:spacing w:val="1"/>
        </w:rPr>
        <w:t xml:space="preserve"> </w:t>
      </w:r>
      <w:r w:rsidRPr="00BE151B">
        <w:rPr>
          <w:rFonts w:ascii="Verdana" w:eastAsia="Arial MT" w:hAnsi="Verdana" w:cs="Arial"/>
        </w:rPr>
        <w:t>ha</w:t>
      </w:r>
      <w:r w:rsidRPr="00BE151B">
        <w:rPr>
          <w:rFonts w:ascii="Verdana" w:eastAsia="Arial MT" w:hAnsi="Verdana" w:cs="Arial"/>
          <w:spacing w:val="1"/>
        </w:rPr>
        <w:t xml:space="preserve"> </w:t>
      </w:r>
      <w:r w:rsidRPr="00BE151B">
        <w:rPr>
          <w:rFonts w:ascii="Verdana" w:eastAsia="Arial MT" w:hAnsi="Verdana" w:cs="Arial"/>
        </w:rPr>
        <w:t>destacado</w:t>
      </w:r>
      <w:r w:rsidRPr="00BE151B">
        <w:rPr>
          <w:rFonts w:ascii="Verdana" w:eastAsia="Arial MT" w:hAnsi="Verdana" w:cs="Arial"/>
          <w:spacing w:val="1"/>
        </w:rPr>
        <w:t xml:space="preserve"> </w:t>
      </w:r>
      <w:r w:rsidRPr="00BE151B">
        <w:rPr>
          <w:rFonts w:ascii="Verdana" w:eastAsia="Arial MT" w:hAnsi="Verdana" w:cs="Arial"/>
        </w:rPr>
        <w:t>la</w:t>
      </w:r>
      <w:r w:rsidRPr="00BE151B">
        <w:rPr>
          <w:rFonts w:ascii="Verdana" w:eastAsia="Arial MT" w:hAnsi="Verdana" w:cs="Arial"/>
          <w:spacing w:val="1"/>
        </w:rPr>
        <w:t xml:space="preserve"> </w:t>
      </w:r>
      <w:r w:rsidRPr="00BE151B">
        <w:rPr>
          <w:rFonts w:ascii="Verdana" w:eastAsia="Arial MT" w:hAnsi="Verdana" w:cs="Arial"/>
        </w:rPr>
        <w:t>doctrina,</w:t>
      </w:r>
      <w:r w:rsidRPr="00BE151B">
        <w:rPr>
          <w:rFonts w:ascii="Verdana" w:eastAsia="Arial MT" w:hAnsi="Verdana" w:cs="Arial"/>
          <w:spacing w:val="1"/>
        </w:rPr>
        <w:t xml:space="preserve"> </w:t>
      </w:r>
      <w:r w:rsidRPr="00BE151B">
        <w:rPr>
          <w:rFonts w:ascii="Verdana" w:eastAsia="Arial MT" w:hAnsi="Verdana" w:cs="Arial"/>
        </w:rPr>
        <w:t>las</w:t>
      </w:r>
      <w:r w:rsidRPr="00BE151B">
        <w:rPr>
          <w:rFonts w:ascii="Verdana" w:eastAsia="Arial MT" w:hAnsi="Verdana" w:cs="Arial"/>
          <w:spacing w:val="1"/>
        </w:rPr>
        <w:t xml:space="preserve"> </w:t>
      </w:r>
      <w:r w:rsidRPr="00BE151B">
        <w:rPr>
          <w:rFonts w:ascii="Verdana" w:eastAsia="Arial MT" w:hAnsi="Verdana" w:cs="Arial"/>
        </w:rPr>
        <w:t>inhabilidades</w:t>
      </w:r>
      <w:r w:rsidRPr="00BE151B">
        <w:rPr>
          <w:rFonts w:ascii="Verdana" w:eastAsia="Arial MT" w:hAnsi="Verdana" w:cs="Arial"/>
          <w:spacing w:val="1"/>
        </w:rPr>
        <w:t xml:space="preserve"> </w:t>
      </w:r>
      <w:r w:rsidRPr="00BE151B">
        <w:rPr>
          <w:rFonts w:ascii="Verdana" w:eastAsia="Arial MT" w:hAnsi="Verdana" w:cs="Arial"/>
        </w:rPr>
        <w:t>e</w:t>
      </w:r>
      <w:r w:rsidRPr="00BE151B">
        <w:rPr>
          <w:rFonts w:ascii="Verdana" w:eastAsia="Arial MT" w:hAnsi="Verdana" w:cs="Arial"/>
          <w:spacing w:val="1"/>
        </w:rPr>
        <w:t xml:space="preserve"> </w:t>
      </w:r>
      <w:r w:rsidRPr="00BE151B">
        <w:rPr>
          <w:rFonts w:ascii="Verdana" w:eastAsia="Arial MT" w:hAnsi="Verdana" w:cs="Arial"/>
        </w:rPr>
        <w:t>incompatibilidades se han convertido en herramientas en la lucha contra la corrupción,</w:t>
      </w:r>
      <w:r w:rsidRPr="00BE151B">
        <w:rPr>
          <w:rFonts w:ascii="Verdana" w:eastAsia="Arial MT" w:hAnsi="Verdana" w:cs="Arial"/>
          <w:spacing w:val="1"/>
        </w:rPr>
        <w:t xml:space="preserve"> </w:t>
      </w:r>
      <w:r w:rsidRPr="00BE151B">
        <w:rPr>
          <w:rFonts w:ascii="Verdana" w:eastAsia="Arial MT" w:hAnsi="Verdana" w:cs="Arial"/>
        </w:rPr>
        <w:t>adoptando</w:t>
      </w:r>
      <w:r w:rsidRPr="00BE151B">
        <w:rPr>
          <w:rFonts w:ascii="Verdana" w:eastAsia="Arial MT" w:hAnsi="Verdana" w:cs="Arial"/>
          <w:spacing w:val="-14"/>
        </w:rPr>
        <w:t xml:space="preserve"> </w:t>
      </w:r>
      <w:r w:rsidRPr="00BE151B">
        <w:rPr>
          <w:rFonts w:ascii="Verdana" w:eastAsia="Arial MT" w:hAnsi="Verdana" w:cs="Arial"/>
        </w:rPr>
        <w:t>paulatinamente</w:t>
      </w:r>
      <w:r w:rsidRPr="00BE151B">
        <w:rPr>
          <w:rFonts w:ascii="Verdana" w:eastAsia="Arial MT" w:hAnsi="Verdana" w:cs="Arial"/>
          <w:spacing w:val="-14"/>
        </w:rPr>
        <w:t xml:space="preserve"> </w:t>
      </w:r>
      <w:r w:rsidRPr="00BE151B">
        <w:rPr>
          <w:rFonts w:ascii="Verdana" w:eastAsia="Arial MT" w:hAnsi="Verdana" w:cs="Arial"/>
        </w:rPr>
        <w:t>un</w:t>
      </w:r>
      <w:r w:rsidRPr="00BE151B">
        <w:rPr>
          <w:rFonts w:ascii="Verdana" w:eastAsia="Arial MT" w:hAnsi="Verdana" w:cs="Arial"/>
          <w:spacing w:val="-14"/>
        </w:rPr>
        <w:t xml:space="preserve"> </w:t>
      </w:r>
      <w:r w:rsidRPr="00BE151B">
        <w:rPr>
          <w:rFonts w:ascii="Verdana" w:eastAsia="Arial MT" w:hAnsi="Verdana" w:cs="Arial"/>
        </w:rPr>
        <w:lastRenderedPageBreak/>
        <w:t>carácter</w:t>
      </w:r>
      <w:r w:rsidRPr="00BE151B">
        <w:rPr>
          <w:rFonts w:ascii="Verdana" w:eastAsia="Arial MT" w:hAnsi="Verdana" w:cs="Arial"/>
          <w:spacing w:val="-15"/>
        </w:rPr>
        <w:t xml:space="preserve"> </w:t>
      </w:r>
      <w:r w:rsidRPr="00BE151B">
        <w:rPr>
          <w:rFonts w:ascii="Verdana" w:eastAsia="Arial MT" w:hAnsi="Verdana" w:cs="Arial"/>
        </w:rPr>
        <w:t>sancionatorio</w:t>
      </w:r>
      <w:r w:rsidRPr="00BE151B">
        <w:rPr>
          <w:rFonts w:ascii="Verdana" w:eastAsia="Arial MT" w:hAnsi="Verdana" w:cs="Arial"/>
          <w:spacing w:val="-14"/>
        </w:rPr>
        <w:t xml:space="preserve"> </w:t>
      </w:r>
      <w:r w:rsidRPr="00BE151B">
        <w:rPr>
          <w:rFonts w:ascii="Verdana" w:eastAsia="Arial MT" w:hAnsi="Verdana" w:cs="Arial"/>
        </w:rPr>
        <w:t>o</w:t>
      </w:r>
      <w:r w:rsidRPr="00BE151B">
        <w:rPr>
          <w:rFonts w:ascii="Verdana" w:eastAsia="Arial MT" w:hAnsi="Verdana" w:cs="Arial"/>
          <w:spacing w:val="-15"/>
        </w:rPr>
        <w:t xml:space="preserve"> </w:t>
      </w:r>
      <w:r w:rsidRPr="00BE151B">
        <w:rPr>
          <w:rFonts w:ascii="Verdana" w:eastAsia="Arial MT" w:hAnsi="Verdana" w:cs="Arial"/>
        </w:rPr>
        <w:t>“neopunitivo”</w:t>
      </w:r>
      <w:r w:rsidRPr="00BE151B">
        <w:rPr>
          <w:rFonts w:ascii="Verdana" w:hAnsi="Verdana"/>
          <w:vertAlign w:val="superscript"/>
        </w:rPr>
        <w:footnoteReference w:id="1"/>
      </w:r>
      <w:r w:rsidRPr="00BE151B">
        <w:rPr>
          <w:rFonts w:ascii="Verdana" w:eastAsia="Arial MT" w:hAnsi="Verdana" w:cs="Arial"/>
        </w:rPr>
        <w:t>.</w:t>
      </w:r>
      <w:r w:rsidRPr="00BE151B">
        <w:rPr>
          <w:rFonts w:ascii="Verdana" w:eastAsia="Arial MT" w:hAnsi="Verdana" w:cs="Arial"/>
          <w:spacing w:val="-14"/>
        </w:rPr>
        <w:t xml:space="preserve"> </w:t>
      </w:r>
      <w:r w:rsidRPr="00BE151B">
        <w:rPr>
          <w:rFonts w:ascii="Verdana" w:eastAsia="Arial MT" w:hAnsi="Verdana" w:cs="Arial"/>
        </w:rPr>
        <w:t>Si</w:t>
      </w:r>
      <w:r w:rsidRPr="00BE151B">
        <w:rPr>
          <w:rFonts w:ascii="Verdana" w:eastAsia="Arial MT" w:hAnsi="Verdana" w:cs="Arial"/>
          <w:spacing w:val="-14"/>
        </w:rPr>
        <w:t xml:space="preserve"> </w:t>
      </w:r>
      <w:r w:rsidRPr="00BE151B">
        <w:rPr>
          <w:rFonts w:ascii="Verdana" w:eastAsia="Arial MT" w:hAnsi="Verdana" w:cs="Arial"/>
        </w:rPr>
        <w:t>bien</w:t>
      </w:r>
      <w:r w:rsidRPr="00BE151B">
        <w:rPr>
          <w:rFonts w:ascii="Verdana" w:eastAsia="Arial MT" w:hAnsi="Verdana" w:cs="Arial"/>
          <w:spacing w:val="-14"/>
        </w:rPr>
        <w:t xml:space="preserve"> </w:t>
      </w:r>
      <w:r w:rsidRPr="00BE151B">
        <w:rPr>
          <w:rFonts w:ascii="Verdana" w:eastAsia="Arial MT" w:hAnsi="Verdana" w:cs="Arial"/>
        </w:rPr>
        <w:t>no</w:t>
      </w:r>
      <w:r w:rsidRPr="00BE151B">
        <w:rPr>
          <w:rFonts w:ascii="Verdana" w:eastAsia="Arial MT" w:hAnsi="Verdana" w:cs="Arial"/>
          <w:spacing w:val="-14"/>
        </w:rPr>
        <w:t xml:space="preserve"> </w:t>
      </w:r>
      <w:r w:rsidRPr="00BE151B">
        <w:rPr>
          <w:rFonts w:ascii="Verdana" w:eastAsia="Arial MT" w:hAnsi="Verdana" w:cs="Arial"/>
        </w:rPr>
        <w:t>todas las causales de inhabilidad y de incompatibilidad son consecuencia de una medida de</w:t>
      </w:r>
      <w:r w:rsidRPr="00BE151B">
        <w:rPr>
          <w:rFonts w:ascii="Verdana" w:eastAsia="Arial MT" w:hAnsi="Verdana" w:cs="Arial"/>
          <w:spacing w:val="1"/>
        </w:rPr>
        <w:t xml:space="preserve"> </w:t>
      </w:r>
      <w:r w:rsidRPr="00BE151B">
        <w:rPr>
          <w:rFonts w:ascii="Verdana" w:eastAsia="Arial MT" w:hAnsi="Verdana" w:cs="Arial"/>
        </w:rPr>
        <w:t>reproche,</w:t>
      </w:r>
      <w:r w:rsidRPr="00BE151B">
        <w:rPr>
          <w:rFonts w:ascii="Verdana" w:eastAsia="Arial MT" w:hAnsi="Verdana" w:cs="Arial"/>
          <w:spacing w:val="2"/>
        </w:rPr>
        <w:t xml:space="preserve"> </w:t>
      </w:r>
      <w:r w:rsidRPr="00BE151B">
        <w:rPr>
          <w:rFonts w:ascii="Verdana" w:eastAsia="Arial MT" w:hAnsi="Verdana" w:cs="Arial"/>
        </w:rPr>
        <w:t>ni</w:t>
      </w:r>
      <w:r w:rsidRPr="00BE151B">
        <w:rPr>
          <w:rFonts w:ascii="Verdana" w:eastAsia="Arial MT" w:hAnsi="Verdana" w:cs="Arial"/>
          <w:spacing w:val="3"/>
        </w:rPr>
        <w:t xml:space="preserve"> </w:t>
      </w:r>
      <w:r w:rsidRPr="00BE151B">
        <w:rPr>
          <w:rFonts w:ascii="Verdana" w:eastAsia="Arial MT" w:hAnsi="Verdana" w:cs="Arial"/>
        </w:rPr>
        <w:t>de</w:t>
      </w:r>
      <w:r w:rsidRPr="00BE151B">
        <w:rPr>
          <w:rFonts w:ascii="Verdana" w:eastAsia="Arial MT" w:hAnsi="Verdana" w:cs="Arial"/>
          <w:spacing w:val="2"/>
        </w:rPr>
        <w:t xml:space="preserve"> </w:t>
      </w:r>
      <w:r w:rsidRPr="00BE151B">
        <w:rPr>
          <w:rFonts w:ascii="Verdana" w:eastAsia="Arial MT" w:hAnsi="Verdana" w:cs="Arial"/>
        </w:rPr>
        <w:t>una</w:t>
      </w:r>
      <w:r w:rsidRPr="00BE151B">
        <w:rPr>
          <w:rFonts w:ascii="Verdana" w:eastAsia="Arial MT" w:hAnsi="Verdana" w:cs="Arial"/>
          <w:spacing w:val="3"/>
        </w:rPr>
        <w:t xml:space="preserve"> </w:t>
      </w:r>
      <w:r w:rsidRPr="00BE151B">
        <w:rPr>
          <w:rFonts w:ascii="Verdana" w:eastAsia="Arial MT" w:hAnsi="Verdana" w:cs="Arial"/>
        </w:rPr>
        <w:t>sanción</w:t>
      </w:r>
      <w:r w:rsidRPr="00BE151B">
        <w:rPr>
          <w:rFonts w:ascii="Verdana" w:eastAsia="Arial MT" w:hAnsi="Verdana" w:cs="Arial"/>
          <w:spacing w:val="2"/>
        </w:rPr>
        <w:t xml:space="preserve"> </w:t>
      </w:r>
      <w:r w:rsidRPr="00BE151B">
        <w:rPr>
          <w:rFonts w:ascii="Verdana" w:eastAsia="Arial MT" w:hAnsi="Verdana" w:cs="Arial"/>
        </w:rPr>
        <w:t>previa,</w:t>
      </w:r>
      <w:r w:rsidRPr="00BE151B">
        <w:rPr>
          <w:rFonts w:ascii="Verdana" w:eastAsia="Arial MT" w:hAnsi="Verdana" w:cs="Arial"/>
          <w:spacing w:val="3"/>
        </w:rPr>
        <w:t xml:space="preserve"> </w:t>
      </w:r>
      <w:r w:rsidRPr="00BE151B">
        <w:rPr>
          <w:rFonts w:ascii="Verdana" w:eastAsia="Arial MT" w:hAnsi="Verdana" w:cs="Arial"/>
        </w:rPr>
        <w:t>es</w:t>
      </w:r>
      <w:r w:rsidRPr="00BE151B">
        <w:rPr>
          <w:rFonts w:ascii="Verdana" w:eastAsia="Arial MT" w:hAnsi="Verdana" w:cs="Arial"/>
          <w:spacing w:val="3"/>
        </w:rPr>
        <w:t xml:space="preserve"> </w:t>
      </w:r>
      <w:r w:rsidRPr="00BE151B">
        <w:rPr>
          <w:rFonts w:ascii="Verdana" w:eastAsia="Arial MT" w:hAnsi="Verdana" w:cs="Arial"/>
        </w:rPr>
        <w:t>indiscutible</w:t>
      </w:r>
      <w:r w:rsidRPr="00BE151B">
        <w:rPr>
          <w:rFonts w:ascii="Verdana" w:eastAsia="Arial MT" w:hAnsi="Verdana" w:cs="Arial"/>
          <w:spacing w:val="2"/>
        </w:rPr>
        <w:t xml:space="preserve"> </w:t>
      </w:r>
      <w:r w:rsidRPr="00BE151B">
        <w:rPr>
          <w:rFonts w:ascii="Verdana" w:eastAsia="Arial MT" w:hAnsi="Verdana" w:cs="Arial"/>
        </w:rPr>
        <w:t>que</w:t>
      </w:r>
      <w:r w:rsidRPr="00BE151B">
        <w:rPr>
          <w:rFonts w:ascii="Verdana" w:eastAsia="Arial MT" w:hAnsi="Verdana" w:cs="Arial"/>
          <w:spacing w:val="3"/>
        </w:rPr>
        <w:t xml:space="preserve"> </w:t>
      </w:r>
      <w:r w:rsidRPr="00BE151B">
        <w:rPr>
          <w:rFonts w:ascii="Verdana" w:eastAsia="Arial MT" w:hAnsi="Verdana" w:cs="Arial"/>
        </w:rPr>
        <w:t>en</w:t>
      </w:r>
      <w:r w:rsidRPr="00BE151B">
        <w:rPr>
          <w:rFonts w:ascii="Verdana" w:eastAsia="Arial MT" w:hAnsi="Verdana" w:cs="Arial"/>
          <w:spacing w:val="3"/>
        </w:rPr>
        <w:t xml:space="preserve"> </w:t>
      </w:r>
      <w:r w:rsidRPr="00BE151B">
        <w:rPr>
          <w:rFonts w:ascii="Verdana" w:eastAsia="Arial MT" w:hAnsi="Verdana" w:cs="Arial"/>
        </w:rPr>
        <w:t>los</w:t>
      </w:r>
      <w:r w:rsidRPr="00BE151B">
        <w:rPr>
          <w:rFonts w:ascii="Verdana" w:eastAsia="Arial MT" w:hAnsi="Verdana" w:cs="Arial"/>
          <w:spacing w:val="2"/>
        </w:rPr>
        <w:t xml:space="preserve"> </w:t>
      </w:r>
      <w:r w:rsidRPr="00BE151B">
        <w:rPr>
          <w:rFonts w:ascii="Verdana" w:eastAsia="Arial MT" w:hAnsi="Verdana" w:cs="Arial"/>
        </w:rPr>
        <w:t>años más recientes los lamentables hechos de corrupción han generado como respuesta</w:t>
      </w:r>
      <w:r w:rsidRPr="00BE151B">
        <w:rPr>
          <w:rFonts w:ascii="Verdana" w:eastAsia="Arial MT" w:hAnsi="Verdana" w:cs="Arial"/>
          <w:spacing w:val="1"/>
        </w:rPr>
        <w:t xml:space="preserve"> </w:t>
      </w:r>
      <w:r w:rsidRPr="00BE151B">
        <w:rPr>
          <w:rFonts w:ascii="Verdana" w:eastAsia="Arial MT" w:hAnsi="Verdana" w:cs="Arial"/>
        </w:rPr>
        <w:t>del legislador, un incremento de las restricciones a la capacidad contractual, dirigidas a</w:t>
      </w:r>
      <w:r w:rsidRPr="00BE151B">
        <w:rPr>
          <w:rFonts w:ascii="Verdana" w:eastAsia="Arial MT" w:hAnsi="Verdana" w:cs="Arial"/>
          <w:spacing w:val="-59"/>
        </w:rPr>
        <w:t xml:space="preserve"> </w:t>
      </w:r>
      <w:r w:rsidRPr="00BE151B">
        <w:rPr>
          <w:rFonts w:ascii="Verdana" w:eastAsia="Arial MT" w:hAnsi="Verdana" w:cs="Arial"/>
        </w:rPr>
        <w:t>prevenir</w:t>
      </w:r>
      <w:r w:rsidRPr="00BE151B">
        <w:rPr>
          <w:rFonts w:ascii="Verdana" w:eastAsia="Arial MT" w:hAnsi="Verdana" w:cs="Arial"/>
          <w:spacing w:val="-2"/>
        </w:rPr>
        <w:t xml:space="preserve"> </w:t>
      </w:r>
      <w:r w:rsidRPr="00BE151B">
        <w:rPr>
          <w:rFonts w:ascii="Verdana" w:eastAsia="Arial MT" w:hAnsi="Verdana" w:cs="Arial"/>
        </w:rPr>
        <w:t>este</w:t>
      </w:r>
      <w:r w:rsidRPr="00BE151B">
        <w:rPr>
          <w:rFonts w:ascii="Verdana" w:eastAsia="Arial MT" w:hAnsi="Verdana" w:cs="Arial"/>
          <w:spacing w:val="-1"/>
        </w:rPr>
        <w:t xml:space="preserve"> </w:t>
      </w:r>
      <w:r w:rsidRPr="00BE151B">
        <w:rPr>
          <w:rFonts w:ascii="Verdana" w:eastAsia="Arial MT" w:hAnsi="Verdana" w:cs="Arial"/>
        </w:rPr>
        <w:t>tipo</w:t>
      </w:r>
      <w:r w:rsidRPr="00BE151B">
        <w:rPr>
          <w:rFonts w:ascii="Verdana" w:eastAsia="Arial MT" w:hAnsi="Verdana" w:cs="Arial"/>
          <w:spacing w:val="-2"/>
        </w:rPr>
        <w:t xml:space="preserve"> </w:t>
      </w:r>
      <w:r w:rsidRPr="00BE151B">
        <w:rPr>
          <w:rFonts w:ascii="Verdana" w:eastAsia="Arial MT" w:hAnsi="Verdana" w:cs="Arial"/>
        </w:rPr>
        <w:t>de</w:t>
      </w:r>
      <w:r w:rsidRPr="00BE151B">
        <w:rPr>
          <w:rFonts w:ascii="Verdana" w:eastAsia="Arial MT" w:hAnsi="Verdana" w:cs="Arial"/>
          <w:spacing w:val="-1"/>
        </w:rPr>
        <w:t xml:space="preserve"> </w:t>
      </w:r>
      <w:r w:rsidRPr="00BE151B">
        <w:rPr>
          <w:rFonts w:ascii="Verdana" w:eastAsia="Arial MT" w:hAnsi="Verdana" w:cs="Arial"/>
        </w:rPr>
        <w:t>situaciones</w:t>
      </w:r>
      <w:r w:rsidRPr="00BE151B">
        <w:rPr>
          <w:rFonts w:ascii="Verdana" w:eastAsia="Arial MT" w:hAnsi="Verdana" w:cs="Arial"/>
          <w:spacing w:val="-1"/>
        </w:rPr>
        <w:t xml:space="preserve"> </w:t>
      </w:r>
      <w:r w:rsidRPr="00BE151B">
        <w:rPr>
          <w:rFonts w:ascii="Verdana" w:eastAsia="Arial MT" w:hAnsi="Verdana" w:cs="Arial"/>
        </w:rPr>
        <w:t>o</w:t>
      </w:r>
      <w:r w:rsidRPr="00BE151B">
        <w:rPr>
          <w:rFonts w:ascii="Verdana" w:eastAsia="Arial MT" w:hAnsi="Verdana" w:cs="Arial"/>
          <w:spacing w:val="-2"/>
        </w:rPr>
        <w:t xml:space="preserve"> </w:t>
      </w:r>
      <w:r w:rsidRPr="00BE151B">
        <w:rPr>
          <w:rFonts w:ascii="Verdana" w:eastAsia="Arial MT" w:hAnsi="Verdana" w:cs="Arial"/>
        </w:rPr>
        <w:t>a</w:t>
      </w:r>
      <w:r w:rsidRPr="00BE151B">
        <w:rPr>
          <w:rFonts w:ascii="Verdana" w:eastAsia="Arial MT" w:hAnsi="Verdana" w:cs="Arial"/>
          <w:spacing w:val="-1"/>
        </w:rPr>
        <w:t xml:space="preserve"> </w:t>
      </w:r>
      <w:r w:rsidRPr="00BE151B">
        <w:rPr>
          <w:rFonts w:ascii="Verdana" w:eastAsia="Arial MT" w:hAnsi="Verdana" w:cs="Arial"/>
        </w:rPr>
        <w:t>sancionar</w:t>
      </w:r>
      <w:r w:rsidRPr="00BE151B">
        <w:rPr>
          <w:rFonts w:ascii="Verdana" w:eastAsia="Arial MT" w:hAnsi="Verdana" w:cs="Arial"/>
          <w:spacing w:val="-1"/>
        </w:rPr>
        <w:t xml:space="preserve"> </w:t>
      </w:r>
      <w:r w:rsidRPr="00BE151B">
        <w:rPr>
          <w:rFonts w:ascii="Verdana" w:eastAsia="Arial MT" w:hAnsi="Verdana" w:cs="Arial"/>
        </w:rPr>
        <w:t>tales</w:t>
      </w:r>
      <w:r w:rsidRPr="00BE151B">
        <w:rPr>
          <w:rFonts w:ascii="Verdana" w:eastAsia="Arial MT" w:hAnsi="Verdana" w:cs="Arial"/>
          <w:spacing w:val="-2"/>
        </w:rPr>
        <w:t xml:space="preserve"> </w:t>
      </w:r>
      <w:r w:rsidRPr="00BE151B">
        <w:rPr>
          <w:rFonts w:ascii="Verdana" w:eastAsia="Arial MT" w:hAnsi="Verdana" w:cs="Arial"/>
        </w:rPr>
        <w:t>conductas.</w:t>
      </w:r>
    </w:p>
    <w:p w14:paraId="2AEAB7EA" w14:textId="77777777" w:rsidR="004D14DA" w:rsidRPr="00BE151B" w:rsidRDefault="004D14DA" w:rsidP="004D14DA">
      <w:pPr>
        <w:widowControl w:val="0"/>
        <w:autoSpaceDE w:val="0"/>
        <w:autoSpaceDN w:val="0"/>
        <w:spacing w:before="120" w:after="0" w:line="276" w:lineRule="auto"/>
        <w:ind w:firstLine="708"/>
        <w:jc w:val="both"/>
        <w:rPr>
          <w:rFonts w:ascii="Verdana" w:eastAsia="Arial MT" w:hAnsi="Verdana" w:cs="Arial"/>
        </w:rPr>
      </w:pPr>
      <w:r w:rsidRPr="00BE151B">
        <w:rPr>
          <w:rFonts w:ascii="Verdana" w:eastAsia="Arial MT" w:hAnsi="Verdana" w:cs="Arial"/>
        </w:rPr>
        <w:t>Ahora bien, las inhabilidades e incompatibilidades, al ser</w:t>
      </w:r>
      <w:r w:rsidRPr="00BE151B">
        <w:rPr>
          <w:rFonts w:ascii="Verdana" w:eastAsia="Arial MT" w:hAnsi="Verdana" w:cs="Arial"/>
          <w:spacing w:val="1"/>
        </w:rPr>
        <w:t xml:space="preserve"> </w:t>
      </w:r>
      <w:r w:rsidRPr="00BE151B">
        <w:rPr>
          <w:rFonts w:ascii="Verdana" w:eastAsia="Arial MT" w:hAnsi="Verdana" w:cs="Arial"/>
        </w:rPr>
        <w:t>restricciones o límites especiales a la capacidad para presentar ofertas y celebrar</w:t>
      </w:r>
      <w:r w:rsidRPr="00BE151B">
        <w:rPr>
          <w:rFonts w:ascii="Verdana" w:eastAsia="Arial MT" w:hAnsi="Verdana" w:cs="Arial"/>
          <w:spacing w:val="1"/>
        </w:rPr>
        <w:t xml:space="preserve"> </w:t>
      </w:r>
      <w:r w:rsidRPr="00BE151B">
        <w:rPr>
          <w:rFonts w:ascii="Verdana" w:eastAsia="Arial MT" w:hAnsi="Verdana" w:cs="Arial"/>
        </w:rPr>
        <w:t>contratos</w:t>
      </w:r>
      <w:r w:rsidRPr="00BE151B">
        <w:rPr>
          <w:rFonts w:ascii="Verdana" w:eastAsia="Arial MT" w:hAnsi="Verdana" w:cs="Arial"/>
          <w:spacing w:val="-12"/>
        </w:rPr>
        <w:t xml:space="preserve"> </w:t>
      </w:r>
      <w:r w:rsidRPr="00BE151B">
        <w:rPr>
          <w:rFonts w:ascii="Verdana" w:eastAsia="Arial MT" w:hAnsi="Verdana" w:cs="Arial"/>
        </w:rPr>
        <w:t>estatales,</w:t>
      </w:r>
      <w:r w:rsidRPr="00BE151B">
        <w:rPr>
          <w:rFonts w:ascii="Verdana" w:eastAsia="Arial MT" w:hAnsi="Verdana" w:cs="Arial"/>
          <w:spacing w:val="-12"/>
        </w:rPr>
        <w:t xml:space="preserve"> </w:t>
      </w:r>
      <w:r w:rsidRPr="00BE151B">
        <w:rPr>
          <w:rFonts w:ascii="Verdana" w:eastAsia="Arial MT" w:hAnsi="Verdana" w:cs="Arial"/>
        </w:rPr>
        <w:t>solo</w:t>
      </w:r>
      <w:r w:rsidRPr="00BE151B">
        <w:rPr>
          <w:rFonts w:ascii="Verdana" w:eastAsia="Arial MT" w:hAnsi="Verdana" w:cs="Arial"/>
          <w:spacing w:val="-12"/>
        </w:rPr>
        <w:t xml:space="preserve"> </w:t>
      </w:r>
      <w:r w:rsidRPr="00BE151B">
        <w:rPr>
          <w:rFonts w:ascii="Verdana" w:eastAsia="Arial MT" w:hAnsi="Verdana" w:cs="Arial"/>
        </w:rPr>
        <w:t>pueden</w:t>
      </w:r>
      <w:r w:rsidRPr="00BE151B">
        <w:rPr>
          <w:rFonts w:ascii="Verdana" w:eastAsia="Arial MT" w:hAnsi="Verdana" w:cs="Arial"/>
          <w:spacing w:val="-11"/>
        </w:rPr>
        <w:t xml:space="preserve"> </w:t>
      </w:r>
      <w:r w:rsidRPr="00BE151B">
        <w:rPr>
          <w:rFonts w:ascii="Verdana" w:eastAsia="Arial MT" w:hAnsi="Verdana" w:cs="Arial"/>
        </w:rPr>
        <w:t>tipificarse</w:t>
      </w:r>
      <w:r w:rsidRPr="00BE151B">
        <w:rPr>
          <w:rFonts w:ascii="Verdana" w:eastAsia="Arial MT" w:hAnsi="Verdana" w:cs="Arial"/>
          <w:spacing w:val="-10"/>
        </w:rPr>
        <w:t xml:space="preserve"> </w:t>
      </w:r>
      <w:r w:rsidRPr="00BE151B">
        <w:rPr>
          <w:rFonts w:ascii="Verdana" w:eastAsia="Arial MT" w:hAnsi="Verdana" w:cs="Arial"/>
        </w:rPr>
        <w:t>en</w:t>
      </w:r>
      <w:r w:rsidRPr="00BE151B">
        <w:rPr>
          <w:rFonts w:ascii="Verdana" w:eastAsia="Arial MT" w:hAnsi="Verdana" w:cs="Arial"/>
          <w:spacing w:val="-12"/>
        </w:rPr>
        <w:t xml:space="preserve"> </w:t>
      </w:r>
      <w:r w:rsidRPr="00BE151B">
        <w:rPr>
          <w:rFonts w:ascii="Verdana" w:eastAsia="Arial MT" w:hAnsi="Verdana" w:cs="Arial"/>
        </w:rPr>
        <w:t>la</w:t>
      </w:r>
      <w:r w:rsidRPr="00BE151B">
        <w:rPr>
          <w:rFonts w:ascii="Verdana" w:eastAsia="Arial MT" w:hAnsi="Verdana" w:cs="Arial"/>
          <w:spacing w:val="-12"/>
        </w:rPr>
        <w:t xml:space="preserve"> </w:t>
      </w:r>
      <w:r w:rsidRPr="00BE151B">
        <w:rPr>
          <w:rFonts w:ascii="Verdana" w:eastAsia="Arial MT" w:hAnsi="Verdana" w:cs="Arial"/>
        </w:rPr>
        <w:t>ley</w:t>
      </w:r>
      <w:r w:rsidRPr="00BE151B">
        <w:rPr>
          <w:rFonts w:ascii="Verdana" w:eastAsia="Arial MT" w:hAnsi="Verdana" w:cs="Arial"/>
          <w:spacing w:val="-12"/>
        </w:rPr>
        <w:t xml:space="preserve"> </w:t>
      </w:r>
      <w:r w:rsidRPr="00BE151B">
        <w:rPr>
          <w:rFonts w:ascii="Verdana" w:eastAsia="Arial MT" w:hAnsi="Verdana" w:cs="Arial"/>
        </w:rPr>
        <w:t xml:space="preserve">y su interpretación debe ser </w:t>
      </w:r>
      <w:r w:rsidRPr="00BE151B">
        <w:rPr>
          <w:rFonts w:ascii="Verdana" w:eastAsia="Arial MT" w:hAnsi="Verdana" w:cs="Arial"/>
          <w:i/>
        </w:rPr>
        <w:t>restrictiva</w:t>
      </w:r>
      <w:r w:rsidRPr="00BE151B">
        <w:rPr>
          <w:i/>
          <w:vertAlign w:val="superscript"/>
        </w:rPr>
        <w:footnoteReference w:id="2"/>
      </w:r>
      <w:r w:rsidRPr="00BE151B">
        <w:rPr>
          <w:rFonts w:ascii="Verdana" w:eastAsia="Arial MT" w:hAnsi="Verdana" w:cs="Arial"/>
        </w:rPr>
        <w:t>. De admitirse una interpretación</w:t>
      </w:r>
      <w:r w:rsidRPr="00BE151B">
        <w:rPr>
          <w:rFonts w:ascii="Verdana" w:eastAsia="Arial MT" w:hAnsi="Verdana" w:cs="Arial"/>
          <w:spacing w:val="1"/>
        </w:rPr>
        <w:t xml:space="preserve"> </w:t>
      </w:r>
      <w:r w:rsidRPr="00BE151B">
        <w:rPr>
          <w:rFonts w:ascii="Verdana" w:eastAsia="Arial MT" w:hAnsi="Verdana" w:cs="Arial"/>
        </w:rPr>
        <w:t>extensiva,</w:t>
      </w:r>
      <w:r w:rsidRPr="00BE151B">
        <w:rPr>
          <w:rFonts w:ascii="Verdana" w:eastAsia="Arial MT" w:hAnsi="Verdana" w:cs="Arial"/>
          <w:spacing w:val="1"/>
        </w:rPr>
        <w:t xml:space="preserve"> </w:t>
      </w:r>
      <w:r w:rsidRPr="00BE151B">
        <w:rPr>
          <w:rFonts w:ascii="Verdana" w:eastAsia="Arial MT" w:hAnsi="Verdana" w:cs="Arial"/>
        </w:rPr>
        <w:t>tales</w:t>
      </w:r>
      <w:r w:rsidRPr="00BE151B">
        <w:rPr>
          <w:rFonts w:ascii="Verdana" w:eastAsia="Arial MT" w:hAnsi="Verdana" w:cs="Arial"/>
          <w:spacing w:val="1"/>
        </w:rPr>
        <w:t xml:space="preserve"> </w:t>
      </w:r>
      <w:r w:rsidRPr="00BE151B">
        <w:rPr>
          <w:rFonts w:ascii="Verdana" w:eastAsia="Arial MT" w:hAnsi="Verdana" w:cs="Arial"/>
        </w:rPr>
        <w:t>enunciados</w:t>
      </w:r>
      <w:r w:rsidRPr="00BE151B">
        <w:rPr>
          <w:rFonts w:ascii="Verdana" w:eastAsia="Arial MT" w:hAnsi="Verdana" w:cs="Arial"/>
          <w:spacing w:val="1"/>
        </w:rPr>
        <w:t xml:space="preserve"> </w:t>
      </w:r>
      <w:r w:rsidRPr="00BE151B">
        <w:rPr>
          <w:rFonts w:ascii="Verdana" w:eastAsia="Arial MT" w:hAnsi="Verdana" w:cs="Arial"/>
        </w:rPr>
        <w:t>normativos</w:t>
      </w:r>
      <w:r w:rsidRPr="00BE151B">
        <w:rPr>
          <w:rFonts w:ascii="Verdana" w:eastAsia="Arial MT" w:hAnsi="Verdana" w:cs="Arial"/>
          <w:spacing w:val="1"/>
        </w:rPr>
        <w:t xml:space="preserve"> </w:t>
      </w:r>
      <w:r w:rsidRPr="00BE151B">
        <w:rPr>
          <w:rFonts w:ascii="Verdana" w:eastAsia="Arial MT" w:hAnsi="Verdana" w:cs="Arial"/>
        </w:rPr>
        <w:t>podrían</w:t>
      </w:r>
      <w:r w:rsidRPr="00BE151B">
        <w:rPr>
          <w:rFonts w:ascii="Verdana" w:eastAsia="Arial MT" w:hAnsi="Verdana" w:cs="Arial"/>
          <w:spacing w:val="1"/>
        </w:rPr>
        <w:t xml:space="preserve"> </w:t>
      </w:r>
      <w:r w:rsidRPr="00BE151B">
        <w:rPr>
          <w:rFonts w:ascii="Verdana" w:eastAsia="Arial MT" w:hAnsi="Verdana" w:cs="Arial"/>
        </w:rPr>
        <w:t>contemplar</w:t>
      </w:r>
      <w:r w:rsidRPr="00BE151B">
        <w:rPr>
          <w:rFonts w:ascii="Verdana" w:eastAsia="Arial MT" w:hAnsi="Verdana" w:cs="Arial"/>
          <w:spacing w:val="1"/>
        </w:rPr>
        <w:t xml:space="preserve"> </w:t>
      </w:r>
      <w:r w:rsidRPr="00BE151B">
        <w:rPr>
          <w:rFonts w:ascii="Verdana" w:eastAsia="Arial MT" w:hAnsi="Verdana" w:cs="Arial"/>
        </w:rPr>
        <w:t>múltiples</w:t>
      </w:r>
      <w:r w:rsidRPr="00BE151B">
        <w:rPr>
          <w:rFonts w:ascii="Verdana" w:eastAsia="Arial MT" w:hAnsi="Verdana" w:cs="Arial"/>
          <w:spacing w:val="1"/>
        </w:rPr>
        <w:t xml:space="preserve"> </w:t>
      </w:r>
      <w:r w:rsidRPr="00BE151B">
        <w:rPr>
          <w:rFonts w:ascii="Verdana" w:eastAsia="Arial MT" w:hAnsi="Verdana" w:cs="Arial"/>
        </w:rPr>
        <w:t>supuestos</w:t>
      </w:r>
      <w:r w:rsidRPr="00BE151B">
        <w:rPr>
          <w:rFonts w:ascii="Verdana" w:eastAsia="Arial MT" w:hAnsi="Verdana" w:cs="Arial"/>
          <w:spacing w:val="1"/>
        </w:rPr>
        <w:t xml:space="preserve"> </w:t>
      </w:r>
      <w:r w:rsidRPr="00BE151B">
        <w:rPr>
          <w:rFonts w:ascii="Verdana" w:eastAsia="Arial MT" w:hAnsi="Verdana" w:cs="Arial"/>
        </w:rPr>
        <w:t>indeterminados,</w:t>
      </w:r>
      <w:r w:rsidRPr="00BE151B">
        <w:rPr>
          <w:rFonts w:ascii="Verdana" w:eastAsia="Arial MT" w:hAnsi="Verdana" w:cs="Arial"/>
          <w:spacing w:val="-4"/>
        </w:rPr>
        <w:t xml:space="preserve"> </w:t>
      </w:r>
      <w:r w:rsidRPr="00BE151B">
        <w:rPr>
          <w:rFonts w:ascii="Verdana" w:eastAsia="Arial MT" w:hAnsi="Verdana" w:cs="Arial"/>
        </w:rPr>
        <w:t>adquiriendo</w:t>
      </w:r>
      <w:r w:rsidRPr="00BE151B">
        <w:rPr>
          <w:rFonts w:ascii="Verdana" w:eastAsia="Arial MT" w:hAnsi="Verdana" w:cs="Arial"/>
          <w:spacing w:val="-4"/>
        </w:rPr>
        <w:t xml:space="preserve"> </w:t>
      </w:r>
      <w:r w:rsidRPr="00BE151B">
        <w:rPr>
          <w:rFonts w:ascii="Verdana" w:eastAsia="Arial MT" w:hAnsi="Verdana" w:cs="Arial"/>
        </w:rPr>
        <w:t>un</w:t>
      </w:r>
      <w:r w:rsidRPr="00BE151B">
        <w:rPr>
          <w:rFonts w:ascii="Verdana" w:eastAsia="Arial MT" w:hAnsi="Verdana" w:cs="Arial"/>
          <w:spacing w:val="-4"/>
        </w:rPr>
        <w:t xml:space="preserve"> </w:t>
      </w:r>
      <w:r w:rsidRPr="00BE151B">
        <w:rPr>
          <w:rFonts w:ascii="Verdana" w:eastAsia="Arial MT" w:hAnsi="Verdana" w:cs="Arial"/>
        </w:rPr>
        <w:t>cariz</w:t>
      </w:r>
      <w:r w:rsidRPr="00BE151B">
        <w:rPr>
          <w:rFonts w:ascii="Verdana" w:eastAsia="Arial MT" w:hAnsi="Verdana" w:cs="Arial"/>
          <w:spacing w:val="-4"/>
        </w:rPr>
        <w:t xml:space="preserve"> </w:t>
      </w:r>
      <w:r w:rsidRPr="00BE151B">
        <w:rPr>
          <w:rFonts w:ascii="Verdana" w:eastAsia="Arial MT" w:hAnsi="Verdana" w:cs="Arial"/>
        </w:rPr>
        <w:t>subjetivo,</w:t>
      </w:r>
      <w:r w:rsidRPr="00BE151B">
        <w:rPr>
          <w:rFonts w:ascii="Verdana" w:eastAsia="Arial MT" w:hAnsi="Verdana" w:cs="Arial"/>
          <w:spacing w:val="-3"/>
        </w:rPr>
        <w:t xml:space="preserve"> </w:t>
      </w:r>
      <w:r w:rsidRPr="00BE151B">
        <w:rPr>
          <w:rFonts w:ascii="Verdana" w:eastAsia="Arial MT" w:hAnsi="Verdana" w:cs="Arial"/>
        </w:rPr>
        <w:t>según</w:t>
      </w:r>
      <w:r w:rsidRPr="00BE151B">
        <w:rPr>
          <w:rFonts w:ascii="Verdana" w:eastAsia="Arial MT" w:hAnsi="Verdana" w:cs="Arial"/>
          <w:spacing w:val="-4"/>
        </w:rPr>
        <w:t xml:space="preserve"> </w:t>
      </w:r>
      <w:r w:rsidRPr="00BE151B">
        <w:rPr>
          <w:rFonts w:ascii="Verdana" w:eastAsia="Arial MT" w:hAnsi="Verdana" w:cs="Arial"/>
        </w:rPr>
        <w:t>el</w:t>
      </w:r>
      <w:r w:rsidRPr="00BE151B">
        <w:rPr>
          <w:rFonts w:ascii="Verdana" w:eastAsia="Arial MT" w:hAnsi="Verdana" w:cs="Arial"/>
          <w:spacing w:val="-4"/>
        </w:rPr>
        <w:t xml:space="preserve"> </w:t>
      </w:r>
      <w:r w:rsidRPr="00BE151B">
        <w:rPr>
          <w:rFonts w:ascii="Verdana" w:eastAsia="Arial MT" w:hAnsi="Verdana" w:cs="Arial"/>
        </w:rPr>
        <w:t>parecer</w:t>
      </w:r>
      <w:r w:rsidRPr="00BE151B">
        <w:rPr>
          <w:rFonts w:ascii="Verdana" w:eastAsia="Arial MT" w:hAnsi="Verdana" w:cs="Arial"/>
          <w:spacing w:val="-4"/>
        </w:rPr>
        <w:t xml:space="preserve"> </w:t>
      </w:r>
      <w:r w:rsidRPr="00BE151B">
        <w:rPr>
          <w:rFonts w:ascii="Verdana" w:eastAsia="Arial MT" w:hAnsi="Verdana" w:cs="Arial"/>
        </w:rPr>
        <w:t>o</w:t>
      </w:r>
      <w:r w:rsidRPr="00BE151B">
        <w:rPr>
          <w:rFonts w:ascii="Verdana" w:eastAsia="Arial MT" w:hAnsi="Verdana" w:cs="Arial"/>
          <w:spacing w:val="-3"/>
        </w:rPr>
        <w:t xml:space="preserve"> </w:t>
      </w:r>
      <w:r w:rsidRPr="00BE151B">
        <w:rPr>
          <w:rFonts w:ascii="Verdana" w:eastAsia="Arial MT" w:hAnsi="Verdana" w:cs="Arial"/>
        </w:rPr>
        <w:t>el</w:t>
      </w:r>
      <w:r w:rsidRPr="00BE151B">
        <w:rPr>
          <w:rFonts w:ascii="Verdana" w:eastAsia="Arial MT" w:hAnsi="Verdana" w:cs="Arial"/>
          <w:spacing w:val="-4"/>
        </w:rPr>
        <w:t xml:space="preserve"> </w:t>
      </w:r>
      <w:r w:rsidRPr="00BE151B">
        <w:rPr>
          <w:rFonts w:ascii="Verdana" w:eastAsia="Arial MT" w:hAnsi="Verdana" w:cs="Arial"/>
        </w:rPr>
        <w:t>sentido</w:t>
      </w:r>
      <w:r w:rsidRPr="00BE151B">
        <w:rPr>
          <w:rFonts w:ascii="Verdana" w:eastAsia="Arial MT" w:hAnsi="Verdana" w:cs="Arial"/>
          <w:spacing w:val="-4"/>
        </w:rPr>
        <w:t xml:space="preserve"> </w:t>
      </w:r>
      <w:r w:rsidRPr="00BE151B">
        <w:rPr>
          <w:rFonts w:ascii="Verdana" w:eastAsia="Arial MT" w:hAnsi="Verdana" w:cs="Arial"/>
        </w:rPr>
        <w:t>común</w:t>
      </w:r>
      <w:r w:rsidRPr="00BE151B">
        <w:rPr>
          <w:rFonts w:ascii="Verdana" w:eastAsia="Arial MT" w:hAnsi="Verdana" w:cs="Arial"/>
          <w:spacing w:val="-4"/>
        </w:rPr>
        <w:t xml:space="preserve"> </w:t>
      </w:r>
      <w:r w:rsidRPr="00BE151B">
        <w:rPr>
          <w:rFonts w:ascii="Verdana" w:eastAsia="Arial MT" w:hAnsi="Verdana" w:cs="Arial"/>
        </w:rPr>
        <w:t>de los operadores jurídicos, poniendo en riesgo principios como la igualdad, el debido</w:t>
      </w:r>
      <w:r w:rsidRPr="00BE151B">
        <w:rPr>
          <w:rFonts w:ascii="Verdana" w:eastAsia="Arial MT" w:hAnsi="Verdana" w:cs="Arial"/>
          <w:spacing w:val="1"/>
        </w:rPr>
        <w:t xml:space="preserve"> </w:t>
      </w:r>
      <w:r w:rsidRPr="00BE151B">
        <w:rPr>
          <w:rFonts w:ascii="Verdana" w:eastAsia="Arial MT" w:hAnsi="Verdana" w:cs="Arial"/>
        </w:rPr>
        <w:t>proceso, la libre concurrencia y el ejercicio de la profesión u oficio. Tal ha sido la postura al interior de la jurisprudencia, tanto de la Corte Constitucional como de la Sección</w:t>
      </w:r>
      <w:r w:rsidRPr="00BE151B">
        <w:rPr>
          <w:rFonts w:ascii="Verdana" w:eastAsia="Arial MT" w:hAnsi="Verdana" w:cs="Arial"/>
          <w:spacing w:val="1"/>
        </w:rPr>
        <w:t xml:space="preserve"> </w:t>
      </w:r>
      <w:r w:rsidRPr="00BE151B">
        <w:rPr>
          <w:rFonts w:ascii="Verdana" w:eastAsia="Arial MT" w:hAnsi="Verdana" w:cs="Arial"/>
        </w:rPr>
        <w:t>Tercera</w:t>
      </w:r>
      <w:r w:rsidRPr="00BE151B">
        <w:rPr>
          <w:rFonts w:ascii="Verdana" w:eastAsia="Arial MT" w:hAnsi="Verdana" w:cs="Arial"/>
          <w:spacing w:val="-2"/>
        </w:rPr>
        <w:t xml:space="preserve"> </w:t>
      </w:r>
      <w:r w:rsidRPr="00BE151B">
        <w:rPr>
          <w:rFonts w:ascii="Verdana" w:eastAsia="Arial MT" w:hAnsi="Verdana" w:cs="Arial"/>
        </w:rPr>
        <w:t>del</w:t>
      </w:r>
      <w:r w:rsidRPr="00BE151B">
        <w:rPr>
          <w:rFonts w:ascii="Verdana" w:eastAsia="Arial MT" w:hAnsi="Verdana" w:cs="Arial"/>
          <w:spacing w:val="-1"/>
        </w:rPr>
        <w:t xml:space="preserve"> </w:t>
      </w:r>
      <w:r w:rsidRPr="00BE151B">
        <w:rPr>
          <w:rFonts w:ascii="Verdana" w:eastAsia="Arial MT" w:hAnsi="Verdana" w:cs="Arial"/>
        </w:rPr>
        <w:t>Consejo</w:t>
      </w:r>
      <w:r w:rsidRPr="00BE151B">
        <w:rPr>
          <w:rFonts w:ascii="Verdana" w:eastAsia="Arial MT" w:hAnsi="Verdana" w:cs="Arial"/>
          <w:spacing w:val="-1"/>
        </w:rPr>
        <w:t xml:space="preserve"> </w:t>
      </w:r>
      <w:r w:rsidRPr="00BE151B">
        <w:rPr>
          <w:rFonts w:ascii="Verdana" w:eastAsia="Arial MT" w:hAnsi="Verdana" w:cs="Arial"/>
        </w:rPr>
        <w:t>de</w:t>
      </w:r>
      <w:r w:rsidRPr="00BE151B">
        <w:rPr>
          <w:rFonts w:ascii="Verdana" w:eastAsia="Arial MT" w:hAnsi="Verdana" w:cs="Arial"/>
          <w:spacing w:val="-1"/>
        </w:rPr>
        <w:t xml:space="preserve"> </w:t>
      </w:r>
      <w:r w:rsidRPr="00BE151B">
        <w:rPr>
          <w:rFonts w:ascii="Verdana" w:eastAsia="Arial MT" w:hAnsi="Verdana" w:cs="Arial"/>
        </w:rPr>
        <w:t>Estado.</w:t>
      </w:r>
    </w:p>
    <w:p w14:paraId="099E59DD" w14:textId="77777777" w:rsidR="004D14DA" w:rsidRPr="00BE151B" w:rsidRDefault="004D14DA" w:rsidP="004D14DA">
      <w:pPr>
        <w:widowControl w:val="0"/>
        <w:autoSpaceDE w:val="0"/>
        <w:autoSpaceDN w:val="0"/>
        <w:spacing w:before="120" w:after="0" w:line="276" w:lineRule="auto"/>
        <w:ind w:firstLine="708"/>
        <w:jc w:val="both"/>
        <w:rPr>
          <w:rFonts w:ascii="Verdana" w:eastAsia="Arial MT" w:hAnsi="Verdana" w:cs="Arial"/>
        </w:rPr>
      </w:pPr>
      <w:r w:rsidRPr="00BE151B">
        <w:rPr>
          <w:rFonts w:ascii="Verdana" w:eastAsia="Arial MT" w:hAnsi="Verdana" w:cs="Arial"/>
        </w:rPr>
        <w:t>En</w:t>
      </w:r>
      <w:r w:rsidRPr="00BE151B">
        <w:rPr>
          <w:rFonts w:ascii="Verdana" w:eastAsia="Arial MT" w:hAnsi="Verdana" w:cs="Arial"/>
          <w:spacing w:val="-11"/>
        </w:rPr>
        <w:t xml:space="preserve"> </w:t>
      </w:r>
      <w:r w:rsidRPr="00BE151B">
        <w:rPr>
          <w:rFonts w:ascii="Verdana" w:eastAsia="Arial MT" w:hAnsi="Verdana" w:cs="Arial"/>
        </w:rPr>
        <w:t>efecto,</w:t>
      </w:r>
      <w:r w:rsidRPr="00BE151B">
        <w:rPr>
          <w:rFonts w:ascii="Verdana" w:eastAsia="Arial MT" w:hAnsi="Verdana" w:cs="Arial"/>
          <w:spacing w:val="-10"/>
        </w:rPr>
        <w:t xml:space="preserve"> </w:t>
      </w:r>
      <w:r w:rsidRPr="00BE151B">
        <w:rPr>
          <w:rFonts w:ascii="Verdana" w:eastAsia="Arial MT" w:hAnsi="Verdana" w:cs="Arial"/>
        </w:rPr>
        <w:t>el</w:t>
      </w:r>
      <w:r w:rsidRPr="00BE151B">
        <w:rPr>
          <w:rFonts w:ascii="Verdana" w:eastAsia="Arial MT" w:hAnsi="Verdana" w:cs="Arial"/>
          <w:spacing w:val="-10"/>
        </w:rPr>
        <w:t xml:space="preserve"> </w:t>
      </w:r>
      <w:r w:rsidRPr="00BE151B">
        <w:rPr>
          <w:rFonts w:ascii="Verdana" w:eastAsia="Arial MT" w:hAnsi="Verdana" w:cs="Arial"/>
        </w:rPr>
        <w:t>máximo</w:t>
      </w:r>
      <w:r w:rsidRPr="00BE151B">
        <w:rPr>
          <w:rFonts w:ascii="Verdana" w:eastAsia="Arial MT" w:hAnsi="Verdana" w:cs="Arial"/>
          <w:spacing w:val="-10"/>
        </w:rPr>
        <w:t xml:space="preserve"> </w:t>
      </w:r>
      <w:r w:rsidRPr="00BE151B">
        <w:rPr>
          <w:rFonts w:ascii="Verdana" w:eastAsia="Arial MT" w:hAnsi="Verdana" w:cs="Arial"/>
        </w:rPr>
        <w:t>tribunal</w:t>
      </w:r>
      <w:r w:rsidRPr="00BE151B">
        <w:rPr>
          <w:rFonts w:ascii="Verdana" w:eastAsia="Arial MT" w:hAnsi="Verdana" w:cs="Arial"/>
          <w:spacing w:val="-9"/>
        </w:rPr>
        <w:t xml:space="preserve"> </w:t>
      </w:r>
      <w:r w:rsidRPr="00BE151B">
        <w:rPr>
          <w:rFonts w:ascii="Verdana" w:eastAsia="Arial MT" w:hAnsi="Verdana" w:cs="Arial"/>
        </w:rPr>
        <w:t>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BE151B">
        <w:rPr>
          <w:rFonts w:ascii="Verdana" w:eastAsia="Arial MT" w:hAnsi="Verdana" w:cs="Arial"/>
          <w:vertAlign w:val="superscript"/>
        </w:rPr>
        <w:footnoteReference w:id="3"/>
      </w:r>
      <w:r w:rsidRPr="00BE151B">
        <w:rPr>
          <w:rFonts w:ascii="Verdana" w:eastAsia="Arial MT" w:hAnsi="Verdana" w:cs="Arial"/>
        </w:rPr>
        <w:t>. 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BE151B">
        <w:rPr>
          <w:rFonts w:ascii="Verdana" w:eastAsia="Arial MT" w:hAnsi="Verdana" w:cs="Arial"/>
          <w:vertAlign w:val="superscript"/>
        </w:rPr>
        <w:footnoteReference w:id="4"/>
      </w:r>
      <w:r w:rsidRPr="00BE151B">
        <w:rPr>
          <w:rFonts w:ascii="Verdana" w:eastAsia="Arial MT" w:hAnsi="Verdana" w:cs="Arial"/>
        </w:rPr>
        <w:t>. En tal sentido, la Sección Tercera ha señalado que:</w:t>
      </w:r>
    </w:p>
    <w:p w14:paraId="1AEA1C33" w14:textId="77777777" w:rsidR="004D14DA" w:rsidRPr="00BE151B" w:rsidRDefault="004D14DA" w:rsidP="004D14DA">
      <w:pPr>
        <w:widowControl w:val="0"/>
        <w:autoSpaceDE w:val="0"/>
        <w:autoSpaceDN w:val="0"/>
        <w:spacing w:after="0" w:line="276" w:lineRule="auto"/>
        <w:ind w:firstLine="708"/>
        <w:jc w:val="both"/>
        <w:rPr>
          <w:rFonts w:ascii="Verdana" w:eastAsia="Arial MT" w:hAnsi="Verdana" w:cs="Arial"/>
          <w:sz w:val="25"/>
        </w:rPr>
      </w:pPr>
    </w:p>
    <w:p w14:paraId="22488AC0" w14:textId="77777777" w:rsidR="004D14DA" w:rsidRPr="00BE151B" w:rsidRDefault="004D14DA" w:rsidP="004D14DA">
      <w:pPr>
        <w:widowControl w:val="0"/>
        <w:autoSpaceDE w:val="0"/>
        <w:autoSpaceDN w:val="0"/>
        <w:spacing w:after="0" w:line="240" w:lineRule="auto"/>
        <w:ind w:left="709" w:right="709"/>
        <w:jc w:val="both"/>
        <w:rPr>
          <w:rFonts w:ascii="Verdana" w:eastAsia="Calibri" w:hAnsi="Verdana" w:cs="Arial"/>
          <w:sz w:val="20"/>
          <w:szCs w:val="20"/>
        </w:rPr>
      </w:pPr>
      <w:r w:rsidRPr="00BE151B">
        <w:rPr>
          <w:rFonts w:ascii="Verdana" w:eastAsia="Arial MT" w:hAnsi="Verdana" w:cs="Arial"/>
          <w:sz w:val="20"/>
          <w:szCs w:val="20"/>
        </w:rPr>
        <w:t>“[…]</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conformidad</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con</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la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jurisprudencia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uniforme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y</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reiterada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esta</w:t>
      </w:r>
      <w:r w:rsidRPr="00BE151B">
        <w:rPr>
          <w:rFonts w:ascii="Verdana" w:eastAsia="Arial MT" w:hAnsi="Verdana" w:cs="Arial"/>
          <w:spacing w:val="-56"/>
          <w:sz w:val="20"/>
          <w:szCs w:val="20"/>
        </w:rPr>
        <w:t xml:space="preserve"> </w:t>
      </w:r>
      <w:r w:rsidRPr="00BE151B">
        <w:rPr>
          <w:rFonts w:ascii="Verdana" w:eastAsia="Arial MT" w:hAnsi="Verdana" w:cs="Arial"/>
          <w:sz w:val="20"/>
          <w:szCs w:val="20"/>
        </w:rPr>
        <w:t>Corporación, la aplicación de las normas que contemplan inhabilidades 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incompatibilidades,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como</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en</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general</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todas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aquellas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que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comportan</w:t>
      </w:r>
      <w:r w:rsidRPr="00BE151B">
        <w:rPr>
          <w:rFonts w:ascii="Verdana" w:eastAsia="Arial MT" w:hAnsi="Verdana" w:cs="Arial"/>
          <w:spacing w:val="-56"/>
          <w:sz w:val="20"/>
          <w:szCs w:val="20"/>
        </w:rPr>
        <w:t xml:space="preserve"> </w:t>
      </w:r>
      <w:r w:rsidRPr="00BE151B">
        <w:rPr>
          <w:rFonts w:ascii="Verdana" w:eastAsia="Arial MT" w:hAnsi="Verdana" w:cs="Arial"/>
          <w:sz w:val="20"/>
          <w:szCs w:val="20"/>
        </w:rPr>
        <w:t>prohibiciones</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o</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limitaciones,</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deben</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responder</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a</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una</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interpretación</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 xml:space="preserve">restrictiva </w:t>
      </w:r>
      <w:r w:rsidRPr="00BE151B">
        <w:rPr>
          <w:rFonts w:ascii="Verdana" w:eastAsia="Calibri" w:hAnsi="Verdana" w:cs="Arial"/>
          <w:sz w:val="20"/>
          <w:szCs w:val="20"/>
        </w:rPr>
        <w:t>que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no</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permite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su</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extensión,</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por</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vía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de</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la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figura</w:t>
      </w:r>
      <w:r w:rsidRPr="00BE151B">
        <w:rPr>
          <w:rFonts w:ascii="Verdana" w:eastAsia="Calibri" w:hAnsi="Verdana" w:cs="Arial"/>
          <w:spacing w:val="-4"/>
          <w:sz w:val="20"/>
          <w:szCs w:val="20"/>
        </w:rPr>
        <w:t xml:space="preserve"> </w:t>
      </w:r>
      <w:r w:rsidRPr="00BE151B">
        <w:rPr>
          <w:rFonts w:ascii="Verdana" w:eastAsia="Calibri" w:hAnsi="Verdana" w:cs="Arial"/>
          <w:sz w:val="20"/>
          <w:szCs w:val="20"/>
        </w:rPr>
        <w:t>de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la</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analogía,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a</w:t>
      </w:r>
      <w:r w:rsidRPr="00BE151B">
        <w:rPr>
          <w:rFonts w:ascii="Verdana" w:eastAsia="Calibri" w:hAnsi="Verdana" w:cs="Arial"/>
          <w:spacing w:val="-5"/>
          <w:sz w:val="20"/>
          <w:szCs w:val="20"/>
        </w:rPr>
        <w:t xml:space="preserve"> </w:t>
      </w:r>
      <w:r w:rsidRPr="00BE151B">
        <w:rPr>
          <w:rFonts w:ascii="Verdana" w:eastAsia="Arial MT" w:hAnsi="Verdana" w:cs="Arial"/>
          <w:sz w:val="20"/>
          <w:szCs w:val="20"/>
        </w:rPr>
        <w:t>supuestos no contemplados</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por</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el</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ordenamiento”</w:t>
      </w:r>
      <w:r w:rsidRPr="00BE151B">
        <w:rPr>
          <w:rFonts w:ascii="Verdana" w:eastAsia="Calibri" w:hAnsi="Verdana" w:cs="Arial"/>
          <w:sz w:val="20"/>
          <w:szCs w:val="20"/>
          <w:vertAlign w:val="superscript"/>
        </w:rPr>
        <w:footnoteReference w:id="5"/>
      </w:r>
      <w:r w:rsidRPr="00BE151B">
        <w:rPr>
          <w:rFonts w:ascii="Verdana" w:eastAsia="Calibri" w:hAnsi="Verdana" w:cs="Arial"/>
          <w:sz w:val="20"/>
          <w:szCs w:val="20"/>
        </w:rPr>
        <w:t>.</w:t>
      </w:r>
    </w:p>
    <w:p w14:paraId="53FFA065" w14:textId="77777777" w:rsidR="004D14DA" w:rsidRPr="00BE151B" w:rsidRDefault="004D14DA" w:rsidP="004D14DA">
      <w:pPr>
        <w:widowControl w:val="0"/>
        <w:autoSpaceDE w:val="0"/>
        <w:autoSpaceDN w:val="0"/>
        <w:spacing w:after="0" w:line="240" w:lineRule="auto"/>
        <w:ind w:left="709" w:right="709"/>
        <w:jc w:val="both"/>
        <w:rPr>
          <w:rFonts w:ascii="Verdana" w:eastAsia="Arial MT" w:hAnsi="Verdana" w:cs="Arial"/>
          <w:sz w:val="21"/>
        </w:rPr>
      </w:pPr>
    </w:p>
    <w:p w14:paraId="10B928D2" w14:textId="77777777" w:rsidR="004D14DA" w:rsidRPr="00BE151B" w:rsidRDefault="004D14DA" w:rsidP="004D14DA">
      <w:pPr>
        <w:widowControl w:val="0"/>
        <w:autoSpaceDE w:val="0"/>
        <w:autoSpaceDN w:val="0"/>
        <w:spacing w:after="0" w:line="240" w:lineRule="auto"/>
        <w:ind w:right="709" w:firstLine="708"/>
        <w:jc w:val="both"/>
        <w:rPr>
          <w:rFonts w:ascii="Verdana" w:eastAsia="Arial MT" w:hAnsi="Verdana" w:cs="Arial"/>
        </w:rPr>
      </w:pPr>
      <w:r w:rsidRPr="00BE151B">
        <w:rPr>
          <w:rFonts w:ascii="Verdana" w:eastAsia="Arial MT" w:hAnsi="Verdana" w:cs="Arial"/>
        </w:rPr>
        <w:t>En el mismo sentido ha expuesto que:</w:t>
      </w:r>
    </w:p>
    <w:p w14:paraId="2A5FC9DF" w14:textId="77777777" w:rsidR="004D14DA" w:rsidRPr="00BE151B" w:rsidRDefault="004D14DA" w:rsidP="004D14DA">
      <w:pPr>
        <w:widowControl w:val="0"/>
        <w:autoSpaceDE w:val="0"/>
        <w:autoSpaceDN w:val="0"/>
        <w:spacing w:after="0" w:line="240" w:lineRule="auto"/>
        <w:ind w:right="709"/>
        <w:jc w:val="both"/>
        <w:rPr>
          <w:rFonts w:ascii="Verdana" w:eastAsia="Arial MT" w:hAnsi="Verdana" w:cs="Arial"/>
        </w:rPr>
      </w:pPr>
    </w:p>
    <w:p w14:paraId="37D031BA" w14:textId="77777777" w:rsidR="004D14DA" w:rsidRPr="00BE151B" w:rsidRDefault="004D14DA" w:rsidP="004D14DA">
      <w:pPr>
        <w:widowControl w:val="0"/>
        <w:autoSpaceDE w:val="0"/>
        <w:autoSpaceDN w:val="0"/>
        <w:spacing w:after="0" w:line="240" w:lineRule="auto"/>
        <w:ind w:left="709" w:right="709"/>
        <w:jc w:val="both"/>
        <w:rPr>
          <w:rFonts w:ascii="Verdana" w:eastAsia="Arial MT" w:hAnsi="Verdana" w:cs="Arial"/>
          <w:sz w:val="20"/>
          <w:szCs w:val="20"/>
        </w:rPr>
      </w:pPr>
      <w:r w:rsidRPr="00BE151B">
        <w:rPr>
          <w:rFonts w:ascii="Verdana" w:eastAsia="Arial MT" w:hAnsi="Verdana" w:cs="Arial"/>
          <w:sz w:val="20"/>
          <w:szCs w:val="20"/>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BE151B">
        <w:rPr>
          <w:rFonts w:ascii="Verdana" w:eastAsia="Arial MT" w:hAnsi="Verdana" w:cs="Arial"/>
          <w:sz w:val="20"/>
          <w:szCs w:val="20"/>
          <w:vertAlign w:val="superscript"/>
        </w:rPr>
        <w:footnoteReference w:id="6"/>
      </w:r>
      <w:r w:rsidRPr="00BE151B">
        <w:rPr>
          <w:rFonts w:ascii="Verdana" w:eastAsia="Arial MT" w:hAnsi="Verdana" w:cs="Arial"/>
          <w:sz w:val="20"/>
          <w:szCs w:val="20"/>
        </w:rPr>
        <w:t>.</w:t>
      </w:r>
    </w:p>
    <w:p w14:paraId="49106B83" w14:textId="77777777" w:rsidR="004D14DA" w:rsidRPr="00BE151B" w:rsidRDefault="004D14DA" w:rsidP="004D14DA">
      <w:pPr>
        <w:widowControl w:val="0"/>
        <w:autoSpaceDE w:val="0"/>
        <w:autoSpaceDN w:val="0"/>
        <w:spacing w:after="0" w:line="240" w:lineRule="auto"/>
        <w:ind w:left="810" w:right="1243"/>
        <w:jc w:val="both"/>
        <w:rPr>
          <w:rFonts w:ascii="Verdana" w:eastAsia="Arial MT" w:hAnsi="Verdana" w:cs="Arial"/>
          <w:sz w:val="20"/>
        </w:rPr>
      </w:pPr>
    </w:p>
    <w:p w14:paraId="15F94A3F" w14:textId="77777777" w:rsidR="004D14DA" w:rsidRPr="00BE151B" w:rsidRDefault="004D14DA" w:rsidP="004D14DA">
      <w:pPr>
        <w:widowControl w:val="0"/>
        <w:autoSpaceDE w:val="0"/>
        <w:autoSpaceDN w:val="0"/>
        <w:spacing w:after="120" w:line="276" w:lineRule="auto"/>
        <w:ind w:firstLine="708"/>
        <w:jc w:val="both"/>
        <w:rPr>
          <w:rFonts w:ascii="Verdana" w:eastAsia="Arial" w:hAnsi="Verdana" w:cs="Arial"/>
          <w:color w:val="333333"/>
          <w:shd w:val="clear" w:color="auto" w:fill="FFFFFF"/>
          <w:lang w:eastAsia="es-ES" w:bidi="es-ES"/>
        </w:rPr>
      </w:pPr>
      <w:r w:rsidRPr="00BE151B">
        <w:rPr>
          <w:rFonts w:ascii="Verdana" w:eastAsia="Arial MT" w:hAnsi="Verdana" w:cs="Arial"/>
          <w:lang w:eastAsia="es-ES" w:bidi="es-ES"/>
        </w:rPr>
        <w:t xml:space="preserve">De igual forma, </w:t>
      </w:r>
      <w:r w:rsidRPr="00BE151B">
        <w:rPr>
          <w:rFonts w:ascii="Verdana" w:eastAsia="Arial" w:hAnsi="Verdana" w:cs="Arial"/>
          <w:lang w:eastAsia="es-ES" w:bidi="es-ES"/>
        </w:rPr>
        <w:t>la Corte Constitucional en jurisprudencia</w:t>
      </w:r>
      <w:r w:rsidRPr="00BE151B">
        <w:rPr>
          <w:vertAlign w:val="superscript"/>
          <w:lang w:eastAsia="es-ES" w:bidi="es-ES"/>
        </w:rPr>
        <w:footnoteReference w:id="7"/>
      </w:r>
      <w:r w:rsidRPr="00BE151B">
        <w:rPr>
          <w:rFonts w:ascii="Verdana" w:eastAsia="Arial" w:hAnsi="Verdana" w:cs="Arial"/>
          <w:lang w:eastAsia="es-ES" w:bidi="es-ES"/>
        </w:rPr>
        <w:t xml:space="preserve"> citada a su vez por el Consejo de Estado</w:t>
      </w:r>
      <w:r w:rsidRPr="00BE151B">
        <w:rPr>
          <w:vertAlign w:val="superscript"/>
          <w:lang w:eastAsia="es-ES" w:bidi="es-ES"/>
        </w:rPr>
        <w:footnoteReference w:id="8"/>
      </w:r>
      <w:r w:rsidRPr="00BE151B">
        <w:rPr>
          <w:rFonts w:ascii="Verdana" w:eastAsia="Arial" w:hAnsi="Verdana" w:cs="Arial"/>
          <w:lang w:eastAsia="es-ES" w:bidi="es-ES"/>
        </w:rPr>
        <w:t>,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w:t>
      </w:r>
      <w:r w:rsidRPr="00BE151B">
        <w:rPr>
          <w:rFonts w:ascii="Verdana" w:eastAsia="Arial" w:hAnsi="Verdana" w:cs="Arial"/>
          <w:i/>
          <w:lang w:eastAsia="es-ES" w:bidi="es-ES"/>
        </w:rPr>
        <w:t xml:space="preserve">, </w:t>
      </w:r>
      <w:r w:rsidRPr="00BE151B">
        <w:rPr>
          <w:rFonts w:ascii="Verdana" w:eastAsia="Arial MT" w:hAnsi="Verdana" w:cs="Arial"/>
          <w:i/>
          <w:lang w:eastAsia="es-ES" w:bidi="es-ES"/>
        </w:rPr>
        <w:t>“[…] l</w:t>
      </w:r>
      <w:r w:rsidRPr="00BE151B">
        <w:rPr>
          <w:rFonts w:ascii="Verdana" w:eastAsia="Arial" w:hAnsi="Verdana" w:cs="Arial"/>
          <w:i/>
          <w:color w:val="333333"/>
          <w:shd w:val="clear" w:color="auto" w:fill="FFFFFF"/>
          <w:lang w:eastAsia="es-ES" w:bidi="es-ES"/>
        </w:rPr>
        <w:t>a inhabilidad no es una pena sino una garantía de que el comportamiento anterior no afectará el desempeño de la función o cargo, de protección del interés general y de la idoneidad, probidad y moralidad del aspirante</w:t>
      </w:r>
      <w:r w:rsidRPr="00BE151B">
        <w:rPr>
          <w:rFonts w:ascii="Verdana" w:eastAsia="Arial MT" w:hAnsi="Verdana" w:cs="Arial"/>
          <w:i/>
          <w:lang w:eastAsia="es-ES" w:bidi="es-ES"/>
        </w:rPr>
        <w:t>”</w:t>
      </w:r>
      <w:r w:rsidRPr="00BE151B">
        <w:rPr>
          <w:rFonts w:ascii="Verdana" w:eastAsia="Arial" w:hAnsi="Verdana" w:cs="Arial"/>
          <w:color w:val="333333"/>
          <w:shd w:val="clear" w:color="auto" w:fill="FFFFFF"/>
          <w:vertAlign w:val="superscript"/>
          <w:lang w:eastAsia="es-ES" w:bidi="es-ES"/>
        </w:rPr>
        <w:t>12</w:t>
      </w:r>
      <w:r w:rsidRPr="00BE151B">
        <w:rPr>
          <w:rFonts w:ascii="Verdana" w:eastAsia="Arial" w:hAnsi="Verdana" w:cs="Arial"/>
          <w:color w:val="333333"/>
          <w:shd w:val="clear" w:color="auto" w:fill="FFFFFF"/>
          <w:lang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17A21B92" w14:textId="77777777" w:rsidR="004D14DA" w:rsidRPr="00BE151B" w:rsidRDefault="004D14DA" w:rsidP="004D14DA">
      <w:pPr>
        <w:spacing w:after="0" w:line="276" w:lineRule="auto"/>
        <w:ind w:firstLine="708"/>
        <w:jc w:val="both"/>
        <w:rPr>
          <w:rFonts w:ascii="Verdana" w:eastAsia="Calibri" w:hAnsi="Verdana" w:cs="Arial"/>
          <w:color w:val="000000"/>
          <w:szCs w:val="24"/>
        </w:rPr>
      </w:pPr>
      <w:r w:rsidRPr="00BE151B">
        <w:rPr>
          <w:rFonts w:ascii="Verdana" w:eastAsia="Arial" w:hAnsi="Verdana" w:cs="Arial"/>
          <w:color w:val="000000"/>
        </w:rPr>
        <w:t xml:space="preserve">Como se aprecia, el principio </w:t>
      </w:r>
      <w:r w:rsidRPr="00BE151B">
        <w:rPr>
          <w:rFonts w:ascii="Verdana" w:eastAsia="Arial" w:hAnsi="Verdana" w:cs="Arial"/>
          <w:i/>
          <w:color w:val="000000"/>
        </w:rPr>
        <w:t>pro libertate</w:t>
      </w:r>
      <w:r w:rsidRPr="00BE151B">
        <w:rPr>
          <w:rFonts w:ascii="Verdana" w:eastAsia="Arial" w:hAnsi="Verdana" w:cs="Arial"/>
          <w:color w:val="000000"/>
        </w:rPr>
        <w:t xml:space="preserve"> es el que debe dirigir la interpretación de las disposiciones normativas que consagran restricciones de derechos, como sucede con las causales de inhabilidad e incompatibilidad en la </w:t>
      </w:r>
      <w:r w:rsidRPr="00BE151B">
        <w:rPr>
          <w:rFonts w:ascii="Verdana" w:eastAsia="Arial" w:hAnsi="Verdana" w:cs="Arial"/>
          <w:color w:val="000000"/>
        </w:rPr>
        <w:lastRenderedPageBreak/>
        <w:t>contratación estatal. Además, en relación con la determinación de las causales de inhabilidad e incompatibilidad, la</w:t>
      </w:r>
      <w:r w:rsidRPr="00BE151B">
        <w:rPr>
          <w:rFonts w:ascii="Verdana" w:eastAsia="Calibri" w:hAnsi="Verdana" w:cs="Arial"/>
          <w:color w:val="000000"/>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41086ADC" w14:textId="77777777" w:rsidR="004D14DA" w:rsidRPr="00BE151B" w:rsidRDefault="004D14DA" w:rsidP="004D14DA">
      <w:pPr>
        <w:tabs>
          <w:tab w:val="left" w:pos="1532"/>
        </w:tabs>
        <w:spacing w:after="0" w:line="276" w:lineRule="auto"/>
        <w:jc w:val="both"/>
        <w:rPr>
          <w:rFonts w:ascii="Verdana" w:eastAsia="Calibri" w:hAnsi="Verdana" w:cs="Arial"/>
          <w:color w:val="000000"/>
        </w:rPr>
      </w:pPr>
      <w:r w:rsidRPr="00BE151B">
        <w:rPr>
          <w:rFonts w:ascii="Verdana" w:eastAsia="Calibri" w:hAnsi="Verdana" w:cs="Arial"/>
          <w:color w:val="000000"/>
          <w:sz w:val="24"/>
        </w:rPr>
        <w:tab/>
      </w:r>
    </w:p>
    <w:p w14:paraId="7AF843F3" w14:textId="77777777" w:rsidR="004D14DA" w:rsidRPr="00472C94" w:rsidRDefault="004D14DA" w:rsidP="004D14DA">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 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2153ACCD" w14:textId="77777777" w:rsidR="004D14DA" w:rsidRPr="00472C94" w:rsidRDefault="004D14DA" w:rsidP="004D14DA">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w:t>
      </w:r>
    </w:p>
    <w:p w14:paraId="22190120" w14:textId="77777777" w:rsidR="004D14DA" w:rsidRPr="00BE151B" w:rsidRDefault="004D14DA" w:rsidP="004D14DA">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BE151B">
        <w:rPr>
          <w:rFonts w:ascii="Verdana" w:eastAsia="Calibri" w:hAnsi="Verdana" w:cs="Arial"/>
          <w:color w:val="000000"/>
          <w:sz w:val="20"/>
          <w:szCs w:val="20"/>
        </w:rPr>
        <w:t>)”</w:t>
      </w:r>
      <w:r w:rsidRPr="00BE151B">
        <w:rPr>
          <w:rFonts w:ascii="Verdana" w:eastAsia="Calibri" w:hAnsi="Verdana" w:cs="Arial"/>
          <w:color w:val="000000"/>
          <w:sz w:val="20"/>
          <w:szCs w:val="20"/>
          <w:vertAlign w:val="superscript"/>
        </w:rPr>
        <w:footnoteReference w:id="9"/>
      </w:r>
      <w:r w:rsidRPr="00BE151B">
        <w:rPr>
          <w:rFonts w:ascii="Verdana" w:eastAsia="Calibri" w:hAnsi="Verdana" w:cs="Arial"/>
          <w:color w:val="000000"/>
          <w:sz w:val="20"/>
          <w:szCs w:val="20"/>
        </w:rPr>
        <w:t>.</w:t>
      </w:r>
    </w:p>
    <w:p w14:paraId="344CFB7F" w14:textId="77777777" w:rsidR="004D14DA" w:rsidRPr="00BE151B" w:rsidRDefault="004D14DA" w:rsidP="004D14DA">
      <w:pPr>
        <w:widowControl w:val="0"/>
        <w:autoSpaceDE w:val="0"/>
        <w:autoSpaceDN w:val="0"/>
        <w:spacing w:after="0" w:line="240" w:lineRule="auto"/>
        <w:ind w:left="1049" w:rightChars="709" w:right="1560" w:firstLine="709"/>
        <w:jc w:val="both"/>
        <w:rPr>
          <w:rFonts w:ascii="Verdana" w:eastAsia="Arial" w:hAnsi="Verdana" w:cs="Arial"/>
          <w:color w:val="333333"/>
          <w:shd w:val="clear" w:color="auto" w:fill="FFFFFF"/>
          <w:lang w:eastAsia="es-ES" w:bidi="es-ES"/>
        </w:rPr>
      </w:pPr>
    </w:p>
    <w:p w14:paraId="08590CEF" w14:textId="77777777" w:rsidR="004D14DA" w:rsidRPr="00BE151B" w:rsidRDefault="004D14DA" w:rsidP="004D14DA">
      <w:pPr>
        <w:widowControl w:val="0"/>
        <w:autoSpaceDE w:val="0"/>
        <w:autoSpaceDN w:val="0"/>
        <w:spacing w:after="120" w:line="276" w:lineRule="auto"/>
        <w:ind w:firstLine="709"/>
        <w:jc w:val="both"/>
        <w:rPr>
          <w:rFonts w:ascii="Verdana" w:eastAsia="Arial MT" w:hAnsi="Verdana" w:cs="Arial"/>
          <w:lang w:eastAsia="es-ES" w:bidi="es-ES"/>
        </w:rPr>
      </w:pPr>
      <w:r w:rsidRPr="00BE151B">
        <w:rPr>
          <w:rFonts w:ascii="Verdana" w:eastAsia="Arial MT" w:hAnsi="Verdana" w:cs="Arial"/>
          <w:lang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 de funciones públicas y para participar en procesos de contratación pública adelantados por las entidades estatales, según sea el caso.</w:t>
      </w:r>
    </w:p>
    <w:p w14:paraId="5B51DF79" w14:textId="77777777" w:rsidR="004D14DA" w:rsidRPr="00472C94" w:rsidRDefault="004D14DA" w:rsidP="004D14DA">
      <w:pPr>
        <w:spacing w:after="0" w:line="276" w:lineRule="auto"/>
        <w:ind w:firstLine="708"/>
        <w:jc w:val="both"/>
        <w:rPr>
          <w:rFonts w:ascii="Verdana" w:eastAsia="Calibri" w:hAnsi="Verdana" w:cs="Arial"/>
          <w:color w:val="000000"/>
        </w:rPr>
      </w:pPr>
      <w:r w:rsidRPr="00BE151B">
        <w:rPr>
          <w:rFonts w:ascii="Verdana" w:eastAsia="Arial MT" w:hAnsi="Verdana" w:cs="Arial"/>
          <w:lang w:eastAsia="es-ES" w:bidi="es-ES"/>
        </w:rPr>
        <w:t>Con relación al objeto de la consulta</w:t>
      </w:r>
      <w:r>
        <w:rPr>
          <w:rFonts w:ascii="Verdana" w:eastAsia="Arial MT" w:hAnsi="Verdana" w:cs="Arial"/>
          <w:lang w:eastAsia="es-ES" w:bidi="es-ES"/>
        </w:rPr>
        <w:t>, vale precisar el concepto de lo que se ha entendido jurisprudencialmente por incompatibilidad como, por ejemplo, la Sección Primera del Consejo de Estado que expresó que dicha figura consiste:</w:t>
      </w:r>
      <w:r w:rsidRPr="00472C94">
        <w:rPr>
          <w:rFonts w:ascii="Verdana" w:eastAsia="Calibri" w:hAnsi="Verdana" w:cs="Arial"/>
          <w:color w:val="000000"/>
        </w:rPr>
        <w:t xml:space="preserve">“[…] en la prohibición de ejercer dos actividades o realizar dos roles de manera simultánea, taxativamente señaladas en la Constitución o en la ley, de modo que para el caso de los servidores públicos se traduce en la prohibición de </w:t>
      </w:r>
      <w:r w:rsidRPr="00472C94">
        <w:rPr>
          <w:rFonts w:ascii="Verdana" w:eastAsia="Calibri" w:hAnsi="Verdana" w:cs="Arial"/>
          <w:color w:val="000000"/>
        </w:rPr>
        <w:lastRenderedPageBreak/>
        <w:t>desempeñar o ejercer otros cargos o realizar otras actividades distintas a las que corresponde a las funciones del cargo de que son titulares […]”</w:t>
      </w:r>
      <w:r w:rsidRPr="00472C94">
        <w:rPr>
          <w:rStyle w:val="Refdenotaalpie"/>
          <w:rFonts w:ascii="Verdana" w:eastAsia="Calibri" w:hAnsi="Verdana" w:cs="Arial"/>
          <w:color w:val="000000"/>
        </w:rPr>
        <w:footnoteReference w:id="10"/>
      </w:r>
      <w:r w:rsidRPr="00472C94">
        <w:rPr>
          <w:rFonts w:ascii="Verdana" w:eastAsia="Calibri" w:hAnsi="Verdana" w:cs="Arial"/>
          <w:color w:val="000000"/>
        </w:rPr>
        <w:t xml:space="preserve">. </w:t>
      </w:r>
    </w:p>
    <w:p w14:paraId="6EF71D11" w14:textId="77777777" w:rsidR="004D14DA" w:rsidRPr="00472C94" w:rsidRDefault="004D14DA" w:rsidP="004D14DA">
      <w:pPr>
        <w:widowControl w:val="0"/>
        <w:autoSpaceDE w:val="0"/>
        <w:autoSpaceDN w:val="0"/>
        <w:spacing w:after="0" w:line="276" w:lineRule="auto"/>
        <w:ind w:firstLine="709"/>
        <w:jc w:val="both"/>
        <w:rPr>
          <w:rFonts w:ascii="Verdana" w:eastAsia="Arial MT" w:hAnsi="Verdana" w:cs="Arial"/>
          <w:sz w:val="20"/>
          <w:szCs w:val="20"/>
          <w:lang w:eastAsia="es-ES" w:bidi="es-ES"/>
        </w:rPr>
      </w:pPr>
    </w:p>
    <w:p w14:paraId="1922F589" w14:textId="77777777" w:rsidR="004D14DA" w:rsidRDefault="004D14DA" w:rsidP="004D14DA">
      <w:pPr>
        <w:spacing w:line="276" w:lineRule="auto"/>
        <w:ind w:firstLine="708"/>
        <w:jc w:val="both"/>
        <w:rPr>
          <w:rFonts w:ascii="Verdana" w:eastAsia="Calibri" w:hAnsi="Verdana" w:cs="Arial"/>
          <w:color w:val="000000"/>
          <w:sz w:val="21"/>
          <w:szCs w:val="21"/>
        </w:rPr>
      </w:pPr>
      <w:r>
        <w:rPr>
          <w:rFonts w:ascii="Verdana" w:eastAsia="Arial MT" w:hAnsi="Verdana" w:cs="Arial"/>
          <w:lang w:eastAsia="es-ES" w:bidi="es-ES"/>
        </w:rPr>
        <w:t>Así mismo, la Sección Quinta del Consejo de Estado precisó que:</w:t>
      </w:r>
      <w:r w:rsidRPr="00472C94">
        <w:rPr>
          <w:rFonts w:ascii="Verdana" w:eastAsia="Arial MT" w:hAnsi="Verdana" w:cs="Arial"/>
          <w:lang w:eastAsia="es-ES" w:bidi="es-ES"/>
        </w:rPr>
        <w:t xml:space="preserve"> </w:t>
      </w:r>
      <w:r w:rsidRPr="00472C94">
        <w:rPr>
          <w:rFonts w:ascii="Verdana" w:eastAsia="Calibri" w:hAnsi="Verdana" w:cs="Arial"/>
          <w:i/>
          <w:color w:val="000000"/>
        </w:rPr>
        <w:t>“[…] [l]as incompatibilidades son todas aquellas actuaciones que le está prohibido realizar al funcionario durante el desempeño del cargo o con posterioridad, so pena de quedar sometido al régimen disciplinario correspondiente</w:t>
      </w:r>
      <w:r w:rsidRPr="00472C94">
        <w:rPr>
          <w:rFonts w:ascii="Verdana" w:eastAsia="Calibri" w:hAnsi="Verdana" w:cs="Arial"/>
          <w:i/>
          <w:iCs/>
          <w:color w:val="000000"/>
        </w:rPr>
        <w:t>[…]”</w:t>
      </w:r>
      <w:r w:rsidRPr="00472C94">
        <w:rPr>
          <w:rStyle w:val="Refdenotaalpie"/>
          <w:rFonts w:ascii="Verdana" w:eastAsia="Calibri" w:hAnsi="Verdana" w:cs="Arial"/>
          <w:i/>
          <w:color w:val="000000"/>
        </w:rPr>
        <w:footnoteReference w:id="11"/>
      </w:r>
      <w:r w:rsidRPr="00472C94">
        <w:rPr>
          <w:rFonts w:ascii="Verdana" w:eastAsia="Calibri" w:hAnsi="Verdana" w:cs="Arial"/>
          <w:i/>
          <w:color w:val="000000"/>
        </w:rPr>
        <w:t xml:space="preserve"> </w:t>
      </w:r>
      <w:r>
        <w:rPr>
          <w:rFonts w:ascii="Verdana" w:eastAsia="Arial MT" w:hAnsi="Verdana" w:cs="Arial"/>
          <w:lang w:eastAsia="es-ES" w:bidi="es-ES"/>
        </w:rPr>
        <w:t>En la misma línea, la Corte Constitucional, mediante la sentencia C-903 del 6 de diciembre de 2008, fue enfática en manifestar que:</w:t>
      </w:r>
      <w:r w:rsidRPr="00472C94">
        <w:rPr>
          <w:rFonts w:ascii="Verdana" w:eastAsia="Calibri" w:hAnsi="Verdana" w:cs="Arial"/>
          <w:color w:val="000000"/>
        </w:rPr>
        <w:t xml:space="preserve">“[…] una prohibición dirigida al titular de una función pública a quien, por ese hecho, </w:t>
      </w:r>
      <w:r w:rsidRPr="00C3309E">
        <w:rPr>
          <w:rFonts w:ascii="Verdana" w:eastAsia="Calibri" w:hAnsi="Verdana" w:cs="Arial"/>
          <w:bCs/>
          <w:color w:val="000000"/>
        </w:rPr>
        <w:t>se le impide ocuparse de ciertas actividades o ejercer, simultáneamente, las competencias propias de la función que desempeña y las correspondientes a otros cargos o empleos,</w:t>
      </w:r>
      <w:r w:rsidRPr="00472C94">
        <w:rPr>
          <w:rFonts w:ascii="Verdana" w:eastAsia="Calibri" w:hAnsi="Verdana" w:cs="Arial"/>
          <w:color w:val="000000"/>
        </w:rPr>
        <w:t xml:space="preserve">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472C94">
        <w:rPr>
          <w:rStyle w:val="Refdenotaalpie"/>
          <w:rFonts w:ascii="Verdana" w:eastAsia="Calibri" w:hAnsi="Verdana" w:cs="Arial"/>
          <w:color w:val="000000"/>
        </w:rPr>
        <w:footnoteReference w:id="12"/>
      </w:r>
      <w:r w:rsidRPr="00472C94">
        <w:rPr>
          <w:rFonts w:ascii="Verdana" w:eastAsia="Calibri" w:hAnsi="Verdana" w:cs="Arial"/>
          <w:color w:val="000000"/>
        </w:rPr>
        <w:t xml:space="preserve">  (Destacado fuera de texto).</w:t>
      </w:r>
    </w:p>
    <w:p w14:paraId="6D325305" w14:textId="77777777" w:rsidR="004D14DA" w:rsidRDefault="004D14DA" w:rsidP="004D14DA">
      <w:pPr>
        <w:widowControl w:val="0"/>
        <w:autoSpaceDE w:val="0"/>
        <w:autoSpaceDN w:val="0"/>
        <w:spacing w:after="120" w:line="276" w:lineRule="auto"/>
        <w:ind w:firstLine="709"/>
        <w:jc w:val="both"/>
        <w:rPr>
          <w:rFonts w:ascii="Verdana" w:eastAsia="Arial MT" w:hAnsi="Verdana" w:cs="Arial"/>
          <w:lang w:eastAsia="es-ES" w:bidi="es-ES"/>
        </w:rPr>
      </w:pPr>
      <w:r w:rsidRPr="00121DBA">
        <w:rPr>
          <w:rFonts w:ascii="Verdana" w:eastAsia="Calibri" w:hAnsi="Verdana" w:cs="Arial"/>
          <w:color w:val="000000"/>
        </w:rPr>
        <w:t>Ahora bien, en materia de contratación estatal, el Estatuto General</w:t>
      </w:r>
      <w:r>
        <w:rPr>
          <w:rFonts w:ascii="Verdana" w:eastAsia="Calibri" w:hAnsi="Verdana" w:cs="Arial"/>
          <w:color w:val="000000"/>
        </w:rPr>
        <w:t xml:space="preserve"> de Contratación</w:t>
      </w:r>
      <w:r w:rsidRPr="00121DBA">
        <w:rPr>
          <w:rFonts w:ascii="Verdana" w:eastAsia="Calibri" w:hAnsi="Verdana" w:cs="Arial"/>
          <w:color w:val="000000"/>
        </w:rPr>
        <w:t xml:space="preserve"> de l</w:t>
      </w:r>
      <w:r>
        <w:rPr>
          <w:rFonts w:ascii="Verdana" w:eastAsia="Calibri" w:hAnsi="Verdana" w:cs="Arial"/>
          <w:color w:val="000000"/>
        </w:rPr>
        <w:t xml:space="preserve">a Administración Pública – EGCAP establece en el artículo 8 numeral 2 las causales de incompatibilidades, como los supuestos del literal a) y f) que, en virtud de las preguntas formuladas, nos interesa abordar. Los literales a) y f) prohíben a las entidades públicas contratar, para la primera, con </w:t>
      </w:r>
      <w:r>
        <w:rPr>
          <w:rFonts w:ascii="Verdana" w:eastAsia="Arial MT" w:hAnsi="Verdana" w:cs="Arial"/>
          <w:lang w:eastAsia="es-ES" w:bidi="es-ES"/>
        </w:rPr>
        <w:t>i) miembros de la junta o consejo directivo o ii) servidores públicos, en cualquiera de sus clasificaciones, sean estos miembros de corporaciones públicas, sean empleados y/o trabajadores del Estado y/o de sus entidades descentralizadas territorialmente y/o por servicios, que hubiesen ejercido funciones en los niveles directivo, asesor o ejecutivo, en los que su vinculación hubiere terminado dentro del año inmediatamente anterior en la entidad contratante.</w:t>
      </w:r>
    </w:p>
    <w:p w14:paraId="3EA7E73E" w14:textId="77777777" w:rsidR="004D14DA" w:rsidRDefault="004D14DA" w:rsidP="004D14DA">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Para la segunda, dicha prohibición recae en exservidores públicos que hubiesen ejercido cargos en el nivel directivo en entidades del Estado y las sociedades en las cuales dichos exservidores púbicos hagan parte o estén vinculados a cualquier título, dentro de los (2) dos años siguientes al retiro del </w:t>
      </w:r>
      <w:r>
        <w:rPr>
          <w:rFonts w:ascii="Verdana" w:eastAsia="Arial MT" w:hAnsi="Verdana" w:cs="Arial"/>
          <w:lang w:eastAsia="es-ES" w:bidi="es-ES"/>
        </w:rPr>
        <w:lastRenderedPageBreak/>
        <w:t>ejercicio del cargo público, cuando el contrato que pretenden suscribir (sea el exservidor público persona natural o sea la sociedad en la que estos hagan parte o estén vinculados a la persona jurídica) establezcan por objeto contractual uno que tenga relación directa con el sector al cual prestó sus servicios. Según el inciso segundo del literal f), dicha incompatibilidad opera para las personas que se encuentren dentro del primer grado de consanguinidad, primero de afinidad, o primero civil del exempleado público.</w:t>
      </w:r>
    </w:p>
    <w:p w14:paraId="4A5F1C40" w14:textId="77777777" w:rsidR="004D14DA" w:rsidRDefault="004D14DA" w:rsidP="004D14DA">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Ante ese contexto, es claro que, para que se configuren las incompatibilidades, tanto del literal a), como la consagrada en el literal f), se antoja necesario el cumplimiento de todos los supuestos descritos en la norma. En otras palabras, en virtud de la aplicación restrictiva de las incompatibilidades, es menester que se presenten los elementos tanto materiales como temporales que exige dicha disposición. </w:t>
      </w:r>
    </w:p>
    <w:p w14:paraId="3DCB9E37" w14:textId="77777777" w:rsidR="004D14DA" w:rsidRDefault="004D14DA" w:rsidP="004D14DA">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Veamos a qué se hace referencia con los elementos materiales y temporales de las incompatibilidades en estudio: Para el caso de la incompatibilidad del literal a) los elementos materiales son: i) que el exservidor público hubiese integrado, sea una junta o consejo directivo o hubiese estado vinculado laboralmente como servidor público de la entidad contratante y ii) que las funciones que hubiese desempeñado dicho exfuncionario sean del nivel directivo, asesor o ejecutivo. De otro lado, el elemento temporal es i) que su retiro se hubiese presentado dentro del año inmediatamente anterior a la fecha de celebración del presunto contrato por celebrar. De tal forma que, para que se predique la configuración de la incompatibilidad referida, será necesario que, se presenten tanto los elementos materiales como elemento temporal. A falta de alguno de ellos, no habría configuración de dicha causal.</w:t>
      </w:r>
    </w:p>
    <w:p w14:paraId="47816B16" w14:textId="77777777" w:rsidR="004D14DA" w:rsidRDefault="004D14DA" w:rsidP="004D14DA">
      <w:pPr>
        <w:widowControl w:val="0"/>
        <w:autoSpaceDE w:val="0"/>
        <w:autoSpaceDN w:val="0"/>
        <w:spacing w:after="120" w:line="276" w:lineRule="auto"/>
        <w:ind w:firstLine="709"/>
        <w:jc w:val="both"/>
        <w:rPr>
          <w:rFonts w:ascii="Verdana" w:eastAsia="Calibri" w:hAnsi="Verdana" w:cs="Arial"/>
          <w:color w:val="000000"/>
        </w:rPr>
      </w:pPr>
      <w:r>
        <w:rPr>
          <w:rFonts w:ascii="Verdana" w:eastAsia="Arial MT" w:hAnsi="Verdana" w:cs="Arial"/>
          <w:lang w:eastAsia="es-ES" w:bidi="es-ES"/>
        </w:rPr>
        <w:t xml:space="preserve">Respecto de la incompatibilidad del literal b), los elementos materiales son: i) que la contratación pretendida sea directa (el exservidor público persona natural) o sea indirecta (la sociedad en la que el exservidor público haga parte o esté vinculado a cualquier título en dicha sociedad/persona jurídica), ii) que los cargos desempeñados correspondan al nivel directivo en entidades del Estado y iii) que el contrato pretendido tenga por objeto el desarrollo de actividades que tengan relación con el sector al cual prestaron sus servicios. Por otra parte, el elemento temporal es i) que su retiro se hubiese presentado dentro de los dos (2) años inmediatamente anteriores a la fecha de celebración del presunto contrato por celebrar. Igualmente, para que se predique la configuración de la incompatibilidad referida, será necesario que, se presenten tanto los elementos materiales como elemento temporal. A falta de alguno de </w:t>
      </w:r>
      <w:r>
        <w:rPr>
          <w:rFonts w:ascii="Verdana" w:eastAsia="Arial MT" w:hAnsi="Verdana" w:cs="Arial"/>
          <w:lang w:eastAsia="es-ES" w:bidi="es-ES"/>
        </w:rPr>
        <w:lastRenderedPageBreak/>
        <w:t>ellos, no habría configuración de dicha causal.</w:t>
      </w:r>
      <w:r>
        <w:rPr>
          <w:rFonts w:ascii="Verdana" w:eastAsia="Calibri" w:hAnsi="Verdana" w:cs="Arial"/>
          <w:color w:val="000000"/>
        </w:rPr>
        <w:t xml:space="preserve">  </w:t>
      </w:r>
    </w:p>
    <w:p w14:paraId="4AF6134B" w14:textId="77777777" w:rsidR="004D14DA" w:rsidRDefault="004D14DA" w:rsidP="004D14DA">
      <w:pPr>
        <w:widowControl w:val="0"/>
        <w:autoSpaceDE w:val="0"/>
        <w:autoSpaceDN w:val="0"/>
        <w:spacing w:after="120" w:line="276" w:lineRule="auto"/>
        <w:ind w:firstLine="709"/>
        <w:jc w:val="both"/>
        <w:rPr>
          <w:rFonts w:ascii="Verdana" w:eastAsia="Calibri" w:hAnsi="Verdana" w:cs="Arial"/>
          <w:color w:val="000000"/>
        </w:rPr>
      </w:pPr>
      <w:r>
        <w:rPr>
          <w:rFonts w:ascii="Verdana" w:eastAsia="Calibri" w:hAnsi="Verdana" w:cs="Arial"/>
          <w:color w:val="000000"/>
        </w:rPr>
        <w:t>Dichas prohibiciones pretenden</w:t>
      </w:r>
      <w:r w:rsidRPr="00DA4452">
        <w:rPr>
          <w:rFonts w:ascii="Verdana" w:eastAsia="Calibri" w:hAnsi="Verdana" w:cs="Arial"/>
          <w:color w:val="000000"/>
        </w:rPr>
        <w:t>, entre otros aspectos, evitar que personas que ostenta</w:t>
      </w:r>
      <w:r>
        <w:rPr>
          <w:rFonts w:ascii="Verdana" w:eastAsia="Calibri" w:hAnsi="Verdana" w:cs="Arial"/>
          <w:color w:val="000000"/>
        </w:rPr>
        <w:t>ron</w:t>
      </w:r>
      <w:r w:rsidRPr="00DA4452">
        <w:rPr>
          <w:rFonts w:ascii="Verdana" w:eastAsia="Calibri" w:hAnsi="Verdana" w:cs="Arial"/>
          <w:color w:val="000000"/>
        </w:rPr>
        <w:t xml:space="preserve"> cargos a los que alude la norma, saquen ventaja o provecho de dicha situación respecto de los demás participantes, o que puedan ejercer influencia en la celebración del contrato, violando los principios de igualdad, objetividad, moralidad y transparencia, los cuales justifican la limitación en el ejercicio de ciertas actividades por los servidores públicos durante y aún después de la dejación de sus correspondientes cargos</w:t>
      </w:r>
      <w:r>
        <w:rPr>
          <w:rFonts w:ascii="Verdana" w:eastAsia="Calibri" w:hAnsi="Verdana" w:cs="Arial"/>
          <w:color w:val="000000"/>
        </w:rPr>
        <w:t xml:space="preserve"> e incluso, para el caso de la causal contenida en el literal f), restricciones a personas que tengan grados de consanguinidad afinidad o civil con el exservidor público.</w:t>
      </w:r>
    </w:p>
    <w:p w14:paraId="5D4EF817" w14:textId="77777777" w:rsidR="004D14DA" w:rsidRDefault="004D14DA" w:rsidP="004D14DA">
      <w:pPr>
        <w:widowControl w:val="0"/>
        <w:autoSpaceDE w:val="0"/>
        <w:autoSpaceDN w:val="0"/>
        <w:spacing w:after="120" w:line="276" w:lineRule="auto"/>
        <w:ind w:firstLine="709"/>
        <w:jc w:val="both"/>
        <w:rPr>
          <w:rFonts w:ascii="Verdana" w:eastAsia="Calibri" w:hAnsi="Verdana" w:cs="Arial"/>
          <w:color w:val="000000"/>
        </w:rPr>
      </w:pPr>
      <w:r>
        <w:rPr>
          <w:rFonts w:ascii="Verdana" w:eastAsia="Calibri" w:hAnsi="Verdana" w:cs="Arial"/>
          <w:color w:val="000000"/>
        </w:rPr>
        <w:t>En cualquier caso, la incompatibilidad del literal f) del numeral 2 del artículo 8 de la Ley 80 de 1993 fue examinada y reiterada su constitucionalidad, mediante la Sentencia C-257 del 7 de mayo de 2013</w:t>
      </w:r>
      <w:r>
        <w:rPr>
          <w:rStyle w:val="Refdenotaalpie"/>
          <w:rFonts w:ascii="Verdana" w:eastAsia="Calibri" w:hAnsi="Verdana" w:cs="Arial"/>
          <w:color w:val="000000"/>
        </w:rPr>
        <w:footnoteReference w:id="13"/>
      </w:r>
      <w:r>
        <w:rPr>
          <w:rFonts w:ascii="Verdana" w:eastAsia="Calibri" w:hAnsi="Verdana" w:cs="Arial"/>
          <w:color w:val="000000"/>
        </w:rPr>
        <w:t>, la cual resolvió demanda de inconstitucionalidad en contra del del inciso 1 del artículo 3 y el artículo 4 de la Ley 1474 de 2011, siendo esta última la disposición que incorporó dicha causal en el Estatuto General.  En la demanda, el ciudadano planteó argumentos orientados a que se declarara su inconstitucionalidad por cuanto consideraba que dicha norma i) violaba el derecho a la personalidad jurídica consagrado en el artículo 14 de la Constitución Política de Colombia, en razón a que impedía a las personas que hayan desempeñado una función pública como directivos contratar con el Estado precisamente en las áreas que corresponden y son más apropiados para aplicar su conocimiento, especialidad y experiencia; ii) manifestaba que la medida no es idónea dado que ya existían otros mecanismos menos gravosos para los derechos fundamentales para lograr la finalidad que persigue y está dirigida contra quienes ya no tienen injerencia; iii) además, señaló que la restricción era excesiva frente a los beneficios buscados, lo mismo que el plazo previsto si se toma en cuenta que para muchas personas la contratación pública con el Estado es la fuente de su subsistencia.</w:t>
      </w:r>
    </w:p>
    <w:p w14:paraId="39906E03" w14:textId="77777777" w:rsidR="004D14DA" w:rsidRPr="005B7C42" w:rsidRDefault="004D14DA" w:rsidP="004D14DA">
      <w:pPr>
        <w:widowControl w:val="0"/>
        <w:autoSpaceDE w:val="0"/>
        <w:autoSpaceDN w:val="0"/>
        <w:spacing w:after="0" w:line="276" w:lineRule="auto"/>
        <w:ind w:firstLine="709"/>
        <w:jc w:val="both"/>
        <w:rPr>
          <w:rFonts w:ascii="Verdana" w:eastAsia="Calibri" w:hAnsi="Verdana" w:cs="Arial"/>
          <w:sz w:val="21"/>
          <w:szCs w:val="21"/>
        </w:rPr>
      </w:pPr>
    </w:p>
    <w:p w14:paraId="74D932E4" w14:textId="77777777" w:rsidR="004D14DA" w:rsidRPr="005B7C42" w:rsidRDefault="004D14DA" w:rsidP="004D14DA">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4B8251CF" w14:textId="77777777" w:rsidR="004D14DA" w:rsidRPr="005B7C42" w:rsidRDefault="004D14DA" w:rsidP="004D14D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D14DA" w:rsidRPr="005B7C42" w14:paraId="07239010" w14:textId="77777777" w:rsidTr="004F03A1">
        <w:trPr>
          <w:trHeight w:val="870"/>
        </w:trPr>
        <w:tc>
          <w:tcPr>
            <w:tcW w:w="8647" w:type="dxa"/>
          </w:tcPr>
          <w:p w14:paraId="61894B23" w14:textId="77777777" w:rsidR="004D14DA" w:rsidRPr="00BE151B" w:rsidRDefault="004D14DA" w:rsidP="004D14DA">
            <w:pPr>
              <w:pStyle w:val="Prrafodelista"/>
              <w:widowControl w:val="0"/>
              <w:numPr>
                <w:ilvl w:val="0"/>
                <w:numId w:val="1"/>
              </w:numPr>
              <w:autoSpaceDE w:val="0"/>
              <w:autoSpaceDN w:val="0"/>
              <w:spacing w:line="276" w:lineRule="auto"/>
              <w:jc w:val="both"/>
              <w:rPr>
                <w:rFonts w:ascii="Verdana" w:hAnsi="Verdana" w:cs="Arial"/>
              </w:rPr>
            </w:pPr>
            <w:r w:rsidRPr="00BE151B">
              <w:rPr>
                <w:rFonts w:ascii="Verdana" w:hAnsi="Verdana" w:cs="Arial"/>
              </w:rPr>
              <w:t xml:space="preserve">Constitución Política, artículo </w:t>
            </w:r>
            <w:r>
              <w:rPr>
                <w:rFonts w:ascii="Verdana" w:hAnsi="Verdana" w:cs="Arial"/>
              </w:rPr>
              <w:t>14, 150</w:t>
            </w:r>
            <w:r w:rsidRPr="00BE151B">
              <w:rPr>
                <w:rFonts w:ascii="Verdana" w:hAnsi="Verdana" w:cs="Arial"/>
              </w:rPr>
              <w:t>.</w:t>
            </w:r>
          </w:p>
          <w:p w14:paraId="6B146EDB" w14:textId="77777777" w:rsidR="004D14DA" w:rsidRDefault="004D14DA" w:rsidP="004D14DA">
            <w:pPr>
              <w:pStyle w:val="Prrafodelista"/>
              <w:widowControl w:val="0"/>
              <w:numPr>
                <w:ilvl w:val="0"/>
                <w:numId w:val="1"/>
              </w:numPr>
              <w:autoSpaceDE w:val="0"/>
              <w:autoSpaceDN w:val="0"/>
              <w:spacing w:line="276" w:lineRule="auto"/>
              <w:jc w:val="both"/>
              <w:rPr>
                <w:rFonts w:ascii="Verdana" w:hAnsi="Verdana" w:cs="Arial"/>
              </w:rPr>
            </w:pPr>
            <w:r w:rsidRPr="00BE151B">
              <w:rPr>
                <w:rFonts w:ascii="Verdana" w:hAnsi="Verdana" w:cs="Arial"/>
              </w:rPr>
              <w:t>Ley 80 de 1993, artículo</w:t>
            </w:r>
            <w:r>
              <w:rPr>
                <w:rFonts w:ascii="Verdana" w:hAnsi="Verdana" w:cs="Arial"/>
              </w:rPr>
              <w:t xml:space="preserve"> 8, numeral 2, literales a) y f).</w:t>
            </w:r>
          </w:p>
          <w:p w14:paraId="09EDAC0B" w14:textId="77777777" w:rsidR="004D14DA" w:rsidRPr="00BE151B" w:rsidRDefault="004D14DA" w:rsidP="004D14DA">
            <w:pPr>
              <w:pStyle w:val="Prrafodelista"/>
              <w:widowControl w:val="0"/>
              <w:numPr>
                <w:ilvl w:val="0"/>
                <w:numId w:val="1"/>
              </w:numPr>
              <w:autoSpaceDE w:val="0"/>
              <w:autoSpaceDN w:val="0"/>
              <w:spacing w:line="276" w:lineRule="auto"/>
              <w:jc w:val="both"/>
              <w:rPr>
                <w:rFonts w:ascii="Verdana" w:hAnsi="Verdana" w:cs="Arial"/>
              </w:rPr>
            </w:pPr>
            <w:r>
              <w:rPr>
                <w:rFonts w:ascii="Verdana" w:eastAsia="Arial MT" w:hAnsi="Verdana" w:cs="Arial"/>
                <w:lang w:eastAsia="es-ES" w:bidi="es-ES"/>
              </w:rPr>
              <w:t xml:space="preserve">Concepto </w:t>
            </w:r>
            <w:r w:rsidRPr="001F7D25">
              <w:rPr>
                <w:rFonts w:ascii="Verdana" w:eastAsia="Arial MT" w:hAnsi="Verdana" w:cs="Arial"/>
                <w:lang w:eastAsia="es-ES" w:bidi="es-ES"/>
              </w:rPr>
              <w:t>48991 de 2020 Departamento Administrativo de la Función Pública</w:t>
            </w:r>
            <w:r>
              <w:rPr>
                <w:rFonts w:ascii="Verdana" w:eastAsia="Arial MT" w:hAnsi="Verdana" w:cs="Arial"/>
                <w:lang w:eastAsia="es-ES" w:bidi="es-ES"/>
              </w:rPr>
              <w:t xml:space="preserve"> – DAFP </w:t>
            </w:r>
          </w:p>
          <w:p w14:paraId="7DEDC56F" w14:textId="77777777" w:rsidR="004D14DA"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5597F">
              <w:rPr>
                <w:rFonts w:ascii="Verdana" w:hAnsi="Verdana" w:cs="Arial"/>
                <w:lang w:val="pt-BR"/>
              </w:rPr>
              <w:lastRenderedPageBreak/>
              <w:t xml:space="preserve">Corte Constitucional. Sentencia T-1039 de 2006. </w:t>
            </w:r>
            <w:r w:rsidRPr="00BE151B">
              <w:rPr>
                <w:rFonts w:ascii="Verdana" w:hAnsi="Verdana" w:cs="Arial"/>
              </w:rPr>
              <w:t>Magistrado Ponente: Humberto Sierra Porto.</w:t>
            </w:r>
          </w:p>
          <w:p w14:paraId="25BC304E" w14:textId="77777777" w:rsidR="004D14DA" w:rsidRPr="00045F95"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045F95">
              <w:rPr>
                <w:rFonts w:ascii="Verdana" w:eastAsia="Arial MT" w:hAnsi="Verdana" w:cs="Arial"/>
                <w:lang w:val="pt-BR" w:eastAsia="es-ES" w:bidi="es-ES"/>
              </w:rPr>
              <w:t xml:space="preserve">Corte Constitucional, Sentencia C-903 de 2008. </w:t>
            </w:r>
            <w:r>
              <w:rPr>
                <w:rFonts w:ascii="Verdana" w:eastAsia="Arial MT" w:hAnsi="Verdana" w:cs="Arial"/>
                <w:lang w:val="pt-BR" w:eastAsia="es-ES" w:bidi="es-ES"/>
              </w:rPr>
              <w:t>Magistrado Ponente:</w:t>
            </w:r>
            <w:r>
              <w:t xml:space="preserve"> </w:t>
            </w:r>
            <w:r w:rsidRPr="00045F95">
              <w:rPr>
                <w:rFonts w:ascii="Verdana" w:eastAsia="Arial MT" w:hAnsi="Verdana" w:cs="Arial"/>
                <w:lang w:val="pt-BR" w:eastAsia="es-ES" w:bidi="es-ES"/>
              </w:rPr>
              <w:t>Jaime Araujo Rentería</w:t>
            </w:r>
            <w:r>
              <w:rPr>
                <w:rFonts w:ascii="Verdana" w:eastAsia="Arial MT" w:hAnsi="Verdana" w:cs="Arial"/>
                <w:lang w:val="pt-BR" w:eastAsia="es-ES" w:bidi="es-ES"/>
              </w:rPr>
              <w:t>.</w:t>
            </w:r>
          </w:p>
          <w:p w14:paraId="3F95F947" w14:textId="77777777" w:rsidR="004D14DA" w:rsidRPr="00045F95"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045F95">
              <w:rPr>
                <w:rFonts w:ascii="Verdana" w:hAnsi="Verdana" w:cs="Arial"/>
                <w:lang w:val="pt-BR"/>
              </w:rPr>
              <w:t xml:space="preserve">Corte Constitucional. Sentencia C-257 de 2013. </w:t>
            </w:r>
            <w:r>
              <w:rPr>
                <w:rFonts w:ascii="Verdana" w:eastAsia="Arial MT" w:hAnsi="Verdana" w:cs="Arial"/>
                <w:lang w:val="pt-BR" w:eastAsia="es-ES" w:bidi="es-ES"/>
              </w:rPr>
              <w:t>Magistrado Ponente</w:t>
            </w:r>
            <w:r>
              <w:rPr>
                <w:rFonts w:ascii="Verdana" w:hAnsi="Verdana" w:cs="Arial"/>
                <w:lang w:val="pt-BR"/>
              </w:rPr>
              <w:t xml:space="preserve">: </w:t>
            </w:r>
            <w:r w:rsidRPr="00045F95">
              <w:rPr>
                <w:rFonts w:ascii="Verdana" w:hAnsi="Verdana" w:cs="Arial"/>
                <w:lang w:val="pt-BR"/>
              </w:rPr>
              <w:t>Jaime Córdoba Triviño</w:t>
            </w:r>
            <w:r>
              <w:rPr>
                <w:rFonts w:ascii="Verdana" w:hAnsi="Verdana" w:cs="Arial"/>
                <w:lang w:val="pt-BR"/>
              </w:rPr>
              <w:t>.</w:t>
            </w:r>
          </w:p>
          <w:p w14:paraId="7788E391" w14:textId="77777777" w:rsidR="004D14DA" w:rsidRPr="00BE151B"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Consejo de Estado. Sala de Consulta y Servicio Civil. Concepto del 30 de abril de 2015. Expediente: 2251. Consejero Ponente: Álvaro Namén Vargas.</w:t>
            </w:r>
          </w:p>
          <w:p w14:paraId="598F3C84" w14:textId="77777777" w:rsidR="004D14DA" w:rsidRPr="00BE151B"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Consejo de Estado. Sección Tercera. Subsección A. Sentencia del 24 de junio de 2015. Exp. 40.635. Consejero Ponente: Hernán Andrade Rincón (E).</w:t>
            </w:r>
          </w:p>
          <w:p w14:paraId="6711841E" w14:textId="77777777" w:rsidR="004D14DA" w:rsidRPr="00BE151B"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Consejo de Estado. Sección Tercera. Subsección C. Sentencia del 22 de mayo de 2013. Exp. 24.057. Consejera Ponente: Olga Melida Valle De La Hoz.</w:t>
            </w:r>
          </w:p>
          <w:p w14:paraId="26066FE1" w14:textId="77777777" w:rsidR="004D14DA" w:rsidRPr="00BE151B"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Corte Constitucional, sentencia C- 373 de 2002, Magistrado ponente Jaime Córdoba Triviño.</w:t>
            </w:r>
          </w:p>
          <w:p w14:paraId="5FFEE3AD" w14:textId="77777777" w:rsidR="004D14DA" w:rsidRPr="00BE151B"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Corte Constitucional, sentencia C-325 de 2009, Magistrado ponente Gabriel Eduardo Mendoza Martelo.</w:t>
            </w:r>
          </w:p>
          <w:p w14:paraId="507154FD" w14:textId="77777777" w:rsidR="004D14DA" w:rsidRPr="00BE151B" w:rsidRDefault="004D14DA" w:rsidP="004D14D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Consejo de Estado, Sentencia 00111 del 13 de junio de 2019, Sala de lo Contencioso Administrativo, Sección Quinta 00111 del 13 de junio de 2019, consejera ponente Rocío Araújo Oñate.</w:t>
            </w:r>
          </w:p>
          <w:p w14:paraId="26D65264" w14:textId="77777777" w:rsidR="004D14DA" w:rsidRPr="000C0AD4" w:rsidRDefault="004D14DA" w:rsidP="004D14DA">
            <w:pPr>
              <w:pStyle w:val="Prrafodelista"/>
              <w:numPr>
                <w:ilvl w:val="0"/>
                <w:numId w:val="1"/>
              </w:numPr>
              <w:spacing w:after="120"/>
              <w:contextualSpacing w:val="0"/>
              <w:jc w:val="both"/>
              <w:rPr>
                <w:rFonts w:ascii="Verdana" w:eastAsia="Calibri" w:hAnsi="Verdana" w:cs="Arial"/>
                <w:shd w:val="clear" w:color="auto" w:fill="FFFFFF"/>
              </w:rPr>
            </w:pPr>
            <w:r w:rsidRPr="00BE151B">
              <w:rPr>
                <w:rFonts w:ascii="Verdana" w:hAnsi="Verdana" w:cs="Arial"/>
              </w:rPr>
              <w:t>Barreto Moreno, Antonio Alejandro. Inhabilidades de la contratación estatal, efectos y neopunitivismo en el Estatuto Anticorrupción. En: ALVIAR GARCÍA, Helena (Coordinadora). Nuevas tendencias del Derecho administrativo. Bogotá: Universidad de los Andes; Temis, 2016.</w:t>
            </w:r>
          </w:p>
        </w:tc>
      </w:tr>
    </w:tbl>
    <w:p w14:paraId="7A5A5F18" w14:textId="77777777" w:rsidR="004D14DA" w:rsidRPr="005B7C42" w:rsidRDefault="004D14DA" w:rsidP="004D14D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7FF1F24" w14:textId="77777777" w:rsidR="004D14DA" w:rsidRPr="005B7C42" w:rsidRDefault="004D14DA" w:rsidP="004D14D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115A9900" w14:textId="77777777" w:rsidR="004D14DA" w:rsidRPr="005B7C42" w:rsidRDefault="004D14DA" w:rsidP="004D14DA">
      <w:pPr>
        <w:spacing w:after="0" w:line="276" w:lineRule="auto"/>
        <w:ind w:firstLine="709"/>
        <w:jc w:val="both"/>
        <w:rPr>
          <w:rFonts w:ascii="Verdana" w:eastAsia="Times New Roman" w:hAnsi="Verdana" w:cs="Arial"/>
          <w:szCs w:val="24"/>
          <w:lang w:eastAsia="es-ES_tradnl"/>
        </w:rPr>
      </w:pPr>
    </w:p>
    <w:p w14:paraId="5BAC3E49" w14:textId="77777777" w:rsidR="004D14DA" w:rsidRPr="005B7C42" w:rsidRDefault="004D14DA" w:rsidP="004D14DA">
      <w:pPr>
        <w:widowControl w:val="0"/>
        <w:autoSpaceDE w:val="0"/>
        <w:autoSpaceDN w:val="0"/>
        <w:spacing w:after="0" w:line="276" w:lineRule="auto"/>
        <w:jc w:val="both"/>
        <w:rPr>
          <w:rStyle w:val="normaltextrun"/>
          <w:rFonts w:ascii="Verdana" w:hAnsi="Verdana"/>
          <w:color w:val="000000"/>
        </w:rPr>
      </w:pPr>
      <w:r w:rsidRPr="00BE151B">
        <w:rPr>
          <w:rFonts w:ascii="Verdana" w:eastAsia="Calibri" w:hAnsi="Verdana" w:cs="Arial"/>
          <w:lang w:eastAsia="es-ES_tradnl"/>
        </w:rPr>
        <w:t xml:space="preserve">Sobre el régimen de inhabilidades e incompatibilidades se pronunció esta Subdirección en los conceptos </w:t>
      </w:r>
      <w:r w:rsidRPr="00BE151B">
        <w:rPr>
          <w:rFonts w:ascii="Verdana" w:eastAsia="Calibri" w:hAnsi="Verdana" w:cs="Arial"/>
        </w:rPr>
        <w:t xml:space="preserve">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w:t>
      </w:r>
      <w:r w:rsidRPr="00BE151B">
        <w:rPr>
          <w:rFonts w:ascii="Verdana" w:eastAsia="Calibri" w:hAnsi="Verdana" w:cs="Arial"/>
        </w:rPr>
        <w:lastRenderedPageBreak/>
        <w:t>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BE151B">
        <w:rPr>
          <w:rFonts w:ascii="Verdana" w:hAnsi="Verdana" w:cs="Arial"/>
        </w:rPr>
        <w:t>. También se ha pronunciado sobre el conflicto de interés en los conceptos C-229 del 16 de abril de 2020, C-815 del 18 de febrero de 2021, C-449 del 31 de agosto de 2021</w:t>
      </w:r>
      <w:r>
        <w:rPr>
          <w:rFonts w:ascii="Verdana" w:hAnsi="Verdana" w:cs="Arial"/>
        </w:rPr>
        <w:t>,</w:t>
      </w:r>
      <w:r w:rsidRPr="00BE151B">
        <w:rPr>
          <w:rFonts w:ascii="Verdana" w:hAnsi="Verdana" w:cs="Arial"/>
        </w:rPr>
        <w:t xml:space="preserve"> C-288 del 14 de julio de 2023</w:t>
      </w:r>
      <w:r>
        <w:rPr>
          <w:rFonts w:ascii="Verdana" w:hAnsi="Verdana" w:cs="Arial"/>
        </w:rPr>
        <w:t xml:space="preserve"> y C-405 del 11 de septiembre de 2024</w:t>
      </w:r>
      <w:r>
        <w:rPr>
          <w:rFonts w:ascii="Verdana" w:eastAsia="Calibri" w:hAnsi="Verdana" w:cs="Arial"/>
          <w:shd w:val="clear" w:color="auto" w:fill="FFFFFF"/>
        </w:rPr>
        <w:t>. Estos y otros conceptos los podrá consultar en el siguiente enlace:</w:t>
      </w:r>
    </w:p>
    <w:p w14:paraId="79DE5394" w14:textId="77777777" w:rsidR="004D14DA" w:rsidRPr="005B7C42" w:rsidRDefault="004D14DA" w:rsidP="004D14DA">
      <w:pPr>
        <w:widowControl w:val="0"/>
        <w:autoSpaceDE w:val="0"/>
        <w:autoSpaceDN w:val="0"/>
        <w:spacing w:after="0" w:line="276" w:lineRule="auto"/>
        <w:jc w:val="both"/>
        <w:rPr>
          <w:rStyle w:val="normaltextrun"/>
          <w:rFonts w:ascii="Verdana" w:hAnsi="Verdana"/>
          <w:color w:val="000000"/>
        </w:rPr>
      </w:pPr>
    </w:p>
    <w:p w14:paraId="61394588" w14:textId="77777777" w:rsidR="004D14DA" w:rsidRPr="005B7C42" w:rsidRDefault="004D14DA" w:rsidP="004D14DA">
      <w:pPr>
        <w:widowControl w:val="0"/>
        <w:autoSpaceDE w:val="0"/>
        <w:autoSpaceDN w:val="0"/>
        <w:spacing w:after="0" w:line="276" w:lineRule="auto"/>
        <w:jc w:val="both"/>
        <w:rPr>
          <w:rFonts w:ascii="Verdana" w:eastAsia="Calibri" w:hAnsi="Verdana" w:cs="Arial"/>
          <w:lang w:eastAsia="es-ES_tradnl"/>
        </w:rPr>
      </w:pPr>
      <w:hyperlink r:id="rId10"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6D2D5A7B" w14:textId="77777777" w:rsidR="004D14DA" w:rsidRPr="005B7C42" w:rsidRDefault="004D14DA" w:rsidP="004D14DA">
      <w:pPr>
        <w:widowControl w:val="0"/>
        <w:autoSpaceDE w:val="0"/>
        <w:autoSpaceDN w:val="0"/>
        <w:spacing w:after="0" w:line="276" w:lineRule="auto"/>
        <w:jc w:val="both"/>
        <w:rPr>
          <w:rFonts w:ascii="Verdana" w:eastAsia="Calibri" w:hAnsi="Verdana" w:cs="Arial"/>
          <w:lang w:eastAsia="es-ES_tradnl"/>
        </w:rPr>
      </w:pPr>
    </w:p>
    <w:p w14:paraId="7FF505FC" w14:textId="77777777" w:rsidR="004D14DA" w:rsidRDefault="004D14DA" w:rsidP="004D14DA">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75F38490" w14:textId="77777777" w:rsidR="004D14DA" w:rsidRDefault="004D14DA" w:rsidP="004D14DA">
      <w:pPr>
        <w:spacing w:after="0" w:line="240" w:lineRule="auto"/>
        <w:jc w:val="both"/>
        <w:rPr>
          <w:rFonts w:ascii="Verdana" w:eastAsia="Calibri" w:hAnsi="Verdana" w:cs="Arial"/>
          <w:shd w:val="clear" w:color="auto" w:fill="FFFFFF"/>
          <w:lang w:val="es-ES"/>
        </w:rPr>
      </w:pPr>
    </w:p>
    <w:p w14:paraId="1A31776F" w14:textId="77777777" w:rsidR="004D14DA" w:rsidRDefault="004D14DA" w:rsidP="004D14DA">
      <w:pPr>
        <w:spacing w:after="0" w:line="240" w:lineRule="auto"/>
        <w:jc w:val="both"/>
        <w:rPr>
          <w:rFonts w:ascii="Verdana" w:eastAsia="Calibri" w:hAnsi="Verdana" w:cs="Arial"/>
          <w:lang w:eastAsia="es-ES_tradnl"/>
        </w:rPr>
      </w:pPr>
      <w:hyperlink r:id="rId11" w:tgtFrame="_blank" w:tooltip="https://www.colombiacompra.gov.co/sites/cce_public/files/cce_documents/manual_para_el_manejo_de_acuerdos_comerciales_vf.pdf" w:history="1">
        <w:r w:rsidRPr="003871F0">
          <w:rPr>
            <w:rStyle w:val="Hipervnculo"/>
            <w:rFonts w:ascii="Verdana" w:eastAsia="Calibri" w:hAnsi="Verdana" w:cs="Arial"/>
            <w:lang w:eastAsia="es-ES_tradnl"/>
          </w:rPr>
          <w:t>manual_para_el_manejo_de_acuerdos_comerciales_vf.pdf</w:t>
        </w:r>
      </w:hyperlink>
    </w:p>
    <w:p w14:paraId="76BF9F2F" w14:textId="77777777" w:rsidR="004D14DA" w:rsidRPr="003871F0" w:rsidRDefault="004D14DA" w:rsidP="004D14DA">
      <w:pPr>
        <w:spacing w:after="0" w:line="240" w:lineRule="auto"/>
        <w:jc w:val="both"/>
        <w:rPr>
          <w:rFonts w:ascii="Verdana" w:eastAsia="Calibri" w:hAnsi="Verdana" w:cs="Arial"/>
          <w:lang w:eastAsia="es-ES_tradnl"/>
        </w:rPr>
      </w:pPr>
    </w:p>
    <w:p w14:paraId="304AC151" w14:textId="77777777" w:rsidR="004D14DA" w:rsidRDefault="004D14DA" w:rsidP="004D14DA">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t xml:space="preserve">También le invitamos a consultar la versión VII de 2024, del Boletín de Relatoría de la Subdirección de Gestión Contractual relacionado con las ASOCIACIONES PÚBLICO POPULARES, el cual se puede descargar en la página web de la Agencia: </w:t>
      </w:r>
    </w:p>
    <w:p w14:paraId="3EE701FD" w14:textId="77777777" w:rsidR="004D14DA" w:rsidRDefault="004D14DA" w:rsidP="004D14DA">
      <w:pPr>
        <w:spacing w:after="0" w:line="240" w:lineRule="auto"/>
        <w:jc w:val="both"/>
        <w:rPr>
          <w:rFonts w:ascii="Verdana" w:eastAsia="Calibri" w:hAnsi="Verdana" w:cs="Arial"/>
          <w:lang w:eastAsia="es-ES_tradnl"/>
        </w:rPr>
      </w:pPr>
    </w:p>
    <w:p w14:paraId="3F441E47" w14:textId="77777777" w:rsidR="004D14DA" w:rsidRPr="00BE151B" w:rsidRDefault="004D14DA" w:rsidP="004D14DA">
      <w:pPr>
        <w:spacing w:after="0" w:line="240" w:lineRule="auto"/>
        <w:jc w:val="both"/>
        <w:rPr>
          <w:rFonts w:ascii="Verdana" w:hAnsi="Verdana"/>
        </w:rPr>
      </w:pPr>
      <w:hyperlink r:id="rId12"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334A5BB1" w14:textId="77777777" w:rsidR="004D14DA" w:rsidRPr="005B7C42" w:rsidRDefault="004D14DA" w:rsidP="004D14DA">
      <w:pPr>
        <w:spacing w:after="0" w:line="240" w:lineRule="auto"/>
        <w:jc w:val="both"/>
        <w:rPr>
          <w:rFonts w:ascii="Verdana" w:hAnsi="Verdana"/>
        </w:rPr>
      </w:pPr>
    </w:p>
    <w:p w14:paraId="46AC5D3B" w14:textId="77777777" w:rsidR="004D14DA" w:rsidRPr="005B7C42" w:rsidRDefault="004D14DA" w:rsidP="004D14DA">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5D8188A8" w14:textId="77777777" w:rsidR="004D14DA" w:rsidRPr="005B7C42" w:rsidRDefault="004D14DA" w:rsidP="004D14DA">
      <w:pPr>
        <w:spacing w:after="0" w:line="240" w:lineRule="auto"/>
        <w:jc w:val="both"/>
        <w:rPr>
          <w:rFonts w:ascii="Verdana" w:hAnsi="Verdana"/>
        </w:rPr>
      </w:pPr>
    </w:p>
    <w:p w14:paraId="4D648845" w14:textId="77777777" w:rsidR="004D14DA" w:rsidRPr="005B7C42" w:rsidRDefault="004D14DA" w:rsidP="004D14DA">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24CCA6D8" w14:textId="77777777" w:rsidR="004D14DA" w:rsidRPr="005B7C42" w:rsidRDefault="004D14DA" w:rsidP="004D14DA">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5A2975E6" w14:textId="77777777" w:rsidR="004D14DA" w:rsidRPr="005B7C42" w:rsidRDefault="004D14DA" w:rsidP="004D14DA">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039CD2B3" w14:textId="77777777" w:rsidR="004D14DA" w:rsidRPr="005B7C42" w:rsidRDefault="004D14DA" w:rsidP="004D14DA">
      <w:pPr>
        <w:widowControl w:val="0"/>
        <w:autoSpaceDE w:val="0"/>
        <w:autoSpaceDN w:val="0"/>
        <w:spacing w:after="0" w:line="276" w:lineRule="auto"/>
        <w:jc w:val="both"/>
        <w:rPr>
          <w:rFonts w:ascii="Verdana" w:hAnsi="Verdana"/>
        </w:rPr>
      </w:pPr>
    </w:p>
    <w:p w14:paraId="324BBDD9" w14:textId="77777777" w:rsidR="004D14DA" w:rsidRPr="005B7C42" w:rsidRDefault="004D14DA" w:rsidP="004D14DA">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EBEF6BD" w14:textId="77777777" w:rsidR="004D14DA" w:rsidRPr="005B7C42" w:rsidRDefault="004D14DA" w:rsidP="004D14DA">
      <w:pPr>
        <w:spacing w:after="0" w:line="276" w:lineRule="auto"/>
        <w:ind w:firstLine="709"/>
        <w:jc w:val="both"/>
        <w:rPr>
          <w:rFonts w:ascii="Verdana" w:eastAsia="Times New Roman" w:hAnsi="Verdana" w:cs="Arial"/>
          <w:szCs w:val="24"/>
          <w:lang w:eastAsia="es-ES_tradnl"/>
        </w:rPr>
      </w:pPr>
    </w:p>
    <w:p w14:paraId="1F0C8063" w14:textId="77777777" w:rsidR="004D14DA" w:rsidRPr="005B7C42" w:rsidRDefault="004D14DA" w:rsidP="004D14DA">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3DA613A2" w14:textId="144B1819" w:rsidR="004D14DA" w:rsidRPr="005B7C42" w:rsidRDefault="004D1DC3" w:rsidP="004D14DA">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1FE83FEA" wp14:editId="2BE8BCC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4D14DA" w:rsidRPr="005B7C42" w14:paraId="46C0E523" w14:textId="77777777" w:rsidTr="004F03A1">
        <w:trPr>
          <w:trHeight w:val="286"/>
        </w:trPr>
        <w:tc>
          <w:tcPr>
            <w:tcW w:w="893" w:type="dxa"/>
            <w:vAlign w:val="center"/>
            <w:hideMark/>
          </w:tcPr>
          <w:p w14:paraId="274BF423" w14:textId="77777777" w:rsidR="004D14DA" w:rsidRPr="005B7C42" w:rsidRDefault="004D14DA" w:rsidP="004F03A1">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7E1A4BA" w14:textId="77777777" w:rsidR="004D14DA" w:rsidRPr="005B7C42" w:rsidRDefault="004D14DA" w:rsidP="004F03A1">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16794E63" w14:textId="77777777" w:rsidR="004D14DA" w:rsidRPr="005B7C42" w:rsidRDefault="004D14DA" w:rsidP="004F03A1">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4D14DA" w:rsidRPr="005B7C42" w14:paraId="341400F1" w14:textId="77777777" w:rsidTr="004F03A1">
        <w:trPr>
          <w:trHeight w:val="299"/>
        </w:trPr>
        <w:tc>
          <w:tcPr>
            <w:tcW w:w="893" w:type="dxa"/>
            <w:vAlign w:val="center"/>
            <w:hideMark/>
          </w:tcPr>
          <w:p w14:paraId="712339E4" w14:textId="77777777" w:rsidR="004D14DA" w:rsidRPr="005B7C42" w:rsidRDefault="004D14DA" w:rsidP="004F03A1">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6F70D949" w14:textId="77777777" w:rsidR="004D14DA" w:rsidRPr="005B7C42" w:rsidRDefault="004D14DA" w:rsidP="004F03A1">
            <w:pPr>
              <w:rPr>
                <w:rFonts w:ascii="Verdana" w:eastAsia="Times New Roman" w:hAnsi="Verdana" w:cs="Arial"/>
                <w:sz w:val="16"/>
                <w:szCs w:val="16"/>
                <w:lang w:eastAsia="es-ES"/>
              </w:rPr>
            </w:pPr>
            <w:r>
              <w:rPr>
                <w:rFonts w:ascii="Verdana" w:eastAsia="Times New Roman" w:hAnsi="Verdana" w:cs="Arial"/>
                <w:sz w:val="16"/>
                <w:szCs w:val="16"/>
                <w:lang w:eastAsia="es-ES"/>
              </w:rPr>
              <w:t>Adriana Katerine López Rodríguez</w:t>
            </w:r>
          </w:p>
          <w:p w14:paraId="574CB04B" w14:textId="77777777" w:rsidR="004D14DA" w:rsidRPr="005B7C42" w:rsidRDefault="004D14DA" w:rsidP="004F03A1">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4D14DA" w:rsidRPr="005B7C42" w14:paraId="11C5D546" w14:textId="77777777" w:rsidTr="004F03A1">
        <w:trPr>
          <w:trHeight w:val="272"/>
        </w:trPr>
        <w:tc>
          <w:tcPr>
            <w:tcW w:w="893" w:type="dxa"/>
            <w:vAlign w:val="center"/>
            <w:hideMark/>
          </w:tcPr>
          <w:p w14:paraId="7E74F344" w14:textId="77777777" w:rsidR="004D14DA" w:rsidRPr="005B7C42" w:rsidRDefault="004D14DA" w:rsidP="004F03A1">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67A5701C" w14:textId="77777777" w:rsidR="004D14DA" w:rsidRPr="005B7C42" w:rsidRDefault="004D14DA" w:rsidP="004F03A1">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50CADE7A" w14:textId="77777777" w:rsidR="004D14DA" w:rsidRPr="005B7C42" w:rsidRDefault="004D14DA" w:rsidP="004F03A1">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6D93A7EF" w14:textId="77777777" w:rsidR="004D14DA" w:rsidRPr="005B7C42" w:rsidRDefault="004D14DA" w:rsidP="004D14DA">
      <w:pPr>
        <w:spacing w:after="0" w:line="276" w:lineRule="auto"/>
        <w:jc w:val="both"/>
        <w:rPr>
          <w:rFonts w:ascii="Verdana" w:eastAsia="Times New Roman" w:hAnsi="Verdana" w:cs="Arial"/>
        </w:rPr>
      </w:pPr>
    </w:p>
    <w:p w14:paraId="549E5CEE" w14:textId="77777777" w:rsidR="004D14DA" w:rsidRDefault="004D14DA" w:rsidP="004D14DA"/>
    <w:p w14:paraId="5A5FFFE2" w14:textId="77777777" w:rsidR="004D14DA" w:rsidRPr="009E4B6D" w:rsidRDefault="004D14DA" w:rsidP="004D14DA"/>
    <w:p w14:paraId="2A19B295" w14:textId="77777777" w:rsidR="00C24FFE" w:rsidRDefault="00C24FFE"/>
    <w:sectPr w:rsidR="00C24FFE" w:rsidSect="004D14DA">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CD12F6" w14:textId="77777777" w:rsidR="00E74F87" w:rsidRDefault="00E74F87" w:rsidP="004D14DA">
      <w:pPr>
        <w:spacing w:after="0" w:line="240" w:lineRule="auto"/>
      </w:pPr>
      <w:r>
        <w:separator/>
      </w:r>
    </w:p>
  </w:endnote>
  <w:endnote w:type="continuationSeparator" w:id="0">
    <w:p w14:paraId="5F3F6410" w14:textId="77777777" w:rsidR="00E74F87" w:rsidRDefault="00E74F87" w:rsidP="004D1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1A8854" w14:textId="77777777" w:rsidR="003108A4" w:rsidRDefault="003108A4">
    <w:pPr>
      <w:pStyle w:val="Piedepgina"/>
    </w:pPr>
  </w:p>
  <w:p w14:paraId="0DECE47F" w14:textId="77777777" w:rsidR="003108A4"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40697C7" w14:textId="77777777" w:rsidR="003108A4"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BF99D9D" w14:textId="77777777" w:rsidR="003108A4"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52204E3A" w14:textId="77777777" w:rsidR="003108A4"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D4196" w14:textId="77777777" w:rsidR="00E74F87" w:rsidRDefault="00E74F87" w:rsidP="004D14DA">
      <w:pPr>
        <w:spacing w:after="0" w:line="240" w:lineRule="auto"/>
      </w:pPr>
      <w:r>
        <w:separator/>
      </w:r>
    </w:p>
  </w:footnote>
  <w:footnote w:type="continuationSeparator" w:id="0">
    <w:p w14:paraId="5824A035" w14:textId="77777777" w:rsidR="00E74F87" w:rsidRDefault="00E74F87" w:rsidP="004D14DA">
      <w:pPr>
        <w:spacing w:after="0" w:line="240" w:lineRule="auto"/>
      </w:pPr>
      <w:r>
        <w:continuationSeparator/>
      </w:r>
    </w:p>
  </w:footnote>
  <w:footnote w:id="1">
    <w:p w14:paraId="67413F47" w14:textId="77777777" w:rsidR="004D14DA" w:rsidRPr="00F17499" w:rsidRDefault="004D14DA" w:rsidP="004D14DA">
      <w:pPr>
        <w:spacing w:after="0" w:line="240" w:lineRule="auto"/>
        <w:ind w:firstLine="709"/>
        <w:jc w:val="both"/>
        <w:rPr>
          <w:rFonts w:ascii="Verdana" w:hAnsi="Verdana" w:cs="Arial"/>
          <w:color w:val="000000"/>
          <w:sz w:val="12"/>
          <w:szCs w:val="12"/>
        </w:rPr>
      </w:pPr>
      <w:r w:rsidRPr="00F17499">
        <w:rPr>
          <w:rStyle w:val="Refdenotaalpie"/>
          <w:rFonts w:ascii="Verdana" w:hAnsi="Verdana" w:cs="Arial"/>
          <w:color w:val="000000"/>
          <w:sz w:val="12"/>
          <w:szCs w:val="12"/>
        </w:rPr>
        <w:footnoteRef/>
      </w:r>
      <w:r w:rsidRPr="00F17499">
        <w:rPr>
          <w:rFonts w:ascii="Verdana" w:hAnsi="Verdana" w:cs="Arial"/>
          <w:color w:val="000000"/>
          <w:sz w:val="12"/>
          <w:szCs w:val="12"/>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4D257550" w14:textId="77777777" w:rsidR="004D14DA" w:rsidRPr="00F17499" w:rsidRDefault="004D14DA" w:rsidP="004D14DA">
      <w:pPr>
        <w:spacing w:after="0" w:line="240" w:lineRule="auto"/>
        <w:ind w:firstLine="709"/>
        <w:jc w:val="both"/>
        <w:rPr>
          <w:rFonts w:ascii="Verdana" w:hAnsi="Verdana" w:cs="Arial"/>
          <w:color w:val="000000"/>
          <w:sz w:val="12"/>
          <w:szCs w:val="12"/>
        </w:rPr>
      </w:pPr>
    </w:p>
  </w:footnote>
  <w:footnote w:id="2">
    <w:p w14:paraId="31126BD5" w14:textId="77777777" w:rsidR="004D14DA" w:rsidRPr="00F17499" w:rsidRDefault="004D14DA" w:rsidP="004D14DA">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Ibíd., p. 69</w:t>
      </w:r>
    </w:p>
  </w:footnote>
  <w:footnote w:id="3">
    <w:p w14:paraId="2ABFA831" w14:textId="77777777" w:rsidR="004D14DA" w:rsidRPr="00F17499" w:rsidRDefault="004D14DA" w:rsidP="004D14DA">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15A4232A" w14:textId="77777777" w:rsidR="004D14DA" w:rsidRPr="00F17499" w:rsidRDefault="004D14DA" w:rsidP="004D14DA">
      <w:pPr>
        <w:pStyle w:val="Textonotapie"/>
        <w:ind w:firstLine="709"/>
        <w:jc w:val="both"/>
        <w:rPr>
          <w:rFonts w:ascii="Verdana" w:hAnsi="Verdana" w:cs="Arial"/>
          <w:color w:val="000000"/>
          <w:sz w:val="12"/>
          <w:szCs w:val="12"/>
          <w:lang w:val="es-CO"/>
        </w:rPr>
      </w:pPr>
    </w:p>
  </w:footnote>
  <w:footnote w:id="4">
    <w:p w14:paraId="54E5C10C" w14:textId="77777777" w:rsidR="004D14DA" w:rsidRPr="00F17499" w:rsidRDefault="004D14DA" w:rsidP="004D14DA">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Consejo de Estado. Sala de Consulta y Servicio Civil. Concepto del 30 de abril de 2015. Expediente: 2251. Consejero Ponente: Álvaro Namén Vargas.</w:t>
      </w:r>
    </w:p>
    <w:p w14:paraId="0D2BCB72" w14:textId="77777777" w:rsidR="004D14DA" w:rsidRPr="00F17499" w:rsidRDefault="004D14DA" w:rsidP="004D14DA">
      <w:pPr>
        <w:pStyle w:val="Textonotapie"/>
        <w:ind w:firstLine="709"/>
        <w:jc w:val="both"/>
        <w:rPr>
          <w:rFonts w:ascii="Verdana" w:hAnsi="Verdana" w:cs="Arial"/>
          <w:color w:val="000000"/>
          <w:sz w:val="12"/>
          <w:szCs w:val="12"/>
          <w:lang w:val="es-CO"/>
        </w:rPr>
      </w:pPr>
    </w:p>
  </w:footnote>
  <w:footnote w:id="5">
    <w:p w14:paraId="64287EF9" w14:textId="77777777" w:rsidR="004D14DA" w:rsidRDefault="004D14DA" w:rsidP="004D14DA">
      <w:pPr>
        <w:spacing w:after="0" w:line="240" w:lineRule="auto"/>
        <w:ind w:firstLine="709"/>
        <w:jc w:val="both"/>
        <w:rPr>
          <w:rFonts w:ascii="Verdana" w:hAnsi="Verdana" w:cs="Arial"/>
          <w:color w:val="000000"/>
          <w:sz w:val="12"/>
          <w:szCs w:val="12"/>
        </w:rPr>
      </w:pPr>
      <w:r w:rsidRPr="00F17499">
        <w:rPr>
          <w:rStyle w:val="Refdenotaalpie"/>
          <w:rFonts w:ascii="Verdana" w:hAnsi="Verdana" w:cs="Arial"/>
          <w:color w:val="000000"/>
          <w:sz w:val="12"/>
          <w:szCs w:val="12"/>
        </w:rPr>
        <w:footnoteRef/>
      </w:r>
      <w:r w:rsidRPr="00F17499">
        <w:rPr>
          <w:rFonts w:ascii="Verdana" w:hAnsi="Verdana" w:cs="Arial"/>
          <w:color w:val="000000"/>
          <w:sz w:val="12"/>
          <w:szCs w:val="12"/>
        </w:rPr>
        <w:t xml:space="preserve"> Consejo</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de</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Estado.</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Sección</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Tercera.</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Subsección</w:t>
      </w:r>
      <w:r w:rsidRPr="00F17499">
        <w:rPr>
          <w:rFonts w:ascii="Verdana" w:hAnsi="Verdana" w:cs="Arial"/>
          <w:color w:val="000000"/>
          <w:spacing w:val="13"/>
          <w:sz w:val="12"/>
          <w:szCs w:val="12"/>
        </w:rPr>
        <w:t xml:space="preserve"> </w:t>
      </w:r>
      <w:r w:rsidRPr="00F17499">
        <w:rPr>
          <w:rFonts w:ascii="Verdana" w:hAnsi="Verdana" w:cs="Arial"/>
          <w:color w:val="000000"/>
          <w:sz w:val="12"/>
          <w:szCs w:val="12"/>
        </w:rPr>
        <w:t>A.</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Sentencia</w:t>
      </w:r>
      <w:r w:rsidRPr="00F17499">
        <w:rPr>
          <w:rFonts w:ascii="Verdana" w:hAnsi="Verdana" w:cs="Arial"/>
          <w:color w:val="000000"/>
          <w:spacing w:val="13"/>
          <w:sz w:val="12"/>
          <w:szCs w:val="12"/>
        </w:rPr>
        <w:t xml:space="preserve"> </w:t>
      </w:r>
      <w:r w:rsidRPr="00F17499">
        <w:rPr>
          <w:rFonts w:ascii="Verdana" w:hAnsi="Verdana" w:cs="Arial"/>
          <w:color w:val="000000"/>
          <w:sz w:val="12"/>
          <w:szCs w:val="12"/>
        </w:rPr>
        <w:t>del</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24</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de</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junio</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de</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2015.</w:t>
      </w:r>
      <w:r w:rsidRPr="00F17499">
        <w:rPr>
          <w:rFonts w:ascii="Verdana" w:hAnsi="Verdana" w:cs="Arial"/>
          <w:color w:val="000000"/>
          <w:spacing w:val="1"/>
          <w:sz w:val="12"/>
          <w:szCs w:val="12"/>
        </w:rPr>
        <w:t xml:space="preserve"> </w:t>
      </w:r>
      <w:r w:rsidRPr="00F17499">
        <w:rPr>
          <w:rFonts w:ascii="Verdana" w:hAnsi="Verdana" w:cs="Arial"/>
          <w:color w:val="000000"/>
          <w:sz w:val="12"/>
          <w:szCs w:val="12"/>
        </w:rPr>
        <w:t>Exp.</w:t>
      </w:r>
      <w:r w:rsidRPr="00F17499">
        <w:rPr>
          <w:rFonts w:ascii="Verdana" w:hAnsi="Verdana" w:cs="Arial"/>
          <w:color w:val="000000"/>
          <w:spacing w:val="-2"/>
          <w:sz w:val="12"/>
          <w:szCs w:val="12"/>
        </w:rPr>
        <w:t xml:space="preserve"> </w:t>
      </w:r>
      <w:r w:rsidRPr="00F17499">
        <w:rPr>
          <w:rFonts w:ascii="Verdana" w:hAnsi="Verdana" w:cs="Arial"/>
          <w:color w:val="000000"/>
          <w:sz w:val="12"/>
          <w:szCs w:val="12"/>
        </w:rPr>
        <w:t>40.635.</w:t>
      </w:r>
      <w:r w:rsidRPr="00F17499">
        <w:rPr>
          <w:rFonts w:ascii="Verdana" w:hAnsi="Verdana" w:cs="Arial"/>
          <w:color w:val="000000"/>
          <w:spacing w:val="-2"/>
          <w:sz w:val="12"/>
          <w:szCs w:val="12"/>
        </w:rPr>
        <w:t xml:space="preserve"> </w:t>
      </w:r>
      <w:r w:rsidRPr="00F17499">
        <w:rPr>
          <w:rFonts w:ascii="Verdana" w:hAnsi="Verdana" w:cs="Arial"/>
          <w:color w:val="000000"/>
          <w:sz w:val="12"/>
          <w:szCs w:val="12"/>
        </w:rPr>
        <w:t>Consejero</w:t>
      </w:r>
      <w:r w:rsidRPr="00F17499">
        <w:rPr>
          <w:rFonts w:ascii="Verdana" w:hAnsi="Verdana" w:cs="Arial"/>
          <w:color w:val="000000"/>
          <w:spacing w:val="-1"/>
          <w:sz w:val="12"/>
          <w:szCs w:val="12"/>
        </w:rPr>
        <w:t xml:space="preserve"> </w:t>
      </w:r>
      <w:r w:rsidRPr="00F17499">
        <w:rPr>
          <w:rFonts w:ascii="Verdana" w:hAnsi="Verdana" w:cs="Arial"/>
          <w:color w:val="000000"/>
          <w:sz w:val="12"/>
          <w:szCs w:val="12"/>
        </w:rPr>
        <w:t>Ponente:</w:t>
      </w:r>
      <w:r w:rsidRPr="00F17499">
        <w:rPr>
          <w:rFonts w:ascii="Verdana" w:hAnsi="Verdana" w:cs="Arial"/>
          <w:color w:val="000000"/>
          <w:spacing w:val="-2"/>
          <w:sz w:val="12"/>
          <w:szCs w:val="12"/>
        </w:rPr>
        <w:t xml:space="preserve"> </w:t>
      </w:r>
      <w:r w:rsidRPr="00F17499">
        <w:rPr>
          <w:rFonts w:ascii="Verdana" w:hAnsi="Verdana" w:cs="Arial"/>
          <w:color w:val="000000"/>
          <w:sz w:val="12"/>
          <w:szCs w:val="12"/>
        </w:rPr>
        <w:t>Hernán</w:t>
      </w:r>
      <w:r w:rsidRPr="00F17499">
        <w:rPr>
          <w:rFonts w:ascii="Verdana" w:hAnsi="Verdana" w:cs="Arial"/>
          <w:color w:val="000000"/>
          <w:spacing w:val="-1"/>
          <w:sz w:val="12"/>
          <w:szCs w:val="12"/>
        </w:rPr>
        <w:t xml:space="preserve"> </w:t>
      </w:r>
      <w:r w:rsidRPr="00F17499">
        <w:rPr>
          <w:rFonts w:ascii="Verdana" w:hAnsi="Verdana" w:cs="Arial"/>
          <w:color w:val="000000"/>
          <w:sz w:val="12"/>
          <w:szCs w:val="12"/>
        </w:rPr>
        <w:t>Andrade</w:t>
      </w:r>
      <w:r w:rsidRPr="00F17499">
        <w:rPr>
          <w:rFonts w:ascii="Verdana" w:hAnsi="Verdana" w:cs="Arial"/>
          <w:color w:val="000000"/>
          <w:spacing w:val="-2"/>
          <w:sz w:val="12"/>
          <w:szCs w:val="12"/>
        </w:rPr>
        <w:t xml:space="preserve"> </w:t>
      </w:r>
      <w:r w:rsidRPr="00F17499">
        <w:rPr>
          <w:rFonts w:ascii="Verdana" w:hAnsi="Verdana" w:cs="Arial"/>
          <w:color w:val="000000"/>
          <w:sz w:val="12"/>
          <w:szCs w:val="12"/>
        </w:rPr>
        <w:t>Rincón</w:t>
      </w:r>
      <w:r w:rsidRPr="00F17499">
        <w:rPr>
          <w:rFonts w:ascii="Verdana" w:hAnsi="Verdana" w:cs="Arial"/>
          <w:color w:val="000000"/>
          <w:spacing w:val="-1"/>
          <w:sz w:val="12"/>
          <w:szCs w:val="12"/>
        </w:rPr>
        <w:t xml:space="preserve"> </w:t>
      </w:r>
      <w:r w:rsidRPr="00F17499">
        <w:rPr>
          <w:rFonts w:ascii="Verdana" w:hAnsi="Verdana" w:cs="Arial"/>
          <w:color w:val="000000"/>
          <w:sz w:val="12"/>
          <w:szCs w:val="12"/>
        </w:rPr>
        <w:t>(E).</w:t>
      </w:r>
    </w:p>
    <w:p w14:paraId="009BF6E5" w14:textId="77777777" w:rsidR="004D14DA" w:rsidRPr="00F17499" w:rsidRDefault="004D14DA" w:rsidP="004D14DA">
      <w:pPr>
        <w:spacing w:after="0" w:line="240" w:lineRule="auto"/>
        <w:ind w:firstLine="709"/>
        <w:jc w:val="both"/>
        <w:rPr>
          <w:rFonts w:ascii="Verdana" w:hAnsi="Verdana" w:cs="Arial"/>
          <w:color w:val="000000"/>
          <w:sz w:val="12"/>
          <w:szCs w:val="12"/>
        </w:rPr>
      </w:pPr>
    </w:p>
  </w:footnote>
  <w:footnote w:id="6">
    <w:p w14:paraId="7A5B59E6" w14:textId="77777777" w:rsidR="004D14DA" w:rsidRPr="00F17499" w:rsidRDefault="004D14DA" w:rsidP="004D14DA">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Consejo de Estado. Sección Tercera. Subsección C. Sentencia del 22 de mayo de 2013. Exp. 24.057. C.P. Olga Melida Valle De La Hoz.</w:t>
      </w:r>
    </w:p>
    <w:p w14:paraId="1D94BAED" w14:textId="77777777" w:rsidR="004D14DA" w:rsidRPr="00F17499" w:rsidRDefault="004D14DA" w:rsidP="004D14DA">
      <w:pPr>
        <w:pStyle w:val="Textonotapie"/>
        <w:ind w:firstLine="709"/>
        <w:jc w:val="both"/>
        <w:rPr>
          <w:rFonts w:ascii="Verdana" w:hAnsi="Verdana" w:cs="Arial"/>
          <w:color w:val="000000"/>
          <w:sz w:val="12"/>
          <w:szCs w:val="12"/>
          <w:lang w:val="es-CO"/>
        </w:rPr>
      </w:pPr>
    </w:p>
  </w:footnote>
  <w:footnote w:id="7">
    <w:p w14:paraId="6DD3EA8A" w14:textId="77777777" w:rsidR="004D14DA" w:rsidRPr="00F17499" w:rsidRDefault="004D14DA" w:rsidP="004D14DA">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Corte Constitucional, Sentencia C- 373 de 2002, M.P. Jaime Córdoba Triviño; sentencia C-325 de 2009, M.P. Gabriel Eduardo Mendoza Martelo.</w:t>
      </w:r>
    </w:p>
    <w:p w14:paraId="75D9A52B" w14:textId="77777777" w:rsidR="004D14DA" w:rsidRPr="00F17499" w:rsidRDefault="004D14DA" w:rsidP="004D14DA">
      <w:pPr>
        <w:pStyle w:val="Textonotapie"/>
        <w:ind w:firstLine="709"/>
        <w:jc w:val="both"/>
        <w:rPr>
          <w:rFonts w:ascii="Verdana" w:hAnsi="Verdana" w:cs="Arial"/>
          <w:color w:val="000000"/>
          <w:sz w:val="12"/>
          <w:szCs w:val="12"/>
          <w:lang w:val="es-CO"/>
        </w:rPr>
      </w:pPr>
    </w:p>
  </w:footnote>
  <w:footnote w:id="8">
    <w:p w14:paraId="39A25856" w14:textId="77777777" w:rsidR="004D14DA" w:rsidRPr="00F17499" w:rsidRDefault="004D14DA" w:rsidP="004D14DA">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Consejo de Estado, Sección Quinta, Sentencia del 13 de junio de 2019, Exp. No. 00111 C.P. Rocío Araújo Oñate.</w:t>
      </w:r>
    </w:p>
  </w:footnote>
  <w:footnote w:id="9">
    <w:p w14:paraId="24239C82" w14:textId="77777777" w:rsidR="004D14DA" w:rsidRPr="00F17499" w:rsidRDefault="004D14DA" w:rsidP="004D14DA">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w:t>
      </w:r>
      <w:r w:rsidRPr="00F17499">
        <w:rPr>
          <w:rFonts w:ascii="Verdana" w:hAnsi="Verdana" w:cs="Arial"/>
          <w:i/>
          <w:color w:val="000000"/>
          <w:sz w:val="12"/>
          <w:szCs w:val="12"/>
          <w:lang w:val="es-CO"/>
        </w:rPr>
        <w:t>Ibid</w:t>
      </w:r>
      <w:r w:rsidRPr="00F17499">
        <w:rPr>
          <w:rFonts w:ascii="Verdana" w:hAnsi="Verdana" w:cs="Arial"/>
          <w:color w:val="000000"/>
          <w:sz w:val="12"/>
          <w:szCs w:val="12"/>
          <w:lang w:val="es-CO"/>
        </w:rPr>
        <w:t xml:space="preserve">. </w:t>
      </w:r>
    </w:p>
    <w:p w14:paraId="0537E2B9" w14:textId="77777777" w:rsidR="004D14DA" w:rsidRPr="00F17499" w:rsidRDefault="004D14DA" w:rsidP="004D14DA">
      <w:pPr>
        <w:pStyle w:val="Textonotapie"/>
        <w:ind w:firstLine="709"/>
        <w:jc w:val="both"/>
        <w:rPr>
          <w:rFonts w:ascii="Verdana" w:hAnsi="Verdana" w:cs="Arial"/>
          <w:color w:val="000000"/>
          <w:sz w:val="12"/>
          <w:szCs w:val="12"/>
          <w:lang w:val="es-CO"/>
        </w:rPr>
      </w:pPr>
    </w:p>
  </w:footnote>
  <w:footnote w:id="10">
    <w:p w14:paraId="4C018F39" w14:textId="77777777" w:rsidR="004D14DA" w:rsidRDefault="004D14DA" w:rsidP="004D14DA">
      <w:pPr>
        <w:pStyle w:val="Textonotapie"/>
        <w:ind w:firstLine="708"/>
        <w:jc w:val="both"/>
        <w:rPr>
          <w:rFonts w:ascii="Verdana" w:hAnsi="Verdana"/>
          <w:sz w:val="12"/>
          <w:szCs w:val="12"/>
          <w:lang w:val="es-CO"/>
        </w:rPr>
      </w:pPr>
      <w:r w:rsidRPr="00F17499">
        <w:rPr>
          <w:rStyle w:val="Refdenotaalpie"/>
          <w:rFonts w:ascii="Verdana" w:hAnsi="Verdana"/>
          <w:sz w:val="12"/>
          <w:szCs w:val="12"/>
        </w:rPr>
        <w:footnoteRef/>
      </w:r>
      <w:r w:rsidRPr="00F17499">
        <w:rPr>
          <w:rFonts w:ascii="Verdana" w:hAnsi="Verdana"/>
          <w:sz w:val="12"/>
          <w:szCs w:val="12"/>
        </w:rPr>
        <w:t xml:space="preserve"> </w:t>
      </w:r>
      <w:r w:rsidRPr="00F17499">
        <w:rPr>
          <w:rFonts w:ascii="Verdana" w:hAnsi="Verdana"/>
          <w:sz w:val="12"/>
          <w:szCs w:val="12"/>
          <w:lang w:val="es-CO"/>
        </w:rPr>
        <w:t>Consejo de Estado, Sala de lo Contencioso Administrativo, Sección Primera, sentencia proferida el 17 de julio de 2008, identificada con núm. único de radicación 440012331000200800005 01, C.P. Rafael E. Ostau de Lafont Pianeta</w:t>
      </w:r>
    </w:p>
    <w:p w14:paraId="72E06A80" w14:textId="77777777" w:rsidR="004D14DA" w:rsidRPr="00F17499" w:rsidRDefault="004D14DA" w:rsidP="004D14DA">
      <w:pPr>
        <w:pStyle w:val="Textonotapie"/>
        <w:ind w:firstLine="708"/>
        <w:jc w:val="both"/>
        <w:rPr>
          <w:rFonts w:ascii="Verdana" w:hAnsi="Verdana"/>
          <w:sz w:val="12"/>
          <w:szCs w:val="12"/>
          <w:lang w:val="es-CO"/>
        </w:rPr>
      </w:pPr>
    </w:p>
  </w:footnote>
  <w:footnote w:id="11">
    <w:p w14:paraId="2662A6D0" w14:textId="77777777" w:rsidR="004D14DA" w:rsidRDefault="004D14DA" w:rsidP="004D14DA">
      <w:pPr>
        <w:pStyle w:val="Textonotapie"/>
        <w:ind w:firstLine="708"/>
        <w:jc w:val="both"/>
        <w:rPr>
          <w:rFonts w:ascii="Verdana" w:hAnsi="Verdana"/>
          <w:sz w:val="12"/>
          <w:szCs w:val="12"/>
          <w:lang w:val="es-CO"/>
        </w:rPr>
      </w:pPr>
      <w:r w:rsidRPr="004604B4">
        <w:rPr>
          <w:rStyle w:val="Refdenotaalpie"/>
          <w:rFonts w:ascii="Verdana" w:hAnsi="Verdana"/>
          <w:sz w:val="12"/>
          <w:szCs w:val="12"/>
        </w:rPr>
        <w:footnoteRef/>
      </w:r>
      <w:r w:rsidRPr="004604B4">
        <w:rPr>
          <w:rFonts w:ascii="Verdana" w:hAnsi="Verdana"/>
          <w:sz w:val="12"/>
          <w:szCs w:val="12"/>
        </w:rPr>
        <w:t xml:space="preserve"> </w:t>
      </w:r>
      <w:r w:rsidRPr="004604B4">
        <w:rPr>
          <w:rFonts w:ascii="Verdana" w:hAnsi="Verdana"/>
          <w:sz w:val="12"/>
          <w:szCs w:val="12"/>
          <w:lang w:val="es-CO"/>
        </w:rPr>
        <w:t>Consejo de Estado, Sala de lo Contencioso Administrativo, Sección Quinta; sentencia de 3 de septiembre de 1998, expediente núm. 1952, C.P. Miren De La Lombana De Magyaroff</w:t>
      </w:r>
    </w:p>
    <w:p w14:paraId="31A64C36" w14:textId="77777777" w:rsidR="004D14DA" w:rsidRPr="004604B4" w:rsidRDefault="004D14DA" w:rsidP="004D14DA">
      <w:pPr>
        <w:pStyle w:val="Textonotapie"/>
        <w:ind w:firstLine="708"/>
        <w:jc w:val="both"/>
        <w:rPr>
          <w:rFonts w:ascii="Verdana" w:hAnsi="Verdana"/>
          <w:sz w:val="12"/>
          <w:szCs w:val="12"/>
          <w:lang w:val="es-CO"/>
        </w:rPr>
      </w:pPr>
    </w:p>
  </w:footnote>
  <w:footnote w:id="12">
    <w:p w14:paraId="53C67481" w14:textId="77777777" w:rsidR="004D14DA" w:rsidRPr="009D57FE" w:rsidRDefault="004D14DA" w:rsidP="004D14DA">
      <w:pPr>
        <w:pStyle w:val="Textonotapie"/>
        <w:ind w:firstLine="708"/>
        <w:jc w:val="both"/>
        <w:rPr>
          <w:rFonts w:ascii="Verdana" w:hAnsi="Verdana"/>
          <w:sz w:val="12"/>
          <w:szCs w:val="12"/>
          <w:lang w:val="es-CO"/>
        </w:rPr>
      </w:pPr>
      <w:r w:rsidRPr="009D57FE">
        <w:rPr>
          <w:rStyle w:val="Refdenotaalpie"/>
          <w:rFonts w:ascii="Verdana" w:hAnsi="Verdana"/>
          <w:sz w:val="12"/>
          <w:szCs w:val="12"/>
        </w:rPr>
        <w:footnoteRef/>
      </w:r>
      <w:r w:rsidRPr="00296C54">
        <w:rPr>
          <w:rFonts w:ascii="Verdana" w:hAnsi="Verdana"/>
          <w:sz w:val="12"/>
          <w:szCs w:val="12"/>
          <w:lang w:val="es-CO"/>
        </w:rPr>
        <w:t xml:space="preserve"> Corte Constitucional. </w:t>
      </w:r>
      <w:r w:rsidRPr="009D57FE">
        <w:rPr>
          <w:rFonts w:ascii="Verdana" w:hAnsi="Verdana"/>
          <w:sz w:val="12"/>
          <w:szCs w:val="12"/>
          <w:lang w:val="es-CO"/>
        </w:rPr>
        <w:t>Sentencia C-903 del 6 de diciembre de 2008. M.P. Jaime Araujo Rentería.</w:t>
      </w:r>
    </w:p>
  </w:footnote>
  <w:footnote w:id="13">
    <w:p w14:paraId="7F705E3D" w14:textId="77777777" w:rsidR="004D14DA" w:rsidRPr="00AF7AC6" w:rsidRDefault="004D14DA" w:rsidP="004D14DA">
      <w:pPr>
        <w:pStyle w:val="Textonotapie"/>
        <w:ind w:firstLine="708"/>
        <w:jc w:val="both"/>
        <w:rPr>
          <w:rFonts w:ascii="Verdana" w:hAnsi="Verdana"/>
          <w:sz w:val="12"/>
          <w:szCs w:val="12"/>
          <w:lang w:val="es-CO"/>
        </w:rPr>
      </w:pPr>
      <w:r w:rsidRPr="00AF7AC6">
        <w:rPr>
          <w:rStyle w:val="Refdenotaalpie"/>
          <w:rFonts w:ascii="Verdana" w:hAnsi="Verdana"/>
          <w:sz w:val="12"/>
          <w:szCs w:val="12"/>
        </w:rPr>
        <w:footnoteRef/>
      </w:r>
      <w:r w:rsidRPr="00AF7AC6">
        <w:rPr>
          <w:rFonts w:ascii="Verdana" w:hAnsi="Verdana"/>
          <w:sz w:val="12"/>
          <w:szCs w:val="12"/>
        </w:rPr>
        <w:t xml:space="preserve"> </w:t>
      </w:r>
      <w:r w:rsidRPr="00AF7AC6">
        <w:rPr>
          <w:rFonts w:ascii="Verdana" w:hAnsi="Verdana"/>
          <w:sz w:val="12"/>
          <w:szCs w:val="12"/>
          <w:lang w:val="es-CO"/>
        </w:rPr>
        <w:t>Corte Constitucional. Sentencia C-257 del 7 de mayo de 2013. M.P. Jaime Córdoba Triviño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C4126" w14:textId="77777777" w:rsidR="003108A4"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A136C19" wp14:editId="4626B22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58D6F6A" wp14:editId="2DF808E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0BC135D" w14:textId="77777777" w:rsidR="003108A4" w:rsidRDefault="003108A4">
    <w:pPr>
      <w:pStyle w:val="Encabezado"/>
    </w:pPr>
  </w:p>
  <w:p w14:paraId="2A3FB858" w14:textId="77777777" w:rsidR="003108A4" w:rsidRDefault="003108A4" w:rsidP="004A305D">
    <w:pPr>
      <w:spacing w:after="0"/>
      <w:rPr>
        <w:rFonts w:ascii="Verdana" w:hAnsi="Verdana"/>
        <w:b/>
        <w:bCs/>
      </w:rPr>
    </w:pPr>
  </w:p>
  <w:p w14:paraId="698FCE79" w14:textId="77777777" w:rsidR="003108A4" w:rsidRPr="004A305D" w:rsidRDefault="003108A4" w:rsidP="00B01B1A">
    <w:pPr>
      <w:spacing w:after="0" w:line="120" w:lineRule="auto"/>
      <w:rPr>
        <w:rFonts w:ascii="Century Gothic" w:eastAsia="Geo" w:hAnsi="Century Gothic" w:cs="Geo"/>
        <w:sz w:val="16"/>
        <w:szCs w:val="16"/>
        <w:lang w:eastAsia="es-CO"/>
      </w:rPr>
    </w:pPr>
  </w:p>
  <w:p w14:paraId="4CF0F53D" w14:textId="77777777" w:rsidR="003108A4" w:rsidRDefault="003108A4"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3255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4DA"/>
    <w:rsid w:val="002B53EC"/>
    <w:rsid w:val="003108A4"/>
    <w:rsid w:val="00474DF4"/>
    <w:rsid w:val="004D14DA"/>
    <w:rsid w:val="004D1DC3"/>
    <w:rsid w:val="004F471F"/>
    <w:rsid w:val="00533BA2"/>
    <w:rsid w:val="007470C4"/>
    <w:rsid w:val="00C24FFE"/>
    <w:rsid w:val="00E74F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ED7C9"/>
  <w15:chartTrackingRefBased/>
  <w15:docId w15:val="{33E63E22-BC21-4744-BD4F-D6541419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4DA"/>
    <w:rPr>
      <w:kern w:val="0"/>
      <w14:ligatures w14:val="none"/>
    </w:rPr>
  </w:style>
  <w:style w:type="paragraph" w:styleId="Ttulo1">
    <w:name w:val="heading 1"/>
    <w:basedOn w:val="Normal"/>
    <w:next w:val="Normal"/>
    <w:link w:val="Ttulo1Car"/>
    <w:uiPriority w:val="9"/>
    <w:qFormat/>
    <w:rsid w:val="004D14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D14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D14D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D14D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D14D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D14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14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14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14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14D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D14D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D14D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D14D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D14D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D14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14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14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14DA"/>
    <w:rPr>
      <w:rFonts w:eastAsiaTheme="majorEastAsia" w:cstheme="majorBidi"/>
      <w:color w:val="272727" w:themeColor="text1" w:themeTint="D8"/>
    </w:rPr>
  </w:style>
  <w:style w:type="paragraph" w:styleId="Ttulo">
    <w:name w:val="Title"/>
    <w:basedOn w:val="Normal"/>
    <w:next w:val="Normal"/>
    <w:link w:val="TtuloCar"/>
    <w:uiPriority w:val="10"/>
    <w:qFormat/>
    <w:rsid w:val="004D1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14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14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14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14DA"/>
    <w:pPr>
      <w:spacing w:before="160"/>
      <w:jc w:val="center"/>
    </w:pPr>
    <w:rPr>
      <w:i/>
      <w:iCs/>
      <w:color w:val="404040" w:themeColor="text1" w:themeTint="BF"/>
    </w:rPr>
  </w:style>
  <w:style w:type="character" w:customStyle="1" w:styleId="CitaCar">
    <w:name w:val="Cita Car"/>
    <w:basedOn w:val="Fuentedeprrafopredeter"/>
    <w:link w:val="Cita"/>
    <w:uiPriority w:val="29"/>
    <w:rsid w:val="004D14D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D14DA"/>
    <w:pPr>
      <w:ind w:left="720"/>
      <w:contextualSpacing/>
    </w:pPr>
  </w:style>
  <w:style w:type="character" w:styleId="nfasisintenso">
    <w:name w:val="Intense Emphasis"/>
    <w:basedOn w:val="Fuentedeprrafopredeter"/>
    <w:uiPriority w:val="21"/>
    <w:qFormat/>
    <w:rsid w:val="004D14DA"/>
    <w:rPr>
      <w:i/>
      <w:iCs/>
      <w:color w:val="2F5496" w:themeColor="accent1" w:themeShade="BF"/>
    </w:rPr>
  </w:style>
  <w:style w:type="paragraph" w:styleId="Citadestacada">
    <w:name w:val="Intense Quote"/>
    <w:basedOn w:val="Normal"/>
    <w:next w:val="Normal"/>
    <w:link w:val="CitadestacadaCar"/>
    <w:uiPriority w:val="30"/>
    <w:qFormat/>
    <w:rsid w:val="004D14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D14DA"/>
    <w:rPr>
      <w:i/>
      <w:iCs/>
      <w:color w:val="2F5496" w:themeColor="accent1" w:themeShade="BF"/>
    </w:rPr>
  </w:style>
  <w:style w:type="character" w:styleId="Referenciaintensa">
    <w:name w:val="Intense Reference"/>
    <w:basedOn w:val="Fuentedeprrafopredeter"/>
    <w:uiPriority w:val="32"/>
    <w:qFormat/>
    <w:rsid w:val="004D14DA"/>
    <w:rPr>
      <w:b/>
      <w:bCs/>
      <w:smallCaps/>
      <w:color w:val="2F5496" w:themeColor="accent1" w:themeShade="BF"/>
      <w:spacing w:val="5"/>
    </w:rPr>
  </w:style>
  <w:style w:type="paragraph" w:styleId="Encabezado">
    <w:name w:val="header"/>
    <w:basedOn w:val="Normal"/>
    <w:link w:val="EncabezadoCar"/>
    <w:uiPriority w:val="99"/>
    <w:unhideWhenUsed/>
    <w:rsid w:val="004D14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14DA"/>
    <w:rPr>
      <w:kern w:val="0"/>
      <w14:ligatures w14:val="none"/>
    </w:rPr>
  </w:style>
  <w:style w:type="paragraph" w:styleId="Piedepgina">
    <w:name w:val="footer"/>
    <w:basedOn w:val="Normal"/>
    <w:link w:val="PiedepginaCar"/>
    <w:uiPriority w:val="99"/>
    <w:unhideWhenUsed/>
    <w:rsid w:val="004D14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14DA"/>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14D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D14D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D14D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D14DA"/>
    <w:rPr>
      <w:vertAlign w:val="superscript"/>
    </w:rPr>
  </w:style>
  <w:style w:type="character" w:customStyle="1" w:styleId="normaltextrun">
    <w:name w:val="normaltextrun"/>
    <w:basedOn w:val="Fuentedeprrafopredeter"/>
    <w:rsid w:val="004D14DA"/>
  </w:style>
  <w:style w:type="table" w:styleId="Tablaconcuadrcula">
    <w:name w:val="Table Grid"/>
    <w:basedOn w:val="Tablanormal"/>
    <w:uiPriority w:val="39"/>
    <w:qFormat/>
    <w:rsid w:val="004D14D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D14DA"/>
    <w:rPr>
      <w:color w:val="0000FF"/>
      <w:u w:val="single"/>
    </w:rPr>
  </w:style>
  <w:style w:type="table" w:customStyle="1" w:styleId="Tablaconcuadrcula1">
    <w:name w:val="Tabla con cuadrícula1"/>
    <w:basedOn w:val="Tablanormal"/>
    <w:next w:val="Tablaconcuadrcula"/>
    <w:uiPriority w:val="59"/>
    <w:rsid w:val="004D14DA"/>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D14DA"/>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D1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enadelgadob02@gmail.com"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sites%2Fcce_public%2Ffiles%2Fcce_documents%2Fmanual_para_el_manejo_de_acuerdos_comerciales_vf.pdf&amp;data=05%7C02%7Csergio.caballero%40colombiacompra.gov.co%7C6192b0470d324981a09708dd0a6c28db%7C7b09041e245149d08cb179d5e3d8c1be%7C0%7C0%7C638678181871090119%7CUnknown%7CTWFpbGZsb3d8eyJFbXB0eU1hcGkiOnRydWUsIlYiOiIwLjAuMDAwMCIsIlAiOiJXaW4zMiIsIkFOIjoiTWFpbCIsIldUIjoyfQ%3D%3D%7C0%7C%7C%7C&amp;sdata=cqPLJFWeQ1mgS6NwcEQtAJFnYlPbx9sK95T3GwllCdk%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juank6197@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C511AB-2D8E-4E3E-BC4E-24955E480531}"/>
</file>

<file path=customXml/itemProps2.xml><?xml version="1.0" encoding="utf-8"?>
<ds:datastoreItem xmlns:ds="http://schemas.openxmlformats.org/officeDocument/2006/customXml" ds:itemID="{542E74BB-D425-4E4B-A552-E1834B359EAF}"/>
</file>

<file path=customXml/itemProps3.xml><?xml version="1.0" encoding="utf-8"?>
<ds:datastoreItem xmlns:ds="http://schemas.openxmlformats.org/officeDocument/2006/customXml" ds:itemID="{FBB353F8-3A55-4F86-81E8-0755BECFFA24}"/>
</file>

<file path=docProps/app.xml><?xml version="1.0" encoding="utf-8"?>
<Properties xmlns="http://schemas.openxmlformats.org/officeDocument/2006/extended-properties" xmlns:vt="http://schemas.openxmlformats.org/officeDocument/2006/docPropsVTypes">
  <Template>Normal</Template>
  <TotalTime>5</TotalTime>
  <Pages>16</Pages>
  <Words>5545</Words>
  <Characters>30500</Characters>
  <Application>Microsoft Office Word</Application>
  <DocSecurity>0</DocSecurity>
  <Lines>254</Lines>
  <Paragraphs>71</Paragraphs>
  <ScaleCrop>false</ScaleCrop>
  <Company/>
  <LinksUpToDate>false</LinksUpToDate>
  <CharactersWithSpaces>35974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2024-12-16T16:16:00Z</dcterms:created>
  <dcterms:modified xsi:type="dcterms:W3CDTF">2024-12-18T20:45:00Z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