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50314"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b/>
          <w:bCs/>
          <w:sz w:val="22"/>
          <w:szCs w:val="22"/>
          <w:lang w:val="es-ES_tradnl"/>
        </w:rPr>
      </w:pPr>
      <w:r w:rsidRPr="000F7403">
        <w:rPr>
          <w:rFonts w:ascii="Verdana" w:hAnsi="Verdana" w:cs="Arial"/>
          <w:b/>
          <w:bCs/>
          <w:sz w:val="22"/>
          <w:szCs w:val="22"/>
          <w:lang w:val="es-ES_tradnl"/>
        </w:rPr>
        <w:t xml:space="preserve">ANTICIPO – Regulación normativa </w:t>
      </w:r>
    </w:p>
    <w:p w14:paraId="3403EFBB"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sz w:val="20"/>
          <w:szCs w:val="20"/>
          <w:lang w:val="es-ES_tradnl"/>
        </w:rPr>
      </w:pPr>
    </w:p>
    <w:p w14:paraId="1610AE21"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sz w:val="20"/>
          <w:szCs w:val="20"/>
          <w:lang w:val="es-ES_tradnl"/>
        </w:rPr>
      </w:pPr>
      <w:r w:rsidRPr="000F7403">
        <w:rPr>
          <w:rFonts w:ascii="Verdana" w:hAnsi="Verdana" w:cs="Arial"/>
          <w:sz w:val="20"/>
          <w:szCs w:val="20"/>
          <w:lang w:val="es-ES_tradnl"/>
        </w:rPr>
        <w:t xml:space="preserve">En materia de contratación pública, la figura del anticipo está prevista en dos (2) normas: el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w:t>
      </w:r>
      <w:r>
        <w:rPr>
          <w:rFonts w:ascii="Verdana" w:hAnsi="Verdana" w:cs="Arial"/>
          <w:sz w:val="20"/>
          <w:szCs w:val="20"/>
          <w:lang w:val="es-ES_tradnl"/>
        </w:rPr>
        <w:t>“</w:t>
      </w:r>
      <w:r w:rsidRPr="000F7403">
        <w:rPr>
          <w:rFonts w:ascii="Verdana" w:hAnsi="Verdana" w:cs="Arial"/>
          <w:sz w:val="20"/>
          <w:szCs w:val="20"/>
          <w:lang w:val="es-ES_tradnl"/>
        </w:rPr>
        <w:t>En los contratos que celebren las entidades estatales se podrá pactar el pago anticipado y la entrega de anticipos, pero su monto no podrá exceder del cincuenta por ciento (50%) del valor del respectivo contrato</w:t>
      </w:r>
      <w:r>
        <w:rPr>
          <w:rFonts w:ascii="Verdana" w:hAnsi="Verdana" w:cs="Arial"/>
          <w:sz w:val="20"/>
          <w:szCs w:val="20"/>
          <w:lang w:val="es-ES_tradnl"/>
        </w:rPr>
        <w:t>”</w:t>
      </w:r>
      <w:r w:rsidRPr="000F7403">
        <w:rPr>
          <w:rFonts w:ascii="Verdana" w:hAnsi="Verdana" w:cs="Arial"/>
          <w:sz w:val="20"/>
          <w:szCs w:val="20"/>
          <w:lang w:val="es-ES_tradnl"/>
        </w:rPr>
        <w:t>.</w:t>
      </w:r>
    </w:p>
    <w:p w14:paraId="18F4EF9F"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sz w:val="20"/>
          <w:szCs w:val="20"/>
          <w:lang w:val="es-ES_tradnl"/>
        </w:rPr>
      </w:pPr>
    </w:p>
    <w:p w14:paraId="0799731E"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b/>
          <w:bCs/>
          <w:sz w:val="22"/>
          <w:szCs w:val="22"/>
          <w:lang w:val="es-ES_tradnl"/>
        </w:rPr>
      </w:pPr>
      <w:r w:rsidRPr="000F7403">
        <w:rPr>
          <w:rFonts w:ascii="Verdana" w:hAnsi="Verdana" w:cs="Arial"/>
          <w:b/>
          <w:bCs/>
          <w:sz w:val="22"/>
          <w:szCs w:val="22"/>
          <w:lang w:val="es-ES_tradnl"/>
        </w:rPr>
        <w:t>ANTICIPO – Definición jurisprudencial</w:t>
      </w:r>
    </w:p>
    <w:p w14:paraId="24E1FCE6"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b/>
          <w:bCs/>
          <w:sz w:val="20"/>
          <w:szCs w:val="20"/>
          <w:lang w:val="es-ES_tradnl"/>
        </w:rPr>
      </w:pPr>
    </w:p>
    <w:p w14:paraId="0CAFC379"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sz w:val="20"/>
          <w:szCs w:val="20"/>
          <w:lang w:val="es-ES_tradnl"/>
        </w:rPr>
      </w:pPr>
      <w:r w:rsidRPr="000F7403">
        <w:rPr>
          <w:rFonts w:ascii="Verdana" w:hAnsi="Verdana" w:cs="Arial"/>
          <w:sz w:val="20"/>
          <w:szCs w:val="20"/>
          <w:lang w:val="es-ES_tradnl"/>
        </w:rPr>
        <w:t xml:space="preserve">[Sobre la calidad de recurso público del anticipo, la jurisprudencia ha reiterado que </w:t>
      </w:r>
      <w:r>
        <w:rPr>
          <w:rFonts w:ascii="Verdana" w:hAnsi="Verdana" w:cs="Arial"/>
          <w:sz w:val="20"/>
          <w:szCs w:val="20"/>
          <w:lang w:val="es-ES_tradnl"/>
        </w:rPr>
        <w:t>“</w:t>
      </w:r>
      <w:r w:rsidRPr="000F7403">
        <w:rPr>
          <w:rFonts w:ascii="Verdana" w:hAnsi="Verdana" w:cs="Arial"/>
          <w:sz w:val="20"/>
          <w:szCs w:val="20"/>
          <w:lang w:val="es-ES_tradn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Pr>
          <w:rFonts w:ascii="Verdana" w:hAnsi="Verdana" w:cs="Arial"/>
          <w:sz w:val="20"/>
          <w:szCs w:val="20"/>
          <w:lang w:val="es-ES_tradnl"/>
        </w:rPr>
        <w:t>”</w:t>
      </w:r>
      <w:r w:rsidRPr="000F7403">
        <w:rPr>
          <w:rFonts w:ascii="Verdana" w:hAnsi="Verdana" w:cs="Arial"/>
          <w:sz w:val="20"/>
          <w:szCs w:val="20"/>
          <w:lang w:val="es-ES_tradnl"/>
        </w:rPr>
        <w:t xml:space="preserve">. Igualmente, explica que el anticipo, al facilitar al contratista la financiación de los bienes y servicios que se le han encargado, es un factor determinante para impulsar la ejecución del contrato. Este también es el entendimiento de la doctrina, que ha considerado el anticipo como un dinero entregado al contratista que debe cancelarse mediante descuentos parciales, siendo una práctica común que permite impulsar la ejecución del contrato. </w:t>
      </w:r>
    </w:p>
    <w:p w14:paraId="4DEAAA1C"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sz w:val="20"/>
          <w:szCs w:val="20"/>
          <w:lang w:val="es-ES_tradnl"/>
        </w:rPr>
      </w:pPr>
    </w:p>
    <w:p w14:paraId="3E8CD401" w14:textId="14A54507" w:rsidR="00844111" w:rsidRPr="000F7403" w:rsidRDefault="00844111" w:rsidP="620833A1">
      <w:pPr>
        <w:pStyle w:val="NormalWeb"/>
        <w:shd w:val="clear" w:color="auto" w:fill="FFFFFF" w:themeFill="background1"/>
        <w:spacing w:before="0" w:beforeAutospacing="0" w:after="0" w:afterAutospacing="0"/>
        <w:jc w:val="both"/>
        <w:rPr>
          <w:rFonts w:ascii="Verdana" w:hAnsi="Verdana" w:cs="Arial"/>
          <w:sz w:val="20"/>
          <w:szCs w:val="20"/>
          <w:lang w:val="es-ES"/>
        </w:rPr>
      </w:pPr>
      <w:r w:rsidRPr="620833A1">
        <w:rPr>
          <w:rFonts w:ascii="Verdana" w:hAnsi="Verdana" w:cs="Arial"/>
          <w:sz w:val="20"/>
          <w:szCs w:val="20"/>
          <w:lang w:val="es-ES"/>
        </w:rPr>
        <w:t xml:space="preserve">Así, de acuerdo con las consideraciones de la jurisprudencia y la doctrina, el anticipo es aquella suma de dinero entregada al contratista con la finalidad de apalancarlo financieramente para solventar los costos iniciales de la ejecución del contrato. Este dinero debe amortizarse </w:t>
      </w:r>
      <w:r w:rsidR="009E0043" w:rsidRPr="620833A1">
        <w:rPr>
          <w:rFonts w:ascii="Verdana" w:hAnsi="Verdana" w:cs="Arial"/>
          <w:sz w:val="20"/>
          <w:szCs w:val="20"/>
          <w:lang w:val="es-ES"/>
        </w:rPr>
        <w:t>de acuerdo con el</w:t>
      </w:r>
      <w:r w:rsidRPr="620833A1">
        <w:rPr>
          <w:rFonts w:ascii="Verdana" w:hAnsi="Verdana" w:cs="Arial"/>
          <w:sz w:val="20"/>
          <w:szCs w:val="20"/>
          <w:lang w:val="es-ES"/>
        </w:rPr>
        <w:t xml:space="preserve"> avance en la ejecución. De esta forma, los recursos entregados a título de anticipo son del erario, razón por la que debe garantizarse su buen manejo y correcta inversión.</w:t>
      </w:r>
    </w:p>
    <w:p w14:paraId="3BAE106B"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b/>
          <w:bCs/>
          <w:sz w:val="20"/>
          <w:szCs w:val="20"/>
          <w:lang w:val="es-ES_tradnl"/>
        </w:rPr>
      </w:pPr>
    </w:p>
    <w:p w14:paraId="1FB89B7C"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b/>
          <w:bCs/>
          <w:sz w:val="22"/>
          <w:szCs w:val="22"/>
          <w:lang w:val="es-ES_tradnl"/>
        </w:rPr>
      </w:pPr>
      <w:r w:rsidRPr="000F7403">
        <w:rPr>
          <w:rFonts w:ascii="Verdana" w:hAnsi="Verdana" w:cs="Arial"/>
          <w:b/>
          <w:bCs/>
          <w:sz w:val="22"/>
          <w:szCs w:val="22"/>
          <w:lang w:val="es-ES_tradnl"/>
        </w:rPr>
        <w:t xml:space="preserve">ANTICIPO – Autonomía de la voluntad – Derechos y obligaciones recíprocas </w:t>
      </w:r>
    </w:p>
    <w:p w14:paraId="0831A9E2"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sz w:val="20"/>
          <w:szCs w:val="20"/>
          <w:lang w:val="es-ES_tradnl"/>
        </w:rPr>
      </w:pPr>
    </w:p>
    <w:p w14:paraId="744F01AA"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sz w:val="20"/>
          <w:szCs w:val="20"/>
          <w:lang w:val="es-ES_tradnl"/>
        </w:rPr>
      </w:pPr>
      <w:r w:rsidRPr="000F7403">
        <w:rPr>
          <w:rFonts w:ascii="Verdana" w:hAnsi="Verdana" w:cs="Arial"/>
          <w:sz w:val="20"/>
          <w:szCs w:val="20"/>
          <w:lang w:val="es-ES_tradnl"/>
        </w:rPr>
        <w:t>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w:t>
      </w:r>
    </w:p>
    <w:p w14:paraId="15FFCA4D"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sz w:val="20"/>
          <w:szCs w:val="20"/>
          <w:lang w:val="es-ES_tradnl"/>
        </w:rPr>
      </w:pPr>
    </w:p>
    <w:p w14:paraId="1100A2E6"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b/>
          <w:bCs/>
          <w:sz w:val="22"/>
          <w:szCs w:val="22"/>
          <w:lang w:val="es-ES"/>
        </w:rPr>
      </w:pPr>
      <w:r w:rsidRPr="000F7403">
        <w:rPr>
          <w:rFonts w:ascii="Verdana" w:hAnsi="Verdana" w:cs="Arial"/>
          <w:b/>
          <w:bCs/>
          <w:sz w:val="22"/>
          <w:szCs w:val="22"/>
          <w:lang w:val="es-ES"/>
        </w:rPr>
        <w:t>CONTRATO DE FIDUCIA PÚBLICA – Decreto 1082 de 2015</w:t>
      </w:r>
    </w:p>
    <w:p w14:paraId="60760A80"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b/>
          <w:bCs/>
          <w:sz w:val="20"/>
          <w:szCs w:val="20"/>
          <w:lang w:val="es-ES"/>
        </w:rPr>
      </w:pPr>
    </w:p>
    <w:p w14:paraId="2B7DAC24" w14:textId="77777777" w:rsidR="00844111" w:rsidRDefault="00844111" w:rsidP="00844111">
      <w:pPr>
        <w:spacing w:after="0" w:line="240" w:lineRule="auto"/>
        <w:jc w:val="both"/>
        <w:rPr>
          <w:rFonts w:ascii="Verdana" w:hAnsi="Verdana" w:cs="Arial"/>
          <w:sz w:val="20"/>
          <w:szCs w:val="20"/>
          <w:lang w:val="es-MX"/>
        </w:rPr>
      </w:pPr>
      <w:r w:rsidRPr="000F7403">
        <w:rPr>
          <w:rFonts w:ascii="Verdana" w:hAnsi="Verdana" w:cs="Arial"/>
          <w:sz w:val="20"/>
          <w:szCs w:val="20"/>
          <w:lang w:val="es-MX"/>
        </w:rPr>
        <w:t xml:space="preserve">El artículo 2.2.1.1.2.4.1 del Decreto 1082 de 2015 prescribe que, en los casos previstos en la ley, el contratista debe suscribir un contrato de fiducia mercantil para crear un </w:t>
      </w:r>
      <w:r w:rsidRPr="000F7403">
        <w:rPr>
          <w:rFonts w:ascii="Verdana" w:hAnsi="Verdana" w:cs="Arial"/>
          <w:sz w:val="20"/>
          <w:szCs w:val="20"/>
          <w:lang w:val="es-MX"/>
        </w:rPr>
        <w:lastRenderedPageBreak/>
        <w:t xml:space="preserve">patrimonio autónomo, con una sociedad fiduciaria autorizada para ese fin por la Superintendencia Financiera de Colombia, a la cual la Entidad Estatal debe entregar el valor del anticipo. Los recursos del patrimonio y sus rendimientos son autónomos, además de que se manejan de acuerdo con el contrato de fiducia mercantil. Adicionalmente, la norma señala que en el pliego de condiciones la entidad debe establecer los términos y condiciones de la administración del anticipo a través del patrimonio autónomo. </w:t>
      </w:r>
    </w:p>
    <w:p w14:paraId="0F419A2D" w14:textId="77777777" w:rsidR="00844111" w:rsidRPr="000F7403" w:rsidRDefault="00844111" w:rsidP="00844111">
      <w:pPr>
        <w:spacing w:after="0" w:line="240" w:lineRule="auto"/>
        <w:jc w:val="both"/>
        <w:rPr>
          <w:rFonts w:ascii="Verdana" w:hAnsi="Verdana" w:cs="Arial"/>
          <w:sz w:val="20"/>
          <w:szCs w:val="20"/>
          <w:lang w:val="es-MX"/>
        </w:rPr>
      </w:pPr>
    </w:p>
    <w:p w14:paraId="62C4738E"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sz w:val="20"/>
          <w:szCs w:val="20"/>
          <w:lang w:val="es-MX"/>
        </w:rPr>
      </w:pPr>
      <w:r w:rsidRPr="000F7403">
        <w:rPr>
          <w:rFonts w:ascii="Verdana" w:hAnsi="Verdana" w:cs="Arial"/>
          <w:sz w:val="20"/>
          <w:szCs w:val="20"/>
          <w:lang w:val="es-MX"/>
        </w:rPr>
        <w:t>Lo anterior surge como una medida para fortalecer los mecanismos de prevención, investigación y sanción de actos de corrupción y la efectividad del control de la gestión pública, en atención a la problemática identificada sobre el incumplimiento de los contratistas de destinar los anticipos en la ejecución del contrato. De esta manera, mediante estas disposiciones se busca realizar un seguimiento a la entrega de recursos que se otorgan en calidad de anticipo, a través de la constitución de una fiducia irrevocable. Esto con la finalidad de garantizar la adecuada inversión y administración de los recursos, así como su reintegro a la entidad estatal.</w:t>
      </w:r>
    </w:p>
    <w:p w14:paraId="25920C2B"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b/>
          <w:bCs/>
          <w:sz w:val="20"/>
          <w:szCs w:val="20"/>
          <w:lang w:val="es-MX"/>
        </w:rPr>
      </w:pPr>
    </w:p>
    <w:p w14:paraId="6EE99194" w14:textId="4E4D86F1" w:rsidR="00844111" w:rsidRPr="000F7403" w:rsidRDefault="00844111" w:rsidP="00844111">
      <w:pPr>
        <w:pStyle w:val="NormalWeb"/>
        <w:shd w:val="clear" w:color="auto" w:fill="FFFFFF"/>
        <w:spacing w:before="0" w:beforeAutospacing="0" w:after="0" w:afterAutospacing="0"/>
        <w:jc w:val="both"/>
        <w:rPr>
          <w:rFonts w:ascii="Verdana" w:hAnsi="Verdana" w:cs="Arial"/>
          <w:sz w:val="22"/>
          <w:szCs w:val="22"/>
          <w:lang w:val="es-MX"/>
        </w:rPr>
      </w:pPr>
      <w:r w:rsidRPr="000F7403">
        <w:rPr>
          <w:rFonts w:ascii="Verdana" w:hAnsi="Verdana" w:cs="Arial"/>
          <w:b/>
          <w:bCs/>
          <w:sz w:val="22"/>
          <w:szCs w:val="22"/>
          <w:lang w:val="es-MX"/>
        </w:rPr>
        <w:t>CONSTITUCIÓN DE FIDUCIA O PATRIMONIO AUTÓNOMO IRREVOCABLE – Artículo 91 – Ley 1474 de 2011</w:t>
      </w:r>
      <w:r w:rsidR="00B1147A" w:rsidRPr="00B1147A">
        <w:rPr>
          <w:rFonts w:ascii="Verdana" w:hAnsi="Verdana" w:cs="Arial"/>
          <w:b/>
          <w:bCs/>
          <w:sz w:val="22"/>
          <w:szCs w:val="22"/>
          <w:lang w:val="es-ES"/>
        </w:rPr>
        <w:t>– Pliego de condiciones</w:t>
      </w:r>
    </w:p>
    <w:p w14:paraId="1182D14E" w14:textId="77777777" w:rsidR="00844111" w:rsidRPr="000F7403" w:rsidRDefault="00844111" w:rsidP="00844111">
      <w:pPr>
        <w:pStyle w:val="NormalWeb"/>
        <w:shd w:val="clear" w:color="auto" w:fill="FFFFFF"/>
        <w:spacing w:before="0" w:beforeAutospacing="0" w:after="0" w:afterAutospacing="0"/>
        <w:jc w:val="both"/>
        <w:rPr>
          <w:rFonts w:ascii="Verdana" w:hAnsi="Verdana" w:cs="Arial"/>
          <w:sz w:val="20"/>
          <w:szCs w:val="20"/>
          <w:lang w:val="es-MX"/>
        </w:rPr>
      </w:pPr>
    </w:p>
    <w:p w14:paraId="62A45E72" w14:textId="77777777" w:rsidR="00844111" w:rsidRDefault="00844111" w:rsidP="00844111">
      <w:pPr>
        <w:pStyle w:val="NormalWeb"/>
        <w:shd w:val="clear" w:color="auto" w:fill="FFFFFF"/>
        <w:spacing w:before="0" w:beforeAutospacing="0" w:after="0" w:afterAutospacing="0"/>
        <w:jc w:val="both"/>
        <w:rPr>
          <w:rFonts w:ascii="Verdana" w:hAnsi="Verdana" w:cs="Arial"/>
          <w:sz w:val="20"/>
          <w:szCs w:val="20"/>
          <w:lang w:val="es-MX"/>
        </w:rPr>
      </w:pPr>
      <w:r w:rsidRPr="000F7403">
        <w:rPr>
          <w:rFonts w:ascii="Verdana" w:hAnsi="Verdana" w:cs="Arial"/>
          <w:sz w:val="20"/>
          <w:szCs w:val="20"/>
          <w:lang w:val="es-MX"/>
        </w:rPr>
        <w:t>Por su parte, el artículo 91 de la Ley 1474 de 2011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p>
    <w:p w14:paraId="56C835B2" w14:textId="77777777" w:rsidR="00844111" w:rsidRPr="00B1147A" w:rsidRDefault="00844111" w:rsidP="00B1147A">
      <w:pPr>
        <w:pStyle w:val="NormalWeb"/>
        <w:shd w:val="clear" w:color="auto" w:fill="FFFFFF"/>
        <w:spacing w:before="0" w:beforeAutospacing="0" w:after="0" w:afterAutospacing="0"/>
        <w:jc w:val="both"/>
        <w:rPr>
          <w:rFonts w:ascii="Verdana" w:hAnsi="Verdana" w:cs="Arial"/>
          <w:sz w:val="20"/>
          <w:szCs w:val="20"/>
          <w:lang w:val="es-MX"/>
        </w:rPr>
      </w:pPr>
    </w:p>
    <w:p w14:paraId="00EE8743" w14:textId="620941DD" w:rsidR="00B1147A" w:rsidRPr="00B1147A" w:rsidRDefault="00B1147A" w:rsidP="00B1147A">
      <w:pPr>
        <w:spacing w:after="0" w:line="240" w:lineRule="auto"/>
        <w:jc w:val="both"/>
        <w:rPr>
          <w:rFonts w:ascii="Verdana" w:hAnsi="Verdana" w:cs="Arial"/>
          <w:color w:val="000000" w:themeColor="text1"/>
          <w:sz w:val="20"/>
          <w:szCs w:val="20"/>
        </w:rPr>
      </w:pPr>
      <w:r w:rsidRPr="00B1147A">
        <w:rPr>
          <w:rFonts w:ascii="Verdana" w:hAnsi="Verdana" w:cs="Arial"/>
          <w:color w:val="000000" w:themeColor="text1"/>
          <w:sz w:val="20"/>
          <w:szCs w:val="20"/>
        </w:rPr>
        <w:t>Las condiciones relativas a la entrega y administración del anticipo a través de fiducia mercantil deben estar incorporadas en el contrato estatal y deben ser conocidas previamente por las partes durante el proceso de selección, por lo que deben estar consignadas de manera clara y expresa en los pliegos de condiciones. En relación con este aspecto, es importante destacar que, conforme a lo dispuesto en el artículo 2.2.1.1.2.1.3 del Decreto 1082 de 2015, el pliego de condiciones debe incluir, entre otros elementos, los términos, condiciones y la minuta del contrato a celebrar. Es decir, que en el pliego de condiciones no solo se debe contemplar los aspectos propios del proceso de selección como los criterios habilitantes y de calificación, la modalidad de contratación y su justificación, las reglas aplicables a la presentación de la oferta, etc., sino también todas aquellas condiciones que regirán el contrato puesto que “</w:t>
      </w:r>
      <w:r w:rsidRPr="00B1147A">
        <w:rPr>
          <w:rFonts w:ascii="Verdana" w:hAnsi="Verdana" w:cs="Arial"/>
          <w:sz w:val="20"/>
          <w:szCs w:val="20"/>
        </w:rPr>
        <w:t>sus efectos trascienden después de la celebración del contrato, para regular las relaciones entre las partes, fuente de derechos y de obligaciones y permanece aún para la etapa final, al momento de su liquidación”.</w:t>
      </w:r>
    </w:p>
    <w:p w14:paraId="44524128" w14:textId="77777777" w:rsidR="00844111" w:rsidRPr="00B1147A" w:rsidRDefault="00844111" w:rsidP="00B1147A">
      <w:pPr>
        <w:spacing w:after="0" w:line="240" w:lineRule="auto"/>
        <w:rPr>
          <w:rFonts w:ascii="Verdana" w:eastAsia="Geomanist Light" w:hAnsi="Verdana" w:cs="Arial"/>
          <w:color w:val="000000" w:themeColor="text1"/>
          <w:sz w:val="20"/>
          <w:szCs w:val="20"/>
          <w:lang w:val="es-MX"/>
        </w:rPr>
      </w:pPr>
    </w:p>
    <w:p w14:paraId="229A7320" w14:textId="43844020" w:rsidR="00844111" w:rsidRPr="00B1147A" w:rsidRDefault="00B1147A" w:rsidP="00844111">
      <w:pPr>
        <w:spacing w:after="0" w:line="240" w:lineRule="auto"/>
        <w:rPr>
          <w:rFonts w:ascii="Verdana" w:eastAsia="Geomanist Light" w:hAnsi="Verdana" w:cs="Arial"/>
          <w:b/>
          <w:bCs/>
          <w:color w:val="000000" w:themeColor="text1"/>
          <w:lang w:val="es-MX"/>
        </w:rPr>
      </w:pPr>
      <w:r w:rsidRPr="00B1147A">
        <w:rPr>
          <w:rFonts w:ascii="Verdana" w:eastAsia="Calibri" w:hAnsi="Verdana" w:cs="Arial"/>
          <w:b/>
          <w:bCs/>
          <w:lang w:val="es-ES" w:eastAsia="es-ES"/>
        </w:rPr>
        <w:t xml:space="preserve">COSTOS COMISIÓN FIDUCIARIA – Gastos administrativos                      </w:t>
      </w:r>
    </w:p>
    <w:p w14:paraId="1A3F5311" w14:textId="77777777" w:rsidR="00844111" w:rsidRDefault="00844111" w:rsidP="00844111">
      <w:pPr>
        <w:spacing w:after="0" w:line="240" w:lineRule="auto"/>
        <w:rPr>
          <w:rFonts w:ascii="Verdana" w:eastAsia="Geomanist Light" w:hAnsi="Verdana" w:cs="Arial"/>
          <w:color w:val="000000" w:themeColor="text1"/>
          <w:lang w:val="es-MX"/>
        </w:rPr>
      </w:pPr>
    </w:p>
    <w:p w14:paraId="64F01BD4" w14:textId="77777777" w:rsidR="0023727A" w:rsidRPr="0023727A" w:rsidRDefault="0023727A" w:rsidP="0023727A">
      <w:pPr>
        <w:spacing w:after="0" w:line="240" w:lineRule="auto"/>
        <w:jc w:val="both"/>
        <w:rPr>
          <w:rFonts w:ascii="Verdana" w:hAnsi="Verdana" w:cs="Arial"/>
          <w:sz w:val="20"/>
          <w:szCs w:val="20"/>
        </w:rPr>
      </w:pPr>
      <w:r w:rsidRPr="0023727A">
        <w:rPr>
          <w:rFonts w:ascii="Verdana" w:hAnsi="Verdana" w:cs="Arial"/>
          <w:sz w:val="20"/>
          <w:szCs w:val="20"/>
        </w:rPr>
        <w:t xml:space="preserve">Partiendo de las consideraciones anteriores, es viable colegir que dentro de los costos indirectos que integran el precio del contrato se podrían enmarcar los costos de la </w:t>
      </w:r>
      <w:r w:rsidRPr="0023727A">
        <w:rPr>
          <w:rFonts w:ascii="Verdana" w:hAnsi="Verdana" w:cs="Arial"/>
          <w:sz w:val="20"/>
          <w:szCs w:val="20"/>
        </w:rPr>
        <w:lastRenderedPageBreak/>
        <w:t>comisión fiduciaria en los que incurre el contratista con ocasión del manejo del anticipo a través de una fiducia mercantil. En efecto, dichos gastos no corresponden a una actividad directamente vinculada al cumplimiento del objeto contractual, sino que constituyen la remuneración a la fiduciaria por la gestión financiera y operativa de los recursos del anticipo, derivados de la obligación de garantizar el uso adecuado de estos recursos. De esta forma, se podrían incluir como costos indirectos, en la medida en que forman parte del conjunto de obligaciones administrativas y financieras que debe asumir el contratista para la ejecución operativa del contrato, y pueden ser incluidos válidamente dentro del componente de “Administración” en la estructura de AIU.</w:t>
      </w:r>
    </w:p>
    <w:p w14:paraId="72923521" w14:textId="77777777" w:rsidR="00B1147A" w:rsidRDefault="00B1147A" w:rsidP="00844111">
      <w:pPr>
        <w:spacing w:after="0" w:line="240" w:lineRule="auto"/>
        <w:rPr>
          <w:rFonts w:ascii="Verdana" w:eastAsia="Geomanist Light" w:hAnsi="Verdana" w:cs="Arial"/>
          <w:color w:val="000000" w:themeColor="text1"/>
          <w:lang w:val="es-MX"/>
        </w:rPr>
      </w:pPr>
    </w:p>
    <w:p w14:paraId="0A626EBF" w14:textId="77777777" w:rsidR="00844111" w:rsidRDefault="00844111" w:rsidP="00844111">
      <w:pPr>
        <w:spacing w:after="0" w:line="240" w:lineRule="auto"/>
        <w:rPr>
          <w:rFonts w:ascii="Verdana" w:eastAsia="Geomanist Light" w:hAnsi="Verdana" w:cs="Arial"/>
          <w:color w:val="000000" w:themeColor="text1"/>
          <w:lang w:val="es-MX"/>
        </w:rPr>
      </w:pPr>
    </w:p>
    <w:p w14:paraId="7D3F585F" w14:textId="77777777" w:rsidR="00844111" w:rsidRDefault="00844111" w:rsidP="00844111">
      <w:pPr>
        <w:spacing w:after="0" w:line="240" w:lineRule="auto"/>
        <w:rPr>
          <w:rFonts w:ascii="Verdana" w:eastAsia="Geomanist Light" w:hAnsi="Verdana" w:cs="Arial"/>
          <w:color w:val="000000" w:themeColor="text1"/>
          <w:lang w:val="es-MX"/>
        </w:rPr>
      </w:pPr>
    </w:p>
    <w:p w14:paraId="022E1D31" w14:textId="77777777" w:rsidR="00844111" w:rsidRDefault="00844111" w:rsidP="00844111">
      <w:pPr>
        <w:spacing w:after="0" w:line="240" w:lineRule="auto"/>
        <w:rPr>
          <w:rFonts w:ascii="Verdana" w:eastAsia="Geomanist Light" w:hAnsi="Verdana" w:cs="Arial"/>
          <w:color w:val="000000" w:themeColor="text1"/>
          <w:lang w:val="es-MX"/>
        </w:rPr>
      </w:pPr>
    </w:p>
    <w:p w14:paraId="3E228AD6" w14:textId="77777777" w:rsidR="00844111" w:rsidRDefault="00844111" w:rsidP="00844111">
      <w:pPr>
        <w:spacing w:after="0" w:line="240" w:lineRule="auto"/>
        <w:rPr>
          <w:rFonts w:ascii="Verdana" w:eastAsia="Geomanist Light" w:hAnsi="Verdana" w:cs="Arial"/>
          <w:color w:val="000000" w:themeColor="text1"/>
          <w:lang w:val="es-MX"/>
        </w:rPr>
      </w:pPr>
    </w:p>
    <w:p w14:paraId="4E3509C3" w14:textId="77777777" w:rsidR="00844111" w:rsidRDefault="00844111" w:rsidP="00844111">
      <w:pPr>
        <w:spacing w:after="0" w:line="240" w:lineRule="auto"/>
        <w:rPr>
          <w:rFonts w:ascii="Verdana" w:eastAsia="Geomanist Light" w:hAnsi="Verdana" w:cs="Arial"/>
          <w:color w:val="000000" w:themeColor="text1"/>
          <w:lang w:val="es-MX"/>
        </w:rPr>
      </w:pPr>
    </w:p>
    <w:p w14:paraId="63C45C66" w14:textId="77777777" w:rsidR="00844111" w:rsidRDefault="00844111" w:rsidP="00844111">
      <w:pPr>
        <w:spacing w:after="0" w:line="240" w:lineRule="auto"/>
        <w:rPr>
          <w:rFonts w:ascii="Verdana" w:eastAsia="Geomanist Light" w:hAnsi="Verdana" w:cs="Arial"/>
          <w:color w:val="000000" w:themeColor="text1"/>
          <w:lang w:val="es-MX"/>
        </w:rPr>
      </w:pPr>
    </w:p>
    <w:p w14:paraId="7F1997BB" w14:textId="77777777" w:rsidR="00844111" w:rsidRDefault="00844111" w:rsidP="00844111">
      <w:pPr>
        <w:spacing w:after="0" w:line="240" w:lineRule="auto"/>
        <w:rPr>
          <w:rFonts w:ascii="Verdana" w:eastAsia="Geomanist Light" w:hAnsi="Verdana" w:cs="Arial"/>
          <w:color w:val="000000" w:themeColor="text1"/>
          <w:lang w:val="es-MX"/>
        </w:rPr>
      </w:pPr>
    </w:p>
    <w:p w14:paraId="13DEE99B" w14:textId="77777777" w:rsidR="00844111" w:rsidRDefault="00844111" w:rsidP="00844111">
      <w:pPr>
        <w:spacing w:after="0" w:line="240" w:lineRule="auto"/>
        <w:rPr>
          <w:rFonts w:ascii="Verdana" w:eastAsia="Geomanist Light" w:hAnsi="Verdana" w:cs="Arial"/>
          <w:color w:val="000000" w:themeColor="text1"/>
          <w:lang w:val="es-MX"/>
        </w:rPr>
      </w:pPr>
    </w:p>
    <w:p w14:paraId="69B49EC5" w14:textId="77777777" w:rsidR="00844111" w:rsidRDefault="00844111" w:rsidP="00844111">
      <w:pPr>
        <w:spacing w:after="0" w:line="240" w:lineRule="auto"/>
        <w:rPr>
          <w:rFonts w:ascii="Verdana" w:eastAsia="Geomanist Light" w:hAnsi="Verdana" w:cs="Arial"/>
          <w:color w:val="000000" w:themeColor="text1"/>
          <w:lang w:val="es-MX"/>
        </w:rPr>
      </w:pPr>
    </w:p>
    <w:p w14:paraId="513BE600" w14:textId="77777777" w:rsidR="00844111" w:rsidRDefault="00844111" w:rsidP="00844111">
      <w:pPr>
        <w:spacing w:after="0" w:line="240" w:lineRule="auto"/>
        <w:rPr>
          <w:rFonts w:ascii="Verdana" w:eastAsia="Geomanist Light" w:hAnsi="Verdana" w:cs="Arial"/>
          <w:color w:val="000000" w:themeColor="text1"/>
          <w:lang w:val="es-MX"/>
        </w:rPr>
      </w:pPr>
    </w:p>
    <w:p w14:paraId="01F36033" w14:textId="77777777" w:rsidR="00844111" w:rsidRDefault="00844111" w:rsidP="00844111">
      <w:pPr>
        <w:spacing w:after="0" w:line="240" w:lineRule="auto"/>
        <w:rPr>
          <w:rFonts w:ascii="Verdana" w:eastAsia="Geomanist Light" w:hAnsi="Verdana" w:cs="Arial"/>
          <w:color w:val="000000" w:themeColor="text1"/>
          <w:lang w:val="es-MX"/>
        </w:rPr>
      </w:pPr>
    </w:p>
    <w:p w14:paraId="70BE41F7" w14:textId="77777777" w:rsidR="00844111" w:rsidRDefault="00844111" w:rsidP="00844111">
      <w:pPr>
        <w:spacing w:after="0" w:line="240" w:lineRule="auto"/>
        <w:rPr>
          <w:rFonts w:ascii="Verdana" w:eastAsia="Geomanist Light" w:hAnsi="Verdana" w:cs="Arial"/>
          <w:color w:val="000000" w:themeColor="text1"/>
          <w:lang w:val="es-MX"/>
        </w:rPr>
      </w:pPr>
    </w:p>
    <w:p w14:paraId="4DF59ED6" w14:textId="77777777" w:rsidR="00844111" w:rsidRDefault="00844111" w:rsidP="00844111">
      <w:pPr>
        <w:spacing w:after="0" w:line="240" w:lineRule="auto"/>
        <w:rPr>
          <w:rFonts w:ascii="Verdana" w:eastAsia="Geomanist Light" w:hAnsi="Verdana" w:cs="Arial"/>
          <w:color w:val="000000" w:themeColor="text1"/>
          <w:lang w:val="es-MX"/>
        </w:rPr>
      </w:pPr>
    </w:p>
    <w:p w14:paraId="62DB5D1E" w14:textId="77777777" w:rsidR="00844111" w:rsidRDefault="00844111" w:rsidP="00844111">
      <w:pPr>
        <w:spacing w:after="0" w:line="240" w:lineRule="auto"/>
        <w:rPr>
          <w:rFonts w:ascii="Verdana" w:eastAsia="Geomanist Light" w:hAnsi="Verdana" w:cs="Arial"/>
          <w:color w:val="000000" w:themeColor="text1"/>
          <w:lang w:val="es-MX"/>
        </w:rPr>
      </w:pPr>
    </w:p>
    <w:p w14:paraId="14903EE3" w14:textId="77777777" w:rsidR="00844111" w:rsidRDefault="00844111" w:rsidP="00844111">
      <w:pPr>
        <w:spacing w:after="0" w:line="240" w:lineRule="auto"/>
        <w:rPr>
          <w:rFonts w:ascii="Verdana" w:eastAsia="Geomanist Light" w:hAnsi="Verdana" w:cs="Arial"/>
          <w:color w:val="000000" w:themeColor="text1"/>
          <w:lang w:val="es-MX"/>
        </w:rPr>
      </w:pPr>
    </w:p>
    <w:p w14:paraId="7CC94F05" w14:textId="77777777" w:rsidR="00844111" w:rsidRDefault="00844111" w:rsidP="00844111">
      <w:pPr>
        <w:spacing w:after="0" w:line="240" w:lineRule="auto"/>
        <w:rPr>
          <w:rFonts w:ascii="Verdana" w:eastAsia="Geomanist Light" w:hAnsi="Verdana" w:cs="Arial"/>
          <w:color w:val="000000" w:themeColor="text1"/>
          <w:lang w:val="es-MX"/>
        </w:rPr>
      </w:pPr>
    </w:p>
    <w:p w14:paraId="51E97ABC" w14:textId="77777777" w:rsidR="00844111" w:rsidRDefault="00844111" w:rsidP="00844111">
      <w:pPr>
        <w:spacing w:after="0" w:line="240" w:lineRule="auto"/>
        <w:rPr>
          <w:rFonts w:ascii="Verdana" w:eastAsia="Geomanist Light" w:hAnsi="Verdana" w:cs="Arial"/>
          <w:color w:val="000000" w:themeColor="text1"/>
          <w:lang w:val="es-MX"/>
        </w:rPr>
      </w:pPr>
    </w:p>
    <w:p w14:paraId="05166B2C" w14:textId="77777777" w:rsidR="00844111" w:rsidRDefault="00844111" w:rsidP="00844111">
      <w:pPr>
        <w:spacing w:after="0" w:line="240" w:lineRule="auto"/>
        <w:rPr>
          <w:rFonts w:ascii="Verdana" w:eastAsia="Geomanist Light" w:hAnsi="Verdana" w:cs="Arial"/>
          <w:color w:val="000000" w:themeColor="text1"/>
          <w:lang w:val="es-MX"/>
        </w:rPr>
      </w:pPr>
    </w:p>
    <w:p w14:paraId="481A278A" w14:textId="77777777" w:rsidR="00844111" w:rsidRDefault="00844111" w:rsidP="00844111">
      <w:pPr>
        <w:spacing w:after="0" w:line="240" w:lineRule="auto"/>
        <w:rPr>
          <w:rFonts w:ascii="Verdana" w:eastAsia="Geomanist Light" w:hAnsi="Verdana" w:cs="Arial"/>
          <w:color w:val="000000" w:themeColor="text1"/>
          <w:lang w:val="es-MX"/>
        </w:rPr>
      </w:pPr>
    </w:p>
    <w:p w14:paraId="2E6BA796" w14:textId="77777777" w:rsidR="00844111" w:rsidRDefault="00844111" w:rsidP="00844111">
      <w:pPr>
        <w:spacing w:after="0" w:line="240" w:lineRule="auto"/>
        <w:rPr>
          <w:rFonts w:ascii="Verdana" w:eastAsia="Geomanist Light" w:hAnsi="Verdana" w:cs="Arial"/>
          <w:color w:val="000000" w:themeColor="text1"/>
          <w:lang w:val="es-MX"/>
        </w:rPr>
      </w:pPr>
    </w:p>
    <w:p w14:paraId="7308DFC9" w14:textId="77777777" w:rsidR="00844111" w:rsidRDefault="00844111" w:rsidP="00844111">
      <w:pPr>
        <w:spacing w:after="0" w:line="240" w:lineRule="auto"/>
        <w:rPr>
          <w:rFonts w:ascii="Verdana" w:eastAsia="Geomanist Light" w:hAnsi="Verdana" w:cs="Arial"/>
          <w:color w:val="000000" w:themeColor="text1"/>
          <w:lang w:val="es-MX"/>
        </w:rPr>
      </w:pPr>
    </w:p>
    <w:p w14:paraId="367E07FF" w14:textId="77777777" w:rsidR="00844111" w:rsidRDefault="00844111" w:rsidP="00844111">
      <w:pPr>
        <w:spacing w:after="0" w:line="240" w:lineRule="auto"/>
        <w:rPr>
          <w:rFonts w:ascii="Verdana" w:eastAsia="Geomanist Light" w:hAnsi="Verdana" w:cs="Arial"/>
          <w:color w:val="000000" w:themeColor="text1"/>
          <w:lang w:val="es-MX"/>
        </w:rPr>
      </w:pPr>
    </w:p>
    <w:p w14:paraId="1C05A3B8" w14:textId="77777777" w:rsidR="00844111" w:rsidRDefault="00844111" w:rsidP="00844111">
      <w:pPr>
        <w:spacing w:after="0" w:line="240" w:lineRule="auto"/>
        <w:rPr>
          <w:rFonts w:ascii="Verdana" w:eastAsia="Geomanist Light" w:hAnsi="Verdana" w:cs="Arial"/>
          <w:color w:val="000000" w:themeColor="text1"/>
          <w:lang w:val="es-MX"/>
        </w:rPr>
      </w:pPr>
    </w:p>
    <w:p w14:paraId="1F669AC5" w14:textId="77777777" w:rsidR="00844111" w:rsidRDefault="00844111" w:rsidP="00844111">
      <w:pPr>
        <w:spacing w:after="0" w:line="240" w:lineRule="auto"/>
        <w:rPr>
          <w:rFonts w:ascii="Verdana" w:eastAsia="Geomanist Light" w:hAnsi="Verdana" w:cs="Arial"/>
          <w:color w:val="000000" w:themeColor="text1"/>
          <w:lang w:val="es-MX"/>
        </w:rPr>
      </w:pPr>
    </w:p>
    <w:p w14:paraId="3E4C31A3" w14:textId="77777777" w:rsidR="00844111" w:rsidRDefault="00844111" w:rsidP="00844111">
      <w:pPr>
        <w:spacing w:after="0" w:line="240" w:lineRule="auto"/>
        <w:rPr>
          <w:rFonts w:ascii="Verdana" w:eastAsia="Geomanist Light" w:hAnsi="Verdana" w:cs="Arial"/>
          <w:color w:val="000000" w:themeColor="text1"/>
          <w:lang w:val="es-MX"/>
        </w:rPr>
      </w:pPr>
    </w:p>
    <w:p w14:paraId="0C190B4A" w14:textId="77777777" w:rsidR="00844111" w:rsidRDefault="00844111" w:rsidP="00844111">
      <w:pPr>
        <w:spacing w:after="0" w:line="240" w:lineRule="auto"/>
        <w:rPr>
          <w:rFonts w:ascii="Verdana" w:eastAsia="Geomanist Light" w:hAnsi="Verdana" w:cs="Arial"/>
          <w:color w:val="000000" w:themeColor="text1"/>
          <w:lang w:val="es-MX"/>
        </w:rPr>
      </w:pPr>
    </w:p>
    <w:p w14:paraId="7DF00502" w14:textId="77777777" w:rsidR="00844111" w:rsidRDefault="00844111" w:rsidP="00650E02">
      <w:pPr>
        <w:spacing w:after="0" w:line="240" w:lineRule="auto"/>
        <w:rPr>
          <w:rFonts w:ascii="Verdana" w:eastAsia="Geomanist Light" w:hAnsi="Verdana" w:cs="Arial"/>
          <w:color w:val="000000" w:themeColor="text1"/>
          <w:lang w:val="es-MX"/>
        </w:rPr>
      </w:pPr>
    </w:p>
    <w:p w14:paraId="2FFC3F0C" w14:textId="77777777" w:rsidR="0023727A" w:rsidRDefault="0023727A" w:rsidP="00953C6B">
      <w:pPr>
        <w:spacing w:after="0" w:line="240" w:lineRule="auto"/>
        <w:rPr>
          <w:rFonts w:ascii="Verdana" w:eastAsia="Geomanist Light" w:hAnsi="Verdana" w:cs="Arial"/>
          <w:color w:val="000000" w:themeColor="text1"/>
        </w:rPr>
      </w:pPr>
    </w:p>
    <w:p w14:paraId="7FE3F183" w14:textId="77777777" w:rsidR="0023727A" w:rsidRDefault="0023727A" w:rsidP="00953C6B">
      <w:pPr>
        <w:spacing w:after="0" w:line="240" w:lineRule="auto"/>
        <w:rPr>
          <w:rFonts w:ascii="Verdana" w:eastAsia="Geomanist Light" w:hAnsi="Verdana" w:cs="Arial"/>
          <w:color w:val="000000" w:themeColor="text1"/>
        </w:rPr>
      </w:pPr>
    </w:p>
    <w:p w14:paraId="5071EC40" w14:textId="77777777" w:rsidR="0023727A" w:rsidRDefault="0023727A" w:rsidP="00953C6B">
      <w:pPr>
        <w:spacing w:after="0" w:line="240" w:lineRule="auto"/>
        <w:rPr>
          <w:rFonts w:ascii="Verdana" w:eastAsia="Geomanist Light" w:hAnsi="Verdana" w:cs="Arial"/>
          <w:color w:val="000000" w:themeColor="text1"/>
        </w:rPr>
      </w:pPr>
    </w:p>
    <w:p w14:paraId="208EB2D0" w14:textId="77777777" w:rsidR="0023727A" w:rsidRDefault="0023727A" w:rsidP="00953C6B">
      <w:pPr>
        <w:spacing w:after="0" w:line="240" w:lineRule="auto"/>
        <w:rPr>
          <w:rFonts w:ascii="Verdana" w:eastAsia="Geomanist Light" w:hAnsi="Verdana" w:cs="Arial"/>
          <w:color w:val="000000" w:themeColor="text1"/>
        </w:rPr>
      </w:pPr>
    </w:p>
    <w:p w14:paraId="376ED512" w14:textId="77777777" w:rsidR="0023727A" w:rsidRDefault="0023727A" w:rsidP="00953C6B">
      <w:pPr>
        <w:spacing w:after="0" w:line="240" w:lineRule="auto"/>
        <w:rPr>
          <w:rFonts w:ascii="Verdana" w:eastAsia="Geomanist Light" w:hAnsi="Verdana" w:cs="Arial"/>
          <w:color w:val="000000" w:themeColor="text1"/>
        </w:rPr>
      </w:pPr>
    </w:p>
    <w:p w14:paraId="604CD1FD" w14:textId="77777777" w:rsidR="009E0043" w:rsidRDefault="009E0043" w:rsidP="00953C6B">
      <w:pPr>
        <w:spacing w:after="0" w:line="240" w:lineRule="auto"/>
        <w:rPr>
          <w:rFonts w:ascii="Verdana" w:eastAsia="Geomanist Light" w:hAnsi="Verdana" w:cs="Arial"/>
          <w:color w:val="000000" w:themeColor="text1"/>
        </w:rPr>
      </w:pPr>
    </w:p>
    <w:p w14:paraId="10B3936A" w14:textId="5DBABF61" w:rsidR="00953C6B" w:rsidRPr="007524C4" w:rsidRDefault="00953C6B" w:rsidP="00953C6B">
      <w:pPr>
        <w:spacing w:after="0" w:line="240" w:lineRule="auto"/>
        <w:rPr>
          <w:rFonts w:ascii="Verdana" w:eastAsia="Geomanist Light" w:hAnsi="Verdana" w:cs="Arial"/>
          <w:color w:val="201F1E"/>
        </w:rPr>
      </w:pPr>
      <w:r w:rsidRPr="007524C4">
        <w:rPr>
          <w:rFonts w:ascii="Verdana" w:eastAsia="Geomanist Light" w:hAnsi="Verdana" w:cs="Arial"/>
          <w:color w:val="000000" w:themeColor="text1"/>
        </w:rPr>
        <w:lastRenderedPageBreak/>
        <w:t>Bogotá D.C., </w:t>
      </w:r>
      <w:r w:rsidR="0023727A">
        <w:rPr>
          <w:rFonts w:ascii="Verdana" w:eastAsia="Geomanist Light" w:hAnsi="Verdana" w:cs="Arial"/>
          <w:color w:val="201F1E"/>
        </w:rPr>
        <w:t>25 de julio de 2025</w:t>
      </w:r>
    </w:p>
    <w:p w14:paraId="542AFCE8" w14:textId="75CD3B6C" w:rsidR="00953C6B" w:rsidRDefault="009E0043" w:rsidP="00953C6B">
      <w:pPr>
        <w:spacing w:after="0" w:line="240" w:lineRule="auto"/>
        <w:jc w:val="both"/>
        <w:rPr>
          <w:rFonts w:ascii="Verdana" w:eastAsia="Calibri" w:hAnsi="Verdana" w:cs="Arial"/>
          <w:color w:val="000000"/>
          <w:lang w:val="es-ES"/>
        </w:rPr>
      </w:pPr>
      <w:r w:rsidRPr="0023727A">
        <w:rPr>
          <w:rFonts w:ascii="Verdana" w:eastAsia="Calibri" w:hAnsi="Verdana" w:cs="Arial"/>
          <w:noProof/>
          <w:color w:val="000000"/>
          <w:lang w:val="es-ES"/>
        </w:rPr>
        <w:drawing>
          <wp:anchor distT="0" distB="0" distL="114300" distR="114300" simplePos="0" relativeHeight="251657216" behindDoc="0" locked="0" layoutInCell="1" allowOverlap="1" wp14:anchorId="67B20CEC" wp14:editId="73AFEDFA">
            <wp:simplePos x="0" y="0"/>
            <wp:positionH relativeFrom="column">
              <wp:posOffset>2489835</wp:posOffset>
            </wp:positionH>
            <wp:positionV relativeFrom="paragraph">
              <wp:posOffset>170815</wp:posOffset>
            </wp:positionV>
            <wp:extent cx="3124835" cy="1051560"/>
            <wp:effectExtent l="0" t="0" r="0" b="0"/>
            <wp:wrapSquare wrapText="bothSides"/>
            <wp:docPr id="16524143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4835" cy="1051560"/>
                    </a:xfrm>
                    <a:prstGeom prst="rect">
                      <a:avLst/>
                    </a:prstGeom>
                    <a:noFill/>
                    <a:ln>
                      <a:noFill/>
                    </a:ln>
                  </pic:spPr>
                </pic:pic>
              </a:graphicData>
            </a:graphic>
            <wp14:sizeRelH relativeFrom="margin">
              <wp14:pctWidth>0</wp14:pctWidth>
            </wp14:sizeRelH>
          </wp:anchor>
        </w:drawing>
      </w:r>
    </w:p>
    <w:p w14:paraId="1035415A" w14:textId="7AFA77A7" w:rsidR="00953C6B" w:rsidRDefault="00953C6B" w:rsidP="00953C6B">
      <w:pPr>
        <w:spacing w:after="0" w:line="240" w:lineRule="auto"/>
        <w:jc w:val="right"/>
        <w:rPr>
          <w:rFonts w:ascii="Verdana" w:eastAsia="Calibri" w:hAnsi="Verdana" w:cs="Arial"/>
          <w:color w:val="000000"/>
          <w:lang w:val="es-ES"/>
        </w:rPr>
      </w:pPr>
    </w:p>
    <w:p w14:paraId="6618D0D7" w14:textId="77777777" w:rsidR="00953C6B" w:rsidRPr="00593A5F" w:rsidRDefault="00953C6B" w:rsidP="00953C6B">
      <w:pPr>
        <w:spacing w:after="0" w:line="240" w:lineRule="auto"/>
        <w:jc w:val="both"/>
        <w:rPr>
          <w:rFonts w:ascii="Verdana" w:eastAsia="Calibri" w:hAnsi="Verdana" w:cs="Arial"/>
          <w:color w:val="000000"/>
          <w:lang w:val="es-ES"/>
        </w:rPr>
      </w:pPr>
    </w:p>
    <w:p w14:paraId="6110BC51" w14:textId="77777777" w:rsidR="00953C6B" w:rsidRPr="000C555D" w:rsidRDefault="00953C6B" w:rsidP="00953C6B">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5A156510" w14:textId="77777777" w:rsidR="00953C6B" w:rsidRPr="00583C7F" w:rsidRDefault="00953C6B" w:rsidP="00953C6B">
      <w:pPr>
        <w:spacing w:after="0" w:line="240" w:lineRule="auto"/>
        <w:rPr>
          <w:rFonts w:ascii="Verdana" w:eastAsia="Calibri" w:hAnsi="Verdana" w:cs="Arial"/>
          <w:b/>
          <w:lang w:val="es-ES" w:eastAsia="es-ES"/>
        </w:rPr>
      </w:pPr>
      <w:r>
        <w:rPr>
          <w:rFonts w:ascii="Verdana" w:eastAsia="Calibri" w:hAnsi="Verdana" w:cs="Arial"/>
          <w:b/>
          <w:lang w:val="es-ES" w:eastAsia="es-ES"/>
        </w:rPr>
        <w:t>Elkin Estiven García Sabogal</w:t>
      </w:r>
      <w:r w:rsidRPr="56F3586C">
        <w:rPr>
          <w:rFonts w:ascii="Verdana" w:eastAsia="Calibri" w:hAnsi="Verdana" w:cs="Arial"/>
          <w:b/>
          <w:lang w:val="es-ES" w:eastAsia="es-ES"/>
        </w:rPr>
        <w:t xml:space="preserve"> </w:t>
      </w:r>
    </w:p>
    <w:p w14:paraId="01D2F766" w14:textId="77777777" w:rsidR="00953C6B" w:rsidRPr="00D84128" w:rsidRDefault="00953C6B" w:rsidP="00953C6B">
      <w:pPr>
        <w:spacing w:after="0" w:line="240" w:lineRule="auto"/>
        <w:rPr>
          <w:rFonts w:ascii="Verdana" w:eastAsia="Calibri" w:hAnsi="Verdana" w:cs="Arial"/>
          <w:lang w:val="es-ES" w:eastAsia="es-ES"/>
        </w:rPr>
      </w:pPr>
      <w:hyperlink r:id="rId12" w:history="1">
        <w:r w:rsidRPr="00863661">
          <w:rPr>
            <w:rStyle w:val="Hipervnculo"/>
            <w:rFonts w:ascii="Verdana" w:hAnsi="Verdana"/>
          </w:rPr>
          <w:t>Elkingarciasabogal@gmail.com</w:t>
        </w:r>
      </w:hyperlink>
      <w:r>
        <w:rPr>
          <w:rFonts w:ascii="Verdana" w:hAnsi="Verdana"/>
        </w:rPr>
        <w:t xml:space="preserve"> </w:t>
      </w:r>
      <w:r w:rsidRPr="00D84128">
        <w:rPr>
          <w:rFonts w:ascii="Verdana" w:hAnsi="Verdana"/>
        </w:rPr>
        <w:t xml:space="preserve"> </w:t>
      </w:r>
      <w:r>
        <w:rPr>
          <w:rFonts w:ascii="Verdana" w:hAnsi="Verdana"/>
        </w:rPr>
        <w:t xml:space="preserve"> </w:t>
      </w:r>
      <w:r w:rsidRPr="00D84128">
        <w:rPr>
          <w:rFonts w:ascii="Verdana" w:hAnsi="Verdana"/>
        </w:rPr>
        <w:t xml:space="preserve">            </w:t>
      </w:r>
      <w:r w:rsidRPr="00D84128">
        <w:rPr>
          <w:rFonts w:ascii="Verdana" w:eastAsia="Calibri" w:hAnsi="Verdana" w:cs="Arial"/>
          <w:lang w:val="es-ES" w:eastAsia="es-ES"/>
        </w:rPr>
        <w:t xml:space="preserve">    </w:t>
      </w:r>
    </w:p>
    <w:p w14:paraId="1569BCB4" w14:textId="77777777" w:rsidR="00953C6B" w:rsidRDefault="00953C6B" w:rsidP="00953C6B">
      <w:pPr>
        <w:spacing w:after="0" w:line="240" w:lineRule="auto"/>
        <w:rPr>
          <w:rFonts w:ascii="Verdana" w:eastAsia="Calibri" w:hAnsi="Verdana" w:cs="Arial"/>
          <w:lang w:val="es-ES" w:eastAsia="es-ES"/>
        </w:rPr>
      </w:pPr>
      <w:r w:rsidRPr="00331580">
        <w:rPr>
          <w:rFonts w:ascii="Verdana" w:eastAsia="Calibri" w:hAnsi="Verdana" w:cs="Arial"/>
          <w:lang w:val="es-ES" w:eastAsia="es-ES"/>
        </w:rPr>
        <w:t>Bogotá D.C.</w:t>
      </w:r>
      <w:r>
        <w:rPr>
          <w:rFonts w:ascii="Verdana" w:eastAsia="Calibri" w:hAnsi="Verdana" w:cs="Arial"/>
          <w:lang w:val="es-ES" w:eastAsia="es-ES"/>
        </w:rPr>
        <w:t xml:space="preserve"> </w:t>
      </w:r>
    </w:p>
    <w:p w14:paraId="14790529" w14:textId="77777777" w:rsidR="00953C6B" w:rsidRPr="00593A5F" w:rsidRDefault="00953C6B" w:rsidP="00953C6B">
      <w:pPr>
        <w:spacing w:after="0" w:line="240" w:lineRule="auto"/>
        <w:rPr>
          <w:rFonts w:ascii="Verdana" w:eastAsia="Calibri" w:hAnsi="Verdana" w:cs="Arial"/>
          <w:b/>
          <w:bCs/>
          <w:color w:val="000000"/>
          <w:lang w:val="es-ES_tradnl" w:eastAsia="es-ES_tradnl"/>
        </w:rPr>
      </w:pPr>
    </w:p>
    <w:p w14:paraId="01C7B01E" w14:textId="77777777" w:rsidR="00953C6B" w:rsidRPr="00593A5F" w:rsidRDefault="00953C6B" w:rsidP="00953C6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53C6B" w:rsidRPr="00593A5F" w14:paraId="11870BB6" w14:textId="77777777" w:rsidTr="00AA5F25">
        <w:trPr>
          <w:trHeight w:val="884"/>
        </w:trPr>
        <w:tc>
          <w:tcPr>
            <w:tcW w:w="2689" w:type="dxa"/>
          </w:tcPr>
          <w:p w14:paraId="64BC278B" w14:textId="77777777" w:rsidR="00953C6B" w:rsidRPr="00C00976" w:rsidRDefault="00953C6B" w:rsidP="00AA5F25">
            <w:pPr>
              <w:jc w:val="both"/>
              <w:rPr>
                <w:rFonts w:ascii="Verdana" w:eastAsia="Calibri" w:hAnsi="Verdana" w:cs="Arial"/>
                <w:b/>
                <w:bCs/>
                <w:color w:val="7030A0"/>
                <w:lang w:val="es-ES_tradnl" w:eastAsia="es-ES_tradnl"/>
              </w:rPr>
            </w:pPr>
          </w:p>
        </w:tc>
        <w:tc>
          <w:tcPr>
            <w:tcW w:w="6100" w:type="dxa"/>
          </w:tcPr>
          <w:p w14:paraId="2145E5A1" w14:textId="77777777" w:rsidR="00953C6B" w:rsidRPr="00C00976" w:rsidRDefault="00953C6B" w:rsidP="00AA5F25">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814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953C6B" w:rsidRPr="00593A5F" w14:paraId="597A748F" w14:textId="77777777" w:rsidTr="00AA5F25">
        <w:trPr>
          <w:trHeight w:val="884"/>
        </w:trPr>
        <w:tc>
          <w:tcPr>
            <w:tcW w:w="2689" w:type="dxa"/>
          </w:tcPr>
          <w:p w14:paraId="04D8FDC4" w14:textId="77777777" w:rsidR="00953C6B" w:rsidRPr="00593A5F" w:rsidRDefault="00953C6B" w:rsidP="00AA5F25">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38C07F8" w14:textId="77777777" w:rsidR="00953C6B" w:rsidRPr="00A11406" w:rsidRDefault="00953C6B" w:rsidP="00AA5F25">
            <w:pPr>
              <w:spacing w:line="276" w:lineRule="auto"/>
              <w:jc w:val="both"/>
              <w:rPr>
                <w:rFonts w:ascii="Verdana" w:eastAsia="Calibri" w:hAnsi="Verdana" w:cs="Arial"/>
                <w:lang w:val="es-ES" w:eastAsia="es-ES"/>
              </w:rPr>
            </w:pPr>
            <w:r w:rsidRPr="00267F65">
              <w:rPr>
                <w:rFonts w:ascii="Verdana" w:eastAsia="Calibri" w:hAnsi="Verdana" w:cs="Arial"/>
                <w:lang w:val="es-ES" w:eastAsia="es-ES"/>
              </w:rPr>
              <w:t>ANTICIPO – Regulación normativa</w:t>
            </w:r>
            <w:r>
              <w:rPr>
                <w:rFonts w:ascii="Verdana" w:eastAsia="Calibri" w:hAnsi="Verdana" w:cs="Arial"/>
                <w:lang w:val="es-ES" w:eastAsia="es-ES"/>
              </w:rPr>
              <w:t xml:space="preserve"> / </w:t>
            </w:r>
            <w:r w:rsidRPr="00267F65">
              <w:rPr>
                <w:rFonts w:ascii="Verdana" w:eastAsia="Calibri" w:hAnsi="Verdana" w:cs="Arial"/>
                <w:lang w:val="es-ES" w:eastAsia="es-ES"/>
              </w:rPr>
              <w:t>ANTICIPO – Definición jurisprudencial</w:t>
            </w:r>
            <w:r>
              <w:rPr>
                <w:rFonts w:ascii="Verdana" w:eastAsia="Calibri" w:hAnsi="Verdana" w:cs="Arial"/>
                <w:lang w:val="es-ES" w:eastAsia="es-ES"/>
              </w:rPr>
              <w:t xml:space="preserve"> / </w:t>
            </w:r>
            <w:r w:rsidRPr="00267F65">
              <w:rPr>
                <w:rFonts w:ascii="Verdana" w:eastAsia="Calibri" w:hAnsi="Verdana" w:cs="Arial"/>
                <w:lang w:val="es-ES" w:eastAsia="es-ES"/>
              </w:rPr>
              <w:t xml:space="preserve">ANTICIPO – Autonomía de la voluntad – Derechos y obligaciones recíprocas </w:t>
            </w:r>
            <w:r>
              <w:rPr>
                <w:rFonts w:ascii="Verdana" w:eastAsia="Calibri" w:hAnsi="Verdana" w:cs="Arial"/>
                <w:lang w:val="es-ES" w:eastAsia="es-ES"/>
              </w:rPr>
              <w:t xml:space="preserve">/ </w:t>
            </w:r>
            <w:r w:rsidRPr="00267F65">
              <w:rPr>
                <w:rFonts w:ascii="Verdana" w:eastAsia="Calibri" w:hAnsi="Verdana" w:cs="Arial"/>
                <w:lang w:val="es-ES" w:eastAsia="es-ES"/>
              </w:rPr>
              <w:t>CONSTITUCIÓN DE FIDUCIA O PATRIMONIO AUTÓNOMO IRREVOCABLE – Artículo 91 – Ley 1474 de 2011</w:t>
            </w:r>
            <w:r>
              <w:rPr>
                <w:rFonts w:ascii="Verdana" w:eastAsia="Calibri" w:hAnsi="Verdana" w:cs="Arial"/>
                <w:lang w:val="es-ES" w:eastAsia="es-ES"/>
              </w:rPr>
              <w:t xml:space="preserve"> </w:t>
            </w:r>
            <w:r w:rsidRPr="00267F65">
              <w:rPr>
                <w:rFonts w:ascii="Verdana" w:eastAsia="Calibri" w:hAnsi="Verdana" w:cs="Arial"/>
                <w:lang w:val="es-ES" w:eastAsia="es-ES"/>
              </w:rPr>
              <w:t>–</w:t>
            </w:r>
            <w:r>
              <w:rPr>
                <w:rFonts w:ascii="Verdana" w:eastAsia="Calibri" w:hAnsi="Verdana" w:cs="Arial"/>
                <w:lang w:val="es-ES" w:eastAsia="es-ES"/>
              </w:rPr>
              <w:t xml:space="preserve"> Pliego de condiciones / COSTOS COMISIÓN FIDUCIARIA</w:t>
            </w:r>
            <w:r w:rsidRPr="00B21CDF">
              <w:rPr>
                <w:rFonts w:ascii="Verdana" w:eastAsia="Calibri" w:hAnsi="Verdana" w:cs="Arial"/>
                <w:lang w:val="es-ES" w:eastAsia="es-ES"/>
              </w:rPr>
              <w:t xml:space="preserve"> – </w:t>
            </w:r>
            <w:r>
              <w:rPr>
                <w:rFonts w:ascii="Verdana" w:eastAsia="Calibri" w:hAnsi="Verdana" w:cs="Arial"/>
                <w:lang w:val="es-ES" w:eastAsia="es-ES"/>
              </w:rPr>
              <w:t>Gastos administrativos</w:t>
            </w:r>
            <w:r w:rsidRPr="00B21CDF">
              <w:rPr>
                <w:rFonts w:ascii="Verdana" w:eastAsia="Calibri" w:hAnsi="Verdana" w:cs="Arial"/>
                <w:lang w:val="es-ES" w:eastAsia="es-ES"/>
              </w:rPr>
              <w:t xml:space="preserve"> </w:t>
            </w:r>
            <w:r w:rsidRPr="00683DFF">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E1A7EAB" w14:textId="77777777" w:rsidR="00953C6B" w:rsidRPr="00593A5F" w:rsidRDefault="00953C6B" w:rsidP="00AA5F25">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953C6B" w:rsidRPr="008E6AD9" w14:paraId="50D503A3" w14:textId="77777777" w:rsidTr="00AA5F25">
        <w:tc>
          <w:tcPr>
            <w:tcW w:w="2689" w:type="dxa"/>
          </w:tcPr>
          <w:p w14:paraId="49D67754" w14:textId="77777777" w:rsidR="00953C6B" w:rsidRPr="008E6AD9" w:rsidRDefault="00953C6B" w:rsidP="00AA5F25">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3ACA223" w14:textId="77777777" w:rsidR="00953C6B" w:rsidRPr="00B92340" w:rsidRDefault="00953C6B" w:rsidP="00AA5F25">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905599">
              <w:rPr>
                <w:rFonts w:ascii="Verdana" w:eastAsia="Calibri" w:hAnsi="Verdana" w:cs="Arial"/>
                <w:lang w:val="es-ES_tradnl" w:eastAsia="es-ES_tradnl"/>
              </w:rPr>
              <w:t>1_2025_06_19_006171 y 1_2025_06_19_006177</w:t>
            </w:r>
          </w:p>
        </w:tc>
      </w:tr>
    </w:tbl>
    <w:p w14:paraId="16F965C6" w14:textId="77777777" w:rsidR="00953C6B" w:rsidRPr="00593A5F" w:rsidRDefault="00953C6B" w:rsidP="00953C6B">
      <w:pPr>
        <w:spacing w:after="0" w:line="240" w:lineRule="auto"/>
        <w:jc w:val="both"/>
        <w:rPr>
          <w:rFonts w:ascii="Verdana" w:eastAsia="Calibri" w:hAnsi="Verdana" w:cs="Arial"/>
          <w:color w:val="000000"/>
          <w:lang w:val="es-ES_tradnl" w:eastAsia="es-ES_tradnl"/>
        </w:rPr>
      </w:pPr>
    </w:p>
    <w:p w14:paraId="78C2236F" w14:textId="77777777" w:rsidR="00953C6B" w:rsidRPr="00593A5F" w:rsidRDefault="00953C6B" w:rsidP="00953C6B">
      <w:pPr>
        <w:spacing w:after="0" w:line="240" w:lineRule="auto"/>
        <w:jc w:val="both"/>
        <w:rPr>
          <w:rFonts w:ascii="Verdana" w:eastAsia="Calibri" w:hAnsi="Verdana" w:cs="Arial"/>
          <w:color w:val="000000"/>
          <w:lang w:val="es-ES_tradnl" w:eastAsia="es-ES_tradnl"/>
        </w:rPr>
      </w:pPr>
    </w:p>
    <w:p w14:paraId="4AD6569B" w14:textId="77777777" w:rsidR="00953C6B" w:rsidRPr="008E6AD9" w:rsidRDefault="00953C6B" w:rsidP="00953C6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García Sabogal</w:t>
      </w:r>
      <w:r w:rsidRPr="008E6AD9">
        <w:rPr>
          <w:rFonts w:ascii="Verdana" w:eastAsia="Calibri" w:hAnsi="Verdana" w:cs="Arial"/>
          <w:lang w:val="es-ES" w:eastAsia="es-ES"/>
        </w:rPr>
        <w:t xml:space="preserve">: </w:t>
      </w:r>
    </w:p>
    <w:p w14:paraId="1BC546C3" w14:textId="77777777" w:rsidR="00953C6B" w:rsidRDefault="00953C6B" w:rsidP="00953C6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A386121" w14:textId="77777777" w:rsidR="00953C6B" w:rsidRPr="00593A5F" w:rsidRDefault="00953C6B" w:rsidP="00953C6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19 de junio de 2025, </w:t>
      </w:r>
      <w:r w:rsidRPr="008E6AD9">
        <w:rPr>
          <w:rFonts w:ascii="Verdana" w:eastAsia="Calibri" w:hAnsi="Verdana" w:cs="Arial"/>
          <w:lang w:val="es-ES" w:eastAsia="es-ES"/>
        </w:rPr>
        <w:t xml:space="preserve">en </w:t>
      </w:r>
      <w:r>
        <w:rPr>
          <w:rFonts w:ascii="Verdana" w:eastAsia="Calibri" w:hAnsi="Verdana" w:cs="Arial"/>
          <w:lang w:val="es-ES" w:eastAsia="es-ES"/>
        </w:rPr>
        <w:t>la cual manifiesta lo siguiente</w:t>
      </w:r>
      <w:r w:rsidRPr="008E6AD9">
        <w:rPr>
          <w:rFonts w:ascii="Verdana" w:eastAsia="Calibri" w:hAnsi="Verdana" w:cs="Arial"/>
          <w:lang w:val="es-ES" w:eastAsia="es-ES"/>
        </w:rPr>
        <w:t xml:space="preserve">: </w:t>
      </w:r>
    </w:p>
    <w:p w14:paraId="5FF33B54" w14:textId="77777777" w:rsidR="00953C6B" w:rsidRPr="00272A7B" w:rsidRDefault="00953C6B" w:rsidP="00953C6B">
      <w:pPr>
        <w:pStyle w:val="Prrafodelista"/>
        <w:tabs>
          <w:tab w:val="left" w:pos="142"/>
          <w:tab w:val="left" w:pos="284"/>
        </w:tabs>
        <w:spacing w:after="0" w:line="276" w:lineRule="auto"/>
        <w:ind w:left="0"/>
        <w:jc w:val="both"/>
        <w:rPr>
          <w:rFonts w:ascii="Verdana" w:eastAsia="Century Gothic" w:hAnsi="Verdana" w:cs="Century Gothic"/>
          <w:b/>
          <w:bCs/>
        </w:rPr>
      </w:pPr>
    </w:p>
    <w:p w14:paraId="1137E79A" w14:textId="77777777" w:rsidR="00953C6B" w:rsidRPr="00905599" w:rsidRDefault="00953C6B" w:rsidP="00953C6B">
      <w:pPr>
        <w:spacing w:after="120" w:line="240" w:lineRule="auto"/>
        <w:ind w:left="709" w:right="709"/>
        <w:jc w:val="both"/>
        <w:rPr>
          <w:rFonts w:ascii="Verdana" w:hAnsi="Verdana"/>
          <w:sz w:val="20"/>
          <w:szCs w:val="20"/>
        </w:rPr>
      </w:pPr>
      <w:bookmarkStart w:id="0" w:name="_Hlk95313578"/>
      <w:r w:rsidRPr="00905599">
        <w:rPr>
          <w:rFonts w:ascii="Verdana" w:eastAsia="Century Gothic" w:hAnsi="Verdana" w:cs="Century Gothic"/>
          <w:sz w:val="20"/>
          <w:szCs w:val="20"/>
          <w:lang w:val="es-ES"/>
        </w:rPr>
        <w:t>“</w:t>
      </w:r>
      <w:bookmarkEnd w:id="0"/>
      <w:r w:rsidRPr="00905599">
        <w:rPr>
          <w:rFonts w:ascii="Verdana" w:hAnsi="Verdana"/>
          <w:sz w:val="20"/>
          <w:szCs w:val="20"/>
        </w:rPr>
        <w:t xml:space="preserve">1. ¿Es jurídicamente procedente que las condiciones detalladas de administración del anticipo, incluida la exigencia de constituir un encargo fiduciario, se encuentren únicamente en la minuta contractual, sin que hayan sido expresamente previstas en los estudios previos ni en los pliegos de condiciones del proceso? </w:t>
      </w:r>
    </w:p>
    <w:p w14:paraId="28BCA982" w14:textId="77777777" w:rsidR="00953C6B" w:rsidRPr="00905599" w:rsidRDefault="00953C6B" w:rsidP="00953C6B">
      <w:pPr>
        <w:spacing w:after="120" w:line="240" w:lineRule="auto"/>
        <w:ind w:left="709" w:right="709"/>
        <w:jc w:val="both"/>
        <w:rPr>
          <w:rFonts w:ascii="Verdana" w:hAnsi="Verdana"/>
          <w:sz w:val="20"/>
          <w:szCs w:val="20"/>
        </w:rPr>
      </w:pPr>
    </w:p>
    <w:p w14:paraId="68BF9A4B" w14:textId="77777777" w:rsidR="00953C6B" w:rsidRPr="00905599" w:rsidRDefault="00953C6B" w:rsidP="00953C6B">
      <w:pPr>
        <w:spacing w:after="120" w:line="240" w:lineRule="auto"/>
        <w:ind w:left="709" w:right="709"/>
        <w:jc w:val="both"/>
        <w:rPr>
          <w:rFonts w:ascii="Verdana" w:hAnsi="Verdana"/>
          <w:sz w:val="20"/>
          <w:szCs w:val="20"/>
        </w:rPr>
      </w:pPr>
      <w:r w:rsidRPr="00905599">
        <w:rPr>
          <w:rFonts w:ascii="Verdana" w:hAnsi="Verdana"/>
          <w:sz w:val="20"/>
          <w:szCs w:val="20"/>
        </w:rPr>
        <w:lastRenderedPageBreak/>
        <w:t xml:space="preserve">2. ¿Puede considerarse que esta práctica vulnera el principio de planeación, así como los principios de transparencia, selección objetiva y responsabilidad que rigen la contratación estatal? </w:t>
      </w:r>
    </w:p>
    <w:p w14:paraId="198F26AF" w14:textId="77777777" w:rsidR="00953C6B" w:rsidRDefault="00953C6B" w:rsidP="00953C6B">
      <w:pPr>
        <w:spacing w:after="120" w:line="240" w:lineRule="auto"/>
        <w:ind w:left="709" w:right="709"/>
        <w:jc w:val="both"/>
        <w:rPr>
          <w:rFonts w:ascii="Verdana" w:hAnsi="Verdana"/>
          <w:sz w:val="20"/>
          <w:szCs w:val="20"/>
        </w:rPr>
      </w:pPr>
      <w:r w:rsidRPr="00905599">
        <w:rPr>
          <w:rFonts w:ascii="Verdana" w:hAnsi="Verdana"/>
          <w:sz w:val="20"/>
          <w:szCs w:val="20"/>
        </w:rPr>
        <w:t xml:space="preserve">3. En caso de que la administración del anticipo se delegue a una fiducia mercantil u otro mecanismo equivalente: </w:t>
      </w:r>
    </w:p>
    <w:p w14:paraId="23CBCF95" w14:textId="77777777" w:rsidR="00953C6B" w:rsidRDefault="00953C6B" w:rsidP="00953C6B">
      <w:pPr>
        <w:spacing w:after="120" w:line="240" w:lineRule="auto"/>
        <w:ind w:left="709" w:right="709"/>
        <w:jc w:val="both"/>
        <w:rPr>
          <w:rFonts w:ascii="Verdana" w:hAnsi="Verdana"/>
          <w:sz w:val="20"/>
          <w:szCs w:val="20"/>
        </w:rPr>
      </w:pPr>
      <w:r w:rsidRPr="00905599">
        <w:rPr>
          <w:rFonts w:ascii="Verdana" w:hAnsi="Verdana"/>
          <w:sz w:val="20"/>
          <w:szCs w:val="20"/>
        </w:rPr>
        <w:t xml:space="preserve">• ¿Los gastos derivados de dicha administración fiduciaria deben estar incorporados de manera explícita en el presupuesto oficial del contrato? </w:t>
      </w:r>
    </w:p>
    <w:p w14:paraId="5CE74FF5" w14:textId="77777777" w:rsidR="00953C6B" w:rsidRPr="00905599" w:rsidRDefault="00953C6B" w:rsidP="00953C6B">
      <w:pPr>
        <w:spacing w:after="120" w:line="240" w:lineRule="auto"/>
        <w:ind w:left="709" w:right="709"/>
        <w:jc w:val="both"/>
        <w:rPr>
          <w:rFonts w:ascii="Verdana" w:hAnsi="Verdana"/>
          <w:sz w:val="20"/>
          <w:szCs w:val="20"/>
        </w:rPr>
      </w:pPr>
      <w:r w:rsidRPr="00905599">
        <w:rPr>
          <w:rFonts w:ascii="Verdana" w:hAnsi="Verdana"/>
          <w:sz w:val="20"/>
          <w:szCs w:val="20"/>
        </w:rPr>
        <w:t xml:space="preserve">• ¿O es jurídicamente viable que dichos costos se entiendan implícitos dentro del AIU sin que sea necesario desagregarlos como un rubro independiente? </w:t>
      </w:r>
    </w:p>
    <w:p w14:paraId="30F35920" w14:textId="77777777" w:rsidR="00953C6B" w:rsidRPr="00905599" w:rsidRDefault="00953C6B" w:rsidP="00953C6B">
      <w:pPr>
        <w:spacing w:after="120" w:line="240" w:lineRule="auto"/>
        <w:ind w:left="709" w:right="709"/>
        <w:jc w:val="both"/>
        <w:rPr>
          <w:rFonts w:ascii="Verdana" w:eastAsia="Century Gothic" w:hAnsi="Verdana" w:cs="Century Gothic"/>
          <w:sz w:val="20"/>
          <w:szCs w:val="20"/>
        </w:rPr>
      </w:pPr>
      <w:r w:rsidRPr="00905599">
        <w:rPr>
          <w:rFonts w:ascii="Verdana" w:hAnsi="Verdana"/>
          <w:sz w:val="20"/>
          <w:szCs w:val="20"/>
        </w:rPr>
        <w:t>4. ¿Cuál es la posición institucional de Colombia Compra Eficiente respecto a esta práctica? Y en su concepto, ¿qué buenas prácticas deberían observar las entidades estatales para garantizar la correcta previsión, administración y coherencia documental en relación con la entrega de anticipos?</w:t>
      </w:r>
      <w:r w:rsidRPr="00905599">
        <w:rPr>
          <w:rFonts w:ascii="Verdana" w:eastAsia="Century Gothic" w:hAnsi="Verdana" w:cs="Century Gothic"/>
          <w:sz w:val="20"/>
          <w:szCs w:val="20"/>
        </w:rPr>
        <w:t>”</w:t>
      </w:r>
    </w:p>
    <w:p w14:paraId="02AEE26B" w14:textId="77777777" w:rsidR="00953C6B" w:rsidRPr="008E6AD9" w:rsidRDefault="00953C6B" w:rsidP="00953C6B">
      <w:pPr>
        <w:pStyle w:val="Prrafodelista"/>
        <w:tabs>
          <w:tab w:val="left" w:pos="142"/>
          <w:tab w:val="left" w:pos="284"/>
        </w:tabs>
        <w:spacing w:after="0" w:line="276" w:lineRule="auto"/>
        <w:ind w:left="0"/>
        <w:jc w:val="both"/>
        <w:rPr>
          <w:rFonts w:ascii="Verdana" w:eastAsia="Century Gothic" w:hAnsi="Verdana" w:cs="Century Gothic"/>
          <w:b/>
          <w:bCs/>
        </w:rPr>
      </w:pPr>
    </w:p>
    <w:p w14:paraId="0A30C26B" w14:textId="77777777" w:rsidR="00953C6B" w:rsidRPr="00A652FF" w:rsidRDefault="00953C6B" w:rsidP="00953C6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B9F4869" w14:textId="77777777" w:rsidR="00953C6B" w:rsidRDefault="00953C6B" w:rsidP="00953C6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8A99DD4" w14:textId="77777777" w:rsidR="00953C6B" w:rsidRPr="00593A5F" w:rsidRDefault="00953C6B" w:rsidP="00953C6B">
      <w:pPr>
        <w:spacing w:after="0" w:line="276" w:lineRule="auto"/>
        <w:ind w:firstLine="709"/>
        <w:jc w:val="both"/>
        <w:rPr>
          <w:rFonts w:ascii="Verdana" w:eastAsia="Calibri" w:hAnsi="Verdana" w:cs="Arial"/>
          <w:color w:val="000000"/>
          <w:lang w:val="es-ES" w:eastAsia="es-ES"/>
        </w:rPr>
      </w:pPr>
    </w:p>
    <w:p w14:paraId="1E18B9B8" w14:textId="77777777" w:rsidR="00953C6B" w:rsidRPr="00593A5F" w:rsidRDefault="00953C6B" w:rsidP="00953C6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599836A" w14:textId="77777777" w:rsidR="00953C6B" w:rsidRPr="00593A5F" w:rsidRDefault="00953C6B" w:rsidP="00953C6B">
      <w:pPr>
        <w:tabs>
          <w:tab w:val="left" w:pos="426"/>
        </w:tabs>
        <w:spacing w:after="0" w:line="276" w:lineRule="auto"/>
        <w:jc w:val="both"/>
        <w:rPr>
          <w:rFonts w:ascii="Verdana" w:eastAsia="Century Gothic" w:hAnsi="Verdana" w:cs="Century Gothic"/>
          <w:lang w:val="es-ES"/>
        </w:rPr>
      </w:pPr>
    </w:p>
    <w:p w14:paraId="5D533C7E" w14:textId="77777777" w:rsidR="00953C6B" w:rsidRPr="00593A5F" w:rsidRDefault="00953C6B" w:rsidP="00953C6B">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906BE9">
        <w:rPr>
          <w:rFonts w:ascii="Verdana" w:eastAsia="Century Gothic" w:hAnsi="Verdana" w:cs="Century Gothic"/>
        </w:rPr>
        <w:t xml:space="preserve"> 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 xml:space="preserve">: </w:t>
      </w:r>
      <w:r>
        <w:rPr>
          <w:rFonts w:ascii="Verdana" w:eastAsia="Century Gothic" w:hAnsi="Verdana" w:cs="Century Gothic"/>
        </w:rPr>
        <w:t xml:space="preserve">i) </w:t>
      </w:r>
      <w:r w:rsidRPr="00411C6D">
        <w:rPr>
          <w:rFonts w:ascii="Verdana" w:eastAsia="Century Gothic" w:hAnsi="Verdana" w:cs="Century Gothic"/>
        </w:rPr>
        <w:t>¿</w:t>
      </w:r>
      <w:r>
        <w:rPr>
          <w:rFonts w:ascii="Verdana" w:eastAsia="Century Gothic" w:hAnsi="Verdana" w:cs="Century Gothic"/>
        </w:rPr>
        <w:t xml:space="preserve">Las condiciones de entrega y administración del anticipo </w:t>
      </w:r>
      <w:r>
        <w:rPr>
          <w:rFonts w:ascii="Verdana" w:eastAsia="Century Gothic" w:hAnsi="Verdana" w:cs="Century Gothic"/>
        </w:rPr>
        <w:lastRenderedPageBreak/>
        <w:t xml:space="preserve">mediante la constitución de fiducia mercantil deben estar incluidas en el pliego de condiciones o deben estar contempladas únicamente en la minuta del contrato?, y </w:t>
      </w:r>
      <w:proofErr w:type="spellStart"/>
      <w:r>
        <w:rPr>
          <w:rFonts w:ascii="Verdana" w:eastAsia="Century Gothic" w:hAnsi="Verdana" w:cs="Century Gothic"/>
        </w:rPr>
        <w:t>ii</w:t>
      </w:r>
      <w:proofErr w:type="spellEnd"/>
      <w:r>
        <w:rPr>
          <w:rFonts w:ascii="Verdana" w:eastAsia="Century Gothic" w:hAnsi="Verdana" w:cs="Century Gothic"/>
        </w:rPr>
        <w:t>) ¿El costo de la comisión fiduciaria para la administración de los recursos del anticipo puede ser incluido dentro del AIU?</w:t>
      </w:r>
      <w:r w:rsidRPr="00C00976">
        <w:rPr>
          <w:rFonts w:ascii="Verdana" w:eastAsia="Century Gothic" w:hAnsi="Verdana" w:cs="Century Gothic"/>
          <w:color w:val="7030A0"/>
        </w:rPr>
        <w:t xml:space="preserve"> </w:t>
      </w:r>
    </w:p>
    <w:p w14:paraId="5D449672" w14:textId="77777777" w:rsidR="00953C6B" w:rsidRPr="004B140F" w:rsidRDefault="00953C6B" w:rsidP="00953C6B">
      <w:pPr>
        <w:spacing w:after="0" w:line="276" w:lineRule="auto"/>
        <w:jc w:val="both"/>
        <w:rPr>
          <w:rFonts w:ascii="Verdana" w:eastAsia="Calibri" w:hAnsi="Verdana" w:cs="Arial"/>
          <w:color w:val="7030A0"/>
        </w:rPr>
      </w:pPr>
    </w:p>
    <w:p w14:paraId="2B4C8A1A" w14:textId="77777777" w:rsidR="00953C6B" w:rsidRPr="00593A5F" w:rsidRDefault="00953C6B" w:rsidP="00953C6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25AD67F" w14:textId="77777777" w:rsidR="00953C6B" w:rsidRPr="00593A5F" w:rsidRDefault="00953C6B" w:rsidP="00953C6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53C6B" w:rsidRPr="00593A5F" w14:paraId="68FF4221" w14:textId="77777777" w:rsidTr="00AA5F25">
        <w:trPr>
          <w:jc w:val="center"/>
        </w:trPr>
        <w:tc>
          <w:tcPr>
            <w:tcW w:w="8828" w:type="dxa"/>
          </w:tcPr>
          <w:p w14:paraId="61E391D0" w14:textId="77777777" w:rsidR="00953C6B" w:rsidRDefault="00953C6B" w:rsidP="00AA5F25">
            <w:pPr>
              <w:spacing w:after="120" w:line="276" w:lineRule="auto"/>
              <w:ind w:firstLine="709"/>
              <w:jc w:val="both"/>
              <w:rPr>
                <w:rFonts w:ascii="Verdana" w:eastAsia="Calibri" w:hAnsi="Verdana" w:cs="Arial"/>
                <w:bCs/>
                <w:color w:val="000000" w:themeColor="text1"/>
                <w:lang w:val="es-ES_tradnl"/>
              </w:rPr>
            </w:pPr>
            <w:bookmarkStart w:id="1" w:name="_Hlk171694685"/>
            <w:r w:rsidRPr="00D90432">
              <w:rPr>
                <w:rFonts w:ascii="Verdana" w:eastAsia="Calibri" w:hAnsi="Verdana" w:cs="Arial"/>
                <w:bCs/>
                <w:color w:val="000000" w:themeColor="text1"/>
              </w:rPr>
              <w:t>i.</w:t>
            </w:r>
            <w:r>
              <w:rPr>
                <w:rFonts w:ascii="Verdana" w:eastAsia="Calibri" w:hAnsi="Verdana" w:cs="Arial"/>
                <w:bCs/>
                <w:color w:val="000000" w:themeColor="text1"/>
              </w:rPr>
              <w:t xml:space="preserve"> E</w:t>
            </w:r>
            <w:r w:rsidRPr="005F2061">
              <w:rPr>
                <w:rFonts w:ascii="Verdana" w:eastAsia="Calibri" w:hAnsi="Verdana" w:cs="Arial"/>
                <w:bCs/>
                <w:color w:val="000000" w:themeColor="text1"/>
                <w:lang w:val="es-ES_tradnl"/>
              </w:rPr>
              <w:t xml:space="preserve">l artículo 2.2.1.1.2.4.1 del Decreto 1082 de 2015 prescribe que, 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 Los recursos del patrimonio y sus rendimientos son autónomos, además de que se manejan de acuerdo con el contrato de fiducia mercantil. Adicionalmente, la norma señala que en el pliego de condiciones la entidad debe establecer los términos y condiciones de la administración del anticipo a través del patrimonio autónomo. </w:t>
            </w:r>
          </w:p>
          <w:p w14:paraId="725DC3EF" w14:textId="77777777" w:rsidR="00953C6B" w:rsidRDefault="00953C6B" w:rsidP="00AA5F25">
            <w:pPr>
              <w:spacing w:after="120" w:line="276" w:lineRule="auto"/>
              <w:ind w:firstLine="709"/>
              <w:jc w:val="both"/>
              <w:rPr>
                <w:rFonts w:ascii="Verdana" w:hAnsi="Verdana" w:cs="Arial"/>
                <w:color w:val="000000" w:themeColor="text1"/>
              </w:rPr>
            </w:pPr>
            <w:r>
              <w:rPr>
                <w:rFonts w:ascii="Verdana" w:hAnsi="Verdana" w:cs="Arial"/>
                <w:color w:val="000000" w:themeColor="text1"/>
              </w:rPr>
              <w:t xml:space="preserve">Así pues, </w:t>
            </w:r>
            <w:r w:rsidRPr="003B2F99">
              <w:rPr>
                <w:rFonts w:ascii="Verdana" w:hAnsi="Verdana" w:cs="Arial"/>
                <w:color w:val="000000" w:themeColor="text1"/>
              </w:rPr>
              <w:t>las condiciones relativas a la entrega y administración del anticipo a través de fiducia mercantil deben estar incorporadas en el contrato estatal y</w:t>
            </w:r>
            <w:r>
              <w:rPr>
                <w:rFonts w:ascii="Verdana" w:hAnsi="Verdana" w:cs="Arial"/>
                <w:color w:val="000000" w:themeColor="text1"/>
              </w:rPr>
              <w:t xml:space="preserve"> </w:t>
            </w:r>
            <w:r w:rsidRPr="003B2F99">
              <w:rPr>
                <w:rFonts w:ascii="Verdana" w:hAnsi="Verdana" w:cs="Arial"/>
                <w:color w:val="000000" w:themeColor="text1"/>
              </w:rPr>
              <w:t>deben ser conocidas previamente por las partes durante el proceso de selección</w:t>
            </w:r>
            <w:r>
              <w:rPr>
                <w:rFonts w:ascii="Verdana" w:hAnsi="Verdana" w:cs="Arial"/>
                <w:color w:val="000000" w:themeColor="text1"/>
              </w:rPr>
              <w:t xml:space="preserve">, por lo que </w:t>
            </w:r>
            <w:r w:rsidRPr="003B2F99">
              <w:rPr>
                <w:rFonts w:ascii="Verdana" w:hAnsi="Verdana" w:cs="Arial"/>
                <w:color w:val="000000" w:themeColor="text1"/>
              </w:rPr>
              <w:t>deben estar consignadas de manera clara y expresa en los pliegos de condiciones.</w:t>
            </w:r>
            <w:r>
              <w:rPr>
                <w:rFonts w:ascii="Verdana" w:hAnsi="Verdana" w:cs="Arial"/>
                <w:color w:val="000000" w:themeColor="text1"/>
              </w:rPr>
              <w:t xml:space="preserve"> </w:t>
            </w:r>
            <w:r w:rsidRPr="00652C63">
              <w:rPr>
                <w:rFonts w:ascii="Verdana" w:hAnsi="Verdana" w:cs="Arial"/>
                <w:color w:val="000000" w:themeColor="text1"/>
              </w:rPr>
              <w:t>En relación con este aspecto, es importante destacar que, conforme a lo dispuesto en el artículo 2.2.1.1.2.1.3 del Decreto 1082 de 2015, el pliego de condiciones debe incluir, entre otros elementos, los términos, condiciones y la minuta del contrato a celebrar</w:t>
            </w:r>
            <w:r>
              <w:rPr>
                <w:rFonts w:ascii="Verdana" w:hAnsi="Verdana" w:cs="Arial"/>
                <w:color w:val="000000" w:themeColor="text1"/>
              </w:rPr>
              <w:t xml:space="preserve">. Es decir, que en el pliego de condiciones no solo se debe contemplar los aspectos propios del proceso de selección como los criterios habilitantes y de calificación, la modalidad de contratación y su justificación, las reglas aplicables a la presentación de la oferta, etc., sino también todas aquellas condiciones que regirán el contrato puesto </w:t>
            </w:r>
            <w:r w:rsidRPr="003F7295">
              <w:rPr>
                <w:rFonts w:ascii="Verdana" w:hAnsi="Verdana" w:cs="Arial"/>
                <w:color w:val="000000" w:themeColor="text1"/>
              </w:rPr>
              <w:t>que “</w:t>
            </w:r>
            <w:r w:rsidRPr="003F7295">
              <w:rPr>
                <w:rFonts w:ascii="Verdana" w:hAnsi="Verdana" w:cs="Arial"/>
              </w:rPr>
              <w:t>sus efectos trascienden después de la celebración del contrato, para regular las relaciones entre las partes, fuente de derechos y de obligaciones y permanece aún para la etapa final, al momento de su liquidación</w:t>
            </w:r>
          </w:p>
          <w:p w14:paraId="12328CD5" w14:textId="77777777" w:rsidR="00953C6B" w:rsidRDefault="00953C6B" w:rsidP="00AA5F25">
            <w:pPr>
              <w:spacing w:after="120" w:line="276" w:lineRule="auto"/>
              <w:ind w:firstLine="709"/>
              <w:jc w:val="both"/>
              <w:rPr>
                <w:rFonts w:ascii="Verdana" w:hAnsi="Verdana" w:cs="Arial"/>
                <w:color w:val="000000" w:themeColor="text1"/>
              </w:rPr>
            </w:pPr>
            <w:r w:rsidRPr="00652C63">
              <w:rPr>
                <w:rFonts w:ascii="Verdana" w:hAnsi="Verdana" w:cs="Arial"/>
                <w:color w:val="000000" w:themeColor="text1"/>
              </w:rPr>
              <w:t xml:space="preserve">Por ello, resulta indiferente que las condiciones relativas a la entrega, administración y ejecución del </w:t>
            </w:r>
            <w:r>
              <w:rPr>
                <w:rFonts w:ascii="Verdana" w:hAnsi="Verdana" w:cs="Arial"/>
                <w:color w:val="000000" w:themeColor="text1"/>
              </w:rPr>
              <w:t>anticipo</w:t>
            </w:r>
            <w:r w:rsidRPr="00652C63">
              <w:rPr>
                <w:rFonts w:ascii="Verdana" w:hAnsi="Verdana" w:cs="Arial"/>
                <w:color w:val="000000" w:themeColor="text1"/>
              </w:rPr>
              <w:t xml:space="preserve"> se encuentren expresamente en el pliego</w:t>
            </w:r>
            <w:r>
              <w:rPr>
                <w:rFonts w:ascii="Verdana" w:hAnsi="Verdana" w:cs="Arial"/>
                <w:color w:val="000000" w:themeColor="text1"/>
              </w:rPr>
              <w:t xml:space="preserve"> propiamente</w:t>
            </w:r>
            <w:r w:rsidRPr="00652C63">
              <w:rPr>
                <w:rFonts w:ascii="Verdana" w:hAnsi="Verdana" w:cs="Arial"/>
                <w:color w:val="000000" w:themeColor="text1"/>
              </w:rPr>
              <w:t xml:space="preserve"> o en la minuta </w:t>
            </w:r>
            <w:r>
              <w:rPr>
                <w:rFonts w:ascii="Verdana" w:hAnsi="Verdana" w:cs="Arial"/>
                <w:color w:val="000000" w:themeColor="text1"/>
              </w:rPr>
              <w:t xml:space="preserve">del </w:t>
            </w:r>
            <w:r w:rsidRPr="00652C63">
              <w:rPr>
                <w:rFonts w:ascii="Verdana" w:hAnsi="Verdana" w:cs="Arial"/>
                <w:color w:val="000000" w:themeColor="text1"/>
              </w:rPr>
              <w:t>contrat</w:t>
            </w:r>
            <w:r>
              <w:rPr>
                <w:rFonts w:ascii="Verdana" w:hAnsi="Verdana" w:cs="Arial"/>
                <w:color w:val="000000" w:themeColor="text1"/>
              </w:rPr>
              <w:t>o</w:t>
            </w:r>
            <w:r w:rsidRPr="00652C63">
              <w:rPr>
                <w:rFonts w:ascii="Verdana" w:hAnsi="Verdana" w:cs="Arial"/>
                <w:color w:val="000000" w:themeColor="text1"/>
              </w:rPr>
              <w:t xml:space="preserve"> </w:t>
            </w:r>
            <w:r>
              <w:rPr>
                <w:rFonts w:ascii="Verdana" w:hAnsi="Verdana" w:cs="Arial"/>
                <w:color w:val="000000" w:themeColor="text1"/>
              </w:rPr>
              <w:t xml:space="preserve">que se encuentra como anexo </w:t>
            </w:r>
            <w:r>
              <w:rPr>
                <w:rFonts w:ascii="Verdana" w:hAnsi="Verdana" w:cs="Arial"/>
                <w:color w:val="000000" w:themeColor="text1"/>
              </w:rPr>
              <w:lastRenderedPageBreak/>
              <w:t>de este</w:t>
            </w:r>
            <w:r w:rsidRPr="00652C63">
              <w:rPr>
                <w:rFonts w:ascii="Verdana" w:hAnsi="Verdana" w:cs="Arial"/>
                <w:color w:val="000000" w:themeColor="text1"/>
              </w:rPr>
              <w:t xml:space="preserve">, toda vez que ambos forman parte de un único </w:t>
            </w:r>
            <w:r>
              <w:rPr>
                <w:rFonts w:ascii="Verdana" w:hAnsi="Verdana" w:cs="Arial"/>
                <w:color w:val="000000" w:themeColor="text1"/>
              </w:rPr>
              <w:t xml:space="preserve">documento que tiene </w:t>
            </w:r>
            <w:r w:rsidRPr="00652C63">
              <w:rPr>
                <w:rFonts w:ascii="Verdana" w:hAnsi="Verdana" w:cs="Arial"/>
                <w:color w:val="000000" w:themeColor="text1"/>
              </w:rPr>
              <w:t>fuerza vinculante</w:t>
            </w:r>
            <w:r>
              <w:rPr>
                <w:rFonts w:ascii="Verdana" w:hAnsi="Verdana" w:cs="Arial"/>
                <w:color w:val="000000" w:themeColor="text1"/>
              </w:rPr>
              <w:t xml:space="preserve">. En tal sentido, lo relevante es que las condiciones sobre la administración del anticipo </w:t>
            </w:r>
            <w:r w:rsidRPr="00652C63">
              <w:rPr>
                <w:rFonts w:ascii="Verdana" w:hAnsi="Verdana" w:cs="Arial"/>
                <w:color w:val="000000" w:themeColor="text1"/>
              </w:rPr>
              <w:t>hayan sido previamente determinadas y puestas en conocimiento de los proponentes durante la etapa precontractual</w:t>
            </w:r>
            <w:r>
              <w:rPr>
                <w:rFonts w:ascii="Verdana" w:hAnsi="Verdana" w:cs="Arial"/>
                <w:color w:val="000000" w:themeColor="text1"/>
              </w:rPr>
              <w:t xml:space="preserve">, tal y como lo dispone el artículo </w:t>
            </w:r>
            <w:r w:rsidRPr="005F2061">
              <w:rPr>
                <w:rFonts w:ascii="Verdana" w:eastAsia="Calibri" w:hAnsi="Verdana" w:cs="Arial"/>
                <w:bCs/>
                <w:color w:val="000000" w:themeColor="text1"/>
                <w:lang w:val="es-ES_tradnl"/>
              </w:rPr>
              <w:t>2.2.1.1.2.4.1 del Decreto 1082 de 2015</w:t>
            </w:r>
            <w:r>
              <w:rPr>
                <w:rFonts w:ascii="Verdana" w:hAnsi="Verdana" w:cs="Arial"/>
                <w:color w:val="000000" w:themeColor="text1"/>
              </w:rPr>
              <w:t>.</w:t>
            </w:r>
          </w:p>
          <w:p w14:paraId="38517529" w14:textId="77777777" w:rsidR="00953C6B" w:rsidRDefault="00953C6B" w:rsidP="00AA5F25">
            <w:pPr>
              <w:spacing w:after="120" w:line="276" w:lineRule="auto"/>
              <w:ind w:firstLine="709"/>
              <w:jc w:val="both"/>
              <w:rPr>
                <w:rFonts w:ascii="Verdana" w:hAnsi="Verdana" w:cs="Arial"/>
              </w:rPr>
            </w:pPr>
            <w:proofErr w:type="spellStart"/>
            <w:r>
              <w:rPr>
                <w:rFonts w:ascii="Verdana" w:hAnsi="Verdana" w:cs="Arial"/>
                <w:color w:val="000000" w:themeColor="text1"/>
                <w:lang w:val="es-ES"/>
              </w:rPr>
              <w:t>ii</w:t>
            </w:r>
            <w:proofErr w:type="spellEnd"/>
            <w:r>
              <w:rPr>
                <w:rFonts w:ascii="Verdana" w:hAnsi="Verdana" w:cs="Arial"/>
                <w:color w:val="000000" w:themeColor="text1"/>
                <w:lang w:val="es-ES"/>
              </w:rPr>
              <w:t>. D</w:t>
            </w:r>
            <w:proofErr w:type="spellStart"/>
            <w:r>
              <w:rPr>
                <w:rFonts w:ascii="Verdana" w:eastAsia="Calibri" w:hAnsi="Verdana" w:cs="Arial"/>
              </w:rPr>
              <w:t>e</w:t>
            </w:r>
            <w:proofErr w:type="spellEnd"/>
            <w:r>
              <w:rPr>
                <w:rFonts w:ascii="Verdana" w:eastAsia="Calibri" w:hAnsi="Verdana" w:cs="Arial"/>
              </w:rPr>
              <w:t xml:space="preserve"> </w:t>
            </w:r>
            <w:r w:rsidRPr="00573699">
              <w:rPr>
                <w:rFonts w:ascii="Verdana" w:eastAsia="Calibri" w:hAnsi="Verdana" w:cs="Arial"/>
              </w:rPr>
              <w:t>acuerdo con el artículo 91 de la Ley 1474 de 2011, los recursos del anticipo se deben aplicar exclusivamente a la ejecución del contrato estatal. Por lo anterior, el costo de la comisión fiduciaria debe ser cubierto directamente por el contratista sin afectar los recursos del anticipo</w:t>
            </w:r>
            <w:r>
              <w:rPr>
                <w:rFonts w:ascii="Verdana" w:eastAsia="Calibri" w:hAnsi="Verdana" w:cs="Arial"/>
              </w:rPr>
              <w:t xml:space="preserve">. </w:t>
            </w:r>
            <w:r>
              <w:rPr>
                <w:rFonts w:ascii="Verdana" w:hAnsi="Verdana" w:cs="Arial"/>
              </w:rPr>
              <w:t xml:space="preserve">Partiendo de las consideraciones expuestas en este concepto, es viable colegir que </w:t>
            </w:r>
            <w:r w:rsidRPr="00164E93">
              <w:rPr>
                <w:rFonts w:ascii="Verdana" w:hAnsi="Verdana" w:cs="Arial"/>
              </w:rPr>
              <w:t xml:space="preserve">dentro de los costos indirectos que integran el precio del contrato se </w:t>
            </w:r>
            <w:r>
              <w:rPr>
                <w:rFonts w:ascii="Verdana" w:hAnsi="Verdana" w:cs="Arial"/>
              </w:rPr>
              <w:t>podrían enmarcar</w:t>
            </w:r>
            <w:r w:rsidRPr="00164E93">
              <w:rPr>
                <w:rFonts w:ascii="Verdana" w:hAnsi="Verdana" w:cs="Arial"/>
              </w:rPr>
              <w:t xml:space="preserve"> los </w:t>
            </w:r>
            <w:r>
              <w:rPr>
                <w:rFonts w:ascii="Verdana" w:hAnsi="Verdana" w:cs="Arial"/>
              </w:rPr>
              <w:t>costos</w:t>
            </w:r>
            <w:r w:rsidRPr="00164E93">
              <w:rPr>
                <w:rFonts w:ascii="Verdana" w:hAnsi="Verdana" w:cs="Arial"/>
              </w:rPr>
              <w:t xml:space="preserve"> </w:t>
            </w:r>
            <w:r>
              <w:rPr>
                <w:rFonts w:ascii="Verdana" w:hAnsi="Verdana" w:cs="Arial"/>
              </w:rPr>
              <w:t xml:space="preserve">de la comisión fiduciaria </w:t>
            </w:r>
            <w:r w:rsidRPr="00164E93">
              <w:rPr>
                <w:rFonts w:ascii="Verdana" w:hAnsi="Verdana" w:cs="Arial"/>
              </w:rPr>
              <w:t xml:space="preserve">en los que incurre el contratista con ocasión del manejo del anticipo a través de una fiducia mercantil. </w:t>
            </w:r>
            <w:r>
              <w:rPr>
                <w:rFonts w:ascii="Verdana" w:hAnsi="Verdana" w:cs="Arial"/>
              </w:rPr>
              <w:t>En efecto, d</w:t>
            </w:r>
            <w:r w:rsidRPr="00164E93">
              <w:rPr>
                <w:rFonts w:ascii="Verdana" w:hAnsi="Verdana" w:cs="Arial"/>
              </w:rPr>
              <w:t>ichos gastos no corresponden a una actividad directamente vinculada al cumplimiento del objeto contractual, sino que constituyen</w:t>
            </w:r>
            <w:r>
              <w:rPr>
                <w:rFonts w:ascii="Verdana" w:hAnsi="Verdana" w:cs="Arial"/>
              </w:rPr>
              <w:t xml:space="preserve"> la remuneración a la fiduciaria por </w:t>
            </w:r>
            <w:r w:rsidRPr="00164E93">
              <w:rPr>
                <w:rFonts w:ascii="Verdana" w:hAnsi="Verdana" w:cs="Arial"/>
              </w:rPr>
              <w:t>la gestión financiera y operativa de</w:t>
            </w:r>
            <w:r>
              <w:rPr>
                <w:rFonts w:ascii="Verdana" w:hAnsi="Verdana" w:cs="Arial"/>
              </w:rPr>
              <w:t xml:space="preserve"> los recursos del</w:t>
            </w:r>
            <w:r w:rsidRPr="00164E93">
              <w:rPr>
                <w:rFonts w:ascii="Verdana" w:hAnsi="Verdana" w:cs="Arial"/>
              </w:rPr>
              <w:t xml:space="preserve"> </w:t>
            </w:r>
            <w:r>
              <w:rPr>
                <w:rFonts w:ascii="Verdana" w:hAnsi="Verdana" w:cs="Arial"/>
              </w:rPr>
              <w:t>anticipo</w:t>
            </w:r>
            <w:r w:rsidRPr="00164E93">
              <w:rPr>
                <w:rFonts w:ascii="Verdana" w:hAnsi="Verdana" w:cs="Arial"/>
              </w:rPr>
              <w:t xml:space="preserve">, derivados de </w:t>
            </w:r>
            <w:r>
              <w:rPr>
                <w:rFonts w:ascii="Verdana" w:hAnsi="Verdana" w:cs="Arial"/>
              </w:rPr>
              <w:t xml:space="preserve">la obligación de </w:t>
            </w:r>
            <w:r w:rsidRPr="00164E93">
              <w:rPr>
                <w:rFonts w:ascii="Verdana" w:hAnsi="Verdana" w:cs="Arial"/>
              </w:rPr>
              <w:t>garantizar el uso adecuado de</w:t>
            </w:r>
            <w:r>
              <w:rPr>
                <w:rFonts w:ascii="Verdana" w:hAnsi="Verdana" w:cs="Arial"/>
              </w:rPr>
              <w:t xml:space="preserve"> estos recursos</w:t>
            </w:r>
            <w:r w:rsidRPr="00164E93">
              <w:rPr>
                <w:rFonts w:ascii="Verdana" w:hAnsi="Verdana" w:cs="Arial"/>
              </w:rPr>
              <w:t xml:space="preserve">. </w:t>
            </w:r>
            <w:r>
              <w:rPr>
                <w:rFonts w:ascii="Verdana" w:hAnsi="Verdana" w:cs="Arial"/>
              </w:rPr>
              <w:t>De esta forma</w:t>
            </w:r>
            <w:r w:rsidRPr="00164E93">
              <w:rPr>
                <w:rFonts w:ascii="Verdana" w:hAnsi="Verdana" w:cs="Arial"/>
              </w:rPr>
              <w:t>, se</w:t>
            </w:r>
            <w:r>
              <w:rPr>
                <w:rFonts w:ascii="Verdana" w:hAnsi="Verdana" w:cs="Arial"/>
              </w:rPr>
              <w:t xml:space="preserve"> podrían</w:t>
            </w:r>
            <w:r w:rsidRPr="00164E93">
              <w:rPr>
                <w:rFonts w:ascii="Verdana" w:hAnsi="Verdana" w:cs="Arial"/>
              </w:rPr>
              <w:t xml:space="preserve"> </w:t>
            </w:r>
            <w:r>
              <w:rPr>
                <w:rFonts w:ascii="Verdana" w:hAnsi="Verdana" w:cs="Arial"/>
              </w:rPr>
              <w:t>incluir</w:t>
            </w:r>
            <w:r w:rsidRPr="00164E93">
              <w:rPr>
                <w:rFonts w:ascii="Verdana" w:hAnsi="Verdana" w:cs="Arial"/>
              </w:rPr>
              <w:t xml:space="preserve"> como costos indirectos, en la medida en que forman parte del conjunto de obligaciones administrativas y financieras que debe asumir el contratista para la ejecución </w:t>
            </w:r>
            <w:r>
              <w:rPr>
                <w:rFonts w:ascii="Verdana" w:hAnsi="Verdana" w:cs="Arial"/>
              </w:rPr>
              <w:t xml:space="preserve">operativa </w:t>
            </w:r>
            <w:r w:rsidRPr="00164E93">
              <w:rPr>
                <w:rFonts w:ascii="Verdana" w:hAnsi="Verdana" w:cs="Arial"/>
              </w:rPr>
              <w:t xml:space="preserve">del contrato, y pueden ser </w:t>
            </w:r>
            <w:r>
              <w:rPr>
                <w:rFonts w:ascii="Verdana" w:hAnsi="Verdana" w:cs="Arial"/>
              </w:rPr>
              <w:t>contemplados</w:t>
            </w:r>
            <w:r w:rsidRPr="00164E93">
              <w:rPr>
                <w:rFonts w:ascii="Verdana" w:hAnsi="Verdana" w:cs="Arial"/>
              </w:rPr>
              <w:t xml:space="preserve"> válidamente dentro del componente de “Administración” en la estructura de AIU.</w:t>
            </w:r>
          </w:p>
          <w:p w14:paraId="28087F10" w14:textId="77777777" w:rsidR="00953C6B" w:rsidRPr="00D90432" w:rsidRDefault="00953C6B" w:rsidP="00AA5F25">
            <w:pPr>
              <w:spacing w:after="120" w:line="276" w:lineRule="auto"/>
              <w:ind w:firstLine="709"/>
              <w:jc w:val="both"/>
              <w:rPr>
                <w:rFonts w:ascii="Verdana" w:eastAsia="Calibri" w:hAnsi="Verdana" w:cs="Arial"/>
                <w:bCs/>
                <w:color w:val="000000" w:themeColor="text1"/>
              </w:rPr>
            </w:pPr>
            <w:r>
              <w:rPr>
                <w:rFonts w:ascii="Verdana" w:hAnsi="Verdana" w:cs="Arial"/>
              </w:rPr>
              <w:t>L</w:t>
            </w:r>
            <w:r w:rsidRPr="00217D68">
              <w:rPr>
                <w:rFonts w:ascii="Verdana" w:hAnsi="Verdana" w:cs="Arial"/>
              </w:rPr>
              <w:t>o anterior sin perjuicio de que</w:t>
            </w:r>
            <w:r>
              <w:rPr>
                <w:rFonts w:ascii="Verdana" w:hAnsi="Verdana" w:cs="Arial"/>
              </w:rPr>
              <w:t>,</w:t>
            </w:r>
            <w:r w:rsidRPr="00217D68">
              <w:rPr>
                <w:rFonts w:ascii="Verdana" w:hAnsi="Verdana" w:cs="Arial"/>
              </w:rPr>
              <w:t xml:space="preserve"> en aquellos contratos cuya modalidad de pago no se estructura bajo el sistema de precios unitarios ni contempla el desglose del AIU, las condiciones económicas puedan pactarse de manera distinta. Por ejemplo, en los contratos a precio global</w:t>
            </w:r>
            <w:r>
              <w:rPr>
                <w:rFonts w:ascii="Verdana" w:hAnsi="Verdana" w:cs="Arial"/>
              </w:rPr>
              <w:t>, se</w:t>
            </w:r>
            <w:r w:rsidRPr="00217D68">
              <w:rPr>
                <w:rFonts w:ascii="Verdana" w:hAnsi="Verdana" w:cs="Arial"/>
              </w:rPr>
              <w:t xml:space="preserve"> puede prever un rubro </w:t>
            </w:r>
            <w:r w:rsidRPr="00277553">
              <w:rPr>
                <w:rFonts w:ascii="Verdana" w:hAnsi="Verdana" w:cs="Arial"/>
              </w:rPr>
              <w:t>general de costos indirectos, dentro</w:t>
            </w:r>
            <w:r w:rsidRPr="00217D68">
              <w:rPr>
                <w:rFonts w:ascii="Verdana" w:hAnsi="Verdana" w:cs="Arial"/>
              </w:rPr>
              <w:t xml:space="preserve"> del cual se incluya la partida correspondiente a la comisión fiduciaria por el manejo del anticipo. En todo caso, dichas estimaciones</w:t>
            </w:r>
            <w:r>
              <w:rPr>
                <w:rFonts w:ascii="Verdana" w:hAnsi="Verdana" w:cs="Arial"/>
              </w:rPr>
              <w:t xml:space="preserve"> </w:t>
            </w:r>
            <w:r w:rsidRPr="00217D68">
              <w:rPr>
                <w:rFonts w:ascii="Verdana" w:hAnsi="Verdana" w:cs="Arial"/>
              </w:rPr>
              <w:t>deberán ajustarse a valores razonables y objetivos, acordes con las condiciones del mercado</w:t>
            </w:r>
            <w:r>
              <w:rPr>
                <w:rFonts w:ascii="Verdana" w:hAnsi="Verdana" w:cs="Arial"/>
              </w:rPr>
              <w:t xml:space="preserve"> y las regulaciones normativas que se expiden para el efecto,</w:t>
            </w:r>
            <w:r w:rsidRPr="00217D68">
              <w:rPr>
                <w:rFonts w:ascii="Verdana" w:hAnsi="Verdana" w:cs="Arial"/>
              </w:rPr>
              <w:t xml:space="preserve"> a fin de evitar la inclusión </w:t>
            </w:r>
            <w:r>
              <w:rPr>
                <w:rFonts w:ascii="Verdana" w:hAnsi="Verdana" w:cs="Arial"/>
              </w:rPr>
              <w:t xml:space="preserve">de precios </w:t>
            </w:r>
            <w:r w:rsidRPr="00217D68">
              <w:rPr>
                <w:rFonts w:ascii="Verdana" w:hAnsi="Verdana" w:cs="Arial"/>
              </w:rPr>
              <w:t>elevados o desproporcionados que puedan afectar la transparencia del proceso contractual</w:t>
            </w:r>
            <w:r>
              <w:rPr>
                <w:rFonts w:ascii="Verdana" w:hAnsi="Verdana" w:cs="Arial"/>
              </w:rPr>
              <w:t>.</w:t>
            </w:r>
          </w:p>
        </w:tc>
      </w:tr>
    </w:tbl>
    <w:p w14:paraId="2398EA78" w14:textId="77777777" w:rsidR="00953C6B" w:rsidRPr="00593A5F" w:rsidRDefault="00953C6B" w:rsidP="00953C6B">
      <w:pPr>
        <w:tabs>
          <w:tab w:val="left" w:pos="142"/>
          <w:tab w:val="left" w:pos="284"/>
        </w:tabs>
        <w:spacing w:after="0" w:line="276" w:lineRule="auto"/>
        <w:jc w:val="both"/>
        <w:rPr>
          <w:rFonts w:ascii="Verdana" w:eastAsia="Century Gothic" w:hAnsi="Verdana" w:cs="Century Gothic"/>
          <w:b/>
          <w:bCs/>
          <w:lang w:val="es-ES"/>
        </w:rPr>
      </w:pPr>
    </w:p>
    <w:bookmarkEnd w:id="1"/>
    <w:p w14:paraId="3C67C873" w14:textId="77777777" w:rsidR="00953C6B" w:rsidRPr="00593A5F" w:rsidRDefault="00953C6B" w:rsidP="00953C6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481A8DC" w14:textId="77777777" w:rsidR="00953C6B" w:rsidRPr="00593A5F" w:rsidRDefault="00953C6B" w:rsidP="00953C6B">
      <w:pPr>
        <w:spacing w:after="0" w:line="276" w:lineRule="auto"/>
        <w:jc w:val="both"/>
        <w:rPr>
          <w:rFonts w:ascii="Verdana" w:eastAsia="Calibri" w:hAnsi="Verdana" w:cs="Arial"/>
          <w:color w:val="7030A0"/>
          <w:lang w:val="es-ES"/>
        </w:rPr>
      </w:pPr>
    </w:p>
    <w:p w14:paraId="2D37EBE5" w14:textId="77777777" w:rsidR="00953C6B" w:rsidRDefault="00953C6B" w:rsidP="00953C6B">
      <w:pPr>
        <w:spacing w:after="0" w:line="276" w:lineRule="auto"/>
        <w:jc w:val="both"/>
        <w:rPr>
          <w:rFonts w:ascii="Verdana" w:eastAsia="Calibri" w:hAnsi="Verdana" w:cs="Arial"/>
          <w:lang w:val="es-ES"/>
        </w:rPr>
      </w:pPr>
      <w:r w:rsidRPr="00B96799">
        <w:rPr>
          <w:rFonts w:ascii="Verdana" w:eastAsia="Calibri" w:hAnsi="Verdana" w:cs="Arial"/>
          <w:lang w:val="es-ES"/>
        </w:rPr>
        <w:lastRenderedPageBreak/>
        <w:t>Lo anterior se sustenta en las siguientes consideraciones:</w:t>
      </w:r>
    </w:p>
    <w:p w14:paraId="5561804A" w14:textId="77777777" w:rsidR="00953C6B" w:rsidRDefault="00953C6B" w:rsidP="00953C6B">
      <w:pPr>
        <w:spacing w:after="0" w:line="276" w:lineRule="auto"/>
        <w:jc w:val="both"/>
        <w:rPr>
          <w:rFonts w:ascii="Verdana" w:eastAsia="Calibri" w:hAnsi="Verdana" w:cs="Arial"/>
          <w:lang w:val="es-ES"/>
        </w:rPr>
      </w:pPr>
    </w:p>
    <w:p w14:paraId="18837765" w14:textId="77777777" w:rsidR="00953C6B" w:rsidRPr="00326D28" w:rsidRDefault="00953C6B" w:rsidP="00953C6B">
      <w:pPr>
        <w:tabs>
          <w:tab w:val="left" w:pos="0"/>
        </w:tabs>
        <w:spacing w:after="120" w:line="276" w:lineRule="auto"/>
        <w:jc w:val="both"/>
        <w:rPr>
          <w:rFonts w:ascii="Verdana" w:hAnsi="Verdana" w:cs="Arial"/>
          <w:color w:val="000000" w:themeColor="text1"/>
        </w:rPr>
      </w:pPr>
      <w:r w:rsidRPr="00326D28">
        <w:rPr>
          <w:rFonts w:ascii="Verdana" w:hAnsi="Verdana" w:cs="Arial"/>
          <w:lang w:val="es-ES_tradnl"/>
        </w:rPr>
        <w:t xml:space="preserve">i. </w:t>
      </w:r>
      <w:r w:rsidRPr="00326D28">
        <w:rPr>
          <w:rFonts w:ascii="Verdana" w:eastAsia="Calibri" w:hAnsi="Verdana" w:cs="Arial"/>
          <w:color w:val="000000"/>
          <w:lang w:eastAsia="en-GB"/>
        </w:rPr>
        <w:t>En materia de contratación pública, la figura del anticipo está prevista en dos (2) normas: el</w:t>
      </w:r>
      <w:r w:rsidRPr="00326D28">
        <w:rPr>
          <w:rFonts w:ascii="Verdana" w:hAnsi="Verdana" w:cs="Arial"/>
          <w:color w:val="000000" w:themeColor="text1"/>
        </w:rPr>
        <w:t xml:space="preserve">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w:t>
      </w:r>
      <w:r>
        <w:rPr>
          <w:rFonts w:ascii="Verdana" w:eastAsia="Calibri" w:hAnsi="Verdana" w:cs="Arial"/>
          <w:color w:val="000000" w:themeColor="text1"/>
          <w:lang w:val="es-ES"/>
        </w:rPr>
        <w:t>“</w:t>
      </w:r>
      <w:r w:rsidRPr="00326D28">
        <w:rPr>
          <w:rFonts w:ascii="Verdana" w:hAnsi="Verdana" w:cs="Arial"/>
          <w:color w:val="000000" w:themeColor="text1"/>
        </w:rPr>
        <w:t>En los contratos que celebren las entidades estatales se podrá pactar el pago anticipado y la entrega de anticipos, pero su monto no podrá exceder del cincuenta por ciento (50%) del valor del respectivo contrato</w:t>
      </w:r>
      <w:r>
        <w:rPr>
          <w:rFonts w:ascii="Verdana" w:eastAsia="Calibri" w:hAnsi="Verdana" w:cs="Arial"/>
          <w:color w:val="000000" w:themeColor="text1"/>
          <w:lang w:val="es-ES"/>
        </w:rPr>
        <w:t>”</w:t>
      </w:r>
      <w:r w:rsidRPr="00326D28">
        <w:rPr>
          <w:rFonts w:ascii="Verdana" w:hAnsi="Verdana" w:cs="Arial"/>
          <w:color w:val="000000" w:themeColor="text1"/>
        </w:rPr>
        <w:t xml:space="preserve">. </w:t>
      </w:r>
    </w:p>
    <w:p w14:paraId="06880F5F" w14:textId="77777777" w:rsidR="00953C6B" w:rsidRPr="00326D28" w:rsidRDefault="00953C6B" w:rsidP="00953C6B">
      <w:pPr>
        <w:tabs>
          <w:tab w:val="left" w:pos="0"/>
        </w:tabs>
        <w:spacing w:after="120" w:line="276" w:lineRule="auto"/>
        <w:ind w:firstLine="709"/>
        <w:jc w:val="both"/>
        <w:rPr>
          <w:rFonts w:ascii="Verdana" w:hAnsi="Verdana" w:cs="Arial"/>
          <w:color w:val="000000" w:themeColor="text1"/>
        </w:rPr>
      </w:pPr>
      <w:r w:rsidRPr="00326D28">
        <w:rPr>
          <w:rFonts w:ascii="Verdana" w:hAnsi="Verdana" w:cs="Arial"/>
          <w:color w:val="000000" w:themeColor="text1"/>
        </w:rPr>
        <w:t xml:space="preserve">Por su parte, </w:t>
      </w:r>
      <w:r w:rsidRPr="00326D28">
        <w:rPr>
          <w:rFonts w:ascii="Verdana" w:hAnsi="Verdana" w:cs="Arial"/>
          <w:color w:val="000000" w:themeColor="text1"/>
          <w:lang w:val="es-ES"/>
        </w:rPr>
        <w:t>el artículo 91 de la Ley 1474 de 2011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p>
    <w:p w14:paraId="2CC27366" w14:textId="77777777" w:rsidR="00953C6B" w:rsidRPr="00326D28" w:rsidRDefault="00953C6B" w:rsidP="00953C6B">
      <w:pPr>
        <w:tabs>
          <w:tab w:val="left" w:pos="0"/>
        </w:tabs>
        <w:spacing w:after="120" w:line="276" w:lineRule="auto"/>
        <w:ind w:firstLine="709"/>
        <w:jc w:val="both"/>
        <w:rPr>
          <w:rFonts w:ascii="Verdana" w:eastAsia="Calibri" w:hAnsi="Verdana" w:cs="Arial"/>
          <w:vertAlign w:val="superscript"/>
        </w:rPr>
      </w:pPr>
      <w:r w:rsidRPr="00326D28">
        <w:rPr>
          <w:rFonts w:ascii="Verdana" w:eastAsia="Calibri" w:hAnsi="Verdana" w:cs="Arial"/>
        </w:rPr>
        <w:t>Aunque las normas citadas no definen el anticipo, el Consejo de Estado ha precisado su naturaleza jurídica fijando parámetros para su aplicación</w:t>
      </w:r>
      <w:r w:rsidRPr="00326D28">
        <w:rPr>
          <w:rStyle w:val="Refdenotaalpie"/>
          <w:rFonts w:ascii="Verdana" w:eastAsia="Calibri" w:hAnsi="Verdana" w:cs="Arial"/>
        </w:rPr>
        <w:footnoteReference w:id="2"/>
      </w:r>
      <w:r w:rsidRPr="00326D28">
        <w:rPr>
          <w:rFonts w:ascii="Verdana" w:eastAsia="Calibri" w:hAnsi="Verdana" w:cs="Arial"/>
        </w:rPr>
        <w:t xml:space="preserve">. Dicha Corporación se ha referido  al anticipo como </w:t>
      </w:r>
      <w:r>
        <w:rPr>
          <w:rFonts w:ascii="Verdana" w:eastAsia="Calibri" w:hAnsi="Verdana" w:cs="Arial"/>
          <w:color w:val="000000" w:themeColor="text1"/>
          <w:lang w:val="es-ES"/>
        </w:rPr>
        <w:t>“</w:t>
      </w:r>
      <w:r w:rsidRPr="00326D28">
        <w:rPr>
          <w:rFonts w:ascii="Verdana" w:eastAsia="Calibri" w:hAnsi="Verdana" w:cs="Arial"/>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Pr>
          <w:rFonts w:ascii="Verdana" w:eastAsia="Calibri" w:hAnsi="Verdana" w:cs="Arial"/>
          <w:color w:val="000000" w:themeColor="text1"/>
          <w:lang w:val="es-ES"/>
        </w:rPr>
        <w:t>”</w:t>
      </w:r>
      <w:r w:rsidRPr="00326D28">
        <w:rPr>
          <w:rFonts w:ascii="Verdana" w:eastAsia="Calibri" w:hAnsi="Verdana" w:cs="Arial"/>
          <w:vertAlign w:val="superscript"/>
        </w:rPr>
        <w:footnoteReference w:id="3"/>
      </w:r>
      <w:r w:rsidRPr="00326D28">
        <w:rPr>
          <w:rFonts w:ascii="Verdana" w:eastAsia="Calibri" w:hAnsi="Verdana" w:cs="Arial"/>
          <w:color w:val="000000" w:themeColor="text1"/>
          <w:lang w:val="es-ES"/>
        </w:rPr>
        <w:t>.</w:t>
      </w:r>
    </w:p>
    <w:p w14:paraId="3AD1D943" w14:textId="77777777" w:rsidR="00953C6B" w:rsidRPr="00326D28" w:rsidRDefault="00953C6B" w:rsidP="00953C6B">
      <w:pPr>
        <w:spacing w:after="120" w:line="276" w:lineRule="auto"/>
        <w:ind w:firstLine="708"/>
        <w:jc w:val="both"/>
        <w:rPr>
          <w:rFonts w:ascii="Verdana" w:eastAsia="Calibri" w:hAnsi="Verdana" w:cs="Arial"/>
        </w:rPr>
      </w:pPr>
      <w:r w:rsidRPr="00326D28">
        <w:rPr>
          <w:rFonts w:ascii="Verdana" w:eastAsia="Calibri" w:hAnsi="Verdana" w:cs="Arial"/>
        </w:rPr>
        <w:lastRenderedPageBreak/>
        <w:t xml:space="preserve">Sobre la calidad de recurso público del anticipo, la jurisprudencia ha reiterado que </w:t>
      </w:r>
      <w:r>
        <w:rPr>
          <w:rFonts w:ascii="Verdana" w:eastAsia="Calibri" w:hAnsi="Verdana" w:cs="Arial"/>
          <w:color w:val="000000" w:themeColor="text1"/>
          <w:lang w:val="es-ES"/>
        </w:rPr>
        <w:t>“</w:t>
      </w:r>
      <w:r w:rsidRPr="00326D28">
        <w:rPr>
          <w:rFonts w:ascii="Verdana" w:eastAsia="Calibri" w:hAnsi="Verdana" w:cs="Aria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Pr>
          <w:rFonts w:ascii="Verdana" w:eastAsia="Calibri" w:hAnsi="Verdana" w:cs="Arial"/>
          <w:color w:val="000000" w:themeColor="text1"/>
          <w:lang w:val="es-ES"/>
        </w:rPr>
        <w:t>”</w:t>
      </w:r>
      <w:r w:rsidRPr="00326D28">
        <w:rPr>
          <w:rStyle w:val="Refdenotaalpie"/>
          <w:rFonts w:ascii="Verdana" w:eastAsia="Calibri" w:hAnsi="Verdana" w:cs="Arial"/>
        </w:rPr>
        <w:footnoteReference w:id="4"/>
      </w:r>
      <w:r w:rsidRPr="00326D28">
        <w:rPr>
          <w:rFonts w:ascii="Verdana" w:eastAsia="Calibri" w:hAnsi="Verdana" w:cs="Arial"/>
        </w:rPr>
        <w:t>. Igualmente, explica que el anticipo, al facilitar al contratista la financiación de los bienes y servicios que se le han encargado, es un factor determinante para impulsar la ejecución del contrato</w:t>
      </w:r>
      <w:r w:rsidRPr="00326D28">
        <w:rPr>
          <w:rStyle w:val="Refdenotaalpie"/>
          <w:rFonts w:ascii="Verdana" w:eastAsia="Calibri" w:hAnsi="Verdana" w:cs="Arial"/>
        </w:rPr>
        <w:footnoteReference w:id="5"/>
      </w:r>
      <w:r w:rsidRPr="00326D28">
        <w:rPr>
          <w:rFonts w:ascii="Verdana" w:eastAsia="Calibri" w:hAnsi="Verdana" w:cs="Arial"/>
        </w:rPr>
        <w:t>. Este también es el entendimiento de la doctrina</w:t>
      </w:r>
      <w:r w:rsidRPr="00326D28">
        <w:rPr>
          <w:rFonts w:ascii="Verdana" w:eastAsia="Calibri" w:hAnsi="Verdana" w:cs="Arial"/>
          <w:color w:val="000000" w:themeColor="text1"/>
        </w:rPr>
        <w:t>,</w:t>
      </w:r>
      <w:r w:rsidRPr="00326D28">
        <w:rPr>
          <w:rFonts w:ascii="Verdana" w:eastAsia="Calibri" w:hAnsi="Verdana" w:cs="Arial"/>
        </w:rPr>
        <w:t xml:space="preserve"> que ha considerado el anticipo como un dinero entregado al contratista que debe cancelarse mediante descuentos parciales, siendo una práctica común que permite impulsar la ejecución del contrato</w:t>
      </w:r>
      <w:r w:rsidRPr="00326D28">
        <w:rPr>
          <w:rStyle w:val="Refdenotaalpie"/>
          <w:rFonts w:ascii="Verdana" w:eastAsia="Calibri" w:hAnsi="Verdana" w:cs="Arial"/>
        </w:rPr>
        <w:footnoteReference w:id="6"/>
      </w:r>
      <w:r w:rsidRPr="00326D28">
        <w:rPr>
          <w:rFonts w:ascii="Verdana" w:eastAsia="Calibri" w:hAnsi="Verdana" w:cs="Arial"/>
        </w:rPr>
        <w:t xml:space="preserve">. </w:t>
      </w:r>
    </w:p>
    <w:p w14:paraId="1F88A493" w14:textId="77777777" w:rsidR="00953C6B" w:rsidRPr="00326D28" w:rsidRDefault="00953C6B" w:rsidP="00953C6B">
      <w:pPr>
        <w:spacing w:before="120" w:after="120" w:line="276" w:lineRule="auto"/>
        <w:ind w:firstLine="708"/>
        <w:jc w:val="both"/>
        <w:rPr>
          <w:rFonts w:ascii="Verdana" w:eastAsia="Calibri" w:hAnsi="Verdana" w:cs="Arial"/>
          <w:color w:val="000000" w:themeColor="text1"/>
        </w:rPr>
      </w:pPr>
      <w:r w:rsidRPr="00326D28">
        <w:rPr>
          <w:rFonts w:ascii="Verdana" w:eastAsia="Calibri" w:hAnsi="Verdana" w:cs="Arial"/>
          <w:color w:val="000000" w:themeColor="text1"/>
        </w:rPr>
        <w:t xml:space="preserve">Así, de acuerdo con las consideraciones de la jurisprudencia y la doctrina, el anticipo es </w:t>
      </w:r>
      <w:r w:rsidRPr="00326D28">
        <w:rPr>
          <w:rFonts w:ascii="Verdana" w:eastAsia="Calibri" w:hAnsi="Verdana" w:cs="Arial"/>
        </w:rPr>
        <w:t xml:space="preserve">aquella suma de dinero entregada al contratista con la finalidad de apalancarlo financieramente para solventar los costos iniciales de la ejecución del contrato. Este dinero debe amortizarse </w:t>
      </w:r>
      <w:proofErr w:type="gramStart"/>
      <w:r w:rsidRPr="00326D28">
        <w:rPr>
          <w:rFonts w:ascii="Verdana" w:eastAsia="Calibri" w:hAnsi="Verdana" w:cs="Arial"/>
        </w:rPr>
        <w:t>de acuerdo al</w:t>
      </w:r>
      <w:proofErr w:type="gramEnd"/>
      <w:r w:rsidRPr="00326D28">
        <w:rPr>
          <w:rFonts w:ascii="Verdana" w:eastAsia="Calibri" w:hAnsi="Verdana" w:cs="Arial"/>
        </w:rPr>
        <w:t xml:space="preserve"> avance en la ejecución. De esta forma, los recursos entregados a título de anticipo son del erario, razón por la que debe garantizarse su buen manejo y correcta inversión.</w:t>
      </w:r>
    </w:p>
    <w:p w14:paraId="581E6EF2" w14:textId="77777777" w:rsidR="00953C6B" w:rsidRPr="00326D28" w:rsidRDefault="00953C6B" w:rsidP="00953C6B">
      <w:pPr>
        <w:spacing w:before="120" w:after="0" w:line="276" w:lineRule="auto"/>
        <w:ind w:firstLine="709"/>
        <w:jc w:val="both"/>
        <w:rPr>
          <w:rFonts w:ascii="Verdana" w:eastAsia="Calibri" w:hAnsi="Verdana" w:cs="Arial"/>
          <w:color w:val="000000" w:themeColor="text1"/>
        </w:rPr>
      </w:pPr>
      <w:r w:rsidRPr="00326D28">
        <w:rPr>
          <w:rFonts w:ascii="Verdana" w:eastAsia="Calibri" w:hAnsi="Verdana" w:cs="Arial"/>
          <w:color w:val="000000" w:themeColor="text1"/>
        </w:rPr>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w:t>
      </w:r>
      <w:r w:rsidRPr="00326D28">
        <w:rPr>
          <w:rFonts w:ascii="Verdana" w:eastAsia="Calibri" w:hAnsi="Verdana" w:cs="Arial"/>
          <w:color w:val="000000" w:themeColor="text1"/>
        </w:rPr>
        <w:lastRenderedPageBreak/>
        <w:t xml:space="preserve">estipulada. Por otro lado, el contratista tiene derecho a recibir dicho anticipo y la obligación de destinarlo a la ejecución del contrato. De esta manera, el Consejo de Estado explica lo siguiente: </w:t>
      </w:r>
    </w:p>
    <w:p w14:paraId="22932810" w14:textId="77777777" w:rsidR="00953C6B" w:rsidRPr="00326D28" w:rsidRDefault="00953C6B" w:rsidP="00953C6B">
      <w:pPr>
        <w:spacing w:after="0" w:line="276" w:lineRule="auto"/>
        <w:ind w:firstLine="709"/>
        <w:jc w:val="both"/>
        <w:rPr>
          <w:rFonts w:ascii="Verdana" w:eastAsia="Calibri" w:hAnsi="Verdana" w:cs="Arial"/>
          <w:lang w:val="es-MX"/>
        </w:rPr>
      </w:pPr>
    </w:p>
    <w:p w14:paraId="0274A1BE" w14:textId="77777777" w:rsidR="00953C6B" w:rsidRPr="00D720BD" w:rsidRDefault="00953C6B" w:rsidP="00953C6B">
      <w:pPr>
        <w:spacing w:after="0" w:line="240" w:lineRule="auto"/>
        <w:ind w:left="709" w:right="709"/>
        <w:jc w:val="both"/>
        <w:rPr>
          <w:rFonts w:ascii="Verdana" w:eastAsia="Calibri" w:hAnsi="Verdana" w:cs="Arial"/>
          <w:sz w:val="20"/>
          <w:szCs w:val="20"/>
        </w:rPr>
      </w:pPr>
      <w:r w:rsidRPr="00D720BD">
        <w:rPr>
          <w:rFonts w:ascii="Verdana" w:eastAsia="Calibri" w:hAnsi="Verdana" w:cs="Arial"/>
          <w:sz w:val="20"/>
          <w:szCs w:val="20"/>
        </w:rPr>
        <w:t xml:space="preserve">“[…]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Pr="00D720BD">
        <w:rPr>
          <w:rFonts w:ascii="Verdana" w:eastAsia="Calibri" w:hAnsi="Verdana" w:cs="Arial"/>
          <w:sz w:val="20"/>
          <w:szCs w:val="20"/>
        </w:rPr>
        <w:t>etc</w:t>
      </w:r>
      <w:proofErr w:type="spellEnd"/>
      <w:r w:rsidRPr="00D720BD">
        <w:rPr>
          <w:rFonts w:ascii="Verdana" w:eastAsia="Calibri" w:hAnsi="Verdana" w:cs="Arial"/>
          <w:sz w:val="20"/>
          <w:szCs w:val="20"/>
        </w:rPr>
        <w:t>). En segunda instancia el anticipo, en su resultado, constituye una obligación del contratista y un derecho del 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w:t>
      </w:r>
      <w:r w:rsidRPr="00D720BD">
        <w:rPr>
          <w:rFonts w:ascii="Verdana" w:eastAsia="Calibri" w:hAnsi="Verdana" w:cs="Arial"/>
          <w:b/>
          <w:sz w:val="20"/>
          <w:szCs w:val="20"/>
        </w:rPr>
        <w:t xml:space="preserve"> </w:t>
      </w:r>
      <w:r w:rsidRPr="00D720BD">
        <w:rPr>
          <w:rFonts w:ascii="Verdana" w:eastAsia="Calibri" w:hAnsi="Verdana" w:cs="Arial"/>
          <w:sz w:val="20"/>
          <w:szCs w:val="20"/>
        </w:rPr>
        <w:t>por hechos del contratista que impliquen mal manejo o incorrecta inversión de los dineros de propiedad pública. Las partes contratantes, acuerdan además en el contrato, las condiciones de efectividad, la proporción con el valor del contrato, la oportunidad en que debe entregarse, la vigilancia Estatal sobre las sumas y las amortizaciones”</w:t>
      </w:r>
      <w:r w:rsidRPr="00D720BD">
        <w:rPr>
          <w:rStyle w:val="Refdenotaalpie"/>
          <w:rFonts w:ascii="Verdana" w:eastAsia="Calibri" w:hAnsi="Verdana" w:cs="Arial"/>
          <w:sz w:val="20"/>
          <w:szCs w:val="20"/>
        </w:rPr>
        <w:footnoteReference w:id="7"/>
      </w:r>
      <w:r w:rsidRPr="00D720BD">
        <w:rPr>
          <w:rFonts w:ascii="Verdana" w:eastAsia="Calibri" w:hAnsi="Verdana" w:cs="Arial"/>
          <w:sz w:val="20"/>
          <w:szCs w:val="20"/>
        </w:rPr>
        <w:t>.</w:t>
      </w:r>
    </w:p>
    <w:p w14:paraId="4F6DA4C7" w14:textId="77777777" w:rsidR="00953C6B" w:rsidRPr="00326D28" w:rsidRDefault="00953C6B" w:rsidP="00953C6B">
      <w:pPr>
        <w:spacing w:after="0" w:line="276" w:lineRule="auto"/>
        <w:ind w:left="567" w:right="709"/>
        <w:jc w:val="both"/>
        <w:rPr>
          <w:rFonts w:ascii="Verdana" w:eastAsia="Calibri" w:hAnsi="Verdana" w:cs="Arial"/>
        </w:rPr>
      </w:pPr>
      <w:r>
        <w:rPr>
          <w:rFonts w:ascii="Verdana" w:eastAsia="Calibri" w:hAnsi="Verdana" w:cs="Arial"/>
          <w:sz w:val="21"/>
          <w:szCs w:val="21"/>
        </w:rPr>
        <w:tab/>
      </w:r>
    </w:p>
    <w:p w14:paraId="3C574D52" w14:textId="77777777" w:rsidR="00953C6B" w:rsidRPr="00326D28" w:rsidRDefault="00953C6B" w:rsidP="00953C6B">
      <w:pPr>
        <w:tabs>
          <w:tab w:val="left" w:pos="0"/>
        </w:tabs>
        <w:spacing w:after="120" w:line="276" w:lineRule="auto"/>
        <w:ind w:firstLine="709"/>
        <w:jc w:val="both"/>
        <w:rPr>
          <w:rFonts w:ascii="Verdana" w:eastAsia="Calibri" w:hAnsi="Verdana" w:cs="Arial"/>
          <w:lang w:val="es-MX"/>
        </w:rPr>
      </w:pPr>
      <w:r w:rsidRPr="00326D28">
        <w:rPr>
          <w:rFonts w:ascii="Verdana" w:eastAsia="Calibri" w:hAnsi="Verdana" w:cs="Arial"/>
        </w:rPr>
        <w:t>Las entidades estatales tienen la facultad de pactar la entrega de anticipos en los contratos que celebren. Para ello, deberán realizar el estudio correspondiente con el fin de determinar la conveniencia de otorgar recursos al contratista bajo esa denominación. De este modo, las entidades podrán determinar las condiciones de entrega, el monto –que no podrá ser superior al 50% del valor del contrato–, el plazo de amortización, las condiciones necesarias para su exigibilidad, así como todas las obligaciones para su correcta inversión.</w:t>
      </w:r>
    </w:p>
    <w:p w14:paraId="7C3E2A43" w14:textId="77777777" w:rsidR="00953C6B" w:rsidRPr="00326D28" w:rsidRDefault="00953C6B" w:rsidP="00953C6B">
      <w:pPr>
        <w:tabs>
          <w:tab w:val="left" w:pos="0"/>
        </w:tabs>
        <w:spacing w:before="120" w:after="120" w:line="276" w:lineRule="auto"/>
        <w:ind w:firstLine="709"/>
        <w:jc w:val="both"/>
        <w:rPr>
          <w:rFonts w:ascii="Verdana" w:hAnsi="Verdana" w:cs="Arial"/>
          <w:color w:val="000000" w:themeColor="text1"/>
          <w:lang w:val="es-ES"/>
        </w:rPr>
      </w:pPr>
      <w:r w:rsidRPr="00326D28">
        <w:rPr>
          <w:rFonts w:ascii="Verdana" w:eastAsia="Calibri" w:hAnsi="Verdana" w:cs="Arial"/>
        </w:rPr>
        <w:t xml:space="preserve">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w:t>
      </w:r>
      <w:r w:rsidRPr="00326D28">
        <w:rPr>
          <w:rFonts w:ascii="Verdana" w:hAnsi="Verdana" w:cs="Arial"/>
          <w:color w:val="000000" w:themeColor="text1"/>
          <w:lang w:val="es-ES"/>
        </w:rPr>
        <w:t xml:space="preserve">De hecho, el Estatuto General de Contratación de la Administración Pública dispone como única limitación el valor máximo que puede desembolsar la entidad para pactar el anticipo. </w:t>
      </w:r>
    </w:p>
    <w:p w14:paraId="77E8469F" w14:textId="77777777" w:rsidR="00953C6B" w:rsidRPr="00036510" w:rsidRDefault="00953C6B" w:rsidP="00953C6B">
      <w:pPr>
        <w:tabs>
          <w:tab w:val="left" w:pos="0"/>
        </w:tabs>
        <w:spacing w:before="120" w:after="120" w:line="276" w:lineRule="auto"/>
        <w:ind w:firstLine="709"/>
        <w:jc w:val="both"/>
        <w:rPr>
          <w:rFonts w:ascii="Verdana" w:hAnsi="Verdana" w:cs="Arial"/>
          <w:color w:val="000000" w:themeColor="text1"/>
          <w:lang w:val="es-MX"/>
        </w:rPr>
      </w:pPr>
      <w:r w:rsidRPr="00326D28">
        <w:rPr>
          <w:rFonts w:ascii="Verdana" w:hAnsi="Verdana" w:cs="Arial"/>
          <w:color w:val="000000" w:themeColor="text1"/>
          <w:lang w:val="es-ES"/>
        </w:rPr>
        <w:t xml:space="preserve">La entidad y el contratista podrán disponer, en ejercicio de la autonomía de la voluntad, las condiciones que consideren convenientes de acuerdo con las </w:t>
      </w:r>
      <w:r w:rsidRPr="00326D28">
        <w:rPr>
          <w:rFonts w:ascii="Verdana" w:hAnsi="Verdana" w:cs="Arial"/>
          <w:color w:val="000000" w:themeColor="text1"/>
          <w:lang w:val="es-ES"/>
        </w:rPr>
        <w:lastRenderedPageBreak/>
        <w:t>normas civiles, siempre que no contraríen los parámetros normativos y los principios de la actividad contractual. No obstante, se reitera la importancia de analizar y justificar en cada caso la pertinencia y conveniencia de entregar al contratista recursos en calidad de anticipo.</w:t>
      </w:r>
    </w:p>
    <w:p w14:paraId="24EA2C63" w14:textId="77777777" w:rsidR="00953C6B" w:rsidRPr="005F2061" w:rsidRDefault="00953C6B" w:rsidP="00953C6B">
      <w:pPr>
        <w:spacing w:line="276" w:lineRule="auto"/>
        <w:jc w:val="both"/>
        <w:rPr>
          <w:rFonts w:ascii="Verdana" w:eastAsia="Calibri" w:hAnsi="Verdana" w:cs="Arial"/>
        </w:rPr>
      </w:pPr>
      <w:proofErr w:type="spellStart"/>
      <w:r>
        <w:rPr>
          <w:rFonts w:ascii="Verdana" w:eastAsia="Calibri" w:hAnsi="Verdana" w:cs="Arial"/>
        </w:rPr>
        <w:t>ii</w:t>
      </w:r>
      <w:proofErr w:type="spellEnd"/>
      <w:r>
        <w:rPr>
          <w:rFonts w:ascii="Verdana" w:eastAsia="Calibri" w:hAnsi="Verdana" w:cs="Arial"/>
        </w:rPr>
        <w:t>. C</w:t>
      </w:r>
      <w:r w:rsidRPr="005F2061">
        <w:rPr>
          <w:rFonts w:ascii="Verdana" w:eastAsia="Calibri" w:hAnsi="Verdana" w:cs="Arial"/>
        </w:rPr>
        <w:t>onforme al citado artículo 91 de la Ley 1474 de 2011, existen algunos contratos respecto de los cuales la ley obliga al contratista de constituir una fiducia mercantil para el manejo de los recursos entregados a título de anticipo.</w:t>
      </w:r>
      <w:r>
        <w:rPr>
          <w:rFonts w:ascii="Verdana" w:eastAsia="Calibri" w:hAnsi="Verdana" w:cs="Arial"/>
        </w:rPr>
        <w:t xml:space="preserve"> </w:t>
      </w:r>
      <w:r w:rsidRPr="005F2061">
        <w:rPr>
          <w:rFonts w:ascii="Verdana" w:eastAsia="Calibri" w:hAnsi="Verdana" w:cs="Arial"/>
          <w:bCs/>
          <w:color w:val="000000" w:themeColor="text1"/>
          <w:lang w:val="es-ES_tradnl"/>
        </w:rPr>
        <w:t xml:space="preserve">Esta norma dispone que: </w:t>
      </w:r>
      <w:r>
        <w:rPr>
          <w:rFonts w:ascii="Verdana" w:eastAsia="Calibri" w:hAnsi="Verdana" w:cs="Arial"/>
          <w:bCs/>
          <w:color w:val="000000" w:themeColor="text1"/>
          <w:lang w:val="es-ES_tradnl"/>
        </w:rPr>
        <w:t>“</w:t>
      </w:r>
      <w:r w:rsidRPr="005F2061">
        <w:rPr>
          <w:rFonts w:ascii="Verdana" w:eastAsia="Calibri" w:hAnsi="Verdana" w:cs="Arial"/>
        </w:rPr>
        <w:t>En los contratos de obra, concesión, salud, o los que se realicen por licitación pública</w:t>
      </w:r>
      <w:r w:rsidRPr="005F2061">
        <w:rPr>
          <w:rFonts w:ascii="Verdana" w:eastAsia="Calibri" w:hAnsi="Verdana" w:cs="Arial"/>
          <w:i/>
          <w:iCs/>
        </w:rPr>
        <w:t>,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r w:rsidRPr="005F2061">
        <w:rPr>
          <w:rFonts w:ascii="Verdana" w:eastAsia="Calibri" w:hAnsi="Verdana" w:cs="Arial"/>
        </w:rPr>
        <w:t>. El costo de la comisión fiduciaria será cubierto directamente por el contratista</w:t>
      </w:r>
      <w:r>
        <w:rPr>
          <w:rFonts w:ascii="Verdana" w:eastAsia="Calibri" w:hAnsi="Verdana" w:cs="Arial"/>
        </w:rPr>
        <w:t>”</w:t>
      </w:r>
      <w:r w:rsidRPr="005F2061">
        <w:rPr>
          <w:rFonts w:ascii="Verdana" w:eastAsia="Calibri" w:hAnsi="Verdana" w:cs="Arial"/>
        </w:rPr>
        <w:t xml:space="preserve"> (Énfasis fuera de texto).</w:t>
      </w:r>
    </w:p>
    <w:p w14:paraId="46B597B9" w14:textId="77777777" w:rsidR="00953C6B" w:rsidRDefault="00953C6B" w:rsidP="00953C6B">
      <w:pPr>
        <w:spacing w:line="276" w:lineRule="auto"/>
        <w:ind w:firstLine="709"/>
        <w:jc w:val="both"/>
        <w:rPr>
          <w:rFonts w:ascii="Verdana" w:eastAsia="Calibri" w:hAnsi="Verdana" w:cs="Arial"/>
          <w:bCs/>
          <w:color w:val="000000" w:themeColor="text1"/>
          <w:lang w:val="es-ES_tradnl"/>
        </w:rPr>
      </w:pPr>
      <w:r w:rsidRPr="005F2061">
        <w:rPr>
          <w:rFonts w:ascii="Verdana" w:eastAsia="Calibri" w:hAnsi="Verdana" w:cs="Arial"/>
          <w:bCs/>
          <w:color w:val="000000" w:themeColor="text1"/>
          <w:lang w:val="es-ES_tradnl"/>
        </w:rPr>
        <w:t>En concordancia, el artículo 2.2.1.1.2.4.1 del Decreto 1082 de 2015 prescribe que, 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 Los recursos del patrimonio y sus rendimientos son autónomos, además de que se manejan de acuerdo con el contrato de fiducia mercantil. Adicionalmente, la norma señala que en el pliego de condiciones la entidad debe establecer los términos y condiciones de la administración del anticipo a través del patrimonio autónomo</w:t>
      </w:r>
      <w:r w:rsidRPr="005F2061">
        <w:rPr>
          <w:rStyle w:val="Refdenotaalpie"/>
          <w:rFonts w:ascii="Verdana" w:eastAsia="Calibri" w:hAnsi="Verdana" w:cs="Arial"/>
          <w:bCs/>
          <w:color w:val="000000" w:themeColor="text1"/>
          <w:lang w:val="es-ES_tradnl"/>
        </w:rPr>
        <w:footnoteReference w:id="8"/>
      </w:r>
      <w:r w:rsidRPr="005F2061">
        <w:rPr>
          <w:rFonts w:ascii="Verdana" w:eastAsia="Calibri" w:hAnsi="Verdana" w:cs="Arial"/>
          <w:bCs/>
          <w:color w:val="000000" w:themeColor="text1"/>
          <w:lang w:val="es-ES_tradnl"/>
        </w:rPr>
        <w:t xml:space="preserve">. </w:t>
      </w:r>
    </w:p>
    <w:p w14:paraId="3F8A722B" w14:textId="77777777" w:rsidR="00953C6B" w:rsidRDefault="00953C6B" w:rsidP="00953C6B">
      <w:pPr>
        <w:spacing w:after="120" w:line="276" w:lineRule="auto"/>
        <w:ind w:firstLine="709"/>
        <w:jc w:val="both"/>
        <w:rPr>
          <w:rFonts w:ascii="Verdana" w:hAnsi="Verdana" w:cs="Arial"/>
          <w:color w:val="000000" w:themeColor="text1"/>
        </w:rPr>
      </w:pPr>
      <w:r>
        <w:rPr>
          <w:rFonts w:ascii="Verdana" w:hAnsi="Verdana" w:cs="Arial"/>
          <w:color w:val="000000" w:themeColor="text1"/>
        </w:rPr>
        <w:t xml:space="preserve">Así pues, en atención al primer problema jurídico planteado, se precisa que </w:t>
      </w:r>
      <w:r w:rsidRPr="003B2F99">
        <w:rPr>
          <w:rFonts w:ascii="Verdana" w:hAnsi="Verdana" w:cs="Arial"/>
          <w:color w:val="000000" w:themeColor="text1"/>
        </w:rPr>
        <w:t>las condiciones relativas a la entrega y administración del anticipo a través de fiducia mercantil deben estar incorporadas en el contrato estatal y</w:t>
      </w:r>
      <w:r>
        <w:rPr>
          <w:rFonts w:ascii="Verdana" w:hAnsi="Verdana" w:cs="Arial"/>
          <w:color w:val="000000" w:themeColor="text1"/>
        </w:rPr>
        <w:t xml:space="preserve"> </w:t>
      </w:r>
      <w:r w:rsidRPr="003B2F99">
        <w:rPr>
          <w:rFonts w:ascii="Verdana" w:hAnsi="Verdana" w:cs="Arial"/>
          <w:color w:val="000000" w:themeColor="text1"/>
        </w:rPr>
        <w:t xml:space="preserve">deben ser </w:t>
      </w:r>
      <w:r w:rsidRPr="003B2F99">
        <w:rPr>
          <w:rFonts w:ascii="Verdana" w:hAnsi="Verdana" w:cs="Arial"/>
          <w:color w:val="000000" w:themeColor="text1"/>
        </w:rPr>
        <w:lastRenderedPageBreak/>
        <w:t>conocidas previamente por las partes durante el proceso de selección</w:t>
      </w:r>
      <w:r>
        <w:rPr>
          <w:rFonts w:ascii="Verdana" w:hAnsi="Verdana" w:cs="Arial"/>
          <w:color w:val="000000" w:themeColor="text1"/>
        </w:rPr>
        <w:t xml:space="preserve">, por lo que </w:t>
      </w:r>
      <w:r w:rsidRPr="003B2F99">
        <w:rPr>
          <w:rFonts w:ascii="Verdana" w:hAnsi="Verdana" w:cs="Arial"/>
          <w:color w:val="000000" w:themeColor="text1"/>
        </w:rPr>
        <w:t>deben estar consignadas de manera clara y expresa en los pliegos de condiciones.</w:t>
      </w:r>
      <w:r>
        <w:rPr>
          <w:rFonts w:ascii="Verdana" w:hAnsi="Verdana" w:cs="Arial"/>
          <w:color w:val="000000" w:themeColor="text1"/>
        </w:rPr>
        <w:t xml:space="preserve"> </w:t>
      </w:r>
      <w:r w:rsidRPr="00652C63">
        <w:rPr>
          <w:rFonts w:ascii="Verdana" w:hAnsi="Verdana" w:cs="Arial"/>
          <w:color w:val="000000" w:themeColor="text1"/>
        </w:rPr>
        <w:t xml:space="preserve">En relación con este aspecto, es importante destacar que, conforme a lo dispuesto en el artículo 2.2.1.1.2.1.3 del Decreto 1082 de 2015, el pliego de condiciones debe incluir, entre otros elementos, los términos, condiciones y la minuta del contrato a celebrar. </w:t>
      </w:r>
      <w:r>
        <w:rPr>
          <w:rFonts w:ascii="Verdana" w:hAnsi="Verdana" w:cs="Arial"/>
          <w:color w:val="000000" w:themeColor="text1"/>
        </w:rPr>
        <w:t xml:space="preserve">Es decir, que en el pliego de condiciones no solo se debe contemplar los aspectos propios del proceso de selección como los criterios habilitantes y de calificación, la modalidad de contratación y su justificación, las reglas aplicables a la presentación de la oferta, etc., sino también todas aquellas condiciones que regirán el contrato puesto </w:t>
      </w:r>
      <w:r w:rsidRPr="003F7295">
        <w:rPr>
          <w:rFonts w:ascii="Verdana" w:hAnsi="Verdana" w:cs="Arial"/>
          <w:color w:val="000000" w:themeColor="text1"/>
        </w:rPr>
        <w:t>que “</w:t>
      </w:r>
      <w:r w:rsidRPr="003F7295">
        <w:rPr>
          <w:rFonts w:ascii="Verdana" w:hAnsi="Verdana" w:cs="Arial"/>
        </w:rPr>
        <w:t>sus efectos trascienden después de la celebración del contrato, para regular las relaciones entre las partes, fuente de derechos y de obligaciones y permanece aún para la etapa final, al momento de su liquidación</w:t>
      </w:r>
      <w:r>
        <w:rPr>
          <w:rStyle w:val="Refdenotaalpie"/>
          <w:rFonts w:ascii="Verdana" w:hAnsi="Verdana" w:cs="Arial"/>
        </w:rPr>
        <w:footnoteReference w:id="9"/>
      </w:r>
      <w:r w:rsidRPr="003F7295">
        <w:rPr>
          <w:rFonts w:ascii="Verdana" w:hAnsi="Verdana" w:cs="Arial"/>
        </w:rPr>
        <w:t>”.</w:t>
      </w:r>
    </w:p>
    <w:p w14:paraId="3D4AACEB" w14:textId="77777777" w:rsidR="00953C6B" w:rsidRDefault="00953C6B" w:rsidP="00953C6B">
      <w:pPr>
        <w:spacing w:after="120" w:line="276" w:lineRule="auto"/>
        <w:ind w:firstLine="709"/>
        <w:jc w:val="both"/>
        <w:rPr>
          <w:rFonts w:ascii="Verdana" w:hAnsi="Verdana" w:cs="Arial"/>
          <w:color w:val="000000" w:themeColor="text1"/>
        </w:rPr>
      </w:pPr>
      <w:r>
        <w:rPr>
          <w:rFonts w:ascii="Verdana" w:hAnsi="Verdana" w:cs="Arial"/>
          <w:color w:val="000000" w:themeColor="text1"/>
        </w:rPr>
        <w:t>En efecto, las disposiciones incluidas en el pliego de condiciones, junto con todos sus anexos, t</w:t>
      </w:r>
      <w:r w:rsidRPr="00160BFD">
        <w:rPr>
          <w:rFonts w:ascii="Verdana" w:hAnsi="Verdana" w:cs="Arial"/>
          <w:color w:val="000000" w:themeColor="text1"/>
        </w:rPr>
        <w:t>iene</w:t>
      </w:r>
      <w:r>
        <w:rPr>
          <w:rFonts w:ascii="Verdana" w:hAnsi="Verdana" w:cs="Arial"/>
          <w:color w:val="000000" w:themeColor="text1"/>
        </w:rPr>
        <w:t>n carácter</w:t>
      </w:r>
      <w:r w:rsidRPr="00160BFD">
        <w:rPr>
          <w:rFonts w:ascii="Verdana" w:hAnsi="Verdana" w:cs="Arial"/>
          <w:color w:val="000000" w:themeColor="text1"/>
        </w:rPr>
        <w:t xml:space="preserve"> vinculante y obligatori</w:t>
      </w:r>
      <w:r>
        <w:rPr>
          <w:rFonts w:ascii="Verdana" w:hAnsi="Verdana" w:cs="Arial"/>
          <w:color w:val="000000" w:themeColor="text1"/>
        </w:rPr>
        <w:t>o</w:t>
      </w:r>
      <w:r w:rsidRPr="00160BFD">
        <w:rPr>
          <w:rFonts w:ascii="Verdana" w:hAnsi="Verdana" w:cs="Arial"/>
          <w:color w:val="000000" w:themeColor="text1"/>
        </w:rPr>
        <w:t xml:space="preserve"> para todas las partes intervinientes en el proceso de contratación, incluyendo a la administración, a los proponentes y al contratista que resulte adjudicatario del contrato</w:t>
      </w:r>
      <w:r>
        <w:rPr>
          <w:rFonts w:ascii="Verdana" w:hAnsi="Verdana" w:cs="Arial"/>
          <w:color w:val="000000" w:themeColor="text1"/>
        </w:rPr>
        <w:t xml:space="preserve">. De ahí que se considera que </w:t>
      </w:r>
      <w:r w:rsidRPr="00EE6038">
        <w:rPr>
          <w:rFonts w:ascii="Verdana" w:hAnsi="Verdana" w:cs="Arial"/>
          <w:color w:val="000000" w:themeColor="text1"/>
        </w:rPr>
        <w:t>el pliego de condiciones goza de una naturaleza jurídica mixta en cuanto</w:t>
      </w:r>
      <w:r>
        <w:rPr>
          <w:rFonts w:ascii="Verdana" w:hAnsi="Verdana" w:cs="Arial"/>
          <w:color w:val="000000" w:themeColor="text1"/>
        </w:rPr>
        <w:t xml:space="preserve"> a</w:t>
      </w:r>
      <w:r w:rsidRPr="00EE6038">
        <w:rPr>
          <w:rFonts w:ascii="Verdana" w:hAnsi="Verdana" w:cs="Arial"/>
          <w:color w:val="000000" w:themeColor="text1"/>
        </w:rPr>
        <w:t xml:space="preserve"> que </w:t>
      </w:r>
      <w:r>
        <w:rPr>
          <w:rFonts w:ascii="Verdana" w:hAnsi="Verdana" w:cs="Arial"/>
          <w:color w:val="000000" w:themeColor="text1"/>
        </w:rPr>
        <w:t>“</w:t>
      </w:r>
      <w:r w:rsidRPr="00EE6038">
        <w:rPr>
          <w:rFonts w:ascii="Verdana" w:hAnsi="Verdana" w:cs="Arial"/>
          <w:color w:val="000000" w:themeColor="text1"/>
        </w:rPr>
        <w:t xml:space="preserve">como acto administrativo de contenido general, algunas de sus disposiciones se agotan una vez culminado el procedimiento de selección, pero que otras se mantienen y dejan de ser generales para convertirse en parte del clausulado del contrato </w:t>
      </w:r>
      <w:proofErr w:type="gramStart"/>
      <w:r w:rsidRPr="00EE6038">
        <w:rPr>
          <w:rFonts w:ascii="Verdana" w:hAnsi="Verdana" w:cs="Arial"/>
          <w:color w:val="000000" w:themeColor="text1"/>
        </w:rPr>
        <w:t>y</w:t>
      </w:r>
      <w:proofErr w:type="gramEnd"/>
      <w:r w:rsidRPr="00EE6038">
        <w:rPr>
          <w:rFonts w:ascii="Verdana" w:hAnsi="Verdana" w:cs="Arial"/>
          <w:color w:val="000000" w:themeColor="text1"/>
        </w:rPr>
        <w:t xml:space="preserve"> por lo tanto, de obligatorio acatamiento por las partes durante la ejecución </w:t>
      </w:r>
      <w:proofErr w:type="gramStart"/>
      <w:r w:rsidRPr="00EE6038">
        <w:rPr>
          <w:rFonts w:ascii="Verdana" w:hAnsi="Verdana" w:cs="Arial"/>
          <w:color w:val="000000" w:themeColor="text1"/>
        </w:rPr>
        <w:t>del mismo</w:t>
      </w:r>
      <w:proofErr w:type="gramEnd"/>
      <w:r>
        <w:rPr>
          <w:rStyle w:val="Refdenotaalpie"/>
          <w:rFonts w:ascii="Verdana" w:hAnsi="Verdana" w:cs="Arial"/>
          <w:color w:val="000000" w:themeColor="text1"/>
        </w:rPr>
        <w:footnoteReference w:id="10"/>
      </w:r>
      <w:r>
        <w:rPr>
          <w:rFonts w:ascii="Verdana" w:hAnsi="Verdana" w:cs="Arial"/>
          <w:color w:val="000000" w:themeColor="text1"/>
        </w:rPr>
        <w:t xml:space="preserve">”. </w:t>
      </w:r>
    </w:p>
    <w:p w14:paraId="74D89047" w14:textId="77777777" w:rsidR="00953C6B" w:rsidRPr="00756170" w:rsidRDefault="00953C6B" w:rsidP="00953C6B">
      <w:pPr>
        <w:spacing w:after="120" w:line="276" w:lineRule="auto"/>
        <w:ind w:firstLine="709"/>
        <w:jc w:val="both"/>
        <w:rPr>
          <w:rFonts w:ascii="Verdana" w:hAnsi="Verdana" w:cs="Arial"/>
          <w:color w:val="000000" w:themeColor="text1"/>
          <w:lang w:val="es-ES"/>
        </w:rPr>
      </w:pPr>
      <w:r>
        <w:rPr>
          <w:rFonts w:ascii="Verdana" w:hAnsi="Verdana" w:cs="Arial"/>
          <w:color w:val="000000" w:themeColor="text1"/>
        </w:rPr>
        <w:t>D</w:t>
      </w:r>
      <w:r w:rsidRPr="00652C63">
        <w:rPr>
          <w:rFonts w:ascii="Verdana" w:hAnsi="Verdana" w:cs="Arial"/>
          <w:color w:val="000000" w:themeColor="text1"/>
        </w:rPr>
        <w:t xml:space="preserve">icho carácter mixto implica que </w:t>
      </w:r>
      <w:r w:rsidRPr="00756170">
        <w:rPr>
          <w:rFonts w:ascii="Verdana" w:hAnsi="Verdana" w:cs="Arial"/>
          <w:color w:val="000000" w:themeColor="text1"/>
          <w:lang w:val="es-ES"/>
        </w:rPr>
        <w:t>una vez se celebre el contrato, el pliego de condiciones pasa hacer parte del marco jurídico de la relación contractual determinando el contenido y el alcance del negocio jurídico</w:t>
      </w:r>
      <w:r>
        <w:rPr>
          <w:rFonts w:ascii="Verdana" w:hAnsi="Verdana" w:cs="Arial"/>
          <w:color w:val="000000" w:themeColor="text1"/>
        </w:rPr>
        <w:t xml:space="preserve">. </w:t>
      </w:r>
      <w:r w:rsidRPr="00652C63">
        <w:rPr>
          <w:rFonts w:ascii="Verdana" w:hAnsi="Verdana" w:cs="Arial"/>
          <w:color w:val="000000" w:themeColor="text1"/>
        </w:rPr>
        <w:t xml:space="preserve">Por ello, resulta indiferente que las condiciones relativas a la entrega, administración y ejecución del </w:t>
      </w:r>
      <w:r>
        <w:rPr>
          <w:rFonts w:ascii="Verdana" w:hAnsi="Verdana" w:cs="Arial"/>
          <w:color w:val="000000" w:themeColor="text1"/>
        </w:rPr>
        <w:t>anticipo</w:t>
      </w:r>
      <w:r w:rsidRPr="00652C63">
        <w:rPr>
          <w:rFonts w:ascii="Verdana" w:hAnsi="Verdana" w:cs="Arial"/>
          <w:color w:val="000000" w:themeColor="text1"/>
        </w:rPr>
        <w:t xml:space="preserve"> se encuentren expresamente en el pliego</w:t>
      </w:r>
      <w:r>
        <w:rPr>
          <w:rFonts w:ascii="Verdana" w:hAnsi="Verdana" w:cs="Arial"/>
          <w:color w:val="000000" w:themeColor="text1"/>
        </w:rPr>
        <w:t xml:space="preserve"> propiamente</w:t>
      </w:r>
      <w:r w:rsidRPr="00652C63">
        <w:rPr>
          <w:rFonts w:ascii="Verdana" w:hAnsi="Verdana" w:cs="Arial"/>
          <w:color w:val="000000" w:themeColor="text1"/>
        </w:rPr>
        <w:t xml:space="preserve"> o en la minuta </w:t>
      </w:r>
      <w:r>
        <w:rPr>
          <w:rFonts w:ascii="Verdana" w:hAnsi="Verdana" w:cs="Arial"/>
          <w:color w:val="000000" w:themeColor="text1"/>
        </w:rPr>
        <w:t xml:space="preserve">del </w:t>
      </w:r>
      <w:r w:rsidRPr="00652C63">
        <w:rPr>
          <w:rFonts w:ascii="Verdana" w:hAnsi="Verdana" w:cs="Arial"/>
          <w:color w:val="000000" w:themeColor="text1"/>
        </w:rPr>
        <w:t>contrat</w:t>
      </w:r>
      <w:r>
        <w:rPr>
          <w:rFonts w:ascii="Verdana" w:hAnsi="Verdana" w:cs="Arial"/>
          <w:color w:val="000000" w:themeColor="text1"/>
        </w:rPr>
        <w:t>o</w:t>
      </w:r>
      <w:r w:rsidRPr="00652C63">
        <w:rPr>
          <w:rFonts w:ascii="Verdana" w:hAnsi="Verdana" w:cs="Arial"/>
          <w:color w:val="000000" w:themeColor="text1"/>
        </w:rPr>
        <w:t xml:space="preserve"> </w:t>
      </w:r>
      <w:r>
        <w:rPr>
          <w:rFonts w:ascii="Verdana" w:hAnsi="Verdana" w:cs="Arial"/>
          <w:color w:val="000000" w:themeColor="text1"/>
        </w:rPr>
        <w:t>que se encuentra como anexo de este</w:t>
      </w:r>
      <w:r w:rsidRPr="00652C63">
        <w:rPr>
          <w:rFonts w:ascii="Verdana" w:hAnsi="Verdana" w:cs="Arial"/>
          <w:color w:val="000000" w:themeColor="text1"/>
        </w:rPr>
        <w:t xml:space="preserve">, toda vez que ambos forman parte de un único </w:t>
      </w:r>
      <w:r>
        <w:rPr>
          <w:rFonts w:ascii="Verdana" w:hAnsi="Verdana" w:cs="Arial"/>
          <w:color w:val="000000" w:themeColor="text1"/>
        </w:rPr>
        <w:t xml:space="preserve">documento que tiene </w:t>
      </w:r>
      <w:r w:rsidRPr="00652C63">
        <w:rPr>
          <w:rFonts w:ascii="Verdana" w:hAnsi="Verdana" w:cs="Arial"/>
          <w:color w:val="000000" w:themeColor="text1"/>
        </w:rPr>
        <w:t>fuerza vinculante</w:t>
      </w:r>
      <w:r>
        <w:rPr>
          <w:rFonts w:ascii="Verdana" w:hAnsi="Verdana" w:cs="Arial"/>
          <w:color w:val="000000" w:themeColor="text1"/>
        </w:rPr>
        <w:t xml:space="preserve">. En tal sentido, lo relevante es que las condiciones sobre la administración del anticipo </w:t>
      </w:r>
      <w:r w:rsidRPr="00652C63">
        <w:rPr>
          <w:rFonts w:ascii="Verdana" w:hAnsi="Verdana" w:cs="Arial"/>
          <w:color w:val="000000" w:themeColor="text1"/>
        </w:rPr>
        <w:t xml:space="preserve">hayan sido previamente determinadas y puestas en conocimiento de los proponentes </w:t>
      </w:r>
      <w:r w:rsidRPr="00652C63">
        <w:rPr>
          <w:rFonts w:ascii="Verdana" w:hAnsi="Verdana" w:cs="Arial"/>
          <w:color w:val="000000" w:themeColor="text1"/>
        </w:rPr>
        <w:lastRenderedPageBreak/>
        <w:t>durante la etapa precontractual</w:t>
      </w:r>
      <w:r>
        <w:rPr>
          <w:rFonts w:ascii="Verdana" w:hAnsi="Verdana" w:cs="Arial"/>
          <w:color w:val="000000" w:themeColor="text1"/>
        </w:rPr>
        <w:t xml:space="preserve">, tal y como lo dispone el artículo </w:t>
      </w:r>
      <w:r w:rsidRPr="005F2061">
        <w:rPr>
          <w:rFonts w:ascii="Verdana" w:eastAsia="Calibri" w:hAnsi="Verdana" w:cs="Arial"/>
          <w:bCs/>
          <w:color w:val="000000" w:themeColor="text1"/>
          <w:lang w:val="es-ES_tradnl"/>
        </w:rPr>
        <w:t>2.2.1.1.2.4.1 del Decreto 1082 de 2015</w:t>
      </w:r>
      <w:r>
        <w:rPr>
          <w:rFonts w:ascii="Verdana" w:hAnsi="Verdana" w:cs="Arial"/>
          <w:color w:val="000000" w:themeColor="text1"/>
        </w:rPr>
        <w:t>.</w:t>
      </w:r>
    </w:p>
    <w:p w14:paraId="3323FCFD" w14:textId="77777777" w:rsidR="00953C6B" w:rsidRDefault="00953C6B" w:rsidP="00953C6B">
      <w:pPr>
        <w:spacing w:after="120" w:line="276" w:lineRule="auto"/>
        <w:ind w:firstLine="709"/>
        <w:jc w:val="both"/>
        <w:rPr>
          <w:rFonts w:ascii="Verdana" w:hAnsi="Verdana" w:cs="Arial"/>
          <w:color w:val="000000" w:themeColor="text1"/>
        </w:rPr>
      </w:pPr>
      <w:r>
        <w:rPr>
          <w:rFonts w:ascii="Verdana" w:hAnsi="Verdana" w:cs="Arial"/>
          <w:color w:val="000000" w:themeColor="text1"/>
        </w:rPr>
        <w:t xml:space="preserve">En todo caso, </w:t>
      </w:r>
      <w:r w:rsidRPr="00820BDB">
        <w:rPr>
          <w:rFonts w:ascii="Verdana" w:hAnsi="Verdana" w:cs="Arial"/>
          <w:color w:val="000000" w:themeColor="text1"/>
        </w:rPr>
        <w:t xml:space="preserve">cada entidad contratante goza de autonomía para definir la forma en que incorporará las condiciones relacionadas con el manejo del anticipo </w:t>
      </w:r>
      <w:r>
        <w:rPr>
          <w:rFonts w:ascii="Verdana" w:hAnsi="Verdana" w:cs="Arial"/>
          <w:color w:val="000000" w:themeColor="text1"/>
        </w:rPr>
        <w:t xml:space="preserve">mediante fiducia mercantil </w:t>
      </w:r>
      <w:r w:rsidRPr="00820BDB">
        <w:rPr>
          <w:rFonts w:ascii="Verdana" w:hAnsi="Verdana" w:cs="Arial"/>
          <w:color w:val="000000" w:themeColor="text1"/>
        </w:rPr>
        <w:t>dentro del proceso de selección. En ejercicio de dicha facultad, puede optar por incluir dichas disposiciones directamente en el cuerpo principal del pliego de condiciones o</w:t>
      </w:r>
      <w:r>
        <w:rPr>
          <w:rFonts w:ascii="Verdana" w:hAnsi="Verdana" w:cs="Arial"/>
          <w:color w:val="000000" w:themeColor="text1"/>
        </w:rPr>
        <w:t xml:space="preserve"> </w:t>
      </w:r>
      <w:r w:rsidRPr="00820BDB">
        <w:rPr>
          <w:rFonts w:ascii="Verdana" w:hAnsi="Verdana" w:cs="Arial"/>
          <w:color w:val="000000" w:themeColor="text1"/>
        </w:rPr>
        <w:t>consignarlas en la minuta del contrato que hace parte integral del mismo.</w:t>
      </w:r>
      <w:r>
        <w:rPr>
          <w:rFonts w:ascii="Verdana" w:hAnsi="Verdana" w:cs="Arial"/>
          <w:color w:val="000000" w:themeColor="text1"/>
        </w:rPr>
        <w:t xml:space="preserve"> </w:t>
      </w:r>
      <w:r w:rsidRPr="00820BDB">
        <w:rPr>
          <w:rFonts w:ascii="Verdana" w:hAnsi="Verdana" w:cs="Arial"/>
          <w:color w:val="000000" w:themeColor="text1"/>
        </w:rPr>
        <w:t>Lo anterior no implica que deban replicarse en ambos documentos, pues tanto el pliego de condiciones como sus anexos, incluida la minuta contractual, tienen fuerza vinculante y obligatoria para todos los intervinientes en el proceso.</w:t>
      </w:r>
    </w:p>
    <w:p w14:paraId="06AD3FDE" w14:textId="77777777" w:rsidR="00953C6B" w:rsidRPr="001910D1" w:rsidRDefault="00953C6B" w:rsidP="00953C6B">
      <w:pPr>
        <w:spacing w:after="120" w:line="276" w:lineRule="auto"/>
        <w:ind w:firstLine="709"/>
        <w:jc w:val="both"/>
        <w:rPr>
          <w:rFonts w:ascii="Verdana" w:hAnsi="Verdana" w:cs="Arial"/>
          <w:color w:val="000000" w:themeColor="text1"/>
        </w:rPr>
      </w:pPr>
      <w:r>
        <w:rPr>
          <w:rFonts w:ascii="Verdana" w:eastAsia="Calibri" w:hAnsi="Verdana" w:cs="Arial"/>
          <w:color w:val="000000" w:themeColor="text1"/>
          <w:lang w:val="es-ES"/>
        </w:rPr>
        <w:t>En este contexto, la constitución de la fiducia</w:t>
      </w:r>
      <w:r w:rsidRPr="0A0BB7DD">
        <w:rPr>
          <w:rFonts w:ascii="Verdana" w:eastAsia="Calibri" w:hAnsi="Verdana" w:cs="Arial"/>
          <w:color w:val="000000" w:themeColor="text1"/>
          <w:lang w:val="es-ES"/>
        </w:rPr>
        <w:t xml:space="preserve"> surge como una medida para fortalecer los mecanismos de prevención, investigación y sanción de actos de corrupción y la efectividad del control de la gestión pública, en atención a la problemática identificada sobre el incumplimiento de los contratistas de destinar los anticipos en la ejecución del contrato</w:t>
      </w:r>
      <w:r w:rsidRPr="0A0BB7DD">
        <w:rPr>
          <w:rStyle w:val="Refdenotaalpie"/>
          <w:rFonts w:ascii="Verdana" w:eastAsia="Calibri" w:hAnsi="Verdana" w:cs="Arial"/>
          <w:color w:val="000000" w:themeColor="text1"/>
          <w:lang w:val="es-ES"/>
        </w:rPr>
        <w:footnoteReference w:id="11"/>
      </w:r>
      <w:r w:rsidRPr="0A0BB7DD">
        <w:rPr>
          <w:rFonts w:ascii="Verdana" w:eastAsia="Calibri" w:hAnsi="Verdana" w:cs="Arial"/>
          <w:color w:val="000000" w:themeColor="text1"/>
          <w:lang w:val="es-ES"/>
        </w:rPr>
        <w:t xml:space="preserve">. De esta manera, mediante estas disposiciones se busca realizar un seguimiento a la entrega de recursos que se otorgan en calidad de anticipo, a través de la constitución de una fiducia irrevocable. Esto con la finalidad de garantizar la adecuada inversión y administración de los recursos, así como su reintegro a la entidad estatal. </w:t>
      </w:r>
    </w:p>
    <w:p w14:paraId="3F77E5D7" w14:textId="77777777" w:rsidR="00953C6B" w:rsidRPr="005F2061" w:rsidRDefault="00953C6B" w:rsidP="0023727A">
      <w:pPr>
        <w:spacing w:after="120" w:line="276" w:lineRule="auto"/>
        <w:ind w:firstLine="709"/>
        <w:jc w:val="both"/>
        <w:rPr>
          <w:rFonts w:ascii="Verdana" w:eastAsia="Calibri" w:hAnsi="Verdana" w:cs="Arial"/>
          <w:color w:val="000000" w:themeColor="text1"/>
          <w:lang w:val="es-ES"/>
        </w:rPr>
      </w:pPr>
      <w:r w:rsidRPr="005F2061">
        <w:rPr>
          <w:rFonts w:ascii="Verdana" w:eastAsia="Calibri" w:hAnsi="Verdana" w:cs="Arial"/>
          <w:bCs/>
          <w:color w:val="000000" w:themeColor="text1"/>
          <w:lang w:val="es-ES_tradnl"/>
        </w:rPr>
        <w:t>Sobre el particular, la Agencia Nacional de Contratación Pública</w:t>
      </w:r>
      <w:r>
        <w:rPr>
          <w:rFonts w:ascii="Verdana" w:eastAsia="Calibri" w:hAnsi="Verdana" w:cs="Arial"/>
          <w:bCs/>
          <w:color w:val="000000" w:themeColor="text1"/>
          <w:lang w:val="es-ES_tradnl"/>
        </w:rPr>
        <w:t xml:space="preserve"> </w:t>
      </w:r>
      <w:r w:rsidRPr="005F2061">
        <w:rPr>
          <w:rFonts w:ascii="Verdana" w:eastAsia="Calibri" w:hAnsi="Verdana" w:cs="Arial"/>
          <w:bCs/>
          <w:color w:val="000000" w:themeColor="text1"/>
          <w:lang w:val="es-ES_tradnl"/>
        </w:rPr>
        <w:t>–</w:t>
      </w:r>
      <w:r>
        <w:rPr>
          <w:rFonts w:ascii="Verdana" w:eastAsia="Calibri" w:hAnsi="Verdana" w:cs="Arial"/>
          <w:bCs/>
          <w:color w:val="000000" w:themeColor="text1"/>
          <w:lang w:val="es-ES_tradnl"/>
        </w:rPr>
        <w:t xml:space="preserve"> </w:t>
      </w:r>
      <w:r w:rsidRPr="005F2061">
        <w:rPr>
          <w:rFonts w:ascii="Verdana" w:eastAsia="Calibri" w:hAnsi="Verdana" w:cs="Arial"/>
          <w:bCs/>
          <w:color w:val="000000" w:themeColor="text1"/>
          <w:lang w:val="es-ES_tradnl"/>
        </w:rPr>
        <w:t xml:space="preserve">Colombia Compra Eficiente expidió la </w:t>
      </w:r>
      <w:r>
        <w:rPr>
          <w:rFonts w:ascii="Verdana" w:eastAsia="Calibri" w:hAnsi="Verdana" w:cs="Arial"/>
          <w:color w:val="000000" w:themeColor="text1"/>
          <w:lang w:val="es-ES"/>
        </w:rPr>
        <w:t>“</w:t>
      </w:r>
      <w:r w:rsidRPr="005F2061">
        <w:rPr>
          <w:rFonts w:ascii="Verdana" w:eastAsia="Calibri" w:hAnsi="Verdana" w:cs="Arial"/>
          <w:bCs/>
          <w:color w:val="000000" w:themeColor="text1"/>
          <w:lang w:val="es-ES_tradnl"/>
        </w:rPr>
        <w:t>Guía para el manejo de anticipos mediante contrato de fiducia irrevocable</w:t>
      </w:r>
      <w:r>
        <w:rPr>
          <w:rFonts w:ascii="Verdana" w:eastAsia="Calibri" w:hAnsi="Verdana" w:cs="Arial"/>
          <w:color w:val="000000" w:themeColor="text1"/>
          <w:lang w:val="es-ES"/>
        </w:rPr>
        <w:t>”</w:t>
      </w:r>
      <w:r w:rsidRPr="005F2061">
        <w:rPr>
          <w:rStyle w:val="Refdenotaalpie"/>
          <w:rFonts w:ascii="Verdana" w:eastAsia="Calibri" w:hAnsi="Verdana" w:cs="Arial"/>
          <w:color w:val="000000" w:themeColor="text1"/>
          <w:lang w:val="es-ES"/>
        </w:rPr>
        <w:footnoteReference w:id="12"/>
      </w:r>
      <w:r w:rsidRPr="005F2061">
        <w:rPr>
          <w:rFonts w:ascii="Verdana" w:eastAsia="Calibri" w:hAnsi="Verdana" w:cs="Arial"/>
          <w:bCs/>
          <w:color w:val="000000" w:themeColor="text1"/>
          <w:lang w:val="es-ES_tradnl"/>
        </w:rPr>
        <w:t xml:space="preserve">. En esta se explica que </w:t>
      </w:r>
      <w:r>
        <w:rPr>
          <w:rFonts w:ascii="Verdana" w:eastAsia="Calibri" w:hAnsi="Verdana" w:cs="Arial"/>
          <w:color w:val="000000" w:themeColor="text1"/>
          <w:lang w:val="es-ES"/>
        </w:rPr>
        <w:t>“</w:t>
      </w:r>
      <w:r w:rsidRPr="005F2061">
        <w:rPr>
          <w:rFonts w:ascii="Verdana" w:eastAsia="Calibri" w:hAnsi="Verdana" w:cs="Arial"/>
          <w:color w:val="000000" w:themeColor="text1"/>
          <w:lang w:val="es-ES"/>
        </w:rPr>
        <w:t xml:space="preserve">[…] </w:t>
      </w:r>
      <w:r w:rsidRPr="005F2061">
        <w:rPr>
          <w:rFonts w:ascii="Verdana" w:eastAsia="Calibri" w:hAnsi="Verdana" w:cs="Arial"/>
          <w:bCs/>
          <w:color w:val="000000" w:themeColor="text1"/>
          <w:lang w:val="es-ES"/>
        </w:rPr>
        <w:t>e</w:t>
      </w:r>
      <w:r w:rsidRPr="005F2061">
        <w:rPr>
          <w:rFonts w:ascii="Verdana" w:eastAsia="Calibri" w:hAnsi="Verdana" w:cs="Arial"/>
          <w:bCs/>
          <w:color w:val="000000" w:themeColor="text1"/>
        </w:rPr>
        <w:t>l patrimonio autónomo para manejo de anticipos tiene como finalidad: (i) la correcta y adecuada inversión y administración del anticipo y, (</w:t>
      </w:r>
      <w:proofErr w:type="spellStart"/>
      <w:r w:rsidRPr="005F2061">
        <w:rPr>
          <w:rFonts w:ascii="Verdana" w:eastAsia="Calibri" w:hAnsi="Verdana" w:cs="Arial"/>
          <w:bCs/>
          <w:color w:val="000000" w:themeColor="text1"/>
        </w:rPr>
        <w:t>ii</w:t>
      </w:r>
      <w:proofErr w:type="spellEnd"/>
      <w:r w:rsidRPr="005F2061">
        <w:rPr>
          <w:rFonts w:ascii="Verdana" w:eastAsia="Calibri" w:hAnsi="Verdana" w:cs="Arial"/>
          <w:bCs/>
          <w:color w:val="000000" w:themeColor="text1"/>
        </w:rPr>
        <w:t>) el reintegro de los recursos del anticipo a la Entidad Estatal cuando declara la caducidad, incumplimiento o terminación del contrato estatal o cuando se presenta la nulidad del contrato estatal</w:t>
      </w:r>
      <w:r>
        <w:rPr>
          <w:rFonts w:ascii="Verdana" w:eastAsia="Calibri" w:hAnsi="Verdana" w:cs="Arial"/>
          <w:color w:val="000000" w:themeColor="text1"/>
          <w:lang w:val="es-ES"/>
        </w:rPr>
        <w:t>”</w:t>
      </w:r>
      <w:r w:rsidRPr="005F2061">
        <w:rPr>
          <w:rFonts w:ascii="Verdana" w:eastAsia="Calibri" w:hAnsi="Verdana" w:cs="Arial"/>
          <w:color w:val="000000" w:themeColor="text1"/>
          <w:lang w:val="es-ES"/>
        </w:rPr>
        <w:t xml:space="preserve">. Además, indica que, en los contratos de obra, concesión, salud y los que se realicen por licitación pública, siempre que no sean de menor o mínima cuantía, el contratista debe constituir un contrato de fiducia mercantil irrevocable para el manejo de los recursos que recibe a título de </w:t>
      </w:r>
      <w:r w:rsidRPr="005F2061">
        <w:rPr>
          <w:rFonts w:ascii="Verdana" w:eastAsia="Calibri" w:hAnsi="Verdana" w:cs="Arial"/>
          <w:color w:val="000000" w:themeColor="text1"/>
          <w:lang w:val="es-ES"/>
        </w:rPr>
        <w:lastRenderedPageBreak/>
        <w:t xml:space="preserve">anticipo. Igualmente, expone las condiciones para administrar los recursos del patrimonio autónomo, las obligaciones principales de la fiduciaria, el manejo de los excedentes, entre otros. </w:t>
      </w:r>
    </w:p>
    <w:p w14:paraId="75B939CD" w14:textId="77777777" w:rsidR="00953C6B" w:rsidRPr="005F2061" w:rsidRDefault="00953C6B" w:rsidP="0023727A">
      <w:pPr>
        <w:spacing w:after="120" w:line="276" w:lineRule="auto"/>
        <w:ind w:firstLine="709"/>
        <w:jc w:val="both"/>
        <w:rPr>
          <w:rFonts w:ascii="Verdana" w:eastAsia="Calibri" w:hAnsi="Verdana" w:cs="Arial"/>
          <w:lang w:val="es-MX"/>
        </w:rPr>
      </w:pPr>
      <w:r w:rsidRPr="005F2061">
        <w:rPr>
          <w:rFonts w:ascii="Verdana" w:eastAsia="Calibri" w:hAnsi="Verdana" w:cs="Arial"/>
          <w:bCs/>
          <w:color w:val="000000" w:themeColor="text1"/>
          <w:lang w:val="es-ES_tradnl"/>
        </w:rPr>
        <w:t xml:space="preserve">Es evidente entonces que para ciertos tipos de contratos la </w:t>
      </w:r>
      <w:r>
        <w:rPr>
          <w:rFonts w:ascii="Verdana" w:eastAsia="Calibri" w:hAnsi="Verdana" w:cs="Arial"/>
          <w:bCs/>
          <w:color w:val="000000" w:themeColor="text1"/>
          <w:lang w:val="es-ES_tradnl"/>
        </w:rPr>
        <w:t>l</w:t>
      </w:r>
      <w:r w:rsidRPr="005F2061">
        <w:rPr>
          <w:rFonts w:ascii="Verdana" w:eastAsia="Calibri" w:hAnsi="Verdana" w:cs="Arial"/>
          <w:bCs/>
          <w:color w:val="000000" w:themeColor="text1"/>
          <w:lang w:val="es-ES_tradnl"/>
        </w:rPr>
        <w:t xml:space="preserve">ey ha impuesto la obligación al contratista de constituir una fiducia o patrimonio autónomo irrevocable. Esta obligación tiene el propósito de asegurar el buen manejo de los recursos que se entreguen a título de anticipo, así como garantizar que estos sean destinados única y exclusivamente para </w:t>
      </w:r>
      <w:r w:rsidRPr="005F2061">
        <w:rPr>
          <w:rFonts w:ascii="Verdana" w:eastAsia="Calibri" w:hAnsi="Verdana" w:cs="Arial"/>
        </w:rPr>
        <w:t>solventar los costos iniciales de la ejecución, de acuerdo con las condiciones pactadas</w:t>
      </w:r>
      <w:r>
        <w:rPr>
          <w:rFonts w:ascii="Verdana" w:eastAsia="Calibri" w:hAnsi="Verdana" w:cs="Arial"/>
        </w:rPr>
        <w:t xml:space="preserve">, las cuales deben incorporase previamente en el pliego de condiciones y pasan a hacer parte del contrato. </w:t>
      </w:r>
    </w:p>
    <w:p w14:paraId="5DEB5F5D" w14:textId="77777777" w:rsidR="00953C6B" w:rsidRDefault="00953C6B" w:rsidP="0023727A">
      <w:pPr>
        <w:spacing w:after="120" w:line="276" w:lineRule="auto"/>
        <w:ind w:firstLine="709"/>
        <w:jc w:val="both"/>
        <w:rPr>
          <w:rFonts w:ascii="Verdana" w:eastAsia="Calibri" w:hAnsi="Verdana" w:cs="Arial"/>
          <w:lang w:val="es-ES_tradnl"/>
        </w:rPr>
      </w:pPr>
      <w:r>
        <w:rPr>
          <w:rFonts w:ascii="Verdana" w:eastAsia="Calibri" w:hAnsi="Verdana" w:cs="Arial"/>
        </w:rPr>
        <w:t xml:space="preserve">En este punto, vale la pena aclarar que </w:t>
      </w:r>
      <w:r w:rsidRPr="00AB0AA0">
        <w:rPr>
          <w:rFonts w:ascii="Verdana" w:eastAsia="Calibri" w:hAnsi="Verdana" w:cs="Arial"/>
          <w:lang w:val="es-ES_tradnl"/>
        </w:rPr>
        <w:t>el contrato de fiducia mercantil es diferente del contrato de fiducia pública, regulado en el numeral 5º del artículo 32 de la Ley 80 de 1993, pues este último nunca implicará transferencia de dominio sobre bienes o recursos estatales, ni constituirá patrimonio autónomo del propio de la respectiva entidad estatal. En este contexto, la constitución de patrimonios autónomos por parte de entidades estatales solamente puede darse en virtud de una autorización legal. Respecto de la fiducia pública y el encargo fiduciario, el Consejo de Estado ha precisado que el primero constituye un contrato nuevo y autónomo y el segundo se autoriza solamente para administrar o manejar los recursos vinculados a contratos que las entidades estatales celebren lo cual se encuentra en consonancia con la disposición según la cual los pagos correspondientes a los contratos celebrados por las entidades para la prestación de los servicios de salud, se pueden hacer mediante encargos fiduciarios y con aquella que establece que los fondos destinados a la cancelación de obligaciones derivadas de contratos estatales pueden ser entregados en administración fiduciaria</w:t>
      </w:r>
      <w:r w:rsidRPr="00AB0AA0">
        <w:rPr>
          <w:rFonts w:ascii="Verdana" w:eastAsia="Calibri" w:hAnsi="Verdana" w:cs="Arial"/>
          <w:vertAlign w:val="superscript"/>
          <w:lang w:val="es-ES_tradnl"/>
        </w:rPr>
        <w:footnoteReference w:id="13"/>
      </w:r>
      <w:r w:rsidRPr="00AB0AA0">
        <w:rPr>
          <w:rFonts w:ascii="Verdana" w:eastAsia="Calibri" w:hAnsi="Verdana" w:cs="Arial"/>
          <w:lang w:val="es-ES_tradnl"/>
        </w:rPr>
        <w:t>.</w:t>
      </w:r>
    </w:p>
    <w:p w14:paraId="29B65039" w14:textId="77777777" w:rsidR="00953C6B" w:rsidRDefault="00953C6B" w:rsidP="0023727A">
      <w:pPr>
        <w:spacing w:after="120" w:line="276" w:lineRule="auto"/>
        <w:ind w:firstLine="709"/>
        <w:jc w:val="both"/>
        <w:rPr>
          <w:rFonts w:ascii="Verdana" w:eastAsia="Calibri" w:hAnsi="Verdana" w:cs="Arial"/>
          <w:bCs/>
          <w:color w:val="000000" w:themeColor="text1"/>
        </w:rPr>
      </w:pPr>
      <w:r>
        <w:rPr>
          <w:rFonts w:ascii="Verdana" w:eastAsia="Calibri" w:hAnsi="Verdana" w:cs="Arial"/>
          <w:lang w:val="es-ES_tradnl"/>
        </w:rPr>
        <w:t xml:space="preserve">Esta aclaración es relevante puesto que, como lo establece la </w:t>
      </w:r>
      <w:r w:rsidRPr="005F2061">
        <w:rPr>
          <w:rFonts w:ascii="Verdana" w:eastAsia="Calibri" w:hAnsi="Verdana" w:cs="Arial"/>
          <w:bCs/>
          <w:color w:val="000000" w:themeColor="text1"/>
          <w:lang w:val="es-ES_tradnl"/>
        </w:rPr>
        <w:t>Guía para el manejo de anticipos mediante contrato de fiducia irrevocable</w:t>
      </w:r>
      <w:r>
        <w:rPr>
          <w:rFonts w:ascii="Verdana" w:eastAsia="Calibri" w:hAnsi="Verdana" w:cs="Arial"/>
          <w:bCs/>
          <w:color w:val="000000" w:themeColor="text1"/>
          <w:lang w:val="es-ES_tradnl"/>
        </w:rPr>
        <w:t>, “</w:t>
      </w:r>
      <w:r>
        <w:rPr>
          <w:rFonts w:ascii="Verdana" w:eastAsia="Calibri" w:hAnsi="Verdana" w:cs="Arial"/>
          <w:bCs/>
          <w:color w:val="000000" w:themeColor="text1"/>
        </w:rPr>
        <w:t>n</w:t>
      </w:r>
      <w:r w:rsidRPr="00573699">
        <w:rPr>
          <w:rFonts w:ascii="Verdana" w:eastAsia="Calibri" w:hAnsi="Verdana" w:cs="Arial"/>
          <w:bCs/>
          <w:color w:val="000000" w:themeColor="text1"/>
        </w:rPr>
        <w:t>o son admisibles otro tipo de negocios fiduciarios como los encargos fiduciarios, la fiducia pública o fiducia mercantil de garantía, los cuales no corresponden a la finalidad prevista por la ley para el manejo de anticipo</w:t>
      </w:r>
      <w:r>
        <w:rPr>
          <w:rFonts w:ascii="Verdana" w:eastAsia="Calibri" w:hAnsi="Verdana" w:cs="Arial"/>
          <w:bCs/>
          <w:color w:val="000000" w:themeColor="text1"/>
        </w:rPr>
        <w:t>”.</w:t>
      </w:r>
      <w:r w:rsidRPr="00467FE8">
        <w:rPr>
          <w:rFonts w:ascii="Century Gothic" w:eastAsia="MS Mincho" w:hAnsi="Century Gothic" w:cs="Arial"/>
          <w:lang w:val="es-ES_tradnl" w:eastAsia="es-CO"/>
        </w:rPr>
        <w:t xml:space="preserve"> </w:t>
      </w:r>
      <w:r w:rsidRPr="00467FE8">
        <w:rPr>
          <w:rFonts w:ascii="Verdana" w:eastAsia="Calibri" w:hAnsi="Verdana" w:cs="Arial"/>
          <w:bCs/>
          <w:color w:val="000000" w:themeColor="text1"/>
          <w:lang w:val="es-ES_tradnl"/>
        </w:rPr>
        <w:t xml:space="preserve">En consecuencia, para la Agencia, el manejo de los recursos girados por concepto de anticipo sólo puede ser administrado a través de una fiducia mercantil irrevocable. Al respecto, la </w:t>
      </w:r>
      <w:r w:rsidRPr="00467FE8">
        <w:rPr>
          <w:rFonts w:ascii="Verdana" w:eastAsia="Calibri" w:hAnsi="Verdana" w:cs="Arial"/>
          <w:bCs/>
          <w:color w:val="000000" w:themeColor="text1"/>
          <w:lang w:val="es-ES_tradnl"/>
        </w:rPr>
        <w:lastRenderedPageBreak/>
        <w:t xml:space="preserve">entidad estructuró un documento de modelo de contrato de fiducia mercantil irrevocable para el manejo de anticipos disponible en el siguiente enlace: </w:t>
      </w:r>
      <w:hyperlink r:id="rId13" w:history="1">
        <w:r w:rsidRPr="00467FE8">
          <w:rPr>
            <w:rStyle w:val="Hipervnculo"/>
            <w:rFonts w:ascii="Verdana" w:eastAsia="Calibri" w:hAnsi="Verdana" w:cs="Arial"/>
            <w:bCs/>
            <w:lang w:val="es-ES_tradnl"/>
          </w:rPr>
          <w:t>https://colombiacompra.gov.co/sites/cce_public/files/cce_documents/20151115_contrato_de_fiducia_para_el_manejo_de_anticipos_v2_0.pdf</w:t>
        </w:r>
      </w:hyperlink>
    </w:p>
    <w:p w14:paraId="52306197" w14:textId="77777777" w:rsidR="00953C6B" w:rsidRPr="00467FE8" w:rsidRDefault="00953C6B" w:rsidP="0023727A">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xml:space="preserve">. Para efectos de dar respuesta al segundo problema jurídico planteado, es pertinente señalar que </w:t>
      </w:r>
      <w:r>
        <w:rPr>
          <w:rFonts w:ascii="Verdana" w:eastAsia="Calibri" w:hAnsi="Verdana" w:cs="Arial"/>
        </w:rPr>
        <w:t>d</w:t>
      </w:r>
      <w:r w:rsidRPr="00573699">
        <w:rPr>
          <w:rFonts w:ascii="Verdana" w:eastAsia="Calibri" w:hAnsi="Verdana" w:cs="Arial"/>
        </w:rPr>
        <w:t>e acuerdo con el artículo 91 de la Ley 1474 de 2011, los recursos del anticipo se deben aplicar exclusivamente a la ejecución del contrato estatal. Por lo anterior, el costo de la comisión fiduciaria debe ser cubierto directamente por el contratista sin afectar los recursos del anticipo. Otros gastos y cargos como el del gravamen a los movimientos financieros o las comisiones por pagos que cobra la fiduciaria también deben ser cubiertos directamente por el contratista para que el valor del anticipo no resulte afectado, por lo cual</w:t>
      </w:r>
      <w:r>
        <w:rPr>
          <w:rFonts w:ascii="Verdana" w:eastAsia="Calibri" w:hAnsi="Verdana" w:cs="Arial"/>
        </w:rPr>
        <w:t xml:space="preserve"> en la Guía se</w:t>
      </w:r>
      <w:r w:rsidRPr="00573699">
        <w:rPr>
          <w:rFonts w:ascii="Verdana" w:eastAsia="Calibri" w:hAnsi="Verdana" w:cs="Arial"/>
        </w:rPr>
        <w:t xml:space="preserve"> recomienda que tales sumas se aporten por el contratista desde la constitución del patrimonio autónomo</w:t>
      </w:r>
      <w:r>
        <w:rPr>
          <w:rFonts w:ascii="Verdana" w:eastAsia="Calibri" w:hAnsi="Verdana" w:cs="Arial"/>
        </w:rPr>
        <w:t>.</w:t>
      </w:r>
    </w:p>
    <w:p w14:paraId="251CB141" w14:textId="77777777" w:rsidR="00953C6B" w:rsidRPr="00AB0AA0" w:rsidRDefault="00953C6B" w:rsidP="0023727A">
      <w:pPr>
        <w:spacing w:after="120" w:line="276" w:lineRule="auto"/>
        <w:ind w:firstLine="709"/>
        <w:jc w:val="both"/>
        <w:rPr>
          <w:rFonts w:ascii="Verdana" w:eastAsia="Calibri" w:hAnsi="Verdana" w:cs="Arial"/>
          <w:lang w:val="es-ES_tradnl"/>
        </w:rPr>
      </w:pPr>
      <w:r>
        <w:rPr>
          <w:rFonts w:ascii="Verdana" w:eastAsia="Calibri" w:hAnsi="Verdana" w:cs="Arial"/>
        </w:rPr>
        <w:t>En relación con l</w:t>
      </w:r>
      <w:r w:rsidRPr="00573699">
        <w:rPr>
          <w:rFonts w:ascii="Verdana" w:eastAsia="Calibri" w:hAnsi="Verdana" w:cs="Arial"/>
        </w:rPr>
        <w:t>os recursos excedentes que quedan en el patrimonio autónomo cuando se cumple su finalidad y cuando la fiduciaria verifica el cumplimiento de todos los pagos previstos en el plan de utilización o de inversión del anticipo</w:t>
      </w:r>
      <w:r>
        <w:rPr>
          <w:rFonts w:ascii="Verdana" w:eastAsia="Calibri" w:hAnsi="Verdana" w:cs="Arial"/>
        </w:rPr>
        <w:t>, la Guía señala que e</w:t>
      </w:r>
      <w:r w:rsidRPr="00573699">
        <w:rPr>
          <w:rFonts w:ascii="Verdana" w:eastAsia="Calibri" w:hAnsi="Verdana" w:cs="Arial"/>
        </w:rPr>
        <w:t>stos excedentes pueden ser entregados al fideicomitente cuando se liquida el patrimonio autónomo</w:t>
      </w:r>
      <w:r>
        <w:rPr>
          <w:rFonts w:ascii="Verdana" w:eastAsia="Calibri" w:hAnsi="Verdana" w:cs="Arial"/>
        </w:rPr>
        <w:t xml:space="preserve"> y recomienda </w:t>
      </w:r>
      <w:r w:rsidRPr="00573699">
        <w:rPr>
          <w:rFonts w:ascii="Verdana" w:eastAsia="Calibri" w:hAnsi="Verdana" w:cs="Arial"/>
        </w:rPr>
        <w:t xml:space="preserve">a las </w:t>
      </w:r>
      <w:r>
        <w:rPr>
          <w:rFonts w:ascii="Verdana" w:eastAsia="Calibri" w:hAnsi="Verdana" w:cs="Arial"/>
        </w:rPr>
        <w:t>e</w:t>
      </w:r>
      <w:r w:rsidRPr="00573699">
        <w:rPr>
          <w:rFonts w:ascii="Verdana" w:eastAsia="Calibri" w:hAnsi="Verdana" w:cs="Arial"/>
        </w:rPr>
        <w:t xml:space="preserve">ntidades </w:t>
      </w:r>
      <w:r>
        <w:rPr>
          <w:rFonts w:ascii="Verdana" w:eastAsia="Calibri" w:hAnsi="Verdana" w:cs="Arial"/>
        </w:rPr>
        <w:t>es</w:t>
      </w:r>
      <w:r w:rsidRPr="00573699">
        <w:rPr>
          <w:rFonts w:ascii="Verdana" w:eastAsia="Calibri" w:hAnsi="Verdana" w:cs="Arial"/>
        </w:rPr>
        <w:t>tatales incluir en los pliegos de condiciones y en los contratos de fiducia que dicha entrega se pacta como un abono que realiza la Entidad Estatal de los pagos pendientes al contratista</w:t>
      </w:r>
      <w:r>
        <w:rPr>
          <w:rFonts w:ascii="Verdana" w:eastAsia="Calibri" w:hAnsi="Verdana" w:cs="Arial"/>
        </w:rPr>
        <w:t xml:space="preserve">. </w:t>
      </w:r>
    </w:p>
    <w:p w14:paraId="58C8C475" w14:textId="77777777" w:rsidR="00953C6B" w:rsidRDefault="00953C6B" w:rsidP="0023727A">
      <w:pPr>
        <w:spacing w:after="120" w:line="276" w:lineRule="auto"/>
        <w:ind w:firstLine="709"/>
        <w:jc w:val="both"/>
        <w:rPr>
          <w:rFonts w:ascii="Verdana" w:eastAsia="Calibri" w:hAnsi="Verdana" w:cs="Arial"/>
        </w:rPr>
      </w:pPr>
      <w:r>
        <w:rPr>
          <w:rFonts w:ascii="Verdana" w:eastAsia="Calibri" w:hAnsi="Verdana" w:cs="Arial"/>
        </w:rPr>
        <w:t>Ahora bien, específicamente sobre los costos de la comisión fiduciaria asumidos por el contratista, debe precisarse que</w:t>
      </w:r>
      <w:r w:rsidRPr="003A4300">
        <w:rPr>
          <w:rFonts w:ascii="Verdana" w:eastAsia="Calibri" w:hAnsi="Verdana" w:cs="Arial"/>
        </w:rPr>
        <w:t xml:space="preserve">, al tratarse de </w:t>
      </w:r>
      <w:r>
        <w:rPr>
          <w:rFonts w:ascii="Verdana" w:eastAsia="Calibri" w:hAnsi="Verdana" w:cs="Arial"/>
        </w:rPr>
        <w:t>la remuneración a la</w:t>
      </w:r>
      <w:r w:rsidRPr="003A4300">
        <w:rPr>
          <w:rFonts w:ascii="Verdana" w:eastAsia="Calibri" w:hAnsi="Verdana" w:cs="Arial"/>
        </w:rPr>
        <w:t xml:space="preserve"> sociedad fiduciaria con ocasión del manejo y administración de los recursos entregados en calidad de anticipo, estos pueden ser clasificados como costos indirectos dentro de la estructura del precio del contrato. Lo anterior, en la medida en que dichos costos no corresponden a actividades directamente relacionadas con la ejecución del objeto contractual, sino a obligaciones </w:t>
      </w:r>
      <w:r>
        <w:rPr>
          <w:rFonts w:ascii="Verdana" w:eastAsia="Calibri" w:hAnsi="Verdana" w:cs="Arial"/>
        </w:rPr>
        <w:t xml:space="preserve">que debe asumir el contratista relacionadas con </w:t>
      </w:r>
      <w:r w:rsidRPr="003A4300">
        <w:rPr>
          <w:rFonts w:ascii="Verdana" w:eastAsia="Calibri" w:hAnsi="Verdana" w:cs="Arial"/>
        </w:rPr>
        <w:t xml:space="preserve">la adecuada gestión financiera </w:t>
      </w:r>
      <w:r>
        <w:rPr>
          <w:rFonts w:ascii="Verdana" w:eastAsia="Calibri" w:hAnsi="Verdana" w:cs="Arial"/>
        </w:rPr>
        <w:t xml:space="preserve">y administrativa </w:t>
      </w:r>
      <w:r w:rsidRPr="003A4300">
        <w:rPr>
          <w:rFonts w:ascii="Verdana" w:eastAsia="Calibri" w:hAnsi="Verdana" w:cs="Arial"/>
        </w:rPr>
        <w:t>del anticipo.</w:t>
      </w:r>
      <w:r>
        <w:rPr>
          <w:rFonts w:ascii="Verdana" w:eastAsia="Calibri" w:hAnsi="Verdana" w:cs="Arial"/>
        </w:rPr>
        <w:t xml:space="preserve"> </w:t>
      </w:r>
    </w:p>
    <w:p w14:paraId="29259F09" w14:textId="77777777" w:rsidR="00953C6B" w:rsidRPr="007A0B62" w:rsidRDefault="00953C6B" w:rsidP="0023727A">
      <w:pPr>
        <w:spacing w:after="120" w:line="276" w:lineRule="auto"/>
        <w:ind w:firstLine="709"/>
        <w:jc w:val="both"/>
        <w:rPr>
          <w:rFonts w:ascii="Verdana" w:eastAsia="Calibri" w:hAnsi="Verdana" w:cs="Arial"/>
        </w:rPr>
      </w:pPr>
      <w:r>
        <w:rPr>
          <w:rFonts w:ascii="Verdana" w:eastAsia="Calibri" w:hAnsi="Verdana" w:cs="Arial"/>
        </w:rPr>
        <w:t xml:space="preserve">En efecto, </w:t>
      </w:r>
      <w:r w:rsidRPr="0068390B">
        <w:rPr>
          <w:rFonts w:ascii="Verdana" w:hAnsi="Verdana" w:cs="Arial"/>
          <w:lang w:val="es-ES" w:eastAsia="es-ES"/>
        </w:rPr>
        <w:t xml:space="preserve">en los contratos cuyo precio se estructura a partir del sistema de precios unitarios, ha hecho parte de la práctica de los negocios que el contratante le solicite al potencial contratista que separe en su propuesta los </w:t>
      </w:r>
      <w:r w:rsidRPr="0068390B">
        <w:rPr>
          <w:rFonts w:ascii="Verdana" w:hAnsi="Verdana" w:cs="Arial"/>
          <w:i/>
          <w:iCs/>
          <w:lang w:val="es-ES" w:eastAsia="es-ES"/>
        </w:rPr>
        <w:t>costos directos</w:t>
      </w:r>
      <w:r w:rsidRPr="0068390B">
        <w:rPr>
          <w:rFonts w:ascii="Verdana" w:hAnsi="Verdana" w:cs="Arial"/>
          <w:lang w:val="es-ES" w:eastAsia="es-ES"/>
        </w:rPr>
        <w:t xml:space="preserve"> –es decir, los que están directamente implicados en la ejecución del objeto–, de los </w:t>
      </w:r>
      <w:r w:rsidRPr="0068390B">
        <w:rPr>
          <w:rFonts w:ascii="Verdana" w:hAnsi="Verdana" w:cs="Arial"/>
          <w:i/>
          <w:iCs/>
          <w:lang w:val="es-ES" w:eastAsia="es-ES"/>
        </w:rPr>
        <w:t>costos indirectos</w:t>
      </w:r>
      <w:r w:rsidRPr="0068390B">
        <w:rPr>
          <w:rFonts w:ascii="Verdana" w:hAnsi="Verdana" w:cs="Arial"/>
          <w:lang w:val="es-ES" w:eastAsia="es-ES"/>
        </w:rPr>
        <w:t xml:space="preserve"> –que equivalen a los rubros que no tienen </w:t>
      </w:r>
      <w:r w:rsidRPr="0068390B">
        <w:rPr>
          <w:rFonts w:ascii="Verdana" w:hAnsi="Verdana" w:cs="Arial"/>
          <w:lang w:val="es-ES" w:eastAsia="es-ES"/>
        </w:rPr>
        <w:lastRenderedPageBreak/>
        <w:t xml:space="preserve">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w:t>
      </w:r>
      <w:r w:rsidRPr="0068390B">
        <w:rPr>
          <w:rFonts w:ascii="Verdana" w:hAnsi="Verdana" w:cs="Arial"/>
          <w:i/>
          <w:iCs/>
          <w:lang w:val="es-ES" w:eastAsia="es-ES"/>
        </w:rPr>
        <w:t>costos directos</w:t>
      </w:r>
      <w:r w:rsidRPr="0068390B">
        <w:rPr>
          <w:rFonts w:ascii="Verdana" w:hAnsi="Verdana" w:cs="Arial"/>
          <w:lang w:val="es-ES" w:eastAsia="es-ES"/>
        </w:rPr>
        <w:t xml:space="preserve"> se evidencian en el análisis de precios unitarios –APU–, como la sumatoria de los valores de los </w:t>
      </w:r>
      <w:r w:rsidRPr="0068390B">
        <w:rPr>
          <w:rFonts w:ascii="Verdana" w:hAnsi="Verdana" w:cs="Arial"/>
          <w:i/>
          <w:iCs/>
          <w:lang w:val="es-ES" w:eastAsia="es-ES"/>
        </w:rPr>
        <w:t>ítems</w:t>
      </w:r>
      <w:r w:rsidRPr="0068390B">
        <w:rPr>
          <w:rFonts w:ascii="Verdana" w:hAnsi="Verdana" w:cs="Arial"/>
          <w:lang w:val="es-ES" w:eastAsia="es-ES"/>
        </w:rPr>
        <w:t xml:space="preserve"> según su unidad de medida, los </w:t>
      </w:r>
      <w:r w:rsidRPr="0068390B">
        <w:rPr>
          <w:rFonts w:ascii="Verdana" w:hAnsi="Verdana" w:cs="Arial"/>
          <w:i/>
          <w:iCs/>
          <w:lang w:val="es-ES" w:eastAsia="es-ES"/>
        </w:rPr>
        <w:t>costos indirectos</w:t>
      </w:r>
      <w:r w:rsidRPr="0068390B">
        <w:rPr>
          <w:rFonts w:ascii="Verdana" w:hAnsi="Verdana" w:cs="Arial"/>
          <w:lang w:val="es-ES" w:eastAsia="es-ES"/>
        </w:rPr>
        <w:t xml:space="preserve"> se suelen abreviar en las variables que integran el acrónimo AIU –Administración, Imprevistos y Utilidad–</w:t>
      </w:r>
    </w:p>
    <w:p w14:paraId="2352F0A4" w14:textId="77777777" w:rsidR="00953C6B" w:rsidRPr="0068390B" w:rsidRDefault="00953C6B" w:rsidP="0023727A">
      <w:pPr>
        <w:spacing w:after="120" w:line="276" w:lineRule="auto"/>
        <w:ind w:firstLine="709"/>
        <w:jc w:val="both"/>
        <w:rPr>
          <w:rFonts w:ascii="Verdana" w:hAnsi="Verdana" w:cs="Arial"/>
          <w:szCs w:val="24"/>
          <w:lang w:val="es-ES_tradnl" w:eastAsia="es-ES_tradnl"/>
        </w:rPr>
      </w:pPr>
      <w:r>
        <w:rPr>
          <w:rFonts w:ascii="Verdana" w:hAnsi="Verdana" w:cs="Arial"/>
          <w:lang w:val="es-ES" w:eastAsia="es-ES"/>
        </w:rPr>
        <w:t xml:space="preserve">Sobre el particular, </w:t>
      </w:r>
      <w:r w:rsidRPr="0068390B">
        <w:rPr>
          <w:rFonts w:ascii="Verdana" w:hAnsi="Verdana" w:cs="Arial"/>
          <w:szCs w:val="24"/>
          <w:lang w:val="es-ES_tradnl" w:eastAsia="es-ES_tradnl"/>
        </w:rPr>
        <w:t xml:space="preserve">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3FE68B49" w14:textId="77777777" w:rsidR="00953C6B" w:rsidRPr="0068390B" w:rsidRDefault="00953C6B" w:rsidP="00953C6B">
      <w:pPr>
        <w:spacing w:after="0" w:line="276" w:lineRule="auto"/>
        <w:ind w:firstLine="709"/>
        <w:jc w:val="both"/>
        <w:rPr>
          <w:rFonts w:ascii="Verdana" w:hAnsi="Verdana" w:cs="Arial"/>
          <w:szCs w:val="24"/>
          <w:lang w:val="es-ES_tradnl" w:eastAsia="es-ES_tradnl"/>
        </w:rPr>
      </w:pPr>
    </w:p>
    <w:p w14:paraId="0A7A42D8" w14:textId="77777777" w:rsidR="00953C6B" w:rsidRPr="0068390B" w:rsidRDefault="00953C6B" w:rsidP="00953C6B">
      <w:pPr>
        <w:tabs>
          <w:tab w:val="left" w:pos="709"/>
        </w:tabs>
        <w:spacing w:after="120" w:line="240" w:lineRule="auto"/>
        <w:ind w:left="709" w:right="709"/>
        <w:jc w:val="both"/>
        <w:rPr>
          <w:rFonts w:ascii="Verdana" w:hAnsi="Verdana" w:cs="Arial"/>
          <w:sz w:val="20"/>
          <w:szCs w:val="20"/>
          <w:lang w:val="es-ES_tradnl" w:eastAsia="es-ES_tradnl"/>
        </w:rPr>
      </w:pPr>
      <w:r w:rsidRPr="0068390B">
        <w:rPr>
          <w:rFonts w:ascii="Verdana" w:hAnsi="Verdana" w:cs="Arial"/>
          <w:sz w:val="20"/>
          <w:szCs w:val="20"/>
          <w:lang w:val="es-ES_tradnl" w:eastAsia="es-ES_tradnl"/>
        </w:rPr>
        <w:t xml:space="preserve">“[…] el AIU propuesto para el contrato, corresponde a: </w:t>
      </w:r>
    </w:p>
    <w:p w14:paraId="0F630B59" w14:textId="77777777" w:rsidR="00953C6B" w:rsidRPr="0068390B" w:rsidRDefault="00953C6B" w:rsidP="00953C6B">
      <w:pPr>
        <w:tabs>
          <w:tab w:val="left" w:pos="709"/>
        </w:tabs>
        <w:spacing w:after="120" w:line="240" w:lineRule="auto"/>
        <w:ind w:left="709" w:right="709"/>
        <w:jc w:val="both"/>
        <w:rPr>
          <w:rFonts w:ascii="Verdana" w:hAnsi="Verdana" w:cs="Arial"/>
          <w:sz w:val="20"/>
          <w:szCs w:val="20"/>
          <w:lang w:val="es-ES_tradnl" w:eastAsia="es-ES_tradnl"/>
        </w:rPr>
      </w:pPr>
      <w:r w:rsidRPr="0068390B">
        <w:rPr>
          <w:rFonts w:ascii="Verdana" w:hAnsi="Verdana" w:cs="Arial"/>
          <w:sz w:val="20"/>
          <w:szCs w:val="20"/>
          <w:lang w:val="es-ES_tradnl" w:eastAsia="es-ES_tradnl"/>
        </w:rPr>
        <w:t xml:space="preserve">i) los costos de administración o costos indirectos para la operación del contrato, tales como los gastos de disponibilidad de la organización del contratista, esto es: A; </w:t>
      </w:r>
    </w:p>
    <w:p w14:paraId="65B7159E" w14:textId="77777777" w:rsidR="00953C6B" w:rsidRPr="0068390B" w:rsidRDefault="00953C6B" w:rsidP="00953C6B">
      <w:pPr>
        <w:tabs>
          <w:tab w:val="left" w:pos="709"/>
        </w:tabs>
        <w:spacing w:after="120" w:line="240" w:lineRule="auto"/>
        <w:ind w:left="709" w:right="709"/>
        <w:jc w:val="both"/>
        <w:rPr>
          <w:rFonts w:ascii="Verdana" w:hAnsi="Verdana" w:cs="Arial"/>
          <w:sz w:val="20"/>
          <w:szCs w:val="20"/>
          <w:lang w:val="es-ES" w:eastAsia="es-ES"/>
        </w:rPr>
      </w:pPr>
      <w:proofErr w:type="spellStart"/>
      <w:r w:rsidRPr="0068390B">
        <w:rPr>
          <w:rFonts w:ascii="Verdana" w:hAnsi="Verdana" w:cs="Arial"/>
          <w:sz w:val="20"/>
          <w:szCs w:val="20"/>
          <w:lang w:val="es-ES" w:eastAsia="es-ES"/>
        </w:rPr>
        <w:t>ii</w:t>
      </w:r>
      <w:proofErr w:type="spellEnd"/>
      <w:r w:rsidRPr="0068390B">
        <w:rPr>
          <w:rFonts w:ascii="Verdana" w:hAnsi="Verdana" w:cs="Arial"/>
          <w:sz w:val="20"/>
          <w:szCs w:val="20"/>
          <w:lang w:val="es-ES" w:eastAsia="es-ES"/>
        </w:rPr>
        <w:t xml:space="preserve">) los imprevistos, que es el porcentaje destinado a cubrir los gastos con los que no se contaba y que se presenten durante la ejecución del contrato, esto es, el </w:t>
      </w:r>
      <w:proofErr w:type="spellStart"/>
      <w:r w:rsidRPr="0068390B">
        <w:rPr>
          <w:rFonts w:ascii="Verdana" w:hAnsi="Verdana" w:cs="Arial"/>
          <w:sz w:val="20"/>
          <w:szCs w:val="20"/>
          <w:lang w:val="es-ES" w:eastAsia="es-ES"/>
        </w:rPr>
        <w:t>álea</w:t>
      </w:r>
      <w:proofErr w:type="spellEnd"/>
      <w:r w:rsidRPr="0068390B">
        <w:rPr>
          <w:rFonts w:ascii="Verdana" w:hAnsi="Verdana" w:cs="Arial"/>
          <w:sz w:val="20"/>
          <w:szCs w:val="20"/>
          <w:lang w:val="es-ES" w:eastAsia="es-ES"/>
        </w:rPr>
        <w:t xml:space="preserve"> normal del contrato: I; </w:t>
      </w:r>
    </w:p>
    <w:p w14:paraId="3BC548C2" w14:textId="77777777" w:rsidR="00953C6B" w:rsidRPr="0068390B" w:rsidRDefault="00953C6B" w:rsidP="00953C6B">
      <w:pPr>
        <w:tabs>
          <w:tab w:val="left" w:pos="709"/>
        </w:tabs>
        <w:spacing w:after="120" w:line="240" w:lineRule="auto"/>
        <w:ind w:left="709" w:right="709"/>
        <w:jc w:val="both"/>
        <w:rPr>
          <w:rFonts w:ascii="Verdana" w:hAnsi="Verdana" w:cs="Arial"/>
          <w:sz w:val="20"/>
          <w:szCs w:val="20"/>
          <w:lang w:val="es-ES" w:eastAsia="es-ES"/>
        </w:rPr>
      </w:pPr>
      <w:proofErr w:type="spellStart"/>
      <w:r w:rsidRPr="0068390B">
        <w:rPr>
          <w:rFonts w:ascii="Verdana" w:hAnsi="Verdana" w:cs="Arial"/>
          <w:sz w:val="20"/>
          <w:szCs w:val="20"/>
          <w:lang w:val="es-ES" w:eastAsia="es-ES"/>
        </w:rPr>
        <w:t>iii</w:t>
      </w:r>
      <w:proofErr w:type="spellEnd"/>
      <w:r w:rsidRPr="0068390B">
        <w:rPr>
          <w:rFonts w:ascii="Verdana" w:hAnsi="Verdana" w:cs="Arial"/>
          <w:sz w:val="20"/>
          <w:szCs w:val="20"/>
          <w:lang w:val="es-ES" w:eastAsia="es-ES"/>
        </w:rPr>
        <w:t xml:space="preserve">) la utilidad o el beneficio económico que pretende percibir el contratista por la ejecución del contrato, esto es: U. </w:t>
      </w:r>
    </w:p>
    <w:p w14:paraId="1A8505B5" w14:textId="77777777" w:rsidR="00953C6B" w:rsidRDefault="00953C6B" w:rsidP="00953C6B">
      <w:pPr>
        <w:tabs>
          <w:tab w:val="left" w:pos="709"/>
        </w:tabs>
        <w:spacing w:after="0" w:line="240" w:lineRule="auto"/>
        <w:ind w:left="709" w:right="709"/>
        <w:jc w:val="both"/>
        <w:rPr>
          <w:rFonts w:ascii="Verdana" w:hAnsi="Verdana" w:cs="Arial"/>
          <w:sz w:val="20"/>
          <w:szCs w:val="20"/>
          <w:lang w:val="es-ES_tradnl" w:eastAsia="es-ES_tradnl"/>
        </w:rPr>
      </w:pPr>
      <w:r w:rsidRPr="0068390B">
        <w:rPr>
          <w:rFonts w:ascii="Verdana" w:hAnsi="Verdana" w:cs="Arial"/>
          <w:sz w:val="20"/>
          <w:szCs w:val="20"/>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68390B">
        <w:rPr>
          <w:rFonts w:ascii="Verdana" w:hAnsi="Verdana" w:cs="Arial"/>
          <w:sz w:val="20"/>
          <w:szCs w:val="20"/>
          <w:vertAlign w:val="superscript"/>
          <w:lang w:val="es-ES_tradnl" w:eastAsia="es-ES_tradnl"/>
        </w:rPr>
        <w:footnoteReference w:id="14"/>
      </w:r>
      <w:r w:rsidRPr="0068390B">
        <w:rPr>
          <w:rFonts w:ascii="Verdana" w:hAnsi="Verdana" w:cs="Arial"/>
          <w:sz w:val="20"/>
          <w:szCs w:val="20"/>
          <w:lang w:val="es-ES_tradnl" w:eastAsia="es-ES_tradnl"/>
        </w:rPr>
        <w:t>.</w:t>
      </w:r>
    </w:p>
    <w:p w14:paraId="7C38B250" w14:textId="77777777" w:rsidR="00953C6B" w:rsidRPr="00A36CA6" w:rsidRDefault="00953C6B" w:rsidP="00953C6B">
      <w:pPr>
        <w:tabs>
          <w:tab w:val="left" w:pos="709"/>
        </w:tabs>
        <w:spacing w:after="0" w:line="240" w:lineRule="auto"/>
        <w:ind w:left="709" w:right="709"/>
        <w:jc w:val="both"/>
        <w:rPr>
          <w:rFonts w:ascii="Verdana" w:hAnsi="Verdana" w:cs="Arial"/>
          <w:sz w:val="20"/>
          <w:szCs w:val="20"/>
          <w:lang w:val="es-ES_tradnl" w:eastAsia="es-ES_tradnl"/>
        </w:rPr>
      </w:pPr>
    </w:p>
    <w:p w14:paraId="261DA4CB" w14:textId="77777777" w:rsidR="00953C6B" w:rsidRDefault="00953C6B" w:rsidP="00953C6B">
      <w:pPr>
        <w:spacing w:after="120" w:line="276" w:lineRule="auto"/>
        <w:ind w:firstLine="709"/>
        <w:jc w:val="both"/>
        <w:rPr>
          <w:rFonts w:ascii="Verdana" w:hAnsi="Verdana" w:cs="Arial"/>
          <w:lang w:val="es-ES" w:eastAsia="es-ES"/>
        </w:rPr>
      </w:pPr>
      <w:r>
        <w:rPr>
          <w:rFonts w:ascii="Verdana" w:hAnsi="Verdana" w:cs="Arial"/>
          <w:lang w:val="es-ES" w:eastAsia="es-ES"/>
        </w:rPr>
        <w:t>A su turno, l</w:t>
      </w:r>
      <w:r w:rsidRPr="0068390B">
        <w:rPr>
          <w:rFonts w:ascii="Verdana" w:hAnsi="Verdana" w:cs="Arial"/>
          <w:lang w:val="es-ES" w:eastAsia="es-ES"/>
        </w:rPr>
        <w:t>a Sala de Consulta y Servicio Civil del Consejo de Estado sostuvo en concepto del 5 de septiembre de 2018</w:t>
      </w:r>
      <w:r w:rsidRPr="0068390B">
        <w:rPr>
          <w:rFonts w:ascii="Verdana" w:hAnsi="Verdana" w:cs="Arial"/>
          <w:vertAlign w:val="superscript"/>
          <w:lang w:val="es-ES" w:eastAsia="es-ES"/>
        </w:rPr>
        <w:footnoteReference w:id="15"/>
      </w:r>
      <w:r w:rsidRPr="0068390B">
        <w:rPr>
          <w:rFonts w:ascii="Verdana"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68390B">
        <w:rPr>
          <w:rFonts w:ascii="Verdana" w:hAnsi="Verdana" w:cs="Arial"/>
          <w:lang w:val="es-ES" w:eastAsia="es-ES"/>
        </w:rPr>
        <w:t>la misma</w:t>
      </w:r>
      <w:proofErr w:type="gramEnd"/>
      <w:r w:rsidRPr="0068390B">
        <w:rPr>
          <w:rFonts w:ascii="Verdana" w:hAnsi="Verdana" w:cs="Arial"/>
          <w:lang w:val="es-ES" w:eastAsia="es-ES"/>
        </w:rPr>
        <w:t xml:space="preserve">, sin perjuicio que en otros </w:t>
      </w:r>
      <w:r w:rsidRPr="0068390B">
        <w:rPr>
          <w:rFonts w:ascii="Verdana" w:hAnsi="Verdana" w:cs="Arial"/>
          <w:lang w:val="es-ES" w:eastAsia="es-ES"/>
        </w:rPr>
        <w:lastRenderedPageBreak/>
        <w:t>contratos este valor no aparezca discriminado y se incorpore en el valor de los precios unitarios”</w:t>
      </w:r>
      <w:r w:rsidRPr="0068390B">
        <w:rPr>
          <w:rFonts w:ascii="Verdana" w:hAnsi="Verdana" w:cs="Arial"/>
          <w:vertAlign w:val="superscript"/>
          <w:lang w:val="es-ES" w:eastAsia="es-ES"/>
        </w:rPr>
        <w:footnoteReference w:id="16"/>
      </w:r>
      <w:r w:rsidRPr="0068390B">
        <w:rPr>
          <w:rFonts w:ascii="Verdana" w:hAnsi="Verdana" w:cs="Arial"/>
          <w:lang w:val="es-ES" w:eastAsia="es-ES"/>
        </w:rPr>
        <w:t xml:space="preserve">. </w:t>
      </w:r>
    </w:p>
    <w:p w14:paraId="5A47D1CB" w14:textId="77777777" w:rsidR="00953C6B" w:rsidRPr="00865F99" w:rsidRDefault="00953C6B" w:rsidP="00953C6B">
      <w:pPr>
        <w:spacing w:after="120" w:line="276" w:lineRule="auto"/>
        <w:ind w:firstLine="709"/>
        <w:jc w:val="both"/>
        <w:rPr>
          <w:rFonts w:ascii="Verdana" w:hAnsi="Verdana" w:cs="Arial"/>
          <w:bCs/>
          <w:szCs w:val="24"/>
          <w:lang w:val="es-ES_tradnl" w:eastAsia="es-ES_tradnl"/>
        </w:rPr>
      </w:pPr>
      <w:r>
        <w:rPr>
          <w:rFonts w:ascii="Verdana" w:hAnsi="Verdana" w:cs="Arial"/>
          <w:bCs/>
          <w:szCs w:val="24"/>
          <w:lang w:val="es-ES_tradnl" w:eastAsia="es-ES_tradnl"/>
        </w:rPr>
        <w:t xml:space="preserve">Así, </w:t>
      </w:r>
      <w:r w:rsidRPr="0068390B">
        <w:rPr>
          <w:rFonts w:ascii="Verdana" w:hAnsi="Verdana" w:cs="Arial"/>
          <w:bCs/>
          <w:szCs w:val="24"/>
          <w:lang w:val="es-ES_tradnl" w:eastAsia="es-ES_tradnl"/>
        </w:rPr>
        <w:t>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68390B">
        <w:rPr>
          <w:rFonts w:ascii="Verdana" w:hAnsi="Verdana" w:cs="Arial"/>
          <w:bCs/>
          <w:szCs w:val="24"/>
          <w:vertAlign w:val="superscript"/>
          <w:lang w:val="es-ES_tradnl" w:eastAsia="es-ES_tradnl"/>
        </w:rPr>
        <w:footnoteReference w:id="17"/>
      </w:r>
      <w:r w:rsidRPr="0068390B">
        <w:rPr>
          <w:rFonts w:ascii="Verdana" w:hAnsi="Verdana" w:cs="Arial"/>
          <w:bCs/>
          <w:szCs w:val="24"/>
          <w:lang w:val="es-ES_tradnl" w:eastAsia="es-ES_tradnl"/>
        </w:rPr>
        <w:t xml:space="preserve">. De otro lado, quien define el valor de cada </w:t>
      </w:r>
      <w:r w:rsidRPr="0068390B">
        <w:rPr>
          <w:rFonts w:ascii="Verdana" w:hAnsi="Verdana" w:cs="Arial"/>
          <w:bCs/>
          <w:i/>
          <w:iCs/>
          <w:szCs w:val="24"/>
          <w:lang w:val="es-ES_tradnl" w:eastAsia="es-ES_tradnl"/>
        </w:rPr>
        <w:t>letra</w:t>
      </w:r>
      <w:r w:rsidRPr="0068390B">
        <w:rPr>
          <w:rFonts w:ascii="Verdana" w:hAnsi="Verdana" w:cs="Arial"/>
          <w:bCs/>
          <w:szCs w:val="24"/>
          <w:lang w:val="es-ES_tradnl" w:eastAsia="es-ES_tradnl"/>
        </w:rPr>
        <w:t xml:space="preserve"> –AIU– es el proponente, pues goza de libertad empresarial para hacerlo en la elaboración de su oferta</w:t>
      </w:r>
      <w:r w:rsidRPr="0068390B">
        <w:rPr>
          <w:rFonts w:ascii="Verdana" w:hAnsi="Verdana" w:cs="Arial"/>
          <w:bCs/>
          <w:szCs w:val="24"/>
          <w:vertAlign w:val="superscript"/>
          <w:lang w:val="es-ES_tradnl" w:eastAsia="es-ES_tradnl"/>
        </w:rPr>
        <w:footnoteReference w:id="18"/>
      </w:r>
      <w:r w:rsidRPr="0068390B">
        <w:rPr>
          <w:rFonts w:ascii="Verdana" w:hAnsi="Verdana" w:cs="Arial"/>
          <w:bCs/>
          <w:szCs w:val="24"/>
          <w:lang w:val="es-ES_tradnl" w:eastAsia="es-ES_tradnl"/>
        </w:rPr>
        <w:t>.</w:t>
      </w:r>
    </w:p>
    <w:p w14:paraId="10482E9E" w14:textId="77777777" w:rsidR="00953C6B" w:rsidRPr="0068390B" w:rsidRDefault="00953C6B" w:rsidP="00953C6B">
      <w:pPr>
        <w:spacing w:before="120" w:after="0" w:line="276" w:lineRule="auto"/>
        <w:ind w:firstLine="709"/>
        <w:jc w:val="both"/>
        <w:rPr>
          <w:rFonts w:ascii="Verdana" w:hAnsi="Verdana" w:cs="Arial"/>
          <w:lang w:val="es-ES" w:eastAsia="es-ES"/>
        </w:rPr>
      </w:pPr>
      <w:r w:rsidRPr="11ADFF50">
        <w:rPr>
          <w:rFonts w:ascii="Verdana" w:hAnsi="Verdana" w:cs="Arial"/>
          <w:lang w:val="es-ES" w:eastAsia="es-ES"/>
        </w:rPr>
        <w:t>Frente a los costos que suelen incluirse en la Administración –A–, la jurisprudencia, a partir de la práctica de las entidades estatales, ha señalado que: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r w:rsidRPr="11ADFF50">
        <w:rPr>
          <w:rFonts w:ascii="Verdana" w:hAnsi="Verdana" w:cs="Arial"/>
          <w:vertAlign w:val="superscript"/>
          <w:lang w:val="es-ES" w:eastAsia="es-ES"/>
        </w:rPr>
        <w:footnoteReference w:id="19"/>
      </w:r>
      <w:r w:rsidRPr="11ADFF50">
        <w:rPr>
          <w:rFonts w:ascii="Verdana" w:hAnsi="Verdana" w:cs="Arial"/>
          <w:lang w:val="es-ES" w:eastAsia="es-ES"/>
        </w:rPr>
        <w:t xml:space="preserve">”. En términos similares, pero más precisos, la doctrina, recogiendo la casuística de los contratos estatales, señala de forma más pormenorizada los gastos que se asocian a la –A–, donde se incluyen importantes costos indirectos en que se incurre en la ejecución: </w:t>
      </w:r>
    </w:p>
    <w:p w14:paraId="3C311D05" w14:textId="77777777" w:rsidR="00953C6B" w:rsidRPr="0068390B" w:rsidRDefault="00953C6B" w:rsidP="00953C6B">
      <w:pPr>
        <w:spacing w:after="0" w:line="276" w:lineRule="auto"/>
        <w:jc w:val="both"/>
        <w:rPr>
          <w:rFonts w:ascii="Verdana" w:hAnsi="Verdana" w:cs="Arial"/>
          <w:bCs/>
          <w:szCs w:val="24"/>
          <w:lang w:val="es-ES_tradnl" w:eastAsia="es-ES_tradnl"/>
        </w:rPr>
      </w:pPr>
    </w:p>
    <w:p w14:paraId="43331671" w14:textId="77777777" w:rsidR="00953C6B" w:rsidRPr="0068390B" w:rsidRDefault="00953C6B" w:rsidP="00953C6B">
      <w:pPr>
        <w:spacing w:after="0" w:line="240" w:lineRule="auto"/>
        <w:ind w:left="709" w:right="709"/>
        <w:jc w:val="both"/>
        <w:rPr>
          <w:rFonts w:ascii="Verdana" w:hAnsi="Verdana" w:cs="Arial"/>
          <w:sz w:val="20"/>
          <w:szCs w:val="20"/>
          <w:lang w:val="es-ES" w:eastAsia="es-ES"/>
        </w:rPr>
      </w:pPr>
      <w:r w:rsidRPr="11ADFF50">
        <w:rPr>
          <w:rFonts w:ascii="Verdana" w:hAnsi="Verdana" w:cs="Arial"/>
          <w:sz w:val="20"/>
          <w:szCs w:val="20"/>
          <w:lang w:val="es-ES" w:eastAsia="es-ES"/>
        </w:rPr>
        <w:t xml:space="preserve">Para entender mejor el tema conviene especificar que si los gastos que hacen parte de la A se encuentran: i) el pago de salarios y prestaciones sociales del personal profesional y especializado necesario para ejecutar la obra –es el caso del Director de obra, los arquitectos, ingenieros y </w:t>
      </w:r>
      <w:r w:rsidRPr="11ADFF50">
        <w:rPr>
          <w:rFonts w:ascii="Verdana" w:hAnsi="Verdana" w:cs="Arial"/>
          <w:sz w:val="20"/>
          <w:szCs w:val="20"/>
          <w:lang w:val="es-ES" w:eastAsia="es-ES"/>
        </w:rPr>
        <w:lastRenderedPageBreak/>
        <w:t xml:space="preserve">contadores, eventualmente abogados u otros; pero no se incluyen los obreros–, </w:t>
      </w:r>
      <w:proofErr w:type="spellStart"/>
      <w:r w:rsidRPr="11ADFF50">
        <w:rPr>
          <w:rFonts w:ascii="Verdana" w:hAnsi="Verdana" w:cs="Arial"/>
          <w:sz w:val="20"/>
          <w:szCs w:val="20"/>
          <w:lang w:val="es-ES" w:eastAsia="es-ES"/>
        </w:rPr>
        <w:t>ii</w:t>
      </w:r>
      <w:proofErr w:type="spellEnd"/>
      <w:r w:rsidRPr="11ADFF50">
        <w:rPr>
          <w:rFonts w:ascii="Verdana" w:hAnsi="Verdana" w:cs="Arial"/>
          <w:sz w:val="20"/>
          <w:szCs w:val="20"/>
          <w:lang w:val="es-ES" w:eastAsia="es-ES"/>
        </w:rPr>
        <w:t xml:space="preserve">) pago de salarios y prestaciones sociales del personal logístico y de apoyo no dedicado directamente con la ejecución del contrato –por ejemplo: las secretarias de la empresa, el servicio de cafetería en mensajero, la vigilancia, los seguros, etc.– sin los que la empresa no puede funcionar; </w:t>
      </w:r>
      <w:proofErr w:type="spellStart"/>
      <w:r w:rsidRPr="11ADFF50">
        <w:rPr>
          <w:rFonts w:ascii="Verdana" w:hAnsi="Verdana" w:cs="Arial"/>
          <w:sz w:val="20"/>
          <w:szCs w:val="20"/>
          <w:lang w:val="es-ES" w:eastAsia="es-ES"/>
        </w:rPr>
        <w:t>iii</w:t>
      </w:r>
      <w:proofErr w:type="spellEnd"/>
      <w:r w:rsidRPr="11ADFF50">
        <w:rPr>
          <w:rFonts w:ascii="Verdana" w:hAnsi="Verdana" w:cs="Arial"/>
          <w:sz w:val="20"/>
          <w:szCs w:val="20"/>
          <w:lang w:val="es-ES" w:eastAsia="es-ES"/>
        </w:rPr>
        <w:t xml:space="preserve">) pago de arrendamiento de las instalaciones necesarias para el funcionamiento de la empresa –oficinas </w:t>
      </w:r>
      <w:r w:rsidRPr="11ADFF50">
        <w:rPr>
          <w:rFonts w:ascii="Verdana" w:hAnsi="Verdana" w:cs="Arial"/>
          <w:i/>
          <w:sz w:val="20"/>
          <w:szCs w:val="20"/>
          <w:lang w:val="es-ES" w:eastAsia="es-ES"/>
        </w:rPr>
        <w:t xml:space="preserve">y campamento de la obra–; </w:t>
      </w:r>
      <w:proofErr w:type="spellStart"/>
      <w:r w:rsidRPr="11ADFF50">
        <w:rPr>
          <w:rFonts w:ascii="Verdana" w:hAnsi="Verdana" w:cs="Arial"/>
          <w:sz w:val="20"/>
          <w:szCs w:val="20"/>
          <w:lang w:val="es-ES" w:eastAsia="es-ES"/>
        </w:rPr>
        <w:t>iv</w:t>
      </w:r>
      <w:proofErr w:type="spellEnd"/>
      <w:r w:rsidRPr="11ADFF50">
        <w:rPr>
          <w:rFonts w:ascii="Verdana" w:hAnsi="Verdana" w:cs="Arial"/>
          <w:sz w:val="20"/>
          <w:szCs w:val="20"/>
          <w:lang w:val="es-ES" w:eastAsia="es-ES"/>
        </w:rPr>
        <w:t xml:space="preserve">) </w:t>
      </w:r>
      <w:r w:rsidRPr="00865F99">
        <w:rPr>
          <w:rFonts w:ascii="Verdana" w:hAnsi="Verdana" w:cs="Arial"/>
          <w:iCs/>
          <w:sz w:val="20"/>
          <w:szCs w:val="20"/>
          <w:lang w:val="es-ES" w:eastAsia="es-ES"/>
        </w:rPr>
        <w:t>pago de impuestos y gravámenes en general que afectan la actividad o el contrato</w:t>
      </w:r>
      <w:r w:rsidRPr="11ADFF50">
        <w:rPr>
          <w:rFonts w:ascii="Verdana" w:hAnsi="Verdana" w:cs="Arial"/>
          <w:sz w:val="20"/>
          <w:szCs w:val="20"/>
          <w:lang w:val="es-ES" w:eastAsia="es-ES"/>
        </w:rPr>
        <w:t xml:space="preserve">; v) valor de las fotocopias, papelería en general y equipos de oficina, vi) transporte terrestre, tiquetes aéreos y arrendamiento de vehículos –distintos de la maquinaria que se emplea en la obra–, </w:t>
      </w:r>
      <w:proofErr w:type="spellStart"/>
      <w:r w:rsidRPr="11ADFF50">
        <w:rPr>
          <w:rFonts w:ascii="Verdana" w:hAnsi="Verdana" w:cs="Arial"/>
          <w:sz w:val="20"/>
          <w:szCs w:val="20"/>
          <w:lang w:val="es-ES" w:eastAsia="es-ES"/>
        </w:rPr>
        <w:t>vii</w:t>
      </w:r>
      <w:proofErr w:type="spellEnd"/>
      <w:r w:rsidRPr="11ADFF50">
        <w:rPr>
          <w:rFonts w:ascii="Verdana" w:hAnsi="Verdana" w:cs="Arial"/>
          <w:sz w:val="20"/>
          <w:szCs w:val="20"/>
          <w:lang w:val="es-ES" w:eastAsia="es-ES"/>
        </w:rPr>
        <w:t xml:space="preserve">) pólizas del contrato, </w:t>
      </w:r>
      <w:proofErr w:type="spellStart"/>
      <w:r w:rsidRPr="11ADFF50">
        <w:rPr>
          <w:rFonts w:ascii="Verdana" w:hAnsi="Verdana" w:cs="Arial"/>
          <w:sz w:val="20"/>
          <w:szCs w:val="20"/>
          <w:lang w:val="es-ES" w:eastAsia="es-ES"/>
        </w:rPr>
        <w:t>viii</w:t>
      </w:r>
      <w:proofErr w:type="spellEnd"/>
      <w:r w:rsidRPr="11ADFF50">
        <w:rPr>
          <w:rFonts w:ascii="Verdana" w:hAnsi="Verdana" w:cs="Arial"/>
          <w:sz w:val="20"/>
          <w:szCs w:val="20"/>
          <w:lang w:val="es-ES" w:eastAsia="es-ES"/>
        </w:rPr>
        <w:t xml:space="preserve">) pago de servicios públicos y otras comunicaciones –como el servicio celular– y </w:t>
      </w:r>
      <w:proofErr w:type="spellStart"/>
      <w:r w:rsidRPr="11ADFF50">
        <w:rPr>
          <w:rFonts w:ascii="Verdana" w:hAnsi="Verdana" w:cs="Arial"/>
          <w:sz w:val="20"/>
          <w:szCs w:val="20"/>
          <w:lang w:val="es-ES" w:eastAsia="es-ES"/>
        </w:rPr>
        <w:t>ix</w:t>
      </w:r>
      <w:proofErr w:type="spellEnd"/>
      <w:r w:rsidRPr="11ADFF50">
        <w:rPr>
          <w:rFonts w:ascii="Verdana" w:hAnsi="Verdana" w:cs="Arial"/>
          <w:sz w:val="20"/>
          <w:szCs w:val="20"/>
          <w:lang w:val="es-ES" w:eastAsia="es-ES"/>
        </w:rPr>
        <w:t>) gastos en que se incurra para realizar ensayos de laboratorio</w:t>
      </w:r>
      <w:r w:rsidRPr="11ADFF50">
        <w:rPr>
          <w:rFonts w:ascii="Verdana" w:hAnsi="Verdana" w:cs="Arial"/>
          <w:sz w:val="20"/>
          <w:szCs w:val="20"/>
          <w:vertAlign w:val="superscript"/>
          <w:lang w:val="es-ES" w:eastAsia="es-ES"/>
        </w:rPr>
        <w:footnoteReference w:id="20"/>
      </w:r>
      <w:r w:rsidRPr="11ADFF50">
        <w:rPr>
          <w:rFonts w:ascii="Verdana" w:hAnsi="Verdana" w:cs="Arial"/>
          <w:sz w:val="20"/>
          <w:szCs w:val="20"/>
          <w:lang w:val="es-ES" w:eastAsia="es-ES"/>
        </w:rPr>
        <w:t xml:space="preserve"> (Énfasis por fuera de texto)</w:t>
      </w:r>
    </w:p>
    <w:p w14:paraId="19F0CDC9" w14:textId="77777777" w:rsidR="00953C6B" w:rsidRPr="0068390B" w:rsidRDefault="00953C6B" w:rsidP="00953C6B">
      <w:pPr>
        <w:spacing w:after="0" w:line="240" w:lineRule="auto"/>
        <w:ind w:left="709" w:right="709"/>
        <w:jc w:val="both"/>
        <w:rPr>
          <w:rFonts w:ascii="Verdana" w:hAnsi="Verdana" w:cs="Arial"/>
          <w:bCs/>
          <w:lang w:val="es-ES_tradnl" w:eastAsia="es-ES_tradnl"/>
        </w:rPr>
      </w:pPr>
    </w:p>
    <w:p w14:paraId="46135E9A" w14:textId="77777777" w:rsidR="00953C6B" w:rsidRPr="0068390B" w:rsidRDefault="00953C6B" w:rsidP="00953C6B">
      <w:pPr>
        <w:spacing w:line="276" w:lineRule="auto"/>
        <w:jc w:val="both"/>
        <w:rPr>
          <w:rFonts w:ascii="Verdana" w:hAnsi="Verdana" w:cs="Arial"/>
          <w:lang w:val="es-ES_tradnl"/>
        </w:rPr>
      </w:pPr>
      <w:r w:rsidRPr="0068390B">
        <w:rPr>
          <w:rFonts w:ascii="Verdana" w:hAnsi="Verdana" w:cs="Arial"/>
          <w:lang w:val="es-ES_tradnl"/>
        </w:rPr>
        <w:tab/>
      </w:r>
      <w:r w:rsidRPr="0068390B">
        <w:rPr>
          <w:rFonts w:ascii="Verdana" w:hAnsi="Verdana" w:cs="Arial"/>
          <w:bCs/>
          <w:lang w:val="es-ES_tradnl"/>
        </w:rPr>
        <w:t xml:space="preserve">Asimismo, frente al porcentaje que se determina en el componente A, la doctrina expresa: </w:t>
      </w:r>
      <w:r w:rsidRPr="0068390B">
        <w:rPr>
          <w:rFonts w:ascii="Verdana" w:hAnsi="Verdana" w:cs="Arial"/>
          <w:lang w:val="es-ES_tradnl"/>
        </w:rPr>
        <w:t xml:space="preserve"> </w:t>
      </w:r>
    </w:p>
    <w:p w14:paraId="702117D4" w14:textId="77777777" w:rsidR="00953C6B" w:rsidRPr="00164E93" w:rsidRDefault="00953C6B" w:rsidP="00953C6B">
      <w:pPr>
        <w:spacing w:after="0" w:line="240" w:lineRule="auto"/>
        <w:ind w:left="709" w:right="709"/>
        <w:jc w:val="both"/>
        <w:rPr>
          <w:rFonts w:ascii="Verdana" w:hAnsi="Verdana" w:cs="Arial"/>
          <w:sz w:val="20"/>
          <w:szCs w:val="20"/>
          <w:lang w:val="es-ES"/>
        </w:rPr>
      </w:pPr>
      <w:r w:rsidRPr="11ADFF50">
        <w:rPr>
          <w:rFonts w:ascii="Verdana" w:hAnsi="Verdana" w:cs="Arial"/>
          <w:sz w:val="20"/>
          <w:szCs w:val="20"/>
          <w:lang w:val="es-ES"/>
        </w:rPr>
        <w:t xml:space="preserve">Este porcentaje del valor del contrato también lo determina cada oferente–contratista con libertad, pues a él incumbe establecer cuánto ascienden sus gastos de administración, y si al final resultan superiores no puede exigir de la entidad, por esa sola circunstancia, un reembolso, porque para ella se trataba de un dato indicativo sobre la manera como se halla el valor total de la obra, de ninguna manera determinante de la forma como se paga cada actividad. A la inversa sucede lo mismo, si el gasto es inferior al presupuestado la entidad no puede pagar menos de lo pactado, sino los precios unitarios acordados por la </w:t>
      </w:r>
      <w:r w:rsidRPr="11ADFF50">
        <w:rPr>
          <w:rFonts w:ascii="Verdana" w:hAnsi="Verdana" w:cs="Arial"/>
          <w:i/>
          <w:sz w:val="20"/>
          <w:szCs w:val="20"/>
          <w:lang w:val="es-ES"/>
        </w:rPr>
        <w:t>A</w:t>
      </w:r>
      <w:r w:rsidRPr="11ADFF50">
        <w:rPr>
          <w:rFonts w:ascii="Verdana" w:hAnsi="Verdana" w:cs="Arial"/>
          <w:sz w:val="20"/>
          <w:szCs w:val="20"/>
          <w:lang w:val="es-ES"/>
        </w:rPr>
        <w:t xml:space="preserve"> –</w:t>
      </w:r>
      <w:proofErr w:type="gramStart"/>
      <w:r w:rsidRPr="11ADFF50">
        <w:rPr>
          <w:rFonts w:ascii="Verdana" w:hAnsi="Verdana" w:cs="Arial"/>
          <w:sz w:val="20"/>
          <w:szCs w:val="20"/>
          <w:lang w:val="es-ES"/>
        </w:rPr>
        <w:t>y</w:t>
      </w:r>
      <w:proofErr w:type="gramEnd"/>
      <w:r w:rsidRPr="11ADFF50">
        <w:rPr>
          <w:rFonts w:ascii="Verdana" w:hAnsi="Verdana" w:cs="Arial"/>
          <w:sz w:val="20"/>
          <w:szCs w:val="20"/>
          <w:lang w:val="es-ES"/>
        </w:rPr>
        <w:t xml:space="preserve"> dicho sea de paso, también por la </w:t>
      </w:r>
      <w:r w:rsidRPr="11ADFF50">
        <w:rPr>
          <w:rFonts w:ascii="Verdana" w:hAnsi="Verdana" w:cs="Arial"/>
          <w:i/>
          <w:sz w:val="20"/>
          <w:szCs w:val="20"/>
          <w:lang w:val="es-ES"/>
        </w:rPr>
        <w:t>I</w:t>
      </w:r>
      <w:r w:rsidRPr="11ADFF50">
        <w:rPr>
          <w:rFonts w:ascii="Verdana" w:hAnsi="Verdana" w:cs="Arial"/>
          <w:sz w:val="20"/>
          <w:szCs w:val="20"/>
          <w:lang w:val="es-ES"/>
        </w:rPr>
        <w:t xml:space="preserve"> y la </w:t>
      </w:r>
      <w:r w:rsidRPr="11ADFF50">
        <w:rPr>
          <w:rFonts w:ascii="Verdana" w:hAnsi="Verdana" w:cs="Arial"/>
          <w:i/>
          <w:sz w:val="20"/>
          <w:szCs w:val="20"/>
          <w:lang w:val="es-ES"/>
        </w:rPr>
        <w:t>U</w:t>
      </w:r>
      <w:r w:rsidRPr="11ADFF50">
        <w:rPr>
          <w:rFonts w:ascii="Verdana" w:hAnsi="Verdana" w:cs="Arial"/>
          <w:sz w:val="20"/>
          <w:szCs w:val="20"/>
          <w:lang w:val="es-ES"/>
        </w:rPr>
        <w:t>–</w:t>
      </w:r>
      <w:r w:rsidRPr="11ADFF50">
        <w:rPr>
          <w:rFonts w:ascii="Verdana" w:hAnsi="Verdana" w:cs="Arial"/>
          <w:sz w:val="20"/>
          <w:szCs w:val="20"/>
          <w:vertAlign w:val="superscript"/>
          <w:lang w:val="es-ES"/>
        </w:rPr>
        <w:footnoteReference w:id="21"/>
      </w:r>
      <w:r w:rsidRPr="11ADFF50">
        <w:rPr>
          <w:rFonts w:ascii="Verdana" w:hAnsi="Verdana" w:cs="Arial"/>
          <w:sz w:val="20"/>
          <w:szCs w:val="20"/>
          <w:lang w:val="es-ES"/>
        </w:rPr>
        <w:t xml:space="preserve">. </w:t>
      </w:r>
    </w:p>
    <w:p w14:paraId="409C10B5" w14:textId="77777777" w:rsidR="00953C6B" w:rsidRPr="00164E93" w:rsidRDefault="00953C6B" w:rsidP="00953C6B">
      <w:pPr>
        <w:spacing w:after="0" w:line="276" w:lineRule="auto"/>
        <w:ind w:left="709" w:right="709"/>
        <w:jc w:val="both"/>
        <w:rPr>
          <w:rFonts w:ascii="Verdana" w:hAnsi="Verdana" w:cs="Arial"/>
          <w:sz w:val="20"/>
          <w:szCs w:val="20"/>
          <w:lang w:val="es-ES_tradnl"/>
        </w:rPr>
      </w:pPr>
    </w:p>
    <w:p w14:paraId="4B0B917A" w14:textId="05D9F374" w:rsidR="00953C6B" w:rsidRDefault="00953C6B" w:rsidP="0023727A">
      <w:pPr>
        <w:spacing w:after="120" w:line="276" w:lineRule="auto"/>
        <w:ind w:firstLine="709"/>
        <w:jc w:val="both"/>
        <w:rPr>
          <w:rFonts w:ascii="Verdana" w:hAnsi="Verdana" w:cs="Arial"/>
        </w:rPr>
      </w:pPr>
      <w:r>
        <w:rPr>
          <w:rFonts w:ascii="Verdana" w:hAnsi="Verdana" w:cs="Arial"/>
        </w:rPr>
        <w:t xml:space="preserve">Como se evidencia, los </w:t>
      </w:r>
      <w:r w:rsidRPr="00277553">
        <w:rPr>
          <w:rFonts w:ascii="Verdana" w:hAnsi="Verdana" w:cs="Arial"/>
        </w:rPr>
        <w:t xml:space="preserve">costos indirectos </w:t>
      </w:r>
      <w:r>
        <w:rPr>
          <w:rFonts w:ascii="Verdana" w:hAnsi="Verdana" w:cs="Arial"/>
        </w:rPr>
        <w:t>en el componente de A</w:t>
      </w:r>
      <w:r w:rsidRPr="00277553">
        <w:rPr>
          <w:rFonts w:ascii="Verdana" w:hAnsi="Verdana" w:cs="Arial"/>
        </w:rPr>
        <w:t xml:space="preserve">dministración </w:t>
      </w:r>
      <w:r>
        <w:rPr>
          <w:rFonts w:ascii="Verdana" w:hAnsi="Verdana" w:cs="Arial"/>
        </w:rPr>
        <w:t xml:space="preserve">-A- </w:t>
      </w:r>
      <w:r w:rsidRPr="00277553">
        <w:rPr>
          <w:rFonts w:ascii="Verdana" w:hAnsi="Verdana" w:cs="Arial"/>
        </w:rPr>
        <w:t xml:space="preserve">corresponden a aquellos gastos para el funcionamiento </w:t>
      </w:r>
      <w:r>
        <w:rPr>
          <w:rFonts w:ascii="Verdana" w:hAnsi="Verdana" w:cs="Arial"/>
        </w:rPr>
        <w:t>operativo del</w:t>
      </w:r>
      <w:r w:rsidRPr="00277553">
        <w:rPr>
          <w:rFonts w:ascii="Verdana" w:hAnsi="Verdana" w:cs="Arial"/>
        </w:rPr>
        <w:t xml:space="preserve"> contratista </w:t>
      </w:r>
      <w:r>
        <w:rPr>
          <w:rFonts w:ascii="Verdana" w:hAnsi="Verdana" w:cs="Arial"/>
        </w:rPr>
        <w:t xml:space="preserve">necesarios para la </w:t>
      </w:r>
      <w:r w:rsidRPr="00277553">
        <w:rPr>
          <w:rFonts w:ascii="Verdana" w:hAnsi="Verdana" w:cs="Arial"/>
        </w:rPr>
        <w:t>ejecución del contrato, pero que no están directamente asociados a la</w:t>
      </w:r>
      <w:r>
        <w:rPr>
          <w:rFonts w:ascii="Verdana" w:hAnsi="Verdana" w:cs="Arial"/>
        </w:rPr>
        <w:t>s actividades</w:t>
      </w:r>
      <w:r w:rsidRPr="00277553">
        <w:rPr>
          <w:rFonts w:ascii="Verdana" w:hAnsi="Verdana" w:cs="Arial"/>
        </w:rPr>
        <w:t xml:space="preserve"> del objeto contractual. Estos gastos comprenden, entre otros, el pago de salarios y prestaciones del personal profesional y logístico no operativo, arrendamientos, servicios públicos, impuestos,</w:t>
      </w:r>
      <w:r>
        <w:rPr>
          <w:rFonts w:ascii="Verdana" w:hAnsi="Verdana" w:cs="Arial"/>
        </w:rPr>
        <w:t xml:space="preserve"> etc</w:t>
      </w:r>
      <w:r w:rsidRPr="00277553">
        <w:rPr>
          <w:rFonts w:ascii="Verdana" w:hAnsi="Verdana" w:cs="Arial"/>
        </w:rPr>
        <w:t>.</w:t>
      </w:r>
      <w:r>
        <w:rPr>
          <w:rFonts w:ascii="Verdana" w:hAnsi="Verdana" w:cs="Arial"/>
        </w:rPr>
        <w:t xml:space="preserve"> </w:t>
      </w:r>
      <w:r w:rsidRPr="00277553">
        <w:rPr>
          <w:rFonts w:ascii="Verdana" w:hAnsi="Verdana" w:cs="Arial"/>
        </w:rPr>
        <w:t>Tales erogaciones, aunque no forman parte directa de la ejecución material del</w:t>
      </w:r>
      <w:r>
        <w:rPr>
          <w:rFonts w:ascii="Verdana" w:hAnsi="Verdana" w:cs="Arial"/>
        </w:rPr>
        <w:t xml:space="preserve"> contrato</w:t>
      </w:r>
      <w:r w:rsidRPr="00277553">
        <w:rPr>
          <w:rFonts w:ascii="Verdana" w:hAnsi="Verdana" w:cs="Arial"/>
        </w:rPr>
        <w:t xml:space="preserve"> resultan esenciales para su adecuada gestión y cumplimiento</w:t>
      </w:r>
      <w:r>
        <w:rPr>
          <w:rFonts w:ascii="Verdana" w:hAnsi="Verdana" w:cs="Arial"/>
        </w:rPr>
        <w:t xml:space="preserve"> </w:t>
      </w:r>
      <w:proofErr w:type="gramStart"/>
      <w:r>
        <w:rPr>
          <w:rFonts w:ascii="Verdana" w:hAnsi="Verdana" w:cs="Arial"/>
        </w:rPr>
        <w:t>y</w:t>
      </w:r>
      <w:proofErr w:type="gramEnd"/>
      <w:r>
        <w:rPr>
          <w:rFonts w:ascii="Verdana" w:hAnsi="Verdana" w:cs="Arial"/>
        </w:rPr>
        <w:t xml:space="preserve"> por tanto,</w:t>
      </w:r>
      <w:r w:rsidRPr="00277553">
        <w:rPr>
          <w:rFonts w:ascii="Verdana" w:hAnsi="Verdana" w:cs="Arial"/>
        </w:rPr>
        <w:t xml:space="preserve"> deben ser previstos y valorados por el oferente dentro de su propuesta económica. </w:t>
      </w:r>
    </w:p>
    <w:p w14:paraId="37B2FF09" w14:textId="4F72ABC7" w:rsidR="00953C6B" w:rsidRDefault="00953C6B" w:rsidP="0023727A">
      <w:pPr>
        <w:spacing w:after="120" w:line="276" w:lineRule="auto"/>
        <w:ind w:firstLine="709"/>
        <w:jc w:val="both"/>
        <w:rPr>
          <w:rFonts w:ascii="Verdana" w:hAnsi="Verdana" w:cs="Arial"/>
        </w:rPr>
      </w:pPr>
      <w:r>
        <w:rPr>
          <w:rFonts w:ascii="Verdana" w:hAnsi="Verdana" w:cs="Arial"/>
        </w:rPr>
        <w:lastRenderedPageBreak/>
        <w:t xml:space="preserve">Partiendo de las consideraciones anteriores, es viable colegir que </w:t>
      </w:r>
      <w:r w:rsidRPr="00164E93">
        <w:rPr>
          <w:rFonts w:ascii="Verdana" w:hAnsi="Verdana" w:cs="Arial"/>
        </w:rPr>
        <w:t xml:space="preserve">dentro de los costos indirectos que integran el precio del contrato se </w:t>
      </w:r>
      <w:r>
        <w:rPr>
          <w:rFonts w:ascii="Verdana" w:hAnsi="Verdana" w:cs="Arial"/>
        </w:rPr>
        <w:t>podrían enmarcar</w:t>
      </w:r>
      <w:r w:rsidRPr="00164E93">
        <w:rPr>
          <w:rFonts w:ascii="Verdana" w:hAnsi="Verdana" w:cs="Arial"/>
        </w:rPr>
        <w:t xml:space="preserve"> los </w:t>
      </w:r>
      <w:r>
        <w:rPr>
          <w:rFonts w:ascii="Verdana" w:hAnsi="Verdana" w:cs="Arial"/>
        </w:rPr>
        <w:t>costos</w:t>
      </w:r>
      <w:r w:rsidRPr="00164E93">
        <w:rPr>
          <w:rFonts w:ascii="Verdana" w:hAnsi="Verdana" w:cs="Arial"/>
        </w:rPr>
        <w:t xml:space="preserve"> </w:t>
      </w:r>
      <w:r>
        <w:rPr>
          <w:rFonts w:ascii="Verdana" w:hAnsi="Verdana" w:cs="Arial"/>
        </w:rPr>
        <w:t xml:space="preserve">de la comisión fiduciaria </w:t>
      </w:r>
      <w:r w:rsidRPr="00164E93">
        <w:rPr>
          <w:rFonts w:ascii="Verdana" w:hAnsi="Verdana" w:cs="Arial"/>
        </w:rPr>
        <w:t xml:space="preserve">en los que incurre el contratista con ocasión del manejo del anticipo a través de una fiducia mercantil. </w:t>
      </w:r>
      <w:r>
        <w:rPr>
          <w:rFonts w:ascii="Verdana" w:hAnsi="Verdana" w:cs="Arial"/>
        </w:rPr>
        <w:t>En efecto, d</w:t>
      </w:r>
      <w:r w:rsidRPr="00164E93">
        <w:rPr>
          <w:rFonts w:ascii="Verdana" w:hAnsi="Verdana" w:cs="Arial"/>
        </w:rPr>
        <w:t>ichos gastos no corresponden a una actividad directamente vinculada al cumplimiento del objeto contractual, sino que constituyen</w:t>
      </w:r>
      <w:r>
        <w:rPr>
          <w:rFonts w:ascii="Verdana" w:hAnsi="Verdana" w:cs="Arial"/>
        </w:rPr>
        <w:t xml:space="preserve"> la remuneración a la fiduciaria por </w:t>
      </w:r>
      <w:r w:rsidRPr="00164E93">
        <w:rPr>
          <w:rFonts w:ascii="Verdana" w:hAnsi="Verdana" w:cs="Arial"/>
        </w:rPr>
        <w:t>la gestión financiera y operativa de</w:t>
      </w:r>
      <w:r>
        <w:rPr>
          <w:rFonts w:ascii="Verdana" w:hAnsi="Verdana" w:cs="Arial"/>
        </w:rPr>
        <w:t xml:space="preserve"> los recursos del</w:t>
      </w:r>
      <w:r w:rsidRPr="00164E93">
        <w:rPr>
          <w:rFonts w:ascii="Verdana" w:hAnsi="Verdana" w:cs="Arial"/>
        </w:rPr>
        <w:t xml:space="preserve"> </w:t>
      </w:r>
      <w:r>
        <w:rPr>
          <w:rFonts w:ascii="Verdana" w:hAnsi="Verdana" w:cs="Arial"/>
        </w:rPr>
        <w:t>anticipo</w:t>
      </w:r>
      <w:r w:rsidRPr="00164E93">
        <w:rPr>
          <w:rFonts w:ascii="Verdana" w:hAnsi="Verdana" w:cs="Arial"/>
        </w:rPr>
        <w:t xml:space="preserve">, derivados de </w:t>
      </w:r>
      <w:r>
        <w:rPr>
          <w:rFonts w:ascii="Verdana" w:hAnsi="Verdana" w:cs="Arial"/>
        </w:rPr>
        <w:t xml:space="preserve">la obligación de </w:t>
      </w:r>
      <w:r w:rsidRPr="00164E93">
        <w:rPr>
          <w:rFonts w:ascii="Verdana" w:hAnsi="Verdana" w:cs="Arial"/>
        </w:rPr>
        <w:t>garantizar el uso adecuado de</w:t>
      </w:r>
      <w:r>
        <w:rPr>
          <w:rFonts w:ascii="Verdana" w:hAnsi="Verdana" w:cs="Arial"/>
        </w:rPr>
        <w:t xml:space="preserve"> estos recursos</w:t>
      </w:r>
      <w:r w:rsidRPr="00164E93">
        <w:rPr>
          <w:rFonts w:ascii="Verdana" w:hAnsi="Verdana" w:cs="Arial"/>
        </w:rPr>
        <w:t xml:space="preserve">. </w:t>
      </w:r>
      <w:r>
        <w:rPr>
          <w:rFonts w:ascii="Verdana" w:hAnsi="Verdana" w:cs="Arial"/>
        </w:rPr>
        <w:t>De esta forma</w:t>
      </w:r>
      <w:r w:rsidRPr="00164E93">
        <w:rPr>
          <w:rFonts w:ascii="Verdana" w:hAnsi="Verdana" w:cs="Arial"/>
        </w:rPr>
        <w:t>, se</w:t>
      </w:r>
      <w:r>
        <w:rPr>
          <w:rFonts w:ascii="Verdana" w:hAnsi="Verdana" w:cs="Arial"/>
        </w:rPr>
        <w:t xml:space="preserve"> podrían</w:t>
      </w:r>
      <w:r w:rsidRPr="00164E93">
        <w:rPr>
          <w:rFonts w:ascii="Verdana" w:hAnsi="Verdana" w:cs="Arial"/>
        </w:rPr>
        <w:t xml:space="preserve"> </w:t>
      </w:r>
      <w:r>
        <w:rPr>
          <w:rFonts w:ascii="Verdana" w:hAnsi="Verdana" w:cs="Arial"/>
        </w:rPr>
        <w:t>incluir</w:t>
      </w:r>
      <w:r w:rsidRPr="00164E93">
        <w:rPr>
          <w:rFonts w:ascii="Verdana" w:hAnsi="Verdana" w:cs="Arial"/>
        </w:rPr>
        <w:t xml:space="preserve"> como costos indirectos, en la medida en que forman parte del conjunto de obligaciones administrativas y financieras que debe asumir el contratista para la ejecución </w:t>
      </w:r>
      <w:r>
        <w:rPr>
          <w:rFonts w:ascii="Verdana" w:hAnsi="Verdana" w:cs="Arial"/>
        </w:rPr>
        <w:t xml:space="preserve">operativa </w:t>
      </w:r>
      <w:r w:rsidRPr="00164E93">
        <w:rPr>
          <w:rFonts w:ascii="Verdana" w:hAnsi="Verdana" w:cs="Arial"/>
        </w:rPr>
        <w:t>del contrato, y pueden ser incluidos válidamente dentro del componente de “Administración” en la estructura de AIU.</w:t>
      </w:r>
    </w:p>
    <w:p w14:paraId="2C904DBE" w14:textId="4448FCED" w:rsidR="00953C6B" w:rsidRDefault="00953C6B" w:rsidP="0023727A">
      <w:pPr>
        <w:spacing w:after="120" w:line="276" w:lineRule="auto"/>
        <w:ind w:firstLine="709"/>
        <w:jc w:val="both"/>
        <w:rPr>
          <w:rFonts w:ascii="Verdana" w:hAnsi="Verdana" w:cs="Arial"/>
        </w:rPr>
      </w:pPr>
      <w:r>
        <w:rPr>
          <w:rFonts w:ascii="Verdana" w:hAnsi="Verdana" w:cs="Arial"/>
        </w:rPr>
        <w:t>L</w:t>
      </w:r>
      <w:r w:rsidRPr="00217D68">
        <w:rPr>
          <w:rFonts w:ascii="Verdana" w:hAnsi="Verdana" w:cs="Arial"/>
        </w:rPr>
        <w:t>o anterior sin perjuicio de que</w:t>
      </w:r>
      <w:r>
        <w:rPr>
          <w:rFonts w:ascii="Verdana" w:hAnsi="Verdana" w:cs="Arial"/>
        </w:rPr>
        <w:t>,</w:t>
      </w:r>
      <w:r w:rsidRPr="00217D68">
        <w:rPr>
          <w:rFonts w:ascii="Verdana" w:hAnsi="Verdana" w:cs="Arial"/>
        </w:rPr>
        <w:t xml:space="preserve"> en aquellos contratos cuya modalidad de pago no se estructura bajo el sistema de precios unitarios ni contempla el desglose del AIU, las condiciones económicas puedan pactarse de manera distinta. Por ejemplo, en los contratos a precio global</w:t>
      </w:r>
      <w:r>
        <w:rPr>
          <w:rFonts w:ascii="Verdana" w:hAnsi="Verdana" w:cs="Arial"/>
        </w:rPr>
        <w:t>, se</w:t>
      </w:r>
      <w:r w:rsidRPr="00217D68">
        <w:rPr>
          <w:rFonts w:ascii="Verdana" w:hAnsi="Verdana" w:cs="Arial"/>
        </w:rPr>
        <w:t xml:space="preserve"> puede prever un rubro </w:t>
      </w:r>
      <w:r w:rsidRPr="00277553">
        <w:rPr>
          <w:rFonts w:ascii="Verdana" w:hAnsi="Verdana" w:cs="Arial"/>
        </w:rPr>
        <w:t>general de costos indirectos, dentro</w:t>
      </w:r>
      <w:r w:rsidRPr="00217D68">
        <w:rPr>
          <w:rFonts w:ascii="Verdana" w:hAnsi="Verdana" w:cs="Arial"/>
        </w:rPr>
        <w:t xml:space="preserve"> del cual se incluya la partida correspondiente a la comisión fiduciaria por el manejo del anticipo. En todo caso, dichas estimaciones</w:t>
      </w:r>
      <w:r>
        <w:rPr>
          <w:rFonts w:ascii="Verdana" w:hAnsi="Verdana" w:cs="Arial"/>
        </w:rPr>
        <w:t xml:space="preserve"> </w:t>
      </w:r>
      <w:r w:rsidRPr="00217D68">
        <w:rPr>
          <w:rFonts w:ascii="Verdana" w:hAnsi="Verdana" w:cs="Arial"/>
        </w:rPr>
        <w:t>deberán ajustarse a valores razonables y objetivos, acordes con las condiciones del mercado</w:t>
      </w:r>
      <w:r>
        <w:rPr>
          <w:rFonts w:ascii="Verdana" w:hAnsi="Verdana" w:cs="Arial"/>
        </w:rPr>
        <w:t xml:space="preserve"> y las regulaciones normativas que se expiden para el efecto,</w:t>
      </w:r>
      <w:r w:rsidRPr="00217D68">
        <w:rPr>
          <w:rFonts w:ascii="Verdana" w:hAnsi="Verdana" w:cs="Arial"/>
        </w:rPr>
        <w:t xml:space="preserve"> a fin de evitar la inclusión </w:t>
      </w:r>
      <w:r>
        <w:rPr>
          <w:rFonts w:ascii="Verdana" w:hAnsi="Verdana" w:cs="Arial"/>
        </w:rPr>
        <w:t xml:space="preserve">de precios </w:t>
      </w:r>
      <w:r w:rsidRPr="00217D68">
        <w:rPr>
          <w:rFonts w:ascii="Verdana" w:hAnsi="Verdana" w:cs="Arial"/>
        </w:rPr>
        <w:t>elevados o desproporcionados que puedan afectar la transparencia del proceso contractual.</w:t>
      </w:r>
    </w:p>
    <w:p w14:paraId="13C4777F" w14:textId="432819CE" w:rsidR="00953C6B" w:rsidRDefault="00953C6B" w:rsidP="0023727A">
      <w:pPr>
        <w:snapToGrid w:val="0"/>
        <w:spacing w:after="120" w:line="276" w:lineRule="auto"/>
        <w:ind w:firstLine="601"/>
        <w:jc w:val="both"/>
        <w:rPr>
          <w:rFonts w:ascii="Verdana" w:eastAsia="Calibri" w:hAnsi="Verdana" w:cs="Arial"/>
          <w:lang w:val="es-ES" w:eastAsia="es-ES"/>
        </w:rPr>
      </w:pPr>
      <w:r w:rsidRPr="0068390B">
        <w:rPr>
          <w:rFonts w:ascii="Verdana" w:eastAsia="Calibri" w:hAnsi="Verdana" w:cs="Arial"/>
          <w:lang w:val="es-ES" w:eastAsia="es-ES"/>
        </w:rPr>
        <w:t xml:space="preserve">Así las cosas, las entidades cuentan con discrecionalidad para establecer en el pliego de condiciones o en su documento equivalente, así como en el contrato, el sistema de precios unitarios y la figura del AIU. De este modo, teniendo en cuenta que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 </w:t>
      </w:r>
    </w:p>
    <w:p w14:paraId="05FCB18A" w14:textId="600498DF" w:rsidR="00953C6B" w:rsidRPr="0023727A" w:rsidRDefault="00953C6B" w:rsidP="00953C6B">
      <w:pPr>
        <w:spacing w:after="120" w:line="276" w:lineRule="auto"/>
        <w:jc w:val="both"/>
        <w:rPr>
          <w:rFonts w:ascii="Verdana" w:hAnsi="Verdana"/>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w:t>
      </w:r>
      <w:r w:rsidRPr="00E853DE">
        <w:rPr>
          <w:rFonts w:ascii="Verdana" w:eastAsia="Calibri" w:hAnsi="Verdana" w:cs="Arial"/>
          <w:bCs/>
          <w:color w:val="000000" w:themeColor="text1"/>
        </w:rPr>
        <w:lastRenderedPageBreak/>
        <w:t>juicios de valor sobre circunstancias concretas relacionadas con los hechos que motivan la consulta. Por lo anterior, previo concepto de sus asesores, la solución de situaciones particulares corresponde a los interesados adoptar la decisión correspondiente y</w:t>
      </w:r>
      <w:r w:rsidRPr="006B2B7B">
        <w:rPr>
          <w:rFonts w:ascii="Verdana" w:eastAsia="Calibri" w:hAnsi="Verdana" w:cs="Arial"/>
          <w:bCs/>
          <w:color w:val="000000" w:themeColor="text1"/>
        </w:rPr>
        <w:t>, en caso de conflicto, a las autoridades judiciales, fiscales y disciplinarias.</w:t>
      </w:r>
    </w:p>
    <w:p w14:paraId="4A33A2EB" w14:textId="77777777" w:rsidR="00953C6B" w:rsidRPr="00185EE9" w:rsidRDefault="00953C6B" w:rsidP="00953C6B">
      <w:pPr>
        <w:spacing w:after="0" w:line="276" w:lineRule="auto"/>
        <w:ind w:firstLine="708"/>
        <w:jc w:val="both"/>
        <w:rPr>
          <w:rFonts w:ascii="Verdana" w:eastAsia="Calibri" w:hAnsi="Verdana" w:cs="Arial"/>
          <w:bCs/>
          <w:color w:val="000000" w:themeColor="text1"/>
        </w:rPr>
      </w:pPr>
      <w:r w:rsidRPr="006B2B7B">
        <w:rPr>
          <w:rFonts w:ascii="Verdana" w:eastAsia="Calibri" w:hAnsi="Verdana" w:cs="Arial"/>
          <w:bCs/>
          <w:color w:val="000000" w:themeColor="text1"/>
        </w:rPr>
        <w:t xml:space="preserve">Dentro de este marco, corresponde a cada entidad pública, en ejercicio de su competencia, determinar el </w:t>
      </w:r>
      <w:r w:rsidRPr="0068390B">
        <w:rPr>
          <w:rFonts w:ascii="Verdana" w:hAnsi="Verdana" w:cs="Arial"/>
          <w:lang w:val="es-ES" w:eastAsia="es-ES"/>
        </w:rPr>
        <w:t>esquema que la administración usará para estipular el precio</w:t>
      </w:r>
      <w:r>
        <w:rPr>
          <w:rFonts w:ascii="Verdana" w:eastAsia="Calibri" w:hAnsi="Verdana" w:cs="Arial"/>
          <w:bCs/>
          <w:color w:val="000000" w:themeColor="text1"/>
        </w:rPr>
        <w:t xml:space="preserve"> y lo referente a los costos indirectos</w:t>
      </w:r>
      <w:r w:rsidRPr="006B2B7B">
        <w:rPr>
          <w:rFonts w:ascii="Verdana" w:eastAsia="Calibri" w:hAnsi="Verdana" w:cs="Arial"/>
          <w:bCs/>
          <w:color w:val="000000" w:themeColor="text1"/>
        </w:rPr>
        <w:t>. Al tratarse de un análisis que debe realizarse en el procedimiento contractual específico, la Agencia no puede definir un criterio universal y absoluto</w:t>
      </w:r>
      <w:r w:rsidRPr="00E853DE">
        <w:rPr>
          <w:rFonts w:ascii="Verdana" w:eastAsia="Calibri" w:hAnsi="Verdana" w:cs="Arial"/>
          <w:bCs/>
          <w:color w:val="000000" w:themeColor="text1"/>
        </w:rPr>
        <w:t xml:space="preserve">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39FDFC85" w14:textId="77777777" w:rsidR="00953C6B" w:rsidRPr="008415A2" w:rsidRDefault="00953C6B" w:rsidP="00953C6B">
      <w:pPr>
        <w:spacing w:after="0" w:line="276" w:lineRule="auto"/>
        <w:jc w:val="both"/>
        <w:rPr>
          <w:rFonts w:ascii="Verdana" w:hAnsi="Verdana"/>
        </w:rPr>
      </w:pPr>
      <w:r>
        <w:rPr>
          <w:rFonts w:ascii="Verdana" w:hAnsi="Verdana"/>
        </w:rPr>
        <w:t xml:space="preserve"> </w:t>
      </w:r>
    </w:p>
    <w:p w14:paraId="5FCD4A6A" w14:textId="77777777" w:rsidR="00953C6B" w:rsidRPr="00593A5F" w:rsidRDefault="00953C6B" w:rsidP="00953C6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1ACA504" w14:textId="77777777" w:rsidR="00953C6B" w:rsidRPr="00593A5F" w:rsidRDefault="00953C6B" w:rsidP="00953C6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53C6B" w:rsidRPr="002407CE" w14:paraId="3BBBA03E" w14:textId="77777777" w:rsidTr="00AA5F25">
        <w:trPr>
          <w:trHeight w:val="870"/>
          <w:jc w:val="center"/>
        </w:trPr>
        <w:tc>
          <w:tcPr>
            <w:tcW w:w="8647" w:type="dxa"/>
          </w:tcPr>
          <w:p w14:paraId="3743627F" w14:textId="77777777" w:rsidR="00953C6B" w:rsidRPr="00D90432" w:rsidRDefault="00953C6B" w:rsidP="00AA5F25">
            <w:pPr>
              <w:pStyle w:val="Prrafodelista"/>
              <w:widowControl w:val="0"/>
              <w:numPr>
                <w:ilvl w:val="0"/>
                <w:numId w:val="17"/>
              </w:numPr>
              <w:autoSpaceDE w:val="0"/>
              <w:autoSpaceDN w:val="0"/>
              <w:spacing w:line="276" w:lineRule="auto"/>
              <w:ind w:left="459" w:hanging="283"/>
              <w:contextualSpacing w:val="0"/>
              <w:jc w:val="both"/>
              <w:rPr>
                <w:rFonts w:ascii="Verdana" w:hAnsi="Verdana" w:cs="Arial"/>
              </w:rPr>
            </w:pPr>
            <w:r w:rsidRPr="00D90432">
              <w:rPr>
                <w:rFonts w:ascii="Verdana" w:hAnsi="Verdana" w:cs="Arial"/>
              </w:rPr>
              <w:t>Ley 80 de 1993, artículos 4, 5, 12, 14, 26 y 40.</w:t>
            </w:r>
          </w:p>
          <w:p w14:paraId="2F266606" w14:textId="77777777" w:rsidR="00953C6B" w:rsidRPr="00D90432" w:rsidRDefault="00953C6B" w:rsidP="00AA5F25">
            <w:pPr>
              <w:pStyle w:val="Prrafodelista"/>
              <w:widowControl w:val="0"/>
              <w:numPr>
                <w:ilvl w:val="0"/>
                <w:numId w:val="17"/>
              </w:numPr>
              <w:autoSpaceDE w:val="0"/>
              <w:autoSpaceDN w:val="0"/>
              <w:spacing w:line="276" w:lineRule="auto"/>
              <w:ind w:left="459" w:hanging="283"/>
              <w:contextualSpacing w:val="0"/>
              <w:jc w:val="both"/>
              <w:rPr>
                <w:rFonts w:ascii="Verdana" w:hAnsi="Verdana" w:cs="Arial"/>
              </w:rPr>
            </w:pPr>
            <w:r w:rsidRPr="00D90432">
              <w:rPr>
                <w:rFonts w:ascii="Verdana" w:hAnsi="Verdana" w:cs="Arial"/>
              </w:rPr>
              <w:t>Ley 1474 de 2011, artículo 91.</w:t>
            </w:r>
          </w:p>
          <w:p w14:paraId="6F24BD62" w14:textId="77777777" w:rsidR="00953C6B" w:rsidRPr="00D90432" w:rsidRDefault="00953C6B" w:rsidP="00AA5F25">
            <w:pPr>
              <w:pStyle w:val="Prrafodelista"/>
              <w:widowControl w:val="0"/>
              <w:numPr>
                <w:ilvl w:val="0"/>
                <w:numId w:val="17"/>
              </w:numPr>
              <w:autoSpaceDE w:val="0"/>
              <w:autoSpaceDN w:val="0"/>
              <w:spacing w:line="276" w:lineRule="auto"/>
              <w:ind w:left="459" w:hanging="283"/>
              <w:contextualSpacing w:val="0"/>
              <w:jc w:val="both"/>
              <w:rPr>
                <w:rFonts w:ascii="Verdana" w:hAnsi="Verdana" w:cs="Arial"/>
              </w:rPr>
            </w:pPr>
            <w:r w:rsidRPr="00D90432">
              <w:rPr>
                <w:rFonts w:ascii="Verdana" w:hAnsi="Verdana" w:cs="Arial"/>
              </w:rPr>
              <w:t xml:space="preserve">Decreto 1082 de 2015, artículos 2.2.1.1.2.4.1 y </w:t>
            </w:r>
            <w:r w:rsidRPr="00D90432">
              <w:rPr>
                <w:rFonts w:ascii="Verdana" w:hAnsi="Verdana" w:cs="Arial"/>
                <w:color w:val="000000" w:themeColor="text1"/>
              </w:rPr>
              <w:t>2.2.1.1.2.1.3</w:t>
            </w:r>
          </w:p>
          <w:p w14:paraId="6F824432" w14:textId="77777777" w:rsidR="00953C6B" w:rsidRPr="00D90432" w:rsidRDefault="00953C6B" w:rsidP="00AA5F25">
            <w:pPr>
              <w:pStyle w:val="Prrafodelista"/>
              <w:widowControl w:val="0"/>
              <w:numPr>
                <w:ilvl w:val="0"/>
                <w:numId w:val="17"/>
              </w:numPr>
              <w:autoSpaceDE w:val="0"/>
              <w:autoSpaceDN w:val="0"/>
              <w:spacing w:line="276" w:lineRule="auto"/>
              <w:ind w:left="459" w:hanging="283"/>
              <w:jc w:val="both"/>
              <w:rPr>
                <w:rFonts w:ascii="Verdana" w:hAnsi="Verdana" w:cs="Arial"/>
              </w:rPr>
            </w:pPr>
            <w:r w:rsidRPr="00D90432">
              <w:rPr>
                <w:rFonts w:ascii="Verdana" w:hAnsi="Verdana" w:cs="Arial"/>
              </w:rPr>
              <w:t xml:space="preserve">Consejo </w:t>
            </w:r>
            <w:r>
              <w:rPr>
                <w:rFonts w:ascii="Verdana" w:hAnsi="Verdana" w:cs="Arial"/>
              </w:rPr>
              <w:t>d</w:t>
            </w:r>
            <w:r w:rsidRPr="00D90432">
              <w:rPr>
                <w:rFonts w:ascii="Verdana" w:hAnsi="Verdana" w:cs="Arial"/>
              </w:rPr>
              <w:t>e Estado. Sala de lo Contencioso Administrativo. Sección Tercera – Subsección A. Sentencia del 16 de mayo de 2019. Rad. (40102). C.P: María Adriana Marín</w:t>
            </w:r>
          </w:p>
          <w:p w14:paraId="737F2C12" w14:textId="77777777" w:rsidR="00953C6B" w:rsidRPr="00D90432" w:rsidRDefault="00953C6B" w:rsidP="00AA5F25">
            <w:pPr>
              <w:pStyle w:val="Prrafodelista"/>
              <w:widowControl w:val="0"/>
              <w:numPr>
                <w:ilvl w:val="0"/>
                <w:numId w:val="17"/>
              </w:numPr>
              <w:autoSpaceDE w:val="0"/>
              <w:autoSpaceDN w:val="0"/>
              <w:spacing w:line="276" w:lineRule="auto"/>
              <w:ind w:left="459" w:hanging="283"/>
              <w:jc w:val="both"/>
              <w:rPr>
                <w:rFonts w:ascii="Verdana" w:hAnsi="Verdana" w:cs="Arial"/>
              </w:rPr>
            </w:pPr>
            <w:r w:rsidRPr="00D90432">
              <w:rPr>
                <w:rFonts w:ascii="Verdana" w:hAnsi="Verdana" w:cs="Arial"/>
              </w:rPr>
              <w:t xml:space="preserve">Consejo </w:t>
            </w:r>
            <w:r>
              <w:rPr>
                <w:rFonts w:ascii="Verdana" w:hAnsi="Verdana" w:cs="Arial"/>
              </w:rPr>
              <w:t>d</w:t>
            </w:r>
            <w:r w:rsidRPr="00D90432">
              <w:rPr>
                <w:rFonts w:ascii="Verdana" w:hAnsi="Verdana" w:cs="Arial"/>
              </w:rPr>
              <w:t xml:space="preserve">e Estado. Sala de lo Contencioso Administrativo. Sección Tercera – Subsección C. Sentencia del 2 de octubre del 2020. Rad. 63644. CP. Jaime Enrique Rodríguez Nava. </w:t>
            </w:r>
          </w:p>
          <w:p w14:paraId="70CA9CC2" w14:textId="77777777" w:rsidR="00953C6B" w:rsidRPr="00D90432" w:rsidRDefault="00953C6B" w:rsidP="00AA5F25">
            <w:pPr>
              <w:pStyle w:val="Prrafodelista"/>
              <w:widowControl w:val="0"/>
              <w:numPr>
                <w:ilvl w:val="0"/>
                <w:numId w:val="17"/>
              </w:numPr>
              <w:autoSpaceDE w:val="0"/>
              <w:autoSpaceDN w:val="0"/>
              <w:spacing w:line="276" w:lineRule="auto"/>
              <w:ind w:left="459" w:hanging="283"/>
              <w:contextualSpacing w:val="0"/>
              <w:jc w:val="both"/>
              <w:rPr>
                <w:rFonts w:ascii="Verdana" w:hAnsi="Verdana" w:cs="Arial"/>
              </w:rPr>
            </w:pPr>
            <w:r w:rsidRPr="00D90432">
              <w:rPr>
                <w:rFonts w:ascii="Verdana" w:hAnsi="Verdana" w:cs="Arial"/>
              </w:rPr>
              <w:t xml:space="preserve">Consejo </w:t>
            </w:r>
            <w:r>
              <w:rPr>
                <w:rFonts w:ascii="Verdana" w:hAnsi="Verdana" w:cs="Arial"/>
              </w:rPr>
              <w:t>d</w:t>
            </w:r>
            <w:r w:rsidRPr="00D90432">
              <w:rPr>
                <w:rFonts w:ascii="Verdana" w:hAnsi="Verdana" w:cs="Arial"/>
              </w:rPr>
              <w:t xml:space="preserve">e Estado. Sección Tercera. Sentencia de 22 de junio de 2001. </w:t>
            </w:r>
            <w:proofErr w:type="spellStart"/>
            <w:r w:rsidRPr="00D90432">
              <w:rPr>
                <w:rFonts w:ascii="Verdana" w:hAnsi="Verdana" w:cs="Arial"/>
              </w:rPr>
              <w:t>Exp</w:t>
            </w:r>
            <w:proofErr w:type="spellEnd"/>
            <w:r w:rsidRPr="00D90432">
              <w:rPr>
                <w:rFonts w:ascii="Verdana" w:hAnsi="Verdana" w:cs="Arial"/>
              </w:rPr>
              <w:t>. 13436, C.P. Ricardo Hoyos Duque</w:t>
            </w:r>
          </w:p>
          <w:p w14:paraId="27EC9FCF" w14:textId="77777777" w:rsidR="00953C6B" w:rsidRPr="000F7403" w:rsidRDefault="00953C6B" w:rsidP="00AA5F25">
            <w:pPr>
              <w:pStyle w:val="Prrafodelista"/>
              <w:widowControl w:val="0"/>
              <w:numPr>
                <w:ilvl w:val="0"/>
                <w:numId w:val="17"/>
              </w:numPr>
              <w:autoSpaceDE w:val="0"/>
              <w:autoSpaceDN w:val="0"/>
              <w:spacing w:line="276" w:lineRule="auto"/>
              <w:ind w:left="459" w:hanging="283"/>
              <w:contextualSpacing w:val="0"/>
              <w:jc w:val="both"/>
              <w:rPr>
                <w:rFonts w:ascii="Verdana" w:hAnsi="Verdana" w:cs="Arial"/>
              </w:rPr>
            </w:pPr>
            <w:r w:rsidRPr="00D90432">
              <w:rPr>
                <w:rFonts w:ascii="Verdana" w:hAnsi="Verdana" w:cs="Arial"/>
              </w:rPr>
              <w:t xml:space="preserve">Consejo de Estado. </w:t>
            </w:r>
            <w:r w:rsidRPr="00D90432">
              <w:rPr>
                <w:rFonts w:ascii="Verdana" w:eastAsiaTheme="minorEastAsia" w:hAnsi="Verdana" w:cs="Arial"/>
                <w:lang w:val="es-ES_tradnl" w:eastAsia="es-CO"/>
              </w:rPr>
              <w:t>Sala de Consulta y Servicio Civil. Concepto del 4 de marzo de 1998. Radicado Nro. 1.074. CP.: Cesar Hoyos Salazar.</w:t>
            </w:r>
          </w:p>
        </w:tc>
      </w:tr>
    </w:tbl>
    <w:p w14:paraId="27FF2E69" w14:textId="77777777" w:rsidR="00953C6B" w:rsidRPr="002407CE" w:rsidRDefault="00953C6B" w:rsidP="00953C6B">
      <w:pPr>
        <w:widowControl w:val="0"/>
        <w:autoSpaceDE w:val="0"/>
        <w:autoSpaceDN w:val="0"/>
        <w:spacing w:after="0" w:line="276" w:lineRule="auto"/>
        <w:jc w:val="both"/>
        <w:rPr>
          <w:rFonts w:ascii="Verdana" w:hAnsi="Verdana" w:cs="Arial"/>
        </w:rPr>
      </w:pPr>
    </w:p>
    <w:p w14:paraId="03A43B5A" w14:textId="77777777" w:rsidR="00953C6B" w:rsidRPr="00593A5F" w:rsidRDefault="00953C6B" w:rsidP="00953C6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E85B0EE" w14:textId="77777777" w:rsidR="00953C6B" w:rsidRPr="00593A5F" w:rsidRDefault="00953C6B" w:rsidP="00953C6B">
      <w:pPr>
        <w:widowControl w:val="0"/>
        <w:autoSpaceDE w:val="0"/>
        <w:autoSpaceDN w:val="0"/>
        <w:spacing w:after="0" w:line="276" w:lineRule="auto"/>
        <w:jc w:val="both"/>
        <w:rPr>
          <w:rFonts w:ascii="Verdana" w:hAnsi="Verdana" w:cs="Arial"/>
        </w:rPr>
      </w:pPr>
    </w:p>
    <w:p w14:paraId="79E16E01" w14:textId="77777777" w:rsidR="00953C6B" w:rsidRPr="00ED0098" w:rsidRDefault="00953C6B" w:rsidP="00953C6B">
      <w:pPr>
        <w:widowControl w:val="0"/>
        <w:autoSpaceDE w:val="0"/>
        <w:autoSpaceDN w:val="0"/>
        <w:spacing w:after="0" w:line="276" w:lineRule="auto"/>
        <w:jc w:val="both"/>
        <w:rPr>
          <w:rStyle w:val="normaltextrun"/>
          <w:rFonts w:ascii="Verdana" w:hAnsi="Verdana" w:cs="Arial"/>
          <w:shd w:val="clear" w:color="auto" w:fill="FFFFFF"/>
        </w:rPr>
      </w:pPr>
      <w:r w:rsidRPr="0068390B">
        <w:rPr>
          <w:rFonts w:ascii="Verdana" w:hAnsi="Verdana" w:cs="Arial"/>
          <w:shd w:val="clear" w:color="auto" w:fill="FFFFFF"/>
        </w:rPr>
        <w:t xml:space="preserve">La Agencia Nacional de Contratación Pública – Colombia Compra Eficiente se ha pronunciado en varias ocasiones sobre el AIU en los Conceptos 4201714000005136 del 14 de noviembre de 2017; 4201714000006401 del 23 </w:t>
      </w:r>
      <w:r w:rsidRPr="0068390B">
        <w:rPr>
          <w:rFonts w:ascii="Verdana" w:hAnsi="Verdana" w:cs="Arial"/>
          <w:shd w:val="clear" w:color="auto" w:fill="FFFFFF"/>
        </w:rPr>
        <w:lastRenderedPageBreak/>
        <w:t>de noviembre de 2017; 4201813000004155 del 9 de mayo de 2018; 4201814000008069 del 27 de septiembre de 2018; 4201814000007383 del 18 de octubre de 2018; 4201814000008069 del 13 de noviembre de 2018; 4201912000004214 del 26 de junio de 2019; 4201912000006455 y 4201912000006463 del 19 de septiembre de 2019; 4201912000007375 del 28 de octubre de 2019; 4201912000007092 del 29 de noviembre de 2019; 4202012000000093,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C-401 del 27 de septiembre de 2023, C-455 del 18 de septiembre de 2024, C-065 del 27 de febrero de 2025 y C-248 del 3 de abril de 2025</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w:t>
      </w:r>
      <w:r>
        <w:rPr>
          <w:rFonts w:ascii="Verdana" w:hAnsi="Verdana" w:cs="Arial"/>
          <w:shd w:val="clear" w:color="auto" w:fill="FFFFFF"/>
        </w:rPr>
        <w:t>conceptos</w:t>
      </w:r>
      <w:r w:rsidRPr="008D0AB0">
        <w:rPr>
          <w:rStyle w:val="normaltextrun"/>
          <w:rFonts w:ascii="Verdana" w:hAnsi="Verdana" w:cs="Arial"/>
          <w:shd w:val="clear" w:color="auto" w:fill="FFFFFF"/>
        </w:rPr>
        <w:t xml:space="preserve"> se encuentran disponibles para consulta en el Sistema de relatoría de la Agencia, al cual puede accederse a través del siguiente enlace: </w:t>
      </w:r>
      <w:hyperlink r:id="rId14"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120DF7AB" w14:textId="77777777" w:rsidR="00953C6B" w:rsidRDefault="00953C6B" w:rsidP="00953C6B">
      <w:pPr>
        <w:shd w:val="clear" w:color="auto" w:fill="FFFFFF" w:themeFill="background1"/>
        <w:spacing w:after="0" w:line="276" w:lineRule="auto"/>
        <w:jc w:val="both"/>
        <w:rPr>
          <w:rFonts w:ascii="Verdana" w:hAnsi="Verdana"/>
          <w:color w:val="000000" w:themeColor="text1"/>
        </w:rPr>
      </w:pPr>
    </w:p>
    <w:p w14:paraId="3CE317D0" w14:textId="77777777" w:rsidR="00953C6B" w:rsidRPr="001205D1" w:rsidRDefault="00953C6B" w:rsidP="00953C6B">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22DDD88E" w14:textId="1B8EEE16" w:rsidR="00953C6B" w:rsidRPr="00853396" w:rsidRDefault="00953C6B" w:rsidP="00953C6B">
      <w:pPr>
        <w:shd w:val="clear" w:color="auto" w:fill="FFFFFF" w:themeFill="background1"/>
        <w:spacing w:after="0" w:line="276" w:lineRule="auto"/>
        <w:jc w:val="both"/>
        <w:rPr>
          <w:rFonts w:ascii="Verdana" w:hAnsi="Verdana" w:cs="Arial"/>
          <w:color w:val="FF0000"/>
          <w:lang w:val="es-ES"/>
        </w:rPr>
      </w:pPr>
    </w:p>
    <w:p w14:paraId="33C99588" w14:textId="77777777" w:rsidR="00953C6B" w:rsidRPr="00593A5F" w:rsidRDefault="00953C6B" w:rsidP="00953C6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77A42FE" w14:textId="77777777" w:rsidR="00953C6B" w:rsidRPr="00593A5F" w:rsidRDefault="00953C6B" w:rsidP="00953C6B">
      <w:pPr>
        <w:widowControl w:val="0"/>
        <w:autoSpaceDE w:val="0"/>
        <w:autoSpaceDN w:val="0"/>
        <w:spacing w:after="0" w:line="276" w:lineRule="auto"/>
        <w:jc w:val="both"/>
        <w:rPr>
          <w:rFonts w:ascii="Verdana" w:hAnsi="Verdana" w:cs="Arial"/>
        </w:rPr>
      </w:pPr>
    </w:p>
    <w:p w14:paraId="0868FA25" w14:textId="77777777" w:rsidR="00953C6B" w:rsidRDefault="00953C6B" w:rsidP="00953C6B">
      <w:pPr>
        <w:widowControl w:val="0"/>
        <w:spacing w:after="0" w:line="276" w:lineRule="auto"/>
        <w:jc w:val="both"/>
        <w:rPr>
          <w:rFonts w:ascii="Verdana" w:hAnsi="Verdana" w:cs="Arial"/>
        </w:rPr>
      </w:pPr>
    </w:p>
    <w:p w14:paraId="3E511830" w14:textId="77777777" w:rsidR="00953C6B" w:rsidRPr="00D8712E" w:rsidRDefault="00953C6B" w:rsidP="00953C6B">
      <w:pPr>
        <w:spacing w:after="0" w:line="240" w:lineRule="auto"/>
      </w:pPr>
      <w:r w:rsidRPr="24754E3A">
        <w:rPr>
          <w:rFonts w:ascii="Verdana" w:eastAsia="Times New Roman" w:hAnsi="Verdana" w:cs="Arial"/>
          <w:lang w:eastAsia="es-CO"/>
        </w:rPr>
        <w:t>Atentamente,</w:t>
      </w:r>
    </w:p>
    <w:p w14:paraId="4819AC80" w14:textId="7472D76A" w:rsidR="00953C6B" w:rsidRDefault="00953C6B" w:rsidP="00953C6B">
      <w:pPr>
        <w:spacing w:after="0" w:line="240" w:lineRule="auto"/>
        <w:jc w:val="center"/>
        <w:rPr>
          <w:noProof/>
        </w:rPr>
      </w:pPr>
      <w:r w:rsidRPr="24754E3A">
        <w:rPr>
          <w:rFonts w:ascii="Verdana" w:hAnsi="Verdana" w:cs="Arial"/>
          <w:lang w:eastAsia="es-CO"/>
        </w:rPr>
        <w:lastRenderedPageBreak/>
        <w:t xml:space="preserve"> </w:t>
      </w:r>
    </w:p>
    <w:p w14:paraId="5AA5887E" w14:textId="2163F65D" w:rsidR="0023727A" w:rsidRDefault="00853396" w:rsidP="00953C6B">
      <w:pPr>
        <w:spacing w:after="0" w:line="240" w:lineRule="auto"/>
        <w:jc w:val="center"/>
        <w:rPr>
          <w:noProof/>
        </w:rPr>
      </w:pPr>
      <w:r w:rsidRPr="0082531D">
        <w:rPr>
          <w:rFonts w:ascii="Verdana" w:hAnsi="Verdana" w:cs="Arial"/>
          <w:noProof/>
          <w:lang w:eastAsia="es-CO"/>
        </w:rPr>
        <w:drawing>
          <wp:inline distT="0" distB="0" distL="0" distR="0" wp14:anchorId="12EF0E87" wp14:editId="780D021E">
            <wp:extent cx="3676650" cy="1379220"/>
            <wp:effectExtent l="0" t="0" r="0" b="0"/>
            <wp:docPr id="14117001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700111" name=""/>
                    <pic:cNvPicPr/>
                  </pic:nvPicPr>
                  <pic:blipFill>
                    <a:blip r:embed="rId16"/>
                    <a:stretch>
                      <a:fillRect/>
                    </a:stretch>
                  </pic:blipFill>
                  <pic:spPr>
                    <a:xfrm>
                      <a:off x="0" y="0"/>
                      <a:ext cx="3677171" cy="1379415"/>
                    </a:xfrm>
                    <a:prstGeom prst="rect">
                      <a:avLst/>
                    </a:prstGeom>
                  </pic:spPr>
                </pic:pic>
              </a:graphicData>
            </a:graphic>
          </wp:inline>
        </w:drawing>
      </w:r>
    </w:p>
    <w:p w14:paraId="15CFBD85" w14:textId="77777777" w:rsidR="0023727A" w:rsidRPr="00D8712E" w:rsidRDefault="0023727A" w:rsidP="00953C6B">
      <w:pPr>
        <w:spacing w:after="0" w:line="240" w:lineRule="auto"/>
        <w:jc w:val="cente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53C6B" w:rsidRPr="00D8712E" w14:paraId="304E8C7D" w14:textId="77777777" w:rsidTr="00AA5F25">
        <w:trPr>
          <w:trHeight w:val="315"/>
        </w:trPr>
        <w:tc>
          <w:tcPr>
            <w:tcW w:w="893" w:type="dxa"/>
            <w:vAlign w:val="center"/>
            <w:hideMark/>
          </w:tcPr>
          <w:p w14:paraId="1BFB73C8" w14:textId="77777777" w:rsidR="00953C6B" w:rsidRPr="00D8712E" w:rsidRDefault="00953C6B" w:rsidP="00AA5F25">
            <w:pPr>
              <w:contextualSpacing/>
              <w:rPr>
                <w:rFonts w:ascii="Verdana" w:hAnsi="Verdana" w:cs="Arial"/>
                <w:sz w:val="16"/>
                <w:szCs w:val="16"/>
                <w:lang w:eastAsia="es-ES"/>
              </w:rPr>
            </w:pPr>
            <w:r w:rsidRPr="00D8712E">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18958BDC" w14:textId="77777777" w:rsidR="00953C6B" w:rsidRPr="00D8712E" w:rsidRDefault="00953C6B" w:rsidP="00AA5F25">
            <w:pPr>
              <w:contextualSpacing/>
              <w:rPr>
                <w:rFonts w:ascii="Verdana" w:hAnsi="Verdana"/>
                <w:sz w:val="16"/>
                <w:szCs w:val="16"/>
              </w:rPr>
            </w:pPr>
            <w:r w:rsidRPr="00D8712E">
              <w:rPr>
                <w:rFonts w:ascii="Verdana" w:hAnsi="Verdana"/>
                <w:sz w:val="16"/>
                <w:szCs w:val="16"/>
              </w:rPr>
              <w:t>Tatiana Baquero Iguarán</w:t>
            </w:r>
          </w:p>
          <w:p w14:paraId="3C234659" w14:textId="77777777" w:rsidR="00953C6B" w:rsidRPr="00D8712E" w:rsidRDefault="00953C6B" w:rsidP="00AA5F25">
            <w:pPr>
              <w:contextualSpacing/>
              <w:rPr>
                <w:rFonts w:ascii="Verdana" w:eastAsia="Arial" w:hAnsi="Verdana" w:cs="Arial"/>
                <w:sz w:val="16"/>
                <w:szCs w:val="16"/>
              </w:rPr>
            </w:pPr>
            <w:r w:rsidRPr="00D8712E">
              <w:rPr>
                <w:rFonts w:ascii="Verdana" w:hAnsi="Verdana"/>
                <w:sz w:val="16"/>
                <w:szCs w:val="16"/>
              </w:rPr>
              <w:t>Contratista de la Subdirección de Gestión Contractual</w:t>
            </w:r>
          </w:p>
        </w:tc>
      </w:tr>
      <w:tr w:rsidR="00953C6B" w:rsidRPr="00D8712E" w14:paraId="1160998A" w14:textId="77777777" w:rsidTr="00AA5F25">
        <w:trPr>
          <w:trHeight w:val="330"/>
        </w:trPr>
        <w:tc>
          <w:tcPr>
            <w:tcW w:w="893" w:type="dxa"/>
            <w:vAlign w:val="center"/>
            <w:hideMark/>
          </w:tcPr>
          <w:p w14:paraId="50706E2D" w14:textId="77777777" w:rsidR="00953C6B" w:rsidRPr="00D8712E" w:rsidRDefault="00953C6B" w:rsidP="00AA5F25">
            <w:pPr>
              <w:contextualSpacing/>
              <w:rPr>
                <w:rFonts w:ascii="Verdana" w:hAnsi="Verdana" w:cs="Arial"/>
                <w:sz w:val="16"/>
                <w:szCs w:val="16"/>
                <w:lang w:eastAsia="es-ES"/>
              </w:rPr>
            </w:pPr>
            <w:r w:rsidRPr="00D8712E">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43F9B3A" w14:textId="77777777" w:rsidR="00953C6B" w:rsidRPr="00D8712E" w:rsidRDefault="00953C6B" w:rsidP="00AA5F25">
            <w:pPr>
              <w:textAlignment w:val="baseline"/>
              <w:rPr>
                <w:rFonts w:ascii="Verdana" w:eastAsia="Times New Roman" w:hAnsi="Verdana" w:cs="Arial"/>
                <w:sz w:val="16"/>
                <w:szCs w:val="16"/>
                <w:lang w:val="es-MX" w:eastAsia="es-CO"/>
              </w:rPr>
            </w:pPr>
            <w:r w:rsidRPr="00D8712E">
              <w:rPr>
                <w:rFonts w:ascii="Verdana" w:eastAsia="Times New Roman" w:hAnsi="Verdana" w:cs="Arial"/>
                <w:sz w:val="16"/>
                <w:szCs w:val="16"/>
                <w:lang w:val="es-MX" w:eastAsia="es-CO"/>
              </w:rPr>
              <w:t>Alejandro Sarmiento Cantillo</w:t>
            </w:r>
          </w:p>
          <w:p w14:paraId="1732C29C" w14:textId="77777777" w:rsidR="00953C6B" w:rsidRPr="00D8712E" w:rsidRDefault="00953C6B" w:rsidP="00AA5F25">
            <w:pPr>
              <w:spacing w:beforeAutospacing="1" w:afterAutospacing="1"/>
              <w:contextualSpacing/>
              <w:textAlignment w:val="baseline"/>
              <w:rPr>
                <w:rFonts w:ascii="Verdana" w:eastAsia="Times New Roman" w:hAnsi="Verdana" w:cs="Segoe UI"/>
                <w:sz w:val="16"/>
                <w:szCs w:val="16"/>
                <w:lang w:eastAsia="es-ES"/>
              </w:rPr>
            </w:pPr>
            <w:r w:rsidRPr="00D8712E">
              <w:rPr>
                <w:rFonts w:ascii="Verdana" w:eastAsia="Times New Roman" w:hAnsi="Verdana" w:cs="Arial"/>
                <w:sz w:val="16"/>
                <w:szCs w:val="16"/>
                <w:lang w:val="es-MX" w:eastAsia="es-CO"/>
              </w:rPr>
              <w:t>Gestor T1-15 de la Subdirección de Gestión Contractual</w:t>
            </w:r>
          </w:p>
        </w:tc>
      </w:tr>
      <w:tr w:rsidR="00953C6B" w:rsidRPr="00D8712E" w14:paraId="009985D0" w14:textId="77777777" w:rsidTr="00AA5F25">
        <w:trPr>
          <w:trHeight w:val="300"/>
        </w:trPr>
        <w:tc>
          <w:tcPr>
            <w:tcW w:w="893" w:type="dxa"/>
            <w:vAlign w:val="center"/>
          </w:tcPr>
          <w:p w14:paraId="41EF05D2" w14:textId="77777777" w:rsidR="00953C6B" w:rsidRPr="00D8712E" w:rsidRDefault="00953C6B" w:rsidP="00AA5F25">
            <w:pPr>
              <w:contextualSpacing/>
              <w:rPr>
                <w:rFonts w:ascii="Verdana" w:hAnsi="Verdana" w:cs="Arial"/>
                <w:sz w:val="16"/>
                <w:szCs w:val="16"/>
                <w:lang w:eastAsia="es-ES"/>
              </w:rPr>
            </w:pPr>
            <w:r w:rsidRPr="00D8712E">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9BF1618" w14:textId="3259FBDB" w:rsidR="00953C6B" w:rsidRPr="00D8712E" w:rsidRDefault="00953C6B" w:rsidP="00AA5F25">
            <w:pPr>
              <w:rPr>
                <w:rFonts w:ascii="Verdana" w:eastAsia="Calibri" w:hAnsi="Verdana" w:cs="Arial"/>
                <w:sz w:val="16"/>
                <w:szCs w:val="16"/>
                <w:lang w:val="pt-BR" w:eastAsia="es-ES"/>
              </w:rPr>
            </w:pPr>
            <w:r w:rsidRPr="00D8712E">
              <w:rPr>
                <w:rFonts w:ascii="Verdana" w:eastAsia="Calibri" w:hAnsi="Verdana" w:cs="Arial"/>
                <w:sz w:val="16"/>
                <w:szCs w:val="16"/>
                <w:lang w:val="pt-BR" w:eastAsia="es-ES"/>
              </w:rPr>
              <w:t>Ana Maria Tolosa Rico</w:t>
            </w:r>
          </w:p>
          <w:p w14:paraId="02BF512B" w14:textId="66D2874D" w:rsidR="00953C6B" w:rsidRPr="00D8712E" w:rsidRDefault="00953C6B" w:rsidP="00AA5F25">
            <w:pPr>
              <w:contextualSpacing/>
              <w:rPr>
                <w:rFonts w:ascii="Verdana" w:eastAsia="Calibri" w:hAnsi="Verdana" w:cs="Arial"/>
                <w:sz w:val="16"/>
                <w:szCs w:val="16"/>
                <w:lang w:eastAsia="es-ES"/>
              </w:rPr>
            </w:pPr>
            <w:r w:rsidRPr="00D8712E">
              <w:rPr>
                <w:rFonts w:ascii="Verdana" w:eastAsia="Calibri" w:hAnsi="Verdana" w:cs="Arial"/>
                <w:sz w:val="16"/>
                <w:szCs w:val="16"/>
                <w:lang w:eastAsia="es-ES"/>
              </w:rPr>
              <w:t>Subdirectora</w:t>
            </w:r>
            <w:r w:rsidRPr="00D8712E">
              <w:rPr>
                <w:rFonts w:ascii="Verdana" w:eastAsia="Calibri" w:hAnsi="Verdana" w:cs="Arial"/>
                <w:sz w:val="16"/>
                <w:szCs w:val="16"/>
                <w:lang w:val="pt-BR" w:eastAsia="es-ES"/>
              </w:rPr>
              <w:t xml:space="preserve"> de Gestión Contratual </w:t>
            </w:r>
            <w:r w:rsidR="0047108C">
              <w:rPr>
                <w:rFonts w:ascii="Verdana" w:eastAsia="Calibri" w:hAnsi="Verdana" w:cs="Arial"/>
                <w:sz w:val="16"/>
                <w:szCs w:val="16"/>
                <w:lang w:val="pt-BR" w:eastAsia="es-ES"/>
              </w:rPr>
              <w:t xml:space="preserve">(E) </w:t>
            </w:r>
            <w:r w:rsidRPr="00D8712E">
              <w:rPr>
                <w:rFonts w:ascii="Verdana" w:eastAsia="Calibri" w:hAnsi="Verdana" w:cs="Arial"/>
                <w:sz w:val="16"/>
                <w:szCs w:val="16"/>
                <w:lang w:val="pt-BR" w:eastAsia="es-ES"/>
              </w:rPr>
              <w:t>ANCP – CCE</w:t>
            </w:r>
          </w:p>
        </w:tc>
      </w:tr>
    </w:tbl>
    <w:p w14:paraId="1CAF2FF8" w14:textId="77777777" w:rsidR="00953C6B" w:rsidRPr="00D8712E" w:rsidRDefault="00953C6B" w:rsidP="00953C6B"/>
    <w:p w14:paraId="07CFF86F" w14:textId="77777777" w:rsidR="00953C6B" w:rsidRPr="00B36323" w:rsidRDefault="00953C6B" w:rsidP="00953C6B"/>
    <w:p w14:paraId="507A7BA0" w14:textId="77777777" w:rsidR="00953C6B" w:rsidRDefault="00953C6B" w:rsidP="00953C6B"/>
    <w:p w14:paraId="05E57B4A" w14:textId="77777777" w:rsidR="00953C6B" w:rsidRPr="00B65207" w:rsidRDefault="00953C6B" w:rsidP="00953C6B"/>
    <w:p w14:paraId="29AE4B2A" w14:textId="77777777" w:rsidR="00790BF7" w:rsidRDefault="00790BF7" w:rsidP="00650E02">
      <w:pPr>
        <w:spacing w:after="0" w:line="240" w:lineRule="auto"/>
        <w:rPr>
          <w:rFonts w:ascii="Verdana" w:eastAsia="Geomanist Light" w:hAnsi="Verdana" w:cs="Arial"/>
          <w:color w:val="000000" w:themeColor="text1"/>
          <w:lang w:val="es-MX"/>
        </w:rPr>
      </w:pPr>
    </w:p>
    <w:sectPr w:rsidR="00790BF7"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28E93" w14:textId="77777777" w:rsidR="00202611" w:rsidRDefault="00202611" w:rsidP="004A1847">
      <w:pPr>
        <w:spacing w:after="0" w:line="240" w:lineRule="auto"/>
      </w:pPr>
      <w:r>
        <w:separator/>
      </w:r>
    </w:p>
  </w:endnote>
  <w:endnote w:type="continuationSeparator" w:id="0">
    <w:p w14:paraId="0ACD80A4" w14:textId="77777777" w:rsidR="00202611" w:rsidRDefault="00202611" w:rsidP="004A1847">
      <w:pPr>
        <w:spacing w:after="0" w:line="240" w:lineRule="auto"/>
      </w:pPr>
      <w:r>
        <w:continuationSeparator/>
      </w:r>
    </w:p>
  </w:endnote>
  <w:endnote w:type="continuationNotice" w:id="1">
    <w:p w14:paraId="32032103" w14:textId="77777777" w:rsidR="00202611" w:rsidRDefault="002026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30EE8" w14:textId="77777777" w:rsidR="00202611" w:rsidRDefault="00202611" w:rsidP="004A1847">
      <w:pPr>
        <w:spacing w:after="0" w:line="240" w:lineRule="auto"/>
      </w:pPr>
      <w:r>
        <w:separator/>
      </w:r>
    </w:p>
  </w:footnote>
  <w:footnote w:type="continuationSeparator" w:id="0">
    <w:p w14:paraId="3408D3A3" w14:textId="77777777" w:rsidR="00202611" w:rsidRDefault="00202611" w:rsidP="004A1847">
      <w:pPr>
        <w:spacing w:after="0" w:line="240" w:lineRule="auto"/>
      </w:pPr>
      <w:r>
        <w:continuationSeparator/>
      </w:r>
    </w:p>
  </w:footnote>
  <w:footnote w:type="continuationNotice" w:id="1">
    <w:p w14:paraId="4901217A" w14:textId="77777777" w:rsidR="00202611" w:rsidRDefault="00202611">
      <w:pPr>
        <w:spacing w:after="0" w:line="240" w:lineRule="auto"/>
      </w:pPr>
    </w:p>
  </w:footnote>
  <w:footnote w:id="2">
    <w:p w14:paraId="6CA3DA95" w14:textId="77777777" w:rsidR="00953C6B" w:rsidRPr="00544BDE" w:rsidRDefault="00953C6B" w:rsidP="00953C6B">
      <w:pPr>
        <w:pStyle w:val="Textonotapie"/>
        <w:ind w:firstLine="709"/>
        <w:jc w:val="both"/>
        <w:rPr>
          <w:rFonts w:ascii="Verdana" w:hAnsi="Verdana" w:cs="Arial"/>
          <w:sz w:val="16"/>
          <w:szCs w:val="16"/>
        </w:rPr>
      </w:pPr>
      <w:r w:rsidRPr="00544BDE">
        <w:rPr>
          <w:rStyle w:val="Refdenotaalpie"/>
          <w:rFonts w:ascii="Verdana" w:hAnsi="Verdana" w:cs="Arial"/>
          <w:sz w:val="16"/>
          <w:szCs w:val="16"/>
        </w:rPr>
        <w:footnoteRef/>
      </w:r>
      <w:r w:rsidRPr="00544BDE">
        <w:rPr>
          <w:rFonts w:ascii="Verdana" w:eastAsia="Calibri" w:hAnsi="Verdana" w:cs="Arial"/>
          <w:color w:val="000000" w:themeColor="text1"/>
          <w:sz w:val="16"/>
          <w:szCs w:val="16"/>
          <w:lang w:val="es-ES"/>
        </w:rPr>
        <w:t>“</w:t>
      </w:r>
      <w:r w:rsidRPr="00544BDE">
        <w:rPr>
          <w:rFonts w:ascii="Verdana" w:hAnsi="Verdana" w:cs="Arial"/>
          <w:sz w:val="16"/>
          <w:szCs w:val="16"/>
        </w:rPr>
        <w:t>Ver, entre otros: Consejo de Estado. Sala Plena de lo Contencioso Administrativo.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w:t>
      </w:r>
      <w:r w:rsidRPr="00544BDE">
        <w:rPr>
          <w:rFonts w:ascii="Verdana" w:eastAsia="Calibri" w:hAnsi="Verdana" w:cs="Arial"/>
          <w:color w:val="000000" w:themeColor="text1"/>
          <w:sz w:val="16"/>
          <w:szCs w:val="16"/>
          <w:lang w:val="es-ES"/>
        </w:rPr>
        <w:t>”.</w:t>
      </w:r>
      <w:r w:rsidRPr="00544BDE">
        <w:rPr>
          <w:rFonts w:ascii="Verdana" w:hAnsi="Verdana" w:cs="Arial"/>
          <w:sz w:val="16"/>
          <w:szCs w:val="16"/>
        </w:rPr>
        <w:t xml:space="preserve"> Citado en CONSEJO DE ESTADO. Sala de lo Contencioso Administrativo. Sección Tercera – Subsección A. Sentencia del 16 de mayo de 2019. Rad. (40102). C.P: María Adriana Marín [cita No. 35]. </w:t>
      </w:r>
    </w:p>
  </w:footnote>
  <w:footnote w:id="3">
    <w:p w14:paraId="65058821" w14:textId="77777777" w:rsidR="00953C6B" w:rsidRPr="00544BDE" w:rsidRDefault="00953C6B" w:rsidP="00953C6B">
      <w:pPr>
        <w:pStyle w:val="Textonotapie"/>
        <w:ind w:firstLine="709"/>
        <w:jc w:val="both"/>
        <w:rPr>
          <w:rFonts w:ascii="Verdana" w:hAnsi="Verdana" w:cs="Arial"/>
          <w:sz w:val="16"/>
          <w:szCs w:val="16"/>
        </w:rPr>
      </w:pPr>
      <w:r w:rsidRPr="00544BDE">
        <w:rPr>
          <w:rStyle w:val="Refdenotaalpie"/>
          <w:rFonts w:ascii="Verdana" w:hAnsi="Verdana" w:cs="Arial"/>
          <w:sz w:val="16"/>
          <w:szCs w:val="16"/>
        </w:rPr>
        <w:footnoteRef/>
      </w:r>
      <w:r w:rsidRPr="00544BDE">
        <w:rPr>
          <w:rFonts w:ascii="Verdana" w:hAnsi="Verdana" w:cs="Arial"/>
          <w:sz w:val="16"/>
          <w:szCs w:val="16"/>
        </w:rPr>
        <w:t xml:space="preserve"> CONSEJO DE ESTADO. Sala de lo Contencioso Administrativo. Sección Tercera – Subsección A. Sentencia del 16 de mayo de 2019. Rad. (40102). C.P: María Adriana Marín</w:t>
      </w:r>
    </w:p>
  </w:footnote>
  <w:footnote w:id="4">
    <w:p w14:paraId="20443986" w14:textId="77777777" w:rsidR="00953C6B" w:rsidRPr="00544BDE" w:rsidRDefault="00953C6B" w:rsidP="00953C6B">
      <w:pPr>
        <w:pStyle w:val="Textonotapie"/>
        <w:ind w:firstLine="709"/>
        <w:jc w:val="both"/>
        <w:rPr>
          <w:rFonts w:ascii="Verdana" w:hAnsi="Verdana" w:cs="Arial"/>
          <w:sz w:val="16"/>
          <w:szCs w:val="16"/>
        </w:rPr>
      </w:pPr>
      <w:r w:rsidRPr="00544BDE">
        <w:rPr>
          <w:rStyle w:val="Refdenotaalpie"/>
          <w:rFonts w:ascii="Verdana" w:hAnsi="Verdana" w:cs="Arial"/>
          <w:sz w:val="16"/>
          <w:szCs w:val="16"/>
        </w:rPr>
        <w:footnoteRef/>
      </w:r>
      <w:r w:rsidRPr="00544BDE">
        <w:rPr>
          <w:rFonts w:ascii="Verdana" w:hAnsi="Verdana" w:cs="Arial"/>
          <w:sz w:val="16"/>
          <w:szCs w:val="16"/>
        </w:rPr>
        <w:t xml:space="preserve"> CONSEJO DE ESTADO. Sala de lo Contencioso Administrativo. Sección Tercera – Subsección C. Sentencia del 2 de octubre del 2020. Rad. 63644. CP. Jaime Enrique Rodríguez Nava. </w:t>
      </w:r>
    </w:p>
  </w:footnote>
  <w:footnote w:id="5">
    <w:p w14:paraId="745F93DB" w14:textId="77777777" w:rsidR="00953C6B" w:rsidRPr="00544BDE" w:rsidRDefault="00953C6B" w:rsidP="00953C6B">
      <w:pPr>
        <w:pStyle w:val="Textonotapie"/>
        <w:ind w:firstLine="709"/>
        <w:jc w:val="both"/>
        <w:rPr>
          <w:rFonts w:ascii="Verdana" w:hAnsi="Verdana" w:cs="Arial"/>
          <w:color w:val="000000" w:themeColor="text1"/>
          <w:sz w:val="16"/>
          <w:szCs w:val="16"/>
          <w:lang w:val="es-ES"/>
        </w:rPr>
      </w:pPr>
      <w:r w:rsidRPr="00544BDE">
        <w:rPr>
          <w:rStyle w:val="Refdenotaalpie"/>
          <w:rFonts w:ascii="Verdana" w:hAnsi="Verdana" w:cs="Arial"/>
          <w:sz w:val="16"/>
          <w:szCs w:val="16"/>
        </w:rPr>
        <w:footnoteRef/>
      </w:r>
      <w:r w:rsidRPr="00544BDE">
        <w:rPr>
          <w:rFonts w:ascii="Verdana" w:hAnsi="Verdana" w:cs="Arial"/>
          <w:sz w:val="16"/>
          <w:szCs w:val="16"/>
        </w:rPr>
        <w:t xml:space="preserve"> </w:t>
      </w:r>
      <w:r w:rsidRPr="00544BDE">
        <w:rPr>
          <w:rFonts w:ascii="Verdana" w:hAnsi="Verdana" w:cs="Arial"/>
          <w:color w:val="000000" w:themeColor="text1"/>
          <w:sz w:val="16"/>
          <w:szCs w:val="16"/>
          <w:lang w:val="es-ES"/>
        </w:rPr>
        <w:t xml:space="preserve">CONSEJO DE ESTADO. Sección Tercera. Sentencia de 22 de junio de 2001. </w:t>
      </w:r>
      <w:proofErr w:type="spellStart"/>
      <w:r w:rsidRPr="00544BDE">
        <w:rPr>
          <w:rFonts w:ascii="Verdana" w:hAnsi="Verdana" w:cs="Arial"/>
          <w:color w:val="000000" w:themeColor="text1"/>
          <w:sz w:val="16"/>
          <w:szCs w:val="16"/>
          <w:lang w:val="es-ES"/>
        </w:rPr>
        <w:t>Exp</w:t>
      </w:r>
      <w:proofErr w:type="spellEnd"/>
      <w:r w:rsidRPr="00544BDE">
        <w:rPr>
          <w:rFonts w:ascii="Verdana" w:hAnsi="Verdana" w:cs="Arial"/>
          <w:color w:val="000000" w:themeColor="text1"/>
          <w:sz w:val="16"/>
          <w:szCs w:val="16"/>
          <w:lang w:val="es-ES"/>
        </w:rPr>
        <w:t>. 13436, C.P. Ricardo Hoyos Duque</w:t>
      </w:r>
    </w:p>
  </w:footnote>
  <w:footnote w:id="6">
    <w:p w14:paraId="11B83205" w14:textId="77777777" w:rsidR="00953C6B" w:rsidRPr="00544BDE" w:rsidRDefault="00953C6B" w:rsidP="00953C6B">
      <w:pPr>
        <w:pStyle w:val="Textonotapie"/>
        <w:ind w:firstLine="709"/>
        <w:jc w:val="both"/>
        <w:rPr>
          <w:rFonts w:ascii="Verdana" w:hAnsi="Verdana" w:cs="Arial"/>
          <w:sz w:val="16"/>
          <w:szCs w:val="16"/>
        </w:rPr>
      </w:pPr>
      <w:r w:rsidRPr="00544BDE">
        <w:rPr>
          <w:rStyle w:val="Refdenotaalpie"/>
          <w:rFonts w:ascii="Verdana" w:hAnsi="Verdana" w:cs="Arial"/>
          <w:sz w:val="16"/>
          <w:szCs w:val="16"/>
        </w:rPr>
        <w:footnoteRef/>
      </w:r>
      <w:r w:rsidRPr="00544BDE">
        <w:rPr>
          <w:rFonts w:ascii="Verdana" w:hAnsi="Verdana" w:cs="Arial"/>
          <w:sz w:val="16"/>
          <w:szCs w:val="16"/>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sidRPr="00544BDE">
        <w:rPr>
          <w:rFonts w:ascii="Verdana" w:eastAsia="Calibri" w:hAnsi="Verdana" w:cs="Arial"/>
          <w:color w:val="000000" w:themeColor="text1"/>
          <w:sz w:val="16"/>
          <w:szCs w:val="16"/>
          <w:lang w:val="es-ES"/>
        </w:rPr>
        <w:t>” (</w:t>
      </w:r>
      <w:r w:rsidRPr="00544BDE">
        <w:rPr>
          <w:rFonts w:ascii="Verdana" w:hAnsi="Verdana" w:cs="Arial"/>
          <w:sz w:val="16"/>
          <w:szCs w:val="16"/>
        </w:rPr>
        <w:t>EXPÓSITO VÉLEZ, Juan Carlos. Forma y contenido del contrato estatal. Bogotá: Universidad Externado de Colombia, 2013, p. 165-166). De igual manera, se ha expuesto que “Son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sidRPr="00544BDE">
        <w:rPr>
          <w:rFonts w:ascii="Verdana" w:eastAsia="Calibri" w:hAnsi="Verdana" w:cs="Arial"/>
          <w:color w:val="000000" w:themeColor="text1"/>
          <w:sz w:val="16"/>
          <w:szCs w:val="16"/>
          <w:lang w:val="es-ES"/>
        </w:rPr>
        <w:t>”</w:t>
      </w:r>
      <w:r w:rsidRPr="00544BDE">
        <w:rPr>
          <w:rFonts w:ascii="Verdana" w:hAnsi="Verdana" w:cs="Arial"/>
          <w:sz w:val="16"/>
          <w:szCs w:val="16"/>
        </w:rPr>
        <w:t xml:space="preserve"> (MATALLANA CAMACHO, Ernesto. Manual de Contratación de la Administración Pública. Reforma de la Ley 80 de 1993. Cuarta edición. Bogotá: Universidad Externado de Colombia, 2015. p. 921 y </w:t>
      </w:r>
      <w:proofErr w:type="spellStart"/>
      <w:r w:rsidRPr="00544BDE">
        <w:rPr>
          <w:rFonts w:ascii="Verdana" w:hAnsi="Verdana" w:cs="Arial"/>
          <w:sz w:val="16"/>
          <w:szCs w:val="16"/>
        </w:rPr>
        <w:t>ss</w:t>
      </w:r>
      <w:proofErr w:type="spellEnd"/>
      <w:r w:rsidRPr="00544BDE">
        <w:rPr>
          <w:rFonts w:ascii="Verdana" w:hAnsi="Verdana" w:cs="Arial"/>
          <w:sz w:val="16"/>
          <w:szCs w:val="16"/>
        </w:rPr>
        <w:t>).</w:t>
      </w:r>
    </w:p>
  </w:footnote>
  <w:footnote w:id="7">
    <w:p w14:paraId="6263AE39" w14:textId="77777777" w:rsidR="00953C6B" w:rsidRPr="00544BDE" w:rsidRDefault="00953C6B" w:rsidP="00953C6B">
      <w:pPr>
        <w:spacing w:after="0" w:line="240" w:lineRule="auto"/>
        <w:ind w:firstLine="709"/>
        <w:jc w:val="both"/>
        <w:rPr>
          <w:rFonts w:ascii="Verdana" w:hAnsi="Verdana" w:cs="Arial"/>
          <w:sz w:val="16"/>
          <w:szCs w:val="16"/>
        </w:rPr>
      </w:pPr>
      <w:r w:rsidRPr="00544BDE">
        <w:rPr>
          <w:rStyle w:val="Refdenotaalpie"/>
          <w:rFonts w:ascii="Verdana" w:hAnsi="Verdana" w:cs="Arial"/>
          <w:sz w:val="16"/>
          <w:szCs w:val="16"/>
        </w:rPr>
        <w:footnoteRef/>
      </w:r>
      <w:r w:rsidRPr="00544BDE">
        <w:rPr>
          <w:rFonts w:ascii="Verdana" w:hAnsi="Verdana" w:cs="Arial"/>
          <w:sz w:val="16"/>
          <w:szCs w:val="16"/>
        </w:rPr>
        <w:t xml:space="preserve"> CONSEJO DE ESTADO. Sala Plena. Sentencia del 8 de agosto de 2001. </w:t>
      </w:r>
      <w:proofErr w:type="spellStart"/>
      <w:r w:rsidRPr="00544BDE">
        <w:rPr>
          <w:rFonts w:ascii="Verdana" w:hAnsi="Verdana" w:cs="Arial"/>
          <w:sz w:val="16"/>
          <w:szCs w:val="16"/>
        </w:rPr>
        <w:t>Exp</w:t>
      </w:r>
      <w:proofErr w:type="spellEnd"/>
      <w:r w:rsidRPr="00544BDE">
        <w:rPr>
          <w:rFonts w:ascii="Verdana" w:hAnsi="Verdana" w:cs="Arial"/>
          <w:sz w:val="16"/>
          <w:szCs w:val="16"/>
        </w:rPr>
        <w:t>. AC-10966 - AC-11274. Consejero Ponente: Reinaldo Chavarro Buriticá.</w:t>
      </w:r>
    </w:p>
  </w:footnote>
  <w:footnote w:id="8">
    <w:p w14:paraId="251FBAB1" w14:textId="77777777" w:rsidR="00953C6B" w:rsidRPr="00544BDE" w:rsidRDefault="00953C6B" w:rsidP="00953C6B">
      <w:pPr>
        <w:pStyle w:val="NormalWeb"/>
        <w:shd w:val="clear" w:color="auto" w:fill="FFFFFF"/>
        <w:spacing w:before="0" w:beforeAutospacing="0" w:after="0" w:afterAutospacing="0"/>
        <w:ind w:firstLine="709"/>
        <w:jc w:val="both"/>
        <w:rPr>
          <w:rFonts w:ascii="Verdana" w:hAnsi="Verdana" w:cs="Arial"/>
          <w:sz w:val="16"/>
          <w:szCs w:val="16"/>
        </w:rPr>
      </w:pPr>
      <w:r w:rsidRPr="00544BDE">
        <w:rPr>
          <w:rStyle w:val="Refdenotaalpie"/>
          <w:rFonts w:ascii="Verdana" w:hAnsi="Verdana" w:cs="Arial"/>
          <w:sz w:val="16"/>
          <w:szCs w:val="16"/>
        </w:rPr>
        <w:footnoteRef/>
      </w:r>
      <w:r w:rsidRPr="00544BDE">
        <w:rPr>
          <w:rFonts w:ascii="Verdana" w:eastAsia="Calibri" w:hAnsi="Verdana" w:cs="Arial"/>
          <w:sz w:val="16"/>
          <w:szCs w:val="16"/>
          <w:lang w:val="es-ES"/>
        </w:rPr>
        <w:t>“</w:t>
      </w:r>
      <w:r w:rsidRPr="00544BDE">
        <w:rPr>
          <w:rFonts w:ascii="Verdana" w:hAnsi="Verdana" w:cs="Arial"/>
          <w:sz w:val="16"/>
          <w:szCs w:val="16"/>
        </w:rPr>
        <w:t>Artículo 2.2.1.1.2.4.1.</w:t>
      </w:r>
      <w:r w:rsidRPr="00544BDE">
        <w:rPr>
          <w:rFonts w:ascii="Verdana" w:hAnsi="Verdana" w:cs="Arial"/>
          <w:i/>
          <w:iCs/>
          <w:sz w:val="16"/>
          <w:szCs w:val="16"/>
        </w:rPr>
        <w:t> </w:t>
      </w:r>
      <w:r w:rsidRPr="00544BDE">
        <w:rPr>
          <w:rFonts w:ascii="Verdana" w:hAnsi="Verdana" w:cs="Arial"/>
          <w:sz w:val="16"/>
          <w:szCs w:val="16"/>
        </w:rPr>
        <w:t>Patrimonio autónomo para el manejo de anticipos.</w:t>
      </w:r>
      <w:r w:rsidRPr="00544BDE">
        <w:rPr>
          <w:rFonts w:ascii="Verdana" w:hAnsi="Verdana" w:cs="Arial"/>
          <w:i/>
          <w:iCs/>
          <w:sz w:val="16"/>
          <w:szCs w:val="16"/>
        </w:rPr>
        <w:t> </w:t>
      </w:r>
      <w:r w:rsidRPr="00544BDE">
        <w:rPr>
          <w:rFonts w:ascii="Verdana" w:hAnsi="Verdana" w:cs="Arial"/>
          <w:sz w:val="16"/>
          <w:szCs w:val="16"/>
        </w:rPr>
        <w:t>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w:t>
      </w:r>
    </w:p>
    <w:p w14:paraId="4D49E70D" w14:textId="77777777" w:rsidR="00953C6B" w:rsidRPr="00544BDE" w:rsidRDefault="00953C6B" w:rsidP="00953C6B">
      <w:pPr>
        <w:pStyle w:val="NormalWeb"/>
        <w:shd w:val="clear" w:color="auto" w:fill="FFFFFF"/>
        <w:spacing w:before="0" w:beforeAutospacing="0" w:after="0" w:afterAutospacing="0"/>
        <w:ind w:firstLine="709"/>
        <w:jc w:val="both"/>
        <w:rPr>
          <w:rFonts w:ascii="Verdana" w:hAnsi="Verdana" w:cs="Arial"/>
          <w:sz w:val="16"/>
          <w:szCs w:val="16"/>
        </w:rPr>
      </w:pPr>
      <w:r w:rsidRPr="00544BDE">
        <w:rPr>
          <w:rFonts w:ascii="Verdana" w:hAnsi="Verdana" w:cs="Arial"/>
          <w:sz w:val="16"/>
          <w:szCs w:val="16"/>
        </w:rPr>
        <w:t>Los recursos entregados por la Entidad Estatal a título de anticipo dejan de ser parte del patrimonio de esta para conformar el patrimonio autónomo. En consecuencia, los recursos del patrimonio autónomo y sus rendimientos son autónomos y son manejados de acuerdo con el contrato de fiducia mercantil.</w:t>
      </w:r>
    </w:p>
    <w:p w14:paraId="243BC75E" w14:textId="77777777" w:rsidR="0023727A" w:rsidRDefault="00953C6B" w:rsidP="00953C6B">
      <w:pPr>
        <w:pStyle w:val="NormalWeb"/>
        <w:shd w:val="clear" w:color="auto" w:fill="FFFFFF"/>
        <w:spacing w:before="0" w:beforeAutospacing="0" w:after="0" w:afterAutospacing="0"/>
        <w:ind w:firstLine="709"/>
        <w:jc w:val="both"/>
        <w:rPr>
          <w:rFonts w:ascii="Verdana" w:hAnsi="Verdana" w:cs="Arial"/>
          <w:sz w:val="16"/>
          <w:szCs w:val="16"/>
        </w:rPr>
      </w:pPr>
      <w:r w:rsidRPr="00544BDE">
        <w:rPr>
          <w:rFonts w:ascii="Verdana" w:hAnsi="Verdana" w:cs="Arial"/>
          <w:sz w:val="16"/>
          <w:szCs w:val="16"/>
        </w:rPr>
        <w:t>En los pliegos de condiciones, la Entidad Estatal debe establecer los términos y condiciones de la administración del anticipo a través del patrimonio autónomo.</w:t>
      </w:r>
    </w:p>
    <w:p w14:paraId="38CF0752" w14:textId="2459CDE0" w:rsidR="00953C6B" w:rsidRPr="00544BDE" w:rsidRDefault="00953C6B" w:rsidP="00953C6B">
      <w:pPr>
        <w:pStyle w:val="NormalWeb"/>
        <w:shd w:val="clear" w:color="auto" w:fill="FFFFFF"/>
        <w:spacing w:before="0" w:beforeAutospacing="0" w:after="0" w:afterAutospacing="0"/>
        <w:ind w:firstLine="709"/>
        <w:jc w:val="both"/>
        <w:rPr>
          <w:rFonts w:ascii="Verdana" w:eastAsia="Calibri" w:hAnsi="Verdana" w:cs="Arial"/>
          <w:sz w:val="16"/>
          <w:szCs w:val="16"/>
          <w:lang w:val="es-ES" w:eastAsia="es-ES_tradnl"/>
        </w:rPr>
      </w:pPr>
      <w:r w:rsidRPr="00544BDE">
        <w:rPr>
          <w:rFonts w:ascii="Verdana" w:hAnsi="Verdana" w:cs="Arial"/>
          <w:sz w:val="16"/>
          <w:szCs w:val="16"/>
        </w:rPr>
        <w:t>En este caso, la sociedad fiduciaria debe pagar a los proveedores, con base en las instrucciones que reciba del contratista, las cuales deben haber sido autorizadas por el Supervisor o el Interventor, siempre y cuando tales pagos correspondan a los rubros previstos en el plan de utilización o de inversión del anticipo</w:t>
      </w:r>
      <w:r w:rsidRPr="00544BDE">
        <w:rPr>
          <w:rFonts w:ascii="Verdana" w:eastAsia="Calibri" w:hAnsi="Verdana" w:cs="Arial"/>
          <w:sz w:val="16"/>
          <w:szCs w:val="16"/>
          <w:lang w:val="es-ES"/>
        </w:rPr>
        <w:t>”.</w:t>
      </w:r>
    </w:p>
  </w:footnote>
  <w:footnote w:id="9">
    <w:p w14:paraId="7958B84A" w14:textId="77777777" w:rsidR="00953C6B" w:rsidRPr="00544BDE" w:rsidRDefault="00953C6B" w:rsidP="00953C6B">
      <w:pPr>
        <w:pStyle w:val="Textonotapie"/>
        <w:ind w:firstLine="709"/>
        <w:jc w:val="both"/>
        <w:rPr>
          <w:rFonts w:ascii="Verdana" w:hAnsi="Verdana"/>
          <w:sz w:val="16"/>
          <w:szCs w:val="16"/>
          <w:lang w:val="es-CO"/>
        </w:rPr>
      </w:pPr>
      <w:r w:rsidRPr="00544BDE">
        <w:rPr>
          <w:rStyle w:val="Refdenotaalpie"/>
          <w:rFonts w:ascii="Verdana" w:hAnsi="Verdana"/>
          <w:sz w:val="16"/>
          <w:szCs w:val="16"/>
        </w:rPr>
        <w:footnoteRef/>
      </w:r>
      <w:r w:rsidRPr="00544BDE">
        <w:rPr>
          <w:rFonts w:ascii="Verdana" w:hAnsi="Verdana"/>
          <w:sz w:val="16"/>
          <w:szCs w:val="16"/>
        </w:rPr>
        <w:t xml:space="preserve"> </w:t>
      </w:r>
      <w:r w:rsidRPr="00544BDE">
        <w:rPr>
          <w:rFonts w:ascii="Verdana" w:hAnsi="Verdana" w:cs="Arial"/>
          <w:sz w:val="16"/>
          <w:szCs w:val="16"/>
        </w:rPr>
        <w:t xml:space="preserve">Consejo de Estado. Sección tercera. Sentencia del 4 de junio de 2008. </w:t>
      </w:r>
      <w:proofErr w:type="spellStart"/>
      <w:r w:rsidRPr="00544BDE">
        <w:rPr>
          <w:rFonts w:ascii="Verdana" w:hAnsi="Verdana" w:cs="Arial"/>
          <w:sz w:val="16"/>
          <w:szCs w:val="16"/>
        </w:rPr>
        <w:t>Exp</w:t>
      </w:r>
      <w:proofErr w:type="spellEnd"/>
      <w:r w:rsidRPr="00544BDE">
        <w:rPr>
          <w:rFonts w:ascii="Verdana" w:hAnsi="Verdana" w:cs="Arial"/>
          <w:sz w:val="16"/>
          <w:szCs w:val="16"/>
        </w:rPr>
        <w:t xml:space="preserve">. 17783. Consejera Ponente: Myriam Guerreo De Escobar. </w:t>
      </w:r>
    </w:p>
  </w:footnote>
  <w:footnote w:id="10">
    <w:p w14:paraId="5BA2F77A" w14:textId="77777777" w:rsidR="00953C6B" w:rsidRPr="00544BDE" w:rsidRDefault="00953C6B" w:rsidP="00953C6B">
      <w:pPr>
        <w:pStyle w:val="Textonotapie"/>
        <w:ind w:firstLine="709"/>
        <w:jc w:val="both"/>
        <w:rPr>
          <w:rFonts w:ascii="Verdana" w:hAnsi="Verdana"/>
          <w:sz w:val="16"/>
          <w:szCs w:val="16"/>
          <w:lang w:val="es-CO"/>
        </w:rPr>
      </w:pPr>
      <w:r w:rsidRPr="00544BDE">
        <w:rPr>
          <w:rStyle w:val="Refdenotaalpie"/>
          <w:rFonts w:ascii="Verdana" w:hAnsi="Verdana"/>
          <w:sz w:val="16"/>
          <w:szCs w:val="16"/>
        </w:rPr>
        <w:footnoteRef/>
      </w:r>
      <w:r w:rsidRPr="00544BDE">
        <w:rPr>
          <w:rFonts w:ascii="Verdana" w:hAnsi="Verdana"/>
          <w:sz w:val="16"/>
          <w:szCs w:val="16"/>
        </w:rPr>
        <w:t xml:space="preserve"> Ibidem </w:t>
      </w:r>
    </w:p>
  </w:footnote>
  <w:footnote w:id="11">
    <w:p w14:paraId="15FCE242" w14:textId="77777777" w:rsidR="00953C6B" w:rsidRPr="00544BDE" w:rsidRDefault="00953C6B" w:rsidP="00953C6B">
      <w:pPr>
        <w:pStyle w:val="Textonotapie"/>
        <w:ind w:firstLine="709"/>
        <w:jc w:val="both"/>
        <w:rPr>
          <w:rFonts w:ascii="Verdana" w:hAnsi="Verdana" w:cs="Arial"/>
          <w:sz w:val="16"/>
          <w:szCs w:val="16"/>
          <w:lang w:val="es-ES"/>
        </w:rPr>
      </w:pPr>
      <w:r w:rsidRPr="00544BDE">
        <w:rPr>
          <w:rStyle w:val="Refdenotaalpie"/>
          <w:rFonts w:ascii="Verdana" w:hAnsi="Verdana" w:cs="Arial"/>
          <w:sz w:val="16"/>
          <w:szCs w:val="16"/>
        </w:rPr>
        <w:footnoteRef/>
      </w:r>
      <w:r w:rsidRPr="00544BDE">
        <w:rPr>
          <w:rFonts w:ascii="Verdana" w:hAnsi="Verdana" w:cs="Arial"/>
          <w:sz w:val="16"/>
          <w:szCs w:val="16"/>
        </w:rPr>
        <w:t xml:space="preserve"> </w:t>
      </w:r>
      <w:r w:rsidRPr="00544BDE">
        <w:rPr>
          <w:rFonts w:ascii="Verdana" w:hAnsi="Verdana" w:cs="Arial"/>
          <w:sz w:val="16"/>
          <w:szCs w:val="16"/>
          <w:lang w:val="es-ES"/>
        </w:rPr>
        <w:t xml:space="preserve">Sobre el particular, se puede consultar la exposición de motivos de la Ley 1474 de 2011, Gaceta 607 del 2010, disponible en:  </w:t>
      </w:r>
      <w:hyperlink r:id="rId1" w:history="1">
        <w:r w:rsidRPr="00544BDE">
          <w:rPr>
            <w:rStyle w:val="Hipervnculo"/>
            <w:rFonts w:ascii="Verdana" w:hAnsi="Verdana" w:cs="Arial"/>
            <w:sz w:val="16"/>
            <w:szCs w:val="16"/>
            <w:lang w:val="es-ES"/>
          </w:rPr>
          <w:t>http://svrpubindc.imprenta.gov.co/senado/index.xhtml;jsessionid=b3ba7213a248bacd37376ffcedca</w:t>
        </w:r>
      </w:hyperlink>
      <w:r w:rsidRPr="00544BDE">
        <w:rPr>
          <w:rFonts w:ascii="Verdana" w:hAnsi="Verdana" w:cs="Arial"/>
          <w:sz w:val="16"/>
          <w:szCs w:val="16"/>
          <w:lang w:val="es-ES"/>
        </w:rPr>
        <w:t xml:space="preserve"> </w:t>
      </w:r>
    </w:p>
  </w:footnote>
  <w:footnote w:id="12">
    <w:p w14:paraId="2180B6C6" w14:textId="77777777" w:rsidR="00953C6B" w:rsidRPr="00544BDE" w:rsidRDefault="00953C6B" w:rsidP="00953C6B">
      <w:pPr>
        <w:pStyle w:val="Sinespaciado"/>
        <w:ind w:firstLine="708"/>
        <w:jc w:val="both"/>
        <w:rPr>
          <w:rFonts w:ascii="Verdana" w:hAnsi="Verdana" w:cs="Arial"/>
          <w:sz w:val="16"/>
          <w:szCs w:val="16"/>
          <w:lang w:val="es-ES"/>
        </w:rPr>
      </w:pPr>
      <w:r w:rsidRPr="00544BDE">
        <w:rPr>
          <w:rStyle w:val="Refdenotaalpie"/>
          <w:rFonts w:ascii="Verdana" w:hAnsi="Verdana" w:cs="Arial"/>
          <w:sz w:val="16"/>
          <w:szCs w:val="16"/>
        </w:rPr>
        <w:footnoteRef/>
      </w:r>
      <w:r w:rsidRPr="00544BDE">
        <w:rPr>
          <w:rFonts w:ascii="Verdana" w:hAnsi="Verdana" w:cs="Arial"/>
          <w:sz w:val="16"/>
          <w:szCs w:val="16"/>
        </w:rPr>
        <w:t xml:space="preserve"> </w:t>
      </w:r>
      <w:r w:rsidRPr="00544BDE">
        <w:rPr>
          <w:rFonts w:ascii="Verdana" w:hAnsi="Verdana" w:cs="Arial"/>
          <w:sz w:val="16"/>
          <w:szCs w:val="16"/>
          <w:lang w:val="es-ES"/>
        </w:rPr>
        <w:t xml:space="preserve">La Guía para el manejo de anticipos mediante contrato de fiducia irrevocable puede ser consultada en: </w:t>
      </w:r>
      <w:hyperlink r:id="rId2" w:history="1">
        <w:r w:rsidRPr="00544BDE">
          <w:rPr>
            <w:rStyle w:val="Hipervnculo"/>
            <w:rFonts w:ascii="Verdana" w:hAnsi="Verdana" w:cs="Arial"/>
            <w:sz w:val="16"/>
            <w:szCs w:val="16"/>
            <w:lang w:val="es-ES"/>
          </w:rPr>
          <w:t>https://www.colombiacompra.gov.co/wp-content/uploads/2024/08/2017-Guia-para-el-manejo-de-anticipos-mediante-contrato-de-fiducia-mercantil-irrevocable-G-MACFMI-01.pdf</w:t>
        </w:r>
      </w:hyperlink>
      <w:r w:rsidRPr="00544BDE">
        <w:rPr>
          <w:rFonts w:ascii="Verdana" w:hAnsi="Verdana" w:cs="Arial"/>
          <w:sz w:val="16"/>
          <w:szCs w:val="16"/>
          <w:lang w:val="es-ES"/>
        </w:rPr>
        <w:t xml:space="preserve">.  </w:t>
      </w:r>
    </w:p>
  </w:footnote>
  <w:footnote w:id="13">
    <w:p w14:paraId="61F097A1" w14:textId="77777777" w:rsidR="00953C6B" w:rsidRPr="00544BDE" w:rsidRDefault="00953C6B" w:rsidP="00953C6B">
      <w:pPr>
        <w:pStyle w:val="Textonotapie"/>
        <w:ind w:firstLine="709"/>
        <w:jc w:val="both"/>
        <w:rPr>
          <w:rFonts w:ascii="Verdana" w:hAnsi="Verdana"/>
          <w:sz w:val="16"/>
          <w:szCs w:val="16"/>
          <w:lang w:val="es-CO"/>
        </w:rPr>
      </w:pPr>
      <w:r w:rsidRPr="00544BDE">
        <w:rPr>
          <w:rStyle w:val="Refdenotaalpie"/>
          <w:rFonts w:ascii="Verdana" w:hAnsi="Verdana"/>
          <w:sz w:val="16"/>
          <w:szCs w:val="16"/>
        </w:rPr>
        <w:footnoteRef/>
      </w:r>
      <w:r w:rsidRPr="00544BDE">
        <w:rPr>
          <w:rFonts w:ascii="Verdana" w:hAnsi="Verdana"/>
          <w:sz w:val="16"/>
          <w:szCs w:val="16"/>
        </w:rPr>
        <w:t xml:space="preserve"> </w:t>
      </w:r>
      <w:r w:rsidRPr="00544BDE">
        <w:rPr>
          <w:rFonts w:ascii="Verdana" w:hAnsi="Verdana" w:cs="Arial"/>
          <w:sz w:val="16"/>
          <w:szCs w:val="16"/>
        </w:rPr>
        <w:t xml:space="preserve">Consejo de Estado. </w:t>
      </w:r>
      <w:r w:rsidRPr="00544BDE">
        <w:rPr>
          <w:rFonts w:ascii="Verdana" w:eastAsiaTheme="minorEastAsia" w:hAnsi="Verdana" w:cs="Arial"/>
          <w:sz w:val="16"/>
          <w:szCs w:val="16"/>
          <w:lang w:val="es-ES_tradnl" w:eastAsia="es-CO"/>
        </w:rPr>
        <w:t>Sala de Consulta y Servicio Civil. Concepto del 4 de marzo de 1998. Radicado Nro. 1.074. CP.: Cesar Hoyos Salazar.</w:t>
      </w:r>
    </w:p>
  </w:footnote>
  <w:footnote w:id="14">
    <w:p w14:paraId="65F5E330" w14:textId="77777777" w:rsidR="00953C6B" w:rsidRPr="00544BDE" w:rsidRDefault="00953C6B" w:rsidP="00953C6B">
      <w:pPr>
        <w:pStyle w:val="Textonotapie"/>
        <w:ind w:firstLine="708"/>
        <w:jc w:val="both"/>
        <w:rPr>
          <w:rFonts w:ascii="Verdana" w:hAnsi="Verdana" w:cs="Arial"/>
          <w:sz w:val="16"/>
          <w:szCs w:val="16"/>
        </w:rPr>
      </w:pPr>
      <w:r w:rsidRPr="00544BDE">
        <w:rPr>
          <w:rStyle w:val="Refdenotaalpie"/>
          <w:rFonts w:ascii="Verdana" w:hAnsi="Verdana" w:cs="Arial"/>
          <w:sz w:val="16"/>
          <w:szCs w:val="16"/>
        </w:rPr>
        <w:footnoteRef/>
      </w:r>
      <w:r w:rsidRPr="00544BDE">
        <w:rPr>
          <w:rFonts w:ascii="Verdana" w:hAnsi="Verdana" w:cs="Arial"/>
          <w:sz w:val="16"/>
          <w:szCs w:val="16"/>
        </w:rPr>
        <w:t xml:space="preserve"> </w:t>
      </w:r>
      <w:r w:rsidRPr="00544BDE">
        <w:rPr>
          <w:rFonts w:ascii="Verdana" w:eastAsia="Calibri" w:hAnsi="Verdana" w:cs="Arial"/>
          <w:sz w:val="16"/>
          <w:szCs w:val="16"/>
          <w:lang w:val="es-ES_tradnl" w:eastAsia="es-ES_tradnl"/>
        </w:rPr>
        <w:t xml:space="preserve">CONSEJO DE ESTADO. Sección Tercera. Subsección B. Sentencia del 14 de octubre de 2011. </w:t>
      </w:r>
      <w:proofErr w:type="spellStart"/>
      <w:r w:rsidRPr="00544BDE">
        <w:rPr>
          <w:rFonts w:ascii="Verdana" w:eastAsia="Calibri" w:hAnsi="Verdana" w:cs="Arial"/>
          <w:sz w:val="16"/>
          <w:szCs w:val="16"/>
          <w:lang w:val="es-ES_tradnl" w:eastAsia="es-ES_tradnl"/>
        </w:rPr>
        <w:t>Exp</w:t>
      </w:r>
      <w:proofErr w:type="spellEnd"/>
      <w:r w:rsidRPr="00544BDE">
        <w:rPr>
          <w:rFonts w:ascii="Verdana" w:eastAsia="Calibri" w:hAnsi="Verdana" w:cs="Arial"/>
          <w:sz w:val="16"/>
          <w:szCs w:val="16"/>
          <w:lang w:val="es-ES_tradnl" w:eastAsia="es-ES_tradnl"/>
        </w:rPr>
        <w:t>. 20811, C.P. Ruth Stella Correa Palacio.</w:t>
      </w:r>
    </w:p>
  </w:footnote>
  <w:footnote w:id="15">
    <w:p w14:paraId="25199144" w14:textId="77777777" w:rsidR="00953C6B" w:rsidRPr="00544BDE" w:rsidRDefault="00953C6B" w:rsidP="00953C6B">
      <w:pPr>
        <w:pStyle w:val="Textonotapie"/>
        <w:ind w:firstLine="708"/>
        <w:jc w:val="both"/>
        <w:rPr>
          <w:rFonts w:ascii="Verdana" w:hAnsi="Verdana" w:cs="Arial"/>
          <w:sz w:val="16"/>
          <w:szCs w:val="16"/>
        </w:rPr>
      </w:pPr>
      <w:r w:rsidRPr="00544BDE">
        <w:rPr>
          <w:rStyle w:val="Refdenotaalpie"/>
          <w:rFonts w:ascii="Verdana" w:hAnsi="Verdana" w:cs="Arial"/>
          <w:sz w:val="16"/>
          <w:szCs w:val="16"/>
        </w:rPr>
        <w:footnoteRef/>
      </w:r>
      <w:r w:rsidRPr="00544BDE">
        <w:rPr>
          <w:rFonts w:ascii="Verdana" w:hAnsi="Verdana" w:cs="Arial"/>
          <w:sz w:val="16"/>
          <w:szCs w:val="16"/>
        </w:rPr>
        <w:t xml:space="preserve"> </w:t>
      </w:r>
      <w:r w:rsidRPr="00544BDE">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footnote>
  <w:footnote w:id="16">
    <w:p w14:paraId="60E69599" w14:textId="77777777" w:rsidR="00953C6B" w:rsidRPr="00544BDE" w:rsidRDefault="00953C6B" w:rsidP="00953C6B">
      <w:pPr>
        <w:pStyle w:val="Textonotapie"/>
        <w:ind w:firstLine="708"/>
        <w:jc w:val="both"/>
        <w:rPr>
          <w:rFonts w:ascii="Verdana" w:hAnsi="Verdana" w:cs="Arial"/>
          <w:sz w:val="16"/>
          <w:szCs w:val="16"/>
        </w:rPr>
      </w:pPr>
      <w:r w:rsidRPr="00544BDE">
        <w:rPr>
          <w:rStyle w:val="Refdenotaalpie"/>
          <w:rFonts w:ascii="Verdana" w:hAnsi="Verdana" w:cs="Arial"/>
          <w:sz w:val="16"/>
          <w:szCs w:val="16"/>
        </w:rPr>
        <w:footnoteRef/>
      </w:r>
      <w:r w:rsidRPr="00544BDE">
        <w:rPr>
          <w:rFonts w:ascii="Verdana" w:hAnsi="Verdana" w:cs="Arial"/>
          <w:sz w:val="16"/>
          <w:szCs w:val="16"/>
        </w:rPr>
        <w:t xml:space="preserve"> </w:t>
      </w:r>
      <w:r w:rsidRPr="00544BDE">
        <w:rPr>
          <w:rFonts w:ascii="Verdana" w:eastAsia="Calibri" w:hAnsi="Verdana" w:cs="Arial"/>
          <w:sz w:val="16"/>
          <w:szCs w:val="16"/>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544BDE">
        <w:rPr>
          <w:rFonts w:ascii="Verdana" w:hAnsi="Verdana" w:cs="Arial"/>
          <w:sz w:val="16"/>
          <w:szCs w:val="16"/>
        </w:rPr>
        <w:t xml:space="preserve"> </w:t>
      </w:r>
    </w:p>
  </w:footnote>
  <w:footnote w:id="17">
    <w:p w14:paraId="0905FBC2" w14:textId="77777777" w:rsidR="00953C6B" w:rsidRPr="00544BDE" w:rsidRDefault="00953C6B" w:rsidP="00953C6B">
      <w:pPr>
        <w:pStyle w:val="Textonotapie"/>
        <w:ind w:firstLine="709"/>
        <w:jc w:val="both"/>
        <w:rPr>
          <w:rFonts w:ascii="Verdana" w:eastAsia="Calibri" w:hAnsi="Verdana" w:cs="Arial"/>
          <w:sz w:val="16"/>
          <w:szCs w:val="16"/>
          <w:lang w:val="es-ES_tradnl" w:eastAsia="es-ES_tradnl"/>
        </w:rPr>
      </w:pPr>
      <w:r w:rsidRPr="00544BDE">
        <w:rPr>
          <w:rStyle w:val="Refdenotaalpie"/>
          <w:rFonts w:ascii="Verdana" w:hAnsi="Verdana" w:cs="Arial"/>
          <w:sz w:val="16"/>
          <w:szCs w:val="16"/>
        </w:rPr>
        <w:footnoteRef/>
      </w:r>
      <w:r w:rsidRPr="00544BDE">
        <w:rPr>
          <w:rFonts w:ascii="Verdana" w:hAnsi="Verdana" w:cs="Arial"/>
          <w:sz w:val="16"/>
          <w:szCs w:val="16"/>
        </w:rPr>
        <w:t xml:space="preserve"> </w:t>
      </w:r>
      <w:r w:rsidRPr="00544BDE">
        <w:rPr>
          <w:rFonts w:ascii="Verdana" w:eastAsia="Calibri" w:hAnsi="Verdana" w:cs="Arial"/>
          <w:sz w:val="16"/>
          <w:szCs w:val="16"/>
          <w:lang w:val="es-ES_tradnl" w:eastAsia="es-ES_tradnl"/>
        </w:rPr>
        <w:t xml:space="preserve">MARÍN, </w:t>
      </w:r>
      <w:proofErr w:type="spellStart"/>
      <w:r w:rsidRPr="00544BDE">
        <w:rPr>
          <w:rFonts w:ascii="Verdana" w:eastAsia="Calibri" w:hAnsi="Verdana" w:cs="Arial"/>
          <w:sz w:val="16"/>
          <w:szCs w:val="16"/>
          <w:lang w:val="es-ES_tradnl" w:eastAsia="es-ES_tradnl"/>
        </w:rPr>
        <w:t>Op</w:t>
      </w:r>
      <w:proofErr w:type="spellEnd"/>
      <w:r w:rsidRPr="00544BDE">
        <w:rPr>
          <w:rFonts w:ascii="Verdana" w:eastAsia="Calibri" w:hAnsi="Verdana" w:cs="Arial"/>
          <w:sz w:val="16"/>
          <w:szCs w:val="16"/>
          <w:lang w:val="es-ES_tradnl" w:eastAsia="es-ES_tradnl"/>
        </w:rPr>
        <w:t>. Cit., pp. 64-65.</w:t>
      </w:r>
    </w:p>
  </w:footnote>
  <w:footnote w:id="18">
    <w:p w14:paraId="4597E78A" w14:textId="77777777" w:rsidR="00953C6B" w:rsidRPr="00544BDE" w:rsidRDefault="00953C6B" w:rsidP="00953C6B">
      <w:pPr>
        <w:pStyle w:val="Textonotapie"/>
        <w:ind w:firstLine="709"/>
        <w:jc w:val="both"/>
        <w:rPr>
          <w:rFonts w:ascii="Verdana" w:hAnsi="Verdana" w:cs="Arial"/>
          <w:sz w:val="16"/>
          <w:szCs w:val="16"/>
          <w:lang w:val="es-ES"/>
        </w:rPr>
      </w:pPr>
      <w:r w:rsidRPr="00544BDE">
        <w:rPr>
          <w:rStyle w:val="Refdenotaalpie"/>
          <w:rFonts w:ascii="Verdana" w:hAnsi="Verdana" w:cs="Arial"/>
          <w:sz w:val="16"/>
          <w:szCs w:val="16"/>
        </w:rPr>
        <w:footnoteRef/>
      </w:r>
      <w:r w:rsidRPr="00544BDE">
        <w:rPr>
          <w:rFonts w:ascii="Verdana" w:hAnsi="Verdana" w:cs="Arial"/>
          <w:sz w:val="16"/>
          <w:szCs w:val="16"/>
        </w:rPr>
        <w:t xml:space="preserve"> </w:t>
      </w:r>
      <w:proofErr w:type="spellStart"/>
      <w:r w:rsidRPr="00544BDE">
        <w:rPr>
          <w:rFonts w:ascii="Verdana" w:eastAsia="Calibri" w:hAnsi="Verdana" w:cs="Arial"/>
          <w:sz w:val="16"/>
          <w:szCs w:val="16"/>
          <w:lang w:val="es-ES_tradnl" w:eastAsia="es-ES_tradnl"/>
        </w:rPr>
        <w:t>Ibíd</w:t>
      </w:r>
      <w:proofErr w:type="spellEnd"/>
      <w:r w:rsidRPr="00544BDE">
        <w:rPr>
          <w:rFonts w:ascii="Verdana" w:eastAsia="Calibri" w:hAnsi="Verdana" w:cs="Arial"/>
          <w:sz w:val="16"/>
          <w:szCs w:val="16"/>
          <w:lang w:val="es-ES_tradnl" w:eastAsia="es-ES_tradnl"/>
        </w:rPr>
        <w:t>., p. 66.</w:t>
      </w:r>
    </w:p>
  </w:footnote>
  <w:footnote w:id="19">
    <w:p w14:paraId="6F9A7D76" w14:textId="77777777" w:rsidR="00953C6B" w:rsidRPr="00544BDE" w:rsidRDefault="00953C6B" w:rsidP="00953C6B">
      <w:pPr>
        <w:pStyle w:val="Textonotapie"/>
        <w:ind w:firstLine="709"/>
        <w:jc w:val="both"/>
        <w:rPr>
          <w:rFonts w:ascii="Verdana" w:hAnsi="Verdana"/>
          <w:sz w:val="16"/>
          <w:szCs w:val="16"/>
          <w:lang w:val="es-CO"/>
        </w:rPr>
      </w:pPr>
      <w:r w:rsidRPr="00544BDE">
        <w:rPr>
          <w:rStyle w:val="Refdenotaalpie"/>
          <w:rFonts w:ascii="Verdana" w:hAnsi="Verdana"/>
          <w:sz w:val="16"/>
          <w:szCs w:val="16"/>
        </w:rPr>
        <w:footnoteRef/>
      </w:r>
      <w:r w:rsidRPr="00544BDE">
        <w:rPr>
          <w:rFonts w:ascii="Verdana" w:hAnsi="Verdana"/>
          <w:sz w:val="16"/>
          <w:szCs w:val="16"/>
        </w:rPr>
        <w:t xml:space="preserve"> </w:t>
      </w:r>
      <w:r w:rsidRPr="00544BDE">
        <w:rPr>
          <w:rFonts w:ascii="Verdana" w:hAnsi="Verdana" w:cs="Arial"/>
          <w:sz w:val="16"/>
          <w:szCs w:val="16"/>
          <w:lang w:val="es-ES_tradnl"/>
        </w:rPr>
        <w:t>Consejo de Estado. Sala de Consulta y Servicio Civil. Concepto del 5 de septiembre de 2018, radicado No. 11001-03-06-000-2018-00124-00, C.P. Édgar González López</w:t>
      </w:r>
    </w:p>
  </w:footnote>
  <w:footnote w:id="20">
    <w:p w14:paraId="14CBFA07" w14:textId="77777777" w:rsidR="00953C6B" w:rsidRPr="00544BDE" w:rsidRDefault="00953C6B" w:rsidP="00953C6B">
      <w:pPr>
        <w:pStyle w:val="Textonotapie"/>
        <w:ind w:firstLine="708"/>
        <w:jc w:val="both"/>
        <w:rPr>
          <w:rFonts w:ascii="Verdana" w:hAnsi="Verdana" w:cs="Arial"/>
          <w:sz w:val="16"/>
          <w:szCs w:val="16"/>
        </w:rPr>
      </w:pPr>
      <w:r w:rsidRPr="00544BDE">
        <w:rPr>
          <w:rStyle w:val="Refdenotaalpie"/>
          <w:rFonts w:ascii="Verdana" w:hAnsi="Verdana" w:cs="Arial"/>
          <w:sz w:val="16"/>
          <w:szCs w:val="16"/>
        </w:rPr>
        <w:footnoteRef/>
      </w:r>
      <w:r w:rsidRPr="00544BDE">
        <w:rPr>
          <w:rFonts w:ascii="Verdana" w:hAnsi="Verdana" w:cs="Arial"/>
          <w:sz w:val="16"/>
          <w:szCs w:val="16"/>
        </w:rPr>
        <w:t xml:space="preserve"> </w:t>
      </w:r>
      <w:proofErr w:type="spellStart"/>
      <w:r w:rsidRPr="00544BDE">
        <w:rPr>
          <w:rFonts w:ascii="Verdana" w:eastAsia="Calibri" w:hAnsi="Verdana" w:cs="Arial"/>
          <w:sz w:val="16"/>
          <w:szCs w:val="16"/>
          <w:lang w:val="es-ES_tradnl" w:eastAsia="es-ES_tradnl"/>
        </w:rPr>
        <w:t>Ibíd</w:t>
      </w:r>
      <w:proofErr w:type="spellEnd"/>
      <w:r w:rsidRPr="00544BDE">
        <w:rPr>
          <w:rFonts w:ascii="Verdana" w:eastAsia="Calibri" w:hAnsi="Verdana" w:cs="Arial"/>
          <w:sz w:val="16"/>
          <w:szCs w:val="16"/>
          <w:lang w:val="es-ES_tradnl" w:eastAsia="es-ES_tradnl"/>
        </w:rPr>
        <w:t>, p. 77.</w:t>
      </w:r>
      <w:r w:rsidRPr="00544BDE">
        <w:rPr>
          <w:rFonts w:ascii="Verdana" w:hAnsi="Verdana" w:cs="Arial"/>
          <w:sz w:val="16"/>
          <w:szCs w:val="16"/>
        </w:rPr>
        <w:t xml:space="preserve"> </w:t>
      </w:r>
    </w:p>
  </w:footnote>
  <w:footnote w:id="21">
    <w:p w14:paraId="70439038" w14:textId="77777777" w:rsidR="00953C6B" w:rsidRPr="00544BDE" w:rsidRDefault="00953C6B" w:rsidP="00953C6B">
      <w:pPr>
        <w:pStyle w:val="Textonotapie"/>
        <w:ind w:firstLine="709"/>
        <w:jc w:val="both"/>
        <w:rPr>
          <w:rFonts w:ascii="Verdana" w:hAnsi="Verdana"/>
          <w:sz w:val="16"/>
          <w:szCs w:val="16"/>
          <w:lang w:val="es-CO"/>
        </w:rPr>
      </w:pPr>
      <w:r w:rsidRPr="00544BDE">
        <w:rPr>
          <w:rStyle w:val="Refdenotaalpie"/>
          <w:rFonts w:ascii="Verdana" w:hAnsi="Verdana"/>
          <w:sz w:val="16"/>
          <w:szCs w:val="16"/>
        </w:rPr>
        <w:footnoteRef/>
      </w:r>
      <w:r w:rsidRPr="00544BDE">
        <w:rPr>
          <w:rFonts w:ascii="Verdana" w:hAnsi="Verdana"/>
          <w:sz w:val="16"/>
          <w:szCs w:val="16"/>
        </w:rPr>
        <w:t xml:space="preserve"> </w:t>
      </w:r>
      <w:r w:rsidRPr="00544BDE">
        <w:rPr>
          <w:rFonts w:ascii="Verdana" w:eastAsia="Calibri" w:hAnsi="Verdana" w:cs="Arial"/>
          <w:sz w:val="16"/>
          <w:szCs w:val="16"/>
          <w:lang w:val="es-ES_tradnl" w:eastAsia="es-ES_tradnl"/>
        </w:rPr>
        <w:t>Ibíd, p. 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0C4098A"/>
    <w:multiLevelType w:val="hybridMultilevel"/>
    <w:tmpl w:val="43D6E078"/>
    <w:lvl w:ilvl="0" w:tplc="A708604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2"/>
  </w:num>
  <w:num w:numId="13" w16cid:durableId="1512908409">
    <w:abstractNumId w:val="4"/>
  </w:num>
  <w:num w:numId="14" w16cid:durableId="895897244">
    <w:abstractNumId w:val="15"/>
  </w:num>
  <w:num w:numId="15" w16cid:durableId="390349800">
    <w:abstractNumId w:val="11"/>
  </w:num>
  <w:num w:numId="16" w16cid:durableId="1330140246">
    <w:abstractNumId w:val="1"/>
  </w:num>
  <w:num w:numId="17" w16cid:durableId="679089576">
    <w:abstractNumId w:val="10"/>
  </w:num>
  <w:num w:numId="18" w16cid:durableId="496189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6510"/>
    <w:rsid w:val="00044DB2"/>
    <w:rsid w:val="00046945"/>
    <w:rsid w:val="00061B2A"/>
    <w:rsid w:val="0008224A"/>
    <w:rsid w:val="00082362"/>
    <w:rsid w:val="000A683E"/>
    <w:rsid w:val="000B19B9"/>
    <w:rsid w:val="000D0334"/>
    <w:rsid w:val="000D4702"/>
    <w:rsid w:val="000E2D01"/>
    <w:rsid w:val="000F6486"/>
    <w:rsid w:val="00125105"/>
    <w:rsid w:val="00127233"/>
    <w:rsid w:val="001511A0"/>
    <w:rsid w:val="00160BFD"/>
    <w:rsid w:val="00164E93"/>
    <w:rsid w:val="0018701A"/>
    <w:rsid w:val="001910D1"/>
    <w:rsid w:val="0019293E"/>
    <w:rsid w:val="001E4177"/>
    <w:rsid w:val="001F7DC6"/>
    <w:rsid w:val="00202611"/>
    <w:rsid w:val="00206C5A"/>
    <w:rsid w:val="00217D68"/>
    <w:rsid w:val="0023727A"/>
    <w:rsid w:val="002421BB"/>
    <w:rsid w:val="0025796E"/>
    <w:rsid w:val="002707A2"/>
    <w:rsid w:val="00277553"/>
    <w:rsid w:val="002951A0"/>
    <w:rsid w:val="002962BC"/>
    <w:rsid w:val="002A093D"/>
    <w:rsid w:val="002A0DD0"/>
    <w:rsid w:val="002A49AC"/>
    <w:rsid w:val="002A64FD"/>
    <w:rsid w:val="002C1BA5"/>
    <w:rsid w:val="002C7A84"/>
    <w:rsid w:val="002E4FD9"/>
    <w:rsid w:val="002F30A0"/>
    <w:rsid w:val="0031569E"/>
    <w:rsid w:val="00322A85"/>
    <w:rsid w:val="00324168"/>
    <w:rsid w:val="00343A11"/>
    <w:rsid w:val="003448F4"/>
    <w:rsid w:val="00374F5E"/>
    <w:rsid w:val="00377E3E"/>
    <w:rsid w:val="00391EB9"/>
    <w:rsid w:val="003A04BD"/>
    <w:rsid w:val="003A4300"/>
    <w:rsid w:val="003A779E"/>
    <w:rsid w:val="003B2F99"/>
    <w:rsid w:val="003C1E14"/>
    <w:rsid w:val="003D0F4D"/>
    <w:rsid w:val="003D5B0D"/>
    <w:rsid w:val="003E0499"/>
    <w:rsid w:val="003F3941"/>
    <w:rsid w:val="003F7295"/>
    <w:rsid w:val="00406575"/>
    <w:rsid w:val="00414C74"/>
    <w:rsid w:val="0042722E"/>
    <w:rsid w:val="004306A1"/>
    <w:rsid w:val="004347B4"/>
    <w:rsid w:val="0044528D"/>
    <w:rsid w:val="004570A7"/>
    <w:rsid w:val="00464365"/>
    <w:rsid w:val="00467FE8"/>
    <w:rsid w:val="0047108C"/>
    <w:rsid w:val="004A1847"/>
    <w:rsid w:val="004A305D"/>
    <w:rsid w:val="004A483A"/>
    <w:rsid w:val="004D55E4"/>
    <w:rsid w:val="004F21C4"/>
    <w:rsid w:val="004F25B2"/>
    <w:rsid w:val="004F685F"/>
    <w:rsid w:val="00544BDE"/>
    <w:rsid w:val="005566E8"/>
    <w:rsid w:val="00573699"/>
    <w:rsid w:val="00574867"/>
    <w:rsid w:val="00574FC5"/>
    <w:rsid w:val="00577FF7"/>
    <w:rsid w:val="00591460"/>
    <w:rsid w:val="005B3816"/>
    <w:rsid w:val="005C3777"/>
    <w:rsid w:val="005C5CDC"/>
    <w:rsid w:val="005D476C"/>
    <w:rsid w:val="006219F8"/>
    <w:rsid w:val="00650E02"/>
    <w:rsid w:val="00652C63"/>
    <w:rsid w:val="00661E0D"/>
    <w:rsid w:val="00665D70"/>
    <w:rsid w:val="006900D9"/>
    <w:rsid w:val="006B2B7B"/>
    <w:rsid w:val="006C634A"/>
    <w:rsid w:val="00706C16"/>
    <w:rsid w:val="00716305"/>
    <w:rsid w:val="00733C17"/>
    <w:rsid w:val="007343CE"/>
    <w:rsid w:val="00756170"/>
    <w:rsid w:val="00756841"/>
    <w:rsid w:val="007649AB"/>
    <w:rsid w:val="00770FBF"/>
    <w:rsid w:val="00771D0C"/>
    <w:rsid w:val="007830CD"/>
    <w:rsid w:val="007833AC"/>
    <w:rsid w:val="00783C61"/>
    <w:rsid w:val="00790BF7"/>
    <w:rsid w:val="007A0B62"/>
    <w:rsid w:val="007B268C"/>
    <w:rsid w:val="007B7171"/>
    <w:rsid w:val="007C0C0F"/>
    <w:rsid w:val="007C3DC2"/>
    <w:rsid w:val="007E5497"/>
    <w:rsid w:val="00806F5F"/>
    <w:rsid w:val="00820278"/>
    <w:rsid w:val="00820BDB"/>
    <w:rsid w:val="00821F0D"/>
    <w:rsid w:val="00844111"/>
    <w:rsid w:val="008528C6"/>
    <w:rsid w:val="00853396"/>
    <w:rsid w:val="008603F9"/>
    <w:rsid w:val="00865F99"/>
    <w:rsid w:val="00867F95"/>
    <w:rsid w:val="00880A8C"/>
    <w:rsid w:val="008843B6"/>
    <w:rsid w:val="00890BAF"/>
    <w:rsid w:val="00891928"/>
    <w:rsid w:val="008A446D"/>
    <w:rsid w:val="008D180B"/>
    <w:rsid w:val="008E1BE2"/>
    <w:rsid w:val="008E1FE3"/>
    <w:rsid w:val="008F0EA7"/>
    <w:rsid w:val="009009DB"/>
    <w:rsid w:val="00905599"/>
    <w:rsid w:val="00922504"/>
    <w:rsid w:val="00923EEF"/>
    <w:rsid w:val="00941102"/>
    <w:rsid w:val="009419F9"/>
    <w:rsid w:val="00953C6B"/>
    <w:rsid w:val="0095685E"/>
    <w:rsid w:val="00961B09"/>
    <w:rsid w:val="00965334"/>
    <w:rsid w:val="0096723B"/>
    <w:rsid w:val="0097093E"/>
    <w:rsid w:val="0098184B"/>
    <w:rsid w:val="009838A4"/>
    <w:rsid w:val="00986AC5"/>
    <w:rsid w:val="00991764"/>
    <w:rsid w:val="009A0DFA"/>
    <w:rsid w:val="009B254C"/>
    <w:rsid w:val="009B2D26"/>
    <w:rsid w:val="009C71FA"/>
    <w:rsid w:val="009C72E7"/>
    <w:rsid w:val="009D3058"/>
    <w:rsid w:val="009E0043"/>
    <w:rsid w:val="009E3474"/>
    <w:rsid w:val="009F3A13"/>
    <w:rsid w:val="00A122D3"/>
    <w:rsid w:val="00A17F13"/>
    <w:rsid w:val="00A20739"/>
    <w:rsid w:val="00A32858"/>
    <w:rsid w:val="00A33C78"/>
    <w:rsid w:val="00A36CA6"/>
    <w:rsid w:val="00A704D4"/>
    <w:rsid w:val="00A80B1C"/>
    <w:rsid w:val="00AA311B"/>
    <w:rsid w:val="00AB0AA0"/>
    <w:rsid w:val="00AB0ADB"/>
    <w:rsid w:val="00B01B1A"/>
    <w:rsid w:val="00B1147A"/>
    <w:rsid w:val="00B21CDF"/>
    <w:rsid w:val="00B66319"/>
    <w:rsid w:val="00B71D3A"/>
    <w:rsid w:val="00B72CD3"/>
    <w:rsid w:val="00B72FFF"/>
    <w:rsid w:val="00B949F6"/>
    <w:rsid w:val="00BC3D36"/>
    <w:rsid w:val="00BD7F72"/>
    <w:rsid w:val="00BE3949"/>
    <w:rsid w:val="00C04FB3"/>
    <w:rsid w:val="00C25335"/>
    <w:rsid w:val="00C330EB"/>
    <w:rsid w:val="00C358EE"/>
    <w:rsid w:val="00C41061"/>
    <w:rsid w:val="00C60FE1"/>
    <w:rsid w:val="00C754BE"/>
    <w:rsid w:val="00C76B1C"/>
    <w:rsid w:val="00CB6357"/>
    <w:rsid w:val="00CB69CA"/>
    <w:rsid w:val="00CC1B26"/>
    <w:rsid w:val="00CC6BCF"/>
    <w:rsid w:val="00D21EA2"/>
    <w:rsid w:val="00D24B1A"/>
    <w:rsid w:val="00D423A2"/>
    <w:rsid w:val="00D45058"/>
    <w:rsid w:val="00D520D8"/>
    <w:rsid w:val="00D56528"/>
    <w:rsid w:val="00D63AC2"/>
    <w:rsid w:val="00D720BD"/>
    <w:rsid w:val="00D7383B"/>
    <w:rsid w:val="00D90432"/>
    <w:rsid w:val="00DA231B"/>
    <w:rsid w:val="00DB1CCF"/>
    <w:rsid w:val="00DB660D"/>
    <w:rsid w:val="00DC39FC"/>
    <w:rsid w:val="00DF4FF1"/>
    <w:rsid w:val="00DF5254"/>
    <w:rsid w:val="00E039E5"/>
    <w:rsid w:val="00E16408"/>
    <w:rsid w:val="00E20894"/>
    <w:rsid w:val="00E245AB"/>
    <w:rsid w:val="00E2764C"/>
    <w:rsid w:val="00E27F2E"/>
    <w:rsid w:val="00E45255"/>
    <w:rsid w:val="00E50AFE"/>
    <w:rsid w:val="00E5204E"/>
    <w:rsid w:val="00E75C92"/>
    <w:rsid w:val="00E771DC"/>
    <w:rsid w:val="00E8772A"/>
    <w:rsid w:val="00E90F6B"/>
    <w:rsid w:val="00E92C27"/>
    <w:rsid w:val="00EA0E3D"/>
    <w:rsid w:val="00EB5565"/>
    <w:rsid w:val="00EC38A7"/>
    <w:rsid w:val="00ED7384"/>
    <w:rsid w:val="00EE1AA8"/>
    <w:rsid w:val="00EE4985"/>
    <w:rsid w:val="00EE6038"/>
    <w:rsid w:val="00EF6C6C"/>
    <w:rsid w:val="00F14951"/>
    <w:rsid w:val="00F31EDC"/>
    <w:rsid w:val="00F462B3"/>
    <w:rsid w:val="00F5664F"/>
    <w:rsid w:val="00F666C4"/>
    <w:rsid w:val="00F76AFC"/>
    <w:rsid w:val="00F805ED"/>
    <w:rsid w:val="00FA47C0"/>
    <w:rsid w:val="00FA65CB"/>
    <w:rsid w:val="00FB5DD1"/>
    <w:rsid w:val="00FC1840"/>
    <w:rsid w:val="00FC2B5D"/>
    <w:rsid w:val="00FC5A15"/>
    <w:rsid w:val="00FD3F2E"/>
    <w:rsid w:val="00FF1449"/>
    <w:rsid w:val="00FF4806"/>
    <w:rsid w:val="00FF73C3"/>
    <w:rsid w:val="0A0BB7DD"/>
    <w:rsid w:val="165E9519"/>
    <w:rsid w:val="382536D9"/>
    <w:rsid w:val="620833A1"/>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650E0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50E02"/>
    <w:rPr>
      <w:rFonts w:ascii="Geomanist Light" w:hAnsi="Geomanist Light"/>
      <w:lang w:val="es-ES"/>
    </w:rPr>
  </w:style>
  <w:style w:type="character" w:customStyle="1" w:styleId="s15">
    <w:name w:val="s15"/>
    <w:basedOn w:val="Fuentedeprrafopredeter"/>
    <w:rsid w:val="00650E02"/>
  </w:style>
  <w:style w:type="character" w:customStyle="1" w:styleId="apple-converted-space">
    <w:name w:val="apple-converted-space"/>
    <w:basedOn w:val="Fuentedeprrafopredeter"/>
    <w:rsid w:val="00650E02"/>
  </w:style>
  <w:style w:type="paragraph" w:styleId="Textoindependiente">
    <w:name w:val="Body Text"/>
    <w:basedOn w:val="Normal"/>
    <w:link w:val="TextoindependienteCar"/>
    <w:uiPriority w:val="1"/>
    <w:qFormat/>
    <w:rsid w:val="00650E02"/>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650E02"/>
    <w:rPr>
      <w:rFonts w:ascii="Verdana" w:eastAsia="Verdana" w:hAnsi="Verdana" w:cs="Verdana"/>
      <w:lang w:val="es-ES"/>
    </w:rPr>
  </w:style>
  <w:style w:type="paragraph" w:styleId="Sinespaciado">
    <w:name w:val="No Spacing"/>
    <w:aliases w:val="No Indent"/>
    <w:uiPriority w:val="1"/>
    <w:qFormat/>
    <w:rsid w:val="00650E02"/>
    <w:pPr>
      <w:spacing w:after="0" w:line="240" w:lineRule="auto"/>
    </w:pPr>
    <w:rPr>
      <w:sz w:val="24"/>
      <w:lang w:val="es-MX"/>
    </w:rPr>
  </w:style>
  <w:style w:type="character" w:customStyle="1" w:styleId="NormalWebCar">
    <w:name w:val="Normal (Web) Car"/>
    <w:link w:val="NormalWeb"/>
    <w:uiPriority w:val="99"/>
    <w:locked/>
    <w:rsid w:val="00650E02"/>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67614">
      <w:bodyDiv w:val="1"/>
      <w:marLeft w:val="0"/>
      <w:marRight w:val="0"/>
      <w:marTop w:val="0"/>
      <w:marBottom w:val="0"/>
      <w:divBdr>
        <w:top w:val="none" w:sz="0" w:space="0" w:color="auto"/>
        <w:left w:val="none" w:sz="0" w:space="0" w:color="auto"/>
        <w:bottom w:val="none" w:sz="0" w:space="0" w:color="auto"/>
        <w:right w:val="none" w:sz="0" w:space="0" w:color="auto"/>
      </w:divBdr>
    </w:div>
    <w:div w:id="169495081">
      <w:bodyDiv w:val="1"/>
      <w:marLeft w:val="0"/>
      <w:marRight w:val="0"/>
      <w:marTop w:val="0"/>
      <w:marBottom w:val="0"/>
      <w:divBdr>
        <w:top w:val="none" w:sz="0" w:space="0" w:color="auto"/>
        <w:left w:val="none" w:sz="0" w:space="0" w:color="auto"/>
        <w:bottom w:val="none" w:sz="0" w:space="0" w:color="auto"/>
        <w:right w:val="none" w:sz="0" w:space="0" w:color="auto"/>
      </w:divBdr>
    </w:div>
    <w:div w:id="301735849">
      <w:bodyDiv w:val="1"/>
      <w:marLeft w:val="0"/>
      <w:marRight w:val="0"/>
      <w:marTop w:val="0"/>
      <w:marBottom w:val="0"/>
      <w:divBdr>
        <w:top w:val="none" w:sz="0" w:space="0" w:color="auto"/>
        <w:left w:val="none" w:sz="0" w:space="0" w:color="auto"/>
        <w:bottom w:val="none" w:sz="0" w:space="0" w:color="auto"/>
        <w:right w:val="none" w:sz="0" w:space="0" w:color="auto"/>
      </w:divBdr>
    </w:div>
    <w:div w:id="33391578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56034169">
      <w:bodyDiv w:val="1"/>
      <w:marLeft w:val="0"/>
      <w:marRight w:val="0"/>
      <w:marTop w:val="0"/>
      <w:marBottom w:val="0"/>
      <w:divBdr>
        <w:top w:val="none" w:sz="0" w:space="0" w:color="auto"/>
        <w:left w:val="none" w:sz="0" w:space="0" w:color="auto"/>
        <w:bottom w:val="none" w:sz="0" w:space="0" w:color="auto"/>
        <w:right w:val="none" w:sz="0" w:space="0" w:color="auto"/>
      </w:divBdr>
    </w:div>
    <w:div w:id="747725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3337267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58460973">
      <w:bodyDiv w:val="1"/>
      <w:marLeft w:val="0"/>
      <w:marRight w:val="0"/>
      <w:marTop w:val="0"/>
      <w:marBottom w:val="0"/>
      <w:divBdr>
        <w:top w:val="none" w:sz="0" w:space="0" w:color="auto"/>
        <w:left w:val="none" w:sz="0" w:space="0" w:color="auto"/>
        <w:bottom w:val="none" w:sz="0" w:space="0" w:color="auto"/>
        <w:right w:val="none" w:sz="0" w:space="0" w:color="auto"/>
      </w:divBdr>
    </w:div>
    <w:div w:id="1442800801">
      <w:bodyDiv w:val="1"/>
      <w:marLeft w:val="0"/>
      <w:marRight w:val="0"/>
      <w:marTop w:val="0"/>
      <w:marBottom w:val="0"/>
      <w:divBdr>
        <w:top w:val="none" w:sz="0" w:space="0" w:color="auto"/>
        <w:left w:val="none" w:sz="0" w:space="0" w:color="auto"/>
        <w:bottom w:val="none" w:sz="0" w:space="0" w:color="auto"/>
        <w:right w:val="none" w:sz="0" w:space="0" w:color="auto"/>
      </w:divBdr>
    </w:div>
    <w:div w:id="153145357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sites/cce_public/files/cce_documents/20151115_contrato_de_fiducia_para_el_manejo_de_anticipos_v2_0.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lkingarciasabogal@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2017-Guia-para-el-manejo-de-anticipos-mediante-contrato-de-fiducia-mercantil-irrevocable-G-MACFMI-01.pdf" TargetMode="External"/><Relationship Id="rId1" Type="http://schemas.openxmlformats.org/officeDocument/2006/relationships/hyperlink" Target="http://svrpubindc.imprenta.gov.co/senado/index.xhtml;jsessionid=b3ba7213a248bacd37376ffced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4EB9A-1829-4AF8-97C2-AFDD8C76F9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elements/1.1/"/>
    <ds:schemaRef ds:uri="http://www.w3.org/XML/1998/namespace"/>
    <ds:schemaRef ds:uri="http://schemas.microsoft.com/office/infopath/2007/PartnerControls"/>
    <ds:schemaRef ds:uri="http://purl.org/dc/terms/"/>
    <ds:schemaRef ds:uri="http://schemas.microsoft.com/office/2006/documentManagement/types"/>
    <ds:schemaRef ds:uri="9d85dbaf-23eb-4e57-a637-93dcacc8b1a1"/>
    <ds:schemaRef ds:uri="http://schemas.openxmlformats.org/package/2006/metadata/core-properties"/>
    <ds:schemaRef ds:uri="a6cb9e4b-f1d1-4245-83ec-6cad768d538a"/>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152352D2-BC4C-421B-A4F7-200979FAA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7510</Words>
  <Characters>41305</Characters>
  <Application>Microsoft Office Word</Application>
  <DocSecurity>0</DocSecurity>
  <Lines>344</Lines>
  <Paragraphs>97</Paragraphs>
  <ScaleCrop>false</ScaleCrop>
  <Company/>
  <LinksUpToDate>false</LinksUpToDate>
  <CharactersWithSpaces>48718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2025-07-28T22:42:00Z</dcterms:created>
  <dcterms:modified xsi:type="dcterms:W3CDTF">2025-07-28T22:42:00Z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