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EF6EA" w14:textId="77777777" w:rsidR="00AC5721" w:rsidRPr="006A7227" w:rsidRDefault="00AC5721" w:rsidP="00AC5721">
      <w:pPr>
        <w:spacing w:line="276" w:lineRule="auto"/>
        <w:jc w:val="both"/>
        <w:rPr>
          <w:rFonts w:ascii="Arial" w:eastAsia="Calibri" w:hAnsi="Arial" w:cs="Arial"/>
          <w:b/>
          <w:bCs/>
          <w:color w:val="000000" w:themeColor="text1"/>
          <w:szCs w:val="24"/>
          <w:lang w:val="es-ES_tradnl" w:eastAsia="es-ES_tradnl"/>
        </w:rPr>
      </w:pPr>
      <w:r w:rsidRPr="006A7227">
        <w:rPr>
          <w:rFonts w:ascii="Arial" w:hAnsi="Arial" w:cs="Arial"/>
          <w:b/>
          <w:bCs/>
          <w:iCs/>
          <w:color w:val="000000" w:themeColor="text1"/>
          <w:lang w:val="es-ES_tradnl"/>
        </w:rPr>
        <w:t>UNIVERSIDADES PÚBLICAS – Naturaleza jurídica – Régimen de contratación</w:t>
      </w:r>
    </w:p>
    <w:p w14:paraId="155332AC" w14:textId="77777777" w:rsidR="00AC5721" w:rsidRPr="00D807DF" w:rsidRDefault="00AC5721" w:rsidP="00AC5721">
      <w:pPr>
        <w:spacing w:line="276" w:lineRule="auto"/>
        <w:jc w:val="both"/>
        <w:rPr>
          <w:rFonts w:ascii="Arial" w:eastAsia="Times New Roman" w:hAnsi="Arial" w:cs="Arial"/>
          <w:color w:val="000000" w:themeColor="text1"/>
          <w:szCs w:val="24"/>
          <w:lang w:val="es-ES_tradnl" w:eastAsia="es-ES_tradnl"/>
        </w:rPr>
      </w:pPr>
      <w:r w:rsidRPr="00D807DF">
        <w:rPr>
          <w:rFonts w:ascii="Arial" w:hAnsi="Arial" w:cs="Arial"/>
          <w:noProof/>
          <w:lang w:val="es-ES_tradnl"/>
        </w:rPr>
        <w:t xml:space="preserve">La Constitución Política de Colombia consagra en el artículo 69, por una parte, una garantía de autonomía para que las universidades establezcan sus directivas y sus estatutos de acuerdo con la ley; y por otra, la posibilidad de que cuenten con un régimen especial que </w:t>
      </w:r>
      <w:r w:rsidRPr="00D807DF">
        <w:rPr>
          <w:rFonts w:ascii="Arial" w:eastAsia="Times New Roman" w:hAnsi="Arial" w:cs="Arial"/>
          <w:color w:val="000000" w:themeColor="text1"/>
          <w:szCs w:val="24"/>
          <w:lang w:val="es-ES_tradnl" w:eastAsia="es-ES_tradnl"/>
        </w:rPr>
        <w:t>corresponde dictar al Congreso</w:t>
      </w:r>
      <w:r>
        <w:rPr>
          <w:rFonts w:ascii="Arial" w:eastAsia="Times New Roman" w:hAnsi="Arial" w:cs="Arial"/>
          <w:color w:val="000000" w:themeColor="text1"/>
          <w:szCs w:val="24"/>
          <w:lang w:val="es-ES_tradnl" w:eastAsia="es-ES_tradnl"/>
        </w:rPr>
        <w:t>.</w:t>
      </w:r>
    </w:p>
    <w:p w14:paraId="33CBA4C9" w14:textId="77777777" w:rsidR="00AC5721" w:rsidRDefault="00AC5721" w:rsidP="00AC5721">
      <w:pPr>
        <w:spacing w:line="276" w:lineRule="auto"/>
        <w:jc w:val="both"/>
        <w:rPr>
          <w:rFonts w:ascii="Arial" w:hAnsi="Arial" w:cs="Arial"/>
          <w:noProof/>
          <w:lang w:val="es-ES_tradnl"/>
        </w:rPr>
      </w:pPr>
      <w:r w:rsidRPr="00D807DF">
        <w:rPr>
          <w:rFonts w:ascii="Arial" w:eastAsia="Times New Roman" w:hAnsi="Arial" w:cs="Arial"/>
          <w:color w:val="000000" w:themeColor="text1"/>
          <w:szCs w:val="24"/>
          <w:lang w:val="es-ES_tradnl" w:eastAsia="es-ES_tradnl"/>
        </w:rPr>
        <w:t>En de</w:t>
      </w:r>
      <w:r w:rsidRPr="00D807DF">
        <w:rPr>
          <w:rFonts w:ascii="Arial" w:hAnsi="Arial" w:cs="Arial"/>
          <w:noProof/>
          <w:lang w:val="es-ES_tradnl"/>
        </w:rPr>
        <w:t>sarrollo de lo anterior, se expidió la Ley 30 de 1992, mediante la cual se regularon aspectos como la naturaleza jurídica de las universidades estatales, la forma de organizarse y el régimen de contratación aplicable. Así mismo, en el artículo 57 se consignó que el carácter especial del régimen de las universidades estatales u oficiales comprende, entre otros aspectos, el régimen de contratación. En el mismo sentido, estableció, en el artículo 93, que los contratos que celebren las universidades estatales u oficiales se regirán por las normas del derecho privado</w:t>
      </w:r>
      <w:r>
        <w:rPr>
          <w:rFonts w:ascii="Arial" w:hAnsi="Arial" w:cs="Arial"/>
          <w:noProof/>
          <w:lang w:val="es-ES_tradnl"/>
        </w:rPr>
        <w:t>.</w:t>
      </w:r>
    </w:p>
    <w:p w14:paraId="267D849E" w14:textId="77777777" w:rsidR="00AC5721" w:rsidRDefault="00AC5721" w:rsidP="00AC5721">
      <w:pPr>
        <w:spacing w:line="276" w:lineRule="auto"/>
        <w:jc w:val="both"/>
        <w:rPr>
          <w:rFonts w:ascii="Arial" w:hAnsi="Arial" w:cs="Arial"/>
          <w:b/>
          <w:bCs/>
          <w:iCs/>
          <w:color w:val="000000" w:themeColor="text1"/>
          <w:lang w:val="es-ES_tradnl"/>
        </w:rPr>
      </w:pPr>
      <w:r w:rsidRPr="0057685A">
        <w:rPr>
          <w:rFonts w:ascii="Arial" w:hAnsi="Arial" w:cs="Arial"/>
          <w:b/>
          <w:bCs/>
          <w:iCs/>
          <w:color w:val="000000" w:themeColor="text1"/>
          <w:lang w:val="es-ES_tradnl"/>
        </w:rPr>
        <w:t>CONVENIOS INTERADMINISTRATIVOS – Concepto –</w:t>
      </w:r>
      <w:r>
        <w:rPr>
          <w:rFonts w:ascii="Arial" w:hAnsi="Arial" w:cs="Arial"/>
          <w:b/>
          <w:bCs/>
          <w:iCs/>
          <w:color w:val="000000" w:themeColor="text1"/>
          <w:lang w:val="es-ES_tradnl"/>
        </w:rPr>
        <w:t xml:space="preserve"> </w:t>
      </w:r>
      <w:r w:rsidRPr="0057685A">
        <w:rPr>
          <w:rFonts w:ascii="Arial" w:hAnsi="Arial" w:cs="Arial"/>
          <w:b/>
          <w:bCs/>
          <w:iCs/>
          <w:color w:val="000000" w:themeColor="text1"/>
          <w:lang w:val="es-ES_tradnl"/>
        </w:rPr>
        <w:t>Régimen jurídic</w:t>
      </w:r>
      <w:r>
        <w:rPr>
          <w:rFonts w:ascii="Arial" w:hAnsi="Arial" w:cs="Arial"/>
          <w:b/>
          <w:bCs/>
          <w:iCs/>
          <w:color w:val="000000" w:themeColor="text1"/>
          <w:lang w:val="es-ES_tradnl"/>
        </w:rPr>
        <w:t xml:space="preserve">o </w:t>
      </w:r>
      <w:r w:rsidRPr="0057685A">
        <w:rPr>
          <w:rFonts w:ascii="Arial" w:hAnsi="Arial" w:cs="Arial"/>
          <w:b/>
          <w:bCs/>
          <w:iCs/>
          <w:color w:val="000000" w:themeColor="text1"/>
          <w:lang w:val="es-ES_tradnl"/>
        </w:rPr>
        <w:t>–</w:t>
      </w:r>
      <w:r>
        <w:rPr>
          <w:rFonts w:ascii="Arial" w:hAnsi="Arial" w:cs="Arial"/>
          <w:b/>
          <w:bCs/>
          <w:iCs/>
          <w:color w:val="000000" w:themeColor="text1"/>
          <w:lang w:val="es-ES_tradnl"/>
        </w:rPr>
        <w:t xml:space="preserve"> Elemento esencial </w:t>
      </w:r>
    </w:p>
    <w:p w14:paraId="385573D2" w14:textId="77777777" w:rsidR="00AC5721" w:rsidRPr="00D807DF" w:rsidRDefault="00AC5721" w:rsidP="00AC5721">
      <w:pPr>
        <w:widowControl w:val="0"/>
        <w:autoSpaceDE w:val="0"/>
        <w:autoSpaceDN w:val="0"/>
        <w:spacing w:after="120" w:line="276" w:lineRule="auto"/>
        <w:jc w:val="both"/>
        <w:rPr>
          <w:rFonts w:ascii="Arial" w:eastAsia="Arial" w:hAnsi="Arial" w:cs="Arial"/>
          <w:lang w:val="es-ES"/>
        </w:rPr>
      </w:pPr>
      <w:r w:rsidRPr="00D807DF">
        <w:rPr>
          <w:rFonts w:ascii="Arial" w:eastAsia="Arial" w:hAnsi="Arial" w:cs="Arial"/>
          <w:lang w:val="es-ES"/>
        </w:rPr>
        <w:t>La tipología del contrato o convenio interadministrativo fue creada en la Ley 80 de 1993 y el Decreto 1082 de 2015 la califica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w:t>
      </w:r>
      <w:r w:rsidRPr="00D807DF">
        <w:rPr>
          <w:rFonts w:ascii="Arial" w:eastAsia="Arial" w:hAnsi="Arial" w:cs="Arial"/>
          <w:spacing w:val="-6"/>
          <w:lang w:val="es-ES"/>
        </w:rPr>
        <w:t xml:space="preserve"> </w:t>
      </w:r>
      <w:r w:rsidRPr="00D807DF">
        <w:rPr>
          <w:rFonts w:ascii="Arial" w:eastAsia="Arial" w:hAnsi="Arial" w:cs="Arial"/>
          <w:lang w:val="es-ES"/>
        </w:rPr>
        <w:t>estatales.</w:t>
      </w:r>
    </w:p>
    <w:p w14:paraId="414911A3" w14:textId="77777777" w:rsidR="00AC5721" w:rsidRPr="00D807DF" w:rsidRDefault="00AC5721" w:rsidP="00AC5721">
      <w:pPr>
        <w:widowControl w:val="0"/>
        <w:autoSpaceDE w:val="0"/>
        <w:autoSpaceDN w:val="0"/>
        <w:spacing w:before="117" w:after="120" w:line="276" w:lineRule="auto"/>
        <w:jc w:val="both"/>
        <w:rPr>
          <w:rFonts w:ascii="Arial" w:eastAsia="Arial" w:hAnsi="Arial" w:cs="Arial"/>
          <w:lang w:val="es-ES"/>
        </w:rPr>
      </w:pPr>
      <w:r w:rsidRPr="00D807DF">
        <w:rPr>
          <w:rFonts w:ascii="Arial" w:eastAsia="Arial" w:hAnsi="Arial" w:cs="Arial"/>
          <w:lang w:val="es-ES"/>
        </w:rPr>
        <w:t>Si bien los contratos o convenios interadministrativos están previstos en la Ley 80 de 1993, en la Ley 1150 de 2007 y en el Decreto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2B366598" w14:textId="77777777" w:rsidR="00AC5721" w:rsidRDefault="00AC5721" w:rsidP="00AC5721">
      <w:pPr>
        <w:widowControl w:val="0"/>
        <w:autoSpaceDE w:val="0"/>
        <w:autoSpaceDN w:val="0"/>
        <w:spacing w:before="121" w:after="120" w:line="276" w:lineRule="auto"/>
        <w:jc w:val="both"/>
        <w:rPr>
          <w:rFonts w:ascii="Arial" w:eastAsia="Arial" w:hAnsi="Arial" w:cs="Arial"/>
          <w:lang w:val="es-ES"/>
        </w:rPr>
      </w:pPr>
      <w:r w:rsidRPr="00D807DF">
        <w:rPr>
          <w:rFonts w:ascii="Arial" w:eastAsia="Arial" w:hAnsi="Arial" w:cs="Arial"/>
          <w:lang w:val="es-ES"/>
        </w:rPr>
        <w:t xml:space="preserve">Un contrato o convenio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w:t>
      </w:r>
      <w:r w:rsidRPr="00D807DF">
        <w:rPr>
          <w:rFonts w:ascii="Arial" w:eastAsia="Arial" w:hAnsi="Arial" w:cs="Arial"/>
          <w:lang w:val="es-ES"/>
        </w:rPr>
        <w:lastRenderedPageBreak/>
        <w:t>selección y no la naturaleza de contrato</w:t>
      </w:r>
      <w:r w:rsidRPr="00D807DF">
        <w:rPr>
          <w:rFonts w:ascii="Arial" w:eastAsia="Arial" w:hAnsi="Arial" w:cs="Arial"/>
          <w:spacing w:val="-18"/>
          <w:lang w:val="es-ES"/>
        </w:rPr>
        <w:t xml:space="preserve"> </w:t>
      </w:r>
      <w:r w:rsidRPr="00D807DF">
        <w:rPr>
          <w:rFonts w:ascii="Arial" w:eastAsia="Arial" w:hAnsi="Arial" w:cs="Arial"/>
          <w:lang w:val="es-ES"/>
        </w:rPr>
        <w:t>interadministrativo.</w:t>
      </w:r>
    </w:p>
    <w:p w14:paraId="60E447B7" w14:textId="77777777" w:rsidR="00AC5721" w:rsidRDefault="00AC5721" w:rsidP="00AC5721">
      <w:pPr>
        <w:widowControl w:val="0"/>
        <w:autoSpaceDE w:val="0"/>
        <w:autoSpaceDN w:val="0"/>
        <w:spacing w:before="121" w:after="120" w:line="276" w:lineRule="auto"/>
        <w:jc w:val="both"/>
        <w:rPr>
          <w:rFonts w:ascii="Arial" w:hAnsi="Arial" w:cs="Arial"/>
          <w:b/>
          <w:bCs/>
          <w:iCs/>
          <w:color w:val="000000" w:themeColor="text1"/>
          <w:lang w:val="es-ES_tradnl"/>
        </w:rPr>
      </w:pPr>
      <w:r w:rsidRPr="0057685A">
        <w:rPr>
          <w:rFonts w:ascii="Arial" w:hAnsi="Arial" w:cs="Arial"/>
          <w:b/>
          <w:bCs/>
          <w:iCs/>
          <w:color w:val="000000" w:themeColor="text1"/>
          <w:lang w:val="es-ES_tradnl"/>
        </w:rPr>
        <w:t>PUBLICIDAD SECOP – Entidades Estatales exceptuadas del Estatuto General de Contratación de la Administración Pública – Modificación artículo 53 de la Ley 2195 de 2022</w:t>
      </w:r>
    </w:p>
    <w:p w14:paraId="30A02CF8" w14:textId="77777777" w:rsidR="00AC5721" w:rsidRDefault="00AC5721" w:rsidP="00AC5721">
      <w:pPr>
        <w:widowControl w:val="0"/>
        <w:autoSpaceDE w:val="0"/>
        <w:autoSpaceDN w:val="0"/>
        <w:spacing w:before="121" w:after="120" w:line="276" w:lineRule="auto"/>
        <w:jc w:val="both"/>
        <w:rPr>
          <w:rFonts w:ascii="Arial" w:hAnsi="Arial" w:cs="Arial"/>
          <w:color w:val="000000" w:themeColor="text1"/>
        </w:rPr>
      </w:pPr>
      <w:r w:rsidRPr="00D807DF">
        <w:rPr>
          <w:rFonts w:ascii="Arial" w:hAnsi="Arial" w:cs="Arial"/>
          <w:color w:val="000000" w:themeColor="text1"/>
        </w:rPr>
        <w:t xml:space="preserve">La Ley 2195 de 2022, por medio de la cual se adoptan medidas en materia de transparencia, prevención y lucha contra la corrupción, dispone en </w:t>
      </w:r>
      <w:r w:rsidRPr="00D807DF">
        <w:rPr>
          <w:rFonts w:ascii="Arial" w:eastAsia="Calibri" w:hAnsi="Arial" w:cs="Arial"/>
          <w:color w:val="000000" w:themeColor="text1"/>
          <w:lang w:val="es-ES_tradnl" w:eastAsia="es-ES_tradnl"/>
        </w:rPr>
        <w:t>su artículo 1, que esta Ley «</w:t>
      </w:r>
      <w:r w:rsidRPr="00D807DF">
        <w:rPr>
          <w:rFonts w:ascii="Arial" w:eastAsia="Times New Roman" w:hAnsi="Arial" w:cs="Arial"/>
          <w:color w:val="000000" w:themeColor="text1"/>
          <w:lang w:val="es-ES_tradnl" w:eastAsia="es-ES_tradnl"/>
        </w:rPr>
        <w:t xml:space="preserve">[…] </w:t>
      </w:r>
      <w:r w:rsidRPr="00D807DF">
        <w:rPr>
          <w:rFonts w:ascii="Arial" w:eastAsia="Calibri" w:hAnsi="Arial" w:cs="Arial"/>
          <w:color w:val="000000" w:themeColor="text1"/>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w:t>
      </w:r>
      <w:r w:rsidRPr="00D807DF">
        <w:rPr>
          <w:rFonts w:ascii="Arial" w:hAnsi="Arial" w:cs="Arial"/>
          <w:color w:val="000000" w:themeColor="text1"/>
        </w:rPr>
        <w:t>el artículo 53, mediante el cual se adiciona el artículo 13 de la 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w:t>
      </w:r>
    </w:p>
    <w:p w14:paraId="0BE9F8BE" w14:textId="77777777" w:rsidR="00AC5721" w:rsidRDefault="00AC5721" w:rsidP="00AC5721">
      <w:pPr>
        <w:widowControl w:val="0"/>
        <w:autoSpaceDE w:val="0"/>
        <w:autoSpaceDN w:val="0"/>
        <w:spacing w:before="121" w:after="120" w:line="276" w:lineRule="auto"/>
        <w:jc w:val="both"/>
        <w:rPr>
          <w:rFonts w:ascii="Arial" w:hAnsi="Arial" w:cs="Arial"/>
          <w:color w:val="000000" w:themeColor="text1"/>
        </w:rPr>
      </w:pPr>
      <w:r w:rsidRPr="0057685A">
        <w:rPr>
          <w:rFonts w:ascii="Arial" w:hAnsi="Arial" w:cs="Arial"/>
          <w:b/>
          <w:bCs/>
          <w:iCs/>
          <w:color w:val="000000" w:themeColor="text1"/>
          <w:lang w:val="es-ES_tradnl"/>
        </w:rPr>
        <w:t>PUBLICIDAD SECOP – Modificación artículo 53 de la Ley 2195 de 2022</w:t>
      </w:r>
      <w:r>
        <w:rPr>
          <w:rFonts w:ascii="Arial" w:hAnsi="Arial" w:cs="Arial"/>
          <w:b/>
          <w:bCs/>
          <w:iCs/>
          <w:color w:val="000000" w:themeColor="text1"/>
          <w:lang w:val="es-ES_tradnl"/>
        </w:rPr>
        <w:t xml:space="preserve"> – Plataforma alternativa</w:t>
      </w:r>
    </w:p>
    <w:p w14:paraId="29F851EA" w14:textId="77777777" w:rsidR="00AC5721" w:rsidRPr="0068298C" w:rsidRDefault="00AC5721" w:rsidP="00AC5721">
      <w:pPr>
        <w:spacing w:after="120" w:line="276" w:lineRule="auto"/>
        <w:jc w:val="both"/>
        <w:rPr>
          <w:rFonts w:ascii="Arial" w:eastAsia="Calibri" w:hAnsi="Arial" w:cs="Arial"/>
          <w:color w:val="000000" w:themeColor="text1"/>
          <w:lang w:val="es-ES_tradnl" w:eastAsia="es-ES_tradnl"/>
        </w:rPr>
      </w:pPr>
      <w:r w:rsidRPr="00D807DF">
        <w:rPr>
          <w:rFonts w:ascii="Arial" w:eastAsia="Calibri" w:hAnsi="Arial" w:cs="Arial"/>
          <w:color w:val="000000" w:themeColor="text1"/>
          <w:lang w:val="es-ES_tradnl"/>
        </w:rPr>
        <w:t xml:space="preserve">Cabe destacar que cuando la norma trascrita hace referencia a que el mencionado deber de publicidad debe cumplirse en el SECOP II o </w:t>
      </w:r>
      <w:r w:rsidRPr="00D807DF">
        <w:rPr>
          <w:rFonts w:ascii="Arial" w:hAnsi="Arial" w:cs="Arial"/>
          <w:color w:val="000000" w:themeColor="text1"/>
        </w:rPr>
        <w:t>«</w:t>
      </w:r>
      <w:r w:rsidRPr="00D807DF">
        <w:rPr>
          <w:rFonts w:ascii="Arial" w:eastAsia="Calibri" w:hAnsi="Arial" w:cs="Arial"/>
          <w:color w:val="000000" w:themeColor="text1"/>
          <w:lang w:val="es-ES_tradnl"/>
        </w:rPr>
        <w:t>la plataforma transaccional que haga sus veces</w:t>
      </w:r>
      <w:r w:rsidRPr="00D807DF">
        <w:rPr>
          <w:rFonts w:ascii="Arial" w:hAnsi="Arial" w:cs="Arial"/>
          <w:color w:val="000000" w:themeColor="text1"/>
        </w:rPr>
        <w:t>»</w:t>
      </w:r>
      <w:r w:rsidRPr="00D807DF">
        <w:rPr>
          <w:rFonts w:ascii="Arial" w:eastAsia="Calibri" w:hAnsi="Arial" w:cs="Arial"/>
          <w:color w:val="000000" w:themeColor="text1"/>
          <w:lang w:val="es-ES_tradnl"/>
        </w:rPr>
        <w:t xml:space="preserve">,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Pr="00D807DF">
        <w:rPr>
          <w:rFonts w:ascii="Arial" w:hAnsi="Arial" w:cs="Arial"/>
          <w:color w:val="000000" w:themeColor="text1"/>
        </w:rPr>
        <w:t>«</w:t>
      </w:r>
      <w:r w:rsidRPr="00D807DF">
        <w:rPr>
          <w:rFonts w:ascii="Arial" w:eastAsia="Calibri" w:hAnsi="Arial" w:cs="Arial"/>
          <w:color w:val="000000" w:themeColor="text1"/>
          <w:lang w:val="es-ES_tradnl"/>
        </w:rPr>
        <w:t>la plataforma que haga sus veces</w:t>
      </w:r>
      <w:r w:rsidRPr="00D807DF">
        <w:rPr>
          <w:rFonts w:ascii="Arial" w:hAnsi="Arial" w:cs="Arial"/>
          <w:color w:val="000000" w:themeColor="text1"/>
        </w:rPr>
        <w:t>»</w:t>
      </w:r>
      <w:r w:rsidRPr="00D807DF">
        <w:rPr>
          <w:rFonts w:ascii="Arial" w:eastAsia="Calibri" w:hAnsi="Arial" w:cs="Arial"/>
          <w:color w:val="000000" w:themeColor="text1"/>
          <w:lang w:val="es-ES_tradnl"/>
        </w:rPr>
        <w:t xml:space="preserve"> no puede interpretarse como una autorización para que las entidades obligadas en virtud del artículo 53 de la Ley 2195 de 2022 pueden emplear sus páginas web o sus propios portales electrónicos para cumplir con el deber de publicidad que les asiste. </w:t>
      </w:r>
      <w:r w:rsidRPr="00D807DF">
        <w:rPr>
          <w:rFonts w:ascii="Arial" w:eastAsia="Calibri" w:hAnsi="Arial" w:cs="Arial"/>
          <w:color w:val="000000" w:themeColor="text1"/>
          <w:lang w:val="es-ES_tradnl" w:eastAsia="es-ES_tradnl"/>
        </w:rPr>
        <w:t>Con esto se logra que la ciudadanía pueda encontrar en un mismo sistema la gestión de la actividad contractual del Estado, garantizándose en mayor grado la transparencia y el acceso a la documentación pública.</w:t>
      </w:r>
    </w:p>
    <w:p w14:paraId="366B3D06" w14:textId="77777777" w:rsidR="00AC5721" w:rsidRPr="008E44A0" w:rsidRDefault="00AC5721" w:rsidP="00AC5721">
      <w:pPr>
        <w:widowControl w:val="0"/>
        <w:autoSpaceDE w:val="0"/>
        <w:autoSpaceDN w:val="0"/>
        <w:spacing w:before="121" w:after="120" w:line="276" w:lineRule="auto"/>
        <w:jc w:val="both"/>
        <w:rPr>
          <w:rFonts w:ascii="Arial" w:eastAsia="Arial" w:hAnsi="Arial" w:cs="Arial"/>
          <w:b/>
          <w:bCs/>
          <w:lang w:val="es-ES"/>
        </w:rPr>
      </w:pPr>
      <w:r w:rsidRPr="0057685A">
        <w:rPr>
          <w:rFonts w:ascii="Arial" w:hAnsi="Arial" w:cs="Arial"/>
          <w:b/>
          <w:bCs/>
          <w:iCs/>
          <w:color w:val="000000" w:themeColor="text1"/>
          <w:lang w:val="es-ES_tradnl"/>
        </w:rPr>
        <w:t>PUBLICIDAD SECOP</w:t>
      </w:r>
      <w:r>
        <w:rPr>
          <w:rFonts w:ascii="Arial" w:hAnsi="Arial" w:cs="Arial"/>
          <w:b/>
          <w:bCs/>
          <w:iCs/>
          <w:color w:val="000000" w:themeColor="text1"/>
          <w:lang w:val="es-ES_tradnl"/>
        </w:rPr>
        <w:t xml:space="preserve"> – </w:t>
      </w:r>
      <w:r w:rsidRPr="0057685A">
        <w:rPr>
          <w:rFonts w:ascii="Arial" w:hAnsi="Arial" w:cs="Arial"/>
          <w:b/>
          <w:bCs/>
          <w:iCs/>
          <w:color w:val="000000" w:themeColor="text1"/>
          <w:lang w:val="es-ES_tradnl"/>
        </w:rPr>
        <w:t>Modificación artículo 53 de la Ley 2195 de 2022</w:t>
      </w:r>
      <w:r>
        <w:rPr>
          <w:rFonts w:ascii="Arial" w:hAnsi="Arial" w:cs="Arial"/>
          <w:b/>
          <w:bCs/>
          <w:iCs/>
          <w:color w:val="000000" w:themeColor="text1"/>
          <w:lang w:val="es-ES_tradnl"/>
        </w:rPr>
        <w:t xml:space="preserve"> – Deber de Publicación – Actividad Contractual</w:t>
      </w:r>
    </w:p>
    <w:p w14:paraId="4B10DFCD" w14:textId="77777777" w:rsidR="00AC5721" w:rsidRPr="00D807DF" w:rsidRDefault="00AC5721" w:rsidP="00AC5721">
      <w:pPr>
        <w:spacing w:after="120" w:line="276" w:lineRule="auto"/>
        <w:jc w:val="both"/>
        <w:rPr>
          <w:rFonts w:ascii="Arial" w:eastAsia="Calibri" w:hAnsi="Arial" w:cs="Arial"/>
          <w:color w:val="000000" w:themeColor="text1"/>
          <w:lang w:val="es-ES_tradnl" w:eastAsia="es-ES_tradnl"/>
        </w:rPr>
      </w:pPr>
      <w:r w:rsidRPr="00D807DF">
        <w:rPr>
          <w:rFonts w:ascii="Arial" w:eastAsia="Calibri" w:hAnsi="Arial" w:cs="Arial"/>
          <w:color w:val="000000" w:themeColor="text1"/>
          <w:lang w:val="es-ES_tradnl"/>
        </w:rPr>
        <w:lastRenderedPageBreak/>
        <w:t xml:space="preserve">En cuanto a los documentos que deben ser publicados en el SECOP II a efectos de dar cumplimiento al mandato consagrado en el artículo 53 de la Ley 2195 de 2022, es preciso advertir que la disposición hace referencia a los documentos relacionados con su </w:t>
      </w:r>
      <w:r w:rsidRPr="00D807DF">
        <w:rPr>
          <w:rFonts w:ascii="Arial" w:eastAsia="Calibri" w:hAnsi="Arial" w:cs="Arial"/>
          <w:i/>
          <w:iCs/>
          <w:color w:val="000000" w:themeColor="text1"/>
          <w:lang w:val="es-ES_tradnl"/>
        </w:rPr>
        <w:t>actividad contractual,</w:t>
      </w:r>
      <w:r w:rsidRPr="00D807DF">
        <w:rPr>
          <w:rFonts w:ascii="Arial" w:eastAsia="Calibri" w:hAnsi="Arial" w:cs="Arial"/>
          <w:color w:val="000000" w:themeColor="text1"/>
          <w:lang w:val="es-ES_tradnl"/>
        </w:rPr>
        <w:t xml:space="preserve"> la cual define como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w:t>
      </w:r>
      <w:r w:rsidRPr="00D807DF">
        <w:rPr>
          <w:rFonts w:ascii="Arial" w:eastAsia="Calibri" w:hAnsi="Arial" w:cs="Arial"/>
          <w:i/>
          <w:iCs/>
          <w:color w:val="000000" w:themeColor="text1"/>
          <w:lang w:val="es-ES_tradnl"/>
        </w:rPr>
        <w:t>«no misionales»</w:t>
      </w:r>
      <w:r w:rsidRPr="00D807DF">
        <w:rPr>
          <w:rFonts w:ascii="Arial" w:eastAsia="Calibri" w:hAnsi="Arial" w:cs="Arial"/>
          <w:color w:val="000000" w:themeColor="text1"/>
          <w:lang w:val="es-ES_tradnl"/>
        </w:rPr>
        <w:t xml:space="preserve"> estén </w:t>
      </w:r>
      <w:r w:rsidRPr="00D807DF">
        <w:rPr>
          <w:rFonts w:ascii="Arial" w:eastAsia="Calibri" w:hAnsi="Arial" w:cs="Arial"/>
          <w:i/>
          <w:iCs/>
          <w:color w:val="000000" w:themeColor="text1"/>
          <w:lang w:val="es-ES_tradnl"/>
        </w:rPr>
        <w:t>per se</w:t>
      </w:r>
      <w:r w:rsidRPr="00D807DF">
        <w:rPr>
          <w:rFonts w:ascii="Arial" w:eastAsia="Calibri" w:hAnsi="Arial" w:cs="Arial"/>
          <w:color w:val="000000" w:themeColor="text1"/>
          <w:lang w:val="es-ES_tradnl"/>
        </w:rPr>
        <w:t xml:space="preserve"> excluidos del deber de publicidad.</w:t>
      </w:r>
    </w:p>
    <w:p w14:paraId="421D2B08" w14:textId="7408AA3E" w:rsidR="00944634" w:rsidRPr="006B4326" w:rsidRDefault="00944634" w:rsidP="00FB17D4">
      <w:pPr>
        <w:spacing w:after="0" w:line="276" w:lineRule="auto"/>
        <w:jc w:val="both"/>
        <w:rPr>
          <w:rFonts w:ascii="Arial" w:eastAsia="Calibri" w:hAnsi="Arial" w:cs="Arial"/>
          <w:b/>
          <w:color w:val="000000" w:themeColor="text1"/>
          <w:szCs w:val="24"/>
          <w:lang w:val="es-ES_tradnl" w:eastAsia="es-ES_tradnl"/>
        </w:rPr>
      </w:pPr>
    </w:p>
    <w:p w14:paraId="0B7812A6" w14:textId="0211BDC0" w:rsidR="00944634" w:rsidRDefault="00944634" w:rsidP="00FB17D4">
      <w:pPr>
        <w:spacing w:after="0" w:line="276" w:lineRule="auto"/>
        <w:jc w:val="both"/>
        <w:rPr>
          <w:rFonts w:ascii="Arial" w:eastAsia="Calibri" w:hAnsi="Arial" w:cs="Arial"/>
          <w:b/>
          <w:color w:val="000000" w:themeColor="text1"/>
          <w:szCs w:val="24"/>
          <w:lang w:val="es-ES_tradnl" w:eastAsia="es-ES_tradnl"/>
        </w:rPr>
      </w:pPr>
    </w:p>
    <w:p w14:paraId="7DA91BDA" w14:textId="5B9E87BC"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6BCA2CB5" w14:textId="5014F3A4"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4ED3CCD8" w14:textId="30A27BCB"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6473E958" w14:textId="1471341E"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55E925CF" w14:textId="35BE3552"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5D1060F5" w14:textId="5134A0CF"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6B0A040E" w14:textId="46D8E454"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09BC3359" w14:textId="4A978B59"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32C9C14E" w14:textId="745FD887"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1C02A862" w14:textId="2D845A36"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4985A208" w14:textId="2441E109"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0E62D836" w14:textId="04ADDB78"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1CC94677" w14:textId="10D298BD"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7A3A52AA" w14:textId="1C62A1D8"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0EE7A161" w14:textId="5D2B2835"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5BB2550A" w14:textId="641BC057"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17AEACE3" w14:textId="6ACCF65F"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54149D43" w14:textId="0AB149F6"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4E6F29D9" w14:textId="39090EF5"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2B8FABA4" w14:textId="61704ACB" w:rsidR="003B4968" w:rsidRDefault="003B4968" w:rsidP="00FB17D4">
      <w:pPr>
        <w:spacing w:after="0" w:line="276" w:lineRule="auto"/>
        <w:jc w:val="both"/>
        <w:rPr>
          <w:rFonts w:ascii="Arial" w:eastAsia="Calibri" w:hAnsi="Arial" w:cs="Arial"/>
          <w:b/>
          <w:color w:val="000000" w:themeColor="text1"/>
          <w:szCs w:val="24"/>
          <w:lang w:val="es-ES_tradnl" w:eastAsia="es-ES_tradnl"/>
        </w:rPr>
      </w:pPr>
    </w:p>
    <w:p w14:paraId="2BF244A9" w14:textId="77777777" w:rsidR="003B4968" w:rsidRPr="006B4326" w:rsidRDefault="003B4968" w:rsidP="00FB17D4">
      <w:pPr>
        <w:spacing w:after="0" w:line="276" w:lineRule="auto"/>
        <w:jc w:val="both"/>
        <w:rPr>
          <w:rFonts w:ascii="Arial" w:eastAsia="Calibri" w:hAnsi="Arial" w:cs="Arial"/>
          <w:b/>
          <w:color w:val="000000" w:themeColor="text1"/>
          <w:szCs w:val="24"/>
          <w:lang w:val="es-ES_tradnl" w:eastAsia="es-ES_tradnl"/>
        </w:rPr>
      </w:pPr>
    </w:p>
    <w:p w14:paraId="37F0C8E7" w14:textId="67A91BD7" w:rsidR="00D43E0F" w:rsidRPr="00D807DF" w:rsidRDefault="003B4968" w:rsidP="00456D00">
      <w:pPr>
        <w:jc w:val="right"/>
        <w:rPr>
          <w:rFonts w:ascii="Arial" w:eastAsia="Calibri" w:hAnsi="Arial" w:cs="Arial"/>
          <w:b/>
          <w:color w:val="000000" w:themeColor="text1"/>
          <w:sz w:val="20"/>
          <w:szCs w:val="20"/>
          <w:lang w:val="es-ES_tradnl" w:eastAsia="es-ES_tradnl"/>
        </w:rPr>
      </w:pPr>
      <w:bookmarkStart w:id="0" w:name="_Hlk28946138"/>
      <w:bookmarkStart w:id="1" w:name="_Hlk29548183"/>
      <w:r>
        <w:rPr>
          <w:noProof/>
        </w:rPr>
        <w:lastRenderedPageBreak/>
        <w:drawing>
          <wp:anchor distT="0" distB="0" distL="114300" distR="114300" simplePos="0" relativeHeight="251658240" behindDoc="1" locked="0" layoutInCell="1" allowOverlap="1" wp14:anchorId="1B5CCC90" wp14:editId="1BD4C6B9">
            <wp:simplePos x="0" y="0"/>
            <wp:positionH relativeFrom="margin">
              <wp:align>right</wp:align>
            </wp:positionH>
            <wp:positionV relativeFrom="paragraph">
              <wp:posOffset>211455</wp:posOffset>
            </wp:positionV>
            <wp:extent cx="2667000" cy="812800"/>
            <wp:effectExtent l="0" t="0" r="0" b="6350"/>
            <wp:wrapThrough wrapText="bothSides">
              <wp:wrapPolygon edited="0">
                <wp:start x="0" y="0"/>
                <wp:lineTo x="0" y="21263"/>
                <wp:lineTo x="21446" y="21263"/>
                <wp:lineTo x="21446" y="0"/>
                <wp:lineTo x="0" y="0"/>
              </wp:wrapPolygon>
            </wp:wrapThrough>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rotWithShape="1">
                    <a:blip r:embed="rId11" cstate="print">
                      <a:extLst>
                        <a:ext uri="{28A0092B-C50C-407E-A947-70E740481C1C}">
                          <a14:useLocalDpi xmlns:a14="http://schemas.microsoft.com/office/drawing/2010/main" val="0"/>
                        </a:ext>
                      </a:extLst>
                    </a:blip>
                    <a:srcRect l="9843" t="22941" r="14461" b="36004"/>
                    <a:stretch/>
                  </pic:blipFill>
                  <pic:spPr bwMode="auto">
                    <a:xfrm>
                      <a:off x="0" y="0"/>
                      <a:ext cx="2667000" cy="812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43E0F" w:rsidRPr="00D807DF">
        <w:rPr>
          <w:rFonts w:ascii="Arial" w:eastAsia="Times New Roman" w:hAnsi="Arial" w:cs="Arial"/>
          <w:bCs/>
          <w:color w:val="000000" w:themeColor="text1"/>
          <w:sz w:val="16"/>
          <w:szCs w:val="16"/>
          <w:lang w:val="es-ES_tradnl" w:eastAsia="es-ES"/>
        </w:rPr>
        <w:t>CCE-DES-FM-17</w:t>
      </w:r>
      <w:bookmarkEnd w:id="0"/>
      <w:bookmarkEnd w:id="1"/>
    </w:p>
    <w:p w14:paraId="47BBD02E" w14:textId="77777777" w:rsidR="006B66E9" w:rsidRPr="00D807DF" w:rsidRDefault="006B66E9" w:rsidP="006B19A4">
      <w:pPr>
        <w:spacing w:after="0" w:line="240" w:lineRule="auto"/>
        <w:contextualSpacing/>
        <w:jc w:val="both"/>
        <w:rPr>
          <w:rFonts w:ascii="Arial" w:eastAsia="Calibri" w:hAnsi="Arial" w:cs="Arial"/>
          <w:color w:val="000000" w:themeColor="text1"/>
          <w:szCs w:val="24"/>
          <w:lang w:val="es-ES_tradnl" w:eastAsia="es-ES_tradnl"/>
        </w:rPr>
      </w:pPr>
      <w:bookmarkStart w:id="2" w:name="_Hlk109055567"/>
    </w:p>
    <w:p w14:paraId="16CEA61C" w14:textId="77777777" w:rsidR="003B4968" w:rsidRDefault="003B4968" w:rsidP="006B19A4">
      <w:pPr>
        <w:spacing w:after="0" w:line="240" w:lineRule="auto"/>
        <w:contextualSpacing/>
        <w:jc w:val="both"/>
        <w:rPr>
          <w:rFonts w:ascii="Arial" w:eastAsia="Calibri" w:hAnsi="Arial" w:cs="Arial"/>
          <w:color w:val="000000" w:themeColor="text1"/>
          <w:szCs w:val="24"/>
          <w:lang w:val="es-ES_tradnl" w:eastAsia="es-ES_tradnl"/>
        </w:rPr>
      </w:pPr>
    </w:p>
    <w:p w14:paraId="4731A0AA" w14:textId="77777777" w:rsidR="003B4968" w:rsidRDefault="003B4968" w:rsidP="006B19A4">
      <w:pPr>
        <w:spacing w:after="0" w:line="240" w:lineRule="auto"/>
        <w:contextualSpacing/>
        <w:jc w:val="both"/>
        <w:rPr>
          <w:rFonts w:ascii="Arial" w:eastAsia="Calibri" w:hAnsi="Arial" w:cs="Arial"/>
          <w:color w:val="000000" w:themeColor="text1"/>
          <w:szCs w:val="24"/>
          <w:lang w:val="es-ES_tradnl" w:eastAsia="es-ES_tradnl"/>
        </w:rPr>
      </w:pPr>
    </w:p>
    <w:p w14:paraId="1047D3F7" w14:textId="77777777" w:rsidR="003B4968" w:rsidRDefault="003B4968" w:rsidP="006B19A4">
      <w:pPr>
        <w:spacing w:after="0" w:line="240" w:lineRule="auto"/>
        <w:contextualSpacing/>
        <w:jc w:val="both"/>
        <w:rPr>
          <w:rFonts w:ascii="Arial" w:eastAsia="Calibri" w:hAnsi="Arial" w:cs="Arial"/>
          <w:color w:val="000000" w:themeColor="text1"/>
          <w:szCs w:val="24"/>
          <w:lang w:val="es-ES_tradnl" w:eastAsia="es-ES_tradnl"/>
        </w:rPr>
      </w:pPr>
    </w:p>
    <w:p w14:paraId="1BA1D019" w14:textId="77777777" w:rsidR="003B4968" w:rsidRDefault="003B4968" w:rsidP="006B19A4">
      <w:pPr>
        <w:spacing w:after="0" w:line="240" w:lineRule="auto"/>
        <w:contextualSpacing/>
        <w:jc w:val="both"/>
        <w:rPr>
          <w:rFonts w:ascii="Arial" w:eastAsia="Calibri" w:hAnsi="Arial" w:cs="Arial"/>
          <w:color w:val="000000" w:themeColor="text1"/>
          <w:szCs w:val="24"/>
          <w:lang w:val="es-ES_tradnl" w:eastAsia="es-ES_tradnl"/>
        </w:rPr>
      </w:pPr>
    </w:p>
    <w:p w14:paraId="2343FB70" w14:textId="77777777" w:rsidR="003B4968" w:rsidRDefault="003B4968" w:rsidP="006B19A4">
      <w:pPr>
        <w:spacing w:after="0" w:line="240" w:lineRule="auto"/>
        <w:contextualSpacing/>
        <w:jc w:val="both"/>
        <w:rPr>
          <w:rFonts w:ascii="Arial" w:eastAsia="Calibri" w:hAnsi="Arial" w:cs="Arial"/>
          <w:color w:val="000000" w:themeColor="text1"/>
          <w:szCs w:val="24"/>
          <w:lang w:val="es-ES_tradnl" w:eastAsia="es-ES_tradnl"/>
        </w:rPr>
      </w:pPr>
    </w:p>
    <w:p w14:paraId="3E839D93" w14:textId="4CD85BBB" w:rsidR="00FB17D4" w:rsidRPr="00D807DF" w:rsidRDefault="00634E7F" w:rsidP="006B19A4">
      <w:pPr>
        <w:spacing w:after="0" w:line="240" w:lineRule="auto"/>
        <w:contextualSpacing/>
        <w:jc w:val="both"/>
        <w:rPr>
          <w:rFonts w:ascii="Arial" w:eastAsia="Calibri" w:hAnsi="Arial" w:cs="Arial"/>
          <w:color w:val="000000" w:themeColor="text1"/>
          <w:szCs w:val="24"/>
          <w:lang w:val="es-ES_tradnl" w:eastAsia="es-ES_tradnl"/>
        </w:rPr>
      </w:pPr>
      <w:r w:rsidRPr="00D807DF">
        <w:rPr>
          <w:rFonts w:ascii="Arial" w:eastAsia="Calibri" w:hAnsi="Arial" w:cs="Arial"/>
          <w:color w:val="000000" w:themeColor="text1"/>
          <w:szCs w:val="24"/>
          <w:lang w:val="es-ES_tradnl" w:eastAsia="es-ES_tradnl"/>
        </w:rPr>
        <w:t>Señor</w:t>
      </w:r>
      <w:r w:rsidR="00B061A3" w:rsidRPr="00D807DF">
        <w:rPr>
          <w:rFonts w:ascii="Arial" w:eastAsia="Calibri" w:hAnsi="Arial" w:cs="Arial"/>
          <w:color w:val="000000" w:themeColor="text1"/>
          <w:szCs w:val="24"/>
          <w:lang w:val="es-ES_tradnl" w:eastAsia="es-ES_tradnl"/>
        </w:rPr>
        <w:t>a</w:t>
      </w:r>
    </w:p>
    <w:p w14:paraId="3A529CF3" w14:textId="21A5909A" w:rsidR="00B061A3" w:rsidRPr="00D807DF" w:rsidRDefault="00B061A3" w:rsidP="006B19A4">
      <w:pPr>
        <w:spacing w:after="0" w:line="240" w:lineRule="auto"/>
        <w:contextualSpacing/>
        <w:jc w:val="both"/>
        <w:rPr>
          <w:rFonts w:ascii="Arial" w:eastAsia="Calibri" w:hAnsi="Arial" w:cs="Arial"/>
          <w:b/>
          <w:color w:val="000000" w:themeColor="text1"/>
          <w:szCs w:val="24"/>
          <w:lang w:val="es-ES_tradnl" w:eastAsia="es-ES_tradnl"/>
        </w:rPr>
      </w:pPr>
      <w:r w:rsidRPr="00D807DF">
        <w:rPr>
          <w:rFonts w:ascii="Arial" w:eastAsia="Calibri" w:hAnsi="Arial" w:cs="Arial"/>
          <w:b/>
          <w:color w:val="000000" w:themeColor="text1"/>
          <w:szCs w:val="24"/>
          <w:lang w:val="es-ES_tradnl" w:eastAsia="es-ES_tradnl"/>
        </w:rPr>
        <w:t>Doris Cáceres Sánchez</w:t>
      </w:r>
      <w:r w:rsidRPr="00D807DF">
        <w:rPr>
          <w:rFonts w:ascii="Arial" w:eastAsia="Calibri" w:hAnsi="Arial" w:cs="Arial"/>
          <w:b/>
          <w:color w:val="000000" w:themeColor="text1"/>
          <w:szCs w:val="24"/>
          <w:lang w:val="es-ES_tradnl" w:eastAsia="es-ES_tradnl"/>
        </w:rPr>
        <w:tab/>
      </w:r>
    </w:p>
    <w:p w14:paraId="059B32E4" w14:textId="5CDA0C4C" w:rsidR="00FB17D4" w:rsidRPr="00D807DF" w:rsidRDefault="00B061A3" w:rsidP="006B19A4">
      <w:pPr>
        <w:spacing w:after="0" w:line="240" w:lineRule="auto"/>
        <w:contextualSpacing/>
        <w:jc w:val="both"/>
        <w:rPr>
          <w:rFonts w:ascii="Arial" w:eastAsia="Calibri" w:hAnsi="Arial" w:cs="Arial"/>
          <w:color w:val="000000" w:themeColor="text1"/>
          <w:szCs w:val="24"/>
          <w:lang w:val="es-ES_tradnl" w:eastAsia="es-ES_tradnl"/>
        </w:rPr>
      </w:pPr>
      <w:r w:rsidRPr="00D807DF">
        <w:rPr>
          <w:rFonts w:ascii="Arial" w:eastAsia="Calibri" w:hAnsi="Arial" w:cs="Arial"/>
          <w:color w:val="000000" w:themeColor="text1"/>
          <w:szCs w:val="24"/>
          <w:lang w:val="es-ES_tradnl" w:eastAsia="es-ES_tradnl"/>
        </w:rPr>
        <w:t xml:space="preserve">Cartagena, </w:t>
      </w:r>
      <w:r w:rsidR="0075623D" w:rsidRPr="00D807DF">
        <w:rPr>
          <w:rFonts w:ascii="Arial" w:eastAsia="Calibri" w:hAnsi="Arial" w:cs="Arial"/>
          <w:color w:val="000000" w:themeColor="text1"/>
          <w:szCs w:val="24"/>
          <w:lang w:val="es-ES_tradnl" w:eastAsia="es-ES_tradnl"/>
        </w:rPr>
        <w:t>Bolívar</w:t>
      </w:r>
    </w:p>
    <w:p w14:paraId="39DA1E5F" w14:textId="076E24B7" w:rsidR="00FB17D4" w:rsidRPr="00D807DF" w:rsidRDefault="00FB17D4" w:rsidP="006B19A4">
      <w:pPr>
        <w:spacing w:after="0" w:line="240" w:lineRule="auto"/>
        <w:contextualSpacing/>
        <w:rPr>
          <w:rFonts w:ascii="Arial" w:eastAsia="Calibri" w:hAnsi="Arial" w:cs="Arial"/>
          <w:color w:val="000000" w:themeColor="text1"/>
          <w:szCs w:val="24"/>
          <w:lang w:val="es-ES_tradnl" w:eastAsia="es-ES_tradnl"/>
        </w:rPr>
      </w:pPr>
    </w:p>
    <w:p w14:paraId="2783445E" w14:textId="77777777" w:rsidR="006B4326" w:rsidRPr="00D807DF" w:rsidRDefault="006B4326" w:rsidP="006B19A4">
      <w:pPr>
        <w:spacing w:after="0" w:line="240" w:lineRule="auto"/>
        <w:contextualSpacing/>
        <w:rPr>
          <w:rFonts w:ascii="Arial" w:eastAsia="Calibri" w:hAnsi="Arial" w:cs="Arial"/>
          <w:color w:val="000000" w:themeColor="text1"/>
          <w:szCs w:val="24"/>
          <w:lang w:val="es-ES_tradnl" w:eastAsia="es-ES_tradnl"/>
        </w:rPr>
      </w:pPr>
    </w:p>
    <w:p w14:paraId="17618CAD" w14:textId="77777777" w:rsidR="003B4968" w:rsidRDefault="00FB17D4" w:rsidP="006B19A4">
      <w:pPr>
        <w:spacing w:after="0" w:line="240" w:lineRule="auto"/>
        <w:contextualSpacing/>
        <w:rPr>
          <w:rFonts w:ascii="Arial" w:eastAsia="Calibri" w:hAnsi="Arial" w:cs="Arial"/>
          <w:color w:val="000000" w:themeColor="text1"/>
          <w:szCs w:val="24"/>
          <w:lang w:val="es-ES_tradnl" w:eastAsia="es-ES_tradnl"/>
        </w:rPr>
      </w:pPr>
      <w:r w:rsidRPr="00D807DF">
        <w:rPr>
          <w:rFonts w:ascii="Arial" w:eastAsia="Calibri" w:hAnsi="Arial" w:cs="Arial"/>
          <w:color w:val="000000" w:themeColor="text1"/>
          <w:szCs w:val="24"/>
          <w:lang w:val="es-ES_tradnl" w:eastAsia="es-ES_tradnl"/>
        </w:rPr>
        <w:t xml:space="preserve">                                          </w:t>
      </w:r>
    </w:p>
    <w:p w14:paraId="7FCBE246" w14:textId="596E1878" w:rsidR="00FB17D4" w:rsidRPr="00D807DF" w:rsidRDefault="003B4968" w:rsidP="006B19A4">
      <w:pPr>
        <w:spacing w:after="0" w:line="240" w:lineRule="auto"/>
        <w:contextualSpacing/>
        <w:rPr>
          <w:rFonts w:ascii="Arial" w:eastAsia="Calibri" w:hAnsi="Arial" w:cs="Arial"/>
          <w:b/>
          <w:bCs/>
          <w:color w:val="000000" w:themeColor="text1"/>
          <w:szCs w:val="24"/>
          <w:lang w:val="es-ES_tradnl" w:eastAsia="es-ES_tradnl"/>
        </w:rPr>
      </w:pPr>
      <w:r>
        <w:rPr>
          <w:rFonts w:ascii="Arial" w:eastAsia="Calibri" w:hAnsi="Arial" w:cs="Arial"/>
          <w:b/>
          <w:bCs/>
          <w:color w:val="000000" w:themeColor="text1"/>
          <w:szCs w:val="24"/>
          <w:lang w:val="es-ES_tradnl" w:eastAsia="es-ES_tradnl"/>
        </w:rPr>
        <w:t xml:space="preserve">                                           </w:t>
      </w:r>
      <w:r w:rsidR="00FB17D4" w:rsidRPr="00D807DF">
        <w:rPr>
          <w:rFonts w:ascii="Arial" w:eastAsia="Calibri" w:hAnsi="Arial" w:cs="Arial"/>
          <w:b/>
          <w:bCs/>
          <w:color w:val="000000" w:themeColor="text1"/>
          <w:szCs w:val="24"/>
          <w:lang w:val="es-ES_tradnl" w:eastAsia="es-ES_tradnl"/>
        </w:rPr>
        <w:t xml:space="preserve">Concepto C ‒ </w:t>
      </w:r>
      <w:r w:rsidR="00B061A3" w:rsidRPr="00D807DF">
        <w:rPr>
          <w:rFonts w:ascii="Arial" w:eastAsia="Calibri" w:hAnsi="Arial" w:cs="Arial"/>
          <w:b/>
          <w:bCs/>
          <w:color w:val="000000" w:themeColor="text1"/>
          <w:szCs w:val="24"/>
          <w:lang w:val="es-ES_tradnl" w:eastAsia="es-ES_tradnl"/>
        </w:rPr>
        <w:t>815</w:t>
      </w:r>
      <w:r w:rsidR="00FB17D4" w:rsidRPr="00D807DF">
        <w:rPr>
          <w:rFonts w:ascii="Arial" w:eastAsia="Calibri" w:hAnsi="Arial" w:cs="Arial"/>
          <w:b/>
          <w:bCs/>
          <w:color w:val="000000" w:themeColor="text1"/>
          <w:szCs w:val="24"/>
          <w:lang w:val="es-ES_tradnl" w:eastAsia="es-ES_tradnl"/>
        </w:rPr>
        <w:t xml:space="preserve"> de 2022</w:t>
      </w:r>
    </w:p>
    <w:p w14:paraId="4BB4875F" w14:textId="3D8C43CB" w:rsidR="00FB17D4" w:rsidRPr="00D807DF" w:rsidRDefault="00FB17D4" w:rsidP="006B19A4">
      <w:pPr>
        <w:spacing w:after="0" w:line="240" w:lineRule="auto"/>
        <w:contextualSpacing/>
        <w:jc w:val="both"/>
        <w:rPr>
          <w:rFonts w:ascii="Arial" w:eastAsia="Calibri" w:hAnsi="Arial" w:cs="Arial"/>
          <w:color w:val="000000" w:themeColor="text1"/>
          <w:szCs w:val="24"/>
          <w:lang w:val="es-ES_tradnl" w:eastAsia="es-ES_tradnl"/>
        </w:rPr>
      </w:pPr>
    </w:p>
    <w:p w14:paraId="49118A87" w14:textId="77777777" w:rsidR="006B4326" w:rsidRPr="00D807DF" w:rsidRDefault="006B4326" w:rsidP="006B19A4">
      <w:pPr>
        <w:spacing w:after="0" w:line="240" w:lineRule="auto"/>
        <w:contextualSpacing/>
        <w:jc w:val="both"/>
        <w:rPr>
          <w:rFonts w:ascii="Arial" w:eastAsia="Calibri" w:hAnsi="Arial" w:cs="Arial"/>
          <w:color w:val="000000" w:themeColor="text1"/>
          <w:szCs w:val="24"/>
          <w:lang w:val="es-ES_tradnl"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B7BF3" w:rsidRPr="00D807DF" w14:paraId="0A8D998C" w14:textId="77777777" w:rsidTr="00D240DE">
        <w:tc>
          <w:tcPr>
            <w:tcW w:w="2689" w:type="dxa"/>
          </w:tcPr>
          <w:p w14:paraId="67BA2FBC" w14:textId="1AEFC6AE" w:rsidR="00FB17D4" w:rsidRPr="00D807DF" w:rsidRDefault="00FB17D4" w:rsidP="006B19A4">
            <w:pPr>
              <w:contextualSpacing/>
              <w:jc w:val="both"/>
              <w:rPr>
                <w:rFonts w:ascii="Arial" w:eastAsia="Calibri" w:hAnsi="Arial" w:cs="Arial"/>
                <w:color w:val="000000" w:themeColor="text1"/>
                <w:szCs w:val="24"/>
                <w:lang w:val="es-ES_tradnl" w:eastAsia="es-ES_tradnl"/>
              </w:rPr>
            </w:pPr>
            <w:r w:rsidRPr="00D807DF">
              <w:rPr>
                <w:rFonts w:ascii="Arial" w:eastAsia="Calibri" w:hAnsi="Arial" w:cs="Arial"/>
                <w:b/>
                <w:color w:val="000000" w:themeColor="text1"/>
                <w:szCs w:val="24"/>
                <w:lang w:val="es-ES_tradnl" w:eastAsia="es-ES_tradnl"/>
              </w:rPr>
              <w:t>Temas:</w:t>
            </w:r>
            <w:r w:rsidRPr="00D807DF">
              <w:rPr>
                <w:rFonts w:ascii="Arial" w:eastAsia="Calibri" w:hAnsi="Arial" w:cs="Arial"/>
                <w:color w:val="000000" w:themeColor="text1"/>
                <w:szCs w:val="24"/>
                <w:lang w:val="es-ES_tradnl" w:eastAsia="es-ES_tradnl"/>
              </w:rPr>
              <w:t xml:space="preserve">                                    </w:t>
            </w:r>
          </w:p>
        </w:tc>
        <w:tc>
          <w:tcPr>
            <w:tcW w:w="6237" w:type="dxa"/>
          </w:tcPr>
          <w:p w14:paraId="51D77CC2" w14:textId="25801B09" w:rsidR="00100646" w:rsidRPr="00F40FB1" w:rsidRDefault="00100646" w:rsidP="00100646">
            <w:pPr>
              <w:widowControl w:val="0"/>
              <w:autoSpaceDE w:val="0"/>
              <w:autoSpaceDN w:val="0"/>
              <w:spacing w:before="121" w:after="120" w:line="276" w:lineRule="auto"/>
              <w:jc w:val="both"/>
              <w:rPr>
                <w:rFonts w:ascii="Arial" w:eastAsia="Arial" w:hAnsi="Arial" w:cs="Arial"/>
                <w:lang w:val="es-ES"/>
              </w:rPr>
            </w:pPr>
            <w:r w:rsidRPr="00F40FB1">
              <w:rPr>
                <w:rFonts w:ascii="Arial" w:hAnsi="Arial" w:cs="Arial"/>
                <w:iCs/>
                <w:color w:val="000000" w:themeColor="text1"/>
                <w:lang w:val="es-ES_tradnl"/>
              </w:rPr>
              <w:t>UNIVERSIDADES PÚBLICAS – Naturaleza jurídica – Régimen de contratació</w:t>
            </w:r>
            <w:r>
              <w:rPr>
                <w:rFonts w:ascii="Arial" w:hAnsi="Arial" w:cs="Arial"/>
                <w:iCs/>
                <w:color w:val="000000" w:themeColor="text1"/>
                <w:lang w:val="es-ES_tradnl"/>
              </w:rPr>
              <w:t xml:space="preserve">n </w:t>
            </w:r>
            <w:r w:rsidRPr="00100646">
              <w:rPr>
                <w:rFonts w:ascii="Arial" w:hAnsi="Arial" w:cs="Arial"/>
                <w:iCs/>
                <w:color w:val="000000" w:themeColor="text1"/>
                <w:lang w:val="es-ES_tradnl"/>
              </w:rPr>
              <w:t xml:space="preserve">/ </w:t>
            </w:r>
            <w:r w:rsidRPr="00F40FB1">
              <w:rPr>
                <w:rFonts w:ascii="Arial" w:hAnsi="Arial" w:cs="Arial"/>
                <w:iCs/>
                <w:color w:val="000000" w:themeColor="text1"/>
                <w:lang w:val="es-ES_tradnl"/>
              </w:rPr>
              <w:t>CONVENIOS INTERADMINISTRATIVOS – Concepto – Régimen jurídico – Elemento esencial</w:t>
            </w:r>
            <w:r>
              <w:rPr>
                <w:rFonts w:ascii="Arial" w:hAnsi="Arial" w:cs="Arial"/>
                <w:iCs/>
                <w:color w:val="000000" w:themeColor="text1"/>
                <w:lang w:val="es-ES_tradnl"/>
              </w:rPr>
              <w:t xml:space="preserve"> </w:t>
            </w:r>
            <w:r w:rsidR="003D01FA" w:rsidRPr="00100646">
              <w:rPr>
                <w:rFonts w:ascii="Arial" w:hAnsi="Arial" w:cs="Arial"/>
                <w:iCs/>
                <w:color w:val="000000" w:themeColor="text1"/>
                <w:lang w:val="es-ES_tradnl"/>
              </w:rPr>
              <w:t xml:space="preserve">/ </w:t>
            </w:r>
            <w:r w:rsidRPr="00100646">
              <w:rPr>
                <w:rFonts w:ascii="Arial" w:hAnsi="Arial" w:cs="Arial"/>
                <w:iCs/>
                <w:color w:val="000000" w:themeColor="text1"/>
                <w:lang w:val="es-ES_tradnl"/>
              </w:rPr>
              <w:t xml:space="preserve">PUBLICIDAD SECOP – Entidades Estatales exceptuadas del Estatuto General de Contratación de la Administración Pública – Modificación artículo 53 de la Ley 2195 de 2022 </w:t>
            </w:r>
            <w:r w:rsidR="00456D00" w:rsidRPr="00100646">
              <w:rPr>
                <w:rFonts w:ascii="Arial" w:hAnsi="Arial" w:cs="Arial"/>
                <w:iCs/>
                <w:color w:val="000000" w:themeColor="text1"/>
                <w:lang w:val="es-ES_tradnl"/>
              </w:rPr>
              <w:t xml:space="preserve">/ </w:t>
            </w:r>
            <w:r w:rsidRPr="00F40FB1">
              <w:rPr>
                <w:rFonts w:ascii="Arial" w:hAnsi="Arial" w:cs="Arial"/>
                <w:iCs/>
                <w:color w:val="000000" w:themeColor="text1"/>
                <w:lang w:val="es-ES_tradnl"/>
              </w:rPr>
              <w:t>PUBLICIDAD SECOP – Modificación artículo 53 de la Ley 2195 de 2022 – Plataforma alternativa / PUBLICIDAD SECOP – Modificación artículo 53 de la Ley 2195 de 2022 – Deber de Publicación – Actividad Contractual</w:t>
            </w:r>
          </w:p>
          <w:p w14:paraId="346DAEA5" w14:textId="52DA07C0" w:rsidR="00100646" w:rsidRPr="00F40FB1" w:rsidRDefault="00100646" w:rsidP="00100646">
            <w:pPr>
              <w:widowControl w:val="0"/>
              <w:autoSpaceDE w:val="0"/>
              <w:autoSpaceDN w:val="0"/>
              <w:spacing w:before="121" w:after="120" w:line="276" w:lineRule="auto"/>
              <w:jc w:val="both"/>
              <w:rPr>
                <w:rFonts w:ascii="Arial" w:hAnsi="Arial" w:cs="Arial"/>
                <w:color w:val="000000" w:themeColor="text1"/>
                <w:lang w:val="es-ES"/>
              </w:rPr>
            </w:pPr>
          </w:p>
          <w:p w14:paraId="6CC63289" w14:textId="1CC05E2B" w:rsidR="005A64C5" w:rsidRPr="00100646" w:rsidRDefault="005A64C5" w:rsidP="006B19A4">
            <w:pPr>
              <w:contextualSpacing/>
              <w:jc w:val="both"/>
              <w:rPr>
                <w:rFonts w:ascii="Arial" w:eastAsia="Times New Roman" w:hAnsi="Arial" w:cs="Arial"/>
                <w:color w:val="000000" w:themeColor="text1"/>
                <w:szCs w:val="24"/>
                <w:lang w:val="es-ES_tradnl" w:eastAsia="es-ES_tradnl"/>
              </w:rPr>
            </w:pPr>
          </w:p>
        </w:tc>
      </w:tr>
      <w:tr w:rsidR="00BD648C" w:rsidRPr="00D807DF" w14:paraId="554F8540" w14:textId="77777777" w:rsidTr="00D240DE">
        <w:tc>
          <w:tcPr>
            <w:tcW w:w="2689" w:type="dxa"/>
          </w:tcPr>
          <w:p w14:paraId="7548595C" w14:textId="77777777" w:rsidR="00FB17D4" w:rsidRPr="00D807DF" w:rsidRDefault="00FB17D4" w:rsidP="006B19A4">
            <w:pPr>
              <w:contextualSpacing/>
              <w:jc w:val="both"/>
              <w:rPr>
                <w:rFonts w:ascii="Arial" w:eastAsia="Calibri" w:hAnsi="Arial" w:cs="Arial"/>
                <w:b/>
                <w:color w:val="000000" w:themeColor="text1"/>
                <w:szCs w:val="24"/>
                <w:lang w:val="es-ES_tradnl" w:eastAsia="es-ES_tradnl"/>
              </w:rPr>
            </w:pPr>
            <w:r w:rsidRPr="00D807DF">
              <w:rPr>
                <w:rFonts w:ascii="Arial" w:eastAsia="Calibri" w:hAnsi="Arial" w:cs="Arial"/>
                <w:b/>
                <w:color w:val="000000" w:themeColor="text1"/>
                <w:szCs w:val="24"/>
                <w:lang w:val="es-ES_tradnl" w:eastAsia="es-ES_tradnl"/>
              </w:rPr>
              <w:t>Radicación:</w:t>
            </w:r>
            <w:r w:rsidRPr="00D807DF">
              <w:rPr>
                <w:rFonts w:ascii="Arial" w:eastAsia="Calibri" w:hAnsi="Arial" w:cs="Arial"/>
                <w:color w:val="000000" w:themeColor="text1"/>
                <w:szCs w:val="24"/>
                <w:lang w:val="es-ES_tradnl" w:eastAsia="es-ES_tradnl"/>
              </w:rPr>
              <w:t xml:space="preserve">                              </w:t>
            </w:r>
          </w:p>
        </w:tc>
        <w:tc>
          <w:tcPr>
            <w:tcW w:w="6237" w:type="dxa"/>
          </w:tcPr>
          <w:p w14:paraId="739925E4" w14:textId="22DE7BFA" w:rsidR="00FB17D4" w:rsidRPr="00D807DF" w:rsidRDefault="00FB17D4" w:rsidP="006B19A4">
            <w:pPr>
              <w:contextualSpacing/>
              <w:jc w:val="both"/>
              <w:rPr>
                <w:rFonts w:ascii="Arial" w:eastAsia="Calibri" w:hAnsi="Arial" w:cs="Arial"/>
                <w:color w:val="000000" w:themeColor="text1"/>
                <w:szCs w:val="24"/>
                <w:lang w:val="es-ES_tradnl" w:eastAsia="es-ES_tradnl"/>
              </w:rPr>
            </w:pPr>
            <w:r w:rsidRPr="00D807DF">
              <w:rPr>
                <w:rFonts w:ascii="Arial" w:eastAsia="Calibri" w:hAnsi="Arial" w:cs="Arial"/>
                <w:color w:val="000000" w:themeColor="text1"/>
                <w:szCs w:val="24"/>
                <w:lang w:val="es-ES_tradnl" w:eastAsia="es-ES_tradnl"/>
              </w:rPr>
              <w:t xml:space="preserve">Respuesta a consulta </w:t>
            </w:r>
            <w:r w:rsidR="00B061A3" w:rsidRPr="00D807DF">
              <w:rPr>
                <w:rFonts w:ascii="Arial" w:eastAsia="Calibri" w:hAnsi="Arial" w:cs="Arial"/>
                <w:color w:val="000000" w:themeColor="text1"/>
                <w:szCs w:val="24"/>
                <w:lang w:val="es-ES_tradnl" w:eastAsia="es-ES_tradnl"/>
              </w:rPr>
              <w:t>P20221012010297</w:t>
            </w:r>
          </w:p>
        </w:tc>
      </w:tr>
    </w:tbl>
    <w:p w14:paraId="66B7D7F7" w14:textId="77777777" w:rsidR="00FB17D4" w:rsidRPr="00D807DF" w:rsidRDefault="00FB17D4" w:rsidP="006B19A4">
      <w:pPr>
        <w:spacing w:after="0" w:line="240" w:lineRule="auto"/>
        <w:contextualSpacing/>
        <w:jc w:val="both"/>
        <w:rPr>
          <w:rFonts w:ascii="Arial" w:eastAsia="Calibri" w:hAnsi="Arial" w:cs="Arial"/>
          <w:color w:val="000000" w:themeColor="text1"/>
          <w:szCs w:val="24"/>
          <w:lang w:val="es-ES_tradnl" w:eastAsia="es-ES_tradnl"/>
        </w:rPr>
      </w:pPr>
    </w:p>
    <w:p w14:paraId="35E51844" w14:textId="77777777" w:rsidR="00FB17D4" w:rsidRPr="00D807DF" w:rsidRDefault="00FB17D4" w:rsidP="006B19A4">
      <w:pPr>
        <w:spacing w:after="0" w:line="240" w:lineRule="auto"/>
        <w:contextualSpacing/>
        <w:jc w:val="both"/>
        <w:rPr>
          <w:rFonts w:ascii="Arial" w:eastAsia="Calibri" w:hAnsi="Arial" w:cs="Arial"/>
          <w:color w:val="000000" w:themeColor="text1"/>
          <w:szCs w:val="24"/>
          <w:lang w:val="es-ES_tradnl" w:eastAsia="es-ES_tradnl"/>
        </w:rPr>
      </w:pPr>
    </w:p>
    <w:p w14:paraId="30E0B402" w14:textId="19D64CE1" w:rsidR="00FB17D4" w:rsidRPr="00D807DF" w:rsidRDefault="00FB17D4" w:rsidP="006B19A4">
      <w:pPr>
        <w:spacing w:after="0" w:line="240" w:lineRule="auto"/>
        <w:contextualSpacing/>
        <w:jc w:val="both"/>
        <w:rPr>
          <w:rFonts w:ascii="Arial" w:eastAsia="Calibri" w:hAnsi="Arial" w:cs="Arial"/>
          <w:color w:val="000000" w:themeColor="text1"/>
          <w:szCs w:val="24"/>
          <w:lang w:val="es-ES_tradnl" w:eastAsia="es-ES_tradnl"/>
        </w:rPr>
      </w:pPr>
      <w:r w:rsidRPr="00D807DF">
        <w:rPr>
          <w:rFonts w:ascii="Arial" w:eastAsia="Calibri" w:hAnsi="Arial" w:cs="Arial"/>
          <w:color w:val="000000" w:themeColor="text1"/>
          <w:szCs w:val="24"/>
          <w:lang w:val="es-ES_tradnl" w:eastAsia="es-ES_tradnl"/>
        </w:rPr>
        <w:t>Estimad</w:t>
      </w:r>
      <w:r w:rsidR="00B061A3" w:rsidRPr="00D807DF">
        <w:rPr>
          <w:rFonts w:ascii="Arial" w:eastAsia="Calibri" w:hAnsi="Arial" w:cs="Arial"/>
          <w:color w:val="000000" w:themeColor="text1"/>
          <w:szCs w:val="24"/>
          <w:lang w:val="es-ES_tradnl" w:eastAsia="es-ES_tradnl"/>
        </w:rPr>
        <w:t>a señora Cácere</w:t>
      </w:r>
      <w:r w:rsidR="00D433F3" w:rsidRPr="00D807DF">
        <w:rPr>
          <w:rFonts w:ascii="Arial" w:eastAsia="Calibri" w:hAnsi="Arial" w:cs="Arial"/>
          <w:color w:val="000000" w:themeColor="text1"/>
          <w:szCs w:val="24"/>
          <w:lang w:val="es-ES_tradnl" w:eastAsia="es-ES_tradnl"/>
        </w:rPr>
        <w:t>s;</w:t>
      </w:r>
    </w:p>
    <w:p w14:paraId="37667942" w14:textId="77777777" w:rsidR="00FB17D4" w:rsidRPr="00D807DF" w:rsidRDefault="00FB17D4" w:rsidP="006B19A4">
      <w:pPr>
        <w:spacing w:after="0" w:line="240" w:lineRule="auto"/>
        <w:contextualSpacing/>
        <w:jc w:val="both"/>
        <w:rPr>
          <w:rFonts w:ascii="Arial" w:eastAsia="Calibri" w:hAnsi="Arial" w:cs="Arial"/>
          <w:color w:val="000000" w:themeColor="text1"/>
          <w:szCs w:val="24"/>
          <w:lang w:val="es-ES_tradnl" w:eastAsia="es-ES_tradnl"/>
        </w:rPr>
      </w:pPr>
    </w:p>
    <w:p w14:paraId="7146AC38" w14:textId="2783DE90" w:rsidR="00FB17D4" w:rsidRPr="00D807DF" w:rsidRDefault="00FB17D4" w:rsidP="00BD648C">
      <w:pPr>
        <w:spacing w:after="0" w:line="276" w:lineRule="auto"/>
        <w:contextualSpacing/>
        <w:jc w:val="both"/>
        <w:rPr>
          <w:rFonts w:ascii="Arial" w:eastAsia="Calibri" w:hAnsi="Arial" w:cs="Arial"/>
          <w:color w:val="000000" w:themeColor="text1"/>
          <w:szCs w:val="24"/>
          <w:lang w:val="es-ES_tradnl" w:eastAsia="es-ES_tradnl"/>
        </w:rPr>
      </w:pPr>
      <w:r w:rsidRPr="00D807DF">
        <w:rPr>
          <w:rFonts w:ascii="Arial" w:eastAsia="Calibri" w:hAnsi="Arial" w:cs="Arial"/>
          <w:color w:val="000000" w:themeColor="text1"/>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956DE4" w:rsidRPr="00D807DF">
        <w:rPr>
          <w:rFonts w:ascii="Arial" w:eastAsia="Calibri" w:hAnsi="Arial" w:cs="Arial"/>
          <w:color w:val="000000" w:themeColor="text1"/>
          <w:szCs w:val="24"/>
          <w:lang w:val="es-ES_tradnl" w:eastAsia="es-ES_tradnl"/>
        </w:rPr>
        <w:t>1</w:t>
      </w:r>
      <w:r w:rsidR="00424B0E">
        <w:rPr>
          <w:rFonts w:ascii="Arial" w:eastAsia="Calibri" w:hAnsi="Arial" w:cs="Arial"/>
          <w:color w:val="000000" w:themeColor="text1"/>
          <w:szCs w:val="24"/>
          <w:lang w:val="es-ES_tradnl" w:eastAsia="es-ES_tradnl"/>
        </w:rPr>
        <w:t>2</w:t>
      </w:r>
      <w:r w:rsidR="00956DE4" w:rsidRPr="00D807DF">
        <w:rPr>
          <w:rFonts w:ascii="Arial" w:eastAsia="Calibri" w:hAnsi="Arial" w:cs="Arial"/>
          <w:color w:val="000000" w:themeColor="text1"/>
          <w:szCs w:val="24"/>
          <w:lang w:val="es-ES_tradnl" w:eastAsia="es-ES_tradnl"/>
        </w:rPr>
        <w:t xml:space="preserve"> de </w:t>
      </w:r>
      <w:r w:rsidR="008B0FCE" w:rsidRPr="00D807DF">
        <w:rPr>
          <w:rFonts w:ascii="Arial" w:eastAsia="Calibri" w:hAnsi="Arial" w:cs="Arial"/>
          <w:color w:val="000000" w:themeColor="text1"/>
          <w:szCs w:val="24"/>
          <w:lang w:val="es-ES_tradnl" w:eastAsia="es-ES_tradnl"/>
        </w:rPr>
        <w:t>o</w:t>
      </w:r>
      <w:r w:rsidR="00424B0E">
        <w:rPr>
          <w:rFonts w:ascii="Arial" w:eastAsia="Calibri" w:hAnsi="Arial" w:cs="Arial"/>
          <w:color w:val="000000" w:themeColor="text1"/>
          <w:szCs w:val="24"/>
          <w:lang w:val="es-ES_tradnl" w:eastAsia="es-ES_tradnl"/>
        </w:rPr>
        <w:t>ctubre</w:t>
      </w:r>
      <w:r w:rsidRPr="00D807DF">
        <w:rPr>
          <w:rFonts w:ascii="Arial" w:eastAsia="Calibri" w:hAnsi="Arial" w:cs="Arial"/>
          <w:color w:val="000000" w:themeColor="text1"/>
          <w:szCs w:val="24"/>
          <w:lang w:val="es-ES_tradnl" w:eastAsia="es-ES_tradnl"/>
        </w:rPr>
        <w:t xml:space="preserve"> de 2022.</w:t>
      </w:r>
    </w:p>
    <w:p w14:paraId="3F49D8FB" w14:textId="77777777" w:rsidR="00FB17D4" w:rsidRPr="00D807DF" w:rsidRDefault="00FB17D4" w:rsidP="006B19A4">
      <w:pPr>
        <w:spacing w:after="0" w:line="240" w:lineRule="auto"/>
        <w:contextualSpacing/>
        <w:jc w:val="both"/>
        <w:rPr>
          <w:rFonts w:ascii="Arial" w:eastAsia="Calibri" w:hAnsi="Arial" w:cs="Arial"/>
          <w:b/>
          <w:color w:val="000000" w:themeColor="text1"/>
          <w:szCs w:val="24"/>
          <w:lang w:val="es-ES_tradnl" w:eastAsia="es-ES_tradnl"/>
        </w:rPr>
      </w:pPr>
    </w:p>
    <w:p w14:paraId="0F15D9BF" w14:textId="77777777" w:rsidR="00FB17D4" w:rsidRPr="00D807DF" w:rsidRDefault="00FB17D4" w:rsidP="006B19A4">
      <w:pPr>
        <w:numPr>
          <w:ilvl w:val="0"/>
          <w:numId w:val="1"/>
        </w:numPr>
        <w:tabs>
          <w:tab w:val="left" w:pos="0"/>
          <w:tab w:val="left" w:pos="142"/>
          <w:tab w:val="left" w:pos="284"/>
        </w:tabs>
        <w:spacing w:after="0" w:line="240" w:lineRule="auto"/>
        <w:ind w:left="360"/>
        <w:contextualSpacing/>
        <w:jc w:val="both"/>
        <w:rPr>
          <w:rFonts w:ascii="Arial" w:eastAsia="Calibri" w:hAnsi="Arial" w:cs="Arial"/>
          <w:b/>
          <w:color w:val="000000" w:themeColor="text1"/>
          <w:lang w:val="es-ES_tradnl"/>
        </w:rPr>
      </w:pPr>
      <w:r w:rsidRPr="00D807DF">
        <w:rPr>
          <w:rFonts w:ascii="Arial" w:eastAsia="Calibri" w:hAnsi="Arial" w:cs="Arial"/>
          <w:b/>
          <w:color w:val="000000" w:themeColor="text1"/>
          <w:lang w:val="es-ES_tradnl"/>
        </w:rPr>
        <w:t xml:space="preserve">Problema planteado </w:t>
      </w:r>
    </w:p>
    <w:p w14:paraId="544F2F94" w14:textId="77777777" w:rsidR="00FB17D4" w:rsidRPr="00D807DF" w:rsidRDefault="00FB17D4" w:rsidP="006B19A4">
      <w:pPr>
        <w:tabs>
          <w:tab w:val="left" w:pos="426"/>
        </w:tabs>
        <w:spacing w:after="0" w:line="240" w:lineRule="auto"/>
        <w:contextualSpacing/>
        <w:jc w:val="both"/>
        <w:rPr>
          <w:rFonts w:ascii="Arial" w:eastAsia="Calibri" w:hAnsi="Arial" w:cs="Arial"/>
          <w:b/>
          <w:color w:val="000000" w:themeColor="text1"/>
          <w:szCs w:val="24"/>
          <w:lang w:val="es-ES_tradnl" w:eastAsia="es-ES_tradnl"/>
        </w:rPr>
      </w:pPr>
    </w:p>
    <w:p w14:paraId="74DC8CF4" w14:textId="77777777" w:rsidR="00B061A3" w:rsidRPr="00D807DF" w:rsidRDefault="003E4E98" w:rsidP="00F034D5">
      <w:pPr>
        <w:spacing w:after="0" w:line="276" w:lineRule="auto"/>
        <w:contextualSpacing/>
        <w:jc w:val="both"/>
        <w:rPr>
          <w:rFonts w:ascii="Arial" w:hAnsi="Arial" w:cs="Arial"/>
          <w:color w:val="000000" w:themeColor="text1"/>
        </w:rPr>
      </w:pPr>
      <w:r w:rsidRPr="00D807DF">
        <w:rPr>
          <w:rFonts w:ascii="Arial" w:hAnsi="Arial" w:cs="Arial"/>
          <w:color w:val="000000" w:themeColor="text1"/>
        </w:rPr>
        <w:lastRenderedPageBreak/>
        <w:t>Usted formula la siguiente consulta:</w:t>
      </w:r>
    </w:p>
    <w:p w14:paraId="7CDDA670" w14:textId="77777777" w:rsidR="00B061A3" w:rsidRPr="00D807DF" w:rsidRDefault="00B061A3" w:rsidP="00B061A3">
      <w:pPr>
        <w:spacing w:after="0"/>
        <w:rPr>
          <w:rFonts w:ascii="Arial" w:hAnsi="Arial" w:cs="Arial"/>
          <w:b/>
          <w:bCs/>
          <w:lang w:val="es-MX"/>
        </w:rPr>
      </w:pPr>
    </w:p>
    <w:p w14:paraId="5E47140A" w14:textId="77777777" w:rsidR="00B061A3" w:rsidRPr="00D807DF" w:rsidRDefault="00B061A3" w:rsidP="00B061A3">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D807DF">
        <w:rPr>
          <w:rFonts w:ascii="Arial" w:eastAsia="Arial" w:hAnsi="Arial" w:cs="Arial"/>
          <w:sz w:val="21"/>
          <w:szCs w:val="21"/>
          <w:lang w:val="es-ES" w:eastAsia="es-ES" w:bidi="es-ES"/>
        </w:rPr>
        <w:t>«Un convenio de cooperación interinstitucional celebrado entre una universidad pública y una entidad del estado para la realización de prácticas y/o judicatura de estudiantes, debe ser publicado en SECOP?»</w:t>
      </w:r>
    </w:p>
    <w:p w14:paraId="0F1BCCBD" w14:textId="77777777" w:rsidR="00FB17D4" w:rsidRPr="00D807DF" w:rsidRDefault="00FB17D4" w:rsidP="009307C5">
      <w:pPr>
        <w:spacing w:after="0" w:line="240" w:lineRule="auto"/>
        <w:ind w:right="709"/>
        <w:contextualSpacing/>
        <w:jc w:val="both"/>
        <w:rPr>
          <w:rFonts w:ascii="Arial" w:eastAsia="Times New Roman" w:hAnsi="Arial" w:cs="Arial"/>
          <w:color w:val="000000" w:themeColor="text1"/>
          <w:szCs w:val="24"/>
          <w:lang w:eastAsia="es-ES_tradnl"/>
        </w:rPr>
      </w:pPr>
    </w:p>
    <w:p w14:paraId="388A389D" w14:textId="77777777" w:rsidR="00FB17D4" w:rsidRPr="00D807DF" w:rsidRDefault="00FB17D4" w:rsidP="009307C5">
      <w:pPr>
        <w:numPr>
          <w:ilvl w:val="0"/>
          <w:numId w:val="1"/>
        </w:numPr>
        <w:tabs>
          <w:tab w:val="left" w:pos="0"/>
          <w:tab w:val="left" w:pos="284"/>
        </w:tabs>
        <w:spacing w:after="0" w:line="240" w:lineRule="auto"/>
        <w:ind w:left="360"/>
        <w:contextualSpacing/>
        <w:jc w:val="both"/>
        <w:rPr>
          <w:rFonts w:ascii="Arial" w:eastAsia="Calibri" w:hAnsi="Arial" w:cs="Arial"/>
          <w:b/>
          <w:color w:val="000000" w:themeColor="text1"/>
          <w:lang w:val="es-ES_tradnl"/>
        </w:rPr>
      </w:pPr>
      <w:r w:rsidRPr="00D807DF">
        <w:rPr>
          <w:rFonts w:ascii="Arial" w:eastAsia="Calibri" w:hAnsi="Arial" w:cs="Arial"/>
          <w:b/>
          <w:color w:val="000000" w:themeColor="text1"/>
          <w:lang w:val="es-ES_tradnl"/>
        </w:rPr>
        <w:t>Consideraciones</w:t>
      </w:r>
    </w:p>
    <w:p w14:paraId="29AAC397" w14:textId="77777777" w:rsidR="00FB17D4" w:rsidRPr="00D807DF" w:rsidRDefault="00FB17D4" w:rsidP="009307C5">
      <w:pPr>
        <w:spacing w:after="0" w:line="240" w:lineRule="auto"/>
        <w:contextualSpacing/>
        <w:jc w:val="both"/>
        <w:rPr>
          <w:rFonts w:ascii="Arial" w:eastAsia="Calibri" w:hAnsi="Arial" w:cs="Arial"/>
          <w:color w:val="000000" w:themeColor="text1"/>
          <w:lang w:val="es-ES_tradnl" w:eastAsia="es-ES_tradnl"/>
        </w:rPr>
      </w:pPr>
    </w:p>
    <w:p w14:paraId="3A754282" w14:textId="23C2CCD9" w:rsidR="009307C5" w:rsidRPr="00D807DF" w:rsidRDefault="009307C5" w:rsidP="008B0C2C">
      <w:pPr>
        <w:spacing w:after="120" w:line="276" w:lineRule="auto"/>
        <w:jc w:val="both"/>
        <w:rPr>
          <w:rFonts w:ascii="Arial" w:eastAsia="Calibri" w:hAnsi="Arial" w:cs="Arial"/>
          <w:color w:val="000000" w:themeColor="text1"/>
          <w:lang w:val="es-ES_tradnl"/>
        </w:rPr>
      </w:pPr>
      <w:r w:rsidRPr="00D807DF">
        <w:rPr>
          <w:rFonts w:ascii="Arial" w:eastAsia="Arial" w:hAnsi="Arial" w:cs="Arial"/>
          <w:color w:val="000000" w:themeColor="text1"/>
          <w:lang w:val="es-MX"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D807DF">
        <w:rPr>
          <w:rFonts w:ascii="Arial" w:eastAsia="Arial" w:hAnsi="Arial" w:cs="Arial"/>
          <w:color w:val="000000" w:themeColor="text1"/>
          <w:vertAlign w:val="superscript"/>
          <w:lang w:val="es-MX" w:eastAsia="es-ES_tradnl"/>
        </w:rPr>
        <w:footnoteReference w:id="1"/>
      </w:r>
      <w:r w:rsidRPr="00D807DF">
        <w:rPr>
          <w:rFonts w:ascii="Arial" w:eastAsia="Arial" w:hAnsi="Arial" w:cs="Arial"/>
          <w:color w:val="000000" w:themeColor="text1"/>
          <w:lang w:val="es-MX" w:eastAsia="es-ES_tradnl"/>
        </w:rPr>
        <w:t xml:space="preserve">. </w:t>
      </w:r>
      <w:r w:rsidRPr="00D807DF">
        <w:rPr>
          <w:rFonts w:ascii="Arial" w:eastAsia="Calibri" w:hAnsi="Arial" w:cs="Arial"/>
          <w:color w:val="000000" w:themeColor="text1"/>
          <w:lang w:val="es-ES_tradnl"/>
        </w:rPr>
        <w:t xml:space="preserve">Es necesario tener en cuenta que esta entidad solo tiene competencia para responder solicitudes sobre la aplicación de normas de carácter general en materia de compras y contratación pública. </w:t>
      </w:r>
    </w:p>
    <w:p w14:paraId="171E488E" w14:textId="5F818BE3" w:rsidR="00FB17D4" w:rsidRPr="00D807DF" w:rsidRDefault="00E711BD" w:rsidP="003B4CF7">
      <w:pPr>
        <w:spacing w:after="120" w:line="276" w:lineRule="auto"/>
        <w:ind w:firstLine="708"/>
        <w:jc w:val="both"/>
        <w:rPr>
          <w:rFonts w:ascii="Arial" w:eastAsia="Calibri" w:hAnsi="Arial" w:cs="Arial"/>
          <w:color w:val="000000" w:themeColor="text1"/>
          <w:lang w:val="es-ES_tradnl"/>
        </w:rPr>
      </w:pPr>
      <w:r w:rsidRPr="00D807DF">
        <w:rPr>
          <w:rFonts w:ascii="Arial" w:eastAsia="Calibri" w:hAnsi="Arial" w:cs="Arial"/>
          <w:color w:val="000000" w:themeColor="text1"/>
        </w:rPr>
        <w:t>Así las cosas</w:t>
      </w:r>
      <w:r w:rsidR="0082538E" w:rsidRPr="00D807DF">
        <w:rPr>
          <w:rFonts w:ascii="Arial" w:eastAsia="Calibri" w:hAnsi="Arial" w:cs="Arial"/>
          <w:color w:val="000000" w:themeColor="text1"/>
        </w:rPr>
        <w:t xml:space="preserve">, </w:t>
      </w:r>
      <w:r w:rsidR="0082538E" w:rsidRPr="00D807DF">
        <w:rPr>
          <w:rFonts w:ascii="Arial" w:eastAsia="Calibri" w:hAnsi="Arial" w:cs="Arial"/>
          <w:color w:val="000000" w:themeColor="text1"/>
          <w:lang w:val="es-ES"/>
        </w:rPr>
        <w:t>la Agencia dentro de los límites de sus atribuciones analizará los siguientes temas</w:t>
      </w:r>
      <w:r w:rsidR="0082538E" w:rsidRPr="00D807DF">
        <w:rPr>
          <w:rFonts w:ascii="Arial" w:eastAsia="Calibri" w:hAnsi="Arial" w:cs="Arial"/>
          <w:color w:val="000000" w:themeColor="text1"/>
        </w:rPr>
        <w:t xml:space="preserve">: </w:t>
      </w:r>
      <w:r w:rsidR="0082538E" w:rsidRPr="00D807DF">
        <w:rPr>
          <w:rFonts w:ascii="Arial" w:eastAsia="Calibri" w:hAnsi="Arial" w:cs="Arial"/>
          <w:color w:val="000000" w:themeColor="text1"/>
          <w:lang w:val="es-ES_tradnl"/>
        </w:rPr>
        <w:t>i</w:t>
      </w:r>
      <w:r w:rsidR="00FB17D4" w:rsidRPr="00D807DF">
        <w:rPr>
          <w:rFonts w:ascii="Arial" w:eastAsia="Times New Roman" w:hAnsi="Arial" w:cs="Arial"/>
          <w:color w:val="000000" w:themeColor="text1"/>
          <w:szCs w:val="24"/>
          <w:lang w:val="es-ES_tradnl" w:eastAsia="es-ES_tradnl"/>
        </w:rPr>
        <w:t xml:space="preserve">) </w:t>
      </w:r>
      <w:r w:rsidR="00071911" w:rsidRPr="00D807DF">
        <w:rPr>
          <w:rFonts w:ascii="Arial" w:eastAsia="Times New Roman" w:hAnsi="Arial" w:cs="Arial"/>
          <w:color w:val="000000" w:themeColor="text1"/>
          <w:szCs w:val="24"/>
          <w:lang w:val="es-ES_tradnl" w:eastAsia="es-ES_tradnl"/>
        </w:rPr>
        <w:t>n</w:t>
      </w:r>
      <w:r w:rsidR="00B061A3" w:rsidRPr="00D807DF">
        <w:rPr>
          <w:rFonts w:ascii="Arial" w:eastAsia="Times New Roman" w:hAnsi="Arial" w:cs="Arial"/>
          <w:color w:val="000000" w:themeColor="text1"/>
          <w:szCs w:val="24"/>
          <w:lang w:val="es-ES_tradnl" w:eastAsia="es-ES_tradnl"/>
        </w:rPr>
        <w:t xml:space="preserve">aturaleza y régimen de contratación de las universidades públicas; </w:t>
      </w:r>
      <w:proofErr w:type="spellStart"/>
      <w:r w:rsidR="00B061A3" w:rsidRPr="00D807DF">
        <w:rPr>
          <w:rFonts w:ascii="Arial" w:eastAsia="Times New Roman" w:hAnsi="Arial" w:cs="Arial"/>
          <w:color w:val="000000" w:themeColor="text1"/>
          <w:szCs w:val="24"/>
          <w:lang w:val="es-ES_tradnl" w:eastAsia="es-ES_tradnl"/>
        </w:rPr>
        <w:t>ii</w:t>
      </w:r>
      <w:proofErr w:type="spellEnd"/>
      <w:r w:rsidR="00B061A3" w:rsidRPr="00D807DF">
        <w:rPr>
          <w:rFonts w:ascii="Arial" w:eastAsia="Times New Roman" w:hAnsi="Arial" w:cs="Arial"/>
          <w:color w:val="000000" w:themeColor="text1"/>
          <w:szCs w:val="24"/>
          <w:lang w:val="es-ES_tradnl" w:eastAsia="es-ES_tradnl"/>
        </w:rPr>
        <w:t xml:space="preserve">) </w:t>
      </w:r>
      <w:r w:rsidR="00EB1D47" w:rsidRPr="00D807DF">
        <w:rPr>
          <w:rFonts w:ascii="Arial" w:eastAsia="Times New Roman" w:hAnsi="Arial" w:cs="Arial"/>
          <w:color w:val="000000" w:themeColor="text1"/>
          <w:szCs w:val="24"/>
          <w:lang w:val="es-ES_tradnl" w:eastAsia="es-ES_tradnl"/>
        </w:rPr>
        <w:t xml:space="preserve">contratos o convenios interadministrativos </w:t>
      </w:r>
      <w:r w:rsidR="00AC5AE6" w:rsidRPr="00D807DF">
        <w:rPr>
          <w:rFonts w:ascii="Arial" w:eastAsia="Times New Roman" w:hAnsi="Arial" w:cs="Arial"/>
          <w:color w:val="000000" w:themeColor="text1"/>
          <w:szCs w:val="24"/>
          <w:lang w:val="es-ES_tradnl" w:eastAsia="es-ES_tradnl"/>
        </w:rPr>
        <w:t>– concepto y régimen jurídico aplicable</w:t>
      </w:r>
      <w:r w:rsidR="00B061A3" w:rsidRPr="00D807DF">
        <w:rPr>
          <w:rFonts w:ascii="Arial" w:eastAsia="Times New Roman" w:hAnsi="Arial" w:cs="Arial"/>
          <w:color w:val="000000" w:themeColor="text1"/>
          <w:szCs w:val="24"/>
          <w:lang w:val="es-ES_tradnl" w:eastAsia="es-ES_tradnl"/>
        </w:rPr>
        <w:t xml:space="preserve">; </w:t>
      </w:r>
      <w:proofErr w:type="spellStart"/>
      <w:r w:rsidR="00B061A3" w:rsidRPr="00D807DF">
        <w:rPr>
          <w:rFonts w:ascii="Arial" w:eastAsia="Times New Roman" w:hAnsi="Arial" w:cs="Arial"/>
          <w:color w:val="000000" w:themeColor="text1"/>
          <w:szCs w:val="24"/>
          <w:lang w:val="es-ES_tradnl" w:eastAsia="es-ES_tradnl"/>
        </w:rPr>
        <w:t>iii</w:t>
      </w:r>
      <w:proofErr w:type="spellEnd"/>
      <w:r w:rsidR="00B061A3" w:rsidRPr="00D807DF">
        <w:rPr>
          <w:rFonts w:ascii="Arial" w:eastAsia="Times New Roman" w:hAnsi="Arial" w:cs="Arial"/>
          <w:color w:val="000000" w:themeColor="text1"/>
          <w:szCs w:val="24"/>
          <w:lang w:val="es-ES_tradnl" w:eastAsia="es-ES_tradnl"/>
        </w:rPr>
        <w:t xml:space="preserve">) fundamento axiológico de la publicidad de la información oficial de la contratación estatal en el </w:t>
      </w:r>
      <w:r w:rsidR="00424B0E">
        <w:rPr>
          <w:rFonts w:ascii="Arial" w:eastAsia="Times New Roman" w:hAnsi="Arial" w:cs="Arial"/>
          <w:color w:val="000000" w:themeColor="text1"/>
          <w:szCs w:val="24"/>
          <w:lang w:val="es-ES_tradnl" w:eastAsia="es-ES_tradnl"/>
        </w:rPr>
        <w:t>S</w:t>
      </w:r>
      <w:r w:rsidR="00B061A3" w:rsidRPr="00D807DF">
        <w:rPr>
          <w:rFonts w:ascii="Arial" w:eastAsia="Times New Roman" w:hAnsi="Arial" w:cs="Arial"/>
          <w:color w:val="000000" w:themeColor="text1"/>
          <w:szCs w:val="24"/>
          <w:lang w:val="es-ES_tradnl" w:eastAsia="es-ES_tradnl"/>
        </w:rPr>
        <w:t>istema Electrónico para la Contratación Pública – SECOP –</w:t>
      </w:r>
      <w:r w:rsidR="00AC5AE6" w:rsidRPr="00D807DF">
        <w:rPr>
          <w:rFonts w:ascii="Arial" w:eastAsia="Times New Roman" w:hAnsi="Arial" w:cs="Arial"/>
          <w:color w:val="000000" w:themeColor="text1"/>
          <w:szCs w:val="24"/>
          <w:lang w:val="es-ES_tradnl" w:eastAsia="es-ES_tradnl"/>
        </w:rPr>
        <w:t xml:space="preserve"> </w:t>
      </w:r>
      <w:r w:rsidR="00EB1D47" w:rsidRPr="00D807DF">
        <w:rPr>
          <w:rFonts w:ascii="Arial" w:eastAsia="Times New Roman" w:hAnsi="Arial" w:cs="Arial"/>
          <w:color w:val="000000" w:themeColor="text1"/>
          <w:szCs w:val="24"/>
          <w:lang w:val="es-ES_tradnl" w:eastAsia="es-ES_tradnl"/>
        </w:rPr>
        <w:t>y</w:t>
      </w:r>
      <w:r w:rsidR="00B061A3" w:rsidRPr="00D807DF">
        <w:rPr>
          <w:rFonts w:ascii="Arial" w:eastAsia="Times New Roman" w:hAnsi="Arial" w:cs="Arial"/>
          <w:color w:val="000000" w:themeColor="text1"/>
          <w:szCs w:val="24"/>
          <w:lang w:val="es-ES_tradnl" w:eastAsia="es-ES_tradnl"/>
        </w:rPr>
        <w:t xml:space="preserve">; </w:t>
      </w:r>
      <w:proofErr w:type="spellStart"/>
      <w:r w:rsidR="00B061A3" w:rsidRPr="00D807DF">
        <w:rPr>
          <w:rFonts w:ascii="Arial" w:eastAsia="Times New Roman" w:hAnsi="Arial" w:cs="Arial"/>
          <w:color w:val="000000" w:themeColor="text1"/>
          <w:szCs w:val="24"/>
          <w:lang w:val="es-ES_tradnl" w:eastAsia="es-ES_tradnl"/>
        </w:rPr>
        <w:t>iv</w:t>
      </w:r>
      <w:proofErr w:type="spellEnd"/>
      <w:r w:rsidR="00B061A3" w:rsidRPr="00D807DF">
        <w:rPr>
          <w:rFonts w:ascii="Arial" w:eastAsia="Times New Roman" w:hAnsi="Arial" w:cs="Arial"/>
          <w:color w:val="000000" w:themeColor="text1"/>
          <w:szCs w:val="24"/>
          <w:lang w:val="es-ES_tradnl" w:eastAsia="es-ES_tradnl"/>
        </w:rPr>
        <w:t>) d</w:t>
      </w:r>
      <w:r w:rsidR="00FB17D4" w:rsidRPr="00D807DF">
        <w:rPr>
          <w:rFonts w:ascii="Arial" w:eastAsia="Times New Roman" w:hAnsi="Arial" w:cs="Arial"/>
          <w:color w:val="000000" w:themeColor="text1"/>
          <w:szCs w:val="24"/>
          <w:lang w:val="es-ES_tradnl" w:eastAsia="es-ES_tradnl"/>
        </w:rPr>
        <w:t xml:space="preserve">eber de las entidades estatales exceptuadas del Estatuto General de Contratación de la Administración Pública, de publicar los documentos </w:t>
      </w:r>
      <w:r w:rsidR="00FB17D4" w:rsidRPr="00D807DF">
        <w:rPr>
          <w:rFonts w:ascii="Arial" w:eastAsia="Calibri" w:hAnsi="Arial" w:cs="Arial"/>
          <w:color w:val="000000" w:themeColor="text1"/>
          <w:lang w:val="es-ES_tradnl"/>
        </w:rPr>
        <w:t>relacionados con su actividad contractual en el SECOP II, previsto en el artículo 53 de la Ley 2195 de 2022</w:t>
      </w:r>
      <w:r w:rsidR="00EB1D47" w:rsidRPr="00D807DF">
        <w:rPr>
          <w:rFonts w:ascii="Arial" w:eastAsia="Calibri" w:hAnsi="Arial" w:cs="Arial"/>
          <w:color w:val="000000" w:themeColor="text1"/>
          <w:lang w:val="es-ES_tradnl"/>
        </w:rPr>
        <w:t>.</w:t>
      </w:r>
    </w:p>
    <w:p w14:paraId="6578A52E" w14:textId="1376E5E6" w:rsidR="008E71F5" w:rsidRDefault="00FB17D4" w:rsidP="00AC5AE6">
      <w:pPr>
        <w:spacing w:after="120" w:line="276" w:lineRule="auto"/>
        <w:ind w:firstLine="708"/>
        <w:jc w:val="both"/>
        <w:rPr>
          <w:rFonts w:ascii="Arial" w:eastAsia="Times New Roman" w:hAnsi="Arial" w:cs="Arial"/>
          <w:color w:val="000000" w:themeColor="text1"/>
          <w:szCs w:val="24"/>
          <w:lang w:val="es-ES_tradnl" w:eastAsia="es-ES_tradnl"/>
        </w:rPr>
      </w:pPr>
      <w:r w:rsidRPr="00D807DF">
        <w:rPr>
          <w:rFonts w:ascii="Arial" w:eastAsia="Calibri" w:hAnsi="Arial" w:cs="Arial"/>
          <w:color w:val="000000" w:themeColor="text1"/>
          <w:lang w:val="es-ES_tradnl"/>
        </w:rPr>
        <w:t>La Agencia</w:t>
      </w:r>
      <w:r w:rsidRPr="00D807DF">
        <w:rPr>
          <w:rFonts w:ascii="Arial" w:eastAsia="Times New Roman" w:hAnsi="Arial" w:cs="Arial"/>
          <w:color w:val="000000" w:themeColor="text1"/>
          <w:szCs w:val="24"/>
          <w:lang w:val="es-ES_tradnl" w:eastAsia="es-ES_tradnl"/>
        </w:rPr>
        <w:t xml:space="preserve"> Nacional de Contratación Pública – Colombia Compra Eficiente </w:t>
      </w:r>
      <w:r w:rsidRPr="00D807DF">
        <w:rPr>
          <w:rFonts w:ascii="Arial" w:eastAsia="Times New Roman" w:hAnsi="Arial" w:cs="Arial"/>
          <w:color w:val="000000" w:themeColor="text1"/>
          <w:szCs w:val="24"/>
          <w:lang w:eastAsia="es-ES_tradnl"/>
        </w:rPr>
        <w:t xml:space="preserve">se ha pronunciado en múltiples ocasiones sobre los principios de publicidad y de acceso a la información pública en la contratación estatal, y sobre </w:t>
      </w:r>
      <w:r w:rsidRPr="00D807DF">
        <w:rPr>
          <w:rFonts w:ascii="Arial" w:eastAsia="Calibri" w:hAnsi="Arial" w:cs="Arial"/>
          <w:color w:val="000000" w:themeColor="text1"/>
          <w:szCs w:val="24"/>
          <w:lang w:val="es-ES" w:eastAsia="es-ES_tradnl"/>
        </w:rPr>
        <w:t xml:space="preserve">los fundamentos normativos del deber de publicar la documentación contractual en </w:t>
      </w:r>
      <w:r w:rsidR="00D77B72" w:rsidRPr="00D807DF">
        <w:rPr>
          <w:rFonts w:ascii="Arial" w:eastAsia="Calibri" w:hAnsi="Arial" w:cs="Arial"/>
          <w:color w:val="000000" w:themeColor="text1"/>
          <w:szCs w:val="24"/>
          <w:lang w:val="es-ES" w:eastAsia="es-ES_tradnl"/>
        </w:rPr>
        <w:t>el SECOP</w:t>
      </w:r>
      <w:r w:rsidR="00DD72D2" w:rsidRPr="00D807DF">
        <w:rPr>
          <w:rFonts w:ascii="Arial" w:eastAsia="Calibri" w:hAnsi="Arial" w:cs="Arial"/>
          <w:color w:val="000000" w:themeColor="text1"/>
          <w:szCs w:val="24"/>
          <w:lang w:val="es-ES" w:eastAsia="es-ES_tradnl"/>
        </w:rPr>
        <w:t>,</w:t>
      </w:r>
      <w:r w:rsidR="00D77B72" w:rsidRPr="00D807DF">
        <w:rPr>
          <w:rFonts w:ascii="Arial" w:eastAsia="Calibri" w:hAnsi="Arial" w:cs="Arial"/>
          <w:color w:val="000000" w:themeColor="text1"/>
          <w:szCs w:val="24"/>
          <w:lang w:val="es-ES" w:eastAsia="es-ES_tradnl"/>
        </w:rPr>
        <w:t xml:space="preserve"> </w:t>
      </w:r>
      <w:r w:rsidR="004A2783" w:rsidRPr="00D807DF">
        <w:rPr>
          <w:rFonts w:ascii="Arial" w:eastAsia="Calibri" w:hAnsi="Arial" w:cs="Arial"/>
          <w:color w:val="000000" w:themeColor="text1"/>
          <w:szCs w:val="24"/>
          <w:lang w:val="es-ES" w:eastAsia="es-ES_tradnl"/>
        </w:rPr>
        <w:t xml:space="preserve">en conceptos como </w:t>
      </w:r>
      <w:r w:rsidR="00D77B72" w:rsidRPr="00D807DF">
        <w:rPr>
          <w:rFonts w:ascii="Arial" w:eastAsia="Calibri" w:hAnsi="Arial" w:cs="Arial"/>
          <w:color w:val="000000" w:themeColor="text1"/>
          <w:szCs w:val="24"/>
          <w:lang w:val="es-ES" w:eastAsia="es-ES_tradnl"/>
        </w:rPr>
        <w:t xml:space="preserve">el </w:t>
      </w:r>
      <w:r w:rsidRPr="00D807DF">
        <w:rPr>
          <w:rFonts w:ascii="Arial" w:eastAsia="Times New Roman" w:hAnsi="Arial" w:cs="Arial"/>
          <w:color w:val="000000" w:themeColor="text1"/>
          <w:szCs w:val="24"/>
          <w:lang w:eastAsia="es-ES_tradnl"/>
        </w:rPr>
        <w:t>CU-</w:t>
      </w:r>
      <w:r w:rsidRPr="00D807DF">
        <w:rPr>
          <w:rFonts w:ascii="Arial" w:eastAsia="Times New Roman" w:hAnsi="Arial" w:cs="Arial"/>
          <w:color w:val="000000" w:themeColor="text1"/>
          <w:szCs w:val="24"/>
          <w:lang w:eastAsia="es-ES_tradnl"/>
        </w:rPr>
        <w:lastRenderedPageBreak/>
        <w:t>367 del 23 de julio de 2020, reiterado en los conceptos: C−433 de</w:t>
      </w:r>
      <w:r w:rsidR="008E71F5">
        <w:rPr>
          <w:rFonts w:ascii="Arial" w:eastAsia="Times New Roman" w:hAnsi="Arial" w:cs="Arial"/>
          <w:color w:val="000000" w:themeColor="text1"/>
          <w:szCs w:val="24"/>
          <w:lang w:eastAsia="es-ES_tradnl"/>
        </w:rPr>
        <w:t>l</w:t>
      </w:r>
      <w:r w:rsidRPr="00D807DF">
        <w:rPr>
          <w:rFonts w:ascii="Arial" w:eastAsia="Times New Roman" w:hAnsi="Arial" w:cs="Arial"/>
          <w:color w:val="000000" w:themeColor="text1"/>
          <w:szCs w:val="24"/>
          <w:lang w:eastAsia="es-ES_tradnl"/>
        </w:rPr>
        <w:t xml:space="preserve"> 24 de julio de 2020, C−468 del 24 de julio de 2020, C−474 de</w:t>
      </w:r>
      <w:r w:rsidR="008E71F5">
        <w:rPr>
          <w:rFonts w:ascii="Arial" w:eastAsia="Times New Roman" w:hAnsi="Arial" w:cs="Arial"/>
          <w:color w:val="000000" w:themeColor="text1"/>
          <w:szCs w:val="24"/>
          <w:lang w:eastAsia="es-ES_tradnl"/>
        </w:rPr>
        <w:t>l</w:t>
      </w:r>
      <w:r w:rsidRPr="00D807DF">
        <w:rPr>
          <w:rFonts w:ascii="Arial" w:eastAsia="Times New Roman" w:hAnsi="Arial" w:cs="Arial"/>
          <w:color w:val="000000" w:themeColor="text1"/>
          <w:szCs w:val="24"/>
          <w:lang w:eastAsia="es-ES_tradnl"/>
        </w:rPr>
        <w:t xml:space="preserve"> 24 de julio de 2020, C−488 del 28 de julio de 2020, C−544 del 21 de agosto de 2020, C−575 del 27 de agosto de 2020, C−643 del 26 de octubre de 2020, C−661 del 17 de noviembre de 2020, C-094 del 13 de abril de 2021, C−068 del 22 de abril de 2021, C-185 del 29 de abril de 2021</w:t>
      </w:r>
      <w:r w:rsidR="00E21D26">
        <w:rPr>
          <w:rFonts w:ascii="Arial" w:eastAsia="Times New Roman" w:hAnsi="Arial" w:cs="Arial"/>
          <w:color w:val="000000" w:themeColor="text1"/>
          <w:szCs w:val="24"/>
          <w:lang w:eastAsia="es-ES_tradnl"/>
        </w:rPr>
        <w:t>,</w:t>
      </w:r>
      <w:r w:rsidRPr="00D807DF">
        <w:rPr>
          <w:rFonts w:ascii="Arial" w:eastAsia="Times New Roman" w:hAnsi="Arial" w:cs="Arial"/>
          <w:color w:val="000000" w:themeColor="text1"/>
          <w:szCs w:val="24"/>
          <w:lang w:eastAsia="es-ES_tradnl"/>
        </w:rPr>
        <w:t xml:space="preserve"> C-472 del 6 de septiembre de 2021</w:t>
      </w:r>
      <w:r w:rsidR="00E21D26">
        <w:rPr>
          <w:rFonts w:ascii="Arial" w:eastAsia="Times New Roman" w:hAnsi="Arial" w:cs="Arial"/>
          <w:color w:val="000000" w:themeColor="text1"/>
          <w:szCs w:val="24"/>
          <w:lang w:val="es-ES_tradnl" w:eastAsia="es-ES_tradnl"/>
        </w:rPr>
        <w:t xml:space="preserve">, </w:t>
      </w:r>
      <w:r w:rsidR="00677778">
        <w:rPr>
          <w:rFonts w:ascii="Arial" w:eastAsia="Times New Roman" w:hAnsi="Arial" w:cs="Arial"/>
          <w:color w:val="000000" w:themeColor="text1"/>
          <w:szCs w:val="24"/>
          <w:lang w:val="es-ES_tradnl" w:eastAsia="es-ES_tradnl"/>
        </w:rPr>
        <w:t xml:space="preserve">C-492 del </w:t>
      </w:r>
      <w:r w:rsidR="000E49E9">
        <w:rPr>
          <w:rFonts w:ascii="Arial" w:eastAsia="Times New Roman" w:hAnsi="Arial" w:cs="Arial"/>
          <w:color w:val="000000" w:themeColor="text1"/>
          <w:szCs w:val="24"/>
          <w:lang w:val="es-ES_tradnl" w:eastAsia="es-ES_tradnl"/>
        </w:rPr>
        <w:t>2 de agosto de 2022</w:t>
      </w:r>
      <w:r w:rsidR="00E0397D">
        <w:rPr>
          <w:rFonts w:ascii="Arial" w:eastAsia="Times New Roman" w:hAnsi="Arial" w:cs="Arial"/>
          <w:color w:val="000000" w:themeColor="text1"/>
          <w:szCs w:val="24"/>
          <w:lang w:val="es-ES_tradnl" w:eastAsia="es-ES_tradnl"/>
        </w:rPr>
        <w:t xml:space="preserve">, C-510 del </w:t>
      </w:r>
      <w:r w:rsidR="00562146">
        <w:rPr>
          <w:rFonts w:ascii="Arial" w:eastAsia="Times New Roman" w:hAnsi="Arial" w:cs="Arial"/>
          <w:color w:val="000000" w:themeColor="text1"/>
          <w:szCs w:val="24"/>
          <w:lang w:val="es-ES_tradnl" w:eastAsia="es-ES_tradnl"/>
        </w:rPr>
        <w:t xml:space="preserve">8 de agosto de 2022 y </w:t>
      </w:r>
      <w:r w:rsidR="00856FBB">
        <w:rPr>
          <w:rFonts w:ascii="Arial" w:eastAsia="Times New Roman" w:hAnsi="Arial" w:cs="Arial"/>
          <w:color w:val="000000" w:themeColor="text1"/>
          <w:szCs w:val="24"/>
          <w:lang w:val="es-ES_tradnl" w:eastAsia="es-ES_tradnl"/>
        </w:rPr>
        <w:t xml:space="preserve">C-552 del </w:t>
      </w:r>
      <w:r w:rsidR="0051622D">
        <w:rPr>
          <w:rFonts w:ascii="Arial" w:eastAsia="Times New Roman" w:hAnsi="Arial" w:cs="Arial"/>
          <w:color w:val="000000" w:themeColor="text1"/>
          <w:szCs w:val="24"/>
          <w:lang w:val="es-ES_tradnl" w:eastAsia="es-ES_tradnl"/>
        </w:rPr>
        <w:t xml:space="preserve">1 de agosto de 2022. </w:t>
      </w:r>
    </w:p>
    <w:p w14:paraId="522119E6" w14:textId="77777777" w:rsidR="007626C5" w:rsidRDefault="00671975" w:rsidP="00AC5AE6">
      <w:pPr>
        <w:spacing w:after="120" w:line="276" w:lineRule="auto"/>
        <w:ind w:firstLine="708"/>
        <w:jc w:val="both"/>
        <w:rPr>
          <w:rFonts w:ascii="Arial" w:eastAsia="Times New Roman" w:hAnsi="Arial" w:cs="Arial"/>
          <w:color w:val="000000" w:themeColor="text1"/>
          <w:szCs w:val="24"/>
          <w:lang w:val="es-ES_tradnl" w:eastAsia="es-ES_tradnl"/>
        </w:rPr>
      </w:pPr>
      <w:r>
        <w:rPr>
          <w:rFonts w:ascii="Arial" w:eastAsia="Times New Roman" w:hAnsi="Arial" w:cs="Arial"/>
          <w:color w:val="000000" w:themeColor="text1"/>
          <w:szCs w:val="24"/>
          <w:lang w:val="es-ES_tradnl" w:eastAsia="es-ES_tradnl"/>
        </w:rPr>
        <w:t xml:space="preserve">Por otra parte, </w:t>
      </w:r>
      <w:r w:rsidR="004A2B6F">
        <w:rPr>
          <w:rFonts w:ascii="Arial" w:eastAsia="Times New Roman" w:hAnsi="Arial" w:cs="Arial"/>
          <w:color w:val="000000" w:themeColor="text1"/>
          <w:szCs w:val="24"/>
          <w:lang w:val="es-ES_tradnl" w:eastAsia="es-ES_tradnl"/>
        </w:rPr>
        <w:t xml:space="preserve">la Agencia se ha pronunciado en temas concernientes a la naturaleza de las universidades públicas y su régimen </w:t>
      </w:r>
      <w:r w:rsidR="00674DCB">
        <w:rPr>
          <w:rFonts w:ascii="Arial" w:eastAsia="Times New Roman" w:hAnsi="Arial" w:cs="Arial"/>
          <w:color w:val="000000" w:themeColor="text1"/>
          <w:szCs w:val="24"/>
          <w:lang w:val="es-ES_tradnl" w:eastAsia="es-ES_tradnl"/>
        </w:rPr>
        <w:t>de contratación</w:t>
      </w:r>
      <w:r w:rsidR="00836B28">
        <w:rPr>
          <w:rFonts w:ascii="Arial" w:eastAsia="Times New Roman" w:hAnsi="Arial" w:cs="Arial"/>
          <w:color w:val="000000" w:themeColor="text1"/>
          <w:szCs w:val="24"/>
          <w:lang w:val="es-ES_tradnl" w:eastAsia="es-ES_tradnl"/>
        </w:rPr>
        <w:t>, en los conceptos</w:t>
      </w:r>
      <w:r w:rsidR="002B2EB5">
        <w:rPr>
          <w:rFonts w:ascii="Arial" w:eastAsia="Times New Roman" w:hAnsi="Arial" w:cs="Arial"/>
          <w:color w:val="000000" w:themeColor="text1"/>
          <w:szCs w:val="24"/>
          <w:lang w:val="es-ES_tradnl" w:eastAsia="es-ES_tradnl"/>
        </w:rPr>
        <w:t xml:space="preserve"> </w:t>
      </w:r>
      <w:r w:rsidR="00B53C69" w:rsidRPr="00B53C69">
        <w:rPr>
          <w:rFonts w:ascii="Arial" w:eastAsia="Times New Roman" w:hAnsi="Arial" w:cs="Arial"/>
          <w:color w:val="000000" w:themeColor="text1"/>
          <w:szCs w:val="24"/>
          <w:lang w:val="es-ES_tradnl" w:eastAsia="es-ES_tradnl"/>
        </w:rPr>
        <w:t>C-481 de 9 de septiembre de 2021, C-675 de 6 de enero de 2022, C-759 de 22 de febrero de 2022 y C-204 del 12 de abril de 2022</w:t>
      </w:r>
      <w:r w:rsidR="007626C5">
        <w:rPr>
          <w:rFonts w:ascii="Arial" w:eastAsia="Times New Roman" w:hAnsi="Arial" w:cs="Arial"/>
          <w:color w:val="000000" w:themeColor="text1"/>
          <w:szCs w:val="24"/>
          <w:lang w:val="es-ES_tradnl" w:eastAsia="es-ES_tradnl"/>
        </w:rPr>
        <w:t>.</w:t>
      </w:r>
      <w:r w:rsidR="00FB17D4" w:rsidRPr="00D807DF">
        <w:rPr>
          <w:rFonts w:ascii="Arial" w:eastAsia="Times New Roman" w:hAnsi="Arial" w:cs="Arial"/>
          <w:color w:val="000000" w:themeColor="text1"/>
          <w:szCs w:val="24"/>
          <w:lang w:val="es-ES_tradnl" w:eastAsia="es-ES_tradnl"/>
        </w:rPr>
        <w:t xml:space="preserve"> </w:t>
      </w:r>
    </w:p>
    <w:p w14:paraId="13473837" w14:textId="2BF431A4" w:rsidR="00FD6616" w:rsidRPr="00D807DF" w:rsidRDefault="00FB17D4" w:rsidP="00AC5AE6">
      <w:pPr>
        <w:spacing w:after="120" w:line="276" w:lineRule="auto"/>
        <w:ind w:firstLine="708"/>
        <w:jc w:val="both"/>
        <w:rPr>
          <w:rFonts w:ascii="Arial" w:eastAsia="Calibri" w:hAnsi="Arial" w:cs="Arial"/>
          <w:color w:val="000000" w:themeColor="text1"/>
          <w:lang w:val="es-ES_tradnl"/>
        </w:rPr>
      </w:pPr>
      <w:r w:rsidRPr="00D807DF">
        <w:rPr>
          <w:rFonts w:ascii="Arial" w:eastAsia="Times New Roman" w:hAnsi="Arial" w:cs="Arial"/>
          <w:color w:val="000000" w:themeColor="text1"/>
          <w:szCs w:val="24"/>
          <w:lang w:val="es-ES_tradnl" w:eastAsia="es-ES_tradnl"/>
        </w:rPr>
        <w:t>De igual manera, recientemente se pronunció sobre la interpretación del artículo 53 de la Ley 2195 de 2022, en los conceptos C-049 del 7 de marzo de 2022</w:t>
      </w:r>
      <w:r w:rsidR="005F0600" w:rsidRPr="00D807DF">
        <w:rPr>
          <w:rFonts w:ascii="Arial" w:eastAsia="Times New Roman" w:hAnsi="Arial" w:cs="Arial"/>
          <w:color w:val="000000" w:themeColor="text1"/>
          <w:szCs w:val="24"/>
          <w:lang w:val="es-ES_tradnl" w:eastAsia="es-ES_tradnl"/>
        </w:rPr>
        <w:t>,</w:t>
      </w:r>
      <w:r w:rsidRPr="00D807DF">
        <w:rPr>
          <w:rFonts w:ascii="Arial" w:eastAsia="Times New Roman" w:hAnsi="Arial" w:cs="Arial"/>
          <w:color w:val="000000" w:themeColor="text1"/>
          <w:szCs w:val="24"/>
          <w:lang w:val="es-ES_tradnl" w:eastAsia="es-ES_tradnl"/>
        </w:rPr>
        <w:t xml:space="preserve"> C-120 del 22 de marzo de 2022</w:t>
      </w:r>
      <w:r w:rsidR="005F0600" w:rsidRPr="00D807DF">
        <w:rPr>
          <w:rFonts w:ascii="Arial" w:eastAsia="Times New Roman" w:hAnsi="Arial" w:cs="Arial"/>
          <w:color w:val="000000" w:themeColor="text1"/>
          <w:szCs w:val="24"/>
          <w:lang w:val="es-ES_tradnl" w:eastAsia="es-ES_tradnl"/>
        </w:rPr>
        <w:t>, C-124 de</w:t>
      </w:r>
      <w:r w:rsidR="00F37B74" w:rsidRPr="00D807DF">
        <w:rPr>
          <w:rFonts w:ascii="Arial" w:eastAsia="Times New Roman" w:hAnsi="Arial" w:cs="Arial"/>
          <w:color w:val="000000" w:themeColor="text1"/>
          <w:szCs w:val="24"/>
          <w:lang w:val="es-ES_tradnl" w:eastAsia="es-ES_tradnl"/>
        </w:rPr>
        <w:t xml:space="preserve">l 22 de marzo de 2022, </w:t>
      </w:r>
      <w:r w:rsidR="005A49DF" w:rsidRPr="00D807DF">
        <w:rPr>
          <w:rFonts w:ascii="Arial" w:eastAsia="Times New Roman" w:hAnsi="Arial" w:cs="Arial"/>
          <w:color w:val="000000" w:themeColor="text1"/>
          <w:szCs w:val="24"/>
          <w:lang w:val="es-ES_tradnl" w:eastAsia="es-ES_tradnl"/>
        </w:rPr>
        <w:t>C-132 del 28 de marzo de 2022</w:t>
      </w:r>
      <w:r w:rsidR="008B0C2C" w:rsidRPr="00D807DF">
        <w:rPr>
          <w:rFonts w:ascii="Arial" w:eastAsia="Times New Roman" w:hAnsi="Arial" w:cs="Arial"/>
          <w:color w:val="000000" w:themeColor="text1"/>
          <w:szCs w:val="24"/>
          <w:lang w:val="es-ES_tradnl" w:eastAsia="es-ES_tradnl"/>
        </w:rPr>
        <w:t xml:space="preserve">, C-337 del 25 de mayo de </w:t>
      </w:r>
      <w:r w:rsidR="008B0C2C" w:rsidRPr="00D807DF">
        <w:rPr>
          <w:rFonts w:ascii="Arial" w:eastAsia="Calibri" w:hAnsi="Arial" w:cs="Arial"/>
          <w:color w:val="000000" w:themeColor="text1"/>
          <w:lang w:val="es-ES_tradnl"/>
        </w:rPr>
        <w:t>2022</w:t>
      </w:r>
      <w:r w:rsidR="00D15314" w:rsidRPr="00D807DF">
        <w:rPr>
          <w:rFonts w:ascii="Arial" w:eastAsia="Calibri" w:hAnsi="Arial" w:cs="Arial"/>
          <w:color w:val="000000" w:themeColor="text1"/>
          <w:lang w:val="es-ES_tradnl"/>
        </w:rPr>
        <w:t>,</w:t>
      </w:r>
      <w:r w:rsidR="00A26DF8" w:rsidRPr="00D807DF">
        <w:rPr>
          <w:rFonts w:ascii="Arial" w:eastAsia="Calibri" w:hAnsi="Arial" w:cs="Arial"/>
          <w:color w:val="000000" w:themeColor="text1"/>
          <w:lang w:val="es-ES_tradnl"/>
        </w:rPr>
        <w:t xml:space="preserve"> C-348 del </w:t>
      </w:r>
      <w:r w:rsidR="006F057E" w:rsidRPr="00D807DF">
        <w:rPr>
          <w:rFonts w:ascii="Arial" w:eastAsia="Calibri" w:hAnsi="Arial" w:cs="Arial"/>
          <w:color w:val="000000" w:themeColor="text1"/>
          <w:lang w:val="es-ES_tradnl"/>
        </w:rPr>
        <w:t>13 de junio de 2022</w:t>
      </w:r>
      <w:r w:rsidR="008E71F5">
        <w:rPr>
          <w:rFonts w:ascii="Arial" w:eastAsia="Calibri" w:hAnsi="Arial" w:cs="Arial"/>
          <w:color w:val="000000" w:themeColor="text1"/>
          <w:lang w:val="es-ES_tradnl"/>
        </w:rPr>
        <w:t xml:space="preserve">, </w:t>
      </w:r>
      <w:r w:rsidR="00D15314" w:rsidRPr="00D807DF">
        <w:rPr>
          <w:rFonts w:ascii="Arial" w:eastAsia="Calibri" w:hAnsi="Arial" w:cs="Arial"/>
          <w:color w:val="000000" w:themeColor="text1"/>
          <w:lang w:val="es-ES_tradnl"/>
        </w:rPr>
        <w:t>C-480 del 18 de julio de 2022</w:t>
      </w:r>
      <w:r w:rsidR="008E71F5">
        <w:rPr>
          <w:rFonts w:ascii="Arial" w:eastAsia="Calibri" w:hAnsi="Arial" w:cs="Arial"/>
          <w:color w:val="000000" w:themeColor="text1"/>
          <w:lang w:val="es-ES_tradnl"/>
        </w:rPr>
        <w:t xml:space="preserve"> y C-609 del 23 de septiembre de 2022</w:t>
      </w:r>
      <w:r w:rsidRPr="00D807DF">
        <w:rPr>
          <w:rFonts w:ascii="Arial" w:eastAsia="Calibri" w:hAnsi="Arial" w:cs="Arial"/>
          <w:color w:val="000000" w:themeColor="text1"/>
          <w:lang w:val="es-ES_tradnl"/>
        </w:rPr>
        <w:t xml:space="preserve">. </w:t>
      </w:r>
    </w:p>
    <w:p w14:paraId="3F32A4F9" w14:textId="63424B33" w:rsidR="00FB17D4" w:rsidRPr="00D807DF" w:rsidRDefault="000F2BBA" w:rsidP="00D70B50">
      <w:pPr>
        <w:spacing w:after="0" w:line="276" w:lineRule="auto"/>
        <w:ind w:firstLine="708"/>
        <w:jc w:val="both"/>
        <w:rPr>
          <w:rFonts w:ascii="Arial" w:eastAsia="Calibri" w:hAnsi="Arial" w:cs="Arial"/>
          <w:bCs/>
          <w:color w:val="000000" w:themeColor="text1"/>
          <w:lang w:val="es-ES_tradnl"/>
        </w:rPr>
      </w:pPr>
      <w:proofErr w:type="spellStart"/>
      <w:r w:rsidRPr="00D807DF">
        <w:rPr>
          <w:rFonts w:ascii="Arial" w:eastAsia="Calibri" w:hAnsi="Arial" w:cs="Arial"/>
          <w:color w:val="000000" w:themeColor="text1"/>
          <w:lang w:val="es-ES_tradnl"/>
        </w:rPr>
        <w:t>Asim</w:t>
      </w:r>
      <w:proofErr w:type="spellEnd"/>
      <w:r w:rsidRPr="00D807DF">
        <w:rPr>
          <w:rFonts w:ascii="Arial" w:hAnsi="Arial" w:cs="Arial"/>
          <w:color w:val="000000" w:themeColor="text1"/>
        </w:rPr>
        <w:t>ismo,</w:t>
      </w:r>
      <w:r w:rsidR="00B53BCB" w:rsidRPr="00D807DF">
        <w:rPr>
          <w:rFonts w:ascii="Arial" w:hAnsi="Arial" w:cs="Arial"/>
          <w:color w:val="000000" w:themeColor="text1"/>
        </w:rPr>
        <w:t xml:space="preserve"> la Agencia</w:t>
      </w:r>
      <w:r w:rsidRPr="00D807DF">
        <w:rPr>
          <w:rFonts w:ascii="Arial" w:hAnsi="Arial" w:cs="Arial"/>
          <w:color w:val="000000" w:themeColor="text1"/>
        </w:rPr>
        <w:t xml:space="preserve"> </w:t>
      </w:r>
      <w:r w:rsidR="00EB22DD" w:rsidRPr="00D807DF">
        <w:rPr>
          <w:rFonts w:ascii="Arial" w:hAnsi="Arial" w:cs="Arial"/>
          <w:color w:val="000000" w:themeColor="text1"/>
        </w:rPr>
        <w:t>estudió las figuras del contrato y el convenio interadministrativo</w:t>
      </w:r>
      <w:r w:rsidR="008E71F5">
        <w:rPr>
          <w:rFonts w:ascii="Arial" w:hAnsi="Arial" w:cs="Arial"/>
          <w:color w:val="000000" w:themeColor="text1"/>
        </w:rPr>
        <w:t>,</w:t>
      </w:r>
      <w:r w:rsidR="00EB22DD" w:rsidRPr="00D807DF">
        <w:rPr>
          <w:rFonts w:ascii="Arial" w:hAnsi="Arial" w:cs="Arial"/>
          <w:color w:val="000000" w:themeColor="text1"/>
        </w:rPr>
        <w:t xml:space="preserve"> </w:t>
      </w:r>
      <w:r w:rsidR="00D70B50" w:rsidRPr="00D807DF">
        <w:rPr>
          <w:rFonts w:ascii="Arial" w:hAnsi="Arial" w:cs="Arial"/>
          <w:color w:val="000000" w:themeColor="text1"/>
        </w:rPr>
        <w:t xml:space="preserve">entre otros, </w:t>
      </w:r>
      <w:r w:rsidRPr="00D807DF">
        <w:rPr>
          <w:rFonts w:ascii="Arial" w:hAnsi="Arial" w:cs="Arial"/>
          <w:color w:val="000000" w:themeColor="text1"/>
        </w:rPr>
        <w:t>en los conceptos:</w:t>
      </w:r>
      <w:r w:rsidRPr="00D807DF">
        <w:rPr>
          <w:color w:val="000000" w:themeColor="text1"/>
        </w:rPr>
        <w:t xml:space="preserve"> </w:t>
      </w:r>
      <w:r w:rsidRPr="00D807DF">
        <w:rPr>
          <w:rFonts w:ascii="Arial" w:hAnsi="Arial" w:cs="Arial"/>
          <w:color w:val="000000" w:themeColor="text1"/>
        </w:rPr>
        <w:t>4201913000004536 del 27 de julio de 2019, C−023 del 3 de febrero de 2020, C−702 del 11 de diciembre de 2020, C-097 de</w:t>
      </w:r>
      <w:r w:rsidR="008E71F5">
        <w:rPr>
          <w:rFonts w:ascii="Arial" w:hAnsi="Arial" w:cs="Arial"/>
          <w:color w:val="000000" w:themeColor="text1"/>
        </w:rPr>
        <w:t>l</w:t>
      </w:r>
      <w:r w:rsidRPr="00D807DF">
        <w:rPr>
          <w:rFonts w:ascii="Arial" w:hAnsi="Arial" w:cs="Arial"/>
          <w:color w:val="000000" w:themeColor="text1"/>
        </w:rPr>
        <w:t xml:space="preserve"> 23 de marzo de 2021, C-350 del 16 de julio de 2021, C-355 del 27 de julio de 2021</w:t>
      </w:r>
      <w:r w:rsidR="008E71F5">
        <w:rPr>
          <w:rFonts w:ascii="Arial" w:hAnsi="Arial" w:cs="Arial"/>
          <w:color w:val="000000" w:themeColor="text1"/>
        </w:rPr>
        <w:t>,</w:t>
      </w:r>
      <w:r w:rsidRPr="00D807DF">
        <w:rPr>
          <w:rFonts w:ascii="Arial" w:hAnsi="Arial" w:cs="Arial"/>
          <w:color w:val="000000" w:themeColor="text1"/>
        </w:rPr>
        <w:t xml:space="preserve"> C-012 del 18 de febrero de 2022</w:t>
      </w:r>
      <w:r w:rsidR="008E71F5">
        <w:rPr>
          <w:rFonts w:ascii="Arial" w:hAnsi="Arial" w:cs="Arial"/>
          <w:color w:val="000000" w:themeColor="text1"/>
        </w:rPr>
        <w:t xml:space="preserve"> y C-387 del 15 de junio de 2022</w:t>
      </w:r>
      <w:r w:rsidR="00D70B50" w:rsidRPr="00D807DF">
        <w:rPr>
          <w:rFonts w:ascii="Arial" w:hAnsi="Arial" w:cs="Arial"/>
          <w:color w:val="000000" w:themeColor="text1"/>
        </w:rPr>
        <w:t xml:space="preserve">. </w:t>
      </w:r>
      <w:r w:rsidR="00E74F3F" w:rsidRPr="00D807DF">
        <w:rPr>
          <w:rFonts w:ascii="Arial" w:eastAsia="Calibri" w:hAnsi="Arial" w:cs="Arial"/>
          <w:color w:val="000000" w:themeColor="text1"/>
        </w:rPr>
        <w:t>Los argumentos y consideraciones expuestos en los conceptos mencionados se reiteran y se complementan en lo pertinente</w:t>
      </w:r>
      <w:r w:rsidR="00FB17D4" w:rsidRPr="00D807DF">
        <w:rPr>
          <w:rFonts w:ascii="Arial" w:eastAsia="Times New Roman" w:hAnsi="Arial" w:cs="Arial"/>
          <w:color w:val="000000" w:themeColor="text1"/>
          <w:szCs w:val="24"/>
          <w:lang w:val="es-ES_tradnl" w:eastAsia="es-ES_tradnl"/>
        </w:rPr>
        <w:t>.</w:t>
      </w:r>
    </w:p>
    <w:p w14:paraId="118525ED" w14:textId="57E5FFD9" w:rsidR="00FB17D4" w:rsidRPr="00D807DF" w:rsidRDefault="00FB17D4" w:rsidP="008D20B4">
      <w:pPr>
        <w:spacing w:after="0" w:line="240" w:lineRule="auto"/>
        <w:contextualSpacing/>
        <w:jc w:val="both"/>
        <w:rPr>
          <w:rFonts w:ascii="Arial" w:eastAsia="Calibri" w:hAnsi="Arial" w:cs="Arial"/>
          <w:b/>
          <w:color w:val="000000" w:themeColor="text1"/>
          <w:lang w:val="es-ES" w:eastAsia="es-ES_tradnl"/>
        </w:rPr>
      </w:pPr>
    </w:p>
    <w:p w14:paraId="234FFC10" w14:textId="31FC0820" w:rsidR="007D3434" w:rsidRPr="00D807DF" w:rsidRDefault="00FB17D4" w:rsidP="00D70B50">
      <w:pPr>
        <w:tabs>
          <w:tab w:val="left" w:pos="426"/>
        </w:tabs>
        <w:spacing w:after="0" w:line="276" w:lineRule="auto"/>
        <w:jc w:val="both"/>
        <w:rPr>
          <w:rFonts w:ascii="Arial" w:eastAsia="Times New Roman" w:hAnsi="Arial" w:cs="Arial"/>
          <w:b/>
          <w:bCs/>
          <w:iCs/>
          <w:color w:val="000000" w:themeColor="text1"/>
          <w:lang w:val="es-ES_tradnl" w:eastAsia="es-ES_tradnl"/>
        </w:rPr>
      </w:pPr>
      <w:r w:rsidRPr="00D807DF">
        <w:rPr>
          <w:rFonts w:ascii="Arial" w:eastAsia="Times New Roman" w:hAnsi="Arial" w:cs="Arial"/>
          <w:b/>
          <w:bCs/>
          <w:iCs/>
          <w:color w:val="000000" w:themeColor="text1"/>
          <w:lang w:val="es-ES_tradnl" w:eastAsia="es-ES_tradnl"/>
        </w:rPr>
        <w:t>2.</w:t>
      </w:r>
      <w:r w:rsidR="00F41594" w:rsidRPr="00D807DF">
        <w:rPr>
          <w:rFonts w:ascii="Arial" w:eastAsia="Times New Roman" w:hAnsi="Arial" w:cs="Arial"/>
          <w:b/>
          <w:bCs/>
          <w:iCs/>
          <w:color w:val="000000" w:themeColor="text1"/>
          <w:lang w:val="es-ES_tradnl" w:eastAsia="es-ES_tradnl"/>
        </w:rPr>
        <w:t>1</w:t>
      </w:r>
      <w:r w:rsidRPr="00D807DF">
        <w:rPr>
          <w:rFonts w:ascii="Arial" w:eastAsia="Times New Roman" w:hAnsi="Arial" w:cs="Arial"/>
          <w:b/>
          <w:bCs/>
          <w:iCs/>
          <w:color w:val="000000" w:themeColor="text1"/>
          <w:lang w:val="es-ES_tradnl" w:eastAsia="es-ES_tradnl"/>
        </w:rPr>
        <w:t xml:space="preserve">. </w:t>
      </w:r>
      <w:r w:rsidR="00B061A3" w:rsidRPr="00D807DF">
        <w:rPr>
          <w:rFonts w:ascii="Arial" w:eastAsia="Times New Roman" w:hAnsi="Arial" w:cs="Arial"/>
          <w:b/>
          <w:bCs/>
          <w:iCs/>
          <w:color w:val="000000" w:themeColor="text1"/>
          <w:lang w:val="es-ES_tradnl" w:eastAsia="es-ES_tradnl"/>
        </w:rPr>
        <w:t xml:space="preserve">Naturaleza y </w:t>
      </w:r>
      <w:r w:rsidR="00EB1D47" w:rsidRPr="00D807DF">
        <w:rPr>
          <w:rFonts w:ascii="Arial" w:eastAsia="Times New Roman" w:hAnsi="Arial" w:cs="Arial"/>
          <w:b/>
          <w:bCs/>
          <w:iCs/>
          <w:color w:val="000000" w:themeColor="text1"/>
          <w:lang w:val="es-ES_tradnl" w:eastAsia="es-ES_tradnl"/>
        </w:rPr>
        <w:t>r</w:t>
      </w:r>
      <w:r w:rsidR="00B061A3" w:rsidRPr="00D807DF">
        <w:rPr>
          <w:rFonts w:ascii="Arial" w:eastAsia="Times New Roman" w:hAnsi="Arial" w:cs="Arial"/>
          <w:b/>
          <w:bCs/>
          <w:iCs/>
          <w:color w:val="000000" w:themeColor="text1"/>
          <w:lang w:val="es-ES_tradnl" w:eastAsia="es-ES_tradnl"/>
        </w:rPr>
        <w:t>égimen de contratación de las universidades públicas</w:t>
      </w:r>
    </w:p>
    <w:p w14:paraId="2CD074E4" w14:textId="77777777" w:rsidR="00D70B50" w:rsidRPr="00D807DF" w:rsidRDefault="00D70B50" w:rsidP="00D70B50">
      <w:pPr>
        <w:tabs>
          <w:tab w:val="left" w:pos="426"/>
        </w:tabs>
        <w:spacing w:after="0" w:line="276" w:lineRule="auto"/>
        <w:jc w:val="both"/>
        <w:rPr>
          <w:rFonts w:ascii="Arial" w:eastAsia="Times New Roman" w:hAnsi="Arial" w:cs="Arial"/>
          <w:b/>
          <w:bCs/>
          <w:iCs/>
          <w:color w:val="000000" w:themeColor="text1"/>
          <w:lang w:val="es-ES_tradnl" w:eastAsia="es-ES_tradnl"/>
        </w:rPr>
      </w:pPr>
    </w:p>
    <w:p w14:paraId="60518118" w14:textId="6EB96BC6" w:rsidR="00B061A3" w:rsidRPr="00D807DF" w:rsidRDefault="00B061A3" w:rsidP="00575697">
      <w:pPr>
        <w:spacing w:after="120" w:line="276" w:lineRule="auto"/>
        <w:jc w:val="both"/>
        <w:rPr>
          <w:rFonts w:ascii="Arial" w:eastAsia="Times New Roman" w:hAnsi="Arial" w:cs="Arial"/>
          <w:color w:val="000000" w:themeColor="text1"/>
          <w:szCs w:val="24"/>
          <w:lang w:val="es-ES_tradnl" w:eastAsia="es-ES_tradnl"/>
        </w:rPr>
      </w:pPr>
      <w:r w:rsidRPr="00D807DF">
        <w:rPr>
          <w:rFonts w:ascii="Arial" w:hAnsi="Arial" w:cs="Arial"/>
          <w:noProof/>
          <w:lang w:val="es-ES_tradnl"/>
        </w:rPr>
        <w:t xml:space="preserve">La Constitución Política de Colombia consagra en el artículo 69, por una parte, una garantía de autonomía para que las universidades establezcan sus directivas y sus estatutos de acuerdo con la ley; y por otra, la posibilidad de que cuenten con un régimen especial que </w:t>
      </w:r>
      <w:r w:rsidRPr="00D807DF">
        <w:rPr>
          <w:rFonts w:ascii="Arial" w:eastAsia="Times New Roman" w:hAnsi="Arial" w:cs="Arial"/>
          <w:color w:val="000000" w:themeColor="text1"/>
          <w:szCs w:val="24"/>
          <w:lang w:val="es-ES_tradnl" w:eastAsia="es-ES_tradnl"/>
        </w:rPr>
        <w:t>corresponde dictar al Congreso</w:t>
      </w:r>
      <w:r w:rsidR="0053107C" w:rsidRPr="00D807DF">
        <w:rPr>
          <w:rStyle w:val="Refdenotaalpie"/>
          <w:rFonts w:ascii="Arial" w:eastAsia="Times New Roman" w:hAnsi="Arial" w:cs="Arial"/>
          <w:color w:val="000000" w:themeColor="text1"/>
          <w:szCs w:val="24"/>
          <w:lang w:val="es-ES_tradnl" w:eastAsia="es-ES_tradnl"/>
        </w:rPr>
        <w:footnoteReference w:id="2"/>
      </w:r>
      <w:r w:rsidR="005B5BD3">
        <w:rPr>
          <w:rFonts w:ascii="Arial" w:eastAsia="Times New Roman" w:hAnsi="Arial" w:cs="Arial"/>
          <w:color w:val="000000" w:themeColor="text1"/>
          <w:szCs w:val="24"/>
          <w:lang w:val="es-ES_tradnl" w:eastAsia="es-ES_tradnl"/>
        </w:rPr>
        <w:t>.</w:t>
      </w:r>
    </w:p>
    <w:p w14:paraId="31D270AD" w14:textId="24745A62" w:rsidR="00B061A3" w:rsidRPr="00D807DF" w:rsidRDefault="00B061A3" w:rsidP="00337B9A">
      <w:pPr>
        <w:spacing w:after="120" w:line="276" w:lineRule="auto"/>
        <w:ind w:firstLine="708"/>
        <w:jc w:val="both"/>
        <w:rPr>
          <w:rFonts w:ascii="Arial" w:hAnsi="Arial" w:cs="Arial"/>
          <w:noProof/>
          <w:lang w:val="es-ES_tradnl"/>
        </w:rPr>
      </w:pPr>
      <w:r w:rsidRPr="00D807DF">
        <w:rPr>
          <w:rFonts w:ascii="Arial" w:eastAsia="Times New Roman" w:hAnsi="Arial" w:cs="Arial"/>
          <w:color w:val="000000" w:themeColor="text1"/>
          <w:szCs w:val="24"/>
          <w:lang w:val="es-ES_tradnl" w:eastAsia="es-ES_tradnl"/>
        </w:rPr>
        <w:t>En de</w:t>
      </w:r>
      <w:r w:rsidRPr="00D807DF">
        <w:rPr>
          <w:rFonts w:ascii="Arial" w:hAnsi="Arial" w:cs="Arial"/>
          <w:noProof/>
          <w:lang w:val="es-ES_tradnl"/>
        </w:rPr>
        <w:t xml:space="preserve">sarrollo de lo anterior, se expidió la Ley 30 de 1992, mediante la cual se regularon aspectos como la naturaleza jurídica de las universidades estatales, la forma de </w:t>
      </w:r>
      <w:r w:rsidRPr="00D807DF">
        <w:rPr>
          <w:rFonts w:ascii="Arial" w:hAnsi="Arial" w:cs="Arial"/>
          <w:noProof/>
          <w:lang w:val="es-ES_tradnl"/>
        </w:rPr>
        <w:lastRenderedPageBreak/>
        <w:t>organizarse y el régimen de contratación aplicable. Así mismo, en el artículo 57 se consignó que el carácter especial del régimen de las universidades estatales u oficiales comprende, entre otros aspectos, el régimen de contratación</w:t>
      </w:r>
      <w:r w:rsidRPr="00D807DF">
        <w:rPr>
          <w:rFonts w:ascii="Arial" w:hAnsi="Arial" w:cs="Arial"/>
          <w:noProof/>
          <w:sz w:val="24"/>
          <w:vertAlign w:val="superscript"/>
          <w:lang w:val="es-ES_tradnl"/>
        </w:rPr>
        <w:footnoteReference w:id="3"/>
      </w:r>
      <w:r w:rsidRPr="00D807DF">
        <w:rPr>
          <w:rFonts w:ascii="Arial" w:hAnsi="Arial" w:cs="Arial"/>
          <w:noProof/>
          <w:lang w:val="es-ES_tradnl"/>
        </w:rPr>
        <w:t>. En el mismo sentido, estableció, en el artículo 93, que los contratos que celebren las universidades estatales u oficiales se regirán por las normas del derecho privado</w:t>
      </w:r>
      <w:r w:rsidR="00AE4A98" w:rsidRPr="00D807DF">
        <w:rPr>
          <w:rStyle w:val="Refdenotaalpie"/>
          <w:rFonts w:ascii="Arial" w:hAnsi="Arial" w:cs="Arial"/>
          <w:noProof/>
          <w:lang w:val="es-ES_tradnl"/>
        </w:rPr>
        <w:footnoteReference w:id="4"/>
      </w:r>
      <w:r w:rsidR="005B5BD3">
        <w:rPr>
          <w:rFonts w:ascii="Arial" w:hAnsi="Arial" w:cs="Arial"/>
          <w:noProof/>
          <w:lang w:val="es-ES_tradnl"/>
        </w:rPr>
        <w:t>.</w:t>
      </w:r>
      <w:r w:rsidRPr="00D807DF">
        <w:rPr>
          <w:rFonts w:ascii="Arial" w:hAnsi="Arial" w:cs="Arial"/>
          <w:noProof/>
          <w:lang w:val="es-ES_tradnl"/>
        </w:rPr>
        <w:t xml:space="preserve"> </w:t>
      </w:r>
    </w:p>
    <w:p w14:paraId="71397975" w14:textId="1D386D3A" w:rsidR="00B061A3" w:rsidRPr="00D807DF" w:rsidRDefault="00B061A3" w:rsidP="0010550D">
      <w:pPr>
        <w:spacing w:after="0" w:line="276" w:lineRule="auto"/>
        <w:ind w:firstLine="708"/>
        <w:jc w:val="both"/>
        <w:rPr>
          <w:rFonts w:ascii="Arial" w:hAnsi="Arial" w:cs="Arial"/>
          <w:noProof/>
          <w:lang w:val="es-ES_tradnl"/>
        </w:rPr>
      </w:pPr>
      <w:r w:rsidRPr="00D807DF">
        <w:rPr>
          <w:rFonts w:ascii="Arial" w:hAnsi="Arial" w:cs="Arial"/>
          <w:noProof/>
          <w:lang w:val="es-ES_tradnl"/>
        </w:rPr>
        <w:t>De otro lado, la Ley 489 de 1998, al desarrollar la estructura y organización de la Administración Pública, establece que los entes universitarios hacen parte integral de esta</w:t>
      </w:r>
      <w:r w:rsidRPr="00D807DF">
        <w:rPr>
          <w:rFonts w:ascii="Arial" w:hAnsi="Arial" w:cs="Arial"/>
          <w:noProof/>
          <w:sz w:val="24"/>
          <w:vertAlign w:val="superscript"/>
          <w:lang w:val="es-ES_tradnl"/>
        </w:rPr>
        <w:footnoteReference w:id="5"/>
      </w:r>
      <w:r w:rsidRPr="00D807DF">
        <w:rPr>
          <w:rFonts w:ascii="Arial" w:hAnsi="Arial" w:cs="Arial"/>
          <w:noProof/>
          <w:lang w:val="es-ES_tradnl"/>
        </w:rPr>
        <w:t>, catalogándolos como entidades públicas de carácter autónomo a las que aplica un régimen especial</w:t>
      </w:r>
      <w:r w:rsidRPr="00D807DF">
        <w:rPr>
          <w:rFonts w:ascii="Arial" w:hAnsi="Arial" w:cs="Arial"/>
          <w:noProof/>
          <w:vertAlign w:val="superscript"/>
          <w:lang w:val="es-ES_tradnl"/>
        </w:rPr>
        <w:footnoteReference w:id="6"/>
      </w:r>
      <w:r w:rsidRPr="00D807DF">
        <w:rPr>
          <w:rFonts w:ascii="Arial" w:hAnsi="Arial" w:cs="Arial"/>
          <w:noProof/>
          <w:lang w:val="es-ES_tradnl"/>
        </w:rPr>
        <w:t>. Al respecto, en la sentencia C-1019 de 2012, la Corte Constitucional señaló:</w:t>
      </w:r>
    </w:p>
    <w:p w14:paraId="44F56AD3" w14:textId="77777777" w:rsidR="00B061A3" w:rsidRPr="00D807DF" w:rsidRDefault="00B061A3" w:rsidP="00B061A3">
      <w:pPr>
        <w:spacing w:after="0" w:line="276" w:lineRule="auto"/>
        <w:ind w:firstLine="709"/>
        <w:jc w:val="both"/>
        <w:rPr>
          <w:rFonts w:ascii="Arial" w:hAnsi="Arial" w:cs="Arial"/>
          <w:noProof/>
          <w:lang w:val="es-ES_tradnl"/>
        </w:rPr>
      </w:pPr>
    </w:p>
    <w:p w14:paraId="160FFB18" w14:textId="1AFEA138" w:rsidR="00B061A3" w:rsidRPr="00D807DF" w:rsidRDefault="00B061A3" w:rsidP="008F3398">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D807DF">
        <w:rPr>
          <w:rFonts w:ascii="Arial" w:eastAsia="Arial" w:hAnsi="Arial" w:cs="Arial"/>
          <w:sz w:val="21"/>
          <w:szCs w:val="21"/>
          <w:lang w:val="es-ES" w:eastAsia="es-ES" w:bidi="es-ES"/>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D807DF">
        <w:rPr>
          <w:rFonts w:ascii="Arial" w:eastAsia="Arial" w:hAnsi="Arial" w:cs="Arial"/>
          <w:spacing w:val="49"/>
          <w:sz w:val="21"/>
          <w:szCs w:val="21"/>
          <w:lang w:val="es-ES" w:eastAsia="es-ES" w:bidi="es-ES"/>
        </w:rPr>
        <w:t xml:space="preserve"> </w:t>
      </w:r>
      <w:r w:rsidRPr="00D807DF">
        <w:rPr>
          <w:rFonts w:ascii="Arial" w:eastAsia="Arial" w:hAnsi="Arial" w:cs="Arial"/>
          <w:sz w:val="21"/>
          <w:szCs w:val="21"/>
          <w:lang w:val="es-ES" w:eastAsia="es-ES" w:bidi="es-ES"/>
        </w:rPr>
        <w:t xml:space="preserve">exige el cumplimiento de la obligación de </w:t>
      </w:r>
      <w:r w:rsidRPr="00D807DF">
        <w:rPr>
          <w:rFonts w:ascii="Arial" w:eastAsia="Arial" w:hAnsi="Arial" w:cs="Arial"/>
          <w:sz w:val="21"/>
          <w:szCs w:val="21"/>
          <w:lang w:val="es-ES" w:eastAsia="es-ES" w:bidi="es-ES"/>
        </w:rPr>
        <w:lastRenderedPageBreak/>
        <w:t>colaboración armónica consagrado en el artículo 113 de la C.P. para el cumplimiento de las funciones del Estado.</w:t>
      </w:r>
    </w:p>
    <w:p w14:paraId="357BA441" w14:textId="77777777" w:rsidR="008F3398" w:rsidRPr="00D807DF" w:rsidRDefault="008F3398" w:rsidP="008F3398">
      <w:pPr>
        <w:widowControl w:val="0"/>
        <w:autoSpaceDE w:val="0"/>
        <w:autoSpaceDN w:val="0"/>
        <w:spacing w:after="0" w:line="240" w:lineRule="auto"/>
        <w:ind w:left="709" w:right="709"/>
        <w:jc w:val="both"/>
        <w:rPr>
          <w:rFonts w:ascii="Arial" w:eastAsia="Arial" w:hAnsi="Arial" w:cs="Arial"/>
          <w:sz w:val="21"/>
          <w:szCs w:val="21"/>
          <w:lang w:val="es-ES" w:eastAsia="es-ES" w:bidi="es-ES"/>
        </w:rPr>
      </w:pPr>
    </w:p>
    <w:p w14:paraId="7E208468" w14:textId="77777777" w:rsidR="00B061A3" w:rsidRPr="00D807DF" w:rsidRDefault="00B061A3" w:rsidP="00DD4916">
      <w:pPr>
        <w:widowControl w:val="0"/>
        <w:autoSpaceDE w:val="0"/>
        <w:autoSpaceDN w:val="0"/>
        <w:spacing w:after="0" w:line="240" w:lineRule="auto"/>
        <w:ind w:left="709" w:right="709"/>
        <w:jc w:val="both"/>
        <w:rPr>
          <w:rFonts w:ascii="Arial" w:eastAsia="Arial" w:hAnsi="Arial" w:cs="Arial"/>
          <w:sz w:val="21"/>
          <w:szCs w:val="21"/>
          <w:lang w:val="es-ES" w:eastAsia="es-ES" w:bidi="es-ES"/>
        </w:rPr>
      </w:pPr>
      <w:r w:rsidRPr="00D807DF">
        <w:rPr>
          <w:rFonts w:ascii="Arial" w:eastAsia="Arial" w:hAnsi="Arial" w:cs="Arial"/>
          <w:sz w:val="21"/>
          <w:szCs w:val="21"/>
          <w:lang w:val="es-ES" w:eastAsia="es-ES" w:bidi="es-ES"/>
        </w:rPr>
        <w:t>Aunque se establezca la participación de representantes del Estado en sus 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D807DF">
        <w:rPr>
          <w:rFonts w:ascii="Arial" w:eastAsia="Arial" w:hAnsi="Arial" w:cs="Arial"/>
          <w:sz w:val="21"/>
          <w:szCs w:val="21"/>
          <w:vertAlign w:val="superscript"/>
          <w:lang w:val="es-ES" w:eastAsia="es-ES" w:bidi="es-ES"/>
        </w:rPr>
        <w:footnoteReference w:id="7"/>
      </w:r>
      <w:r w:rsidRPr="00D807DF">
        <w:rPr>
          <w:rFonts w:ascii="Arial" w:eastAsia="Arial" w:hAnsi="Arial" w:cs="Arial"/>
          <w:sz w:val="21"/>
          <w:szCs w:val="21"/>
          <w:lang w:val="es-ES" w:eastAsia="es-ES" w:bidi="es-ES"/>
        </w:rPr>
        <w:t>. De esta manera se pretende preservar a las universidades públicas y oficiales, de las injerencias e interferencias arbitrarias e indebidas del poder</w:t>
      </w:r>
      <w:r w:rsidRPr="00D807DF">
        <w:rPr>
          <w:rFonts w:ascii="Arial" w:eastAsia="Arial" w:hAnsi="Arial" w:cs="Arial"/>
          <w:spacing w:val="-6"/>
          <w:sz w:val="21"/>
          <w:szCs w:val="21"/>
          <w:lang w:val="es-ES" w:eastAsia="es-ES" w:bidi="es-ES"/>
        </w:rPr>
        <w:t xml:space="preserve"> </w:t>
      </w:r>
      <w:r w:rsidRPr="00D807DF">
        <w:rPr>
          <w:rFonts w:ascii="Arial" w:eastAsia="Arial" w:hAnsi="Arial" w:cs="Arial"/>
          <w:sz w:val="21"/>
          <w:szCs w:val="21"/>
          <w:lang w:val="es-ES" w:eastAsia="es-ES" w:bidi="es-ES"/>
        </w:rPr>
        <w:t>político</w:t>
      </w:r>
      <w:r w:rsidRPr="00D807DF">
        <w:rPr>
          <w:rFonts w:ascii="Arial" w:eastAsia="Arial" w:hAnsi="Arial" w:cs="Arial"/>
          <w:sz w:val="21"/>
          <w:szCs w:val="21"/>
          <w:vertAlign w:val="superscript"/>
          <w:lang w:val="es-ES" w:eastAsia="es-ES" w:bidi="es-ES"/>
        </w:rPr>
        <w:footnoteReference w:id="8"/>
      </w:r>
      <w:r w:rsidRPr="00D807DF">
        <w:rPr>
          <w:rFonts w:ascii="Arial" w:eastAsia="Arial" w:hAnsi="Arial" w:cs="Arial"/>
          <w:sz w:val="21"/>
          <w:szCs w:val="21"/>
          <w:lang w:val="es-ES" w:eastAsia="es-ES" w:bidi="es-ES"/>
        </w:rPr>
        <w:t>.</w:t>
      </w:r>
    </w:p>
    <w:p w14:paraId="40848EEE" w14:textId="77777777" w:rsidR="00B061A3" w:rsidRPr="00D807DF" w:rsidRDefault="00B061A3" w:rsidP="00DD4916">
      <w:pPr>
        <w:widowControl w:val="0"/>
        <w:autoSpaceDE w:val="0"/>
        <w:autoSpaceDN w:val="0"/>
        <w:spacing w:after="0" w:line="240" w:lineRule="auto"/>
        <w:ind w:left="709" w:right="709"/>
        <w:jc w:val="both"/>
        <w:rPr>
          <w:rFonts w:ascii="Arial" w:eastAsia="Arial" w:hAnsi="Arial" w:cs="Arial"/>
          <w:sz w:val="21"/>
          <w:szCs w:val="21"/>
          <w:lang w:val="es-ES" w:eastAsia="es-ES" w:bidi="es-ES"/>
        </w:rPr>
      </w:pPr>
    </w:p>
    <w:p w14:paraId="21919085" w14:textId="5A82AC7B" w:rsidR="00B061A3" w:rsidRPr="00D807DF" w:rsidRDefault="00B061A3" w:rsidP="00403F49">
      <w:pPr>
        <w:spacing w:after="0" w:line="276" w:lineRule="auto"/>
        <w:ind w:firstLine="708"/>
        <w:jc w:val="both"/>
        <w:rPr>
          <w:rFonts w:ascii="Arial" w:hAnsi="Arial" w:cs="Arial"/>
          <w:lang w:val="es-MX"/>
        </w:rPr>
      </w:pPr>
      <w:r w:rsidRPr="00D807DF">
        <w:rPr>
          <w:rFonts w:ascii="Arial" w:hAnsi="Arial" w:cs="Arial"/>
          <w:lang w:val="es-MX"/>
        </w:rPr>
        <w:t xml:space="preserve">En armonía con lo anterior, se ha considerado que los entes universitarios no son entidades que hagan parte de la rama ejecutiva, ni pueden, por tanto, considerarse entidades descentralizadas, sino que gozan de un régimen especial. </w:t>
      </w:r>
      <w:r w:rsidR="00C24087">
        <w:rPr>
          <w:rFonts w:ascii="Arial" w:hAnsi="Arial" w:cs="Arial"/>
          <w:lang w:val="es-MX"/>
        </w:rPr>
        <w:t>En todo caso,</w:t>
      </w:r>
      <w:r w:rsidR="0012740D">
        <w:rPr>
          <w:rFonts w:ascii="Arial" w:hAnsi="Arial" w:cs="Arial"/>
          <w:lang w:val="es-MX"/>
        </w:rPr>
        <w:t xml:space="preserve"> de acuerdo con lo mencionado,</w:t>
      </w:r>
      <w:r w:rsidR="00C24087">
        <w:rPr>
          <w:rFonts w:ascii="Arial" w:hAnsi="Arial" w:cs="Arial"/>
          <w:lang w:val="es-MX"/>
        </w:rPr>
        <w:t xml:space="preserve"> siendo los entes universitarios entidades estatales</w:t>
      </w:r>
      <w:r w:rsidR="0012740D">
        <w:rPr>
          <w:rFonts w:ascii="Arial" w:hAnsi="Arial" w:cs="Arial"/>
          <w:lang w:val="es-MX"/>
        </w:rPr>
        <w:t>,</w:t>
      </w:r>
      <w:r w:rsidR="00C24087">
        <w:rPr>
          <w:rFonts w:ascii="Arial" w:hAnsi="Arial" w:cs="Arial"/>
          <w:lang w:val="es-MX"/>
        </w:rPr>
        <w:t xml:space="preserve"> y como usted </w:t>
      </w:r>
      <w:r w:rsidR="00513B8F">
        <w:rPr>
          <w:rFonts w:ascii="Arial" w:hAnsi="Arial" w:cs="Arial"/>
          <w:lang w:val="es-MX"/>
        </w:rPr>
        <w:t>señala</w:t>
      </w:r>
      <w:r w:rsidR="00C24087">
        <w:rPr>
          <w:rFonts w:ascii="Arial" w:hAnsi="Arial" w:cs="Arial"/>
          <w:lang w:val="es-MX"/>
        </w:rPr>
        <w:t xml:space="preserve"> en su consulta que se trata de un convenio entre una universidad pública y una entidad del Estado, a continuación es pertinente analizar el tema de convenios interadministrativos que son los celebrados entre entidades estatales.</w:t>
      </w:r>
    </w:p>
    <w:p w14:paraId="7D35660D" w14:textId="77777777" w:rsidR="00403F49" w:rsidRPr="00D807DF" w:rsidRDefault="00403F49" w:rsidP="00403F49">
      <w:pPr>
        <w:spacing w:after="0" w:line="276" w:lineRule="auto"/>
        <w:ind w:firstLine="708"/>
        <w:jc w:val="both"/>
        <w:rPr>
          <w:rFonts w:ascii="Arial" w:hAnsi="Arial" w:cs="Arial"/>
          <w:b/>
          <w:bCs/>
          <w:lang w:val="es-MX"/>
        </w:rPr>
      </w:pPr>
    </w:p>
    <w:p w14:paraId="7BA676EE" w14:textId="7A391994" w:rsidR="00B061A3" w:rsidRPr="00D807DF" w:rsidRDefault="00EB5459" w:rsidP="00A42AD1">
      <w:pPr>
        <w:spacing w:after="0" w:line="276" w:lineRule="auto"/>
        <w:contextualSpacing/>
        <w:jc w:val="both"/>
        <w:rPr>
          <w:rFonts w:ascii="Arial" w:eastAsia="Calibri" w:hAnsi="Arial" w:cs="Arial"/>
          <w:b/>
          <w:bCs/>
          <w:color w:val="000000" w:themeColor="text1"/>
          <w:lang w:val="es-ES_tradnl" w:eastAsia="es-ES_tradnl"/>
        </w:rPr>
      </w:pPr>
      <w:r w:rsidRPr="00D807DF">
        <w:rPr>
          <w:rFonts w:ascii="Arial" w:eastAsia="Calibri" w:hAnsi="Arial" w:cs="Arial"/>
          <w:b/>
          <w:bCs/>
          <w:color w:val="000000" w:themeColor="text1"/>
          <w:lang w:val="es-ES_tradnl" w:eastAsia="es-ES_tradnl"/>
        </w:rPr>
        <w:t xml:space="preserve">2.2. </w:t>
      </w:r>
      <w:r w:rsidR="00EB1D47" w:rsidRPr="00D807DF">
        <w:rPr>
          <w:rFonts w:ascii="Arial" w:hAnsi="Arial" w:cs="Arial"/>
          <w:b/>
          <w:bCs/>
          <w:lang w:val="es-MX"/>
        </w:rPr>
        <w:t>Contratos o convenios interadministrativos. Concepto y régimen jurídico aplicable</w:t>
      </w:r>
    </w:p>
    <w:p w14:paraId="36853A19" w14:textId="0596D641" w:rsidR="00B061A3" w:rsidRPr="00D807DF" w:rsidRDefault="00B061A3" w:rsidP="00A42AD1">
      <w:pPr>
        <w:spacing w:after="0" w:line="276" w:lineRule="auto"/>
        <w:contextualSpacing/>
        <w:jc w:val="both"/>
        <w:rPr>
          <w:rFonts w:ascii="Arial" w:eastAsia="Calibri" w:hAnsi="Arial" w:cs="Arial"/>
          <w:b/>
          <w:bCs/>
          <w:color w:val="000000" w:themeColor="text1"/>
          <w:lang w:val="es-ES_tradnl" w:eastAsia="es-ES_tradnl"/>
        </w:rPr>
      </w:pPr>
    </w:p>
    <w:p w14:paraId="4069D520" w14:textId="0E967777" w:rsidR="00EB1D47" w:rsidRPr="00D807DF" w:rsidRDefault="00C24087" w:rsidP="00EB1D47">
      <w:pPr>
        <w:widowControl w:val="0"/>
        <w:autoSpaceDE w:val="0"/>
        <w:autoSpaceDN w:val="0"/>
        <w:spacing w:after="120" w:line="276" w:lineRule="auto"/>
        <w:jc w:val="both"/>
        <w:rPr>
          <w:rFonts w:ascii="Arial" w:eastAsia="Arial" w:hAnsi="Arial" w:cs="Arial"/>
          <w:lang w:val="es-ES"/>
        </w:rPr>
      </w:pPr>
      <w:r w:rsidRPr="00C24087">
        <w:rPr>
          <w:rFonts w:ascii="Arial" w:eastAsia="Arial" w:hAnsi="Arial" w:cs="Arial"/>
          <w:lang w:val="es-ES"/>
        </w:rPr>
        <w:t>Aunque la ley no la definió ni desarrolló</w:t>
      </w:r>
      <w:r>
        <w:rPr>
          <w:rFonts w:ascii="Arial" w:eastAsia="Arial" w:hAnsi="Arial" w:cs="Arial"/>
          <w:lang w:val="es-ES"/>
        </w:rPr>
        <w:t xml:space="preserve">, </w:t>
      </w:r>
      <w:r w:rsidR="00EB1D47" w:rsidRPr="00D807DF">
        <w:rPr>
          <w:rFonts w:ascii="Arial" w:eastAsia="Arial" w:hAnsi="Arial" w:cs="Arial"/>
          <w:lang w:val="es-ES"/>
        </w:rPr>
        <w:t xml:space="preserve">el Decreto 1082 de 2015 la califica como aquella contratación entre </w:t>
      </w:r>
      <w:r w:rsidR="00FA0996">
        <w:rPr>
          <w:rFonts w:ascii="Arial" w:eastAsia="Arial" w:hAnsi="Arial" w:cs="Arial"/>
          <w:lang w:val="es-ES"/>
        </w:rPr>
        <w:t>E</w:t>
      </w:r>
      <w:r w:rsidR="00EB1D47" w:rsidRPr="00D807DF">
        <w:rPr>
          <w:rFonts w:ascii="Arial" w:eastAsia="Arial" w:hAnsi="Arial" w:cs="Arial"/>
          <w:lang w:val="es-ES"/>
        </w:rPr>
        <w:t xml:space="preserve">ntidades </w:t>
      </w:r>
      <w:r w:rsidR="00FA0996">
        <w:rPr>
          <w:rFonts w:ascii="Arial" w:eastAsia="Arial" w:hAnsi="Arial" w:cs="Arial"/>
          <w:lang w:val="es-ES"/>
        </w:rPr>
        <w:t>E</w:t>
      </w:r>
      <w:r w:rsidR="00EB1D47" w:rsidRPr="00D807DF">
        <w:rPr>
          <w:rFonts w:ascii="Arial" w:eastAsia="Arial" w:hAnsi="Arial" w:cs="Arial"/>
          <w:lang w:val="es-ES"/>
        </w:rPr>
        <w:t>statales</w:t>
      </w:r>
      <w:r w:rsidR="00EB1D47" w:rsidRPr="00D807DF">
        <w:rPr>
          <w:rFonts w:ascii="Arial" w:eastAsia="Arial" w:hAnsi="Arial" w:cs="Arial"/>
          <w:vertAlign w:val="superscript"/>
          <w:lang w:val="es-ES"/>
        </w:rPr>
        <w:footnoteReference w:id="9"/>
      </w:r>
      <w:r w:rsidR="00EB1D47" w:rsidRPr="00D807DF">
        <w:rPr>
          <w:rFonts w:ascii="Arial" w:eastAsia="Arial" w:hAnsi="Arial" w:cs="Arial"/>
          <w:lang w:val="es-ES"/>
        </w:rPr>
        <w:t xml:space="preserve">.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w:t>
      </w:r>
      <w:r w:rsidR="00EB1D47" w:rsidRPr="00D807DF">
        <w:rPr>
          <w:rFonts w:ascii="Arial" w:eastAsia="Arial" w:hAnsi="Arial" w:cs="Arial"/>
          <w:lang w:val="es-ES"/>
        </w:rPr>
        <w:lastRenderedPageBreak/>
        <w:t>convenios interadministrativos están determinados por un criterio orgánico, pues es necesario que los extremos de la relación contractual sean entidades</w:t>
      </w:r>
      <w:r w:rsidR="00EB1D47" w:rsidRPr="00D807DF">
        <w:rPr>
          <w:rFonts w:ascii="Arial" w:eastAsia="Arial" w:hAnsi="Arial" w:cs="Arial"/>
          <w:spacing w:val="-6"/>
          <w:lang w:val="es-ES"/>
        </w:rPr>
        <w:t xml:space="preserve"> </w:t>
      </w:r>
      <w:r w:rsidR="00EB1D47" w:rsidRPr="00D807DF">
        <w:rPr>
          <w:rFonts w:ascii="Arial" w:eastAsia="Arial" w:hAnsi="Arial" w:cs="Arial"/>
          <w:lang w:val="es-ES"/>
        </w:rPr>
        <w:t>estatales.</w:t>
      </w:r>
    </w:p>
    <w:p w14:paraId="3721F77B" w14:textId="77777777" w:rsidR="00EB1D47" w:rsidRPr="00D807DF" w:rsidRDefault="00EB1D47" w:rsidP="00EB1D47">
      <w:pPr>
        <w:widowControl w:val="0"/>
        <w:autoSpaceDE w:val="0"/>
        <w:autoSpaceDN w:val="0"/>
        <w:spacing w:before="117" w:after="120" w:line="276" w:lineRule="auto"/>
        <w:ind w:firstLine="707"/>
        <w:jc w:val="both"/>
        <w:rPr>
          <w:rFonts w:ascii="Arial" w:eastAsia="Arial" w:hAnsi="Arial" w:cs="Arial"/>
          <w:lang w:val="es-ES"/>
        </w:rPr>
      </w:pPr>
      <w:r w:rsidRPr="00D807DF">
        <w:rPr>
          <w:rFonts w:ascii="Arial" w:eastAsia="Arial" w:hAnsi="Arial" w:cs="Arial"/>
          <w:lang w:val="es-ES"/>
        </w:rPr>
        <w:t>Si bien los contratos o convenios interadministrativos están previstos en la Ley 80 de 1993, en la Ley 1150 de 2007 y en el Decreto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2D1FEEC5" w14:textId="77777777" w:rsidR="00EB1D47" w:rsidRPr="00D807DF" w:rsidRDefault="00EB1D47" w:rsidP="00EB1D47">
      <w:pPr>
        <w:widowControl w:val="0"/>
        <w:autoSpaceDE w:val="0"/>
        <w:autoSpaceDN w:val="0"/>
        <w:spacing w:before="121" w:after="120" w:line="276" w:lineRule="auto"/>
        <w:ind w:firstLine="707"/>
        <w:jc w:val="both"/>
        <w:rPr>
          <w:rFonts w:ascii="Arial" w:eastAsia="Arial" w:hAnsi="Arial" w:cs="Arial"/>
          <w:lang w:val="es-ES"/>
        </w:rPr>
      </w:pPr>
      <w:r w:rsidRPr="00D807DF">
        <w:rPr>
          <w:rFonts w:ascii="Arial" w:eastAsia="Arial" w:hAnsi="Arial" w:cs="Arial"/>
          <w:lang w:val="es-ES"/>
        </w:rPr>
        <w:t>Un contrato o convenio interadministrativo no está determinado por la modalidad de selección utilizada para celebrarlo. La Ley 1150 de 2007 dispone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D807DF">
        <w:rPr>
          <w:rFonts w:ascii="Arial" w:eastAsia="Arial" w:hAnsi="Arial" w:cs="Arial"/>
          <w:vertAlign w:val="superscript"/>
          <w:lang w:val="es-ES"/>
        </w:rPr>
        <w:footnoteReference w:id="10"/>
      </w:r>
      <w:r w:rsidRPr="00D807DF">
        <w:rPr>
          <w:rFonts w:ascii="Arial" w:eastAsia="Arial" w:hAnsi="Arial" w:cs="Arial"/>
          <w:lang w:val="es-ES"/>
        </w:rPr>
        <w:t>. Nótese que, en este caso, lo que cambia es la modalidad de selección y no la naturaleza de contrato</w:t>
      </w:r>
      <w:r w:rsidRPr="00D807DF">
        <w:rPr>
          <w:rFonts w:ascii="Arial" w:eastAsia="Arial" w:hAnsi="Arial" w:cs="Arial"/>
          <w:spacing w:val="-18"/>
          <w:lang w:val="es-ES"/>
        </w:rPr>
        <w:t xml:space="preserve"> </w:t>
      </w:r>
      <w:r w:rsidRPr="00D807DF">
        <w:rPr>
          <w:rFonts w:ascii="Arial" w:eastAsia="Arial" w:hAnsi="Arial" w:cs="Arial"/>
          <w:lang w:val="es-ES"/>
        </w:rPr>
        <w:t>interadministrativo.</w:t>
      </w:r>
    </w:p>
    <w:p w14:paraId="3D17C12D" w14:textId="77777777" w:rsidR="00EB1D47" w:rsidRPr="00D807DF" w:rsidRDefault="00EB1D47" w:rsidP="00EB1D47">
      <w:pPr>
        <w:widowControl w:val="0"/>
        <w:autoSpaceDE w:val="0"/>
        <w:autoSpaceDN w:val="0"/>
        <w:spacing w:before="114" w:after="0" w:line="276" w:lineRule="auto"/>
        <w:ind w:firstLine="707"/>
        <w:jc w:val="both"/>
        <w:rPr>
          <w:rFonts w:ascii="Arial" w:eastAsia="Arial" w:hAnsi="Arial" w:cs="Arial"/>
          <w:lang w:val="es-ES"/>
        </w:rPr>
      </w:pPr>
      <w:r w:rsidRPr="00D807DF">
        <w:rPr>
          <w:rFonts w:ascii="Arial" w:eastAsia="Arial" w:hAnsi="Arial" w:cs="Arial"/>
          <w:lang w:val="es-ES"/>
        </w:rPr>
        <w:t>La Corte Constitucional, en Sentencia C–671 de 2015 expresó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w:t>
      </w:r>
      <w:r w:rsidRPr="00D807DF">
        <w:rPr>
          <w:rFonts w:ascii="Arial" w:eastAsia="Arial" w:hAnsi="Arial" w:cs="Arial"/>
          <w:spacing w:val="-13"/>
          <w:lang w:val="es-ES"/>
        </w:rPr>
        <w:t xml:space="preserve"> </w:t>
      </w:r>
      <w:r w:rsidRPr="00D807DF">
        <w:rPr>
          <w:rFonts w:ascii="Arial" w:eastAsia="Arial" w:hAnsi="Arial" w:cs="Arial"/>
          <w:lang w:val="es-ES"/>
        </w:rPr>
        <w:t>que:</w:t>
      </w:r>
    </w:p>
    <w:p w14:paraId="535AAB5F" w14:textId="77777777" w:rsidR="00EB1D47" w:rsidRPr="00D807DF" w:rsidRDefault="00EB1D47" w:rsidP="00EB1D47">
      <w:pPr>
        <w:widowControl w:val="0"/>
        <w:autoSpaceDE w:val="0"/>
        <w:autoSpaceDN w:val="0"/>
        <w:spacing w:after="0" w:line="240" w:lineRule="auto"/>
        <w:ind w:firstLine="707"/>
        <w:jc w:val="both"/>
        <w:rPr>
          <w:rFonts w:ascii="Arial" w:eastAsia="Arial" w:hAnsi="Arial" w:cs="Arial"/>
          <w:lang w:val="es-ES"/>
        </w:rPr>
      </w:pPr>
    </w:p>
    <w:p w14:paraId="586D350D" w14:textId="77777777" w:rsidR="00EB1D47" w:rsidRPr="00D807DF" w:rsidRDefault="00EB1D47" w:rsidP="00EB1D47">
      <w:pPr>
        <w:spacing w:after="0"/>
        <w:ind w:left="709" w:right="709"/>
        <w:jc w:val="both"/>
        <w:rPr>
          <w:rFonts w:ascii="Arial" w:hAnsi="Arial" w:cs="Arial"/>
          <w:sz w:val="21"/>
        </w:rPr>
      </w:pPr>
      <w:r w:rsidRPr="00D807DF">
        <w:rPr>
          <w:rFonts w:ascii="Arial" w:hAnsi="Arial" w:cs="Arial"/>
          <w:sz w:val="21"/>
        </w:rPr>
        <w:t>[…] se puede señalar que los convenios o contratos interadministrativos tienen como características principales las siguientes: (i) constituyen verdaderos contratos en los términos del Código de Comercio cuando su objeto lo constituyen obligaciones patrimoniales; (</w:t>
      </w:r>
      <w:proofErr w:type="spellStart"/>
      <w:r w:rsidRPr="00D807DF">
        <w:rPr>
          <w:rFonts w:ascii="Arial" w:hAnsi="Arial" w:cs="Arial"/>
          <w:sz w:val="21"/>
        </w:rPr>
        <w:t>ii</w:t>
      </w:r>
      <w:proofErr w:type="spellEnd"/>
      <w:r w:rsidRPr="00D807DF">
        <w:rPr>
          <w:rFonts w:ascii="Arial" w:hAnsi="Arial" w:cs="Arial"/>
          <w:sz w:val="21"/>
        </w:rPr>
        <w:t xml:space="preserve">) tienen como fuente la autonomía </w:t>
      </w:r>
      <w:r w:rsidRPr="00D807DF">
        <w:rPr>
          <w:rFonts w:ascii="Arial" w:hAnsi="Arial" w:cs="Arial"/>
          <w:sz w:val="21"/>
        </w:rPr>
        <w:lastRenderedPageBreak/>
        <w:t>contractual; (</w:t>
      </w:r>
      <w:proofErr w:type="spellStart"/>
      <w:r w:rsidRPr="00D807DF">
        <w:rPr>
          <w:rFonts w:ascii="Arial" w:hAnsi="Arial" w:cs="Arial"/>
          <w:sz w:val="21"/>
        </w:rPr>
        <w:t>iii</w:t>
      </w:r>
      <w:proofErr w:type="spellEnd"/>
      <w:r w:rsidRPr="00D807DF">
        <w:rPr>
          <w:rFonts w:ascii="Arial" w:hAnsi="Arial" w:cs="Arial"/>
          <w:sz w:val="21"/>
        </w:rPr>
        <w:t>) son contratos nominados puesto que están mencionados en la ley; (</w:t>
      </w:r>
      <w:proofErr w:type="spellStart"/>
      <w:r w:rsidRPr="00D807DF">
        <w:rPr>
          <w:rFonts w:ascii="Arial" w:hAnsi="Arial" w:cs="Arial"/>
          <w:sz w:val="21"/>
        </w:rPr>
        <w:t>iv</w:t>
      </w:r>
      <w:proofErr w:type="spellEnd"/>
      <w:r w:rsidRPr="00D807DF">
        <w:rPr>
          <w:rFonts w:ascii="Arial" w:hAnsi="Arial" w:cs="Arial"/>
          <w:sz w:val="21"/>
        </w:rPr>
        <w:t>)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D807DF">
        <w:rPr>
          <w:rFonts w:ascii="Arial" w:hAnsi="Arial" w:cs="Arial"/>
          <w:sz w:val="21"/>
        </w:rPr>
        <w:t>vii</w:t>
      </w:r>
      <w:proofErr w:type="spellEnd"/>
      <w:r w:rsidRPr="00D807DF">
        <w:rPr>
          <w:rFonts w:ascii="Arial" w:hAnsi="Arial" w:cs="Arial"/>
          <w:sz w:val="21"/>
        </w:rPr>
        <w:t>) persiguen  una finalidad común a través de la realización de intereses compartidos entre las entidades vinculadas; (</w:t>
      </w:r>
      <w:proofErr w:type="spellStart"/>
      <w:r w:rsidRPr="00D807DF">
        <w:rPr>
          <w:rFonts w:ascii="Arial" w:hAnsi="Arial" w:cs="Arial"/>
          <w:sz w:val="21"/>
        </w:rPr>
        <w:t>viii</w:t>
      </w:r>
      <w:proofErr w:type="spellEnd"/>
      <w:r w:rsidRPr="00D807DF">
        <w:rPr>
          <w:rFonts w:ascii="Arial" w:hAnsi="Arial" w:cs="Arial"/>
          <w:sz w:val="21"/>
        </w:rPr>
        <w:t>) la acción mediante la cual se deben ventilar las diferencias que sobre el particular surjan es la de controversias contractuales</w:t>
      </w:r>
      <w:r w:rsidRPr="00D807DF">
        <w:rPr>
          <w:rFonts w:ascii="Arial" w:hAnsi="Arial" w:cs="Arial"/>
          <w:sz w:val="21"/>
          <w:vertAlign w:val="superscript"/>
        </w:rPr>
        <w:footnoteReference w:id="11"/>
      </w:r>
      <w:r w:rsidRPr="00D807DF">
        <w:rPr>
          <w:rFonts w:ascii="Arial" w:hAnsi="Arial" w:cs="Arial"/>
          <w:sz w:val="21"/>
        </w:rPr>
        <w:t>.</w:t>
      </w:r>
    </w:p>
    <w:p w14:paraId="70990FE2" w14:textId="77777777" w:rsidR="00EB1D47" w:rsidRPr="00D807DF" w:rsidRDefault="00EB1D47" w:rsidP="00EB1D47">
      <w:pPr>
        <w:spacing w:after="0"/>
        <w:ind w:left="709" w:right="709"/>
        <w:jc w:val="both"/>
        <w:rPr>
          <w:rFonts w:ascii="Arial" w:hAnsi="Arial" w:cs="Arial"/>
        </w:rPr>
      </w:pPr>
    </w:p>
    <w:p w14:paraId="3B033AFA" w14:textId="77777777" w:rsidR="00EB1D47" w:rsidRPr="00D807DF" w:rsidRDefault="00EB1D47" w:rsidP="00EB1D47">
      <w:pPr>
        <w:widowControl w:val="0"/>
        <w:autoSpaceDE w:val="0"/>
        <w:autoSpaceDN w:val="0"/>
        <w:spacing w:after="120" w:line="276" w:lineRule="auto"/>
        <w:ind w:firstLine="707"/>
        <w:jc w:val="both"/>
        <w:rPr>
          <w:rFonts w:ascii="Arial" w:eastAsia="Arial" w:hAnsi="Arial" w:cs="Arial"/>
          <w:lang w:val="es-ES"/>
        </w:rPr>
      </w:pPr>
      <w:r w:rsidRPr="00D807DF">
        <w:rPr>
          <w:rFonts w:ascii="Arial" w:eastAsia="Arial" w:hAnsi="Arial" w:cs="Arial"/>
          <w:lang w:val="es-ES"/>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05FA55A0" w14:textId="77777777" w:rsidR="00EB1D47" w:rsidRPr="00D807DF" w:rsidRDefault="00EB1D47" w:rsidP="00EB1D47">
      <w:pPr>
        <w:widowControl w:val="0"/>
        <w:autoSpaceDE w:val="0"/>
        <w:autoSpaceDN w:val="0"/>
        <w:spacing w:before="119" w:after="120" w:line="276" w:lineRule="auto"/>
        <w:ind w:firstLine="707"/>
        <w:jc w:val="both"/>
        <w:rPr>
          <w:rFonts w:ascii="Arial" w:eastAsia="Arial" w:hAnsi="Arial" w:cs="Arial"/>
          <w:lang w:val="es-ES"/>
        </w:rPr>
      </w:pPr>
      <w:r w:rsidRPr="00D807DF">
        <w:rPr>
          <w:rFonts w:ascii="Arial" w:eastAsia="Arial" w:hAnsi="Arial" w:cs="Arial"/>
          <w:lang w:val="es-ES"/>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Como se indicó, la existencia de un contrato interadministrativo no está determinada por la modalidad de selección sino, entre otras cosas, de la calidad de las partes que lo suscriben, es decir, debe tratarse de entidades</w:t>
      </w:r>
      <w:r w:rsidRPr="00D807DF">
        <w:rPr>
          <w:rFonts w:ascii="Arial" w:eastAsia="Arial" w:hAnsi="Arial" w:cs="Arial"/>
          <w:spacing w:val="-3"/>
          <w:lang w:val="es-ES"/>
        </w:rPr>
        <w:t xml:space="preserve"> </w:t>
      </w:r>
      <w:r w:rsidRPr="00D807DF">
        <w:rPr>
          <w:rFonts w:ascii="Arial" w:eastAsia="Arial" w:hAnsi="Arial" w:cs="Arial"/>
          <w:lang w:val="es-ES"/>
        </w:rPr>
        <w:t>estatales.</w:t>
      </w:r>
    </w:p>
    <w:p w14:paraId="6FB39591" w14:textId="77777777" w:rsidR="00EB1D47" w:rsidRPr="00D807DF" w:rsidRDefault="00EB1D47" w:rsidP="00EB1D47">
      <w:pPr>
        <w:widowControl w:val="0"/>
        <w:autoSpaceDE w:val="0"/>
        <w:autoSpaceDN w:val="0"/>
        <w:spacing w:before="120" w:after="0" w:line="276" w:lineRule="auto"/>
        <w:ind w:firstLine="709"/>
        <w:jc w:val="both"/>
        <w:rPr>
          <w:rFonts w:ascii="Arial" w:eastAsia="Arial" w:hAnsi="Arial" w:cs="Arial"/>
          <w:lang w:val="es-ES"/>
        </w:rPr>
      </w:pPr>
      <w:r w:rsidRPr="00D807DF">
        <w:rPr>
          <w:rFonts w:ascii="Arial" w:eastAsia="Arial" w:hAnsi="Arial" w:cs="Arial"/>
          <w:lang w:val="es-ES"/>
        </w:rPr>
        <w:t xml:space="preserve">Además, es necesario tener en cuenta que para que un contrato o convenio interadministrativo exista, debe cumplir con los siguientes elementos: acuerdo sobre el </w:t>
      </w:r>
      <w:r w:rsidRPr="00D807DF">
        <w:rPr>
          <w:rFonts w:ascii="Arial" w:eastAsia="Arial" w:hAnsi="Arial" w:cs="Arial"/>
          <w:lang w:val="es-ES"/>
        </w:rPr>
        <w:lastRenderedPageBreak/>
        <w:t>objeto y la contraprestación, y que se eleve a escrito. Por otra parte, si bien actualmente el EGCAP hace referencia de manera expresa a los contratos interadministrativos y no a los convenios,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w:t>
      </w:r>
      <w:r w:rsidRPr="00D807DF">
        <w:rPr>
          <w:rFonts w:ascii="Arial" w:eastAsia="Arial" w:hAnsi="Arial" w:cs="Arial"/>
          <w:spacing w:val="-4"/>
          <w:lang w:val="es-ES"/>
        </w:rPr>
        <w:t xml:space="preserve"> </w:t>
      </w:r>
      <w:r w:rsidRPr="00D807DF">
        <w:rPr>
          <w:rFonts w:ascii="Arial" w:eastAsia="Arial" w:hAnsi="Arial" w:cs="Arial"/>
          <w:lang w:val="es-ES"/>
        </w:rPr>
        <w:t>estatales.</w:t>
      </w:r>
    </w:p>
    <w:p w14:paraId="577DCF97" w14:textId="77777777" w:rsidR="00EB1D47" w:rsidRPr="00D807DF" w:rsidRDefault="00EB1D47" w:rsidP="00EB1D47">
      <w:pPr>
        <w:widowControl w:val="0"/>
        <w:autoSpaceDE w:val="0"/>
        <w:autoSpaceDN w:val="0"/>
        <w:spacing w:before="122" w:after="120" w:line="276" w:lineRule="auto"/>
        <w:ind w:firstLine="708"/>
        <w:jc w:val="both"/>
        <w:rPr>
          <w:rFonts w:ascii="Arial" w:eastAsia="Arial" w:hAnsi="Arial" w:cs="Arial"/>
          <w:lang w:val="es-ES"/>
        </w:rPr>
      </w:pPr>
      <w:r w:rsidRPr="00D807DF">
        <w:rPr>
          <w:rFonts w:ascii="Arial" w:eastAsia="Arial" w:hAnsi="Arial" w:cs="Arial"/>
          <w:lang w:val="es-ES"/>
        </w:rPr>
        <w:t>Es conveniente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1091ADB3" w14:textId="77777777" w:rsidR="00EB1D47" w:rsidRPr="00D807DF" w:rsidRDefault="00EB1D47" w:rsidP="00EB1D47">
      <w:pPr>
        <w:widowControl w:val="0"/>
        <w:autoSpaceDE w:val="0"/>
        <w:autoSpaceDN w:val="0"/>
        <w:spacing w:after="120" w:line="276" w:lineRule="auto"/>
        <w:ind w:firstLine="709"/>
        <w:jc w:val="both"/>
        <w:rPr>
          <w:rFonts w:ascii="Arial" w:eastAsia="Calibri" w:hAnsi="Arial" w:cs="Arial"/>
          <w:bCs/>
        </w:rPr>
      </w:pPr>
      <w:r w:rsidRPr="00D807DF">
        <w:rPr>
          <w:rFonts w:ascii="Arial" w:eastAsia="Arial" w:hAnsi="Arial" w:cs="Arial"/>
          <w:lang w:val="es-ES"/>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w:t>
      </w:r>
      <w:r w:rsidRPr="00D807DF">
        <w:rPr>
          <w:rFonts w:ascii="Arial" w:eastAsia="Arial" w:hAnsi="Arial" w:cs="Arial"/>
          <w:spacing w:val="-4"/>
          <w:lang w:val="es-ES"/>
        </w:rPr>
        <w:t xml:space="preserve"> </w:t>
      </w:r>
      <w:r w:rsidRPr="00D807DF">
        <w:rPr>
          <w:rFonts w:ascii="Arial" w:eastAsia="Arial" w:hAnsi="Arial" w:cs="Arial"/>
          <w:lang w:val="es-ES"/>
        </w:rPr>
        <w:t>[…]»</w:t>
      </w:r>
      <w:r w:rsidRPr="00D807DF">
        <w:rPr>
          <w:rFonts w:ascii="Arial" w:eastAsia="Arial" w:hAnsi="Arial" w:cs="Arial"/>
          <w:vertAlign w:val="superscript"/>
          <w:lang w:val="es-ES"/>
        </w:rPr>
        <w:footnoteReference w:id="12"/>
      </w:r>
      <w:r w:rsidRPr="00D807DF">
        <w:rPr>
          <w:rFonts w:ascii="Arial" w:eastAsia="Arial" w:hAnsi="Arial" w:cs="Arial"/>
          <w:lang w:val="es-ES"/>
        </w:rPr>
        <w:t>.</w:t>
      </w:r>
    </w:p>
    <w:p w14:paraId="3FC15756" w14:textId="6245C23D" w:rsidR="00EB1D47" w:rsidRDefault="00EB1D47" w:rsidP="00EB1D47">
      <w:pPr>
        <w:widowControl w:val="0"/>
        <w:autoSpaceDE w:val="0"/>
        <w:autoSpaceDN w:val="0"/>
        <w:spacing w:after="0" w:line="276" w:lineRule="auto"/>
        <w:jc w:val="both"/>
        <w:rPr>
          <w:rFonts w:ascii="Arial" w:eastAsia="Arial" w:hAnsi="Arial" w:cs="Arial"/>
          <w:lang w:val="es-ES"/>
        </w:rPr>
      </w:pPr>
      <w:r w:rsidRPr="00D807DF">
        <w:rPr>
          <w:rFonts w:ascii="Arial" w:eastAsia="Arial" w:hAnsi="Arial" w:cs="Arial"/>
          <w:lang w:val="es-ES"/>
        </w:rPr>
        <w:tab/>
        <w:t>El legislador y el ordenamiento jurídico, en general, en distintas ocasiones utiliza de forma indistinta los conceptos de contrato o convenio para referirse a la misma institución jurídica</w:t>
      </w:r>
      <w:r w:rsidRPr="00D807DF">
        <w:rPr>
          <w:rFonts w:ascii="Arial" w:eastAsia="Arial" w:hAnsi="Arial" w:cs="Arial"/>
          <w:vertAlign w:val="superscript"/>
          <w:lang w:val="es-ES"/>
        </w:rPr>
        <w:footnoteReference w:id="13"/>
      </w:r>
      <w:r w:rsidRPr="00D807DF">
        <w:rPr>
          <w:rFonts w:ascii="Arial" w:eastAsia="Arial" w:hAnsi="Arial" w:cs="Arial"/>
          <w:lang w:val="es-ES"/>
        </w:rPr>
        <w:t>. Incluso vale la pena tener en cuenta c</w:t>
      </w:r>
      <w:r w:rsidR="00513B8F">
        <w:rPr>
          <w:rFonts w:ascii="Arial" w:eastAsia="Arial" w:hAnsi="Arial" w:cs="Arial"/>
          <w:lang w:val="es-ES"/>
        </w:rPr>
        <w:t>o</w:t>
      </w:r>
      <w:r w:rsidRPr="00D807DF">
        <w:rPr>
          <w:rFonts w:ascii="Arial" w:eastAsia="Arial" w:hAnsi="Arial" w:cs="Arial"/>
          <w:lang w:val="es-ES"/>
        </w:rPr>
        <w:t xml:space="preserve">mo la Corte Constitucional fundamenta la posibilidad de celebrar convenios interadministrativos de forma directa, con fundamento en </w:t>
      </w:r>
      <w:r w:rsidRPr="00D807DF">
        <w:rPr>
          <w:rFonts w:ascii="Arial" w:eastAsia="Arial" w:hAnsi="Arial" w:cs="Arial"/>
          <w:lang w:val="es-ES"/>
        </w:rPr>
        <w:lastRenderedPageBreak/>
        <w:t>la causal establecida en la Ley 1150 de 2007 respecto a los contratos interadministrativos</w:t>
      </w:r>
      <w:r w:rsidRPr="00D807DF">
        <w:rPr>
          <w:rFonts w:ascii="Arial" w:eastAsia="Arial" w:hAnsi="Arial" w:cs="Arial"/>
          <w:vertAlign w:val="superscript"/>
          <w:lang w:val="es-ES"/>
        </w:rPr>
        <w:footnoteReference w:id="14"/>
      </w:r>
      <w:r w:rsidRPr="00D807DF">
        <w:rPr>
          <w:rFonts w:ascii="Arial" w:eastAsia="Arial" w:hAnsi="Arial" w:cs="Arial"/>
          <w:lang w:val="es-ES"/>
        </w:rPr>
        <w:t>. 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w:t>
      </w:r>
      <w:r w:rsidR="00513B8F">
        <w:rPr>
          <w:rFonts w:ascii="Arial" w:eastAsia="Arial" w:hAnsi="Arial" w:cs="Arial"/>
          <w:lang w:val="es-ES"/>
        </w:rPr>
        <w:t>, sin importar su denominación como ocurre en el caso de la consulta que se llama «convenio de cooperación interinstitucional»</w:t>
      </w:r>
      <w:r w:rsidRPr="00D807DF">
        <w:rPr>
          <w:rFonts w:ascii="Arial" w:eastAsia="Arial" w:hAnsi="Arial" w:cs="Arial"/>
          <w:lang w:val="es-ES"/>
        </w:rPr>
        <w:t xml:space="preserve">. </w:t>
      </w:r>
    </w:p>
    <w:p w14:paraId="366DDDF1" w14:textId="765D57FB" w:rsidR="00513B8F" w:rsidRPr="00D807DF" w:rsidRDefault="00513B8F" w:rsidP="00EB1D47">
      <w:pPr>
        <w:widowControl w:val="0"/>
        <w:autoSpaceDE w:val="0"/>
        <w:autoSpaceDN w:val="0"/>
        <w:spacing w:after="0" w:line="276" w:lineRule="auto"/>
        <w:jc w:val="both"/>
        <w:rPr>
          <w:rFonts w:ascii="Arial" w:eastAsia="Calibri" w:hAnsi="Arial" w:cs="Arial"/>
          <w:color w:val="000000"/>
          <w:lang w:val="es-ES_tradnl"/>
        </w:rPr>
      </w:pPr>
      <w:r>
        <w:rPr>
          <w:rFonts w:ascii="Arial" w:eastAsia="Arial" w:hAnsi="Arial" w:cs="Arial"/>
          <w:lang w:val="es-ES"/>
        </w:rPr>
        <w:tab/>
        <w:t>Finalmente,</w:t>
      </w:r>
      <w:r w:rsidRPr="00513B8F">
        <w:t xml:space="preserve"> </w:t>
      </w:r>
      <w:r w:rsidRPr="00513B8F">
        <w:rPr>
          <w:rFonts w:ascii="Arial" w:eastAsia="Arial" w:hAnsi="Arial" w:cs="Arial"/>
          <w:lang w:val="es-ES"/>
        </w:rPr>
        <w:t>se destaca que la Circular Externa Única de Colombia Compra Eficiente, pese a reconocer que se han realizado algunas distinciones jurisprudenciales en torno a los contratos y convenios interadministrativos, relacionados con 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para la aplicación de la Ley de Garantías.</w:t>
      </w:r>
    </w:p>
    <w:p w14:paraId="06A62B59" w14:textId="77777777" w:rsidR="00EB1D47" w:rsidRPr="00D807DF" w:rsidRDefault="00EB1D47" w:rsidP="00A42AD1">
      <w:pPr>
        <w:spacing w:after="0" w:line="276" w:lineRule="auto"/>
        <w:contextualSpacing/>
        <w:jc w:val="both"/>
        <w:rPr>
          <w:rFonts w:ascii="Arial" w:eastAsia="Calibri" w:hAnsi="Arial" w:cs="Arial"/>
          <w:b/>
          <w:bCs/>
          <w:color w:val="000000" w:themeColor="text1"/>
          <w:lang w:val="es-ES_tradnl" w:eastAsia="es-ES_tradnl"/>
        </w:rPr>
      </w:pPr>
    </w:p>
    <w:p w14:paraId="57D20A4B" w14:textId="761CD633" w:rsidR="00B061A3" w:rsidRPr="00D807DF" w:rsidRDefault="00EB1D47" w:rsidP="00A42AD1">
      <w:pPr>
        <w:spacing w:after="0" w:line="276" w:lineRule="auto"/>
        <w:contextualSpacing/>
        <w:jc w:val="both"/>
        <w:rPr>
          <w:rStyle w:val="normaltextrun"/>
          <w:rFonts w:ascii="Arial" w:hAnsi="Arial" w:cs="Arial"/>
          <w:b/>
          <w:bCs/>
          <w:color w:val="000000"/>
          <w:shd w:val="clear" w:color="auto" w:fill="FFFFFF"/>
          <w:lang w:val="es-ES"/>
        </w:rPr>
      </w:pPr>
      <w:r w:rsidRPr="00D807DF">
        <w:rPr>
          <w:rFonts w:ascii="Arial" w:eastAsia="Calibri" w:hAnsi="Arial" w:cs="Arial"/>
          <w:b/>
          <w:bCs/>
          <w:color w:val="000000" w:themeColor="text1"/>
          <w:lang w:val="es-ES_tradnl" w:eastAsia="es-ES_tradnl"/>
        </w:rPr>
        <w:t xml:space="preserve">2.3. </w:t>
      </w:r>
      <w:r w:rsidRPr="00D807DF">
        <w:rPr>
          <w:rStyle w:val="normaltextrun"/>
          <w:rFonts w:ascii="Arial" w:hAnsi="Arial" w:cs="Arial"/>
          <w:b/>
          <w:bCs/>
          <w:color w:val="000000"/>
          <w:shd w:val="clear" w:color="auto" w:fill="FFFFFF"/>
          <w:lang w:val="es-ES"/>
        </w:rPr>
        <w:t>Fundamento axiológico de la publicidad de la información oficial de la contratación estatal en el Sistema Electrónico para la Contratación Pública –SECOP–</w:t>
      </w:r>
    </w:p>
    <w:p w14:paraId="4B526115" w14:textId="32633487" w:rsidR="00EB1D47" w:rsidRPr="00D807DF" w:rsidRDefault="00EB1D47" w:rsidP="00A42AD1">
      <w:pPr>
        <w:spacing w:after="0" w:line="276" w:lineRule="auto"/>
        <w:contextualSpacing/>
        <w:jc w:val="both"/>
        <w:rPr>
          <w:rStyle w:val="normaltextrun"/>
          <w:rFonts w:ascii="Arial" w:hAnsi="Arial" w:cs="Arial"/>
          <w:b/>
          <w:bCs/>
          <w:color w:val="000000"/>
          <w:shd w:val="clear" w:color="auto" w:fill="FFFFFF"/>
          <w:lang w:val="es-ES"/>
        </w:rPr>
      </w:pPr>
    </w:p>
    <w:p w14:paraId="2FDDA0DE" w14:textId="77777777" w:rsidR="00EB1D47" w:rsidRPr="00D807DF" w:rsidRDefault="00EB1D47" w:rsidP="00575697">
      <w:pPr>
        <w:spacing w:after="120" w:line="276" w:lineRule="auto"/>
        <w:jc w:val="both"/>
        <w:rPr>
          <w:rFonts w:ascii="Arial" w:eastAsia="Calibri" w:hAnsi="Arial" w:cs="Arial"/>
          <w:color w:val="000000" w:themeColor="text1"/>
          <w:lang w:val="es-ES_tradnl"/>
        </w:rPr>
      </w:pPr>
      <w:r w:rsidRPr="00D807DF">
        <w:rPr>
          <w:rFonts w:ascii="Arial" w:eastAsia="Calibri" w:hAnsi="Arial" w:cs="Arial"/>
          <w:color w:val="000000" w:themeColor="text1"/>
          <w:lang w:val="es-ES_tradnl"/>
        </w:rPr>
        <w:t xml:space="preserve">Uno de los postulados más importantes de un Estado Social y Democrático de Derecho es el principio de </w:t>
      </w:r>
      <w:r w:rsidRPr="00D807DF">
        <w:rPr>
          <w:rFonts w:ascii="Arial" w:eastAsia="Calibri" w:hAnsi="Arial" w:cs="Arial"/>
          <w:i/>
          <w:iCs/>
          <w:color w:val="000000" w:themeColor="text1"/>
          <w:lang w:val="es-ES_tradnl"/>
        </w:rPr>
        <w:t>publicidad</w:t>
      </w:r>
      <w:r w:rsidRPr="00D807DF">
        <w:rPr>
          <w:rFonts w:ascii="Arial" w:eastAsia="Calibri" w:hAnsi="Arial" w:cs="Arial"/>
          <w:color w:val="000000" w:themeColor="text1"/>
          <w:lang w:val="es-ES_tradnl"/>
        </w:rPr>
        <w:t>, pues este permite que las actuaciones de las autoridades gocen de visibilidad. En tal sentido, la filosofía política explica que la democracia «[…] es idealmente el gobierno de un poder visible, es decir, el gobierno cuyos actos se realizan ante el público y bajo la supervisión de la opinión pública»</w:t>
      </w:r>
      <w:r w:rsidRPr="00D807DF">
        <w:rPr>
          <w:rStyle w:val="Refdenotaalpie"/>
          <w:rFonts w:ascii="Arial" w:eastAsia="Calibri" w:hAnsi="Arial" w:cs="Arial"/>
          <w:color w:val="000000" w:themeColor="text1"/>
          <w:lang w:val="es-ES_tradnl"/>
        </w:rPr>
        <w:footnoteReference w:id="15"/>
      </w:r>
      <w:r w:rsidRPr="00D807DF">
        <w:rPr>
          <w:rFonts w:ascii="Arial" w:eastAsia="Calibri" w:hAnsi="Arial" w:cs="Arial"/>
          <w:color w:val="000000" w:themeColor="text1"/>
          <w:lang w:val="es-ES_tradnl"/>
        </w:rPr>
        <w:t xml:space="preserve">. El secreto generalizado en el ejercicio del poder político constituye, por el contrario, una negación de la democracia, porque dificulta la supervisión de las autoridades por parte de la sociedad civil y establece una barrera para la participación ciudadana. </w:t>
      </w:r>
    </w:p>
    <w:p w14:paraId="64712FA6" w14:textId="153C8309" w:rsidR="00EB1D47" w:rsidRPr="00D807DF" w:rsidRDefault="00EB1D47" w:rsidP="00004CAC">
      <w:pPr>
        <w:spacing w:after="0" w:line="276" w:lineRule="auto"/>
        <w:ind w:firstLine="709"/>
        <w:jc w:val="both"/>
        <w:rPr>
          <w:rFonts w:ascii="Arial" w:eastAsia="Calibri" w:hAnsi="Arial" w:cs="Arial"/>
          <w:color w:val="000000" w:themeColor="text1"/>
          <w:lang w:val="es-ES_tradnl"/>
        </w:rPr>
      </w:pPr>
      <w:r w:rsidRPr="00D807DF">
        <w:rPr>
          <w:rFonts w:ascii="Arial" w:eastAsia="Calibri" w:hAnsi="Arial" w:cs="Arial"/>
          <w:color w:val="000000" w:themeColor="text1"/>
          <w:lang w:val="es-ES_tradnl"/>
        </w:rPr>
        <w:t xml:space="preserve">Inspirada en esta concepción axiológica, la Constitución Política de 1991 consagra en varios artículos la publicidad como un principio rector del Estado colombiano. Entre los más destacados, puede mencionarse el 209, que afirma que la publicidad es uno de los </w:t>
      </w:r>
      <w:r w:rsidRPr="00D807DF">
        <w:rPr>
          <w:rFonts w:ascii="Arial" w:eastAsia="Calibri" w:hAnsi="Arial" w:cs="Arial"/>
          <w:color w:val="000000" w:themeColor="text1"/>
          <w:lang w:val="es-ES_tradnl"/>
        </w:rPr>
        <w:lastRenderedPageBreak/>
        <w:t>principios que fundamentan el ejercicio de la función administrativa y el 74, que consagra la garantía de acceso a los documentos públicos que no gocen de reserva –y esta, además, es excepcional, pues solo procede si existe causal constitucional o legal expresa–. En tal perspectiva, la Corte Constitucional ha señalado que el principio de publicidad es la garantía que tienen las personas de conocer las actuaciones judiciales y administrativas. De este modo, explica:</w:t>
      </w:r>
    </w:p>
    <w:p w14:paraId="4D7BA83E" w14:textId="77777777" w:rsidR="00004CAC" w:rsidRPr="00D807DF" w:rsidRDefault="00004CAC" w:rsidP="00004CAC">
      <w:pPr>
        <w:spacing w:after="0" w:line="276" w:lineRule="auto"/>
        <w:ind w:firstLine="709"/>
        <w:jc w:val="both"/>
        <w:rPr>
          <w:rFonts w:ascii="Arial" w:eastAsia="Calibri" w:hAnsi="Arial" w:cs="Arial"/>
          <w:color w:val="000000" w:themeColor="text1"/>
          <w:lang w:val="es-ES_tradnl"/>
        </w:rPr>
      </w:pPr>
    </w:p>
    <w:p w14:paraId="653DECB0" w14:textId="77DDC7DA" w:rsidR="00EB1D47" w:rsidRPr="00D807DF" w:rsidRDefault="00FB18B8" w:rsidP="00004CAC">
      <w:pPr>
        <w:tabs>
          <w:tab w:val="left" w:pos="3885"/>
        </w:tabs>
        <w:spacing w:after="0"/>
        <w:ind w:left="709" w:right="709"/>
        <w:jc w:val="both"/>
        <w:rPr>
          <w:rFonts w:ascii="Arial" w:hAnsi="Arial" w:cs="Arial"/>
          <w:color w:val="000000" w:themeColor="text1"/>
          <w:sz w:val="21"/>
          <w:szCs w:val="21"/>
          <w:lang w:val="es-ES_tradnl"/>
        </w:rPr>
      </w:pPr>
      <m:oMath>
        <m:r>
          <w:rPr>
            <w:rFonts w:ascii="Cambria Math" w:hAnsi="Cambria Math" w:cs="Arial"/>
            <w:color w:val="000000" w:themeColor="text1"/>
            <w:sz w:val="21"/>
            <w:szCs w:val="21"/>
            <w:lang w:val="es-ES_tradnl"/>
          </w:rPr>
          <m:t>«</m:t>
        </m:r>
      </m:oMath>
      <w:r w:rsidR="00EB1D47" w:rsidRPr="00D807DF">
        <w:rPr>
          <w:rFonts w:ascii="Arial" w:hAnsi="Arial" w:cs="Arial"/>
          <w:color w:val="000000" w:themeColor="text1"/>
          <w:sz w:val="21"/>
          <w:szCs w:val="21"/>
          <w:lang w:val="es-ES_tradnl"/>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6E3950C5" w14:textId="77777777" w:rsidR="00004CAC" w:rsidRPr="00D807DF" w:rsidRDefault="00004CAC" w:rsidP="00004CAC">
      <w:pPr>
        <w:tabs>
          <w:tab w:val="left" w:pos="3885"/>
        </w:tabs>
        <w:spacing w:after="0"/>
        <w:ind w:left="709" w:right="709"/>
        <w:jc w:val="both"/>
        <w:rPr>
          <w:rFonts w:ascii="Arial" w:hAnsi="Arial" w:cs="Arial"/>
          <w:color w:val="000000" w:themeColor="text1"/>
          <w:sz w:val="21"/>
          <w:szCs w:val="21"/>
          <w:lang w:val="es-ES_tradnl"/>
        </w:rPr>
      </w:pPr>
    </w:p>
    <w:p w14:paraId="13ADFFAC" w14:textId="546422C3" w:rsidR="00EB1D47" w:rsidRPr="00D807DF" w:rsidRDefault="00EB1D47" w:rsidP="00004CAC">
      <w:pPr>
        <w:tabs>
          <w:tab w:val="left" w:pos="3885"/>
          <w:tab w:val="left" w:pos="8222"/>
        </w:tabs>
        <w:spacing w:after="0"/>
        <w:ind w:left="709" w:right="709"/>
        <w:jc w:val="both"/>
        <w:rPr>
          <w:rFonts w:ascii="Arial" w:eastAsia="Calibri" w:hAnsi="Arial" w:cs="Arial"/>
          <w:color w:val="000000" w:themeColor="text1"/>
          <w:sz w:val="21"/>
          <w:szCs w:val="21"/>
          <w:lang w:val="es-ES_tradnl"/>
        </w:rPr>
      </w:pPr>
      <w:r w:rsidRPr="00D807DF">
        <w:rPr>
          <w:rFonts w:ascii="Arial" w:hAnsi="Arial" w:cs="Arial"/>
          <w:color w:val="000000" w:themeColor="text1"/>
          <w:sz w:val="21"/>
          <w:szCs w:val="21"/>
          <w:lang w:val="es-ES_tradnl"/>
        </w:rPr>
        <w:t xml:space="preserve">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w:t>
      </w:r>
      <w:proofErr w:type="gramStart"/>
      <w:r w:rsidRPr="00D807DF">
        <w:rPr>
          <w:rFonts w:ascii="Arial" w:hAnsi="Arial" w:cs="Arial"/>
          <w:color w:val="000000" w:themeColor="text1"/>
          <w:sz w:val="21"/>
          <w:szCs w:val="21"/>
          <w:lang w:val="es-ES_tradnl"/>
        </w:rPr>
        <w:t>autoridades públicas</w:t>
      </w:r>
      <w:proofErr w:type="gramEnd"/>
      <w:r w:rsidRPr="00D807DF">
        <w:rPr>
          <w:rFonts w:ascii="Arial" w:hAnsi="Arial" w:cs="Arial"/>
          <w:color w:val="000000" w:themeColor="text1"/>
          <w:sz w:val="21"/>
          <w:szCs w:val="21"/>
          <w:lang w:val="es-ES_tradnl"/>
        </w:rPr>
        <w:t xml:space="preserve"> y, a través de ese conocimiento, a exigir que ellas se surtan conforme a la ley</w:t>
      </w:r>
      <w:r w:rsidRPr="00D807DF">
        <w:rPr>
          <w:rStyle w:val="Refdenotaalpie"/>
          <w:rFonts w:ascii="Arial" w:eastAsia="Calibri" w:hAnsi="Arial" w:cs="Arial"/>
          <w:color w:val="000000" w:themeColor="text1"/>
          <w:sz w:val="21"/>
          <w:szCs w:val="21"/>
          <w:lang w:val="es-ES_tradnl"/>
        </w:rPr>
        <w:footnoteReference w:id="16"/>
      </w:r>
      <w:r w:rsidR="00FB18B8" w:rsidRPr="00D807DF">
        <w:rPr>
          <w:rFonts w:ascii="Arial" w:eastAsia="Calibri" w:hAnsi="Arial" w:cs="Arial"/>
          <w:color w:val="000000" w:themeColor="text1"/>
          <w:sz w:val="21"/>
          <w:szCs w:val="21"/>
          <w:lang w:val="es-ES_tradnl"/>
        </w:rPr>
        <w:t>»</w:t>
      </w:r>
      <w:r w:rsidR="003D1253">
        <w:rPr>
          <w:rFonts w:ascii="Arial" w:eastAsia="Calibri" w:hAnsi="Arial" w:cs="Arial"/>
          <w:color w:val="000000" w:themeColor="text1"/>
          <w:sz w:val="21"/>
          <w:szCs w:val="21"/>
          <w:lang w:val="es-ES_tradnl"/>
        </w:rPr>
        <w:t>.</w:t>
      </w:r>
    </w:p>
    <w:p w14:paraId="32CDF248" w14:textId="77777777" w:rsidR="00004CAC" w:rsidRPr="00D807DF" w:rsidRDefault="00004CAC" w:rsidP="00004CAC">
      <w:pPr>
        <w:tabs>
          <w:tab w:val="left" w:pos="3885"/>
          <w:tab w:val="left" w:pos="8222"/>
        </w:tabs>
        <w:spacing w:after="0"/>
        <w:ind w:left="709" w:right="709"/>
        <w:jc w:val="both"/>
        <w:rPr>
          <w:rFonts w:ascii="Arial" w:hAnsi="Arial" w:cs="Arial"/>
          <w:color w:val="000000" w:themeColor="text1"/>
          <w:lang w:val="es-ES_tradnl"/>
        </w:rPr>
      </w:pPr>
    </w:p>
    <w:p w14:paraId="153613E6" w14:textId="77777777" w:rsidR="00EB1D47" w:rsidRPr="00D807DF" w:rsidRDefault="00EB1D47" w:rsidP="00C96148">
      <w:pPr>
        <w:spacing w:before="120" w:after="0" w:line="276" w:lineRule="auto"/>
        <w:ind w:firstLine="709"/>
        <w:jc w:val="both"/>
        <w:rPr>
          <w:rFonts w:ascii="Arial" w:eastAsia="Calibri" w:hAnsi="Arial" w:cs="Arial"/>
          <w:color w:val="000000" w:themeColor="text1"/>
          <w:lang w:val="es-ES_tradnl"/>
        </w:rPr>
      </w:pPr>
      <w:r w:rsidRPr="00D807DF">
        <w:rPr>
          <w:rFonts w:ascii="Arial" w:eastAsia="Calibri" w:hAnsi="Arial" w:cs="Arial"/>
          <w:color w:val="000000" w:themeColor="text1"/>
          <w:lang w:val="es-ES_tradnl"/>
        </w:rPr>
        <w:t xml:space="preserve">El principio de publicidad impone a las autoridades el deber de dar a conocer sus actos, contratos y decisiones, para que se divulguen y eventualmente se controlen dichas actuaciones. Es por eso </w:t>
      </w:r>
      <w:proofErr w:type="gramStart"/>
      <w:r w:rsidRPr="00D807DF">
        <w:rPr>
          <w:rFonts w:ascii="Arial" w:eastAsia="Calibri" w:hAnsi="Arial" w:cs="Arial"/>
          <w:color w:val="000000" w:themeColor="text1"/>
          <w:lang w:val="es-ES_tradnl"/>
        </w:rPr>
        <w:t>que</w:t>
      </w:r>
      <w:proofErr w:type="gramEnd"/>
      <w:r w:rsidRPr="00D807DF">
        <w:rPr>
          <w:rFonts w:ascii="Arial" w:eastAsia="Calibri" w:hAnsi="Arial" w:cs="Arial"/>
          <w:color w:val="000000" w:themeColor="text1"/>
          <w:lang w:val="es-ES_tradnl"/>
        </w:rPr>
        <w:t>, en la contratación estatal, el literal c) del artículo 3 de la Ley 1150 de 2007 establece el Sistema Electrónico para la Contratación Pública –SECOP– como un mecanismo que «contará con la información oficial de la contratación realizada con dineros públicos, para lo cual establecerá los patrones a que haya lugar y se encargará de su difusión a través de canales electrónicos»</w:t>
      </w:r>
      <w:r w:rsidRPr="00D807DF">
        <w:rPr>
          <w:rStyle w:val="Refdenotaalpie"/>
          <w:rFonts w:ascii="Arial" w:eastAsia="Calibri" w:hAnsi="Arial" w:cs="Arial"/>
          <w:color w:val="000000" w:themeColor="text1"/>
          <w:lang w:val="es-ES_tradnl"/>
        </w:rPr>
        <w:footnoteReference w:id="17"/>
      </w:r>
      <w:r w:rsidRPr="00D807DF">
        <w:rPr>
          <w:rFonts w:ascii="Arial" w:eastAsia="Calibri" w:hAnsi="Arial" w:cs="Arial"/>
          <w:color w:val="000000" w:themeColor="text1"/>
          <w:lang w:val="es-ES_tradnl"/>
        </w:rPr>
        <w:t xml:space="preserve">. </w:t>
      </w:r>
    </w:p>
    <w:p w14:paraId="4A56D6E5" w14:textId="214811DC" w:rsidR="003D1253" w:rsidRDefault="00EB1D47" w:rsidP="003D1253">
      <w:pPr>
        <w:spacing w:before="120" w:after="0" w:line="276" w:lineRule="auto"/>
        <w:ind w:firstLine="709"/>
        <w:jc w:val="both"/>
        <w:rPr>
          <w:rFonts w:ascii="Arial" w:hAnsi="Arial" w:cs="Arial"/>
        </w:rPr>
      </w:pPr>
      <w:r w:rsidRPr="00D807DF">
        <w:rPr>
          <w:rFonts w:ascii="Arial" w:hAnsi="Arial" w:cs="Arial"/>
          <w:color w:val="000000" w:themeColor="text1"/>
          <w:lang w:val="es-ES_tradnl"/>
        </w:rPr>
        <w:lastRenderedPageBreak/>
        <w:t>De otra parte, la Ley 1712 de 2014 –</w:t>
      </w:r>
      <w:r w:rsidR="003D1253">
        <w:rPr>
          <w:rFonts w:ascii="Arial" w:hAnsi="Arial" w:cs="Arial"/>
          <w:color w:val="000000" w:themeColor="text1"/>
          <w:lang w:val="es-ES_tradnl"/>
        </w:rPr>
        <w:t>L</w:t>
      </w:r>
      <w:r w:rsidRPr="00D807DF">
        <w:rPr>
          <w:rFonts w:ascii="Arial" w:hAnsi="Arial" w:cs="Arial"/>
          <w:color w:val="000000" w:themeColor="text1"/>
          <w:lang w:val="es-ES_tradnl"/>
        </w:rPr>
        <w:t>ey estatutaria que regula la transparencia y el derecho de acceso a la información y a los documentos públicos–,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D807DF">
        <w:rPr>
          <w:rStyle w:val="Refdenotaalpie"/>
          <w:rFonts w:ascii="Arial" w:hAnsi="Arial" w:cs="Arial"/>
          <w:color w:val="000000" w:themeColor="text1"/>
          <w:lang w:val="es-ES_tradnl"/>
        </w:rPr>
        <w:footnoteReference w:id="18"/>
      </w:r>
      <w:r w:rsidRPr="00D807DF">
        <w:rPr>
          <w:rFonts w:ascii="Arial" w:hAnsi="Arial" w:cs="Arial"/>
          <w:color w:val="000000" w:themeColor="text1"/>
          <w:lang w:val="es-ES_tradnl"/>
        </w:rPr>
        <w:t xml:space="preserve">. El principio de transparencia en la información alude al deber de los sujetos de proporcionar y facilitar el acceso a la misma en los términos más amplios posibles, y a través de los medios y procedimientos legales. </w:t>
      </w:r>
      <w:r w:rsidR="003D1253" w:rsidRPr="00BD40F9">
        <w:rPr>
          <w:rFonts w:ascii="Arial" w:hAnsi="Arial" w:cs="Arial"/>
        </w:rPr>
        <w:t xml:space="preserve">Y el principio de buena fe hace referencia al deber de todo sujeto obligado de cumplir con las obligaciones derivadas </w:t>
      </w:r>
      <w:r w:rsidR="003D1253">
        <w:rPr>
          <w:rFonts w:ascii="Arial" w:hAnsi="Arial" w:cs="Arial"/>
        </w:rPr>
        <w:t xml:space="preserve">del </w:t>
      </w:r>
      <w:r w:rsidR="003D1253" w:rsidRPr="00BD40F9">
        <w:rPr>
          <w:rFonts w:ascii="Arial" w:hAnsi="Arial" w:cs="Arial"/>
        </w:rPr>
        <w:t>derecho de acceso a la información pública con motivación honesta, leal y desprovista de cualquier intención dolosa o culposa</w:t>
      </w:r>
      <w:r w:rsidR="003D1253" w:rsidRPr="00BD40F9">
        <w:rPr>
          <w:rStyle w:val="Refdenotaalpie"/>
          <w:rFonts w:ascii="Arial" w:hAnsi="Arial" w:cs="Arial"/>
        </w:rPr>
        <w:footnoteReference w:id="19"/>
      </w:r>
      <w:r w:rsidR="003D1253" w:rsidRPr="00BD40F9">
        <w:rPr>
          <w:rFonts w:ascii="Arial" w:hAnsi="Arial" w:cs="Arial"/>
        </w:rPr>
        <w:t>.</w:t>
      </w:r>
    </w:p>
    <w:p w14:paraId="15D91F7D" w14:textId="77777777" w:rsidR="00C865A9" w:rsidRDefault="00C865A9" w:rsidP="00C865A9">
      <w:pPr>
        <w:spacing w:before="120" w:after="0" w:line="276" w:lineRule="auto"/>
        <w:ind w:firstLine="709"/>
        <w:jc w:val="both"/>
        <w:rPr>
          <w:rFonts w:ascii="Arial" w:eastAsia="Arial MT" w:hAnsi="Arial" w:cs="Arial"/>
          <w:lang w:val="es-ES"/>
        </w:rPr>
      </w:pPr>
      <w:r w:rsidRPr="00F40A5B">
        <w:rPr>
          <w:rFonts w:ascii="Arial" w:hAnsi="Arial" w:cs="Arial"/>
          <w:color w:val="000000" w:themeColor="text1"/>
          <w:lang w:val="es-ES_tradnl"/>
        </w:rPr>
        <w:t xml:space="preserve">En el literal e) del artículo 9, la ley </w:t>
      </w:r>
      <w:proofErr w:type="gramStart"/>
      <w:r w:rsidRPr="00F40A5B">
        <w:rPr>
          <w:rFonts w:ascii="Arial" w:hAnsi="Arial" w:cs="Arial"/>
          <w:color w:val="000000" w:themeColor="text1"/>
          <w:lang w:val="es-ES_tradnl"/>
        </w:rPr>
        <w:t>citada  establece</w:t>
      </w:r>
      <w:proofErr w:type="gramEnd"/>
      <w:r w:rsidRPr="00F40A5B">
        <w:rPr>
          <w:rFonts w:ascii="Arial" w:hAnsi="Arial" w:cs="Arial"/>
          <w:color w:val="000000" w:themeColor="text1"/>
          <w:lang w:val="es-ES_tradnl"/>
        </w:rPr>
        <w:t xml:space="preserve"> que los </w:t>
      </w:r>
      <w:r w:rsidRPr="00B9195F">
        <w:rPr>
          <w:rFonts w:ascii="Arial" w:hAnsi="Arial" w:cs="Arial"/>
          <w:i/>
          <w:iCs/>
          <w:color w:val="000000" w:themeColor="text1"/>
          <w:lang w:val="es-ES_tradnl"/>
        </w:rPr>
        <w:t>sujetos obligados</w:t>
      </w:r>
      <w:r w:rsidRPr="00F40A5B">
        <w:rPr>
          <w:rFonts w:ascii="Arial" w:hAnsi="Arial" w:cs="Arial"/>
          <w:color w:val="000000" w:themeColor="text1"/>
          <w:vertAlign w:val="superscript"/>
          <w:lang w:val="es-ES_tradnl"/>
        </w:rPr>
        <w:footnoteReference w:id="20"/>
      </w:r>
      <w:r w:rsidRPr="00F40A5B">
        <w:rPr>
          <w:rFonts w:ascii="Arial" w:hAnsi="Arial" w:cs="Arial"/>
          <w:color w:val="000000" w:themeColor="text1"/>
          <w:lang w:val="es-ES_tradnl"/>
        </w:rPr>
        <w:t xml:space="preserve"> deben publicar la información relativa a su contratación.</w:t>
      </w:r>
      <w:r>
        <w:rPr>
          <w:rFonts w:ascii="Arial" w:hAnsi="Arial" w:cs="Arial"/>
          <w:color w:val="000000" w:themeColor="text1"/>
          <w:lang w:val="es-ES_tradnl"/>
        </w:rPr>
        <w:t xml:space="preserve"> </w:t>
      </w:r>
      <w:r w:rsidRPr="00BD40F9">
        <w:rPr>
          <w:rFonts w:ascii="Arial" w:eastAsia="Arial MT" w:hAnsi="Arial" w:cs="Arial"/>
          <w:lang w:val="es-ES"/>
        </w:rPr>
        <w:t xml:space="preserve">El artículo 5 </w:t>
      </w:r>
      <w:r w:rsidRPr="00BD40F9">
        <w:rPr>
          <w:rFonts w:ascii="Arial" w:eastAsia="Arial MT" w:hAnsi="Arial" w:cs="Arial"/>
          <w:i/>
          <w:iCs/>
          <w:lang w:val="es-ES"/>
        </w:rPr>
        <w:t>ibidem</w:t>
      </w:r>
      <w:r w:rsidRPr="00BD40F9">
        <w:rPr>
          <w:rFonts w:ascii="Arial" w:eastAsia="Arial MT" w:hAnsi="Arial" w:cs="Arial"/>
          <w:lang w:val="es-ES"/>
        </w:rPr>
        <w:t xml:space="preserve">, al describir qué se entiende por sujetos obligados, consagra una lista cuyo propósito es incluir a cualquier entidad, órgano, organismo, o persona natural que desempeñe funciones públicas o administre recursos públicos. También son sujetos obligados las empresas públicas, las </w:t>
      </w:r>
      <w:r w:rsidRPr="00BD40F9">
        <w:rPr>
          <w:rFonts w:ascii="Arial" w:eastAsia="Arial MT" w:hAnsi="Arial" w:cs="Arial"/>
          <w:lang w:val="es-ES"/>
        </w:rPr>
        <w:lastRenderedPageBreak/>
        <w:t>empresas del Estado y las sociedades en las que el Estado tenga participación, sin que importe su monto</w:t>
      </w:r>
      <w:r>
        <w:rPr>
          <w:rFonts w:ascii="Arial" w:eastAsia="Arial MT" w:hAnsi="Arial" w:cs="Arial"/>
          <w:lang w:val="es-ES"/>
        </w:rPr>
        <w:t xml:space="preserve">. </w:t>
      </w:r>
    </w:p>
    <w:p w14:paraId="4599CE5C" w14:textId="77777777" w:rsidR="00C865A9" w:rsidRPr="00F40A5B" w:rsidRDefault="00C865A9" w:rsidP="00575697">
      <w:pPr>
        <w:spacing w:after="120" w:line="276" w:lineRule="auto"/>
        <w:ind w:firstLine="709"/>
        <w:jc w:val="both"/>
        <w:rPr>
          <w:rFonts w:ascii="Arial" w:eastAsia="Calibri" w:hAnsi="Arial" w:cs="Arial"/>
          <w:color w:val="000000" w:themeColor="text1"/>
          <w:szCs w:val="24"/>
          <w:lang w:val="es-ES_tradnl" w:eastAsia="es-ES_tradnl"/>
        </w:rPr>
      </w:pPr>
      <w:r>
        <w:rPr>
          <w:rFonts w:ascii="Arial" w:hAnsi="Arial" w:cs="Arial"/>
          <w:color w:val="000000" w:themeColor="text1"/>
          <w:lang w:val="es-ES_tradnl"/>
        </w:rPr>
        <w:t xml:space="preserve">La anterior </w:t>
      </w:r>
      <w:r w:rsidRPr="00F40A5B">
        <w:rPr>
          <w:rFonts w:ascii="Arial" w:hAnsi="Arial" w:cs="Arial"/>
          <w:color w:val="000000" w:themeColor="text1"/>
          <w:lang w:val="es-ES_tradnl"/>
        </w:rPr>
        <w:t>obligación fue desarrollada por el Decreto Único Reglamentario 1081 de 2015</w:t>
      </w:r>
      <w:r w:rsidRPr="00F40A5B">
        <w:rPr>
          <w:rFonts w:ascii="Arial" w:hAnsi="Arial" w:cs="Arial"/>
          <w:color w:val="000000" w:themeColor="text1"/>
          <w:vertAlign w:val="superscript"/>
          <w:lang w:val="es-ES_tradnl"/>
        </w:rPr>
        <w:footnoteReference w:id="21"/>
      </w:r>
      <w:r w:rsidRPr="00F40A5B">
        <w:rPr>
          <w:rFonts w:ascii="Arial" w:hAnsi="Arial" w:cs="Arial"/>
          <w:color w:val="000000" w:themeColor="text1"/>
          <w:lang w:val="es-ES_tradnl"/>
        </w:rPr>
        <w:t xml:space="preserve">, el cual dispuso que la publicación de la información contractual de los sujetos obligados, que contratan con cargo a recursos públicos, debe hacerse en el Sistema Electrónico para la Contratación Pública </w:t>
      </w:r>
      <w:r>
        <w:rPr>
          <w:rFonts w:ascii="Arial" w:hAnsi="Arial" w:cs="Arial"/>
          <w:color w:val="000000" w:themeColor="text1"/>
          <w:lang w:val="es-ES_tradnl"/>
        </w:rPr>
        <w:t>−</w:t>
      </w:r>
      <w:r w:rsidRPr="00F40A5B">
        <w:rPr>
          <w:rFonts w:ascii="Arial" w:hAnsi="Arial" w:cs="Arial"/>
          <w:color w:val="000000" w:themeColor="text1"/>
          <w:lang w:val="es-ES_tradnl"/>
        </w:rPr>
        <w:t>SECOP–.</w:t>
      </w:r>
      <w:r>
        <w:rPr>
          <w:rFonts w:ascii="Arial" w:hAnsi="Arial" w:cs="Arial"/>
          <w:color w:val="000000" w:themeColor="text1"/>
          <w:lang w:val="es-ES_tradnl"/>
        </w:rPr>
        <w:t xml:space="preserve"> </w:t>
      </w:r>
    </w:p>
    <w:p w14:paraId="5E8C13DE" w14:textId="77777777" w:rsidR="00EB1D47" w:rsidRPr="00D807DF" w:rsidRDefault="00EB1D47" w:rsidP="00EB1D47">
      <w:pPr>
        <w:spacing w:after="120" w:line="276" w:lineRule="auto"/>
        <w:ind w:firstLine="709"/>
        <w:jc w:val="both"/>
        <w:rPr>
          <w:rFonts w:ascii="Arial" w:hAnsi="Arial" w:cs="Arial"/>
          <w:color w:val="000000" w:themeColor="text1"/>
          <w:lang w:val="es-ES_tradnl"/>
        </w:rPr>
      </w:pPr>
      <w:r w:rsidRPr="00D807DF">
        <w:rPr>
          <w:rFonts w:ascii="Arial" w:hAnsi="Arial" w:cs="Arial"/>
          <w:color w:val="000000" w:themeColor="text1"/>
          <w:lang w:val="es-ES_tradnl"/>
        </w:rPr>
        <w:t xml:space="preserve">Así 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r w:rsidRPr="00D807DF">
        <w:rPr>
          <w:rFonts w:ascii="Arial" w:eastAsia="Calibri" w:hAnsi="Arial" w:cs="Arial"/>
          <w:color w:val="000000" w:themeColor="text1"/>
          <w:lang w:val="es-ES_tradnl"/>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D807DF">
        <w:rPr>
          <w:rStyle w:val="Refdenotaalpie"/>
          <w:rFonts w:ascii="Arial" w:eastAsia="Calibri" w:hAnsi="Arial" w:cs="Arial"/>
          <w:color w:val="000000" w:themeColor="text1"/>
          <w:lang w:val="es-ES_tradnl"/>
        </w:rPr>
        <w:footnoteReference w:id="22"/>
      </w:r>
      <w:r w:rsidRPr="00D807DF">
        <w:rPr>
          <w:rFonts w:ascii="Arial" w:eastAsia="Calibri" w:hAnsi="Arial" w:cs="Arial"/>
          <w:color w:val="000000" w:themeColor="text1"/>
          <w:lang w:val="es-ES_tradnl"/>
        </w:rPr>
        <w:t>.</w:t>
      </w:r>
    </w:p>
    <w:p w14:paraId="3EE321E3" w14:textId="77777777" w:rsidR="00EB1D47" w:rsidRPr="00D807DF" w:rsidRDefault="00EB1D47" w:rsidP="00EB1D47">
      <w:pPr>
        <w:spacing w:after="120" w:line="276" w:lineRule="auto"/>
        <w:ind w:firstLine="709"/>
        <w:jc w:val="both"/>
        <w:rPr>
          <w:rFonts w:ascii="Arial" w:hAnsi="Arial" w:cs="Arial"/>
          <w:color w:val="000000" w:themeColor="text1"/>
          <w:lang w:val="es-ES_tradnl"/>
        </w:rPr>
      </w:pPr>
      <w:r w:rsidRPr="00D807DF">
        <w:rPr>
          <w:rFonts w:ascii="Arial" w:hAnsi="Arial" w:cs="Arial"/>
          <w:color w:val="000000" w:themeColor="text1"/>
          <w:lang w:val="es-ES_tradnl"/>
        </w:rPr>
        <w:t>La Circular Externa Única expedida por la Agencia Nacional de Contratación Pública - Colombia Compra Eficiente estableció que todas las entidades del Estado tienen el deber de publicar oportunamente la información oficial de la contratación en el SECOP, sin distinción de su régimen jurídico, naturaleza jurídica o la pertenencia a una u otra rama del poder público</w:t>
      </w:r>
      <w:r w:rsidRPr="00D807DF">
        <w:rPr>
          <w:rStyle w:val="Refdenotaalpie"/>
          <w:rFonts w:ascii="Arial" w:hAnsi="Arial" w:cs="Arial"/>
          <w:color w:val="000000" w:themeColor="text1"/>
          <w:lang w:val="es-ES_tradnl"/>
        </w:rPr>
        <w:footnoteReference w:id="23"/>
      </w:r>
      <w:r w:rsidRPr="00D807DF">
        <w:rPr>
          <w:rFonts w:ascii="Arial" w:hAnsi="Arial" w:cs="Arial"/>
          <w:color w:val="000000" w:themeColor="text1"/>
          <w:lang w:val="es-ES_tradnl"/>
        </w:rPr>
        <w:t xml:space="preserve">. Además, esta circular en el numeral 1.1., estableció, que «A partir del 18 de julio de 2022, las Entidades Estatales que por disposición legal cuenten con un régimen contractual excepcional al del Estatuto General de Contratación de la Administración Pública, deberán publicar en el SECOP II todos los documentos relacionados con su </w:t>
      </w:r>
      <w:r w:rsidRPr="00D807DF">
        <w:rPr>
          <w:rFonts w:ascii="Arial" w:hAnsi="Arial" w:cs="Arial"/>
          <w:color w:val="000000" w:themeColor="text1"/>
          <w:lang w:val="es-ES_tradnl"/>
        </w:rPr>
        <w:lastRenderedPageBreak/>
        <w:t>actividad contractual, de conformidad con lo señalado en el artículo 53 de la Ley 2195 de 2022»</w:t>
      </w:r>
      <w:r w:rsidRPr="00D807DF">
        <w:rPr>
          <w:rStyle w:val="Refdenotaalpie"/>
          <w:rFonts w:ascii="Arial" w:hAnsi="Arial" w:cs="Arial"/>
          <w:color w:val="000000" w:themeColor="text1"/>
          <w:lang w:val="es-ES_tradnl"/>
        </w:rPr>
        <w:footnoteReference w:id="24"/>
      </w:r>
      <w:r w:rsidRPr="00D807DF">
        <w:rPr>
          <w:rFonts w:ascii="Arial" w:hAnsi="Arial" w:cs="Arial"/>
          <w:color w:val="000000" w:themeColor="text1"/>
          <w:lang w:val="es-ES_tradnl"/>
        </w:rPr>
        <w:t>.</w:t>
      </w:r>
    </w:p>
    <w:p w14:paraId="01404DD2" w14:textId="77777777" w:rsidR="00416D5F" w:rsidRPr="00F40A5B" w:rsidRDefault="00416D5F" w:rsidP="00416D5F">
      <w:pPr>
        <w:spacing w:before="120" w:after="0" w:line="276" w:lineRule="auto"/>
        <w:ind w:firstLine="709"/>
        <w:jc w:val="both"/>
        <w:rPr>
          <w:rFonts w:ascii="Arial" w:eastAsia="Times New Roman" w:hAnsi="Arial" w:cs="Arial"/>
          <w:color w:val="000000" w:themeColor="text1"/>
          <w:szCs w:val="24"/>
          <w:lang w:val="es-ES_tradnl" w:eastAsia="es-ES_tradnl"/>
        </w:rPr>
      </w:pPr>
      <w:r w:rsidRPr="00F40A5B">
        <w:rPr>
          <w:rFonts w:ascii="Arial" w:eastAsia="Times New Roman" w:hAnsi="Arial" w:cs="Arial"/>
          <w:color w:val="000000" w:themeColor="text1"/>
          <w:szCs w:val="24"/>
          <w:lang w:val="es-ES_tradnl" w:eastAsia="es-ES_tradnl"/>
        </w:rPr>
        <w:t>El debate sobre la obligatoriedad o no de publicar en el SECOP, para las entidades con régimen especial de contratación, había sido definido, al menos de manera preliminar, por el Consejo de Estado. En este sentido, la Sección Tercera, Subsección C, en el Auto del 14 de agosto de 2017</w:t>
      </w:r>
      <w:r w:rsidRPr="00F40A5B">
        <w:rPr>
          <w:rFonts w:ascii="Arial" w:eastAsia="Times New Roman" w:hAnsi="Arial" w:cs="Arial"/>
          <w:color w:val="000000" w:themeColor="text1"/>
          <w:szCs w:val="24"/>
          <w:vertAlign w:val="superscript"/>
          <w:lang w:val="es-ES_tradnl" w:eastAsia="es-ES_tradnl"/>
        </w:rPr>
        <w:footnoteReference w:id="25"/>
      </w:r>
      <w:r w:rsidRPr="00F40A5B">
        <w:rPr>
          <w:rFonts w:ascii="Arial" w:eastAsia="Times New Roman" w:hAnsi="Arial" w:cs="Arial"/>
          <w:color w:val="000000" w:themeColor="text1"/>
          <w:szCs w:val="24"/>
          <w:lang w:val="es-ES_tradnl" w:eastAsia="es-ES_tradnl"/>
        </w:rPr>
        <w:t>, expresó que la obligación prevista en la Circular Externa No. 1 se ajusta a la normativa superior, en los siguientes términos:</w:t>
      </w:r>
    </w:p>
    <w:p w14:paraId="1AF62B10" w14:textId="77777777" w:rsidR="00416D5F" w:rsidRPr="00F40A5B" w:rsidRDefault="00416D5F" w:rsidP="00416D5F">
      <w:pPr>
        <w:spacing w:after="0" w:line="276" w:lineRule="auto"/>
        <w:jc w:val="both"/>
        <w:rPr>
          <w:rFonts w:ascii="Arial" w:eastAsia="Times New Roman" w:hAnsi="Arial" w:cs="Arial"/>
          <w:color w:val="000000" w:themeColor="text1"/>
          <w:szCs w:val="24"/>
          <w:lang w:val="es-ES_tradnl" w:eastAsia="es-ES_tradnl"/>
        </w:rPr>
      </w:pPr>
    </w:p>
    <w:p w14:paraId="70DEBA03" w14:textId="77777777" w:rsidR="00416D5F" w:rsidRPr="00F40A5B" w:rsidRDefault="00416D5F" w:rsidP="00416D5F">
      <w:pPr>
        <w:tabs>
          <w:tab w:val="left" w:pos="3885"/>
        </w:tabs>
        <w:spacing w:after="120" w:line="240" w:lineRule="auto"/>
        <w:ind w:left="709" w:right="709"/>
        <w:jc w:val="both"/>
        <w:rPr>
          <w:rFonts w:ascii="Arial" w:eastAsia="Times New Roman" w:hAnsi="Arial" w:cs="Arial"/>
          <w:color w:val="000000" w:themeColor="text1"/>
          <w:sz w:val="21"/>
          <w:szCs w:val="21"/>
          <w:lang w:val="es-ES_tradnl" w:eastAsia="es-ES_tradnl"/>
        </w:rPr>
      </w:pPr>
      <w:r w:rsidRPr="00F40A5B">
        <w:rPr>
          <w:rFonts w:ascii="Arial" w:eastAsia="Times New Roman" w:hAnsi="Arial" w:cs="Arial"/>
          <w:color w:val="000000" w:themeColor="text1"/>
          <w:sz w:val="21"/>
          <w:szCs w:val="21"/>
          <w:lang w:val="es-ES_tradnl" w:eastAsia="es-ES_tradnl"/>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2B92E915" w14:textId="77777777" w:rsidR="00416D5F" w:rsidRPr="00F40A5B" w:rsidRDefault="00416D5F" w:rsidP="00416D5F">
      <w:pPr>
        <w:tabs>
          <w:tab w:val="left" w:pos="3885"/>
        </w:tabs>
        <w:spacing w:after="0" w:line="240" w:lineRule="auto"/>
        <w:ind w:left="709" w:right="709"/>
        <w:jc w:val="both"/>
        <w:rPr>
          <w:rFonts w:ascii="Arial" w:eastAsia="Times New Roman" w:hAnsi="Arial" w:cs="Arial"/>
          <w:color w:val="000000" w:themeColor="text1"/>
          <w:sz w:val="21"/>
          <w:szCs w:val="21"/>
          <w:lang w:val="es-ES_tradnl" w:eastAsia="es-ES_tradnl"/>
        </w:rPr>
      </w:pPr>
      <w:r w:rsidRPr="00F40A5B">
        <w:rPr>
          <w:rFonts w:ascii="Arial" w:eastAsia="Times New Roman" w:hAnsi="Arial" w:cs="Arial"/>
          <w:color w:val="000000" w:themeColor="text1"/>
          <w:sz w:val="21"/>
          <w:szCs w:val="21"/>
          <w:lang w:val="es-ES_tradnl" w:eastAsia="es-ES_tradnl"/>
        </w:rPr>
        <w:t>11.5. ─Y es que, si se quiere en términos más detallados el literal c) del artículo 3o de la Ley en comento responde claramente las siguientes inquietudes: ¿Quiénes están obligados? los que realizan contratación con dineros públicos; ¿</w:t>
      </w:r>
      <w:proofErr w:type="gramStart"/>
      <w:r w:rsidRPr="00F40A5B">
        <w:rPr>
          <w:rFonts w:ascii="Arial" w:eastAsia="Times New Roman" w:hAnsi="Arial" w:cs="Arial"/>
          <w:color w:val="000000" w:themeColor="text1"/>
          <w:sz w:val="21"/>
          <w:szCs w:val="21"/>
          <w:lang w:val="es-ES_tradnl" w:eastAsia="es-ES_tradnl"/>
        </w:rPr>
        <w:t>en razón de</w:t>
      </w:r>
      <w:proofErr w:type="gramEnd"/>
      <w:r w:rsidRPr="00F40A5B">
        <w:rPr>
          <w:rFonts w:ascii="Arial" w:eastAsia="Times New Roman" w:hAnsi="Arial" w:cs="Arial"/>
          <w:color w:val="000000" w:themeColor="text1"/>
          <w:sz w:val="21"/>
          <w:szCs w:val="21"/>
          <w:lang w:val="es-ES_tradnl" w:eastAsia="es-ES_tradnl"/>
        </w:rPr>
        <w:t xml:space="preserv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otras fuentes. ¿Dónde se debe surtir ese deber de información? Por conducto del sistema electrónico SECOP.</w:t>
      </w:r>
    </w:p>
    <w:p w14:paraId="3E04A0B9" w14:textId="77777777" w:rsidR="00416D5F" w:rsidRPr="00F40A5B" w:rsidRDefault="00416D5F" w:rsidP="00416D5F">
      <w:pPr>
        <w:tabs>
          <w:tab w:val="left" w:pos="3885"/>
        </w:tabs>
        <w:spacing w:after="120" w:line="240" w:lineRule="auto"/>
        <w:ind w:left="709" w:right="709"/>
        <w:jc w:val="both"/>
        <w:rPr>
          <w:rFonts w:ascii="Arial" w:eastAsia="Times New Roman" w:hAnsi="Arial" w:cs="Arial"/>
          <w:color w:val="000000" w:themeColor="text1"/>
          <w:sz w:val="21"/>
          <w:szCs w:val="21"/>
          <w:lang w:val="es-ES_tradnl" w:eastAsia="es-ES_tradnl"/>
        </w:rPr>
      </w:pPr>
      <w:r w:rsidRPr="00F40A5B">
        <w:rPr>
          <w:rFonts w:ascii="Arial" w:eastAsia="Times New Roman" w:hAnsi="Arial" w:cs="Arial"/>
          <w:color w:val="000000" w:themeColor="text1"/>
          <w:sz w:val="21"/>
          <w:szCs w:val="21"/>
          <w:lang w:val="es-ES_tradnl" w:eastAsia="es-ES_tradnl"/>
        </w:rPr>
        <w:t>[…]</w:t>
      </w:r>
    </w:p>
    <w:p w14:paraId="5296A7BB" w14:textId="77777777" w:rsidR="00416D5F" w:rsidRPr="00F40A5B" w:rsidRDefault="00416D5F" w:rsidP="00416D5F">
      <w:pPr>
        <w:tabs>
          <w:tab w:val="left" w:pos="3885"/>
        </w:tabs>
        <w:spacing w:after="0" w:line="240" w:lineRule="auto"/>
        <w:ind w:left="709" w:right="709"/>
        <w:jc w:val="both"/>
        <w:rPr>
          <w:rFonts w:ascii="Arial" w:eastAsia="Times New Roman" w:hAnsi="Arial" w:cs="Arial"/>
          <w:color w:val="000000" w:themeColor="text1"/>
          <w:sz w:val="21"/>
          <w:szCs w:val="21"/>
          <w:lang w:val="es-ES_tradnl" w:eastAsia="es-ES_tradnl"/>
        </w:rPr>
      </w:pPr>
      <w:r w:rsidRPr="00F40A5B">
        <w:rPr>
          <w:rFonts w:ascii="Arial" w:eastAsia="Times New Roman" w:hAnsi="Arial" w:cs="Arial"/>
          <w:color w:val="000000" w:themeColor="text1"/>
          <w:sz w:val="21"/>
          <w:szCs w:val="21"/>
          <w:lang w:val="es-ES_tradnl" w:eastAsia="es-ES_tradnl"/>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F40A5B">
        <w:rPr>
          <w:rFonts w:ascii="Arial" w:eastAsia="Times New Roman" w:hAnsi="Arial" w:cs="Arial"/>
          <w:color w:val="000000" w:themeColor="text1"/>
          <w:sz w:val="21"/>
          <w:szCs w:val="21"/>
          <w:vertAlign w:val="superscript"/>
          <w:lang w:val="es-ES_tradnl" w:eastAsia="es-ES_tradnl"/>
        </w:rPr>
        <w:footnoteReference w:id="26"/>
      </w:r>
      <w:r w:rsidRPr="00F40A5B">
        <w:rPr>
          <w:rFonts w:ascii="Arial" w:eastAsia="Times New Roman" w:hAnsi="Arial" w:cs="Arial"/>
          <w:color w:val="000000" w:themeColor="text1"/>
          <w:sz w:val="21"/>
          <w:szCs w:val="21"/>
          <w:lang w:val="es-ES_tradnl" w:eastAsia="es-ES_tradnl"/>
        </w:rPr>
        <w:t>.</w:t>
      </w:r>
    </w:p>
    <w:p w14:paraId="78AD988E" w14:textId="77777777" w:rsidR="00416D5F" w:rsidRPr="00F40A5B" w:rsidRDefault="00416D5F" w:rsidP="00416D5F">
      <w:pPr>
        <w:tabs>
          <w:tab w:val="left" w:pos="3885"/>
        </w:tabs>
        <w:spacing w:after="0" w:line="276" w:lineRule="auto"/>
        <w:ind w:left="709" w:right="709"/>
        <w:jc w:val="both"/>
        <w:rPr>
          <w:rFonts w:ascii="Arial" w:eastAsia="Calibri" w:hAnsi="Arial" w:cs="Arial"/>
          <w:color w:val="000000" w:themeColor="text1"/>
          <w:szCs w:val="24"/>
          <w:lang w:val="es-ES_tradnl" w:eastAsia="es-ES_tradnl"/>
        </w:rPr>
      </w:pPr>
    </w:p>
    <w:p w14:paraId="36C287CE" w14:textId="77777777" w:rsidR="00416D5F" w:rsidRPr="00F40A5B" w:rsidRDefault="00416D5F" w:rsidP="00416D5F">
      <w:pPr>
        <w:spacing w:after="0" w:line="276" w:lineRule="auto"/>
        <w:ind w:firstLine="708"/>
        <w:jc w:val="both"/>
        <w:rPr>
          <w:rFonts w:ascii="Arial" w:eastAsia="Times New Roman" w:hAnsi="Arial" w:cs="Arial"/>
          <w:color w:val="000000" w:themeColor="text1"/>
          <w:szCs w:val="24"/>
          <w:lang w:val="es-ES_tradnl" w:eastAsia="es-ES_tradnl"/>
        </w:rPr>
      </w:pPr>
      <w:r w:rsidRPr="00F40A5B">
        <w:rPr>
          <w:rFonts w:ascii="Arial" w:eastAsia="Times New Roman" w:hAnsi="Arial" w:cs="Arial"/>
          <w:color w:val="000000" w:themeColor="text1"/>
          <w:szCs w:val="24"/>
          <w:lang w:val="es-ES_tradnl" w:eastAsia="es-ES_tradnl"/>
        </w:rPr>
        <w:lastRenderedPageBreak/>
        <w:t xml:space="preserve">Adicionalmente, la publicación de la información contractual oficial no se determina por la naturaleza de la entidad ejecutora </w:t>
      </w:r>
      <w:r>
        <w:rPr>
          <w:rFonts w:ascii="Arial" w:eastAsia="Times New Roman" w:hAnsi="Arial" w:cs="Arial"/>
          <w:color w:val="000000" w:themeColor="text1"/>
          <w:szCs w:val="24"/>
          <w:lang w:val="es-ES_tradnl" w:eastAsia="es-ES_tradnl"/>
        </w:rPr>
        <w:t>−</w:t>
      </w:r>
      <w:r w:rsidRPr="00F40A5B">
        <w:rPr>
          <w:rFonts w:ascii="Arial" w:eastAsia="Times New Roman" w:hAnsi="Arial" w:cs="Arial"/>
          <w:color w:val="000000" w:themeColor="text1"/>
          <w:szCs w:val="24"/>
          <w:lang w:val="es-ES_tradnl" w:eastAsia="es-ES_tradnl"/>
        </w:rPr>
        <w:t>pública o privada</w:t>
      </w:r>
      <w:r>
        <w:rPr>
          <w:rFonts w:ascii="Arial" w:eastAsia="Times New Roman" w:hAnsi="Arial" w:cs="Arial"/>
          <w:color w:val="000000" w:themeColor="text1"/>
          <w:szCs w:val="24"/>
          <w:lang w:val="es-ES_tradnl" w:eastAsia="es-ES_tradnl"/>
        </w:rPr>
        <w:t>−</w:t>
      </w:r>
      <w:r w:rsidRPr="00F40A5B">
        <w:rPr>
          <w:rFonts w:ascii="Arial" w:eastAsia="Times New Roman" w:hAnsi="Arial" w:cs="Arial"/>
          <w:color w:val="000000" w:themeColor="text1"/>
          <w:szCs w:val="24"/>
          <w:lang w:val="es-ES_tradnl" w:eastAsia="es-ES_tradnl"/>
        </w:rPr>
        <w:t xml:space="preserve">, ni por el régimen sustantivo contractual que aplique, sea la Ley 80 de 1993 o un régimen exceptuado. En particular, sobre el deber de publicidad de las entidades con régimen especial, el Consejo de Estado sostuvo: </w:t>
      </w:r>
    </w:p>
    <w:p w14:paraId="5FE0CC5D" w14:textId="77777777" w:rsidR="00416D5F" w:rsidRPr="00F40A5B" w:rsidRDefault="00416D5F" w:rsidP="00416D5F">
      <w:pPr>
        <w:spacing w:after="0" w:line="240" w:lineRule="auto"/>
        <w:ind w:leftChars="709" w:left="1560" w:right="709" w:firstLine="2"/>
        <w:jc w:val="both"/>
        <w:rPr>
          <w:rFonts w:ascii="Arial" w:eastAsia="Times New Roman" w:hAnsi="Arial" w:cs="Arial"/>
          <w:color w:val="000000" w:themeColor="text1"/>
          <w:sz w:val="21"/>
          <w:szCs w:val="21"/>
          <w:lang w:val="es-ES_tradnl" w:eastAsia="es-ES_tradnl"/>
        </w:rPr>
      </w:pPr>
    </w:p>
    <w:p w14:paraId="4E0D0684" w14:textId="77777777" w:rsidR="00416D5F" w:rsidRPr="00F40A5B" w:rsidRDefault="00416D5F" w:rsidP="00416D5F">
      <w:pPr>
        <w:spacing w:after="0" w:line="240" w:lineRule="auto"/>
        <w:ind w:left="709" w:right="709"/>
        <w:jc w:val="both"/>
        <w:rPr>
          <w:rFonts w:ascii="Arial" w:eastAsia="Times New Roman" w:hAnsi="Arial" w:cs="Arial"/>
          <w:color w:val="000000" w:themeColor="text1"/>
          <w:sz w:val="21"/>
          <w:szCs w:val="21"/>
          <w:lang w:val="es-ES_tradnl" w:eastAsia="es-ES_tradnl"/>
        </w:rPr>
      </w:pPr>
      <w:r w:rsidRPr="00F40A5B">
        <w:rPr>
          <w:rFonts w:ascii="Arial" w:eastAsia="Times New Roman" w:hAnsi="Arial" w:cs="Arial"/>
          <w:color w:val="000000" w:themeColor="text1"/>
          <w:sz w:val="21"/>
          <w:szCs w:val="21"/>
          <w:lang w:val="es-ES_tradnl" w:eastAsia="es-ES_tradnl"/>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r w:rsidRPr="00F40A5B">
        <w:rPr>
          <w:rFonts w:ascii="Arial" w:eastAsia="Times New Roman" w:hAnsi="Arial" w:cs="Arial"/>
          <w:color w:val="000000" w:themeColor="text1"/>
          <w:sz w:val="21"/>
          <w:szCs w:val="21"/>
          <w:vertAlign w:val="superscript"/>
          <w:lang w:val="es-ES_tradnl" w:eastAsia="es-ES_tradnl"/>
        </w:rPr>
        <w:footnoteReference w:id="27"/>
      </w:r>
      <w:r w:rsidRPr="00F40A5B">
        <w:rPr>
          <w:rFonts w:ascii="Arial" w:eastAsia="Times New Roman" w:hAnsi="Arial" w:cs="Arial"/>
          <w:color w:val="000000" w:themeColor="text1"/>
          <w:sz w:val="21"/>
          <w:szCs w:val="21"/>
          <w:lang w:val="es-ES_tradnl" w:eastAsia="es-ES_tradnl"/>
        </w:rPr>
        <w:t>.</w:t>
      </w:r>
    </w:p>
    <w:p w14:paraId="64BFE405" w14:textId="77777777" w:rsidR="00416D5F" w:rsidRPr="00F40A5B" w:rsidRDefault="00416D5F" w:rsidP="00416D5F">
      <w:pPr>
        <w:spacing w:after="0" w:line="276" w:lineRule="auto"/>
        <w:ind w:leftChars="709" w:left="1560" w:right="709"/>
        <w:jc w:val="both"/>
        <w:rPr>
          <w:rFonts w:ascii="Arial" w:eastAsia="Times New Roman" w:hAnsi="Arial" w:cs="Arial"/>
          <w:color w:val="000000" w:themeColor="text1"/>
          <w:sz w:val="21"/>
          <w:szCs w:val="21"/>
          <w:lang w:val="es-ES_tradnl" w:eastAsia="es-ES_tradnl"/>
        </w:rPr>
      </w:pPr>
    </w:p>
    <w:p w14:paraId="309B8D80" w14:textId="77777777" w:rsidR="00416D5F" w:rsidRDefault="00416D5F" w:rsidP="00416D5F">
      <w:pPr>
        <w:spacing w:after="0" w:line="276" w:lineRule="auto"/>
        <w:ind w:firstLine="708"/>
        <w:jc w:val="both"/>
        <w:rPr>
          <w:rFonts w:ascii="Arial" w:eastAsia="Times New Roman" w:hAnsi="Arial" w:cs="Arial"/>
          <w:color w:val="000000" w:themeColor="text1"/>
          <w:szCs w:val="24"/>
          <w:lang w:val="es-ES_tradnl" w:eastAsia="es-ES_tradnl"/>
        </w:rPr>
      </w:pPr>
      <w:r w:rsidRPr="00F40A5B">
        <w:rPr>
          <w:rFonts w:ascii="Arial" w:eastAsia="Times New Roman" w:hAnsi="Arial" w:cs="Arial"/>
          <w:color w:val="000000" w:themeColor="text1"/>
          <w:szCs w:val="24"/>
          <w:lang w:val="es-ES_tradnl" w:eastAsia="es-ES_tradnl"/>
        </w:rPr>
        <w:t xml:space="preserve">Nótese, entonces, que en ese momento el Consejo de Estado asumió como criterio para determinar la obligatoriedad de publicar en el SECOP que la contratación se realizara con recursos públicos, conclusión que se fundamenta en el literal c) del artículo 3 de la Ley 1150 de 2007. Así, la decisión judicial citada refuerza la obligación de publicar en el SECOP, mandato que además está expresamente consagrado en las Leyes 1150 de 2007, 1712 de 2014 y la Circular Externa Única. </w:t>
      </w:r>
    </w:p>
    <w:p w14:paraId="22E2E6FA" w14:textId="77777777" w:rsidR="00EB1D47" w:rsidRPr="00D807DF" w:rsidRDefault="00EB1D47" w:rsidP="00A42AD1">
      <w:pPr>
        <w:spacing w:after="0" w:line="276" w:lineRule="auto"/>
        <w:contextualSpacing/>
        <w:jc w:val="both"/>
        <w:rPr>
          <w:rFonts w:ascii="Arial" w:eastAsia="Calibri" w:hAnsi="Arial" w:cs="Arial"/>
          <w:b/>
          <w:bCs/>
          <w:color w:val="000000" w:themeColor="text1"/>
          <w:lang w:val="es-ES_tradnl" w:eastAsia="es-ES_tradnl"/>
        </w:rPr>
      </w:pPr>
    </w:p>
    <w:p w14:paraId="2DD89DDA" w14:textId="77777777" w:rsidR="00EB1D47" w:rsidRPr="00D807DF" w:rsidRDefault="00EB1D47" w:rsidP="00EB1D47">
      <w:pPr>
        <w:spacing w:after="0"/>
        <w:jc w:val="both"/>
        <w:rPr>
          <w:rFonts w:ascii="Arial" w:hAnsi="Arial" w:cs="Arial"/>
          <w:b/>
          <w:bCs/>
          <w:iCs/>
          <w:color w:val="000000" w:themeColor="text1"/>
          <w:lang w:val="es-ES_tradnl"/>
        </w:rPr>
      </w:pPr>
      <w:r w:rsidRPr="006D6D69">
        <w:rPr>
          <w:rFonts w:ascii="Arial" w:eastAsia="Calibri" w:hAnsi="Arial" w:cs="Arial"/>
          <w:b/>
          <w:bCs/>
          <w:color w:val="000000" w:themeColor="text1"/>
          <w:lang w:val="es-ES_tradnl" w:eastAsia="es-ES_tradnl"/>
        </w:rPr>
        <w:t xml:space="preserve">2.4. </w:t>
      </w:r>
      <w:r w:rsidRPr="006D6D69">
        <w:rPr>
          <w:rFonts w:ascii="Arial" w:eastAsia="Times New Roman" w:hAnsi="Arial" w:cs="Arial"/>
          <w:b/>
          <w:bCs/>
          <w:iCs/>
          <w:color w:val="000000" w:themeColor="text1"/>
          <w:lang w:val="es-ES_tradnl" w:eastAsia="es-ES_tradnl"/>
        </w:rPr>
        <w:t xml:space="preserve">Deber de las entidades estatales exceptuadas del Estatuto General de Contratación de la Administración Pública, de publicar los documentos relacionados con su actividad contractual en el SECOP II. </w:t>
      </w:r>
      <w:r w:rsidRPr="006D6D69">
        <w:rPr>
          <w:rFonts w:ascii="Arial" w:hAnsi="Arial" w:cs="Arial"/>
          <w:b/>
          <w:bCs/>
          <w:iCs/>
          <w:color w:val="000000" w:themeColor="text1"/>
          <w:lang w:val="es-ES_tradnl"/>
        </w:rPr>
        <w:t>Modificación introducida por el artículo 53 de la Ley 2195 de 2022</w:t>
      </w:r>
    </w:p>
    <w:p w14:paraId="01FC2D5E" w14:textId="525EC258" w:rsidR="00B061A3" w:rsidRPr="00D807DF" w:rsidRDefault="00B061A3" w:rsidP="00A42AD1">
      <w:pPr>
        <w:spacing w:after="0" w:line="276" w:lineRule="auto"/>
        <w:contextualSpacing/>
        <w:jc w:val="both"/>
        <w:rPr>
          <w:rFonts w:ascii="Arial" w:eastAsia="Calibri" w:hAnsi="Arial" w:cs="Arial"/>
          <w:b/>
          <w:bCs/>
          <w:color w:val="000000" w:themeColor="text1"/>
          <w:lang w:val="es-ES_tradnl" w:eastAsia="es-ES_tradnl"/>
        </w:rPr>
      </w:pPr>
    </w:p>
    <w:p w14:paraId="52B37836" w14:textId="77777777" w:rsidR="00EB1D47" w:rsidRPr="00D807DF" w:rsidRDefault="00EB1D47" w:rsidP="00EB1D47">
      <w:pPr>
        <w:spacing w:after="0" w:line="276" w:lineRule="auto"/>
        <w:contextualSpacing/>
        <w:jc w:val="both"/>
        <w:rPr>
          <w:rFonts w:ascii="Arial" w:hAnsi="Arial" w:cs="Arial"/>
          <w:color w:val="000000" w:themeColor="text1"/>
        </w:rPr>
      </w:pPr>
      <w:bookmarkStart w:id="3" w:name="_Hlk109111930"/>
      <w:r w:rsidRPr="00D807DF">
        <w:rPr>
          <w:rFonts w:ascii="Arial" w:hAnsi="Arial" w:cs="Arial"/>
          <w:color w:val="000000" w:themeColor="text1"/>
        </w:rPr>
        <w:t xml:space="preserve">La Ley 2195 de 2022, por medio de la cual se adoptan medidas en materia de transparencia, prevención y lucha contra la corrupción, dispone en </w:t>
      </w:r>
      <w:r w:rsidRPr="00D807DF">
        <w:rPr>
          <w:rFonts w:ascii="Arial" w:eastAsia="Calibri" w:hAnsi="Arial" w:cs="Arial"/>
          <w:color w:val="000000" w:themeColor="text1"/>
          <w:lang w:val="es-ES_tradnl" w:eastAsia="es-ES_tradnl"/>
        </w:rPr>
        <w:t>su artículo 1, que esta Ley «</w:t>
      </w:r>
      <w:r w:rsidRPr="00D807DF">
        <w:rPr>
          <w:rFonts w:ascii="Arial" w:eastAsia="Times New Roman" w:hAnsi="Arial" w:cs="Arial"/>
          <w:color w:val="000000" w:themeColor="text1"/>
          <w:lang w:val="es-ES_tradnl" w:eastAsia="es-ES_tradnl"/>
        </w:rPr>
        <w:t xml:space="preserve">[…] </w:t>
      </w:r>
      <w:r w:rsidRPr="00D807DF">
        <w:rPr>
          <w:rFonts w:ascii="Arial" w:eastAsia="Calibri" w:hAnsi="Arial" w:cs="Arial"/>
          <w:color w:val="000000" w:themeColor="text1"/>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esta Ley, que lleva por título «Disposiciones en materia contractual para la moralización y la transparencia», se ubica </w:t>
      </w:r>
      <w:r w:rsidRPr="00D807DF">
        <w:rPr>
          <w:rFonts w:ascii="Arial" w:hAnsi="Arial" w:cs="Arial"/>
          <w:color w:val="000000" w:themeColor="text1"/>
        </w:rPr>
        <w:t xml:space="preserve">el artículo 53, mediante el cual se adiciona el artículo 13 de la </w:t>
      </w:r>
      <w:r w:rsidRPr="00D807DF">
        <w:rPr>
          <w:rFonts w:ascii="Arial" w:hAnsi="Arial" w:cs="Arial"/>
          <w:color w:val="000000" w:themeColor="text1"/>
        </w:rPr>
        <w:lastRenderedPageBreak/>
        <w:t xml:space="preserve">Ley 1150 de 2007. La referida disposición les asigna la obligación a las entidades estatales que por disposición legal cuenten con un régimen contractual excepcional al del Estatuto General de Contratación de la Administración Pública de publicar los documentos relacionados con su actividad contractual en el Sistema Electrónico para la Contratación Pública –SECOP II- o la plataforma transaccional que haga sus veces. </w:t>
      </w:r>
      <w:bookmarkEnd w:id="3"/>
      <w:r w:rsidRPr="00D807DF">
        <w:rPr>
          <w:rFonts w:ascii="Arial" w:hAnsi="Arial" w:cs="Arial"/>
          <w:color w:val="000000" w:themeColor="text1"/>
        </w:rPr>
        <w:t>Al respecto, la norma citada, de manera expresa, señala:</w:t>
      </w:r>
    </w:p>
    <w:p w14:paraId="4A1786E9" w14:textId="77777777" w:rsidR="00EB1D47" w:rsidRPr="00D807DF" w:rsidRDefault="00EB1D47" w:rsidP="00EB1D47">
      <w:pPr>
        <w:spacing w:after="0" w:line="240" w:lineRule="auto"/>
        <w:ind w:firstLine="301"/>
        <w:contextualSpacing/>
        <w:rPr>
          <w:rFonts w:ascii="Work Sans" w:hAnsi="Work Sans"/>
          <w:color w:val="000000" w:themeColor="text1"/>
        </w:rPr>
      </w:pPr>
    </w:p>
    <w:p w14:paraId="039F6394" w14:textId="77777777" w:rsidR="00EB1D47" w:rsidRPr="00D807DF" w:rsidRDefault="00EB1D47" w:rsidP="00EB1D47">
      <w:pPr>
        <w:spacing w:after="0" w:line="240" w:lineRule="auto"/>
        <w:ind w:left="709" w:right="709"/>
        <w:contextualSpacing/>
        <w:jc w:val="both"/>
        <w:rPr>
          <w:rFonts w:ascii="Arial" w:eastAsia="Calibri" w:hAnsi="Arial" w:cs="Arial"/>
          <w:color w:val="000000" w:themeColor="text1"/>
          <w:sz w:val="21"/>
          <w:szCs w:val="21"/>
        </w:rPr>
      </w:pPr>
      <w:r w:rsidRPr="00D807DF">
        <w:rPr>
          <w:rFonts w:ascii="Arial" w:eastAsia="Calibri" w:hAnsi="Arial" w:cs="Arial"/>
          <w:color w:val="000000" w:themeColor="text1"/>
          <w:sz w:val="21"/>
          <w:szCs w:val="21"/>
        </w:rPr>
        <w:t>Adiciónese los siguientes incisos al artículo 13 de la Ley 1150 de 2007, el cual quedará así:</w:t>
      </w:r>
    </w:p>
    <w:p w14:paraId="14BBCA75" w14:textId="77777777" w:rsidR="00EB1D47" w:rsidRPr="00D807DF" w:rsidRDefault="00EB1D47" w:rsidP="00EB1D47">
      <w:pPr>
        <w:spacing w:after="0" w:line="240" w:lineRule="auto"/>
        <w:ind w:left="709" w:right="709"/>
        <w:contextualSpacing/>
        <w:jc w:val="both"/>
        <w:rPr>
          <w:rFonts w:ascii="Arial" w:eastAsia="Calibri" w:hAnsi="Arial" w:cs="Arial"/>
          <w:color w:val="000000" w:themeColor="text1"/>
          <w:sz w:val="21"/>
          <w:szCs w:val="21"/>
        </w:rPr>
      </w:pPr>
    </w:p>
    <w:p w14:paraId="0352ABFF" w14:textId="77777777" w:rsidR="00EB1D47" w:rsidRPr="00D807DF" w:rsidRDefault="00EB1D47" w:rsidP="00EB1D47">
      <w:pPr>
        <w:spacing w:after="0" w:line="240" w:lineRule="auto"/>
        <w:ind w:left="709" w:right="709"/>
        <w:contextualSpacing/>
        <w:jc w:val="both"/>
        <w:rPr>
          <w:rFonts w:ascii="Arial" w:eastAsia="Calibri" w:hAnsi="Arial" w:cs="Arial"/>
          <w:color w:val="000000" w:themeColor="text1"/>
          <w:sz w:val="21"/>
          <w:szCs w:val="21"/>
        </w:rPr>
      </w:pPr>
      <w:r w:rsidRPr="00D807DF">
        <w:rPr>
          <w:rFonts w:ascii="Arial" w:eastAsia="Calibri" w:hAnsi="Arial" w:cs="Arial"/>
          <w:color w:val="000000" w:themeColor="text1"/>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59CFFAD" w14:textId="77777777" w:rsidR="00EB1D47" w:rsidRPr="00D807DF" w:rsidRDefault="00EB1D47" w:rsidP="00EB1D47">
      <w:pPr>
        <w:spacing w:after="0" w:line="240" w:lineRule="auto"/>
        <w:ind w:left="709" w:right="709"/>
        <w:contextualSpacing/>
        <w:jc w:val="both"/>
        <w:rPr>
          <w:rFonts w:ascii="Arial" w:eastAsia="Calibri" w:hAnsi="Arial" w:cs="Arial"/>
          <w:color w:val="000000" w:themeColor="text1"/>
          <w:sz w:val="21"/>
          <w:szCs w:val="21"/>
        </w:rPr>
      </w:pPr>
    </w:p>
    <w:p w14:paraId="43093F81" w14:textId="77777777" w:rsidR="00EB1D47" w:rsidRPr="00D807DF" w:rsidRDefault="00EB1D47" w:rsidP="00EB1D47">
      <w:pPr>
        <w:spacing w:after="0" w:line="240" w:lineRule="auto"/>
        <w:ind w:left="709" w:right="709"/>
        <w:contextualSpacing/>
        <w:jc w:val="both"/>
        <w:rPr>
          <w:rFonts w:ascii="Arial" w:eastAsia="Calibri" w:hAnsi="Arial" w:cs="Arial"/>
          <w:i/>
          <w:iCs/>
          <w:color w:val="000000" w:themeColor="text1"/>
          <w:sz w:val="21"/>
          <w:szCs w:val="21"/>
        </w:rPr>
      </w:pPr>
      <w:r w:rsidRPr="00D807DF">
        <w:rPr>
          <w:rFonts w:ascii="Arial" w:eastAsia="Calibri" w:hAnsi="Arial" w:cs="Arial"/>
          <w:i/>
          <w:iCs/>
          <w:color w:val="000000" w:themeColor="text1"/>
          <w:sz w:val="21"/>
          <w:szCs w:val="21"/>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54D6166C" w14:textId="77777777" w:rsidR="00EB1D47" w:rsidRPr="00D807DF" w:rsidRDefault="00EB1D47" w:rsidP="00EB1D47">
      <w:pPr>
        <w:spacing w:after="0" w:line="240" w:lineRule="auto"/>
        <w:ind w:left="709" w:right="709"/>
        <w:contextualSpacing/>
        <w:jc w:val="both"/>
        <w:rPr>
          <w:rFonts w:ascii="Arial" w:eastAsia="Calibri" w:hAnsi="Arial" w:cs="Arial"/>
          <w:color w:val="000000" w:themeColor="text1"/>
          <w:sz w:val="21"/>
          <w:szCs w:val="21"/>
        </w:rPr>
      </w:pPr>
    </w:p>
    <w:p w14:paraId="34270FEA" w14:textId="6C12FE62" w:rsidR="00EB1D47" w:rsidRPr="00D807DF" w:rsidRDefault="00EB1D47" w:rsidP="00EB1D47">
      <w:pPr>
        <w:spacing w:after="0" w:line="240" w:lineRule="auto"/>
        <w:ind w:left="709" w:right="709"/>
        <w:contextualSpacing/>
        <w:jc w:val="both"/>
        <w:rPr>
          <w:rFonts w:ascii="Arial" w:eastAsia="Calibri" w:hAnsi="Arial" w:cs="Arial"/>
          <w:color w:val="000000" w:themeColor="text1"/>
          <w:sz w:val="21"/>
          <w:szCs w:val="21"/>
        </w:rPr>
      </w:pPr>
      <w:r w:rsidRPr="00D807DF">
        <w:rPr>
          <w:rFonts w:ascii="Arial" w:eastAsia="Calibri" w:hAnsi="Arial" w:cs="Arial"/>
          <w:color w:val="000000" w:themeColor="text1"/>
          <w:sz w:val="21"/>
          <w:szCs w:val="21"/>
        </w:rPr>
        <w:t xml:space="preserve">A partir de la </w:t>
      </w:r>
      <w:proofErr w:type="gramStart"/>
      <w:r w:rsidRPr="00D807DF">
        <w:rPr>
          <w:rFonts w:ascii="Arial" w:eastAsia="Calibri" w:hAnsi="Arial" w:cs="Arial"/>
          <w:color w:val="000000" w:themeColor="text1"/>
          <w:sz w:val="21"/>
          <w:szCs w:val="21"/>
        </w:rPr>
        <w:t>entrada en vigencia</w:t>
      </w:r>
      <w:proofErr w:type="gramEnd"/>
      <w:r w:rsidRPr="00D807DF">
        <w:rPr>
          <w:rFonts w:ascii="Arial" w:eastAsia="Calibri" w:hAnsi="Arial" w:cs="Arial"/>
          <w:color w:val="000000" w:themeColor="text1"/>
          <w:sz w:val="21"/>
          <w:szCs w:val="21"/>
        </w:rPr>
        <w:t xml:space="preserve"> de la presente Ley, se establecerá un periodo de transición de seis (6) meses, para que las entidades den cumplimiento efectivo a lo aquí establecido. [Cursiva fuera de</w:t>
      </w:r>
      <w:r w:rsidR="00C43B33">
        <w:rPr>
          <w:rFonts w:ascii="Arial" w:eastAsia="Calibri" w:hAnsi="Arial" w:cs="Arial"/>
          <w:color w:val="000000" w:themeColor="text1"/>
          <w:sz w:val="21"/>
          <w:szCs w:val="21"/>
        </w:rPr>
        <w:t>l</w:t>
      </w:r>
      <w:r w:rsidRPr="00D807DF">
        <w:rPr>
          <w:rFonts w:ascii="Arial" w:eastAsia="Calibri" w:hAnsi="Arial" w:cs="Arial"/>
          <w:color w:val="000000" w:themeColor="text1"/>
          <w:sz w:val="21"/>
          <w:szCs w:val="21"/>
        </w:rPr>
        <w:t xml:space="preserve"> texto].</w:t>
      </w:r>
    </w:p>
    <w:p w14:paraId="599A6650" w14:textId="77777777" w:rsidR="00EB1D47" w:rsidRPr="00D807DF" w:rsidRDefault="00EB1D47" w:rsidP="00EB1D47">
      <w:pPr>
        <w:spacing w:after="0" w:line="240" w:lineRule="auto"/>
        <w:ind w:firstLine="709"/>
        <w:contextualSpacing/>
        <w:jc w:val="both"/>
        <w:rPr>
          <w:rFonts w:eastAsia="Calibri"/>
          <w:color w:val="000000" w:themeColor="text1"/>
          <w:lang w:val="es-ES_tradnl"/>
        </w:rPr>
      </w:pPr>
    </w:p>
    <w:p w14:paraId="1353F0E5" w14:textId="40B4406B" w:rsidR="00EB1D47" w:rsidRPr="00D807DF" w:rsidRDefault="00EB1D47" w:rsidP="00EB1D47">
      <w:pPr>
        <w:spacing w:after="120" w:line="276" w:lineRule="auto"/>
        <w:ind w:firstLine="709"/>
        <w:jc w:val="both"/>
        <w:rPr>
          <w:rFonts w:ascii="Arial" w:eastAsia="Calibri" w:hAnsi="Arial" w:cs="Arial"/>
          <w:color w:val="000000" w:themeColor="text1"/>
          <w:lang w:val="es-ES_tradnl" w:eastAsia="es-ES_tradnl"/>
        </w:rPr>
      </w:pPr>
      <w:r w:rsidRPr="00D807DF">
        <w:rPr>
          <w:rFonts w:ascii="Arial" w:eastAsia="Calibri" w:hAnsi="Arial" w:cs="Arial"/>
          <w:color w:val="000000" w:themeColor="text1"/>
          <w:lang w:val="es-ES_tradnl"/>
        </w:rPr>
        <w:t xml:space="preserve">Cabe destacar que cuando la norma trascrita hace referencia a que el mencionado deber de publicidad debe cumplirse en el SECOP II o </w:t>
      </w:r>
      <w:r w:rsidRPr="00D807DF">
        <w:rPr>
          <w:rFonts w:ascii="Arial" w:hAnsi="Arial" w:cs="Arial"/>
          <w:color w:val="000000" w:themeColor="text1"/>
        </w:rPr>
        <w:t>«</w:t>
      </w:r>
      <w:r w:rsidRPr="00D807DF">
        <w:rPr>
          <w:rFonts w:ascii="Arial" w:eastAsia="Calibri" w:hAnsi="Arial" w:cs="Arial"/>
          <w:color w:val="000000" w:themeColor="text1"/>
          <w:lang w:val="es-ES_tradnl"/>
        </w:rPr>
        <w:t>la plataforma transaccional que haga sus veces</w:t>
      </w:r>
      <w:r w:rsidRPr="00D807DF">
        <w:rPr>
          <w:rFonts w:ascii="Arial" w:hAnsi="Arial" w:cs="Arial"/>
          <w:color w:val="000000" w:themeColor="text1"/>
        </w:rPr>
        <w:t>»</w:t>
      </w:r>
      <w:r w:rsidRPr="00D807DF">
        <w:rPr>
          <w:rFonts w:ascii="Arial" w:eastAsia="Calibri" w:hAnsi="Arial" w:cs="Arial"/>
          <w:color w:val="000000" w:themeColor="text1"/>
          <w:lang w:val="es-ES_tradnl"/>
        </w:rPr>
        <w:t xml:space="preserve">,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Pr="00D807DF">
        <w:rPr>
          <w:rFonts w:ascii="Arial" w:hAnsi="Arial" w:cs="Arial"/>
          <w:color w:val="000000" w:themeColor="text1"/>
        </w:rPr>
        <w:t>«</w:t>
      </w:r>
      <w:r w:rsidRPr="00D807DF">
        <w:rPr>
          <w:rFonts w:ascii="Arial" w:eastAsia="Calibri" w:hAnsi="Arial" w:cs="Arial"/>
          <w:color w:val="000000" w:themeColor="text1"/>
          <w:lang w:val="es-ES_tradnl"/>
        </w:rPr>
        <w:t>la plataforma que haga sus veces</w:t>
      </w:r>
      <w:r w:rsidRPr="00D807DF">
        <w:rPr>
          <w:rFonts w:ascii="Arial" w:hAnsi="Arial" w:cs="Arial"/>
          <w:color w:val="000000" w:themeColor="text1"/>
        </w:rPr>
        <w:t>»</w:t>
      </w:r>
      <w:r w:rsidRPr="00D807DF">
        <w:rPr>
          <w:rFonts w:ascii="Arial" w:eastAsia="Calibri" w:hAnsi="Arial" w:cs="Arial"/>
          <w:color w:val="000000" w:themeColor="text1"/>
          <w:lang w:val="es-ES_tradnl"/>
        </w:rPr>
        <w:t xml:space="preserve"> no puede interpretarse como una autorización para que </w:t>
      </w:r>
      <w:r w:rsidRPr="00D807DF">
        <w:rPr>
          <w:rFonts w:ascii="Arial" w:eastAsia="Calibri" w:hAnsi="Arial" w:cs="Arial"/>
          <w:color w:val="000000" w:themeColor="text1"/>
          <w:lang w:val="es-ES_tradnl"/>
        </w:rPr>
        <w:lastRenderedPageBreak/>
        <w:t>las entidades obligadas en virtud del artículo 53 de la Ley 2195 de 2022 pued</w:t>
      </w:r>
      <w:r w:rsidR="00C43B33">
        <w:rPr>
          <w:rFonts w:ascii="Arial" w:eastAsia="Calibri" w:hAnsi="Arial" w:cs="Arial"/>
          <w:color w:val="000000" w:themeColor="text1"/>
          <w:lang w:val="es-ES_tradnl"/>
        </w:rPr>
        <w:t>a</w:t>
      </w:r>
      <w:r w:rsidRPr="00D807DF">
        <w:rPr>
          <w:rFonts w:ascii="Arial" w:eastAsia="Calibri" w:hAnsi="Arial" w:cs="Arial"/>
          <w:color w:val="000000" w:themeColor="text1"/>
          <w:lang w:val="es-ES_tradnl"/>
        </w:rPr>
        <w:t>n emplear sus páginas web o sus propios portales electrónicos para cumplir con el deber de publicidad que les asiste</w:t>
      </w:r>
      <w:r w:rsidR="00C43B33" w:rsidRPr="00C43B33">
        <w:rPr>
          <w:rFonts w:ascii="Arial" w:eastAsia="Calibri" w:hAnsi="Arial" w:cs="Arial"/>
          <w:color w:val="000000"/>
          <w:lang w:val="es-ES_tradnl" w:eastAsia="es-ES_tradnl"/>
        </w:rPr>
        <w:t xml:space="preserve"> </w:t>
      </w:r>
      <w:r w:rsidR="00C43B33" w:rsidRPr="00503CAB">
        <w:rPr>
          <w:rFonts w:ascii="Arial" w:eastAsia="Calibri" w:hAnsi="Arial" w:cs="Arial"/>
          <w:color w:val="000000"/>
          <w:lang w:val="es-ES_tradnl" w:eastAsia="es-ES_tradnl"/>
        </w:rPr>
        <w:t xml:space="preserve">pues, precisamente, </w:t>
      </w:r>
      <w:bookmarkStart w:id="4" w:name="_Hlk98487825"/>
      <w:r w:rsidR="006D6D69">
        <w:rPr>
          <w:rFonts w:ascii="Arial" w:eastAsia="Calibri" w:hAnsi="Arial" w:cs="Arial"/>
          <w:color w:val="000000"/>
          <w:lang w:val="es-ES_tradnl" w:eastAsia="es-ES_tradnl"/>
        </w:rPr>
        <w:t>dicha norma</w:t>
      </w:r>
      <w:r w:rsidR="00C43B33" w:rsidRPr="00503CAB">
        <w:rPr>
          <w:rFonts w:ascii="Arial" w:eastAsia="Calibri" w:hAnsi="Arial" w:cs="Arial"/>
          <w:color w:val="000000"/>
          <w:lang w:val="es-ES_tradnl" w:eastAsia="es-ES_tradnl"/>
        </w:rPr>
        <w:t xml:space="preserve"> </w:t>
      </w:r>
      <w:bookmarkEnd w:id="4"/>
      <w:r w:rsidR="00C43B33" w:rsidRPr="00503CAB">
        <w:rPr>
          <w:rFonts w:ascii="Arial" w:eastAsia="Calibri" w:hAnsi="Arial" w:cs="Arial"/>
          <w:color w:val="000000"/>
          <w:lang w:val="es-ES_tradnl" w:eastAsia="es-ES_tradnl"/>
        </w:rPr>
        <w:t>unifica el régimen de publicidad de las entidades estatales en una sola plataforma, actualmente denominada SECOP II.</w:t>
      </w:r>
      <w:r w:rsidR="00C43B33">
        <w:rPr>
          <w:rFonts w:ascii="Arial" w:eastAsia="Calibri" w:hAnsi="Arial" w:cs="Arial"/>
          <w:color w:val="000000"/>
          <w:lang w:val="es-ES_tradnl" w:eastAsia="es-ES_tradnl"/>
        </w:rPr>
        <w:t xml:space="preserve"> </w:t>
      </w:r>
      <w:r w:rsidRPr="00D807DF">
        <w:rPr>
          <w:rFonts w:ascii="Arial" w:eastAsia="Calibri" w:hAnsi="Arial" w:cs="Arial"/>
          <w:color w:val="000000" w:themeColor="text1"/>
          <w:lang w:val="es-ES_tradnl" w:eastAsia="es-ES_tradnl"/>
        </w:rPr>
        <w:t>Con esto se logra que la ciudadanía pueda encontrar en un mismo sistema la gestión de la actividad contractual del Estado, garantizándose en mayor grado la transparencia y el acceso a la documentación pública.</w:t>
      </w:r>
    </w:p>
    <w:p w14:paraId="164D2EE7" w14:textId="77777777" w:rsidR="00EB1D47" w:rsidRPr="00D807DF" w:rsidRDefault="00EB1D47" w:rsidP="00EB1D47">
      <w:pPr>
        <w:spacing w:before="120" w:after="120" w:line="276" w:lineRule="auto"/>
        <w:ind w:firstLine="709"/>
        <w:jc w:val="both"/>
        <w:rPr>
          <w:rFonts w:ascii="Arial" w:eastAsia="Calibri" w:hAnsi="Arial" w:cs="Arial"/>
          <w:color w:val="000000" w:themeColor="text1"/>
          <w:lang w:val="es-ES_tradnl"/>
        </w:rPr>
      </w:pPr>
      <w:bookmarkStart w:id="5" w:name="_Hlk109111956"/>
      <w:r w:rsidRPr="00D807DF">
        <w:rPr>
          <w:rFonts w:ascii="Arial" w:eastAsia="Calibri" w:hAnsi="Arial" w:cs="Arial"/>
          <w:color w:val="000000" w:themeColor="text1"/>
          <w:lang w:val="es-ES_tradnl"/>
        </w:rPr>
        <w:t xml:space="preserve">En cuanto a los documentos que deben ser publicados en el SECOP II a efectos de dar cumplimiento al mandato consagrado en el artículo 53 de la Ley 2195 de 2022, es preciso advertir que la disposición hace referencia a los documentos relacionados con su </w:t>
      </w:r>
      <w:r w:rsidRPr="00D807DF">
        <w:rPr>
          <w:rFonts w:ascii="Arial" w:eastAsia="Calibri" w:hAnsi="Arial" w:cs="Arial"/>
          <w:i/>
          <w:iCs/>
          <w:color w:val="000000" w:themeColor="text1"/>
          <w:lang w:val="es-ES_tradnl"/>
        </w:rPr>
        <w:t>actividad contractual,</w:t>
      </w:r>
      <w:r w:rsidRPr="00D807DF">
        <w:rPr>
          <w:rFonts w:ascii="Arial" w:eastAsia="Calibri" w:hAnsi="Arial" w:cs="Arial"/>
          <w:color w:val="000000" w:themeColor="text1"/>
          <w:lang w:val="es-ES_tradnl"/>
        </w:rPr>
        <w:t xml:space="preserve"> la cual define como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contractual, por lo que no puede colegirse que los procesos de contratación relacionados con asuntos </w:t>
      </w:r>
      <w:r w:rsidRPr="00D807DF">
        <w:rPr>
          <w:rFonts w:ascii="Arial" w:eastAsia="Calibri" w:hAnsi="Arial" w:cs="Arial"/>
          <w:i/>
          <w:iCs/>
          <w:color w:val="000000" w:themeColor="text1"/>
          <w:lang w:val="es-ES_tradnl"/>
        </w:rPr>
        <w:t>«no misionales»</w:t>
      </w:r>
      <w:r w:rsidRPr="00D807DF">
        <w:rPr>
          <w:rFonts w:ascii="Arial" w:eastAsia="Calibri" w:hAnsi="Arial" w:cs="Arial"/>
          <w:color w:val="000000" w:themeColor="text1"/>
          <w:lang w:val="es-ES_tradnl"/>
        </w:rPr>
        <w:t xml:space="preserve"> estén </w:t>
      </w:r>
      <w:r w:rsidRPr="00D807DF">
        <w:rPr>
          <w:rFonts w:ascii="Arial" w:eastAsia="Calibri" w:hAnsi="Arial" w:cs="Arial"/>
          <w:i/>
          <w:iCs/>
          <w:color w:val="000000" w:themeColor="text1"/>
          <w:lang w:val="es-ES_tradnl"/>
        </w:rPr>
        <w:t>per se</w:t>
      </w:r>
      <w:r w:rsidRPr="00D807DF">
        <w:rPr>
          <w:rFonts w:ascii="Arial" w:eastAsia="Calibri" w:hAnsi="Arial" w:cs="Arial"/>
          <w:color w:val="000000" w:themeColor="text1"/>
          <w:lang w:val="es-ES_tradnl"/>
        </w:rPr>
        <w:t xml:space="preserve"> excluidos del deber de publicidad. </w:t>
      </w:r>
    </w:p>
    <w:bookmarkEnd w:id="5"/>
    <w:p w14:paraId="2A0CFFC1" w14:textId="77777777" w:rsidR="00EB1D47" w:rsidRPr="00D807DF" w:rsidRDefault="00EB1D47" w:rsidP="00EB1D47">
      <w:pPr>
        <w:spacing w:before="120" w:after="120" w:line="276" w:lineRule="auto"/>
        <w:ind w:firstLine="709"/>
        <w:jc w:val="both"/>
        <w:rPr>
          <w:rFonts w:ascii="Arial" w:eastAsia="Calibri" w:hAnsi="Arial" w:cs="Arial"/>
          <w:color w:val="000000" w:themeColor="text1"/>
          <w:lang w:val="es-ES_tradnl"/>
        </w:rPr>
      </w:pPr>
      <w:r w:rsidRPr="00D807DF">
        <w:rPr>
          <w:rFonts w:ascii="Arial" w:eastAsia="Calibri" w:hAnsi="Arial" w:cs="Arial"/>
          <w:color w:val="000000" w:themeColor="text1"/>
          <w:lang w:val="es-ES_tradnl"/>
        </w:rPr>
        <w:t xml:space="preserve">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 </w:t>
      </w:r>
    </w:p>
    <w:p w14:paraId="4FBC4C8E" w14:textId="77777777" w:rsidR="00EB1D47" w:rsidRPr="00D807DF" w:rsidRDefault="00EB1D47" w:rsidP="00EB1D47">
      <w:pPr>
        <w:spacing w:before="120" w:after="120" w:line="276" w:lineRule="auto"/>
        <w:ind w:firstLine="709"/>
        <w:jc w:val="both"/>
        <w:rPr>
          <w:rFonts w:ascii="Arial" w:eastAsia="Calibri" w:hAnsi="Arial" w:cs="Arial"/>
          <w:color w:val="000000" w:themeColor="text1"/>
          <w:lang w:val="es-ES"/>
        </w:rPr>
      </w:pPr>
      <w:r w:rsidRPr="00D807DF">
        <w:rPr>
          <w:rFonts w:ascii="Arial" w:eastAsia="Calibri" w:hAnsi="Arial" w:cs="Arial"/>
          <w:color w:val="000000" w:themeColor="text1"/>
          <w:lang w:val="es-ES"/>
        </w:rPr>
        <w:t>Sin perjuicio de lo anterior, vale la pena aclarar que el cumplimiento del deber de publicación de la documentación contractual debe armonizarse con las normas aplicables al tipo de información que estas contienen</w:t>
      </w:r>
      <w:r w:rsidRPr="00D807DF">
        <w:rPr>
          <w:rStyle w:val="Refdenotaalpie"/>
          <w:rFonts w:ascii="Arial" w:eastAsia="Calibri" w:hAnsi="Arial" w:cs="Arial"/>
          <w:color w:val="000000" w:themeColor="text1"/>
          <w:lang w:val="es-ES"/>
        </w:rPr>
        <w:footnoteReference w:id="28"/>
      </w:r>
      <w:r w:rsidRPr="00D807DF">
        <w:rPr>
          <w:rFonts w:ascii="Arial" w:eastAsia="Calibri" w:hAnsi="Arial" w:cs="Arial"/>
          <w:color w:val="000000" w:themeColor="text1"/>
          <w:lang w:val="es-ES"/>
        </w:rPr>
        <w:t xml:space="preserve">. </w:t>
      </w:r>
    </w:p>
    <w:p w14:paraId="05D1BB55" w14:textId="77777777" w:rsidR="00EB1D47" w:rsidRPr="00D807DF" w:rsidRDefault="00EB1D47" w:rsidP="00EB1D47">
      <w:pPr>
        <w:spacing w:before="120" w:after="120" w:line="276" w:lineRule="auto"/>
        <w:ind w:firstLine="709"/>
        <w:jc w:val="both"/>
        <w:rPr>
          <w:rFonts w:ascii="Arial" w:eastAsia="Calibri" w:hAnsi="Arial" w:cs="Arial"/>
          <w:color w:val="000000" w:themeColor="text1"/>
          <w:lang w:val="es-ES_tradnl"/>
        </w:rPr>
      </w:pPr>
      <w:bookmarkStart w:id="6" w:name="_Hlk109111976"/>
      <w:r w:rsidRPr="00D807DF">
        <w:rPr>
          <w:rFonts w:ascii="Arial" w:eastAsia="Calibri" w:hAnsi="Arial" w:cs="Arial"/>
          <w:color w:val="000000" w:themeColor="text1"/>
          <w:lang w:val="es-ES_tradnl"/>
        </w:rPr>
        <w:lastRenderedPageBreak/>
        <w:t xml:space="preserve">Finalmente, el inciso final del artículo 53 dispone que «A partir de la </w:t>
      </w:r>
      <w:proofErr w:type="gramStart"/>
      <w:r w:rsidRPr="00D807DF">
        <w:rPr>
          <w:rFonts w:ascii="Arial" w:eastAsia="Calibri" w:hAnsi="Arial" w:cs="Arial"/>
          <w:color w:val="000000" w:themeColor="text1"/>
          <w:lang w:val="es-ES_tradnl"/>
        </w:rPr>
        <w:t>entrada en vigencia</w:t>
      </w:r>
      <w:proofErr w:type="gramEnd"/>
      <w:r w:rsidRPr="00D807DF">
        <w:rPr>
          <w:rFonts w:ascii="Arial" w:eastAsia="Calibri" w:hAnsi="Arial" w:cs="Arial"/>
          <w:color w:val="000000" w:themeColor="text1"/>
          <w:lang w:val="es-ES_tradnl"/>
        </w:rPr>
        <w:t xml:space="preserve"> de la presente Ley, se establecerá un periodo de transición de seis (6) meses, para que las entidades den cumplimiento efectivo a lo aquí establecido». Es decir, que se trataba un período concedido por el Legislador a las entidades con régimen especial de contratación para adelantar las gestiones administrativas, técnicas y jurídicas pertinentes, a fin de cumplir lo establecido en el artículo citado. Este período de transición estaba comprendido entre el 18 de enero y el 18 de julio de 2022.</w:t>
      </w:r>
    </w:p>
    <w:bookmarkEnd w:id="6"/>
    <w:p w14:paraId="5A0C53E4" w14:textId="19E74C6B" w:rsidR="00EB1D47" w:rsidRPr="00D807DF" w:rsidRDefault="00EB1D47" w:rsidP="00EB1D47">
      <w:pPr>
        <w:spacing w:after="0" w:line="276" w:lineRule="auto"/>
        <w:ind w:firstLine="709"/>
        <w:jc w:val="both"/>
        <w:rPr>
          <w:rFonts w:ascii="Arial" w:eastAsia="Calibri" w:hAnsi="Arial" w:cs="Arial"/>
          <w:color w:val="000000" w:themeColor="text1"/>
          <w:lang w:val="es-ES_tradnl"/>
        </w:rPr>
      </w:pPr>
      <w:r w:rsidRPr="00D807DF">
        <w:rPr>
          <w:rFonts w:ascii="Arial" w:eastAsia="Calibri" w:hAnsi="Arial" w:cs="Arial"/>
          <w:color w:val="000000" w:themeColor="text1"/>
          <w:lang w:val="es-ES_tradnl"/>
        </w:rPr>
        <w:t>Si bien la norma materia de estudio no hace referencia a los contratos suscritos con anterioridad a su entrada en vigencia, de acuerdo con el artículo 38 de la Ley 153 de 1887, el cual dispone que en todo contrato se entenderán incorporadas las leyes vigentes al tiempo de su celebración, la obligación para las entidades estatales exceptuadas</w:t>
      </w:r>
      <w:r w:rsidR="00C43B33">
        <w:rPr>
          <w:rFonts w:ascii="Arial" w:eastAsia="Calibri" w:hAnsi="Arial" w:cs="Arial"/>
          <w:color w:val="000000" w:themeColor="text1"/>
          <w:lang w:val="es-ES_tradnl"/>
        </w:rPr>
        <w:t>,</w:t>
      </w:r>
      <w:r w:rsidRPr="00D807DF">
        <w:rPr>
          <w:rFonts w:ascii="Arial" w:eastAsia="Calibri" w:hAnsi="Arial" w:cs="Arial"/>
          <w:color w:val="000000" w:themeColor="text1"/>
          <w:lang w:val="es-ES_tradnl"/>
        </w:rPr>
        <w:t xml:space="preserve"> </w:t>
      </w:r>
      <w:r w:rsidR="00C43B33">
        <w:rPr>
          <w:rFonts w:ascii="Arial" w:eastAsia="Calibri" w:hAnsi="Arial" w:cs="Arial"/>
          <w:color w:val="000000" w:themeColor="text1"/>
          <w:lang w:val="es-ES_tradnl"/>
        </w:rPr>
        <w:t>sobre</w:t>
      </w:r>
      <w:r w:rsidRPr="00D807DF">
        <w:rPr>
          <w:rFonts w:ascii="Arial" w:eastAsia="Calibri" w:hAnsi="Arial" w:cs="Arial"/>
          <w:color w:val="000000" w:themeColor="text1"/>
          <w:lang w:val="es-ES_tradnl"/>
        </w:rPr>
        <w:t xml:space="preserve"> publicar los documentos relacionados con su actividad contractual en el SECOP II</w:t>
      </w:r>
      <w:r w:rsidR="00C43B33">
        <w:rPr>
          <w:rFonts w:ascii="Arial" w:eastAsia="Calibri" w:hAnsi="Arial" w:cs="Arial"/>
          <w:color w:val="000000" w:themeColor="text1"/>
          <w:lang w:val="es-ES_tradnl"/>
        </w:rPr>
        <w:t>,</w:t>
      </w:r>
      <w:r w:rsidRPr="00D807DF">
        <w:rPr>
          <w:rFonts w:ascii="Arial" w:eastAsia="Calibri" w:hAnsi="Arial" w:cs="Arial"/>
          <w:color w:val="000000" w:themeColor="text1"/>
          <w:lang w:val="es-ES_tradnl"/>
        </w:rPr>
        <w:t xml:space="preserve"> aplica para los contratos suscritos con posterioridad al término dispuesto en el artículo 53 de la Ley 2195 de 2022, esto es, el 18 de julio de 2022</w:t>
      </w:r>
      <w:r w:rsidRPr="00D807DF">
        <w:rPr>
          <w:rStyle w:val="Refdenotaalpie"/>
          <w:rFonts w:ascii="Arial" w:eastAsia="Calibri" w:hAnsi="Arial" w:cs="Arial"/>
          <w:color w:val="000000" w:themeColor="text1"/>
          <w:lang w:val="es-ES_tradnl"/>
        </w:rPr>
        <w:footnoteReference w:id="29"/>
      </w:r>
      <w:r w:rsidRPr="00D807DF">
        <w:rPr>
          <w:rFonts w:ascii="Arial" w:eastAsia="Calibri" w:hAnsi="Arial" w:cs="Arial"/>
          <w:color w:val="000000" w:themeColor="text1"/>
          <w:lang w:val="es-ES_tradnl"/>
        </w:rPr>
        <w:t xml:space="preserve">. </w:t>
      </w:r>
    </w:p>
    <w:p w14:paraId="7A990661" w14:textId="77777777" w:rsidR="00B061A3" w:rsidRPr="00D807DF" w:rsidRDefault="00B061A3" w:rsidP="00A42AD1">
      <w:pPr>
        <w:spacing w:after="0" w:line="276" w:lineRule="auto"/>
        <w:contextualSpacing/>
        <w:jc w:val="both"/>
        <w:rPr>
          <w:rFonts w:ascii="Arial" w:eastAsia="Calibri" w:hAnsi="Arial" w:cs="Arial"/>
          <w:b/>
          <w:bCs/>
          <w:color w:val="000000" w:themeColor="text1"/>
          <w:lang w:val="es-ES_tradnl" w:eastAsia="es-ES_tradnl"/>
        </w:rPr>
      </w:pPr>
    </w:p>
    <w:p w14:paraId="24EC86D6" w14:textId="67450697" w:rsidR="00EB5459" w:rsidRPr="00D807DF" w:rsidRDefault="00EB1D47" w:rsidP="00A42AD1">
      <w:pPr>
        <w:spacing w:after="0" w:line="276" w:lineRule="auto"/>
        <w:contextualSpacing/>
        <w:jc w:val="both"/>
        <w:rPr>
          <w:rFonts w:ascii="Arial" w:eastAsia="Calibri" w:hAnsi="Arial" w:cs="Arial"/>
          <w:b/>
          <w:bCs/>
          <w:color w:val="000000" w:themeColor="text1"/>
          <w:lang w:val="es-ES_tradnl" w:eastAsia="es-ES_tradnl"/>
        </w:rPr>
      </w:pPr>
      <w:r w:rsidRPr="00D807DF">
        <w:rPr>
          <w:rFonts w:ascii="Arial" w:eastAsia="Calibri" w:hAnsi="Arial" w:cs="Arial"/>
          <w:b/>
          <w:bCs/>
          <w:color w:val="000000" w:themeColor="text1"/>
          <w:lang w:val="es-ES_tradnl" w:eastAsia="es-ES_tradnl"/>
        </w:rPr>
        <w:t xml:space="preserve">2.4.1. </w:t>
      </w:r>
      <w:r w:rsidR="00EB5459" w:rsidRPr="00D807DF">
        <w:rPr>
          <w:rFonts w:ascii="Arial" w:eastAsia="Calibri" w:hAnsi="Arial" w:cs="Arial"/>
          <w:b/>
          <w:bCs/>
          <w:color w:val="000000" w:themeColor="text1"/>
          <w:lang w:val="es-ES_tradnl" w:eastAsia="es-ES_tradnl"/>
        </w:rPr>
        <w:t xml:space="preserve">Uso del SECOP II por las entidades </w:t>
      </w:r>
      <w:r w:rsidR="00EB5459" w:rsidRPr="00D807DF">
        <w:rPr>
          <w:rFonts w:ascii="Arial" w:eastAsia="Times New Roman" w:hAnsi="Arial" w:cs="Arial"/>
          <w:b/>
          <w:bCs/>
          <w:iCs/>
          <w:color w:val="000000" w:themeColor="text1"/>
          <w:lang w:val="es-ES_tradnl" w:eastAsia="es-ES_tradnl"/>
        </w:rPr>
        <w:t>exceptuadas del Estatuto General de Contratación de la Administración Pública</w:t>
      </w:r>
    </w:p>
    <w:p w14:paraId="20FD7744" w14:textId="77777777" w:rsidR="00EB5459" w:rsidRPr="00D807DF" w:rsidRDefault="00EB5459" w:rsidP="00A42AD1">
      <w:pPr>
        <w:spacing w:after="0" w:line="276" w:lineRule="auto"/>
        <w:contextualSpacing/>
        <w:jc w:val="both"/>
        <w:rPr>
          <w:rFonts w:ascii="Arial" w:eastAsia="Calibri" w:hAnsi="Arial" w:cs="Arial"/>
          <w:b/>
          <w:bCs/>
          <w:color w:val="000000" w:themeColor="text1"/>
          <w:lang w:val="es-ES_tradnl" w:eastAsia="es-ES_tradnl"/>
        </w:rPr>
      </w:pPr>
    </w:p>
    <w:p w14:paraId="36D53608" w14:textId="4FFF1971" w:rsidR="00EB5459" w:rsidRPr="00D807DF" w:rsidRDefault="00EB5459" w:rsidP="002C7241">
      <w:pPr>
        <w:spacing w:after="120" w:line="276" w:lineRule="auto"/>
        <w:jc w:val="both"/>
        <w:rPr>
          <w:rFonts w:ascii="Arial" w:eastAsia="Calibri" w:hAnsi="Arial" w:cs="Arial"/>
          <w:color w:val="000000" w:themeColor="text1"/>
          <w:lang w:val="es-ES_tradnl" w:eastAsia="es-ES_tradnl"/>
        </w:rPr>
      </w:pPr>
      <w:r w:rsidRPr="00D807DF">
        <w:rPr>
          <w:rFonts w:ascii="Arial" w:eastAsia="Calibri" w:hAnsi="Arial" w:cs="Arial"/>
          <w:color w:val="000000" w:themeColor="text1"/>
          <w:lang w:val="es-ES_tradnl" w:eastAsia="es-ES_tradnl"/>
        </w:rPr>
        <w:t>Con el propósito de garantizar el cumplimiento del mencionado deber de publicidad, la Agencia Nacional de Contratación Pública - Colombia Compra Eficiente, en su calidad de administrador</w:t>
      </w:r>
      <w:r w:rsidR="00D33406" w:rsidRPr="00D807DF">
        <w:rPr>
          <w:rFonts w:ascii="Arial" w:eastAsia="Calibri" w:hAnsi="Arial" w:cs="Arial"/>
          <w:color w:val="000000" w:themeColor="text1"/>
          <w:lang w:val="es-ES_tradnl" w:eastAsia="es-ES_tradnl"/>
        </w:rPr>
        <w:t>a</w:t>
      </w:r>
      <w:r w:rsidRPr="00D807DF">
        <w:rPr>
          <w:rFonts w:ascii="Arial" w:eastAsia="Calibri" w:hAnsi="Arial" w:cs="Arial"/>
          <w:color w:val="000000" w:themeColor="text1"/>
          <w:lang w:val="es-ES_tradnl" w:eastAsia="es-ES_tradnl"/>
        </w:rPr>
        <w:t xml:space="preserve"> del SECOP, en los términos establecidos en el numeral 8 del artículo 3 del </w:t>
      </w:r>
      <w:r w:rsidRPr="00D807DF">
        <w:rPr>
          <w:rFonts w:ascii="Arial" w:eastAsia="Calibri" w:hAnsi="Arial" w:cs="Arial"/>
          <w:color w:val="000000" w:themeColor="text1"/>
          <w:lang w:val="es-ES_tradnl" w:eastAsia="es-ES_tradnl"/>
        </w:rPr>
        <w:lastRenderedPageBreak/>
        <w:t>Decreto-Ley 4170</w:t>
      </w:r>
      <w:r w:rsidR="00EB75FF">
        <w:rPr>
          <w:rFonts w:ascii="Arial" w:eastAsia="Calibri" w:hAnsi="Arial" w:cs="Arial"/>
          <w:color w:val="000000" w:themeColor="text1"/>
          <w:lang w:val="es-ES_tradnl" w:eastAsia="es-ES_tradnl"/>
        </w:rPr>
        <w:t xml:space="preserve"> de 2011</w:t>
      </w:r>
      <w:r w:rsidRPr="00D807DF">
        <w:rPr>
          <w:rFonts w:ascii="Arial" w:eastAsia="Calibri" w:hAnsi="Arial" w:cs="Arial"/>
          <w:color w:val="000000" w:themeColor="text1"/>
          <w:vertAlign w:val="superscript"/>
          <w:lang w:val="es-ES_tradnl" w:eastAsia="es-ES_tradnl"/>
        </w:rPr>
        <w:footnoteReference w:id="30"/>
      </w:r>
      <w:r w:rsidRPr="00D807DF">
        <w:rPr>
          <w:rFonts w:ascii="Arial" w:eastAsia="Calibri" w:hAnsi="Arial" w:cs="Arial"/>
          <w:color w:val="000000" w:themeColor="text1"/>
          <w:lang w:val="es-ES_tradnl" w:eastAsia="es-ES_tradnl"/>
        </w:rPr>
        <w:t>, tiene dispuesto</w:t>
      </w:r>
      <w:r w:rsidR="00D33406" w:rsidRPr="00D807DF">
        <w:rPr>
          <w:rFonts w:ascii="Arial" w:eastAsia="Calibri" w:hAnsi="Arial" w:cs="Arial"/>
          <w:color w:val="000000" w:themeColor="text1"/>
          <w:lang w:val="es-ES_tradnl" w:eastAsia="es-ES_tradnl"/>
        </w:rPr>
        <w:t>s</w:t>
      </w:r>
      <w:r w:rsidRPr="00D807DF">
        <w:rPr>
          <w:rFonts w:ascii="Arial" w:eastAsia="Calibri" w:hAnsi="Arial" w:cs="Arial"/>
          <w:color w:val="000000" w:themeColor="text1"/>
          <w:lang w:val="es-ES_tradnl" w:eastAsia="es-ES_tradnl"/>
        </w:rPr>
        <w:t xml:space="preserve"> dos módulos para las entidades estatales con régimen especial, los cuales son:</w:t>
      </w:r>
    </w:p>
    <w:p w14:paraId="2C86B1F1" w14:textId="3D3BE3C3" w:rsidR="00EB5459" w:rsidRPr="00D807DF" w:rsidRDefault="00EB5459" w:rsidP="002C7241">
      <w:pPr>
        <w:numPr>
          <w:ilvl w:val="0"/>
          <w:numId w:val="3"/>
        </w:numPr>
        <w:spacing w:after="120" w:line="276" w:lineRule="auto"/>
        <w:jc w:val="both"/>
        <w:rPr>
          <w:rFonts w:ascii="Arial" w:hAnsi="Arial" w:cs="Arial"/>
          <w:color w:val="000000" w:themeColor="text1"/>
          <w:u w:val="single"/>
          <w:lang w:val="es-MX" w:eastAsia="es-ES"/>
        </w:rPr>
      </w:pPr>
      <w:r w:rsidRPr="00D807DF">
        <w:rPr>
          <w:rFonts w:ascii="Arial" w:eastAsia="Times New Roman" w:hAnsi="Arial" w:cs="Arial"/>
          <w:b/>
          <w:bCs/>
          <w:color w:val="000000" w:themeColor="text1"/>
          <w:lang w:val="es-MX" w:eastAsia="es-ES"/>
        </w:rPr>
        <w:t>Contratación Régimen Especial (con ofertas)</w:t>
      </w:r>
      <w:r w:rsidRPr="00D807DF">
        <w:rPr>
          <w:rFonts w:ascii="Arial" w:eastAsia="Calibri" w:hAnsi="Arial" w:cs="Arial"/>
          <w:iCs/>
          <w:color w:val="000000" w:themeColor="text1"/>
          <w:vertAlign w:val="superscript"/>
          <w:lang w:val="es-ES"/>
        </w:rPr>
        <w:footnoteReference w:id="31"/>
      </w:r>
      <w:r w:rsidRPr="00D807DF">
        <w:rPr>
          <w:rFonts w:ascii="Arial" w:eastAsia="Times New Roman" w:hAnsi="Arial" w:cs="Arial"/>
          <w:b/>
          <w:bCs/>
          <w:color w:val="000000" w:themeColor="text1"/>
          <w:lang w:val="es-MX" w:eastAsia="es-ES"/>
        </w:rPr>
        <w:t>:</w:t>
      </w:r>
      <w:r w:rsidRPr="00D807DF">
        <w:rPr>
          <w:rFonts w:ascii="Arial" w:eastAsia="Times New Roman" w:hAnsi="Arial" w:cs="Arial"/>
          <w:color w:val="000000" w:themeColor="text1"/>
          <w:lang w:val="es-MX" w:eastAsia="es-ES"/>
        </w:rPr>
        <w:t xml:space="preserve"> Permite a las entidades gestionar sus procesos competitivos de contratación. Mediante este módulo las entidades pueden adelantar el proceso de contratación de manera transaccional, es decir, que </w:t>
      </w:r>
      <w:r w:rsidRPr="00D807DF">
        <w:rPr>
          <w:rFonts w:ascii="Arial" w:eastAsia="Times New Roman" w:hAnsi="Arial" w:cs="Arial"/>
          <w:color w:val="000000" w:themeColor="text1"/>
          <w:lang w:val="es-MX" w:eastAsia="es-CO"/>
        </w:rPr>
        <w:t xml:space="preserve">a través de este módulo las entidades estatales pueden estructurar el proceso de contratación, recibir ofertas de los proveedores, generar el contrato electrónico y realizar la gestión contractual. </w:t>
      </w:r>
    </w:p>
    <w:p w14:paraId="5F434696" w14:textId="16AC5F42" w:rsidR="00992653" w:rsidRPr="00D807DF" w:rsidRDefault="00EB5459" w:rsidP="008F04CD">
      <w:pPr>
        <w:numPr>
          <w:ilvl w:val="0"/>
          <w:numId w:val="3"/>
        </w:numPr>
        <w:spacing w:after="120" w:line="276" w:lineRule="auto"/>
        <w:jc w:val="both"/>
        <w:rPr>
          <w:rFonts w:ascii="Arial" w:hAnsi="Arial" w:cs="Arial"/>
          <w:color w:val="000000" w:themeColor="text1"/>
          <w:u w:val="single"/>
          <w:lang w:val="es-MX" w:eastAsia="es-ES"/>
        </w:rPr>
      </w:pPr>
      <w:r w:rsidRPr="00D807DF">
        <w:rPr>
          <w:rFonts w:ascii="Arial" w:eastAsia="Times New Roman" w:hAnsi="Arial" w:cs="Arial"/>
          <w:b/>
          <w:bCs/>
          <w:color w:val="000000" w:themeColor="text1"/>
          <w:lang w:val="es-MX" w:eastAsia="es-ES"/>
        </w:rPr>
        <w:t>Contratación Régimen Especial (sin ofertas)</w:t>
      </w:r>
      <w:r w:rsidRPr="00D807DF">
        <w:rPr>
          <w:rFonts w:ascii="Arial" w:eastAsia="Calibri" w:hAnsi="Arial" w:cs="Arial"/>
          <w:iCs/>
          <w:color w:val="000000" w:themeColor="text1"/>
          <w:vertAlign w:val="superscript"/>
          <w:lang w:val="es-ES"/>
        </w:rPr>
        <w:footnoteReference w:id="32"/>
      </w:r>
      <w:r w:rsidRPr="00D807DF">
        <w:rPr>
          <w:rFonts w:ascii="Arial" w:eastAsia="Times New Roman" w:hAnsi="Arial" w:cs="Arial"/>
          <w:b/>
          <w:bCs/>
          <w:color w:val="000000" w:themeColor="text1"/>
          <w:lang w:val="es-MX" w:eastAsia="es-ES"/>
        </w:rPr>
        <w:t>:</w:t>
      </w:r>
      <w:r w:rsidRPr="00D807DF">
        <w:rPr>
          <w:rFonts w:ascii="Arial" w:eastAsia="Times New Roman" w:hAnsi="Arial" w:cs="Arial"/>
          <w:color w:val="000000" w:themeColor="text1"/>
          <w:lang w:val="es-MX" w:eastAsia="es-ES"/>
        </w:rPr>
        <w:t xml:space="preserve"> Este módulo permite a las entidades gestionar sus procesos de selección directos. Asimismo, este módulo </w:t>
      </w:r>
      <w:r w:rsidRPr="00D807DF">
        <w:rPr>
          <w:rFonts w:ascii="Arial" w:hAnsi="Arial" w:cs="Arial"/>
          <w:color w:val="000000" w:themeColor="text1"/>
          <w:lang w:val="es-MX"/>
        </w:rPr>
        <w:t xml:space="preserve">permite estructurar los procesos de contratación, publicar documentos generados por fuera de la plataforma y realizar la gestión contractual en línea. </w:t>
      </w:r>
    </w:p>
    <w:p w14:paraId="5FF1A2CB" w14:textId="77777777" w:rsidR="00180E17" w:rsidRPr="00D807DF" w:rsidRDefault="00AE0F7B" w:rsidP="002C7241">
      <w:pPr>
        <w:spacing w:after="120" w:line="276" w:lineRule="auto"/>
        <w:ind w:firstLine="709"/>
        <w:jc w:val="both"/>
        <w:rPr>
          <w:rFonts w:ascii="Arial" w:eastAsia="Calibri" w:hAnsi="Arial" w:cs="Arial"/>
          <w:color w:val="000000" w:themeColor="text1"/>
          <w:lang w:val="es-ES"/>
        </w:rPr>
      </w:pPr>
      <w:bookmarkStart w:id="7" w:name="_Hlk120525377"/>
      <w:r w:rsidRPr="00D807DF">
        <w:rPr>
          <w:rFonts w:ascii="Arial" w:eastAsia="Calibri" w:hAnsi="Arial" w:cs="Arial"/>
          <w:color w:val="000000" w:themeColor="text1"/>
          <w:lang w:val="es-ES_tradnl" w:eastAsia="es-ES_tradnl"/>
        </w:rPr>
        <w:t>Ahora bien, re</w:t>
      </w:r>
      <w:r w:rsidR="00CA614F" w:rsidRPr="00D807DF">
        <w:rPr>
          <w:rFonts w:ascii="Arial" w:eastAsia="Calibri" w:hAnsi="Arial" w:cs="Arial"/>
          <w:color w:val="000000" w:themeColor="text1"/>
          <w:lang w:val="es-ES_tradnl" w:eastAsia="es-ES_tradnl"/>
        </w:rPr>
        <w:t xml:space="preserve">specto al término para publicar los documentos en el SECOP II, </w:t>
      </w:r>
      <w:r w:rsidR="007B33BE" w:rsidRPr="00D807DF">
        <w:rPr>
          <w:rFonts w:ascii="Arial" w:eastAsia="Calibri" w:hAnsi="Arial" w:cs="Arial"/>
          <w:color w:val="000000" w:themeColor="text1"/>
          <w:lang w:val="es-ES_tradnl" w:eastAsia="es-ES_tradnl"/>
        </w:rPr>
        <w:t>debe señalarse</w:t>
      </w:r>
      <w:r w:rsidR="000F6E43" w:rsidRPr="00D807DF">
        <w:rPr>
          <w:rFonts w:ascii="Arial" w:eastAsia="Calibri" w:hAnsi="Arial" w:cs="Arial"/>
          <w:color w:val="000000" w:themeColor="text1"/>
          <w:lang w:val="es-ES_tradnl" w:eastAsia="es-ES_tradnl"/>
        </w:rPr>
        <w:t>,</w:t>
      </w:r>
      <w:r w:rsidR="007B33BE" w:rsidRPr="00D807DF">
        <w:rPr>
          <w:rFonts w:ascii="Arial" w:eastAsia="Calibri" w:hAnsi="Arial" w:cs="Arial"/>
          <w:color w:val="000000" w:themeColor="text1"/>
          <w:lang w:val="es-ES_tradnl" w:eastAsia="es-ES_tradnl"/>
        </w:rPr>
        <w:t xml:space="preserve"> tal y como se expuso en el numeral anterior,</w:t>
      </w:r>
      <w:r w:rsidR="000F6E43" w:rsidRPr="00D807DF">
        <w:rPr>
          <w:rFonts w:ascii="Arial" w:eastAsia="Calibri" w:hAnsi="Arial" w:cs="Arial"/>
          <w:color w:val="000000" w:themeColor="text1"/>
          <w:lang w:val="es-ES_tradnl" w:eastAsia="es-ES_tradnl"/>
        </w:rPr>
        <w:t xml:space="preserve"> que</w:t>
      </w:r>
      <w:r w:rsidR="007B33BE" w:rsidRPr="00D807DF">
        <w:rPr>
          <w:rFonts w:ascii="Arial" w:eastAsia="Calibri" w:hAnsi="Arial" w:cs="Arial"/>
          <w:color w:val="000000" w:themeColor="text1"/>
          <w:lang w:val="es-ES_tradnl" w:eastAsia="es-ES_tradnl"/>
        </w:rPr>
        <w:t xml:space="preserve"> </w:t>
      </w:r>
      <w:bookmarkEnd w:id="7"/>
      <w:r w:rsidR="00A90047" w:rsidRPr="00D807DF">
        <w:rPr>
          <w:rFonts w:ascii="Arial" w:eastAsia="Calibri" w:hAnsi="Arial" w:cs="Arial"/>
          <w:color w:val="000000" w:themeColor="text1"/>
          <w:lang w:val="es-ES"/>
        </w:rPr>
        <w:t xml:space="preserve">el deber de publicar los documentos relacionados con la contratación </w:t>
      </w:r>
      <w:r w:rsidRPr="00D807DF">
        <w:rPr>
          <w:rFonts w:ascii="Arial" w:eastAsia="Calibri" w:hAnsi="Arial" w:cs="Arial"/>
          <w:color w:val="000000" w:themeColor="text1"/>
          <w:lang w:val="es-ES"/>
        </w:rPr>
        <w:t xml:space="preserve">también </w:t>
      </w:r>
      <w:r w:rsidR="007B33BE" w:rsidRPr="00D807DF">
        <w:rPr>
          <w:rFonts w:ascii="Arial" w:eastAsia="Calibri" w:hAnsi="Arial" w:cs="Arial"/>
          <w:color w:val="000000" w:themeColor="text1"/>
          <w:lang w:val="es-ES"/>
        </w:rPr>
        <w:t xml:space="preserve">se </w:t>
      </w:r>
      <w:r w:rsidR="00A90047" w:rsidRPr="00D807DF">
        <w:rPr>
          <w:rFonts w:ascii="Arial" w:eastAsia="Calibri" w:hAnsi="Arial" w:cs="Arial"/>
          <w:color w:val="000000" w:themeColor="text1"/>
          <w:lang w:val="es-ES"/>
        </w:rPr>
        <w:t xml:space="preserve">encuentra regulado </w:t>
      </w:r>
      <w:r w:rsidR="007B33BE" w:rsidRPr="00D807DF">
        <w:rPr>
          <w:rFonts w:ascii="Arial" w:eastAsia="Calibri" w:hAnsi="Arial" w:cs="Arial"/>
          <w:color w:val="000000" w:themeColor="text1"/>
          <w:lang w:val="es-ES"/>
        </w:rPr>
        <w:t>en</w:t>
      </w:r>
      <w:r w:rsidR="00A90047" w:rsidRPr="00D807DF">
        <w:rPr>
          <w:rFonts w:ascii="Arial" w:eastAsia="Calibri" w:hAnsi="Arial" w:cs="Arial"/>
          <w:color w:val="000000" w:themeColor="text1"/>
          <w:lang w:val="es-ES"/>
        </w:rPr>
        <w:t xml:space="preserve"> la Ley 1712 de 2014, </w:t>
      </w:r>
      <w:r w:rsidR="007B33BE" w:rsidRPr="00D807DF">
        <w:rPr>
          <w:rFonts w:ascii="Arial" w:eastAsia="Calibri" w:hAnsi="Arial" w:cs="Arial"/>
          <w:color w:val="000000" w:themeColor="text1"/>
          <w:lang w:val="es-ES"/>
        </w:rPr>
        <w:t>que</w:t>
      </w:r>
      <w:r w:rsidR="00A90047" w:rsidRPr="00D807DF">
        <w:rPr>
          <w:rFonts w:ascii="Arial" w:eastAsia="Calibri" w:hAnsi="Arial" w:cs="Arial"/>
          <w:color w:val="000000" w:themeColor="text1"/>
          <w:lang w:val="es-ES"/>
        </w:rPr>
        <w:t xml:space="preserve"> señala en el literal g) del artículo 11, que todo sujeto obligado debe publicar sus procedimientos, lineamientos, políticas en materia de adquisiciones y compras, así como todos los datos de adjudicación y ejecución de sus contratos. Esta obligación, en principio, fue reglamentada por el Decreto 103 de 2015, hoy compilado en el Decreto 1081 de 2015. Este último señala</w:t>
      </w:r>
      <w:r w:rsidR="00ED4094" w:rsidRPr="00D807DF">
        <w:rPr>
          <w:rFonts w:ascii="Arial" w:eastAsia="Calibri" w:hAnsi="Arial" w:cs="Arial"/>
          <w:color w:val="000000" w:themeColor="text1"/>
          <w:lang w:val="es-ES"/>
        </w:rPr>
        <w:t xml:space="preserve"> </w:t>
      </w:r>
      <w:r w:rsidR="00A90047" w:rsidRPr="00D807DF">
        <w:rPr>
          <w:rFonts w:ascii="Arial" w:eastAsia="Calibri" w:hAnsi="Arial" w:cs="Arial"/>
          <w:color w:val="000000" w:themeColor="text1"/>
          <w:lang w:val="es-ES"/>
        </w:rPr>
        <w:t xml:space="preserve">en el artículo 2.1.1.2.1.7, que las entidades deberán publicar en el SECOP </w:t>
      </w:r>
      <w:r w:rsidR="00A90047" w:rsidRPr="00D807DF">
        <w:rPr>
          <w:rFonts w:ascii="Arial" w:hAnsi="Arial" w:cs="Arial"/>
          <w:color w:val="000000" w:themeColor="text1"/>
          <w:lang w:val="es-ES"/>
        </w:rPr>
        <w:t>la información de su gestión contractual</w:t>
      </w:r>
      <w:r w:rsidR="00A90047" w:rsidRPr="00D807DF">
        <w:rPr>
          <w:rStyle w:val="Refdenotaalpie"/>
          <w:rFonts w:ascii="Arial" w:hAnsi="Arial" w:cs="Arial"/>
          <w:color w:val="000000" w:themeColor="text1"/>
          <w:lang w:val="es-ES"/>
        </w:rPr>
        <w:footnoteReference w:id="33"/>
      </w:r>
      <w:r w:rsidR="00A90047" w:rsidRPr="00D807DF">
        <w:rPr>
          <w:rFonts w:ascii="Arial" w:eastAsia="Calibri" w:hAnsi="Arial" w:cs="Arial"/>
          <w:color w:val="000000" w:themeColor="text1"/>
          <w:lang w:val="es-ES"/>
        </w:rPr>
        <w:t xml:space="preserve">. </w:t>
      </w:r>
    </w:p>
    <w:p w14:paraId="39E19356" w14:textId="5AFE4426" w:rsidR="007B33BE" w:rsidRDefault="002C7241" w:rsidP="002C7241">
      <w:pPr>
        <w:spacing w:after="120" w:line="276" w:lineRule="auto"/>
        <w:ind w:firstLine="709"/>
        <w:jc w:val="both"/>
        <w:rPr>
          <w:rFonts w:ascii="Arial" w:eastAsia="Calibri" w:hAnsi="Arial" w:cs="Arial"/>
          <w:color w:val="000000" w:themeColor="text1"/>
          <w:lang w:val="es-ES"/>
        </w:rPr>
      </w:pPr>
      <w:r w:rsidRPr="00D807DF">
        <w:rPr>
          <w:rFonts w:ascii="Arial" w:eastAsia="Calibri" w:hAnsi="Arial" w:cs="Arial"/>
          <w:color w:val="000000" w:themeColor="text1"/>
          <w:lang w:val="es-ES"/>
        </w:rPr>
        <w:lastRenderedPageBreak/>
        <w:t>As</w:t>
      </w:r>
      <w:r w:rsidR="00180E17" w:rsidRPr="00D807DF">
        <w:rPr>
          <w:rFonts w:ascii="Arial" w:eastAsia="Calibri" w:hAnsi="Arial" w:cs="Arial"/>
          <w:color w:val="000000" w:themeColor="text1"/>
          <w:lang w:val="es-ES"/>
        </w:rPr>
        <w:t>i</w:t>
      </w:r>
      <w:r w:rsidRPr="00D807DF">
        <w:rPr>
          <w:rFonts w:ascii="Arial" w:eastAsia="Calibri" w:hAnsi="Arial" w:cs="Arial"/>
          <w:color w:val="000000" w:themeColor="text1"/>
          <w:lang w:val="es-ES"/>
        </w:rPr>
        <w:t xml:space="preserve">mismo, </w:t>
      </w:r>
      <w:r w:rsidR="00717815" w:rsidRPr="00D807DF">
        <w:rPr>
          <w:rFonts w:ascii="Arial" w:eastAsia="Calibri" w:hAnsi="Arial" w:cs="Arial"/>
          <w:color w:val="000000" w:themeColor="text1"/>
          <w:lang w:val="es-ES"/>
        </w:rPr>
        <w:t>dicho</w:t>
      </w:r>
      <w:r w:rsidRPr="00D807DF">
        <w:rPr>
          <w:rFonts w:ascii="Arial" w:eastAsia="Calibri" w:hAnsi="Arial" w:cs="Arial"/>
          <w:color w:val="000000" w:themeColor="text1"/>
          <w:lang w:val="es-ES"/>
        </w:rPr>
        <w:t xml:space="preserve"> precepto consagra que: </w:t>
      </w:r>
      <w:r w:rsidR="007B33BE" w:rsidRPr="00D807DF">
        <w:rPr>
          <w:rFonts w:ascii="Arial" w:eastAsia="Calibri" w:hAnsi="Arial" w:cs="Arial"/>
          <w:color w:val="000000" w:themeColor="text1"/>
          <w:lang w:val="es-ES"/>
        </w:rPr>
        <w:t>«De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En armonía con lo anterior, el inciso segundo de</w:t>
      </w:r>
      <w:r w:rsidR="006D26B5" w:rsidRPr="00D807DF">
        <w:rPr>
          <w:rFonts w:ascii="Arial" w:eastAsia="Calibri" w:hAnsi="Arial" w:cs="Arial"/>
          <w:color w:val="000000" w:themeColor="text1"/>
          <w:lang w:val="es-ES"/>
        </w:rPr>
        <w:t xml:space="preserve">l precitado </w:t>
      </w:r>
      <w:r w:rsidR="007B33BE" w:rsidRPr="00D807DF">
        <w:rPr>
          <w:rFonts w:ascii="Arial" w:eastAsia="Calibri" w:hAnsi="Arial" w:cs="Arial"/>
          <w:color w:val="000000" w:themeColor="text1"/>
          <w:lang w:val="es-ES"/>
        </w:rPr>
        <w:t xml:space="preserve">artículo precisa el momento para realizar la publicación, remitiendo al mismo plazo establecido en el artículo 2.2.1.1.1.7.1 del Decreto 1082 de 2015, esto es, dentro de los </w:t>
      </w:r>
      <w:r w:rsidRPr="00D807DF">
        <w:rPr>
          <w:rFonts w:ascii="Arial" w:eastAsia="Calibri" w:hAnsi="Arial" w:cs="Arial"/>
          <w:color w:val="000000" w:themeColor="text1"/>
          <w:lang w:val="es-ES"/>
        </w:rPr>
        <w:t>tres (</w:t>
      </w:r>
      <w:r w:rsidR="007B33BE" w:rsidRPr="00D807DF">
        <w:rPr>
          <w:rFonts w:ascii="Arial" w:eastAsia="Calibri" w:hAnsi="Arial" w:cs="Arial"/>
          <w:color w:val="000000" w:themeColor="text1"/>
          <w:lang w:val="es-ES"/>
        </w:rPr>
        <w:t>3</w:t>
      </w:r>
      <w:r w:rsidRPr="00D807DF">
        <w:rPr>
          <w:rFonts w:ascii="Arial" w:eastAsia="Calibri" w:hAnsi="Arial" w:cs="Arial"/>
          <w:color w:val="000000" w:themeColor="text1"/>
          <w:lang w:val="es-ES"/>
        </w:rPr>
        <w:t>)</w:t>
      </w:r>
      <w:r w:rsidR="007B33BE" w:rsidRPr="00D807DF">
        <w:rPr>
          <w:rFonts w:ascii="Arial" w:eastAsia="Calibri" w:hAnsi="Arial" w:cs="Arial"/>
          <w:color w:val="000000" w:themeColor="text1"/>
          <w:lang w:val="es-ES"/>
        </w:rPr>
        <w:t xml:space="preserve"> días siguientes a la expedición del documento. En efecto, el inciso indicado establece: «Los sujetos obligados que contratan con cargo a recursos públicos deben publicar la información de su gestión contractual en el plazo previsto en el artículo 19 del Decreto 1510 de 2013, o el que lo modifique, sustituya o adicione». Cabe aclarar que el artículo 19 indicado fue compilado en el artículo 2.2.1.1.1.7.1 del Decreto 1082 de 2015. </w:t>
      </w:r>
    </w:p>
    <w:p w14:paraId="13E53A8F" w14:textId="77777777" w:rsidR="00EB75FF" w:rsidRPr="00BD40F9" w:rsidRDefault="00EB75FF" w:rsidP="00EB75FF">
      <w:pPr>
        <w:spacing w:after="0" w:line="276" w:lineRule="auto"/>
        <w:ind w:firstLine="709"/>
        <w:contextualSpacing/>
        <w:jc w:val="both"/>
        <w:rPr>
          <w:rFonts w:ascii="Arial" w:eastAsia="Calibri" w:hAnsi="Arial" w:cs="Arial"/>
          <w:lang w:val="es-ES_tradnl" w:eastAsia="es-ES_tradnl"/>
        </w:rPr>
      </w:pPr>
      <w:r>
        <w:rPr>
          <w:rFonts w:ascii="Arial" w:eastAsia="Calibri" w:hAnsi="Arial" w:cs="Arial"/>
          <w:lang w:val="es-ES_tradnl" w:eastAsia="es-ES_tradnl"/>
        </w:rPr>
        <w:t>En armonía con lo anterior,</w:t>
      </w:r>
      <w:r w:rsidRPr="00BD40F9">
        <w:rPr>
          <w:rFonts w:ascii="Arial" w:eastAsia="Calibri" w:hAnsi="Arial" w:cs="Arial"/>
          <w:lang w:val="es-ES_tradnl" w:eastAsia="es-ES_tradnl"/>
        </w:rPr>
        <w:t xml:space="preserve"> </w:t>
      </w:r>
      <w:r w:rsidRPr="00BD40F9">
        <w:rPr>
          <w:rFonts w:ascii="Arial" w:eastAsia="Calibri" w:hAnsi="Arial" w:cs="Arial"/>
          <w:lang w:val="es-ES"/>
        </w:rPr>
        <w:t>la Circular 002 del 1 de junio de 2022</w:t>
      </w:r>
      <w:r w:rsidRPr="00BD40F9">
        <w:rPr>
          <w:rStyle w:val="Refdenotaalpie"/>
          <w:rFonts w:ascii="Arial" w:eastAsia="Calibri" w:hAnsi="Arial" w:cs="Arial"/>
          <w:lang w:val="es-ES"/>
        </w:rPr>
        <w:footnoteReference w:id="34"/>
      </w:r>
      <w:r w:rsidRPr="00BD40F9">
        <w:rPr>
          <w:rFonts w:ascii="Arial" w:eastAsia="Calibri" w:hAnsi="Arial" w:cs="Arial"/>
          <w:lang w:val="es-ES"/>
        </w:rPr>
        <w:t>,</w:t>
      </w:r>
      <w:r>
        <w:rPr>
          <w:rFonts w:ascii="Arial" w:eastAsia="Calibri" w:hAnsi="Arial" w:cs="Arial"/>
          <w:lang w:val="es-ES"/>
        </w:rPr>
        <w:t xml:space="preserve"> relacionada con la aplicación del artículo 53 de la Ley 2195 de 2022,</w:t>
      </w:r>
      <w:r w:rsidRPr="00BD40F9">
        <w:rPr>
          <w:rFonts w:ascii="Arial" w:eastAsia="Calibri" w:hAnsi="Arial" w:cs="Arial"/>
          <w:lang w:val="es-ES"/>
        </w:rPr>
        <w:t xml:space="preserve"> dictada por el Departamento Administrativo de la Presidencia</w:t>
      </w:r>
      <w:r>
        <w:rPr>
          <w:rFonts w:ascii="Arial" w:eastAsia="Calibri" w:hAnsi="Arial" w:cs="Arial"/>
          <w:lang w:val="es-ES"/>
        </w:rPr>
        <w:t>,</w:t>
      </w:r>
      <w:r w:rsidRPr="00BD40F9">
        <w:rPr>
          <w:rFonts w:ascii="Arial" w:eastAsia="Calibri" w:hAnsi="Arial" w:cs="Arial"/>
          <w:lang w:val="es-ES"/>
        </w:rPr>
        <w:t xml:space="preserve"> en relación con el plazo para cargar los documentos </w:t>
      </w:r>
      <w:r>
        <w:rPr>
          <w:rFonts w:ascii="Arial" w:eastAsia="Calibri" w:hAnsi="Arial" w:cs="Arial"/>
          <w:lang w:val="es-ES"/>
        </w:rPr>
        <w:t>señaló lo siguiente</w:t>
      </w:r>
      <w:r w:rsidRPr="00BD40F9">
        <w:rPr>
          <w:rFonts w:ascii="Arial" w:eastAsia="Calibri" w:hAnsi="Arial" w:cs="Arial"/>
          <w:lang w:val="es-ES_tradnl" w:eastAsia="es-ES_tradnl"/>
        </w:rPr>
        <w:t>:</w:t>
      </w:r>
    </w:p>
    <w:p w14:paraId="5C042F4D" w14:textId="77777777" w:rsidR="00EB75FF" w:rsidRPr="00BD40F9" w:rsidRDefault="00EB75FF" w:rsidP="00EB75FF">
      <w:pPr>
        <w:spacing w:after="0" w:line="276" w:lineRule="auto"/>
        <w:ind w:firstLine="709"/>
        <w:contextualSpacing/>
        <w:jc w:val="both"/>
        <w:rPr>
          <w:rFonts w:ascii="Arial" w:eastAsia="Calibri" w:hAnsi="Arial" w:cs="Arial"/>
          <w:lang w:val="es-ES_tradnl" w:eastAsia="es-ES_tradnl"/>
        </w:rPr>
      </w:pPr>
    </w:p>
    <w:p w14:paraId="27979562" w14:textId="77777777" w:rsidR="00EB75FF" w:rsidRPr="00BD40F9" w:rsidRDefault="00EB75FF" w:rsidP="00EB75FF">
      <w:pPr>
        <w:spacing w:after="0" w:line="240" w:lineRule="auto"/>
        <w:ind w:left="709" w:right="709"/>
        <w:contextualSpacing/>
        <w:jc w:val="both"/>
        <w:rPr>
          <w:rFonts w:ascii="Arial" w:eastAsia="Times New Roman" w:hAnsi="Arial" w:cs="Arial"/>
          <w:sz w:val="21"/>
          <w:szCs w:val="21"/>
          <w:lang w:eastAsia="es-ES_tradnl"/>
        </w:rPr>
      </w:pPr>
      <w:r w:rsidRPr="00385061">
        <w:rPr>
          <w:rFonts w:ascii="Arial" w:eastAsia="Times New Roman" w:hAnsi="Arial" w:cs="Arial"/>
          <w:sz w:val="21"/>
          <w:szCs w:val="21"/>
          <w:lang w:eastAsia="es-ES_tradnl"/>
        </w:rPr>
        <w:t xml:space="preserve">Si se utiliza el SECOP </w:t>
      </w:r>
      <w:r>
        <w:rPr>
          <w:rFonts w:ascii="Arial" w:eastAsia="Times New Roman" w:hAnsi="Arial" w:cs="Arial"/>
          <w:sz w:val="21"/>
          <w:szCs w:val="21"/>
          <w:lang w:eastAsia="es-ES_tradnl"/>
        </w:rPr>
        <w:t>II</w:t>
      </w:r>
      <w:r w:rsidRPr="00385061">
        <w:rPr>
          <w:rFonts w:ascii="Arial" w:eastAsia="Times New Roman" w:hAnsi="Arial" w:cs="Arial"/>
          <w:sz w:val="21"/>
          <w:szCs w:val="21"/>
          <w:lang w:eastAsia="es-ES_tradnl"/>
        </w:rPr>
        <w:t xml:space="preserve"> como herramienta de publicidad, la publicación de los documentos relacionados con la actividad contractual deberá realizarse dentro de los 3 días siguientes a su expedición, en aplicación de lo dispuesto en el artículo 2.1.1.2.1.7. del Decreto 1081 de 2015, el cual remite al artículo 2.2.1.1.1.7.1. del Decreto 1082 de 2015, en el que se hace referencia al plazo en cita</w:t>
      </w:r>
      <w:r>
        <w:rPr>
          <w:rFonts w:ascii="Arial" w:eastAsia="Times New Roman" w:hAnsi="Arial" w:cs="Arial"/>
          <w:sz w:val="21"/>
          <w:szCs w:val="21"/>
          <w:lang w:eastAsia="es-ES_tradnl"/>
        </w:rPr>
        <w:t>.</w:t>
      </w:r>
    </w:p>
    <w:p w14:paraId="7D4AA677" w14:textId="77777777" w:rsidR="00EB75FF" w:rsidRPr="00BD40F9" w:rsidRDefault="00EB75FF" w:rsidP="00EB75FF">
      <w:pPr>
        <w:spacing w:after="0" w:line="240" w:lineRule="auto"/>
        <w:ind w:left="709" w:right="709"/>
        <w:contextualSpacing/>
        <w:jc w:val="both"/>
        <w:rPr>
          <w:rFonts w:ascii="Arial" w:eastAsia="Times New Roman" w:hAnsi="Arial" w:cs="Arial"/>
          <w:sz w:val="21"/>
          <w:szCs w:val="21"/>
          <w:lang w:eastAsia="es-ES_tradnl"/>
        </w:rPr>
      </w:pPr>
    </w:p>
    <w:p w14:paraId="33E12994" w14:textId="77777777" w:rsidR="00EB75FF" w:rsidRPr="00BD40F9" w:rsidRDefault="00EB75FF" w:rsidP="00EB75FF">
      <w:pPr>
        <w:spacing w:after="0" w:line="240" w:lineRule="auto"/>
        <w:ind w:left="709" w:right="709"/>
        <w:contextualSpacing/>
        <w:jc w:val="both"/>
        <w:rPr>
          <w:rFonts w:ascii="Arial" w:eastAsia="Calibri" w:hAnsi="Arial" w:cs="Arial"/>
          <w:sz w:val="21"/>
          <w:szCs w:val="21"/>
          <w:lang w:val="es-ES_tradnl" w:eastAsia="es-ES_tradnl"/>
        </w:rPr>
      </w:pPr>
      <w:r w:rsidRPr="00BD40F9">
        <w:rPr>
          <w:rFonts w:ascii="Arial" w:eastAsia="Times New Roman" w:hAnsi="Arial" w:cs="Arial"/>
          <w:sz w:val="21"/>
          <w:szCs w:val="21"/>
          <w:lang w:eastAsia="es-ES_tradnl"/>
        </w:rPr>
        <w:lastRenderedPageBreak/>
        <w:t xml:space="preserve">Si se hace uso de la plataforma de manera transaccional, la publicación de los documentos relacionados con la actividad contractual deberá realizarse en los términos establecidos en el cronograma del proceso de selección y las reglas aplicables a cada modalidad de contratación en particular, de acuerdo con cada Manual de Contratación. </w:t>
      </w:r>
    </w:p>
    <w:p w14:paraId="6004E077" w14:textId="77777777" w:rsidR="00EB75FF" w:rsidRDefault="00EB75FF" w:rsidP="00EB75FF">
      <w:pPr>
        <w:spacing w:after="0" w:line="276" w:lineRule="auto"/>
        <w:contextualSpacing/>
        <w:jc w:val="both"/>
        <w:rPr>
          <w:rFonts w:ascii="Arial" w:eastAsia="Calibri" w:hAnsi="Arial" w:cs="Arial"/>
          <w:b/>
          <w:bCs/>
          <w:szCs w:val="24"/>
          <w:lang w:val="es-ES" w:eastAsia="es-ES_tradnl"/>
        </w:rPr>
      </w:pPr>
    </w:p>
    <w:p w14:paraId="36241CEF" w14:textId="12F3BC36" w:rsidR="00EB75FF" w:rsidRPr="00385061" w:rsidRDefault="00EB75FF" w:rsidP="00EB75FF">
      <w:pPr>
        <w:spacing w:after="0" w:line="276" w:lineRule="auto"/>
        <w:ind w:firstLine="708"/>
        <w:contextualSpacing/>
        <w:jc w:val="both"/>
        <w:rPr>
          <w:rFonts w:ascii="Arial" w:eastAsia="Calibri" w:hAnsi="Arial" w:cs="Arial"/>
          <w:lang w:val="es-ES" w:eastAsia="es-ES_tradnl"/>
        </w:rPr>
      </w:pPr>
      <w:r w:rsidRPr="00385061">
        <w:rPr>
          <w:rFonts w:ascii="Arial" w:eastAsia="Calibri" w:hAnsi="Arial" w:cs="Arial"/>
          <w:lang w:val="es-ES" w:eastAsia="es-ES_tradnl"/>
        </w:rPr>
        <w:t xml:space="preserve">De conformidad con lo expuesto se concluye que el término que tienen las </w:t>
      </w:r>
      <w:r w:rsidR="00FA0996">
        <w:rPr>
          <w:rFonts w:ascii="Arial" w:hAnsi="Arial" w:cs="Arial"/>
          <w:color w:val="333333"/>
          <w:shd w:val="clear" w:color="auto" w:fill="FFFFFF"/>
        </w:rPr>
        <w:t>E</w:t>
      </w:r>
      <w:r w:rsidRPr="00385061">
        <w:rPr>
          <w:rFonts w:ascii="Arial" w:hAnsi="Arial" w:cs="Arial"/>
          <w:color w:val="333333"/>
          <w:shd w:val="clear" w:color="auto" w:fill="FFFFFF"/>
        </w:rPr>
        <w:t xml:space="preserve">ntidades </w:t>
      </w:r>
      <w:r w:rsidR="00FA0996">
        <w:rPr>
          <w:rFonts w:ascii="Arial" w:hAnsi="Arial" w:cs="Arial"/>
          <w:color w:val="333333"/>
          <w:shd w:val="clear" w:color="auto" w:fill="FFFFFF"/>
        </w:rPr>
        <w:t>E</w:t>
      </w:r>
      <w:r w:rsidRPr="00385061">
        <w:rPr>
          <w:rFonts w:ascii="Arial" w:hAnsi="Arial" w:cs="Arial"/>
          <w:color w:val="333333"/>
          <w:shd w:val="clear" w:color="auto" w:fill="FFFFFF"/>
        </w:rPr>
        <w:t xml:space="preserve">statales que por disposición legal cuenten con un régimen contractual excepcional al del Estatuto General de Contratación de la Administración </w:t>
      </w:r>
      <w:r w:rsidRPr="00A82C61">
        <w:rPr>
          <w:rFonts w:ascii="Arial" w:hAnsi="Arial" w:cs="Arial"/>
          <w:color w:val="333333"/>
          <w:shd w:val="clear" w:color="auto" w:fill="FFFFFF"/>
        </w:rPr>
        <w:t>Pública</w:t>
      </w:r>
      <w:r w:rsidRPr="00385061">
        <w:rPr>
          <w:rFonts w:ascii="Arial" w:hAnsi="Arial" w:cs="Arial"/>
          <w:color w:val="333333"/>
          <w:shd w:val="clear" w:color="auto" w:fill="FFFFFF"/>
        </w:rPr>
        <w:t xml:space="preserve">, para publicar en el Secop II es de </w:t>
      </w:r>
      <w:r w:rsidR="00FA0996">
        <w:rPr>
          <w:rFonts w:ascii="Arial" w:hAnsi="Arial" w:cs="Arial"/>
          <w:color w:val="333333"/>
          <w:shd w:val="clear" w:color="auto" w:fill="FFFFFF"/>
        </w:rPr>
        <w:t>tres (</w:t>
      </w:r>
      <w:r w:rsidRPr="00385061">
        <w:rPr>
          <w:rFonts w:ascii="Arial" w:hAnsi="Arial" w:cs="Arial"/>
          <w:color w:val="333333"/>
          <w:shd w:val="clear" w:color="auto" w:fill="FFFFFF"/>
        </w:rPr>
        <w:t>3</w:t>
      </w:r>
      <w:r w:rsidR="00FA0996">
        <w:rPr>
          <w:rFonts w:ascii="Arial" w:hAnsi="Arial" w:cs="Arial"/>
          <w:color w:val="333333"/>
          <w:shd w:val="clear" w:color="auto" w:fill="FFFFFF"/>
        </w:rPr>
        <w:t>)</w:t>
      </w:r>
      <w:r w:rsidRPr="00385061">
        <w:rPr>
          <w:rFonts w:ascii="Arial" w:hAnsi="Arial" w:cs="Arial"/>
          <w:color w:val="333333"/>
          <w:shd w:val="clear" w:color="auto" w:fill="FFFFFF"/>
        </w:rPr>
        <w:t xml:space="preserve"> días. L</w:t>
      </w:r>
      <w:r>
        <w:rPr>
          <w:rFonts w:ascii="Arial" w:hAnsi="Arial" w:cs="Arial"/>
          <w:color w:val="333333"/>
          <w:shd w:val="clear" w:color="auto" w:fill="FFFFFF"/>
        </w:rPr>
        <w:t>o</w:t>
      </w:r>
      <w:r w:rsidRPr="00385061">
        <w:rPr>
          <w:rFonts w:ascii="Arial" w:hAnsi="Arial" w:cs="Arial"/>
          <w:color w:val="333333"/>
          <w:shd w:val="clear" w:color="auto" w:fill="FFFFFF"/>
        </w:rPr>
        <w:t xml:space="preserve"> anterior, sin perjuicio de que dichas entidades hagan uso transaccional de la plataforma, caso en el cual la publicación de los documentos deberá hacerse en tiempo real, de acuerdo con el cronograma definido para el </w:t>
      </w:r>
      <w:r w:rsidR="00FA0996">
        <w:rPr>
          <w:rFonts w:ascii="Arial" w:hAnsi="Arial" w:cs="Arial"/>
          <w:color w:val="333333"/>
          <w:shd w:val="clear" w:color="auto" w:fill="FFFFFF"/>
        </w:rPr>
        <w:t>P</w:t>
      </w:r>
      <w:r w:rsidRPr="00385061">
        <w:rPr>
          <w:rFonts w:ascii="Arial" w:hAnsi="Arial" w:cs="Arial"/>
          <w:color w:val="333333"/>
          <w:shd w:val="clear" w:color="auto" w:fill="FFFFFF"/>
        </w:rPr>
        <w:t xml:space="preserve">roceso </w:t>
      </w:r>
      <w:r w:rsidRPr="00A82C61">
        <w:rPr>
          <w:rFonts w:ascii="Arial" w:hAnsi="Arial" w:cs="Arial"/>
          <w:color w:val="333333"/>
          <w:shd w:val="clear" w:color="auto" w:fill="FFFFFF"/>
        </w:rPr>
        <w:t xml:space="preserve">de </w:t>
      </w:r>
      <w:r w:rsidR="00FA0996">
        <w:rPr>
          <w:rFonts w:ascii="Arial" w:hAnsi="Arial" w:cs="Arial"/>
          <w:color w:val="333333"/>
          <w:shd w:val="clear" w:color="auto" w:fill="FFFFFF"/>
        </w:rPr>
        <w:t>Contratación</w:t>
      </w:r>
      <w:r w:rsidRPr="00385061">
        <w:rPr>
          <w:rFonts w:ascii="Arial" w:hAnsi="Arial" w:cs="Arial"/>
          <w:color w:val="333333"/>
          <w:shd w:val="clear" w:color="auto" w:fill="FFFFFF"/>
        </w:rPr>
        <w:t>.</w:t>
      </w:r>
    </w:p>
    <w:p w14:paraId="61A8CD40" w14:textId="77777777" w:rsidR="00332C44" w:rsidRPr="00D807DF" w:rsidRDefault="00332C44" w:rsidP="002C7241">
      <w:pPr>
        <w:spacing w:after="0" w:line="276" w:lineRule="auto"/>
        <w:contextualSpacing/>
        <w:jc w:val="both"/>
        <w:rPr>
          <w:rFonts w:ascii="Arial" w:eastAsia="Calibri" w:hAnsi="Arial" w:cs="Arial"/>
          <w:b/>
          <w:bCs/>
          <w:color w:val="000000" w:themeColor="text1"/>
          <w:szCs w:val="24"/>
          <w:lang w:val="es-ES" w:eastAsia="es-ES_tradnl"/>
        </w:rPr>
      </w:pPr>
    </w:p>
    <w:p w14:paraId="0B04994E" w14:textId="77777777" w:rsidR="00FB17D4" w:rsidRPr="00D807DF" w:rsidRDefault="00FB17D4" w:rsidP="00FB17D4">
      <w:pPr>
        <w:tabs>
          <w:tab w:val="left" w:pos="0"/>
        </w:tabs>
        <w:spacing w:after="0" w:line="240" w:lineRule="auto"/>
        <w:jc w:val="both"/>
        <w:rPr>
          <w:rFonts w:ascii="Arial" w:eastAsia="Calibri" w:hAnsi="Arial" w:cs="Arial"/>
          <w:b/>
          <w:color w:val="000000" w:themeColor="text1"/>
          <w:szCs w:val="24"/>
          <w:lang w:val="es-ES_tradnl" w:eastAsia="es-ES_tradnl"/>
        </w:rPr>
      </w:pPr>
      <w:r w:rsidRPr="00D807DF">
        <w:rPr>
          <w:rFonts w:ascii="Arial" w:eastAsia="Calibri" w:hAnsi="Arial" w:cs="Arial"/>
          <w:b/>
          <w:color w:val="000000" w:themeColor="text1"/>
          <w:szCs w:val="24"/>
          <w:lang w:val="es-ES_tradnl" w:eastAsia="es-ES_tradnl"/>
        </w:rPr>
        <w:t>3. Respuesta</w:t>
      </w:r>
    </w:p>
    <w:p w14:paraId="4A7A0CD1" w14:textId="77777777" w:rsidR="00FB17D4" w:rsidRPr="00D807DF" w:rsidRDefault="00FB17D4" w:rsidP="00FB17D4">
      <w:pPr>
        <w:tabs>
          <w:tab w:val="left" w:pos="0"/>
        </w:tabs>
        <w:spacing w:after="0" w:line="240" w:lineRule="auto"/>
        <w:jc w:val="both"/>
        <w:rPr>
          <w:rFonts w:ascii="Arial" w:eastAsia="Calibri" w:hAnsi="Arial" w:cs="Arial"/>
          <w:color w:val="000000" w:themeColor="text1"/>
          <w:szCs w:val="24"/>
          <w:lang w:val="es-ES_tradnl" w:eastAsia="es-ES_tradnl"/>
        </w:rPr>
      </w:pPr>
    </w:p>
    <w:p w14:paraId="0DA26598" w14:textId="77777777" w:rsidR="00EB1D47" w:rsidRPr="00D807DF" w:rsidRDefault="00EB1D47" w:rsidP="00EB1D47">
      <w:pPr>
        <w:widowControl w:val="0"/>
        <w:autoSpaceDE w:val="0"/>
        <w:autoSpaceDN w:val="0"/>
        <w:spacing w:after="120" w:line="240" w:lineRule="auto"/>
        <w:ind w:left="709" w:right="709"/>
        <w:jc w:val="both"/>
        <w:rPr>
          <w:rFonts w:ascii="Arial" w:eastAsia="Arial" w:hAnsi="Arial" w:cs="Arial"/>
          <w:sz w:val="21"/>
          <w:szCs w:val="21"/>
          <w:lang w:val="es-ES" w:eastAsia="es-ES" w:bidi="es-ES"/>
        </w:rPr>
      </w:pPr>
      <w:r w:rsidRPr="00D807DF">
        <w:rPr>
          <w:rFonts w:ascii="Arial" w:eastAsia="Arial" w:hAnsi="Arial" w:cs="Arial"/>
          <w:sz w:val="21"/>
          <w:szCs w:val="21"/>
          <w:lang w:val="es-ES" w:eastAsia="es-ES" w:bidi="es-ES"/>
        </w:rPr>
        <w:t>«Un convenio de cooperación interinstitucional celebrado entre una universidad pública y una entidad del estado para la realización de prácticas y/o judicatura de estudiantes, debe ser publicado en SECOP?»</w:t>
      </w:r>
    </w:p>
    <w:p w14:paraId="6CC4C008" w14:textId="77777777" w:rsidR="00FB17D4" w:rsidRPr="00D807DF" w:rsidRDefault="00FB17D4" w:rsidP="00FB17D4">
      <w:pPr>
        <w:spacing w:after="0" w:line="240" w:lineRule="auto"/>
        <w:ind w:left="709" w:right="709"/>
        <w:jc w:val="both"/>
        <w:rPr>
          <w:rFonts w:ascii="Arial" w:eastAsia="Times New Roman" w:hAnsi="Arial" w:cs="Arial"/>
          <w:color w:val="000000" w:themeColor="text1"/>
          <w:sz w:val="21"/>
          <w:szCs w:val="21"/>
          <w:lang w:val="es-ES_tradnl" w:eastAsia="es-ES_tradnl"/>
        </w:rPr>
      </w:pPr>
    </w:p>
    <w:p w14:paraId="2AF322AD" w14:textId="0B06DD8A" w:rsidR="00A06C35" w:rsidRDefault="00EB1D47" w:rsidP="005822D8">
      <w:pPr>
        <w:spacing w:after="120" w:line="276" w:lineRule="auto"/>
        <w:jc w:val="both"/>
        <w:rPr>
          <w:rFonts w:ascii="Arial" w:eastAsia="Calibri" w:hAnsi="Arial" w:cs="Arial"/>
          <w:color w:val="000000" w:themeColor="text1"/>
          <w:lang w:val="es-ES_tradnl"/>
        </w:rPr>
      </w:pPr>
      <w:r w:rsidRPr="00D807DF">
        <w:rPr>
          <w:rFonts w:ascii="Arial" w:hAnsi="Arial" w:cs="Arial"/>
          <w:iCs/>
          <w:color w:val="000000" w:themeColor="text1"/>
          <w:lang w:val="es-ES_tradnl"/>
        </w:rPr>
        <w:t xml:space="preserve">En virtud de lo expuesto, </w:t>
      </w:r>
      <w:r w:rsidR="00334F1B">
        <w:rPr>
          <w:rFonts w:ascii="Arial" w:eastAsia="Calibri" w:hAnsi="Arial" w:cs="Arial"/>
          <w:color w:val="000000" w:themeColor="text1"/>
          <w:lang w:val="es-ES_tradnl"/>
        </w:rPr>
        <w:t>particularmente</w:t>
      </w:r>
      <w:r w:rsidRPr="00D807DF">
        <w:rPr>
          <w:rFonts w:ascii="Arial" w:eastAsia="Calibri" w:hAnsi="Arial" w:cs="Arial"/>
          <w:color w:val="000000" w:themeColor="text1"/>
          <w:lang w:val="es-ES_tradnl"/>
        </w:rPr>
        <w:t xml:space="preserve"> en la consideración 2.</w:t>
      </w:r>
      <w:r w:rsidR="00FD2A28" w:rsidRPr="00D807DF">
        <w:rPr>
          <w:rFonts w:ascii="Arial" w:eastAsia="Calibri" w:hAnsi="Arial" w:cs="Arial"/>
          <w:color w:val="000000" w:themeColor="text1"/>
          <w:lang w:val="es-ES_tradnl"/>
        </w:rPr>
        <w:t>4</w:t>
      </w:r>
      <w:r w:rsidRPr="00D807DF">
        <w:rPr>
          <w:rFonts w:ascii="Arial" w:eastAsia="Calibri" w:hAnsi="Arial" w:cs="Arial"/>
          <w:color w:val="000000" w:themeColor="text1"/>
          <w:lang w:val="es-ES_tradnl"/>
        </w:rPr>
        <w:t xml:space="preserve"> del presente concepto, es preciso advertir que el artículo 53 de la Ley 2195 de 2022 hace referencia a la obligación de las entidades exceptuadas</w:t>
      </w:r>
      <w:r w:rsidR="00334F1B">
        <w:rPr>
          <w:rFonts w:ascii="Arial" w:eastAsia="Calibri" w:hAnsi="Arial" w:cs="Arial"/>
          <w:color w:val="000000" w:themeColor="text1"/>
          <w:lang w:val="es-ES_tradnl"/>
        </w:rPr>
        <w:t>, sobre</w:t>
      </w:r>
      <w:r w:rsidRPr="00D807DF">
        <w:rPr>
          <w:rFonts w:ascii="Arial" w:eastAsia="Calibri" w:hAnsi="Arial" w:cs="Arial"/>
          <w:color w:val="000000" w:themeColor="text1"/>
          <w:lang w:val="es-ES_tradnl"/>
        </w:rPr>
        <w:t xml:space="preserve"> publicar los documentos relacionados con su </w:t>
      </w:r>
      <w:r w:rsidRPr="00D807DF">
        <w:rPr>
          <w:rFonts w:ascii="Arial" w:eastAsia="Calibri" w:hAnsi="Arial" w:cs="Arial"/>
          <w:i/>
          <w:iCs/>
          <w:color w:val="000000" w:themeColor="text1"/>
          <w:lang w:val="es-ES_tradnl"/>
        </w:rPr>
        <w:t>actividad contractual,</w:t>
      </w:r>
      <w:r w:rsidRPr="00D807DF">
        <w:rPr>
          <w:rFonts w:ascii="Arial" w:eastAsia="Calibri" w:hAnsi="Arial" w:cs="Arial"/>
          <w:color w:val="000000" w:themeColor="text1"/>
          <w:lang w:val="es-ES_tradnl"/>
        </w:rPr>
        <w:t xml:space="preserve"> la cual define como «[…] los documentos, contratos, actos e información generada por oferentes, contratista, contratante, supervisor o interventor, tanto en la </w:t>
      </w:r>
      <w:r w:rsidRPr="00D807DF">
        <w:rPr>
          <w:rFonts w:ascii="Arial" w:eastAsia="Calibri" w:hAnsi="Arial" w:cs="Arial"/>
          <w:i/>
          <w:iCs/>
          <w:color w:val="000000" w:themeColor="text1"/>
          <w:lang w:val="es-ES_tradnl"/>
        </w:rPr>
        <w:t>etapa precontractual, como en la contractual y la postcontractual</w:t>
      </w:r>
      <w:r w:rsidRPr="00D807DF">
        <w:rPr>
          <w:rFonts w:ascii="Arial" w:eastAsia="Calibri" w:hAnsi="Arial" w:cs="Arial"/>
          <w:color w:val="000000" w:themeColor="text1"/>
          <w:lang w:val="es-ES_tradnl"/>
        </w:rPr>
        <w:t xml:space="preserve">». </w:t>
      </w:r>
    </w:p>
    <w:p w14:paraId="2CC4DBB3" w14:textId="09A21B04" w:rsidR="00EB1D47" w:rsidRPr="00D807DF" w:rsidRDefault="00EB1D47" w:rsidP="00575697">
      <w:pPr>
        <w:spacing w:after="120" w:line="276" w:lineRule="auto"/>
        <w:ind w:firstLine="708"/>
        <w:jc w:val="both"/>
        <w:rPr>
          <w:rFonts w:ascii="Arial" w:eastAsia="Calibri" w:hAnsi="Arial" w:cs="Arial"/>
          <w:strike/>
          <w:color w:val="000000" w:themeColor="text1"/>
          <w:lang w:val="es-ES" w:eastAsia="es-ES"/>
        </w:rPr>
      </w:pPr>
      <w:r w:rsidRPr="00D807DF">
        <w:rPr>
          <w:rFonts w:ascii="Arial" w:eastAsia="Calibri" w:hAnsi="Arial" w:cs="Arial"/>
          <w:color w:val="000000" w:themeColor="text1"/>
          <w:lang w:val="es-ES_tradnl"/>
        </w:rPr>
        <w:t>En ese sentido, la citada disposición establece el deber de publicar toda aquella información relacionada con el respectivo contrato, sin incluir ninguna excepción relacionada con la naturaleza u objeto contractual. Por lo tanto, para que las entidades exceptuadas cumplan con el deber de publicidad consagrado en el artículo 53 de la Ley 2195 de 2022, se requiere que publiquen en el SECOP II todo documento expedido durante las diferentes etapas del proceso contractual, abarcando desde la fase previa a su celebración, pasando por la ejecución y hasta la fase posterior a su ejecución.</w:t>
      </w:r>
    </w:p>
    <w:p w14:paraId="018838FC" w14:textId="7095CA16" w:rsidR="00716AC7" w:rsidRPr="00D807DF" w:rsidRDefault="00EB1D47" w:rsidP="008D38A0">
      <w:pPr>
        <w:spacing w:before="120" w:after="120" w:line="276" w:lineRule="auto"/>
        <w:ind w:firstLine="709"/>
        <w:jc w:val="both"/>
        <w:rPr>
          <w:rFonts w:ascii="Arial" w:hAnsi="Arial" w:cs="Arial"/>
          <w:iCs/>
          <w:color w:val="000000" w:themeColor="text1"/>
          <w:lang w:val="es-ES_tradnl"/>
        </w:rPr>
      </w:pPr>
      <w:r w:rsidRPr="00D807DF">
        <w:rPr>
          <w:rFonts w:ascii="Arial" w:eastAsia="Calibri" w:hAnsi="Arial" w:cs="Arial"/>
          <w:color w:val="000000" w:themeColor="text1"/>
          <w:lang w:val="es-ES_tradnl"/>
        </w:rPr>
        <w:t>Así pues</w:t>
      </w:r>
      <w:r w:rsidR="00A23646" w:rsidRPr="00D807DF">
        <w:rPr>
          <w:rFonts w:ascii="Arial" w:eastAsia="Calibri" w:hAnsi="Arial" w:cs="Arial"/>
          <w:color w:val="000000" w:themeColor="text1"/>
          <w:lang w:val="es-ES_tradnl"/>
        </w:rPr>
        <w:t xml:space="preserve">, </w:t>
      </w:r>
      <w:r w:rsidRPr="00D807DF">
        <w:rPr>
          <w:rFonts w:ascii="Arial" w:hAnsi="Arial" w:cs="Arial"/>
          <w:iCs/>
          <w:color w:val="000000" w:themeColor="text1"/>
          <w:lang w:val="es-ES_tradnl"/>
        </w:rPr>
        <w:t>los convenios o contratos interadministrativos</w:t>
      </w:r>
      <w:r w:rsidR="00A06C35">
        <w:rPr>
          <w:rFonts w:ascii="Arial" w:hAnsi="Arial" w:cs="Arial"/>
          <w:iCs/>
          <w:color w:val="000000" w:themeColor="text1"/>
          <w:lang w:val="es-ES_tradnl"/>
        </w:rPr>
        <w:t>, sin importar su denominación,</w:t>
      </w:r>
      <w:r w:rsidR="00A06C35" w:rsidRPr="00D807DF">
        <w:rPr>
          <w:rFonts w:ascii="Arial" w:hAnsi="Arial" w:cs="Arial"/>
          <w:iCs/>
          <w:color w:val="000000" w:themeColor="text1"/>
          <w:lang w:val="es-ES_tradnl"/>
        </w:rPr>
        <w:t xml:space="preserve"> </w:t>
      </w:r>
      <w:r w:rsidRPr="00D807DF">
        <w:rPr>
          <w:rFonts w:ascii="Arial" w:hAnsi="Arial" w:cs="Arial"/>
          <w:iCs/>
          <w:color w:val="000000" w:themeColor="text1"/>
          <w:lang w:val="es-ES_tradnl"/>
        </w:rPr>
        <w:t xml:space="preserve">suscritos </w:t>
      </w:r>
      <w:r w:rsidR="00C229F2" w:rsidRPr="00D807DF">
        <w:rPr>
          <w:rFonts w:ascii="Arial" w:hAnsi="Arial" w:cs="Arial"/>
          <w:iCs/>
          <w:color w:val="000000" w:themeColor="text1"/>
          <w:lang w:val="es-ES_tradnl"/>
        </w:rPr>
        <w:t>entre</w:t>
      </w:r>
      <w:r w:rsidRPr="00D807DF">
        <w:rPr>
          <w:rFonts w:ascii="Arial" w:hAnsi="Arial" w:cs="Arial"/>
          <w:iCs/>
          <w:color w:val="000000" w:themeColor="text1"/>
          <w:lang w:val="es-ES_tradnl"/>
        </w:rPr>
        <w:t xml:space="preserve"> universidades públicas</w:t>
      </w:r>
      <w:r w:rsidR="00A06C35">
        <w:rPr>
          <w:rFonts w:ascii="Arial" w:hAnsi="Arial" w:cs="Arial"/>
          <w:iCs/>
          <w:color w:val="000000" w:themeColor="text1"/>
          <w:lang w:val="es-ES_tradnl"/>
        </w:rPr>
        <w:t xml:space="preserve"> que</w:t>
      </w:r>
      <w:r w:rsidR="00FA0996">
        <w:rPr>
          <w:rFonts w:ascii="Arial" w:hAnsi="Arial" w:cs="Arial"/>
          <w:iCs/>
          <w:color w:val="000000" w:themeColor="text1"/>
          <w:lang w:val="es-ES_tradnl"/>
        </w:rPr>
        <w:t>,</w:t>
      </w:r>
      <w:r w:rsidR="00A06C35">
        <w:rPr>
          <w:rFonts w:ascii="Arial" w:hAnsi="Arial" w:cs="Arial"/>
          <w:iCs/>
          <w:color w:val="000000" w:themeColor="text1"/>
          <w:lang w:val="es-ES_tradnl"/>
        </w:rPr>
        <w:t xml:space="preserve"> como se estableció son </w:t>
      </w:r>
      <w:r w:rsidR="00FA0996">
        <w:rPr>
          <w:rFonts w:ascii="Arial" w:hAnsi="Arial" w:cs="Arial"/>
          <w:iCs/>
          <w:color w:val="000000" w:themeColor="text1"/>
          <w:lang w:val="es-ES_tradnl"/>
        </w:rPr>
        <w:t>E</w:t>
      </w:r>
      <w:r w:rsidR="00A06C35">
        <w:rPr>
          <w:rFonts w:ascii="Arial" w:hAnsi="Arial" w:cs="Arial"/>
          <w:iCs/>
          <w:color w:val="000000" w:themeColor="text1"/>
          <w:lang w:val="es-ES_tradnl"/>
        </w:rPr>
        <w:t xml:space="preserve">ntidades </w:t>
      </w:r>
      <w:r w:rsidR="00FA0996">
        <w:rPr>
          <w:rFonts w:ascii="Arial" w:hAnsi="Arial" w:cs="Arial"/>
          <w:iCs/>
          <w:color w:val="000000" w:themeColor="text1"/>
          <w:lang w:val="es-ES_tradnl"/>
        </w:rPr>
        <w:t>E</w:t>
      </w:r>
      <w:r w:rsidR="00A06C35">
        <w:rPr>
          <w:rFonts w:ascii="Arial" w:hAnsi="Arial" w:cs="Arial"/>
          <w:iCs/>
          <w:color w:val="000000" w:themeColor="text1"/>
          <w:lang w:val="es-ES_tradnl"/>
        </w:rPr>
        <w:t>statales de régimen especial</w:t>
      </w:r>
      <w:r w:rsidR="00716AC7" w:rsidRPr="00D807DF">
        <w:rPr>
          <w:rFonts w:ascii="Arial" w:hAnsi="Arial" w:cs="Arial"/>
          <w:iCs/>
          <w:color w:val="000000" w:themeColor="text1"/>
          <w:lang w:val="es-ES_tradnl"/>
        </w:rPr>
        <w:t>,</w:t>
      </w:r>
      <w:r w:rsidR="00A06C35">
        <w:rPr>
          <w:rFonts w:ascii="Arial" w:hAnsi="Arial" w:cs="Arial"/>
          <w:iCs/>
          <w:color w:val="000000" w:themeColor="text1"/>
          <w:lang w:val="es-ES_tradnl"/>
        </w:rPr>
        <w:t xml:space="preserve"> </w:t>
      </w:r>
      <w:r w:rsidR="00716AC7" w:rsidRPr="00D807DF">
        <w:rPr>
          <w:rFonts w:ascii="Arial" w:hAnsi="Arial" w:cs="Arial"/>
          <w:iCs/>
          <w:color w:val="000000" w:themeColor="text1"/>
          <w:lang w:val="es-ES_tradnl"/>
        </w:rPr>
        <w:t xml:space="preserve">deberán publicar en el </w:t>
      </w:r>
      <w:r w:rsidR="00A86E62" w:rsidRPr="00D807DF">
        <w:rPr>
          <w:rFonts w:ascii="Arial" w:hAnsi="Arial" w:cs="Arial"/>
          <w:iCs/>
          <w:color w:val="000000" w:themeColor="text1"/>
          <w:lang w:val="es-ES_tradnl"/>
        </w:rPr>
        <w:t>SECOP</w:t>
      </w:r>
      <w:r w:rsidR="00A86E62">
        <w:rPr>
          <w:rFonts w:ascii="Arial" w:hAnsi="Arial" w:cs="Arial"/>
          <w:iCs/>
          <w:color w:val="000000" w:themeColor="text1"/>
          <w:lang w:val="es-ES_tradnl"/>
        </w:rPr>
        <w:t xml:space="preserve"> </w:t>
      </w:r>
      <w:r w:rsidR="00A86E62" w:rsidRPr="00834E5C">
        <w:rPr>
          <w:rFonts w:ascii="Arial" w:eastAsia="Calibri" w:hAnsi="Arial" w:cs="Arial"/>
          <w:color w:val="000000" w:themeColor="text1"/>
          <w:lang w:val="es-ES"/>
        </w:rPr>
        <w:t>dentro</w:t>
      </w:r>
      <w:r w:rsidR="00834E5C" w:rsidRPr="00D807DF">
        <w:rPr>
          <w:rFonts w:ascii="Arial" w:eastAsia="Calibri" w:hAnsi="Arial" w:cs="Arial"/>
          <w:color w:val="000000" w:themeColor="text1"/>
          <w:lang w:val="es-ES"/>
        </w:rPr>
        <w:t xml:space="preserve"> de los tres (3) días siguientes a la expedición </w:t>
      </w:r>
      <w:r w:rsidR="00834E5C">
        <w:rPr>
          <w:rFonts w:ascii="Arial" w:eastAsia="Calibri" w:hAnsi="Arial" w:cs="Arial"/>
          <w:color w:val="000000" w:themeColor="text1"/>
          <w:lang w:val="es-ES"/>
        </w:rPr>
        <w:t xml:space="preserve">de los </w:t>
      </w:r>
      <w:r w:rsidR="00FA0996">
        <w:rPr>
          <w:rFonts w:ascii="Arial" w:eastAsia="Calibri" w:hAnsi="Arial" w:cs="Arial"/>
          <w:color w:val="000000" w:themeColor="text1"/>
          <w:lang w:val="es-ES"/>
        </w:rPr>
        <w:t>D</w:t>
      </w:r>
      <w:r w:rsidR="00834E5C">
        <w:rPr>
          <w:rFonts w:ascii="Arial" w:eastAsia="Calibri" w:hAnsi="Arial" w:cs="Arial"/>
          <w:color w:val="000000" w:themeColor="text1"/>
          <w:lang w:val="es-ES"/>
        </w:rPr>
        <w:t xml:space="preserve">ocumentos del </w:t>
      </w:r>
      <w:r w:rsidR="00FA0996">
        <w:rPr>
          <w:rFonts w:ascii="Arial" w:eastAsia="Calibri" w:hAnsi="Arial" w:cs="Arial"/>
          <w:color w:val="000000" w:themeColor="text1"/>
          <w:lang w:val="es-ES"/>
        </w:rPr>
        <w:t>P</w:t>
      </w:r>
      <w:r w:rsidR="00834E5C">
        <w:rPr>
          <w:rFonts w:ascii="Arial" w:eastAsia="Calibri" w:hAnsi="Arial" w:cs="Arial"/>
          <w:color w:val="000000" w:themeColor="text1"/>
          <w:lang w:val="es-ES"/>
        </w:rPr>
        <w:t>roceso</w:t>
      </w:r>
      <w:r w:rsidR="002C4C15">
        <w:rPr>
          <w:rFonts w:ascii="Arial" w:hAnsi="Arial" w:cs="Arial"/>
          <w:iCs/>
          <w:color w:val="000000" w:themeColor="text1"/>
          <w:lang w:val="es-ES_tradnl"/>
        </w:rPr>
        <w:t>,</w:t>
      </w:r>
      <w:r w:rsidR="00716AC7" w:rsidRPr="00D807DF">
        <w:rPr>
          <w:rFonts w:ascii="Arial" w:hAnsi="Arial" w:cs="Arial"/>
          <w:iCs/>
          <w:color w:val="000000" w:themeColor="text1"/>
          <w:lang w:val="es-ES_tradnl"/>
        </w:rPr>
        <w:t xml:space="preserve"> por parte del ente </w:t>
      </w:r>
      <w:r w:rsidR="00716AC7" w:rsidRPr="00D807DF">
        <w:rPr>
          <w:rFonts w:ascii="Arial" w:hAnsi="Arial" w:cs="Arial"/>
          <w:iCs/>
          <w:color w:val="000000" w:themeColor="text1"/>
          <w:lang w:val="es-ES_tradnl"/>
        </w:rPr>
        <w:lastRenderedPageBreak/>
        <w:t xml:space="preserve">contratante o el que adelantó </w:t>
      </w:r>
      <w:r w:rsidR="0096063A">
        <w:rPr>
          <w:rFonts w:ascii="Arial" w:hAnsi="Arial" w:cs="Arial"/>
          <w:iCs/>
          <w:color w:val="000000" w:themeColor="text1"/>
          <w:lang w:val="es-ES_tradnl"/>
        </w:rPr>
        <w:t>la</w:t>
      </w:r>
      <w:r w:rsidR="00716AC7" w:rsidRPr="00D807DF">
        <w:rPr>
          <w:rFonts w:ascii="Arial" w:hAnsi="Arial" w:cs="Arial"/>
          <w:iCs/>
          <w:color w:val="000000" w:themeColor="text1"/>
          <w:lang w:val="es-ES_tradnl"/>
        </w:rPr>
        <w:t xml:space="preserve"> contratación</w:t>
      </w:r>
      <w:r w:rsidR="00E80579">
        <w:rPr>
          <w:rFonts w:ascii="Arial" w:hAnsi="Arial" w:cs="Arial"/>
          <w:iCs/>
          <w:color w:val="000000" w:themeColor="text1"/>
          <w:lang w:val="es-ES_tradnl"/>
        </w:rPr>
        <w:t>. Esto, sin perjuicio de q</w:t>
      </w:r>
      <w:r w:rsidR="00D21002">
        <w:rPr>
          <w:rFonts w:ascii="Arial" w:hAnsi="Arial" w:cs="Arial"/>
          <w:iCs/>
          <w:color w:val="000000" w:themeColor="text1"/>
          <w:lang w:val="es-ES_tradnl"/>
        </w:rPr>
        <w:t>ue dichos convenios o contratos interadministrativos causen o no erogación presupuestal.</w:t>
      </w:r>
    </w:p>
    <w:p w14:paraId="28E8BC27" w14:textId="77777777" w:rsidR="00EB1D47" w:rsidRPr="00D807DF" w:rsidRDefault="00EB1D47" w:rsidP="00EB1D47">
      <w:pPr>
        <w:spacing w:after="0"/>
        <w:jc w:val="both"/>
        <w:rPr>
          <w:rFonts w:ascii="Arial" w:hAnsi="Arial" w:cs="Arial"/>
          <w:iCs/>
          <w:color w:val="000000" w:themeColor="text1"/>
          <w:lang w:val="es-ES_tradnl"/>
        </w:rPr>
      </w:pPr>
    </w:p>
    <w:p w14:paraId="28BF3CE6" w14:textId="5B8AD5DD" w:rsidR="00FB17D4" w:rsidRPr="00D807DF" w:rsidRDefault="00FB17D4" w:rsidP="00FB17D4">
      <w:pPr>
        <w:spacing w:after="0" w:line="276" w:lineRule="auto"/>
        <w:jc w:val="both"/>
        <w:rPr>
          <w:rFonts w:ascii="Arial" w:eastAsia="Times New Roman" w:hAnsi="Arial" w:cs="Arial"/>
          <w:color w:val="000000" w:themeColor="text1"/>
          <w:szCs w:val="24"/>
          <w:lang w:val="es-ES_tradnl" w:eastAsia="es-ES_tradnl"/>
        </w:rPr>
      </w:pPr>
      <w:r w:rsidRPr="00D807DF">
        <w:rPr>
          <w:rFonts w:ascii="Arial" w:eastAsia="Times New Roman" w:hAnsi="Arial" w:cs="Arial"/>
          <w:color w:val="000000" w:themeColor="text1"/>
          <w:szCs w:val="24"/>
          <w:lang w:val="es-ES_tradnl" w:eastAsia="es-ES_tradnl"/>
        </w:rPr>
        <w:t>Este concepto tiene el alcance previsto en el artículo 28 del Código de Procedimiento Administrativo y de lo Contencioso Administrativo</w:t>
      </w:r>
      <w:r w:rsidR="00FA0996">
        <w:rPr>
          <w:rFonts w:ascii="Arial" w:eastAsia="Times New Roman" w:hAnsi="Arial" w:cs="Arial"/>
          <w:color w:val="000000" w:themeColor="text1"/>
          <w:szCs w:val="24"/>
          <w:lang w:val="es-ES_tradnl" w:eastAsia="es-ES_tradnl"/>
        </w:rPr>
        <w:t xml:space="preserve"> </w:t>
      </w:r>
      <w:r w:rsidR="00FA0996">
        <w:rPr>
          <w:rFonts w:ascii="Arial" w:hAnsi="Arial" w:cs="Arial"/>
          <w:bCs/>
          <w:color w:val="000000" w:themeColor="text1"/>
        </w:rPr>
        <w:t xml:space="preserve">y </w:t>
      </w:r>
      <w:r w:rsidR="00FA0996">
        <w:rPr>
          <w:rFonts w:ascii="Arial" w:hAnsi="Arial" w:cs="Arial"/>
        </w:rPr>
        <w:t>l</w:t>
      </w:r>
      <w:r w:rsidR="00FA0996" w:rsidRPr="00301C53">
        <w:rPr>
          <w:rFonts w:ascii="Arial" w:hAnsi="Arial" w:cs="Arial"/>
        </w:rPr>
        <w:t xml:space="preserve">as expresiones aquí utilizadas con mayúscula inicial deben ser entendidas con el significado que </w:t>
      </w:r>
      <w:r w:rsidR="00FA0996">
        <w:rPr>
          <w:rFonts w:ascii="Arial" w:hAnsi="Arial" w:cs="Arial"/>
        </w:rPr>
        <w:t xml:space="preserve">les otorga el artículo </w:t>
      </w:r>
      <w:r w:rsidR="00FA0996" w:rsidRPr="00301C53">
        <w:rPr>
          <w:rFonts w:ascii="Arial" w:hAnsi="Arial" w:cs="Arial"/>
        </w:rPr>
        <w:t>2.2.1.1.1.3.1.</w:t>
      </w:r>
      <w:r w:rsidR="00FA0996">
        <w:rPr>
          <w:rFonts w:ascii="Arial" w:hAnsi="Arial" w:cs="Arial"/>
        </w:rPr>
        <w:t xml:space="preserve"> del Decreto 1082 de 2015</w:t>
      </w:r>
      <w:r w:rsidR="00A86E62">
        <w:rPr>
          <w:rFonts w:ascii="Arial" w:hAnsi="Arial" w:cs="Arial"/>
        </w:rPr>
        <w:t>.</w:t>
      </w:r>
    </w:p>
    <w:p w14:paraId="4B8FFF0C" w14:textId="0BF67C2D" w:rsidR="00FB17D4" w:rsidRPr="00D807DF" w:rsidRDefault="00FB17D4" w:rsidP="00FB17D4">
      <w:pPr>
        <w:spacing w:after="0" w:line="276" w:lineRule="auto"/>
        <w:jc w:val="both"/>
        <w:rPr>
          <w:rFonts w:ascii="Arial" w:eastAsia="Times New Roman" w:hAnsi="Arial" w:cs="Arial"/>
          <w:color w:val="000000" w:themeColor="text1"/>
          <w:lang w:val="es-ES_tradnl" w:eastAsia="es-CO"/>
        </w:rPr>
      </w:pPr>
    </w:p>
    <w:p w14:paraId="6E3851BD" w14:textId="03DC1B67" w:rsidR="00FB17D4" w:rsidRDefault="00FB17D4" w:rsidP="00FB17D4">
      <w:pPr>
        <w:spacing w:after="0" w:line="276" w:lineRule="auto"/>
        <w:jc w:val="both"/>
        <w:rPr>
          <w:rFonts w:ascii="Arial" w:eastAsia="Times New Roman" w:hAnsi="Arial" w:cs="Arial"/>
          <w:color w:val="000000" w:themeColor="text1"/>
          <w:lang w:val="es-ES_tradnl" w:eastAsia="es-CO"/>
        </w:rPr>
      </w:pPr>
      <w:r w:rsidRPr="00D807DF">
        <w:rPr>
          <w:rFonts w:ascii="Arial" w:eastAsia="Times New Roman" w:hAnsi="Arial" w:cs="Arial"/>
          <w:color w:val="000000" w:themeColor="text1"/>
          <w:lang w:val="es-ES_tradnl" w:eastAsia="es-CO"/>
        </w:rPr>
        <w:t>Atentamente,</w:t>
      </w:r>
    </w:p>
    <w:p w14:paraId="2E13E336" w14:textId="4AD6F65C" w:rsidR="00EB75FF" w:rsidRPr="00D807DF" w:rsidRDefault="00EB75FF" w:rsidP="00A86E62">
      <w:pPr>
        <w:spacing w:after="0" w:line="276" w:lineRule="auto"/>
        <w:jc w:val="center"/>
        <w:rPr>
          <w:rFonts w:ascii="Arial" w:eastAsia="Times New Roman" w:hAnsi="Arial" w:cs="Arial"/>
          <w:color w:val="000000" w:themeColor="text1"/>
          <w:lang w:val="es-ES_tradnl" w:eastAsia="es-CO"/>
        </w:rPr>
      </w:pPr>
      <w:r>
        <w:rPr>
          <w:noProof/>
        </w:rPr>
        <w:drawing>
          <wp:inline distT="0" distB="0" distL="0" distR="0" wp14:anchorId="33B5FDF7" wp14:editId="67DCBEB3">
            <wp:extent cx="2759075" cy="861695"/>
            <wp:effectExtent l="0" t="0" r="3175" b="0"/>
            <wp:docPr id="4" name="Imagen 4"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 Carta&#10;&#10;Descripción generada automáticamente"/>
                    <pic:cNvPicPr>
                      <a:picLocks noChangeAspect="1"/>
                    </pic:cNvPicPr>
                  </pic:nvPicPr>
                  <pic:blipFill>
                    <a:blip r:embed="rId12"/>
                    <a:stretch>
                      <a:fillRect/>
                    </a:stretch>
                  </pic:blipFill>
                  <pic:spPr>
                    <a:xfrm>
                      <a:off x="0" y="0"/>
                      <a:ext cx="2759075" cy="861695"/>
                    </a:xfrm>
                    <a:prstGeom prst="rect">
                      <a:avLst/>
                    </a:prstGeom>
                  </pic:spPr>
                </pic:pic>
              </a:graphicData>
            </a:graphic>
          </wp:inline>
        </w:drawing>
      </w:r>
    </w:p>
    <w:p w14:paraId="05623D97" w14:textId="519B6796" w:rsidR="00BC31B2" w:rsidRPr="00D807DF" w:rsidRDefault="00BC31B2" w:rsidP="00BC31B2">
      <w:pPr>
        <w:spacing w:before="120" w:after="0" w:line="276" w:lineRule="auto"/>
        <w:jc w:val="center"/>
        <w:rPr>
          <w:rFonts w:ascii="Arial" w:hAnsi="Arial" w:cs="Arial"/>
          <w:color w:val="000000" w:themeColor="text1"/>
          <w:sz w:val="18"/>
          <w:szCs w:val="20"/>
          <w:lang w:val="es-ES_tradnl" w:eastAsia="es-CO"/>
        </w:rPr>
      </w:pPr>
      <w:bookmarkStart w:id="8" w:name="_Hlk108446929"/>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EB75FF" w:rsidRPr="00EB75FF" w14:paraId="1F05646A" w14:textId="77777777" w:rsidTr="6FF1B5D0">
        <w:trPr>
          <w:trHeight w:val="286"/>
        </w:trPr>
        <w:tc>
          <w:tcPr>
            <w:tcW w:w="817" w:type="dxa"/>
            <w:vAlign w:val="center"/>
          </w:tcPr>
          <w:p w14:paraId="59F5A704" w14:textId="77777777" w:rsidR="004F69A8" w:rsidRPr="00A86E62" w:rsidRDefault="004F69A8" w:rsidP="00082018">
            <w:pPr>
              <w:rPr>
                <w:rFonts w:ascii="Arial" w:hAnsi="Arial" w:cs="Arial"/>
                <w:sz w:val="16"/>
                <w:szCs w:val="16"/>
              </w:rPr>
            </w:pPr>
            <w:r w:rsidRPr="00A86E62">
              <w:rPr>
                <w:rFonts w:ascii="Arial" w:hAnsi="Arial" w:cs="Arial"/>
                <w:sz w:val="16"/>
                <w:szCs w:val="16"/>
              </w:rPr>
              <w:t>Elaboró:</w:t>
            </w:r>
          </w:p>
        </w:tc>
        <w:tc>
          <w:tcPr>
            <w:tcW w:w="4445" w:type="dxa"/>
            <w:tcBorders>
              <w:bottom w:val="dotted" w:sz="4" w:space="0" w:color="7F7F7F" w:themeColor="text1" w:themeTint="80"/>
            </w:tcBorders>
            <w:vAlign w:val="center"/>
          </w:tcPr>
          <w:p w14:paraId="4288D8E9" w14:textId="5DA38ACB" w:rsidR="4ED047DB" w:rsidRPr="00EB75FF" w:rsidRDefault="4ED047DB" w:rsidP="6FF1B5D0">
            <w:pPr>
              <w:spacing w:line="259" w:lineRule="auto"/>
            </w:pPr>
            <w:r w:rsidRPr="00A86E62">
              <w:rPr>
                <w:rFonts w:ascii="Arial" w:hAnsi="Arial" w:cs="Arial"/>
                <w:sz w:val="16"/>
                <w:szCs w:val="16"/>
              </w:rPr>
              <w:t xml:space="preserve">Julio César Martelo </w:t>
            </w:r>
            <w:proofErr w:type="spellStart"/>
            <w:r w:rsidRPr="00A86E62">
              <w:rPr>
                <w:rFonts w:ascii="Arial" w:hAnsi="Arial" w:cs="Arial"/>
                <w:sz w:val="16"/>
                <w:szCs w:val="16"/>
              </w:rPr>
              <w:t>Martelo</w:t>
            </w:r>
            <w:proofErr w:type="spellEnd"/>
          </w:p>
          <w:p w14:paraId="07ECB5C1" w14:textId="24B3604B" w:rsidR="004F69A8" w:rsidRPr="00A86E62" w:rsidRDefault="004F69A8" w:rsidP="00082018">
            <w:pPr>
              <w:rPr>
                <w:rFonts w:ascii="Arial" w:hAnsi="Arial" w:cs="Arial"/>
                <w:sz w:val="16"/>
                <w:szCs w:val="16"/>
              </w:rPr>
            </w:pPr>
            <w:r w:rsidRPr="00A86E62">
              <w:rPr>
                <w:rFonts w:ascii="Arial" w:hAnsi="Arial" w:cs="Arial"/>
                <w:sz w:val="16"/>
                <w:szCs w:val="16"/>
              </w:rPr>
              <w:t>Subdirección de Gestión Contractual</w:t>
            </w:r>
          </w:p>
        </w:tc>
      </w:tr>
      <w:tr w:rsidR="00EB75FF" w:rsidRPr="00EB75FF" w14:paraId="75FFD2CA" w14:textId="77777777" w:rsidTr="6FF1B5D0">
        <w:trPr>
          <w:trHeight w:val="299"/>
        </w:trPr>
        <w:tc>
          <w:tcPr>
            <w:tcW w:w="817" w:type="dxa"/>
            <w:vAlign w:val="center"/>
          </w:tcPr>
          <w:p w14:paraId="2CE9EBEF" w14:textId="77777777" w:rsidR="004F69A8" w:rsidRPr="00A86E62" w:rsidRDefault="004F69A8" w:rsidP="6FF1B5D0">
            <w:pPr>
              <w:rPr>
                <w:rFonts w:ascii="Arial" w:hAnsi="Arial" w:cs="Arial"/>
                <w:sz w:val="16"/>
                <w:szCs w:val="16"/>
              </w:rPr>
            </w:pPr>
            <w:r w:rsidRPr="00A86E62">
              <w:rPr>
                <w:rFonts w:ascii="Arial" w:hAnsi="Arial" w:cs="Arial"/>
                <w:sz w:val="16"/>
                <w:szCs w:val="16"/>
              </w:rPr>
              <w:t>Revisó:</w:t>
            </w:r>
          </w:p>
        </w:tc>
        <w:tc>
          <w:tcPr>
            <w:tcW w:w="4445" w:type="dxa"/>
            <w:tcBorders>
              <w:top w:val="dotted" w:sz="4" w:space="0" w:color="7F7F7F" w:themeColor="text1" w:themeTint="80"/>
              <w:bottom w:val="dotted" w:sz="4" w:space="0" w:color="7F7F7F" w:themeColor="text1" w:themeTint="80"/>
            </w:tcBorders>
            <w:vAlign w:val="center"/>
          </w:tcPr>
          <w:p w14:paraId="250CF6DC" w14:textId="3FD67726" w:rsidR="004F69A8" w:rsidRPr="00A86E62" w:rsidRDefault="00EB75FF" w:rsidP="6FF1B5D0">
            <w:pPr>
              <w:rPr>
                <w:rFonts w:ascii="Arial" w:hAnsi="Arial" w:cs="Arial"/>
                <w:sz w:val="16"/>
                <w:szCs w:val="16"/>
              </w:rPr>
            </w:pPr>
            <w:r w:rsidRPr="00A86E62">
              <w:rPr>
                <w:rFonts w:ascii="Arial" w:hAnsi="Arial" w:cs="Arial"/>
                <w:sz w:val="16"/>
                <w:szCs w:val="16"/>
              </w:rPr>
              <w:t>Ximena Ríos López</w:t>
            </w:r>
          </w:p>
          <w:p w14:paraId="7D6710E3" w14:textId="244D744B" w:rsidR="004F69A8" w:rsidRPr="00A86E62" w:rsidRDefault="00EB1D47" w:rsidP="6FF1B5D0">
            <w:pPr>
              <w:rPr>
                <w:rFonts w:ascii="Arial" w:hAnsi="Arial" w:cs="Arial"/>
                <w:sz w:val="16"/>
                <w:szCs w:val="16"/>
              </w:rPr>
            </w:pPr>
            <w:r w:rsidRPr="00A86E62">
              <w:rPr>
                <w:rFonts w:ascii="Arial" w:hAnsi="Arial" w:cs="Arial"/>
                <w:sz w:val="16"/>
                <w:szCs w:val="16"/>
              </w:rPr>
              <w:t>Gestor T1 - 1</w:t>
            </w:r>
            <w:r w:rsidR="00EB75FF" w:rsidRPr="00A86E62">
              <w:rPr>
                <w:rFonts w:ascii="Arial" w:hAnsi="Arial" w:cs="Arial"/>
                <w:sz w:val="16"/>
                <w:szCs w:val="16"/>
              </w:rPr>
              <w:t>1</w:t>
            </w:r>
            <w:r w:rsidR="004F69A8" w:rsidRPr="00A86E62">
              <w:rPr>
                <w:rFonts w:ascii="Arial" w:hAnsi="Arial" w:cs="Arial"/>
                <w:sz w:val="16"/>
                <w:szCs w:val="16"/>
              </w:rPr>
              <w:t xml:space="preserve"> de la Subdirección de Gestión Contractual</w:t>
            </w:r>
          </w:p>
        </w:tc>
      </w:tr>
      <w:tr w:rsidR="00EB75FF" w:rsidRPr="00EB75FF" w14:paraId="26CE9D3F" w14:textId="77777777" w:rsidTr="6FF1B5D0">
        <w:trPr>
          <w:trHeight w:val="272"/>
        </w:trPr>
        <w:tc>
          <w:tcPr>
            <w:tcW w:w="817" w:type="dxa"/>
            <w:vAlign w:val="center"/>
          </w:tcPr>
          <w:p w14:paraId="7246992C" w14:textId="77777777" w:rsidR="004F69A8" w:rsidRPr="00A86E62" w:rsidRDefault="004F69A8" w:rsidP="6FF1B5D0">
            <w:pPr>
              <w:rPr>
                <w:rFonts w:ascii="Arial" w:hAnsi="Arial" w:cs="Arial"/>
                <w:sz w:val="16"/>
                <w:szCs w:val="16"/>
              </w:rPr>
            </w:pPr>
            <w:r w:rsidRPr="00A86E62">
              <w:rPr>
                <w:rFonts w:ascii="Arial" w:hAnsi="Arial" w:cs="Arial"/>
                <w:sz w:val="16"/>
                <w:szCs w:val="16"/>
              </w:rPr>
              <w:t>Aprobó:</w:t>
            </w:r>
          </w:p>
        </w:tc>
        <w:tc>
          <w:tcPr>
            <w:tcW w:w="4445" w:type="dxa"/>
            <w:tcBorders>
              <w:top w:val="dotted" w:sz="4" w:space="0" w:color="7F7F7F" w:themeColor="text1" w:themeTint="80"/>
              <w:bottom w:val="dotted" w:sz="4" w:space="0" w:color="7F7F7F" w:themeColor="text1" w:themeTint="80"/>
            </w:tcBorders>
            <w:vAlign w:val="center"/>
          </w:tcPr>
          <w:p w14:paraId="60A40FC5" w14:textId="77777777" w:rsidR="00EB75FF" w:rsidRPr="00A86E62" w:rsidRDefault="00EB75FF" w:rsidP="00EB75FF">
            <w:pPr>
              <w:rPr>
                <w:rFonts w:ascii="Arial" w:hAnsi="Arial" w:cs="Arial"/>
                <w:sz w:val="16"/>
                <w:szCs w:val="16"/>
              </w:rPr>
            </w:pPr>
            <w:r w:rsidRPr="00A86E62">
              <w:rPr>
                <w:rFonts w:ascii="Arial" w:hAnsi="Arial" w:cs="Arial"/>
                <w:sz w:val="16"/>
                <w:szCs w:val="16"/>
              </w:rPr>
              <w:t xml:space="preserve">Nohelia del Carmen </w:t>
            </w:r>
            <w:proofErr w:type="spellStart"/>
            <w:r w:rsidRPr="00A86E62">
              <w:rPr>
                <w:rFonts w:ascii="Arial" w:hAnsi="Arial" w:cs="Arial"/>
                <w:sz w:val="16"/>
                <w:szCs w:val="16"/>
              </w:rPr>
              <w:t>Zadawy</w:t>
            </w:r>
            <w:proofErr w:type="spellEnd"/>
            <w:r w:rsidRPr="00A86E62">
              <w:rPr>
                <w:rFonts w:ascii="Arial" w:hAnsi="Arial" w:cs="Arial"/>
                <w:sz w:val="16"/>
                <w:szCs w:val="16"/>
              </w:rPr>
              <w:t xml:space="preserve"> Palacio</w:t>
            </w:r>
          </w:p>
          <w:p w14:paraId="595ED999" w14:textId="10FDD867" w:rsidR="004F69A8" w:rsidRPr="00A86E62" w:rsidRDefault="00EB75FF" w:rsidP="00EB75FF">
            <w:pPr>
              <w:rPr>
                <w:rFonts w:ascii="Arial" w:hAnsi="Arial" w:cs="Arial"/>
                <w:sz w:val="16"/>
                <w:szCs w:val="16"/>
              </w:rPr>
            </w:pPr>
            <w:r w:rsidRPr="00A86E62">
              <w:rPr>
                <w:rFonts w:ascii="Arial" w:hAnsi="Arial" w:cs="Arial"/>
                <w:sz w:val="16"/>
                <w:szCs w:val="16"/>
              </w:rPr>
              <w:t>Subdirectora de Gestión Contractual ANCP – CCE</w:t>
            </w:r>
          </w:p>
        </w:tc>
      </w:tr>
    </w:tbl>
    <w:p w14:paraId="5FB24747" w14:textId="55655DE9" w:rsidR="004F69A8" w:rsidRPr="00A86E62" w:rsidRDefault="004F69A8" w:rsidP="00BC31B2">
      <w:pPr>
        <w:spacing w:before="120" w:after="0" w:line="276" w:lineRule="auto"/>
        <w:jc w:val="center"/>
        <w:rPr>
          <w:rFonts w:ascii="Arial" w:hAnsi="Arial" w:cs="Arial"/>
          <w:sz w:val="18"/>
          <w:szCs w:val="20"/>
          <w:lang w:val="es-ES_tradnl" w:eastAsia="es-CO"/>
        </w:rPr>
      </w:pPr>
    </w:p>
    <w:p w14:paraId="2CD09BCC" w14:textId="77777777" w:rsidR="004F69A8" w:rsidRPr="00A86E62" w:rsidRDefault="004F69A8" w:rsidP="00BC31B2">
      <w:pPr>
        <w:spacing w:before="120" w:after="0" w:line="276" w:lineRule="auto"/>
        <w:jc w:val="center"/>
        <w:rPr>
          <w:rFonts w:ascii="Arial" w:hAnsi="Arial" w:cs="Arial"/>
          <w:sz w:val="18"/>
          <w:szCs w:val="20"/>
          <w:lang w:val="es-ES_tradnl" w:eastAsia="es-CO"/>
        </w:rPr>
      </w:pPr>
    </w:p>
    <w:bookmarkEnd w:id="8"/>
    <w:p w14:paraId="0D2FFF4F" w14:textId="77777777" w:rsidR="00BC31B2" w:rsidRPr="00A86E62" w:rsidRDefault="00BC31B2" w:rsidP="00FB17D4">
      <w:pPr>
        <w:spacing w:after="0" w:line="276" w:lineRule="auto"/>
        <w:jc w:val="both"/>
        <w:rPr>
          <w:rFonts w:ascii="Arial" w:eastAsia="Times New Roman" w:hAnsi="Arial" w:cs="Arial"/>
          <w:lang w:val="es-ES_tradnl" w:eastAsia="es-CO"/>
        </w:rPr>
      </w:pPr>
    </w:p>
    <w:p w14:paraId="40F01D03" w14:textId="77777777" w:rsidR="00FB17D4" w:rsidRPr="00ED4368" w:rsidRDefault="00FB17D4" w:rsidP="00FB17D4">
      <w:pPr>
        <w:spacing w:after="0" w:line="240" w:lineRule="auto"/>
        <w:jc w:val="both"/>
        <w:rPr>
          <w:rFonts w:ascii="Arial" w:eastAsia="Times New Roman" w:hAnsi="Arial" w:cs="Arial"/>
          <w:color w:val="000000" w:themeColor="text1"/>
          <w:sz w:val="24"/>
          <w:szCs w:val="24"/>
          <w:lang w:val="es-ES_tradnl" w:eastAsia="es-ES_tradnl"/>
        </w:rPr>
      </w:pPr>
    </w:p>
    <w:bookmarkEnd w:id="2"/>
    <w:p w14:paraId="5695E237" w14:textId="77777777" w:rsidR="005B7448" w:rsidRPr="00ED4368" w:rsidRDefault="005B7448">
      <w:pPr>
        <w:rPr>
          <w:color w:val="000000" w:themeColor="text1"/>
        </w:rPr>
      </w:pPr>
    </w:p>
    <w:sectPr w:rsidR="005B7448" w:rsidRPr="00ED4368"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ED899" w14:textId="77777777" w:rsidR="00875094" w:rsidRDefault="00875094" w:rsidP="00FB17D4">
      <w:pPr>
        <w:spacing w:after="0" w:line="240" w:lineRule="auto"/>
      </w:pPr>
      <w:r>
        <w:separator/>
      </w:r>
    </w:p>
  </w:endnote>
  <w:endnote w:type="continuationSeparator" w:id="0">
    <w:p w14:paraId="3B01081E" w14:textId="77777777" w:rsidR="00875094" w:rsidRDefault="00875094" w:rsidP="00FB1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Work Sans">
    <w:charset w:val="00"/>
    <w:family w:val="auto"/>
    <w:pitch w:val="variable"/>
    <w:sig w:usb0="A00000FF" w:usb1="5000E07B" w:usb2="00000000" w:usb3="00000000" w:csb0="00000193" w:csb1="00000000"/>
  </w:font>
  <w:font w:name="Geomanist Ligh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647F8" w14:textId="77777777" w:rsidR="00077356" w:rsidRDefault="00077356" w:rsidP="00077356">
    <w:pPr>
      <w:pStyle w:val="Piedepgina"/>
    </w:pPr>
    <w:r>
      <w:rPr>
        <w:noProof/>
        <w:lang w:eastAsia="es-CO"/>
      </w:rPr>
      <w:drawing>
        <wp:inline distT="0" distB="0" distL="0" distR="0" wp14:anchorId="150B4A13" wp14:editId="6D257B43">
          <wp:extent cx="5885180" cy="914400"/>
          <wp:effectExtent l="0" t="0" r="1270" b="0"/>
          <wp:docPr id="3" name="Imagen 3"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
      <w:gridCol w:w="420"/>
      <w:gridCol w:w="839"/>
      <w:gridCol w:w="1971"/>
      <w:gridCol w:w="718"/>
      <w:gridCol w:w="2513"/>
      <w:gridCol w:w="1368"/>
    </w:tblGrid>
    <w:tr w:rsidR="00077356" w:rsidRPr="00080DA3" w14:paraId="7EF4EBE9" w14:textId="77777777" w:rsidTr="00082018">
      <w:trPr>
        <w:trHeight w:val="229"/>
        <w:jc w:val="center"/>
      </w:trPr>
      <w:tc>
        <w:tcPr>
          <w:tcW w:w="1013"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133AF78" w14:textId="77777777" w:rsidR="00077356" w:rsidRPr="00080DA3" w:rsidRDefault="00077356" w:rsidP="00077356">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1"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6DF2ED0" w14:textId="77777777" w:rsidR="00077356" w:rsidRPr="00080DA3" w:rsidRDefault="00077356" w:rsidP="00077356">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2B13BF73" w14:textId="77777777" w:rsidR="00077356" w:rsidRPr="00080DA3" w:rsidRDefault="00077356" w:rsidP="00077356">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20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2FA47492" w14:textId="77777777" w:rsidR="00077356" w:rsidRPr="00080DA3" w:rsidRDefault="00077356" w:rsidP="00077356">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318DE0E" w14:textId="77777777" w:rsidR="00077356" w:rsidRPr="00080DA3" w:rsidRDefault="00077356" w:rsidP="00077356">
          <w:pPr>
            <w:pStyle w:val="Piedepgina"/>
            <w:jc w:val="center"/>
            <w:rPr>
              <w:rFonts w:ascii="Geomanist Light" w:hAnsi="Geomanist Light"/>
              <w:sz w:val="18"/>
              <w:szCs w:val="18"/>
            </w:rPr>
          </w:pPr>
          <w:r w:rsidRPr="00080DA3">
            <w:rPr>
              <w:rFonts w:ascii="Geomanist Light" w:hAnsi="Geomanist Light"/>
              <w:sz w:val="18"/>
              <w:szCs w:val="18"/>
            </w:rPr>
            <w:t>Fecha:</w:t>
          </w:r>
        </w:p>
      </w:tc>
      <w:tc>
        <w:tcPr>
          <w:tcW w:w="264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C0B90D4" w14:textId="77777777" w:rsidR="00077356" w:rsidRPr="00080DA3" w:rsidRDefault="00077356" w:rsidP="00077356">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416"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2C01BBC" w14:textId="77777777" w:rsidR="00077356" w:rsidRPr="00080DA3" w:rsidRDefault="00077356" w:rsidP="00077356">
          <w:pPr>
            <w:pStyle w:val="Piedepgina"/>
            <w:jc w:val="right"/>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18</w:t>
          </w:r>
          <w:r w:rsidRPr="00080DA3">
            <w:rPr>
              <w:rFonts w:ascii="Geomanist Light" w:hAnsi="Geomanist Light"/>
              <w:b/>
              <w:bCs/>
              <w:sz w:val="18"/>
              <w:szCs w:val="18"/>
            </w:rPr>
            <w:fldChar w:fldCharType="end"/>
          </w:r>
        </w:p>
      </w:tc>
    </w:tr>
  </w:tbl>
  <w:p w14:paraId="37680960" w14:textId="77777777" w:rsidR="006A59DE" w:rsidRDefault="003B4968" w:rsidP="00322937">
    <w:pPr>
      <w:pStyle w:val="Sinespaciado"/>
      <w:jc w:val="right"/>
      <w:rPr>
        <w:rFonts w:ascii="Arial" w:hAnsi="Arial" w:cs="Arial"/>
        <w:sz w:val="18"/>
        <w:szCs w:val="18"/>
      </w:rPr>
    </w:pPr>
  </w:p>
  <w:p w14:paraId="06BBEA79" w14:textId="0BB78572" w:rsidR="006A59DE" w:rsidRDefault="003B4968" w:rsidP="00322937">
    <w:pPr>
      <w:pStyle w:val="Piedepgina"/>
      <w:jc w:val="center"/>
      <w:rPr>
        <w:lang w:val="es-ES"/>
      </w:rPr>
    </w:pPr>
  </w:p>
  <w:p w14:paraId="721EDC73" w14:textId="77777777" w:rsidR="006A59DE" w:rsidRDefault="003B4968" w:rsidP="007B0854">
    <w:pPr>
      <w:pStyle w:val="Piedepgina"/>
      <w:jc w:val="center"/>
      <w:rPr>
        <w:lang w:val="es-ES"/>
      </w:rPr>
    </w:pPr>
  </w:p>
  <w:p w14:paraId="24FC2655" w14:textId="77777777" w:rsidR="006A59DE" w:rsidRPr="007B0854" w:rsidRDefault="003B496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548000" w14:textId="77777777" w:rsidR="00875094" w:rsidRDefault="00875094" w:rsidP="00FB17D4">
      <w:pPr>
        <w:spacing w:after="0" w:line="240" w:lineRule="auto"/>
      </w:pPr>
      <w:r>
        <w:separator/>
      </w:r>
    </w:p>
  </w:footnote>
  <w:footnote w:type="continuationSeparator" w:id="0">
    <w:p w14:paraId="2AEA43B6" w14:textId="77777777" w:rsidR="00875094" w:rsidRDefault="00875094" w:rsidP="00FB17D4">
      <w:pPr>
        <w:spacing w:after="0" w:line="240" w:lineRule="auto"/>
      </w:pPr>
      <w:r>
        <w:continuationSeparator/>
      </w:r>
    </w:p>
  </w:footnote>
  <w:footnote w:id="1">
    <w:p w14:paraId="76B8C20C" w14:textId="732E9D51" w:rsidR="009307C5" w:rsidRPr="002D5DDB" w:rsidRDefault="009307C5" w:rsidP="002D5DDB">
      <w:pPr>
        <w:pBdr>
          <w:top w:val="nil"/>
          <w:left w:val="nil"/>
          <w:bottom w:val="nil"/>
          <w:right w:val="nil"/>
          <w:between w:val="nil"/>
        </w:pBdr>
        <w:spacing w:after="0" w:line="240" w:lineRule="auto"/>
        <w:ind w:firstLine="709"/>
        <w:jc w:val="both"/>
        <w:rPr>
          <w:rFonts w:ascii="Arial" w:eastAsia="Arial" w:hAnsi="Arial" w:cs="Arial"/>
          <w:sz w:val="19"/>
          <w:szCs w:val="19"/>
        </w:rPr>
      </w:pPr>
      <w:r w:rsidRPr="002D5DDB">
        <w:rPr>
          <w:rFonts w:ascii="Arial" w:hAnsi="Arial" w:cs="Arial"/>
          <w:sz w:val="19"/>
          <w:szCs w:val="19"/>
          <w:vertAlign w:val="superscript"/>
        </w:rPr>
        <w:footnoteRef/>
      </w:r>
      <w:r w:rsidRPr="002D5DDB">
        <w:rPr>
          <w:rFonts w:ascii="Arial" w:eastAsia="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proofErr w:type="spellStart"/>
      <w:r w:rsidRPr="002D5DDB">
        <w:rPr>
          <w:rFonts w:ascii="Arial" w:eastAsia="Arial" w:hAnsi="Arial" w:cs="Arial"/>
          <w:i/>
          <w:sz w:val="19"/>
          <w:szCs w:val="19"/>
        </w:rPr>
        <w:t>ibídem</w:t>
      </w:r>
      <w:proofErr w:type="spellEnd"/>
      <w:r w:rsidRPr="002D5DDB">
        <w:rPr>
          <w:rFonts w:ascii="Arial" w:eastAsia="Arial" w:hAnsi="Arial" w:cs="Arial"/>
          <w:i/>
          <w:sz w:val="19"/>
          <w:szCs w:val="19"/>
        </w:rPr>
        <w:t xml:space="preserve"> </w:t>
      </w:r>
      <w:r w:rsidRPr="002D5DDB">
        <w:rPr>
          <w:rFonts w:ascii="Arial" w:eastAsia="Arial" w:hAnsi="Arial" w:cs="Arial"/>
          <w:sz w:val="19"/>
          <w:szCs w:val="19"/>
        </w:rPr>
        <w:t>señala, de manera precisa, las funciones de Colombia Compra Eficiente. Concretamente, el numeral 5º de este artículo establece que le corresponde a esta entidad: «[a]</w:t>
      </w:r>
      <w:proofErr w:type="spellStart"/>
      <w:r w:rsidRPr="002D5DDB">
        <w:rPr>
          <w:rFonts w:ascii="Arial" w:eastAsia="Arial" w:hAnsi="Arial" w:cs="Arial"/>
          <w:sz w:val="19"/>
          <w:szCs w:val="19"/>
        </w:rPr>
        <w:t>bsolver</w:t>
      </w:r>
      <w:proofErr w:type="spellEnd"/>
      <w:r w:rsidRPr="002D5DDB">
        <w:rPr>
          <w:rFonts w:ascii="Arial" w:eastAsia="Arial" w:hAnsi="Arial" w:cs="Arial"/>
          <w:sz w:val="19"/>
          <w:szCs w:val="19"/>
        </w:rPr>
        <w:t xml:space="preserve">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5E56140D" w14:textId="77777777" w:rsidR="0007194A" w:rsidRPr="002D5DDB" w:rsidRDefault="0007194A" w:rsidP="002D5DDB">
      <w:pPr>
        <w:pBdr>
          <w:top w:val="nil"/>
          <w:left w:val="nil"/>
          <w:bottom w:val="nil"/>
          <w:right w:val="nil"/>
          <w:between w:val="nil"/>
        </w:pBdr>
        <w:spacing w:after="0" w:line="240" w:lineRule="auto"/>
        <w:ind w:firstLine="709"/>
        <w:jc w:val="both"/>
        <w:rPr>
          <w:rFonts w:ascii="Arial" w:eastAsia="Arial" w:hAnsi="Arial" w:cs="Arial"/>
          <w:sz w:val="19"/>
          <w:szCs w:val="19"/>
        </w:rPr>
      </w:pPr>
    </w:p>
  </w:footnote>
  <w:footnote w:id="2">
    <w:p w14:paraId="48ABB7EA" w14:textId="75A23DB6" w:rsidR="0053107C" w:rsidRDefault="0053107C" w:rsidP="0053107C">
      <w:pPr>
        <w:pStyle w:val="Textonotapie"/>
        <w:ind w:firstLine="708"/>
        <w:rPr>
          <w:rFonts w:ascii="Arial" w:hAnsi="Arial" w:cs="Arial"/>
          <w:sz w:val="19"/>
          <w:szCs w:val="19"/>
        </w:rPr>
      </w:pPr>
      <w:r>
        <w:rPr>
          <w:rStyle w:val="Refdenotaalpie"/>
        </w:rPr>
        <w:footnoteRef/>
      </w:r>
      <w:r>
        <w:t xml:space="preserve"> </w:t>
      </w:r>
      <w:r w:rsidRPr="0028710C">
        <w:rPr>
          <w:rFonts w:ascii="Arial" w:hAnsi="Arial" w:cs="Arial"/>
          <w:sz w:val="19"/>
          <w:szCs w:val="19"/>
        </w:rPr>
        <w:t>«Artículo 69. Se garantiza la autonomía universitaria. Las universidades podrán darse sus directivas y regirse por sus</w:t>
      </w:r>
      <w:r w:rsidRPr="0028710C">
        <w:rPr>
          <w:rFonts w:ascii="Arial" w:hAnsi="Arial" w:cs="Arial"/>
          <w:spacing w:val="-2"/>
          <w:sz w:val="19"/>
          <w:szCs w:val="19"/>
        </w:rPr>
        <w:t xml:space="preserve"> </w:t>
      </w:r>
      <w:r w:rsidRPr="0028710C">
        <w:rPr>
          <w:rFonts w:ascii="Arial" w:hAnsi="Arial" w:cs="Arial"/>
          <w:sz w:val="19"/>
          <w:szCs w:val="19"/>
        </w:rPr>
        <w:t>propios</w:t>
      </w:r>
      <w:r w:rsidRPr="0028710C">
        <w:rPr>
          <w:rFonts w:ascii="Arial" w:hAnsi="Arial" w:cs="Arial"/>
          <w:spacing w:val="-2"/>
          <w:sz w:val="19"/>
          <w:szCs w:val="19"/>
        </w:rPr>
        <w:t xml:space="preserve"> </w:t>
      </w:r>
      <w:r w:rsidRPr="0028710C">
        <w:rPr>
          <w:rFonts w:ascii="Arial" w:hAnsi="Arial" w:cs="Arial"/>
          <w:sz w:val="19"/>
          <w:szCs w:val="19"/>
        </w:rPr>
        <w:t>estatutos,</w:t>
      </w:r>
      <w:r w:rsidRPr="0028710C">
        <w:rPr>
          <w:rFonts w:ascii="Arial" w:hAnsi="Arial" w:cs="Arial"/>
          <w:spacing w:val="-4"/>
          <w:sz w:val="19"/>
          <w:szCs w:val="19"/>
        </w:rPr>
        <w:t xml:space="preserve"> </w:t>
      </w:r>
      <w:r w:rsidRPr="0028710C">
        <w:rPr>
          <w:rFonts w:ascii="Arial" w:hAnsi="Arial" w:cs="Arial"/>
          <w:sz w:val="19"/>
          <w:szCs w:val="19"/>
        </w:rPr>
        <w:t>de</w:t>
      </w:r>
      <w:r w:rsidRPr="0028710C">
        <w:rPr>
          <w:rFonts w:ascii="Arial" w:hAnsi="Arial" w:cs="Arial"/>
          <w:spacing w:val="-4"/>
          <w:sz w:val="19"/>
          <w:szCs w:val="19"/>
        </w:rPr>
        <w:t xml:space="preserve"> </w:t>
      </w:r>
      <w:r w:rsidRPr="0028710C">
        <w:rPr>
          <w:rFonts w:ascii="Arial" w:hAnsi="Arial" w:cs="Arial"/>
          <w:sz w:val="19"/>
          <w:szCs w:val="19"/>
        </w:rPr>
        <w:t>acuerdo</w:t>
      </w:r>
      <w:r w:rsidRPr="0028710C">
        <w:rPr>
          <w:rFonts w:ascii="Arial" w:hAnsi="Arial" w:cs="Arial"/>
          <w:spacing w:val="-4"/>
          <w:sz w:val="19"/>
          <w:szCs w:val="19"/>
        </w:rPr>
        <w:t xml:space="preserve"> </w:t>
      </w:r>
      <w:r w:rsidRPr="0028710C">
        <w:rPr>
          <w:rFonts w:ascii="Arial" w:hAnsi="Arial" w:cs="Arial"/>
          <w:sz w:val="19"/>
          <w:szCs w:val="19"/>
        </w:rPr>
        <w:t>con</w:t>
      </w:r>
      <w:r w:rsidRPr="0028710C">
        <w:rPr>
          <w:rFonts w:ascii="Arial" w:hAnsi="Arial" w:cs="Arial"/>
          <w:spacing w:val="-1"/>
          <w:sz w:val="19"/>
          <w:szCs w:val="19"/>
        </w:rPr>
        <w:t xml:space="preserve"> </w:t>
      </w:r>
      <w:r w:rsidRPr="0028710C">
        <w:rPr>
          <w:rFonts w:ascii="Arial" w:hAnsi="Arial" w:cs="Arial"/>
          <w:sz w:val="19"/>
          <w:szCs w:val="19"/>
        </w:rPr>
        <w:t>la</w:t>
      </w:r>
      <w:r w:rsidRPr="0028710C">
        <w:rPr>
          <w:rFonts w:ascii="Arial" w:hAnsi="Arial" w:cs="Arial"/>
          <w:spacing w:val="-1"/>
          <w:sz w:val="19"/>
          <w:szCs w:val="19"/>
        </w:rPr>
        <w:t xml:space="preserve"> </w:t>
      </w:r>
      <w:r w:rsidRPr="0028710C">
        <w:rPr>
          <w:rFonts w:ascii="Arial" w:hAnsi="Arial" w:cs="Arial"/>
          <w:sz w:val="19"/>
          <w:szCs w:val="19"/>
        </w:rPr>
        <w:t>ley.</w:t>
      </w:r>
      <w:r w:rsidRPr="0028710C">
        <w:rPr>
          <w:rFonts w:ascii="Arial" w:hAnsi="Arial" w:cs="Arial"/>
          <w:spacing w:val="-2"/>
          <w:sz w:val="19"/>
          <w:szCs w:val="19"/>
        </w:rPr>
        <w:t xml:space="preserve"> </w:t>
      </w:r>
      <w:r w:rsidRPr="0028710C">
        <w:rPr>
          <w:rFonts w:ascii="Arial" w:hAnsi="Arial" w:cs="Arial"/>
          <w:sz w:val="19"/>
          <w:szCs w:val="19"/>
        </w:rPr>
        <w:t>La</w:t>
      </w:r>
      <w:r w:rsidRPr="0028710C">
        <w:rPr>
          <w:rFonts w:ascii="Arial" w:hAnsi="Arial" w:cs="Arial"/>
          <w:spacing w:val="-1"/>
          <w:sz w:val="19"/>
          <w:szCs w:val="19"/>
        </w:rPr>
        <w:t xml:space="preserve"> </w:t>
      </w:r>
      <w:r w:rsidRPr="0028710C">
        <w:rPr>
          <w:rFonts w:ascii="Arial" w:hAnsi="Arial" w:cs="Arial"/>
          <w:sz w:val="19"/>
          <w:szCs w:val="19"/>
        </w:rPr>
        <w:t>ley</w:t>
      </w:r>
      <w:r w:rsidRPr="0028710C">
        <w:rPr>
          <w:rFonts w:ascii="Arial" w:hAnsi="Arial" w:cs="Arial"/>
          <w:spacing w:val="-5"/>
          <w:sz w:val="19"/>
          <w:szCs w:val="19"/>
        </w:rPr>
        <w:t xml:space="preserve"> </w:t>
      </w:r>
      <w:r w:rsidRPr="0028710C">
        <w:rPr>
          <w:rFonts w:ascii="Arial" w:hAnsi="Arial" w:cs="Arial"/>
          <w:sz w:val="19"/>
          <w:szCs w:val="19"/>
        </w:rPr>
        <w:t>establecerá</w:t>
      </w:r>
      <w:r w:rsidRPr="0028710C">
        <w:rPr>
          <w:rFonts w:ascii="Arial" w:hAnsi="Arial" w:cs="Arial"/>
          <w:spacing w:val="-1"/>
          <w:sz w:val="19"/>
          <w:szCs w:val="19"/>
        </w:rPr>
        <w:t xml:space="preserve"> </w:t>
      </w:r>
      <w:r w:rsidRPr="0028710C">
        <w:rPr>
          <w:rFonts w:ascii="Arial" w:hAnsi="Arial" w:cs="Arial"/>
          <w:sz w:val="19"/>
          <w:szCs w:val="19"/>
        </w:rPr>
        <w:t>un</w:t>
      </w:r>
      <w:r w:rsidRPr="0028710C">
        <w:rPr>
          <w:rFonts w:ascii="Arial" w:hAnsi="Arial" w:cs="Arial"/>
          <w:spacing w:val="-1"/>
          <w:sz w:val="19"/>
          <w:szCs w:val="19"/>
        </w:rPr>
        <w:t xml:space="preserve"> </w:t>
      </w:r>
      <w:r w:rsidRPr="0028710C">
        <w:rPr>
          <w:rFonts w:ascii="Arial" w:hAnsi="Arial" w:cs="Arial"/>
          <w:sz w:val="19"/>
          <w:szCs w:val="19"/>
        </w:rPr>
        <w:t>régimen</w:t>
      </w:r>
      <w:r w:rsidRPr="0028710C">
        <w:rPr>
          <w:rFonts w:ascii="Arial" w:hAnsi="Arial" w:cs="Arial"/>
          <w:spacing w:val="-4"/>
          <w:sz w:val="19"/>
          <w:szCs w:val="19"/>
        </w:rPr>
        <w:t xml:space="preserve"> </w:t>
      </w:r>
      <w:r w:rsidRPr="0028710C">
        <w:rPr>
          <w:rFonts w:ascii="Arial" w:hAnsi="Arial" w:cs="Arial"/>
          <w:sz w:val="19"/>
          <w:szCs w:val="19"/>
        </w:rPr>
        <w:t>especial</w:t>
      </w:r>
      <w:r w:rsidRPr="0028710C">
        <w:rPr>
          <w:rFonts w:ascii="Arial" w:hAnsi="Arial" w:cs="Arial"/>
          <w:spacing w:val="-5"/>
          <w:sz w:val="19"/>
          <w:szCs w:val="19"/>
        </w:rPr>
        <w:t xml:space="preserve"> </w:t>
      </w:r>
      <w:r w:rsidRPr="0028710C">
        <w:rPr>
          <w:rFonts w:ascii="Arial" w:hAnsi="Arial" w:cs="Arial"/>
          <w:sz w:val="19"/>
          <w:szCs w:val="19"/>
        </w:rPr>
        <w:t>para</w:t>
      </w:r>
      <w:r w:rsidRPr="0028710C">
        <w:rPr>
          <w:rFonts w:ascii="Arial" w:hAnsi="Arial" w:cs="Arial"/>
          <w:spacing w:val="-1"/>
          <w:sz w:val="19"/>
          <w:szCs w:val="19"/>
        </w:rPr>
        <w:t xml:space="preserve"> </w:t>
      </w:r>
      <w:r w:rsidRPr="0028710C">
        <w:rPr>
          <w:rFonts w:ascii="Arial" w:hAnsi="Arial" w:cs="Arial"/>
          <w:sz w:val="19"/>
          <w:szCs w:val="19"/>
        </w:rPr>
        <w:t>las</w:t>
      </w:r>
      <w:r w:rsidRPr="0028710C">
        <w:rPr>
          <w:rFonts w:ascii="Arial" w:hAnsi="Arial" w:cs="Arial"/>
          <w:spacing w:val="-5"/>
          <w:sz w:val="19"/>
          <w:szCs w:val="19"/>
        </w:rPr>
        <w:t xml:space="preserve"> </w:t>
      </w:r>
      <w:r w:rsidRPr="0028710C">
        <w:rPr>
          <w:rFonts w:ascii="Arial" w:hAnsi="Arial" w:cs="Arial"/>
          <w:sz w:val="19"/>
          <w:szCs w:val="19"/>
        </w:rPr>
        <w:t>universidades</w:t>
      </w:r>
      <w:r w:rsidRPr="0028710C">
        <w:rPr>
          <w:rFonts w:ascii="Arial" w:hAnsi="Arial" w:cs="Arial"/>
          <w:spacing w:val="-2"/>
          <w:sz w:val="19"/>
          <w:szCs w:val="19"/>
        </w:rPr>
        <w:t xml:space="preserve"> </w:t>
      </w:r>
      <w:r w:rsidRPr="0028710C">
        <w:rPr>
          <w:rFonts w:ascii="Arial" w:hAnsi="Arial" w:cs="Arial"/>
          <w:sz w:val="19"/>
          <w:szCs w:val="19"/>
        </w:rPr>
        <w:t>del</w:t>
      </w:r>
      <w:r w:rsidRPr="0028710C">
        <w:rPr>
          <w:rFonts w:ascii="Arial" w:hAnsi="Arial" w:cs="Arial"/>
          <w:spacing w:val="-3"/>
          <w:sz w:val="19"/>
          <w:szCs w:val="19"/>
        </w:rPr>
        <w:t xml:space="preserve"> </w:t>
      </w:r>
      <w:r w:rsidRPr="0028710C">
        <w:rPr>
          <w:rFonts w:ascii="Arial" w:hAnsi="Arial" w:cs="Arial"/>
          <w:sz w:val="19"/>
          <w:szCs w:val="19"/>
        </w:rPr>
        <w:t>Estado».</w:t>
      </w:r>
    </w:p>
    <w:p w14:paraId="6C265B50" w14:textId="77777777" w:rsidR="00AE4A98" w:rsidRDefault="00AE4A98" w:rsidP="0053107C">
      <w:pPr>
        <w:pStyle w:val="Textonotapie"/>
        <w:ind w:firstLine="708"/>
      </w:pPr>
    </w:p>
  </w:footnote>
  <w:footnote w:id="3">
    <w:p w14:paraId="5420FAEF" w14:textId="77777777" w:rsidR="00B061A3" w:rsidRPr="0028710C" w:rsidRDefault="00B061A3" w:rsidP="00D303E6">
      <w:pPr>
        <w:pStyle w:val="Textonotapie"/>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28710C">
        <w:rPr>
          <w:rFonts w:ascii="Arial" w:hAnsi="Arial" w:cs="Arial"/>
          <w:sz w:val="19"/>
          <w:szCs w:val="19"/>
        </w:rPr>
        <w:t>Artículo 57. Las universidades estatales u oficiales deben organizarse como entes universitarios autónomos, con régimen especial y vinculados al Ministerio de Educación Nacional en lo que se refiere a las políticas y la planeación del sector educativo.</w:t>
      </w:r>
    </w:p>
    <w:p w14:paraId="10478A27" w14:textId="77777777" w:rsidR="00B061A3" w:rsidRPr="0028710C" w:rsidRDefault="00B061A3" w:rsidP="00D303E6">
      <w:pPr>
        <w:pStyle w:val="Textonotapie"/>
        <w:ind w:firstLine="708"/>
        <w:jc w:val="both"/>
        <w:rPr>
          <w:rFonts w:ascii="Arial" w:hAnsi="Arial" w:cs="Arial"/>
          <w:sz w:val="19"/>
          <w:szCs w:val="19"/>
        </w:rPr>
      </w:pPr>
      <w:proofErr w:type="gramStart"/>
      <w:r w:rsidRPr="0028710C">
        <w:rPr>
          <w:rFonts w:ascii="Arial" w:hAnsi="Arial" w:cs="Arial"/>
          <w:sz w:val="19"/>
          <w:szCs w:val="19"/>
        </w:rPr>
        <w:t>»Los</w:t>
      </w:r>
      <w:proofErr w:type="gramEnd"/>
      <w:r w:rsidRPr="0028710C">
        <w:rPr>
          <w:rFonts w:ascii="Arial" w:hAnsi="Arial" w:cs="Arial"/>
          <w:sz w:val="19"/>
          <w:szCs w:val="19"/>
        </w:rPr>
        <w:t xml:space="preserve"> entes universitarios autónomos tendrán las siguientes características: Personería jurídica, autonomía académica, administrativa y financiera, patrimonio independiente y podrán elaborar y manejar su presupuesto de acuerdo con las funciones que le corresponden.</w:t>
      </w:r>
    </w:p>
    <w:p w14:paraId="238BC027" w14:textId="77777777" w:rsidR="00B061A3" w:rsidRPr="0028710C" w:rsidRDefault="00B061A3" w:rsidP="00D303E6">
      <w:pPr>
        <w:pStyle w:val="Textonotapie"/>
        <w:jc w:val="both"/>
        <w:rPr>
          <w:rFonts w:ascii="Arial" w:hAnsi="Arial" w:cs="Arial"/>
          <w:sz w:val="19"/>
          <w:szCs w:val="19"/>
          <w:lang w:val="es-CO"/>
        </w:rPr>
      </w:pPr>
      <w:r w:rsidRPr="0028710C">
        <w:rPr>
          <w:rFonts w:ascii="Arial" w:hAnsi="Arial" w:cs="Arial"/>
          <w:sz w:val="19"/>
          <w:szCs w:val="19"/>
        </w:rPr>
        <w:tab/>
      </w:r>
      <w:r w:rsidRPr="0028710C">
        <w:rPr>
          <w:rFonts w:ascii="Arial" w:hAnsi="Arial" w:cs="Arial"/>
          <w:sz w:val="19"/>
          <w:szCs w:val="19"/>
          <w:lang w:val="es-CO"/>
        </w:rPr>
        <w:t>»El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p w14:paraId="435764AB" w14:textId="77777777" w:rsidR="00B061A3" w:rsidRPr="0028710C" w:rsidRDefault="00B061A3" w:rsidP="00D303E6">
      <w:pPr>
        <w:pStyle w:val="Textonotapie"/>
        <w:jc w:val="both"/>
        <w:rPr>
          <w:rFonts w:ascii="Arial" w:hAnsi="Arial" w:cs="Arial"/>
          <w:sz w:val="19"/>
          <w:szCs w:val="19"/>
          <w:lang w:val="es-ES"/>
        </w:rPr>
      </w:pPr>
    </w:p>
  </w:footnote>
  <w:footnote w:id="4">
    <w:p w14:paraId="081A9352" w14:textId="77777777" w:rsidR="00AE4A98" w:rsidRPr="0028710C" w:rsidRDefault="00AE4A98" w:rsidP="00AE4A98">
      <w:pPr>
        <w:spacing w:after="0"/>
        <w:ind w:right="110" w:firstLine="708"/>
        <w:jc w:val="both"/>
        <w:rPr>
          <w:rFonts w:ascii="Arial" w:hAnsi="Arial" w:cs="Arial"/>
          <w:sz w:val="19"/>
          <w:szCs w:val="19"/>
        </w:rPr>
      </w:pPr>
      <w:r>
        <w:rPr>
          <w:rStyle w:val="Refdenotaalpie"/>
        </w:rPr>
        <w:footnoteRef/>
      </w:r>
      <w:r>
        <w:t xml:space="preserve"> </w:t>
      </w:r>
      <w:r w:rsidRPr="0028710C">
        <w:rPr>
          <w:rFonts w:ascii="Arial" w:hAnsi="Arial" w:cs="Arial"/>
          <w:sz w:val="19"/>
          <w:szCs w:val="19"/>
        </w:rPr>
        <w:t>«Artículo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28710C">
        <w:rPr>
          <w:rFonts w:ascii="Arial" w:hAnsi="Arial" w:cs="Arial"/>
          <w:spacing w:val="-16"/>
          <w:sz w:val="19"/>
          <w:szCs w:val="19"/>
        </w:rPr>
        <w:t xml:space="preserve"> </w:t>
      </w:r>
      <w:r w:rsidRPr="0028710C">
        <w:rPr>
          <w:rFonts w:ascii="Arial" w:hAnsi="Arial" w:cs="Arial"/>
          <w:sz w:val="19"/>
          <w:szCs w:val="19"/>
        </w:rPr>
        <w:t>contratos».</w:t>
      </w:r>
    </w:p>
    <w:p w14:paraId="2090DAA1" w14:textId="7E925F8A" w:rsidR="00AE4A98" w:rsidRDefault="00AE4A98">
      <w:pPr>
        <w:pStyle w:val="Textonotapie"/>
      </w:pPr>
    </w:p>
  </w:footnote>
  <w:footnote w:id="5">
    <w:p w14:paraId="3C8A418C" w14:textId="77777777" w:rsidR="00B061A3" w:rsidRPr="0028710C" w:rsidRDefault="00B061A3" w:rsidP="00D303E6">
      <w:pPr>
        <w:spacing w:after="0"/>
        <w:ind w:right="106"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28710C">
        <w:rPr>
          <w:rFonts w:ascii="Arial" w:hAnsi="Arial" w:cs="Arial"/>
          <w:sz w:val="19"/>
          <w:szCs w:val="19"/>
        </w:rPr>
        <w:t>«Artículo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p>
    <w:p w14:paraId="1F0170A7" w14:textId="77777777" w:rsidR="00B061A3" w:rsidRPr="0028710C" w:rsidRDefault="00B061A3" w:rsidP="00D303E6">
      <w:pPr>
        <w:spacing w:after="0"/>
        <w:ind w:right="106" w:firstLine="708"/>
        <w:jc w:val="both"/>
        <w:rPr>
          <w:rFonts w:ascii="Arial" w:hAnsi="Arial" w:cs="Arial"/>
          <w:sz w:val="19"/>
          <w:szCs w:val="19"/>
        </w:rPr>
      </w:pPr>
    </w:p>
  </w:footnote>
  <w:footnote w:id="6">
    <w:p w14:paraId="154B7383" w14:textId="77777777" w:rsidR="00B061A3" w:rsidRPr="0028710C" w:rsidRDefault="00B061A3" w:rsidP="00D303E6">
      <w:pPr>
        <w:spacing w:after="0"/>
        <w:ind w:right="106"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w:t>
      </w:r>
      <w:r w:rsidRPr="0028710C">
        <w:rPr>
          <w:rFonts w:ascii="Arial" w:hAnsi="Arial" w:cs="Arial"/>
          <w:sz w:val="19"/>
          <w:szCs w:val="19"/>
        </w:rPr>
        <w:t>«Artículo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p w14:paraId="0A9B2EF3" w14:textId="77777777" w:rsidR="00B061A3" w:rsidRPr="0028710C" w:rsidRDefault="00B061A3" w:rsidP="00D303E6">
      <w:pPr>
        <w:spacing w:after="0"/>
        <w:ind w:right="106" w:firstLine="708"/>
        <w:jc w:val="both"/>
        <w:rPr>
          <w:rFonts w:ascii="Arial" w:hAnsi="Arial" w:cs="Arial"/>
          <w:sz w:val="19"/>
          <w:szCs w:val="19"/>
        </w:rPr>
      </w:pPr>
    </w:p>
  </w:footnote>
  <w:footnote w:id="7">
    <w:p w14:paraId="7E64E941" w14:textId="77777777" w:rsidR="00B061A3" w:rsidRPr="0028710C" w:rsidRDefault="00B061A3" w:rsidP="00D303E6">
      <w:pPr>
        <w:spacing w:after="0"/>
        <w:ind w:firstLine="708"/>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Corte Constitucional</w:t>
      </w:r>
      <w:r w:rsidRPr="0028710C">
        <w:rPr>
          <w:rFonts w:ascii="Arial" w:hAnsi="Arial" w:cs="Arial"/>
          <w:sz w:val="19"/>
          <w:szCs w:val="19"/>
        </w:rPr>
        <w:t>. Sentencia C-121 de 2003. M.P. Clara Inés Vargas Hernández.</w:t>
      </w:r>
    </w:p>
    <w:p w14:paraId="00555FAC" w14:textId="77777777" w:rsidR="00B061A3" w:rsidRPr="0028710C" w:rsidRDefault="00B061A3" w:rsidP="00D303E6">
      <w:pPr>
        <w:spacing w:after="0"/>
        <w:jc w:val="both"/>
        <w:rPr>
          <w:rFonts w:ascii="Arial" w:hAnsi="Arial" w:cs="Arial"/>
          <w:sz w:val="19"/>
          <w:szCs w:val="19"/>
        </w:rPr>
      </w:pPr>
    </w:p>
  </w:footnote>
  <w:footnote w:id="8">
    <w:p w14:paraId="6644031A" w14:textId="77777777" w:rsidR="00B061A3" w:rsidRPr="0028710C" w:rsidRDefault="00B061A3" w:rsidP="00D303E6">
      <w:pPr>
        <w:spacing w:after="0"/>
        <w:ind w:left="-1" w:right="110" w:firstLine="709"/>
        <w:jc w:val="both"/>
        <w:rPr>
          <w:rFonts w:ascii="Arial" w:hAnsi="Arial" w:cs="Arial"/>
          <w:sz w:val="19"/>
          <w:szCs w:val="19"/>
        </w:rPr>
      </w:pPr>
      <w:r w:rsidRPr="00605250">
        <w:rPr>
          <w:rStyle w:val="Refdenotaalpie"/>
          <w:rFonts w:ascii="Arial" w:hAnsi="Arial" w:cs="Arial"/>
          <w:sz w:val="19"/>
          <w:szCs w:val="19"/>
        </w:rPr>
        <w:footnoteRef/>
      </w:r>
      <w:r w:rsidRPr="00605250">
        <w:rPr>
          <w:rFonts w:ascii="Arial" w:hAnsi="Arial" w:cs="Arial"/>
          <w:sz w:val="19"/>
          <w:szCs w:val="19"/>
        </w:rPr>
        <w:t xml:space="preserve"> Corte</w:t>
      </w:r>
      <w:r w:rsidRPr="0028710C">
        <w:rPr>
          <w:rFonts w:ascii="Arial" w:hAnsi="Arial" w:cs="Arial"/>
          <w:spacing w:val="10"/>
          <w:sz w:val="19"/>
          <w:szCs w:val="19"/>
        </w:rPr>
        <w:t xml:space="preserve"> </w:t>
      </w:r>
      <w:r w:rsidRPr="0028710C">
        <w:rPr>
          <w:rFonts w:ascii="Arial" w:hAnsi="Arial" w:cs="Arial"/>
          <w:sz w:val="19"/>
          <w:szCs w:val="19"/>
        </w:rPr>
        <w:t>Constitucional.</w:t>
      </w:r>
      <w:r w:rsidRPr="0028710C">
        <w:rPr>
          <w:rFonts w:ascii="Arial" w:hAnsi="Arial" w:cs="Arial"/>
          <w:spacing w:val="11"/>
          <w:sz w:val="19"/>
          <w:szCs w:val="19"/>
        </w:rPr>
        <w:t xml:space="preserve"> </w:t>
      </w:r>
      <w:r w:rsidRPr="0028710C">
        <w:rPr>
          <w:rFonts w:ascii="Arial" w:hAnsi="Arial" w:cs="Arial"/>
          <w:sz w:val="19"/>
          <w:szCs w:val="19"/>
        </w:rPr>
        <w:t>Sentencia</w:t>
      </w:r>
      <w:r w:rsidRPr="0028710C">
        <w:rPr>
          <w:rFonts w:ascii="Arial" w:hAnsi="Arial" w:cs="Arial"/>
          <w:spacing w:val="10"/>
          <w:sz w:val="19"/>
          <w:szCs w:val="19"/>
        </w:rPr>
        <w:t xml:space="preserve"> </w:t>
      </w:r>
      <w:r w:rsidRPr="0028710C">
        <w:rPr>
          <w:rFonts w:ascii="Arial" w:hAnsi="Arial" w:cs="Arial"/>
          <w:sz w:val="19"/>
          <w:szCs w:val="19"/>
        </w:rPr>
        <w:t>C-1019</w:t>
      </w:r>
      <w:r w:rsidRPr="0028710C">
        <w:rPr>
          <w:rFonts w:ascii="Arial" w:hAnsi="Arial" w:cs="Arial"/>
          <w:spacing w:val="10"/>
          <w:sz w:val="19"/>
          <w:szCs w:val="19"/>
        </w:rPr>
        <w:t xml:space="preserve"> </w:t>
      </w:r>
      <w:r w:rsidRPr="0028710C">
        <w:rPr>
          <w:rFonts w:ascii="Arial" w:hAnsi="Arial" w:cs="Arial"/>
          <w:sz w:val="19"/>
          <w:szCs w:val="19"/>
        </w:rPr>
        <w:t>del</w:t>
      </w:r>
      <w:r w:rsidRPr="0028710C">
        <w:rPr>
          <w:rFonts w:ascii="Arial" w:hAnsi="Arial" w:cs="Arial"/>
          <w:spacing w:val="9"/>
          <w:sz w:val="19"/>
          <w:szCs w:val="19"/>
        </w:rPr>
        <w:t xml:space="preserve"> </w:t>
      </w:r>
      <w:r w:rsidRPr="0028710C">
        <w:rPr>
          <w:rFonts w:ascii="Arial" w:hAnsi="Arial" w:cs="Arial"/>
          <w:sz w:val="19"/>
          <w:szCs w:val="19"/>
        </w:rPr>
        <w:t>28</w:t>
      </w:r>
      <w:r w:rsidRPr="0028710C">
        <w:rPr>
          <w:rFonts w:ascii="Arial" w:hAnsi="Arial" w:cs="Arial"/>
          <w:spacing w:val="10"/>
          <w:sz w:val="19"/>
          <w:szCs w:val="19"/>
        </w:rPr>
        <w:t xml:space="preserve"> </w:t>
      </w:r>
      <w:r w:rsidRPr="0028710C">
        <w:rPr>
          <w:rFonts w:ascii="Arial" w:hAnsi="Arial" w:cs="Arial"/>
          <w:sz w:val="19"/>
          <w:szCs w:val="19"/>
        </w:rPr>
        <w:t>de</w:t>
      </w:r>
      <w:r w:rsidRPr="0028710C">
        <w:rPr>
          <w:rFonts w:ascii="Arial" w:hAnsi="Arial" w:cs="Arial"/>
          <w:spacing w:val="10"/>
          <w:sz w:val="19"/>
          <w:szCs w:val="19"/>
        </w:rPr>
        <w:t xml:space="preserve"> </w:t>
      </w:r>
      <w:r w:rsidRPr="0028710C">
        <w:rPr>
          <w:rFonts w:ascii="Arial" w:hAnsi="Arial" w:cs="Arial"/>
          <w:sz w:val="19"/>
          <w:szCs w:val="19"/>
        </w:rPr>
        <w:t>noviembre</w:t>
      </w:r>
      <w:r w:rsidRPr="0028710C">
        <w:rPr>
          <w:rFonts w:ascii="Arial" w:hAnsi="Arial" w:cs="Arial"/>
          <w:spacing w:val="10"/>
          <w:sz w:val="19"/>
          <w:szCs w:val="19"/>
        </w:rPr>
        <w:t xml:space="preserve"> </w:t>
      </w:r>
      <w:r w:rsidRPr="0028710C">
        <w:rPr>
          <w:rFonts w:ascii="Arial" w:hAnsi="Arial" w:cs="Arial"/>
          <w:sz w:val="19"/>
          <w:szCs w:val="19"/>
        </w:rPr>
        <w:t>de</w:t>
      </w:r>
      <w:r w:rsidRPr="0028710C">
        <w:rPr>
          <w:rFonts w:ascii="Arial" w:hAnsi="Arial" w:cs="Arial"/>
          <w:spacing w:val="10"/>
          <w:sz w:val="19"/>
          <w:szCs w:val="19"/>
        </w:rPr>
        <w:t xml:space="preserve"> </w:t>
      </w:r>
      <w:r w:rsidRPr="0028710C">
        <w:rPr>
          <w:rFonts w:ascii="Arial" w:hAnsi="Arial" w:cs="Arial"/>
          <w:sz w:val="19"/>
          <w:szCs w:val="19"/>
        </w:rPr>
        <w:t>2012.</w:t>
      </w:r>
      <w:r w:rsidRPr="0028710C">
        <w:rPr>
          <w:rFonts w:ascii="Arial" w:hAnsi="Arial" w:cs="Arial"/>
          <w:spacing w:val="10"/>
          <w:sz w:val="19"/>
          <w:szCs w:val="19"/>
        </w:rPr>
        <w:t xml:space="preserve"> </w:t>
      </w:r>
      <w:r w:rsidRPr="0028710C">
        <w:rPr>
          <w:rFonts w:ascii="Arial" w:hAnsi="Arial" w:cs="Arial"/>
          <w:sz w:val="19"/>
          <w:szCs w:val="19"/>
        </w:rPr>
        <w:t>M.P.</w:t>
      </w:r>
      <w:r w:rsidRPr="0028710C">
        <w:rPr>
          <w:rFonts w:ascii="Arial" w:hAnsi="Arial" w:cs="Arial"/>
          <w:spacing w:val="10"/>
          <w:sz w:val="19"/>
          <w:szCs w:val="19"/>
        </w:rPr>
        <w:t xml:space="preserve"> </w:t>
      </w:r>
      <w:r w:rsidRPr="0028710C">
        <w:rPr>
          <w:rFonts w:ascii="Arial" w:hAnsi="Arial" w:cs="Arial"/>
          <w:sz w:val="19"/>
          <w:szCs w:val="19"/>
        </w:rPr>
        <w:t>Mauricio</w:t>
      </w:r>
      <w:r w:rsidRPr="0028710C">
        <w:rPr>
          <w:rFonts w:ascii="Arial" w:hAnsi="Arial" w:cs="Arial"/>
          <w:spacing w:val="8"/>
          <w:sz w:val="19"/>
          <w:szCs w:val="19"/>
        </w:rPr>
        <w:t xml:space="preserve"> </w:t>
      </w:r>
      <w:r w:rsidRPr="0028710C">
        <w:rPr>
          <w:rFonts w:ascii="Arial" w:hAnsi="Arial" w:cs="Arial"/>
          <w:sz w:val="19"/>
          <w:szCs w:val="19"/>
        </w:rPr>
        <w:t>González.</w:t>
      </w:r>
    </w:p>
    <w:p w14:paraId="5A37F06F" w14:textId="77777777" w:rsidR="00B061A3" w:rsidRPr="0028710C" w:rsidRDefault="00B061A3" w:rsidP="00D303E6">
      <w:pPr>
        <w:pStyle w:val="Textonotapie"/>
        <w:jc w:val="both"/>
        <w:rPr>
          <w:rFonts w:ascii="Arial" w:hAnsi="Arial" w:cs="Arial"/>
          <w:sz w:val="19"/>
          <w:szCs w:val="19"/>
        </w:rPr>
      </w:pPr>
    </w:p>
  </w:footnote>
  <w:footnote w:id="9">
    <w:p w14:paraId="774057A1" w14:textId="77777777" w:rsidR="00EB1D47" w:rsidRPr="0015784C" w:rsidRDefault="00EB1D47" w:rsidP="00EB1D47">
      <w:pPr>
        <w:spacing w:after="0"/>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Decreto 1082 de 2015: «Artículo 2.2.1.2.1.4.4. Convenios o contratos interadministrativos. La modalidad de selección para la contratación entre Entidades Estatales es la contratación directa; y en consecuencia, le es aplicable lo establecido en el artículo 2.2.1.2.1.4.1 del presente decreto.</w:t>
      </w:r>
    </w:p>
    <w:p w14:paraId="7A6EB013" w14:textId="77777777" w:rsidR="00EB1D47" w:rsidRDefault="00EB1D47" w:rsidP="00EB1D47">
      <w:pPr>
        <w:spacing w:after="0"/>
        <w:ind w:firstLine="709"/>
        <w:jc w:val="both"/>
        <w:rPr>
          <w:rFonts w:ascii="Arial" w:hAnsi="Arial" w:cs="Arial"/>
          <w:sz w:val="18"/>
          <w:szCs w:val="18"/>
        </w:rPr>
      </w:pPr>
      <w:proofErr w:type="gramStart"/>
      <w:r w:rsidRPr="0015784C">
        <w:rPr>
          <w:rFonts w:ascii="Arial" w:hAnsi="Arial" w:cs="Arial"/>
          <w:sz w:val="18"/>
          <w:szCs w:val="18"/>
        </w:rPr>
        <w:t>»Cuando</w:t>
      </w:r>
      <w:proofErr w:type="gramEnd"/>
      <w:r w:rsidRPr="0015784C">
        <w:rPr>
          <w:rFonts w:ascii="Arial" w:hAnsi="Arial" w:cs="Arial"/>
          <w:sz w:val="18"/>
          <w:szCs w:val="18"/>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w:t>
      </w:r>
      <w:r w:rsidRPr="0015784C">
        <w:rPr>
          <w:rFonts w:ascii="Arial" w:hAnsi="Arial" w:cs="Arial"/>
          <w:spacing w:val="-1"/>
          <w:sz w:val="18"/>
          <w:szCs w:val="18"/>
        </w:rPr>
        <w:t xml:space="preserve"> </w:t>
      </w:r>
      <w:r w:rsidRPr="0015784C">
        <w:rPr>
          <w:rFonts w:ascii="Arial" w:hAnsi="Arial" w:cs="Arial"/>
          <w:sz w:val="18"/>
          <w:szCs w:val="18"/>
        </w:rPr>
        <w:t>Estatales».</w:t>
      </w:r>
    </w:p>
    <w:p w14:paraId="0365BB06" w14:textId="77777777" w:rsidR="00EB1D47" w:rsidRPr="0015784C" w:rsidRDefault="00EB1D47" w:rsidP="00EB1D47">
      <w:pPr>
        <w:spacing w:after="0"/>
        <w:ind w:firstLine="709"/>
        <w:jc w:val="both"/>
        <w:rPr>
          <w:rFonts w:ascii="Arial" w:hAnsi="Arial" w:cs="Arial"/>
          <w:sz w:val="18"/>
          <w:szCs w:val="18"/>
        </w:rPr>
      </w:pPr>
    </w:p>
  </w:footnote>
  <w:footnote w:id="10">
    <w:p w14:paraId="70C47ADE" w14:textId="77777777" w:rsidR="00EB1D47" w:rsidRPr="0015784C" w:rsidRDefault="00EB1D47" w:rsidP="00EB1D47">
      <w:pPr>
        <w:spacing w:after="0"/>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w:t>
      </w:r>
      <w:r w:rsidRPr="0015784C">
        <w:rPr>
          <w:rFonts w:ascii="Arial" w:hAnsi="Arial" w:cs="Arial"/>
          <w:spacing w:val="-6"/>
          <w:sz w:val="18"/>
          <w:szCs w:val="18"/>
        </w:rPr>
        <w:t xml:space="preserve"> </w:t>
      </w:r>
      <w:r w:rsidRPr="0015784C">
        <w:rPr>
          <w:rFonts w:ascii="Arial" w:hAnsi="Arial" w:cs="Arial"/>
          <w:sz w:val="18"/>
          <w:szCs w:val="18"/>
        </w:rPr>
        <w:t>artículo».</w:t>
      </w:r>
    </w:p>
    <w:p w14:paraId="3CAA7E80" w14:textId="77777777" w:rsidR="00EB1D47" w:rsidRPr="0015784C" w:rsidRDefault="00EB1D47" w:rsidP="00EB1D47">
      <w:pPr>
        <w:spacing w:after="0"/>
        <w:ind w:firstLine="709"/>
        <w:jc w:val="both"/>
        <w:rPr>
          <w:rFonts w:ascii="Arial" w:hAnsi="Arial" w:cs="Arial"/>
          <w:sz w:val="18"/>
          <w:szCs w:val="18"/>
        </w:rPr>
      </w:pPr>
    </w:p>
  </w:footnote>
  <w:footnote w:id="11">
    <w:p w14:paraId="73C3C50C" w14:textId="77777777" w:rsidR="00EB1D47" w:rsidRPr="0084172F" w:rsidRDefault="00EB1D47" w:rsidP="00EB1D47">
      <w:pPr>
        <w:spacing w:after="0"/>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position w:val="7"/>
          <w:sz w:val="18"/>
          <w:szCs w:val="18"/>
        </w:rPr>
        <w:t xml:space="preserve"> </w:t>
      </w:r>
      <w:r w:rsidRPr="0015784C">
        <w:rPr>
          <w:rFonts w:ascii="Arial" w:hAnsi="Arial" w:cs="Arial"/>
          <w:sz w:val="18"/>
          <w:szCs w:val="18"/>
        </w:rPr>
        <w:t>Consejo de Estado. Sección Tercera. Sentencia del 23 de junio de 2010. Radicación No. 66001-23-31-000-1998-00261-01(17.860). Consejero Ponente: Mauricio Fajardo Gómez.</w:t>
      </w:r>
    </w:p>
  </w:footnote>
  <w:footnote w:id="12">
    <w:p w14:paraId="386B4151" w14:textId="77777777" w:rsidR="00EB1D47" w:rsidRPr="0015784C" w:rsidRDefault="00EB1D47" w:rsidP="00EB1D47">
      <w:pPr>
        <w:spacing w:after="0"/>
        <w:ind w:firstLine="709"/>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Consejo de Estado. Sección Tercera. Subsección C. Sentencia del 11 de diciembre de 2019. </w:t>
      </w:r>
      <w:proofErr w:type="spellStart"/>
      <w:r w:rsidRPr="0015784C">
        <w:rPr>
          <w:rFonts w:ascii="Arial" w:hAnsi="Arial" w:cs="Arial"/>
          <w:sz w:val="18"/>
          <w:szCs w:val="18"/>
        </w:rPr>
        <w:t>Exp</w:t>
      </w:r>
      <w:proofErr w:type="spellEnd"/>
      <w:r w:rsidRPr="0015784C">
        <w:rPr>
          <w:rFonts w:ascii="Arial" w:hAnsi="Arial" w:cs="Arial"/>
          <w:sz w:val="18"/>
          <w:szCs w:val="18"/>
        </w:rPr>
        <w:t>. 46.986. C.P. Jaime Enrique Rodríguez Navas.</w:t>
      </w:r>
    </w:p>
  </w:footnote>
  <w:footnote w:id="13">
    <w:p w14:paraId="05B57FE5" w14:textId="77777777" w:rsidR="00EB1D47" w:rsidRDefault="00EB1D47" w:rsidP="00EB1D47">
      <w:pPr>
        <w:pStyle w:val="Textonotapie"/>
        <w:ind w:firstLine="708"/>
        <w:jc w:val="both"/>
        <w:rPr>
          <w:rFonts w:ascii="Arial" w:hAnsi="Arial" w:cs="Arial"/>
          <w:sz w:val="18"/>
          <w:szCs w:val="18"/>
        </w:rPr>
      </w:pPr>
      <w:r w:rsidRPr="0015784C">
        <w:rPr>
          <w:rStyle w:val="Refdenotaalpie"/>
          <w:rFonts w:ascii="Arial" w:hAnsi="Arial" w:cs="Arial"/>
          <w:sz w:val="18"/>
          <w:szCs w:val="18"/>
        </w:rPr>
        <w:footnoteRef/>
      </w:r>
      <w:r w:rsidRPr="0015784C">
        <w:rPr>
          <w:rFonts w:ascii="Arial" w:hAnsi="Arial" w:cs="Arial"/>
          <w:sz w:val="18"/>
          <w:szCs w:val="18"/>
        </w:rPr>
        <w:t xml:space="preserve"> Es lo que sucede, por ejemplo, con el Decreto 092 de 2017, que en su desarrollo hace referencia tanto a los «contratos» como a los «convenios». </w:t>
      </w:r>
    </w:p>
    <w:p w14:paraId="1EF821E6" w14:textId="77777777" w:rsidR="00EB1D47" w:rsidRPr="0015784C" w:rsidRDefault="00EB1D47" w:rsidP="00EB1D47">
      <w:pPr>
        <w:pStyle w:val="Textonotapie"/>
        <w:ind w:firstLine="708"/>
        <w:jc w:val="both"/>
        <w:rPr>
          <w:rFonts w:ascii="Arial" w:hAnsi="Arial" w:cs="Arial"/>
          <w:sz w:val="18"/>
          <w:szCs w:val="18"/>
          <w:lang w:val="es-CO"/>
        </w:rPr>
      </w:pPr>
    </w:p>
  </w:footnote>
  <w:footnote w:id="14">
    <w:p w14:paraId="303946C1" w14:textId="77777777" w:rsidR="00EB1D47" w:rsidRPr="0015784C" w:rsidRDefault="00EB1D47" w:rsidP="00EB1D47">
      <w:pPr>
        <w:pStyle w:val="Textonotapie"/>
        <w:ind w:firstLine="708"/>
        <w:jc w:val="both"/>
        <w:rPr>
          <w:rFonts w:ascii="Arial" w:hAnsi="Arial" w:cs="Arial"/>
          <w:sz w:val="18"/>
          <w:szCs w:val="18"/>
          <w:lang w:val="es-CO"/>
        </w:rPr>
      </w:pPr>
      <w:r w:rsidRPr="0015784C">
        <w:rPr>
          <w:rStyle w:val="Refdenotaalpie"/>
          <w:rFonts w:ascii="Arial" w:hAnsi="Arial" w:cs="Arial"/>
          <w:sz w:val="18"/>
          <w:szCs w:val="18"/>
        </w:rPr>
        <w:footnoteRef/>
      </w:r>
      <w:r w:rsidRPr="0015784C">
        <w:rPr>
          <w:rFonts w:ascii="Arial" w:hAnsi="Arial" w:cs="Arial"/>
          <w:sz w:val="18"/>
          <w:szCs w:val="18"/>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15">
    <w:p w14:paraId="2A97CD12" w14:textId="77777777" w:rsidR="00EB1D47" w:rsidRPr="002D5DDB" w:rsidRDefault="00EB1D47" w:rsidP="00EB1D47">
      <w:pPr>
        <w:pStyle w:val="Textonotapie"/>
        <w:ind w:firstLine="709"/>
        <w:jc w:val="both"/>
        <w:rPr>
          <w:rFonts w:ascii="Arial" w:hAnsi="Arial" w:cs="Arial"/>
          <w:sz w:val="19"/>
          <w:szCs w:val="19"/>
        </w:rPr>
      </w:pPr>
    </w:p>
    <w:p w14:paraId="1CA2E995" w14:textId="77777777" w:rsidR="00EB1D47" w:rsidRPr="002D5DDB" w:rsidRDefault="00EB1D47" w:rsidP="00EB1D47">
      <w:pPr>
        <w:pStyle w:val="Textonotapie"/>
        <w:ind w:firstLine="709"/>
        <w:jc w:val="both"/>
        <w:rPr>
          <w:rFonts w:ascii="Arial" w:hAnsi="Arial" w:cs="Arial"/>
          <w:sz w:val="19"/>
          <w:szCs w:val="19"/>
          <w:lang w:val="es-ES"/>
        </w:rPr>
      </w:pPr>
      <w:r w:rsidRPr="002D5DDB">
        <w:rPr>
          <w:rStyle w:val="Refdenotaalpie"/>
          <w:rFonts w:ascii="Arial" w:hAnsi="Arial" w:cs="Arial"/>
          <w:sz w:val="19"/>
          <w:szCs w:val="19"/>
        </w:rPr>
        <w:footnoteRef/>
      </w:r>
      <w:r w:rsidRPr="002D5DDB">
        <w:rPr>
          <w:rFonts w:ascii="Arial" w:hAnsi="Arial" w:cs="Arial"/>
          <w:sz w:val="19"/>
          <w:szCs w:val="19"/>
        </w:rPr>
        <w:t xml:space="preserve"> </w:t>
      </w:r>
      <w:r w:rsidRPr="002D5DDB">
        <w:rPr>
          <w:rFonts w:ascii="Arial" w:hAnsi="Arial" w:cs="Arial"/>
          <w:sz w:val="19"/>
          <w:szCs w:val="19"/>
          <w:lang w:val="es-ES"/>
        </w:rPr>
        <w:t>BOBBIO, Norberto. Democracia y secreto. México: Fondo de Cultura Económica, 2013. p. 27.</w:t>
      </w:r>
    </w:p>
  </w:footnote>
  <w:footnote w:id="16">
    <w:p w14:paraId="30E7BBE4" w14:textId="77777777" w:rsidR="00EB1D47" w:rsidRPr="002D5DDB" w:rsidRDefault="00EB1D47" w:rsidP="00EB1D47">
      <w:pPr>
        <w:pStyle w:val="Textonotapie"/>
        <w:ind w:firstLine="709"/>
        <w:jc w:val="both"/>
        <w:rPr>
          <w:rFonts w:ascii="Arial" w:hAnsi="Arial" w:cs="Arial"/>
          <w:color w:val="000000" w:themeColor="text1"/>
          <w:sz w:val="19"/>
          <w:szCs w:val="19"/>
        </w:rPr>
      </w:pPr>
    </w:p>
    <w:p w14:paraId="451FED99" w14:textId="77777777" w:rsidR="00EB1D47" w:rsidRPr="002D5DDB" w:rsidRDefault="00EB1D47" w:rsidP="00EB1D47">
      <w:pPr>
        <w:pStyle w:val="Textonotapie"/>
        <w:ind w:firstLine="709"/>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sidRPr="002D5DDB">
        <w:rPr>
          <w:rFonts w:ascii="Arial" w:hAnsi="Arial" w:cs="Arial"/>
          <w:color w:val="000000" w:themeColor="text1"/>
          <w:sz w:val="19"/>
          <w:szCs w:val="19"/>
        </w:rPr>
        <w:t xml:space="preserve"> Corte Constitucional. Sentencia C- 341 del 4 de junio de 2014. M. P. Mauricio González Cuervo.</w:t>
      </w:r>
    </w:p>
    <w:p w14:paraId="74EAE344" w14:textId="77777777" w:rsidR="00EB1D47" w:rsidRPr="002D5DDB" w:rsidRDefault="00EB1D47" w:rsidP="00EB1D47">
      <w:pPr>
        <w:pStyle w:val="Textonotapie"/>
        <w:ind w:firstLine="709"/>
        <w:jc w:val="both"/>
        <w:rPr>
          <w:rFonts w:ascii="Arial" w:hAnsi="Arial" w:cs="Arial"/>
          <w:color w:val="000000" w:themeColor="text1"/>
          <w:sz w:val="19"/>
          <w:szCs w:val="19"/>
        </w:rPr>
      </w:pPr>
    </w:p>
  </w:footnote>
  <w:footnote w:id="17">
    <w:p w14:paraId="721D9BFD" w14:textId="77777777" w:rsidR="00EB1D47" w:rsidRPr="002D5DDB" w:rsidRDefault="00EB1D47" w:rsidP="00EB1D47">
      <w:pPr>
        <w:pStyle w:val="Textonotapie"/>
        <w:ind w:firstLine="709"/>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sidRPr="002D5DDB">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74F63583" w14:textId="77777777" w:rsidR="00EB1D47" w:rsidRPr="002D5DDB" w:rsidRDefault="00EB1D47" w:rsidP="00EB1D47">
      <w:pPr>
        <w:pStyle w:val="Textonotapie"/>
        <w:ind w:firstLine="709"/>
        <w:jc w:val="both"/>
        <w:rPr>
          <w:rFonts w:ascii="Arial" w:hAnsi="Arial" w:cs="Arial"/>
          <w:color w:val="000000" w:themeColor="text1"/>
          <w:sz w:val="19"/>
          <w:szCs w:val="19"/>
        </w:rPr>
      </w:pPr>
    </w:p>
    <w:p w14:paraId="246FE57E" w14:textId="77777777" w:rsidR="00EB1D47" w:rsidRPr="002D5DDB" w:rsidRDefault="00EB1D47" w:rsidP="00EB1D47">
      <w:pPr>
        <w:pStyle w:val="Textonotapie"/>
        <w:ind w:firstLine="709"/>
        <w:jc w:val="both"/>
        <w:rPr>
          <w:rFonts w:ascii="Arial" w:hAnsi="Arial" w:cs="Arial"/>
          <w:color w:val="000000" w:themeColor="text1"/>
          <w:sz w:val="19"/>
          <w:szCs w:val="19"/>
        </w:rPr>
      </w:pPr>
      <w:proofErr w:type="gramStart"/>
      <w:r w:rsidRPr="002D5DDB">
        <w:rPr>
          <w:rFonts w:ascii="Arial" w:hAnsi="Arial" w:cs="Arial"/>
          <w:color w:val="000000" w:themeColor="text1"/>
          <w:sz w:val="19"/>
          <w:szCs w:val="19"/>
        </w:rPr>
        <w:t>»Lo</w:t>
      </w:r>
      <w:proofErr w:type="gramEnd"/>
      <w:r w:rsidRPr="002D5DDB">
        <w:rPr>
          <w:rFonts w:ascii="Arial" w:hAnsi="Arial" w:cs="Arial"/>
          <w:color w:val="000000" w:themeColor="text1"/>
          <w:sz w:val="19"/>
          <w:szCs w:val="19"/>
        </w:rPr>
        <w:t xml:space="preserve"> anterior, sin perjuicio de las publicaciones previstas en el numeral 3 del artículo 30 de la Ley 80 de 1993.</w:t>
      </w:r>
    </w:p>
    <w:p w14:paraId="73C3D2D6" w14:textId="77777777" w:rsidR="00EB1D47" w:rsidRPr="002D5DDB" w:rsidRDefault="00EB1D47" w:rsidP="00EB1D47">
      <w:pPr>
        <w:pStyle w:val="Textonotapie"/>
        <w:ind w:firstLine="709"/>
        <w:jc w:val="both"/>
        <w:rPr>
          <w:rFonts w:ascii="Arial" w:hAnsi="Arial" w:cs="Arial"/>
          <w:color w:val="000000" w:themeColor="text1"/>
          <w:sz w:val="19"/>
          <w:szCs w:val="19"/>
        </w:rPr>
      </w:pPr>
      <w:proofErr w:type="gramStart"/>
      <w:r w:rsidRPr="002D5DDB">
        <w:rPr>
          <w:rFonts w:ascii="Arial" w:hAnsi="Arial" w:cs="Arial"/>
          <w:color w:val="000000" w:themeColor="text1"/>
          <w:sz w:val="19"/>
          <w:szCs w:val="19"/>
        </w:rPr>
        <w:t>»Con</w:t>
      </w:r>
      <w:proofErr w:type="gramEnd"/>
      <w:r w:rsidRPr="002D5DDB">
        <w:rPr>
          <w:rFonts w:ascii="Arial" w:hAnsi="Arial" w:cs="Arial"/>
          <w:color w:val="000000" w:themeColor="text1"/>
          <w:sz w:val="19"/>
          <w:szCs w:val="19"/>
        </w:rPr>
        <w:t xml:space="preserve"> el fin de materializar los objetivos a que se refiere el inciso anterior, el Gobierno Nacional desarrollará el Sistema Electrónico para la Contratación Pública, Secop, el cual: </w:t>
      </w:r>
    </w:p>
    <w:p w14:paraId="3A7C4132" w14:textId="77777777" w:rsidR="00EB1D47" w:rsidRPr="002D5DDB" w:rsidRDefault="00EB1D47" w:rsidP="00EB1D47">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w:t>
      </w:r>
    </w:p>
    <w:p w14:paraId="4BDDF2E8" w14:textId="77777777" w:rsidR="00EB1D47" w:rsidRPr="002D5DDB" w:rsidRDefault="00EB1D47" w:rsidP="00EB1D47">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1CBC7CA9" w14:textId="77777777" w:rsidR="00EB1D47" w:rsidRPr="002D5DDB" w:rsidRDefault="00EB1D47" w:rsidP="00EB1D47">
      <w:pPr>
        <w:pStyle w:val="Textonotapie"/>
        <w:ind w:firstLine="709"/>
        <w:jc w:val="both"/>
        <w:rPr>
          <w:rFonts w:ascii="Arial" w:hAnsi="Arial" w:cs="Arial"/>
          <w:color w:val="000000" w:themeColor="text1"/>
          <w:sz w:val="19"/>
          <w:szCs w:val="19"/>
          <w:lang w:val="es-CO"/>
        </w:rPr>
      </w:pPr>
    </w:p>
  </w:footnote>
  <w:footnote w:id="18">
    <w:p w14:paraId="060712B9" w14:textId="77777777" w:rsidR="00EB1D47" w:rsidRPr="002D5DDB" w:rsidRDefault="00EB1D47" w:rsidP="00EB1D47">
      <w:pPr>
        <w:pStyle w:val="Textonotapie"/>
        <w:ind w:firstLine="709"/>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sidRPr="002D5DDB">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586606F1" w14:textId="77777777" w:rsidR="00EB1D47" w:rsidRPr="002D5DDB" w:rsidRDefault="00EB1D47" w:rsidP="00EB1D47">
      <w:pPr>
        <w:pStyle w:val="Textonotapie"/>
        <w:ind w:firstLine="709"/>
        <w:jc w:val="both"/>
        <w:rPr>
          <w:rFonts w:ascii="Arial" w:hAnsi="Arial" w:cs="Arial"/>
          <w:color w:val="000000" w:themeColor="text1"/>
          <w:sz w:val="19"/>
          <w:szCs w:val="19"/>
          <w:lang w:val="es-CO"/>
        </w:rPr>
      </w:pPr>
    </w:p>
  </w:footnote>
  <w:footnote w:id="19">
    <w:p w14:paraId="1F5CEDFA" w14:textId="77777777" w:rsidR="003D1253" w:rsidRPr="00D77B72" w:rsidRDefault="003D1253" w:rsidP="003D1253">
      <w:pPr>
        <w:pStyle w:val="Textonotapie"/>
        <w:ind w:firstLine="707"/>
        <w:jc w:val="both"/>
        <w:rPr>
          <w:rFonts w:ascii="Arial" w:hAnsi="Arial" w:cs="Arial"/>
          <w:sz w:val="19"/>
          <w:szCs w:val="19"/>
          <w:lang w:val="es-CO"/>
        </w:rPr>
      </w:pPr>
      <w:r w:rsidRPr="00D77B72">
        <w:rPr>
          <w:rStyle w:val="Refdenotaalpie"/>
          <w:rFonts w:ascii="Arial" w:hAnsi="Arial" w:cs="Arial"/>
          <w:sz w:val="19"/>
          <w:szCs w:val="19"/>
        </w:rPr>
        <w:footnoteRef/>
      </w:r>
      <w:r w:rsidRPr="00D77B72">
        <w:rPr>
          <w:rFonts w:ascii="Arial" w:hAnsi="Arial" w:cs="Arial"/>
          <w:sz w:val="19"/>
          <w:szCs w:val="19"/>
          <w:vertAlign w:val="superscript"/>
        </w:rPr>
        <w:t xml:space="preserve"> </w:t>
      </w:r>
      <w:r w:rsidRPr="00D77B72">
        <w:rPr>
          <w:rFonts w:ascii="Arial" w:hAnsi="Arial" w:cs="Arial"/>
          <w:sz w:val="19"/>
          <w:szCs w:val="19"/>
        </w:rPr>
        <w:t xml:space="preserve">Ley 1712 de 2014: «Artículo 3. </w:t>
      </w:r>
      <w:r w:rsidRPr="00D77B72">
        <w:rPr>
          <w:rFonts w:ascii="Arial" w:hAnsi="Arial" w:cs="Arial"/>
          <w:sz w:val="19"/>
          <w:szCs w:val="19"/>
          <w:lang w:val="es-CO"/>
        </w:rPr>
        <w:t>Otros principios de la transparencia y acceso a la información pública. </w:t>
      </w:r>
    </w:p>
    <w:p w14:paraId="4B225BE0" w14:textId="77777777" w:rsidR="003D1253" w:rsidRPr="00D77B72" w:rsidRDefault="003D1253" w:rsidP="003D1253">
      <w:pPr>
        <w:pStyle w:val="Textonotapie"/>
        <w:ind w:firstLine="707"/>
        <w:jc w:val="both"/>
        <w:rPr>
          <w:rFonts w:ascii="Arial" w:hAnsi="Arial" w:cs="Arial"/>
          <w:sz w:val="19"/>
          <w:szCs w:val="19"/>
          <w:lang w:val="es-ES"/>
        </w:rPr>
      </w:pPr>
      <w:r w:rsidRPr="00D77B72">
        <w:rPr>
          <w:rFonts w:ascii="Arial" w:hAnsi="Arial" w:cs="Arial"/>
          <w:sz w:val="19"/>
          <w:szCs w:val="19"/>
          <w:lang w:val="es-ES"/>
        </w:rPr>
        <w:t>[…]</w:t>
      </w:r>
    </w:p>
    <w:p w14:paraId="002B6D5E" w14:textId="77777777" w:rsidR="003D1253" w:rsidRPr="00D77B72" w:rsidRDefault="003D1253" w:rsidP="003D1253">
      <w:pPr>
        <w:pStyle w:val="Textonotapie"/>
        <w:ind w:firstLine="707"/>
        <w:jc w:val="both"/>
        <w:rPr>
          <w:rFonts w:ascii="Arial" w:hAnsi="Arial" w:cs="Arial"/>
          <w:sz w:val="19"/>
          <w:szCs w:val="19"/>
          <w:lang w:val="es-ES"/>
        </w:rPr>
      </w:pPr>
      <w:r w:rsidRPr="00D77B72">
        <w:rPr>
          <w:rStyle w:val="baj"/>
          <w:rFonts w:ascii="Arial" w:hAnsi="Arial" w:cs="Arial"/>
          <w:b/>
          <w:bCs/>
          <w:sz w:val="19"/>
          <w:szCs w:val="19"/>
        </w:rPr>
        <w:t>Principio de buena fe</w:t>
      </w:r>
      <w:r w:rsidRPr="00D77B72">
        <w:rPr>
          <w:rFonts w:ascii="Arial" w:hAnsi="Arial" w:cs="Arial"/>
          <w:sz w:val="19"/>
          <w:szCs w:val="19"/>
        </w:rPr>
        <w:t>. En virtud del cual todo sujeto obligado, al cumplir con las obligaciones derivadas del derecho de acceso a la información pública, lo hará con motivación honesta, leal y desprovista de cualquier intención dolosa o culposa.</w:t>
      </w:r>
    </w:p>
  </w:footnote>
  <w:footnote w:id="20">
    <w:p w14:paraId="388E71FE" w14:textId="77777777" w:rsidR="00C865A9" w:rsidRPr="00344D98" w:rsidRDefault="00C865A9" w:rsidP="00C865A9">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4BB7FD8E" w14:textId="77777777" w:rsidR="00C865A9" w:rsidRPr="00344D98" w:rsidRDefault="00C865A9" w:rsidP="00C865A9">
      <w:pPr>
        <w:pStyle w:val="Textonotapie"/>
        <w:ind w:firstLine="709"/>
        <w:jc w:val="both"/>
        <w:rPr>
          <w:rFonts w:ascii="Arial" w:hAnsi="Arial" w:cs="Arial"/>
          <w:color w:val="000000" w:themeColor="text1"/>
          <w:sz w:val="19"/>
          <w:szCs w:val="19"/>
        </w:rPr>
      </w:pPr>
      <w:proofErr w:type="gramStart"/>
      <w:r w:rsidRPr="00344D98">
        <w:rPr>
          <w:rFonts w:ascii="Arial" w:hAnsi="Arial" w:cs="Arial"/>
          <w:color w:val="000000" w:themeColor="text1"/>
          <w:sz w:val="19"/>
          <w:szCs w:val="19"/>
        </w:rPr>
        <w:t>»a</w:t>
      </w:r>
      <w:proofErr w:type="gramEnd"/>
      <w:r w:rsidRPr="00344D98">
        <w:rPr>
          <w:rFonts w:ascii="Arial" w:hAnsi="Arial" w:cs="Arial"/>
          <w:color w:val="000000" w:themeColor="text1"/>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w:t>
      </w:r>
    </w:p>
    <w:p w14:paraId="6C871A15" w14:textId="77777777" w:rsidR="00C865A9" w:rsidRPr="00344D98" w:rsidRDefault="00C865A9" w:rsidP="00C865A9">
      <w:pPr>
        <w:pStyle w:val="Textonotapie"/>
        <w:ind w:firstLine="709"/>
        <w:jc w:val="both"/>
        <w:rPr>
          <w:rFonts w:ascii="Arial" w:hAnsi="Arial" w:cs="Arial"/>
          <w:color w:val="000000" w:themeColor="text1"/>
          <w:sz w:val="19"/>
          <w:szCs w:val="19"/>
          <w:lang w:val="es-CO"/>
        </w:rPr>
      </w:pPr>
    </w:p>
  </w:footnote>
  <w:footnote w:id="21">
    <w:p w14:paraId="16008E3E" w14:textId="77777777" w:rsidR="00C865A9" w:rsidRPr="00344D98" w:rsidRDefault="00C865A9" w:rsidP="00C865A9">
      <w:pPr>
        <w:pStyle w:val="Textonotapie"/>
        <w:ind w:firstLine="709"/>
        <w:jc w:val="both"/>
        <w:rPr>
          <w:rFonts w:ascii="Arial" w:hAnsi="Arial" w:cs="Arial"/>
          <w:color w:val="000000" w:themeColor="text1"/>
          <w:sz w:val="19"/>
          <w:szCs w:val="19"/>
        </w:rPr>
      </w:pPr>
      <w:r w:rsidRPr="00344D98">
        <w:rPr>
          <w:rFonts w:ascii="Arial" w:eastAsia="Times New Roman" w:hAnsi="Arial" w:cs="Arial"/>
          <w:color w:val="000000" w:themeColor="text1"/>
          <w:sz w:val="19"/>
          <w:szCs w:val="19"/>
          <w:vertAlign w:val="superscript"/>
          <w:lang w:val="es-ES" w:eastAsia="es-ES"/>
        </w:rPr>
        <w:footnoteRef/>
      </w:r>
      <w:r w:rsidRPr="00344D98">
        <w:rPr>
          <w:rFonts w:ascii="Arial" w:eastAsia="Times New Roman" w:hAnsi="Arial" w:cs="Arial"/>
          <w:color w:val="000000" w:themeColor="text1"/>
          <w:sz w:val="19"/>
          <w:szCs w:val="19"/>
          <w:vertAlign w:val="superscript"/>
          <w:lang w:val="es-ES" w:eastAsia="es-ES"/>
        </w:rPr>
        <w:t xml:space="preserve"> </w:t>
      </w:r>
      <w:r w:rsidRPr="00344D98">
        <w:rPr>
          <w:rFonts w:ascii="Arial" w:eastAsia="Times New Roman" w:hAnsi="Arial" w:cs="Arial"/>
          <w:color w:val="000000" w:themeColor="text1"/>
          <w:sz w:val="19"/>
          <w:szCs w:val="19"/>
          <w:lang w:val="es-ES" w:eastAsia="es-ES"/>
        </w:rPr>
        <w:t>«</w:t>
      </w:r>
      <w:r w:rsidRPr="00344D98">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2E5DA8AE" w14:textId="77777777" w:rsidR="00C865A9" w:rsidRPr="00344D98" w:rsidRDefault="00C865A9" w:rsidP="00C865A9">
      <w:pPr>
        <w:pStyle w:val="Textonotapie"/>
        <w:ind w:firstLine="709"/>
        <w:jc w:val="both"/>
        <w:rPr>
          <w:rFonts w:ascii="Arial" w:eastAsia="Times New Roman" w:hAnsi="Arial" w:cs="Arial"/>
          <w:color w:val="000000" w:themeColor="text1"/>
          <w:sz w:val="19"/>
          <w:szCs w:val="19"/>
          <w:lang w:val="es-ES" w:eastAsia="es-ES"/>
        </w:rPr>
      </w:pPr>
      <w:r w:rsidRPr="00344D98">
        <w:rPr>
          <w:rFonts w:ascii="Arial" w:hAnsi="Arial" w:cs="Arial"/>
          <w:color w:val="000000" w:themeColor="text1"/>
          <w:sz w:val="19"/>
          <w:szCs w:val="19"/>
        </w:rPr>
        <w:t>[…].</w:t>
      </w:r>
    </w:p>
    <w:p w14:paraId="5A1CF1FA" w14:textId="77777777" w:rsidR="00C865A9" w:rsidRPr="00344D98" w:rsidRDefault="00C865A9" w:rsidP="00C865A9">
      <w:pPr>
        <w:pStyle w:val="Textonotapie"/>
        <w:ind w:firstLine="709"/>
        <w:jc w:val="both"/>
        <w:rPr>
          <w:rFonts w:ascii="Arial" w:eastAsia="Times New Roman" w:hAnsi="Arial" w:cs="Arial"/>
          <w:color w:val="000000" w:themeColor="text1"/>
          <w:sz w:val="19"/>
          <w:szCs w:val="19"/>
          <w:lang w:val="es-ES" w:eastAsia="es-ES"/>
        </w:rPr>
      </w:pPr>
      <w:r w:rsidRPr="00344D98">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237BEAB3" w14:textId="77777777" w:rsidR="00C865A9" w:rsidRPr="00344D98" w:rsidRDefault="00C865A9" w:rsidP="00C865A9">
      <w:pPr>
        <w:pStyle w:val="Textonotapie"/>
        <w:ind w:firstLine="709"/>
        <w:jc w:val="both"/>
        <w:rPr>
          <w:rFonts w:ascii="Arial" w:eastAsia="Times New Roman" w:hAnsi="Arial" w:cs="Arial"/>
          <w:color w:val="000000" w:themeColor="text1"/>
          <w:sz w:val="19"/>
          <w:szCs w:val="19"/>
          <w:lang w:val="es-ES" w:eastAsia="es-ES"/>
        </w:rPr>
      </w:pPr>
    </w:p>
  </w:footnote>
  <w:footnote w:id="22">
    <w:p w14:paraId="6C9A77D4" w14:textId="77777777" w:rsidR="00EB1D47" w:rsidRPr="002D5DDB" w:rsidRDefault="00EB1D47" w:rsidP="00EB1D47">
      <w:pPr>
        <w:pStyle w:val="Textonotapie"/>
        <w:ind w:firstLine="709"/>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sidRPr="002D5DDB">
        <w:rPr>
          <w:rFonts w:ascii="Arial" w:hAnsi="Arial" w:cs="Arial"/>
          <w:color w:val="000000" w:themeColor="text1"/>
          <w:sz w:val="19"/>
          <w:szCs w:val="19"/>
        </w:rPr>
        <w:t xml:space="preserve"> C</w:t>
      </w:r>
      <w:proofErr w:type="spellStart"/>
      <w:r w:rsidRPr="002D5DDB">
        <w:rPr>
          <w:rFonts w:ascii="Arial" w:eastAsia="Times New Roman" w:hAnsi="Arial" w:cs="Arial"/>
          <w:color w:val="000000" w:themeColor="text1"/>
          <w:sz w:val="19"/>
          <w:szCs w:val="19"/>
          <w:lang w:val="es-ES" w:eastAsia="es-ES"/>
        </w:rPr>
        <w:t>orte</w:t>
      </w:r>
      <w:proofErr w:type="spellEnd"/>
      <w:r w:rsidRPr="002D5DDB">
        <w:rPr>
          <w:rFonts w:ascii="Arial" w:eastAsia="Times New Roman" w:hAnsi="Arial" w:cs="Arial"/>
          <w:color w:val="000000" w:themeColor="text1"/>
          <w:sz w:val="19"/>
          <w:szCs w:val="19"/>
          <w:lang w:val="es-ES" w:eastAsia="es-ES"/>
        </w:rPr>
        <w:t xml:space="preserve"> Constitucional. Sentencia C‒274 de 9 de mayo de 2013. M.P. María Victoria Calle Correa. </w:t>
      </w:r>
    </w:p>
    <w:p w14:paraId="7CF3F50D" w14:textId="77777777" w:rsidR="00EB1D47" w:rsidRPr="002D5DDB" w:rsidRDefault="00EB1D47" w:rsidP="00EB1D47">
      <w:pPr>
        <w:pStyle w:val="Textonotapie"/>
        <w:ind w:firstLine="709"/>
        <w:jc w:val="both"/>
        <w:rPr>
          <w:rFonts w:ascii="Arial" w:hAnsi="Arial" w:cs="Arial"/>
          <w:color w:val="000000" w:themeColor="text1"/>
          <w:sz w:val="19"/>
          <w:szCs w:val="19"/>
          <w:lang w:val="es-CO"/>
        </w:rPr>
      </w:pPr>
    </w:p>
  </w:footnote>
  <w:footnote w:id="23">
    <w:p w14:paraId="360CE970" w14:textId="77777777" w:rsidR="00EB1D47" w:rsidRPr="002D5DDB" w:rsidRDefault="00EB1D47" w:rsidP="00EB1D47">
      <w:pPr>
        <w:pStyle w:val="Textonotapie"/>
        <w:ind w:firstLine="709"/>
        <w:jc w:val="both"/>
        <w:rPr>
          <w:rFonts w:ascii="Arial" w:hAnsi="Arial" w:cs="Arial"/>
          <w:color w:val="000000" w:themeColor="text1"/>
          <w:sz w:val="19"/>
          <w:szCs w:val="19"/>
        </w:rPr>
      </w:pPr>
      <w:r w:rsidRPr="002D5DDB">
        <w:rPr>
          <w:rStyle w:val="Refdenotaalpie"/>
          <w:rFonts w:ascii="Arial" w:hAnsi="Arial" w:cs="Arial"/>
          <w:color w:val="000000" w:themeColor="text1"/>
          <w:sz w:val="19"/>
          <w:szCs w:val="19"/>
        </w:rPr>
        <w:footnoteRef/>
      </w:r>
      <w:r w:rsidRPr="002D5DDB">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 Esta obligación deberá cumplirse, inclusive, si la ejecución</w:t>
      </w:r>
    </w:p>
    <w:p w14:paraId="28642EF4" w14:textId="77777777" w:rsidR="00EB1D47" w:rsidRPr="002D5DDB" w:rsidRDefault="00EB1D47" w:rsidP="00EB1D47">
      <w:pPr>
        <w:pStyle w:val="Textonotapie"/>
        <w:ind w:firstLine="709"/>
        <w:jc w:val="both"/>
        <w:rPr>
          <w:rFonts w:ascii="Arial" w:hAnsi="Arial" w:cs="Arial"/>
          <w:color w:val="000000" w:themeColor="text1"/>
          <w:sz w:val="19"/>
          <w:szCs w:val="19"/>
        </w:rPr>
      </w:pPr>
      <w:r w:rsidRPr="002D5DDB">
        <w:rPr>
          <w:rFonts w:ascii="Arial" w:hAnsi="Arial" w:cs="Arial"/>
          <w:color w:val="000000" w:themeColor="text1"/>
          <w:sz w:val="19"/>
          <w:szCs w:val="19"/>
        </w:rPr>
        <w:t>del contrato no implica erogación presupuestal».</w:t>
      </w:r>
    </w:p>
    <w:p w14:paraId="266A0223" w14:textId="77777777" w:rsidR="00EB1D47" w:rsidRPr="002D5DDB" w:rsidRDefault="00EB1D47" w:rsidP="00EB1D47">
      <w:pPr>
        <w:pStyle w:val="Textonotapie"/>
        <w:ind w:firstLine="709"/>
        <w:jc w:val="both"/>
        <w:rPr>
          <w:rFonts w:ascii="Arial" w:hAnsi="Arial" w:cs="Arial"/>
          <w:color w:val="000000" w:themeColor="text1"/>
          <w:sz w:val="19"/>
          <w:szCs w:val="19"/>
          <w:lang w:val="es-CO"/>
        </w:rPr>
      </w:pPr>
    </w:p>
  </w:footnote>
  <w:footnote w:id="24">
    <w:p w14:paraId="4BE0B4BB" w14:textId="77777777" w:rsidR="00EB1D47" w:rsidRPr="00ED4368" w:rsidRDefault="00EB1D47" w:rsidP="00EB1D47">
      <w:pPr>
        <w:pStyle w:val="Textonotapie"/>
        <w:ind w:firstLine="709"/>
        <w:jc w:val="both"/>
        <w:rPr>
          <w:rFonts w:ascii="Arial" w:hAnsi="Arial" w:cs="Arial"/>
          <w:sz w:val="19"/>
          <w:szCs w:val="19"/>
          <w:lang w:val="es-ES"/>
        </w:rPr>
      </w:pPr>
      <w:r w:rsidRPr="00ED4368">
        <w:rPr>
          <w:rStyle w:val="Refdenotaalpie"/>
          <w:rFonts w:ascii="Arial" w:hAnsi="Arial" w:cs="Arial"/>
          <w:sz w:val="19"/>
          <w:szCs w:val="19"/>
        </w:rPr>
        <w:footnoteRef/>
      </w:r>
      <w:r w:rsidRPr="00ED4368">
        <w:rPr>
          <w:rFonts w:ascii="Arial" w:hAnsi="Arial" w:cs="Arial"/>
          <w:sz w:val="19"/>
          <w:szCs w:val="19"/>
        </w:rPr>
        <w:t xml:space="preserve"> https://www.colombiacompra.gov.co/sites/cce_public/files/cce_circulares/cce-eicp-ma-06_circular_externa_con_comentarios_de_ciudadanos-_v2f_002.pdf</w:t>
      </w:r>
    </w:p>
  </w:footnote>
  <w:footnote w:id="25">
    <w:p w14:paraId="5A9040BD" w14:textId="77777777" w:rsidR="00416D5F" w:rsidRPr="00344D98" w:rsidRDefault="00416D5F" w:rsidP="00416D5F">
      <w:pPr>
        <w:pStyle w:val="Textonotapie"/>
        <w:ind w:firstLine="709"/>
        <w:jc w:val="both"/>
        <w:rPr>
          <w:rFonts w:ascii="Arial" w:hAnsi="Arial" w:cs="Arial"/>
          <w:sz w:val="19"/>
          <w:szCs w:val="19"/>
          <w:lang w:val="es-ES"/>
        </w:rPr>
      </w:pPr>
      <w:r w:rsidRPr="00344D98">
        <w:rPr>
          <w:rStyle w:val="Refdenotaalpie"/>
          <w:rFonts w:ascii="Arial" w:hAnsi="Arial" w:cs="Arial"/>
          <w:sz w:val="19"/>
          <w:szCs w:val="19"/>
        </w:rPr>
        <w:footnoteRef/>
      </w:r>
      <w:r w:rsidRPr="00344D98">
        <w:rPr>
          <w:rFonts w:ascii="Arial" w:hAnsi="Arial" w:cs="Arial"/>
          <w:sz w:val="19"/>
          <w:szCs w:val="19"/>
        </w:rPr>
        <w:t xml:space="preserve"> </w:t>
      </w:r>
      <w:r w:rsidRPr="00344D98">
        <w:rPr>
          <w:rFonts w:ascii="Arial" w:hAnsi="Arial" w:cs="Arial"/>
          <w:color w:val="000000" w:themeColor="text1"/>
          <w:sz w:val="19"/>
          <w:szCs w:val="19"/>
          <w:lang w:val="es-ES"/>
        </w:rPr>
        <w:t>Consejero Ponente: Jaime Orlando Santofimio Gamboa.</w:t>
      </w:r>
    </w:p>
  </w:footnote>
  <w:footnote w:id="26">
    <w:p w14:paraId="6B10794F" w14:textId="77777777" w:rsidR="00416D5F" w:rsidRPr="00344D98" w:rsidRDefault="00416D5F" w:rsidP="00416D5F">
      <w:pPr>
        <w:pStyle w:val="Textonotapie"/>
        <w:ind w:firstLine="709"/>
        <w:jc w:val="both"/>
        <w:rPr>
          <w:rFonts w:ascii="Arial" w:hAnsi="Arial" w:cs="Arial"/>
          <w:color w:val="000000" w:themeColor="text1"/>
          <w:sz w:val="19"/>
          <w:szCs w:val="19"/>
        </w:rPr>
      </w:pPr>
    </w:p>
    <w:p w14:paraId="720AC60E" w14:textId="77777777" w:rsidR="00416D5F" w:rsidRPr="00344D98" w:rsidRDefault="00416D5F" w:rsidP="00416D5F">
      <w:pPr>
        <w:pStyle w:val="Textonotapie"/>
        <w:ind w:firstLine="709"/>
        <w:jc w:val="both"/>
        <w:rPr>
          <w:rFonts w:ascii="Arial" w:hAnsi="Arial" w:cs="Arial"/>
          <w:color w:val="000000" w:themeColor="text1"/>
          <w:sz w:val="19"/>
          <w:szCs w:val="19"/>
        </w:rPr>
      </w:pPr>
      <w:r w:rsidRPr="00344D98">
        <w:rPr>
          <w:rStyle w:val="Refdenotaalpie"/>
          <w:rFonts w:ascii="Arial" w:hAnsi="Arial" w:cs="Arial"/>
          <w:color w:val="000000" w:themeColor="text1"/>
          <w:sz w:val="19"/>
          <w:szCs w:val="19"/>
        </w:rPr>
        <w:footnoteRef/>
      </w:r>
      <w:r w:rsidRPr="00344D98">
        <w:rPr>
          <w:rFonts w:ascii="Arial" w:hAnsi="Arial" w:cs="Arial"/>
          <w:color w:val="000000" w:themeColor="text1"/>
          <w:sz w:val="19"/>
          <w:szCs w:val="19"/>
        </w:rPr>
        <w:t xml:space="preserve"> Consejo de Estado. Sección Tercera. Subsección C. Auto del 14 de agosto de 2017. </w:t>
      </w:r>
      <w:proofErr w:type="spellStart"/>
      <w:r w:rsidRPr="00344D98">
        <w:rPr>
          <w:rFonts w:ascii="Arial" w:hAnsi="Arial" w:cs="Arial"/>
          <w:color w:val="000000" w:themeColor="text1"/>
          <w:sz w:val="19"/>
          <w:szCs w:val="19"/>
        </w:rPr>
        <w:t>Exp</w:t>
      </w:r>
      <w:proofErr w:type="spellEnd"/>
      <w:r w:rsidRPr="00344D98">
        <w:rPr>
          <w:rFonts w:ascii="Arial" w:hAnsi="Arial" w:cs="Arial"/>
          <w:color w:val="000000" w:themeColor="text1"/>
          <w:sz w:val="19"/>
          <w:szCs w:val="19"/>
        </w:rPr>
        <w:t xml:space="preserve">. 58.820. C.P. Jaime Orlando Santofimio Gamboa. </w:t>
      </w:r>
    </w:p>
    <w:p w14:paraId="225CF8C1" w14:textId="77777777" w:rsidR="00416D5F" w:rsidRPr="00344D98" w:rsidRDefault="00416D5F" w:rsidP="00416D5F">
      <w:pPr>
        <w:pStyle w:val="Textonotapie"/>
        <w:ind w:firstLine="709"/>
        <w:jc w:val="both"/>
        <w:rPr>
          <w:rFonts w:ascii="Arial" w:hAnsi="Arial" w:cs="Arial"/>
          <w:color w:val="000000" w:themeColor="text1"/>
          <w:sz w:val="19"/>
          <w:szCs w:val="19"/>
          <w:lang w:val="es-CO"/>
        </w:rPr>
      </w:pPr>
    </w:p>
  </w:footnote>
  <w:footnote w:id="27">
    <w:p w14:paraId="63BFCCB8" w14:textId="77777777" w:rsidR="00416D5F" w:rsidRDefault="00416D5F" w:rsidP="00416D5F">
      <w:pPr>
        <w:pStyle w:val="Textonotapie"/>
        <w:ind w:firstLine="709"/>
        <w:jc w:val="both"/>
        <w:rPr>
          <w:rFonts w:ascii="Arial" w:hAnsi="Arial" w:cs="Arial"/>
          <w:sz w:val="19"/>
          <w:szCs w:val="19"/>
        </w:rPr>
      </w:pPr>
      <w:r w:rsidRPr="00344D98">
        <w:rPr>
          <w:rStyle w:val="Refdenotaalpie"/>
          <w:rFonts w:ascii="Arial" w:hAnsi="Arial" w:cs="Arial"/>
          <w:sz w:val="19"/>
          <w:szCs w:val="19"/>
        </w:rPr>
        <w:footnoteRef/>
      </w:r>
      <w:r w:rsidRPr="00344D98">
        <w:rPr>
          <w:rFonts w:ascii="Arial" w:hAnsi="Arial" w:cs="Arial"/>
          <w:sz w:val="19"/>
          <w:szCs w:val="19"/>
        </w:rPr>
        <w:t xml:space="preserve"> </w:t>
      </w:r>
      <w:proofErr w:type="spellStart"/>
      <w:r w:rsidRPr="00344D98">
        <w:rPr>
          <w:rFonts w:ascii="Arial" w:hAnsi="Arial" w:cs="Arial"/>
          <w:sz w:val="19"/>
          <w:szCs w:val="19"/>
        </w:rPr>
        <w:t>Ibíd</w:t>
      </w:r>
      <w:proofErr w:type="spellEnd"/>
      <w:r w:rsidRPr="00344D98">
        <w:rPr>
          <w:rFonts w:ascii="Arial" w:hAnsi="Arial" w:cs="Arial"/>
          <w:sz w:val="19"/>
          <w:szCs w:val="19"/>
        </w:rPr>
        <w:t xml:space="preserve">. </w:t>
      </w:r>
    </w:p>
    <w:p w14:paraId="501D890F" w14:textId="77777777" w:rsidR="00416D5F" w:rsidRPr="00344D98" w:rsidRDefault="00416D5F" w:rsidP="00416D5F">
      <w:pPr>
        <w:pStyle w:val="Textonotapie"/>
        <w:ind w:firstLine="709"/>
        <w:jc w:val="both"/>
        <w:rPr>
          <w:rFonts w:ascii="Arial" w:hAnsi="Arial" w:cs="Arial"/>
          <w:sz w:val="19"/>
          <w:szCs w:val="19"/>
        </w:rPr>
      </w:pPr>
    </w:p>
  </w:footnote>
  <w:footnote w:id="28">
    <w:p w14:paraId="25FB2B85" w14:textId="77777777" w:rsidR="00EB1D47" w:rsidRPr="002D5DDB" w:rsidRDefault="00EB1D47" w:rsidP="00EB1D47">
      <w:pPr>
        <w:pStyle w:val="Textonotapie"/>
        <w:ind w:firstLine="709"/>
        <w:jc w:val="both"/>
        <w:rPr>
          <w:rFonts w:ascii="Arial" w:hAnsi="Arial" w:cs="Arial"/>
          <w:sz w:val="19"/>
          <w:szCs w:val="19"/>
        </w:rPr>
      </w:pPr>
      <w:r w:rsidRPr="002D5DDB">
        <w:rPr>
          <w:rStyle w:val="Refdenotaalpie"/>
          <w:rFonts w:ascii="Arial" w:hAnsi="Arial" w:cs="Arial"/>
          <w:sz w:val="19"/>
          <w:szCs w:val="19"/>
        </w:rPr>
        <w:footnoteRef/>
      </w:r>
      <w:r w:rsidRPr="002D5DDB">
        <w:rPr>
          <w:rFonts w:ascii="Arial" w:hAnsi="Arial" w:cs="Arial"/>
          <w:sz w:val="19"/>
          <w:szCs w:val="19"/>
        </w:rPr>
        <w:t xml:space="preserve"> Ley 1437 de 2011: «Artículo 24. Informaciones y documentos reservados. Solo tendrán carácter reservado las informaciones y documentos expresamente sometidos a reserva por la Constitución Política o la ley, y en especial:  </w:t>
      </w:r>
    </w:p>
    <w:p w14:paraId="2FC1510E" w14:textId="77777777" w:rsidR="00EB1D47" w:rsidRPr="002D5DDB" w:rsidRDefault="00EB1D47" w:rsidP="00EB1D47">
      <w:pPr>
        <w:pStyle w:val="Textonotapie"/>
        <w:ind w:firstLine="709"/>
        <w:jc w:val="both"/>
        <w:rPr>
          <w:rFonts w:ascii="Arial" w:hAnsi="Arial" w:cs="Arial"/>
          <w:sz w:val="19"/>
          <w:szCs w:val="19"/>
        </w:rPr>
      </w:pPr>
      <w:r w:rsidRPr="002D5DDB">
        <w:rPr>
          <w:rFonts w:ascii="Arial" w:hAnsi="Arial" w:cs="Arial"/>
          <w:sz w:val="19"/>
          <w:szCs w:val="19"/>
        </w:rPr>
        <w:t xml:space="preserve">»1. Los relacionados con la defensa o seguridad nacionales.  </w:t>
      </w:r>
    </w:p>
    <w:p w14:paraId="264F415B" w14:textId="77777777" w:rsidR="00EB1D47" w:rsidRPr="002D5DDB" w:rsidRDefault="00EB1D47" w:rsidP="00EB1D47">
      <w:pPr>
        <w:pStyle w:val="Textonotapie"/>
        <w:ind w:firstLine="709"/>
        <w:jc w:val="both"/>
        <w:rPr>
          <w:rFonts w:ascii="Arial" w:hAnsi="Arial" w:cs="Arial"/>
          <w:sz w:val="19"/>
          <w:szCs w:val="19"/>
        </w:rPr>
      </w:pPr>
      <w:r w:rsidRPr="002D5DDB">
        <w:rPr>
          <w:rFonts w:ascii="Arial" w:hAnsi="Arial" w:cs="Arial"/>
          <w:sz w:val="19"/>
          <w:szCs w:val="19"/>
        </w:rPr>
        <w:t xml:space="preserve">»2. Las instrucciones en materia diplomática o sobre negociaciones reservadas.  </w:t>
      </w:r>
    </w:p>
    <w:p w14:paraId="498B0D89" w14:textId="77777777" w:rsidR="00EB1D47" w:rsidRPr="002D5DDB" w:rsidRDefault="00EB1D47" w:rsidP="00EB1D47">
      <w:pPr>
        <w:pStyle w:val="Textonotapie"/>
        <w:ind w:firstLine="709"/>
        <w:jc w:val="both"/>
        <w:rPr>
          <w:rFonts w:ascii="Arial" w:hAnsi="Arial" w:cs="Arial"/>
          <w:sz w:val="19"/>
          <w:szCs w:val="19"/>
        </w:rPr>
      </w:pPr>
      <w:r w:rsidRPr="002D5DDB">
        <w:rPr>
          <w:rFonts w:ascii="Arial" w:hAnsi="Arial" w:cs="Arial"/>
          <w:sz w:val="19"/>
          <w:szCs w:val="19"/>
        </w:rPr>
        <w:t xml:space="preserve">»3. Los que involucren derechos a la privacidad e intimidad de las personas, incluidas en las hojas de vida, la historia laboral y los expedientes pensionales y demás registros de personal que obren en los archivos de las instituciones públicas o privadas, así como la historia clínica.  </w:t>
      </w:r>
    </w:p>
    <w:p w14:paraId="76931390" w14:textId="77777777" w:rsidR="00EB1D47" w:rsidRPr="002D5DDB" w:rsidRDefault="00EB1D47" w:rsidP="00EB1D47">
      <w:pPr>
        <w:pStyle w:val="Textonotapie"/>
        <w:ind w:firstLine="709"/>
        <w:jc w:val="both"/>
        <w:rPr>
          <w:rFonts w:ascii="Arial" w:hAnsi="Arial" w:cs="Arial"/>
          <w:sz w:val="19"/>
          <w:szCs w:val="19"/>
        </w:rPr>
      </w:pPr>
      <w:r w:rsidRPr="002D5DDB">
        <w:rPr>
          <w:rFonts w:ascii="Arial" w:hAnsi="Arial" w:cs="Arial"/>
          <w:sz w:val="19"/>
          <w:szCs w:val="19"/>
        </w:rPr>
        <w:t xml:space="preserve">»4. Los relativos a las condiciones financieras de las operaciones de crédito público y tesorería que realice la nación, así como a los estudios técnicos de valoración de los activos de la nación. Estos documentos e informaciones estarán sometidos a reserva por un término de seis (6) meses contados a partir de la realización de la respectiva operación.  </w:t>
      </w:r>
    </w:p>
    <w:p w14:paraId="03627081" w14:textId="77777777" w:rsidR="00EB1D47" w:rsidRPr="002D5DDB" w:rsidRDefault="00EB1D47" w:rsidP="00EB1D47">
      <w:pPr>
        <w:pStyle w:val="Textonotapie"/>
        <w:ind w:firstLine="709"/>
        <w:jc w:val="both"/>
        <w:rPr>
          <w:rFonts w:ascii="Arial" w:hAnsi="Arial" w:cs="Arial"/>
          <w:sz w:val="19"/>
          <w:szCs w:val="19"/>
        </w:rPr>
      </w:pPr>
      <w:r w:rsidRPr="002D5DDB">
        <w:rPr>
          <w:rFonts w:ascii="Arial" w:hAnsi="Arial" w:cs="Arial"/>
          <w:sz w:val="19"/>
          <w:szCs w:val="19"/>
        </w:rPr>
        <w:t xml:space="preserve">»5. Los datos referentes a la información financiera y comercial, en los términos de la Ley Estatutaria 1266 de 2008.  </w:t>
      </w:r>
    </w:p>
    <w:p w14:paraId="7282BBA2" w14:textId="77777777" w:rsidR="00EB1D47" w:rsidRPr="002D5DDB" w:rsidRDefault="00EB1D47" w:rsidP="00EB1D47">
      <w:pPr>
        <w:pStyle w:val="Textonotapie"/>
        <w:ind w:firstLine="709"/>
        <w:jc w:val="both"/>
        <w:rPr>
          <w:rFonts w:ascii="Arial" w:hAnsi="Arial" w:cs="Arial"/>
          <w:sz w:val="19"/>
          <w:szCs w:val="19"/>
        </w:rPr>
      </w:pPr>
      <w:r w:rsidRPr="002D5DDB">
        <w:rPr>
          <w:rFonts w:ascii="Arial" w:hAnsi="Arial" w:cs="Arial"/>
          <w:sz w:val="19"/>
          <w:szCs w:val="19"/>
        </w:rPr>
        <w:t xml:space="preserve">»6. Los protegidos por el secreto comercial o industrial, así como los planes estratégicos de las empresas públicas de servicios públicos.  </w:t>
      </w:r>
    </w:p>
    <w:p w14:paraId="1C652D97" w14:textId="77777777" w:rsidR="00EB1D47" w:rsidRPr="002D5DDB" w:rsidRDefault="00EB1D47" w:rsidP="00EB1D47">
      <w:pPr>
        <w:pStyle w:val="Textonotapie"/>
        <w:ind w:firstLine="709"/>
        <w:jc w:val="both"/>
        <w:rPr>
          <w:rFonts w:ascii="Arial" w:hAnsi="Arial" w:cs="Arial"/>
          <w:sz w:val="19"/>
          <w:szCs w:val="19"/>
        </w:rPr>
      </w:pPr>
      <w:r w:rsidRPr="002D5DDB">
        <w:rPr>
          <w:rFonts w:ascii="Arial" w:hAnsi="Arial" w:cs="Arial"/>
          <w:sz w:val="19"/>
          <w:szCs w:val="19"/>
        </w:rPr>
        <w:t xml:space="preserve">»7. Los amparados por el secreto profesional.  </w:t>
      </w:r>
    </w:p>
    <w:p w14:paraId="7092B785" w14:textId="77777777" w:rsidR="00EB1D47" w:rsidRPr="002D5DDB" w:rsidRDefault="00EB1D47" w:rsidP="00EB1D47">
      <w:pPr>
        <w:pStyle w:val="Textonotapie"/>
        <w:ind w:firstLine="709"/>
        <w:jc w:val="both"/>
        <w:rPr>
          <w:rFonts w:ascii="Arial" w:hAnsi="Arial" w:cs="Arial"/>
          <w:sz w:val="19"/>
          <w:szCs w:val="19"/>
        </w:rPr>
      </w:pPr>
      <w:r w:rsidRPr="002D5DDB">
        <w:rPr>
          <w:rFonts w:ascii="Arial" w:hAnsi="Arial" w:cs="Arial"/>
          <w:sz w:val="19"/>
          <w:szCs w:val="19"/>
        </w:rPr>
        <w:t xml:space="preserve">»8. Los datos genéticos humanos.  </w:t>
      </w:r>
    </w:p>
    <w:p w14:paraId="479755F6" w14:textId="77777777" w:rsidR="00EB1D47" w:rsidRPr="002D5DDB" w:rsidRDefault="00EB1D47" w:rsidP="00EB1D47">
      <w:pPr>
        <w:pStyle w:val="Textonotapie"/>
        <w:ind w:firstLine="709"/>
        <w:jc w:val="both"/>
        <w:rPr>
          <w:rFonts w:ascii="Arial" w:hAnsi="Arial" w:cs="Arial"/>
          <w:sz w:val="19"/>
          <w:szCs w:val="19"/>
        </w:rPr>
      </w:pPr>
      <w:proofErr w:type="gramStart"/>
      <w:r w:rsidRPr="002D5DDB">
        <w:rPr>
          <w:rFonts w:ascii="Arial" w:hAnsi="Arial" w:cs="Arial"/>
          <w:sz w:val="19"/>
          <w:szCs w:val="19"/>
        </w:rPr>
        <w:t>»Parágrafo</w:t>
      </w:r>
      <w:proofErr w:type="gramEnd"/>
      <w:r w:rsidRPr="002D5DDB">
        <w:rPr>
          <w:rFonts w:ascii="Arial" w:hAnsi="Arial" w:cs="Arial"/>
          <w:sz w:val="19"/>
          <w:szCs w:val="19"/>
        </w:rPr>
        <w:t xml:space="preserve">. Para efecto de la solicitud de información de carácter reservado, enunciada en los numerales 3, 5, 6 y 7 solo podrá ser solicitada por el titular de la información, por sus apoderados o por personas autorizadas con facultad expresa para acceder a esa información».  </w:t>
      </w:r>
    </w:p>
    <w:p w14:paraId="13C9A6E5" w14:textId="77777777" w:rsidR="00EB1D47" w:rsidRPr="002D5DDB" w:rsidRDefault="00EB1D47" w:rsidP="00EB1D47">
      <w:pPr>
        <w:pStyle w:val="Textonotapie"/>
        <w:ind w:firstLine="709"/>
        <w:jc w:val="both"/>
        <w:rPr>
          <w:rFonts w:ascii="Arial" w:hAnsi="Arial" w:cs="Arial"/>
          <w:sz w:val="19"/>
          <w:szCs w:val="19"/>
        </w:rPr>
      </w:pPr>
    </w:p>
  </w:footnote>
  <w:footnote w:id="29">
    <w:p w14:paraId="3A146194" w14:textId="77777777" w:rsidR="00EB1D47" w:rsidRPr="00ED4368" w:rsidRDefault="00EB1D47" w:rsidP="00EB1D47">
      <w:pPr>
        <w:pStyle w:val="Textonotapie"/>
        <w:ind w:firstLine="709"/>
        <w:jc w:val="both"/>
        <w:rPr>
          <w:rFonts w:ascii="Arial" w:hAnsi="Arial" w:cs="Arial"/>
          <w:sz w:val="19"/>
          <w:szCs w:val="19"/>
        </w:rPr>
      </w:pPr>
      <w:r w:rsidRPr="00ED4368">
        <w:rPr>
          <w:rStyle w:val="Refdenotaalpie"/>
          <w:rFonts w:ascii="Arial" w:hAnsi="Arial" w:cs="Arial"/>
          <w:sz w:val="19"/>
          <w:szCs w:val="19"/>
        </w:rPr>
        <w:footnoteRef/>
      </w:r>
      <w:r w:rsidRPr="00ED4368">
        <w:rPr>
          <w:rFonts w:ascii="Arial" w:hAnsi="Arial" w:cs="Arial"/>
          <w:sz w:val="19"/>
          <w:szCs w:val="19"/>
        </w:rPr>
        <w:t xml:space="preserve"> </w:t>
      </w:r>
      <w:r w:rsidRPr="002D5DDB">
        <w:rPr>
          <w:rFonts w:ascii="Arial" w:eastAsia="Calibri" w:hAnsi="Arial" w:cs="Arial"/>
          <w:sz w:val="19"/>
          <w:szCs w:val="19"/>
          <w:lang w:val="es-ES_tradnl"/>
        </w:rPr>
        <w:t>En armonía con lo anterior, en la Circular Externa 002 de esta Agencia se establece, que: «Todos los procesos de contratación creados en el SECOP I antes del 18 de julio de 2022, 23:59 horas, por parte de estas entidades estatales, podrán continuar siendo gestionados en esta plataforma».</w:t>
      </w:r>
    </w:p>
    <w:p w14:paraId="3AF0420F" w14:textId="77777777" w:rsidR="00EB1D47" w:rsidRPr="00ED4368" w:rsidRDefault="00EB1D47" w:rsidP="00EB1D47">
      <w:pPr>
        <w:pStyle w:val="Textonotapie"/>
        <w:ind w:firstLine="709"/>
        <w:jc w:val="both"/>
        <w:rPr>
          <w:rFonts w:ascii="Arial" w:hAnsi="Arial" w:cs="Arial"/>
          <w:sz w:val="19"/>
          <w:szCs w:val="19"/>
          <w:lang w:val="es-CO"/>
        </w:rPr>
      </w:pPr>
    </w:p>
  </w:footnote>
  <w:footnote w:id="30">
    <w:p w14:paraId="4022D514" w14:textId="77777777" w:rsidR="00EB5459" w:rsidRPr="002D5DDB" w:rsidRDefault="00EB5459" w:rsidP="00ED4368">
      <w:pPr>
        <w:pStyle w:val="Textonotapie"/>
        <w:ind w:firstLine="709"/>
        <w:jc w:val="both"/>
        <w:rPr>
          <w:rFonts w:ascii="Arial" w:hAnsi="Arial" w:cs="Arial"/>
          <w:sz w:val="19"/>
          <w:szCs w:val="19"/>
        </w:rPr>
      </w:pPr>
      <w:r w:rsidRPr="002D5DDB">
        <w:rPr>
          <w:rStyle w:val="Refdenotaalpie"/>
          <w:rFonts w:ascii="Arial" w:hAnsi="Arial" w:cs="Arial"/>
          <w:sz w:val="19"/>
          <w:szCs w:val="19"/>
        </w:rPr>
        <w:footnoteRef/>
      </w:r>
      <w:r w:rsidRPr="002D5DDB">
        <w:rPr>
          <w:rFonts w:ascii="Arial" w:hAnsi="Arial" w:cs="Arial"/>
          <w:sz w:val="19"/>
          <w:szCs w:val="19"/>
        </w:rPr>
        <w:t xml:space="preserve"> Decreto 4170 de 2011: «Artículo 3. Funciones: La Agencia Nacional de Contratación Pública –Colombia Compra Eficiente– ejercerá las siguientes funciones: [...]</w:t>
      </w:r>
    </w:p>
    <w:p w14:paraId="13553CEB" w14:textId="77777777" w:rsidR="00EB5459" w:rsidRPr="002D5DDB" w:rsidRDefault="00EB5459" w:rsidP="00ED4368">
      <w:pPr>
        <w:pStyle w:val="Textonotapie"/>
        <w:ind w:firstLine="709"/>
        <w:jc w:val="both"/>
        <w:rPr>
          <w:rFonts w:ascii="Arial" w:hAnsi="Arial" w:cs="Arial"/>
          <w:sz w:val="19"/>
          <w:szCs w:val="19"/>
        </w:rPr>
      </w:pPr>
      <w:r w:rsidRPr="002D5DDB">
        <w:rPr>
          <w:rFonts w:ascii="Arial" w:hAnsi="Arial" w:cs="Arial"/>
          <w:sz w:val="19"/>
          <w:szCs w:val="19"/>
        </w:rPr>
        <w:t>»8. Desarrollar y administrar el Sistema Electrónico para la Contratación Pública (SECOP) o el que haga sus veces, y gestionar nuevos desarrollos tecnológicos en los asuntos de su competencia, teniendo en cuenta los parámetros fijados por el Consejo Directivo. [...]».</w:t>
      </w:r>
    </w:p>
    <w:p w14:paraId="480EBAAB" w14:textId="77777777" w:rsidR="00EB5459" w:rsidRPr="002D5DDB" w:rsidRDefault="00EB5459" w:rsidP="00ED4368">
      <w:pPr>
        <w:pStyle w:val="Textonotapie"/>
        <w:ind w:firstLine="709"/>
        <w:jc w:val="both"/>
        <w:rPr>
          <w:rFonts w:ascii="Arial" w:hAnsi="Arial" w:cs="Arial"/>
          <w:sz w:val="19"/>
          <w:szCs w:val="19"/>
          <w:lang w:val="es-ES"/>
        </w:rPr>
      </w:pPr>
    </w:p>
  </w:footnote>
  <w:footnote w:id="31">
    <w:p w14:paraId="781C0DE8" w14:textId="77777777" w:rsidR="00EB5459" w:rsidRPr="002D5DDB" w:rsidRDefault="00EB5459" w:rsidP="00ED4368">
      <w:pPr>
        <w:pStyle w:val="Textonotapie"/>
        <w:ind w:firstLine="709"/>
        <w:jc w:val="both"/>
        <w:rPr>
          <w:rStyle w:val="Hipervnculo"/>
          <w:rFonts w:ascii="Arial" w:hAnsi="Arial" w:cs="Arial"/>
          <w:color w:val="auto"/>
          <w:sz w:val="19"/>
          <w:szCs w:val="19"/>
          <w:lang w:val="es-CO"/>
        </w:rPr>
      </w:pPr>
      <w:r w:rsidRPr="002D5DDB">
        <w:rPr>
          <w:rStyle w:val="Refdenotaalpie"/>
          <w:rFonts w:ascii="Arial" w:hAnsi="Arial" w:cs="Arial"/>
          <w:sz w:val="19"/>
          <w:szCs w:val="19"/>
        </w:rPr>
        <w:footnoteRef/>
      </w:r>
      <w:r w:rsidRPr="002D5DDB">
        <w:rPr>
          <w:rFonts w:ascii="Arial" w:hAnsi="Arial" w:cs="Arial"/>
          <w:sz w:val="19"/>
          <w:szCs w:val="19"/>
        </w:rPr>
        <w:t xml:space="preserve"> En el siguiente </w:t>
      </w:r>
      <w:proofErr w:type="gramStart"/>
      <w:r w:rsidRPr="002D5DDB">
        <w:rPr>
          <w:rFonts w:ascii="Arial" w:hAnsi="Arial" w:cs="Arial"/>
          <w:sz w:val="19"/>
          <w:szCs w:val="19"/>
        </w:rPr>
        <w:t>link</w:t>
      </w:r>
      <w:proofErr w:type="gramEnd"/>
      <w:r w:rsidRPr="002D5DDB">
        <w:rPr>
          <w:rFonts w:ascii="Arial" w:hAnsi="Arial" w:cs="Arial"/>
          <w:sz w:val="19"/>
          <w:szCs w:val="19"/>
        </w:rPr>
        <w:t xml:space="preserve"> se puede consultar la Guía para gestionar o publicar los procesos de Régimen Especial con oferta en el SECOP II:  </w:t>
      </w:r>
      <w:hyperlink r:id="rId1" w:history="1">
        <w:r w:rsidRPr="002D5DDB">
          <w:rPr>
            <w:rStyle w:val="Hipervnculo"/>
            <w:rFonts w:ascii="Arial" w:hAnsi="Arial" w:cs="Arial"/>
            <w:color w:val="auto"/>
            <w:sz w:val="19"/>
            <w:szCs w:val="19"/>
          </w:rPr>
          <w:t>https://www.colombiacompra.gov.co/node/23628</w:t>
        </w:r>
      </w:hyperlink>
    </w:p>
    <w:p w14:paraId="674E6AAD" w14:textId="77777777" w:rsidR="00EB5459" w:rsidRPr="002D5DDB" w:rsidRDefault="00EB5459" w:rsidP="00ED4368">
      <w:pPr>
        <w:pStyle w:val="Textonotapie"/>
        <w:ind w:firstLine="709"/>
        <w:jc w:val="both"/>
        <w:rPr>
          <w:rFonts w:ascii="Arial" w:hAnsi="Arial" w:cs="Arial"/>
          <w:sz w:val="19"/>
          <w:szCs w:val="19"/>
        </w:rPr>
      </w:pPr>
      <w:r w:rsidRPr="002D5DDB">
        <w:rPr>
          <w:rFonts w:ascii="Arial" w:hAnsi="Arial" w:cs="Arial"/>
          <w:sz w:val="19"/>
          <w:szCs w:val="19"/>
        </w:rPr>
        <w:t xml:space="preserve"> </w:t>
      </w:r>
    </w:p>
  </w:footnote>
  <w:footnote w:id="32">
    <w:p w14:paraId="465F502E" w14:textId="1CC08B62" w:rsidR="00EB5459" w:rsidRDefault="00EB5459" w:rsidP="00ED4368">
      <w:pPr>
        <w:pStyle w:val="Textonotapie"/>
        <w:ind w:firstLine="709"/>
        <w:jc w:val="both"/>
        <w:rPr>
          <w:rStyle w:val="Hipervnculo"/>
          <w:rFonts w:ascii="Arial" w:hAnsi="Arial" w:cs="Arial"/>
          <w:color w:val="auto"/>
          <w:sz w:val="19"/>
          <w:szCs w:val="19"/>
        </w:rPr>
      </w:pPr>
      <w:r w:rsidRPr="002D5DDB">
        <w:rPr>
          <w:rStyle w:val="Refdenotaalpie"/>
          <w:rFonts w:ascii="Arial" w:hAnsi="Arial" w:cs="Arial"/>
          <w:sz w:val="19"/>
          <w:szCs w:val="19"/>
        </w:rPr>
        <w:footnoteRef/>
      </w:r>
      <w:r w:rsidRPr="002D5DDB">
        <w:rPr>
          <w:rFonts w:ascii="Arial" w:hAnsi="Arial" w:cs="Arial"/>
          <w:sz w:val="19"/>
          <w:szCs w:val="19"/>
        </w:rPr>
        <w:t xml:space="preserve"> En el siguiente </w:t>
      </w:r>
      <w:proofErr w:type="gramStart"/>
      <w:r w:rsidRPr="002D5DDB">
        <w:rPr>
          <w:rFonts w:ascii="Arial" w:hAnsi="Arial" w:cs="Arial"/>
          <w:sz w:val="19"/>
          <w:szCs w:val="19"/>
        </w:rPr>
        <w:t>link</w:t>
      </w:r>
      <w:proofErr w:type="gramEnd"/>
      <w:r w:rsidRPr="002D5DDB">
        <w:rPr>
          <w:rFonts w:ascii="Arial" w:hAnsi="Arial" w:cs="Arial"/>
          <w:sz w:val="19"/>
          <w:szCs w:val="19"/>
        </w:rPr>
        <w:t xml:space="preserve"> se puede consultar la Guía para gestionar o publicar los procesos de Régimen Especial sin oferta en el SECOP II:   </w:t>
      </w:r>
      <w:hyperlink r:id="rId2" w:history="1">
        <w:r w:rsidRPr="002D5DDB">
          <w:rPr>
            <w:rStyle w:val="Hipervnculo"/>
            <w:rFonts w:ascii="Arial" w:hAnsi="Arial" w:cs="Arial"/>
            <w:color w:val="auto"/>
            <w:sz w:val="19"/>
            <w:szCs w:val="19"/>
          </w:rPr>
          <w:t>https://www.colombiacompra.gov.co/node/30741</w:t>
        </w:r>
      </w:hyperlink>
    </w:p>
    <w:p w14:paraId="21AFF64F" w14:textId="77777777" w:rsidR="00C43B33" w:rsidRPr="002D5DDB" w:rsidRDefault="00C43B33" w:rsidP="00ED4368">
      <w:pPr>
        <w:pStyle w:val="Textonotapie"/>
        <w:ind w:firstLine="709"/>
        <w:jc w:val="both"/>
        <w:rPr>
          <w:rFonts w:ascii="Arial" w:hAnsi="Arial" w:cs="Arial"/>
          <w:sz w:val="19"/>
          <w:szCs w:val="19"/>
        </w:rPr>
      </w:pPr>
    </w:p>
  </w:footnote>
  <w:footnote w:id="33">
    <w:p w14:paraId="752C3F41" w14:textId="77777777" w:rsidR="00A90047" w:rsidRPr="002D5DDB" w:rsidRDefault="00A90047" w:rsidP="00ED4368">
      <w:pPr>
        <w:pStyle w:val="NormalWeb"/>
        <w:spacing w:before="0" w:beforeAutospacing="0" w:after="0" w:afterAutospacing="0"/>
        <w:ind w:firstLine="709"/>
        <w:jc w:val="both"/>
        <w:rPr>
          <w:rFonts w:ascii="Arial" w:hAnsi="Arial" w:cs="Arial"/>
          <w:color w:val="000000"/>
          <w:sz w:val="19"/>
          <w:szCs w:val="19"/>
        </w:rPr>
      </w:pPr>
      <w:r w:rsidRPr="002D5DDB">
        <w:rPr>
          <w:rStyle w:val="Refdenotaalpie"/>
          <w:rFonts w:ascii="Arial" w:hAnsi="Arial" w:cs="Arial"/>
          <w:sz w:val="19"/>
          <w:szCs w:val="19"/>
        </w:rPr>
        <w:footnoteRef/>
      </w:r>
      <w:r w:rsidRPr="002D5DDB">
        <w:rPr>
          <w:rFonts w:ascii="Arial" w:hAnsi="Arial" w:cs="Arial"/>
          <w:sz w:val="19"/>
          <w:szCs w:val="19"/>
        </w:rPr>
        <w:t xml:space="preserve"> Decreto 1081 de 2015 «</w:t>
      </w:r>
      <w:r w:rsidRPr="002D5DDB">
        <w:rPr>
          <w:rFonts w:ascii="Arial" w:hAnsi="Arial" w:cs="Arial"/>
          <w:color w:val="000000"/>
          <w:sz w:val="19"/>
          <w:szCs w:val="19"/>
        </w:rPr>
        <w:t>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3D83A9E2" w14:textId="77777777" w:rsidR="00A90047" w:rsidRPr="002D5DDB" w:rsidRDefault="00A90047" w:rsidP="00ED4368">
      <w:pPr>
        <w:spacing w:after="0" w:line="240" w:lineRule="auto"/>
        <w:ind w:firstLine="709"/>
        <w:jc w:val="both"/>
        <w:rPr>
          <w:rFonts w:ascii="Arial" w:eastAsia="Times New Roman" w:hAnsi="Arial" w:cs="Arial"/>
          <w:color w:val="000000"/>
          <w:sz w:val="19"/>
          <w:szCs w:val="19"/>
          <w:lang w:eastAsia="es-CO"/>
        </w:rPr>
      </w:pPr>
      <w:r w:rsidRPr="002D5DDB">
        <w:rPr>
          <w:rFonts w:ascii="Arial" w:eastAsia="Times New Roman" w:hAnsi="Arial" w:cs="Arial"/>
          <w:color w:val="000000"/>
          <w:sz w:val="19"/>
          <w:szCs w:val="19"/>
          <w:lang w:eastAsia="es-CO"/>
        </w:rPr>
        <w:t>  </w:t>
      </w:r>
      <w:r w:rsidRPr="002D5DDB">
        <w:rPr>
          <w:rFonts w:ascii="Arial" w:eastAsia="Times New Roman" w:hAnsi="Arial" w:cs="Arial"/>
          <w:color w:val="000000"/>
          <w:sz w:val="19"/>
          <w:szCs w:val="19"/>
          <w:lang w:eastAsia="es-CO"/>
        </w:rPr>
        <w:tab/>
      </w:r>
      <w:proofErr w:type="gramStart"/>
      <w:r w:rsidRPr="002D5DDB">
        <w:rPr>
          <w:rFonts w:ascii="Arial" w:eastAsia="Times New Roman" w:hAnsi="Arial" w:cs="Arial"/>
          <w:color w:val="000000"/>
          <w:sz w:val="19"/>
          <w:szCs w:val="19"/>
          <w:lang w:eastAsia="es-CO"/>
        </w:rPr>
        <w:t>»Los</w:t>
      </w:r>
      <w:proofErr w:type="gramEnd"/>
      <w:r w:rsidRPr="002D5DDB">
        <w:rPr>
          <w:rFonts w:ascii="Arial" w:eastAsia="Times New Roman" w:hAnsi="Arial" w:cs="Arial"/>
          <w:color w:val="000000"/>
          <w:sz w:val="19"/>
          <w:szCs w:val="19"/>
          <w:lang w:eastAsia="es-CO"/>
        </w:rPr>
        <w:t xml:space="preserve"> sujetos obligados que contratan con cargo a recursos públicos deben publicar la información de su gestión contractual en el plazo previsto en el artículo 19 del Decreto 1510 de 2013, o el que lo modifique, sustituya o adicione. </w:t>
      </w:r>
    </w:p>
    <w:p w14:paraId="7F1913F2" w14:textId="77777777" w:rsidR="00A90047" w:rsidRPr="002D5DDB" w:rsidRDefault="00A90047" w:rsidP="00ED4368">
      <w:pPr>
        <w:spacing w:after="0" w:line="240" w:lineRule="auto"/>
        <w:ind w:firstLine="709"/>
        <w:jc w:val="both"/>
        <w:rPr>
          <w:rFonts w:ascii="Arial" w:hAnsi="Arial" w:cs="Arial"/>
          <w:sz w:val="19"/>
          <w:szCs w:val="19"/>
        </w:rPr>
      </w:pPr>
      <w:r w:rsidRPr="002D5DDB">
        <w:rPr>
          <w:rFonts w:ascii="Arial" w:eastAsia="Times New Roman" w:hAnsi="Arial" w:cs="Arial"/>
          <w:color w:val="000000"/>
          <w:sz w:val="19"/>
          <w:szCs w:val="19"/>
          <w:lang w:eastAsia="es-CO"/>
        </w:rPr>
        <w:t>  </w:t>
      </w:r>
      <w:r w:rsidRPr="002D5DDB">
        <w:rPr>
          <w:rFonts w:ascii="Arial" w:eastAsia="Times New Roman" w:hAnsi="Arial" w:cs="Arial"/>
          <w:color w:val="000000"/>
          <w:sz w:val="19"/>
          <w:szCs w:val="19"/>
          <w:lang w:eastAsia="es-CO"/>
        </w:rPr>
        <w:tab/>
      </w:r>
      <w:proofErr w:type="gramStart"/>
      <w:r w:rsidRPr="002D5DDB">
        <w:rPr>
          <w:rFonts w:ascii="Arial" w:eastAsia="Times New Roman" w:hAnsi="Arial" w:cs="Arial"/>
          <w:color w:val="000000"/>
          <w:sz w:val="19"/>
          <w:szCs w:val="19"/>
          <w:lang w:eastAsia="es-CO"/>
        </w:rPr>
        <w:t>»Los</w:t>
      </w:r>
      <w:proofErr w:type="gramEnd"/>
      <w:r w:rsidRPr="002D5DDB">
        <w:rPr>
          <w:rFonts w:ascii="Arial" w:eastAsia="Times New Roman" w:hAnsi="Arial" w:cs="Arial"/>
          <w:color w:val="000000"/>
          <w:sz w:val="19"/>
          <w:szCs w:val="19"/>
          <w:lang w:eastAsia="es-CO"/>
        </w:rPr>
        <w:t xml:space="preserve"> sujetos obligados que contratan con recursos públicos y recursos privados, deben publicar la información de su gestión contractual con cargo a recursos públicos en el Sistema Electrónico para la Contratación Pública (SECOP)</w:t>
      </w:r>
      <w:r w:rsidRPr="002D5DDB">
        <w:rPr>
          <w:rFonts w:ascii="Arial" w:hAnsi="Arial" w:cs="Arial"/>
          <w:sz w:val="19"/>
          <w:szCs w:val="19"/>
        </w:rPr>
        <w:t>».</w:t>
      </w:r>
    </w:p>
    <w:p w14:paraId="001F2ABF" w14:textId="77777777" w:rsidR="00A90047" w:rsidRPr="002D5DDB" w:rsidRDefault="00A90047" w:rsidP="00ED4368">
      <w:pPr>
        <w:spacing w:after="0" w:line="240" w:lineRule="auto"/>
        <w:ind w:firstLine="709"/>
        <w:jc w:val="both"/>
        <w:rPr>
          <w:rFonts w:ascii="Arial" w:eastAsia="Times New Roman" w:hAnsi="Arial" w:cs="Arial"/>
          <w:color w:val="000000"/>
          <w:sz w:val="19"/>
          <w:szCs w:val="19"/>
          <w:lang w:eastAsia="es-CO"/>
        </w:rPr>
      </w:pPr>
    </w:p>
  </w:footnote>
  <w:footnote w:id="34">
    <w:p w14:paraId="2276BF4A" w14:textId="77777777" w:rsidR="00EB75FF" w:rsidRPr="00D77B72" w:rsidRDefault="00EB75FF" w:rsidP="00EB75FF">
      <w:pPr>
        <w:autoSpaceDE w:val="0"/>
        <w:autoSpaceDN w:val="0"/>
        <w:adjustRightInd w:val="0"/>
        <w:spacing w:after="0" w:line="240" w:lineRule="auto"/>
        <w:ind w:firstLine="708"/>
        <w:jc w:val="both"/>
        <w:rPr>
          <w:rFonts w:ascii="Arial" w:eastAsia="Times New Roman" w:hAnsi="Arial" w:cs="Arial"/>
          <w:sz w:val="19"/>
          <w:szCs w:val="19"/>
          <w:lang w:eastAsia="es-ES_tradnl"/>
        </w:rPr>
      </w:pPr>
      <w:r w:rsidRPr="00D77B72">
        <w:rPr>
          <w:rStyle w:val="Refdenotaalpie"/>
          <w:rFonts w:ascii="Arial" w:hAnsi="Arial" w:cs="Arial"/>
          <w:sz w:val="19"/>
          <w:szCs w:val="19"/>
        </w:rPr>
        <w:footnoteRef/>
      </w:r>
      <w:r w:rsidRPr="00D77B72">
        <w:rPr>
          <w:rFonts w:ascii="Arial" w:hAnsi="Arial" w:cs="Arial"/>
          <w:sz w:val="19"/>
          <w:szCs w:val="19"/>
        </w:rPr>
        <w:t xml:space="preserve"> E</w:t>
      </w:r>
      <w:r w:rsidRPr="00D77B72">
        <w:rPr>
          <w:rFonts w:ascii="Arial" w:eastAsia="Calibri" w:hAnsi="Arial" w:cs="Arial"/>
          <w:sz w:val="19"/>
          <w:szCs w:val="19"/>
          <w:lang w:val="es-ES_tradnl" w:eastAsia="es-ES_tradnl"/>
        </w:rPr>
        <w:t xml:space="preserve">l pasado </w:t>
      </w:r>
      <w:r w:rsidRPr="00D77B72">
        <w:rPr>
          <w:rFonts w:ascii="Arial" w:eastAsia="Calibri" w:hAnsi="Arial" w:cs="Arial"/>
          <w:sz w:val="19"/>
          <w:szCs w:val="19"/>
          <w:lang w:val="es-ES" w:eastAsia="es-ES_tradnl"/>
        </w:rPr>
        <w:t xml:space="preserve">1 de junio, el Departamento Administrativo de la Presidencia de la Republica profirió la Circular 02 del 2022, mediante la cual se imparten instrucciones sobre la aplicación del artículo 53 de la Ley 2195 de 2022, en los siguientes aspectos: i) publicación de los documentos contractuales en el SECOP II; </w:t>
      </w:r>
      <w:proofErr w:type="spellStart"/>
      <w:r w:rsidRPr="00D77B72">
        <w:rPr>
          <w:rFonts w:ascii="Arial" w:eastAsia="Calibri" w:hAnsi="Arial" w:cs="Arial"/>
          <w:sz w:val="19"/>
          <w:szCs w:val="19"/>
          <w:lang w:val="es-ES" w:eastAsia="es-ES_tradnl"/>
        </w:rPr>
        <w:t>ii</w:t>
      </w:r>
      <w:proofErr w:type="spellEnd"/>
      <w:r w:rsidRPr="00D77B72">
        <w:rPr>
          <w:rFonts w:ascii="Arial" w:eastAsia="Calibri" w:hAnsi="Arial" w:cs="Arial"/>
          <w:sz w:val="19"/>
          <w:szCs w:val="19"/>
          <w:lang w:val="es-ES" w:eastAsia="es-ES_tradnl"/>
        </w:rPr>
        <w:t xml:space="preserve">) reserva de los documentos relacionados con la actividad contractual y; </w:t>
      </w:r>
      <w:proofErr w:type="spellStart"/>
      <w:r w:rsidRPr="00D77B72">
        <w:rPr>
          <w:rFonts w:ascii="Arial" w:eastAsia="Calibri" w:hAnsi="Arial" w:cs="Arial"/>
          <w:sz w:val="19"/>
          <w:szCs w:val="19"/>
          <w:lang w:val="es-ES" w:eastAsia="es-ES_tradnl"/>
        </w:rPr>
        <w:t>iii</w:t>
      </w:r>
      <w:proofErr w:type="spellEnd"/>
      <w:r w:rsidRPr="00D77B72">
        <w:rPr>
          <w:rFonts w:ascii="Arial" w:eastAsia="Calibri" w:hAnsi="Arial" w:cs="Arial"/>
          <w:sz w:val="19"/>
          <w:szCs w:val="19"/>
          <w:lang w:val="es-ES" w:eastAsia="es-ES_tradnl"/>
        </w:rPr>
        <w:t xml:space="preserve">) régimen de transición de los contratos celebrados con anterioridad a la entrada en vigencia de la obligación consagrada en el artículo 53 de la Ley 2195 de 2022. La mencionada guía contiene una serie de instrucciones con miras a garantizar el cumplimiento del deber legal por parte de las entidades estatales exceptuadas del Estatuto General de Contratación Pública.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CC7AB" w14:textId="121E1FFF" w:rsidR="006A59DE" w:rsidRDefault="00077356">
    <w:pPr>
      <w:pStyle w:val="Encabezado"/>
    </w:pPr>
    <w:r>
      <w:rPr>
        <w:noProof/>
        <w:lang w:eastAsia="es-CO"/>
      </w:rPr>
      <w:drawing>
        <wp:anchor distT="0" distB="0" distL="114300" distR="114300" simplePos="0" relativeHeight="251659264" behindDoc="0" locked="0" layoutInCell="1" allowOverlap="1" wp14:anchorId="28BE3DD3" wp14:editId="3D6A6DB5">
          <wp:simplePos x="0" y="0"/>
          <wp:positionH relativeFrom="margin">
            <wp:posOffset>4438650</wp:posOffset>
          </wp:positionH>
          <wp:positionV relativeFrom="paragraph">
            <wp:posOffset>256540</wp:posOffset>
          </wp:positionV>
          <wp:extent cx="1420507" cy="589741"/>
          <wp:effectExtent l="0" t="0" r="8255" b="1270"/>
          <wp:wrapNone/>
          <wp:docPr id="2" name="Imagen 2"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420507" cy="58974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1E4309D"/>
    <w:multiLevelType w:val="hybridMultilevel"/>
    <w:tmpl w:val="B0E2594A"/>
    <w:lvl w:ilvl="0" w:tplc="008E945A">
      <w:start w:val="1"/>
      <w:numFmt w:val="bullet"/>
      <w:lvlText w:val=""/>
      <w:lvlJc w:val="left"/>
      <w:pPr>
        <w:ind w:left="720" w:hanging="360"/>
      </w:pPr>
      <w:rPr>
        <w:rFonts w:ascii="Symbol" w:hAnsi="Symbol" w:hint="default"/>
        <w:color w:val="000000" w:themeColor="text1"/>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40F82114"/>
    <w:multiLevelType w:val="hybridMultilevel"/>
    <w:tmpl w:val="B6C06020"/>
    <w:lvl w:ilvl="0" w:tplc="2F4CFC7C">
      <w:start w:val="1"/>
      <w:numFmt w:val="decimal"/>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00409909">
    <w:abstractNumId w:val="0"/>
  </w:num>
  <w:num w:numId="2" w16cid:durableId="2043675015">
    <w:abstractNumId w:val="2"/>
  </w:num>
  <w:num w:numId="3" w16cid:durableId="1255355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7D4"/>
    <w:rsid w:val="000024AE"/>
    <w:rsid w:val="00004CAC"/>
    <w:rsid w:val="00020808"/>
    <w:rsid w:val="00031C68"/>
    <w:rsid w:val="00034F85"/>
    <w:rsid w:val="00037098"/>
    <w:rsid w:val="00042D85"/>
    <w:rsid w:val="00055FCD"/>
    <w:rsid w:val="00071911"/>
    <w:rsid w:val="0007194A"/>
    <w:rsid w:val="00077356"/>
    <w:rsid w:val="0008094E"/>
    <w:rsid w:val="00081E88"/>
    <w:rsid w:val="00094C00"/>
    <w:rsid w:val="00095A0C"/>
    <w:rsid w:val="000A03AA"/>
    <w:rsid w:val="000A4283"/>
    <w:rsid w:val="000C086F"/>
    <w:rsid w:val="000C68FC"/>
    <w:rsid w:val="000D1357"/>
    <w:rsid w:val="000D2ED5"/>
    <w:rsid w:val="000D2FC6"/>
    <w:rsid w:val="000E49E9"/>
    <w:rsid w:val="000F1051"/>
    <w:rsid w:val="000F2BBA"/>
    <w:rsid w:val="000F6E43"/>
    <w:rsid w:val="00100646"/>
    <w:rsid w:val="0010550D"/>
    <w:rsid w:val="001071AE"/>
    <w:rsid w:val="001255CA"/>
    <w:rsid w:val="0012740D"/>
    <w:rsid w:val="00151B52"/>
    <w:rsid w:val="00165FC7"/>
    <w:rsid w:val="0017048C"/>
    <w:rsid w:val="00172C0A"/>
    <w:rsid w:val="00180E17"/>
    <w:rsid w:val="001A3FD4"/>
    <w:rsid w:val="001A5C54"/>
    <w:rsid w:val="001B1914"/>
    <w:rsid w:val="001C0986"/>
    <w:rsid w:val="001D4556"/>
    <w:rsid w:val="001D7791"/>
    <w:rsid w:val="001E01A7"/>
    <w:rsid w:val="001E471D"/>
    <w:rsid w:val="001F296E"/>
    <w:rsid w:val="001F3302"/>
    <w:rsid w:val="001F3B64"/>
    <w:rsid w:val="001F7C30"/>
    <w:rsid w:val="0020722C"/>
    <w:rsid w:val="0021103D"/>
    <w:rsid w:val="00224EEC"/>
    <w:rsid w:val="00233A35"/>
    <w:rsid w:val="002352CE"/>
    <w:rsid w:val="00236367"/>
    <w:rsid w:val="002444F7"/>
    <w:rsid w:val="00274337"/>
    <w:rsid w:val="002747BF"/>
    <w:rsid w:val="00293267"/>
    <w:rsid w:val="00294774"/>
    <w:rsid w:val="0029477E"/>
    <w:rsid w:val="002958EE"/>
    <w:rsid w:val="0029598B"/>
    <w:rsid w:val="002972B7"/>
    <w:rsid w:val="002A4302"/>
    <w:rsid w:val="002A4A95"/>
    <w:rsid w:val="002A6C0D"/>
    <w:rsid w:val="002B031E"/>
    <w:rsid w:val="002B2AFE"/>
    <w:rsid w:val="002B2EA0"/>
    <w:rsid w:val="002B2EB5"/>
    <w:rsid w:val="002B5CF0"/>
    <w:rsid w:val="002B7916"/>
    <w:rsid w:val="002C4C15"/>
    <w:rsid w:val="002C7241"/>
    <w:rsid w:val="002D5DDB"/>
    <w:rsid w:val="002E2A6F"/>
    <w:rsid w:val="002E7127"/>
    <w:rsid w:val="002F6963"/>
    <w:rsid w:val="003003F5"/>
    <w:rsid w:val="00315D90"/>
    <w:rsid w:val="00317631"/>
    <w:rsid w:val="0032250D"/>
    <w:rsid w:val="00332C44"/>
    <w:rsid w:val="00334F1B"/>
    <w:rsid w:val="00337B9A"/>
    <w:rsid w:val="00340D81"/>
    <w:rsid w:val="00355E05"/>
    <w:rsid w:val="00356780"/>
    <w:rsid w:val="00361170"/>
    <w:rsid w:val="003778CA"/>
    <w:rsid w:val="00377AD3"/>
    <w:rsid w:val="0038007F"/>
    <w:rsid w:val="00386C8A"/>
    <w:rsid w:val="003973D6"/>
    <w:rsid w:val="003A51B9"/>
    <w:rsid w:val="003A68DE"/>
    <w:rsid w:val="003B2318"/>
    <w:rsid w:val="003B4968"/>
    <w:rsid w:val="003B4BBC"/>
    <w:rsid w:val="003B4CF7"/>
    <w:rsid w:val="003B7EC7"/>
    <w:rsid w:val="003C0D74"/>
    <w:rsid w:val="003C6147"/>
    <w:rsid w:val="003C7345"/>
    <w:rsid w:val="003D01FA"/>
    <w:rsid w:val="003D1253"/>
    <w:rsid w:val="003D1315"/>
    <w:rsid w:val="003D6056"/>
    <w:rsid w:val="003E0D5E"/>
    <w:rsid w:val="003E3306"/>
    <w:rsid w:val="003E4E98"/>
    <w:rsid w:val="003E4FCD"/>
    <w:rsid w:val="00401D20"/>
    <w:rsid w:val="00402D60"/>
    <w:rsid w:val="00403F49"/>
    <w:rsid w:val="00416D5F"/>
    <w:rsid w:val="00417EFE"/>
    <w:rsid w:val="00421BCB"/>
    <w:rsid w:val="004223B1"/>
    <w:rsid w:val="00424B0E"/>
    <w:rsid w:val="00425FB5"/>
    <w:rsid w:val="00430A3B"/>
    <w:rsid w:val="00446E60"/>
    <w:rsid w:val="00446ED1"/>
    <w:rsid w:val="00454CC4"/>
    <w:rsid w:val="00456D00"/>
    <w:rsid w:val="00463B4C"/>
    <w:rsid w:val="00470267"/>
    <w:rsid w:val="00473548"/>
    <w:rsid w:val="00474705"/>
    <w:rsid w:val="00495490"/>
    <w:rsid w:val="004A2783"/>
    <w:rsid w:val="004A2B6F"/>
    <w:rsid w:val="004D05A6"/>
    <w:rsid w:val="004E2995"/>
    <w:rsid w:val="004F69A8"/>
    <w:rsid w:val="00500D70"/>
    <w:rsid w:val="00502056"/>
    <w:rsid w:val="00504B5F"/>
    <w:rsid w:val="00513A3D"/>
    <w:rsid w:val="00513B8F"/>
    <w:rsid w:val="00513C05"/>
    <w:rsid w:val="005147F7"/>
    <w:rsid w:val="0051622D"/>
    <w:rsid w:val="00525A72"/>
    <w:rsid w:val="0053107C"/>
    <w:rsid w:val="0053168C"/>
    <w:rsid w:val="00533DFF"/>
    <w:rsid w:val="0054261D"/>
    <w:rsid w:val="0054342F"/>
    <w:rsid w:val="00553E49"/>
    <w:rsid w:val="00562146"/>
    <w:rsid w:val="00575697"/>
    <w:rsid w:val="005822D8"/>
    <w:rsid w:val="00595E59"/>
    <w:rsid w:val="005A49DF"/>
    <w:rsid w:val="005A64C5"/>
    <w:rsid w:val="005B5BD3"/>
    <w:rsid w:val="005B7448"/>
    <w:rsid w:val="005D00C8"/>
    <w:rsid w:val="005D456B"/>
    <w:rsid w:val="005E4C1C"/>
    <w:rsid w:val="005E52B4"/>
    <w:rsid w:val="005E75C0"/>
    <w:rsid w:val="005F0600"/>
    <w:rsid w:val="005F0A06"/>
    <w:rsid w:val="006027D2"/>
    <w:rsid w:val="00606ED0"/>
    <w:rsid w:val="00610D75"/>
    <w:rsid w:val="00626ED7"/>
    <w:rsid w:val="006271A2"/>
    <w:rsid w:val="00634E7F"/>
    <w:rsid w:val="006378C7"/>
    <w:rsid w:val="00637BEE"/>
    <w:rsid w:val="00646E89"/>
    <w:rsid w:val="00652F15"/>
    <w:rsid w:val="00653215"/>
    <w:rsid w:val="00653D03"/>
    <w:rsid w:val="006632C4"/>
    <w:rsid w:val="00671975"/>
    <w:rsid w:val="00674DCB"/>
    <w:rsid w:val="00677778"/>
    <w:rsid w:val="00684C0A"/>
    <w:rsid w:val="00684C4B"/>
    <w:rsid w:val="00686310"/>
    <w:rsid w:val="00694088"/>
    <w:rsid w:val="006A6E92"/>
    <w:rsid w:val="006B19A4"/>
    <w:rsid w:val="006B35FC"/>
    <w:rsid w:val="006B4326"/>
    <w:rsid w:val="006B66E9"/>
    <w:rsid w:val="006B79F0"/>
    <w:rsid w:val="006D26B5"/>
    <w:rsid w:val="006D5A68"/>
    <w:rsid w:val="006D6D69"/>
    <w:rsid w:val="006E210B"/>
    <w:rsid w:val="006E4BF6"/>
    <w:rsid w:val="006E7ACB"/>
    <w:rsid w:val="006F057E"/>
    <w:rsid w:val="006F4CAF"/>
    <w:rsid w:val="006F5967"/>
    <w:rsid w:val="007012B8"/>
    <w:rsid w:val="007018C6"/>
    <w:rsid w:val="00714516"/>
    <w:rsid w:val="00716AC7"/>
    <w:rsid w:val="00717815"/>
    <w:rsid w:val="00720710"/>
    <w:rsid w:val="0072476C"/>
    <w:rsid w:val="007257BD"/>
    <w:rsid w:val="00736F5E"/>
    <w:rsid w:val="00745E9B"/>
    <w:rsid w:val="007512DA"/>
    <w:rsid w:val="0075623D"/>
    <w:rsid w:val="00760040"/>
    <w:rsid w:val="007626C5"/>
    <w:rsid w:val="007669E1"/>
    <w:rsid w:val="007672D1"/>
    <w:rsid w:val="007700A9"/>
    <w:rsid w:val="00771127"/>
    <w:rsid w:val="007928F1"/>
    <w:rsid w:val="007967C8"/>
    <w:rsid w:val="007A5816"/>
    <w:rsid w:val="007B33BE"/>
    <w:rsid w:val="007B652C"/>
    <w:rsid w:val="007B6614"/>
    <w:rsid w:val="007C126C"/>
    <w:rsid w:val="007C3D8F"/>
    <w:rsid w:val="007D3434"/>
    <w:rsid w:val="007F3196"/>
    <w:rsid w:val="007F4C9B"/>
    <w:rsid w:val="007F5378"/>
    <w:rsid w:val="00802C20"/>
    <w:rsid w:val="00807C05"/>
    <w:rsid w:val="00817D1A"/>
    <w:rsid w:val="0082538E"/>
    <w:rsid w:val="00834E5C"/>
    <w:rsid w:val="00835C7F"/>
    <w:rsid w:val="00835E90"/>
    <w:rsid w:val="00836B28"/>
    <w:rsid w:val="00837CAA"/>
    <w:rsid w:val="008438ED"/>
    <w:rsid w:val="00854BC7"/>
    <w:rsid w:val="00856FBB"/>
    <w:rsid w:val="00875094"/>
    <w:rsid w:val="00884898"/>
    <w:rsid w:val="00890C48"/>
    <w:rsid w:val="00895FFC"/>
    <w:rsid w:val="008A6A89"/>
    <w:rsid w:val="008B0C2C"/>
    <w:rsid w:val="008B0FCE"/>
    <w:rsid w:val="008C16AD"/>
    <w:rsid w:val="008C2192"/>
    <w:rsid w:val="008C5719"/>
    <w:rsid w:val="008D20B4"/>
    <w:rsid w:val="008D38A0"/>
    <w:rsid w:val="008D4570"/>
    <w:rsid w:val="008D4BD0"/>
    <w:rsid w:val="008D7382"/>
    <w:rsid w:val="008E71F5"/>
    <w:rsid w:val="008F04CD"/>
    <w:rsid w:val="008F3398"/>
    <w:rsid w:val="009024C2"/>
    <w:rsid w:val="00905CEC"/>
    <w:rsid w:val="00912B96"/>
    <w:rsid w:val="0093061A"/>
    <w:rsid w:val="009307C5"/>
    <w:rsid w:val="0093399F"/>
    <w:rsid w:val="009365D1"/>
    <w:rsid w:val="009366FF"/>
    <w:rsid w:val="009426CD"/>
    <w:rsid w:val="00944634"/>
    <w:rsid w:val="009451C5"/>
    <w:rsid w:val="00955FDF"/>
    <w:rsid w:val="00956DE4"/>
    <w:rsid w:val="0096063A"/>
    <w:rsid w:val="00992653"/>
    <w:rsid w:val="009A3294"/>
    <w:rsid w:val="009A71B6"/>
    <w:rsid w:val="009C651C"/>
    <w:rsid w:val="009D1C6A"/>
    <w:rsid w:val="009D412E"/>
    <w:rsid w:val="009D4CDC"/>
    <w:rsid w:val="00A06C35"/>
    <w:rsid w:val="00A14306"/>
    <w:rsid w:val="00A147C3"/>
    <w:rsid w:val="00A176D3"/>
    <w:rsid w:val="00A23646"/>
    <w:rsid w:val="00A24344"/>
    <w:rsid w:val="00A26DF8"/>
    <w:rsid w:val="00A303D6"/>
    <w:rsid w:val="00A30578"/>
    <w:rsid w:val="00A32DB7"/>
    <w:rsid w:val="00A42AD1"/>
    <w:rsid w:val="00A449E2"/>
    <w:rsid w:val="00A501F0"/>
    <w:rsid w:val="00A53C4D"/>
    <w:rsid w:val="00A82C61"/>
    <w:rsid w:val="00A86AF0"/>
    <w:rsid w:val="00A86E62"/>
    <w:rsid w:val="00A90047"/>
    <w:rsid w:val="00A971E8"/>
    <w:rsid w:val="00AB62F0"/>
    <w:rsid w:val="00AC5721"/>
    <w:rsid w:val="00AC5AE6"/>
    <w:rsid w:val="00AC69AB"/>
    <w:rsid w:val="00AD1E01"/>
    <w:rsid w:val="00AE0F7B"/>
    <w:rsid w:val="00AE4A98"/>
    <w:rsid w:val="00AF3762"/>
    <w:rsid w:val="00AF50F1"/>
    <w:rsid w:val="00AF5F68"/>
    <w:rsid w:val="00B061A3"/>
    <w:rsid w:val="00B23491"/>
    <w:rsid w:val="00B24157"/>
    <w:rsid w:val="00B3360F"/>
    <w:rsid w:val="00B35E14"/>
    <w:rsid w:val="00B36341"/>
    <w:rsid w:val="00B466F9"/>
    <w:rsid w:val="00B5020B"/>
    <w:rsid w:val="00B53BCB"/>
    <w:rsid w:val="00B53C69"/>
    <w:rsid w:val="00B66087"/>
    <w:rsid w:val="00B7075F"/>
    <w:rsid w:val="00B73330"/>
    <w:rsid w:val="00B83506"/>
    <w:rsid w:val="00B93775"/>
    <w:rsid w:val="00B93F90"/>
    <w:rsid w:val="00B9543E"/>
    <w:rsid w:val="00B97C44"/>
    <w:rsid w:val="00BB2C9E"/>
    <w:rsid w:val="00BB7BF3"/>
    <w:rsid w:val="00BC31B2"/>
    <w:rsid w:val="00BD28D0"/>
    <w:rsid w:val="00BD40F9"/>
    <w:rsid w:val="00BD648C"/>
    <w:rsid w:val="00BD6AD8"/>
    <w:rsid w:val="00BE2705"/>
    <w:rsid w:val="00BE4BC1"/>
    <w:rsid w:val="00BE6EEC"/>
    <w:rsid w:val="00C229F2"/>
    <w:rsid w:val="00C24087"/>
    <w:rsid w:val="00C318C3"/>
    <w:rsid w:val="00C43B33"/>
    <w:rsid w:val="00C47765"/>
    <w:rsid w:val="00C553EC"/>
    <w:rsid w:val="00C61E25"/>
    <w:rsid w:val="00C62964"/>
    <w:rsid w:val="00C6316F"/>
    <w:rsid w:val="00C71498"/>
    <w:rsid w:val="00C865A9"/>
    <w:rsid w:val="00C87B11"/>
    <w:rsid w:val="00C96148"/>
    <w:rsid w:val="00C96ABA"/>
    <w:rsid w:val="00CA0BD3"/>
    <w:rsid w:val="00CA50A2"/>
    <w:rsid w:val="00CA614F"/>
    <w:rsid w:val="00CB0193"/>
    <w:rsid w:val="00CD0B2C"/>
    <w:rsid w:val="00CD594B"/>
    <w:rsid w:val="00CE3EDA"/>
    <w:rsid w:val="00CE79C4"/>
    <w:rsid w:val="00CF236A"/>
    <w:rsid w:val="00CF6ACE"/>
    <w:rsid w:val="00D12BEE"/>
    <w:rsid w:val="00D15314"/>
    <w:rsid w:val="00D21002"/>
    <w:rsid w:val="00D227D0"/>
    <w:rsid w:val="00D236B6"/>
    <w:rsid w:val="00D303E6"/>
    <w:rsid w:val="00D33406"/>
    <w:rsid w:val="00D37D8C"/>
    <w:rsid w:val="00D433F3"/>
    <w:rsid w:val="00D43E0F"/>
    <w:rsid w:val="00D50201"/>
    <w:rsid w:val="00D504FB"/>
    <w:rsid w:val="00D54163"/>
    <w:rsid w:val="00D63EEC"/>
    <w:rsid w:val="00D70B50"/>
    <w:rsid w:val="00D77B72"/>
    <w:rsid w:val="00D807DF"/>
    <w:rsid w:val="00D97CFB"/>
    <w:rsid w:val="00DA3914"/>
    <w:rsid w:val="00DA73ED"/>
    <w:rsid w:val="00DB11C2"/>
    <w:rsid w:val="00DB556F"/>
    <w:rsid w:val="00DC04AE"/>
    <w:rsid w:val="00DC32DB"/>
    <w:rsid w:val="00DC5052"/>
    <w:rsid w:val="00DD3FBE"/>
    <w:rsid w:val="00DD4916"/>
    <w:rsid w:val="00DD72D2"/>
    <w:rsid w:val="00DE64FE"/>
    <w:rsid w:val="00E00E46"/>
    <w:rsid w:val="00E0397D"/>
    <w:rsid w:val="00E10C96"/>
    <w:rsid w:val="00E15C6B"/>
    <w:rsid w:val="00E21D26"/>
    <w:rsid w:val="00E33C0F"/>
    <w:rsid w:val="00E347B4"/>
    <w:rsid w:val="00E44C9B"/>
    <w:rsid w:val="00E711BD"/>
    <w:rsid w:val="00E74F3F"/>
    <w:rsid w:val="00E80579"/>
    <w:rsid w:val="00E912D1"/>
    <w:rsid w:val="00EA67AE"/>
    <w:rsid w:val="00EB1D47"/>
    <w:rsid w:val="00EB22DD"/>
    <w:rsid w:val="00EB5459"/>
    <w:rsid w:val="00EB75FF"/>
    <w:rsid w:val="00EC20C2"/>
    <w:rsid w:val="00EC6345"/>
    <w:rsid w:val="00EC71E9"/>
    <w:rsid w:val="00ED2BA4"/>
    <w:rsid w:val="00ED4094"/>
    <w:rsid w:val="00ED4368"/>
    <w:rsid w:val="00EF2AF2"/>
    <w:rsid w:val="00EF3C60"/>
    <w:rsid w:val="00EF5DE2"/>
    <w:rsid w:val="00F00408"/>
    <w:rsid w:val="00F034D5"/>
    <w:rsid w:val="00F12475"/>
    <w:rsid w:val="00F17366"/>
    <w:rsid w:val="00F20BB1"/>
    <w:rsid w:val="00F21D01"/>
    <w:rsid w:val="00F22293"/>
    <w:rsid w:val="00F3516B"/>
    <w:rsid w:val="00F37B74"/>
    <w:rsid w:val="00F40FB1"/>
    <w:rsid w:val="00F41594"/>
    <w:rsid w:val="00F45424"/>
    <w:rsid w:val="00F52E98"/>
    <w:rsid w:val="00F5423D"/>
    <w:rsid w:val="00F676D4"/>
    <w:rsid w:val="00F97838"/>
    <w:rsid w:val="00FA0996"/>
    <w:rsid w:val="00FA2ECB"/>
    <w:rsid w:val="00FA5AFF"/>
    <w:rsid w:val="00FA6D7D"/>
    <w:rsid w:val="00FB17D4"/>
    <w:rsid w:val="00FB18B8"/>
    <w:rsid w:val="00FC4821"/>
    <w:rsid w:val="00FD2A28"/>
    <w:rsid w:val="00FD6616"/>
    <w:rsid w:val="00FD70D8"/>
    <w:rsid w:val="00FD7B08"/>
    <w:rsid w:val="00FE7CC9"/>
    <w:rsid w:val="00FE7DDF"/>
    <w:rsid w:val="00FF2DFF"/>
    <w:rsid w:val="00FF2E2E"/>
    <w:rsid w:val="0DAEC460"/>
    <w:rsid w:val="199A7C77"/>
    <w:rsid w:val="4ED047DB"/>
    <w:rsid w:val="66070B8B"/>
    <w:rsid w:val="6FF1B5D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750A55"/>
  <w15:chartTrackingRefBased/>
  <w15:docId w15:val="{D6BFE992-65FA-470E-A9C4-65AB24540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FB17D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FB17D4"/>
  </w:style>
  <w:style w:type="paragraph" w:styleId="Encabezado">
    <w:name w:val="header"/>
    <w:basedOn w:val="Normal"/>
    <w:link w:val="EncabezadoCar"/>
    <w:uiPriority w:val="99"/>
    <w:unhideWhenUsed/>
    <w:rsid w:val="00FB17D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FB17D4"/>
  </w:style>
  <w:style w:type="paragraph" w:styleId="Sinespaciado">
    <w:name w:val="No Spacing"/>
    <w:uiPriority w:val="1"/>
    <w:qFormat/>
    <w:rsid w:val="00FB17D4"/>
    <w:pPr>
      <w:spacing w:after="0" w:line="240" w:lineRule="auto"/>
    </w:pPr>
  </w:style>
  <w:style w:type="table" w:customStyle="1" w:styleId="Tablaconcuadrcula1">
    <w:name w:val="Tabla con cuadrícula1"/>
    <w:basedOn w:val="Tablanormal"/>
    <w:next w:val="Tablaconcuadrcula"/>
    <w:uiPriority w:val="59"/>
    <w:rsid w:val="00FB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FB17D4"/>
    <w:rPr>
      <w:color w:val="F2F2F2"/>
      <w:u w:val="singl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FB17D4"/>
    <w:rPr>
      <w:sz w:val="20"/>
      <w:szCs w:val="20"/>
      <w:lang w:val="es-MX"/>
    </w:rPr>
  </w:style>
  <w:style w:type="paragraph" w:customStyle="1" w:styleId="Car1">
    <w:name w:val="Car1"/>
    <w:basedOn w:val="Normal"/>
    <w:next w:val="Textonotapie"/>
    <w:uiPriority w:val="99"/>
    <w:unhideWhenUsed/>
    <w:qFormat/>
    <w:rsid w:val="00FB17D4"/>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FB17D4"/>
    <w:rPr>
      <w:vertAlign w:val="superscript"/>
    </w:rPr>
  </w:style>
  <w:style w:type="paragraph" w:customStyle="1" w:styleId="Appelnotedebasde">
    <w:name w:val="Appel note de bas de..."/>
    <w:basedOn w:val="Normal"/>
    <w:link w:val="Refdenotaalpie"/>
    <w:uiPriority w:val="99"/>
    <w:rsid w:val="00FB17D4"/>
    <w:pPr>
      <w:spacing w:line="240" w:lineRule="exact"/>
    </w:pPr>
    <w:rPr>
      <w:vertAlign w:val="superscript"/>
    </w:rPr>
  </w:style>
  <w:style w:type="table" w:styleId="Tablaconcuadrcula">
    <w:name w:val="Table Grid"/>
    <w:basedOn w:val="Tablanormal"/>
    <w:uiPriority w:val="59"/>
    <w:rsid w:val="00FB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FB17D4"/>
    <w:rPr>
      <w:color w:val="0563C1" w:themeColor="hyperlink"/>
      <w:u w:val="single"/>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FB17D4"/>
    <w:pPr>
      <w:spacing w:after="0" w:line="240" w:lineRule="auto"/>
    </w:pPr>
    <w:rPr>
      <w:sz w:val="20"/>
      <w:szCs w:val="20"/>
      <w:lang w:val="es-MX"/>
    </w:rPr>
  </w:style>
  <w:style w:type="character" w:customStyle="1" w:styleId="TextonotapieCar1">
    <w:name w:val="Texto nota pie Car1"/>
    <w:basedOn w:val="Fuentedeprrafopredeter"/>
    <w:uiPriority w:val="99"/>
    <w:semiHidden/>
    <w:rsid w:val="00FB17D4"/>
    <w:rPr>
      <w:sz w:val="20"/>
      <w:szCs w:val="20"/>
    </w:rPr>
  </w:style>
  <w:style w:type="paragraph" w:styleId="Prrafodelista">
    <w:name w:val="List Paragraph"/>
    <w:basedOn w:val="Normal"/>
    <w:uiPriority w:val="34"/>
    <w:qFormat/>
    <w:rsid w:val="00FD70D8"/>
    <w:pPr>
      <w:ind w:left="720"/>
      <w:contextualSpacing/>
    </w:pPr>
  </w:style>
  <w:style w:type="character" w:styleId="Refdecomentario">
    <w:name w:val="annotation reference"/>
    <w:basedOn w:val="Fuentedeprrafopredeter"/>
    <w:uiPriority w:val="99"/>
    <w:semiHidden/>
    <w:unhideWhenUsed/>
    <w:rsid w:val="00463B4C"/>
    <w:rPr>
      <w:sz w:val="16"/>
      <w:szCs w:val="16"/>
    </w:rPr>
  </w:style>
  <w:style w:type="paragraph" w:styleId="Textocomentario">
    <w:name w:val="annotation text"/>
    <w:basedOn w:val="Normal"/>
    <w:link w:val="TextocomentarioCar"/>
    <w:uiPriority w:val="99"/>
    <w:unhideWhenUsed/>
    <w:rsid w:val="00463B4C"/>
    <w:pPr>
      <w:spacing w:line="240" w:lineRule="auto"/>
    </w:pPr>
    <w:rPr>
      <w:sz w:val="20"/>
      <w:szCs w:val="20"/>
    </w:rPr>
  </w:style>
  <w:style w:type="character" w:customStyle="1" w:styleId="TextocomentarioCar">
    <w:name w:val="Texto comentario Car"/>
    <w:basedOn w:val="Fuentedeprrafopredeter"/>
    <w:link w:val="Textocomentario"/>
    <w:uiPriority w:val="99"/>
    <w:rsid w:val="00463B4C"/>
    <w:rPr>
      <w:sz w:val="20"/>
      <w:szCs w:val="20"/>
    </w:rPr>
  </w:style>
  <w:style w:type="paragraph" w:styleId="Asuntodelcomentario">
    <w:name w:val="annotation subject"/>
    <w:basedOn w:val="Textocomentario"/>
    <w:next w:val="Textocomentario"/>
    <w:link w:val="AsuntodelcomentarioCar"/>
    <w:uiPriority w:val="99"/>
    <w:semiHidden/>
    <w:unhideWhenUsed/>
    <w:rsid w:val="00463B4C"/>
    <w:rPr>
      <w:b/>
      <w:bCs/>
    </w:rPr>
  </w:style>
  <w:style w:type="character" w:customStyle="1" w:styleId="AsuntodelcomentarioCar">
    <w:name w:val="Asunto del comentario Car"/>
    <w:basedOn w:val="TextocomentarioCar"/>
    <w:link w:val="Asuntodelcomentario"/>
    <w:uiPriority w:val="99"/>
    <w:semiHidden/>
    <w:rsid w:val="00463B4C"/>
    <w:rPr>
      <w:b/>
      <w:bCs/>
      <w:sz w:val="20"/>
      <w:szCs w:val="20"/>
    </w:rPr>
  </w:style>
  <w:style w:type="paragraph" w:styleId="Textoindependiente">
    <w:name w:val="Body Text"/>
    <w:basedOn w:val="Normal"/>
    <w:link w:val="TextoindependienteCar"/>
    <w:rsid w:val="007D3434"/>
    <w:pPr>
      <w:spacing w:after="120"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rsid w:val="007D3434"/>
    <w:rPr>
      <w:rFonts w:ascii="Times New Roman" w:eastAsia="Times New Roman" w:hAnsi="Times New Roman" w:cs="Times New Roman"/>
      <w:sz w:val="24"/>
      <w:szCs w:val="24"/>
      <w:lang w:eastAsia="es-CO"/>
    </w:rPr>
  </w:style>
  <w:style w:type="character" w:customStyle="1" w:styleId="baj">
    <w:name w:val="b_aj"/>
    <w:basedOn w:val="Fuentedeprrafopredeter"/>
    <w:rsid w:val="006E4BF6"/>
  </w:style>
  <w:style w:type="paragraph" w:styleId="NormalWeb">
    <w:name w:val="Normal (Web)"/>
    <w:basedOn w:val="Normal"/>
    <w:link w:val="NormalWebCar"/>
    <w:uiPriority w:val="99"/>
    <w:unhideWhenUsed/>
    <w:rsid w:val="00A9004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NormalWebCar">
    <w:name w:val="Normal (Web) Car"/>
    <w:link w:val="NormalWeb"/>
    <w:uiPriority w:val="99"/>
    <w:rsid w:val="00A90047"/>
    <w:rPr>
      <w:rFonts w:ascii="Times New Roman" w:eastAsia="Times New Roman" w:hAnsi="Times New Roman" w:cs="Times New Roman"/>
      <w:sz w:val="24"/>
      <w:szCs w:val="24"/>
      <w:lang w:eastAsia="es-CO"/>
    </w:rPr>
  </w:style>
  <w:style w:type="paragraph" w:styleId="Revisin">
    <w:name w:val="Revision"/>
    <w:hidden/>
    <w:uiPriority w:val="99"/>
    <w:semiHidden/>
    <w:rsid w:val="00D77B72"/>
    <w:pPr>
      <w:spacing w:after="0" w:line="240" w:lineRule="auto"/>
    </w:pPr>
  </w:style>
  <w:style w:type="character" w:customStyle="1" w:styleId="normaltextrun">
    <w:name w:val="normaltextrun"/>
    <w:basedOn w:val="Fuentedeprrafopredeter"/>
    <w:rsid w:val="00EB1D47"/>
  </w:style>
  <w:style w:type="character" w:styleId="Textodelmarcadordeposicin">
    <w:name w:val="Placeholder Text"/>
    <w:basedOn w:val="Fuentedeprrafopredeter"/>
    <w:uiPriority w:val="99"/>
    <w:semiHidden/>
    <w:rsid w:val="00FB18B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259224">
      <w:bodyDiv w:val="1"/>
      <w:marLeft w:val="0"/>
      <w:marRight w:val="0"/>
      <w:marTop w:val="0"/>
      <w:marBottom w:val="0"/>
      <w:divBdr>
        <w:top w:val="none" w:sz="0" w:space="0" w:color="auto"/>
        <w:left w:val="none" w:sz="0" w:space="0" w:color="auto"/>
        <w:bottom w:val="none" w:sz="0" w:space="0" w:color="auto"/>
        <w:right w:val="none" w:sz="0" w:space="0" w:color="auto"/>
      </w:divBdr>
    </w:div>
    <w:div w:id="1019505460">
      <w:bodyDiv w:val="1"/>
      <w:marLeft w:val="0"/>
      <w:marRight w:val="0"/>
      <w:marTop w:val="0"/>
      <w:marBottom w:val="0"/>
      <w:divBdr>
        <w:top w:val="none" w:sz="0" w:space="0" w:color="auto"/>
        <w:left w:val="none" w:sz="0" w:space="0" w:color="auto"/>
        <w:bottom w:val="none" w:sz="0" w:space="0" w:color="auto"/>
        <w:right w:val="none" w:sz="0" w:space="0" w:color="auto"/>
      </w:divBdr>
    </w:div>
    <w:div w:id="1445999008">
      <w:bodyDiv w:val="1"/>
      <w:marLeft w:val="0"/>
      <w:marRight w:val="0"/>
      <w:marTop w:val="0"/>
      <w:marBottom w:val="0"/>
      <w:divBdr>
        <w:top w:val="none" w:sz="0" w:space="0" w:color="auto"/>
        <w:left w:val="none" w:sz="0" w:space="0" w:color="auto"/>
        <w:bottom w:val="none" w:sz="0" w:space="0" w:color="auto"/>
        <w:right w:val="none" w:sz="0" w:space="0" w:color="auto"/>
      </w:divBdr>
    </w:div>
    <w:div w:id="1469862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node/30741" TargetMode="External"/><Relationship Id="rId1" Type="http://schemas.openxmlformats.org/officeDocument/2006/relationships/hyperlink" Target="https://www.colombiacompra.gov.co/node/2362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E0106C1CB7E0A649A3732F9BF0D0192D" ma:contentTypeVersion="13" ma:contentTypeDescription="Crear nuevo documento." ma:contentTypeScope="" ma:versionID="8802327d7638576592d47b6819dbdcd4">
  <xsd:schema xmlns:xsd="http://www.w3.org/2001/XMLSchema" xmlns:xs="http://www.w3.org/2001/XMLSchema" xmlns:p="http://schemas.microsoft.com/office/2006/metadata/properties" xmlns:ns3="26bb9a88-2cb8-4923-995d-a139609196ab" xmlns:ns4="95a0c420-f58f-4d44-8e52-2915efe47ec6" targetNamespace="http://schemas.microsoft.com/office/2006/metadata/properties" ma:root="true" ma:fieldsID="5cd134e586aba248da4dbbfb8d7a1698" ns3:_="" ns4:_="">
    <xsd:import namespace="26bb9a88-2cb8-4923-995d-a139609196ab"/>
    <xsd:import namespace="95a0c420-f58f-4d44-8e52-2915efe47ec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bb9a88-2cb8-4923-995d-a139609196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5a0c420-f58f-4d44-8e52-2915efe47ec6" elementFormDefault="qualified">
    <xsd:import namespace="http://schemas.microsoft.com/office/2006/documentManagement/types"/>
    <xsd:import namespace="http://schemas.microsoft.com/office/infopath/2007/PartnerControls"/>
    <xsd:element name="SharedWithUsers" ma:index="1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talles de uso compartido" ma:internalName="SharedWithDetails" ma:readOnly="true">
      <xsd:simpleType>
        <xsd:restriction base="dms:Note">
          <xsd:maxLength value="255"/>
        </xsd:restriction>
      </xsd:simpleType>
    </xsd:element>
    <xsd:element name="SharingHintHash" ma:index="15"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7374A7-85C2-43EA-9491-690A41634143}">
  <ds:schemaRefs>
    <ds:schemaRef ds:uri="http://schemas.openxmlformats.org/officeDocument/2006/bibliography"/>
  </ds:schemaRefs>
</ds:datastoreItem>
</file>

<file path=customXml/itemProps2.xml><?xml version="1.0" encoding="utf-8"?>
<ds:datastoreItem xmlns:ds="http://schemas.openxmlformats.org/officeDocument/2006/customXml" ds:itemID="{E19C0257-EE21-4AA2-A86B-55CD377183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bb9a88-2cb8-4923-995d-a139609196ab"/>
    <ds:schemaRef ds:uri="95a0c420-f58f-4d44-8e52-2915efe47e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098E32-44AB-4578-9213-385C26A6DB70}">
  <ds:schemaRefs>
    <ds:schemaRef ds:uri="http://schemas.microsoft.com/sharepoint/v3/contenttype/forms"/>
  </ds:schemaRefs>
</ds:datastoreItem>
</file>

<file path=customXml/itemProps4.xml><?xml version="1.0" encoding="utf-8"?>
<ds:datastoreItem xmlns:ds="http://schemas.openxmlformats.org/officeDocument/2006/customXml" ds:itemID="{E2CB162F-D4D9-4B3B-B3CE-E8027314514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24</Pages>
  <Words>7212</Words>
  <Characters>39672</Characters>
  <Application>Microsoft Office Word</Application>
  <DocSecurity>0</DocSecurity>
  <Lines>330</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Ana Maria Velez Arteaga</cp:lastModifiedBy>
  <cp:revision>2</cp:revision>
  <dcterms:created xsi:type="dcterms:W3CDTF">2023-03-27T03:54:00Z</dcterms:created>
  <dcterms:modified xsi:type="dcterms:W3CDTF">2023-03-27T03:54:00Z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0x010100E0106C1CB7E0A649A3732F9BF0D0192D</vt:lpwstr>
  </property>
  <property fmtid="{D5CDD505-2E9C-101B-9397-08002B2CF9AE}" pid="3" name="MediaServiceImageTags">
    <vt:lpwstr/>
  </property>
</Properties>
</file>