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BA5A72" w14:textId="77777777" w:rsidR="00383D44" w:rsidRPr="00383D44" w:rsidRDefault="00383D44" w:rsidP="00BB0B29">
      <w:pPr>
        <w:spacing w:after="0"/>
        <w:rPr>
          <w:rFonts w:ascii="Verdana" w:hAnsi="Verdana"/>
          <w:b/>
          <w:bCs/>
          <w:lang w:bidi="es-ES"/>
        </w:rPr>
      </w:pPr>
      <w:bookmarkStart w:id="0" w:name="_Hlk143780582"/>
      <w:r w:rsidRPr="00383D44">
        <w:rPr>
          <w:rFonts w:ascii="Verdana" w:hAnsi="Verdana"/>
          <w:b/>
          <w:bCs/>
          <w:lang w:val="es-ES_tradnl"/>
        </w:rPr>
        <w:t>CONTRATOS ESTATALES – Régimen jurídico</w:t>
      </w:r>
      <w:r w:rsidRPr="00383D44">
        <w:rPr>
          <w:rFonts w:ascii="Verdana" w:hAnsi="Verdana"/>
          <w:b/>
          <w:bCs/>
          <w:lang w:bidi="es-ES"/>
        </w:rPr>
        <w:t xml:space="preserve"> </w:t>
      </w:r>
    </w:p>
    <w:p w14:paraId="16EDA2EB" w14:textId="77777777" w:rsidR="00383D44" w:rsidRDefault="00383D44" w:rsidP="00BB0B29">
      <w:pPr>
        <w:spacing w:after="0"/>
        <w:rPr>
          <w:rFonts w:ascii="Verdana" w:hAnsi="Verdana"/>
          <w:bCs/>
          <w:lang w:bidi="es-ES"/>
        </w:rPr>
      </w:pPr>
    </w:p>
    <w:p w14:paraId="7F0CED6E" w14:textId="77777777" w:rsidR="00383D44" w:rsidRPr="00383D44" w:rsidRDefault="00383D44" w:rsidP="00383D44">
      <w:pPr>
        <w:spacing w:after="0" w:line="240" w:lineRule="auto"/>
        <w:jc w:val="both"/>
        <w:rPr>
          <w:rFonts w:ascii="Verdana" w:hAnsi="Verdana"/>
          <w:bCs/>
          <w:sz w:val="20"/>
          <w:lang w:bidi="es-ES"/>
        </w:rPr>
      </w:pPr>
      <w:r w:rsidRPr="00383D44">
        <w:rPr>
          <w:rFonts w:ascii="Verdana" w:hAnsi="Verdana"/>
          <w:bCs/>
          <w:sz w:val="20"/>
          <w:lang w:val="es-ES" w:bidi="es-ES"/>
        </w:rPr>
        <w:t xml:space="preserve">Respecto al régimen jurídico de las </w:t>
      </w:r>
      <w:r w:rsidRPr="00383D44">
        <w:rPr>
          <w:rFonts w:ascii="Verdana" w:hAnsi="Verdana"/>
          <w:bCs/>
          <w:i/>
          <w:iCs/>
          <w:sz w:val="20"/>
          <w:lang w:val="es-ES" w:bidi="es-ES"/>
        </w:rPr>
        <w:t>entidades sometidas</w:t>
      </w:r>
      <w:r w:rsidRPr="00383D44">
        <w:rPr>
          <w:rFonts w:ascii="Verdana" w:hAnsi="Verdana"/>
          <w:bCs/>
          <w:sz w:val="20"/>
          <w:lang w:val="es-ES" w:bidi="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383D44">
        <w:rPr>
          <w:rFonts w:ascii="Verdana" w:hAnsi="Verdana"/>
          <w:bCs/>
          <w:sz w:val="20"/>
          <w:lang w:bidi="es-ES"/>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79309083" w14:textId="77777777" w:rsidR="00383D44" w:rsidRDefault="00383D44" w:rsidP="00383D44">
      <w:pPr>
        <w:spacing w:after="0" w:line="240" w:lineRule="auto"/>
        <w:jc w:val="both"/>
        <w:rPr>
          <w:rFonts w:ascii="Verdana" w:hAnsi="Verdana"/>
          <w:bCs/>
          <w:sz w:val="20"/>
          <w:lang w:bidi="es-ES"/>
        </w:rPr>
      </w:pPr>
    </w:p>
    <w:p w14:paraId="2DFDA2A7" w14:textId="02790E91" w:rsidR="00383D44" w:rsidRPr="00383D44" w:rsidRDefault="00383D44" w:rsidP="00383D44">
      <w:pPr>
        <w:spacing w:after="0" w:line="240" w:lineRule="auto"/>
        <w:jc w:val="both"/>
        <w:rPr>
          <w:rFonts w:ascii="Verdana" w:hAnsi="Verdana"/>
          <w:bCs/>
          <w:sz w:val="20"/>
          <w:lang w:bidi="es-ES"/>
        </w:rPr>
      </w:pPr>
      <w:r w:rsidRPr="00383D44">
        <w:rPr>
          <w:rFonts w:ascii="Verdana" w:hAnsi="Verdana"/>
          <w:bCs/>
          <w:sz w:val="20"/>
          <w:lang w:bidi="es-ES"/>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246D8D35" w14:textId="77777777" w:rsidR="00383D44" w:rsidRDefault="00383D44" w:rsidP="00BB0B29">
      <w:pPr>
        <w:spacing w:after="0"/>
        <w:rPr>
          <w:rFonts w:ascii="Verdana" w:hAnsi="Verdana"/>
          <w:bCs/>
          <w:lang w:bidi="es-ES"/>
        </w:rPr>
      </w:pPr>
    </w:p>
    <w:p w14:paraId="166FB2F7" w14:textId="08FB1BFE" w:rsidR="00383D44" w:rsidRPr="00383D44" w:rsidRDefault="00383D44" w:rsidP="00BB0B29">
      <w:pPr>
        <w:spacing w:after="0"/>
        <w:rPr>
          <w:rFonts w:ascii="Verdana" w:hAnsi="Verdana"/>
          <w:b/>
          <w:bCs/>
          <w:lang w:bidi="es-ES"/>
        </w:rPr>
      </w:pPr>
      <w:r w:rsidRPr="00383D44">
        <w:rPr>
          <w:rFonts w:ascii="Verdana" w:hAnsi="Verdana"/>
          <w:b/>
          <w:bCs/>
          <w:lang w:bidi="es-ES"/>
        </w:rPr>
        <w:t xml:space="preserve">CONTRATOS ESTATALES – Capacidad jurídica – Requisitos esenciales </w:t>
      </w:r>
    </w:p>
    <w:p w14:paraId="79D14F21" w14:textId="13B9979D" w:rsidR="00383D44" w:rsidRDefault="00383D44" w:rsidP="00BB0B29">
      <w:pPr>
        <w:spacing w:after="0"/>
        <w:rPr>
          <w:rFonts w:ascii="Verdana" w:hAnsi="Verdana"/>
          <w:bCs/>
          <w:lang w:bidi="es-ES"/>
        </w:rPr>
      </w:pPr>
    </w:p>
    <w:p w14:paraId="6597883D" w14:textId="77777777" w:rsidR="00383D44" w:rsidRPr="00383D44" w:rsidRDefault="00383D44" w:rsidP="00383D44">
      <w:pPr>
        <w:spacing w:after="0" w:line="240" w:lineRule="auto"/>
        <w:jc w:val="both"/>
        <w:rPr>
          <w:rFonts w:ascii="Verdana" w:hAnsi="Verdana"/>
          <w:bCs/>
          <w:sz w:val="20"/>
          <w:lang w:val="es-ES" w:bidi="es-ES"/>
        </w:rPr>
      </w:pPr>
      <w:r w:rsidRPr="00383D44">
        <w:rPr>
          <w:rFonts w:ascii="Verdana" w:hAnsi="Verdana"/>
          <w:bCs/>
          <w:sz w:val="20"/>
          <w:lang w:val="es-ES" w:bidi="es-ES"/>
        </w:rPr>
        <w:t>Más allá de la tipicidad o no del negocio,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w:t>
      </w:r>
    </w:p>
    <w:p w14:paraId="12BE3573" w14:textId="77777777" w:rsidR="00383D44" w:rsidRPr="00383D44" w:rsidRDefault="00383D44" w:rsidP="00383D44">
      <w:pPr>
        <w:spacing w:after="0" w:line="240" w:lineRule="auto"/>
        <w:jc w:val="both"/>
        <w:rPr>
          <w:rFonts w:ascii="Verdana" w:hAnsi="Verdana"/>
          <w:bCs/>
          <w:sz w:val="20"/>
          <w:lang w:bidi="es-ES"/>
        </w:rPr>
      </w:pPr>
    </w:p>
    <w:p w14:paraId="521434AE" w14:textId="48702EBF" w:rsidR="00383D44" w:rsidRPr="00383D44" w:rsidRDefault="00383D44" w:rsidP="00383D44">
      <w:pPr>
        <w:spacing w:after="0" w:line="240" w:lineRule="auto"/>
        <w:jc w:val="both"/>
        <w:rPr>
          <w:rFonts w:ascii="Verdana" w:hAnsi="Verdana"/>
          <w:bCs/>
          <w:sz w:val="20"/>
          <w:lang w:val="es-ES" w:bidi="es-ES"/>
        </w:rPr>
      </w:pPr>
      <w:r w:rsidRPr="00383D44">
        <w:rPr>
          <w:rFonts w:ascii="Verdana" w:hAnsi="Verdana"/>
          <w:bCs/>
          <w:sz w:val="20"/>
          <w:lang w:val="es-ES" w:bidi="es-ES"/>
        </w:rPr>
        <w:t xml:space="preserve">Al margen de la tipicidad o no del negocio, la existencia de los contratos estatales, es decir, la producción de efectos jurídicos en los términos del artículo 1501 </w:t>
      </w:r>
      <w:r w:rsidRPr="00383D44">
        <w:rPr>
          <w:rFonts w:ascii="Verdana" w:hAnsi="Verdana"/>
          <w:bCs/>
          <w:i/>
          <w:sz w:val="20"/>
          <w:lang w:val="es-ES" w:bidi="es-ES"/>
        </w:rPr>
        <w:t>ibídem</w:t>
      </w:r>
      <w:r w:rsidRPr="00383D44">
        <w:rPr>
          <w:rFonts w:ascii="Verdana" w:hAnsi="Verdana"/>
          <w:bCs/>
          <w:sz w:val="20"/>
          <w:lang w:val="es-ES" w:bidi="es-ES"/>
        </w:rPr>
        <w:t>,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51FA1968" w14:textId="77777777" w:rsidR="00383D44" w:rsidRPr="00383D44" w:rsidRDefault="00383D44" w:rsidP="00383D44">
      <w:pPr>
        <w:spacing w:after="0"/>
        <w:jc w:val="both"/>
        <w:rPr>
          <w:rFonts w:ascii="Verdana" w:hAnsi="Verdana"/>
          <w:bCs/>
          <w:lang w:val="es-ES" w:bidi="es-ES"/>
        </w:rPr>
      </w:pPr>
    </w:p>
    <w:p w14:paraId="5F9DD040" w14:textId="77777777" w:rsidR="00383D44" w:rsidRPr="00FC7C3B" w:rsidRDefault="00383D44" w:rsidP="00383D44">
      <w:pPr>
        <w:spacing w:after="0"/>
        <w:jc w:val="both"/>
        <w:rPr>
          <w:rFonts w:ascii="Verdana" w:hAnsi="Verdana"/>
          <w:b/>
          <w:bCs/>
          <w:lang w:bidi="es-ES"/>
        </w:rPr>
      </w:pPr>
      <w:r w:rsidRPr="00FC7C3B">
        <w:rPr>
          <w:rFonts w:ascii="Verdana" w:hAnsi="Verdana"/>
          <w:b/>
          <w:bCs/>
          <w:lang w:bidi="es-ES"/>
        </w:rPr>
        <w:t xml:space="preserve">CONTRATOS ESTATALES –  Existencia – Validez - Cambio de la naturaleza jurídica de la entidad. </w:t>
      </w:r>
    </w:p>
    <w:p w14:paraId="24929848" w14:textId="01460D6F" w:rsidR="00383D44" w:rsidRPr="00383D44" w:rsidRDefault="00383D44" w:rsidP="00383D44">
      <w:pPr>
        <w:spacing w:after="0" w:line="240" w:lineRule="auto"/>
        <w:jc w:val="both"/>
        <w:rPr>
          <w:rFonts w:ascii="Verdana" w:hAnsi="Verdana"/>
          <w:bCs/>
          <w:sz w:val="20"/>
          <w:lang w:bidi="es-ES"/>
        </w:rPr>
      </w:pPr>
      <w:r w:rsidRPr="00383D44">
        <w:rPr>
          <w:rFonts w:ascii="Verdana" w:hAnsi="Verdana"/>
          <w:bCs/>
          <w:sz w:val="20"/>
          <w:lang w:bidi="es-ES"/>
        </w:rPr>
        <w:lastRenderedPageBreak/>
        <w:t>De acuerdo a lo expuesto, los contratos estatales de entidades sometidas al EGCAP existen cuando se cumplen los tres elementos: objeto, contraprestación y la solemnidad por escrito. En efecto, el contrato como manifestación del principio de autonomía de la voluntad tiene como propósito acordar los derechos y obligaciones de las partes, que deben ser válidas, que implica el reconocimiento de los requisitos prescritos en el artículo 1502 del Código Civil. Dichos elementos de validez son la capacidad, el consentimiento, el objeto ilícito y la causa ilícita, sin perjuicio del deber de planeación planteada por la Doctrina</w:t>
      </w:r>
      <w:r w:rsidRPr="00383D44">
        <w:rPr>
          <w:rFonts w:ascii="Verdana" w:hAnsi="Verdana"/>
          <w:bCs/>
          <w:sz w:val="20"/>
          <w:vertAlign w:val="superscript"/>
          <w:lang w:bidi="es-ES"/>
        </w:rPr>
        <w:t xml:space="preserve">. </w:t>
      </w:r>
      <w:r w:rsidRPr="00383D44">
        <w:rPr>
          <w:rFonts w:ascii="Verdana" w:hAnsi="Verdana"/>
          <w:bCs/>
          <w:sz w:val="20"/>
          <w:lang w:bidi="es-ES"/>
        </w:rPr>
        <w:t xml:space="preserve">Ahora bien, revisando los elementos de existencia y validez de los contratos no se afectan por la transformación o cambio de la naturaleza jurídica de la entidad, como es el caso de pasar de un área metropolitana a un distrito metropolitano ni tampoco afecta en la numeración de los códigos o números de contratos en ejecución que se establecen dentro de la entidad. </w:t>
      </w:r>
    </w:p>
    <w:p w14:paraId="7974C136" w14:textId="77777777" w:rsidR="00383D44" w:rsidRPr="00383D44" w:rsidRDefault="00383D44" w:rsidP="00383D44">
      <w:pPr>
        <w:spacing w:after="0" w:line="240" w:lineRule="auto"/>
        <w:jc w:val="both"/>
        <w:rPr>
          <w:rFonts w:ascii="Verdana" w:hAnsi="Verdana"/>
          <w:bCs/>
          <w:sz w:val="20"/>
          <w:lang w:bidi="es-ES"/>
        </w:rPr>
      </w:pPr>
    </w:p>
    <w:p w14:paraId="49F1497D" w14:textId="71F84DB4" w:rsidR="00383D44" w:rsidRPr="00383D44" w:rsidRDefault="00383D44" w:rsidP="00383D44">
      <w:pPr>
        <w:spacing w:after="0" w:line="240" w:lineRule="auto"/>
        <w:jc w:val="both"/>
        <w:rPr>
          <w:rFonts w:ascii="Verdana" w:hAnsi="Verdana"/>
          <w:bCs/>
          <w:sz w:val="20"/>
          <w:lang w:bidi="es-ES"/>
        </w:rPr>
      </w:pPr>
      <w:r w:rsidRPr="00383D44">
        <w:rPr>
          <w:rFonts w:ascii="Verdana" w:hAnsi="Verdana"/>
          <w:bCs/>
          <w:sz w:val="20"/>
          <w:lang w:bidi="es-ES"/>
        </w:rPr>
        <w:t>No obstante, es pertinente analizar la transformación de la entidad y cómo puede impactar en el cumplimiento de las obligaciones contractuales vigentes. La nueva entidad, en principio, es responsable de los contratos celebrados y que están en ejecución, salvo que se establezcan disposiciones especiales en la normativa de transformación que limiten o transfieran dicha responsabilidad. En principio, la transformación de una entidad no la exime de cumplir con las diferentes obligaciones adquiridas y que se encuentran pendientes. </w:t>
      </w:r>
    </w:p>
    <w:p w14:paraId="41C04794" w14:textId="07F86741" w:rsidR="00383D44" w:rsidRPr="00383D44" w:rsidRDefault="00383D44" w:rsidP="00383D44">
      <w:pPr>
        <w:spacing w:after="0" w:line="240" w:lineRule="auto"/>
        <w:jc w:val="both"/>
        <w:rPr>
          <w:rFonts w:ascii="Verdana" w:hAnsi="Verdana"/>
          <w:bCs/>
          <w:sz w:val="20"/>
          <w:lang w:bidi="es-ES"/>
        </w:rPr>
      </w:pPr>
      <w:r w:rsidRPr="00383D44">
        <w:rPr>
          <w:rFonts w:ascii="Verdana" w:hAnsi="Verdana"/>
          <w:bCs/>
          <w:sz w:val="20"/>
          <w:lang w:bidi="es-ES"/>
        </w:rPr>
        <w:t xml:space="preserve"> </w:t>
      </w:r>
    </w:p>
    <w:p w14:paraId="6C870B01" w14:textId="77777777" w:rsidR="00383D44" w:rsidRDefault="00383D44" w:rsidP="00BB0B29">
      <w:pPr>
        <w:spacing w:after="0"/>
        <w:rPr>
          <w:rFonts w:ascii="Verdana" w:hAnsi="Verdana"/>
        </w:rPr>
      </w:pPr>
    </w:p>
    <w:p w14:paraId="05CCAE6C" w14:textId="77777777" w:rsidR="00383D44" w:rsidRDefault="00383D44" w:rsidP="00BB0B29">
      <w:pPr>
        <w:spacing w:after="0"/>
        <w:rPr>
          <w:rFonts w:ascii="Verdana" w:hAnsi="Verdana"/>
        </w:rPr>
      </w:pPr>
    </w:p>
    <w:p w14:paraId="3AC1962C" w14:textId="5CBBC337" w:rsidR="00383D44" w:rsidRDefault="00383D44" w:rsidP="00BB0B29">
      <w:pPr>
        <w:spacing w:after="0"/>
        <w:rPr>
          <w:rFonts w:ascii="Verdana" w:hAnsi="Verdana"/>
        </w:rPr>
      </w:pPr>
    </w:p>
    <w:p w14:paraId="2A3CF09F" w14:textId="728CF9E7" w:rsidR="00FC7C3B" w:rsidRDefault="00FC7C3B" w:rsidP="00BB0B29">
      <w:pPr>
        <w:spacing w:after="0"/>
        <w:rPr>
          <w:rFonts w:ascii="Verdana" w:hAnsi="Verdana"/>
        </w:rPr>
      </w:pPr>
    </w:p>
    <w:p w14:paraId="255C1991" w14:textId="5868F720" w:rsidR="00FC7C3B" w:rsidRDefault="00FC7C3B" w:rsidP="00BB0B29">
      <w:pPr>
        <w:spacing w:after="0"/>
        <w:rPr>
          <w:rFonts w:ascii="Verdana" w:hAnsi="Verdana"/>
        </w:rPr>
      </w:pPr>
    </w:p>
    <w:p w14:paraId="4DDD7691" w14:textId="1626AF84" w:rsidR="00FC7C3B" w:rsidRDefault="00FC7C3B" w:rsidP="00BB0B29">
      <w:pPr>
        <w:spacing w:after="0"/>
        <w:rPr>
          <w:rFonts w:ascii="Verdana" w:hAnsi="Verdana"/>
        </w:rPr>
      </w:pPr>
    </w:p>
    <w:p w14:paraId="6528256E" w14:textId="7416D096" w:rsidR="00FC7C3B" w:rsidRDefault="00FC7C3B" w:rsidP="00BB0B29">
      <w:pPr>
        <w:spacing w:after="0"/>
        <w:rPr>
          <w:rFonts w:ascii="Verdana" w:hAnsi="Verdana"/>
        </w:rPr>
      </w:pPr>
    </w:p>
    <w:p w14:paraId="2A4CF245" w14:textId="16636E74" w:rsidR="00FC7C3B" w:rsidRDefault="00FC7C3B" w:rsidP="00BB0B29">
      <w:pPr>
        <w:spacing w:after="0"/>
        <w:rPr>
          <w:rFonts w:ascii="Verdana" w:hAnsi="Verdana"/>
        </w:rPr>
      </w:pPr>
    </w:p>
    <w:p w14:paraId="7F910A1D" w14:textId="3BFCAC65" w:rsidR="00FC7C3B" w:rsidRDefault="00FC7C3B" w:rsidP="00BB0B29">
      <w:pPr>
        <w:spacing w:after="0"/>
        <w:rPr>
          <w:rFonts w:ascii="Verdana" w:hAnsi="Verdana"/>
        </w:rPr>
      </w:pPr>
    </w:p>
    <w:p w14:paraId="676E76F4" w14:textId="317308F8" w:rsidR="00FC7C3B" w:rsidRDefault="00FC7C3B" w:rsidP="00BB0B29">
      <w:pPr>
        <w:spacing w:after="0"/>
        <w:rPr>
          <w:rFonts w:ascii="Verdana" w:hAnsi="Verdana"/>
        </w:rPr>
      </w:pPr>
    </w:p>
    <w:p w14:paraId="252BEF62" w14:textId="500368D9" w:rsidR="00FC7C3B" w:rsidRDefault="00FC7C3B" w:rsidP="00BB0B29">
      <w:pPr>
        <w:spacing w:after="0"/>
        <w:rPr>
          <w:rFonts w:ascii="Verdana" w:hAnsi="Verdana"/>
        </w:rPr>
      </w:pPr>
    </w:p>
    <w:p w14:paraId="2DDA25D9" w14:textId="7A25A424" w:rsidR="00FC7C3B" w:rsidRDefault="00FC7C3B" w:rsidP="00BB0B29">
      <w:pPr>
        <w:spacing w:after="0"/>
        <w:rPr>
          <w:rFonts w:ascii="Verdana" w:hAnsi="Verdana"/>
        </w:rPr>
      </w:pPr>
    </w:p>
    <w:p w14:paraId="1116FCE1" w14:textId="3DCD1788" w:rsidR="00FC7C3B" w:rsidRDefault="00FC7C3B" w:rsidP="00BB0B29">
      <w:pPr>
        <w:spacing w:after="0"/>
        <w:rPr>
          <w:rFonts w:ascii="Verdana" w:hAnsi="Verdana"/>
        </w:rPr>
      </w:pPr>
    </w:p>
    <w:p w14:paraId="000C9DD1" w14:textId="795E8612" w:rsidR="00FC7C3B" w:rsidRDefault="00FC7C3B" w:rsidP="00BB0B29">
      <w:pPr>
        <w:spacing w:after="0"/>
        <w:rPr>
          <w:rFonts w:ascii="Verdana" w:hAnsi="Verdana"/>
        </w:rPr>
      </w:pPr>
    </w:p>
    <w:p w14:paraId="3A4A514F" w14:textId="4AB751DF" w:rsidR="00FC7C3B" w:rsidRDefault="00FC7C3B" w:rsidP="00BB0B29">
      <w:pPr>
        <w:spacing w:after="0"/>
        <w:rPr>
          <w:rFonts w:ascii="Verdana" w:hAnsi="Verdana"/>
        </w:rPr>
      </w:pPr>
    </w:p>
    <w:p w14:paraId="75CCB8AB" w14:textId="51855F5C" w:rsidR="00FC7C3B" w:rsidRDefault="00FC7C3B" w:rsidP="00BB0B29">
      <w:pPr>
        <w:spacing w:after="0"/>
        <w:rPr>
          <w:rFonts w:ascii="Verdana" w:hAnsi="Verdana"/>
        </w:rPr>
      </w:pPr>
    </w:p>
    <w:p w14:paraId="04A81A5A" w14:textId="3944F24F" w:rsidR="00FC7C3B" w:rsidRDefault="00FC7C3B" w:rsidP="00BB0B29">
      <w:pPr>
        <w:spacing w:after="0"/>
        <w:rPr>
          <w:rFonts w:ascii="Verdana" w:hAnsi="Verdana"/>
        </w:rPr>
      </w:pPr>
    </w:p>
    <w:p w14:paraId="25108119" w14:textId="7B0A6804" w:rsidR="00FC7C3B" w:rsidRDefault="00FC7C3B" w:rsidP="00BB0B29">
      <w:pPr>
        <w:spacing w:after="0"/>
        <w:rPr>
          <w:rFonts w:ascii="Verdana" w:hAnsi="Verdana"/>
        </w:rPr>
      </w:pPr>
    </w:p>
    <w:p w14:paraId="59456015" w14:textId="68B0A9C7" w:rsidR="00FC7C3B" w:rsidRDefault="00FC7C3B" w:rsidP="00BB0B29">
      <w:pPr>
        <w:spacing w:after="0"/>
        <w:rPr>
          <w:rFonts w:ascii="Verdana" w:hAnsi="Verdana"/>
        </w:rPr>
      </w:pPr>
    </w:p>
    <w:p w14:paraId="5C6E1793" w14:textId="67C2BABB" w:rsidR="00FC7C3B" w:rsidRDefault="00FC7C3B" w:rsidP="00BB0B29">
      <w:pPr>
        <w:spacing w:after="0"/>
        <w:rPr>
          <w:rFonts w:ascii="Verdana" w:hAnsi="Verdana"/>
        </w:rPr>
      </w:pPr>
    </w:p>
    <w:p w14:paraId="34829896" w14:textId="1619DDF9" w:rsidR="00FC7C3B" w:rsidRDefault="00FC7C3B" w:rsidP="00BB0B29">
      <w:pPr>
        <w:spacing w:after="0"/>
        <w:rPr>
          <w:rFonts w:ascii="Verdana" w:hAnsi="Verdana"/>
        </w:rPr>
      </w:pPr>
    </w:p>
    <w:p w14:paraId="7965655B" w14:textId="77777777" w:rsidR="00FC7C3B" w:rsidRDefault="00FC7C3B" w:rsidP="00BB0B29">
      <w:pPr>
        <w:spacing w:after="0"/>
        <w:rPr>
          <w:rFonts w:ascii="Verdana" w:hAnsi="Verdana"/>
        </w:rPr>
      </w:pPr>
    </w:p>
    <w:p w14:paraId="0175EA63" w14:textId="6343CAA2" w:rsidR="00BB0B29" w:rsidRPr="0044528D" w:rsidRDefault="00383D44" w:rsidP="00BB0B29">
      <w:pPr>
        <w:spacing w:after="0"/>
        <w:rPr>
          <w:rFonts w:ascii="Verdana" w:hAnsi="Verdana"/>
        </w:rPr>
      </w:pPr>
      <w:r>
        <w:rPr>
          <w:rFonts w:ascii="Verdana" w:hAnsi="Verdana"/>
        </w:rPr>
        <w:lastRenderedPageBreak/>
        <w:t>Bogotá D.C., 28 de julio de 2025</w:t>
      </w:r>
      <w:r w:rsidR="00BB0B29" w:rsidRPr="0044528D">
        <w:rPr>
          <w:rFonts w:ascii="Verdana" w:hAnsi="Verdana"/>
        </w:rPr>
        <w:tab/>
      </w:r>
    </w:p>
    <w:p w14:paraId="23AD8380" w14:textId="11853A04" w:rsidR="00BB0B29" w:rsidRPr="00C0556F" w:rsidRDefault="00383D44" w:rsidP="00BB0B29">
      <w:pPr>
        <w:spacing w:after="0"/>
        <w:rPr>
          <w:rFonts w:ascii="Verdana" w:hAnsi="Verdana" w:cs="Arial"/>
        </w:rPr>
      </w:pPr>
      <w:r w:rsidRPr="00383D44">
        <w:rPr>
          <w:rFonts w:ascii="Verdana" w:hAnsi="Verdana"/>
          <w:noProof/>
          <w:lang w:val="en-US"/>
        </w:rPr>
        <w:drawing>
          <wp:anchor distT="0" distB="0" distL="114300" distR="114300" simplePos="0" relativeHeight="251658240" behindDoc="0" locked="0" layoutInCell="1" allowOverlap="1" wp14:anchorId="0E79142C" wp14:editId="6D5F4FD4">
            <wp:simplePos x="0" y="0"/>
            <wp:positionH relativeFrom="column">
              <wp:posOffset>2672715</wp:posOffset>
            </wp:positionH>
            <wp:positionV relativeFrom="paragraph">
              <wp:posOffset>8890</wp:posOffset>
            </wp:positionV>
            <wp:extent cx="3028950" cy="83883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8950" cy="838835"/>
                    </a:xfrm>
                    <a:prstGeom prst="rect">
                      <a:avLst/>
                    </a:prstGeom>
                    <a:noFill/>
                    <a:ln>
                      <a:noFill/>
                    </a:ln>
                  </pic:spPr>
                </pic:pic>
              </a:graphicData>
            </a:graphic>
          </wp:anchor>
        </w:drawing>
      </w:r>
    </w:p>
    <w:p w14:paraId="429AFC14" w14:textId="08FE96AF" w:rsidR="00BB0B29" w:rsidRPr="00C0556F" w:rsidRDefault="00BB0B29" w:rsidP="00BB0B29">
      <w:pPr>
        <w:spacing w:after="0"/>
        <w:rPr>
          <w:rFonts w:ascii="Verdana" w:hAnsi="Verdana" w:cs="Arial"/>
        </w:rPr>
      </w:pPr>
    </w:p>
    <w:p w14:paraId="0E30A8B1" w14:textId="77777777" w:rsidR="00BB0B29" w:rsidRPr="00C0556F" w:rsidRDefault="00BB0B29" w:rsidP="00BB0B29">
      <w:pPr>
        <w:spacing w:after="0" w:line="240" w:lineRule="auto"/>
        <w:rPr>
          <w:rFonts w:ascii="Verdana" w:eastAsia="Calibri" w:hAnsi="Verdana" w:cs="Arial"/>
          <w:lang w:val="es-MX"/>
        </w:rPr>
      </w:pPr>
      <w:r w:rsidRPr="00C0556F">
        <w:rPr>
          <w:rFonts w:ascii="Verdana" w:eastAsia="Calibri" w:hAnsi="Verdana" w:cs="Arial"/>
          <w:lang w:val="es-MX"/>
        </w:rPr>
        <w:t>Señor</w:t>
      </w:r>
    </w:p>
    <w:p w14:paraId="7BC4437F" w14:textId="77777777" w:rsidR="00BB0B29" w:rsidRPr="00C0556F" w:rsidRDefault="00BB0B29" w:rsidP="00BB0B29">
      <w:pPr>
        <w:autoSpaceDE w:val="0"/>
        <w:autoSpaceDN w:val="0"/>
        <w:adjustRightInd w:val="0"/>
        <w:spacing w:after="0" w:line="240" w:lineRule="auto"/>
        <w:rPr>
          <w:rFonts w:ascii="Verdana" w:hAnsi="Verdana" w:cs="Arial"/>
          <w:b/>
          <w:bCs/>
        </w:rPr>
      </w:pPr>
      <w:r w:rsidRPr="00C0556F">
        <w:rPr>
          <w:rFonts w:ascii="Verdana" w:hAnsi="Verdana" w:cs="Arial"/>
          <w:b/>
          <w:bCs/>
        </w:rPr>
        <w:t>Sergio Arenas</w:t>
      </w:r>
    </w:p>
    <w:p w14:paraId="335E5DFE" w14:textId="77777777" w:rsidR="00BB0B29" w:rsidRPr="00C0556F" w:rsidRDefault="00BB0B29" w:rsidP="00BB0B29">
      <w:pPr>
        <w:autoSpaceDE w:val="0"/>
        <w:autoSpaceDN w:val="0"/>
        <w:adjustRightInd w:val="0"/>
        <w:spacing w:after="0" w:line="240" w:lineRule="auto"/>
        <w:rPr>
          <w:rFonts w:ascii="Verdana" w:hAnsi="Verdana" w:cs="Arial"/>
        </w:rPr>
      </w:pPr>
      <w:r w:rsidRPr="00C0556F">
        <w:rPr>
          <w:rFonts w:ascii="Verdana" w:hAnsi="Verdana" w:cs="Arial"/>
        </w:rPr>
        <w:t>Representante Legal</w:t>
      </w:r>
    </w:p>
    <w:p w14:paraId="4648A0AE" w14:textId="77777777" w:rsidR="00BB0B29" w:rsidRPr="00C0556F" w:rsidRDefault="00BB0B29" w:rsidP="00BB0B29">
      <w:pPr>
        <w:spacing w:after="0" w:line="240" w:lineRule="auto"/>
        <w:rPr>
          <w:rFonts w:ascii="Verdana" w:hAnsi="Verdana" w:cs="Arial"/>
        </w:rPr>
      </w:pPr>
      <w:r w:rsidRPr="00C0556F">
        <w:rPr>
          <w:rFonts w:ascii="Verdana" w:hAnsi="Verdana" w:cs="Arial"/>
        </w:rPr>
        <w:t>Fundación Ciudadano Metropolitano</w:t>
      </w:r>
    </w:p>
    <w:p w14:paraId="6B491105" w14:textId="77777777" w:rsidR="00BB0B29" w:rsidRPr="00C0556F" w:rsidRDefault="00BB0B29" w:rsidP="00BB0B29">
      <w:pPr>
        <w:spacing w:after="0" w:line="240" w:lineRule="auto"/>
        <w:rPr>
          <w:rFonts w:ascii="Verdana" w:eastAsia="Calibri" w:hAnsi="Verdana" w:cs="Arial"/>
        </w:rPr>
      </w:pPr>
      <w:r w:rsidRPr="00C0556F">
        <w:rPr>
          <w:rFonts w:ascii="Verdana" w:eastAsia="Calibri" w:hAnsi="Verdana" w:cs="Arial"/>
        </w:rPr>
        <w:t>Bucaramanga</w:t>
      </w:r>
      <w:r>
        <w:rPr>
          <w:rFonts w:ascii="Verdana" w:eastAsia="Calibri" w:hAnsi="Verdana" w:cs="Arial"/>
        </w:rPr>
        <w:t xml:space="preserve">, Santander </w:t>
      </w:r>
    </w:p>
    <w:p w14:paraId="6D1ED68A" w14:textId="77777777" w:rsidR="00BB0B29" w:rsidRPr="00C0556F" w:rsidRDefault="00EB638F" w:rsidP="00BB0B29">
      <w:pPr>
        <w:spacing w:after="0" w:line="240" w:lineRule="auto"/>
        <w:rPr>
          <w:rFonts w:ascii="Verdana" w:eastAsia="Calibri" w:hAnsi="Verdana" w:cs="Arial"/>
          <w:b/>
          <w:lang w:val="es-MX"/>
        </w:rPr>
      </w:pPr>
      <w:hyperlink r:id="rId12" w:history="1">
        <w:r w:rsidR="00BB0B29" w:rsidRPr="00C0556F">
          <w:rPr>
            <w:rStyle w:val="Hipervnculo"/>
            <w:rFonts w:ascii="Verdana" w:eastAsia="Calibri" w:hAnsi="Verdana" w:cs="Arial"/>
          </w:rPr>
          <w:t>direccion@ciudadanometropolitano.com</w:t>
        </w:r>
      </w:hyperlink>
      <w:r w:rsidR="00BB0B29" w:rsidRPr="00C0556F">
        <w:rPr>
          <w:rFonts w:ascii="Verdana" w:eastAsia="Calibri" w:hAnsi="Verdana" w:cs="Arial"/>
        </w:rPr>
        <w:t xml:space="preserve">   </w:t>
      </w:r>
    </w:p>
    <w:p w14:paraId="5319515C" w14:textId="77777777" w:rsidR="00BB0B29" w:rsidRDefault="00BB0B29" w:rsidP="00BB0B29">
      <w:pPr>
        <w:spacing w:after="0" w:line="256" w:lineRule="auto"/>
        <w:rPr>
          <w:rFonts w:ascii="Verdana" w:eastAsia="Calibri" w:hAnsi="Verdana" w:cs="Times New Roman"/>
        </w:rPr>
      </w:pPr>
    </w:p>
    <w:p w14:paraId="0D531F8D" w14:textId="77777777" w:rsidR="00BB0B29" w:rsidRPr="00A12CB6" w:rsidRDefault="00BB0B29" w:rsidP="00BB0B29">
      <w:pPr>
        <w:spacing w:after="0" w:line="256" w:lineRule="auto"/>
        <w:rPr>
          <w:rFonts w:ascii="Verdana" w:eastAsia="Calibri" w:hAnsi="Verdana" w:cs="Times New Roman"/>
        </w:rPr>
      </w:pPr>
    </w:p>
    <w:p w14:paraId="48EE11A1" w14:textId="77777777" w:rsidR="00BB0B29" w:rsidRPr="00A12CB6" w:rsidRDefault="00BB0B29" w:rsidP="00BB0B29">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C–815 </w:t>
      </w:r>
      <w:r w:rsidRPr="00A12CB6">
        <w:rPr>
          <w:rFonts w:ascii="Verdana" w:eastAsia="Calibri" w:hAnsi="Verdana" w:cs="Times New Roman"/>
          <w:b/>
          <w:bCs/>
          <w:lang w:val="es-ES"/>
        </w:rPr>
        <w:t>de 2025</w:t>
      </w:r>
    </w:p>
    <w:p w14:paraId="70272A2C" w14:textId="77777777" w:rsidR="00BB0B29" w:rsidRPr="00A12CB6" w:rsidRDefault="00BB0B29" w:rsidP="00BB0B29">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BB0B29" w:rsidRPr="00A12CB6" w14:paraId="617E2E4C" w14:textId="77777777" w:rsidTr="00E66441">
        <w:trPr>
          <w:trHeight w:val="645"/>
        </w:trPr>
        <w:tc>
          <w:tcPr>
            <w:tcW w:w="2685" w:type="dxa"/>
            <w:hideMark/>
          </w:tcPr>
          <w:p w14:paraId="2989CE46" w14:textId="77777777" w:rsidR="00BB0B29" w:rsidRPr="00A12CB6" w:rsidRDefault="00BB0B29" w:rsidP="00E66441">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26BB29AD" w14:textId="77777777" w:rsidR="00BB0B29" w:rsidRPr="00AA1328" w:rsidRDefault="00BB0B29" w:rsidP="00E66441">
            <w:pPr>
              <w:spacing w:line="276" w:lineRule="auto"/>
              <w:jc w:val="both"/>
              <w:rPr>
                <w:rFonts w:ascii="Verdana" w:hAnsi="Verdana" w:cs="Arial"/>
                <w:lang w:val="es-ES" w:eastAsia="es-ES"/>
              </w:rPr>
            </w:pPr>
            <w:r>
              <w:rPr>
                <w:rFonts w:ascii="Verdana" w:hAnsi="Verdana" w:cs="Arial"/>
                <w:bCs/>
                <w:lang w:val="es-ES_tradnl" w:eastAsia="es-ES" w:bidi="es-ES"/>
              </w:rPr>
              <w:t>CONTRATOS ESTATALES – Régimen jurídico</w:t>
            </w:r>
            <w:r w:rsidRPr="00415226">
              <w:rPr>
                <w:rFonts w:ascii="Verdana" w:hAnsi="Verdana" w:cs="Arial"/>
                <w:bCs/>
                <w:lang w:val="es-ES" w:eastAsia="es-ES" w:bidi="es-ES"/>
              </w:rPr>
              <w:t xml:space="preserve"> / CONTRATOS ESTATALES – Capacidad jurídica – Requisitos esenciales </w:t>
            </w:r>
            <w:r>
              <w:rPr>
                <w:rFonts w:ascii="Verdana" w:hAnsi="Verdana" w:cs="Arial"/>
                <w:bCs/>
                <w:lang w:val="es-ES" w:eastAsia="es-ES" w:bidi="es-ES"/>
              </w:rPr>
              <w:t xml:space="preserve">/ CONTRATOS ESTATALES –  Existencia – Validez - Cambio de la naturaleza jurídica de la entidad.  </w:t>
            </w:r>
          </w:p>
        </w:tc>
        <w:tc>
          <w:tcPr>
            <w:tcW w:w="6237" w:type="dxa"/>
          </w:tcPr>
          <w:p w14:paraId="753A87F1" w14:textId="77777777" w:rsidR="00BB0B29" w:rsidRPr="00D054F2" w:rsidRDefault="00BB0B29" w:rsidP="00E66441">
            <w:pPr>
              <w:spacing w:line="256" w:lineRule="auto"/>
              <w:rPr>
                <w:rFonts w:ascii="Verdana" w:hAnsi="Verdana"/>
                <w:lang w:val="es-ES"/>
              </w:rPr>
            </w:pPr>
          </w:p>
        </w:tc>
      </w:tr>
      <w:tr w:rsidR="00BB0B29" w:rsidRPr="00A12CB6" w14:paraId="4649E393" w14:textId="77777777" w:rsidTr="00E66441">
        <w:tc>
          <w:tcPr>
            <w:tcW w:w="2685" w:type="dxa"/>
          </w:tcPr>
          <w:p w14:paraId="40C2FC4A" w14:textId="77777777" w:rsidR="00BB0B29" w:rsidRDefault="00BB0B29" w:rsidP="00E66441">
            <w:pPr>
              <w:spacing w:line="256" w:lineRule="auto"/>
              <w:rPr>
                <w:rFonts w:ascii="Verdana" w:hAnsi="Verdana"/>
                <w:lang w:val="es-ES_tradnl"/>
              </w:rPr>
            </w:pPr>
          </w:p>
          <w:p w14:paraId="13558531" w14:textId="77777777" w:rsidR="00BB0B29" w:rsidRPr="00A12CB6" w:rsidRDefault="00BB0B29" w:rsidP="00E66441">
            <w:pPr>
              <w:spacing w:line="256" w:lineRule="auto"/>
              <w:rPr>
                <w:rFonts w:ascii="Verdana" w:hAnsi="Verdana"/>
                <w:lang w:val="es-ES_tradnl"/>
              </w:rPr>
            </w:pPr>
          </w:p>
          <w:p w14:paraId="52E36844" w14:textId="77777777" w:rsidR="00BB0B29" w:rsidRPr="00A12CB6" w:rsidRDefault="00BB0B29" w:rsidP="00E66441">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7923CCC5" w14:textId="77777777" w:rsidR="00BB0B29" w:rsidRDefault="00BB0B29" w:rsidP="00E66441">
            <w:pPr>
              <w:spacing w:line="257" w:lineRule="auto"/>
              <w:rPr>
                <w:rFonts w:ascii="Verdana" w:hAnsi="Verdana"/>
                <w:lang w:val="es-ES_tradnl"/>
              </w:rPr>
            </w:pPr>
          </w:p>
          <w:p w14:paraId="6D739A20" w14:textId="77777777" w:rsidR="00BB0B29" w:rsidRPr="00A12CB6" w:rsidRDefault="00BB0B29" w:rsidP="00E66441">
            <w:pPr>
              <w:spacing w:line="257" w:lineRule="auto"/>
              <w:rPr>
                <w:rFonts w:ascii="Verdana" w:hAnsi="Verdana"/>
                <w:lang w:val="es-ES_tradnl"/>
              </w:rPr>
            </w:pPr>
          </w:p>
          <w:p w14:paraId="06ECA182" w14:textId="77777777" w:rsidR="00BB0B29" w:rsidRPr="00630891" w:rsidRDefault="00BB0B29" w:rsidP="00E66441">
            <w:pPr>
              <w:spacing w:line="257" w:lineRule="auto"/>
              <w:jc w:val="both"/>
              <w:rPr>
                <w:rFonts w:ascii="Verdana" w:hAnsi="Verdana"/>
              </w:rPr>
            </w:pPr>
            <w:r w:rsidRPr="00A12CB6">
              <w:rPr>
                <w:rFonts w:ascii="Verdana" w:hAnsi="Verdana"/>
                <w:lang w:val="es-ES_tradnl"/>
              </w:rPr>
              <w:t xml:space="preserve">Respuesta a consulta con radicado No. </w:t>
            </w:r>
            <w:r w:rsidRPr="00C0556F">
              <w:rPr>
                <w:rFonts w:ascii="Verdana" w:hAnsi="Verdana"/>
              </w:rPr>
              <w:t>1_2025_06_19_006187</w:t>
            </w:r>
            <w:r>
              <w:rPr>
                <w:rFonts w:ascii="Verdana" w:hAnsi="Verdana"/>
              </w:rPr>
              <w:t xml:space="preserve"> </w:t>
            </w:r>
          </w:p>
          <w:p w14:paraId="3EFCB0A6" w14:textId="77777777" w:rsidR="00BB0B29" w:rsidRPr="00630891" w:rsidRDefault="00BB0B29" w:rsidP="00E66441">
            <w:pPr>
              <w:spacing w:line="257" w:lineRule="auto"/>
              <w:jc w:val="both"/>
              <w:rPr>
                <w:rFonts w:ascii="Verdana" w:hAnsi="Verdana"/>
              </w:rPr>
            </w:pPr>
          </w:p>
          <w:p w14:paraId="7F11A186" w14:textId="77777777" w:rsidR="00BB0B29" w:rsidRPr="00A12CB6" w:rsidRDefault="00BB0B29" w:rsidP="00E66441">
            <w:pPr>
              <w:spacing w:line="257" w:lineRule="auto"/>
              <w:jc w:val="both"/>
              <w:rPr>
                <w:rFonts w:ascii="Verdana" w:hAnsi="Verdana"/>
              </w:rPr>
            </w:pPr>
          </w:p>
        </w:tc>
        <w:tc>
          <w:tcPr>
            <w:tcW w:w="6237" w:type="dxa"/>
          </w:tcPr>
          <w:p w14:paraId="626E8DFC" w14:textId="77777777" w:rsidR="00BB0B29" w:rsidRPr="00A12CB6" w:rsidRDefault="00BB0B29" w:rsidP="00E66441">
            <w:pPr>
              <w:spacing w:line="256" w:lineRule="auto"/>
              <w:rPr>
                <w:rFonts w:ascii="Verdana" w:hAnsi="Verdana"/>
                <w:lang w:val="es-ES_tradnl"/>
              </w:rPr>
            </w:pPr>
          </w:p>
        </w:tc>
      </w:tr>
    </w:tbl>
    <w:p w14:paraId="1BAC4EE1" w14:textId="77777777" w:rsidR="00BB0B29" w:rsidRPr="00A12CB6" w:rsidRDefault="00BB0B29" w:rsidP="00BB0B29">
      <w:pPr>
        <w:spacing w:after="0" w:line="256" w:lineRule="auto"/>
        <w:rPr>
          <w:rFonts w:ascii="Verdana" w:eastAsia="Calibri" w:hAnsi="Verdana" w:cs="Times New Roman"/>
          <w:lang w:val="es-ES"/>
        </w:rPr>
      </w:pPr>
      <w:r>
        <w:rPr>
          <w:rFonts w:ascii="Verdana" w:eastAsia="Calibri" w:hAnsi="Verdana" w:cs="Times New Roman"/>
          <w:lang w:val="es-ES"/>
        </w:rPr>
        <w:t>Estimado Señor Arenas</w:t>
      </w:r>
      <w:r w:rsidRPr="003469FD">
        <w:rPr>
          <w:rFonts w:ascii="Verdana" w:eastAsia="Calibri" w:hAnsi="Verdana" w:cs="Times New Roman"/>
          <w:lang w:val="es-ES"/>
        </w:rPr>
        <w:t>:</w:t>
      </w:r>
      <w:r w:rsidRPr="00A12CB6">
        <w:rPr>
          <w:rFonts w:ascii="Verdana" w:eastAsia="Calibri" w:hAnsi="Verdana" w:cs="Times New Roman"/>
          <w:lang w:val="es-ES"/>
        </w:rPr>
        <w:t xml:space="preserve"> </w:t>
      </w:r>
    </w:p>
    <w:p w14:paraId="3C5AC45D" w14:textId="77777777" w:rsidR="00BB0B29" w:rsidRPr="00A12CB6" w:rsidRDefault="00BB0B29" w:rsidP="00BB0B29">
      <w:pPr>
        <w:spacing w:after="0" w:line="256" w:lineRule="auto"/>
        <w:rPr>
          <w:rFonts w:ascii="Verdana" w:eastAsia="Calibri" w:hAnsi="Verdana" w:cs="Times New Roman"/>
          <w:lang w:val="es-ES"/>
        </w:rPr>
      </w:pPr>
    </w:p>
    <w:p w14:paraId="012BE73A" w14:textId="77777777" w:rsidR="00BB0B29" w:rsidRDefault="00BB0B29" w:rsidP="00BB0B29">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presentada el 19 de junio de 2025</w:t>
      </w:r>
      <w:r w:rsidRPr="00A12061">
        <w:rPr>
          <w:rFonts w:ascii="Verdana" w:eastAsia="Calibri" w:hAnsi="Verdana" w:cs="Times New Roman"/>
          <w:lang w:val="es-ES"/>
        </w:rPr>
        <w:t>, en la cual manifiesta:</w:t>
      </w:r>
      <w:r w:rsidRPr="000D6D0E">
        <w:rPr>
          <w:rFonts w:ascii="Verdana" w:eastAsia="Calibri" w:hAnsi="Verdana" w:cs="Times New Roman"/>
        </w:rPr>
        <w:t xml:space="preserve"> </w:t>
      </w:r>
    </w:p>
    <w:p w14:paraId="0C523B78" w14:textId="77777777" w:rsidR="00BB0B29" w:rsidRPr="00E2397D" w:rsidRDefault="00BB0B29" w:rsidP="00BB0B29">
      <w:pPr>
        <w:spacing w:after="0" w:line="240" w:lineRule="auto"/>
        <w:ind w:right="709"/>
        <w:jc w:val="both"/>
        <w:rPr>
          <w:rFonts w:ascii="Verdana" w:eastAsia="Calibri" w:hAnsi="Verdana" w:cs="Times New Roman"/>
          <w:i/>
          <w:iCs/>
          <w:sz w:val="20"/>
        </w:rPr>
      </w:pPr>
    </w:p>
    <w:p w14:paraId="49C02231" w14:textId="77777777" w:rsidR="00BB0B29" w:rsidRDefault="00BB0B29" w:rsidP="00BB0B29">
      <w:pPr>
        <w:pStyle w:val="Prrafodelista"/>
        <w:ind w:right="709"/>
        <w:jc w:val="both"/>
        <w:rPr>
          <w:rFonts w:ascii="Verdana" w:eastAsia="Calibri" w:hAnsi="Verdana" w:cs="Times New Roman"/>
          <w:i/>
          <w:iCs/>
          <w:sz w:val="20"/>
          <w:szCs w:val="20"/>
          <w:lang w:val="es-CO"/>
        </w:rPr>
      </w:pPr>
      <w:r>
        <w:rPr>
          <w:rFonts w:ascii="Verdana" w:eastAsia="Calibri" w:hAnsi="Verdana" w:cs="Times New Roman"/>
          <w:i/>
          <w:iCs/>
          <w:sz w:val="20"/>
          <w:szCs w:val="20"/>
        </w:rPr>
        <w:t>“</w:t>
      </w:r>
      <w:r w:rsidRPr="00720E03">
        <w:rPr>
          <w:rFonts w:ascii="Verdana" w:eastAsia="Calibri" w:hAnsi="Verdana" w:cs="Times New Roman"/>
          <w:i/>
          <w:iCs/>
          <w:sz w:val="20"/>
          <w:szCs w:val="20"/>
          <w:lang w:val="es-CO"/>
        </w:rPr>
        <w:t xml:space="preserve">En el marco de la intención de promover una </w:t>
      </w:r>
      <w:r w:rsidRPr="00720E03">
        <w:rPr>
          <w:rFonts w:ascii="Verdana" w:eastAsia="Calibri" w:hAnsi="Verdana" w:cs="Times New Roman"/>
          <w:b/>
          <w:bCs/>
          <w:i/>
          <w:iCs/>
          <w:sz w:val="20"/>
          <w:szCs w:val="20"/>
          <w:lang w:val="es-CO"/>
        </w:rPr>
        <w:t>co</w:t>
      </w:r>
      <w:r>
        <w:rPr>
          <w:rFonts w:ascii="Verdana" w:eastAsia="Calibri" w:hAnsi="Verdana" w:cs="Times New Roman"/>
          <w:b/>
          <w:bCs/>
          <w:i/>
          <w:iCs/>
          <w:sz w:val="20"/>
          <w:szCs w:val="20"/>
          <w:lang w:val="es-CO"/>
        </w:rPr>
        <w:t xml:space="preserve">nsulta popular territorial para </w:t>
      </w:r>
      <w:r w:rsidRPr="00720E03">
        <w:rPr>
          <w:rFonts w:ascii="Verdana" w:eastAsia="Calibri" w:hAnsi="Verdana" w:cs="Times New Roman"/>
          <w:b/>
          <w:bCs/>
          <w:i/>
          <w:iCs/>
          <w:sz w:val="20"/>
          <w:szCs w:val="20"/>
          <w:lang w:val="es-CO"/>
        </w:rPr>
        <w:t>transformar el Área Metropolitana de Bucaramanga en un Distrito Metropolitano</w:t>
      </w:r>
      <w:r w:rsidRPr="00720E03">
        <w:rPr>
          <w:rFonts w:ascii="Verdana" w:eastAsia="Calibri" w:hAnsi="Verdana" w:cs="Times New Roman"/>
          <w:i/>
          <w:iCs/>
          <w:sz w:val="20"/>
          <w:szCs w:val="20"/>
          <w:lang w:val="es-CO"/>
        </w:rPr>
        <w:t>,</w:t>
      </w:r>
      <w:r>
        <w:rPr>
          <w:rFonts w:ascii="Verdana" w:eastAsia="Calibri" w:hAnsi="Verdana" w:cs="Times New Roman"/>
          <w:i/>
          <w:iCs/>
          <w:sz w:val="20"/>
          <w:szCs w:val="20"/>
          <w:lang w:val="es-CO"/>
        </w:rPr>
        <w:t xml:space="preserve"> </w:t>
      </w:r>
      <w:r w:rsidRPr="00720E03">
        <w:rPr>
          <w:rFonts w:ascii="Verdana" w:eastAsia="Calibri" w:hAnsi="Verdana" w:cs="Times New Roman"/>
          <w:i/>
          <w:iCs/>
          <w:sz w:val="20"/>
          <w:szCs w:val="20"/>
          <w:lang w:val="es-CO"/>
        </w:rPr>
        <w:t>solicitamos a esa entidad la información clara, actualizada y completa respecto de los</w:t>
      </w:r>
      <w:r>
        <w:rPr>
          <w:rFonts w:ascii="Verdana" w:eastAsia="Calibri" w:hAnsi="Verdana" w:cs="Times New Roman"/>
          <w:i/>
          <w:iCs/>
          <w:sz w:val="20"/>
          <w:szCs w:val="20"/>
          <w:lang w:val="es-CO"/>
        </w:rPr>
        <w:t xml:space="preserve"> </w:t>
      </w:r>
      <w:r w:rsidRPr="00720E03">
        <w:rPr>
          <w:rFonts w:ascii="Verdana" w:eastAsia="Calibri" w:hAnsi="Verdana" w:cs="Times New Roman"/>
          <w:i/>
          <w:iCs/>
          <w:sz w:val="20"/>
          <w:szCs w:val="20"/>
          <w:lang w:val="es-CO"/>
        </w:rPr>
        <w:t>pasos, requisitos, condiciones normativas y autoridades competentes en el proceso,</w:t>
      </w:r>
      <w:r>
        <w:rPr>
          <w:rFonts w:ascii="Verdana" w:eastAsia="Calibri" w:hAnsi="Verdana" w:cs="Times New Roman"/>
          <w:i/>
          <w:iCs/>
          <w:sz w:val="20"/>
          <w:szCs w:val="20"/>
          <w:lang w:val="es-CO"/>
        </w:rPr>
        <w:t xml:space="preserve"> </w:t>
      </w:r>
      <w:r w:rsidRPr="00720E03">
        <w:rPr>
          <w:rFonts w:ascii="Verdana" w:eastAsia="Calibri" w:hAnsi="Verdana" w:cs="Times New Roman"/>
          <w:i/>
          <w:iCs/>
          <w:sz w:val="20"/>
          <w:szCs w:val="20"/>
          <w:lang w:val="es-CO"/>
        </w:rPr>
        <w:t>respondiendo a las siguientes inquietudes:</w:t>
      </w:r>
    </w:p>
    <w:p w14:paraId="6AEC8E99" w14:textId="77777777" w:rsidR="00BB0B29" w:rsidRPr="00720E03" w:rsidRDefault="00BB0B29" w:rsidP="00BB0B29">
      <w:pPr>
        <w:pStyle w:val="Prrafodelista"/>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w:t>
      </w:r>
    </w:p>
    <w:p w14:paraId="10276F2F" w14:textId="77777777" w:rsidR="00BB0B29" w:rsidRPr="00720E03" w:rsidRDefault="00BB0B29" w:rsidP="00BB0B29">
      <w:pPr>
        <w:pStyle w:val="Prrafodelista"/>
        <w:ind w:right="709"/>
        <w:jc w:val="both"/>
        <w:rPr>
          <w:rFonts w:ascii="Verdana" w:eastAsia="Calibri" w:hAnsi="Verdana" w:cs="Times New Roman"/>
          <w:b/>
          <w:bCs/>
          <w:i/>
          <w:iCs/>
          <w:sz w:val="20"/>
          <w:szCs w:val="20"/>
          <w:lang w:val="es-CO"/>
        </w:rPr>
      </w:pPr>
      <w:r w:rsidRPr="00720E03">
        <w:rPr>
          <w:rFonts w:ascii="Verdana" w:hAnsi="Verdana"/>
          <w:sz w:val="20"/>
          <w:szCs w:val="20"/>
          <w:lang w:val="es-CO"/>
        </w:rPr>
        <w:t xml:space="preserve"> </w:t>
      </w:r>
      <w:r w:rsidRPr="00720E03">
        <w:rPr>
          <w:rFonts w:ascii="Verdana" w:hAnsi="Verdana"/>
          <w:i/>
          <w:iCs/>
          <w:sz w:val="20"/>
          <w:szCs w:val="20"/>
          <w:lang w:val="es-CO"/>
        </w:rPr>
        <w:t>74. ¿Cambian los códigos de contratos y convenios en ejecución?”</w:t>
      </w:r>
      <w:r w:rsidRPr="00720E03">
        <w:rPr>
          <w:rFonts w:ascii="Verdana" w:hAnsi="Verdana"/>
          <w:sz w:val="20"/>
          <w:szCs w:val="20"/>
          <w:lang w:val="es-CO"/>
        </w:rPr>
        <w:t>”</w:t>
      </w:r>
    </w:p>
    <w:p w14:paraId="53E10B41" w14:textId="77777777" w:rsidR="00BB0B29" w:rsidRPr="0038606D" w:rsidRDefault="00BB0B29" w:rsidP="00BB0B29">
      <w:pPr>
        <w:spacing w:after="0" w:line="240" w:lineRule="auto"/>
        <w:ind w:right="709"/>
        <w:jc w:val="both"/>
        <w:rPr>
          <w:rFonts w:ascii="Verdana" w:eastAsia="Calibri" w:hAnsi="Verdana" w:cs="Times New Roman"/>
          <w:i/>
          <w:iCs/>
          <w:sz w:val="20"/>
        </w:rPr>
      </w:pPr>
    </w:p>
    <w:p w14:paraId="7B79AAC1" w14:textId="77777777" w:rsidR="00BB0B29" w:rsidRPr="00A12CB6" w:rsidRDefault="00BB0B29" w:rsidP="00BB0B29">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598AEC5" w14:textId="77777777" w:rsidR="00BB0B29" w:rsidRPr="00A12CB6" w:rsidRDefault="00BB0B29" w:rsidP="00BB0B29">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4D756A65" w14:textId="77777777" w:rsidR="00BB0B29" w:rsidRPr="00A12CB6" w:rsidRDefault="00BB0B29" w:rsidP="00BB0B29">
      <w:pPr>
        <w:spacing w:after="0" w:line="256" w:lineRule="auto"/>
        <w:rPr>
          <w:rFonts w:ascii="Verdana" w:eastAsia="Calibri" w:hAnsi="Verdana" w:cs="Times New Roman"/>
          <w:lang w:val="es-ES"/>
        </w:rPr>
      </w:pPr>
    </w:p>
    <w:p w14:paraId="2C7F92B0" w14:textId="77777777" w:rsidR="00BB0B29" w:rsidRPr="00A12CB6" w:rsidRDefault="00BB0B29" w:rsidP="00BB0B29">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352B364A" w14:textId="77777777" w:rsidR="00BB0B29" w:rsidRPr="00A12CB6" w:rsidRDefault="00BB0B29" w:rsidP="00BB0B29">
      <w:pPr>
        <w:spacing w:after="0" w:line="256" w:lineRule="auto"/>
        <w:rPr>
          <w:rFonts w:ascii="Verdana" w:eastAsia="Calibri" w:hAnsi="Verdana" w:cs="Times New Roman"/>
        </w:rPr>
      </w:pPr>
    </w:p>
    <w:p w14:paraId="55CE923E" w14:textId="77777777" w:rsidR="00BB0B29" w:rsidRPr="002F4B1D" w:rsidRDefault="00BB0B29" w:rsidP="00BB0B29">
      <w:pPr>
        <w:spacing w:after="0" w:line="276" w:lineRule="auto"/>
        <w:jc w:val="both"/>
        <w:rPr>
          <w:rFonts w:ascii="Verdana" w:eastAsia="Calibri" w:hAnsi="Verdana" w:cs="Times New Roman"/>
          <w:i/>
          <w:iC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sidRPr="00720E03">
        <w:rPr>
          <w:rFonts w:ascii="Verdana" w:eastAsia="Calibri" w:hAnsi="Verdana" w:cs="Times New Roman"/>
          <w:iCs/>
          <w:lang w:val="es-ES"/>
        </w:rPr>
        <w:t xml:space="preserve"> </w:t>
      </w:r>
      <w:r>
        <w:rPr>
          <w:rFonts w:ascii="Verdana" w:eastAsia="Calibri" w:hAnsi="Verdana" w:cs="Times New Roman"/>
          <w:iCs/>
        </w:rPr>
        <w:t xml:space="preserve">¿Se presentan modificaciones en </w:t>
      </w:r>
      <w:r w:rsidRPr="00720E03">
        <w:rPr>
          <w:rFonts w:ascii="Verdana" w:eastAsia="Calibri" w:hAnsi="Verdana" w:cs="Times New Roman"/>
          <w:iCs/>
        </w:rPr>
        <w:t>los</w:t>
      </w:r>
      <w:r>
        <w:rPr>
          <w:rFonts w:ascii="Verdana" w:eastAsia="Calibri" w:hAnsi="Verdana" w:cs="Times New Roman"/>
          <w:iCs/>
        </w:rPr>
        <w:t xml:space="preserve"> contratos en ejecución cuando se cambian las áreas metropolitanas en</w:t>
      </w:r>
      <w:r w:rsidRPr="00720E03">
        <w:rPr>
          <w:rFonts w:ascii="Verdana" w:eastAsia="Calibri" w:hAnsi="Verdana" w:cs="Times New Roman"/>
          <w:iCs/>
        </w:rPr>
        <w:t xml:space="preserve"> </w:t>
      </w:r>
      <w:r>
        <w:rPr>
          <w:rFonts w:ascii="Verdana" w:eastAsia="Calibri" w:hAnsi="Verdana" w:cs="Times New Roman"/>
          <w:iCs/>
        </w:rPr>
        <w:t>distritos metropolitano</w:t>
      </w:r>
      <w:r w:rsidRPr="00720E03">
        <w:rPr>
          <w:rFonts w:ascii="Verdana" w:eastAsia="Calibri" w:hAnsi="Verdana" w:cs="Times New Roman"/>
          <w:iCs/>
        </w:rPr>
        <w:t>s?</w:t>
      </w:r>
    </w:p>
    <w:p w14:paraId="70CD3ACC" w14:textId="77777777" w:rsidR="00BB0B29" w:rsidRPr="00277150" w:rsidRDefault="00BB0B29" w:rsidP="00BB0B29">
      <w:pPr>
        <w:spacing w:after="0" w:line="276" w:lineRule="auto"/>
        <w:jc w:val="both"/>
        <w:rPr>
          <w:rFonts w:ascii="Verdana" w:eastAsia="Calibri" w:hAnsi="Verdana" w:cs="Times New Roman"/>
          <w:i/>
          <w:iCs/>
          <w:lang w:val="es-ES"/>
        </w:rPr>
      </w:pPr>
    </w:p>
    <w:p w14:paraId="0C55A1FE" w14:textId="77777777" w:rsidR="00BB0B29" w:rsidRDefault="00BB0B29" w:rsidP="00BB0B29">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4C3446BE" w14:textId="77777777" w:rsidR="00BB0B29" w:rsidRPr="00A12CB6" w:rsidRDefault="00BB0B29" w:rsidP="00BB0B29">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BB0B29" w:rsidRPr="001205D1" w14:paraId="2BBDCF45" w14:textId="77777777" w:rsidTr="00E66441">
        <w:trPr>
          <w:trHeight w:val="345"/>
          <w:jc w:val="center"/>
        </w:trPr>
        <w:tc>
          <w:tcPr>
            <w:tcW w:w="8784" w:type="dxa"/>
            <w:tcBorders>
              <w:bottom w:val="single" w:sz="4" w:space="0" w:color="auto"/>
            </w:tcBorders>
          </w:tcPr>
          <w:p w14:paraId="0C8ACD14" w14:textId="77777777" w:rsidR="00BB0B29" w:rsidRDefault="00BB0B29" w:rsidP="00E66441">
            <w:pPr>
              <w:spacing w:line="276" w:lineRule="auto"/>
              <w:jc w:val="both"/>
              <w:rPr>
                <w:rFonts w:ascii="Verdana" w:eastAsia="Calibri" w:hAnsi="Verdana" w:cs="Times New Roman"/>
                <w:lang w:val="es-ES"/>
              </w:rPr>
            </w:pPr>
          </w:p>
          <w:p w14:paraId="43EA3AE1" w14:textId="77777777" w:rsidR="00BB0B29" w:rsidRPr="005F1284" w:rsidRDefault="00BB0B29" w:rsidP="00E66441">
            <w:pPr>
              <w:spacing w:after="120" w:line="276" w:lineRule="auto"/>
              <w:jc w:val="both"/>
              <w:rPr>
                <w:rFonts w:ascii="Verdana" w:eastAsia="Calibri" w:hAnsi="Verdana" w:cs="Arial"/>
              </w:rPr>
            </w:pPr>
            <w:r>
              <w:rPr>
                <w:rFonts w:ascii="Verdana" w:eastAsia="Calibri" w:hAnsi="Verdana" w:cs="Arial"/>
              </w:rPr>
              <w:t xml:space="preserve">De acuerdo al problema jurídico, objeto de consulta, se precisa que el contrato como manifestación del principio de autonomía de la voluntad no se afecta su existencia y validez por la transformación de la naturaleza jurídica de la entidad, como es el caso de pasar de un área metropolitana a un distrito metropolitano, en los términos y condiciones del artículo 35 de la Ley 1621 de 2013, ni tampoco afecta en la numeración de los códigos o números de contratos o convenios en ejecución que se establecen dentro de la entidad.  </w:t>
            </w:r>
          </w:p>
          <w:p w14:paraId="0BE18F93" w14:textId="77777777" w:rsidR="00BB0B29" w:rsidRDefault="00BB0B29" w:rsidP="00E66441">
            <w:pPr>
              <w:spacing w:after="120" w:line="276" w:lineRule="auto"/>
              <w:jc w:val="both"/>
              <w:rPr>
                <w:rFonts w:ascii="Verdana" w:eastAsia="Calibri" w:hAnsi="Verdana" w:cs="Arial"/>
              </w:rPr>
            </w:pPr>
            <w:r>
              <w:rPr>
                <w:rFonts w:ascii="Verdana" w:eastAsia="Calibri" w:hAnsi="Verdana" w:cs="Arial"/>
              </w:rPr>
              <w:lastRenderedPageBreak/>
              <w:tab/>
              <w:t xml:space="preserve">No obstante, es pertinente analizar la transformación de la entidad y cómo puede impactar en el cumplimiento de las obligaciones contractuales vigentes. </w:t>
            </w:r>
            <w:r w:rsidRPr="00415226">
              <w:rPr>
                <w:rFonts w:ascii="Verdana" w:eastAsia="Calibri" w:hAnsi="Verdana" w:cs="Arial"/>
              </w:rPr>
              <w:t xml:space="preserve">La nueva entidad, en principio, es responsable de los contratos celebrados </w:t>
            </w:r>
            <w:r>
              <w:rPr>
                <w:rFonts w:ascii="Verdana" w:eastAsia="Calibri" w:hAnsi="Verdana" w:cs="Arial"/>
              </w:rPr>
              <w:t xml:space="preserve">y que están en ejecución, salvo que </w:t>
            </w:r>
            <w:r w:rsidRPr="00415226">
              <w:rPr>
                <w:rFonts w:ascii="Verdana" w:eastAsia="Calibri" w:hAnsi="Verdana" w:cs="Arial"/>
              </w:rPr>
              <w:t>se establezcan disposiciones espe</w:t>
            </w:r>
            <w:r>
              <w:rPr>
                <w:rFonts w:ascii="Verdana" w:eastAsia="Calibri" w:hAnsi="Verdana" w:cs="Arial"/>
              </w:rPr>
              <w:t xml:space="preserve">ciales </w:t>
            </w:r>
            <w:r w:rsidRPr="00415226">
              <w:rPr>
                <w:rFonts w:ascii="Verdana" w:eastAsia="Calibri" w:hAnsi="Verdana" w:cs="Arial"/>
              </w:rPr>
              <w:t xml:space="preserve">en </w:t>
            </w:r>
            <w:r>
              <w:rPr>
                <w:rFonts w:ascii="Verdana" w:eastAsia="Calibri" w:hAnsi="Verdana" w:cs="Arial"/>
              </w:rPr>
              <w:t xml:space="preserve">la normativa de </w:t>
            </w:r>
            <w:r w:rsidRPr="00415226">
              <w:rPr>
                <w:rFonts w:ascii="Verdana" w:eastAsia="Calibri" w:hAnsi="Verdana" w:cs="Arial"/>
              </w:rPr>
              <w:t>transformación que limiten o transfieran dicha responsabilidad.</w:t>
            </w:r>
            <w:r w:rsidRPr="00280DF4">
              <w:rPr>
                <w:rFonts w:ascii="Verdana" w:eastAsia="Calibri" w:hAnsi="Verdana" w:cs="Arial"/>
              </w:rPr>
              <w:t xml:space="preserve"> </w:t>
            </w:r>
            <w:r>
              <w:rPr>
                <w:rFonts w:ascii="Verdana" w:eastAsia="Calibri" w:hAnsi="Verdana" w:cs="Arial"/>
              </w:rPr>
              <w:t xml:space="preserve">En principio, la transformación de una entidad </w:t>
            </w:r>
            <w:r w:rsidRPr="00280DF4">
              <w:rPr>
                <w:rFonts w:ascii="Verdana" w:eastAsia="Calibri" w:hAnsi="Verdana" w:cs="Arial"/>
              </w:rPr>
              <w:t xml:space="preserve">no la exime de cumplir con </w:t>
            </w:r>
            <w:r>
              <w:rPr>
                <w:rFonts w:ascii="Verdana" w:eastAsia="Calibri" w:hAnsi="Verdana" w:cs="Arial"/>
              </w:rPr>
              <w:t xml:space="preserve">las diferentes </w:t>
            </w:r>
            <w:r w:rsidRPr="00280DF4">
              <w:rPr>
                <w:rFonts w:ascii="Verdana" w:eastAsia="Calibri" w:hAnsi="Verdana" w:cs="Arial"/>
              </w:rPr>
              <w:t>obligaciones adquiridas y que se encuentran pendientes. </w:t>
            </w:r>
          </w:p>
          <w:p w14:paraId="674DB8F7" w14:textId="77777777" w:rsidR="00BB0B29" w:rsidRPr="00EB3BB3" w:rsidRDefault="00BB0B29" w:rsidP="00E66441">
            <w:pPr>
              <w:spacing w:after="120" w:line="276" w:lineRule="auto"/>
              <w:ind w:firstLine="708"/>
              <w:jc w:val="both"/>
              <w:rPr>
                <w:rFonts w:ascii="Verdana" w:eastAsia="Calibri" w:hAnsi="Verdana" w:cs="Arial"/>
                <w:lang w:val="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tc>
      </w:tr>
    </w:tbl>
    <w:p w14:paraId="2BC5675B" w14:textId="77777777" w:rsidR="00BB0B29" w:rsidRPr="00A12CB6" w:rsidRDefault="00BB0B29" w:rsidP="00BB0B29">
      <w:pPr>
        <w:spacing w:after="0" w:line="276" w:lineRule="auto"/>
        <w:jc w:val="both"/>
        <w:rPr>
          <w:rFonts w:ascii="Verdana" w:eastAsia="Calibri" w:hAnsi="Verdana" w:cs="Arial"/>
          <w:bCs/>
          <w:color w:val="000000" w:themeColor="text1"/>
        </w:rPr>
      </w:pPr>
    </w:p>
    <w:p w14:paraId="4F1AC701" w14:textId="77777777" w:rsidR="00BB0B29" w:rsidRPr="0093558D" w:rsidRDefault="00BB0B29" w:rsidP="00BB0B29">
      <w:pPr>
        <w:numPr>
          <w:ilvl w:val="0"/>
          <w:numId w:val="19"/>
        </w:numPr>
        <w:tabs>
          <w:tab w:val="left" w:pos="2268"/>
        </w:tabs>
        <w:spacing w:after="0" w:line="25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51514D00" w14:textId="77777777" w:rsidR="00BB0B29" w:rsidRPr="00A12CB6" w:rsidRDefault="00BB0B29" w:rsidP="00BB0B29">
      <w:pPr>
        <w:spacing w:after="0" w:line="256" w:lineRule="auto"/>
        <w:rPr>
          <w:rFonts w:ascii="Verdana" w:eastAsia="Calibri" w:hAnsi="Verdana" w:cs="Times New Roman"/>
          <w:b/>
          <w:bCs/>
          <w:lang w:val="es-ES"/>
        </w:rPr>
      </w:pPr>
    </w:p>
    <w:p w14:paraId="3703D876" w14:textId="77777777" w:rsidR="00BB0B29" w:rsidRDefault="00BB0B29" w:rsidP="00BB0B29">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2993EA14" w14:textId="77777777" w:rsidR="00BB0B29" w:rsidRPr="00F65254" w:rsidRDefault="00BB0B29" w:rsidP="00BB0B29">
      <w:pPr>
        <w:spacing w:after="0" w:line="276" w:lineRule="auto"/>
        <w:jc w:val="both"/>
        <w:rPr>
          <w:rFonts w:ascii="Verdana" w:eastAsia="Calibri" w:hAnsi="Verdana" w:cs="Arial"/>
          <w:lang w:val="es-ES"/>
        </w:rPr>
      </w:pPr>
    </w:p>
    <w:p w14:paraId="2A87D87C" w14:textId="77777777" w:rsidR="00BB0B29" w:rsidRPr="00501E29" w:rsidRDefault="00BB0B29" w:rsidP="00BB0B29">
      <w:pPr>
        <w:spacing w:after="120" w:line="276" w:lineRule="auto"/>
        <w:jc w:val="both"/>
        <w:rPr>
          <w:rFonts w:ascii="Verdana" w:hAnsi="Verdana" w:cs="Arial"/>
        </w:rPr>
      </w:pPr>
      <w:bookmarkStart w:id="1" w:name="_Hlk78820161"/>
      <w:r>
        <w:rPr>
          <w:rFonts w:ascii="Verdana" w:eastAsia="Calibri" w:hAnsi="Verdana" w:cs="Arial"/>
        </w:rPr>
        <w:t xml:space="preserve">i. </w:t>
      </w:r>
      <w:r w:rsidRPr="00501E29">
        <w:rPr>
          <w:rFonts w:ascii="Verdana" w:eastAsia="Calibri" w:hAnsi="Verdana" w:cs="Arial"/>
          <w:lang w:val="es-ES"/>
        </w:rPr>
        <w:t>Respecto al régimen jurídico</w:t>
      </w:r>
      <w:r>
        <w:rPr>
          <w:rFonts w:ascii="Verdana" w:eastAsia="Calibri" w:hAnsi="Verdana" w:cs="Arial"/>
          <w:lang w:val="es-ES"/>
        </w:rPr>
        <w:t xml:space="preserve"> de las </w:t>
      </w:r>
      <w:r w:rsidRPr="00D4240A">
        <w:rPr>
          <w:rFonts w:ascii="Verdana" w:eastAsia="Calibri" w:hAnsi="Verdana" w:cs="Arial"/>
          <w:i/>
          <w:iCs/>
          <w:lang w:val="es-ES"/>
        </w:rPr>
        <w:t>entidades sometidas</w:t>
      </w:r>
      <w:r w:rsidRPr="00501E29">
        <w:rPr>
          <w:rFonts w:ascii="Verdana" w:eastAsia="Calibri" w:hAnsi="Verdana" w:cs="Arial"/>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501E29">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3888D102" w14:textId="77777777" w:rsidR="00BB0B29" w:rsidRPr="00501E29" w:rsidRDefault="00BB0B29" w:rsidP="00BB0B29">
      <w:pPr>
        <w:spacing w:after="120" w:line="276" w:lineRule="auto"/>
        <w:ind w:firstLine="709"/>
        <w:jc w:val="both"/>
        <w:rPr>
          <w:rFonts w:ascii="Verdana" w:hAnsi="Verdana" w:cs="Arial"/>
        </w:rPr>
      </w:pPr>
      <w:r w:rsidRPr="00501E29">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w:t>
      </w:r>
      <w:r>
        <w:rPr>
          <w:rFonts w:ascii="Verdana" w:hAnsi="Verdana" w:cs="Arial"/>
        </w:rPr>
        <w:t>tonomía de la voluntad” –art. 32</w:t>
      </w:r>
      <w:r w:rsidRPr="00501E29">
        <w:rPr>
          <w:rFonts w:ascii="Verdana" w:hAnsi="Verdana" w:cs="Arial"/>
        </w:rPr>
        <w:t>, inciso primero–. Asimismo, dispone que “Las estipulaciones de los contratos serán las que</w:t>
      </w:r>
      <w:r>
        <w:rPr>
          <w:rFonts w:ascii="Verdana" w:hAnsi="Verdana" w:cs="Arial"/>
        </w:rPr>
        <w:t>,</w:t>
      </w:r>
      <w:r w:rsidRPr="00501E29">
        <w:rPr>
          <w:rFonts w:ascii="Verdana" w:hAnsi="Verdana" w:cs="Arial"/>
        </w:rPr>
        <w:t xml:space="preserve"> de acuerdo con las normas civiles, </w:t>
      </w:r>
      <w:r w:rsidRPr="00501E29">
        <w:rPr>
          <w:rFonts w:ascii="Verdana" w:hAnsi="Verdana" w:cs="Arial"/>
        </w:rPr>
        <w:lastRenderedPageBreak/>
        <w:t>comerciales y las previstas en esta ley, correspondan a su esencia y naturaleza” –art. 40, inciso primero–.</w:t>
      </w:r>
    </w:p>
    <w:p w14:paraId="73C709E6" w14:textId="77777777" w:rsidR="00BB0B29" w:rsidRPr="00501E29" w:rsidRDefault="00BB0B29" w:rsidP="00BB0B29">
      <w:pPr>
        <w:spacing w:after="0" w:line="276" w:lineRule="auto"/>
        <w:ind w:firstLine="708"/>
        <w:jc w:val="both"/>
        <w:rPr>
          <w:rFonts w:ascii="Verdana" w:hAnsi="Verdana" w:cs="Arial"/>
        </w:rPr>
      </w:pPr>
      <w:r w:rsidRPr="00501E29">
        <w:rPr>
          <w:rFonts w:ascii="Verdana" w:hAnsi="Verdana" w:cs="Arial"/>
        </w:rPr>
        <w:t>De esta manera, los contratos de las entidades s</w:t>
      </w:r>
      <w:r>
        <w:rPr>
          <w:rFonts w:ascii="Verdana" w:hAnsi="Verdana" w:cs="Arial"/>
        </w:rPr>
        <w:t>ujetas</w:t>
      </w:r>
      <w:r w:rsidRPr="00501E29">
        <w:rPr>
          <w:rFonts w:ascii="Verdana" w:hAnsi="Verdana" w:cs="Arial"/>
        </w:rPr>
        <w:t xml:space="preserve"> al Estatuto General de Contratación se rigen generalmente por el derecho privado y excepcionalmente por el derecho público, pues las normas civiles y comerciales son el derecho común de los contratos estatales</w:t>
      </w:r>
      <w:r w:rsidRPr="00501E29">
        <w:rPr>
          <w:rStyle w:val="Refdenotaalpie"/>
          <w:rFonts w:ascii="Verdana" w:hAnsi="Verdana" w:cs="Arial"/>
        </w:rPr>
        <w:footnoteReference w:id="2"/>
      </w:r>
      <w:r w:rsidRPr="00501E29">
        <w:rPr>
          <w:rFonts w:ascii="Verdana" w:hAnsi="Verdana" w:cs="Arial"/>
        </w:rPr>
        <w:t>. Para la doctrina, la mixtura del régimen contractual:</w:t>
      </w:r>
    </w:p>
    <w:p w14:paraId="35D3A408" w14:textId="77777777" w:rsidR="00BB0B29" w:rsidRPr="00501E29" w:rsidRDefault="00BB0B29" w:rsidP="00BB0B29">
      <w:pPr>
        <w:spacing w:after="0" w:line="276" w:lineRule="auto"/>
        <w:ind w:firstLine="709"/>
        <w:jc w:val="both"/>
        <w:rPr>
          <w:rFonts w:ascii="Verdana" w:hAnsi="Verdana" w:cs="Arial"/>
        </w:rPr>
      </w:pPr>
    </w:p>
    <w:p w14:paraId="13489AE7" w14:textId="77777777" w:rsidR="00BB0B29" w:rsidRDefault="00BB0B29" w:rsidP="00BB0B29">
      <w:pPr>
        <w:spacing w:after="0" w:line="240" w:lineRule="auto"/>
        <w:ind w:left="709" w:right="709"/>
        <w:jc w:val="both"/>
        <w:rPr>
          <w:rFonts w:ascii="Verdana" w:hAnsi="Verdana" w:cs="Arial"/>
          <w:sz w:val="21"/>
          <w:szCs w:val="21"/>
        </w:rPr>
      </w:pPr>
      <w:r w:rsidRPr="00501E29">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636B5B25" w14:textId="77777777" w:rsidR="00BB0B29" w:rsidRDefault="00BB0B29" w:rsidP="00BB0B29">
      <w:pPr>
        <w:spacing w:after="0" w:line="240" w:lineRule="auto"/>
        <w:ind w:left="709" w:right="709"/>
        <w:jc w:val="both"/>
        <w:rPr>
          <w:rFonts w:ascii="Verdana" w:hAnsi="Verdana" w:cs="Arial"/>
          <w:sz w:val="21"/>
          <w:szCs w:val="21"/>
        </w:rPr>
      </w:pPr>
    </w:p>
    <w:p w14:paraId="2894825E" w14:textId="77777777" w:rsidR="00BB0B29" w:rsidRPr="000876F0" w:rsidRDefault="00BB0B29" w:rsidP="00BB0B29">
      <w:pPr>
        <w:spacing w:after="0" w:line="240" w:lineRule="auto"/>
        <w:ind w:left="709" w:right="709"/>
        <w:jc w:val="both"/>
        <w:rPr>
          <w:rFonts w:ascii="Verdana" w:hAnsi="Verdana" w:cs="Arial"/>
          <w:sz w:val="21"/>
          <w:szCs w:val="21"/>
        </w:rPr>
      </w:pPr>
      <w:r w:rsidRPr="00501E29">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501E29">
        <w:rPr>
          <w:rStyle w:val="Refdenotaalpie"/>
          <w:rFonts w:ascii="Verdana" w:hAnsi="Verdana" w:cs="Arial"/>
          <w:sz w:val="21"/>
          <w:szCs w:val="21"/>
        </w:rPr>
        <w:footnoteReference w:id="3"/>
      </w:r>
      <w:r w:rsidRPr="00501E29">
        <w:rPr>
          <w:rFonts w:ascii="Verdana" w:hAnsi="Verdana" w:cs="Arial"/>
          <w:sz w:val="21"/>
          <w:szCs w:val="21"/>
        </w:rPr>
        <w:t xml:space="preserve">. </w:t>
      </w:r>
    </w:p>
    <w:p w14:paraId="645A2783" w14:textId="77777777" w:rsidR="00BB0B29" w:rsidRPr="00501E29" w:rsidRDefault="00BB0B29" w:rsidP="00BB0B29">
      <w:pPr>
        <w:spacing w:after="0" w:line="276" w:lineRule="auto"/>
        <w:ind w:left="709" w:right="709"/>
        <w:jc w:val="both"/>
        <w:rPr>
          <w:rFonts w:ascii="Verdana" w:hAnsi="Verdana" w:cs="Arial"/>
        </w:rPr>
      </w:pPr>
      <w:r w:rsidRPr="00501E29">
        <w:rPr>
          <w:rFonts w:ascii="Verdana" w:hAnsi="Verdana" w:cs="Arial"/>
        </w:rPr>
        <w:t xml:space="preserve"> </w:t>
      </w:r>
    </w:p>
    <w:p w14:paraId="71AAC4D9" w14:textId="77777777" w:rsidR="00BB0B29" w:rsidRDefault="00BB0B29" w:rsidP="00BB0B29">
      <w:pPr>
        <w:spacing w:after="120" w:line="276" w:lineRule="auto"/>
        <w:jc w:val="both"/>
        <w:rPr>
          <w:rFonts w:ascii="Verdana" w:hAnsi="Verdana" w:cs="Arial"/>
        </w:rPr>
      </w:pPr>
      <w:r w:rsidRPr="00501E29">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3F4EA720" w14:textId="77777777" w:rsidR="00BB0B29" w:rsidRDefault="00BB0B29" w:rsidP="00BB0B29">
      <w:pPr>
        <w:spacing w:after="0" w:line="276" w:lineRule="auto"/>
        <w:jc w:val="both"/>
        <w:rPr>
          <w:rFonts w:ascii="Verdana" w:hAnsi="Verdana" w:cs="Arial"/>
        </w:rPr>
      </w:pPr>
    </w:p>
    <w:p w14:paraId="476E5EDA" w14:textId="77777777" w:rsidR="00BB0B29" w:rsidRDefault="00BB0B29" w:rsidP="00BB0B29">
      <w:pPr>
        <w:spacing w:after="0" w:line="276" w:lineRule="auto"/>
        <w:jc w:val="both"/>
        <w:rPr>
          <w:rFonts w:ascii="Verdana" w:hAnsi="Verdana" w:cs="Arial"/>
        </w:rPr>
      </w:pPr>
      <w:r>
        <w:rPr>
          <w:rFonts w:ascii="Verdana" w:hAnsi="Verdana" w:cs="Arial"/>
        </w:rPr>
        <w:lastRenderedPageBreak/>
        <w:t xml:space="preserve">ii. </w:t>
      </w: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etc.–</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no obsta para la existencia de </w:t>
      </w:r>
      <w:r w:rsidRPr="009D4B09">
        <w:rPr>
          <w:rFonts w:ascii="Verdana" w:hAnsi="Verdana" w:cs="Arial"/>
          <w:i/>
          <w:iCs/>
        </w:rPr>
        <w:t>contratos atípicos</w:t>
      </w:r>
      <w:r>
        <w:rPr>
          <w:rFonts w:ascii="Verdana" w:hAnsi="Verdana" w:cs="Arial"/>
        </w:rPr>
        <w:t>, pues –aunque no corresponden a un marco legal predefinido– en ellos obra con mayor alcance la libertad contractual. Como explica la doctrina:</w:t>
      </w:r>
    </w:p>
    <w:p w14:paraId="70399E12" w14:textId="77777777" w:rsidR="00BB0B29" w:rsidRDefault="00BB0B29" w:rsidP="00BB0B29">
      <w:pPr>
        <w:spacing w:after="0" w:line="276" w:lineRule="auto"/>
        <w:jc w:val="both"/>
        <w:rPr>
          <w:rFonts w:ascii="Verdana" w:hAnsi="Verdana" w:cs="Arial"/>
        </w:rPr>
      </w:pPr>
    </w:p>
    <w:p w14:paraId="6D720050" w14:textId="77777777" w:rsidR="00BB0B29" w:rsidRPr="005F70F5" w:rsidRDefault="00BB0B29" w:rsidP="00BB0B29">
      <w:pPr>
        <w:spacing w:after="0" w:line="240" w:lineRule="auto"/>
        <w:ind w:left="709" w:right="709"/>
        <w:jc w:val="both"/>
        <w:rPr>
          <w:rFonts w:ascii="Verdana" w:hAnsi="Verdana" w:cs="Arial"/>
          <w:sz w:val="21"/>
          <w:szCs w:val="21"/>
        </w:rPr>
      </w:pPr>
      <w:r w:rsidRPr="005F70F5">
        <w:rPr>
          <w:rFonts w:ascii="Verdana" w:hAnsi="Verdana" w:cs="Arial"/>
          <w:sz w:val="21"/>
          <w:szCs w:val="21"/>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Pr>
          <w:rStyle w:val="Refdenotaalpie"/>
          <w:rFonts w:ascii="Verdana" w:hAnsi="Verdana" w:cs="Arial"/>
          <w:sz w:val="21"/>
          <w:szCs w:val="21"/>
        </w:rPr>
        <w:footnoteReference w:id="4"/>
      </w:r>
      <w:r w:rsidRPr="005F70F5">
        <w:rPr>
          <w:rFonts w:ascii="Verdana" w:hAnsi="Verdana" w:cs="Arial"/>
          <w:sz w:val="21"/>
          <w:szCs w:val="21"/>
        </w:rPr>
        <w:t>.</w:t>
      </w:r>
    </w:p>
    <w:p w14:paraId="4982ECEE" w14:textId="77777777" w:rsidR="00BB0B29" w:rsidRDefault="00BB0B29" w:rsidP="00BB0B29">
      <w:pPr>
        <w:spacing w:after="0" w:line="276" w:lineRule="auto"/>
        <w:jc w:val="both"/>
        <w:rPr>
          <w:rFonts w:ascii="Verdana" w:hAnsi="Verdana" w:cs="Arial"/>
        </w:rPr>
      </w:pPr>
    </w:p>
    <w:p w14:paraId="3EC847A5" w14:textId="77777777" w:rsidR="00BB0B29" w:rsidRPr="00D239E3" w:rsidRDefault="00BB0B29" w:rsidP="00BB0B29">
      <w:pPr>
        <w:spacing w:line="276" w:lineRule="auto"/>
        <w:ind w:firstLine="567"/>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w:t>
      </w:r>
      <w:bookmarkStart w:id="2" w:name="_Hlk81430928"/>
      <w:r w:rsidRPr="005F70F5">
        <w:rPr>
          <w:rFonts w:ascii="Verdana" w:eastAsia="Calibri" w:hAnsi="Verdana"/>
          <w:color w:val="000000" w:themeColor="text1"/>
          <w:lang w:val="es-ES_tradnl"/>
        </w:rPr>
        <w:t xml:space="preserve">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bookmarkEnd w:id="2"/>
      <w:r w:rsidRPr="00D239E3">
        <w:rPr>
          <w:rFonts w:ascii="Verdana" w:eastAsia="Calibri" w:hAnsi="Verdana"/>
          <w:color w:val="000000" w:themeColor="text1"/>
          <w:lang w:val="es-ES_tradnl"/>
        </w:rPr>
        <w:t>”</w:t>
      </w:r>
      <w:r w:rsidRPr="00D239E3">
        <w:rPr>
          <w:rStyle w:val="Refdenotaalpie"/>
          <w:rFonts w:ascii="Verdana" w:eastAsia="Calibri" w:hAnsi="Verdana"/>
          <w:color w:val="000000" w:themeColor="text1"/>
          <w:lang w:val="es-ES_tradnl"/>
        </w:rPr>
        <w:footnoteReference w:id="5"/>
      </w:r>
      <w:r w:rsidRPr="00D239E3">
        <w:rPr>
          <w:rFonts w:ascii="Verdana" w:eastAsia="Calibri" w:hAnsi="Verdana"/>
          <w:color w:val="000000" w:themeColor="text1"/>
          <w:lang w:val="es-ES_tradnl"/>
        </w:rPr>
        <w:t xml:space="preserve">. </w:t>
      </w:r>
    </w:p>
    <w:p w14:paraId="24714EF9" w14:textId="77777777" w:rsidR="00BB0B29" w:rsidRDefault="00BB0B29" w:rsidP="00BB0B29">
      <w:pPr>
        <w:spacing w:before="120" w:line="276" w:lineRule="auto"/>
        <w:ind w:firstLine="708"/>
        <w:jc w:val="both"/>
        <w:rPr>
          <w:rFonts w:ascii="Verdana" w:eastAsia="Calibri" w:hAnsi="Verdana"/>
          <w:color w:val="000000" w:themeColor="text1"/>
          <w:lang w:val="es-ES_tradnl"/>
        </w:rPr>
      </w:pPr>
      <w:r w:rsidRPr="00D239E3">
        <w:rPr>
          <w:rFonts w:ascii="Verdana" w:eastAsia="Calibri" w:hAnsi="Verdana"/>
          <w:color w:val="000000" w:themeColor="text1"/>
        </w:rPr>
        <w:t xml:space="preserve">En este contexto, es importante diferenciar los </w:t>
      </w:r>
      <w:r>
        <w:rPr>
          <w:rFonts w:ascii="Verdana" w:eastAsia="Calibri" w:hAnsi="Verdana"/>
          <w:color w:val="000000" w:themeColor="text1"/>
          <w:sz w:val="20"/>
          <w:szCs w:val="20"/>
        </w:rPr>
        <w:t>“</w:t>
      </w:r>
      <w:r w:rsidRPr="00D239E3">
        <w:rPr>
          <w:rFonts w:ascii="Verdana" w:eastAsia="Calibri" w:hAnsi="Verdana"/>
          <w:color w:val="000000" w:themeColor="text1"/>
        </w:rPr>
        <w:t>contratos mixtos</w:t>
      </w:r>
      <w:r>
        <w:rPr>
          <w:rFonts w:ascii="Verdana" w:eastAsia="Calibri" w:hAnsi="Verdana"/>
          <w:color w:val="000000" w:themeColor="text1"/>
        </w:rPr>
        <w:t>”</w:t>
      </w:r>
      <w:r w:rsidRPr="00D239E3">
        <w:rPr>
          <w:rFonts w:ascii="Verdana" w:eastAsia="Calibri" w:hAnsi="Verdana"/>
          <w:color w:val="000000" w:themeColor="text1"/>
        </w:rPr>
        <w:t xml:space="preserve"> de las </w:t>
      </w:r>
      <w:r>
        <w:rPr>
          <w:rFonts w:ascii="Verdana" w:eastAsia="Calibri" w:hAnsi="Verdana"/>
          <w:color w:val="000000" w:themeColor="text1"/>
        </w:rPr>
        <w:t>“</w:t>
      </w:r>
      <w:r w:rsidRPr="00D239E3">
        <w:rPr>
          <w:rFonts w:ascii="Verdana" w:eastAsia="Calibri" w:hAnsi="Verdana"/>
          <w:color w:val="000000" w:themeColor="text1"/>
        </w:rPr>
        <w:t>uniones de contratos</w:t>
      </w:r>
      <w:r>
        <w:rPr>
          <w:rFonts w:ascii="Verdana" w:eastAsia="Calibri" w:hAnsi="Verdana"/>
          <w:color w:val="000000" w:themeColor="text1"/>
        </w:rPr>
        <w:t>”</w:t>
      </w:r>
      <w:r w:rsidRPr="00D239E3">
        <w:rPr>
          <w:rFonts w:ascii="Verdana" w:eastAsia="Calibri" w:hAnsi="Verdana"/>
          <w:color w:val="000000" w:themeColor="text1"/>
        </w:rPr>
        <w:t xml:space="preserve">. En el </w:t>
      </w:r>
      <w:r w:rsidRPr="00D239E3">
        <w:rPr>
          <w:rFonts w:ascii="Verdana" w:eastAsia="Calibri" w:hAnsi="Verdana"/>
          <w:i/>
          <w:iCs/>
          <w:color w:val="000000" w:themeColor="text1"/>
        </w:rPr>
        <w:t>contrato mixto</w:t>
      </w:r>
      <w:r w:rsidRPr="00D239E3">
        <w:rPr>
          <w:rFonts w:ascii="Verdana" w:eastAsia="Calibri" w:hAnsi="Verdana"/>
          <w:color w:val="000000" w:themeColor="text1"/>
        </w:rPr>
        <w:t xml:space="preserve"> existe un solo acuerdo con </w:t>
      </w:r>
      <w:r w:rsidRPr="00D239E3">
        <w:rPr>
          <w:rFonts w:ascii="Verdana" w:eastAsia="Calibri" w:hAnsi="Verdana"/>
          <w:color w:val="000000" w:themeColor="text1"/>
        </w:rPr>
        <w:lastRenderedPageBreak/>
        <w:t xml:space="preserve">elementos de diversos tipos de contrato, mientras que en las </w:t>
      </w:r>
      <w:r w:rsidRPr="00D239E3">
        <w:rPr>
          <w:rFonts w:ascii="Verdana" w:eastAsia="Calibri" w:hAnsi="Verdana"/>
          <w:i/>
          <w:iCs/>
          <w:color w:val="000000" w:themeColor="text1"/>
        </w:rPr>
        <w:t>uniones de contrato</w:t>
      </w:r>
      <w:r w:rsidRPr="00D239E3">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Pr>
          <w:rFonts w:ascii="Verdana" w:eastAsia="Calibri" w:hAnsi="Verdana"/>
          <w:color w:val="000000" w:themeColor="text1"/>
          <w:sz w:val="20"/>
          <w:szCs w:val="20"/>
        </w:rPr>
        <w:t>“</w:t>
      </w:r>
      <w:r w:rsidRPr="00D239E3">
        <w:rPr>
          <w:rFonts w:ascii="Verdana" w:eastAsia="Calibri" w:hAnsi="Verdana"/>
          <w:color w:val="000000" w:themeColor="text1"/>
        </w:rPr>
        <w:t>contrato mixto</w:t>
      </w:r>
      <w:r>
        <w:rPr>
          <w:rFonts w:ascii="Verdana" w:eastAsia="Calibri" w:hAnsi="Verdana"/>
          <w:color w:val="000000" w:themeColor="text1"/>
        </w:rPr>
        <w:t>”</w:t>
      </w:r>
      <w:r w:rsidRPr="00D239E3">
        <w:rPr>
          <w:rFonts w:ascii="Verdana" w:eastAsia="Calibri" w:hAnsi="Verdana"/>
          <w:color w:val="000000" w:themeColor="text1"/>
        </w:rPr>
        <w:t xml:space="preserve">; de lo contrario, es una </w:t>
      </w:r>
      <w:r>
        <w:rPr>
          <w:rFonts w:ascii="Verdana" w:eastAsia="Calibri" w:hAnsi="Verdana"/>
          <w:color w:val="000000" w:themeColor="text1"/>
        </w:rPr>
        <w:t>“</w:t>
      </w:r>
      <w:r w:rsidRPr="00D239E3">
        <w:rPr>
          <w:rFonts w:ascii="Verdana" w:eastAsia="Calibri" w:hAnsi="Verdana"/>
          <w:color w:val="000000" w:themeColor="text1"/>
        </w:rPr>
        <w:t>unión de contratos</w:t>
      </w:r>
      <w:r>
        <w:rPr>
          <w:rFonts w:ascii="Verdana" w:eastAsia="Calibri" w:hAnsi="Verdana"/>
          <w:color w:val="000000" w:themeColor="text1"/>
        </w:rPr>
        <w:t>”</w:t>
      </w:r>
      <w:r w:rsidRPr="00D239E3">
        <w:rPr>
          <w:rStyle w:val="Refdenotaalpie"/>
          <w:rFonts w:ascii="Verdana" w:eastAsia="Calibri" w:hAnsi="Verdana"/>
          <w:color w:val="000000" w:themeColor="text1"/>
        </w:rPr>
        <w:footnoteReference w:id="6"/>
      </w:r>
      <w:r w:rsidRPr="00D239E3">
        <w:rPr>
          <w:rFonts w:ascii="Verdana" w:eastAsia="Calibri" w:hAnsi="Verdana"/>
          <w:color w:val="000000" w:themeColor="text1"/>
        </w:rPr>
        <w:t>.</w:t>
      </w:r>
      <w:r w:rsidRPr="00D239E3">
        <w:rPr>
          <w:rFonts w:ascii="Verdana" w:eastAsia="Calibri" w:hAnsi="Verdana"/>
          <w:color w:val="000000" w:themeColor="text1"/>
          <w:lang w:val="es-ES_tradnl"/>
        </w:rPr>
        <w:t xml:space="preserve"> </w:t>
      </w:r>
    </w:p>
    <w:p w14:paraId="29EF6B9E" w14:textId="77777777" w:rsidR="00BB0B29" w:rsidRDefault="00BB0B29" w:rsidP="00BB0B29">
      <w:pPr>
        <w:spacing w:before="12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Más allá de la tipicidad o no del negocio, es necesario tener en cuenta que la capacidad contractual para</w:t>
      </w:r>
      <w:r>
        <w:rPr>
          <w:rFonts w:ascii="Verdana" w:eastAsia="Calibri" w:hAnsi="Verdana"/>
          <w:color w:val="000000" w:themeColor="text1"/>
          <w:lang w:val="es-ES"/>
        </w:rPr>
        <w:t xml:space="preserve"> celebrar contratos estatales está</w:t>
      </w:r>
      <w:r w:rsidRPr="21328DCE">
        <w:rPr>
          <w:rFonts w:ascii="Verdana" w:eastAsia="Calibri" w:hAnsi="Verdana"/>
          <w:color w:val="000000" w:themeColor="text1"/>
          <w:lang w:val="es-ES"/>
        </w:rPr>
        <w:t xml:space="preserve">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w:t>
      </w:r>
      <w:r>
        <w:rPr>
          <w:rFonts w:ascii="Verdana" w:eastAsia="Calibri" w:hAnsi="Verdana"/>
          <w:color w:val="000000" w:themeColor="text1"/>
          <w:lang w:val="es-ES"/>
        </w:rPr>
        <w:t>nsorcios y uniones temporales”.</w:t>
      </w:r>
    </w:p>
    <w:p w14:paraId="610058F9" w14:textId="3F6C353D" w:rsidR="00BB0B29" w:rsidRDefault="00BB0B29" w:rsidP="00BB0B29">
      <w:pPr>
        <w:spacing w:before="120" w:line="276" w:lineRule="auto"/>
        <w:ind w:firstLine="708"/>
        <w:jc w:val="both"/>
        <w:rPr>
          <w:rFonts w:ascii="Verdana" w:eastAsia="Calibri" w:hAnsi="Verdana"/>
          <w:color w:val="000000" w:themeColor="text1"/>
        </w:rPr>
      </w:pPr>
      <w:r w:rsidRPr="21328DCE">
        <w:rPr>
          <w:rFonts w:ascii="Verdana" w:eastAsia="Calibri" w:hAnsi="Verdana"/>
          <w:color w:val="000000" w:themeColor="text1"/>
        </w:rPr>
        <w:t xml:space="preserve">Asimismo, para efectos de individualizar sus requisitos esenciales, el artículo 1501 del Código Civil dispone que corresponden a “[…] aquellas cosas sin las cuales, o no produce efecto alguno, o degeneran </w:t>
      </w:r>
      <w:r w:rsidR="00383D44">
        <w:rPr>
          <w:rFonts w:ascii="Verdana" w:eastAsia="Calibri" w:hAnsi="Verdana"/>
          <w:color w:val="000000" w:themeColor="text1"/>
        </w:rPr>
        <w:t>en otro contrato diferente […]”</w:t>
      </w:r>
      <w:r w:rsidRPr="21328DCE">
        <w:rPr>
          <w:rFonts w:ascii="Verdana" w:eastAsia="Calibri" w:hAnsi="Verdana"/>
          <w:color w:val="000000" w:themeColor="text1"/>
        </w:rPr>
        <w:t>.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21328DCE">
        <w:rPr>
          <w:rStyle w:val="Refdenotaalpie"/>
          <w:rFonts w:ascii="Verdana" w:eastAsia="Calibri" w:hAnsi="Verdana"/>
          <w:color w:val="000000" w:themeColor="text1"/>
        </w:rPr>
        <w:footnoteReference w:id="7"/>
      </w:r>
      <w:r w:rsidRPr="21328DCE">
        <w:rPr>
          <w:rFonts w:ascii="Verdana" w:eastAsia="Calibri" w:hAnsi="Verdana"/>
          <w:color w:val="000000" w:themeColor="text1"/>
        </w:rPr>
        <w:t xml:space="preserve">. </w:t>
      </w:r>
    </w:p>
    <w:p w14:paraId="65623AB9" w14:textId="77777777" w:rsidR="00BB0B29" w:rsidRDefault="00BB0B29" w:rsidP="00BB0B29">
      <w:pPr>
        <w:spacing w:after="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21328DCE">
        <w:rPr>
          <w:rFonts w:ascii="Verdana" w:eastAsia="Calibri" w:hAnsi="Verdana"/>
          <w:i/>
          <w:color w:val="000000" w:themeColor="text1"/>
          <w:lang w:val="es-ES"/>
        </w:rPr>
        <w:t>ibídem</w:t>
      </w:r>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w:t>
      </w:r>
      <w:r w:rsidRPr="21328DCE">
        <w:rPr>
          <w:rFonts w:ascii="Verdana" w:eastAsia="Calibri" w:hAnsi="Verdana"/>
          <w:color w:val="000000" w:themeColor="text1"/>
          <w:lang w:val="es-ES"/>
        </w:rPr>
        <w:lastRenderedPageBreak/>
        <w:t>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0473A520" w14:textId="77777777" w:rsidR="00BB0B29" w:rsidRDefault="00BB0B29" w:rsidP="00BB0B29">
      <w:pPr>
        <w:spacing w:after="0" w:line="276" w:lineRule="auto"/>
        <w:jc w:val="both"/>
        <w:rPr>
          <w:rFonts w:ascii="Verdana" w:eastAsia="Calibri" w:hAnsi="Verdana" w:cs="Arial"/>
        </w:rPr>
      </w:pPr>
    </w:p>
    <w:p w14:paraId="63926EE6" w14:textId="77777777" w:rsidR="00BB0B29" w:rsidRDefault="00BB0B29" w:rsidP="00BB0B29">
      <w:pPr>
        <w:spacing w:after="120" w:line="276" w:lineRule="auto"/>
        <w:jc w:val="both"/>
        <w:rPr>
          <w:rFonts w:ascii="Verdana" w:eastAsia="Calibri" w:hAnsi="Verdana" w:cs="Arial"/>
        </w:rPr>
      </w:pPr>
      <w:r>
        <w:rPr>
          <w:rFonts w:ascii="Verdana" w:eastAsia="Calibri" w:hAnsi="Verdana" w:cs="Arial"/>
        </w:rPr>
        <w:t>iv. De acuerdo a lo expuesto, los contratos estatales de entidades sometidas al EGCAP existen cuando se cumplen los tres elementos: objeto, contraprestación y la solemnidad por escrito. En efecto, el contrato como manifestación del principio de autonomía de la voluntad tiene como propósito acordar los derechos y obligaciones de las partes, que deben ser válidas, que implica el reconocimiento de los requisitos prescritos en el artículo 1502 del Código Civil</w:t>
      </w:r>
      <w:r>
        <w:rPr>
          <w:rStyle w:val="Refdenotaalpie"/>
          <w:rFonts w:ascii="Verdana" w:eastAsia="Calibri" w:hAnsi="Verdana" w:cs="Arial"/>
        </w:rPr>
        <w:footnoteReference w:id="8"/>
      </w:r>
      <w:r>
        <w:rPr>
          <w:rFonts w:ascii="Verdana" w:eastAsia="Calibri" w:hAnsi="Verdana" w:cs="Arial"/>
        </w:rPr>
        <w:t>. Dichos elementos de validez son la capacidad, el consentimiento, el objeto ilícito y la causa ilícita, sin perjuicio del deber de planeación planteada por la Doctrina</w:t>
      </w:r>
      <w:r>
        <w:rPr>
          <w:rStyle w:val="Refdenotaalpie"/>
          <w:rFonts w:ascii="Verdana" w:eastAsia="Calibri" w:hAnsi="Verdana" w:cs="Arial"/>
        </w:rPr>
        <w:footnoteReference w:id="9"/>
      </w:r>
      <w:r>
        <w:rPr>
          <w:rFonts w:ascii="Verdana" w:eastAsia="Calibri" w:hAnsi="Verdana" w:cs="Arial"/>
        </w:rPr>
        <w:t xml:space="preserve">. </w:t>
      </w:r>
    </w:p>
    <w:p w14:paraId="03B56931" w14:textId="77777777" w:rsidR="00BB0B29" w:rsidRDefault="00BB0B29" w:rsidP="00BB0B29">
      <w:pPr>
        <w:spacing w:after="120" w:line="276" w:lineRule="auto"/>
        <w:jc w:val="both"/>
        <w:rPr>
          <w:rFonts w:ascii="Verdana" w:eastAsia="Calibri" w:hAnsi="Verdana" w:cs="Arial"/>
        </w:rPr>
      </w:pPr>
      <w:r>
        <w:rPr>
          <w:rFonts w:ascii="Verdana" w:eastAsia="Calibri" w:hAnsi="Verdana" w:cs="Arial"/>
        </w:rPr>
        <w:tab/>
        <w:t xml:space="preserve">Ahora bien, revisando los elementos de existencia y validez de los contratos no se afectan por la transformación o cambio de la naturaleza jurídica de la entidad, como es el caso de pasar de un área metropolitana a un distrito metropolitano ni tampoco afecta en la numeración de los códigos o números de contratos en ejecución que se establecen dentro de la entidad. </w:t>
      </w:r>
    </w:p>
    <w:p w14:paraId="61912509" w14:textId="77777777" w:rsidR="00BB0B29" w:rsidRPr="005F1284" w:rsidRDefault="00BB0B29" w:rsidP="00BB0B29">
      <w:pPr>
        <w:spacing w:after="120" w:line="276" w:lineRule="auto"/>
        <w:jc w:val="both"/>
        <w:rPr>
          <w:rFonts w:ascii="Verdana" w:eastAsia="Calibri" w:hAnsi="Verdana" w:cs="Arial"/>
        </w:rPr>
      </w:pPr>
      <w:r>
        <w:rPr>
          <w:rFonts w:ascii="Verdana" w:eastAsia="Calibri" w:hAnsi="Verdana" w:cs="Arial"/>
        </w:rPr>
        <w:tab/>
        <w:t>Al respecto, se destaca el artículo 35 de la Ley 1625 de 2013</w:t>
      </w:r>
      <w:r>
        <w:rPr>
          <w:rStyle w:val="Refdenotaalpie"/>
          <w:rFonts w:ascii="Verdana" w:eastAsia="Calibri" w:hAnsi="Verdana" w:cs="Arial"/>
        </w:rPr>
        <w:footnoteReference w:id="10"/>
      </w:r>
      <w:r>
        <w:rPr>
          <w:rFonts w:ascii="Verdana" w:eastAsia="Calibri" w:hAnsi="Verdana" w:cs="Arial"/>
        </w:rPr>
        <w:t xml:space="preserve"> que dispone que las áreas metropolitanas pueden convertirse en Distritos, si así lo aprueban </w:t>
      </w:r>
      <w:r>
        <w:rPr>
          <w:rFonts w:ascii="Verdana" w:eastAsia="Calibri" w:hAnsi="Verdana" w:cs="Arial"/>
        </w:rPr>
        <w:lastRenderedPageBreak/>
        <w:t xml:space="preserve">en consulta popular y cumpliendo una serie de requisitos. En este supuesto, los municipios integrantes del Área Metropolitana desaparecen como entidades territoriales y quedan sujetos a las </w:t>
      </w:r>
      <w:r w:rsidRPr="005F1284">
        <w:rPr>
          <w:rFonts w:ascii="Verdana" w:eastAsia="Calibri" w:hAnsi="Verdana" w:cs="Arial"/>
        </w:rPr>
        <w:t>normas constitucionales y legales vigentes para</w:t>
      </w:r>
      <w:r>
        <w:rPr>
          <w:rFonts w:ascii="Verdana" w:eastAsia="Calibri" w:hAnsi="Verdana" w:cs="Arial"/>
        </w:rPr>
        <w:t xml:space="preserve"> las localidades, de acuerdo</w:t>
      </w:r>
      <w:r w:rsidRPr="005F1284">
        <w:rPr>
          <w:rFonts w:ascii="Verdana" w:eastAsia="Calibri" w:hAnsi="Verdana" w:cs="Arial"/>
        </w:rPr>
        <w:t xml:space="preserve"> con el régimen que a ella se aplica e</w:t>
      </w:r>
      <w:r>
        <w:rPr>
          <w:rFonts w:ascii="Verdana" w:eastAsia="Calibri" w:hAnsi="Verdana" w:cs="Arial"/>
        </w:rPr>
        <w:t xml:space="preserve">n el Distrito Capital de Bogotá. </w:t>
      </w:r>
    </w:p>
    <w:p w14:paraId="1846B8DE" w14:textId="77777777" w:rsidR="00BB0B29" w:rsidRDefault="00BB0B29" w:rsidP="00BB0B29">
      <w:pPr>
        <w:spacing w:after="120" w:line="276" w:lineRule="auto"/>
        <w:jc w:val="both"/>
        <w:rPr>
          <w:rFonts w:ascii="Verdana" w:eastAsia="Calibri" w:hAnsi="Verdana" w:cs="Arial"/>
        </w:rPr>
      </w:pPr>
      <w:r>
        <w:rPr>
          <w:rFonts w:ascii="Verdana" w:eastAsia="Calibri" w:hAnsi="Verdana" w:cs="Arial"/>
        </w:rPr>
        <w:tab/>
        <w:t xml:space="preserve">No obstante, es pertinente analizar la transformación de la entidad y cómo puede impactar en el cumplimiento de las obligaciones contractuales vigentes. </w:t>
      </w:r>
      <w:r w:rsidRPr="00415226">
        <w:rPr>
          <w:rFonts w:ascii="Verdana" w:eastAsia="Calibri" w:hAnsi="Verdana" w:cs="Arial"/>
        </w:rPr>
        <w:t xml:space="preserve">La nueva entidad, en principio, es responsable de los contratos celebrados </w:t>
      </w:r>
      <w:r>
        <w:rPr>
          <w:rFonts w:ascii="Verdana" w:eastAsia="Calibri" w:hAnsi="Verdana" w:cs="Arial"/>
        </w:rPr>
        <w:t xml:space="preserve">y que están en ejecución, salvo que </w:t>
      </w:r>
      <w:r w:rsidRPr="00415226">
        <w:rPr>
          <w:rFonts w:ascii="Verdana" w:eastAsia="Calibri" w:hAnsi="Verdana" w:cs="Arial"/>
        </w:rPr>
        <w:t>se establezcan disposiciones espe</w:t>
      </w:r>
      <w:r>
        <w:rPr>
          <w:rFonts w:ascii="Verdana" w:eastAsia="Calibri" w:hAnsi="Verdana" w:cs="Arial"/>
        </w:rPr>
        <w:t xml:space="preserve">ciales </w:t>
      </w:r>
      <w:r w:rsidRPr="00415226">
        <w:rPr>
          <w:rFonts w:ascii="Verdana" w:eastAsia="Calibri" w:hAnsi="Verdana" w:cs="Arial"/>
        </w:rPr>
        <w:t xml:space="preserve">en </w:t>
      </w:r>
      <w:r>
        <w:rPr>
          <w:rFonts w:ascii="Verdana" w:eastAsia="Calibri" w:hAnsi="Verdana" w:cs="Arial"/>
        </w:rPr>
        <w:t xml:space="preserve">la normativa de </w:t>
      </w:r>
      <w:r w:rsidRPr="00415226">
        <w:rPr>
          <w:rFonts w:ascii="Verdana" w:eastAsia="Calibri" w:hAnsi="Verdana" w:cs="Arial"/>
        </w:rPr>
        <w:t>transformación que limiten o transfieran dicha responsabilidad.</w:t>
      </w:r>
      <w:r w:rsidRPr="00280DF4">
        <w:rPr>
          <w:rFonts w:ascii="Verdana" w:eastAsia="Calibri" w:hAnsi="Verdana" w:cs="Arial"/>
        </w:rPr>
        <w:t xml:space="preserve"> </w:t>
      </w:r>
      <w:r>
        <w:rPr>
          <w:rFonts w:ascii="Verdana" w:eastAsia="Calibri" w:hAnsi="Verdana" w:cs="Arial"/>
        </w:rPr>
        <w:t xml:space="preserve">En principio, la transformación de una entidad </w:t>
      </w:r>
      <w:r w:rsidRPr="00280DF4">
        <w:rPr>
          <w:rFonts w:ascii="Verdana" w:eastAsia="Calibri" w:hAnsi="Verdana" w:cs="Arial"/>
        </w:rPr>
        <w:t xml:space="preserve">no la exime de cumplir con </w:t>
      </w:r>
      <w:r>
        <w:rPr>
          <w:rFonts w:ascii="Verdana" w:eastAsia="Calibri" w:hAnsi="Verdana" w:cs="Arial"/>
        </w:rPr>
        <w:t xml:space="preserve">las diferentes </w:t>
      </w:r>
      <w:r w:rsidRPr="00280DF4">
        <w:rPr>
          <w:rFonts w:ascii="Verdana" w:eastAsia="Calibri" w:hAnsi="Verdana" w:cs="Arial"/>
        </w:rPr>
        <w:t>obligaciones adquiridas y que se encuentran pendientes. </w:t>
      </w:r>
    </w:p>
    <w:p w14:paraId="6C2ED405" w14:textId="77777777" w:rsidR="00BB0B29" w:rsidRPr="006B14B5" w:rsidRDefault="00BB0B29" w:rsidP="00BB0B29">
      <w:pPr>
        <w:spacing w:after="120" w:line="276" w:lineRule="auto"/>
        <w:ind w:firstLine="708"/>
        <w:jc w:val="both"/>
        <w:rPr>
          <w:rFonts w:ascii="Verdana" w:eastAsia="Calibri" w:hAnsi="Verdana" w:cs="Arial"/>
          <w:lang w:val="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bookmarkEnd w:id="1"/>
    <w:p w14:paraId="5B88A692" w14:textId="77777777" w:rsidR="00BB0B29" w:rsidRPr="000974AC" w:rsidRDefault="00BB0B29" w:rsidP="00BB0B29">
      <w:pPr>
        <w:spacing w:after="0" w:line="276" w:lineRule="auto"/>
        <w:jc w:val="both"/>
        <w:rPr>
          <w:rFonts w:ascii="Verdana" w:eastAsia="Calibri" w:hAnsi="Verdana" w:cs="Arial"/>
          <w:lang w:val="es-ES" w:eastAsia="es-MX"/>
        </w:rPr>
      </w:pPr>
    </w:p>
    <w:p w14:paraId="246B1877" w14:textId="77777777" w:rsidR="00BB0B29" w:rsidRPr="008853C1" w:rsidRDefault="00BB0B29" w:rsidP="00BB0B29">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3B965683" w14:textId="77777777" w:rsidR="00BB0B29" w:rsidRPr="00803997" w:rsidRDefault="00BB0B29" w:rsidP="00BB0B29">
      <w:pPr>
        <w:widowControl w:val="0"/>
        <w:autoSpaceDE w:val="0"/>
        <w:autoSpaceDN w:val="0"/>
        <w:spacing w:after="0" w:line="276" w:lineRule="auto"/>
        <w:jc w:val="both"/>
        <w:rPr>
          <w:rFonts w:ascii="Verdana" w:hAnsi="Verdana" w:cs="Arial"/>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B0B29" w:rsidRPr="00E2397D" w14:paraId="5F7CF45A" w14:textId="77777777" w:rsidTr="00E66441">
        <w:trPr>
          <w:trHeight w:val="856"/>
          <w:jc w:val="center"/>
        </w:trPr>
        <w:tc>
          <w:tcPr>
            <w:tcW w:w="8647" w:type="dxa"/>
          </w:tcPr>
          <w:p w14:paraId="1181ABCC" w14:textId="77777777" w:rsidR="00BB0B29" w:rsidRPr="003D2762" w:rsidRDefault="00BB0B29" w:rsidP="00BB0B29">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3D2762">
              <w:rPr>
                <w:rFonts w:ascii="Verdana" w:eastAsia="Arial MT" w:hAnsi="Verdana" w:cs="Arial"/>
                <w:lang w:val="es-ES" w:eastAsia="es-ES" w:bidi="es-ES"/>
              </w:rPr>
              <w:t xml:space="preserve">Código Civil, artículo 1501. </w:t>
            </w:r>
          </w:p>
          <w:p w14:paraId="36A85A2C" w14:textId="77777777" w:rsidR="00BB0B29" w:rsidRPr="003D2762" w:rsidRDefault="00BB0B29" w:rsidP="00BB0B29">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3D2762">
              <w:rPr>
                <w:rFonts w:ascii="Verdana" w:eastAsia="Arial MT" w:hAnsi="Verdana" w:cs="Arial"/>
                <w:lang w:val="es-ES" w:eastAsia="es-ES" w:bidi="es-ES"/>
              </w:rPr>
              <w:t xml:space="preserve">Ley 80 de 1993, artículos 6, 13, 32, 39, 40 y 41. </w:t>
            </w:r>
          </w:p>
          <w:p w14:paraId="73981223" w14:textId="77777777" w:rsidR="00BB0B29" w:rsidRDefault="00BB0B29" w:rsidP="00BB0B29">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Pr>
                <w:rFonts w:ascii="Verdana" w:eastAsia="Calibri" w:hAnsi="Verdana" w:cs="Arial"/>
                <w:lang w:val="es-ES"/>
              </w:rPr>
              <w:t xml:space="preserve">Ley 1625 de 2013, artículo 35. </w:t>
            </w:r>
          </w:p>
          <w:p w14:paraId="2BFCC5D9" w14:textId="77777777" w:rsidR="00BB0B29"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CONSEJO DE ESTADO. Sala de Consulta y Servicio Civil. Concepto del 5 de septiembre de 2018. Rad. 2.386. C.P. Edgar González López.</w:t>
            </w:r>
          </w:p>
          <w:p w14:paraId="1B3ED67F"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ARRUBLA PAUCAR, Jaime Alberto. Contratos mercantiles: contratos atípicos. Octava edición. Bogotá: Legis, 2015.</w:t>
            </w:r>
          </w:p>
          <w:p w14:paraId="54B7969C"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lastRenderedPageBreak/>
              <w:t xml:space="preserve">BENAVIDES, José Luis. El contrato estatal: entre el derecho público y el derecho privado. Segunda edición. Bogotá: Universidad Externado de Colombia, 2009. pp. 78-79.      </w:t>
            </w:r>
          </w:p>
          <w:p w14:paraId="2219BBA9"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 xml:space="preserve">BETANCUR JARAMILLO, Carlos. Derecho procesal administrativo. Octava edición. Medellín: Señal Editora, 2013. p. 627. </w:t>
            </w:r>
          </w:p>
          <w:p w14:paraId="504105D4"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EXPÓSITO VÉLEZ, Juan Carlos. Forma y contenido del contrato estatal. Bogotá: Universid</w:t>
            </w:r>
            <w:r>
              <w:rPr>
                <w:rFonts w:ascii="Verdana" w:eastAsia="Calibri" w:hAnsi="Verdana" w:cs="Arial"/>
                <w:lang w:val="es-ES"/>
              </w:rPr>
              <w:t>ad Externado de Colombia, 2013.</w:t>
            </w:r>
          </w:p>
          <w:p w14:paraId="69898223"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OSPINA FERNÁNDEZ, Guillermo &amp; OSPINA ACOSTA, Eduardo. Teoría General del Contrato y del Negocio Jurídico. Séptima edición. Bogotá: Temis, 2021. p. 50.</w:t>
            </w:r>
          </w:p>
          <w:p w14:paraId="5B5256AC"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 xml:space="preserve">SÁNCHEZ TRUJILLO, Juan Pablo. Completitud de la oferta del contrato atípico: elementos esenciales del contrato atípico como requisito de delimitación del objeto de la oferta mercantil. Consultado el 11 de noviembre de 2024 en la página web https://revistas.udea.edu.co/index.php/derypol/article/view/331285/20790715. </w:t>
            </w:r>
          </w:p>
          <w:p w14:paraId="00D3FC26" w14:textId="77777777" w:rsidR="00BB0B29" w:rsidRPr="00803997" w:rsidRDefault="00BB0B29" w:rsidP="00BB0B29">
            <w:pPr>
              <w:widowControl w:val="0"/>
              <w:numPr>
                <w:ilvl w:val="0"/>
                <w:numId w:val="20"/>
              </w:numPr>
              <w:autoSpaceDE w:val="0"/>
              <w:autoSpaceDN w:val="0"/>
              <w:spacing w:after="120" w:line="276" w:lineRule="auto"/>
              <w:jc w:val="both"/>
              <w:rPr>
                <w:rFonts w:ascii="Verdana" w:eastAsia="Calibri" w:hAnsi="Verdana" w:cs="Arial"/>
                <w:lang w:val="es-ES"/>
              </w:rPr>
            </w:pPr>
            <w:r w:rsidRPr="00803997">
              <w:rPr>
                <w:rFonts w:ascii="Verdana" w:eastAsia="Calibri" w:hAnsi="Verdana" w:cs="Arial"/>
                <w:lang w:val="es-ES"/>
              </w:rPr>
              <w:t>SUÁREZ BELTRÁN, Gonzalo. Estudios de derecho público contractual: Bogotá: Legis, 2014.</w:t>
            </w:r>
          </w:p>
        </w:tc>
      </w:tr>
    </w:tbl>
    <w:p w14:paraId="57B70387" w14:textId="77777777" w:rsidR="00BB0B29" w:rsidRPr="00E2397D" w:rsidRDefault="00BB0B29" w:rsidP="00BB0B29">
      <w:pPr>
        <w:widowControl w:val="0"/>
        <w:autoSpaceDE w:val="0"/>
        <w:autoSpaceDN w:val="0"/>
        <w:spacing w:after="0" w:line="276" w:lineRule="auto"/>
        <w:jc w:val="both"/>
        <w:rPr>
          <w:rFonts w:ascii="Verdana" w:hAnsi="Verdana" w:cs="Arial"/>
        </w:rPr>
      </w:pPr>
    </w:p>
    <w:p w14:paraId="230F2763" w14:textId="38B8AFFB" w:rsidR="00BB0B29" w:rsidRPr="00BB0B29" w:rsidRDefault="00BB0B29" w:rsidP="00BB0B29">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BB0B29">
        <w:rPr>
          <w:rFonts w:ascii="Verdana" w:eastAsia="Century Gothic" w:hAnsi="Verdana" w:cs="Century Gothic"/>
          <w:b/>
          <w:bCs/>
        </w:rPr>
        <w:t xml:space="preserve"> Doctrina de la Agencia Nacional de Contratación Pública:</w:t>
      </w:r>
    </w:p>
    <w:p w14:paraId="1766D689" w14:textId="77777777" w:rsidR="00BB0B29" w:rsidRPr="00E2397D" w:rsidRDefault="00BB0B29" w:rsidP="00BB0B29">
      <w:pPr>
        <w:widowControl w:val="0"/>
        <w:autoSpaceDE w:val="0"/>
        <w:autoSpaceDN w:val="0"/>
        <w:spacing w:after="0" w:line="276" w:lineRule="auto"/>
        <w:jc w:val="both"/>
        <w:rPr>
          <w:rFonts w:ascii="Verdana" w:hAnsi="Verdana" w:cs="Arial"/>
        </w:rPr>
      </w:pPr>
    </w:p>
    <w:p w14:paraId="5F4109E1" w14:textId="77777777" w:rsidR="00BB0B29" w:rsidRPr="00E2397D" w:rsidRDefault="00BB0B29" w:rsidP="00BB0B29">
      <w:pPr>
        <w:widowControl w:val="0"/>
        <w:autoSpaceDE w:val="0"/>
        <w:autoSpaceDN w:val="0"/>
        <w:spacing w:after="0" w:line="276" w:lineRule="auto"/>
        <w:jc w:val="both"/>
        <w:rPr>
          <w:rFonts w:ascii="Verdana" w:eastAsia="Calibri" w:hAnsi="Verdana" w:cs="Arial"/>
          <w:color w:val="000000" w:themeColor="text1"/>
          <w:lang w:val="es-ES_tradnl" w:eastAsia="es-ES_tradnl"/>
        </w:rPr>
      </w:pPr>
      <w:r>
        <w:rPr>
          <w:rFonts w:ascii="Verdana" w:hAnsi="Verdana" w:cs="Arial"/>
          <w:shd w:val="clear" w:color="auto" w:fill="FFFFFF"/>
          <w:lang w:val="es-ES"/>
        </w:rPr>
        <w:t xml:space="preserve">En torno al concepto y elementos de los contratos estatales, la Subdirección ha expedido los siguientes conceptos: Concepto C- 806 del 19 de noviembre de 2024, C-221 del 21 de marzo de 2025, C- 429 del 13 de mayo de 2025, entre otros. </w:t>
      </w:r>
      <w:r>
        <w:rPr>
          <w:rFonts w:ascii="Verdana" w:hAnsi="Verdana" w:cs="Arial"/>
          <w:shd w:val="clear" w:color="auto" w:fill="FFFFFF"/>
        </w:rPr>
        <w:t>E</w:t>
      </w:r>
      <w:r w:rsidRPr="00E2397D">
        <w:rPr>
          <w:rFonts w:ascii="Verdana" w:hAnsi="Verdana" w:cs="Arial"/>
          <w:shd w:val="clear" w:color="auto" w:fill="FFFFFF"/>
          <w:lang w:val="es-ES"/>
        </w:rPr>
        <w:t xml:space="preserve">stos y otros </w:t>
      </w:r>
      <w:r w:rsidRPr="00E2397D">
        <w:rPr>
          <w:rFonts w:ascii="Verdana" w:hAnsi="Verdana"/>
        </w:rPr>
        <w:t>conceptos se encuentran 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3"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5D24DAD9" w14:textId="77777777" w:rsidR="00BB0B29" w:rsidRPr="00400A59" w:rsidRDefault="00BB0B29" w:rsidP="00BB0B29">
      <w:pPr>
        <w:spacing w:after="0"/>
        <w:jc w:val="both"/>
        <w:rPr>
          <w:rFonts w:ascii="Verdana" w:hAnsi="Verdana"/>
          <w:lang w:val="es-ES_tradnl"/>
        </w:rPr>
      </w:pPr>
    </w:p>
    <w:p w14:paraId="69EC9610" w14:textId="77777777" w:rsidR="00BB0B29" w:rsidRPr="00FA505A" w:rsidRDefault="00BB0B29" w:rsidP="00BB0B29">
      <w:pPr>
        <w:spacing w:after="0" w:line="256" w:lineRule="auto"/>
        <w:jc w:val="both"/>
        <w:rPr>
          <w:rFonts w:ascii="Verdana" w:eastAsia="Calibri" w:hAnsi="Verdana" w:cs="Times New Roman"/>
        </w:rPr>
      </w:pPr>
      <w:r w:rsidRPr="00FA505A">
        <w:rPr>
          <w:rFonts w:ascii="Verdana" w:eastAsia="Calibri" w:hAnsi="Verdana" w:cs="Times New Roman"/>
        </w:rPr>
        <w:t xml:space="preserve">Te informamos que ya se encuentra disponible la </w:t>
      </w:r>
      <w:r w:rsidRPr="00FA505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FA505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FA505A">
        <w:rPr>
          <w:rFonts w:ascii="Verdana" w:eastAsia="Calibri" w:hAnsi="Verdana" w:cs="Times New Roman"/>
        </w:rPr>
        <w:lastRenderedPageBreak/>
        <w:t xml:space="preserve">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3445DED9" w14:textId="77777777" w:rsidR="00BB0B29" w:rsidRDefault="00BB0B29" w:rsidP="00BB0B29">
      <w:pPr>
        <w:spacing w:after="0"/>
        <w:jc w:val="both"/>
        <w:rPr>
          <w:rFonts w:ascii="Verdana" w:hAnsi="Verdana"/>
        </w:rPr>
      </w:pPr>
    </w:p>
    <w:p w14:paraId="7782E80C" w14:textId="77777777" w:rsidR="00BB0B29" w:rsidRPr="0044528D" w:rsidRDefault="00BB0B29" w:rsidP="00BB0B29">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40CFD8E" w14:textId="77777777" w:rsidR="00BB0B29" w:rsidRPr="0044528D" w:rsidRDefault="00BB0B29" w:rsidP="00BB0B29">
      <w:pPr>
        <w:spacing w:after="0" w:line="240" w:lineRule="auto"/>
        <w:jc w:val="both"/>
        <w:rPr>
          <w:rFonts w:ascii="Verdana" w:hAnsi="Verdana"/>
        </w:rPr>
      </w:pPr>
    </w:p>
    <w:p w14:paraId="316831B0" w14:textId="77777777" w:rsidR="00BB0B29" w:rsidRPr="0044528D" w:rsidRDefault="00BB0B29" w:rsidP="00BB0B29">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05470595" w14:textId="77777777" w:rsidR="00BB0B29" w:rsidRPr="0044528D" w:rsidRDefault="00BB0B29" w:rsidP="00BB0B29">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10ADD40A" w14:textId="77777777" w:rsidR="00BB0B29" w:rsidRPr="0044528D" w:rsidRDefault="00BB0B29" w:rsidP="00BB0B29">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77AC2BDE" w14:textId="77777777" w:rsidR="00BB0B29" w:rsidRPr="0044528D" w:rsidRDefault="00BB0B29" w:rsidP="00BB0B29">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4" w:history="1">
        <w:r w:rsidRPr="0044528D">
          <w:rPr>
            <w:rStyle w:val="Hipervnculo"/>
            <w:rFonts w:ascii="Verdana" w:hAnsi="Verdana"/>
          </w:rPr>
          <w:t>www.colombiacompra.gov.co</w:t>
        </w:r>
      </w:hyperlink>
    </w:p>
    <w:p w14:paraId="231BD23F" w14:textId="77777777" w:rsidR="00BB0B29" w:rsidRPr="0044528D" w:rsidRDefault="00BB0B29" w:rsidP="00BB0B29">
      <w:pPr>
        <w:pStyle w:val="Prrafodelista"/>
        <w:spacing w:after="0" w:line="240" w:lineRule="auto"/>
        <w:ind w:left="785"/>
        <w:jc w:val="both"/>
        <w:rPr>
          <w:rFonts w:ascii="Verdana" w:hAnsi="Verdana"/>
        </w:rPr>
      </w:pPr>
    </w:p>
    <w:p w14:paraId="7D5D7241" w14:textId="77777777" w:rsidR="00BB0B29" w:rsidRPr="0044528D" w:rsidRDefault="00BB0B29" w:rsidP="00BB0B29">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04F530BC" w14:textId="77777777" w:rsidR="00BB0B29" w:rsidRPr="0044528D" w:rsidRDefault="00BB0B29" w:rsidP="00BB0B29">
      <w:pPr>
        <w:spacing w:after="0" w:line="240" w:lineRule="auto"/>
        <w:jc w:val="both"/>
        <w:rPr>
          <w:rFonts w:ascii="Verdana" w:hAnsi="Verdana"/>
        </w:rPr>
      </w:pPr>
    </w:p>
    <w:p w14:paraId="4D5B5F5B" w14:textId="77777777" w:rsidR="00BB0B29" w:rsidRPr="0044528D" w:rsidRDefault="00BB0B29" w:rsidP="00BB0B29">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456615B4" w14:textId="77777777" w:rsidR="00BB0B29" w:rsidRPr="0044528D" w:rsidRDefault="00BB0B29" w:rsidP="00BB0B29">
      <w:pPr>
        <w:spacing w:after="0" w:line="240" w:lineRule="auto"/>
        <w:jc w:val="both"/>
        <w:rPr>
          <w:rFonts w:ascii="Verdana" w:hAnsi="Verdana"/>
        </w:rPr>
      </w:pPr>
      <w:r w:rsidRPr="0044528D">
        <w:rPr>
          <w:rFonts w:ascii="Verdana" w:hAnsi="Verdana"/>
        </w:rPr>
        <w:t xml:space="preserve">Facebook: </w:t>
      </w:r>
      <w:r w:rsidRPr="0044528D">
        <w:rPr>
          <w:rStyle w:val="Hipervnculo"/>
          <w:rFonts w:ascii="Verdana" w:hAnsi="Verdana"/>
        </w:rPr>
        <w:t>ColombiaCompraEficiente</w:t>
      </w:r>
    </w:p>
    <w:p w14:paraId="785B6697" w14:textId="77777777" w:rsidR="00BB0B29" w:rsidRPr="0044528D" w:rsidRDefault="00BB0B29" w:rsidP="00BB0B29">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657BA4A4" w14:textId="77777777" w:rsidR="00BB0B29" w:rsidRPr="0044528D" w:rsidRDefault="00BB0B29" w:rsidP="00BB0B29">
      <w:pPr>
        <w:spacing w:after="0" w:line="240" w:lineRule="auto"/>
        <w:jc w:val="both"/>
        <w:rPr>
          <w:rFonts w:ascii="Verdana" w:hAnsi="Verdana"/>
        </w:rPr>
      </w:pPr>
    </w:p>
    <w:p w14:paraId="53681619" w14:textId="77777777" w:rsidR="00BB0B29" w:rsidRPr="00185EE9" w:rsidRDefault="00BB0B29" w:rsidP="00BB0B29">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B2493D9" w14:textId="77777777" w:rsidR="00BB0B29" w:rsidRPr="00185EE9" w:rsidRDefault="00BB0B29" w:rsidP="00BB0B29">
      <w:pPr>
        <w:spacing w:after="0" w:line="256" w:lineRule="auto"/>
        <w:jc w:val="both"/>
        <w:rPr>
          <w:rFonts w:ascii="Verdana" w:eastAsia="Calibri" w:hAnsi="Verdana" w:cs="Times New Roman"/>
        </w:rPr>
      </w:pPr>
    </w:p>
    <w:p w14:paraId="75C852A7" w14:textId="0B6574DB" w:rsidR="00BB0B29" w:rsidRPr="00FC7C3B" w:rsidRDefault="00BB0B29" w:rsidP="00FC7C3B">
      <w:pPr>
        <w:spacing w:after="0" w:line="256" w:lineRule="auto"/>
        <w:jc w:val="both"/>
        <w:rPr>
          <w:rFonts w:ascii="Verdana" w:eastAsia="Calibri" w:hAnsi="Verdana" w:cs="Times New Roman"/>
        </w:rPr>
      </w:pPr>
      <w:r w:rsidRPr="326354FF">
        <w:rPr>
          <w:rFonts w:ascii="Verdana" w:eastAsia="Calibri" w:hAnsi="Verdana" w:cs="Times New Roman"/>
        </w:rPr>
        <w:t>Atentamente,</w:t>
      </w:r>
    </w:p>
    <w:p w14:paraId="38D1131A" w14:textId="01908654" w:rsidR="00FC7C3B" w:rsidRPr="00624164" w:rsidRDefault="00FC7C3B" w:rsidP="00BB0B29">
      <w:pPr>
        <w:spacing w:after="0" w:line="256" w:lineRule="auto"/>
        <w:jc w:val="center"/>
      </w:pPr>
      <w:bookmarkStart w:id="4" w:name="_GoBack"/>
      <w:r>
        <w:rPr>
          <w:noProof/>
          <w:lang w:val="en-US"/>
        </w:rPr>
        <w:drawing>
          <wp:inline distT="0" distB="0" distL="0" distR="0" wp14:anchorId="207DEF4D" wp14:editId="5CDAE716">
            <wp:extent cx="2924175" cy="1205865"/>
            <wp:effectExtent l="0" t="0" r="9525" b="0"/>
            <wp:docPr id="3" name="Imagen 3" descr="C:\Users\José Luis\OneDrive\Documentos\COLOMBIA COMPRA EFICIENTE\2025\REPARTO\C-800 PAGO DE LA SEGURIDAD SOCIAL- REFORMA PENSIONAL 14-07-2025\thumbnail_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é Luis\OneDrive\Documentos\COLOMBIA COMPRA EFICIENTE\2025\REPARTO\C-800 PAGO DE LA SEGURIDAD SOCIAL- REFORMA PENSIONAL 14-07-2025\thumbnail_imag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6258" cy="1243838"/>
                    </a:xfrm>
                    <a:prstGeom prst="rect">
                      <a:avLst/>
                    </a:prstGeom>
                    <a:noFill/>
                    <a:ln>
                      <a:noFill/>
                    </a:ln>
                  </pic:spPr>
                </pic:pic>
              </a:graphicData>
            </a:graphic>
          </wp:inline>
        </w:drawing>
      </w:r>
      <w:bookmarkEnd w:id="4"/>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B0B29" w:rsidRPr="00624164" w14:paraId="7D9528D9" w14:textId="77777777" w:rsidTr="00E66441">
        <w:trPr>
          <w:trHeight w:val="409"/>
        </w:trPr>
        <w:tc>
          <w:tcPr>
            <w:tcW w:w="817" w:type="dxa"/>
            <w:tcBorders>
              <w:top w:val="nil"/>
              <w:left w:val="nil"/>
              <w:bottom w:val="nil"/>
              <w:right w:val="nil"/>
            </w:tcBorders>
            <w:vAlign w:val="center"/>
            <w:hideMark/>
          </w:tcPr>
          <w:p w14:paraId="2117B5E6"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5A9FB51"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José Luis Sánchez Cardona</w:t>
            </w:r>
          </w:p>
          <w:p w14:paraId="051B2633"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Contratista de la Subdirección de Gestión Contractual</w:t>
            </w:r>
          </w:p>
        </w:tc>
      </w:tr>
      <w:tr w:rsidR="00BB0B29" w:rsidRPr="00624164" w14:paraId="7DE2B488" w14:textId="77777777" w:rsidTr="00E66441">
        <w:trPr>
          <w:trHeight w:val="409"/>
        </w:trPr>
        <w:tc>
          <w:tcPr>
            <w:tcW w:w="817" w:type="dxa"/>
            <w:tcBorders>
              <w:top w:val="nil"/>
              <w:left w:val="nil"/>
              <w:bottom w:val="nil"/>
              <w:right w:val="nil"/>
            </w:tcBorders>
            <w:vAlign w:val="center"/>
            <w:hideMark/>
          </w:tcPr>
          <w:p w14:paraId="5E4D011F"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B30D881"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Alejandro Sarmiento Cantillo</w:t>
            </w:r>
          </w:p>
          <w:p w14:paraId="2BEEA954"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Gestor T1-15 de la Subdirección de Gestión Contractual </w:t>
            </w:r>
          </w:p>
        </w:tc>
      </w:tr>
      <w:tr w:rsidR="00BB0B29" w:rsidRPr="00624164" w14:paraId="340E7F51" w14:textId="77777777" w:rsidTr="00E66441">
        <w:trPr>
          <w:trHeight w:val="389"/>
        </w:trPr>
        <w:tc>
          <w:tcPr>
            <w:tcW w:w="817" w:type="dxa"/>
            <w:tcBorders>
              <w:top w:val="nil"/>
              <w:left w:val="nil"/>
              <w:bottom w:val="nil"/>
              <w:right w:val="nil"/>
            </w:tcBorders>
            <w:vAlign w:val="center"/>
            <w:hideMark/>
          </w:tcPr>
          <w:p w14:paraId="7D34CE5F"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DDE1436"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Ana María Tolosa Rico</w:t>
            </w:r>
          </w:p>
          <w:p w14:paraId="7BBA45A3" w14:textId="77777777" w:rsidR="00BB0B29" w:rsidRPr="00624164" w:rsidRDefault="00BB0B29" w:rsidP="00E66441">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 xml:space="preserve">Subdirectora de Gestión Contractual </w:t>
            </w:r>
            <w:r>
              <w:rPr>
                <w:rFonts w:ascii="Verdana" w:eastAsia="Calibri" w:hAnsi="Verdana" w:cs="Times New Roman"/>
                <w:sz w:val="16"/>
                <w:szCs w:val="16"/>
              </w:rPr>
              <w:t>(E</w:t>
            </w:r>
            <w:r w:rsidRPr="00624164">
              <w:rPr>
                <w:rFonts w:ascii="Verdana" w:eastAsia="Calibri" w:hAnsi="Verdana" w:cs="Times New Roman"/>
                <w:sz w:val="16"/>
                <w:szCs w:val="16"/>
              </w:rPr>
              <w:t xml:space="preserve">) ANCP – CCE </w:t>
            </w:r>
          </w:p>
        </w:tc>
      </w:tr>
      <w:bookmarkEnd w:id="0"/>
    </w:tbl>
    <w:p w14:paraId="40B36944" w14:textId="379E003B" w:rsidR="008A69CD" w:rsidRPr="00BB0B29" w:rsidRDefault="008A69CD" w:rsidP="00BB0B29">
      <w:pPr>
        <w:rPr>
          <w:lang w:val="es-ES"/>
        </w:rPr>
      </w:pPr>
    </w:p>
    <w:sectPr w:rsidR="008A69CD" w:rsidRPr="00BB0B2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4ED93" w14:textId="77777777" w:rsidR="00EB638F" w:rsidRDefault="00EB638F" w:rsidP="004A1847">
      <w:pPr>
        <w:spacing w:after="0" w:line="240" w:lineRule="auto"/>
      </w:pPr>
      <w:r>
        <w:separator/>
      </w:r>
    </w:p>
  </w:endnote>
  <w:endnote w:type="continuationSeparator" w:id="0">
    <w:p w14:paraId="67EA0C41" w14:textId="77777777" w:rsidR="00EB638F" w:rsidRDefault="00EB638F" w:rsidP="004A1847">
      <w:pPr>
        <w:spacing w:after="0" w:line="240" w:lineRule="auto"/>
      </w:pPr>
      <w:r>
        <w:continuationSeparator/>
      </w:r>
    </w:p>
  </w:endnote>
  <w:endnote w:type="continuationNotice" w:id="1">
    <w:p w14:paraId="248741DB" w14:textId="77777777" w:rsidR="00EB638F" w:rsidRDefault="00EB63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505795" w:rsidRDefault="00505795">
    <w:pPr>
      <w:pStyle w:val="Piedepgina"/>
    </w:pPr>
  </w:p>
  <w:p w14:paraId="594D6D9F" w14:textId="6A10F51D"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FC7C3B" w:rsidRPr="00FC7C3B">
      <w:rPr>
        <w:rFonts w:ascii="Verdana" w:eastAsiaTheme="minorEastAsia" w:hAnsi="Verdana"/>
        <w:b/>
        <w:bCs/>
        <w:noProof/>
        <w:sz w:val="16"/>
        <w:szCs w:val="16"/>
      </w:rPr>
      <w:t>13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155CC7" w:rsidRDefault="00155CC7">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2E1D6" w14:textId="77777777" w:rsidR="00EB638F" w:rsidRDefault="00EB638F" w:rsidP="004A1847">
      <w:pPr>
        <w:spacing w:after="0" w:line="240" w:lineRule="auto"/>
      </w:pPr>
      <w:r>
        <w:separator/>
      </w:r>
    </w:p>
  </w:footnote>
  <w:footnote w:type="continuationSeparator" w:id="0">
    <w:p w14:paraId="6D86E63E" w14:textId="77777777" w:rsidR="00EB638F" w:rsidRDefault="00EB638F" w:rsidP="004A1847">
      <w:pPr>
        <w:spacing w:after="0" w:line="240" w:lineRule="auto"/>
      </w:pPr>
      <w:r>
        <w:continuationSeparator/>
      </w:r>
    </w:p>
  </w:footnote>
  <w:footnote w:type="continuationNotice" w:id="1">
    <w:p w14:paraId="6DE2B82F" w14:textId="77777777" w:rsidR="00EB638F" w:rsidRDefault="00EB638F">
      <w:pPr>
        <w:spacing w:after="0" w:line="240" w:lineRule="auto"/>
      </w:pPr>
    </w:p>
  </w:footnote>
  <w:footnote w:id="2">
    <w:p w14:paraId="36C66C42" w14:textId="6F047966" w:rsidR="00BB0B29" w:rsidRPr="00FC7C3B" w:rsidRDefault="00BB0B29" w:rsidP="00FC7C3B">
      <w:pPr>
        <w:pStyle w:val="Textonotapie"/>
        <w:ind w:firstLine="708"/>
        <w:jc w:val="both"/>
        <w:rPr>
          <w:rFonts w:ascii="Verdana" w:hAnsi="Verdana" w:cs="Arial"/>
          <w:sz w:val="15"/>
          <w:szCs w:val="15"/>
        </w:rPr>
      </w:pPr>
      <w:r w:rsidRPr="00FC7C3B">
        <w:rPr>
          <w:rStyle w:val="Refdenotaalpie"/>
          <w:rFonts w:ascii="Verdana" w:hAnsi="Verdana" w:cs="Arial"/>
          <w:sz w:val="15"/>
          <w:szCs w:val="15"/>
        </w:rPr>
        <w:footnoteRef/>
      </w:r>
      <w:r w:rsidRPr="00FC7C3B">
        <w:rPr>
          <w:rFonts w:ascii="Verdana" w:hAnsi="Verdana" w:cs="Arial"/>
          <w:sz w:val="15"/>
          <w:szCs w:val="15"/>
        </w:rPr>
        <w:t xml:space="preserve"> Cfr. BENAVIDES, José Luis. El contrato estatal: entre el derecho público y el derecho privado. Segunda edición. Bogotá: Universidad Externado de Colombia, 2009. pp. 78-79.   </w:t>
      </w:r>
    </w:p>
  </w:footnote>
  <w:footnote w:id="3">
    <w:p w14:paraId="7533DF37" w14:textId="77777777" w:rsidR="00BB0B29" w:rsidRPr="00FC7C3B" w:rsidRDefault="00BB0B29" w:rsidP="00BB0B29">
      <w:pPr>
        <w:pStyle w:val="Textonotapie"/>
        <w:ind w:firstLine="708"/>
        <w:jc w:val="both"/>
        <w:rPr>
          <w:rFonts w:ascii="Verdana" w:hAnsi="Verdana" w:cs="Arial"/>
          <w:sz w:val="15"/>
          <w:szCs w:val="15"/>
          <w:lang w:val="es-ES"/>
        </w:rPr>
      </w:pPr>
      <w:r w:rsidRPr="00FC7C3B">
        <w:rPr>
          <w:rStyle w:val="Refdenotaalpie"/>
          <w:rFonts w:ascii="Verdana" w:hAnsi="Verdana" w:cs="Arial"/>
          <w:sz w:val="15"/>
          <w:szCs w:val="15"/>
        </w:rPr>
        <w:footnoteRef/>
      </w:r>
      <w:r w:rsidRPr="00FC7C3B">
        <w:rPr>
          <w:rFonts w:ascii="Verdana" w:hAnsi="Verdana" w:cs="Arial"/>
          <w:sz w:val="15"/>
          <w:szCs w:val="15"/>
        </w:rPr>
        <w:t xml:space="preserve"> BETANCUR JARAMILLO, Carlos. Derecho procesal administrativo. Octava edición. Medellín: Señal Editora, 2013. p. 627. </w:t>
      </w:r>
    </w:p>
  </w:footnote>
  <w:footnote w:id="4">
    <w:p w14:paraId="475D27DC" w14:textId="23DD2C43" w:rsidR="00BB0B29" w:rsidRPr="00FC7C3B" w:rsidRDefault="00BB0B29" w:rsidP="00FC7C3B">
      <w:pPr>
        <w:pStyle w:val="Textonotapie"/>
        <w:ind w:firstLine="708"/>
        <w:jc w:val="both"/>
        <w:rPr>
          <w:rFonts w:ascii="Verdana" w:hAnsi="Verdana"/>
          <w:sz w:val="15"/>
          <w:szCs w:val="15"/>
        </w:rPr>
      </w:pPr>
      <w:r w:rsidRPr="00FC7C3B">
        <w:rPr>
          <w:rStyle w:val="Refdenotaalpie"/>
          <w:rFonts w:ascii="Verdana" w:hAnsi="Verdana"/>
          <w:sz w:val="15"/>
          <w:szCs w:val="15"/>
        </w:rPr>
        <w:footnoteRef/>
      </w:r>
      <w:r w:rsidRPr="00FC7C3B">
        <w:rPr>
          <w:rFonts w:ascii="Verdana" w:hAnsi="Verdana"/>
          <w:sz w:val="15"/>
          <w:szCs w:val="15"/>
        </w:rPr>
        <w:t xml:space="preserve"> OSPINA FERNÁNDEZ, Guillermo &amp; OSPINA ACOSTA, Eduardo. Teoría General del Contrato y del Negocio Jurídico. Séptima edición. Bogotá: Temis, 2021. p. 50.</w:t>
      </w:r>
    </w:p>
  </w:footnote>
  <w:footnote w:id="5">
    <w:p w14:paraId="5BCF0C92" w14:textId="77777777" w:rsidR="00BB0B29" w:rsidRPr="00FC7C3B" w:rsidRDefault="00BB0B29" w:rsidP="00BB0B29">
      <w:pPr>
        <w:pStyle w:val="Textonotapie"/>
        <w:ind w:firstLine="708"/>
        <w:jc w:val="both"/>
        <w:rPr>
          <w:rFonts w:ascii="Verdana" w:hAnsi="Verdana"/>
          <w:sz w:val="15"/>
          <w:szCs w:val="15"/>
        </w:rPr>
      </w:pPr>
      <w:r w:rsidRPr="00FC7C3B">
        <w:rPr>
          <w:rStyle w:val="Refdenotaalpie"/>
          <w:rFonts w:ascii="Verdana" w:hAnsi="Verdana"/>
          <w:sz w:val="15"/>
          <w:szCs w:val="15"/>
        </w:rPr>
        <w:footnoteRef/>
      </w:r>
      <w:r w:rsidRPr="00FC7C3B">
        <w:rPr>
          <w:rFonts w:ascii="Verdana" w:hAnsi="Verdana"/>
          <w:sz w:val="15"/>
          <w:szCs w:val="15"/>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6">
    <w:p w14:paraId="047B3FEA" w14:textId="3764DEB0" w:rsidR="00BB0B29" w:rsidRPr="00FC7C3B" w:rsidRDefault="00BB0B29" w:rsidP="00FC7C3B">
      <w:pPr>
        <w:pStyle w:val="Textonotapie"/>
        <w:ind w:firstLine="708"/>
        <w:jc w:val="both"/>
        <w:rPr>
          <w:rFonts w:ascii="Verdana" w:hAnsi="Verdana"/>
          <w:color w:val="000000" w:themeColor="text1"/>
          <w:sz w:val="15"/>
          <w:szCs w:val="15"/>
        </w:rPr>
      </w:pPr>
      <w:r w:rsidRPr="00FC7C3B">
        <w:rPr>
          <w:rStyle w:val="Refdenotaalpie"/>
          <w:rFonts w:ascii="Verdana" w:hAnsi="Verdana"/>
          <w:sz w:val="15"/>
          <w:szCs w:val="15"/>
        </w:rPr>
        <w:footnoteRef/>
      </w:r>
      <w:r w:rsidRPr="00FC7C3B">
        <w:rPr>
          <w:rFonts w:ascii="Verdana" w:hAnsi="Verdana"/>
          <w:sz w:val="15"/>
          <w:szCs w:val="15"/>
        </w:rPr>
        <w:t xml:space="preserve"> </w:t>
      </w:r>
      <w:r w:rsidRPr="00FC7C3B">
        <w:rPr>
          <w:rFonts w:ascii="Verdana" w:hAnsi="Verdana"/>
          <w:color w:val="000000" w:themeColor="text1"/>
          <w:sz w:val="15"/>
          <w:szCs w:val="15"/>
        </w:rPr>
        <w:t>CONSEJO DE ESTADO. Sala de Consulta y Servicio Civil. Concepto del 5 de septiembre de 2018. Rad. 2.386. C.P. Edgar González López.</w:t>
      </w:r>
    </w:p>
  </w:footnote>
  <w:footnote w:id="7">
    <w:p w14:paraId="1474A1C2" w14:textId="267D39F0" w:rsidR="00BB0B29" w:rsidRPr="00FC7C3B" w:rsidRDefault="00BB0B29" w:rsidP="00FC7C3B">
      <w:pPr>
        <w:pStyle w:val="Textonotapie"/>
        <w:ind w:firstLine="709"/>
        <w:jc w:val="both"/>
        <w:rPr>
          <w:rFonts w:ascii="Verdana" w:hAnsi="Verdana"/>
          <w:sz w:val="15"/>
          <w:szCs w:val="15"/>
        </w:rPr>
      </w:pPr>
      <w:r w:rsidRPr="00FC7C3B">
        <w:rPr>
          <w:rStyle w:val="Refdenotaalpie"/>
          <w:rFonts w:ascii="Verdana" w:hAnsi="Verdana"/>
          <w:sz w:val="15"/>
          <w:szCs w:val="15"/>
        </w:rPr>
        <w:footnoteRef/>
      </w:r>
      <w:r w:rsidRPr="00FC7C3B">
        <w:rPr>
          <w:rFonts w:ascii="Verdana" w:hAnsi="Verdana"/>
          <w:sz w:val="15"/>
          <w:szCs w:val="15"/>
        </w:rPr>
        <w:t xml:space="preserve"> SÁNCHEZ TRUJILLO, Juan Pablo. Completitud de la oferta del contrato atípico: elementos esenciales del contrato atípico como requisito de delimitación del objeto de la oferta mercantil. Consultado el 11 de noviembre de 2024 en la página web </w:t>
      </w:r>
      <w:hyperlink r:id="rId1" w:history="1">
        <w:r w:rsidRPr="00FC7C3B">
          <w:rPr>
            <w:rStyle w:val="Hipervnculo"/>
            <w:rFonts w:ascii="Verdana" w:hAnsi="Verdana"/>
            <w:sz w:val="15"/>
            <w:szCs w:val="15"/>
          </w:rPr>
          <w:t>https://revistas.udea.edu.co/index.php/derypol/article/view/331285/20790715</w:t>
        </w:r>
      </w:hyperlink>
      <w:r w:rsidRPr="00FC7C3B">
        <w:rPr>
          <w:rFonts w:ascii="Verdana" w:hAnsi="Verdana"/>
          <w:sz w:val="15"/>
          <w:szCs w:val="15"/>
        </w:rPr>
        <w:t xml:space="preserve">. </w:t>
      </w:r>
    </w:p>
  </w:footnote>
  <w:footnote w:id="8">
    <w:p w14:paraId="596E4ECA" w14:textId="77777777" w:rsidR="00BB0B29" w:rsidRPr="00FC7C3B" w:rsidRDefault="00BB0B29" w:rsidP="00BB0B29">
      <w:pPr>
        <w:pStyle w:val="Textonotapie"/>
        <w:ind w:firstLine="708"/>
        <w:jc w:val="both"/>
        <w:rPr>
          <w:rFonts w:ascii="Verdana" w:hAnsi="Verdana"/>
          <w:sz w:val="15"/>
          <w:szCs w:val="15"/>
          <w:lang w:val="es-CO"/>
        </w:rPr>
      </w:pPr>
      <w:r w:rsidRPr="00FC7C3B">
        <w:rPr>
          <w:rStyle w:val="Refdenotaalpie"/>
          <w:rFonts w:ascii="Verdana" w:hAnsi="Verdana"/>
          <w:sz w:val="15"/>
          <w:szCs w:val="15"/>
        </w:rPr>
        <w:footnoteRef/>
      </w:r>
      <w:r w:rsidRPr="00FC7C3B">
        <w:rPr>
          <w:rFonts w:ascii="Verdana" w:hAnsi="Verdana"/>
          <w:sz w:val="15"/>
          <w:szCs w:val="15"/>
        </w:rPr>
        <w:t xml:space="preserve"> </w:t>
      </w:r>
      <w:bookmarkStart w:id="3" w:name="1502"/>
      <w:r w:rsidRPr="00FC7C3B">
        <w:rPr>
          <w:rFonts w:ascii="Verdana" w:hAnsi="Verdana"/>
          <w:bCs/>
          <w:sz w:val="15"/>
          <w:szCs w:val="15"/>
          <w:lang w:val="es-CO"/>
        </w:rPr>
        <w:t>ARTÍCULO 1502. &lt;REQUISITOS PARA OBLIGARSE&gt;.</w:t>
      </w:r>
      <w:bookmarkEnd w:id="3"/>
      <w:r w:rsidRPr="00FC7C3B">
        <w:rPr>
          <w:rFonts w:ascii="Verdana" w:hAnsi="Verdana"/>
          <w:sz w:val="15"/>
          <w:szCs w:val="15"/>
          <w:lang w:val="es-CO"/>
        </w:rPr>
        <w:t> Para que una persona se obligue a otra por un acto o declaración de voluntad, es necesario:</w:t>
      </w:r>
    </w:p>
    <w:p w14:paraId="77D187E0" w14:textId="77777777" w:rsidR="00BB0B29" w:rsidRPr="00FC7C3B" w:rsidRDefault="00BB0B29" w:rsidP="00BB0B29">
      <w:pPr>
        <w:pStyle w:val="Textonotapie"/>
        <w:ind w:firstLine="708"/>
        <w:jc w:val="both"/>
        <w:rPr>
          <w:rFonts w:ascii="Verdana" w:hAnsi="Verdana"/>
          <w:sz w:val="15"/>
          <w:szCs w:val="15"/>
          <w:lang w:val="es-CO"/>
        </w:rPr>
      </w:pPr>
      <w:r w:rsidRPr="00FC7C3B">
        <w:rPr>
          <w:rFonts w:ascii="Verdana" w:hAnsi="Verdana"/>
          <w:sz w:val="15"/>
          <w:szCs w:val="15"/>
          <w:lang w:val="es-CO"/>
        </w:rPr>
        <w:t>1o.) que sea legalmente capaz.</w:t>
      </w:r>
    </w:p>
    <w:p w14:paraId="3C569D2D" w14:textId="77777777" w:rsidR="00BB0B29" w:rsidRPr="00FC7C3B" w:rsidRDefault="00BB0B29" w:rsidP="00BB0B29">
      <w:pPr>
        <w:pStyle w:val="Textonotapie"/>
        <w:ind w:firstLine="708"/>
        <w:jc w:val="both"/>
        <w:rPr>
          <w:rFonts w:ascii="Verdana" w:hAnsi="Verdana"/>
          <w:sz w:val="15"/>
          <w:szCs w:val="15"/>
          <w:lang w:val="es-CO"/>
        </w:rPr>
      </w:pPr>
      <w:r w:rsidRPr="00FC7C3B">
        <w:rPr>
          <w:rFonts w:ascii="Verdana" w:hAnsi="Verdana"/>
          <w:sz w:val="15"/>
          <w:szCs w:val="15"/>
          <w:lang w:val="es-CO"/>
        </w:rPr>
        <w:t>2o.) que consienta en dicho acto o declaración y su consentimiento no adolezca de vicio.</w:t>
      </w:r>
    </w:p>
    <w:p w14:paraId="61D8AA7A" w14:textId="77777777" w:rsidR="00BB0B29" w:rsidRPr="00FC7C3B" w:rsidRDefault="00BB0B29" w:rsidP="00BB0B29">
      <w:pPr>
        <w:pStyle w:val="Textonotapie"/>
        <w:ind w:firstLine="708"/>
        <w:jc w:val="both"/>
        <w:rPr>
          <w:rFonts w:ascii="Verdana" w:hAnsi="Verdana"/>
          <w:sz w:val="15"/>
          <w:szCs w:val="15"/>
          <w:lang w:val="es-CO"/>
        </w:rPr>
      </w:pPr>
      <w:r w:rsidRPr="00FC7C3B">
        <w:rPr>
          <w:rFonts w:ascii="Verdana" w:hAnsi="Verdana"/>
          <w:sz w:val="15"/>
          <w:szCs w:val="15"/>
          <w:lang w:val="es-CO"/>
        </w:rPr>
        <w:t>3o.) que recaiga sobre un objeto lícito.</w:t>
      </w:r>
    </w:p>
    <w:p w14:paraId="5010F013" w14:textId="77777777" w:rsidR="00BB0B29" w:rsidRPr="00FC7C3B" w:rsidRDefault="00BB0B29" w:rsidP="00BB0B29">
      <w:pPr>
        <w:pStyle w:val="Textonotapie"/>
        <w:ind w:firstLine="708"/>
        <w:jc w:val="both"/>
        <w:rPr>
          <w:rFonts w:ascii="Verdana" w:hAnsi="Verdana"/>
          <w:sz w:val="15"/>
          <w:szCs w:val="15"/>
          <w:lang w:val="es-CO"/>
        </w:rPr>
      </w:pPr>
      <w:r w:rsidRPr="00FC7C3B">
        <w:rPr>
          <w:rFonts w:ascii="Verdana" w:hAnsi="Verdana"/>
          <w:sz w:val="15"/>
          <w:szCs w:val="15"/>
          <w:lang w:val="es-CO"/>
        </w:rPr>
        <w:t>4o.) que tenga una causa lícita.</w:t>
      </w:r>
    </w:p>
    <w:p w14:paraId="34D6D601" w14:textId="77777777" w:rsidR="00BB0B29" w:rsidRPr="00FC7C3B" w:rsidRDefault="00BB0B29" w:rsidP="00BB0B29">
      <w:pPr>
        <w:pStyle w:val="Textonotapie"/>
        <w:ind w:firstLine="708"/>
        <w:jc w:val="both"/>
        <w:rPr>
          <w:rFonts w:ascii="Verdana" w:hAnsi="Verdana"/>
          <w:sz w:val="15"/>
          <w:szCs w:val="15"/>
          <w:lang w:val="es-CO"/>
        </w:rPr>
      </w:pPr>
      <w:r w:rsidRPr="00FC7C3B">
        <w:rPr>
          <w:rFonts w:ascii="Verdana" w:hAnsi="Verdana"/>
          <w:sz w:val="15"/>
          <w:szCs w:val="15"/>
          <w:lang w:val="es-CO"/>
        </w:rPr>
        <w:t>La capacidad legal de una persona consiste en poderse obligar por sí misma, sin el ministerio o la autorización de otra.</w:t>
      </w:r>
    </w:p>
  </w:footnote>
  <w:footnote w:id="9">
    <w:p w14:paraId="30DCBAAF" w14:textId="77777777" w:rsidR="00BB0B29" w:rsidRPr="00FC7C3B" w:rsidRDefault="00BB0B29" w:rsidP="00BB0B29">
      <w:pPr>
        <w:pStyle w:val="Textonotapie"/>
        <w:ind w:firstLine="708"/>
        <w:jc w:val="both"/>
        <w:rPr>
          <w:rFonts w:ascii="Verdana" w:hAnsi="Verdana"/>
          <w:sz w:val="15"/>
          <w:szCs w:val="15"/>
          <w:lang w:val="es-ES"/>
        </w:rPr>
      </w:pPr>
      <w:r w:rsidRPr="00FC7C3B">
        <w:rPr>
          <w:rStyle w:val="Refdenotaalpie"/>
          <w:rFonts w:ascii="Verdana" w:hAnsi="Verdana"/>
          <w:sz w:val="15"/>
          <w:szCs w:val="15"/>
        </w:rPr>
        <w:footnoteRef/>
      </w:r>
      <w:r w:rsidRPr="00FC7C3B">
        <w:rPr>
          <w:rFonts w:ascii="Verdana" w:hAnsi="Verdana"/>
          <w:sz w:val="15"/>
          <w:szCs w:val="15"/>
        </w:rPr>
        <w:t xml:space="preserve"> EXPÓSITO VÉLEZ, Juan Carlos. Forma y contenido del contrato estatal. Bogotá: Universidad Externado de Colombia, 2013. p. 111. </w:t>
      </w:r>
    </w:p>
  </w:footnote>
  <w:footnote w:id="10">
    <w:p w14:paraId="1EF288A5" w14:textId="77777777" w:rsidR="00BB0B29" w:rsidRPr="00FC7C3B" w:rsidRDefault="00BB0B29" w:rsidP="00BB0B29">
      <w:pPr>
        <w:pStyle w:val="NormalWeb"/>
        <w:spacing w:before="0" w:beforeAutospacing="0" w:after="0" w:afterAutospacing="0"/>
        <w:ind w:firstLine="708"/>
        <w:jc w:val="both"/>
        <w:rPr>
          <w:rFonts w:ascii="Verdana" w:hAnsi="Verdana" w:cs="Arial"/>
          <w:color w:val="000000"/>
          <w:sz w:val="15"/>
          <w:szCs w:val="15"/>
        </w:rPr>
      </w:pPr>
      <w:r w:rsidRPr="00FC7C3B">
        <w:rPr>
          <w:rStyle w:val="Refdenotaalpie"/>
          <w:rFonts w:ascii="Verdana" w:hAnsi="Verdana"/>
          <w:sz w:val="15"/>
          <w:szCs w:val="15"/>
        </w:rPr>
        <w:footnoteRef/>
      </w:r>
      <w:r w:rsidRPr="00FC7C3B">
        <w:rPr>
          <w:rFonts w:ascii="Verdana" w:hAnsi="Verdana"/>
          <w:sz w:val="15"/>
          <w:szCs w:val="15"/>
        </w:rPr>
        <w:t xml:space="preserve"> “</w:t>
      </w:r>
      <w:r w:rsidRPr="00FC7C3B">
        <w:rPr>
          <w:rStyle w:val="Textoennegrita"/>
          <w:rFonts w:ascii="Verdana" w:hAnsi="Verdana" w:cs="Arial"/>
          <w:b w:val="0"/>
          <w:color w:val="000000"/>
          <w:sz w:val="15"/>
          <w:szCs w:val="15"/>
        </w:rPr>
        <w:t>Artículo 35.</w:t>
      </w:r>
      <w:r w:rsidRPr="00FC7C3B">
        <w:rPr>
          <w:rStyle w:val="nfasis"/>
          <w:rFonts w:ascii="Verdana" w:hAnsi="Verdana" w:cs="Arial"/>
          <w:color w:val="000000"/>
          <w:sz w:val="15"/>
          <w:szCs w:val="15"/>
        </w:rPr>
        <w:t> Conversión en Distritos.</w:t>
      </w:r>
      <w:r w:rsidRPr="00FC7C3B">
        <w:rPr>
          <w:rFonts w:ascii="Verdana" w:hAnsi="Verdana" w:cs="Arial"/>
          <w:color w:val="000000"/>
          <w:sz w:val="15"/>
          <w:szCs w:val="15"/>
        </w:rPr>
        <w:t> Las Áreas Metropolitanas podrán convertirse en Distritos, si así lo aprueban en consulta popular los ciudadanos residentes en dicha área por mayoría de votos en cada uno de los municipios que la conforman, y siempre que participen en las mismas, al menos la cuarta parte de los ciudadanos inscritos en el censo electoral. </w:t>
      </w:r>
    </w:p>
    <w:p w14:paraId="5970D6D7" w14:textId="77777777" w:rsidR="00BB0B29" w:rsidRPr="00FC7C3B" w:rsidRDefault="00BB0B29" w:rsidP="00BB0B29">
      <w:pPr>
        <w:pStyle w:val="NormalWeb"/>
        <w:spacing w:before="0" w:beforeAutospacing="0" w:after="0" w:afterAutospacing="0"/>
        <w:ind w:firstLine="708"/>
        <w:jc w:val="both"/>
        <w:rPr>
          <w:rFonts w:ascii="Verdana" w:hAnsi="Verdana" w:cs="Arial"/>
          <w:color w:val="000000"/>
          <w:sz w:val="15"/>
          <w:szCs w:val="15"/>
        </w:rPr>
      </w:pPr>
      <w:r w:rsidRPr="00FC7C3B">
        <w:rPr>
          <w:rFonts w:ascii="Verdana" w:hAnsi="Verdana" w:cs="Arial"/>
          <w:color w:val="000000"/>
          <w:sz w:val="15"/>
          <w:szCs w:val="15"/>
        </w:rPr>
        <w:t>En este caso, los municipios integrantes del Área Metropolitana desaparecerán como entidades territoriales y quedarán sujetos a las normas constitucionales y legales vigentes para las localidades, de conformidad con el régimen que a ella se aplica en el Distrito Capital de Bogotá. </w:t>
      </w:r>
    </w:p>
    <w:p w14:paraId="58EED916" w14:textId="77777777" w:rsidR="00BB0B29" w:rsidRPr="00FC7C3B" w:rsidRDefault="00BB0B29" w:rsidP="00BB0B29">
      <w:pPr>
        <w:pStyle w:val="NormalWeb"/>
        <w:spacing w:before="0" w:beforeAutospacing="0" w:after="0" w:afterAutospacing="0"/>
        <w:ind w:firstLine="708"/>
        <w:jc w:val="both"/>
        <w:rPr>
          <w:rFonts w:ascii="Verdana" w:hAnsi="Verdana" w:cs="Arial"/>
          <w:color w:val="000000"/>
          <w:sz w:val="15"/>
          <w:szCs w:val="15"/>
        </w:rPr>
      </w:pPr>
      <w:r w:rsidRPr="00FC7C3B">
        <w:rPr>
          <w:rFonts w:ascii="Verdana" w:hAnsi="Verdana" w:cs="Arial"/>
          <w:color w:val="000000"/>
          <w:sz w:val="15"/>
          <w:szCs w:val="15"/>
        </w:rPr>
        <w:t>Tendrán iniciativa para promover su creación los Alcaldes de los Municipios que hacen parte del área metropolitana, la tercera parte de los concejales de dichos municipios, o el diez por ciento (10%) de los ciudadanos que integran el censo electoral totalizados de los mismos municipios. </w:t>
      </w:r>
    </w:p>
    <w:p w14:paraId="5E0AF8CE" w14:textId="77777777" w:rsidR="00BB0B29" w:rsidRPr="00FC7C3B" w:rsidRDefault="00BB0B29" w:rsidP="00BB0B29">
      <w:pPr>
        <w:pStyle w:val="NormalWeb"/>
        <w:spacing w:before="0" w:beforeAutospacing="0" w:after="0" w:afterAutospacing="0"/>
        <w:ind w:firstLine="708"/>
        <w:jc w:val="both"/>
        <w:rPr>
          <w:rFonts w:ascii="Verdana" w:hAnsi="Verdana" w:cs="Arial"/>
          <w:color w:val="000000"/>
          <w:sz w:val="15"/>
          <w:szCs w:val="15"/>
        </w:rPr>
      </w:pPr>
      <w:r w:rsidRPr="00FC7C3B">
        <w:rPr>
          <w:rFonts w:ascii="Verdana" w:hAnsi="Verdana" w:cs="Arial"/>
          <w:color w:val="000000"/>
          <w:sz w:val="15"/>
          <w:szCs w:val="15"/>
        </w:rPr>
        <w:t>Los promotores de la creación del distrito elaborarán un proyecto de constitución de nueva entidad territorial, el proyecto se entregará a la Registraduría del Estado Civil quien convocará a consulta popular para una fecha determinada que será posterior a un mínimo de tres (3) meses y un máximo de cinco (5) meses, contados a partir del día que se recibió el proyecto y que deberá coincidir con las fechas previstas para consultas municipales en la ley estatutaria de mecanismos de participación ciudadana. </w:t>
      </w:r>
    </w:p>
    <w:p w14:paraId="74209410" w14:textId="08A8B20B" w:rsidR="00BB0B29" w:rsidRPr="00FC7C3B" w:rsidRDefault="00BB0B29" w:rsidP="00FC7C3B">
      <w:pPr>
        <w:pStyle w:val="NormalWeb"/>
        <w:spacing w:before="0" w:beforeAutospacing="0" w:after="0" w:afterAutospacing="0"/>
        <w:ind w:firstLine="708"/>
        <w:jc w:val="both"/>
        <w:rPr>
          <w:rFonts w:ascii="Verdana" w:hAnsi="Verdana" w:cs="Arial"/>
          <w:color w:val="000000"/>
          <w:sz w:val="15"/>
          <w:szCs w:val="15"/>
        </w:rPr>
      </w:pPr>
      <w:r w:rsidRPr="00FC7C3B">
        <w:rPr>
          <w:rFonts w:ascii="Verdana" w:hAnsi="Verdana" w:cs="Arial"/>
          <w:color w:val="000000"/>
          <w:sz w:val="15"/>
          <w:szCs w:val="15"/>
        </w:rPr>
        <w:t>La Registraduría del Estado Civil proveerá los medios necesarios para la organización de la consulta popular”.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D29F8A4"/>
    <w:multiLevelType w:val="hybridMultilevel"/>
    <w:tmpl w:val="B88361D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110008"/>
    <w:multiLevelType w:val="hybridMultilevel"/>
    <w:tmpl w:val="A6BC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EB2E8B"/>
    <w:multiLevelType w:val="multilevel"/>
    <w:tmpl w:val="7B60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5" w15:restartNumberingAfterBreak="0">
    <w:nsid w:val="54685E5F"/>
    <w:multiLevelType w:val="multilevel"/>
    <w:tmpl w:val="3FA63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5"/>
  </w:num>
  <w:num w:numId="2">
    <w:abstractNumId w:val="3"/>
  </w:num>
  <w:num w:numId="3">
    <w:abstractNumId w:val="13"/>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0"/>
  </w:num>
  <w:num w:numId="7">
    <w:abstractNumId w:val="14"/>
  </w:num>
  <w:num w:numId="8">
    <w:abstractNumId w:val="29"/>
  </w:num>
  <w:num w:numId="9">
    <w:abstractNumId w:val="16"/>
  </w:num>
  <w:num w:numId="10">
    <w:abstractNumId w:val="28"/>
  </w:num>
  <w:num w:numId="11">
    <w:abstractNumId w:val="17"/>
  </w:num>
  <w:num w:numId="12">
    <w:abstractNumId w:val="1"/>
  </w:num>
  <w:num w:numId="13">
    <w:abstractNumId w:val="10"/>
  </w:num>
  <w:num w:numId="14">
    <w:abstractNumId w:val="31"/>
  </w:num>
  <w:num w:numId="15">
    <w:abstractNumId w:val="27"/>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6"/>
  </w:num>
  <w:num w:numId="19">
    <w:abstractNumId w:val="12"/>
  </w:num>
  <w:num w:numId="20">
    <w:abstractNumId w:val="18"/>
  </w:num>
  <w:num w:numId="21">
    <w:abstractNumId w:val="32"/>
  </w:num>
  <w:num w:numId="22">
    <w:abstractNumId w:val="21"/>
  </w:num>
  <w:num w:numId="23">
    <w:abstractNumId w:val="8"/>
  </w:num>
  <w:num w:numId="24">
    <w:abstractNumId w:val="19"/>
  </w:num>
  <w:num w:numId="25">
    <w:abstractNumId w:val="2"/>
  </w:num>
  <w:num w:numId="26">
    <w:abstractNumId w:val="6"/>
  </w:num>
  <w:num w:numId="27">
    <w:abstractNumId w:val="23"/>
  </w:num>
  <w:num w:numId="28">
    <w:abstractNumId w:val="7"/>
  </w:num>
  <w:num w:numId="29">
    <w:abstractNumId w:val="11"/>
  </w:num>
  <w:num w:numId="30">
    <w:abstractNumId w:val="0"/>
  </w:num>
  <w:num w:numId="31">
    <w:abstractNumId w:val="20"/>
  </w:num>
  <w:num w:numId="32">
    <w:abstractNumId w:val="24"/>
  </w:num>
  <w:num w:numId="33">
    <w:abstractNumId w:val="4"/>
  </w:num>
  <w:num w:numId="34">
    <w:abstractNumId w:val="25"/>
  </w:num>
  <w:num w:numId="35">
    <w:abstractNumId w:val="22"/>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2653B"/>
    <w:rsid w:val="00034682"/>
    <w:rsid w:val="00035E21"/>
    <w:rsid w:val="00042856"/>
    <w:rsid w:val="0004434A"/>
    <w:rsid w:val="0005281E"/>
    <w:rsid w:val="00055421"/>
    <w:rsid w:val="0005682C"/>
    <w:rsid w:val="00056D71"/>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C2889"/>
    <w:rsid w:val="000C3673"/>
    <w:rsid w:val="000C538B"/>
    <w:rsid w:val="000D0152"/>
    <w:rsid w:val="000D0334"/>
    <w:rsid w:val="000D0B4D"/>
    <w:rsid w:val="000D3B29"/>
    <w:rsid w:val="000E06F4"/>
    <w:rsid w:val="000E1AC7"/>
    <w:rsid w:val="000E4CE4"/>
    <w:rsid w:val="000F6486"/>
    <w:rsid w:val="000F669F"/>
    <w:rsid w:val="001063B3"/>
    <w:rsid w:val="00107ACA"/>
    <w:rsid w:val="001114A9"/>
    <w:rsid w:val="00111979"/>
    <w:rsid w:val="00116537"/>
    <w:rsid w:val="00120766"/>
    <w:rsid w:val="00122FA6"/>
    <w:rsid w:val="001240BD"/>
    <w:rsid w:val="00125105"/>
    <w:rsid w:val="001268F7"/>
    <w:rsid w:val="00126BFD"/>
    <w:rsid w:val="00127233"/>
    <w:rsid w:val="001372FC"/>
    <w:rsid w:val="00143E81"/>
    <w:rsid w:val="00143FD9"/>
    <w:rsid w:val="00145047"/>
    <w:rsid w:val="00146C57"/>
    <w:rsid w:val="00150ADA"/>
    <w:rsid w:val="00155CC7"/>
    <w:rsid w:val="001569A8"/>
    <w:rsid w:val="0016332F"/>
    <w:rsid w:val="0016642E"/>
    <w:rsid w:val="001717E9"/>
    <w:rsid w:val="0017238A"/>
    <w:rsid w:val="001800BA"/>
    <w:rsid w:val="00180A30"/>
    <w:rsid w:val="00185EE9"/>
    <w:rsid w:val="00187F79"/>
    <w:rsid w:val="00196F32"/>
    <w:rsid w:val="00197274"/>
    <w:rsid w:val="001A0B04"/>
    <w:rsid w:val="001A237A"/>
    <w:rsid w:val="001A26CF"/>
    <w:rsid w:val="001A2919"/>
    <w:rsid w:val="001B2CFE"/>
    <w:rsid w:val="001C222E"/>
    <w:rsid w:val="001C22F9"/>
    <w:rsid w:val="001D1C29"/>
    <w:rsid w:val="001D2CCC"/>
    <w:rsid w:val="001E3C06"/>
    <w:rsid w:val="001E4177"/>
    <w:rsid w:val="001F0A0F"/>
    <w:rsid w:val="001F218E"/>
    <w:rsid w:val="001F4EFD"/>
    <w:rsid w:val="001F5E13"/>
    <w:rsid w:val="001F6D11"/>
    <w:rsid w:val="001F7DC6"/>
    <w:rsid w:val="00202886"/>
    <w:rsid w:val="00205784"/>
    <w:rsid w:val="00210946"/>
    <w:rsid w:val="00213510"/>
    <w:rsid w:val="0021372A"/>
    <w:rsid w:val="00215193"/>
    <w:rsid w:val="00215CEF"/>
    <w:rsid w:val="00217A08"/>
    <w:rsid w:val="00220B77"/>
    <w:rsid w:val="00220D5F"/>
    <w:rsid w:val="00221D27"/>
    <w:rsid w:val="00237233"/>
    <w:rsid w:val="002421BB"/>
    <w:rsid w:val="00245707"/>
    <w:rsid w:val="00246A81"/>
    <w:rsid w:val="00251A5F"/>
    <w:rsid w:val="00252B30"/>
    <w:rsid w:val="0025796E"/>
    <w:rsid w:val="002603E5"/>
    <w:rsid w:val="002638B2"/>
    <w:rsid w:val="002660F2"/>
    <w:rsid w:val="002664BB"/>
    <w:rsid w:val="002707A2"/>
    <w:rsid w:val="00277150"/>
    <w:rsid w:val="00280DF4"/>
    <w:rsid w:val="002826F0"/>
    <w:rsid w:val="002835A6"/>
    <w:rsid w:val="002844ED"/>
    <w:rsid w:val="00286FAD"/>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E1D98"/>
    <w:rsid w:val="002E2C3F"/>
    <w:rsid w:val="002E4FD9"/>
    <w:rsid w:val="002E6F15"/>
    <w:rsid w:val="002F13FD"/>
    <w:rsid w:val="002F4B1D"/>
    <w:rsid w:val="002F53FB"/>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22B9"/>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3D44"/>
    <w:rsid w:val="00386D13"/>
    <w:rsid w:val="00391392"/>
    <w:rsid w:val="00392A49"/>
    <w:rsid w:val="00393812"/>
    <w:rsid w:val="003A26D1"/>
    <w:rsid w:val="003A3B30"/>
    <w:rsid w:val="003A40E2"/>
    <w:rsid w:val="003A477B"/>
    <w:rsid w:val="003A779E"/>
    <w:rsid w:val="003B005A"/>
    <w:rsid w:val="003B0636"/>
    <w:rsid w:val="003B0C0C"/>
    <w:rsid w:val="003B6385"/>
    <w:rsid w:val="003B78C4"/>
    <w:rsid w:val="003C3FA5"/>
    <w:rsid w:val="003D0F4D"/>
    <w:rsid w:val="003D1B5E"/>
    <w:rsid w:val="003D2762"/>
    <w:rsid w:val="003D5B0D"/>
    <w:rsid w:val="003E0499"/>
    <w:rsid w:val="003E40F2"/>
    <w:rsid w:val="003E7EAA"/>
    <w:rsid w:val="003F3941"/>
    <w:rsid w:val="00400676"/>
    <w:rsid w:val="004008A9"/>
    <w:rsid w:val="00400A59"/>
    <w:rsid w:val="0040480E"/>
    <w:rsid w:val="00406575"/>
    <w:rsid w:val="004069AB"/>
    <w:rsid w:val="00410906"/>
    <w:rsid w:val="00415226"/>
    <w:rsid w:val="0041655A"/>
    <w:rsid w:val="00423D78"/>
    <w:rsid w:val="00426FD7"/>
    <w:rsid w:val="0042722E"/>
    <w:rsid w:val="00427DA0"/>
    <w:rsid w:val="00440391"/>
    <w:rsid w:val="004405A4"/>
    <w:rsid w:val="004426AD"/>
    <w:rsid w:val="00442C7F"/>
    <w:rsid w:val="0044528D"/>
    <w:rsid w:val="0044798F"/>
    <w:rsid w:val="00450920"/>
    <w:rsid w:val="004530EA"/>
    <w:rsid w:val="00454D48"/>
    <w:rsid w:val="004554F9"/>
    <w:rsid w:val="0046004D"/>
    <w:rsid w:val="00461A6A"/>
    <w:rsid w:val="004633DE"/>
    <w:rsid w:val="00465E71"/>
    <w:rsid w:val="00466040"/>
    <w:rsid w:val="00471654"/>
    <w:rsid w:val="004734BD"/>
    <w:rsid w:val="00475854"/>
    <w:rsid w:val="00480BAF"/>
    <w:rsid w:val="00482608"/>
    <w:rsid w:val="00483749"/>
    <w:rsid w:val="00484809"/>
    <w:rsid w:val="00484BB1"/>
    <w:rsid w:val="004A0980"/>
    <w:rsid w:val="004A0B8B"/>
    <w:rsid w:val="004A1847"/>
    <w:rsid w:val="004A305D"/>
    <w:rsid w:val="004A3312"/>
    <w:rsid w:val="004A66E3"/>
    <w:rsid w:val="004B01B2"/>
    <w:rsid w:val="004B740F"/>
    <w:rsid w:val="004C28C6"/>
    <w:rsid w:val="004C4B37"/>
    <w:rsid w:val="004D026D"/>
    <w:rsid w:val="004D23A7"/>
    <w:rsid w:val="004E221E"/>
    <w:rsid w:val="004E2892"/>
    <w:rsid w:val="004E4C0B"/>
    <w:rsid w:val="004E505B"/>
    <w:rsid w:val="004E7CE7"/>
    <w:rsid w:val="004F21C4"/>
    <w:rsid w:val="004F3012"/>
    <w:rsid w:val="004F3B9E"/>
    <w:rsid w:val="004F5559"/>
    <w:rsid w:val="004F685F"/>
    <w:rsid w:val="004F7EC9"/>
    <w:rsid w:val="00504CBE"/>
    <w:rsid w:val="00505795"/>
    <w:rsid w:val="00514598"/>
    <w:rsid w:val="005163B5"/>
    <w:rsid w:val="0052543A"/>
    <w:rsid w:val="00525FDB"/>
    <w:rsid w:val="0052785C"/>
    <w:rsid w:val="00533E1B"/>
    <w:rsid w:val="00540C2D"/>
    <w:rsid w:val="0054335F"/>
    <w:rsid w:val="00552502"/>
    <w:rsid w:val="00554BD4"/>
    <w:rsid w:val="005566E8"/>
    <w:rsid w:val="00560CB5"/>
    <w:rsid w:val="00564F8B"/>
    <w:rsid w:val="00574122"/>
    <w:rsid w:val="00574867"/>
    <w:rsid w:val="00577D09"/>
    <w:rsid w:val="0058087F"/>
    <w:rsid w:val="00591460"/>
    <w:rsid w:val="00592628"/>
    <w:rsid w:val="00597C75"/>
    <w:rsid w:val="005A0868"/>
    <w:rsid w:val="005A0CFB"/>
    <w:rsid w:val="005A282F"/>
    <w:rsid w:val="005A2AC9"/>
    <w:rsid w:val="005A6C21"/>
    <w:rsid w:val="005B2CCE"/>
    <w:rsid w:val="005B58C1"/>
    <w:rsid w:val="005B6033"/>
    <w:rsid w:val="005C3777"/>
    <w:rsid w:val="005C5CDC"/>
    <w:rsid w:val="005D17C8"/>
    <w:rsid w:val="005D2B2B"/>
    <w:rsid w:val="005D476C"/>
    <w:rsid w:val="005D5F91"/>
    <w:rsid w:val="005D7B25"/>
    <w:rsid w:val="005E05FA"/>
    <w:rsid w:val="005E6B74"/>
    <w:rsid w:val="005F1284"/>
    <w:rsid w:val="005F3CE0"/>
    <w:rsid w:val="005F5542"/>
    <w:rsid w:val="005F7C43"/>
    <w:rsid w:val="00601DFC"/>
    <w:rsid w:val="00605A00"/>
    <w:rsid w:val="00610812"/>
    <w:rsid w:val="00612CE7"/>
    <w:rsid w:val="00615F46"/>
    <w:rsid w:val="0062005D"/>
    <w:rsid w:val="006219F8"/>
    <w:rsid w:val="0063165E"/>
    <w:rsid w:val="00632C08"/>
    <w:rsid w:val="00650FF7"/>
    <w:rsid w:val="00656421"/>
    <w:rsid w:val="00660F6A"/>
    <w:rsid w:val="00663B19"/>
    <w:rsid w:val="00665032"/>
    <w:rsid w:val="00665D70"/>
    <w:rsid w:val="00671DAC"/>
    <w:rsid w:val="006747C7"/>
    <w:rsid w:val="006827AC"/>
    <w:rsid w:val="006859A3"/>
    <w:rsid w:val="006900D9"/>
    <w:rsid w:val="006920AE"/>
    <w:rsid w:val="00697B17"/>
    <w:rsid w:val="006A0008"/>
    <w:rsid w:val="006A10DF"/>
    <w:rsid w:val="006A3147"/>
    <w:rsid w:val="006B14B5"/>
    <w:rsid w:val="006B25DE"/>
    <w:rsid w:val="006B4CA3"/>
    <w:rsid w:val="006C0240"/>
    <w:rsid w:val="006C238E"/>
    <w:rsid w:val="006C2D78"/>
    <w:rsid w:val="006C5595"/>
    <w:rsid w:val="006D12F8"/>
    <w:rsid w:val="006D4E33"/>
    <w:rsid w:val="006E41C6"/>
    <w:rsid w:val="006F0D40"/>
    <w:rsid w:val="006F2501"/>
    <w:rsid w:val="00700975"/>
    <w:rsid w:val="00701852"/>
    <w:rsid w:val="00704D9B"/>
    <w:rsid w:val="00705E5F"/>
    <w:rsid w:val="00706C16"/>
    <w:rsid w:val="00711C85"/>
    <w:rsid w:val="0071458F"/>
    <w:rsid w:val="0071627C"/>
    <w:rsid w:val="00720E03"/>
    <w:rsid w:val="00723A7F"/>
    <w:rsid w:val="00723F2B"/>
    <w:rsid w:val="00725CCD"/>
    <w:rsid w:val="007312C3"/>
    <w:rsid w:val="00737C53"/>
    <w:rsid w:val="00737DFA"/>
    <w:rsid w:val="007534CA"/>
    <w:rsid w:val="00756841"/>
    <w:rsid w:val="0076066F"/>
    <w:rsid w:val="00762AA9"/>
    <w:rsid w:val="007649AB"/>
    <w:rsid w:val="007670E3"/>
    <w:rsid w:val="00771D0C"/>
    <w:rsid w:val="00771FD2"/>
    <w:rsid w:val="0078274D"/>
    <w:rsid w:val="007833AC"/>
    <w:rsid w:val="00784D58"/>
    <w:rsid w:val="00786FBF"/>
    <w:rsid w:val="00790AB7"/>
    <w:rsid w:val="007913EA"/>
    <w:rsid w:val="00791769"/>
    <w:rsid w:val="00796340"/>
    <w:rsid w:val="007A23EA"/>
    <w:rsid w:val="007A5189"/>
    <w:rsid w:val="007B0D88"/>
    <w:rsid w:val="007B268C"/>
    <w:rsid w:val="007B7171"/>
    <w:rsid w:val="007B7D02"/>
    <w:rsid w:val="007C0C0F"/>
    <w:rsid w:val="007C2E67"/>
    <w:rsid w:val="007C3DC2"/>
    <w:rsid w:val="007C4E2B"/>
    <w:rsid w:val="007D0457"/>
    <w:rsid w:val="007D124A"/>
    <w:rsid w:val="007D43C9"/>
    <w:rsid w:val="007E126E"/>
    <w:rsid w:val="007E5497"/>
    <w:rsid w:val="007F28CA"/>
    <w:rsid w:val="007F52A4"/>
    <w:rsid w:val="007F60FB"/>
    <w:rsid w:val="007F6F8E"/>
    <w:rsid w:val="007F7B94"/>
    <w:rsid w:val="00800789"/>
    <w:rsid w:val="00803997"/>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6C43"/>
    <w:rsid w:val="00864209"/>
    <w:rsid w:val="0087325B"/>
    <w:rsid w:val="00877EBA"/>
    <w:rsid w:val="0088002A"/>
    <w:rsid w:val="00881ABA"/>
    <w:rsid w:val="008841E9"/>
    <w:rsid w:val="008843B6"/>
    <w:rsid w:val="008853C1"/>
    <w:rsid w:val="00886C89"/>
    <w:rsid w:val="00887569"/>
    <w:rsid w:val="00891928"/>
    <w:rsid w:val="00894B8B"/>
    <w:rsid w:val="008961BA"/>
    <w:rsid w:val="008A00A4"/>
    <w:rsid w:val="008A446D"/>
    <w:rsid w:val="008A69CD"/>
    <w:rsid w:val="008A7A64"/>
    <w:rsid w:val="008A7F08"/>
    <w:rsid w:val="008B2F0E"/>
    <w:rsid w:val="008B5A2E"/>
    <w:rsid w:val="008C1DA6"/>
    <w:rsid w:val="008D180B"/>
    <w:rsid w:val="008D1BDB"/>
    <w:rsid w:val="008D6CDA"/>
    <w:rsid w:val="008D7227"/>
    <w:rsid w:val="008E1F92"/>
    <w:rsid w:val="008E7333"/>
    <w:rsid w:val="008E7B09"/>
    <w:rsid w:val="008F0EA7"/>
    <w:rsid w:val="008F1CA9"/>
    <w:rsid w:val="008F7BB9"/>
    <w:rsid w:val="00904692"/>
    <w:rsid w:val="00910097"/>
    <w:rsid w:val="00911C7C"/>
    <w:rsid w:val="0091561E"/>
    <w:rsid w:val="00920849"/>
    <w:rsid w:val="00922F57"/>
    <w:rsid w:val="00923EEF"/>
    <w:rsid w:val="009325CC"/>
    <w:rsid w:val="009354DD"/>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7093E"/>
    <w:rsid w:val="009725F1"/>
    <w:rsid w:val="00976025"/>
    <w:rsid w:val="00976F04"/>
    <w:rsid w:val="009800BE"/>
    <w:rsid w:val="00982E41"/>
    <w:rsid w:val="00983B79"/>
    <w:rsid w:val="00983EEA"/>
    <w:rsid w:val="00984649"/>
    <w:rsid w:val="009858BE"/>
    <w:rsid w:val="009A0DFA"/>
    <w:rsid w:val="009A3C2C"/>
    <w:rsid w:val="009A4A40"/>
    <w:rsid w:val="009B2D26"/>
    <w:rsid w:val="009B3595"/>
    <w:rsid w:val="009B5228"/>
    <w:rsid w:val="009B6C8C"/>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0CDE"/>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A38CC"/>
    <w:rsid w:val="00AB0ADB"/>
    <w:rsid w:val="00AB3FD1"/>
    <w:rsid w:val="00AB4E03"/>
    <w:rsid w:val="00AC0DF9"/>
    <w:rsid w:val="00AC0EAB"/>
    <w:rsid w:val="00AC4701"/>
    <w:rsid w:val="00AC49A2"/>
    <w:rsid w:val="00AD73E2"/>
    <w:rsid w:val="00AE2631"/>
    <w:rsid w:val="00AE3D6C"/>
    <w:rsid w:val="00AF1BEC"/>
    <w:rsid w:val="00AF54CA"/>
    <w:rsid w:val="00B009B8"/>
    <w:rsid w:val="00B01B1A"/>
    <w:rsid w:val="00B0268A"/>
    <w:rsid w:val="00B0410F"/>
    <w:rsid w:val="00B07DDD"/>
    <w:rsid w:val="00B14E03"/>
    <w:rsid w:val="00B2689F"/>
    <w:rsid w:val="00B26B98"/>
    <w:rsid w:val="00B35201"/>
    <w:rsid w:val="00B35ADC"/>
    <w:rsid w:val="00B37C24"/>
    <w:rsid w:val="00B40FBC"/>
    <w:rsid w:val="00B427E2"/>
    <w:rsid w:val="00B46F27"/>
    <w:rsid w:val="00B47FD7"/>
    <w:rsid w:val="00B51F75"/>
    <w:rsid w:val="00B52169"/>
    <w:rsid w:val="00B53E27"/>
    <w:rsid w:val="00B558AF"/>
    <w:rsid w:val="00B615BA"/>
    <w:rsid w:val="00B62D8B"/>
    <w:rsid w:val="00B653F6"/>
    <w:rsid w:val="00B72CD3"/>
    <w:rsid w:val="00B72FFF"/>
    <w:rsid w:val="00B76CEB"/>
    <w:rsid w:val="00B80CC6"/>
    <w:rsid w:val="00B8257D"/>
    <w:rsid w:val="00B82B8B"/>
    <w:rsid w:val="00B86FE2"/>
    <w:rsid w:val="00B91186"/>
    <w:rsid w:val="00B93423"/>
    <w:rsid w:val="00B93E58"/>
    <w:rsid w:val="00B948E8"/>
    <w:rsid w:val="00BA0A22"/>
    <w:rsid w:val="00BA2EF4"/>
    <w:rsid w:val="00BA6BE0"/>
    <w:rsid w:val="00BB0B29"/>
    <w:rsid w:val="00BB22DA"/>
    <w:rsid w:val="00BB2C9D"/>
    <w:rsid w:val="00BC0036"/>
    <w:rsid w:val="00BC05A6"/>
    <w:rsid w:val="00BC3D36"/>
    <w:rsid w:val="00BC4B34"/>
    <w:rsid w:val="00BC7498"/>
    <w:rsid w:val="00BD424C"/>
    <w:rsid w:val="00BD4BCA"/>
    <w:rsid w:val="00BD7F72"/>
    <w:rsid w:val="00BE03BC"/>
    <w:rsid w:val="00BE0A18"/>
    <w:rsid w:val="00BF0D99"/>
    <w:rsid w:val="00BF1201"/>
    <w:rsid w:val="00BF1D4A"/>
    <w:rsid w:val="00BF230F"/>
    <w:rsid w:val="00C002E3"/>
    <w:rsid w:val="00C012CC"/>
    <w:rsid w:val="00C04FB3"/>
    <w:rsid w:val="00C0556F"/>
    <w:rsid w:val="00C06C4F"/>
    <w:rsid w:val="00C147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0713"/>
    <w:rsid w:val="00C915DD"/>
    <w:rsid w:val="00C91B94"/>
    <w:rsid w:val="00C92665"/>
    <w:rsid w:val="00CA4272"/>
    <w:rsid w:val="00CA550B"/>
    <w:rsid w:val="00CA6A9D"/>
    <w:rsid w:val="00CA7F6B"/>
    <w:rsid w:val="00CB6357"/>
    <w:rsid w:val="00CC0FA3"/>
    <w:rsid w:val="00CC1B26"/>
    <w:rsid w:val="00CC49F7"/>
    <w:rsid w:val="00CC54DB"/>
    <w:rsid w:val="00CC7787"/>
    <w:rsid w:val="00CD087D"/>
    <w:rsid w:val="00CD41CB"/>
    <w:rsid w:val="00CD5EE0"/>
    <w:rsid w:val="00CE02A2"/>
    <w:rsid w:val="00CE3273"/>
    <w:rsid w:val="00CE509A"/>
    <w:rsid w:val="00CE5414"/>
    <w:rsid w:val="00CF241F"/>
    <w:rsid w:val="00CF7826"/>
    <w:rsid w:val="00D0157A"/>
    <w:rsid w:val="00D036D8"/>
    <w:rsid w:val="00D038ED"/>
    <w:rsid w:val="00D054F2"/>
    <w:rsid w:val="00D06D26"/>
    <w:rsid w:val="00D10B75"/>
    <w:rsid w:val="00D13351"/>
    <w:rsid w:val="00D15E25"/>
    <w:rsid w:val="00D20368"/>
    <w:rsid w:val="00D22361"/>
    <w:rsid w:val="00D22598"/>
    <w:rsid w:val="00D26924"/>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3EDB"/>
    <w:rsid w:val="00D7609E"/>
    <w:rsid w:val="00D81A63"/>
    <w:rsid w:val="00D81D25"/>
    <w:rsid w:val="00D85C60"/>
    <w:rsid w:val="00D86C54"/>
    <w:rsid w:val="00D91F8B"/>
    <w:rsid w:val="00D94C40"/>
    <w:rsid w:val="00DA231B"/>
    <w:rsid w:val="00DA23A0"/>
    <w:rsid w:val="00DA7F66"/>
    <w:rsid w:val="00DB186F"/>
    <w:rsid w:val="00DB4EB0"/>
    <w:rsid w:val="00DB77B8"/>
    <w:rsid w:val="00DC39FC"/>
    <w:rsid w:val="00DC4385"/>
    <w:rsid w:val="00DC484F"/>
    <w:rsid w:val="00DC4C27"/>
    <w:rsid w:val="00DC51BC"/>
    <w:rsid w:val="00DC78A7"/>
    <w:rsid w:val="00DC793F"/>
    <w:rsid w:val="00DE3BDD"/>
    <w:rsid w:val="00DE4629"/>
    <w:rsid w:val="00DE58C9"/>
    <w:rsid w:val="00DE6EAA"/>
    <w:rsid w:val="00DF11FD"/>
    <w:rsid w:val="00DF5254"/>
    <w:rsid w:val="00E052F2"/>
    <w:rsid w:val="00E12426"/>
    <w:rsid w:val="00E14EB2"/>
    <w:rsid w:val="00E16408"/>
    <w:rsid w:val="00E20894"/>
    <w:rsid w:val="00E2397D"/>
    <w:rsid w:val="00E23B70"/>
    <w:rsid w:val="00E245AB"/>
    <w:rsid w:val="00E26239"/>
    <w:rsid w:val="00E2764C"/>
    <w:rsid w:val="00E27F2E"/>
    <w:rsid w:val="00E35539"/>
    <w:rsid w:val="00E413EA"/>
    <w:rsid w:val="00E47F28"/>
    <w:rsid w:val="00E50AFE"/>
    <w:rsid w:val="00E52E49"/>
    <w:rsid w:val="00E577AC"/>
    <w:rsid w:val="00E578B6"/>
    <w:rsid w:val="00E61547"/>
    <w:rsid w:val="00E61702"/>
    <w:rsid w:val="00E6426E"/>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638F"/>
    <w:rsid w:val="00EB7E00"/>
    <w:rsid w:val="00EC1A2C"/>
    <w:rsid w:val="00EC1FE1"/>
    <w:rsid w:val="00EC38A7"/>
    <w:rsid w:val="00ED042A"/>
    <w:rsid w:val="00ED0D4A"/>
    <w:rsid w:val="00EE1AA8"/>
    <w:rsid w:val="00EE6DCD"/>
    <w:rsid w:val="00EF26C3"/>
    <w:rsid w:val="00EF419E"/>
    <w:rsid w:val="00EF489F"/>
    <w:rsid w:val="00F00796"/>
    <w:rsid w:val="00F11213"/>
    <w:rsid w:val="00F11BAA"/>
    <w:rsid w:val="00F177C1"/>
    <w:rsid w:val="00F17EB6"/>
    <w:rsid w:val="00F238F2"/>
    <w:rsid w:val="00F248A2"/>
    <w:rsid w:val="00F260AA"/>
    <w:rsid w:val="00F27B26"/>
    <w:rsid w:val="00F30B1C"/>
    <w:rsid w:val="00F31EDC"/>
    <w:rsid w:val="00F34D02"/>
    <w:rsid w:val="00F34E84"/>
    <w:rsid w:val="00F40BAD"/>
    <w:rsid w:val="00F462B3"/>
    <w:rsid w:val="00F50DC9"/>
    <w:rsid w:val="00F5184B"/>
    <w:rsid w:val="00F52B11"/>
    <w:rsid w:val="00F5491E"/>
    <w:rsid w:val="00F55081"/>
    <w:rsid w:val="00F55168"/>
    <w:rsid w:val="00F5664F"/>
    <w:rsid w:val="00F61ABB"/>
    <w:rsid w:val="00F626C4"/>
    <w:rsid w:val="00F64D9E"/>
    <w:rsid w:val="00F65254"/>
    <w:rsid w:val="00F664EC"/>
    <w:rsid w:val="00F666C4"/>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B4425"/>
    <w:rsid w:val="00FB5615"/>
    <w:rsid w:val="00FB5DD1"/>
    <w:rsid w:val="00FB5F87"/>
    <w:rsid w:val="00FC07B5"/>
    <w:rsid w:val="00FC2B5D"/>
    <w:rsid w:val="00FC7C3B"/>
    <w:rsid w:val="00FD00BB"/>
    <w:rsid w:val="00FD00E9"/>
    <w:rsid w:val="00FD03E3"/>
    <w:rsid w:val="00FD108E"/>
    <w:rsid w:val="00FD653F"/>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B8D1C462-87F9-4030-8ADD-BDF27590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B29"/>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06458396">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5176189">
      <w:bodyDiv w:val="1"/>
      <w:marLeft w:val="0"/>
      <w:marRight w:val="0"/>
      <w:marTop w:val="0"/>
      <w:marBottom w:val="0"/>
      <w:divBdr>
        <w:top w:val="none" w:sz="0" w:space="0" w:color="auto"/>
        <w:left w:val="none" w:sz="0" w:space="0" w:color="auto"/>
        <w:bottom w:val="none" w:sz="0" w:space="0" w:color="auto"/>
        <w:right w:val="none" w:sz="0" w:space="0" w:color="auto"/>
      </w:divBdr>
    </w:div>
    <w:div w:id="809860033">
      <w:bodyDiv w:val="1"/>
      <w:marLeft w:val="0"/>
      <w:marRight w:val="0"/>
      <w:marTop w:val="0"/>
      <w:marBottom w:val="0"/>
      <w:divBdr>
        <w:top w:val="none" w:sz="0" w:space="0" w:color="auto"/>
        <w:left w:val="none" w:sz="0" w:space="0" w:color="auto"/>
        <w:bottom w:val="none" w:sz="0" w:space="0" w:color="auto"/>
        <w:right w:val="none" w:sz="0" w:space="0" w:color="auto"/>
      </w:divBdr>
      <w:divsChild>
        <w:div w:id="314988882">
          <w:marLeft w:val="0"/>
          <w:marRight w:val="0"/>
          <w:marTop w:val="0"/>
          <w:marBottom w:val="0"/>
          <w:divBdr>
            <w:top w:val="none" w:sz="0" w:space="0" w:color="auto"/>
            <w:left w:val="none" w:sz="0" w:space="0" w:color="auto"/>
            <w:bottom w:val="none" w:sz="0" w:space="0" w:color="auto"/>
            <w:right w:val="none" w:sz="0" w:space="0" w:color="auto"/>
          </w:divBdr>
          <w:divsChild>
            <w:div w:id="1944605762">
              <w:marLeft w:val="0"/>
              <w:marRight w:val="0"/>
              <w:marTop w:val="0"/>
              <w:marBottom w:val="0"/>
              <w:divBdr>
                <w:top w:val="none" w:sz="0" w:space="0" w:color="auto"/>
                <w:left w:val="none" w:sz="0" w:space="0" w:color="auto"/>
                <w:bottom w:val="none" w:sz="0" w:space="0" w:color="auto"/>
                <w:right w:val="none" w:sz="0" w:space="0" w:color="auto"/>
              </w:divBdr>
              <w:divsChild>
                <w:div w:id="1383137730">
                  <w:marLeft w:val="0"/>
                  <w:marRight w:val="0"/>
                  <w:marTop w:val="0"/>
                  <w:marBottom w:val="0"/>
                  <w:divBdr>
                    <w:top w:val="none" w:sz="0" w:space="0" w:color="auto"/>
                    <w:left w:val="none" w:sz="0" w:space="0" w:color="auto"/>
                    <w:bottom w:val="none" w:sz="0" w:space="0" w:color="auto"/>
                    <w:right w:val="none" w:sz="0" w:space="0" w:color="auto"/>
                  </w:divBdr>
                  <w:divsChild>
                    <w:div w:id="277300054">
                      <w:marLeft w:val="0"/>
                      <w:marRight w:val="0"/>
                      <w:marTop w:val="0"/>
                      <w:marBottom w:val="0"/>
                      <w:divBdr>
                        <w:top w:val="none" w:sz="0" w:space="0" w:color="auto"/>
                        <w:left w:val="none" w:sz="0" w:space="0" w:color="auto"/>
                        <w:bottom w:val="none" w:sz="0" w:space="0" w:color="auto"/>
                        <w:right w:val="none" w:sz="0" w:space="0" w:color="auto"/>
                      </w:divBdr>
                      <w:divsChild>
                        <w:div w:id="328599326">
                          <w:marLeft w:val="0"/>
                          <w:marRight w:val="0"/>
                          <w:marTop w:val="0"/>
                          <w:marBottom w:val="0"/>
                          <w:divBdr>
                            <w:top w:val="none" w:sz="0" w:space="0" w:color="auto"/>
                            <w:left w:val="none" w:sz="0" w:space="0" w:color="auto"/>
                            <w:bottom w:val="none" w:sz="0" w:space="0" w:color="auto"/>
                            <w:right w:val="none" w:sz="0" w:space="0" w:color="auto"/>
                          </w:divBdr>
                          <w:divsChild>
                            <w:div w:id="248344908">
                              <w:marLeft w:val="0"/>
                              <w:marRight w:val="0"/>
                              <w:marTop w:val="0"/>
                              <w:marBottom w:val="0"/>
                              <w:divBdr>
                                <w:top w:val="none" w:sz="0" w:space="0" w:color="auto"/>
                                <w:left w:val="none" w:sz="0" w:space="0" w:color="auto"/>
                                <w:bottom w:val="none" w:sz="0" w:space="0" w:color="auto"/>
                                <w:right w:val="none" w:sz="0" w:space="0" w:color="auto"/>
                              </w:divBdr>
                            </w:div>
                            <w:div w:id="3265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87255">
                  <w:marLeft w:val="0"/>
                  <w:marRight w:val="0"/>
                  <w:marTop w:val="0"/>
                  <w:marBottom w:val="0"/>
                  <w:divBdr>
                    <w:top w:val="none" w:sz="0" w:space="0" w:color="auto"/>
                    <w:left w:val="none" w:sz="0" w:space="0" w:color="auto"/>
                    <w:bottom w:val="none" w:sz="0" w:space="0" w:color="auto"/>
                    <w:right w:val="none" w:sz="0" w:space="0" w:color="auto"/>
                  </w:divBdr>
                  <w:divsChild>
                    <w:div w:id="270744893">
                      <w:marLeft w:val="0"/>
                      <w:marRight w:val="0"/>
                      <w:marTop w:val="0"/>
                      <w:marBottom w:val="0"/>
                      <w:divBdr>
                        <w:top w:val="none" w:sz="0" w:space="0" w:color="auto"/>
                        <w:left w:val="none" w:sz="0" w:space="0" w:color="auto"/>
                        <w:bottom w:val="none" w:sz="0" w:space="0" w:color="auto"/>
                        <w:right w:val="none" w:sz="0" w:space="0" w:color="auto"/>
                      </w:divBdr>
                      <w:divsChild>
                        <w:div w:id="543373686">
                          <w:marLeft w:val="0"/>
                          <w:marRight w:val="0"/>
                          <w:marTop w:val="0"/>
                          <w:marBottom w:val="0"/>
                          <w:divBdr>
                            <w:top w:val="none" w:sz="0" w:space="0" w:color="auto"/>
                            <w:left w:val="none" w:sz="0" w:space="0" w:color="auto"/>
                            <w:bottom w:val="none" w:sz="0" w:space="0" w:color="auto"/>
                            <w:right w:val="none" w:sz="0" w:space="0" w:color="auto"/>
                          </w:divBdr>
                          <w:divsChild>
                            <w:div w:id="1964068786">
                              <w:marLeft w:val="0"/>
                              <w:marRight w:val="0"/>
                              <w:marTop w:val="0"/>
                              <w:marBottom w:val="0"/>
                              <w:divBdr>
                                <w:top w:val="none" w:sz="0" w:space="0" w:color="auto"/>
                                <w:left w:val="none" w:sz="0" w:space="0" w:color="auto"/>
                                <w:bottom w:val="none" w:sz="0" w:space="0" w:color="auto"/>
                                <w:right w:val="none" w:sz="0" w:space="0" w:color="auto"/>
                              </w:divBdr>
                            </w:div>
                            <w:div w:id="20155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000710">
                  <w:marLeft w:val="0"/>
                  <w:marRight w:val="0"/>
                  <w:marTop w:val="0"/>
                  <w:marBottom w:val="0"/>
                  <w:divBdr>
                    <w:top w:val="none" w:sz="0" w:space="0" w:color="auto"/>
                    <w:left w:val="none" w:sz="0" w:space="0" w:color="auto"/>
                    <w:bottom w:val="none" w:sz="0" w:space="0" w:color="auto"/>
                    <w:right w:val="none" w:sz="0" w:space="0" w:color="auto"/>
                  </w:divBdr>
                  <w:divsChild>
                    <w:div w:id="917322602">
                      <w:marLeft w:val="0"/>
                      <w:marRight w:val="0"/>
                      <w:marTop w:val="0"/>
                      <w:marBottom w:val="0"/>
                      <w:divBdr>
                        <w:top w:val="none" w:sz="0" w:space="0" w:color="auto"/>
                        <w:left w:val="none" w:sz="0" w:space="0" w:color="auto"/>
                        <w:bottom w:val="none" w:sz="0" w:space="0" w:color="auto"/>
                        <w:right w:val="none" w:sz="0" w:space="0" w:color="auto"/>
                      </w:divBdr>
                      <w:divsChild>
                        <w:div w:id="1586302231">
                          <w:marLeft w:val="0"/>
                          <w:marRight w:val="0"/>
                          <w:marTop w:val="0"/>
                          <w:marBottom w:val="0"/>
                          <w:divBdr>
                            <w:top w:val="none" w:sz="0" w:space="0" w:color="auto"/>
                            <w:left w:val="none" w:sz="0" w:space="0" w:color="auto"/>
                            <w:bottom w:val="none" w:sz="0" w:space="0" w:color="auto"/>
                            <w:right w:val="none" w:sz="0" w:space="0" w:color="auto"/>
                          </w:divBdr>
                          <w:divsChild>
                            <w:div w:id="1078676224">
                              <w:marLeft w:val="0"/>
                              <w:marRight w:val="0"/>
                              <w:marTop w:val="0"/>
                              <w:marBottom w:val="0"/>
                              <w:divBdr>
                                <w:top w:val="none" w:sz="0" w:space="0" w:color="auto"/>
                                <w:left w:val="none" w:sz="0" w:space="0" w:color="auto"/>
                                <w:bottom w:val="none" w:sz="0" w:space="0" w:color="auto"/>
                                <w:right w:val="none" w:sz="0" w:space="0" w:color="auto"/>
                              </w:divBdr>
                            </w:div>
                            <w:div w:id="204952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982479">
          <w:marLeft w:val="0"/>
          <w:marRight w:val="0"/>
          <w:marTop w:val="0"/>
          <w:marBottom w:val="0"/>
          <w:divBdr>
            <w:top w:val="none" w:sz="0" w:space="0" w:color="auto"/>
            <w:left w:val="none" w:sz="0" w:space="0" w:color="auto"/>
            <w:bottom w:val="none" w:sz="0" w:space="0" w:color="auto"/>
            <w:right w:val="none" w:sz="0" w:space="0" w:color="auto"/>
          </w:divBdr>
          <w:divsChild>
            <w:div w:id="2109498726">
              <w:marLeft w:val="0"/>
              <w:marRight w:val="0"/>
              <w:marTop w:val="0"/>
              <w:marBottom w:val="0"/>
              <w:divBdr>
                <w:top w:val="none" w:sz="0" w:space="0" w:color="auto"/>
                <w:left w:val="none" w:sz="0" w:space="0" w:color="auto"/>
                <w:bottom w:val="none" w:sz="0" w:space="0" w:color="auto"/>
                <w:right w:val="none" w:sz="0" w:space="0" w:color="auto"/>
              </w:divBdr>
              <w:divsChild>
                <w:div w:id="1438643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26157069">
          <w:marLeft w:val="0"/>
          <w:marRight w:val="0"/>
          <w:marTop w:val="0"/>
          <w:marBottom w:val="0"/>
          <w:divBdr>
            <w:top w:val="none" w:sz="0" w:space="0" w:color="auto"/>
            <w:left w:val="none" w:sz="0" w:space="0" w:color="auto"/>
            <w:bottom w:val="none" w:sz="0" w:space="0" w:color="auto"/>
            <w:right w:val="none" w:sz="0" w:space="0" w:color="auto"/>
          </w:divBdr>
          <w:divsChild>
            <w:div w:id="768741598">
              <w:marLeft w:val="0"/>
              <w:marRight w:val="0"/>
              <w:marTop w:val="0"/>
              <w:marBottom w:val="0"/>
              <w:divBdr>
                <w:top w:val="none" w:sz="0" w:space="0" w:color="auto"/>
                <w:left w:val="none" w:sz="0" w:space="0" w:color="auto"/>
                <w:bottom w:val="none" w:sz="0" w:space="0" w:color="auto"/>
                <w:right w:val="none" w:sz="0" w:space="0" w:color="auto"/>
              </w:divBdr>
              <w:divsChild>
                <w:div w:id="96661779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04252766">
          <w:marLeft w:val="0"/>
          <w:marRight w:val="0"/>
          <w:marTop w:val="0"/>
          <w:marBottom w:val="0"/>
          <w:divBdr>
            <w:top w:val="none" w:sz="0" w:space="0" w:color="auto"/>
            <w:left w:val="none" w:sz="0" w:space="0" w:color="auto"/>
            <w:bottom w:val="none" w:sz="0" w:space="0" w:color="auto"/>
            <w:right w:val="none" w:sz="0" w:space="0" w:color="auto"/>
          </w:divBdr>
          <w:divsChild>
            <w:div w:id="269777633">
              <w:marLeft w:val="0"/>
              <w:marRight w:val="0"/>
              <w:marTop w:val="0"/>
              <w:marBottom w:val="0"/>
              <w:divBdr>
                <w:top w:val="none" w:sz="0" w:space="0" w:color="auto"/>
                <w:left w:val="none" w:sz="0" w:space="0" w:color="auto"/>
                <w:bottom w:val="none" w:sz="0" w:space="0" w:color="auto"/>
                <w:right w:val="none" w:sz="0" w:space="0" w:color="auto"/>
              </w:divBdr>
              <w:divsChild>
                <w:div w:id="53230338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02813907">
          <w:marLeft w:val="0"/>
          <w:marRight w:val="0"/>
          <w:marTop w:val="0"/>
          <w:marBottom w:val="0"/>
          <w:divBdr>
            <w:top w:val="none" w:sz="0" w:space="0" w:color="auto"/>
            <w:left w:val="none" w:sz="0" w:space="0" w:color="auto"/>
            <w:bottom w:val="none" w:sz="0" w:space="0" w:color="auto"/>
            <w:right w:val="none" w:sz="0" w:space="0" w:color="auto"/>
          </w:divBdr>
          <w:divsChild>
            <w:div w:id="637998150">
              <w:marLeft w:val="0"/>
              <w:marRight w:val="0"/>
              <w:marTop w:val="0"/>
              <w:marBottom w:val="0"/>
              <w:divBdr>
                <w:top w:val="none" w:sz="0" w:space="0" w:color="auto"/>
                <w:left w:val="none" w:sz="0" w:space="0" w:color="auto"/>
                <w:bottom w:val="none" w:sz="0" w:space="0" w:color="auto"/>
                <w:right w:val="none" w:sz="0" w:space="0" w:color="auto"/>
              </w:divBdr>
              <w:divsChild>
                <w:div w:id="278994657">
                  <w:marLeft w:val="0"/>
                  <w:marRight w:val="0"/>
                  <w:marTop w:val="0"/>
                  <w:marBottom w:val="0"/>
                  <w:divBdr>
                    <w:top w:val="none" w:sz="0" w:space="0" w:color="auto"/>
                    <w:left w:val="none" w:sz="0" w:space="0" w:color="auto"/>
                    <w:bottom w:val="none" w:sz="0" w:space="0" w:color="auto"/>
                    <w:right w:val="none" w:sz="0" w:space="0" w:color="auto"/>
                  </w:divBdr>
                  <w:divsChild>
                    <w:div w:id="478689061">
                      <w:marLeft w:val="0"/>
                      <w:marRight w:val="0"/>
                      <w:marTop w:val="0"/>
                      <w:marBottom w:val="0"/>
                      <w:divBdr>
                        <w:top w:val="none" w:sz="0" w:space="0" w:color="auto"/>
                        <w:left w:val="none" w:sz="0" w:space="0" w:color="auto"/>
                        <w:bottom w:val="none" w:sz="0" w:space="0" w:color="auto"/>
                        <w:right w:val="none" w:sz="0" w:space="0" w:color="auto"/>
                      </w:divBdr>
                      <w:divsChild>
                        <w:div w:id="612249374">
                          <w:marLeft w:val="0"/>
                          <w:marRight w:val="0"/>
                          <w:marTop w:val="0"/>
                          <w:marBottom w:val="0"/>
                          <w:divBdr>
                            <w:top w:val="none" w:sz="0" w:space="0" w:color="auto"/>
                            <w:left w:val="none" w:sz="0" w:space="0" w:color="auto"/>
                            <w:bottom w:val="none" w:sz="0" w:space="0" w:color="auto"/>
                            <w:right w:val="none" w:sz="0" w:space="0" w:color="auto"/>
                          </w:divBdr>
                          <w:divsChild>
                            <w:div w:id="1049650032">
                              <w:marLeft w:val="0"/>
                              <w:marRight w:val="0"/>
                              <w:marTop w:val="0"/>
                              <w:marBottom w:val="0"/>
                              <w:divBdr>
                                <w:top w:val="none" w:sz="0" w:space="0" w:color="auto"/>
                                <w:left w:val="none" w:sz="0" w:space="0" w:color="auto"/>
                                <w:bottom w:val="none" w:sz="0" w:space="0" w:color="auto"/>
                                <w:right w:val="none" w:sz="0" w:space="0" w:color="auto"/>
                              </w:divBdr>
                            </w:div>
                            <w:div w:id="191096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294507">
                  <w:marLeft w:val="0"/>
                  <w:marRight w:val="0"/>
                  <w:marTop w:val="0"/>
                  <w:marBottom w:val="0"/>
                  <w:divBdr>
                    <w:top w:val="none" w:sz="0" w:space="0" w:color="auto"/>
                    <w:left w:val="none" w:sz="0" w:space="0" w:color="auto"/>
                    <w:bottom w:val="none" w:sz="0" w:space="0" w:color="auto"/>
                    <w:right w:val="none" w:sz="0" w:space="0" w:color="auto"/>
                  </w:divBdr>
                  <w:divsChild>
                    <w:div w:id="760026328">
                      <w:marLeft w:val="0"/>
                      <w:marRight w:val="0"/>
                      <w:marTop w:val="0"/>
                      <w:marBottom w:val="0"/>
                      <w:divBdr>
                        <w:top w:val="none" w:sz="0" w:space="0" w:color="auto"/>
                        <w:left w:val="none" w:sz="0" w:space="0" w:color="auto"/>
                        <w:bottom w:val="none" w:sz="0" w:space="0" w:color="auto"/>
                        <w:right w:val="none" w:sz="0" w:space="0" w:color="auto"/>
                      </w:divBdr>
                      <w:divsChild>
                        <w:div w:id="734476450">
                          <w:marLeft w:val="0"/>
                          <w:marRight w:val="0"/>
                          <w:marTop w:val="0"/>
                          <w:marBottom w:val="0"/>
                          <w:divBdr>
                            <w:top w:val="none" w:sz="0" w:space="0" w:color="auto"/>
                            <w:left w:val="none" w:sz="0" w:space="0" w:color="auto"/>
                            <w:bottom w:val="none" w:sz="0" w:space="0" w:color="auto"/>
                            <w:right w:val="none" w:sz="0" w:space="0" w:color="auto"/>
                          </w:divBdr>
                          <w:divsChild>
                            <w:div w:id="865561576">
                              <w:marLeft w:val="0"/>
                              <w:marRight w:val="0"/>
                              <w:marTop w:val="0"/>
                              <w:marBottom w:val="0"/>
                              <w:divBdr>
                                <w:top w:val="none" w:sz="0" w:space="0" w:color="auto"/>
                                <w:left w:val="none" w:sz="0" w:space="0" w:color="auto"/>
                                <w:bottom w:val="none" w:sz="0" w:space="0" w:color="auto"/>
                                <w:right w:val="none" w:sz="0" w:space="0" w:color="auto"/>
                              </w:divBdr>
                            </w:div>
                            <w:div w:id="157208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466016">
                  <w:marLeft w:val="0"/>
                  <w:marRight w:val="0"/>
                  <w:marTop w:val="0"/>
                  <w:marBottom w:val="0"/>
                  <w:divBdr>
                    <w:top w:val="none" w:sz="0" w:space="0" w:color="auto"/>
                    <w:left w:val="none" w:sz="0" w:space="0" w:color="auto"/>
                    <w:bottom w:val="none" w:sz="0" w:space="0" w:color="auto"/>
                    <w:right w:val="none" w:sz="0" w:space="0" w:color="auto"/>
                  </w:divBdr>
                  <w:divsChild>
                    <w:div w:id="565730029">
                      <w:marLeft w:val="0"/>
                      <w:marRight w:val="0"/>
                      <w:marTop w:val="0"/>
                      <w:marBottom w:val="0"/>
                      <w:divBdr>
                        <w:top w:val="none" w:sz="0" w:space="0" w:color="auto"/>
                        <w:left w:val="none" w:sz="0" w:space="0" w:color="auto"/>
                        <w:bottom w:val="none" w:sz="0" w:space="0" w:color="auto"/>
                        <w:right w:val="none" w:sz="0" w:space="0" w:color="auto"/>
                      </w:divBdr>
                      <w:divsChild>
                        <w:div w:id="152334805">
                          <w:marLeft w:val="0"/>
                          <w:marRight w:val="0"/>
                          <w:marTop w:val="0"/>
                          <w:marBottom w:val="0"/>
                          <w:divBdr>
                            <w:top w:val="none" w:sz="0" w:space="0" w:color="auto"/>
                            <w:left w:val="none" w:sz="0" w:space="0" w:color="auto"/>
                            <w:bottom w:val="none" w:sz="0" w:space="0" w:color="auto"/>
                            <w:right w:val="none" w:sz="0" w:space="0" w:color="auto"/>
                          </w:divBdr>
                          <w:divsChild>
                            <w:div w:id="858548275">
                              <w:marLeft w:val="0"/>
                              <w:marRight w:val="0"/>
                              <w:marTop w:val="0"/>
                              <w:marBottom w:val="0"/>
                              <w:divBdr>
                                <w:top w:val="none" w:sz="0" w:space="0" w:color="auto"/>
                                <w:left w:val="none" w:sz="0" w:space="0" w:color="auto"/>
                                <w:bottom w:val="none" w:sz="0" w:space="0" w:color="auto"/>
                                <w:right w:val="none" w:sz="0" w:space="0" w:color="auto"/>
                              </w:divBdr>
                            </w:div>
                            <w:div w:id="13955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5921">
                  <w:marLeft w:val="0"/>
                  <w:marRight w:val="0"/>
                  <w:marTop w:val="0"/>
                  <w:marBottom w:val="0"/>
                  <w:divBdr>
                    <w:top w:val="none" w:sz="0" w:space="0" w:color="auto"/>
                    <w:left w:val="none" w:sz="0" w:space="0" w:color="auto"/>
                    <w:bottom w:val="none" w:sz="0" w:space="0" w:color="auto"/>
                    <w:right w:val="none" w:sz="0" w:space="0" w:color="auto"/>
                  </w:divBdr>
                  <w:divsChild>
                    <w:div w:id="801774463">
                      <w:marLeft w:val="0"/>
                      <w:marRight w:val="0"/>
                      <w:marTop w:val="0"/>
                      <w:marBottom w:val="0"/>
                      <w:divBdr>
                        <w:top w:val="none" w:sz="0" w:space="0" w:color="auto"/>
                        <w:left w:val="none" w:sz="0" w:space="0" w:color="auto"/>
                        <w:bottom w:val="none" w:sz="0" w:space="0" w:color="auto"/>
                        <w:right w:val="none" w:sz="0" w:space="0" w:color="auto"/>
                      </w:divBdr>
                      <w:divsChild>
                        <w:div w:id="78596793">
                          <w:marLeft w:val="0"/>
                          <w:marRight w:val="0"/>
                          <w:marTop w:val="0"/>
                          <w:marBottom w:val="0"/>
                          <w:divBdr>
                            <w:top w:val="none" w:sz="0" w:space="0" w:color="auto"/>
                            <w:left w:val="none" w:sz="0" w:space="0" w:color="auto"/>
                            <w:bottom w:val="none" w:sz="0" w:space="0" w:color="auto"/>
                            <w:right w:val="none" w:sz="0" w:space="0" w:color="auto"/>
                          </w:divBdr>
                          <w:divsChild>
                            <w:div w:id="4864895">
                              <w:marLeft w:val="0"/>
                              <w:marRight w:val="0"/>
                              <w:marTop w:val="0"/>
                              <w:marBottom w:val="0"/>
                              <w:divBdr>
                                <w:top w:val="none" w:sz="0" w:space="0" w:color="auto"/>
                                <w:left w:val="none" w:sz="0" w:space="0" w:color="auto"/>
                                <w:bottom w:val="none" w:sz="0" w:space="0" w:color="auto"/>
                                <w:right w:val="none" w:sz="0" w:space="0" w:color="auto"/>
                              </w:divBdr>
                            </w:div>
                            <w:div w:id="16516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598342">
          <w:marLeft w:val="0"/>
          <w:marRight w:val="0"/>
          <w:marTop w:val="0"/>
          <w:marBottom w:val="0"/>
          <w:divBdr>
            <w:top w:val="none" w:sz="0" w:space="0" w:color="auto"/>
            <w:left w:val="none" w:sz="0" w:space="0" w:color="auto"/>
            <w:bottom w:val="none" w:sz="0" w:space="0" w:color="auto"/>
            <w:right w:val="none" w:sz="0" w:space="0" w:color="auto"/>
          </w:divBdr>
          <w:divsChild>
            <w:div w:id="1290697399">
              <w:marLeft w:val="0"/>
              <w:marRight w:val="0"/>
              <w:marTop w:val="0"/>
              <w:marBottom w:val="0"/>
              <w:divBdr>
                <w:top w:val="none" w:sz="0" w:space="0" w:color="auto"/>
                <w:left w:val="none" w:sz="0" w:space="0" w:color="auto"/>
                <w:bottom w:val="none" w:sz="0" w:space="0" w:color="auto"/>
                <w:right w:val="none" w:sz="0" w:space="0" w:color="auto"/>
              </w:divBdr>
              <w:divsChild>
                <w:div w:id="4398793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9851684">
      <w:bodyDiv w:val="1"/>
      <w:marLeft w:val="0"/>
      <w:marRight w:val="0"/>
      <w:marTop w:val="0"/>
      <w:marBottom w:val="0"/>
      <w:divBdr>
        <w:top w:val="none" w:sz="0" w:space="0" w:color="auto"/>
        <w:left w:val="none" w:sz="0" w:space="0" w:color="auto"/>
        <w:bottom w:val="none" w:sz="0" w:space="0" w:color="auto"/>
        <w:right w:val="none" w:sz="0" w:space="0" w:color="auto"/>
      </w:divBdr>
    </w:div>
    <w:div w:id="1196037377">
      <w:bodyDiv w:val="1"/>
      <w:marLeft w:val="0"/>
      <w:marRight w:val="0"/>
      <w:marTop w:val="0"/>
      <w:marBottom w:val="0"/>
      <w:divBdr>
        <w:top w:val="none" w:sz="0" w:space="0" w:color="auto"/>
        <w:left w:val="none" w:sz="0" w:space="0" w:color="auto"/>
        <w:bottom w:val="none" w:sz="0" w:space="0" w:color="auto"/>
        <w:right w:val="none" w:sz="0" w:space="0" w:color="auto"/>
      </w:divBdr>
      <w:divsChild>
        <w:div w:id="469516157">
          <w:marLeft w:val="0"/>
          <w:marRight w:val="0"/>
          <w:marTop w:val="0"/>
          <w:marBottom w:val="0"/>
          <w:divBdr>
            <w:top w:val="none" w:sz="0" w:space="0" w:color="auto"/>
            <w:left w:val="none" w:sz="0" w:space="0" w:color="auto"/>
            <w:bottom w:val="none" w:sz="0" w:space="0" w:color="auto"/>
            <w:right w:val="none" w:sz="0" w:space="0" w:color="auto"/>
          </w:divBdr>
          <w:divsChild>
            <w:div w:id="86776114">
              <w:marLeft w:val="0"/>
              <w:marRight w:val="0"/>
              <w:marTop w:val="0"/>
              <w:marBottom w:val="0"/>
              <w:divBdr>
                <w:top w:val="none" w:sz="0" w:space="0" w:color="auto"/>
                <w:left w:val="none" w:sz="0" w:space="0" w:color="auto"/>
                <w:bottom w:val="none" w:sz="0" w:space="0" w:color="auto"/>
                <w:right w:val="none" w:sz="0" w:space="0" w:color="auto"/>
              </w:divBdr>
              <w:divsChild>
                <w:div w:id="716333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2164633">
          <w:marLeft w:val="0"/>
          <w:marRight w:val="0"/>
          <w:marTop w:val="0"/>
          <w:marBottom w:val="0"/>
          <w:divBdr>
            <w:top w:val="none" w:sz="0" w:space="0" w:color="auto"/>
            <w:left w:val="none" w:sz="0" w:space="0" w:color="auto"/>
            <w:bottom w:val="none" w:sz="0" w:space="0" w:color="auto"/>
            <w:right w:val="none" w:sz="0" w:space="0" w:color="auto"/>
          </w:divBdr>
          <w:divsChild>
            <w:div w:id="1171219490">
              <w:marLeft w:val="0"/>
              <w:marRight w:val="0"/>
              <w:marTop w:val="0"/>
              <w:marBottom w:val="0"/>
              <w:divBdr>
                <w:top w:val="none" w:sz="0" w:space="0" w:color="auto"/>
                <w:left w:val="none" w:sz="0" w:space="0" w:color="auto"/>
                <w:bottom w:val="none" w:sz="0" w:space="0" w:color="auto"/>
                <w:right w:val="none" w:sz="0" w:space="0" w:color="auto"/>
              </w:divBdr>
              <w:divsChild>
                <w:div w:id="234626700">
                  <w:marLeft w:val="0"/>
                  <w:marRight w:val="0"/>
                  <w:marTop w:val="0"/>
                  <w:marBottom w:val="0"/>
                  <w:divBdr>
                    <w:top w:val="none" w:sz="0" w:space="0" w:color="auto"/>
                    <w:left w:val="none" w:sz="0" w:space="0" w:color="auto"/>
                    <w:bottom w:val="none" w:sz="0" w:space="0" w:color="auto"/>
                    <w:right w:val="none" w:sz="0" w:space="0" w:color="auto"/>
                  </w:divBdr>
                  <w:divsChild>
                    <w:div w:id="763186849">
                      <w:marLeft w:val="0"/>
                      <w:marRight w:val="0"/>
                      <w:marTop w:val="0"/>
                      <w:marBottom w:val="0"/>
                      <w:divBdr>
                        <w:top w:val="none" w:sz="0" w:space="0" w:color="auto"/>
                        <w:left w:val="none" w:sz="0" w:space="0" w:color="auto"/>
                        <w:bottom w:val="none" w:sz="0" w:space="0" w:color="auto"/>
                        <w:right w:val="none" w:sz="0" w:space="0" w:color="auto"/>
                      </w:divBdr>
                      <w:divsChild>
                        <w:div w:id="1874151997">
                          <w:marLeft w:val="0"/>
                          <w:marRight w:val="0"/>
                          <w:marTop w:val="0"/>
                          <w:marBottom w:val="0"/>
                          <w:divBdr>
                            <w:top w:val="none" w:sz="0" w:space="0" w:color="auto"/>
                            <w:left w:val="none" w:sz="0" w:space="0" w:color="auto"/>
                            <w:bottom w:val="none" w:sz="0" w:space="0" w:color="auto"/>
                            <w:right w:val="none" w:sz="0" w:space="0" w:color="auto"/>
                          </w:divBdr>
                          <w:divsChild>
                            <w:div w:id="1579973760">
                              <w:marLeft w:val="0"/>
                              <w:marRight w:val="0"/>
                              <w:marTop w:val="0"/>
                              <w:marBottom w:val="0"/>
                              <w:divBdr>
                                <w:top w:val="none" w:sz="0" w:space="0" w:color="auto"/>
                                <w:left w:val="none" w:sz="0" w:space="0" w:color="auto"/>
                                <w:bottom w:val="none" w:sz="0" w:space="0" w:color="auto"/>
                                <w:right w:val="none" w:sz="0" w:space="0" w:color="auto"/>
                              </w:divBdr>
                            </w:div>
                            <w:div w:id="190717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775443">
                  <w:marLeft w:val="0"/>
                  <w:marRight w:val="0"/>
                  <w:marTop w:val="0"/>
                  <w:marBottom w:val="0"/>
                  <w:divBdr>
                    <w:top w:val="none" w:sz="0" w:space="0" w:color="auto"/>
                    <w:left w:val="none" w:sz="0" w:space="0" w:color="auto"/>
                    <w:bottom w:val="none" w:sz="0" w:space="0" w:color="auto"/>
                    <w:right w:val="none" w:sz="0" w:space="0" w:color="auto"/>
                  </w:divBdr>
                  <w:divsChild>
                    <w:div w:id="658458854">
                      <w:marLeft w:val="0"/>
                      <w:marRight w:val="0"/>
                      <w:marTop w:val="0"/>
                      <w:marBottom w:val="0"/>
                      <w:divBdr>
                        <w:top w:val="none" w:sz="0" w:space="0" w:color="auto"/>
                        <w:left w:val="none" w:sz="0" w:space="0" w:color="auto"/>
                        <w:bottom w:val="none" w:sz="0" w:space="0" w:color="auto"/>
                        <w:right w:val="none" w:sz="0" w:space="0" w:color="auto"/>
                      </w:divBdr>
                      <w:divsChild>
                        <w:div w:id="1847744262">
                          <w:marLeft w:val="0"/>
                          <w:marRight w:val="0"/>
                          <w:marTop w:val="0"/>
                          <w:marBottom w:val="0"/>
                          <w:divBdr>
                            <w:top w:val="none" w:sz="0" w:space="0" w:color="auto"/>
                            <w:left w:val="none" w:sz="0" w:space="0" w:color="auto"/>
                            <w:bottom w:val="none" w:sz="0" w:space="0" w:color="auto"/>
                            <w:right w:val="none" w:sz="0" w:space="0" w:color="auto"/>
                          </w:divBdr>
                          <w:divsChild>
                            <w:div w:id="977883064">
                              <w:marLeft w:val="0"/>
                              <w:marRight w:val="0"/>
                              <w:marTop w:val="0"/>
                              <w:marBottom w:val="0"/>
                              <w:divBdr>
                                <w:top w:val="none" w:sz="0" w:space="0" w:color="auto"/>
                                <w:left w:val="none" w:sz="0" w:space="0" w:color="auto"/>
                                <w:bottom w:val="none" w:sz="0" w:space="0" w:color="auto"/>
                                <w:right w:val="none" w:sz="0" w:space="0" w:color="auto"/>
                              </w:divBdr>
                            </w:div>
                            <w:div w:id="1032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8748">
                  <w:marLeft w:val="0"/>
                  <w:marRight w:val="0"/>
                  <w:marTop w:val="0"/>
                  <w:marBottom w:val="0"/>
                  <w:divBdr>
                    <w:top w:val="none" w:sz="0" w:space="0" w:color="auto"/>
                    <w:left w:val="none" w:sz="0" w:space="0" w:color="auto"/>
                    <w:bottom w:val="none" w:sz="0" w:space="0" w:color="auto"/>
                    <w:right w:val="none" w:sz="0" w:space="0" w:color="auto"/>
                  </w:divBdr>
                  <w:divsChild>
                    <w:div w:id="113449771">
                      <w:marLeft w:val="0"/>
                      <w:marRight w:val="0"/>
                      <w:marTop w:val="0"/>
                      <w:marBottom w:val="0"/>
                      <w:divBdr>
                        <w:top w:val="none" w:sz="0" w:space="0" w:color="auto"/>
                        <w:left w:val="none" w:sz="0" w:space="0" w:color="auto"/>
                        <w:bottom w:val="none" w:sz="0" w:space="0" w:color="auto"/>
                        <w:right w:val="none" w:sz="0" w:space="0" w:color="auto"/>
                      </w:divBdr>
                      <w:divsChild>
                        <w:div w:id="41442350">
                          <w:marLeft w:val="0"/>
                          <w:marRight w:val="0"/>
                          <w:marTop w:val="0"/>
                          <w:marBottom w:val="0"/>
                          <w:divBdr>
                            <w:top w:val="none" w:sz="0" w:space="0" w:color="auto"/>
                            <w:left w:val="none" w:sz="0" w:space="0" w:color="auto"/>
                            <w:bottom w:val="none" w:sz="0" w:space="0" w:color="auto"/>
                            <w:right w:val="none" w:sz="0" w:space="0" w:color="auto"/>
                          </w:divBdr>
                          <w:divsChild>
                            <w:div w:id="63917507">
                              <w:marLeft w:val="0"/>
                              <w:marRight w:val="0"/>
                              <w:marTop w:val="0"/>
                              <w:marBottom w:val="0"/>
                              <w:divBdr>
                                <w:top w:val="none" w:sz="0" w:space="0" w:color="auto"/>
                                <w:left w:val="none" w:sz="0" w:space="0" w:color="auto"/>
                                <w:bottom w:val="none" w:sz="0" w:space="0" w:color="auto"/>
                                <w:right w:val="none" w:sz="0" w:space="0" w:color="auto"/>
                              </w:divBdr>
                            </w:div>
                            <w:div w:id="105670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912335">
          <w:marLeft w:val="0"/>
          <w:marRight w:val="0"/>
          <w:marTop w:val="0"/>
          <w:marBottom w:val="0"/>
          <w:divBdr>
            <w:top w:val="none" w:sz="0" w:space="0" w:color="auto"/>
            <w:left w:val="none" w:sz="0" w:space="0" w:color="auto"/>
            <w:bottom w:val="none" w:sz="0" w:space="0" w:color="auto"/>
            <w:right w:val="none" w:sz="0" w:space="0" w:color="auto"/>
          </w:divBdr>
          <w:divsChild>
            <w:div w:id="1719360126">
              <w:marLeft w:val="0"/>
              <w:marRight w:val="0"/>
              <w:marTop w:val="0"/>
              <w:marBottom w:val="0"/>
              <w:divBdr>
                <w:top w:val="none" w:sz="0" w:space="0" w:color="auto"/>
                <w:left w:val="none" w:sz="0" w:space="0" w:color="auto"/>
                <w:bottom w:val="none" w:sz="0" w:space="0" w:color="auto"/>
                <w:right w:val="none" w:sz="0" w:space="0" w:color="auto"/>
              </w:divBdr>
              <w:divsChild>
                <w:div w:id="294331934">
                  <w:marLeft w:val="0"/>
                  <w:marRight w:val="0"/>
                  <w:marTop w:val="0"/>
                  <w:marBottom w:val="0"/>
                  <w:divBdr>
                    <w:top w:val="none" w:sz="0" w:space="0" w:color="auto"/>
                    <w:left w:val="none" w:sz="0" w:space="0" w:color="auto"/>
                    <w:bottom w:val="none" w:sz="0" w:space="0" w:color="auto"/>
                    <w:right w:val="none" w:sz="0" w:space="0" w:color="auto"/>
                  </w:divBdr>
                  <w:divsChild>
                    <w:div w:id="1075467387">
                      <w:marLeft w:val="0"/>
                      <w:marRight w:val="0"/>
                      <w:marTop w:val="0"/>
                      <w:marBottom w:val="0"/>
                      <w:divBdr>
                        <w:top w:val="none" w:sz="0" w:space="0" w:color="auto"/>
                        <w:left w:val="none" w:sz="0" w:space="0" w:color="auto"/>
                        <w:bottom w:val="none" w:sz="0" w:space="0" w:color="auto"/>
                        <w:right w:val="none" w:sz="0" w:space="0" w:color="auto"/>
                      </w:divBdr>
                      <w:divsChild>
                        <w:div w:id="1642347562">
                          <w:marLeft w:val="0"/>
                          <w:marRight w:val="0"/>
                          <w:marTop w:val="0"/>
                          <w:marBottom w:val="0"/>
                          <w:divBdr>
                            <w:top w:val="none" w:sz="0" w:space="0" w:color="auto"/>
                            <w:left w:val="none" w:sz="0" w:space="0" w:color="auto"/>
                            <w:bottom w:val="none" w:sz="0" w:space="0" w:color="auto"/>
                            <w:right w:val="none" w:sz="0" w:space="0" w:color="auto"/>
                          </w:divBdr>
                          <w:divsChild>
                            <w:div w:id="873883557">
                              <w:marLeft w:val="0"/>
                              <w:marRight w:val="0"/>
                              <w:marTop w:val="0"/>
                              <w:marBottom w:val="0"/>
                              <w:divBdr>
                                <w:top w:val="none" w:sz="0" w:space="0" w:color="auto"/>
                                <w:left w:val="none" w:sz="0" w:space="0" w:color="auto"/>
                                <w:bottom w:val="none" w:sz="0" w:space="0" w:color="auto"/>
                                <w:right w:val="none" w:sz="0" w:space="0" w:color="auto"/>
                              </w:divBdr>
                            </w:div>
                            <w:div w:id="99086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546812">
                  <w:marLeft w:val="0"/>
                  <w:marRight w:val="0"/>
                  <w:marTop w:val="0"/>
                  <w:marBottom w:val="0"/>
                  <w:divBdr>
                    <w:top w:val="none" w:sz="0" w:space="0" w:color="auto"/>
                    <w:left w:val="none" w:sz="0" w:space="0" w:color="auto"/>
                    <w:bottom w:val="none" w:sz="0" w:space="0" w:color="auto"/>
                    <w:right w:val="none" w:sz="0" w:space="0" w:color="auto"/>
                  </w:divBdr>
                  <w:divsChild>
                    <w:div w:id="960378951">
                      <w:marLeft w:val="0"/>
                      <w:marRight w:val="0"/>
                      <w:marTop w:val="0"/>
                      <w:marBottom w:val="0"/>
                      <w:divBdr>
                        <w:top w:val="none" w:sz="0" w:space="0" w:color="auto"/>
                        <w:left w:val="none" w:sz="0" w:space="0" w:color="auto"/>
                        <w:bottom w:val="none" w:sz="0" w:space="0" w:color="auto"/>
                        <w:right w:val="none" w:sz="0" w:space="0" w:color="auto"/>
                      </w:divBdr>
                      <w:divsChild>
                        <w:div w:id="836924876">
                          <w:marLeft w:val="0"/>
                          <w:marRight w:val="0"/>
                          <w:marTop w:val="0"/>
                          <w:marBottom w:val="0"/>
                          <w:divBdr>
                            <w:top w:val="none" w:sz="0" w:space="0" w:color="auto"/>
                            <w:left w:val="none" w:sz="0" w:space="0" w:color="auto"/>
                            <w:bottom w:val="none" w:sz="0" w:space="0" w:color="auto"/>
                            <w:right w:val="none" w:sz="0" w:space="0" w:color="auto"/>
                          </w:divBdr>
                          <w:divsChild>
                            <w:div w:id="1161700547">
                              <w:marLeft w:val="0"/>
                              <w:marRight w:val="0"/>
                              <w:marTop w:val="0"/>
                              <w:marBottom w:val="0"/>
                              <w:divBdr>
                                <w:top w:val="none" w:sz="0" w:space="0" w:color="auto"/>
                                <w:left w:val="none" w:sz="0" w:space="0" w:color="auto"/>
                                <w:bottom w:val="none" w:sz="0" w:space="0" w:color="auto"/>
                                <w:right w:val="none" w:sz="0" w:space="0" w:color="auto"/>
                              </w:divBdr>
                            </w:div>
                            <w:div w:id="16945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6139">
                  <w:marLeft w:val="0"/>
                  <w:marRight w:val="0"/>
                  <w:marTop w:val="0"/>
                  <w:marBottom w:val="0"/>
                  <w:divBdr>
                    <w:top w:val="none" w:sz="0" w:space="0" w:color="auto"/>
                    <w:left w:val="none" w:sz="0" w:space="0" w:color="auto"/>
                    <w:bottom w:val="none" w:sz="0" w:space="0" w:color="auto"/>
                    <w:right w:val="none" w:sz="0" w:space="0" w:color="auto"/>
                  </w:divBdr>
                  <w:divsChild>
                    <w:div w:id="1516461404">
                      <w:marLeft w:val="0"/>
                      <w:marRight w:val="0"/>
                      <w:marTop w:val="0"/>
                      <w:marBottom w:val="0"/>
                      <w:divBdr>
                        <w:top w:val="none" w:sz="0" w:space="0" w:color="auto"/>
                        <w:left w:val="none" w:sz="0" w:space="0" w:color="auto"/>
                        <w:bottom w:val="none" w:sz="0" w:space="0" w:color="auto"/>
                        <w:right w:val="none" w:sz="0" w:space="0" w:color="auto"/>
                      </w:divBdr>
                      <w:divsChild>
                        <w:div w:id="866412410">
                          <w:marLeft w:val="0"/>
                          <w:marRight w:val="0"/>
                          <w:marTop w:val="0"/>
                          <w:marBottom w:val="0"/>
                          <w:divBdr>
                            <w:top w:val="none" w:sz="0" w:space="0" w:color="auto"/>
                            <w:left w:val="none" w:sz="0" w:space="0" w:color="auto"/>
                            <w:bottom w:val="none" w:sz="0" w:space="0" w:color="auto"/>
                            <w:right w:val="none" w:sz="0" w:space="0" w:color="auto"/>
                          </w:divBdr>
                          <w:divsChild>
                            <w:div w:id="753404067">
                              <w:marLeft w:val="0"/>
                              <w:marRight w:val="0"/>
                              <w:marTop w:val="0"/>
                              <w:marBottom w:val="0"/>
                              <w:divBdr>
                                <w:top w:val="none" w:sz="0" w:space="0" w:color="auto"/>
                                <w:left w:val="none" w:sz="0" w:space="0" w:color="auto"/>
                                <w:bottom w:val="none" w:sz="0" w:space="0" w:color="auto"/>
                                <w:right w:val="none" w:sz="0" w:space="0" w:color="auto"/>
                              </w:divBdr>
                            </w:div>
                            <w:div w:id="17803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39331">
                  <w:marLeft w:val="0"/>
                  <w:marRight w:val="0"/>
                  <w:marTop w:val="0"/>
                  <w:marBottom w:val="0"/>
                  <w:divBdr>
                    <w:top w:val="none" w:sz="0" w:space="0" w:color="auto"/>
                    <w:left w:val="none" w:sz="0" w:space="0" w:color="auto"/>
                    <w:bottom w:val="none" w:sz="0" w:space="0" w:color="auto"/>
                    <w:right w:val="none" w:sz="0" w:space="0" w:color="auto"/>
                  </w:divBdr>
                  <w:divsChild>
                    <w:div w:id="1343707777">
                      <w:marLeft w:val="0"/>
                      <w:marRight w:val="0"/>
                      <w:marTop w:val="0"/>
                      <w:marBottom w:val="0"/>
                      <w:divBdr>
                        <w:top w:val="none" w:sz="0" w:space="0" w:color="auto"/>
                        <w:left w:val="none" w:sz="0" w:space="0" w:color="auto"/>
                        <w:bottom w:val="none" w:sz="0" w:space="0" w:color="auto"/>
                        <w:right w:val="none" w:sz="0" w:space="0" w:color="auto"/>
                      </w:divBdr>
                      <w:divsChild>
                        <w:div w:id="1401248766">
                          <w:marLeft w:val="0"/>
                          <w:marRight w:val="0"/>
                          <w:marTop w:val="0"/>
                          <w:marBottom w:val="0"/>
                          <w:divBdr>
                            <w:top w:val="none" w:sz="0" w:space="0" w:color="auto"/>
                            <w:left w:val="none" w:sz="0" w:space="0" w:color="auto"/>
                            <w:bottom w:val="none" w:sz="0" w:space="0" w:color="auto"/>
                            <w:right w:val="none" w:sz="0" w:space="0" w:color="auto"/>
                          </w:divBdr>
                          <w:divsChild>
                            <w:div w:id="460877461">
                              <w:marLeft w:val="0"/>
                              <w:marRight w:val="0"/>
                              <w:marTop w:val="0"/>
                              <w:marBottom w:val="0"/>
                              <w:divBdr>
                                <w:top w:val="none" w:sz="0" w:space="0" w:color="auto"/>
                                <w:left w:val="none" w:sz="0" w:space="0" w:color="auto"/>
                                <w:bottom w:val="none" w:sz="0" w:space="0" w:color="auto"/>
                                <w:right w:val="none" w:sz="0" w:space="0" w:color="auto"/>
                              </w:divBdr>
                            </w:div>
                            <w:div w:id="18323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188954">
          <w:marLeft w:val="0"/>
          <w:marRight w:val="0"/>
          <w:marTop w:val="0"/>
          <w:marBottom w:val="0"/>
          <w:divBdr>
            <w:top w:val="none" w:sz="0" w:space="0" w:color="auto"/>
            <w:left w:val="none" w:sz="0" w:space="0" w:color="auto"/>
            <w:bottom w:val="none" w:sz="0" w:space="0" w:color="auto"/>
            <w:right w:val="none" w:sz="0" w:space="0" w:color="auto"/>
          </w:divBdr>
          <w:divsChild>
            <w:div w:id="1988515184">
              <w:marLeft w:val="0"/>
              <w:marRight w:val="0"/>
              <w:marTop w:val="0"/>
              <w:marBottom w:val="0"/>
              <w:divBdr>
                <w:top w:val="none" w:sz="0" w:space="0" w:color="auto"/>
                <w:left w:val="none" w:sz="0" w:space="0" w:color="auto"/>
                <w:bottom w:val="none" w:sz="0" w:space="0" w:color="auto"/>
                <w:right w:val="none" w:sz="0" w:space="0" w:color="auto"/>
              </w:divBdr>
              <w:divsChild>
                <w:div w:id="213393635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39648140">
          <w:marLeft w:val="0"/>
          <w:marRight w:val="0"/>
          <w:marTop w:val="0"/>
          <w:marBottom w:val="0"/>
          <w:divBdr>
            <w:top w:val="none" w:sz="0" w:space="0" w:color="auto"/>
            <w:left w:val="none" w:sz="0" w:space="0" w:color="auto"/>
            <w:bottom w:val="none" w:sz="0" w:space="0" w:color="auto"/>
            <w:right w:val="none" w:sz="0" w:space="0" w:color="auto"/>
          </w:divBdr>
          <w:divsChild>
            <w:div w:id="705789223">
              <w:marLeft w:val="0"/>
              <w:marRight w:val="0"/>
              <w:marTop w:val="0"/>
              <w:marBottom w:val="0"/>
              <w:divBdr>
                <w:top w:val="none" w:sz="0" w:space="0" w:color="auto"/>
                <w:left w:val="none" w:sz="0" w:space="0" w:color="auto"/>
                <w:bottom w:val="none" w:sz="0" w:space="0" w:color="auto"/>
                <w:right w:val="none" w:sz="0" w:space="0" w:color="auto"/>
              </w:divBdr>
              <w:divsChild>
                <w:div w:id="18597320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93880097">
          <w:marLeft w:val="0"/>
          <w:marRight w:val="0"/>
          <w:marTop w:val="0"/>
          <w:marBottom w:val="0"/>
          <w:divBdr>
            <w:top w:val="none" w:sz="0" w:space="0" w:color="auto"/>
            <w:left w:val="none" w:sz="0" w:space="0" w:color="auto"/>
            <w:bottom w:val="none" w:sz="0" w:space="0" w:color="auto"/>
            <w:right w:val="none" w:sz="0" w:space="0" w:color="auto"/>
          </w:divBdr>
          <w:divsChild>
            <w:div w:id="62605050">
              <w:marLeft w:val="0"/>
              <w:marRight w:val="0"/>
              <w:marTop w:val="0"/>
              <w:marBottom w:val="0"/>
              <w:divBdr>
                <w:top w:val="none" w:sz="0" w:space="0" w:color="auto"/>
                <w:left w:val="none" w:sz="0" w:space="0" w:color="auto"/>
                <w:bottom w:val="none" w:sz="0" w:space="0" w:color="auto"/>
                <w:right w:val="none" w:sz="0" w:space="0" w:color="auto"/>
              </w:divBdr>
              <w:divsChild>
                <w:div w:id="18660935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eccion@ciudadanometropolitan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A2576A-A2CB-4FAF-A0AA-E54701ABC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3659</Words>
  <Characters>20859</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2025-02-25T15:45:00Z</cp:lastPrinted>
  <dcterms:created xsi:type="dcterms:W3CDTF">2025-07-28T19:23:00Z</dcterms:created>
  <dcterms:modified xsi:type="dcterms:W3CDTF">2025-07-28T22:32:00Z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