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DE5ED" w14:textId="77777777" w:rsidR="00206DD7" w:rsidRPr="008A4211" w:rsidRDefault="00206DD7" w:rsidP="00721D3C">
      <w:pPr>
        <w:spacing w:line="240" w:lineRule="auto"/>
        <w:rPr>
          <w:rFonts w:ascii="Arial" w:hAnsi="Arial" w:cs="Arial"/>
          <w:b/>
          <w:color w:val="000000" w:themeColor="text1"/>
          <w:sz w:val="20"/>
          <w:szCs w:val="20"/>
        </w:rPr>
      </w:pPr>
      <w:bookmarkStart w:id="0" w:name="_Hlk46402012"/>
      <w:bookmarkStart w:id="1" w:name="_Hlk28946138"/>
      <w:bookmarkStart w:id="2" w:name="_Hlk29548183"/>
      <w:r w:rsidRPr="008A4211">
        <w:rPr>
          <w:rFonts w:ascii="Arial" w:hAnsi="Arial" w:cs="Arial"/>
          <w:b/>
          <w:color w:val="000000" w:themeColor="text1"/>
          <w:sz w:val="20"/>
          <w:szCs w:val="20"/>
        </w:rPr>
        <w:t xml:space="preserve">PRINCIPIO DE PUBLICIDAD – Noción </w:t>
      </w:r>
    </w:p>
    <w:p w14:paraId="40EB535E" w14:textId="258D0F0E" w:rsidR="00206DD7" w:rsidRPr="008A4211" w:rsidRDefault="00206DD7" w:rsidP="00721D3C">
      <w:pPr>
        <w:widowControl w:val="0"/>
        <w:tabs>
          <w:tab w:val="left" w:pos="728"/>
        </w:tabs>
        <w:autoSpaceDE w:val="0"/>
        <w:autoSpaceDN w:val="0"/>
        <w:spacing w:after="120" w:line="240" w:lineRule="auto"/>
        <w:rPr>
          <w:rFonts w:ascii="Arial" w:eastAsia="Arial" w:hAnsi="Arial" w:cs="Arial"/>
          <w:sz w:val="20"/>
          <w:szCs w:val="20"/>
          <w:lang w:val="es-ES"/>
        </w:rPr>
      </w:pPr>
      <w:r w:rsidRPr="008A4211">
        <w:rPr>
          <w:rFonts w:ascii="Arial" w:eastAsia="Arial" w:hAnsi="Arial" w:cs="Arial"/>
          <w:sz w:val="20"/>
          <w:szCs w:val="20"/>
          <w:lang w:val="es-ES"/>
        </w:rPr>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1EEA07B4" w14:textId="77777777" w:rsidR="00206DD7" w:rsidRPr="008A4211" w:rsidRDefault="00206DD7" w:rsidP="00721D3C">
      <w:pPr>
        <w:widowControl w:val="0"/>
        <w:tabs>
          <w:tab w:val="left" w:pos="728"/>
        </w:tabs>
        <w:autoSpaceDE w:val="0"/>
        <w:autoSpaceDN w:val="0"/>
        <w:spacing w:line="240" w:lineRule="auto"/>
        <w:rPr>
          <w:rFonts w:ascii="Arial" w:eastAsia="Arial" w:hAnsi="Arial" w:cs="Arial"/>
          <w:sz w:val="20"/>
          <w:szCs w:val="20"/>
          <w:lang w:val="es-ES"/>
        </w:rPr>
      </w:pPr>
      <w:r w:rsidRPr="008A4211">
        <w:rPr>
          <w:rFonts w:ascii="Arial" w:eastAsia="Arial" w:hAnsi="Arial" w:cs="Arial"/>
          <w:sz w:val="20"/>
          <w:szCs w:val="20"/>
          <w:lang w:val="es-ES"/>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 </w:t>
      </w:r>
    </w:p>
    <w:p w14:paraId="264000D3" w14:textId="77777777" w:rsidR="00206DD7" w:rsidRPr="008A4211" w:rsidRDefault="00206DD7" w:rsidP="00721D3C">
      <w:pPr>
        <w:widowControl w:val="0"/>
        <w:tabs>
          <w:tab w:val="left" w:pos="728"/>
        </w:tabs>
        <w:autoSpaceDE w:val="0"/>
        <w:autoSpaceDN w:val="0"/>
        <w:spacing w:line="240" w:lineRule="auto"/>
        <w:rPr>
          <w:rFonts w:ascii="Arial" w:eastAsia="Arial" w:hAnsi="Arial" w:cs="Arial"/>
          <w:b/>
          <w:bCs/>
          <w:sz w:val="20"/>
          <w:szCs w:val="20"/>
          <w:lang w:val="es-ES"/>
        </w:rPr>
      </w:pPr>
      <w:r w:rsidRPr="008A4211">
        <w:rPr>
          <w:rFonts w:ascii="Arial" w:eastAsia="Arial" w:hAnsi="Arial" w:cs="Arial"/>
          <w:b/>
          <w:bCs/>
          <w:sz w:val="20"/>
          <w:szCs w:val="20"/>
          <w:lang w:val="es-ES"/>
        </w:rPr>
        <w:t>SECOP – Publicación de documentos</w:t>
      </w:r>
    </w:p>
    <w:p w14:paraId="5AA53EF9" w14:textId="77777777" w:rsidR="00206DD7" w:rsidRPr="008A4211" w:rsidRDefault="00206DD7" w:rsidP="00721D3C">
      <w:pPr>
        <w:widowControl w:val="0"/>
        <w:tabs>
          <w:tab w:val="left" w:pos="728"/>
        </w:tabs>
        <w:autoSpaceDE w:val="0"/>
        <w:autoSpaceDN w:val="0"/>
        <w:spacing w:line="240" w:lineRule="auto"/>
        <w:rPr>
          <w:rFonts w:ascii="Arial" w:hAnsi="Arial" w:cs="Arial"/>
          <w:sz w:val="20"/>
          <w:szCs w:val="20"/>
          <w:lang w:val="es-ES"/>
        </w:rPr>
      </w:pPr>
      <w:r w:rsidRPr="008A4211">
        <w:rPr>
          <w:rFonts w:ascii="Arial" w:hAnsi="Arial" w:cs="Arial"/>
          <w:sz w:val="20"/>
          <w:szCs w:val="20"/>
          <w:lang w:val="es-ES"/>
        </w:rPr>
        <w:t>El deber de publicidad de los documentos expedidos en virtud de la actividad contractual que se desprende del artículo 3 de la Ley 1150 de 2007, se encuentra reglamentado en el artículo 2.2.1.1.1.7.1. del Decreto 1082 de 2015, el cual, establece los documentos que se deben publicar y al SECOP como medio de publicación, lo que permite controlar las actuaciones y decisiones de la Administración y el cumplimiento de los demás principios de la contratación pública.</w:t>
      </w:r>
    </w:p>
    <w:p w14:paraId="5C44C2E8" w14:textId="77777777" w:rsidR="00206DD7" w:rsidRPr="008A4211" w:rsidRDefault="00206DD7" w:rsidP="00721D3C">
      <w:pPr>
        <w:widowControl w:val="0"/>
        <w:tabs>
          <w:tab w:val="left" w:pos="728"/>
        </w:tabs>
        <w:autoSpaceDE w:val="0"/>
        <w:autoSpaceDN w:val="0"/>
        <w:spacing w:line="240" w:lineRule="auto"/>
        <w:rPr>
          <w:rFonts w:ascii="Arial" w:hAnsi="Arial" w:cs="Arial"/>
          <w:sz w:val="20"/>
          <w:szCs w:val="20"/>
          <w:lang w:val="es-ES"/>
        </w:rPr>
      </w:pPr>
      <w:r w:rsidRPr="008A4211">
        <w:rPr>
          <w:rFonts w:ascii="Arial" w:hAnsi="Arial" w:cs="Arial"/>
          <w:sz w:val="20"/>
          <w:szCs w:val="20"/>
          <w:lang w:val="es-ES"/>
        </w:rPr>
        <w:t>De otro lado, 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p>
    <w:p w14:paraId="01ABDC0E" w14:textId="65B29166" w:rsidR="00206DD7" w:rsidRPr="008A4211" w:rsidRDefault="00206DD7" w:rsidP="00721D3C">
      <w:pPr>
        <w:spacing w:line="240" w:lineRule="auto"/>
        <w:rPr>
          <w:rFonts w:ascii="Arial" w:hAnsi="Arial" w:cs="Arial"/>
          <w:b/>
          <w:bCs/>
          <w:sz w:val="20"/>
          <w:szCs w:val="20"/>
          <w:lang w:val="es-ES"/>
        </w:rPr>
      </w:pPr>
      <w:r w:rsidRPr="008A4211">
        <w:rPr>
          <w:rFonts w:ascii="Arial" w:hAnsi="Arial" w:cs="Arial"/>
          <w:b/>
          <w:bCs/>
          <w:sz w:val="20"/>
          <w:szCs w:val="20"/>
          <w:lang w:val="es-ES"/>
        </w:rPr>
        <w:t xml:space="preserve">DOCUMENTOS DEL PROCESO – Noción – Deber de publicación – </w:t>
      </w:r>
      <w:r w:rsidR="004D0AF3">
        <w:rPr>
          <w:rFonts w:ascii="Arial" w:hAnsi="Arial" w:cs="Arial"/>
          <w:b/>
          <w:bCs/>
          <w:sz w:val="20"/>
          <w:szCs w:val="20"/>
          <w:lang w:val="es-ES"/>
        </w:rPr>
        <w:t>Proceso de Contratación</w:t>
      </w:r>
    </w:p>
    <w:p w14:paraId="3925C440" w14:textId="0E80F177" w:rsidR="00206DD7" w:rsidRPr="008A4211" w:rsidRDefault="00206DD7" w:rsidP="00721D3C">
      <w:pPr>
        <w:spacing w:before="120" w:after="120" w:line="240" w:lineRule="auto"/>
        <w:rPr>
          <w:rFonts w:ascii="Arial" w:hAnsi="Arial" w:cs="Arial"/>
          <w:sz w:val="20"/>
          <w:szCs w:val="20"/>
          <w:lang w:val="es-ES"/>
        </w:rPr>
      </w:pPr>
      <w:r w:rsidRPr="008A4211">
        <w:rPr>
          <w:rFonts w:ascii="Arial" w:hAnsi="Arial" w:cs="Arial"/>
          <w:sz w:val="20"/>
          <w:szCs w:val="20"/>
          <w:lang w:val="es-ES"/>
        </w:rPr>
        <w:t xml:space="preserve">[…] el deber de publicidad de la actividad contractual de las entidades estatales no solo se encuentra regulado por el artículo 3 de la Ley 1150 de 2007 y el </w:t>
      </w:r>
      <w:r w:rsidRPr="008A4211">
        <w:rPr>
          <w:rFonts w:ascii="Arial" w:eastAsia="Arial" w:hAnsi="Arial" w:cs="Arial"/>
          <w:sz w:val="20"/>
          <w:szCs w:val="20"/>
          <w:lang w:val="es-ES"/>
        </w:rPr>
        <w:t xml:space="preserve">artículo 2.2.1.1.1.7.1. del Decreto 1082 de 2015, sino que también se fundamenta en la Ley 1712 de 2014 y el Decreto 1081 de 2015, normas que no solo refuerzan y complementan al régimen de contratación estatal en materia de publicidad, sino que amplían el contenido obligacional de dicho deber al imponer la publicación de los procedimientos y la información relativa a la gestión contractual, sin el condicionamiento de tratarse de </w:t>
      </w:r>
      <w:r w:rsidRPr="008A4211">
        <w:rPr>
          <w:rFonts w:ascii="Arial" w:eastAsia="Arial" w:hAnsi="Arial" w:cs="Arial"/>
          <w:i/>
          <w:iCs/>
          <w:sz w:val="20"/>
          <w:szCs w:val="20"/>
          <w:lang w:val="es-ES"/>
        </w:rPr>
        <w:t xml:space="preserve">Documentos del Procesos </w:t>
      </w:r>
      <w:r w:rsidRPr="008A4211">
        <w:rPr>
          <w:rFonts w:ascii="Arial" w:eastAsia="Arial" w:hAnsi="Arial" w:cs="Arial"/>
          <w:sz w:val="20"/>
          <w:szCs w:val="20"/>
          <w:lang w:val="es-ES"/>
        </w:rPr>
        <w:t xml:space="preserve">expedidos por la </w:t>
      </w:r>
      <w:r w:rsidR="00F10490">
        <w:rPr>
          <w:rFonts w:ascii="Arial" w:eastAsia="Arial" w:hAnsi="Arial" w:cs="Arial"/>
          <w:sz w:val="20"/>
          <w:szCs w:val="20"/>
          <w:lang w:val="es-ES"/>
        </w:rPr>
        <w:t>Entidad Estatal</w:t>
      </w:r>
      <w:r w:rsidRPr="008A4211">
        <w:rPr>
          <w:rFonts w:ascii="Arial" w:eastAsia="Arial" w:hAnsi="Arial" w:cs="Arial"/>
          <w:sz w:val="20"/>
          <w:szCs w:val="20"/>
          <w:lang w:val="es-ES"/>
        </w:rPr>
        <w:t>.</w:t>
      </w:r>
    </w:p>
    <w:p w14:paraId="78E6A9CF" w14:textId="1C678DEA" w:rsidR="00206DD7" w:rsidRPr="008A4211" w:rsidRDefault="00206DD7" w:rsidP="00721D3C">
      <w:pPr>
        <w:spacing w:before="120" w:line="240" w:lineRule="auto"/>
        <w:rPr>
          <w:rFonts w:ascii="Arial" w:hAnsi="Arial" w:cs="Arial"/>
          <w:sz w:val="20"/>
          <w:szCs w:val="20"/>
          <w:lang w:val="es-ES"/>
        </w:rPr>
      </w:pPr>
      <w:r w:rsidRPr="008A4211">
        <w:rPr>
          <w:rFonts w:ascii="Arial" w:hAnsi="Arial" w:cs="Arial"/>
          <w:sz w:val="20"/>
          <w:szCs w:val="20"/>
          <w:lang w:val="es-ES"/>
        </w:rPr>
        <w:t xml:space="preserve">Esto quiere decir que las entidades estatales, además de los documentos y actos administrativos que expidan durante el </w:t>
      </w:r>
      <w:r w:rsidRPr="008A4211">
        <w:rPr>
          <w:rFonts w:ascii="Arial" w:hAnsi="Arial" w:cs="Arial"/>
          <w:i/>
          <w:iCs/>
          <w:sz w:val="20"/>
          <w:szCs w:val="20"/>
          <w:lang w:val="es-ES"/>
        </w:rPr>
        <w:t>Proceso de Contratación,</w:t>
      </w:r>
      <w:r w:rsidRPr="008A4211">
        <w:rPr>
          <w:rFonts w:ascii="Arial" w:hAnsi="Arial" w:cs="Arial"/>
          <w:sz w:val="20"/>
          <w:szCs w:val="20"/>
          <w:lang w:val="es-ES"/>
        </w:rPr>
        <w:t xml:space="preserve"> deberán publicar los documentos que desarrollan los procedimientos, incluso documentos que no necesariamente son expedidos por ellas pero que hacen parte del proceso, tales como las observaciones formuladas por la ciudadanía al proyecto de pliego de condiciones, o por los proponentes al informe de evaluación, aclaraciones a las ofertas realizadas por oferentes, así como a cualquier otra actuación que a pesar de no tener origen en la </w:t>
      </w:r>
      <w:r w:rsidR="00F10490">
        <w:rPr>
          <w:rFonts w:ascii="Arial" w:hAnsi="Arial" w:cs="Arial"/>
          <w:sz w:val="20"/>
          <w:szCs w:val="20"/>
          <w:lang w:val="es-ES"/>
        </w:rPr>
        <w:t>Entidad Estatal</w:t>
      </w:r>
      <w:r w:rsidRPr="008A4211">
        <w:rPr>
          <w:rFonts w:ascii="Arial" w:hAnsi="Arial" w:cs="Arial"/>
          <w:sz w:val="20"/>
          <w:szCs w:val="20"/>
          <w:lang w:val="es-ES"/>
        </w:rPr>
        <w:t xml:space="preserve">, ni encajar en estricto sentido dentro de lo que se entiende por </w:t>
      </w:r>
      <w:r w:rsidRPr="008A4211">
        <w:rPr>
          <w:rFonts w:ascii="Arial" w:hAnsi="Arial" w:cs="Arial"/>
          <w:i/>
          <w:iCs/>
          <w:sz w:val="20"/>
          <w:szCs w:val="20"/>
          <w:lang w:val="es-ES"/>
        </w:rPr>
        <w:t xml:space="preserve"> Documento del Proceso, </w:t>
      </w:r>
      <w:r w:rsidRPr="008A4211">
        <w:rPr>
          <w:rFonts w:ascii="Arial" w:hAnsi="Arial" w:cs="Arial"/>
          <w:sz w:val="20"/>
          <w:szCs w:val="20"/>
          <w:lang w:val="es-ES"/>
        </w:rPr>
        <w:t xml:space="preserve">hace parte del desarrollo del </w:t>
      </w:r>
      <w:r w:rsidR="004D0AF3">
        <w:rPr>
          <w:rFonts w:ascii="Arial" w:hAnsi="Arial" w:cs="Arial"/>
          <w:sz w:val="20"/>
          <w:szCs w:val="20"/>
          <w:lang w:val="es-ES"/>
        </w:rPr>
        <w:t>Proceso de Contratación</w:t>
      </w:r>
      <w:r w:rsidRPr="008A4211">
        <w:rPr>
          <w:rFonts w:ascii="Arial" w:hAnsi="Arial" w:cs="Arial"/>
          <w:sz w:val="20"/>
          <w:szCs w:val="20"/>
          <w:lang w:val="es-ES"/>
        </w:rPr>
        <w:t xml:space="preserve">, y que por disposición de la Ley de la transparencia y acceso a la información pública, deber ser publicada de manera proactiva por la </w:t>
      </w:r>
      <w:r w:rsidR="00F10490">
        <w:rPr>
          <w:rFonts w:ascii="Arial" w:hAnsi="Arial" w:cs="Arial"/>
          <w:sz w:val="20"/>
          <w:szCs w:val="20"/>
          <w:lang w:val="es-ES"/>
        </w:rPr>
        <w:t>Entidad Estatal</w:t>
      </w:r>
      <w:r w:rsidRPr="008A4211">
        <w:rPr>
          <w:rFonts w:ascii="Arial" w:hAnsi="Arial" w:cs="Arial"/>
          <w:sz w:val="20"/>
          <w:szCs w:val="20"/>
          <w:lang w:val="es-ES"/>
        </w:rPr>
        <w:t xml:space="preserve">.   </w:t>
      </w:r>
    </w:p>
    <w:bookmarkEnd w:id="0"/>
    <w:p w14:paraId="50BDAE57" w14:textId="77777777" w:rsidR="00206DD7" w:rsidRPr="008A4211" w:rsidRDefault="00206DD7" w:rsidP="00721D3C">
      <w:pPr>
        <w:spacing w:line="240" w:lineRule="auto"/>
        <w:rPr>
          <w:rFonts w:ascii="Arial" w:hAnsi="Arial" w:cs="Arial"/>
          <w:b/>
          <w:color w:val="000000" w:themeColor="text1"/>
          <w:sz w:val="20"/>
          <w:szCs w:val="20"/>
        </w:rPr>
      </w:pPr>
      <w:r w:rsidRPr="008A4211">
        <w:rPr>
          <w:rFonts w:ascii="Arial" w:hAnsi="Arial" w:cs="Arial"/>
          <w:b/>
          <w:color w:val="000000" w:themeColor="text1"/>
          <w:sz w:val="20"/>
          <w:szCs w:val="20"/>
        </w:rPr>
        <w:t xml:space="preserve">ADENDAS – Modificación al cronograma </w:t>
      </w:r>
    </w:p>
    <w:p w14:paraId="0D8685F9" w14:textId="459783BE" w:rsidR="00206DD7" w:rsidRPr="00721D3C" w:rsidRDefault="00206DD7" w:rsidP="009A7355">
      <w:pPr>
        <w:pStyle w:val="Textoindependiente"/>
        <w:ind w:right="49"/>
        <w:jc w:val="both"/>
        <w:rPr>
          <w:rStyle w:val="normaltextrun"/>
          <w:rFonts w:ascii="Arial" w:hAnsi="Arial" w:cs="Arial"/>
          <w:color w:val="000000"/>
          <w:sz w:val="20"/>
          <w:szCs w:val="20"/>
        </w:rPr>
      </w:pPr>
      <w:r w:rsidRPr="00721D3C">
        <w:rPr>
          <w:rStyle w:val="normaltextrun"/>
          <w:rFonts w:ascii="Arial" w:hAnsi="Arial" w:cs="Arial"/>
          <w:color w:val="000000"/>
          <w:sz w:val="20"/>
          <w:szCs w:val="20"/>
        </w:rPr>
        <w:lastRenderedPageBreak/>
        <w:t xml:space="preserve">[…] el artículo 2.2.1.1.2.2.1 de Decreto 1082 de 2015 dispone que la </w:t>
      </w:r>
      <w:r w:rsidR="00F10490">
        <w:rPr>
          <w:rStyle w:val="normaltextrun"/>
          <w:rFonts w:ascii="Arial" w:hAnsi="Arial" w:cs="Arial"/>
          <w:color w:val="000000"/>
          <w:sz w:val="20"/>
          <w:szCs w:val="20"/>
        </w:rPr>
        <w:t>Entidad Estatal</w:t>
      </w:r>
      <w:r w:rsidRPr="00721D3C">
        <w:rPr>
          <w:rStyle w:val="normaltextrun"/>
          <w:rFonts w:ascii="Arial" w:hAnsi="Arial" w:cs="Arial"/>
          <w:color w:val="000000"/>
          <w:sz w:val="20"/>
          <w:szCs w:val="20"/>
        </w:rPr>
        <w:t xml:space="preserve"> puede expedir adendas para modificar el cronograma una vez vencido el término para la presentación de las ofertas y antes de la adjudicación del contrato. La interpretación de esta norma supone que pueden dar lugar a la expedición de adendas al cronograma del proceso de selección una vez vencido el plazo para la recepción de ofertas y antes de la adjudicación del contrato, en las que solo se permite modificar los plazos de las etapas siguientes.</w:t>
      </w:r>
    </w:p>
    <w:p w14:paraId="162C5D81" w14:textId="77777777" w:rsidR="00206DD7" w:rsidRPr="00721D3C" w:rsidRDefault="00206DD7" w:rsidP="009A7355">
      <w:pPr>
        <w:pStyle w:val="Textoindependiente"/>
        <w:ind w:right="49"/>
        <w:jc w:val="both"/>
        <w:rPr>
          <w:rStyle w:val="normaltextrun"/>
          <w:rFonts w:ascii="Arial" w:hAnsi="Arial" w:cs="Arial"/>
          <w:color w:val="000000"/>
          <w:sz w:val="20"/>
          <w:szCs w:val="20"/>
        </w:rPr>
      </w:pPr>
      <w:r w:rsidRPr="00721D3C">
        <w:rPr>
          <w:rStyle w:val="normaltextrun"/>
          <w:rFonts w:ascii="Arial" w:hAnsi="Arial" w:cs="Arial"/>
          <w:color w:val="000000"/>
          <w:sz w:val="20"/>
          <w:szCs w:val="20"/>
        </w:rPr>
        <w:t xml:space="preserve">De lo anterior, se puede concluir que las entidades estatales pueden modificar el cronograma mediante adendas en dos momentos: i) antes del vencimiento del plazo para presentar ofertas, pues se entiende que el cronograma hace parte integral del pliego de condiciones, y ii) una vez vencido el término para la presentación de ofertas y antes de la adjudicación del contrato. Al respecto, resulta del caso precisar que cada modalidad de selección tiene establecido un procedimiento propio que rige su estructuración y, en este sentido, las etapas y el acto final del proceso de selección dependerá de cada modalidad de selección. </w:t>
      </w:r>
    </w:p>
    <w:p w14:paraId="3F0BCEF1" w14:textId="77777777" w:rsidR="00206DD7" w:rsidRPr="00721D3C" w:rsidRDefault="00206DD7" w:rsidP="00721D3C">
      <w:pPr>
        <w:spacing w:after="160" w:line="240" w:lineRule="auto"/>
        <w:rPr>
          <w:rFonts w:ascii="Arial" w:hAnsi="Arial" w:cs="Arial"/>
          <w:b/>
          <w:sz w:val="22"/>
          <w:szCs w:val="22"/>
          <w:lang w:val="es-ES"/>
        </w:rPr>
      </w:pPr>
    </w:p>
    <w:p w14:paraId="430ECC6A" w14:textId="77777777" w:rsidR="00206DD7" w:rsidRPr="00721D3C" w:rsidRDefault="00206DD7" w:rsidP="00206DD7">
      <w:pPr>
        <w:jc w:val="right"/>
        <w:rPr>
          <w:rFonts w:ascii="Arial" w:hAnsi="Arial" w:cs="Arial"/>
          <w:sz w:val="22"/>
          <w:szCs w:val="22"/>
          <w:highlight w:val="yellow"/>
          <w:lang w:val="es-CO"/>
        </w:rPr>
      </w:pPr>
    </w:p>
    <w:p w14:paraId="29C4E8AF" w14:textId="77777777" w:rsidR="00206DD7" w:rsidRPr="008A4211" w:rsidRDefault="00206DD7" w:rsidP="00206DD7">
      <w:pPr>
        <w:tabs>
          <w:tab w:val="left" w:pos="6060"/>
          <w:tab w:val="right" w:pos="8504"/>
        </w:tabs>
        <w:rPr>
          <w:rFonts w:ascii="Arial" w:hAnsi="Arial" w:cs="Arial"/>
          <w:bCs/>
          <w:color w:val="000000" w:themeColor="text1"/>
          <w:sz w:val="22"/>
          <w:szCs w:val="22"/>
          <w:highlight w:val="yellow"/>
          <w:lang w:val="es-CO" w:eastAsia="es-ES"/>
        </w:rPr>
      </w:pPr>
    </w:p>
    <w:p w14:paraId="021F43D1" w14:textId="77777777" w:rsidR="00206DD7" w:rsidRPr="008A4211" w:rsidRDefault="00206DD7" w:rsidP="00206DD7">
      <w:pPr>
        <w:tabs>
          <w:tab w:val="left" w:pos="6060"/>
          <w:tab w:val="right" w:pos="8504"/>
        </w:tabs>
        <w:rPr>
          <w:rFonts w:ascii="Arial" w:hAnsi="Arial" w:cs="Arial"/>
          <w:bCs/>
          <w:color w:val="000000" w:themeColor="text1"/>
          <w:sz w:val="22"/>
          <w:szCs w:val="22"/>
          <w:lang w:val="es-CO" w:eastAsia="es-ES"/>
        </w:rPr>
      </w:pPr>
    </w:p>
    <w:p w14:paraId="638929ED" w14:textId="77777777" w:rsidR="00206DD7" w:rsidRPr="008A4211" w:rsidRDefault="00206DD7" w:rsidP="00206DD7">
      <w:pPr>
        <w:tabs>
          <w:tab w:val="left" w:pos="6060"/>
          <w:tab w:val="right" w:pos="8504"/>
        </w:tabs>
        <w:rPr>
          <w:rFonts w:ascii="Arial" w:hAnsi="Arial" w:cs="Arial"/>
          <w:bCs/>
          <w:color w:val="000000" w:themeColor="text1"/>
          <w:sz w:val="22"/>
          <w:szCs w:val="22"/>
          <w:lang w:val="es-CO" w:eastAsia="es-ES"/>
        </w:rPr>
      </w:pPr>
    </w:p>
    <w:p w14:paraId="201A444A" w14:textId="77777777" w:rsidR="00206DD7" w:rsidRPr="008A4211" w:rsidRDefault="00206DD7" w:rsidP="00206DD7">
      <w:pPr>
        <w:tabs>
          <w:tab w:val="left" w:pos="6060"/>
          <w:tab w:val="right" w:pos="8504"/>
        </w:tabs>
        <w:rPr>
          <w:rFonts w:ascii="Arial" w:hAnsi="Arial" w:cs="Arial"/>
          <w:bCs/>
          <w:color w:val="000000" w:themeColor="text1"/>
          <w:sz w:val="22"/>
          <w:szCs w:val="22"/>
          <w:lang w:val="es-CO" w:eastAsia="es-ES"/>
        </w:rPr>
      </w:pPr>
    </w:p>
    <w:p w14:paraId="2ABA8088" w14:textId="4E9A1F35" w:rsidR="00206DD7" w:rsidRDefault="00206DD7" w:rsidP="00206DD7">
      <w:pPr>
        <w:tabs>
          <w:tab w:val="left" w:pos="6060"/>
          <w:tab w:val="right" w:pos="8504"/>
        </w:tabs>
        <w:rPr>
          <w:rFonts w:ascii="Arial" w:hAnsi="Arial" w:cs="Arial"/>
          <w:bCs/>
          <w:color w:val="000000" w:themeColor="text1"/>
          <w:sz w:val="22"/>
          <w:szCs w:val="22"/>
          <w:lang w:val="es-CO" w:eastAsia="es-ES"/>
        </w:rPr>
      </w:pPr>
    </w:p>
    <w:p w14:paraId="09AC1C7C" w14:textId="3A5839AB" w:rsidR="00F716BF" w:rsidRDefault="00F716BF" w:rsidP="00206DD7">
      <w:pPr>
        <w:tabs>
          <w:tab w:val="left" w:pos="6060"/>
          <w:tab w:val="right" w:pos="8504"/>
        </w:tabs>
        <w:rPr>
          <w:rFonts w:ascii="Arial" w:hAnsi="Arial" w:cs="Arial"/>
          <w:bCs/>
          <w:color w:val="000000" w:themeColor="text1"/>
          <w:sz w:val="22"/>
          <w:szCs w:val="22"/>
          <w:lang w:val="es-CO" w:eastAsia="es-ES"/>
        </w:rPr>
      </w:pPr>
    </w:p>
    <w:p w14:paraId="65A9170E" w14:textId="1E468DDA" w:rsidR="00F716BF" w:rsidRDefault="00F716BF" w:rsidP="00206DD7">
      <w:pPr>
        <w:tabs>
          <w:tab w:val="left" w:pos="6060"/>
          <w:tab w:val="right" w:pos="8504"/>
        </w:tabs>
        <w:rPr>
          <w:rFonts w:ascii="Arial" w:hAnsi="Arial" w:cs="Arial"/>
          <w:bCs/>
          <w:color w:val="000000" w:themeColor="text1"/>
          <w:sz w:val="22"/>
          <w:szCs w:val="22"/>
          <w:lang w:val="es-CO" w:eastAsia="es-ES"/>
        </w:rPr>
      </w:pPr>
    </w:p>
    <w:p w14:paraId="13BCA2EA" w14:textId="1CB9BBA7" w:rsidR="00F716BF" w:rsidRDefault="00F716BF" w:rsidP="00206DD7">
      <w:pPr>
        <w:tabs>
          <w:tab w:val="left" w:pos="6060"/>
          <w:tab w:val="right" w:pos="8504"/>
        </w:tabs>
        <w:rPr>
          <w:rFonts w:ascii="Arial" w:hAnsi="Arial" w:cs="Arial"/>
          <w:bCs/>
          <w:color w:val="000000" w:themeColor="text1"/>
          <w:sz w:val="22"/>
          <w:szCs w:val="22"/>
          <w:lang w:val="es-CO" w:eastAsia="es-ES"/>
        </w:rPr>
      </w:pPr>
    </w:p>
    <w:p w14:paraId="1C60B672" w14:textId="3A33A785" w:rsidR="00F716BF" w:rsidRDefault="00F716BF" w:rsidP="00206DD7">
      <w:pPr>
        <w:tabs>
          <w:tab w:val="left" w:pos="6060"/>
          <w:tab w:val="right" w:pos="8504"/>
        </w:tabs>
        <w:rPr>
          <w:rFonts w:ascii="Arial" w:hAnsi="Arial" w:cs="Arial"/>
          <w:bCs/>
          <w:color w:val="000000" w:themeColor="text1"/>
          <w:sz w:val="22"/>
          <w:szCs w:val="22"/>
          <w:lang w:val="es-CO" w:eastAsia="es-ES"/>
        </w:rPr>
      </w:pPr>
    </w:p>
    <w:p w14:paraId="6AAE758D" w14:textId="4C399653" w:rsidR="00F716BF" w:rsidRDefault="00F716BF" w:rsidP="00206DD7">
      <w:pPr>
        <w:tabs>
          <w:tab w:val="left" w:pos="6060"/>
          <w:tab w:val="right" w:pos="8504"/>
        </w:tabs>
        <w:rPr>
          <w:rFonts w:ascii="Arial" w:hAnsi="Arial" w:cs="Arial"/>
          <w:bCs/>
          <w:color w:val="000000" w:themeColor="text1"/>
          <w:sz w:val="22"/>
          <w:szCs w:val="22"/>
          <w:lang w:val="es-CO" w:eastAsia="es-ES"/>
        </w:rPr>
      </w:pPr>
    </w:p>
    <w:p w14:paraId="5848D879" w14:textId="24B3A37C" w:rsidR="00EB6E15" w:rsidRDefault="00EB6E15" w:rsidP="00206DD7">
      <w:pPr>
        <w:tabs>
          <w:tab w:val="left" w:pos="6060"/>
          <w:tab w:val="right" w:pos="8504"/>
        </w:tabs>
        <w:rPr>
          <w:rFonts w:ascii="Arial" w:hAnsi="Arial" w:cs="Arial"/>
          <w:bCs/>
          <w:color w:val="000000" w:themeColor="text1"/>
          <w:sz w:val="22"/>
          <w:szCs w:val="22"/>
          <w:lang w:val="es-CO" w:eastAsia="es-ES"/>
        </w:rPr>
      </w:pPr>
    </w:p>
    <w:p w14:paraId="1A9398DA" w14:textId="2CAEB571" w:rsidR="00EB6E15" w:rsidRDefault="00EB6E15" w:rsidP="00206DD7">
      <w:pPr>
        <w:tabs>
          <w:tab w:val="left" w:pos="6060"/>
          <w:tab w:val="right" w:pos="8504"/>
        </w:tabs>
        <w:rPr>
          <w:rFonts w:ascii="Arial" w:hAnsi="Arial" w:cs="Arial"/>
          <w:bCs/>
          <w:color w:val="000000" w:themeColor="text1"/>
          <w:sz w:val="22"/>
          <w:szCs w:val="22"/>
          <w:lang w:val="es-CO" w:eastAsia="es-ES"/>
        </w:rPr>
      </w:pPr>
    </w:p>
    <w:p w14:paraId="457388B1" w14:textId="77777777" w:rsidR="00EB6E15" w:rsidRDefault="00EB6E15" w:rsidP="00206DD7">
      <w:pPr>
        <w:tabs>
          <w:tab w:val="left" w:pos="6060"/>
          <w:tab w:val="right" w:pos="8504"/>
        </w:tabs>
        <w:rPr>
          <w:rFonts w:ascii="Arial" w:hAnsi="Arial" w:cs="Arial"/>
          <w:bCs/>
          <w:color w:val="000000" w:themeColor="text1"/>
          <w:sz w:val="22"/>
          <w:szCs w:val="22"/>
          <w:lang w:val="es-CO" w:eastAsia="es-ES"/>
        </w:rPr>
      </w:pPr>
    </w:p>
    <w:p w14:paraId="45529E93" w14:textId="77777777" w:rsidR="00F716BF" w:rsidRPr="008A4211" w:rsidRDefault="00F716BF" w:rsidP="00206DD7">
      <w:pPr>
        <w:tabs>
          <w:tab w:val="left" w:pos="6060"/>
          <w:tab w:val="right" w:pos="8504"/>
        </w:tabs>
        <w:rPr>
          <w:rFonts w:ascii="Arial" w:hAnsi="Arial" w:cs="Arial"/>
          <w:bCs/>
          <w:color w:val="000000" w:themeColor="text1"/>
          <w:sz w:val="22"/>
          <w:szCs w:val="22"/>
          <w:lang w:val="es-CO" w:eastAsia="es-ES"/>
        </w:rPr>
      </w:pPr>
    </w:p>
    <w:p w14:paraId="3E3A4721" w14:textId="77777777" w:rsidR="00016836" w:rsidRDefault="00016836" w:rsidP="00206DD7">
      <w:pPr>
        <w:tabs>
          <w:tab w:val="left" w:pos="6060"/>
          <w:tab w:val="right" w:pos="8504"/>
        </w:tabs>
        <w:rPr>
          <w:rFonts w:ascii="Arial" w:hAnsi="Arial" w:cs="Arial"/>
          <w:bCs/>
          <w:color w:val="000000" w:themeColor="text1"/>
          <w:sz w:val="22"/>
          <w:szCs w:val="22"/>
          <w:lang w:val="es-CO" w:eastAsia="es-ES"/>
        </w:rPr>
      </w:pPr>
    </w:p>
    <w:p w14:paraId="70429110" w14:textId="325BF7A9" w:rsidR="00016836" w:rsidRDefault="00016836" w:rsidP="00016836">
      <w:pPr>
        <w:tabs>
          <w:tab w:val="left" w:pos="6060"/>
          <w:tab w:val="right" w:pos="8504"/>
        </w:tabs>
        <w:jc w:val="right"/>
        <w:rPr>
          <w:rFonts w:ascii="Arial" w:hAnsi="Arial" w:cs="Arial"/>
          <w:bCs/>
          <w:color w:val="000000" w:themeColor="text1"/>
          <w:sz w:val="22"/>
          <w:szCs w:val="22"/>
          <w:lang w:val="es-CO" w:eastAsia="es-ES"/>
        </w:rPr>
      </w:pPr>
      <w:r w:rsidRPr="00016836">
        <w:rPr>
          <w:rFonts w:ascii="Arial" w:hAnsi="Arial" w:cs="Arial"/>
          <w:bCs/>
          <w:noProof/>
          <w:color w:val="000000" w:themeColor="text1"/>
          <w:sz w:val="22"/>
          <w:szCs w:val="22"/>
          <w:lang w:val="es-CO" w:eastAsia="es-ES"/>
        </w:rPr>
        <w:drawing>
          <wp:inline distT="0" distB="0" distL="0" distR="0" wp14:anchorId="0D38CCE3" wp14:editId="516CD107">
            <wp:extent cx="3114040" cy="9042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14040" cy="904240"/>
                    </a:xfrm>
                    <a:prstGeom prst="rect">
                      <a:avLst/>
                    </a:prstGeom>
                  </pic:spPr>
                </pic:pic>
              </a:graphicData>
            </a:graphic>
          </wp:inline>
        </w:drawing>
      </w:r>
    </w:p>
    <w:p w14:paraId="30FD937F" w14:textId="77777777" w:rsidR="00016836" w:rsidRDefault="00016836" w:rsidP="00206DD7">
      <w:pPr>
        <w:tabs>
          <w:tab w:val="left" w:pos="6060"/>
          <w:tab w:val="right" w:pos="8504"/>
        </w:tabs>
        <w:rPr>
          <w:rFonts w:ascii="Arial" w:hAnsi="Arial" w:cs="Arial"/>
          <w:bCs/>
          <w:color w:val="000000" w:themeColor="text1"/>
          <w:sz w:val="22"/>
          <w:szCs w:val="22"/>
          <w:lang w:val="es-CO" w:eastAsia="es-ES"/>
        </w:rPr>
      </w:pPr>
    </w:p>
    <w:p w14:paraId="4FE1BD58" w14:textId="44C41244" w:rsidR="00206DD7" w:rsidRPr="00721D3C" w:rsidRDefault="00206DD7" w:rsidP="00206DD7">
      <w:pPr>
        <w:tabs>
          <w:tab w:val="left" w:pos="6060"/>
          <w:tab w:val="right" w:pos="8504"/>
        </w:tabs>
        <w:rPr>
          <w:rFonts w:ascii="Arial" w:hAnsi="Arial" w:cs="Arial"/>
          <w:b/>
          <w:color w:val="595959" w:themeColor="text1" w:themeTint="A6"/>
          <w:sz w:val="22"/>
          <w:szCs w:val="22"/>
          <w:lang w:val="es-CO" w:eastAsia="es-ES"/>
        </w:rPr>
      </w:pPr>
      <w:r w:rsidRPr="008A4211">
        <w:rPr>
          <w:rFonts w:ascii="Arial" w:hAnsi="Arial" w:cs="Arial"/>
          <w:bCs/>
          <w:color w:val="000000" w:themeColor="text1"/>
          <w:sz w:val="22"/>
          <w:szCs w:val="22"/>
          <w:lang w:val="es-CO" w:eastAsia="es-ES"/>
        </w:rPr>
        <w:t>Bogotá, D.C</w:t>
      </w:r>
      <w:r w:rsidRPr="00721D3C">
        <w:rPr>
          <w:rFonts w:ascii="Arial" w:hAnsi="Arial" w:cs="Arial"/>
          <w:b/>
          <w:color w:val="000000" w:themeColor="text1"/>
          <w:sz w:val="22"/>
          <w:szCs w:val="22"/>
          <w:lang w:val="es-CO" w:eastAsia="es-ES"/>
        </w:rPr>
        <w:t xml:space="preserve"> </w:t>
      </w:r>
      <w:r w:rsidRPr="00721D3C">
        <w:rPr>
          <w:rFonts w:ascii="Arial" w:hAnsi="Arial" w:cs="Arial"/>
          <w:b/>
          <w:color w:val="595959" w:themeColor="text1" w:themeTint="A6"/>
          <w:sz w:val="22"/>
          <w:szCs w:val="22"/>
          <w:lang w:val="es-CO" w:eastAsia="es-ES"/>
        </w:rPr>
        <w:tab/>
      </w:r>
      <w:r w:rsidRPr="00721D3C">
        <w:rPr>
          <w:rFonts w:ascii="Arial" w:hAnsi="Arial" w:cs="Arial"/>
          <w:b/>
          <w:color w:val="595959" w:themeColor="text1" w:themeTint="A6"/>
          <w:sz w:val="22"/>
          <w:szCs w:val="22"/>
          <w:lang w:val="es-CO" w:eastAsia="es-ES"/>
        </w:rPr>
        <w:tab/>
      </w:r>
    </w:p>
    <w:p w14:paraId="2229ADF1" w14:textId="26691E00" w:rsidR="00206DD7" w:rsidRDefault="00206DD7" w:rsidP="00206DD7">
      <w:pPr>
        <w:outlineLvl w:val="0"/>
        <w:rPr>
          <w:rFonts w:ascii="Arial" w:hAnsi="Arial" w:cs="Arial"/>
          <w:color w:val="000000" w:themeColor="text1"/>
          <w:sz w:val="22"/>
          <w:szCs w:val="22"/>
          <w:lang w:val="es-CO"/>
        </w:rPr>
      </w:pPr>
    </w:p>
    <w:p w14:paraId="29B09E93" w14:textId="52415D4A" w:rsidR="00EB6E15" w:rsidRDefault="00EB6E15" w:rsidP="00206DD7">
      <w:pPr>
        <w:outlineLvl w:val="0"/>
        <w:rPr>
          <w:rFonts w:ascii="Arial" w:hAnsi="Arial" w:cs="Arial"/>
          <w:color w:val="000000" w:themeColor="text1"/>
          <w:sz w:val="22"/>
          <w:szCs w:val="22"/>
          <w:lang w:val="es-CO"/>
        </w:rPr>
      </w:pPr>
    </w:p>
    <w:p w14:paraId="30A4C663" w14:textId="77777777" w:rsidR="00EB6E15" w:rsidRPr="008A4211" w:rsidRDefault="00EB6E15" w:rsidP="00206DD7">
      <w:pPr>
        <w:outlineLvl w:val="0"/>
        <w:rPr>
          <w:rFonts w:ascii="Arial" w:hAnsi="Arial" w:cs="Arial"/>
          <w:color w:val="000000" w:themeColor="text1"/>
          <w:sz w:val="22"/>
          <w:szCs w:val="22"/>
          <w:lang w:val="es-CO"/>
        </w:rPr>
      </w:pPr>
    </w:p>
    <w:p w14:paraId="3402A947" w14:textId="77777777" w:rsidR="00206DD7" w:rsidRPr="008A4211" w:rsidRDefault="00206DD7" w:rsidP="00721D3C">
      <w:pPr>
        <w:spacing w:after="0" w:line="240" w:lineRule="auto"/>
        <w:outlineLvl w:val="0"/>
        <w:rPr>
          <w:rFonts w:ascii="Arial" w:hAnsi="Arial" w:cs="Arial"/>
          <w:color w:val="000000" w:themeColor="text1"/>
          <w:sz w:val="22"/>
          <w:szCs w:val="22"/>
          <w:lang w:val="es-CO"/>
        </w:rPr>
      </w:pPr>
      <w:r w:rsidRPr="008A4211">
        <w:rPr>
          <w:rFonts w:ascii="Arial" w:hAnsi="Arial" w:cs="Arial"/>
          <w:color w:val="000000" w:themeColor="text1"/>
          <w:sz w:val="22"/>
          <w:szCs w:val="22"/>
          <w:lang w:val="es-CO"/>
        </w:rPr>
        <w:t>Señora</w:t>
      </w:r>
    </w:p>
    <w:p w14:paraId="6524E182" w14:textId="77777777" w:rsidR="00206DD7" w:rsidRPr="00721D3C" w:rsidRDefault="00206DD7" w:rsidP="00721D3C">
      <w:pPr>
        <w:spacing w:after="0" w:line="240" w:lineRule="auto"/>
        <w:outlineLvl w:val="0"/>
        <w:rPr>
          <w:rFonts w:ascii="Arial" w:hAnsi="Arial" w:cs="Arial"/>
          <w:b/>
          <w:bCs/>
          <w:color w:val="000000" w:themeColor="text1"/>
          <w:sz w:val="22"/>
          <w:szCs w:val="22"/>
          <w:lang w:val="es-CO"/>
        </w:rPr>
      </w:pPr>
      <w:r w:rsidRPr="00721D3C">
        <w:rPr>
          <w:rFonts w:ascii="Arial" w:hAnsi="Arial" w:cs="Arial"/>
          <w:b/>
          <w:bCs/>
          <w:color w:val="000000" w:themeColor="text1"/>
          <w:sz w:val="22"/>
          <w:szCs w:val="22"/>
          <w:lang w:val="es-CO"/>
        </w:rPr>
        <w:t xml:space="preserve">Xenia Patricia Pimienta Padilla </w:t>
      </w:r>
    </w:p>
    <w:p w14:paraId="52EC1476" w14:textId="77777777" w:rsidR="00206DD7" w:rsidRPr="008A4211" w:rsidRDefault="00000000" w:rsidP="00721D3C">
      <w:pPr>
        <w:spacing w:after="0" w:line="240" w:lineRule="auto"/>
        <w:outlineLvl w:val="0"/>
        <w:rPr>
          <w:rFonts w:ascii="Arial" w:hAnsi="Arial" w:cs="Arial"/>
          <w:color w:val="000000" w:themeColor="text1"/>
          <w:sz w:val="22"/>
          <w:szCs w:val="22"/>
          <w:lang w:val="es-CO"/>
        </w:rPr>
      </w:pPr>
      <w:hyperlink r:id="rId12" w:history="1">
        <w:r w:rsidR="00206DD7" w:rsidRPr="008A4211">
          <w:rPr>
            <w:rStyle w:val="Hipervnculo"/>
            <w:rFonts w:ascii="Arial" w:hAnsi="Arial" w:cs="Arial"/>
            <w:sz w:val="22"/>
            <w:szCs w:val="22"/>
            <w:lang w:val="es-CO"/>
          </w:rPr>
          <w:t>patricia.pimienta@inpec.gov.co</w:t>
        </w:r>
      </w:hyperlink>
      <w:r w:rsidR="00206DD7" w:rsidRPr="008A4211">
        <w:rPr>
          <w:rFonts w:ascii="Arial" w:hAnsi="Arial" w:cs="Arial"/>
          <w:color w:val="000000" w:themeColor="text1"/>
          <w:sz w:val="22"/>
          <w:szCs w:val="22"/>
          <w:lang w:val="es-CO"/>
        </w:rPr>
        <w:t xml:space="preserve"> </w:t>
      </w:r>
    </w:p>
    <w:p w14:paraId="45D9E3B6" w14:textId="77777777" w:rsidR="00206DD7" w:rsidRPr="008A4211" w:rsidRDefault="00206DD7" w:rsidP="00206DD7">
      <w:pPr>
        <w:rPr>
          <w:rFonts w:ascii="Arial" w:hAnsi="Arial" w:cs="Arial"/>
          <w:b/>
          <w:bCs/>
          <w:color w:val="000000" w:themeColor="text1"/>
          <w:sz w:val="22"/>
          <w:szCs w:val="22"/>
          <w:lang w:val="es-CO"/>
        </w:rPr>
      </w:pPr>
    </w:p>
    <w:p w14:paraId="050ED163" w14:textId="77777777" w:rsidR="00206DD7" w:rsidRPr="00721D3C" w:rsidRDefault="00206DD7" w:rsidP="00206DD7">
      <w:pPr>
        <w:ind w:firstLine="2694"/>
        <w:outlineLvl w:val="0"/>
        <w:rPr>
          <w:rFonts w:ascii="Arial" w:hAnsi="Arial" w:cs="Arial"/>
          <w:b/>
          <w:color w:val="002060"/>
          <w:sz w:val="22"/>
          <w:szCs w:val="22"/>
          <w:lang w:val="es-ES"/>
        </w:rPr>
      </w:pPr>
      <w:r w:rsidRPr="00721D3C">
        <w:rPr>
          <w:rFonts w:ascii="Arial" w:hAnsi="Arial" w:cs="Arial"/>
          <w:b/>
          <w:color w:val="002060"/>
          <w:sz w:val="22"/>
          <w:szCs w:val="22"/>
          <w:lang w:val="es-ES"/>
        </w:rPr>
        <w:t>Concepto C – 817 de 2022</w:t>
      </w:r>
    </w:p>
    <w:p w14:paraId="248387D3" w14:textId="77777777" w:rsidR="00206DD7" w:rsidRPr="008A4211" w:rsidRDefault="00206DD7" w:rsidP="00206DD7">
      <w:pPr>
        <w:rPr>
          <w:rFonts w:ascii="Arial" w:hAnsi="Arial" w:cs="Arial"/>
          <w:color w:val="000000" w:themeColor="text1"/>
          <w:sz w:val="22"/>
          <w:szCs w:val="22"/>
          <w:highlight w:val="yellow"/>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06DD7" w:rsidRPr="008A4211" w14:paraId="2C688D44" w14:textId="77777777" w:rsidTr="00332D17">
        <w:tc>
          <w:tcPr>
            <w:tcW w:w="2689" w:type="dxa"/>
            <w:hideMark/>
          </w:tcPr>
          <w:p w14:paraId="64FE80B8" w14:textId="77777777" w:rsidR="00206DD7" w:rsidRPr="00721D3C" w:rsidRDefault="00206DD7" w:rsidP="00332D17">
            <w:pPr>
              <w:rPr>
                <w:rFonts w:ascii="Arial" w:hAnsi="Arial" w:cs="Arial"/>
                <w:color w:val="002060"/>
                <w:sz w:val="22"/>
                <w:szCs w:val="22"/>
                <w:lang w:val="es-ES"/>
              </w:rPr>
            </w:pPr>
            <w:r w:rsidRPr="00721D3C">
              <w:rPr>
                <w:rFonts w:ascii="Arial" w:hAnsi="Arial" w:cs="Arial"/>
                <w:b/>
                <w:color w:val="002060"/>
                <w:sz w:val="22"/>
                <w:szCs w:val="22"/>
                <w:lang w:val="es-ES"/>
              </w:rPr>
              <w:t>Temas:</w:t>
            </w:r>
            <w:r w:rsidRPr="00721D3C">
              <w:rPr>
                <w:rFonts w:ascii="Arial" w:hAnsi="Arial" w:cs="Arial"/>
                <w:color w:val="002060"/>
                <w:sz w:val="22"/>
                <w:szCs w:val="22"/>
                <w:lang w:val="es-ES"/>
              </w:rPr>
              <w:t xml:space="preserve">           </w:t>
            </w:r>
          </w:p>
          <w:p w14:paraId="129CEF3C" w14:textId="77777777" w:rsidR="00206DD7" w:rsidRPr="00721D3C" w:rsidRDefault="00206DD7" w:rsidP="00332D17">
            <w:pPr>
              <w:rPr>
                <w:rFonts w:ascii="Arial" w:hAnsi="Arial" w:cs="Arial"/>
                <w:color w:val="002060"/>
                <w:sz w:val="22"/>
                <w:szCs w:val="22"/>
                <w:lang w:val="es-ES"/>
              </w:rPr>
            </w:pPr>
            <w:r w:rsidRPr="00721D3C">
              <w:rPr>
                <w:rFonts w:ascii="Arial" w:hAnsi="Arial" w:cs="Arial"/>
                <w:color w:val="002060"/>
                <w:sz w:val="22"/>
                <w:szCs w:val="22"/>
                <w:lang w:val="es-ES"/>
              </w:rPr>
              <w:t xml:space="preserve">                           </w:t>
            </w:r>
          </w:p>
        </w:tc>
        <w:tc>
          <w:tcPr>
            <w:tcW w:w="6237" w:type="dxa"/>
            <w:hideMark/>
          </w:tcPr>
          <w:p w14:paraId="299282DA" w14:textId="60A5E0DF" w:rsidR="00206DD7" w:rsidRPr="00721D3C" w:rsidRDefault="00206DD7" w:rsidP="00332D17">
            <w:pPr>
              <w:rPr>
                <w:rFonts w:ascii="Arial" w:hAnsi="Arial" w:cs="Arial"/>
                <w:bCs/>
                <w:color w:val="000000" w:themeColor="text1"/>
                <w:sz w:val="22"/>
                <w:szCs w:val="22"/>
              </w:rPr>
            </w:pPr>
            <w:r w:rsidRPr="00721D3C">
              <w:rPr>
                <w:rFonts w:ascii="Arial" w:hAnsi="Arial" w:cs="Arial"/>
                <w:sz w:val="22"/>
                <w:szCs w:val="22"/>
                <w:lang w:val="es-ES"/>
              </w:rPr>
              <w:t xml:space="preserve">PRINCIPIO DE PUBLICIDAD – Noción / SECOP – Publicación – Documentos / DOCUMENTOS DEL PROCESO – Noción – Deber de publicación – </w:t>
            </w:r>
            <w:r w:rsidR="004D0AF3">
              <w:rPr>
                <w:rFonts w:ascii="Arial" w:hAnsi="Arial" w:cs="Arial"/>
                <w:sz w:val="22"/>
                <w:szCs w:val="22"/>
                <w:lang w:val="es-ES"/>
              </w:rPr>
              <w:t>Proceso de Contratación</w:t>
            </w:r>
            <w:r w:rsidRPr="00721D3C">
              <w:rPr>
                <w:rFonts w:ascii="Arial" w:hAnsi="Arial" w:cs="Arial"/>
                <w:sz w:val="22"/>
                <w:szCs w:val="22"/>
                <w:lang w:val="es-ES"/>
              </w:rPr>
              <w:t xml:space="preserve"> / </w:t>
            </w:r>
            <w:r w:rsidRPr="00721D3C">
              <w:rPr>
                <w:rFonts w:ascii="Arial" w:hAnsi="Arial" w:cs="Arial"/>
                <w:bCs/>
                <w:color w:val="000000" w:themeColor="text1"/>
                <w:sz w:val="22"/>
                <w:szCs w:val="22"/>
              </w:rPr>
              <w:t xml:space="preserve">ADENDAS – Modificación al cronograma </w:t>
            </w:r>
          </w:p>
          <w:p w14:paraId="74B2A58E" w14:textId="77777777" w:rsidR="00206DD7" w:rsidRPr="00721D3C" w:rsidRDefault="00206DD7" w:rsidP="00332D17">
            <w:pPr>
              <w:rPr>
                <w:rFonts w:ascii="Arial" w:hAnsi="Arial" w:cs="Arial"/>
                <w:sz w:val="22"/>
                <w:szCs w:val="22"/>
              </w:rPr>
            </w:pPr>
          </w:p>
          <w:p w14:paraId="048639EB" w14:textId="77777777" w:rsidR="00206DD7" w:rsidRPr="00721D3C" w:rsidRDefault="00206DD7" w:rsidP="00332D17">
            <w:pPr>
              <w:rPr>
                <w:rFonts w:ascii="Arial" w:hAnsi="Arial" w:cs="Arial"/>
                <w:bCs/>
                <w:sz w:val="22"/>
                <w:szCs w:val="22"/>
              </w:rPr>
            </w:pPr>
          </w:p>
        </w:tc>
      </w:tr>
      <w:tr w:rsidR="00206DD7" w:rsidRPr="008A4211" w14:paraId="4DDE7A59" w14:textId="77777777" w:rsidTr="00332D17">
        <w:trPr>
          <w:trHeight w:val="74"/>
        </w:trPr>
        <w:tc>
          <w:tcPr>
            <w:tcW w:w="2689" w:type="dxa"/>
          </w:tcPr>
          <w:p w14:paraId="42003994" w14:textId="77777777" w:rsidR="00206DD7" w:rsidRPr="00721D3C" w:rsidRDefault="00206DD7" w:rsidP="00332D17">
            <w:pPr>
              <w:spacing w:before="120"/>
              <w:rPr>
                <w:rFonts w:ascii="Arial" w:hAnsi="Arial" w:cs="Arial"/>
                <w:b/>
                <w:color w:val="002060"/>
                <w:sz w:val="22"/>
                <w:szCs w:val="22"/>
                <w:lang w:val="es-ES"/>
              </w:rPr>
            </w:pPr>
            <w:r w:rsidRPr="00721D3C">
              <w:rPr>
                <w:rFonts w:ascii="Arial" w:hAnsi="Arial" w:cs="Arial"/>
                <w:b/>
                <w:color w:val="002060"/>
                <w:sz w:val="22"/>
                <w:szCs w:val="22"/>
                <w:lang w:val="es-ES"/>
              </w:rPr>
              <w:t>Radicación:</w:t>
            </w:r>
            <w:r w:rsidRPr="00721D3C">
              <w:rPr>
                <w:rFonts w:ascii="Arial" w:hAnsi="Arial" w:cs="Arial"/>
                <w:color w:val="002060"/>
                <w:sz w:val="22"/>
                <w:szCs w:val="22"/>
                <w:lang w:val="es-ES"/>
              </w:rPr>
              <w:t xml:space="preserve">                              </w:t>
            </w:r>
          </w:p>
        </w:tc>
        <w:tc>
          <w:tcPr>
            <w:tcW w:w="6237" w:type="dxa"/>
          </w:tcPr>
          <w:p w14:paraId="1DADAE5F" w14:textId="77777777" w:rsidR="00206DD7" w:rsidRPr="00721D3C" w:rsidRDefault="00206DD7" w:rsidP="00332D17">
            <w:pPr>
              <w:rPr>
                <w:rFonts w:ascii="Arial" w:hAnsi="Arial" w:cs="Arial"/>
                <w:sz w:val="22"/>
                <w:szCs w:val="22"/>
              </w:rPr>
            </w:pPr>
            <w:r w:rsidRPr="00721D3C">
              <w:rPr>
                <w:rFonts w:ascii="Arial" w:hAnsi="Arial" w:cs="Arial"/>
                <w:color w:val="000000" w:themeColor="text1"/>
                <w:sz w:val="22"/>
                <w:szCs w:val="22"/>
                <w:lang w:val="es-ES"/>
              </w:rPr>
              <w:t>Respuesta a la consulta P20221012010303</w:t>
            </w:r>
          </w:p>
          <w:p w14:paraId="2B07308E" w14:textId="77777777" w:rsidR="00206DD7" w:rsidRPr="00721D3C" w:rsidRDefault="00206DD7" w:rsidP="00332D17">
            <w:pPr>
              <w:spacing w:before="120"/>
              <w:rPr>
                <w:rFonts w:ascii="Arial" w:hAnsi="Arial" w:cs="Arial"/>
                <w:color w:val="000000" w:themeColor="text1"/>
                <w:sz w:val="22"/>
                <w:szCs w:val="22"/>
                <w:lang w:val="es-ES"/>
              </w:rPr>
            </w:pPr>
            <w:r w:rsidRPr="00721D3C">
              <w:rPr>
                <w:rFonts w:ascii="Arial" w:hAnsi="Arial" w:cs="Arial"/>
                <w:color w:val="000000" w:themeColor="text1"/>
                <w:sz w:val="22"/>
                <w:szCs w:val="22"/>
                <w:lang w:val="es-ES"/>
              </w:rPr>
              <w:t xml:space="preserve"> </w:t>
            </w:r>
          </w:p>
        </w:tc>
      </w:tr>
    </w:tbl>
    <w:p w14:paraId="3F8DCE22" w14:textId="77777777" w:rsidR="00206DD7" w:rsidRPr="008A4211" w:rsidRDefault="00206DD7" w:rsidP="00206DD7">
      <w:pPr>
        <w:rPr>
          <w:rFonts w:ascii="Arial" w:hAnsi="Arial" w:cs="Arial"/>
          <w:color w:val="000000" w:themeColor="text1"/>
          <w:sz w:val="22"/>
          <w:szCs w:val="22"/>
          <w:lang w:val="es-ES"/>
        </w:rPr>
      </w:pPr>
      <w:r w:rsidRPr="008A4211">
        <w:rPr>
          <w:rFonts w:ascii="Arial" w:hAnsi="Arial" w:cs="Arial"/>
          <w:color w:val="000000" w:themeColor="text1"/>
          <w:sz w:val="22"/>
          <w:szCs w:val="22"/>
          <w:lang w:val="es-ES"/>
        </w:rPr>
        <w:t xml:space="preserve">Estimada señora Pimienta: </w:t>
      </w:r>
    </w:p>
    <w:p w14:paraId="622BA5E8" w14:textId="77777777" w:rsidR="00206DD7" w:rsidRPr="008A4211" w:rsidRDefault="00206DD7" w:rsidP="00206DD7">
      <w:pPr>
        <w:spacing w:before="120"/>
        <w:rPr>
          <w:rFonts w:ascii="Arial" w:hAnsi="Arial" w:cs="Arial"/>
          <w:color w:val="000000" w:themeColor="text1"/>
          <w:sz w:val="22"/>
          <w:szCs w:val="22"/>
          <w:lang w:val="es-ES"/>
        </w:rPr>
      </w:pPr>
      <w:r w:rsidRPr="008A4211">
        <w:rPr>
          <w:rFonts w:ascii="Arial" w:hAnsi="Arial" w:cs="Arial"/>
          <w:color w:val="000000" w:themeColor="text1"/>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3 de mayo de 2022. </w:t>
      </w:r>
    </w:p>
    <w:p w14:paraId="74ADEC84" w14:textId="77777777" w:rsidR="00206DD7" w:rsidRPr="008A4211" w:rsidRDefault="00206DD7" w:rsidP="00206DD7">
      <w:pPr>
        <w:tabs>
          <w:tab w:val="left" w:pos="284"/>
        </w:tabs>
        <w:rPr>
          <w:rFonts w:ascii="Arial" w:hAnsi="Arial" w:cs="Arial"/>
          <w:b/>
          <w:color w:val="000000" w:themeColor="text1"/>
          <w:sz w:val="22"/>
          <w:szCs w:val="22"/>
          <w:lang w:val="es-ES"/>
        </w:rPr>
      </w:pPr>
      <w:r w:rsidRPr="008A4211">
        <w:rPr>
          <w:rFonts w:ascii="Arial" w:hAnsi="Arial" w:cs="Arial"/>
          <w:b/>
          <w:color w:val="000000" w:themeColor="text1"/>
          <w:sz w:val="22"/>
          <w:szCs w:val="22"/>
          <w:lang w:val="es-ES"/>
        </w:rPr>
        <w:lastRenderedPageBreak/>
        <w:t xml:space="preserve">1. Problemas planteados </w:t>
      </w:r>
    </w:p>
    <w:p w14:paraId="6C3EFB39" w14:textId="77777777" w:rsidR="00206DD7" w:rsidRPr="008A4211" w:rsidRDefault="00206DD7" w:rsidP="00721D3C">
      <w:pPr>
        <w:pStyle w:val="gmail-msonospacing"/>
        <w:spacing w:before="0" w:beforeAutospacing="0" w:after="240" w:afterAutospacing="0" w:line="276" w:lineRule="auto"/>
        <w:ind w:right="900"/>
        <w:jc w:val="both"/>
        <w:rPr>
          <w:rFonts w:ascii="Arial" w:eastAsia="Calibri" w:hAnsi="Arial" w:cs="Arial"/>
          <w:lang w:val="es-ES_tradnl"/>
        </w:rPr>
      </w:pPr>
      <w:r w:rsidRPr="008A4211">
        <w:rPr>
          <w:rFonts w:ascii="Arial" w:eastAsia="Calibri" w:hAnsi="Arial" w:cs="Arial"/>
          <w:lang w:val="es-ES_tradnl"/>
        </w:rPr>
        <w:t xml:space="preserve">Usted realiza la siguiente pregunta: </w:t>
      </w:r>
    </w:p>
    <w:p w14:paraId="643E6877" w14:textId="0F9B32D9" w:rsidR="00206DD7" w:rsidRPr="00721D3C" w:rsidRDefault="00206DD7" w:rsidP="00721D3C">
      <w:pPr>
        <w:autoSpaceDE w:val="0"/>
        <w:autoSpaceDN w:val="0"/>
        <w:adjustRightInd w:val="0"/>
        <w:spacing w:after="240" w:line="240" w:lineRule="auto"/>
        <w:ind w:left="709" w:right="709"/>
        <w:rPr>
          <w:rFonts w:ascii="Arial" w:hAnsi="Arial" w:cs="Arial"/>
          <w:sz w:val="21"/>
          <w:szCs w:val="21"/>
        </w:rPr>
      </w:pPr>
      <w:r w:rsidRPr="00721D3C">
        <w:rPr>
          <w:rFonts w:ascii="Arial" w:hAnsi="Arial" w:cs="Arial"/>
          <w:sz w:val="21"/>
          <w:szCs w:val="21"/>
        </w:rPr>
        <w:t>«</w:t>
      </w:r>
      <w:r w:rsidRPr="00721D3C">
        <w:rPr>
          <w:rFonts w:ascii="Arial" w:eastAsiaTheme="minorHAnsi" w:hAnsi="Arial" w:cs="Arial"/>
          <w:sz w:val="21"/>
          <w:szCs w:val="21"/>
          <w:lang w:eastAsia="en-US"/>
        </w:rPr>
        <w:t xml:space="preserve">Si a la entidad se le olvida publicar en el SECOP II el Proyecto de Pliego de Condiciones o cualquier otro documento dentro de los términos establecidos en el cronograma del proceso de contratación, </w:t>
      </w:r>
      <w:r w:rsidR="009346B6" w:rsidRPr="00721D3C">
        <w:rPr>
          <w:rFonts w:ascii="Arial" w:eastAsiaTheme="minorHAnsi" w:hAnsi="Arial" w:cs="Arial"/>
          <w:sz w:val="21"/>
          <w:szCs w:val="21"/>
          <w:lang w:eastAsia="en-US"/>
        </w:rPr>
        <w:t>¿Mediante</w:t>
      </w:r>
      <w:r w:rsidRPr="00721D3C">
        <w:rPr>
          <w:rFonts w:ascii="Arial" w:eastAsiaTheme="minorHAnsi" w:hAnsi="Arial" w:cs="Arial"/>
          <w:sz w:val="21"/>
          <w:szCs w:val="21"/>
          <w:lang w:eastAsia="en-US"/>
        </w:rPr>
        <w:t xml:space="preserve"> que documento se podría corregir? y ¿</w:t>
      </w:r>
      <w:r w:rsidR="009346B6" w:rsidRPr="00721D3C">
        <w:rPr>
          <w:rFonts w:ascii="Arial" w:eastAsiaTheme="minorHAnsi" w:hAnsi="Arial" w:cs="Arial"/>
          <w:sz w:val="21"/>
          <w:szCs w:val="21"/>
          <w:lang w:eastAsia="en-US"/>
        </w:rPr>
        <w:t>Cuales</w:t>
      </w:r>
      <w:r w:rsidRPr="00721D3C">
        <w:rPr>
          <w:rFonts w:ascii="Arial" w:eastAsiaTheme="minorHAnsi" w:hAnsi="Arial" w:cs="Arial"/>
          <w:sz w:val="21"/>
          <w:szCs w:val="21"/>
          <w:lang w:eastAsia="en-US"/>
        </w:rPr>
        <w:t xml:space="preserve"> serían las normas jurídicas que ampararían a la entidad de corregir el error cometido</w:t>
      </w:r>
      <w:r w:rsidR="004D0AF3" w:rsidRPr="00721D3C">
        <w:rPr>
          <w:rFonts w:ascii="Arial" w:eastAsiaTheme="minorHAnsi" w:hAnsi="Arial" w:cs="Arial"/>
          <w:sz w:val="21"/>
          <w:szCs w:val="21"/>
          <w:lang w:eastAsia="en-US"/>
        </w:rPr>
        <w:t>?</w:t>
      </w:r>
      <w:r w:rsidR="004D0AF3" w:rsidRPr="00721D3C">
        <w:rPr>
          <w:rFonts w:ascii="Arial" w:hAnsi="Arial" w:cs="Arial"/>
          <w:sz w:val="21"/>
          <w:szCs w:val="21"/>
        </w:rPr>
        <w:t>» (</w:t>
      </w:r>
      <w:r w:rsidR="00051BC3" w:rsidRPr="00721D3C">
        <w:rPr>
          <w:rFonts w:ascii="Arial" w:hAnsi="Arial" w:cs="Arial"/>
          <w:sz w:val="21"/>
          <w:szCs w:val="21"/>
        </w:rPr>
        <w:t>sic</w:t>
      </w:r>
      <w:r w:rsidR="004D0AF3" w:rsidRPr="00051BC3">
        <w:rPr>
          <w:rFonts w:ascii="Arial" w:hAnsi="Arial" w:cs="Arial"/>
          <w:sz w:val="21"/>
          <w:szCs w:val="21"/>
        </w:rPr>
        <w:t>)</w:t>
      </w:r>
      <w:r w:rsidRPr="00721D3C">
        <w:rPr>
          <w:rFonts w:ascii="Arial" w:hAnsi="Arial" w:cs="Arial"/>
          <w:sz w:val="21"/>
          <w:szCs w:val="21"/>
        </w:rPr>
        <w:t xml:space="preserve">. </w:t>
      </w:r>
    </w:p>
    <w:p w14:paraId="493A7F63" w14:textId="77777777" w:rsidR="00206DD7" w:rsidRPr="00721D3C" w:rsidRDefault="00206DD7" w:rsidP="00721D3C">
      <w:pPr>
        <w:autoSpaceDE w:val="0"/>
        <w:autoSpaceDN w:val="0"/>
        <w:adjustRightInd w:val="0"/>
        <w:spacing w:line="240" w:lineRule="auto"/>
        <w:rPr>
          <w:rFonts w:ascii="Arial" w:eastAsiaTheme="minorHAnsi" w:hAnsi="Arial" w:cs="Arial"/>
          <w:i/>
          <w:iCs/>
          <w:sz w:val="21"/>
          <w:szCs w:val="21"/>
          <w:lang w:eastAsia="en-US"/>
        </w:rPr>
      </w:pPr>
    </w:p>
    <w:p w14:paraId="6435D0DB" w14:textId="77777777" w:rsidR="00206DD7" w:rsidRPr="008A4211" w:rsidRDefault="00206DD7" w:rsidP="00206DD7">
      <w:pPr>
        <w:spacing w:before="120"/>
        <w:rPr>
          <w:rFonts w:ascii="Arial" w:hAnsi="Arial" w:cs="Arial"/>
          <w:b/>
          <w:color w:val="000000" w:themeColor="text1"/>
          <w:sz w:val="22"/>
          <w:szCs w:val="22"/>
          <w:lang w:val="es-ES"/>
        </w:rPr>
      </w:pPr>
      <w:r w:rsidRPr="008A4211">
        <w:rPr>
          <w:rFonts w:ascii="Arial" w:hAnsi="Arial" w:cs="Arial"/>
          <w:b/>
          <w:color w:val="000000" w:themeColor="text1"/>
          <w:sz w:val="22"/>
          <w:szCs w:val="22"/>
          <w:lang w:val="es-ES"/>
        </w:rPr>
        <w:t xml:space="preserve">2. Consideraciones </w:t>
      </w:r>
    </w:p>
    <w:p w14:paraId="5B446575" w14:textId="77777777" w:rsidR="00206DD7" w:rsidRPr="008A4211" w:rsidRDefault="00206DD7" w:rsidP="00206DD7">
      <w:pPr>
        <w:spacing w:after="120"/>
        <w:rPr>
          <w:rFonts w:ascii="Arial" w:hAnsi="Arial" w:cs="Arial"/>
          <w:bCs/>
          <w:sz w:val="22"/>
          <w:szCs w:val="22"/>
        </w:rPr>
      </w:pPr>
      <w:r w:rsidRPr="008A4211">
        <w:rPr>
          <w:rFonts w:ascii="Arial" w:hAnsi="Arial" w:cs="Arial"/>
          <w:bCs/>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9F5246D" w14:textId="77777777" w:rsidR="00206DD7" w:rsidRPr="008A4211" w:rsidRDefault="00206DD7" w:rsidP="00206DD7">
      <w:pPr>
        <w:spacing w:after="120"/>
        <w:ind w:firstLine="708"/>
        <w:rPr>
          <w:rFonts w:ascii="Arial" w:hAnsi="Arial" w:cs="Arial"/>
          <w:sz w:val="22"/>
          <w:szCs w:val="22"/>
          <w:lang w:val="es-ES"/>
        </w:rPr>
      </w:pPr>
      <w:bookmarkStart w:id="3" w:name="_Hlk61701014"/>
      <w:bookmarkStart w:id="4" w:name="_Hlk62136649"/>
      <w:r w:rsidRPr="008A4211">
        <w:rPr>
          <w:rFonts w:ascii="Arial" w:hAnsi="Arial" w:cs="Arial"/>
          <w:sz w:val="22"/>
          <w:szCs w:val="22"/>
          <w:lang w:val="es-ES"/>
        </w:rPr>
        <w:t xml:space="preserve">Es necesario tener en cuenta que </w:t>
      </w:r>
      <w:bookmarkStart w:id="5" w:name="_Hlk61026958"/>
      <w:r w:rsidRPr="008A4211">
        <w:rPr>
          <w:rFonts w:ascii="Arial" w:hAnsi="Arial" w:cs="Arial"/>
          <w:sz w:val="22"/>
          <w:szCs w:val="22"/>
          <w:lang w:val="es-ES"/>
        </w:rPr>
        <w:t>esta entidad solo tiene competencia para responder solicitudes sobre la aplicación de normas de carácter general en materia de compras y contratación pública. En ese sentido, resolver casos particulares o validar actuaciones de las entidades estatales desborda las atribuciones asignadas por el legislador extraordinario, que no concibió a Colombia Compra Eficiente como una autoridad para solucionar problemas jurídicos particulares</w:t>
      </w:r>
      <w:r w:rsidRPr="008A4211">
        <w:rPr>
          <w:rFonts w:ascii="Arial" w:hAnsi="Arial" w:cs="Arial"/>
          <w:bCs/>
          <w:sz w:val="22"/>
          <w:szCs w:val="22"/>
        </w:rPr>
        <w:t xml:space="preserve"> de todos los partícipes de la contratación estatal.</w:t>
      </w:r>
    </w:p>
    <w:p w14:paraId="7C834B27" w14:textId="59DC2554" w:rsidR="00206DD7" w:rsidRPr="008A4211" w:rsidRDefault="00206DD7" w:rsidP="00206DD7">
      <w:pPr>
        <w:spacing w:after="120"/>
        <w:ind w:firstLine="708"/>
        <w:rPr>
          <w:rFonts w:ascii="Arial" w:hAnsi="Arial" w:cs="Arial"/>
          <w:sz w:val="22"/>
          <w:szCs w:val="22"/>
          <w:lang w:val="es-ES"/>
        </w:rPr>
      </w:pPr>
      <w:r w:rsidRPr="008A4211">
        <w:rPr>
          <w:rFonts w:ascii="Arial" w:hAnsi="Arial" w:cs="Arial"/>
          <w:sz w:val="22"/>
          <w:szCs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A4211">
        <w:rPr>
          <w:rFonts w:ascii="Arial" w:hAnsi="Arial" w:cs="Arial"/>
          <w:sz w:val="22"/>
          <w:szCs w:val="22"/>
          <w:vertAlign w:val="superscript"/>
          <w:lang w:val="es-ES"/>
        </w:rPr>
        <w:footnoteReference w:id="2"/>
      </w:r>
      <w:r w:rsidRPr="008A4211">
        <w:rPr>
          <w:rFonts w:ascii="Arial" w:hAnsi="Arial" w:cs="Arial"/>
          <w:sz w:val="22"/>
          <w:szCs w:val="22"/>
          <w:lang w:val="es-ES"/>
        </w:rPr>
        <w:t xml:space="preserve">. Esta competencia de interpretación de normas generales, por definición, no puede extenderse a la resolución de controversias, ni a brindar asesorías sobre casos puntuales. Esto en la medida en </w:t>
      </w:r>
      <w:r w:rsidR="00EB6E15" w:rsidRPr="008A4211">
        <w:rPr>
          <w:rFonts w:ascii="Arial" w:hAnsi="Arial" w:cs="Arial"/>
          <w:sz w:val="22"/>
          <w:szCs w:val="22"/>
          <w:lang w:val="es-ES"/>
        </w:rPr>
        <w:t>que,</w:t>
      </w:r>
      <w:r w:rsidRPr="008A4211">
        <w:rPr>
          <w:rFonts w:ascii="Arial" w:hAnsi="Arial" w:cs="Arial"/>
          <w:sz w:val="22"/>
          <w:szCs w:val="22"/>
          <w:lang w:val="es-ES"/>
        </w:rPr>
        <w:t xml:space="preserve"> para resolver una consulta de carácter particular, además de conocer un sinnúmero de detalles de la actuación administrativa, es necesario acceder al expediente y a los documentos del </w:t>
      </w:r>
      <w:r w:rsidRPr="008A4211">
        <w:rPr>
          <w:rFonts w:ascii="Arial" w:hAnsi="Arial" w:cs="Arial"/>
          <w:sz w:val="22"/>
          <w:szCs w:val="22"/>
          <w:lang w:val="es-ES"/>
        </w:rPr>
        <w:lastRenderedPageBreak/>
        <w:t>procedimiento contractual donde surge la inquietud</w:t>
      </w:r>
      <w:bookmarkEnd w:id="5"/>
      <w:r w:rsidRPr="008A4211">
        <w:rPr>
          <w:rFonts w:ascii="Arial" w:hAnsi="Arial" w:cs="Arial"/>
          <w:sz w:val="22"/>
          <w:szCs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53E7040A" w14:textId="2A2F2F4B" w:rsidR="00206DD7" w:rsidRPr="008A4211" w:rsidRDefault="00206DD7" w:rsidP="00206DD7">
      <w:pPr>
        <w:spacing w:after="120"/>
        <w:ind w:firstLine="708"/>
        <w:rPr>
          <w:rFonts w:ascii="Arial" w:hAnsi="Arial" w:cs="Arial"/>
          <w:sz w:val="22"/>
          <w:szCs w:val="22"/>
          <w:lang w:val="es-CO"/>
        </w:rPr>
      </w:pPr>
      <w:r w:rsidRPr="008A4211">
        <w:rPr>
          <w:rFonts w:ascii="Arial" w:hAnsi="Arial" w:cs="Arial"/>
          <w:color w:val="000000" w:themeColor="text1"/>
          <w:sz w:val="22"/>
          <w:szCs w:val="22"/>
        </w:rPr>
        <w:t xml:space="preserve">Sin perjuicio de lo anterior, </w:t>
      </w:r>
      <w:r w:rsidRPr="008A4211">
        <w:rPr>
          <w:rFonts w:ascii="Arial" w:hAnsi="Arial" w:cs="Arial"/>
          <w:color w:val="000000" w:themeColor="text1"/>
          <w:sz w:val="22"/>
          <w:szCs w:val="22"/>
          <w:lang w:val="es-ES"/>
        </w:rPr>
        <w:t>la Subdirección</w:t>
      </w:r>
      <w:r w:rsidR="00EB6E15">
        <w:rPr>
          <w:rFonts w:ascii="Arial" w:hAnsi="Arial" w:cs="Arial"/>
          <w:color w:val="000000" w:themeColor="text1"/>
          <w:sz w:val="22"/>
          <w:szCs w:val="22"/>
          <w:lang w:val="es-ES"/>
        </w:rPr>
        <w:t xml:space="preserve"> de Gestión Contractual, </w:t>
      </w:r>
      <w:r w:rsidRPr="008A4211">
        <w:rPr>
          <w:rFonts w:ascii="Arial" w:hAnsi="Arial" w:cs="Arial"/>
          <w:color w:val="000000" w:themeColor="text1"/>
          <w:sz w:val="22"/>
          <w:szCs w:val="22"/>
          <w:lang w:val="es-ES"/>
        </w:rPr>
        <w:t xml:space="preserve">dentro de los límites de sus atribuciones, esto es, </w:t>
      </w:r>
      <w:bookmarkStart w:id="6" w:name="_Hlk61025408"/>
      <w:r w:rsidRPr="008A4211">
        <w:rPr>
          <w:rFonts w:ascii="Arial" w:hAnsi="Arial" w:cs="Arial"/>
          <w:color w:val="000000" w:themeColor="text1"/>
          <w:sz w:val="22"/>
          <w:szCs w:val="22"/>
          <w:lang w:val="es-ES"/>
        </w:rPr>
        <w:t>haciendo abstracción del caso particular expuesto por el peticionari</w:t>
      </w:r>
      <w:r w:rsidR="00EB6E15">
        <w:rPr>
          <w:rFonts w:ascii="Arial" w:hAnsi="Arial" w:cs="Arial"/>
          <w:color w:val="000000" w:themeColor="text1"/>
          <w:sz w:val="22"/>
          <w:szCs w:val="22"/>
          <w:lang w:val="es-ES"/>
        </w:rPr>
        <w:t>o,</w:t>
      </w:r>
      <w:bookmarkEnd w:id="6"/>
      <w:r w:rsidRPr="008A4211">
        <w:rPr>
          <w:rFonts w:ascii="Arial" w:hAnsi="Arial" w:cs="Arial"/>
          <w:color w:val="000000" w:themeColor="text1"/>
          <w:sz w:val="22"/>
          <w:szCs w:val="22"/>
          <w:lang w:val="es-ES"/>
        </w:rPr>
        <w:t xml:space="preserve"> resolverá la consulta conforme a las normas generales en materia de contratación estatal. Con este objetivo se analizarán los siguientes temas: </w:t>
      </w:r>
      <w:r w:rsidRPr="008A4211">
        <w:rPr>
          <w:rFonts w:ascii="Arial" w:hAnsi="Arial" w:cs="Arial"/>
          <w:color w:val="000000" w:themeColor="text1"/>
          <w:sz w:val="22"/>
          <w:szCs w:val="22"/>
          <w:lang w:val="es-CO"/>
        </w:rPr>
        <w:t>i) publicidad de los Documentos del Proceso en el Sistema Electrónico de Contratación Pública –SECOP</w:t>
      </w:r>
      <w:r w:rsidR="00EB6E15">
        <w:rPr>
          <w:rFonts w:ascii="Arial" w:hAnsi="Arial" w:cs="Arial"/>
          <w:color w:val="000000" w:themeColor="text1"/>
          <w:sz w:val="22"/>
          <w:szCs w:val="22"/>
          <w:lang w:val="es-CO"/>
        </w:rPr>
        <w:t xml:space="preserve"> II</w:t>
      </w:r>
      <w:r w:rsidRPr="008A4211">
        <w:rPr>
          <w:rFonts w:ascii="Arial" w:hAnsi="Arial" w:cs="Arial"/>
          <w:color w:val="000000" w:themeColor="text1"/>
          <w:sz w:val="22"/>
          <w:szCs w:val="22"/>
          <w:lang w:val="es-CO"/>
        </w:rPr>
        <w:t>–, y ii) Adendas de modificación al cronograma</w:t>
      </w:r>
      <w:r w:rsidR="00EB6E15">
        <w:rPr>
          <w:rFonts w:ascii="Arial" w:hAnsi="Arial" w:cs="Arial"/>
          <w:color w:val="000000" w:themeColor="text1"/>
          <w:sz w:val="22"/>
          <w:szCs w:val="22"/>
          <w:lang w:val="es-CO"/>
        </w:rPr>
        <w:t xml:space="preserve"> del proceso de selección</w:t>
      </w:r>
      <w:r w:rsidRPr="008A4211">
        <w:rPr>
          <w:rFonts w:ascii="Arial" w:hAnsi="Arial" w:cs="Arial"/>
          <w:color w:val="000000" w:themeColor="text1"/>
          <w:sz w:val="22"/>
          <w:szCs w:val="22"/>
          <w:lang w:val="es-CO"/>
        </w:rPr>
        <w:t xml:space="preserve">. </w:t>
      </w:r>
    </w:p>
    <w:p w14:paraId="6092CA9F" w14:textId="16581C1D" w:rsidR="00206DD7" w:rsidRPr="008A4211" w:rsidRDefault="00206DD7" w:rsidP="00206DD7">
      <w:pPr>
        <w:spacing w:before="120"/>
        <w:ind w:firstLine="708"/>
        <w:rPr>
          <w:rFonts w:ascii="Arial" w:hAnsi="Arial" w:cs="Arial"/>
          <w:color w:val="000000" w:themeColor="text1"/>
          <w:sz w:val="22"/>
          <w:szCs w:val="22"/>
        </w:rPr>
      </w:pPr>
      <w:r w:rsidRPr="008A4211">
        <w:rPr>
          <w:rFonts w:ascii="Arial" w:hAnsi="Arial" w:cs="Arial"/>
          <w:sz w:val="22"/>
          <w:szCs w:val="22"/>
          <w:lang w:val="es-ES"/>
        </w:rPr>
        <w:t>La Agencia Nacional de Contratación Pública – Colombia Compra Eficiente</w:t>
      </w:r>
      <w:r w:rsidR="00EB6E15">
        <w:rPr>
          <w:rFonts w:ascii="Arial" w:hAnsi="Arial" w:cs="Arial"/>
          <w:sz w:val="22"/>
          <w:szCs w:val="22"/>
          <w:lang w:val="es-ES"/>
        </w:rPr>
        <w:t>,</w:t>
      </w:r>
      <w:r w:rsidRPr="008A4211">
        <w:rPr>
          <w:rFonts w:ascii="Arial" w:hAnsi="Arial" w:cs="Arial"/>
          <w:sz w:val="22"/>
          <w:szCs w:val="22"/>
          <w:lang w:val="es-ES"/>
        </w:rPr>
        <w:t xml:space="preserve"> ha tenido la oportunidad de estudiar en diferentes ocasiones el tema de la publicación de documentación contractual en las plataformas SECOP I y SECOP II, posiciones que fueron unificadas en el concepto CU-367 del 23 de julio de 2020. </w:t>
      </w:r>
      <w:r w:rsidRPr="008A4211">
        <w:rPr>
          <w:rFonts w:ascii="Arial" w:hAnsi="Arial" w:cs="Arial"/>
          <w:color w:val="000000"/>
          <w:sz w:val="22"/>
          <w:szCs w:val="22"/>
          <w:lang w:eastAsia="en-GB"/>
        </w:rPr>
        <w:t>De igual manera, en el concepto C- 313 de 2021 precisó cuáles son los documentos que deben publicarse en el SECOP</w:t>
      </w:r>
      <w:r w:rsidR="00F10490">
        <w:rPr>
          <w:rFonts w:ascii="Arial" w:hAnsi="Arial" w:cs="Arial"/>
          <w:color w:val="000000"/>
          <w:sz w:val="22"/>
          <w:szCs w:val="22"/>
          <w:lang w:eastAsia="en-GB"/>
        </w:rPr>
        <w:t>, cuyas conclusiones se reiteraron en los conceptos C-721 de 2022 y C-766 de 2022</w:t>
      </w:r>
      <w:r w:rsidRPr="008A4211">
        <w:rPr>
          <w:rFonts w:ascii="Arial" w:hAnsi="Arial" w:cs="Arial"/>
          <w:color w:val="000000"/>
          <w:sz w:val="22"/>
          <w:szCs w:val="22"/>
          <w:lang w:eastAsia="en-GB"/>
        </w:rPr>
        <w:t xml:space="preserve">.  </w:t>
      </w:r>
      <w:r w:rsidRPr="008A4211">
        <w:rPr>
          <w:rFonts w:ascii="Arial" w:hAnsi="Arial" w:cs="Arial"/>
          <w:color w:val="000000" w:themeColor="text1"/>
          <w:sz w:val="22"/>
          <w:szCs w:val="22"/>
        </w:rPr>
        <w:t>Las tesis expuestas en estos conceptos se r</w:t>
      </w:r>
      <w:r w:rsidR="00F10490">
        <w:rPr>
          <w:rFonts w:ascii="Arial" w:hAnsi="Arial" w:cs="Arial"/>
          <w:color w:val="000000" w:themeColor="text1"/>
          <w:sz w:val="22"/>
          <w:szCs w:val="22"/>
        </w:rPr>
        <w:t xml:space="preserve">eproducen </w:t>
      </w:r>
      <w:r w:rsidRPr="008A4211">
        <w:rPr>
          <w:rFonts w:ascii="Arial" w:hAnsi="Arial" w:cs="Arial"/>
          <w:color w:val="000000" w:themeColor="text1"/>
          <w:sz w:val="22"/>
          <w:szCs w:val="22"/>
        </w:rPr>
        <w:t>a continuación y se complementan en lo pertinente.</w:t>
      </w:r>
    </w:p>
    <w:p w14:paraId="569D7E08" w14:textId="77777777" w:rsidR="00206DD7" w:rsidRPr="008A4211" w:rsidRDefault="00206DD7" w:rsidP="00206DD7">
      <w:pPr>
        <w:tabs>
          <w:tab w:val="left" w:pos="426"/>
        </w:tabs>
        <w:rPr>
          <w:rFonts w:ascii="Arial" w:hAnsi="Arial" w:cs="Arial"/>
          <w:b/>
          <w:color w:val="000000" w:themeColor="text1"/>
          <w:sz w:val="22"/>
          <w:szCs w:val="22"/>
        </w:rPr>
      </w:pPr>
      <w:r w:rsidRPr="008A4211">
        <w:rPr>
          <w:rFonts w:ascii="Arial" w:hAnsi="Arial" w:cs="Arial"/>
          <w:b/>
          <w:color w:val="000000" w:themeColor="text1"/>
          <w:sz w:val="22"/>
          <w:szCs w:val="22"/>
        </w:rPr>
        <w:t>2.1. Publicidad de los Documentos del Proceso en el Sistema Electrónico de Contratación Pública –SECOP–</w:t>
      </w:r>
    </w:p>
    <w:p w14:paraId="509CA555" w14:textId="77777777" w:rsidR="00206DD7" w:rsidRPr="008A4211" w:rsidRDefault="00206DD7" w:rsidP="00206DD7">
      <w:pPr>
        <w:widowControl w:val="0"/>
        <w:tabs>
          <w:tab w:val="left" w:pos="728"/>
        </w:tabs>
        <w:autoSpaceDE w:val="0"/>
        <w:autoSpaceDN w:val="0"/>
        <w:spacing w:before="120"/>
        <w:rPr>
          <w:rFonts w:ascii="Arial" w:eastAsia="Arial" w:hAnsi="Arial" w:cs="Arial"/>
          <w:sz w:val="22"/>
          <w:szCs w:val="22"/>
          <w:lang w:val="es-ES"/>
        </w:rPr>
      </w:pPr>
      <w:r w:rsidRPr="008A4211">
        <w:rPr>
          <w:rFonts w:ascii="Arial" w:eastAsia="Arial" w:hAnsi="Arial" w:cs="Arial"/>
          <w:sz w:val="22"/>
          <w:szCs w:val="22"/>
          <w:lang w:val="es-ES"/>
        </w:rPr>
        <w:t xml:space="preserve">Para la Corte Constitucional el principio de publicidad es la garantía de las personas de conocer las actuaciones judiciales y administrativas, para, con base en ese conocimiento, tener la posibilidad de exigir que se realicen conforme a la ley: </w:t>
      </w:r>
    </w:p>
    <w:p w14:paraId="4B35F323" w14:textId="77777777" w:rsidR="00206DD7" w:rsidRPr="00F10490" w:rsidRDefault="00206DD7" w:rsidP="00721D3C">
      <w:pPr>
        <w:widowControl w:val="0"/>
        <w:tabs>
          <w:tab w:val="left" w:pos="728"/>
        </w:tabs>
        <w:autoSpaceDE w:val="0"/>
        <w:autoSpaceDN w:val="0"/>
        <w:spacing w:after="120" w:line="240" w:lineRule="auto"/>
        <w:ind w:left="709" w:right="709"/>
        <w:rPr>
          <w:rFonts w:ascii="Arial" w:eastAsia="Arial" w:hAnsi="Arial" w:cs="Arial"/>
          <w:sz w:val="21"/>
          <w:szCs w:val="21"/>
          <w:lang w:val="es-ES"/>
        </w:rPr>
      </w:pPr>
      <w:r w:rsidRPr="00F10490">
        <w:rPr>
          <w:rFonts w:ascii="Arial" w:hAnsi="Arial" w:cs="Arial"/>
          <w:color w:val="000000"/>
          <w:sz w:val="21"/>
          <w:szCs w:val="21"/>
          <w:bdr w:val="none" w:sz="0" w:space="0" w:color="auto" w:frame="1"/>
          <w:lang w:val="es-ES"/>
        </w:rPr>
        <w:t>«</w:t>
      </w:r>
      <w:r w:rsidRPr="00F10490">
        <w:rPr>
          <w:rFonts w:ascii="Arial" w:eastAsia="Arial" w:hAnsi="Arial" w:cs="Arial"/>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FBD5F67" w14:textId="77777777" w:rsidR="00206DD7" w:rsidRPr="00F10490" w:rsidRDefault="00206DD7" w:rsidP="00721D3C">
      <w:pPr>
        <w:widowControl w:val="0"/>
        <w:tabs>
          <w:tab w:val="left" w:pos="728"/>
        </w:tabs>
        <w:autoSpaceDE w:val="0"/>
        <w:autoSpaceDN w:val="0"/>
        <w:spacing w:before="120" w:after="120" w:line="240" w:lineRule="auto"/>
        <w:ind w:left="709" w:right="709"/>
        <w:rPr>
          <w:rFonts w:ascii="Arial" w:eastAsia="Arial" w:hAnsi="Arial" w:cs="Arial"/>
          <w:sz w:val="21"/>
          <w:szCs w:val="21"/>
          <w:lang w:val="es-ES"/>
        </w:rPr>
      </w:pPr>
      <w:r w:rsidRPr="00F10490">
        <w:rPr>
          <w:rFonts w:ascii="Arial" w:eastAsia="Arial" w:hAnsi="Arial" w:cs="Arial"/>
          <w:sz w:val="21"/>
          <w:szCs w:val="21"/>
          <w:lang w:val="es-ES"/>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F10490">
        <w:rPr>
          <w:rFonts w:ascii="Arial" w:eastAsia="Arial" w:hAnsi="Arial" w:cs="Arial"/>
          <w:sz w:val="21"/>
          <w:szCs w:val="21"/>
          <w:vertAlign w:val="superscript"/>
          <w:lang w:val="es-ES"/>
        </w:rPr>
        <w:footnoteReference w:id="3"/>
      </w:r>
      <w:r w:rsidRPr="00F10490">
        <w:rPr>
          <w:rFonts w:ascii="Arial" w:eastAsia="Arial" w:hAnsi="Arial" w:cs="Arial"/>
          <w:sz w:val="21"/>
          <w:szCs w:val="21"/>
          <w:lang w:val="es-ES"/>
        </w:rPr>
        <w:t>.</w:t>
      </w:r>
      <w:r w:rsidRPr="00F10490">
        <w:rPr>
          <w:rFonts w:ascii="Arial" w:hAnsi="Arial" w:cs="Arial"/>
          <w:color w:val="000000"/>
          <w:sz w:val="21"/>
          <w:szCs w:val="21"/>
          <w:bdr w:val="none" w:sz="0" w:space="0" w:color="auto" w:frame="1"/>
          <w:lang w:val="es-ES"/>
        </w:rPr>
        <w:t>»</w:t>
      </w:r>
    </w:p>
    <w:p w14:paraId="4F01DC84" w14:textId="77777777" w:rsidR="00206DD7" w:rsidRPr="008A4211" w:rsidRDefault="00206DD7" w:rsidP="00206DD7">
      <w:pPr>
        <w:widowControl w:val="0"/>
        <w:tabs>
          <w:tab w:val="left" w:pos="728"/>
        </w:tabs>
        <w:autoSpaceDE w:val="0"/>
        <w:autoSpaceDN w:val="0"/>
        <w:spacing w:before="120" w:after="120"/>
        <w:rPr>
          <w:rFonts w:ascii="Arial" w:eastAsia="Arial" w:hAnsi="Arial" w:cs="Arial"/>
          <w:sz w:val="22"/>
          <w:szCs w:val="22"/>
          <w:lang w:val="es-ES"/>
        </w:rPr>
      </w:pPr>
      <w:r w:rsidRPr="008A4211">
        <w:rPr>
          <w:rFonts w:ascii="Arial" w:eastAsia="Arial" w:hAnsi="Arial" w:cs="Arial"/>
          <w:sz w:val="22"/>
          <w:szCs w:val="22"/>
          <w:lang w:val="es-ES"/>
        </w:rPr>
        <w:tab/>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w:t>
      </w:r>
      <w:r w:rsidRPr="008A4211">
        <w:rPr>
          <w:rFonts w:ascii="Arial" w:eastAsia="Arial" w:hAnsi="Arial" w:cs="Arial"/>
          <w:sz w:val="22"/>
          <w:szCs w:val="22"/>
          <w:lang w:val="es-ES"/>
        </w:rPr>
        <w:lastRenderedPageBreak/>
        <w:t>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8A4211">
        <w:rPr>
          <w:rFonts w:ascii="Arial" w:eastAsia="Arial" w:hAnsi="Arial" w:cs="Arial"/>
          <w:sz w:val="22"/>
          <w:szCs w:val="22"/>
          <w:vertAlign w:val="superscript"/>
          <w:lang w:val="es-ES"/>
        </w:rPr>
        <w:footnoteReference w:id="4"/>
      </w:r>
      <w:r w:rsidRPr="008A4211">
        <w:rPr>
          <w:rFonts w:ascii="Arial" w:eastAsia="Arial" w:hAnsi="Arial" w:cs="Arial"/>
          <w:sz w:val="22"/>
          <w:szCs w:val="22"/>
          <w:lang w:val="es-ES"/>
        </w:rPr>
        <w:t xml:space="preserve">. </w:t>
      </w:r>
    </w:p>
    <w:p w14:paraId="15759596" w14:textId="77777777" w:rsidR="00206DD7" w:rsidRPr="008A4211" w:rsidRDefault="00206DD7" w:rsidP="00206DD7">
      <w:pPr>
        <w:widowControl w:val="0"/>
        <w:tabs>
          <w:tab w:val="left" w:pos="728"/>
        </w:tabs>
        <w:autoSpaceDE w:val="0"/>
        <w:autoSpaceDN w:val="0"/>
        <w:spacing w:before="120" w:after="120"/>
        <w:rPr>
          <w:rFonts w:ascii="Arial" w:eastAsia="Arial" w:hAnsi="Arial" w:cs="Arial"/>
          <w:sz w:val="22"/>
          <w:szCs w:val="22"/>
          <w:lang w:val="es-ES"/>
        </w:rPr>
      </w:pPr>
      <w:r w:rsidRPr="008A4211">
        <w:rPr>
          <w:rFonts w:ascii="Arial" w:eastAsia="Arial" w:hAnsi="Arial" w:cs="Arial"/>
          <w:sz w:val="22"/>
          <w:szCs w:val="22"/>
          <w:lang w:val="es-ES"/>
        </w:rPr>
        <w:tab/>
        <w:t>De otra parte, la Ley 1712 de 2014, por medio de la cual se regula la transparencia y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8A4211">
        <w:rPr>
          <w:rFonts w:ascii="Arial" w:eastAsia="Arial" w:hAnsi="Arial" w:cs="Arial"/>
          <w:sz w:val="22"/>
          <w:szCs w:val="22"/>
          <w:vertAlign w:val="superscript"/>
          <w:lang w:val="es-ES"/>
        </w:rPr>
        <w:footnoteReference w:id="5"/>
      </w:r>
      <w:r w:rsidRPr="008A4211">
        <w:rPr>
          <w:rFonts w:ascii="Arial" w:eastAsia="Arial" w:hAnsi="Arial" w:cs="Arial"/>
          <w:sz w:val="22"/>
          <w:szCs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AF868F7" w14:textId="77777777" w:rsidR="00206DD7" w:rsidRPr="008A4211" w:rsidRDefault="00206DD7" w:rsidP="00206DD7">
      <w:pPr>
        <w:widowControl w:val="0"/>
        <w:tabs>
          <w:tab w:val="left" w:pos="728"/>
        </w:tabs>
        <w:autoSpaceDE w:val="0"/>
        <w:autoSpaceDN w:val="0"/>
        <w:spacing w:before="120" w:after="120"/>
        <w:rPr>
          <w:rFonts w:ascii="Arial" w:hAnsi="Arial" w:cs="Arial"/>
          <w:sz w:val="22"/>
          <w:szCs w:val="22"/>
          <w:lang w:val="es-ES"/>
        </w:rPr>
      </w:pPr>
      <w:r w:rsidRPr="008A4211">
        <w:rPr>
          <w:rFonts w:ascii="Arial" w:hAnsi="Arial" w:cs="Arial"/>
          <w:sz w:val="22"/>
          <w:szCs w:val="22"/>
          <w:lang w:val="es-ES"/>
        </w:rPr>
        <w:tab/>
        <w:t>El deber de publicidad de los documentos expedidos en virtud de la actividad contractual que se desprende del artículo 3 de la Ley 1150 de 2007, se encuentra reglamentado en el artículo 2.2.1.1.1.7.1. del Decreto 1082 de 2015. Este precepto establece los documentos que se deben publicar y al SECOP como medio de publicación</w:t>
      </w:r>
      <w:r w:rsidRPr="008A4211">
        <w:rPr>
          <w:rFonts w:ascii="Arial" w:hAnsi="Arial" w:cs="Arial"/>
          <w:sz w:val="22"/>
          <w:szCs w:val="22"/>
          <w:vertAlign w:val="superscript"/>
          <w:lang w:val="es-ES"/>
        </w:rPr>
        <w:footnoteReference w:id="6"/>
      </w:r>
      <w:r w:rsidRPr="008A4211">
        <w:rPr>
          <w:rFonts w:ascii="Arial" w:hAnsi="Arial" w:cs="Arial"/>
          <w:sz w:val="22"/>
          <w:szCs w:val="22"/>
          <w:lang w:val="es-ES"/>
        </w:rPr>
        <w:t xml:space="preserve">,  lo que permite controlar las actuaciones y decisiones de la Administración y el cumplimiento de los demás principios de la contratación </w:t>
      </w:r>
      <w:r w:rsidRPr="008A4211">
        <w:rPr>
          <w:rFonts w:ascii="Arial" w:hAnsi="Arial" w:cs="Arial"/>
          <w:sz w:val="22"/>
          <w:szCs w:val="22"/>
          <w:lang w:val="es-ES"/>
        </w:rPr>
        <w:lastRenderedPageBreak/>
        <w:t>pública. Así lo confirma el Consejo de Estado, analizando el principio de publicidad:</w:t>
      </w:r>
    </w:p>
    <w:p w14:paraId="06DFC4E5" w14:textId="77777777" w:rsidR="00206DD7" w:rsidRPr="00F10490" w:rsidRDefault="00206DD7" w:rsidP="00721D3C">
      <w:pPr>
        <w:spacing w:before="120" w:after="120" w:line="240" w:lineRule="auto"/>
        <w:ind w:left="709" w:right="709"/>
        <w:rPr>
          <w:rFonts w:ascii="Arial" w:hAnsi="Arial" w:cs="Arial"/>
          <w:sz w:val="21"/>
          <w:szCs w:val="21"/>
          <w:lang w:val="es-ES"/>
        </w:rPr>
      </w:pPr>
      <w:r w:rsidRPr="00F10490">
        <w:rPr>
          <w:rFonts w:ascii="Arial" w:hAnsi="Arial" w:cs="Arial"/>
          <w:color w:val="000000"/>
          <w:sz w:val="21"/>
          <w:szCs w:val="21"/>
          <w:bdr w:val="none" w:sz="0" w:space="0" w:color="auto" w:frame="1"/>
          <w:lang w:val="es-ES"/>
        </w:rPr>
        <w:t>«</w:t>
      </w:r>
      <w:r w:rsidRPr="00F10490">
        <w:rPr>
          <w:rFonts w:ascii="Arial" w:hAnsi="Arial"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51912DA7" w14:textId="77777777" w:rsidR="00206DD7" w:rsidRPr="00F10490" w:rsidRDefault="00206DD7" w:rsidP="00721D3C">
      <w:pPr>
        <w:spacing w:before="120" w:after="120" w:line="240" w:lineRule="auto"/>
        <w:ind w:left="709" w:right="709"/>
        <w:rPr>
          <w:rFonts w:ascii="Arial" w:hAnsi="Arial" w:cs="Arial"/>
          <w:sz w:val="21"/>
          <w:szCs w:val="21"/>
          <w:lang w:val="es-ES"/>
        </w:rPr>
      </w:pPr>
      <w:r w:rsidRPr="00F10490">
        <w:rPr>
          <w:rFonts w:ascii="Arial" w:hAnsi="Arial" w:cs="Arial"/>
          <w:sz w:val="21"/>
          <w:szCs w:val="21"/>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49913CCE" w14:textId="77777777" w:rsidR="00206DD7" w:rsidRPr="00F10490" w:rsidRDefault="00206DD7" w:rsidP="00721D3C">
      <w:pPr>
        <w:spacing w:before="120" w:line="240" w:lineRule="auto"/>
        <w:ind w:left="709" w:right="709"/>
        <w:rPr>
          <w:rFonts w:ascii="Arial" w:hAnsi="Arial" w:cs="Arial"/>
          <w:color w:val="000000"/>
          <w:sz w:val="21"/>
          <w:szCs w:val="21"/>
          <w:bdr w:val="none" w:sz="0" w:space="0" w:color="auto" w:frame="1"/>
          <w:lang w:val="es-ES"/>
        </w:rPr>
      </w:pPr>
      <w:r w:rsidRPr="00F10490">
        <w:rPr>
          <w:rFonts w:ascii="Arial" w:hAnsi="Arial"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F10490">
        <w:rPr>
          <w:rFonts w:ascii="Arial" w:hAnsi="Arial" w:cs="Arial"/>
          <w:sz w:val="21"/>
          <w:szCs w:val="21"/>
          <w:vertAlign w:val="superscript"/>
          <w:lang w:val="es-ES"/>
        </w:rPr>
        <w:footnoteReference w:id="7"/>
      </w:r>
      <w:r w:rsidRPr="00F10490">
        <w:rPr>
          <w:rFonts w:ascii="Arial" w:hAnsi="Arial" w:cs="Arial"/>
          <w:color w:val="000000"/>
          <w:sz w:val="21"/>
          <w:szCs w:val="21"/>
          <w:bdr w:val="none" w:sz="0" w:space="0" w:color="auto" w:frame="1"/>
          <w:lang w:val="es-ES"/>
        </w:rPr>
        <w:t>».</w:t>
      </w:r>
    </w:p>
    <w:p w14:paraId="3667E122" w14:textId="77777777" w:rsidR="00206DD7" w:rsidRPr="008A4211" w:rsidRDefault="00206DD7" w:rsidP="00206DD7">
      <w:pPr>
        <w:spacing w:after="120"/>
        <w:ind w:firstLine="709"/>
        <w:rPr>
          <w:rFonts w:ascii="Arial" w:hAnsi="Arial" w:cs="Arial"/>
          <w:sz w:val="22"/>
          <w:szCs w:val="22"/>
          <w:highlight w:val="yellow"/>
          <w:lang w:val="es-ES"/>
        </w:rPr>
      </w:pPr>
      <w:r w:rsidRPr="008A4211">
        <w:rPr>
          <w:rFonts w:ascii="Arial" w:hAnsi="Arial" w:cs="Arial"/>
          <w:sz w:val="22"/>
          <w:szCs w:val="22"/>
          <w:lang w:val="es-ES"/>
        </w:rPr>
        <w:t>En conclusión, el artículo 3 de la Ley 1150 de 2007 desarrolla los principios de publicidad y transparencia de las actuaciones contractuales, del cual se desprende el deber de publicarlas. Esto implica que todas las entidades estatales publiquen los documentos en los que se evidencia el desarrollo de sus procesos de contratación, comoquiera que el objetivo del deber de dar publicidad a las actuaciones contractuales es materializar el derecho a conocer e intervenir las decisiones de la Administración Pública.</w:t>
      </w:r>
    </w:p>
    <w:p w14:paraId="4A34B410" w14:textId="77777777" w:rsidR="00206DD7" w:rsidRPr="008A4211" w:rsidRDefault="00206DD7" w:rsidP="00206DD7">
      <w:pPr>
        <w:widowControl w:val="0"/>
        <w:autoSpaceDE w:val="0"/>
        <w:autoSpaceDN w:val="0"/>
        <w:spacing w:before="120" w:after="120"/>
        <w:ind w:firstLine="709"/>
        <w:rPr>
          <w:rFonts w:ascii="Arial" w:eastAsia="Arial" w:hAnsi="Arial" w:cs="Arial"/>
          <w:sz w:val="22"/>
          <w:szCs w:val="22"/>
          <w:lang w:val="es-ES"/>
        </w:rPr>
      </w:pPr>
      <w:r w:rsidRPr="008A4211">
        <w:rPr>
          <w:rFonts w:ascii="Arial" w:eastAsia="Arial" w:hAnsi="Arial" w:cs="Arial"/>
          <w:sz w:val="22"/>
          <w:szCs w:val="22"/>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62EC9411" w14:textId="77777777" w:rsidR="00206DD7" w:rsidRPr="008A4211" w:rsidRDefault="00206DD7" w:rsidP="00206DD7">
      <w:pPr>
        <w:widowControl w:val="0"/>
        <w:autoSpaceDE w:val="0"/>
        <w:autoSpaceDN w:val="0"/>
        <w:spacing w:before="120" w:after="120"/>
        <w:ind w:firstLine="709"/>
        <w:rPr>
          <w:rFonts w:ascii="Arial" w:eastAsia="Arial" w:hAnsi="Arial" w:cs="Arial"/>
          <w:sz w:val="22"/>
          <w:szCs w:val="22"/>
          <w:lang w:val="es-ES"/>
        </w:rPr>
      </w:pPr>
      <w:r w:rsidRPr="008A4211">
        <w:rPr>
          <w:rFonts w:ascii="Arial" w:eastAsia="Arial" w:hAnsi="Arial" w:cs="Arial"/>
          <w:sz w:val="22"/>
          <w:szCs w:val="22"/>
          <w:lang w:val="es-ES"/>
        </w:rPr>
        <w:t xml:space="preserve">La expresión </w:t>
      </w:r>
      <w:r w:rsidRPr="008A4211">
        <w:rPr>
          <w:rFonts w:ascii="Arial" w:eastAsia="Arial" w:hAnsi="Arial" w:cs="Arial"/>
          <w:i/>
          <w:iCs/>
          <w:sz w:val="22"/>
          <w:szCs w:val="22"/>
          <w:lang w:val="es-ES"/>
        </w:rPr>
        <w:t>Documentos del Proceso</w:t>
      </w:r>
      <w:r w:rsidRPr="008A4211">
        <w:rPr>
          <w:rFonts w:ascii="Arial" w:eastAsia="Arial" w:hAnsi="Arial" w:cs="Arial"/>
          <w:sz w:val="22"/>
          <w:szCs w:val="22"/>
          <w:lang w:val="es-ES"/>
        </w:rPr>
        <w:t xml:space="preserve"> está definida en el artículo 2.2.1.1.1.3.1. del Decreto 1082 de 2015, donde se establece que: «[…]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28F92A3E" w14:textId="77777777" w:rsidR="00206DD7" w:rsidRPr="008A4211" w:rsidRDefault="00206DD7" w:rsidP="00206DD7">
      <w:pPr>
        <w:widowControl w:val="0"/>
        <w:autoSpaceDE w:val="0"/>
        <w:autoSpaceDN w:val="0"/>
        <w:spacing w:before="120" w:after="120"/>
        <w:ind w:firstLine="709"/>
        <w:rPr>
          <w:rFonts w:ascii="Arial" w:eastAsia="Arial" w:hAnsi="Arial" w:cs="Arial"/>
          <w:sz w:val="22"/>
          <w:szCs w:val="22"/>
          <w:lang w:val="es-ES"/>
        </w:rPr>
      </w:pPr>
      <w:r w:rsidRPr="008A4211">
        <w:rPr>
          <w:rFonts w:ascii="Arial" w:eastAsia="Arial" w:hAnsi="Arial" w:cs="Arial"/>
          <w:sz w:val="22"/>
          <w:szCs w:val="22"/>
          <w:lang w:val="es-ES"/>
        </w:rPr>
        <w:t xml:space="preserve">No obstante, para identificar los documentos que deben publicarse, es necesario realizar </w:t>
      </w:r>
      <w:r w:rsidRPr="008A4211">
        <w:rPr>
          <w:rFonts w:ascii="Arial" w:eastAsia="Arial" w:hAnsi="Arial" w:cs="Arial"/>
          <w:sz w:val="22"/>
          <w:szCs w:val="22"/>
          <w:lang w:val="es-ES"/>
        </w:rPr>
        <w:lastRenderedPageBreak/>
        <w:t xml:space="preserve">una interpretación sistemática de las disposiciones del Decreto 1082 del 2015, en razón a que lo ahí previsto no se trata de un listado taxativo, sino enunciativo. En ese sentido, es oportuno aclarar que, además de los documentos enlistados, el artículo 2.2.1.1.1.3.1 </w:t>
      </w:r>
      <w:r w:rsidRPr="008A4211">
        <w:rPr>
          <w:rFonts w:ascii="Arial" w:eastAsia="Arial" w:hAnsi="Arial" w:cs="Arial"/>
          <w:i/>
          <w:iCs/>
          <w:sz w:val="22"/>
          <w:szCs w:val="22"/>
          <w:lang w:val="es-ES"/>
        </w:rPr>
        <w:t>Ibídem</w:t>
      </w:r>
      <w:r w:rsidRPr="008A4211">
        <w:rPr>
          <w:rFonts w:ascii="Arial" w:eastAsia="Arial" w:hAnsi="Arial" w:cs="Arial"/>
          <w:sz w:val="22"/>
          <w:szCs w:val="22"/>
          <w:lang w:val="es-ES"/>
        </w:rPr>
        <w:t xml:space="preserve"> recoge en la noción de </w:t>
      </w:r>
      <w:r w:rsidRPr="008A4211">
        <w:rPr>
          <w:rFonts w:ascii="Arial" w:eastAsia="Arial" w:hAnsi="Arial" w:cs="Arial"/>
          <w:i/>
          <w:iCs/>
          <w:sz w:val="22"/>
          <w:szCs w:val="22"/>
          <w:lang w:val="es-ES"/>
        </w:rPr>
        <w:t>Documentos del Proceso</w:t>
      </w:r>
      <w:r w:rsidRPr="008A4211">
        <w:rPr>
          <w:rFonts w:ascii="Arial" w:eastAsia="Arial" w:hAnsi="Arial" w:cs="Arial"/>
          <w:sz w:val="22"/>
          <w:szCs w:val="22"/>
          <w:lang w:val="es-ES"/>
        </w:rPr>
        <w:t xml:space="preserve"> «cualquier otro documento expedido por la Entidad Estatal durante el </w:t>
      </w:r>
      <w:r w:rsidRPr="008A4211">
        <w:rPr>
          <w:rFonts w:ascii="Arial" w:eastAsia="Arial" w:hAnsi="Arial" w:cs="Arial"/>
          <w:i/>
          <w:iCs/>
          <w:sz w:val="22"/>
          <w:szCs w:val="22"/>
          <w:lang w:val="es-ES"/>
        </w:rPr>
        <w:t>Proceso de Contratación»</w:t>
      </w:r>
      <w:r w:rsidRPr="008A4211">
        <w:rPr>
          <w:rFonts w:ascii="Arial" w:eastAsia="Arial" w:hAnsi="Arial" w:cs="Arial"/>
          <w:sz w:val="22"/>
          <w:szCs w:val="22"/>
          <w:lang w:val="es-ES"/>
        </w:rPr>
        <w:t xml:space="preserve">. Este mismo artículo define la expresión </w:t>
      </w:r>
      <w:r w:rsidRPr="008A4211">
        <w:rPr>
          <w:rFonts w:ascii="Arial" w:eastAsia="Arial" w:hAnsi="Arial" w:cs="Arial"/>
          <w:i/>
          <w:iCs/>
          <w:sz w:val="22"/>
          <w:szCs w:val="22"/>
          <w:lang w:val="es-ES"/>
        </w:rPr>
        <w:t>Proceso de Contratación</w:t>
      </w:r>
      <w:r w:rsidRPr="008A4211">
        <w:rPr>
          <w:rFonts w:ascii="Arial" w:eastAsia="Arial" w:hAnsi="Arial" w:cs="Arial"/>
          <w:sz w:val="22"/>
          <w:szCs w:val="22"/>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79D64CBC" w14:textId="77777777" w:rsidR="00206DD7" w:rsidRPr="008A4211" w:rsidRDefault="00206DD7" w:rsidP="00206DD7">
      <w:pPr>
        <w:widowControl w:val="0"/>
        <w:autoSpaceDE w:val="0"/>
        <w:autoSpaceDN w:val="0"/>
        <w:spacing w:before="120" w:after="120"/>
        <w:ind w:firstLine="709"/>
        <w:rPr>
          <w:rFonts w:ascii="Arial" w:eastAsia="Arial" w:hAnsi="Arial" w:cs="Arial"/>
          <w:sz w:val="22"/>
          <w:szCs w:val="22"/>
          <w:lang w:val="es-ES"/>
        </w:rPr>
      </w:pPr>
      <w:r w:rsidRPr="008A4211">
        <w:rPr>
          <w:rFonts w:ascii="Arial" w:eastAsia="Arial" w:hAnsi="Arial" w:cs="Arial"/>
          <w:sz w:val="22"/>
          <w:szCs w:val="22"/>
          <w:lang w:val="es-ES"/>
        </w:rPr>
        <w:t xml:space="preserve">Nótese que la norma hace referencia a los documentos «expedidos por la entidad estatal» durante el proceso de contratación, excluyendo de la noción de </w:t>
      </w:r>
      <w:r w:rsidRPr="008A4211">
        <w:rPr>
          <w:rFonts w:ascii="Arial" w:eastAsia="Arial" w:hAnsi="Arial" w:cs="Arial"/>
          <w:i/>
          <w:iCs/>
          <w:sz w:val="22"/>
          <w:szCs w:val="22"/>
          <w:lang w:val="es-ES"/>
        </w:rPr>
        <w:t>Documentos del Proceso</w:t>
      </w:r>
      <w:r w:rsidRPr="008A4211">
        <w:rPr>
          <w:rFonts w:ascii="Arial" w:eastAsia="Arial" w:hAnsi="Arial" w:cs="Arial"/>
          <w:sz w:val="22"/>
          <w:szCs w:val="22"/>
          <w:lang w:val="es-ES"/>
        </w:rPr>
        <w:t xml:space="preserve"> los expedidos por un sujeto distinto a la entidad, salvo la oferta, la cual se incluye expresamente en el artículo 2.2.1.1.1.3.1. </w:t>
      </w:r>
    </w:p>
    <w:p w14:paraId="2D4ABBB0" w14:textId="77777777" w:rsidR="00206DD7" w:rsidRPr="008A4211" w:rsidRDefault="00206DD7" w:rsidP="00206DD7">
      <w:pPr>
        <w:widowControl w:val="0"/>
        <w:autoSpaceDE w:val="0"/>
        <w:autoSpaceDN w:val="0"/>
        <w:spacing w:before="120" w:after="120"/>
        <w:ind w:firstLine="708"/>
        <w:rPr>
          <w:rFonts w:ascii="Arial" w:eastAsia="Arial" w:hAnsi="Arial" w:cs="Arial"/>
          <w:sz w:val="22"/>
          <w:szCs w:val="22"/>
          <w:lang w:val="es-ES"/>
        </w:rPr>
      </w:pPr>
      <w:r w:rsidRPr="008A4211">
        <w:rPr>
          <w:rFonts w:ascii="Arial" w:eastAsia="Arial" w:hAnsi="Arial" w:cs="Arial"/>
          <w:sz w:val="22"/>
          <w:szCs w:val="22"/>
          <w:lang w:val="es-ES"/>
        </w:rPr>
        <w:t xml:space="preserve">En consecuencia, la interpretación sistemática de los preceptos del Decreto 1082 de 2015, de acuerdo con el principio de publicidad, inicialmente, indica que las entidades estatales tienen la obligación de publicar todos los documentos que expidan con ocasión del </w:t>
      </w:r>
      <w:r w:rsidRPr="008A4211">
        <w:rPr>
          <w:rFonts w:ascii="Arial" w:eastAsia="Arial" w:hAnsi="Arial" w:cs="Arial"/>
          <w:i/>
          <w:iCs/>
          <w:sz w:val="22"/>
          <w:szCs w:val="22"/>
          <w:lang w:val="es-ES"/>
        </w:rPr>
        <w:t>Proceso de Contratación</w:t>
      </w:r>
      <w:r w:rsidRPr="008A4211">
        <w:rPr>
          <w:rFonts w:ascii="Arial" w:eastAsia="Arial" w:hAnsi="Arial" w:cs="Arial"/>
          <w:sz w:val="22"/>
          <w:szCs w:val="22"/>
          <w:lang w:val="es-ES"/>
        </w:rPr>
        <w:t>.  Esto implica publicar todos aquellos documentos producidos desde la fase de planeación hasta «el vencimiento de las garantías de calidad, estabilidad y mantenimiento, o las condiciones de disposición final o recuperación ambiental de las obras o bienes o el vencimiento del plazo, lo que ocurra más tarde». Por tanto, la entidad debe publicar todos aquellos documentos expedidos durante las etapas precontractual, de ejecución y postcontractual en el SECOP, dentro de los tres (3) días siguientes a su expedición, para cumplir el deber de publicidad regulado por el artículo 2.2.1.1.1.7.1. del Decreto 1082 de 2015.</w:t>
      </w:r>
    </w:p>
    <w:p w14:paraId="270F1E4A" w14:textId="77777777" w:rsidR="00206DD7" w:rsidRPr="008A4211" w:rsidRDefault="00206DD7" w:rsidP="00206DD7">
      <w:pPr>
        <w:widowControl w:val="0"/>
        <w:autoSpaceDE w:val="0"/>
        <w:autoSpaceDN w:val="0"/>
        <w:spacing w:before="120" w:after="120"/>
        <w:ind w:firstLine="708"/>
        <w:rPr>
          <w:rFonts w:ascii="Arial" w:eastAsia="Arial" w:hAnsi="Arial" w:cs="Arial"/>
          <w:sz w:val="22"/>
          <w:szCs w:val="22"/>
          <w:lang w:val="es-ES"/>
        </w:rPr>
      </w:pPr>
      <w:r w:rsidRPr="008A4211">
        <w:rPr>
          <w:rFonts w:ascii="Arial" w:eastAsia="Arial" w:hAnsi="Arial" w:cs="Arial"/>
          <w:sz w:val="22"/>
          <w:szCs w:val="22"/>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8A4211">
        <w:rPr>
          <w:rFonts w:ascii="Arial" w:eastAsia="Arial" w:hAnsi="Arial" w:cs="Arial"/>
          <w:i/>
          <w:iCs/>
          <w:sz w:val="22"/>
          <w:szCs w:val="22"/>
          <w:lang w:val="es-ES"/>
        </w:rPr>
        <w:t>Proceso de Contratación</w:t>
      </w:r>
      <w:r w:rsidRPr="008A4211">
        <w:rPr>
          <w:rFonts w:ascii="Arial" w:eastAsia="Arial" w:hAnsi="Arial" w:cs="Arial"/>
          <w:sz w:val="22"/>
          <w:szCs w:val="22"/>
          <w:lang w:val="es-ES"/>
        </w:rPr>
        <w:t xml:space="preserve"> expedidos durante las etapas precontractual, de ejecución y postcontractual, dentro de los tres (3) días hábiles siguientes a su producción</w:t>
      </w:r>
      <w:r w:rsidRPr="008A4211">
        <w:rPr>
          <w:rStyle w:val="Refdenotaalpie"/>
          <w:rFonts w:ascii="Arial" w:eastAsia="Arial" w:hAnsi="Arial" w:cs="Arial"/>
          <w:sz w:val="22"/>
          <w:szCs w:val="22"/>
          <w:lang w:val="es-ES"/>
        </w:rPr>
        <w:footnoteReference w:id="8"/>
      </w:r>
      <w:r w:rsidRPr="008A4211">
        <w:rPr>
          <w:rFonts w:ascii="Arial" w:eastAsia="Arial" w:hAnsi="Arial" w:cs="Arial"/>
          <w:sz w:val="22"/>
          <w:szCs w:val="22"/>
          <w:lang w:val="es-ES"/>
        </w:rPr>
        <w:t xml:space="preserve">. Este deber aplica a todas las modalidades </w:t>
      </w:r>
      <w:r w:rsidRPr="008A4211">
        <w:rPr>
          <w:rFonts w:ascii="Arial" w:eastAsia="Arial" w:hAnsi="Arial" w:cs="Arial"/>
          <w:sz w:val="22"/>
          <w:szCs w:val="22"/>
          <w:lang w:val="es-ES"/>
        </w:rPr>
        <w:lastRenderedPageBreak/>
        <w:t>de selección y entidades regidas por el Estatuto General de Contratación de la Administración Pública. Solo se encuentran excluidas las ofertas que no se aprobaron y los documentos expedidos en el marco de operaciones de bolsa de productos.</w:t>
      </w:r>
    </w:p>
    <w:p w14:paraId="0A09BE13" w14:textId="77777777" w:rsidR="00206DD7" w:rsidRPr="008A4211" w:rsidRDefault="00206DD7" w:rsidP="00206DD7">
      <w:pPr>
        <w:spacing w:before="120" w:after="120"/>
        <w:ind w:firstLine="709"/>
        <w:rPr>
          <w:rFonts w:ascii="Arial" w:hAnsi="Arial" w:cs="Arial"/>
          <w:sz w:val="22"/>
          <w:szCs w:val="22"/>
          <w:lang w:val="es-ES"/>
        </w:rPr>
      </w:pPr>
      <w:r w:rsidRPr="008A4211">
        <w:rPr>
          <w:rFonts w:ascii="Arial" w:hAnsi="Arial" w:cs="Arial"/>
          <w:sz w:val="22"/>
          <w:szCs w:val="22"/>
          <w:lang w:val="es-ES"/>
        </w:rPr>
        <w:t>Cabe resaltar que el deber de publicar los documentos relacionados con la contratación no se encuentra regulado solamente por las normas del Estatuto General de Contratación de la Administración Pública. Esto, por cuanto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Dicha obligación, en principio, fue reglamentada por el Decreto 103 de 2015, hoy compilado en el Decreto 1081 de 2015.  Este último señala, en el artículo 2.1.1.2.1.7, que las entidades deberán publicar en el SECOP la información de su gestión contractual</w:t>
      </w:r>
      <w:r w:rsidRPr="008A4211">
        <w:rPr>
          <w:rStyle w:val="Refdenotaalpie"/>
          <w:rFonts w:ascii="Arial" w:hAnsi="Arial" w:cs="Arial"/>
          <w:sz w:val="22"/>
          <w:szCs w:val="22"/>
          <w:lang w:val="es-ES"/>
        </w:rPr>
        <w:footnoteReference w:id="9"/>
      </w:r>
      <w:r w:rsidRPr="008A4211">
        <w:rPr>
          <w:rFonts w:ascii="Arial" w:hAnsi="Arial" w:cs="Arial"/>
          <w:sz w:val="22"/>
          <w:szCs w:val="22"/>
          <w:lang w:val="es-ES"/>
        </w:rPr>
        <w:t>. Por su parte, el artículo 2.1.1.2.1.9 expresa que las entidades deberán publicar los procedimientos, lineamientos y políticas en materia de adquisición, que no son otros que los previstos en el manual de contratación, el cual debe publicarse en el sitio web del sujeto obligado</w:t>
      </w:r>
      <w:r w:rsidRPr="008A4211">
        <w:rPr>
          <w:rStyle w:val="Refdenotaalpie"/>
          <w:rFonts w:ascii="Arial" w:hAnsi="Arial" w:cs="Arial"/>
          <w:sz w:val="22"/>
          <w:szCs w:val="22"/>
          <w:lang w:val="es-ES"/>
        </w:rPr>
        <w:footnoteReference w:id="10"/>
      </w:r>
      <w:r w:rsidRPr="008A4211">
        <w:rPr>
          <w:rFonts w:ascii="Arial" w:hAnsi="Arial" w:cs="Arial"/>
          <w:sz w:val="22"/>
          <w:szCs w:val="22"/>
          <w:lang w:val="es-ES"/>
        </w:rPr>
        <w:t>. El artículo 2.1.1.2.1.10 establece la obligación que tienen las entidades de publicar en el SECOP el Plan Anual de Adquisiciones</w:t>
      </w:r>
      <w:r w:rsidRPr="008A4211">
        <w:rPr>
          <w:rStyle w:val="Refdenotaalpie"/>
          <w:rFonts w:ascii="Arial" w:hAnsi="Arial" w:cs="Arial"/>
          <w:sz w:val="22"/>
          <w:szCs w:val="22"/>
          <w:lang w:val="es-ES"/>
        </w:rPr>
        <w:footnoteReference w:id="11"/>
      </w:r>
      <w:r w:rsidRPr="008A4211">
        <w:rPr>
          <w:rFonts w:ascii="Arial" w:hAnsi="Arial" w:cs="Arial"/>
          <w:sz w:val="22"/>
          <w:szCs w:val="22"/>
          <w:lang w:val="es-ES"/>
        </w:rPr>
        <w:t xml:space="preserve">. </w:t>
      </w:r>
    </w:p>
    <w:p w14:paraId="32CD936E" w14:textId="77777777" w:rsidR="00206DD7" w:rsidRPr="008A4211" w:rsidRDefault="00206DD7" w:rsidP="00206DD7">
      <w:pPr>
        <w:spacing w:before="120" w:after="120"/>
        <w:ind w:firstLine="709"/>
        <w:rPr>
          <w:rFonts w:ascii="Arial" w:hAnsi="Arial" w:cs="Arial"/>
          <w:sz w:val="22"/>
          <w:szCs w:val="22"/>
          <w:lang w:val="es-ES"/>
        </w:rPr>
      </w:pPr>
      <w:r w:rsidRPr="008A4211">
        <w:rPr>
          <w:rFonts w:ascii="Arial" w:hAnsi="Arial" w:cs="Arial"/>
          <w:sz w:val="22"/>
          <w:szCs w:val="22"/>
          <w:lang w:val="es-ES"/>
        </w:rPr>
        <w:lastRenderedPageBreak/>
        <w:t>De otro lado, 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r w:rsidRPr="008A4211">
        <w:rPr>
          <w:rStyle w:val="Refdenotaalpie"/>
          <w:rFonts w:ascii="Arial" w:hAnsi="Arial" w:cs="Arial"/>
          <w:sz w:val="22"/>
          <w:szCs w:val="22"/>
          <w:lang w:val="es-ES"/>
        </w:rPr>
        <w:footnoteReference w:id="12"/>
      </w:r>
      <w:r w:rsidRPr="008A4211">
        <w:rPr>
          <w:rFonts w:ascii="Arial" w:hAnsi="Arial" w:cs="Arial"/>
          <w:sz w:val="22"/>
          <w:szCs w:val="22"/>
          <w:lang w:val="es-ES"/>
        </w:rPr>
        <w:t>.</w:t>
      </w:r>
    </w:p>
    <w:p w14:paraId="139DA31A" w14:textId="4D3B41D3" w:rsidR="00206DD7" w:rsidRPr="008A4211" w:rsidRDefault="00206DD7" w:rsidP="00206DD7">
      <w:pPr>
        <w:spacing w:before="120" w:after="120"/>
        <w:ind w:firstLine="709"/>
        <w:rPr>
          <w:rFonts w:ascii="Arial" w:hAnsi="Arial" w:cs="Arial"/>
          <w:sz w:val="22"/>
          <w:szCs w:val="22"/>
          <w:lang w:val="es-ES"/>
        </w:rPr>
      </w:pPr>
      <w:r w:rsidRPr="008A4211">
        <w:rPr>
          <w:rFonts w:ascii="Arial" w:hAnsi="Arial" w:cs="Arial"/>
          <w:sz w:val="22"/>
          <w:szCs w:val="22"/>
          <w:lang w:val="es-ES"/>
        </w:rPr>
        <w:t xml:space="preserve">En ese orden de ideas, el deber de publicar la actividad contractual de las entidades estatales no solo está regulado en el artículo 3 de la Ley 1150 de 2007 y en el </w:t>
      </w:r>
      <w:r w:rsidRPr="008A4211">
        <w:rPr>
          <w:rFonts w:ascii="Arial" w:eastAsia="Arial" w:hAnsi="Arial" w:cs="Arial"/>
          <w:sz w:val="22"/>
          <w:szCs w:val="22"/>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8A4211">
        <w:rPr>
          <w:rFonts w:ascii="Arial" w:eastAsia="Arial" w:hAnsi="Arial" w:cs="Arial"/>
          <w:i/>
          <w:iCs/>
          <w:sz w:val="22"/>
          <w:szCs w:val="22"/>
          <w:lang w:val="es-ES"/>
        </w:rPr>
        <w:t xml:space="preserve">Documentos del Proceso </w:t>
      </w:r>
      <w:r w:rsidRPr="008A4211">
        <w:rPr>
          <w:rFonts w:ascii="Arial" w:eastAsia="Arial" w:hAnsi="Arial" w:cs="Arial"/>
          <w:sz w:val="22"/>
          <w:szCs w:val="22"/>
          <w:lang w:val="es-ES"/>
        </w:rPr>
        <w:t>expedidos por la «</w:t>
      </w:r>
      <w:r w:rsidR="004D0AF3">
        <w:rPr>
          <w:rFonts w:ascii="Arial" w:eastAsia="Arial" w:hAnsi="Arial" w:cs="Arial"/>
          <w:sz w:val="22"/>
          <w:szCs w:val="22"/>
          <w:lang w:val="es-ES"/>
        </w:rPr>
        <w:t>Entidad Estatal</w:t>
      </w:r>
      <w:r w:rsidRPr="008A4211">
        <w:rPr>
          <w:rFonts w:ascii="Arial" w:eastAsia="Arial" w:hAnsi="Arial" w:cs="Arial"/>
          <w:sz w:val="22"/>
          <w:szCs w:val="22"/>
          <w:lang w:val="es-ES"/>
        </w:rPr>
        <w:t>».</w:t>
      </w:r>
    </w:p>
    <w:p w14:paraId="2186E281" w14:textId="77777777" w:rsidR="00206DD7" w:rsidRPr="008A4211" w:rsidRDefault="00206DD7" w:rsidP="00206DD7">
      <w:pPr>
        <w:spacing w:before="120" w:after="120"/>
        <w:ind w:firstLine="709"/>
        <w:rPr>
          <w:rFonts w:ascii="Arial" w:hAnsi="Arial" w:cs="Arial"/>
          <w:sz w:val="22"/>
          <w:szCs w:val="22"/>
          <w:lang w:val="es-ES"/>
        </w:rPr>
      </w:pPr>
      <w:r w:rsidRPr="008A4211">
        <w:rPr>
          <w:rFonts w:ascii="Arial" w:hAnsi="Arial" w:cs="Arial"/>
          <w:sz w:val="22"/>
          <w:szCs w:val="22"/>
          <w:lang w:val="es-ES"/>
        </w:rPr>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«producida por la entidad estatal» asociada a la noción de </w:t>
      </w:r>
      <w:r w:rsidRPr="008A4211">
        <w:rPr>
          <w:rFonts w:ascii="Arial" w:hAnsi="Arial" w:cs="Arial"/>
          <w:i/>
          <w:iCs/>
          <w:sz w:val="22"/>
          <w:szCs w:val="22"/>
          <w:lang w:val="es-ES"/>
        </w:rPr>
        <w:t>Documentos del Proceso.</w:t>
      </w:r>
      <w:r w:rsidRPr="008A4211">
        <w:rPr>
          <w:rFonts w:ascii="Arial" w:hAnsi="Arial" w:cs="Arial"/>
          <w:sz w:val="22"/>
          <w:szCs w:val="22"/>
          <w:lang w:val="es-ES"/>
        </w:rPr>
        <w:t xml:space="preserve"> Esto</w:t>
      </w:r>
      <w:r w:rsidRPr="008A4211">
        <w:rPr>
          <w:rFonts w:ascii="Arial" w:hAnsi="Arial" w:cs="Arial"/>
          <w:i/>
          <w:iCs/>
          <w:sz w:val="22"/>
          <w:szCs w:val="22"/>
          <w:lang w:val="es-ES"/>
        </w:rPr>
        <w:t xml:space="preserve"> </w:t>
      </w:r>
      <w:r w:rsidRPr="008A4211">
        <w:rPr>
          <w:rFonts w:ascii="Arial" w:hAnsi="Arial" w:cs="Arial"/>
          <w:sz w:val="22"/>
          <w:szCs w:val="22"/>
          <w:lang w:val="es-ES"/>
        </w:rPr>
        <w:t xml:space="preserve">en la medida en que, al establecerse la obligación de publicar los «procedimientos» y la «información de la gestión contractual» en el SECOP, se incorporó una visión omnicomprensiva de la actividad contractual que debe publicarse, toda vez que la noción de procedimiento debe asimilarse a la de </w:t>
      </w:r>
      <w:r w:rsidRPr="008A4211">
        <w:rPr>
          <w:rFonts w:ascii="Arial" w:hAnsi="Arial" w:cs="Arial"/>
          <w:i/>
          <w:iCs/>
          <w:sz w:val="22"/>
          <w:szCs w:val="22"/>
          <w:lang w:val="es-ES"/>
        </w:rPr>
        <w:t>Proceso de Contratación.</w:t>
      </w:r>
      <w:r w:rsidRPr="008A4211">
        <w:rPr>
          <w:rFonts w:ascii="Arial" w:hAnsi="Arial" w:cs="Arial"/>
          <w:sz w:val="22"/>
          <w:szCs w:val="22"/>
          <w:lang w:val="es-ES"/>
        </w:rPr>
        <w:t xml:space="preserve"> Lo anterior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4EAC4255" w14:textId="75592BD1" w:rsidR="00206DD7" w:rsidRPr="008A4211" w:rsidRDefault="00206DD7" w:rsidP="00206DD7">
      <w:pPr>
        <w:spacing w:before="120" w:after="120"/>
        <w:ind w:firstLine="709"/>
        <w:rPr>
          <w:rFonts w:ascii="Arial" w:hAnsi="Arial" w:cs="Arial"/>
          <w:sz w:val="22"/>
          <w:szCs w:val="22"/>
          <w:lang w:val="es-ES"/>
        </w:rPr>
      </w:pPr>
      <w:r w:rsidRPr="008A4211">
        <w:rPr>
          <w:rFonts w:ascii="Arial" w:hAnsi="Arial" w:cs="Arial"/>
          <w:sz w:val="22"/>
          <w:szCs w:val="22"/>
          <w:lang w:val="es-ES"/>
        </w:rPr>
        <w:lastRenderedPageBreak/>
        <w:t>Esto quiere decir que las entidades estatales, además de los documentos y actos administrativos -de trámite o definitivos– que expiden durante los procedimientos de contratación</w:t>
      </w:r>
      <w:r w:rsidRPr="008A4211">
        <w:rPr>
          <w:rFonts w:ascii="Arial" w:hAnsi="Arial" w:cs="Arial"/>
          <w:i/>
          <w:iCs/>
          <w:sz w:val="22"/>
          <w:szCs w:val="22"/>
          <w:lang w:val="es-ES"/>
        </w:rPr>
        <w:t>,</w:t>
      </w:r>
      <w:r w:rsidRPr="008A4211">
        <w:rPr>
          <w:rFonts w:ascii="Arial" w:hAnsi="Arial" w:cs="Arial"/>
          <w:sz w:val="22"/>
          <w:szCs w:val="22"/>
          <w:lang w:val="es-ES"/>
        </w:rPr>
        <w:t xml:space="preserve"> deben publicar los documentos que los impulsan y materializan, incluso los que no produce la entidad, pero que hacen parte del procedimiento. En este grupo de documentos encontramos, por ejemplo, los contentivos de las observaciones formuladas por la ciudadanía al proyecto de pliego de condiciones, o por los proponentes al informe de evaluación y aclaraciones a las ofertas realizadas por los oferentes. En general, es posible afirmar que cualquier actuación ocurrida durante el </w:t>
      </w:r>
      <w:r w:rsidRPr="008A4211">
        <w:rPr>
          <w:rFonts w:ascii="Arial" w:hAnsi="Arial" w:cs="Arial"/>
          <w:i/>
          <w:iCs/>
          <w:sz w:val="22"/>
          <w:szCs w:val="22"/>
          <w:lang w:val="es-ES"/>
        </w:rPr>
        <w:t>Proceso de Contratación</w:t>
      </w:r>
      <w:r w:rsidRPr="008A4211">
        <w:rPr>
          <w:rFonts w:ascii="Arial" w:hAnsi="Arial" w:cs="Arial"/>
          <w:sz w:val="22"/>
          <w:szCs w:val="22"/>
          <w:lang w:val="es-ES"/>
        </w:rPr>
        <w:t xml:space="preserve">–a pesar de no tener origen en la </w:t>
      </w:r>
      <w:r w:rsidR="00F10490">
        <w:rPr>
          <w:rFonts w:ascii="Arial" w:hAnsi="Arial" w:cs="Arial"/>
          <w:sz w:val="22"/>
          <w:szCs w:val="22"/>
          <w:lang w:val="es-ES"/>
        </w:rPr>
        <w:t>Entidad Estatal</w:t>
      </w:r>
      <w:r w:rsidRPr="008A4211">
        <w:rPr>
          <w:rFonts w:ascii="Arial" w:hAnsi="Arial" w:cs="Arial"/>
          <w:sz w:val="22"/>
          <w:szCs w:val="22"/>
          <w:lang w:val="es-ES"/>
        </w:rPr>
        <w:t>, ni caber en estricto sentido en lo que se entiende con la expresión</w:t>
      </w:r>
      <w:r w:rsidRPr="008A4211">
        <w:rPr>
          <w:rFonts w:ascii="Arial" w:hAnsi="Arial" w:cs="Arial"/>
          <w:i/>
          <w:iCs/>
          <w:sz w:val="22"/>
          <w:szCs w:val="22"/>
          <w:lang w:val="es-ES"/>
        </w:rPr>
        <w:t xml:space="preserve"> Documento del Proceso–, </w:t>
      </w:r>
      <w:r w:rsidRPr="008A4211">
        <w:rPr>
          <w:rFonts w:ascii="Arial" w:hAnsi="Arial" w:cs="Arial"/>
          <w:sz w:val="22"/>
          <w:szCs w:val="22"/>
          <w:lang w:val="es-ES"/>
        </w:rPr>
        <w:t>hace parte del desarrollo del procedimiento, por lo que debe ser publicada por la entidad de manera proactiva en atención a lo dispuesto por la normativa de transparencia y acceso a la información pública.</w:t>
      </w:r>
    </w:p>
    <w:p w14:paraId="41799E0E" w14:textId="77777777" w:rsidR="00206DD7" w:rsidRPr="008A4211" w:rsidRDefault="00206DD7" w:rsidP="00206DD7">
      <w:pPr>
        <w:spacing w:before="120" w:after="120"/>
        <w:ind w:firstLine="709"/>
        <w:rPr>
          <w:rFonts w:ascii="Arial" w:hAnsi="Arial" w:cs="Arial"/>
          <w:sz w:val="22"/>
          <w:szCs w:val="22"/>
          <w:lang w:val="es-ES"/>
        </w:rPr>
      </w:pPr>
      <w:r w:rsidRPr="008A4211">
        <w:rPr>
          <w:rFonts w:ascii="Arial" w:hAnsi="Arial" w:cs="Arial"/>
          <w:sz w:val="22"/>
          <w:szCs w:val="22"/>
          <w:lang w:val="es-ES"/>
        </w:rPr>
        <w:t xml:space="preserve">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 acuerdo con lo anterior, deben respetarse los aspectos expresamente regulados en cada norma, como, por ejemplo, el término de publicación y la excepción de publicación de los documentos de las operaciones que se celebren en bolsa de productos, conforme al </w:t>
      </w:r>
      <w:r w:rsidRPr="008A4211">
        <w:rPr>
          <w:rFonts w:ascii="Arial" w:eastAsia="Arial" w:hAnsi="Arial" w:cs="Arial"/>
          <w:sz w:val="22"/>
          <w:szCs w:val="22"/>
          <w:lang w:val="es-ES"/>
        </w:rPr>
        <w:t>artículo 2.2.1.1.1.7.1. del Decreto 1082 de 2015.</w:t>
      </w:r>
    </w:p>
    <w:p w14:paraId="71B15D7E" w14:textId="77777777" w:rsidR="00206DD7" w:rsidRPr="008A4211" w:rsidRDefault="00206DD7" w:rsidP="00206DD7">
      <w:pPr>
        <w:spacing w:before="120" w:after="120"/>
        <w:ind w:firstLine="709"/>
        <w:rPr>
          <w:rFonts w:ascii="Arial" w:hAnsi="Arial" w:cs="Arial"/>
          <w:sz w:val="22"/>
          <w:szCs w:val="22"/>
          <w:lang w:val="es-ES"/>
        </w:rPr>
      </w:pPr>
      <w:r w:rsidRPr="008A4211">
        <w:rPr>
          <w:rFonts w:ascii="Arial" w:hAnsi="Arial" w:cs="Arial"/>
          <w:sz w:val="22"/>
          <w:szCs w:val="22"/>
          <w:lang w:val="es-ES"/>
        </w:rPr>
        <w:t xml:space="preserve">De conformidad con lo antes señalado, esta interpretación de las disposiciones analizadas permite incorporar al EGCAP importantes principios desarrollados por la normativa de la transparencia y acceso a la información pública, como los de </w:t>
      </w:r>
      <w:r w:rsidRPr="008A4211">
        <w:rPr>
          <w:rStyle w:val="nfasis"/>
          <w:rFonts w:ascii="Arial" w:hAnsi="Arial" w:cs="Arial"/>
          <w:sz w:val="22"/>
          <w:szCs w:val="22"/>
        </w:rPr>
        <w:t>máxima publicidad para un titular universal</w:t>
      </w:r>
      <w:r w:rsidRPr="008A4211">
        <w:rPr>
          <w:rStyle w:val="Refdenotaalpie"/>
          <w:rFonts w:ascii="Arial" w:hAnsi="Arial" w:cs="Arial"/>
          <w:iCs/>
          <w:sz w:val="22"/>
          <w:szCs w:val="22"/>
          <w:lang w:val="es-ES"/>
        </w:rPr>
        <w:footnoteReference w:id="13"/>
      </w:r>
      <w:r w:rsidRPr="008A4211">
        <w:rPr>
          <w:rStyle w:val="nfasis"/>
          <w:rFonts w:ascii="Arial" w:hAnsi="Arial" w:cs="Arial"/>
          <w:sz w:val="22"/>
          <w:szCs w:val="22"/>
        </w:rPr>
        <w:t>, transparencia, facilitación y divulgación proactiva de la información</w:t>
      </w:r>
      <w:r w:rsidRPr="008A4211">
        <w:rPr>
          <w:rStyle w:val="Refdenotaalpie"/>
          <w:rFonts w:ascii="Arial" w:hAnsi="Arial" w:cs="Arial"/>
          <w:iCs/>
          <w:sz w:val="22"/>
          <w:szCs w:val="22"/>
          <w:lang w:val="es-ES"/>
        </w:rPr>
        <w:footnoteReference w:id="14"/>
      </w:r>
      <w:r w:rsidRPr="008A4211">
        <w:rPr>
          <w:rStyle w:val="nfasis"/>
          <w:rFonts w:ascii="Arial" w:hAnsi="Arial" w:cs="Arial"/>
          <w:sz w:val="22"/>
          <w:szCs w:val="22"/>
        </w:rPr>
        <w:t xml:space="preserve">. Ello es así, por </w:t>
      </w:r>
      <w:r w:rsidRPr="008A4211">
        <w:rPr>
          <w:rStyle w:val="nfasis"/>
          <w:rFonts w:ascii="Arial" w:hAnsi="Arial" w:cs="Arial"/>
          <w:sz w:val="22"/>
          <w:szCs w:val="22"/>
        </w:rPr>
        <w:lastRenderedPageBreak/>
        <w:t xml:space="preserve">cuanto al ampliarse la actividad contractual sobre la que recae el deber de publicación, se divulga un mayor volumen de información, que de por sí es pública, mediante un mecanismo como el SECOP, que facilita el acceso a la misma desde cualquier dispositivo con acceso a internet. Este mecanismo de publicidad garantiza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   </w:t>
      </w:r>
    </w:p>
    <w:p w14:paraId="3C5CA5E2" w14:textId="78F2EDE7" w:rsidR="00206DD7" w:rsidRPr="008A4211" w:rsidRDefault="00206DD7" w:rsidP="00206DD7">
      <w:pPr>
        <w:spacing w:before="120" w:after="120"/>
        <w:ind w:firstLine="709"/>
        <w:rPr>
          <w:rFonts w:ascii="Arial" w:hAnsi="Arial" w:cs="Arial"/>
          <w:sz w:val="22"/>
          <w:szCs w:val="22"/>
          <w:lang w:val="es-ES"/>
        </w:rPr>
      </w:pPr>
      <w:r w:rsidRPr="00721D3C">
        <w:rPr>
          <w:rStyle w:val="Textoennegrita"/>
          <w:rFonts w:ascii="Arial" w:hAnsi="Arial" w:cs="Arial"/>
          <w:b w:val="0"/>
          <w:bCs w:val="0"/>
          <w:sz w:val="22"/>
          <w:szCs w:val="22"/>
          <w:lang w:val="es-ES"/>
        </w:rPr>
        <w:t xml:space="preserve">En conclusión, con base en los fundamentos normativos y argumentos expuestos, las entidades estatales regidas por el EGCAP deberán publicar en SECOP, entre otros, los siguientes documentos expedidos con ocasión del </w:t>
      </w:r>
      <w:r w:rsidR="004D0AF3" w:rsidRPr="00721D3C">
        <w:rPr>
          <w:rStyle w:val="Textoennegrita"/>
          <w:rFonts w:ascii="Arial" w:hAnsi="Arial" w:cs="Arial"/>
          <w:b w:val="0"/>
          <w:bCs w:val="0"/>
          <w:iCs/>
          <w:sz w:val="22"/>
          <w:szCs w:val="22"/>
          <w:lang w:val="es-ES"/>
        </w:rPr>
        <w:t>Proceso de Contratación</w:t>
      </w:r>
      <w:r w:rsidRPr="00721D3C">
        <w:rPr>
          <w:rStyle w:val="Textoennegrita"/>
          <w:rFonts w:ascii="Arial" w:hAnsi="Arial" w:cs="Arial"/>
          <w:b w:val="0"/>
          <w:bCs w:val="0"/>
          <w:sz w:val="22"/>
          <w:szCs w:val="22"/>
          <w:lang w:val="es-ES"/>
        </w:rPr>
        <w:t xml:space="preserve">: i) el estudio de oportunidad y conveniencia; ii) </w:t>
      </w:r>
      <w:r w:rsidRPr="008A4211">
        <w:rPr>
          <w:rFonts w:ascii="Arial" w:hAnsi="Arial" w:cs="Arial"/>
          <w:sz w:val="22"/>
          <w:szCs w:val="22"/>
          <w:lang w:val="es-ES"/>
        </w:rPr>
        <w:t xml:space="preserve">los estudios y documentos previos –técnicos o no–; iii) el aviso de convocatoria; iv) el proyecto de pliego de condiciones y las observaciones que le formulen; v) el pliego de condiciones o la invitación, así como las observaciones que se les realicen; vi) las actas de la audiencia de asignación de riesgos; vii) el acta de cierre del plazo para presentar ofertas; viii) las 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aprobaciones, autorizaciones, requerimientos o informes del supervisor o del </w:t>
      </w:r>
      <w:r w:rsidRPr="008A4211">
        <w:rPr>
          <w:rFonts w:ascii="Arial" w:hAnsi="Arial" w:cs="Arial"/>
          <w:sz w:val="22"/>
          <w:szCs w:val="22"/>
          <w:lang w:val="es-ES"/>
        </w:rPr>
        <w:lastRenderedPageBreak/>
        <w:t xml:space="preserve">interventor, que prueben la ejecución del contrato; xxiii) la liquidación unilateral; y xxiv) en general cualquier otro documento producido o expedido con ocasión del </w:t>
      </w:r>
      <w:r w:rsidRPr="008A4211">
        <w:rPr>
          <w:rFonts w:ascii="Arial" w:hAnsi="Arial" w:cs="Arial"/>
          <w:i/>
          <w:iCs/>
          <w:sz w:val="22"/>
          <w:szCs w:val="22"/>
          <w:lang w:val="es-ES"/>
        </w:rPr>
        <w:t>Proceso de Contratación</w:t>
      </w:r>
      <w:r w:rsidRPr="008A4211">
        <w:rPr>
          <w:rFonts w:ascii="Arial" w:hAnsi="Arial" w:cs="Arial"/>
          <w:sz w:val="22"/>
          <w:szCs w:val="22"/>
          <w:lang w:val="es-ES"/>
        </w:rPr>
        <w:t>, sin importar quién sea su autor –la Administración o el contratista–, con excepción de los que pertenecen a</w:t>
      </w:r>
      <w:r w:rsidRPr="008A4211">
        <w:rPr>
          <w:rFonts w:ascii="Arial" w:eastAsia="Arial" w:hAnsi="Arial" w:cs="Arial"/>
          <w:sz w:val="22"/>
          <w:szCs w:val="22"/>
          <w:lang w:val="es-ES"/>
        </w:rPr>
        <w:t xml:space="preserve">l marco de operaciones de bolsa de productos, expresamente excluidos de publicación por el artículo 2.2.1.1.1.7.1. del Decreto 1082 de 2015. </w:t>
      </w:r>
    </w:p>
    <w:p w14:paraId="4954935C" w14:textId="1A9DB639" w:rsidR="00206DD7" w:rsidRPr="008A4211" w:rsidRDefault="00206DD7" w:rsidP="00206DD7">
      <w:pPr>
        <w:spacing w:before="120"/>
        <w:ind w:firstLine="709"/>
        <w:rPr>
          <w:rFonts w:ascii="Arial" w:hAnsi="Arial" w:cs="Arial"/>
          <w:sz w:val="22"/>
          <w:szCs w:val="22"/>
          <w:lang w:val="es-ES"/>
        </w:rPr>
      </w:pPr>
      <w:r w:rsidRPr="008A4211">
        <w:rPr>
          <w:rFonts w:ascii="Arial" w:hAnsi="Arial" w:cs="Arial"/>
          <w:sz w:val="22"/>
          <w:szCs w:val="22"/>
          <w:lang w:val="es-ES"/>
        </w:rPr>
        <w:t xml:space="preserve">Sin perjuicio de lo anterior, no debe perderse de vista </w:t>
      </w:r>
      <w:r w:rsidR="004D0AF3" w:rsidRPr="008A4211">
        <w:rPr>
          <w:rFonts w:ascii="Arial" w:hAnsi="Arial" w:cs="Arial"/>
          <w:sz w:val="22"/>
          <w:szCs w:val="22"/>
          <w:lang w:val="es-ES"/>
        </w:rPr>
        <w:t>que,</w:t>
      </w:r>
      <w:r w:rsidRPr="008A4211">
        <w:rPr>
          <w:rFonts w:ascii="Arial" w:hAnsi="Arial" w:cs="Arial"/>
          <w:sz w:val="22"/>
          <w:szCs w:val="22"/>
          <w:lang w:val="es-ES"/>
        </w:rPr>
        <w:t xml:space="preserve"> en virtud del principio de transparencia, específicamente por cuenta de lo dispuesto en el numeral 4 del artículo 24 de la Ley 80 de 1993</w:t>
      </w:r>
      <w:r w:rsidRPr="008A4211">
        <w:rPr>
          <w:rStyle w:val="Refdenotaalpie"/>
          <w:rFonts w:ascii="Arial" w:hAnsi="Arial" w:cs="Arial"/>
          <w:sz w:val="22"/>
          <w:szCs w:val="22"/>
          <w:lang w:val="es-ES"/>
        </w:rPr>
        <w:footnoteReference w:id="15"/>
      </w:r>
      <w:r w:rsidRPr="008A4211">
        <w:rPr>
          <w:rFonts w:ascii="Arial" w:hAnsi="Arial" w:cs="Arial"/>
          <w:sz w:val="22"/>
          <w:szCs w:val="22"/>
          <w:lang w:val="es-ES"/>
        </w:rPr>
        <w:t>, así como por el principio de máxima publicidad establecido en el artículo 2 de la Ley 1712 de 2014</w:t>
      </w:r>
      <w:r w:rsidRPr="008A4211">
        <w:rPr>
          <w:rStyle w:val="Refdenotaalpie"/>
          <w:rFonts w:ascii="Arial" w:hAnsi="Arial" w:cs="Arial"/>
          <w:sz w:val="22"/>
          <w:szCs w:val="22"/>
          <w:lang w:val="es-ES"/>
        </w:rPr>
        <w:footnoteReference w:id="16"/>
      </w:r>
      <w:r w:rsidRPr="008A4211">
        <w:rPr>
          <w:rFonts w:ascii="Arial" w:hAnsi="Arial" w:cs="Arial"/>
          <w:sz w:val="22"/>
          <w:szCs w:val="22"/>
          <w:lang w:val="es-ES"/>
        </w:rPr>
        <w:t>, el contenido del expediente en el que reposa la actuación es información pública, independientemente de si se trata de documentos que deban ser publicados en SECOP. Por esta razón, los documentos que conforman el expediente pueden ser objeto de solicitudes de copias, en ejercicio del derecho de petición, en cualquier momento del proceso de selección, en la medida en que las normas señaladas no imponen ningún condicionamiento, así que podrán solicitarlas cualquier persona, dentro de lo que cabe el control social de la contratación pública, cuestión que podría interesar a cualquier ciudadano</w:t>
      </w:r>
      <w:r w:rsidRPr="008A4211">
        <w:rPr>
          <w:rStyle w:val="Refdenotaalpie"/>
          <w:rFonts w:ascii="Arial" w:hAnsi="Arial" w:cs="Arial"/>
          <w:sz w:val="22"/>
          <w:szCs w:val="22"/>
          <w:lang w:val="es-ES"/>
        </w:rPr>
        <w:footnoteReference w:id="17"/>
      </w:r>
      <w:r w:rsidRPr="008A4211">
        <w:rPr>
          <w:rFonts w:ascii="Arial" w:hAnsi="Arial" w:cs="Arial"/>
          <w:sz w:val="22"/>
          <w:szCs w:val="22"/>
          <w:lang w:val="es-ES"/>
        </w:rPr>
        <w:t>. Esta posibilidad solo se encuentra limitada respecto de la documentación que tenga la calidad de reservada</w:t>
      </w:r>
      <w:r w:rsidRPr="008A4211">
        <w:rPr>
          <w:rFonts w:ascii="Arial" w:hAnsi="Arial" w:cs="Arial"/>
          <w:sz w:val="22"/>
          <w:szCs w:val="22"/>
          <w:vertAlign w:val="superscript"/>
          <w:lang w:val="es-ES"/>
        </w:rPr>
        <w:footnoteReference w:id="18"/>
      </w:r>
      <w:r w:rsidRPr="008A4211">
        <w:rPr>
          <w:rFonts w:ascii="Arial" w:hAnsi="Arial" w:cs="Arial"/>
          <w:sz w:val="22"/>
          <w:szCs w:val="22"/>
          <w:lang w:val="es-ES"/>
        </w:rPr>
        <w:t xml:space="preserve">, que deberá someterse al </w:t>
      </w:r>
      <w:r w:rsidRPr="008A4211">
        <w:rPr>
          <w:rFonts w:ascii="Arial" w:hAnsi="Arial" w:cs="Arial"/>
          <w:sz w:val="22"/>
          <w:szCs w:val="22"/>
          <w:lang w:val="es-ES"/>
        </w:rPr>
        <w:lastRenderedPageBreak/>
        <w:t>tratamiento establecido en el artículo 36 del CPACA, en lo relativo a la formación de cuadernos separados</w:t>
      </w:r>
      <w:r w:rsidRPr="008A4211">
        <w:rPr>
          <w:rFonts w:ascii="Arial" w:hAnsi="Arial" w:cs="Arial"/>
          <w:sz w:val="22"/>
          <w:szCs w:val="22"/>
          <w:vertAlign w:val="superscript"/>
          <w:lang w:val="es-ES"/>
        </w:rPr>
        <w:footnoteReference w:id="19"/>
      </w:r>
      <w:r w:rsidRPr="008A4211">
        <w:rPr>
          <w:rFonts w:ascii="Arial" w:hAnsi="Arial" w:cs="Arial"/>
          <w:sz w:val="22"/>
          <w:szCs w:val="22"/>
          <w:lang w:val="es-ES"/>
        </w:rPr>
        <w:t>.</w:t>
      </w:r>
    </w:p>
    <w:p w14:paraId="4CA61C78" w14:textId="77777777" w:rsidR="00206DD7" w:rsidRPr="008A4211" w:rsidRDefault="00206DD7" w:rsidP="00206DD7">
      <w:pPr>
        <w:spacing w:before="120"/>
        <w:ind w:firstLine="709"/>
        <w:rPr>
          <w:rFonts w:ascii="Arial" w:hAnsi="Arial" w:cs="Arial"/>
          <w:sz w:val="22"/>
          <w:szCs w:val="22"/>
          <w:lang w:val="es-ES"/>
        </w:rPr>
      </w:pPr>
    </w:p>
    <w:p w14:paraId="1B9EFE97" w14:textId="0B1558C9" w:rsidR="00206DD7" w:rsidRPr="008A4211" w:rsidRDefault="00206DD7" w:rsidP="00206DD7">
      <w:pPr>
        <w:tabs>
          <w:tab w:val="left" w:pos="709"/>
        </w:tabs>
        <w:rPr>
          <w:rFonts w:ascii="Arial" w:hAnsi="Arial" w:cs="Arial"/>
          <w:b/>
          <w:color w:val="000000"/>
          <w:sz w:val="22"/>
          <w:szCs w:val="22"/>
          <w:lang w:eastAsia="en-US"/>
        </w:rPr>
      </w:pPr>
      <w:r w:rsidRPr="008A4211">
        <w:rPr>
          <w:rFonts w:ascii="Arial" w:hAnsi="Arial" w:cs="Arial"/>
          <w:b/>
          <w:color w:val="000000"/>
          <w:sz w:val="22"/>
          <w:szCs w:val="22"/>
          <w:lang w:eastAsia="en-US"/>
        </w:rPr>
        <w:t>2.2. Adendas de modificación al cronograma</w:t>
      </w:r>
      <w:r w:rsidR="00AF4B97">
        <w:rPr>
          <w:rFonts w:ascii="Arial" w:hAnsi="Arial" w:cs="Arial"/>
          <w:b/>
          <w:color w:val="000000"/>
          <w:sz w:val="22"/>
          <w:szCs w:val="22"/>
          <w:lang w:eastAsia="en-US"/>
        </w:rPr>
        <w:t xml:space="preserve"> del proceso de selección</w:t>
      </w:r>
    </w:p>
    <w:p w14:paraId="4818E82E" w14:textId="77777777" w:rsidR="00206DD7" w:rsidRPr="008A4211" w:rsidRDefault="00206DD7" w:rsidP="00206DD7">
      <w:pPr>
        <w:spacing w:after="240"/>
        <w:rPr>
          <w:rFonts w:ascii="Arial" w:hAnsi="Arial" w:cs="Arial"/>
          <w:color w:val="000000"/>
          <w:sz w:val="22"/>
          <w:szCs w:val="22"/>
          <w:lang w:eastAsia="en-US"/>
        </w:rPr>
      </w:pPr>
      <w:r w:rsidRPr="008A4211">
        <w:rPr>
          <w:rFonts w:ascii="Arial" w:hAnsi="Arial" w:cs="Arial"/>
          <w:color w:val="000000"/>
          <w:sz w:val="22"/>
          <w:szCs w:val="22"/>
          <w:lang w:eastAsia="en-US"/>
        </w:rPr>
        <w:t>Las entidades estatales, una vez publicados los pliegos de condiciones definitivos o la invitación pública para los procesos de mínima cuantía, pueden realizar modificaciones a los documentos del procedimiento de contratación como consecuencia de las observaciones recibidas por parte de los interesados o por iniciativa unilateral de la entidad, al evidenciar la necesidad de modificar, ajustar o aclarar algún aspecto o condición.</w:t>
      </w:r>
    </w:p>
    <w:p w14:paraId="7E90130F" w14:textId="77777777" w:rsidR="00206DD7" w:rsidRPr="00721D3C" w:rsidRDefault="00206DD7" w:rsidP="00206DD7">
      <w:pPr>
        <w:pStyle w:val="Textoindependiente"/>
        <w:spacing w:after="240" w:line="276" w:lineRule="auto"/>
        <w:ind w:right="49" w:firstLine="709"/>
        <w:jc w:val="both"/>
        <w:rPr>
          <w:rFonts w:ascii="Arial" w:hAnsi="Arial" w:cs="Arial"/>
          <w:sz w:val="22"/>
          <w:szCs w:val="22"/>
          <w:lang w:eastAsia="es-ES_tradnl"/>
        </w:rPr>
      </w:pPr>
      <w:r w:rsidRPr="00721D3C">
        <w:rPr>
          <w:rFonts w:ascii="Arial" w:hAnsi="Arial" w:cs="Arial"/>
          <w:sz w:val="22"/>
          <w:szCs w:val="22"/>
          <w:lang w:eastAsia="es-ES_tradnl"/>
        </w:rPr>
        <w:t>Estas modificaciones deben realizarse a través de adendas o como lo ha reconocido la jurisprudencia del Consejo de Estado, por medio de cualquier otro documento que contenga la manifestación de voluntad de la entidad de aclarar, añadir, adicionar, reemplazar o cambiar un aspecto o condición incluida en los documentos del procedimiento de contratación</w:t>
      </w:r>
      <w:r w:rsidRPr="00721D3C">
        <w:rPr>
          <w:rStyle w:val="Refdenotaalpie"/>
          <w:rFonts w:ascii="Arial" w:hAnsi="Arial" w:cs="Arial"/>
          <w:sz w:val="22"/>
          <w:szCs w:val="22"/>
          <w:lang w:eastAsia="es-ES_tradnl"/>
        </w:rPr>
        <w:footnoteReference w:id="20"/>
      </w:r>
      <w:r w:rsidRPr="00721D3C">
        <w:rPr>
          <w:rFonts w:ascii="Arial" w:hAnsi="Arial" w:cs="Arial"/>
          <w:sz w:val="22"/>
          <w:szCs w:val="22"/>
          <w:lang w:eastAsia="es-ES_tradnl"/>
        </w:rPr>
        <w:t>.</w:t>
      </w:r>
    </w:p>
    <w:p w14:paraId="78382B4B" w14:textId="77777777" w:rsidR="00206DD7" w:rsidRPr="00721D3C" w:rsidRDefault="00206DD7" w:rsidP="00206DD7">
      <w:pPr>
        <w:pStyle w:val="Textoindependiente"/>
        <w:spacing w:line="276" w:lineRule="auto"/>
        <w:ind w:right="49" w:firstLine="709"/>
        <w:jc w:val="both"/>
        <w:rPr>
          <w:rFonts w:ascii="Arial" w:hAnsi="Arial" w:cs="Arial"/>
          <w:sz w:val="22"/>
          <w:szCs w:val="22"/>
          <w:lang w:eastAsia="es-ES_tradnl"/>
        </w:rPr>
      </w:pPr>
      <w:r w:rsidRPr="00721D3C">
        <w:rPr>
          <w:rFonts w:ascii="Arial" w:hAnsi="Arial" w:cs="Arial"/>
          <w:sz w:val="22"/>
          <w:szCs w:val="22"/>
          <w:lang w:eastAsia="es-ES_tradnl"/>
        </w:rPr>
        <w:lastRenderedPageBreak/>
        <w:t>La adenda o modificación, al contener la voluntad de la Administración de variar, ajustar o aclarar algún aspecto o condición de los pliegos de condiciones</w:t>
      </w:r>
      <w:r w:rsidRPr="00721D3C">
        <w:rPr>
          <w:rFonts w:ascii="Arial" w:eastAsia="Calibri" w:hAnsi="Arial" w:cs="Arial"/>
          <w:color w:val="000000"/>
          <w:sz w:val="22"/>
          <w:szCs w:val="22"/>
          <w:lang w:val="es-ES_tradnl"/>
        </w:rPr>
        <w:t xml:space="preserve"> o la invitación pública para procesos de mínima cuantía</w:t>
      </w:r>
      <w:r w:rsidRPr="00721D3C">
        <w:rPr>
          <w:rFonts w:ascii="Arial" w:hAnsi="Arial" w:cs="Arial"/>
          <w:sz w:val="22"/>
          <w:szCs w:val="22"/>
          <w:lang w:eastAsia="es-ES_tradnl"/>
        </w:rPr>
        <w:t xml:space="preserve">, tiene la naturaleza de acto administrativo de contenido general, que, al ser incorporado al contenido de los pliegos de condiciones </w:t>
      </w:r>
      <w:r w:rsidRPr="00721D3C">
        <w:rPr>
          <w:rFonts w:ascii="Arial" w:eastAsia="Calibri" w:hAnsi="Arial" w:cs="Arial"/>
          <w:color w:val="000000"/>
          <w:sz w:val="22"/>
          <w:szCs w:val="22"/>
          <w:lang w:val="es-ES_tradnl"/>
        </w:rPr>
        <w:t>o a la invitación pública para procesos de mínima cuantía</w:t>
      </w:r>
      <w:r w:rsidRPr="00721D3C">
        <w:rPr>
          <w:rFonts w:ascii="Arial" w:hAnsi="Arial" w:cs="Arial"/>
          <w:sz w:val="22"/>
          <w:szCs w:val="22"/>
          <w:lang w:eastAsia="es-ES_tradnl"/>
        </w:rPr>
        <w:t xml:space="preserve"> tiene, al igual que estos, la posibilidad de transformarse en parte del texto del negocio jurídico</w:t>
      </w:r>
      <w:r w:rsidRPr="00721D3C">
        <w:rPr>
          <w:rStyle w:val="Refdenotaalpie"/>
          <w:rFonts w:ascii="Arial" w:hAnsi="Arial" w:cs="Arial"/>
          <w:sz w:val="22"/>
          <w:szCs w:val="22"/>
          <w:lang w:eastAsia="es-ES_tradnl"/>
        </w:rPr>
        <w:footnoteReference w:id="21"/>
      </w:r>
      <w:r w:rsidRPr="00721D3C">
        <w:rPr>
          <w:rFonts w:ascii="Arial" w:hAnsi="Arial" w:cs="Arial"/>
          <w:sz w:val="22"/>
          <w:szCs w:val="22"/>
          <w:lang w:eastAsia="es-ES_tradnl"/>
        </w:rPr>
        <w:t>. Por lo tanto, las adendas, al ser actos administrativos de contenido general, deben ser publicadas para que sean obligatorias, esto es para que sus efectos sean vinculantes a los interesados en el procedimiento de contratación.</w:t>
      </w:r>
    </w:p>
    <w:p w14:paraId="1DE1DE66" w14:textId="77777777" w:rsidR="00206DD7" w:rsidRPr="00721D3C" w:rsidRDefault="00206DD7" w:rsidP="00721D3C">
      <w:pPr>
        <w:pStyle w:val="Textoindependiente"/>
        <w:spacing w:line="276" w:lineRule="auto"/>
        <w:ind w:firstLine="709"/>
        <w:jc w:val="both"/>
        <w:rPr>
          <w:rFonts w:ascii="Arial" w:hAnsi="Arial" w:cs="Arial"/>
          <w:sz w:val="22"/>
          <w:szCs w:val="22"/>
          <w:lang w:eastAsia="es-ES_tradnl"/>
        </w:rPr>
      </w:pPr>
      <w:r w:rsidRPr="00721D3C">
        <w:rPr>
          <w:rFonts w:ascii="Arial" w:hAnsi="Arial" w:cs="Arial"/>
          <w:sz w:val="22"/>
          <w:szCs w:val="22"/>
          <w:lang w:eastAsia="es-ES_tradnl"/>
        </w:rPr>
        <w:t>El artículo 2.2.1.1.2.2.1 del Decreto 1082 de 2015, reglamenta la posibilidad que tienen las entidades de modificar los pliegos de condiciones a través de adendas y señala que deben expedirse a más tarde un día hábil anterior a la fecha fijada para la presentación de ofertas, salvo para el caso de licitación que debe hacerse con tres (3) días de anticipación. Al respecto señala la norma:</w:t>
      </w:r>
    </w:p>
    <w:p w14:paraId="77E22B31" w14:textId="2F647390" w:rsidR="00206DD7" w:rsidRPr="00721D3C" w:rsidRDefault="00051BC3" w:rsidP="00721D3C">
      <w:pPr>
        <w:spacing w:line="240" w:lineRule="auto"/>
        <w:ind w:left="709" w:right="709"/>
        <w:rPr>
          <w:rFonts w:ascii="Arial" w:hAnsi="Arial" w:cs="Arial"/>
          <w:sz w:val="21"/>
          <w:szCs w:val="21"/>
        </w:rPr>
      </w:pPr>
      <w:r>
        <w:rPr>
          <w:rFonts w:ascii="Arial" w:hAnsi="Arial" w:cs="Arial"/>
          <w:sz w:val="21"/>
          <w:szCs w:val="21"/>
        </w:rPr>
        <w:t>«</w:t>
      </w:r>
      <w:r w:rsidR="00206DD7" w:rsidRPr="00721D3C">
        <w:rPr>
          <w:rFonts w:ascii="Arial" w:hAnsi="Arial" w:cs="Arial"/>
          <w:sz w:val="21"/>
          <w:szCs w:val="21"/>
        </w:rPr>
        <w:t>Artículo 2.2.1.1.2.2.1. Modificación de los pliegos de condiciones. La Entidad Estatal puede modificar los pliegos de condiciones a través de Adendas expedidas antes del vencimiento del plazo para presentar ofertas.</w:t>
      </w:r>
    </w:p>
    <w:p w14:paraId="24EDBD75" w14:textId="77777777" w:rsidR="00206DD7" w:rsidRPr="00721D3C" w:rsidRDefault="00206DD7" w:rsidP="00721D3C">
      <w:pPr>
        <w:spacing w:before="1" w:line="240" w:lineRule="auto"/>
        <w:ind w:left="709" w:right="709"/>
        <w:rPr>
          <w:rFonts w:ascii="Arial" w:hAnsi="Arial" w:cs="Arial"/>
          <w:sz w:val="21"/>
          <w:szCs w:val="21"/>
        </w:rPr>
      </w:pPr>
      <w:r w:rsidRPr="00721D3C">
        <w:rPr>
          <w:rFonts w:ascii="Arial" w:hAnsi="Arial" w:cs="Arial"/>
          <w:sz w:val="21"/>
          <w:szCs w:val="21"/>
        </w:rPr>
        <w:t>La Entidad Estatal puede expedir Adendas para modificar el Cronograma una vez vencido el término para la presentación de las ofertas y antes de la adjudicación del contrato.</w:t>
      </w:r>
    </w:p>
    <w:p w14:paraId="7C863049" w14:textId="48604624" w:rsidR="00206DD7" w:rsidRPr="00721D3C" w:rsidRDefault="00206DD7" w:rsidP="00721D3C">
      <w:pPr>
        <w:pStyle w:val="Textoindependiente"/>
        <w:spacing w:before="93"/>
        <w:ind w:left="709" w:right="709"/>
        <w:jc w:val="both"/>
        <w:rPr>
          <w:rFonts w:ascii="Arial" w:hAnsi="Arial" w:cs="Arial"/>
          <w:sz w:val="21"/>
          <w:szCs w:val="21"/>
          <w:lang w:eastAsia="es-ES_tradnl"/>
        </w:rPr>
      </w:pPr>
      <w:r w:rsidRPr="00721D3C">
        <w:rPr>
          <w:rFonts w:ascii="Arial" w:hAnsi="Arial" w:cs="Arial"/>
          <w:sz w:val="21"/>
          <w:szCs w:val="21"/>
          <w:lang w:eastAsia="es-ES_tradnl"/>
        </w:rPr>
        <w:lastRenderedPageBreak/>
        <w:t>La Entidad Estatal debe publicar las Adendas en los días hábiles, entre las 7:00 a.m. y las 7:00 p. m., a más tardar el día hábil anterior al vencimiento del plazo para presentar ofertas a la hora fijada para tal presentación, salvo en la licitación pública pues de conformidad con la ley la publicación debe hacerse con tres (3) días de anticipación.</w:t>
      </w:r>
      <w:r w:rsidR="00051BC3">
        <w:rPr>
          <w:rFonts w:ascii="Arial" w:hAnsi="Arial" w:cs="Arial"/>
          <w:sz w:val="21"/>
          <w:szCs w:val="21"/>
          <w:lang w:eastAsia="es-ES_tradnl"/>
        </w:rPr>
        <w:t>»</w:t>
      </w:r>
    </w:p>
    <w:p w14:paraId="42F76033" w14:textId="5EE67FC8" w:rsidR="00206DD7" w:rsidRPr="00721D3C" w:rsidRDefault="00206DD7" w:rsidP="00206DD7">
      <w:pPr>
        <w:pStyle w:val="Textoindependiente"/>
        <w:spacing w:before="93" w:line="276" w:lineRule="auto"/>
        <w:ind w:right="49" w:firstLine="709"/>
        <w:jc w:val="both"/>
        <w:rPr>
          <w:rFonts w:ascii="Arial" w:hAnsi="Arial" w:cs="Arial"/>
          <w:sz w:val="22"/>
          <w:szCs w:val="22"/>
          <w:lang w:eastAsia="es-ES_tradnl"/>
        </w:rPr>
      </w:pPr>
      <w:r w:rsidRPr="00721D3C">
        <w:rPr>
          <w:rFonts w:ascii="Arial" w:hAnsi="Arial" w:cs="Arial"/>
          <w:sz w:val="22"/>
          <w:szCs w:val="22"/>
          <w:lang w:eastAsia="es-ES_tradnl"/>
        </w:rPr>
        <w:t xml:space="preserve">De lo anterior se observa que el artículo 2.2.1.1.2.2.1 de Decreto 1082 de 2015 dispone que la </w:t>
      </w:r>
      <w:r w:rsidR="00F10490">
        <w:rPr>
          <w:rFonts w:ascii="Arial" w:hAnsi="Arial" w:cs="Arial"/>
          <w:sz w:val="22"/>
          <w:szCs w:val="22"/>
          <w:lang w:eastAsia="es-ES_tradnl"/>
        </w:rPr>
        <w:t>Entidad Estatal</w:t>
      </w:r>
      <w:r w:rsidRPr="00721D3C">
        <w:rPr>
          <w:rFonts w:ascii="Arial" w:hAnsi="Arial" w:cs="Arial"/>
          <w:sz w:val="22"/>
          <w:szCs w:val="22"/>
          <w:lang w:eastAsia="es-ES_tradnl"/>
        </w:rPr>
        <w:t xml:space="preserve"> </w:t>
      </w:r>
      <w:r w:rsidR="00051BC3">
        <w:rPr>
          <w:rFonts w:ascii="Arial" w:hAnsi="Arial" w:cs="Arial"/>
          <w:sz w:val="22"/>
          <w:szCs w:val="22"/>
          <w:lang w:eastAsia="es-ES_tradnl"/>
        </w:rPr>
        <w:t xml:space="preserve">también </w:t>
      </w:r>
      <w:r w:rsidRPr="00721D3C">
        <w:rPr>
          <w:rFonts w:ascii="Arial" w:hAnsi="Arial" w:cs="Arial"/>
          <w:sz w:val="22"/>
          <w:szCs w:val="22"/>
          <w:lang w:eastAsia="es-ES_tradnl"/>
        </w:rPr>
        <w:t>puede expedir adendas para modificar el cronograma una vez vencido el término para la presentación de las ofertas y antes de la adjudicación del contrato</w:t>
      </w:r>
      <w:r w:rsidR="00051BC3">
        <w:rPr>
          <w:rFonts w:ascii="Arial" w:hAnsi="Arial" w:cs="Arial"/>
          <w:sz w:val="22"/>
          <w:szCs w:val="22"/>
          <w:lang w:eastAsia="es-ES_tradnl"/>
        </w:rPr>
        <w:t>.</w:t>
      </w:r>
    </w:p>
    <w:p w14:paraId="27324BC9" w14:textId="4F38FE45" w:rsidR="00206DD7" w:rsidRPr="00721D3C" w:rsidRDefault="00206DD7" w:rsidP="00206DD7">
      <w:pPr>
        <w:pStyle w:val="Textoindependiente"/>
        <w:spacing w:before="93" w:line="276" w:lineRule="auto"/>
        <w:ind w:right="49" w:firstLine="709"/>
        <w:jc w:val="both"/>
        <w:rPr>
          <w:rFonts w:ascii="Arial" w:eastAsia="Calibri" w:hAnsi="Arial" w:cs="Arial"/>
          <w:color w:val="000000"/>
          <w:sz w:val="22"/>
          <w:szCs w:val="22"/>
          <w:lang w:val="es-ES_tradnl"/>
        </w:rPr>
      </w:pPr>
      <w:r w:rsidRPr="00721D3C">
        <w:rPr>
          <w:rFonts w:ascii="Arial" w:hAnsi="Arial" w:cs="Arial"/>
          <w:sz w:val="22"/>
          <w:szCs w:val="22"/>
          <w:lang w:eastAsia="es-ES_tradnl"/>
        </w:rPr>
        <w:t xml:space="preserve">De lo anterior, se puede concluir que las entidades estatales pueden modificar el mediante adendas </w:t>
      </w:r>
      <w:r w:rsidR="00051BC3">
        <w:rPr>
          <w:rFonts w:ascii="Arial" w:hAnsi="Arial" w:cs="Arial"/>
          <w:sz w:val="22"/>
          <w:szCs w:val="22"/>
          <w:lang w:eastAsia="es-ES_tradnl"/>
        </w:rPr>
        <w:t>el proceso de selección en dos</w:t>
      </w:r>
      <w:r w:rsidRPr="00721D3C">
        <w:rPr>
          <w:rFonts w:ascii="Arial" w:hAnsi="Arial" w:cs="Arial"/>
          <w:sz w:val="22"/>
          <w:szCs w:val="22"/>
          <w:lang w:eastAsia="es-ES_tradnl"/>
        </w:rPr>
        <w:t xml:space="preserve"> momentos: i) antes del vencimiento del plazo para presentar ofertas, pues se entiende que </w:t>
      </w:r>
      <w:r w:rsidR="00051BC3">
        <w:rPr>
          <w:rFonts w:ascii="Arial" w:hAnsi="Arial" w:cs="Arial"/>
          <w:sz w:val="22"/>
          <w:szCs w:val="22"/>
          <w:lang w:eastAsia="es-ES_tradnl"/>
        </w:rPr>
        <w:t>la entidad puede modificar el contenido de los pliegos de condiciones, lo que incluye el</w:t>
      </w:r>
      <w:r w:rsidRPr="00721D3C">
        <w:rPr>
          <w:rFonts w:ascii="Arial" w:hAnsi="Arial" w:cs="Arial"/>
          <w:sz w:val="22"/>
          <w:szCs w:val="22"/>
          <w:lang w:eastAsia="es-ES_tradnl"/>
        </w:rPr>
        <w:t xml:space="preserve"> cronograma,</w:t>
      </w:r>
      <w:r w:rsidR="00051BC3">
        <w:rPr>
          <w:rFonts w:ascii="Arial" w:hAnsi="Arial" w:cs="Arial"/>
          <w:sz w:val="22"/>
          <w:szCs w:val="22"/>
          <w:lang w:eastAsia="es-ES_tradnl"/>
        </w:rPr>
        <w:t xml:space="preserve"> entre otros</w:t>
      </w:r>
      <w:r w:rsidRPr="00721D3C">
        <w:rPr>
          <w:rFonts w:ascii="Arial" w:hAnsi="Arial" w:cs="Arial"/>
          <w:sz w:val="22"/>
          <w:szCs w:val="22"/>
          <w:lang w:eastAsia="es-ES_tradnl"/>
        </w:rPr>
        <w:t xml:space="preserve"> </w:t>
      </w:r>
      <w:r w:rsidR="00051BC3">
        <w:rPr>
          <w:rFonts w:ascii="Arial" w:hAnsi="Arial" w:cs="Arial"/>
          <w:sz w:val="22"/>
          <w:szCs w:val="22"/>
          <w:lang w:eastAsia="es-ES_tradnl"/>
        </w:rPr>
        <w:t xml:space="preserve">aspectos, </w:t>
      </w:r>
      <w:r w:rsidRPr="00721D3C">
        <w:rPr>
          <w:rFonts w:ascii="Arial" w:hAnsi="Arial" w:cs="Arial"/>
          <w:sz w:val="22"/>
          <w:szCs w:val="22"/>
          <w:lang w:eastAsia="es-ES_tradnl"/>
        </w:rPr>
        <w:t>y ii) una vez vencido el término para la presentación de ofertas y antes de la adjudicación del contrato</w:t>
      </w:r>
      <w:r w:rsidR="00051BC3">
        <w:rPr>
          <w:rFonts w:ascii="Arial" w:hAnsi="Arial" w:cs="Arial"/>
          <w:sz w:val="22"/>
          <w:szCs w:val="22"/>
          <w:lang w:eastAsia="es-ES_tradnl"/>
        </w:rPr>
        <w:t xml:space="preserve"> se podrá adenda el cronograma para efectos de la evaluación de ofertas</w:t>
      </w:r>
      <w:r w:rsidRPr="00721D3C">
        <w:rPr>
          <w:rFonts w:ascii="Arial" w:hAnsi="Arial" w:cs="Arial"/>
          <w:sz w:val="22"/>
          <w:szCs w:val="22"/>
          <w:lang w:eastAsia="es-ES_tradnl"/>
        </w:rPr>
        <w:t xml:space="preserve">. </w:t>
      </w:r>
      <w:r w:rsidRPr="00721D3C">
        <w:rPr>
          <w:rFonts w:ascii="Arial" w:eastAsia="Calibri" w:hAnsi="Arial" w:cs="Arial"/>
          <w:color w:val="000000"/>
          <w:sz w:val="22"/>
          <w:szCs w:val="22"/>
          <w:lang w:val="es-ES_tradnl"/>
        </w:rPr>
        <w:t xml:space="preserve">Al respecto, resulta del caso precisar que cada modalidad de selección tiene establecido un procedimiento propio que rige su estructuración y, en este sentido, las etapas y el acto final del proceso de selección dependerá de cada modalidad de selección. </w:t>
      </w:r>
    </w:p>
    <w:p w14:paraId="35F775CC" w14:textId="77777777" w:rsidR="00206DD7" w:rsidRPr="008A4211" w:rsidRDefault="00206DD7" w:rsidP="00206DD7">
      <w:pPr>
        <w:shd w:val="clear" w:color="auto" w:fill="FFFFFF"/>
        <w:tabs>
          <w:tab w:val="left" w:pos="426"/>
        </w:tabs>
        <w:spacing w:after="120"/>
        <w:ind w:right="709"/>
        <w:rPr>
          <w:rFonts w:ascii="Arial" w:hAnsi="Arial" w:cs="Arial"/>
          <w:b/>
          <w:color w:val="000000" w:themeColor="text1"/>
          <w:sz w:val="22"/>
          <w:szCs w:val="22"/>
        </w:rPr>
      </w:pPr>
      <w:r w:rsidRPr="008A4211">
        <w:rPr>
          <w:rFonts w:ascii="Arial" w:hAnsi="Arial" w:cs="Arial"/>
          <w:b/>
          <w:color w:val="000000" w:themeColor="text1"/>
          <w:sz w:val="22"/>
          <w:szCs w:val="22"/>
        </w:rPr>
        <w:t>3. Respuesta</w:t>
      </w:r>
    </w:p>
    <w:p w14:paraId="716ED126" w14:textId="2D0173F4" w:rsidR="00206DD7" w:rsidRPr="00721D3C" w:rsidRDefault="00206DD7" w:rsidP="00721D3C">
      <w:pPr>
        <w:autoSpaceDE w:val="0"/>
        <w:autoSpaceDN w:val="0"/>
        <w:adjustRightInd w:val="0"/>
        <w:spacing w:after="0" w:line="240" w:lineRule="auto"/>
        <w:ind w:left="709" w:right="709"/>
        <w:rPr>
          <w:rFonts w:ascii="Arial" w:hAnsi="Arial" w:cs="Arial"/>
          <w:sz w:val="21"/>
          <w:szCs w:val="21"/>
        </w:rPr>
      </w:pPr>
      <w:r w:rsidRPr="00721D3C">
        <w:rPr>
          <w:rFonts w:ascii="Arial" w:hAnsi="Arial" w:cs="Arial"/>
          <w:sz w:val="21"/>
          <w:szCs w:val="21"/>
        </w:rPr>
        <w:t>«</w:t>
      </w:r>
      <w:r w:rsidRPr="00721D3C">
        <w:rPr>
          <w:rFonts w:ascii="Arial" w:eastAsiaTheme="minorHAnsi" w:hAnsi="Arial" w:cs="Arial"/>
          <w:sz w:val="21"/>
          <w:szCs w:val="21"/>
          <w:lang w:eastAsia="en-US"/>
        </w:rPr>
        <w:t>Si a la entidad se le olvida publicar en el SECOP II el Proyecto de Pliego de Condiciones o cualquier otro documento dentro de los términos establecidos en el cronograma del proceso de contratación, ¿Mediante que documento se podría corregir? y ¿Cúales serían las normas jurídicas que ampararían a la entidad de corregir el error cometido?</w:t>
      </w:r>
      <w:r w:rsidRPr="00721D3C">
        <w:rPr>
          <w:rFonts w:ascii="Arial" w:hAnsi="Arial" w:cs="Arial"/>
          <w:sz w:val="21"/>
          <w:szCs w:val="21"/>
        </w:rPr>
        <w:t>».</w:t>
      </w:r>
      <w:r w:rsidR="00051BC3">
        <w:rPr>
          <w:rFonts w:ascii="Arial" w:hAnsi="Arial" w:cs="Arial"/>
          <w:sz w:val="21"/>
          <w:szCs w:val="21"/>
        </w:rPr>
        <w:t>(sic)</w:t>
      </w:r>
      <w:r w:rsidRPr="00721D3C">
        <w:rPr>
          <w:rFonts w:ascii="Arial" w:hAnsi="Arial" w:cs="Arial"/>
          <w:sz w:val="21"/>
          <w:szCs w:val="21"/>
        </w:rPr>
        <w:t xml:space="preserve"> </w:t>
      </w:r>
    </w:p>
    <w:p w14:paraId="031D894F" w14:textId="77777777" w:rsidR="00206DD7" w:rsidRPr="008A4211" w:rsidRDefault="00206DD7" w:rsidP="00206DD7">
      <w:pPr>
        <w:widowControl w:val="0"/>
        <w:autoSpaceDE w:val="0"/>
        <w:autoSpaceDN w:val="0"/>
        <w:spacing w:before="120" w:after="120"/>
        <w:rPr>
          <w:rFonts w:ascii="Arial" w:hAnsi="Arial" w:cs="Arial"/>
          <w:sz w:val="22"/>
          <w:szCs w:val="22"/>
          <w:lang w:val="es-ES"/>
        </w:rPr>
      </w:pPr>
      <w:r w:rsidRPr="008A4211">
        <w:rPr>
          <w:rFonts w:ascii="Arial" w:hAnsi="Arial" w:cs="Arial"/>
          <w:sz w:val="22"/>
          <w:szCs w:val="22"/>
          <w:lang w:val="es-ES"/>
        </w:rPr>
        <w:t>En virtud de lo dispuesto en el artículo 3 de la Ley 1150 de 2007, desarrollado por el artículo 2.2.1.1.1.7.1. del Decreto 1082 de 2015, las entidades estatales están obligadas a publicar en el SECOP todos los documentos relacionados con el Proceso de Contratación expedidos durante las etapas precontractual, de ejecución y post- contractual, dentro de los tres (3) días hábiles siguientes a su producción. Este deber aplica a todas las modalidades de selección y entidades regidas por el Estatuto General de Contratación de la Administración Pública. Solo se encuentran excluidas las ofertas que no se aprobaron y los documentos expedidos en el marco de operaciones de bolsa de productos.</w:t>
      </w:r>
    </w:p>
    <w:p w14:paraId="1F2958FE" w14:textId="77777777" w:rsidR="00206DD7" w:rsidRPr="008A4211" w:rsidRDefault="00206DD7" w:rsidP="00206DD7">
      <w:pPr>
        <w:widowControl w:val="0"/>
        <w:autoSpaceDE w:val="0"/>
        <w:autoSpaceDN w:val="0"/>
        <w:spacing w:before="120" w:after="120"/>
        <w:ind w:firstLine="709"/>
        <w:rPr>
          <w:rFonts w:ascii="Arial" w:hAnsi="Arial" w:cs="Arial"/>
          <w:sz w:val="22"/>
          <w:szCs w:val="22"/>
          <w:lang w:val="es-ES"/>
        </w:rPr>
      </w:pPr>
      <w:r w:rsidRPr="008A4211">
        <w:rPr>
          <w:rFonts w:ascii="Arial" w:hAnsi="Arial" w:cs="Arial"/>
          <w:sz w:val="22"/>
          <w:szCs w:val="22"/>
          <w:lang w:val="es-ES"/>
        </w:rPr>
        <w:t xml:space="preserve">Cabe resaltar que el deber de publicar los documentos relacionados con la contratación no se encuentra regulado solamente por las normas del Estatuto General de Contratación de la Administración Pública. Esto, por cuanto la Ley 1712 de 2014, normativa de la transparencia y del derecho de acceso a la información pública, señala en el literal g) del artículo 11, que todo sujeto obligado debe publicar sus procedimientos, lineamientos, políticas en materia de </w:t>
      </w:r>
      <w:r w:rsidRPr="008A4211">
        <w:rPr>
          <w:rFonts w:ascii="Arial" w:hAnsi="Arial" w:cs="Arial"/>
          <w:sz w:val="22"/>
          <w:szCs w:val="22"/>
          <w:lang w:val="es-ES"/>
        </w:rPr>
        <w:lastRenderedPageBreak/>
        <w:t xml:space="preserve">adquisiciones y compras, así como todos los datos de adjudicación y ejecución de sus contratos. Dicha obligación, en principio, fue reglamentada por el Decreto 103 de 2015, hoy compilado en el Decreto 1082 de 2015.  Este último señala, en el artículo 2.1.1.2.1.7, que las entidades deberán publicar en el SECOP la información de su gestión contractual. </w:t>
      </w:r>
    </w:p>
    <w:p w14:paraId="1047D215" w14:textId="77777777" w:rsidR="00206DD7" w:rsidRPr="00721D3C" w:rsidRDefault="00206DD7" w:rsidP="00206DD7">
      <w:pPr>
        <w:widowControl w:val="0"/>
        <w:autoSpaceDE w:val="0"/>
        <w:autoSpaceDN w:val="0"/>
        <w:spacing w:before="120" w:after="120"/>
        <w:ind w:firstLine="709"/>
        <w:rPr>
          <w:rFonts w:ascii="Arial" w:hAnsi="Arial" w:cs="Arial"/>
          <w:b/>
          <w:bCs/>
          <w:color w:val="000000"/>
          <w:sz w:val="22"/>
          <w:szCs w:val="22"/>
          <w:lang w:eastAsia="en-US"/>
        </w:rPr>
      </w:pPr>
      <w:r w:rsidRPr="008A4211">
        <w:rPr>
          <w:rFonts w:ascii="Arial" w:hAnsi="Arial" w:cs="Arial"/>
          <w:sz w:val="22"/>
          <w:szCs w:val="22"/>
          <w:lang w:val="es-ES"/>
        </w:rPr>
        <w:t xml:space="preserve">Ahora bien, las </w:t>
      </w:r>
      <w:r w:rsidRPr="008A4211">
        <w:rPr>
          <w:rFonts w:ascii="Arial" w:hAnsi="Arial" w:cs="Arial"/>
          <w:color w:val="000000"/>
          <w:sz w:val="22"/>
          <w:szCs w:val="22"/>
          <w:lang w:eastAsia="en-US"/>
        </w:rPr>
        <w:t xml:space="preserve">entidades estatales, </w:t>
      </w:r>
      <w:r w:rsidRPr="00721D3C">
        <w:rPr>
          <w:rFonts w:ascii="Arial" w:hAnsi="Arial" w:cs="Arial"/>
          <w:b/>
          <w:bCs/>
          <w:color w:val="000000"/>
          <w:sz w:val="22"/>
          <w:szCs w:val="22"/>
          <w:lang w:eastAsia="en-US"/>
        </w:rPr>
        <w:t>una vez publicados los pliegos de condiciones definitivos o la invitación pública para los procesos de mínima cuantía, pueden realizar modificaciones a los documentos del procedimiento de contratación como consecuencia de las observaciones recibidas por parte de los interesados o por iniciativa unilateral de la entidad, al evidenciar la necesidad de modificar, ajustar o aclarar algún aspecto o condición.</w:t>
      </w:r>
    </w:p>
    <w:p w14:paraId="2E5336E3" w14:textId="205F69CA" w:rsidR="00206DD7" w:rsidRPr="008A4211" w:rsidRDefault="00206DD7" w:rsidP="00206DD7">
      <w:pPr>
        <w:widowControl w:val="0"/>
        <w:autoSpaceDE w:val="0"/>
        <w:autoSpaceDN w:val="0"/>
        <w:spacing w:before="120" w:after="120"/>
        <w:ind w:firstLine="709"/>
        <w:rPr>
          <w:rFonts w:ascii="Arial" w:hAnsi="Arial" w:cs="Arial"/>
          <w:sz w:val="22"/>
          <w:szCs w:val="22"/>
          <w:highlight w:val="yellow"/>
          <w:lang w:val="es-ES"/>
        </w:rPr>
      </w:pPr>
      <w:r w:rsidRPr="008A4211">
        <w:rPr>
          <w:rFonts w:ascii="Arial" w:hAnsi="Arial" w:cs="Arial"/>
          <w:color w:val="000000"/>
          <w:sz w:val="22"/>
          <w:szCs w:val="22"/>
          <w:lang w:eastAsia="en-US"/>
        </w:rPr>
        <w:t xml:space="preserve">De esta manera, dando respuesta a su consulta, y de acuerdo con las anteriores consideraciones, las Entidades Estatales pueden modificar el cronograma mediante adendas, según el artículo </w:t>
      </w:r>
      <w:r w:rsidRPr="008A4211">
        <w:rPr>
          <w:rFonts w:ascii="Arial" w:hAnsi="Arial" w:cs="Arial"/>
          <w:sz w:val="22"/>
          <w:szCs w:val="22"/>
        </w:rPr>
        <w:t xml:space="preserve">2.2.1.1.2.2.1 de Decreto 1082 de 2015, </w:t>
      </w:r>
      <w:r w:rsidR="002A7FCC">
        <w:rPr>
          <w:rFonts w:ascii="Arial" w:hAnsi="Arial" w:cs="Arial"/>
          <w:sz w:val="22"/>
          <w:szCs w:val="22"/>
        </w:rPr>
        <w:t xml:space="preserve">y así subsanar las omisiones al que hace referencia, siempre y cuando dichas </w:t>
      </w:r>
      <w:r w:rsidRPr="008A4211">
        <w:rPr>
          <w:rFonts w:ascii="Arial" w:hAnsi="Arial" w:cs="Arial"/>
          <w:sz w:val="22"/>
          <w:szCs w:val="22"/>
        </w:rPr>
        <w:t xml:space="preserve">modificaciones se </w:t>
      </w:r>
      <w:r w:rsidR="002A7FCC">
        <w:rPr>
          <w:rFonts w:ascii="Arial" w:hAnsi="Arial" w:cs="Arial"/>
          <w:sz w:val="22"/>
          <w:szCs w:val="22"/>
        </w:rPr>
        <w:t xml:space="preserve">realicen atendiendo a las reglas de la publicación de adendas expuestas previamente, esto es: i) deberán expedirse </w:t>
      </w:r>
      <w:r w:rsidR="002A7FCC" w:rsidRPr="00DE2E20">
        <w:rPr>
          <w:rFonts w:ascii="Arial" w:hAnsi="Arial" w:cs="Arial"/>
          <w:sz w:val="22"/>
          <w:szCs w:val="22"/>
        </w:rPr>
        <w:t>a más tard</w:t>
      </w:r>
      <w:r w:rsidR="002A7FCC">
        <w:rPr>
          <w:rFonts w:ascii="Arial" w:hAnsi="Arial" w:cs="Arial"/>
          <w:sz w:val="22"/>
          <w:szCs w:val="22"/>
        </w:rPr>
        <w:t>ar</w:t>
      </w:r>
      <w:r w:rsidR="002A7FCC" w:rsidRPr="00DE2E20">
        <w:rPr>
          <w:rFonts w:ascii="Arial" w:hAnsi="Arial" w:cs="Arial"/>
          <w:sz w:val="22"/>
          <w:szCs w:val="22"/>
        </w:rPr>
        <w:t xml:space="preserve"> un día hábil anterior a la fecha fijada para la presentación de ofertas, salvo para el caso de licitación que debe hacerse con tres (3) días de anticipación</w:t>
      </w:r>
      <w:r w:rsidR="002A7FCC">
        <w:rPr>
          <w:rFonts w:ascii="Arial" w:hAnsi="Arial" w:cs="Arial"/>
          <w:sz w:val="22"/>
          <w:szCs w:val="22"/>
        </w:rPr>
        <w:t xml:space="preserve">; ii) </w:t>
      </w:r>
      <w:r w:rsidRPr="008A4211">
        <w:rPr>
          <w:rFonts w:ascii="Arial" w:hAnsi="Arial" w:cs="Arial"/>
          <w:sz w:val="22"/>
          <w:szCs w:val="22"/>
        </w:rPr>
        <w:t>una vez vencido el término para la presentación de ofertas y antes de la adjudicación del contrato</w:t>
      </w:r>
      <w:r w:rsidR="002A7FCC">
        <w:rPr>
          <w:rFonts w:ascii="Arial" w:hAnsi="Arial" w:cs="Arial"/>
          <w:sz w:val="22"/>
          <w:szCs w:val="22"/>
        </w:rPr>
        <w:t xml:space="preserve"> se podrá publicar adendas a efectos de modificar únicamente cronograma; y, iii) en ambos casos, la publicación de adendas sólo podrá realizarse </w:t>
      </w:r>
      <w:r w:rsidR="002A7FCC" w:rsidRPr="002A7FCC">
        <w:rPr>
          <w:rFonts w:ascii="Arial" w:hAnsi="Arial" w:cs="Arial"/>
          <w:sz w:val="22"/>
          <w:szCs w:val="22"/>
        </w:rPr>
        <w:t>en los días hábiles, entre las 7:00 a.m. y las 7:00 p. m</w:t>
      </w:r>
      <w:r w:rsidR="002A7FCC">
        <w:rPr>
          <w:rFonts w:ascii="Arial" w:hAnsi="Arial" w:cs="Arial"/>
          <w:sz w:val="22"/>
          <w:szCs w:val="22"/>
        </w:rPr>
        <w:t xml:space="preserve">. </w:t>
      </w:r>
      <w:r w:rsidR="00051BC3">
        <w:rPr>
          <w:rFonts w:ascii="Arial" w:eastAsiaTheme="minorHAnsi" w:hAnsi="Arial" w:cs="Arial"/>
          <w:sz w:val="21"/>
          <w:szCs w:val="21"/>
          <w:lang w:eastAsia="en-US"/>
        </w:rPr>
        <w:t>de tal forma</w:t>
      </w:r>
      <w:r w:rsidR="002A7FCC">
        <w:rPr>
          <w:rFonts w:ascii="Arial" w:eastAsiaTheme="minorHAnsi" w:hAnsi="Arial" w:cs="Arial"/>
          <w:sz w:val="21"/>
          <w:szCs w:val="21"/>
          <w:lang w:eastAsia="en-US"/>
        </w:rPr>
        <w:t>.</w:t>
      </w:r>
    </w:p>
    <w:p w14:paraId="496D7257" w14:textId="076A24E8" w:rsidR="00206DD7" w:rsidRPr="00721D3C" w:rsidRDefault="00206DD7" w:rsidP="00721D3C">
      <w:pPr>
        <w:spacing w:after="0"/>
        <w:ind w:firstLine="708"/>
        <w:rPr>
          <w:rFonts w:ascii="Times New Roman" w:eastAsia="Times New Roman" w:hAnsi="Times New Roman" w:cs="Times New Roman"/>
          <w:lang w:val="es-CO"/>
        </w:rPr>
      </w:pPr>
      <w:r w:rsidRPr="008A4211">
        <w:rPr>
          <w:rFonts w:ascii="Arial" w:eastAsia="Times New Roman" w:hAnsi="Arial" w:cs="Arial"/>
          <w:color w:val="000000" w:themeColor="text1"/>
          <w:sz w:val="22"/>
          <w:lang w:val="es-ES"/>
        </w:rPr>
        <w:t>Este concepto tiene el alcance previsto en el artículo 28 del Código de Procedimiento Administrativo y de lo Contencioso Administrativo</w:t>
      </w:r>
      <w:r w:rsidR="002A7FCC">
        <w:rPr>
          <w:rFonts w:ascii="Arial" w:eastAsia="Times New Roman" w:hAnsi="Arial" w:cs="Arial"/>
          <w:color w:val="000000" w:themeColor="text1"/>
          <w:sz w:val="22"/>
          <w:lang w:val="es-ES"/>
        </w:rPr>
        <w:t xml:space="preserve"> </w:t>
      </w:r>
      <w:r w:rsidR="002A7FCC" w:rsidRPr="005E597C">
        <w:rPr>
          <w:rFonts w:ascii="Arial" w:hAnsi="Arial" w:cs="Arial"/>
          <w:bCs/>
          <w:color w:val="000000" w:themeColor="text1"/>
          <w:sz w:val="22"/>
        </w:rPr>
        <w:t xml:space="preserve">y </w:t>
      </w:r>
      <w:r w:rsidR="002A7FCC" w:rsidRPr="005E597C">
        <w:rPr>
          <w:rFonts w:ascii="Arial" w:hAnsi="Arial" w:cs="Arial"/>
          <w:sz w:val="22"/>
        </w:rPr>
        <w:t>las expresiones aquí utilizadas con mayúscula inicial deben ser entendidas con el significado que les otorga el artículo 2.2.1.1.1.3.1. del Decreto 1082 de 2015</w:t>
      </w:r>
      <w:r w:rsidR="002A7FCC" w:rsidRPr="00446B03">
        <w:rPr>
          <w:rFonts w:ascii="Arial" w:hAnsi="Arial" w:cs="Arial"/>
          <w:sz w:val="22"/>
          <w:lang w:val="es-CO"/>
        </w:rPr>
        <w:t>.</w:t>
      </w:r>
    </w:p>
    <w:p w14:paraId="06C83F36" w14:textId="77777777" w:rsidR="00206DD7" w:rsidRPr="008A4211" w:rsidRDefault="00206DD7" w:rsidP="00206DD7">
      <w:pPr>
        <w:tabs>
          <w:tab w:val="left" w:pos="426"/>
        </w:tabs>
        <w:spacing w:before="120" w:after="120"/>
        <w:rPr>
          <w:rFonts w:ascii="Arial" w:hAnsi="Arial" w:cs="Arial"/>
          <w:color w:val="000000" w:themeColor="text1"/>
          <w:sz w:val="22"/>
          <w:szCs w:val="22"/>
          <w:lang w:val="es-ES"/>
        </w:rPr>
      </w:pPr>
      <w:r w:rsidRPr="008A4211">
        <w:rPr>
          <w:rFonts w:ascii="Arial" w:hAnsi="Arial" w:cs="Arial"/>
          <w:color w:val="000000" w:themeColor="text1"/>
          <w:sz w:val="22"/>
          <w:szCs w:val="22"/>
          <w:lang w:val="es-ES"/>
        </w:rPr>
        <w:t>Atentamente,</w:t>
      </w:r>
    </w:p>
    <w:p w14:paraId="3411EE28" w14:textId="5E7E9163" w:rsidR="00206DD7" w:rsidRDefault="00206DD7" w:rsidP="00206DD7">
      <w:pPr>
        <w:spacing w:before="240"/>
        <w:jc w:val="center"/>
        <w:rPr>
          <w:rFonts w:ascii="Arial" w:hAnsi="Arial" w:cs="Arial"/>
          <w:sz w:val="22"/>
          <w:szCs w:val="22"/>
        </w:rPr>
      </w:pPr>
    </w:p>
    <w:p w14:paraId="389C75AF" w14:textId="655B7D09" w:rsidR="000E5D8B" w:rsidRDefault="000E5D8B" w:rsidP="00206DD7">
      <w:pPr>
        <w:spacing w:before="240"/>
        <w:jc w:val="center"/>
        <w:rPr>
          <w:rFonts w:ascii="Arial" w:hAnsi="Arial" w:cs="Arial"/>
          <w:sz w:val="22"/>
          <w:szCs w:val="22"/>
        </w:rPr>
      </w:pPr>
      <w:r>
        <w:rPr>
          <w:noProof/>
        </w:rPr>
        <w:drawing>
          <wp:inline distT="0" distB="0" distL="0" distR="0" wp14:anchorId="01D8A089" wp14:editId="6E934836">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75BE6627" w14:textId="16DE4B17" w:rsidR="000E5D8B" w:rsidRDefault="000E5D8B" w:rsidP="00206DD7">
      <w:pPr>
        <w:spacing w:before="240"/>
        <w:jc w:val="center"/>
        <w:rPr>
          <w:rFonts w:ascii="Arial" w:hAnsi="Arial" w:cs="Arial"/>
          <w:sz w:val="22"/>
          <w:szCs w:val="22"/>
        </w:rPr>
      </w:pPr>
    </w:p>
    <w:p w14:paraId="68F36714" w14:textId="77777777" w:rsidR="000E5D8B" w:rsidRPr="008A4211" w:rsidRDefault="000E5D8B" w:rsidP="00206DD7">
      <w:pPr>
        <w:spacing w:before="240"/>
        <w:jc w:val="center"/>
        <w:rPr>
          <w:rFonts w:ascii="Arial" w:hAnsi="Arial" w:cs="Arial"/>
          <w:sz w:val="22"/>
          <w:szCs w:val="22"/>
        </w:rPr>
      </w:pP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717"/>
      </w:tblGrid>
      <w:tr w:rsidR="00206DD7" w:rsidRPr="002A7FCC" w14:paraId="7DA25E5D" w14:textId="77777777" w:rsidTr="00332D17">
        <w:trPr>
          <w:trHeight w:val="315"/>
        </w:trPr>
        <w:tc>
          <w:tcPr>
            <w:tcW w:w="812" w:type="dxa"/>
            <w:vAlign w:val="center"/>
            <w:hideMark/>
          </w:tcPr>
          <w:p w14:paraId="6CE48EA8" w14:textId="77777777" w:rsidR="00206DD7" w:rsidRPr="00721D3C" w:rsidRDefault="00206DD7" w:rsidP="00721D3C">
            <w:pPr>
              <w:spacing w:after="0" w:line="240" w:lineRule="auto"/>
              <w:rPr>
                <w:rFonts w:ascii="Arial" w:hAnsi="Arial" w:cs="Arial"/>
                <w:sz w:val="14"/>
                <w:szCs w:val="14"/>
                <w:lang w:eastAsia="es-ES"/>
              </w:rPr>
            </w:pPr>
            <w:r w:rsidRPr="00721D3C">
              <w:rPr>
                <w:rFonts w:ascii="Arial" w:hAnsi="Arial" w:cs="Arial"/>
                <w:sz w:val="14"/>
                <w:szCs w:val="14"/>
                <w:lang w:eastAsia="es-ES"/>
              </w:rPr>
              <w:lastRenderedPageBreak/>
              <w:t>Elaboró:</w:t>
            </w:r>
          </w:p>
        </w:tc>
        <w:tc>
          <w:tcPr>
            <w:tcW w:w="4717" w:type="dxa"/>
            <w:tcBorders>
              <w:top w:val="nil"/>
              <w:left w:val="nil"/>
              <w:bottom w:val="dotted" w:sz="4" w:space="0" w:color="7F7F7F" w:themeColor="text1" w:themeTint="80"/>
              <w:right w:val="nil"/>
            </w:tcBorders>
            <w:vAlign w:val="center"/>
            <w:hideMark/>
          </w:tcPr>
          <w:p w14:paraId="1741B753" w14:textId="77777777" w:rsidR="00206DD7" w:rsidRPr="00721D3C" w:rsidRDefault="00206DD7" w:rsidP="00721D3C">
            <w:pPr>
              <w:spacing w:after="0" w:line="240" w:lineRule="auto"/>
              <w:rPr>
                <w:rFonts w:ascii="Arial" w:hAnsi="Arial" w:cs="Arial"/>
                <w:sz w:val="14"/>
                <w:szCs w:val="14"/>
                <w:lang w:eastAsia="es-ES"/>
              </w:rPr>
            </w:pPr>
            <w:r w:rsidRPr="00721D3C">
              <w:rPr>
                <w:rFonts w:ascii="Arial" w:hAnsi="Arial" w:cs="Arial"/>
                <w:sz w:val="14"/>
                <w:szCs w:val="14"/>
                <w:lang w:eastAsia="es-ES"/>
              </w:rPr>
              <w:t>Álvaro Namén Vargas</w:t>
            </w:r>
          </w:p>
          <w:p w14:paraId="4F229B08" w14:textId="77777777" w:rsidR="00206DD7" w:rsidRPr="00721D3C" w:rsidRDefault="00206DD7" w:rsidP="00721D3C">
            <w:pPr>
              <w:spacing w:after="0" w:line="240" w:lineRule="auto"/>
              <w:rPr>
                <w:rFonts w:ascii="Arial" w:hAnsi="Arial" w:cs="Arial"/>
                <w:sz w:val="14"/>
                <w:szCs w:val="14"/>
                <w:lang w:eastAsia="es-ES"/>
              </w:rPr>
            </w:pPr>
            <w:r w:rsidRPr="00721D3C">
              <w:rPr>
                <w:rFonts w:ascii="Arial" w:hAnsi="Arial" w:cs="Arial"/>
                <w:sz w:val="14"/>
                <w:szCs w:val="14"/>
                <w:lang w:eastAsia="es-ES"/>
              </w:rPr>
              <w:t xml:space="preserve">Contratista de la Subdirección de Gestión Contractual  </w:t>
            </w:r>
          </w:p>
        </w:tc>
      </w:tr>
      <w:tr w:rsidR="00206DD7" w:rsidRPr="002A7FCC" w14:paraId="449C8C4A" w14:textId="77777777" w:rsidTr="00332D17">
        <w:trPr>
          <w:trHeight w:val="330"/>
        </w:trPr>
        <w:tc>
          <w:tcPr>
            <w:tcW w:w="812" w:type="dxa"/>
            <w:vAlign w:val="center"/>
            <w:hideMark/>
          </w:tcPr>
          <w:p w14:paraId="590B1B88" w14:textId="77777777" w:rsidR="00206DD7" w:rsidRPr="00721D3C" w:rsidRDefault="00206DD7" w:rsidP="00721D3C">
            <w:pPr>
              <w:spacing w:after="0" w:line="240" w:lineRule="auto"/>
              <w:rPr>
                <w:rFonts w:ascii="Arial" w:hAnsi="Arial" w:cs="Arial"/>
                <w:sz w:val="14"/>
                <w:szCs w:val="14"/>
                <w:lang w:eastAsia="es-ES"/>
              </w:rPr>
            </w:pPr>
            <w:r w:rsidRPr="00721D3C">
              <w:rPr>
                <w:rFonts w:ascii="Arial" w:hAnsi="Arial" w:cs="Arial"/>
                <w:sz w:val="14"/>
                <w:szCs w:val="14"/>
                <w:lang w:eastAsia="es-ES"/>
              </w:rPr>
              <w:t>Revisó: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1A2C1317" w14:textId="77777777" w:rsidR="00206DD7" w:rsidRPr="00721D3C" w:rsidRDefault="00206DD7" w:rsidP="00721D3C">
            <w:pPr>
              <w:spacing w:after="0" w:line="240" w:lineRule="auto"/>
              <w:rPr>
                <w:rFonts w:ascii="Arial" w:hAnsi="Arial" w:cs="Arial"/>
                <w:sz w:val="14"/>
                <w:szCs w:val="14"/>
                <w:lang w:val="es-CO" w:eastAsia="es-ES"/>
              </w:rPr>
            </w:pPr>
            <w:r w:rsidRPr="00721D3C">
              <w:rPr>
                <w:rFonts w:ascii="Arial" w:hAnsi="Arial" w:cs="Arial"/>
                <w:sz w:val="14"/>
                <w:szCs w:val="14"/>
                <w:lang w:val="es-CO" w:eastAsia="es-ES"/>
              </w:rPr>
              <w:t xml:space="preserve">Any Alejandra Tovar Castillo </w:t>
            </w:r>
          </w:p>
          <w:p w14:paraId="13EB4AAD" w14:textId="2C4C4059" w:rsidR="00206DD7" w:rsidRPr="00721D3C" w:rsidRDefault="00206DD7" w:rsidP="00721D3C">
            <w:pPr>
              <w:spacing w:after="0" w:line="240" w:lineRule="auto"/>
              <w:rPr>
                <w:rFonts w:ascii="Arial" w:hAnsi="Arial" w:cs="Arial"/>
                <w:sz w:val="14"/>
                <w:szCs w:val="14"/>
                <w:lang w:val="es-CO" w:eastAsia="es-ES"/>
              </w:rPr>
            </w:pPr>
            <w:r w:rsidRPr="00721D3C">
              <w:rPr>
                <w:rFonts w:ascii="Arial" w:hAnsi="Arial" w:cs="Arial"/>
                <w:sz w:val="14"/>
                <w:szCs w:val="14"/>
                <w:lang w:val="es-CO" w:eastAsia="es-ES"/>
              </w:rPr>
              <w:t xml:space="preserve">Contratista de la Subdirección de Gestión Contractual  </w:t>
            </w:r>
          </w:p>
        </w:tc>
      </w:tr>
      <w:tr w:rsidR="00206DD7" w:rsidRPr="002A7FCC" w14:paraId="49F9FD89" w14:textId="77777777" w:rsidTr="00332D17">
        <w:trPr>
          <w:trHeight w:val="300"/>
        </w:trPr>
        <w:tc>
          <w:tcPr>
            <w:tcW w:w="812" w:type="dxa"/>
            <w:vAlign w:val="center"/>
            <w:hideMark/>
          </w:tcPr>
          <w:p w14:paraId="44BECAA0" w14:textId="77777777" w:rsidR="00206DD7" w:rsidRPr="00721D3C" w:rsidRDefault="00206DD7" w:rsidP="00721D3C">
            <w:pPr>
              <w:spacing w:after="0" w:line="240" w:lineRule="auto"/>
              <w:rPr>
                <w:rFonts w:ascii="Arial" w:hAnsi="Arial" w:cs="Arial"/>
                <w:sz w:val="14"/>
                <w:szCs w:val="14"/>
                <w:lang w:eastAsia="es-ES"/>
              </w:rPr>
            </w:pPr>
            <w:r w:rsidRPr="00721D3C">
              <w:rPr>
                <w:rFonts w:ascii="Arial" w:hAnsi="Arial" w:cs="Arial"/>
                <w:sz w:val="14"/>
                <w:szCs w:val="14"/>
                <w:lang w:eastAsia="es-ES"/>
              </w:rPr>
              <w:t>Aprobó:</w:t>
            </w:r>
          </w:p>
        </w:tc>
        <w:tc>
          <w:tcPr>
            <w:tcW w:w="4717" w:type="dxa"/>
            <w:tcBorders>
              <w:top w:val="dotted" w:sz="4" w:space="0" w:color="7F7F7F" w:themeColor="text1" w:themeTint="80"/>
              <w:left w:val="nil"/>
              <w:bottom w:val="dotted" w:sz="4" w:space="0" w:color="7F7F7F" w:themeColor="text1" w:themeTint="80"/>
              <w:right w:val="nil"/>
            </w:tcBorders>
            <w:vAlign w:val="center"/>
            <w:hideMark/>
          </w:tcPr>
          <w:p w14:paraId="66702A7F" w14:textId="77777777" w:rsidR="00206DD7" w:rsidRPr="00721D3C" w:rsidRDefault="00206DD7" w:rsidP="00721D3C">
            <w:pPr>
              <w:spacing w:after="0" w:line="240" w:lineRule="auto"/>
              <w:rPr>
                <w:rFonts w:ascii="Arial" w:hAnsi="Arial" w:cs="Arial"/>
                <w:sz w:val="14"/>
                <w:szCs w:val="14"/>
                <w:lang w:eastAsia="es-ES"/>
              </w:rPr>
            </w:pPr>
            <w:r w:rsidRPr="00721D3C">
              <w:rPr>
                <w:rFonts w:ascii="Arial" w:hAnsi="Arial" w:cs="Arial"/>
                <w:sz w:val="14"/>
                <w:szCs w:val="14"/>
              </w:rPr>
              <w:t xml:space="preserve"> </w:t>
            </w:r>
            <w:r w:rsidRPr="00721D3C">
              <w:rPr>
                <w:rFonts w:ascii="Arial" w:hAnsi="Arial" w:cs="Arial"/>
                <w:sz w:val="14"/>
                <w:szCs w:val="14"/>
                <w:lang w:eastAsia="es-ES"/>
              </w:rPr>
              <w:t>Nohelia del Carmen Zawady Palacio</w:t>
            </w:r>
          </w:p>
          <w:p w14:paraId="781B4A30" w14:textId="77777777" w:rsidR="00206DD7" w:rsidRPr="00721D3C" w:rsidRDefault="00206DD7" w:rsidP="00721D3C">
            <w:pPr>
              <w:spacing w:after="0" w:line="240" w:lineRule="auto"/>
              <w:rPr>
                <w:rFonts w:ascii="Arial" w:hAnsi="Arial" w:cs="Arial"/>
                <w:sz w:val="14"/>
                <w:szCs w:val="14"/>
                <w:lang w:eastAsia="es-ES"/>
              </w:rPr>
            </w:pPr>
            <w:r w:rsidRPr="00721D3C">
              <w:rPr>
                <w:rFonts w:ascii="Arial" w:hAnsi="Arial" w:cs="Arial"/>
                <w:sz w:val="14"/>
                <w:szCs w:val="14"/>
                <w:lang w:eastAsia="es-ES"/>
              </w:rPr>
              <w:t>Subdirectora de Gestión Contractual ANCP – CCE</w:t>
            </w:r>
          </w:p>
        </w:tc>
      </w:tr>
    </w:tbl>
    <w:p w14:paraId="16805267" w14:textId="77777777" w:rsidR="00206DD7" w:rsidRPr="008A4211" w:rsidRDefault="00206DD7" w:rsidP="00206DD7">
      <w:pPr>
        <w:tabs>
          <w:tab w:val="left" w:pos="426"/>
        </w:tabs>
        <w:spacing w:before="120" w:after="120"/>
        <w:rPr>
          <w:rFonts w:ascii="Arial" w:hAnsi="Arial" w:cs="Arial"/>
          <w:color w:val="000000" w:themeColor="text1"/>
          <w:sz w:val="22"/>
          <w:szCs w:val="22"/>
        </w:rPr>
      </w:pPr>
    </w:p>
    <w:bookmarkEnd w:id="1"/>
    <w:bookmarkEnd w:id="2"/>
    <w:p w14:paraId="53E606E5" w14:textId="77777777" w:rsidR="00206DD7" w:rsidRPr="00721D3C" w:rsidRDefault="00206DD7" w:rsidP="00206DD7">
      <w:pPr>
        <w:rPr>
          <w:rFonts w:ascii="Arial" w:hAnsi="Arial" w:cs="Arial"/>
          <w:color w:val="000000" w:themeColor="text1"/>
          <w:sz w:val="22"/>
          <w:szCs w:val="22"/>
          <w:lang w:val="es-ES"/>
        </w:rPr>
      </w:pPr>
    </w:p>
    <w:p w14:paraId="3AA351FD" w14:textId="77777777" w:rsidR="00206DD7" w:rsidRPr="00721D3C" w:rsidRDefault="00206DD7" w:rsidP="00206DD7">
      <w:pPr>
        <w:rPr>
          <w:rFonts w:ascii="Arial" w:hAnsi="Arial" w:cs="Arial"/>
          <w:sz w:val="22"/>
          <w:szCs w:val="22"/>
          <w:lang w:val="es-ES"/>
        </w:rPr>
      </w:pPr>
    </w:p>
    <w:p w14:paraId="0F293BF4" w14:textId="0F6FB6C1" w:rsidR="00127233" w:rsidRPr="00721D3C" w:rsidRDefault="00127233" w:rsidP="00206DD7">
      <w:pPr>
        <w:rPr>
          <w:rFonts w:ascii="Arial" w:hAnsi="Arial" w:cs="Arial"/>
          <w:sz w:val="22"/>
          <w:szCs w:val="22"/>
        </w:rPr>
      </w:pPr>
    </w:p>
    <w:sectPr w:rsidR="00127233" w:rsidRPr="00721D3C"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788F4" w14:textId="77777777" w:rsidR="00AD55E2" w:rsidRDefault="00AD55E2" w:rsidP="004A1847">
      <w:pPr>
        <w:spacing w:after="0" w:line="240" w:lineRule="auto"/>
      </w:pPr>
      <w:r>
        <w:separator/>
      </w:r>
    </w:p>
  </w:endnote>
  <w:endnote w:type="continuationSeparator" w:id="0">
    <w:p w14:paraId="759F25C5" w14:textId="77777777" w:rsidR="00AD55E2" w:rsidRDefault="00AD55E2" w:rsidP="004A1847">
      <w:pPr>
        <w:spacing w:after="0" w:line="240" w:lineRule="auto"/>
      </w:pPr>
      <w:r>
        <w:continuationSeparator/>
      </w:r>
    </w:p>
  </w:endnote>
  <w:endnote w:type="continuationNotice" w:id="1">
    <w:p w14:paraId="3B410517" w14:textId="77777777" w:rsidR="00AD55E2" w:rsidRDefault="00AD55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8403B" w14:textId="77777777" w:rsidR="00AD55E2" w:rsidRDefault="00AD55E2" w:rsidP="004A1847">
      <w:pPr>
        <w:spacing w:after="0" w:line="240" w:lineRule="auto"/>
      </w:pPr>
      <w:r>
        <w:separator/>
      </w:r>
    </w:p>
  </w:footnote>
  <w:footnote w:type="continuationSeparator" w:id="0">
    <w:p w14:paraId="754B564C" w14:textId="77777777" w:rsidR="00AD55E2" w:rsidRDefault="00AD55E2" w:rsidP="004A1847">
      <w:pPr>
        <w:spacing w:after="0" w:line="240" w:lineRule="auto"/>
      </w:pPr>
      <w:r>
        <w:continuationSeparator/>
      </w:r>
    </w:p>
  </w:footnote>
  <w:footnote w:type="continuationNotice" w:id="1">
    <w:p w14:paraId="6E81A6CB" w14:textId="77777777" w:rsidR="00AD55E2" w:rsidRDefault="00AD55E2">
      <w:pPr>
        <w:spacing w:after="0" w:line="240" w:lineRule="auto"/>
      </w:pPr>
    </w:p>
  </w:footnote>
  <w:footnote w:id="2">
    <w:p w14:paraId="247EC5B3" w14:textId="77777777" w:rsidR="00206DD7" w:rsidRDefault="00206DD7" w:rsidP="00051BC3">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11DAB035" w14:textId="710695D1" w:rsidR="00206DD7" w:rsidRPr="00C126FF" w:rsidRDefault="00206DD7" w:rsidP="00721D3C">
      <w:pPr>
        <w:pStyle w:val="Textonotapie"/>
        <w:ind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Corte Constitucional. Sentencia C- 341 del 4 de junio de 2014. M. P. Mauricio González Cuervo.</w:t>
      </w:r>
    </w:p>
  </w:footnote>
  <w:footnote w:id="4">
    <w:p w14:paraId="0DA6AB83" w14:textId="77777777" w:rsidR="00206DD7" w:rsidRPr="00C126FF" w:rsidRDefault="00206DD7" w:rsidP="00721D3C">
      <w:pPr>
        <w:pStyle w:val="Textonotapie"/>
        <w:ind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E0E744A" w14:textId="77777777" w:rsidR="00206DD7" w:rsidRPr="00C126FF" w:rsidRDefault="00206DD7" w:rsidP="00721D3C">
      <w:pPr>
        <w:pStyle w:val="Textonotapie"/>
        <w:ind w:firstLine="709"/>
        <w:jc w:val="both"/>
        <w:rPr>
          <w:rFonts w:ascii="Arial" w:hAnsi="Arial" w:cs="Arial"/>
          <w:color w:val="000000" w:themeColor="text1"/>
          <w:sz w:val="19"/>
          <w:szCs w:val="19"/>
        </w:rPr>
      </w:pPr>
      <w:r w:rsidRPr="00C126FF">
        <w:rPr>
          <w:rFonts w:ascii="Arial" w:hAnsi="Arial" w:cs="Arial"/>
          <w:color w:val="000000" w:themeColor="text1"/>
          <w:sz w:val="19"/>
          <w:szCs w:val="19"/>
        </w:rPr>
        <w:t>» Lo anterior, sin perjuicio de las publicaciones previstas en el numeral 3 del artículo 30 de la Ley 80 de 1993.</w:t>
      </w:r>
    </w:p>
    <w:p w14:paraId="1B902176" w14:textId="54722013" w:rsidR="00206DD7" w:rsidRPr="00C126FF" w:rsidRDefault="004D0AF3" w:rsidP="00721D3C">
      <w:pPr>
        <w:pStyle w:val="Textonotapie"/>
        <w:ind w:firstLine="709"/>
        <w:jc w:val="both"/>
        <w:rPr>
          <w:rFonts w:ascii="Arial" w:hAnsi="Arial" w:cs="Arial"/>
          <w:color w:val="000000" w:themeColor="text1"/>
          <w:sz w:val="19"/>
          <w:szCs w:val="19"/>
        </w:rPr>
      </w:pPr>
      <w:r w:rsidRPr="00C126FF">
        <w:rPr>
          <w:rFonts w:ascii="Arial" w:hAnsi="Arial" w:cs="Arial"/>
          <w:color w:val="000000" w:themeColor="text1"/>
          <w:sz w:val="19"/>
          <w:szCs w:val="19"/>
        </w:rPr>
        <w:t>» Con</w:t>
      </w:r>
      <w:r w:rsidR="00206DD7" w:rsidRPr="00C126FF">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S</w:t>
      </w:r>
      <w:r>
        <w:rPr>
          <w:rFonts w:ascii="Arial" w:hAnsi="Arial" w:cs="Arial"/>
          <w:color w:val="000000" w:themeColor="text1"/>
          <w:sz w:val="19"/>
          <w:szCs w:val="19"/>
        </w:rPr>
        <w:t>ECOP</w:t>
      </w:r>
      <w:r w:rsidR="00206DD7" w:rsidRPr="00C126FF">
        <w:rPr>
          <w:rFonts w:ascii="Arial" w:hAnsi="Arial" w:cs="Arial"/>
          <w:color w:val="000000" w:themeColor="text1"/>
          <w:sz w:val="19"/>
          <w:szCs w:val="19"/>
        </w:rPr>
        <w:t xml:space="preserve">, el cual: </w:t>
      </w:r>
    </w:p>
    <w:p w14:paraId="036078E6" w14:textId="77777777" w:rsidR="00206DD7" w:rsidRPr="00C126FF" w:rsidRDefault="00206DD7" w:rsidP="00721D3C">
      <w:pPr>
        <w:pStyle w:val="Textonotapie"/>
        <w:ind w:firstLine="709"/>
        <w:jc w:val="both"/>
        <w:rPr>
          <w:rFonts w:ascii="Arial" w:hAnsi="Arial" w:cs="Arial"/>
          <w:color w:val="000000" w:themeColor="text1"/>
          <w:sz w:val="19"/>
          <w:szCs w:val="19"/>
        </w:rPr>
      </w:pPr>
      <w:r w:rsidRPr="00C126FF">
        <w:rPr>
          <w:rFonts w:ascii="Arial" w:hAnsi="Arial" w:cs="Arial"/>
          <w:color w:val="000000" w:themeColor="text1"/>
          <w:sz w:val="19"/>
          <w:szCs w:val="19"/>
        </w:rPr>
        <w:t>[…]</w:t>
      </w:r>
    </w:p>
    <w:p w14:paraId="61566DAF" w14:textId="39456373" w:rsidR="00206DD7" w:rsidRPr="00C126FF" w:rsidRDefault="00206DD7" w:rsidP="00721D3C">
      <w:pPr>
        <w:pStyle w:val="Textonotapie"/>
        <w:ind w:firstLine="709"/>
        <w:jc w:val="both"/>
        <w:rPr>
          <w:rFonts w:ascii="Arial" w:hAnsi="Arial" w:cs="Arial"/>
          <w:color w:val="000000" w:themeColor="text1"/>
          <w:sz w:val="19"/>
          <w:szCs w:val="19"/>
        </w:rPr>
      </w:pPr>
      <w:r w:rsidRPr="00C126FF">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footnote>
  <w:footnote w:id="5">
    <w:p w14:paraId="539D6E5E" w14:textId="360517DB" w:rsidR="00206DD7" w:rsidRPr="00C126FF" w:rsidRDefault="00206DD7" w:rsidP="00721D3C">
      <w:pPr>
        <w:pStyle w:val="Textonotapie"/>
        <w:ind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footnote>
  <w:footnote w:id="6">
    <w:p w14:paraId="599FF892" w14:textId="77777777" w:rsidR="00206DD7" w:rsidRPr="00C126FF" w:rsidRDefault="00206DD7" w:rsidP="00721D3C">
      <w:pPr>
        <w:pStyle w:val="Textonotapie"/>
        <w:ind w:firstLine="708"/>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90FCC82" w14:textId="7C7107AB" w:rsidR="00206DD7" w:rsidRPr="00C126FF" w:rsidRDefault="004D0AF3" w:rsidP="00721D3C">
      <w:pPr>
        <w:pStyle w:val="Textonotapie"/>
        <w:ind w:firstLine="708"/>
        <w:jc w:val="both"/>
        <w:rPr>
          <w:rFonts w:ascii="Arial" w:hAnsi="Arial" w:cs="Arial"/>
          <w:color w:val="000000" w:themeColor="text1"/>
          <w:sz w:val="19"/>
          <w:szCs w:val="19"/>
          <w:lang w:val="es-ES"/>
        </w:rPr>
      </w:pPr>
      <w:r w:rsidRPr="00C126FF">
        <w:rPr>
          <w:rFonts w:ascii="Arial" w:hAnsi="Arial" w:cs="Arial"/>
          <w:color w:val="000000" w:themeColor="text1"/>
          <w:sz w:val="19"/>
          <w:szCs w:val="19"/>
        </w:rPr>
        <w:t>» La</w:t>
      </w:r>
      <w:r w:rsidR="00206DD7" w:rsidRPr="00C126FF">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7">
    <w:p w14:paraId="1E257E68" w14:textId="77777777" w:rsidR="00206DD7" w:rsidRPr="00C126FF" w:rsidRDefault="00206DD7" w:rsidP="00721D3C">
      <w:pPr>
        <w:pStyle w:val="Textonotapie"/>
        <w:ind w:firstLine="708"/>
        <w:jc w:val="both"/>
        <w:rPr>
          <w:rFonts w:ascii="Arial" w:hAnsi="Arial" w:cs="Arial"/>
          <w:color w:val="000000" w:themeColor="text1"/>
          <w:sz w:val="19"/>
          <w:szCs w:val="19"/>
          <w:lang w:val="es-ES"/>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Consejo de Estado. Sección Tercera. Sentencia del 14 de diciembre de 2007. Exp. 24.715. C.P. Ruth Stella Correa Palacio.</w:t>
      </w:r>
    </w:p>
  </w:footnote>
  <w:footnote w:id="8">
    <w:p w14:paraId="1F6F13D4" w14:textId="77777777" w:rsidR="00206DD7" w:rsidRPr="00C126FF" w:rsidRDefault="00206DD7" w:rsidP="00051BC3">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035880C3" w14:textId="77777777" w:rsidR="00206DD7" w:rsidRPr="00C126FF" w:rsidRDefault="00206DD7" w:rsidP="00051BC3">
      <w:pPr>
        <w:pStyle w:val="Textonotapie"/>
        <w:ind w:firstLine="708"/>
        <w:jc w:val="both"/>
        <w:rPr>
          <w:rFonts w:ascii="Arial" w:hAnsi="Arial" w:cs="Arial"/>
          <w:sz w:val="19"/>
          <w:szCs w:val="19"/>
        </w:rPr>
      </w:pPr>
    </w:p>
  </w:footnote>
  <w:footnote w:id="9">
    <w:p w14:paraId="75507D06" w14:textId="77777777" w:rsidR="00206DD7" w:rsidRPr="00C126FF" w:rsidRDefault="00206DD7" w:rsidP="00051BC3">
      <w:pPr>
        <w:pStyle w:val="NormalWeb"/>
        <w:spacing w:before="0" w:beforeAutospacing="0" w:after="0" w:afterAutospacing="0"/>
        <w:ind w:firstLine="708"/>
        <w:jc w:val="both"/>
        <w:rPr>
          <w:rFonts w:ascii="Arial" w:hAnsi="Arial" w:cs="Arial"/>
          <w:color w:val="000000"/>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Decreto 1081 de 2015 «</w:t>
      </w:r>
      <w:r w:rsidRPr="00C126FF">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BD93442" w14:textId="16936821" w:rsidR="00206DD7" w:rsidRPr="00C126FF" w:rsidRDefault="00206DD7" w:rsidP="00721D3C">
      <w:pPr>
        <w:spacing w:after="0"/>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w:t>
      </w:r>
      <w:r w:rsidR="004D0AF3">
        <w:rPr>
          <w:rFonts w:ascii="Arial" w:hAnsi="Arial" w:cs="Arial"/>
          <w:color w:val="000000"/>
          <w:sz w:val="19"/>
          <w:szCs w:val="19"/>
          <w:lang w:eastAsia="es-CO"/>
        </w:rPr>
        <w:t xml:space="preserve"> </w:t>
      </w:r>
      <w:r w:rsidRPr="00C126FF">
        <w:rPr>
          <w:rFonts w:ascii="Arial" w:hAnsi="Arial" w:cs="Arial"/>
          <w:color w:val="000000"/>
          <w:sz w:val="19"/>
          <w:szCs w:val="19"/>
          <w:lang w:eastAsia="es-CO"/>
        </w:rPr>
        <w:t>Los sujetos obligados que contratan con cargo a recursos públicos deben publicar la información de su gestión contractual en el plazo previsto en el artículo 19 del Decreto 1510 de 2013, o el que lo modifique, sustituya o adicione. </w:t>
      </w:r>
    </w:p>
    <w:p w14:paraId="679E5E45" w14:textId="17402688" w:rsidR="00206DD7" w:rsidRPr="00C126FF" w:rsidRDefault="00206DD7" w:rsidP="00721D3C">
      <w:pPr>
        <w:spacing w:after="0"/>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w:t>
      </w:r>
      <w:r w:rsidR="004D0AF3">
        <w:rPr>
          <w:rFonts w:ascii="Arial" w:hAnsi="Arial" w:cs="Arial"/>
          <w:color w:val="000000"/>
          <w:sz w:val="19"/>
          <w:szCs w:val="19"/>
          <w:lang w:eastAsia="es-CO"/>
        </w:rPr>
        <w:t xml:space="preserve"> </w:t>
      </w:r>
      <w:r w:rsidRPr="00C126FF">
        <w:rPr>
          <w:rFonts w:ascii="Arial" w:hAnsi="Arial" w:cs="Arial"/>
          <w:color w:val="000000"/>
          <w:sz w:val="19"/>
          <w:szCs w:val="19"/>
          <w:lang w:eastAsia="es-CO"/>
        </w:rPr>
        <w:t>Los sujetos obligados que contratan con recursos públicos y recursos privados, deben publicar la información de su gestión contractual con cargo a recursos públicos en el Sistema Electrónico para la Contratación Pública (SECOP)</w:t>
      </w:r>
      <w:r w:rsidRPr="00C126FF">
        <w:rPr>
          <w:rFonts w:ascii="Arial" w:hAnsi="Arial" w:cs="Arial"/>
          <w:sz w:val="19"/>
          <w:szCs w:val="19"/>
        </w:rPr>
        <w:t>».</w:t>
      </w:r>
    </w:p>
  </w:footnote>
  <w:footnote w:id="10">
    <w:p w14:paraId="4CCA5055" w14:textId="1312E92E" w:rsidR="00206DD7" w:rsidRPr="00C126FF" w:rsidRDefault="00206DD7" w:rsidP="00721D3C">
      <w:pPr>
        <w:pStyle w:val="Textonotapie"/>
        <w:ind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footnote>
  <w:footnote w:id="11">
    <w:p w14:paraId="0878A5F9" w14:textId="77777777" w:rsidR="00206DD7" w:rsidRPr="00C126FF" w:rsidRDefault="00206DD7" w:rsidP="00721D3C">
      <w:pPr>
        <w:pStyle w:val="Textonotapie"/>
        <w:ind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1783F3D0" w14:textId="3A4D21B2" w:rsidR="00206DD7" w:rsidRPr="00C126FF" w:rsidRDefault="00206DD7" w:rsidP="00721D3C">
      <w:pPr>
        <w:pStyle w:val="Textonotapie"/>
        <w:ind w:firstLine="709"/>
        <w:jc w:val="both"/>
        <w:rPr>
          <w:rFonts w:ascii="Arial" w:hAnsi="Arial" w:cs="Arial"/>
          <w:color w:val="000000" w:themeColor="text1"/>
          <w:sz w:val="19"/>
          <w:szCs w:val="19"/>
        </w:rPr>
      </w:pPr>
      <w:r w:rsidRPr="00C126FF">
        <w:rPr>
          <w:rFonts w:ascii="Arial" w:hAnsi="Arial" w:cs="Arial"/>
          <w:color w:val="000000" w:themeColor="text1"/>
          <w:sz w:val="19"/>
          <w:szCs w:val="19"/>
        </w:rPr>
        <w:t>»</w:t>
      </w:r>
      <w:r w:rsidR="004D0AF3">
        <w:rPr>
          <w:rFonts w:ascii="Arial" w:hAnsi="Arial" w:cs="Arial"/>
          <w:color w:val="000000" w:themeColor="text1"/>
          <w:sz w:val="19"/>
          <w:szCs w:val="19"/>
        </w:rPr>
        <w:t xml:space="preserve"> </w:t>
      </w:r>
      <w:r w:rsidRPr="00C126FF">
        <w:rPr>
          <w:rFonts w:ascii="Arial" w:hAnsi="Arial" w:cs="Arial"/>
          <w:color w:val="000000" w:themeColor="text1"/>
          <w:sz w:val="19"/>
          <w:szCs w:val="19"/>
        </w:rPr>
        <w:t xml:space="preserve">Los sujetos obligados que no contratan con cargo a recursos públicos no están obligados a publicar su Plan Anual de Adquisiciones. </w:t>
      </w:r>
    </w:p>
    <w:p w14:paraId="3C2D2870" w14:textId="7EB06663" w:rsidR="00206DD7" w:rsidRPr="00C126FF" w:rsidRDefault="00206DD7" w:rsidP="00721D3C">
      <w:pPr>
        <w:pStyle w:val="Textonotapie"/>
        <w:ind w:firstLine="709"/>
        <w:jc w:val="both"/>
        <w:rPr>
          <w:rFonts w:ascii="Arial" w:hAnsi="Arial" w:cs="Arial"/>
          <w:color w:val="000000" w:themeColor="text1"/>
          <w:sz w:val="19"/>
          <w:szCs w:val="19"/>
        </w:rPr>
      </w:pPr>
      <w:r w:rsidRPr="00C126FF">
        <w:rPr>
          <w:rFonts w:ascii="Arial" w:hAnsi="Arial" w:cs="Arial"/>
          <w:color w:val="000000" w:themeColor="text1"/>
          <w:sz w:val="19"/>
          <w:szCs w:val="19"/>
        </w:rPr>
        <w:t>»</w:t>
      </w:r>
      <w:r w:rsidR="004D0AF3">
        <w:rPr>
          <w:rFonts w:ascii="Arial" w:hAnsi="Arial" w:cs="Arial"/>
          <w:color w:val="000000" w:themeColor="text1"/>
          <w:sz w:val="19"/>
          <w:szCs w:val="19"/>
        </w:rPr>
        <w:t xml:space="preserve"> </w:t>
      </w:r>
      <w:r w:rsidRPr="00C126FF">
        <w:rPr>
          <w:rFonts w:ascii="Arial" w:hAnsi="Arial" w:cs="Arial"/>
          <w:color w:val="000000" w:themeColor="text1"/>
          <w:sz w:val="19"/>
          <w:szCs w:val="19"/>
        </w:rPr>
        <w:t xml:space="preserve">Los sujetos obligados que contratan con cargo a recursos públicos y recursos privados, deben publicar en su página web y en el SECOP el Plan Anual de Adquisiciones para los recursos de carácter público que ejecutarán en el año. </w:t>
      </w:r>
    </w:p>
    <w:p w14:paraId="2B751B2B" w14:textId="058E4396" w:rsidR="00206DD7" w:rsidRPr="00C126FF" w:rsidRDefault="00206DD7" w:rsidP="00721D3C">
      <w:pPr>
        <w:pStyle w:val="Textonotapie"/>
        <w:ind w:firstLine="709"/>
        <w:jc w:val="both"/>
        <w:rPr>
          <w:rFonts w:ascii="Arial" w:hAnsi="Arial" w:cs="Arial"/>
          <w:color w:val="000000" w:themeColor="text1"/>
          <w:sz w:val="19"/>
          <w:szCs w:val="19"/>
        </w:rPr>
      </w:pPr>
      <w:r w:rsidRPr="00C126FF">
        <w:rPr>
          <w:rFonts w:ascii="Arial" w:hAnsi="Arial" w:cs="Arial"/>
          <w:color w:val="000000" w:themeColor="text1"/>
          <w:sz w:val="19"/>
          <w:szCs w:val="19"/>
        </w:rPr>
        <w:t>»</w:t>
      </w:r>
      <w:r w:rsidR="004D0AF3">
        <w:rPr>
          <w:rFonts w:ascii="Arial" w:hAnsi="Arial" w:cs="Arial"/>
          <w:color w:val="000000" w:themeColor="text1"/>
          <w:sz w:val="19"/>
          <w:szCs w:val="19"/>
        </w:rPr>
        <w:t xml:space="preserve"> </w:t>
      </w:r>
      <w:r w:rsidRPr="00C126FF">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p w14:paraId="46A0093A" w14:textId="77777777" w:rsidR="00206DD7" w:rsidRPr="00C126FF" w:rsidRDefault="00206DD7" w:rsidP="00721D3C">
      <w:pPr>
        <w:pStyle w:val="Textonotapie"/>
        <w:ind w:firstLine="709"/>
        <w:jc w:val="both"/>
        <w:rPr>
          <w:rFonts w:ascii="Arial" w:hAnsi="Arial" w:cs="Arial"/>
          <w:color w:val="000000" w:themeColor="text1"/>
          <w:sz w:val="19"/>
          <w:szCs w:val="19"/>
        </w:rPr>
      </w:pPr>
    </w:p>
  </w:footnote>
  <w:footnote w:id="12">
    <w:p w14:paraId="048ED04A" w14:textId="77777777" w:rsidR="00206DD7" w:rsidRPr="00C126FF" w:rsidRDefault="00206DD7" w:rsidP="00721D3C">
      <w:pPr>
        <w:pStyle w:val="Textonotapie"/>
        <w:ind w:firstLine="709"/>
        <w:jc w:val="both"/>
        <w:rPr>
          <w:rFonts w:ascii="Arial" w:hAnsi="Arial" w:cs="Arial"/>
          <w:color w:val="000000" w:themeColor="text1"/>
          <w:sz w:val="19"/>
          <w:szCs w:val="19"/>
        </w:rPr>
      </w:pPr>
      <w:r w:rsidRPr="00C126FF">
        <w:rPr>
          <w:rStyle w:val="Refdenotaalpie"/>
          <w:rFonts w:ascii="Arial" w:hAnsi="Arial" w:cs="Arial"/>
          <w:color w:val="000000" w:themeColor="text1"/>
          <w:sz w:val="19"/>
          <w:szCs w:val="19"/>
        </w:rPr>
        <w:footnoteRef/>
      </w:r>
      <w:r w:rsidRPr="00C126FF">
        <w:rPr>
          <w:rFonts w:ascii="Arial" w:hAnsi="Arial" w:cs="Arial"/>
          <w:color w:val="000000" w:themeColor="text1"/>
          <w:sz w:val="19"/>
          <w:szCs w:val="19"/>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13">
    <w:p w14:paraId="75D94EAB" w14:textId="57883EE9" w:rsidR="00206DD7" w:rsidRPr="00C126FF" w:rsidRDefault="00206DD7" w:rsidP="00051BC3">
      <w:pPr>
        <w:pStyle w:val="Textonotapie"/>
        <w:ind w:firstLine="708"/>
        <w:jc w:val="both"/>
        <w:rPr>
          <w:rFonts w:ascii="Arial" w:hAnsi="Arial" w:cs="Arial"/>
          <w:sz w:val="19"/>
          <w:szCs w:val="19"/>
          <w:lang w:val="es-CO"/>
        </w:rPr>
      </w:pPr>
      <w:r w:rsidRPr="00C126FF">
        <w:rPr>
          <w:rStyle w:val="Refdenotaalpie"/>
          <w:rFonts w:ascii="Arial" w:hAnsi="Arial" w:cs="Arial"/>
          <w:sz w:val="19"/>
          <w:szCs w:val="19"/>
        </w:rPr>
        <w:footnoteRef/>
      </w:r>
      <w:r w:rsidRPr="00C126FF">
        <w:rPr>
          <w:rFonts w:ascii="Arial" w:hAnsi="Arial" w:cs="Arial"/>
          <w:sz w:val="19"/>
          <w:szCs w:val="19"/>
        </w:rPr>
        <w:t xml:space="preserve">  Ley 1712 de 2014 «Artículo 2</w:t>
      </w:r>
      <w:r w:rsidR="004D0AF3" w:rsidRPr="00C126FF">
        <w:rPr>
          <w:rFonts w:ascii="Arial" w:hAnsi="Arial" w:cs="Arial"/>
          <w:sz w:val="19"/>
          <w:szCs w:val="19"/>
        </w:rPr>
        <w:t>°. Principio</w:t>
      </w:r>
      <w:r w:rsidRPr="00C126FF">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4">
    <w:p w14:paraId="2CABE145" w14:textId="77777777" w:rsidR="00206DD7" w:rsidRPr="00C126FF" w:rsidRDefault="00206DD7" w:rsidP="00051BC3">
      <w:pPr>
        <w:pStyle w:val="Textonotapie"/>
        <w:rPr>
          <w:rFonts w:ascii="Arial" w:hAnsi="Arial" w:cs="Arial"/>
          <w:sz w:val="19"/>
          <w:szCs w:val="19"/>
        </w:rPr>
      </w:pPr>
    </w:p>
    <w:p w14:paraId="58EDE450" w14:textId="3D9FEC5F" w:rsidR="00206DD7" w:rsidRPr="00C126FF" w:rsidRDefault="00206DD7" w:rsidP="00051BC3">
      <w:pPr>
        <w:pStyle w:val="NormalWeb"/>
        <w:spacing w:before="0" w:beforeAutospacing="0" w:after="0" w:afterAutospacing="0"/>
        <w:ind w:firstLine="708"/>
        <w:jc w:val="both"/>
        <w:rPr>
          <w:rFonts w:ascii="Arial" w:hAnsi="Arial" w:cs="Arial"/>
          <w:color w:val="000000"/>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Ley 1712 de 2014 </w:t>
      </w:r>
      <w:r w:rsidR="004D0AF3" w:rsidRPr="00C126FF">
        <w:rPr>
          <w:rFonts w:ascii="Arial" w:hAnsi="Arial" w:cs="Arial"/>
          <w:sz w:val="19"/>
          <w:szCs w:val="19"/>
        </w:rPr>
        <w:t>«</w:t>
      </w:r>
      <w:r w:rsidR="004D0AF3" w:rsidRPr="00C126FF">
        <w:rPr>
          <w:rStyle w:val="PiedepginaCar"/>
          <w:rFonts w:ascii="Arial" w:hAnsi="Arial" w:cs="Arial"/>
          <w:color w:val="000000"/>
          <w:sz w:val="19"/>
          <w:szCs w:val="19"/>
        </w:rPr>
        <w:t>Artículo</w:t>
      </w:r>
      <w:r w:rsidRPr="00C126FF">
        <w:rPr>
          <w:rFonts w:ascii="Arial" w:hAnsi="Arial" w:cs="Arial"/>
          <w:color w:val="000000"/>
          <w:sz w:val="19"/>
          <w:szCs w:val="19"/>
        </w:rPr>
        <w:t xml:space="preserve"> 3</w:t>
      </w:r>
      <w:r w:rsidR="004D0AF3" w:rsidRPr="00C126FF">
        <w:rPr>
          <w:rFonts w:ascii="Arial" w:hAnsi="Arial" w:cs="Arial"/>
          <w:color w:val="000000"/>
          <w:sz w:val="19"/>
          <w:szCs w:val="19"/>
        </w:rPr>
        <w:t>°. Otros</w:t>
      </w:r>
      <w:r w:rsidRPr="00C126FF">
        <w:rPr>
          <w:rFonts w:ascii="Arial" w:hAnsi="Arial" w:cs="Arial"/>
          <w:color w:val="000000"/>
          <w:sz w:val="19"/>
          <w:szCs w:val="19"/>
        </w:rPr>
        <w:t xml:space="preserve"> principios de la transparencia y acceso a la información pública. En la interpretación del derecho de acceso a la información se deberá adoptar un criterio de razonabilidad y proporcionalidad, así como aplicar los siguientes principios: </w:t>
      </w:r>
    </w:p>
    <w:p w14:paraId="395CBF82" w14:textId="02AB053B" w:rsidR="00206DD7" w:rsidRPr="00C126FF" w:rsidRDefault="00206DD7" w:rsidP="00721D3C">
      <w:pPr>
        <w:spacing w:after="0"/>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r>
      <w:r w:rsidR="004D0AF3" w:rsidRPr="00C126FF">
        <w:rPr>
          <w:rFonts w:ascii="Arial" w:hAnsi="Arial" w:cs="Arial"/>
          <w:color w:val="000000"/>
          <w:sz w:val="19"/>
          <w:szCs w:val="19"/>
          <w:lang w:eastAsia="es-CO"/>
        </w:rPr>
        <w:t>» Principio</w:t>
      </w:r>
      <w:r w:rsidRPr="00C126FF">
        <w:rPr>
          <w:rFonts w:ascii="Arial" w:hAnsi="Arial" w:cs="Arial"/>
          <w:color w:val="000000"/>
          <w:sz w:val="19"/>
          <w:szCs w:val="19"/>
          <w:lang w:eastAsia="es-CO"/>
        </w:rPr>
        <w:t xml:space="preserve"> de transparencia. Principio conforme al cual toda la información en poder de los sujetos obligados definidos en esta ley se presume pública, en </w:t>
      </w:r>
      <w:r w:rsidR="004D0AF3" w:rsidRPr="00C126FF">
        <w:rPr>
          <w:rFonts w:ascii="Arial" w:hAnsi="Arial" w:cs="Arial"/>
          <w:color w:val="000000"/>
          <w:sz w:val="19"/>
          <w:szCs w:val="19"/>
          <w:lang w:eastAsia="es-CO"/>
        </w:rPr>
        <w:t>consecuencia,</w:t>
      </w:r>
      <w:r w:rsidRPr="00C126FF">
        <w:rPr>
          <w:rFonts w:ascii="Arial" w:hAnsi="Arial" w:cs="Arial"/>
          <w:color w:val="000000"/>
          <w:sz w:val="19"/>
          <w:szCs w:val="19"/>
          <w:lang w:eastAsia="es-CO"/>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 </w:t>
      </w:r>
    </w:p>
    <w:p w14:paraId="362BAE07" w14:textId="77777777" w:rsidR="00206DD7" w:rsidRPr="00C126FF" w:rsidRDefault="00206DD7" w:rsidP="00721D3C">
      <w:pPr>
        <w:spacing w:after="0"/>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 </w:t>
      </w:r>
    </w:p>
    <w:p w14:paraId="44C0072D" w14:textId="75F45F5A" w:rsidR="00206DD7" w:rsidRPr="00C126FF" w:rsidRDefault="00206DD7" w:rsidP="00721D3C">
      <w:pPr>
        <w:spacing w:after="0"/>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r>
      <w:r w:rsidR="004D0AF3" w:rsidRPr="00C126FF">
        <w:rPr>
          <w:rFonts w:ascii="Arial" w:hAnsi="Arial" w:cs="Arial"/>
          <w:color w:val="000000"/>
          <w:sz w:val="19"/>
          <w:szCs w:val="19"/>
          <w:lang w:eastAsia="es-CO"/>
        </w:rPr>
        <w:t>» Principio</w:t>
      </w:r>
      <w:r w:rsidRPr="00C126FF">
        <w:rPr>
          <w:rFonts w:ascii="Arial" w:hAnsi="Arial" w:cs="Arial"/>
          <w:color w:val="000000"/>
          <w:sz w:val="19"/>
          <w:szCs w:val="19"/>
          <w:lang w:eastAsia="es-CO"/>
        </w:rPr>
        <w:t xml:space="preserve"> de facilitación. En virtud de este principio los sujetos obligados deberán facilitar el ejercicio del derecho de acceso a la información pública, excluyendo exigencias o requisitos que puedan obstruirlo o impedirlo. </w:t>
      </w:r>
    </w:p>
    <w:p w14:paraId="15E031E0" w14:textId="77777777" w:rsidR="00206DD7" w:rsidRPr="00C126FF" w:rsidRDefault="00206DD7" w:rsidP="00721D3C">
      <w:pPr>
        <w:spacing w:after="0"/>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w:t>
      </w:r>
    </w:p>
    <w:p w14:paraId="54E620C3" w14:textId="77777777" w:rsidR="00206DD7" w:rsidRPr="00C126FF" w:rsidRDefault="00206DD7" w:rsidP="00721D3C">
      <w:pPr>
        <w:spacing w:after="0"/>
        <w:rPr>
          <w:rFonts w:ascii="Arial" w:hAnsi="Arial" w:cs="Arial"/>
          <w:color w:val="000000"/>
          <w:sz w:val="19"/>
          <w:szCs w:val="19"/>
          <w:lang w:eastAsia="es-CO"/>
        </w:rPr>
      </w:pPr>
      <w:r w:rsidRPr="00C126FF">
        <w:rPr>
          <w:rFonts w:ascii="Arial" w:hAnsi="Arial" w:cs="Arial"/>
          <w:color w:val="000000"/>
          <w:sz w:val="19"/>
          <w:szCs w:val="19"/>
          <w:lang w:eastAsia="es-CO"/>
        </w:rPr>
        <w:t>  </w:t>
      </w:r>
      <w:r w:rsidRPr="00C126FF">
        <w:rPr>
          <w:rFonts w:ascii="Arial" w:hAnsi="Arial" w:cs="Arial"/>
          <w:color w:val="000000"/>
          <w:sz w:val="19"/>
          <w:szCs w:val="19"/>
          <w:lang w:eastAsia="es-CO"/>
        </w:rPr>
        <w:tab/>
        <w:t>» 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p w14:paraId="1B83B022" w14:textId="77777777" w:rsidR="00206DD7" w:rsidRPr="00C126FF" w:rsidRDefault="00206DD7" w:rsidP="00051BC3">
      <w:pPr>
        <w:pStyle w:val="Textonotapie"/>
        <w:rPr>
          <w:rFonts w:ascii="Arial" w:hAnsi="Arial" w:cs="Arial"/>
          <w:sz w:val="19"/>
          <w:szCs w:val="19"/>
          <w:lang w:val="es-CO"/>
        </w:rPr>
      </w:pPr>
    </w:p>
  </w:footnote>
  <w:footnote w:id="15">
    <w:p w14:paraId="2608D348" w14:textId="77777777" w:rsidR="00206DD7" w:rsidRPr="00C126FF" w:rsidRDefault="00206DD7" w:rsidP="00051BC3">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Ley 80 de 1993 «Artículo 24. Del principio de transparencia. En virtud de este principio: </w:t>
      </w:r>
    </w:p>
    <w:p w14:paraId="3B9E3D36" w14:textId="77777777" w:rsidR="00206DD7" w:rsidRPr="00C126FF" w:rsidRDefault="00206DD7" w:rsidP="00051BC3">
      <w:pPr>
        <w:pStyle w:val="Textonotapie"/>
        <w:ind w:firstLine="708"/>
        <w:jc w:val="both"/>
        <w:rPr>
          <w:rFonts w:ascii="Arial" w:hAnsi="Arial" w:cs="Arial"/>
          <w:sz w:val="19"/>
          <w:szCs w:val="19"/>
        </w:rPr>
      </w:pPr>
      <w:r w:rsidRPr="00C126FF">
        <w:rPr>
          <w:rFonts w:ascii="Arial" w:hAnsi="Arial" w:cs="Arial"/>
          <w:sz w:val="19"/>
          <w:szCs w:val="19"/>
        </w:rPr>
        <w:t>[…]</w:t>
      </w:r>
    </w:p>
    <w:p w14:paraId="409F021B" w14:textId="77777777" w:rsidR="00206DD7" w:rsidRPr="00C126FF" w:rsidRDefault="00206DD7" w:rsidP="00051BC3">
      <w:pPr>
        <w:pStyle w:val="Textonotapie"/>
        <w:ind w:firstLine="708"/>
        <w:jc w:val="both"/>
        <w:rPr>
          <w:rFonts w:ascii="Arial" w:hAnsi="Arial" w:cs="Arial"/>
          <w:sz w:val="19"/>
          <w:szCs w:val="19"/>
          <w:lang w:val="es-CO"/>
        </w:rPr>
      </w:pPr>
      <w:r w:rsidRPr="00C126FF">
        <w:rPr>
          <w:rFonts w:ascii="Arial" w:hAnsi="Arial" w:cs="Arial"/>
          <w:sz w:val="19"/>
          <w:szCs w:val="19"/>
        </w:rPr>
        <w:t>»4o. Las autoridades expedirán a costa de aquellas personas que demuestren interés legítimo, copias de las actuaciones y propuestas recibidas, respetando la reserva de que gocen legalmente las patentes, procedimientos y privilegios».</w:t>
      </w:r>
    </w:p>
    <w:p w14:paraId="2F209635" w14:textId="77777777" w:rsidR="00206DD7" w:rsidRPr="00C126FF" w:rsidRDefault="00206DD7" w:rsidP="00051BC3">
      <w:pPr>
        <w:pStyle w:val="Textonotapie"/>
        <w:ind w:firstLine="708"/>
        <w:jc w:val="both"/>
        <w:rPr>
          <w:rFonts w:ascii="Arial" w:hAnsi="Arial" w:cs="Arial"/>
          <w:sz w:val="19"/>
          <w:szCs w:val="19"/>
          <w:lang w:val="es-CO"/>
        </w:rPr>
      </w:pPr>
      <w:r w:rsidRPr="00C126FF">
        <w:rPr>
          <w:rFonts w:ascii="Arial" w:hAnsi="Arial" w:cs="Arial"/>
          <w:sz w:val="19"/>
          <w:szCs w:val="19"/>
        </w:rPr>
        <w:t xml:space="preserve"> </w:t>
      </w:r>
    </w:p>
  </w:footnote>
  <w:footnote w:id="16">
    <w:p w14:paraId="008155FE" w14:textId="4B09D9DD" w:rsidR="00206DD7" w:rsidRPr="00C126FF" w:rsidRDefault="00206DD7" w:rsidP="00721D3C">
      <w:pPr>
        <w:pStyle w:val="Textonotapie"/>
        <w:ind w:firstLine="708"/>
        <w:jc w:val="both"/>
        <w:rPr>
          <w:rFonts w:ascii="Arial" w:hAnsi="Arial" w:cs="Arial"/>
          <w:sz w:val="19"/>
          <w:szCs w:val="19"/>
          <w:lang w:val="es-CO"/>
        </w:rPr>
      </w:pPr>
      <w:r w:rsidRPr="00C126FF">
        <w:rPr>
          <w:rStyle w:val="Refdenotaalpie"/>
          <w:rFonts w:ascii="Arial" w:hAnsi="Arial" w:cs="Arial"/>
          <w:sz w:val="19"/>
          <w:szCs w:val="19"/>
        </w:rPr>
        <w:footnoteRef/>
      </w:r>
      <w:r w:rsidRPr="00C126FF">
        <w:rPr>
          <w:rFonts w:ascii="Arial" w:hAnsi="Arial" w:cs="Arial"/>
          <w:sz w:val="19"/>
          <w:szCs w:val="19"/>
        </w:rPr>
        <w:t xml:space="preserve">  Ley 1712 de 2014«Artículo 2</w:t>
      </w:r>
      <w:r w:rsidR="004D0AF3" w:rsidRPr="00C126FF">
        <w:rPr>
          <w:rFonts w:ascii="Arial" w:hAnsi="Arial" w:cs="Arial"/>
          <w:sz w:val="19"/>
          <w:szCs w:val="19"/>
        </w:rPr>
        <w:t>°. Principio</w:t>
      </w:r>
      <w:r w:rsidRPr="00C126FF">
        <w:rPr>
          <w:rFonts w:ascii="Arial" w:hAnsi="Arial" w:cs="Arial"/>
          <w:sz w:val="19"/>
          <w:szCs w:val="19"/>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7">
    <w:p w14:paraId="4EC86EBA" w14:textId="650C3037" w:rsidR="00206DD7" w:rsidRPr="00C126FF" w:rsidRDefault="00206DD7" w:rsidP="00051BC3">
      <w:pPr>
        <w:pStyle w:val="Textonotapie"/>
        <w:ind w:firstLine="708"/>
        <w:jc w:val="both"/>
        <w:rPr>
          <w:rFonts w:ascii="Arial" w:hAnsi="Arial" w:cs="Arial"/>
          <w:sz w:val="19"/>
          <w:szCs w:val="19"/>
          <w:lang w:val="es-CO"/>
        </w:rPr>
      </w:pPr>
      <w:r w:rsidRPr="00C126FF">
        <w:rPr>
          <w:rStyle w:val="Refdenotaalpie"/>
          <w:rFonts w:ascii="Arial" w:hAnsi="Arial" w:cs="Arial"/>
          <w:sz w:val="19"/>
          <w:szCs w:val="19"/>
        </w:rPr>
        <w:footnoteRef/>
      </w:r>
      <w:r w:rsidRPr="00C126FF">
        <w:rPr>
          <w:rFonts w:ascii="Arial" w:hAnsi="Arial" w:cs="Arial"/>
          <w:sz w:val="19"/>
          <w:szCs w:val="19"/>
        </w:rPr>
        <w:t xml:space="preserve"> MATALLANA CAMACHO Ernesto. Manual de Contratación de la Administración Pública. Reforma a la Ley 80 de 1993. Universidad Externado de Colombia, Cuarta edición, 2015, </w:t>
      </w:r>
      <w:r w:rsidR="004D0AF3" w:rsidRPr="00C126FF">
        <w:rPr>
          <w:rFonts w:ascii="Arial" w:hAnsi="Arial" w:cs="Arial"/>
          <w:sz w:val="19"/>
          <w:szCs w:val="19"/>
        </w:rPr>
        <w:t>ppm</w:t>
      </w:r>
      <w:r w:rsidRPr="00C126FF">
        <w:rPr>
          <w:rFonts w:ascii="Arial" w:hAnsi="Arial" w:cs="Arial"/>
          <w:sz w:val="19"/>
          <w:szCs w:val="19"/>
        </w:rPr>
        <w:t xml:space="preserve"> 139.  </w:t>
      </w:r>
    </w:p>
  </w:footnote>
  <w:footnote w:id="18">
    <w:p w14:paraId="7A4CC715" w14:textId="1FA2ABDD" w:rsidR="00206DD7" w:rsidRPr="00C126FF" w:rsidRDefault="00206DD7" w:rsidP="00051BC3">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Ley 1437 de 2011 «Artículo </w:t>
      </w:r>
      <w:r w:rsidR="004D0AF3" w:rsidRPr="00C126FF">
        <w:rPr>
          <w:rFonts w:ascii="Arial" w:hAnsi="Arial" w:cs="Arial"/>
          <w:sz w:val="19"/>
          <w:szCs w:val="19"/>
        </w:rPr>
        <w:t>24. Informaciones</w:t>
      </w:r>
      <w:r w:rsidRPr="00C126FF">
        <w:rPr>
          <w:rFonts w:ascii="Arial" w:hAnsi="Arial" w:cs="Arial"/>
          <w:sz w:val="19"/>
          <w:szCs w:val="19"/>
        </w:rPr>
        <w:t xml:space="preserve"> y documentos reservados. Solo tendrán carácter reservado las informaciones y documentos expresamente sometidos a reserva por la Constitución Política o la ley, y en especial:  </w:t>
      </w:r>
    </w:p>
    <w:p w14:paraId="6E7E77F2"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»1. Los relacionados con la defensa o seguridad nacionales.  </w:t>
      </w:r>
    </w:p>
    <w:p w14:paraId="04CC80EB"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»2. Las instrucciones en materia diplomática o sobre negociaciones reservadas.  </w:t>
      </w:r>
    </w:p>
    <w:p w14:paraId="347A708B"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583C4EAD"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1CA315F2"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»5. Los datos referentes a la información financiera y comercial, en los términos de la Ley Estatutaria 1266 de 2008.  </w:t>
      </w:r>
    </w:p>
    <w:p w14:paraId="378DA940"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»6. Los protegidos por el secreto comercial o industrial, así como los planes estratégicos de las empresas públicas de servicios públicos.  </w:t>
      </w:r>
    </w:p>
    <w:p w14:paraId="50A2C8E7"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»7. Los amparados por el secreto profesional.  </w:t>
      </w:r>
    </w:p>
    <w:p w14:paraId="100218CB" w14:textId="77777777" w:rsidR="00206DD7" w:rsidRPr="00C126FF" w:rsidRDefault="00206DD7" w:rsidP="00051BC3">
      <w:pPr>
        <w:pStyle w:val="Textonotapie"/>
        <w:ind w:firstLine="708"/>
        <w:rPr>
          <w:rFonts w:ascii="Arial" w:hAnsi="Arial" w:cs="Arial"/>
          <w:sz w:val="19"/>
          <w:szCs w:val="19"/>
        </w:rPr>
      </w:pPr>
      <w:r w:rsidRPr="00C126FF">
        <w:rPr>
          <w:rFonts w:ascii="Arial" w:hAnsi="Arial" w:cs="Arial"/>
          <w:sz w:val="19"/>
          <w:szCs w:val="19"/>
        </w:rPr>
        <w:t xml:space="preserve">»8. Los datos genéticos humanos.  </w:t>
      </w:r>
    </w:p>
    <w:p w14:paraId="651B3E5C" w14:textId="4CB2302A" w:rsidR="00206DD7" w:rsidRPr="00C126FF" w:rsidRDefault="004D0AF3" w:rsidP="00051BC3">
      <w:pPr>
        <w:pStyle w:val="Textonotapie"/>
        <w:ind w:firstLine="708"/>
        <w:rPr>
          <w:rFonts w:ascii="Arial" w:hAnsi="Arial" w:cs="Arial"/>
          <w:sz w:val="19"/>
          <w:szCs w:val="19"/>
        </w:rPr>
      </w:pPr>
      <w:r w:rsidRPr="00C126FF">
        <w:rPr>
          <w:rFonts w:ascii="Arial" w:hAnsi="Arial" w:cs="Arial"/>
          <w:sz w:val="19"/>
          <w:szCs w:val="19"/>
        </w:rPr>
        <w:t>» Parágrafo</w:t>
      </w:r>
      <w:r w:rsidR="00206DD7" w:rsidRPr="00C126FF">
        <w:rPr>
          <w:rFonts w:ascii="Arial" w:hAnsi="Arial" w:cs="Arial"/>
          <w:sz w:val="19"/>
          <w:szCs w:val="19"/>
        </w:rPr>
        <w:t xml:space="preserve">. Para efecto de la solicitud de información de carácter reservado, enunciada en los numerales 3, 5, 6 y 7 solo podrá ser solicitada por el titular de la información, por sus apoderados o por personas autorizadas con facultad expresa para acceder a esa información».  </w:t>
      </w:r>
    </w:p>
  </w:footnote>
  <w:footnote w:id="19">
    <w:p w14:paraId="61344788" w14:textId="77777777" w:rsidR="00206DD7" w:rsidRPr="00C126FF" w:rsidRDefault="00206DD7" w:rsidP="00051BC3">
      <w:pPr>
        <w:pStyle w:val="Textonotapie"/>
        <w:ind w:firstLine="708"/>
        <w:jc w:val="both"/>
        <w:rPr>
          <w:rFonts w:ascii="Arial" w:hAnsi="Arial" w:cs="Arial"/>
          <w:sz w:val="19"/>
          <w:szCs w:val="19"/>
        </w:rPr>
      </w:pPr>
      <w:r w:rsidRPr="00C126FF">
        <w:rPr>
          <w:rStyle w:val="Refdenotaalpie"/>
          <w:rFonts w:ascii="Arial" w:hAnsi="Arial" w:cs="Arial"/>
          <w:sz w:val="19"/>
          <w:szCs w:val="19"/>
        </w:rPr>
        <w:footnoteRef/>
      </w:r>
      <w:r w:rsidRPr="00C126FF">
        <w:rPr>
          <w:rFonts w:ascii="Arial" w:hAnsi="Arial" w:cs="Arial"/>
          <w:sz w:val="19"/>
          <w:szCs w:val="19"/>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C126FF">
        <w:rPr>
          <w:rFonts w:ascii="Arial" w:eastAsia="Calibri" w:hAnsi="Arial" w:cs="Arial"/>
          <w:sz w:val="19"/>
          <w:szCs w:val="19"/>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20">
    <w:p w14:paraId="495B854F" w14:textId="6AEEA43B" w:rsidR="00206DD7" w:rsidRPr="00781415" w:rsidRDefault="00206DD7" w:rsidP="00721D3C">
      <w:pPr>
        <w:spacing w:after="0" w:line="247" w:lineRule="auto"/>
        <w:ind w:firstLine="707"/>
        <w:rPr>
          <w:sz w:val="19"/>
          <w:szCs w:val="19"/>
        </w:rPr>
      </w:pPr>
      <w:r w:rsidRPr="00781415">
        <w:rPr>
          <w:rStyle w:val="Refdenotaalpie"/>
          <w:rFonts w:ascii="Arial" w:hAnsi="Arial" w:cs="Arial"/>
          <w:sz w:val="19"/>
          <w:szCs w:val="19"/>
        </w:rPr>
        <w:footnoteRef/>
      </w:r>
      <w:r w:rsidRPr="00781415">
        <w:rPr>
          <w:rFonts w:ascii="Arial" w:hAnsi="Arial" w:cs="Arial"/>
          <w:sz w:val="19"/>
          <w:szCs w:val="19"/>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5715F3D3" w14:textId="601F57A1" w:rsidR="00206DD7" w:rsidRPr="00781415" w:rsidRDefault="00AF4B97" w:rsidP="00721D3C">
      <w:pPr>
        <w:spacing w:after="0"/>
        <w:rPr>
          <w:rFonts w:ascii="Arial" w:hAnsi="Arial" w:cs="Arial"/>
          <w:sz w:val="19"/>
          <w:szCs w:val="19"/>
        </w:rPr>
      </w:pPr>
      <w:r>
        <w:rPr>
          <w:rFonts w:ascii="Arial" w:hAnsi="Arial" w:cs="Arial"/>
          <w:sz w:val="19"/>
          <w:szCs w:val="19"/>
          <w:u w:val="single" w:color="4E4D4D"/>
        </w:rPr>
        <w:t>«</w:t>
      </w:r>
      <w:r>
        <w:rPr>
          <w:rFonts w:ascii="Times New Roman" w:hAnsi="Times New Roman" w:cs="Times New Roman"/>
          <w:sz w:val="19"/>
          <w:szCs w:val="19"/>
          <w:u w:val="single" w:color="4E4D4D"/>
        </w:rPr>
        <w:t>׏</w:t>
      </w:r>
      <w:r w:rsidR="00206DD7" w:rsidRPr="00781415">
        <w:rPr>
          <w:rFonts w:ascii="Arial" w:hAnsi="Arial" w:cs="Arial"/>
          <w:sz w:val="19"/>
          <w:szCs w:val="19"/>
          <w:u w:val="single" w:color="4E4D4D"/>
        </w:rPr>
        <w:t>“5.2. De la fuerza vinculante de las respuestas a las solicitudes de aclaraciones en relación con los términos de</w:t>
      </w:r>
      <w:r w:rsidR="00206DD7" w:rsidRPr="00781415">
        <w:rPr>
          <w:rFonts w:ascii="Arial" w:hAnsi="Arial" w:cs="Arial"/>
          <w:sz w:val="19"/>
          <w:szCs w:val="19"/>
        </w:rPr>
        <w:t xml:space="preserve"> </w:t>
      </w:r>
      <w:r w:rsidR="00206DD7" w:rsidRPr="00781415">
        <w:rPr>
          <w:rFonts w:ascii="Arial" w:hAnsi="Arial" w:cs="Arial"/>
          <w:sz w:val="19"/>
          <w:szCs w:val="19"/>
          <w:u w:val="single" w:color="4E4D4D"/>
        </w:rPr>
        <w:t>referencia.</w:t>
      </w:r>
    </w:p>
    <w:p w14:paraId="78DEF23B" w14:textId="2D71A06B" w:rsidR="00206DD7" w:rsidRPr="00781415" w:rsidRDefault="00206DD7" w:rsidP="00721D3C">
      <w:pPr>
        <w:spacing w:after="0"/>
        <w:rPr>
          <w:sz w:val="19"/>
          <w:szCs w:val="19"/>
        </w:rPr>
      </w:pPr>
      <w:r w:rsidRPr="00781415">
        <w:rPr>
          <w:rFonts w:ascii="Arial" w:hAnsi="Arial" w:cs="Arial"/>
          <w:sz w:val="19"/>
          <w:szCs w:val="19"/>
        </w:rPr>
        <w:t>(…).</w:t>
      </w:r>
    </w:p>
    <w:p w14:paraId="3D30304C" w14:textId="62692453" w:rsidR="00206DD7" w:rsidRPr="00781415" w:rsidRDefault="00AF4B97" w:rsidP="00721D3C">
      <w:pPr>
        <w:spacing w:after="0"/>
        <w:rPr>
          <w:sz w:val="19"/>
          <w:szCs w:val="19"/>
        </w:rPr>
      </w:pPr>
      <w:r>
        <w:rPr>
          <w:rFonts w:ascii="Arial" w:hAnsi="Arial" w:cs="Arial"/>
          <w:sz w:val="19"/>
          <w:szCs w:val="19"/>
        </w:rPr>
        <w:t>»</w:t>
      </w:r>
      <w:r w:rsidR="00206DD7" w:rsidRPr="00781415">
        <w:rPr>
          <w:rFonts w:ascii="Arial" w:hAnsi="Arial" w:cs="Arial"/>
          <w:sz w:val="19"/>
          <w:szCs w:val="19"/>
        </w:rPr>
        <w:t>Siguiendo el lineamiento expuesto, en criterio de la Sala, independientemente de que el contenido de la modificación se encuentre comprendido en un documento que no tenga el rótulo de “</w:t>
      </w:r>
      <w:r w:rsidR="004D0AF3" w:rsidRPr="00781415">
        <w:rPr>
          <w:rFonts w:ascii="Arial" w:hAnsi="Arial" w:cs="Arial"/>
          <w:sz w:val="19"/>
          <w:szCs w:val="19"/>
        </w:rPr>
        <w:t>adenda</w:t>
      </w:r>
      <w:r w:rsidR="00206DD7" w:rsidRPr="00781415">
        <w:rPr>
          <w:rFonts w:ascii="Arial" w:hAnsi="Arial" w:cs="Arial"/>
          <w:sz w:val="19"/>
          <w:szCs w:val="19"/>
        </w:rPr>
        <w:t>”,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00206DD7" w:rsidRPr="00781415">
        <w:rPr>
          <w:rFonts w:ascii="Arial" w:hAnsi="Arial" w:cs="Arial"/>
          <w:spacing w:val="-11"/>
          <w:sz w:val="19"/>
          <w:szCs w:val="19"/>
        </w:rPr>
        <w:t xml:space="preserve"> </w:t>
      </w:r>
      <w:r w:rsidR="00206DD7" w:rsidRPr="00781415">
        <w:rPr>
          <w:rFonts w:ascii="Arial" w:hAnsi="Arial" w:cs="Arial"/>
          <w:sz w:val="19"/>
          <w:szCs w:val="19"/>
        </w:rPr>
        <w:t>oferentes.</w:t>
      </w:r>
    </w:p>
    <w:p w14:paraId="7CB9ACEC" w14:textId="152E4497" w:rsidR="00206DD7" w:rsidRPr="00781415" w:rsidRDefault="00051BC3" w:rsidP="00721D3C">
      <w:pPr>
        <w:spacing w:after="0"/>
        <w:rPr>
          <w:rFonts w:ascii="Arial" w:hAnsi="Arial" w:cs="Arial"/>
          <w:sz w:val="19"/>
          <w:szCs w:val="19"/>
        </w:rPr>
      </w:pPr>
      <w:r>
        <w:rPr>
          <w:rFonts w:ascii="Arial" w:hAnsi="Arial" w:cs="Arial"/>
          <w:sz w:val="19"/>
          <w:szCs w:val="19"/>
        </w:rPr>
        <w:t>»</w:t>
      </w:r>
      <w:r w:rsidR="00206DD7" w:rsidRPr="00781415">
        <w:rPr>
          <w:rFonts w:ascii="Arial" w:hAnsi="Arial" w:cs="Arial"/>
          <w:sz w:val="19"/>
          <w:szCs w:val="19"/>
        </w:rPr>
        <w:t xml:space="preserve">En ese orden de ideas, sea que se llame </w:t>
      </w:r>
      <w:r w:rsidR="004D0AF3" w:rsidRPr="00781415">
        <w:rPr>
          <w:rFonts w:ascii="Arial" w:hAnsi="Arial" w:cs="Arial"/>
          <w:sz w:val="19"/>
          <w:szCs w:val="19"/>
        </w:rPr>
        <w:t>adenda</w:t>
      </w:r>
      <w:r w:rsidR="00206DD7" w:rsidRPr="00781415">
        <w:rPr>
          <w:rFonts w:ascii="Arial" w:hAnsi="Arial" w:cs="Arial"/>
          <w:sz w:val="19"/>
          <w:szCs w:val="19"/>
        </w:rPr>
        <w:t>,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00206DD7" w:rsidRPr="00781415">
        <w:rPr>
          <w:rFonts w:ascii="Arial" w:hAnsi="Arial" w:cs="Arial"/>
          <w:spacing w:val="-19"/>
          <w:sz w:val="19"/>
          <w:szCs w:val="19"/>
        </w:rPr>
        <w:t xml:space="preserve"> </w:t>
      </w:r>
      <w:r w:rsidR="00206DD7" w:rsidRPr="00781415">
        <w:rPr>
          <w:rFonts w:ascii="Arial" w:hAnsi="Arial" w:cs="Arial"/>
          <w:sz w:val="19"/>
          <w:szCs w:val="19"/>
        </w:rPr>
        <w:t>condiciones</w:t>
      </w:r>
      <w:r>
        <w:rPr>
          <w:rFonts w:ascii="Arial" w:hAnsi="Arial" w:cs="Arial"/>
          <w:sz w:val="19"/>
          <w:szCs w:val="19"/>
        </w:rPr>
        <w:t>»</w:t>
      </w:r>
      <w:r w:rsidR="00206DD7" w:rsidRPr="00781415">
        <w:rPr>
          <w:rFonts w:ascii="Arial" w:hAnsi="Arial" w:cs="Arial"/>
          <w:sz w:val="19"/>
          <w:szCs w:val="19"/>
        </w:rPr>
        <w:t>.</w:t>
      </w:r>
    </w:p>
    <w:p w14:paraId="7A2BC75A" w14:textId="77777777" w:rsidR="00206DD7" w:rsidRPr="00781415" w:rsidRDefault="00206DD7" w:rsidP="00051BC3">
      <w:pPr>
        <w:pStyle w:val="Textonotapie"/>
        <w:jc w:val="both"/>
        <w:rPr>
          <w:rFonts w:ascii="Arial" w:hAnsi="Arial" w:cs="Arial"/>
          <w:sz w:val="19"/>
          <w:szCs w:val="19"/>
        </w:rPr>
      </w:pPr>
    </w:p>
  </w:footnote>
  <w:footnote w:id="21">
    <w:p w14:paraId="7C8BBE01" w14:textId="77777777" w:rsidR="00206DD7" w:rsidRPr="00781415" w:rsidRDefault="00206DD7" w:rsidP="00721D3C">
      <w:pPr>
        <w:spacing w:after="0" w:line="244" w:lineRule="auto"/>
        <w:ind w:firstLine="707"/>
        <w:rPr>
          <w:rFonts w:ascii="Arial" w:hAnsi="Arial" w:cs="Arial"/>
          <w:sz w:val="19"/>
          <w:szCs w:val="19"/>
        </w:rPr>
      </w:pPr>
      <w:r w:rsidRPr="00781415">
        <w:rPr>
          <w:rStyle w:val="Refdenotaalpie"/>
          <w:rFonts w:ascii="Arial" w:hAnsi="Arial" w:cs="Arial"/>
          <w:sz w:val="19"/>
          <w:szCs w:val="19"/>
        </w:rPr>
        <w:footnoteRef/>
      </w:r>
      <w:r w:rsidRPr="00781415">
        <w:rPr>
          <w:rFonts w:ascii="Arial" w:hAnsi="Arial" w:cs="Arial"/>
          <w:sz w:val="19"/>
          <w:szCs w:val="19"/>
        </w:rPr>
        <w:t xml:space="preserve"> En la sentencia de la Sección Tercera, Subsección C, del 24 de julio de 2013, expediente No. 25.642, C.P. Enrique Gil Botero, el Consejo de Estado se refirió a la naturaleza jurídica de los pliegos de condiciones: “los pliegos de condiciones han sido definidos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w:t>
      </w:r>
      <w:r w:rsidRPr="00781415">
        <w:rPr>
          <w:rFonts w:ascii="Arial" w:hAnsi="Arial" w:cs="Arial"/>
          <w:spacing w:val="-3"/>
          <w:sz w:val="19"/>
          <w:szCs w:val="19"/>
        </w:rPr>
        <w:t xml:space="preserve"> </w:t>
      </w:r>
      <w:r w:rsidRPr="00781415">
        <w:rPr>
          <w:rFonts w:ascii="Arial" w:hAnsi="Arial" w:cs="Arial"/>
          <w:sz w:val="19"/>
          <w:szCs w:val="19"/>
        </w:rPr>
        <w:t>mismo”.</w:t>
      </w:r>
    </w:p>
    <w:p w14:paraId="18052560" w14:textId="77777777" w:rsidR="00206DD7" w:rsidRPr="00781415" w:rsidRDefault="00206DD7" w:rsidP="00051BC3">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232538717">
    <w:abstractNumId w:val="4"/>
  </w:num>
  <w:num w:numId="2" w16cid:durableId="278100749">
    <w:abstractNumId w:val="1"/>
  </w:num>
  <w:num w:numId="3" w16cid:durableId="1371952515">
    <w:abstractNumId w:val="3"/>
  </w:num>
  <w:num w:numId="4" w16cid:durableId="1624077397">
    <w:abstractNumId w:val="5"/>
  </w:num>
  <w:num w:numId="5" w16cid:durableId="151534257">
    <w:abstractNumId w:val="2"/>
  </w:num>
  <w:num w:numId="6" w16cid:durableId="178811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836"/>
    <w:rsid w:val="00033B63"/>
    <w:rsid w:val="00051BC3"/>
    <w:rsid w:val="00083334"/>
    <w:rsid w:val="000956CF"/>
    <w:rsid w:val="000A683E"/>
    <w:rsid w:val="000B492F"/>
    <w:rsid w:val="000E5D8B"/>
    <w:rsid w:val="000F08DB"/>
    <w:rsid w:val="0011076E"/>
    <w:rsid w:val="0011595A"/>
    <w:rsid w:val="001220C5"/>
    <w:rsid w:val="001267F7"/>
    <w:rsid w:val="00127233"/>
    <w:rsid w:val="00130999"/>
    <w:rsid w:val="0016269C"/>
    <w:rsid w:val="00164D81"/>
    <w:rsid w:val="00175EB9"/>
    <w:rsid w:val="00180DA2"/>
    <w:rsid w:val="00195D69"/>
    <w:rsid w:val="001964D2"/>
    <w:rsid w:val="001A1011"/>
    <w:rsid w:val="001A48D0"/>
    <w:rsid w:val="001B0E9B"/>
    <w:rsid w:val="001D6A31"/>
    <w:rsid w:val="00206DD7"/>
    <w:rsid w:val="002130B5"/>
    <w:rsid w:val="00222BDC"/>
    <w:rsid w:val="00226E86"/>
    <w:rsid w:val="002653C1"/>
    <w:rsid w:val="0026611D"/>
    <w:rsid w:val="00273083"/>
    <w:rsid w:val="00281D61"/>
    <w:rsid w:val="002929E7"/>
    <w:rsid w:val="002951A0"/>
    <w:rsid w:val="002967BC"/>
    <w:rsid w:val="002979AD"/>
    <w:rsid w:val="002A64FD"/>
    <w:rsid w:val="002A7FCC"/>
    <w:rsid w:val="002B5C17"/>
    <w:rsid w:val="002B7D4A"/>
    <w:rsid w:val="002C4D22"/>
    <w:rsid w:val="002C4F7C"/>
    <w:rsid w:val="002D0238"/>
    <w:rsid w:val="002F0839"/>
    <w:rsid w:val="002F1F43"/>
    <w:rsid w:val="002F2B2D"/>
    <w:rsid w:val="00301469"/>
    <w:rsid w:val="00306EE1"/>
    <w:rsid w:val="00310B9B"/>
    <w:rsid w:val="00334048"/>
    <w:rsid w:val="00344F89"/>
    <w:rsid w:val="0036461C"/>
    <w:rsid w:val="00367884"/>
    <w:rsid w:val="0039439C"/>
    <w:rsid w:val="003A47D7"/>
    <w:rsid w:val="003B00FB"/>
    <w:rsid w:val="003B69E7"/>
    <w:rsid w:val="003C013B"/>
    <w:rsid w:val="003D0F4D"/>
    <w:rsid w:val="003D4313"/>
    <w:rsid w:val="003D47BD"/>
    <w:rsid w:val="003E5184"/>
    <w:rsid w:val="003F58A1"/>
    <w:rsid w:val="00404C2C"/>
    <w:rsid w:val="004072F8"/>
    <w:rsid w:val="00410DD6"/>
    <w:rsid w:val="004134C9"/>
    <w:rsid w:val="00416B75"/>
    <w:rsid w:val="0043138C"/>
    <w:rsid w:val="00443A20"/>
    <w:rsid w:val="004474D0"/>
    <w:rsid w:val="00450703"/>
    <w:rsid w:val="00462A59"/>
    <w:rsid w:val="004A1847"/>
    <w:rsid w:val="004A5028"/>
    <w:rsid w:val="004B6B0E"/>
    <w:rsid w:val="004C3BD2"/>
    <w:rsid w:val="004D0AF3"/>
    <w:rsid w:val="004D25B3"/>
    <w:rsid w:val="004E0A06"/>
    <w:rsid w:val="00502E2D"/>
    <w:rsid w:val="00511405"/>
    <w:rsid w:val="00523CE9"/>
    <w:rsid w:val="00526E9D"/>
    <w:rsid w:val="005338F7"/>
    <w:rsid w:val="00535CAD"/>
    <w:rsid w:val="005401A6"/>
    <w:rsid w:val="00547856"/>
    <w:rsid w:val="00547A74"/>
    <w:rsid w:val="00554F8C"/>
    <w:rsid w:val="005566E8"/>
    <w:rsid w:val="005746AB"/>
    <w:rsid w:val="005875C6"/>
    <w:rsid w:val="00587CD5"/>
    <w:rsid w:val="0059357F"/>
    <w:rsid w:val="005A1130"/>
    <w:rsid w:val="005D0305"/>
    <w:rsid w:val="005D65C8"/>
    <w:rsid w:val="006219F8"/>
    <w:rsid w:val="006359A0"/>
    <w:rsid w:val="00681FDB"/>
    <w:rsid w:val="006A0B04"/>
    <w:rsid w:val="006A51F9"/>
    <w:rsid w:val="006A7DAD"/>
    <w:rsid w:val="006D307E"/>
    <w:rsid w:val="006D70BA"/>
    <w:rsid w:val="006F3884"/>
    <w:rsid w:val="007004DE"/>
    <w:rsid w:val="00721D3C"/>
    <w:rsid w:val="007566FE"/>
    <w:rsid w:val="0076726F"/>
    <w:rsid w:val="0077144B"/>
    <w:rsid w:val="007778FE"/>
    <w:rsid w:val="00777D2C"/>
    <w:rsid w:val="0079049F"/>
    <w:rsid w:val="00793403"/>
    <w:rsid w:val="007C0CDF"/>
    <w:rsid w:val="007D46CB"/>
    <w:rsid w:val="007E2A2F"/>
    <w:rsid w:val="007F0FC3"/>
    <w:rsid w:val="007F2B7C"/>
    <w:rsid w:val="007F657F"/>
    <w:rsid w:val="00811651"/>
    <w:rsid w:val="00811DE3"/>
    <w:rsid w:val="00820F5B"/>
    <w:rsid w:val="0082263E"/>
    <w:rsid w:val="00833452"/>
    <w:rsid w:val="0083479B"/>
    <w:rsid w:val="008614E5"/>
    <w:rsid w:val="008678EB"/>
    <w:rsid w:val="00871A09"/>
    <w:rsid w:val="00875894"/>
    <w:rsid w:val="00881C10"/>
    <w:rsid w:val="00883420"/>
    <w:rsid w:val="00890411"/>
    <w:rsid w:val="00896947"/>
    <w:rsid w:val="008A4211"/>
    <w:rsid w:val="008C55C1"/>
    <w:rsid w:val="008D5C70"/>
    <w:rsid w:val="008D6B13"/>
    <w:rsid w:val="008D701C"/>
    <w:rsid w:val="009025AF"/>
    <w:rsid w:val="00904071"/>
    <w:rsid w:val="00904F23"/>
    <w:rsid w:val="00906B3C"/>
    <w:rsid w:val="00916C29"/>
    <w:rsid w:val="00921D2D"/>
    <w:rsid w:val="009346B6"/>
    <w:rsid w:val="0095342C"/>
    <w:rsid w:val="0098628D"/>
    <w:rsid w:val="009A7355"/>
    <w:rsid w:val="009C0D2B"/>
    <w:rsid w:val="009C0ED2"/>
    <w:rsid w:val="009F33F2"/>
    <w:rsid w:val="009F38FE"/>
    <w:rsid w:val="009F6C77"/>
    <w:rsid w:val="00A07532"/>
    <w:rsid w:val="00A1085C"/>
    <w:rsid w:val="00A12735"/>
    <w:rsid w:val="00A13B21"/>
    <w:rsid w:val="00A309E2"/>
    <w:rsid w:val="00A8066E"/>
    <w:rsid w:val="00A87D25"/>
    <w:rsid w:val="00AA0362"/>
    <w:rsid w:val="00AA4B8A"/>
    <w:rsid w:val="00AA6BF7"/>
    <w:rsid w:val="00AD55E2"/>
    <w:rsid w:val="00AF1B85"/>
    <w:rsid w:val="00AF3123"/>
    <w:rsid w:val="00AF4B97"/>
    <w:rsid w:val="00B01ED6"/>
    <w:rsid w:val="00B06D09"/>
    <w:rsid w:val="00B1195A"/>
    <w:rsid w:val="00B1278B"/>
    <w:rsid w:val="00B127D6"/>
    <w:rsid w:val="00B21901"/>
    <w:rsid w:val="00B267B9"/>
    <w:rsid w:val="00B33C60"/>
    <w:rsid w:val="00B45120"/>
    <w:rsid w:val="00B616A4"/>
    <w:rsid w:val="00B730F0"/>
    <w:rsid w:val="00B771A9"/>
    <w:rsid w:val="00B809BB"/>
    <w:rsid w:val="00B8248A"/>
    <w:rsid w:val="00BB7726"/>
    <w:rsid w:val="00BF2863"/>
    <w:rsid w:val="00C13C38"/>
    <w:rsid w:val="00C211FF"/>
    <w:rsid w:val="00C2154F"/>
    <w:rsid w:val="00C2329E"/>
    <w:rsid w:val="00C30461"/>
    <w:rsid w:val="00C60FBE"/>
    <w:rsid w:val="00C754BE"/>
    <w:rsid w:val="00C87572"/>
    <w:rsid w:val="00C9405D"/>
    <w:rsid w:val="00CB4B4A"/>
    <w:rsid w:val="00CC1B26"/>
    <w:rsid w:val="00CC5761"/>
    <w:rsid w:val="00CD284F"/>
    <w:rsid w:val="00CF23AA"/>
    <w:rsid w:val="00CF2686"/>
    <w:rsid w:val="00D01921"/>
    <w:rsid w:val="00D04D19"/>
    <w:rsid w:val="00D129E6"/>
    <w:rsid w:val="00D249AD"/>
    <w:rsid w:val="00D44BF2"/>
    <w:rsid w:val="00D456F7"/>
    <w:rsid w:val="00D66E64"/>
    <w:rsid w:val="00D7329A"/>
    <w:rsid w:val="00D752B7"/>
    <w:rsid w:val="00DA1854"/>
    <w:rsid w:val="00DB0887"/>
    <w:rsid w:val="00DD52F3"/>
    <w:rsid w:val="00DF1E43"/>
    <w:rsid w:val="00E20894"/>
    <w:rsid w:val="00E264E0"/>
    <w:rsid w:val="00E26B7C"/>
    <w:rsid w:val="00E4264F"/>
    <w:rsid w:val="00EA3003"/>
    <w:rsid w:val="00EB3C91"/>
    <w:rsid w:val="00EB66DA"/>
    <w:rsid w:val="00EB6E15"/>
    <w:rsid w:val="00EC20DD"/>
    <w:rsid w:val="00EE2BB9"/>
    <w:rsid w:val="00EF354C"/>
    <w:rsid w:val="00F060ED"/>
    <w:rsid w:val="00F10490"/>
    <w:rsid w:val="00F36765"/>
    <w:rsid w:val="00F5288D"/>
    <w:rsid w:val="00F605F2"/>
    <w:rsid w:val="00F63FBC"/>
    <w:rsid w:val="00F716BF"/>
    <w:rsid w:val="00F76AFC"/>
    <w:rsid w:val="00F8319B"/>
    <w:rsid w:val="00F97B56"/>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DE"/>
    <w:pPr>
      <w:spacing w:after="200" w:line="276" w:lineRule="auto"/>
      <w:jc w:val="both"/>
    </w:pPr>
    <w:rPr>
      <w:rFonts w:ascii="Calibri" w:eastAsia="Calibri" w:hAnsi="Calibri" w:cs="Calibri"/>
      <w:sz w:val="24"/>
      <w:szCs w:val="24"/>
      <w:lang w:val="es-MX" w:eastAsia="es-ES_tradnl"/>
    </w:rPr>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jc w:val="left"/>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jc w:val="left"/>
    </w:pPr>
    <w:rPr>
      <w:rFonts w:asciiTheme="minorHAnsi" w:eastAsiaTheme="minorHAnsi" w:hAnsiTheme="minorHAnsi" w:cstheme="minorBidi"/>
      <w:sz w:val="20"/>
      <w:szCs w:val="20"/>
      <w:lang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spacing w:after="160" w:line="259" w:lineRule="auto"/>
      <w:ind w:left="720"/>
      <w:contextualSpacing/>
      <w:jc w:val="left"/>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spacing w:after="0" w:line="240" w:lineRule="auto"/>
      <w:contextualSpacing/>
      <w:jc w:val="left"/>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line="240" w:lineRule="auto"/>
      <w:jc w:val="left"/>
    </w:pPr>
    <w:rPr>
      <w:rFonts w:asciiTheme="minorHAnsi" w:eastAsiaTheme="minorHAnsi" w:hAnsiTheme="minorHAnsi" w:cstheme="minorBidi"/>
      <w:sz w:val="20"/>
      <w:szCs w:val="20"/>
      <w:lang w:val="es-CO"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uiPriority w:val="99"/>
    <w:rsid w:val="003D47BD"/>
    <w:pPr>
      <w:spacing w:after="160" w:line="240" w:lineRule="exact"/>
    </w:pPr>
    <w:rPr>
      <w:rFonts w:asciiTheme="minorHAnsi" w:eastAsiaTheme="minorHAnsi" w:hAnsiTheme="minorHAnsi" w:cstheme="minorBidi"/>
      <w:sz w:val="22"/>
      <w:szCs w:val="22"/>
      <w:vertAlign w:val="superscript"/>
      <w:lang w:val="es-CO" w:eastAsia="en-US"/>
    </w:rPr>
  </w:style>
  <w:style w:type="table" w:customStyle="1" w:styleId="Tablaconcuadrcula11">
    <w:name w:val="Tabla con cuadrícula11"/>
    <w:basedOn w:val="Tablanormal"/>
    <w:next w:val="Tablaconcuadrcula"/>
    <w:uiPriority w:val="5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Textoindependiente">
    <w:name w:val="Body Text"/>
    <w:basedOn w:val="Normal"/>
    <w:link w:val="TextoindependienteCar"/>
    <w:uiPriority w:val="99"/>
    <w:semiHidden/>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TextoindependienteCar">
    <w:name w:val="Texto independiente Car"/>
    <w:basedOn w:val="Fuentedeprrafopredeter"/>
    <w:link w:val="Textoindependiente"/>
    <w:uiPriority w:val="99"/>
    <w:semiHidden/>
    <w:rsid w:val="005875C6"/>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NormalWebCar">
    <w:name w:val="Normal (Web) Car"/>
    <w:link w:val="NormalWeb"/>
    <w:uiPriority w:val="99"/>
    <w:rsid w:val="005875C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875C6"/>
    <w:pPr>
      <w:spacing w:after="0" w:line="240" w:lineRule="auto"/>
      <w:jc w:val="left"/>
    </w:pPr>
    <w:rPr>
      <w:rFonts w:asciiTheme="minorHAnsi" w:eastAsiaTheme="minorHAnsi" w:hAnsiTheme="minorHAnsi" w:cstheme="minorBidi"/>
      <w:sz w:val="20"/>
      <w:szCs w:val="20"/>
      <w:lang w:eastAsia="en-US"/>
    </w:rPr>
  </w:style>
  <w:style w:type="character" w:styleId="Mencinsinresolver">
    <w:name w:val="Unresolved Mention"/>
    <w:basedOn w:val="Fuentedeprrafopredeter"/>
    <w:uiPriority w:val="99"/>
    <w:semiHidden/>
    <w:unhideWhenUsed/>
    <w:rsid w:val="00F97B56"/>
    <w:rPr>
      <w:color w:val="605E5C"/>
      <w:shd w:val="clear" w:color="auto" w:fill="E1DFDD"/>
    </w:rPr>
  </w:style>
  <w:style w:type="character" w:styleId="Hipervnculovisitado">
    <w:name w:val="FollowedHyperlink"/>
    <w:basedOn w:val="Fuentedeprrafopredeter"/>
    <w:uiPriority w:val="99"/>
    <w:semiHidden/>
    <w:unhideWhenUsed/>
    <w:rsid w:val="00554F8C"/>
    <w:rPr>
      <w:color w:val="954F72" w:themeColor="followedHyperlink"/>
      <w:u w:val="single"/>
    </w:rPr>
  </w:style>
  <w:style w:type="table" w:customStyle="1" w:styleId="2">
    <w:name w:val="2"/>
    <w:basedOn w:val="Tablanormal"/>
    <w:rsid w:val="007004DE"/>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styleId="Sinespaciado">
    <w:name w:val="No Spacing"/>
    <w:aliases w:val="No Indent"/>
    <w:link w:val="SinespaciadoCar"/>
    <w:uiPriority w:val="1"/>
    <w:qFormat/>
    <w:rsid w:val="004A5028"/>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A5028"/>
    <w:rPr>
      <w:rFonts w:ascii="Geomanist Light" w:hAnsi="Geomanist Light"/>
      <w:lang w:val="es-ES"/>
    </w:rPr>
  </w:style>
  <w:style w:type="character" w:customStyle="1" w:styleId="SinespaciadoCar">
    <w:name w:val="Sin espaciado Car"/>
    <w:aliases w:val="No Indent Car"/>
    <w:link w:val="Sinespaciado"/>
    <w:uiPriority w:val="3"/>
    <w:rsid w:val="004A5028"/>
    <w:rPr>
      <w:sz w:val="24"/>
      <w:lang w:val="es-MX"/>
    </w:rPr>
  </w:style>
  <w:style w:type="paragraph" w:customStyle="1" w:styleId="paragraph">
    <w:name w:val="paragraph"/>
    <w:basedOn w:val="Normal"/>
    <w:rsid w:val="004A5028"/>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eop">
    <w:name w:val="eop"/>
    <w:basedOn w:val="Fuentedeprrafopredeter"/>
    <w:rsid w:val="004A5028"/>
  </w:style>
  <w:style w:type="character" w:styleId="Textoennegrita">
    <w:name w:val="Strong"/>
    <w:basedOn w:val="Fuentedeprrafopredeter"/>
    <w:uiPriority w:val="22"/>
    <w:qFormat/>
    <w:rsid w:val="00206DD7"/>
    <w:rPr>
      <w:b/>
      <w:bCs/>
    </w:rPr>
  </w:style>
  <w:style w:type="character" w:styleId="nfasis">
    <w:name w:val="Emphasis"/>
    <w:basedOn w:val="Fuentedeprrafopredeter"/>
    <w:uiPriority w:val="20"/>
    <w:qFormat/>
    <w:rsid w:val="00206DD7"/>
    <w:rPr>
      <w:i/>
      <w:iCs/>
    </w:rPr>
  </w:style>
  <w:style w:type="paragraph" w:customStyle="1" w:styleId="gmail-msonospacing">
    <w:name w:val="gmail-msonospacing"/>
    <w:basedOn w:val="Normal"/>
    <w:rsid w:val="00206DD7"/>
    <w:pPr>
      <w:spacing w:before="100" w:beforeAutospacing="1" w:after="100" w:afterAutospacing="1" w:line="240" w:lineRule="auto"/>
      <w:jc w:val="left"/>
    </w:pPr>
    <w:rPr>
      <w:rFonts w:eastAsiaTheme="minorHAnsi"/>
      <w:sz w:val="22"/>
      <w:szCs w:val="2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947026">
      <w:bodyDiv w:val="1"/>
      <w:marLeft w:val="0"/>
      <w:marRight w:val="0"/>
      <w:marTop w:val="0"/>
      <w:marBottom w:val="0"/>
      <w:divBdr>
        <w:top w:val="none" w:sz="0" w:space="0" w:color="auto"/>
        <w:left w:val="none" w:sz="0" w:space="0" w:color="auto"/>
        <w:bottom w:val="none" w:sz="0" w:space="0" w:color="auto"/>
        <w:right w:val="none" w:sz="0" w:space="0" w:color="auto"/>
      </w:divBdr>
    </w:div>
    <w:div w:id="502354894">
      <w:bodyDiv w:val="1"/>
      <w:marLeft w:val="0"/>
      <w:marRight w:val="0"/>
      <w:marTop w:val="0"/>
      <w:marBottom w:val="0"/>
      <w:divBdr>
        <w:top w:val="none" w:sz="0" w:space="0" w:color="auto"/>
        <w:left w:val="none" w:sz="0" w:space="0" w:color="auto"/>
        <w:bottom w:val="none" w:sz="0" w:space="0" w:color="auto"/>
        <w:right w:val="none" w:sz="0" w:space="0" w:color="auto"/>
      </w:divBdr>
    </w:div>
    <w:div w:id="1255475428">
      <w:bodyDiv w:val="1"/>
      <w:marLeft w:val="0"/>
      <w:marRight w:val="0"/>
      <w:marTop w:val="0"/>
      <w:marBottom w:val="0"/>
      <w:divBdr>
        <w:top w:val="none" w:sz="0" w:space="0" w:color="auto"/>
        <w:left w:val="none" w:sz="0" w:space="0" w:color="auto"/>
        <w:bottom w:val="none" w:sz="0" w:space="0" w:color="auto"/>
        <w:right w:val="none" w:sz="0" w:space="0" w:color="auto"/>
      </w:divBdr>
    </w:div>
    <w:div w:id="1365596617">
      <w:bodyDiv w:val="1"/>
      <w:marLeft w:val="0"/>
      <w:marRight w:val="0"/>
      <w:marTop w:val="0"/>
      <w:marBottom w:val="0"/>
      <w:divBdr>
        <w:top w:val="none" w:sz="0" w:space="0" w:color="auto"/>
        <w:left w:val="none" w:sz="0" w:space="0" w:color="auto"/>
        <w:bottom w:val="none" w:sz="0" w:space="0" w:color="auto"/>
        <w:right w:val="none" w:sz="0" w:space="0" w:color="auto"/>
      </w:divBdr>
    </w:div>
    <w:div w:id="19718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tricia.pimienta@inpec.gov.c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0B1A052-D3BA-4DF5-8ED8-3F6DE9B3F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5407</Words>
  <Characters>29742</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35079</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4</cp:revision>
  <dcterms:created xsi:type="dcterms:W3CDTF">2023-02-20T17:06:00Z</dcterms:created>
  <dcterms:modified xsi:type="dcterms:W3CDTF">2023-02-20T17:18:00Z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