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C3D00" w14:textId="77777777" w:rsidR="0050272A" w:rsidRPr="00A945B9" w:rsidRDefault="0050272A" w:rsidP="00656551">
      <w:pPr>
        <w:jc w:val="both"/>
        <w:rPr>
          <w:rFonts w:ascii="Arial" w:eastAsia="Calibri" w:hAnsi="Arial" w:cs="Arial"/>
          <w:sz w:val="22"/>
          <w:szCs w:val="22"/>
          <w:lang w:eastAsia="en-US"/>
        </w:rPr>
      </w:pPr>
      <w:r w:rsidRPr="00A945B9">
        <w:rPr>
          <w:rFonts w:ascii="Arial" w:eastAsia="Calibri" w:hAnsi="Arial" w:cs="Arial"/>
          <w:b/>
          <w:sz w:val="22"/>
          <w:szCs w:val="22"/>
          <w:lang w:eastAsia="en-US"/>
        </w:rPr>
        <w:t xml:space="preserve">SUPERVISIÓN – Noción ‒ </w:t>
      </w:r>
      <w:r w:rsidRPr="00A945B9">
        <w:rPr>
          <w:rFonts w:ascii="Arial" w:eastAsia="Calibri" w:hAnsi="Arial" w:cs="Arial"/>
          <w:b/>
          <w:bCs/>
          <w:sz w:val="22"/>
          <w:szCs w:val="22"/>
          <w:lang w:eastAsia="en-US"/>
        </w:rPr>
        <w:t xml:space="preserve">Ley 1474 de 2011 </w:t>
      </w:r>
    </w:p>
    <w:p w14:paraId="780CEAA2" w14:textId="77777777" w:rsidR="0050272A" w:rsidRPr="00A945B9" w:rsidRDefault="0050272A" w:rsidP="00656551">
      <w:pPr>
        <w:jc w:val="both"/>
        <w:rPr>
          <w:rFonts w:ascii="Arial" w:eastAsia="Calibri" w:hAnsi="Arial" w:cs="Arial"/>
          <w:sz w:val="20"/>
          <w:szCs w:val="20"/>
          <w:lang w:eastAsia="en-US"/>
        </w:rPr>
      </w:pPr>
    </w:p>
    <w:p w14:paraId="22924D8D" w14:textId="7B7A6C44" w:rsidR="0050272A" w:rsidRPr="00A945B9" w:rsidRDefault="00B47043" w:rsidP="00656551">
      <w:pPr>
        <w:jc w:val="both"/>
        <w:rPr>
          <w:rFonts w:ascii="Arial" w:eastAsia="Calibri" w:hAnsi="Arial" w:cs="Arial"/>
          <w:sz w:val="20"/>
          <w:szCs w:val="20"/>
          <w:lang w:eastAsia="en-US"/>
        </w:rPr>
      </w:pPr>
      <w:r w:rsidRPr="00A945B9">
        <w:rPr>
          <w:rFonts w:ascii="Arial" w:eastAsia="Calibri" w:hAnsi="Arial" w:cs="Arial"/>
          <w:sz w:val="20"/>
          <w:szCs w:val="20"/>
          <w:lang w:eastAsia="en-US"/>
        </w:rPr>
        <w:t xml:space="preserve">La </w:t>
      </w:r>
      <w:r w:rsidR="0050272A" w:rsidRPr="00A945B9">
        <w:rPr>
          <w:rFonts w:ascii="Arial" w:eastAsia="Calibri" w:hAnsi="Arial" w:cs="Arial"/>
          <w:sz w:val="20"/>
          <w:szCs w:val="20"/>
          <w:lang w:eastAsia="en-US"/>
        </w:rPr>
        <w:t>Ley 1474 de 2011 enmarcó el seguimiento, control y vigilancia de la ejecución del contrato estatal dentro del principio de moralidad administrativa. El artículo 83 ibidem 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14:paraId="4C2548F3" w14:textId="4D6C642C" w:rsidR="00CA27AC" w:rsidRPr="00A945B9" w:rsidRDefault="00CA27AC" w:rsidP="00656551">
      <w:pPr>
        <w:jc w:val="both"/>
        <w:rPr>
          <w:rFonts w:ascii="Arial" w:eastAsia="Calibri" w:hAnsi="Arial" w:cs="Arial"/>
          <w:sz w:val="20"/>
          <w:szCs w:val="20"/>
          <w:lang w:eastAsia="en-US"/>
        </w:rPr>
      </w:pPr>
    </w:p>
    <w:p w14:paraId="4301BE05" w14:textId="77777777" w:rsidR="00CA27AC" w:rsidRPr="00A945B9" w:rsidRDefault="00CA27AC" w:rsidP="00656551">
      <w:pPr>
        <w:jc w:val="both"/>
        <w:rPr>
          <w:rFonts w:ascii="Arial" w:eastAsia="Calibri" w:hAnsi="Arial" w:cs="Arial"/>
          <w:b/>
          <w:color w:val="000000" w:themeColor="text1"/>
          <w:sz w:val="22"/>
        </w:rPr>
      </w:pPr>
      <w:r w:rsidRPr="00A945B9">
        <w:rPr>
          <w:rFonts w:ascii="Arial" w:eastAsia="Calibri" w:hAnsi="Arial" w:cs="Arial"/>
          <w:b/>
          <w:color w:val="000000" w:themeColor="text1"/>
          <w:sz w:val="22"/>
        </w:rPr>
        <w:t>CONTRATOS ESTATALES – Deber de vigilancia y control</w:t>
      </w:r>
    </w:p>
    <w:p w14:paraId="34E392B2" w14:textId="77777777" w:rsidR="00CA27AC" w:rsidRPr="00A945B9" w:rsidRDefault="00CA27AC" w:rsidP="00656551">
      <w:pPr>
        <w:jc w:val="both"/>
        <w:rPr>
          <w:rFonts w:ascii="Arial" w:eastAsia="Calibri" w:hAnsi="Arial" w:cs="Arial"/>
          <w:bCs/>
          <w:color w:val="000000" w:themeColor="text1"/>
          <w:sz w:val="21"/>
          <w:szCs w:val="21"/>
        </w:rPr>
      </w:pPr>
    </w:p>
    <w:p w14:paraId="197F7814" w14:textId="77777777" w:rsidR="00CA27AC" w:rsidRPr="00A945B9" w:rsidRDefault="00CA27AC" w:rsidP="00656551">
      <w:pPr>
        <w:jc w:val="both"/>
        <w:rPr>
          <w:rFonts w:ascii="Arial" w:eastAsia="Calibri" w:hAnsi="Arial" w:cs="Arial"/>
          <w:bCs/>
          <w:color w:val="000000" w:themeColor="text1"/>
          <w:sz w:val="20"/>
          <w:szCs w:val="20"/>
        </w:rPr>
      </w:pPr>
      <w:r w:rsidRPr="00A945B9">
        <w:rPr>
          <w:rFonts w:ascii="Arial" w:hAnsi="Arial" w:cs="Arial"/>
          <w:bCs/>
          <w:color w:val="000000" w:themeColor="text1"/>
          <w:sz w:val="20"/>
          <w:szCs w:val="20"/>
        </w:rPr>
        <w:t>[…] l</w:t>
      </w:r>
      <w:r w:rsidRPr="00A945B9">
        <w:rPr>
          <w:rFonts w:ascii="Arial" w:hAnsi="Arial" w:cs="Arial"/>
          <w:color w:val="000000" w:themeColor="text1"/>
          <w:sz w:val="20"/>
          <w:szCs w:val="20"/>
        </w:rPr>
        <w:t>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14:paraId="4A2E60B2" w14:textId="77777777" w:rsidR="00CA27AC" w:rsidRPr="00A945B9" w:rsidRDefault="00CA27AC" w:rsidP="00656551">
      <w:pPr>
        <w:jc w:val="both"/>
        <w:rPr>
          <w:rFonts w:ascii="Arial" w:eastAsia="Calibri" w:hAnsi="Arial" w:cs="Arial"/>
          <w:b/>
          <w:color w:val="000000" w:themeColor="text1"/>
          <w:sz w:val="20"/>
          <w:szCs w:val="20"/>
        </w:rPr>
      </w:pPr>
    </w:p>
    <w:p w14:paraId="71B4B404" w14:textId="0415C7BF" w:rsidR="00CA27AC" w:rsidRPr="00A945B9" w:rsidRDefault="00CA27AC" w:rsidP="00656551">
      <w:pPr>
        <w:jc w:val="both"/>
        <w:rPr>
          <w:rFonts w:ascii="Arial" w:eastAsia="Calibri" w:hAnsi="Arial" w:cs="Arial"/>
          <w:b/>
          <w:color w:val="000000" w:themeColor="text1"/>
          <w:sz w:val="22"/>
        </w:rPr>
      </w:pPr>
      <w:r w:rsidRPr="00A945B9">
        <w:rPr>
          <w:rFonts w:ascii="Arial" w:eastAsia="Calibri" w:hAnsi="Arial" w:cs="Arial"/>
          <w:b/>
          <w:color w:val="000000" w:themeColor="text1"/>
          <w:sz w:val="22"/>
        </w:rPr>
        <w:t xml:space="preserve">SUPERVISIÓN – Características </w:t>
      </w:r>
    </w:p>
    <w:p w14:paraId="529CA488" w14:textId="77777777" w:rsidR="00B47043" w:rsidRPr="00A945B9" w:rsidRDefault="00B47043" w:rsidP="00656551">
      <w:pPr>
        <w:jc w:val="both"/>
        <w:rPr>
          <w:rFonts w:ascii="Arial" w:eastAsia="Calibri" w:hAnsi="Arial" w:cs="Arial"/>
          <w:b/>
          <w:color w:val="000000" w:themeColor="text1"/>
          <w:sz w:val="20"/>
          <w:szCs w:val="20"/>
        </w:rPr>
      </w:pPr>
    </w:p>
    <w:p w14:paraId="47D58B24" w14:textId="77777777" w:rsidR="00B47043" w:rsidRPr="00A945B9" w:rsidRDefault="00B47043" w:rsidP="00B47043">
      <w:pPr>
        <w:jc w:val="both"/>
        <w:rPr>
          <w:rFonts w:ascii="Arial" w:hAnsi="Arial" w:cs="Arial"/>
          <w:color w:val="000000" w:themeColor="text1"/>
          <w:sz w:val="20"/>
          <w:szCs w:val="20"/>
        </w:rPr>
      </w:pPr>
      <w:r w:rsidRPr="00A945B9">
        <w:rPr>
          <w:rFonts w:ascii="Arial" w:hAnsi="Arial" w:cs="Arial"/>
          <w:color w:val="000000" w:themeColor="text1"/>
          <w:sz w:val="20"/>
          <w:szCs w:val="20"/>
        </w:rPr>
        <w:t>se infieren las siguientes características, en relación con la supervisión: i) la labor de supervisión siempre existirá en relación con cualquier contrato estatal, incluidos los contratos de prestación de servicios ―a diferencia de la interventoría que depende del análisis de su necesidad y extensión ―;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v) le es inherente el seguimiento técnico, administrativo, financiero, contable, y jurídico del contrato vigilado.</w:t>
      </w:r>
    </w:p>
    <w:p w14:paraId="16515DCD" w14:textId="77777777" w:rsidR="00B47043" w:rsidRPr="00A945B9" w:rsidRDefault="00B47043" w:rsidP="00B47043">
      <w:pPr>
        <w:jc w:val="both"/>
        <w:rPr>
          <w:rFonts w:ascii="Arial" w:hAnsi="Arial" w:cs="Arial"/>
          <w:color w:val="000000" w:themeColor="text1"/>
          <w:sz w:val="20"/>
          <w:szCs w:val="20"/>
        </w:rPr>
      </w:pPr>
    </w:p>
    <w:p w14:paraId="4DD8F624" w14:textId="77777777" w:rsidR="00CA27AC" w:rsidRPr="00A945B9" w:rsidRDefault="00CA27AC" w:rsidP="00656551">
      <w:pPr>
        <w:jc w:val="both"/>
        <w:rPr>
          <w:rFonts w:ascii="Arial" w:eastAsia="Calibri" w:hAnsi="Arial" w:cs="Arial"/>
          <w:b/>
          <w:color w:val="000000" w:themeColor="text1"/>
          <w:sz w:val="22"/>
        </w:rPr>
      </w:pPr>
      <w:r w:rsidRPr="00A945B9">
        <w:rPr>
          <w:rFonts w:ascii="Arial" w:eastAsia="Calibri" w:hAnsi="Arial" w:cs="Arial"/>
          <w:b/>
          <w:color w:val="000000" w:themeColor="text1"/>
          <w:sz w:val="22"/>
        </w:rPr>
        <w:t>INTERVENTORÍA – Características</w:t>
      </w:r>
    </w:p>
    <w:p w14:paraId="1767AC81" w14:textId="77777777" w:rsidR="00CA27AC" w:rsidRPr="00A945B9" w:rsidRDefault="00CA27AC" w:rsidP="00656551">
      <w:pPr>
        <w:jc w:val="both"/>
        <w:rPr>
          <w:rFonts w:ascii="Arial" w:eastAsia="Calibri" w:hAnsi="Arial" w:cs="Arial"/>
          <w:b/>
          <w:color w:val="000000" w:themeColor="text1"/>
          <w:sz w:val="20"/>
          <w:szCs w:val="20"/>
        </w:rPr>
      </w:pPr>
    </w:p>
    <w:p w14:paraId="42B678AA" w14:textId="77777777" w:rsidR="00B47043" w:rsidRPr="00A945B9" w:rsidRDefault="00B47043" w:rsidP="00B47043">
      <w:pPr>
        <w:jc w:val="both"/>
        <w:rPr>
          <w:rFonts w:ascii="Arial" w:hAnsi="Arial" w:cs="Arial"/>
          <w:color w:val="000000" w:themeColor="text1"/>
          <w:sz w:val="20"/>
          <w:szCs w:val="20"/>
        </w:rPr>
      </w:pPr>
      <w:r w:rsidRPr="00A945B9">
        <w:rPr>
          <w:rFonts w:ascii="Arial" w:hAnsi="Arial" w:cs="Arial"/>
          <w:color w:val="000000" w:themeColor="text1"/>
          <w:sz w:val="20"/>
          <w:szCs w:val="20"/>
        </w:rPr>
        <w:t xml:space="preserve">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justifiquen» ―art. 83, Ley 1474 de 2011―. ii) Este mecanismo de vigilancia exige, en su ejecución, la utilización de conocimientos especializados. iii) Por lo anterior, la entidad contrata un experto a través de un concurso de méritos, al tratarse la interventoría de una especie del contrato de consultoría ―art. 32, numeral 2, inciso 2, Ley 80 de 1993 ―,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dentro de sus obligaciones se debe estipular que « las actividades técnicas a cargo del interventor y las demás quedarán a cargo de la Entidad a través del supervisor» </w:t>
      </w:r>
      <w:r w:rsidRPr="00A945B9">
        <w:rPr>
          <w:rFonts w:ascii="Arial" w:hAnsi="Arial" w:cs="Arial"/>
          <w:color w:val="000000" w:themeColor="text1"/>
          <w:sz w:val="20"/>
          <w:szCs w:val="20"/>
        </w:rPr>
        <w:lastRenderedPageBreak/>
        <w:t>―art. 83, inciso 3―. vi) El contrato de interventoría será supervisado directamente por la entidad ―art. 83, inciso 4―.</w:t>
      </w:r>
    </w:p>
    <w:p w14:paraId="789349A4" w14:textId="35FA50F5" w:rsidR="00CA27AC" w:rsidRPr="00A945B9" w:rsidRDefault="00CA27AC" w:rsidP="00656551">
      <w:pPr>
        <w:jc w:val="both"/>
        <w:rPr>
          <w:rFonts w:ascii="Arial" w:hAnsi="Arial" w:cs="Arial"/>
          <w:color w:val="000000" w:themeColor="text1"/>
          <w:sz w:val="20"/>
          <w:szCs w:val="20"/>
        </w:rPr>
      </w:pPr>
    </w:p>
    <w:p w14:paraId="32EB7563" w14:textId="3F2306F9" w:rsidR="00656551" w:rsidRPr="00A945B9" w:rsidRDefault="00656551" w:rsidP="00656551">
      <w:pPr>
        <w:jc w:val="both"/>
        <w:rPr>
          <w:rFonts w:ascii="Arial" w:eastAsia="Calibri" w:hAnsi="Arial" w:cs="Arial"/>
          <w:b/>
          <w:color w:val="000000" w:themeColor="text1"/>
          <w:sz w:val="22"/>
        </w:rPr>
      </w:pPr>
      <w:r w:rsidRPr="00A945B9">
        <w:rPr>
          <w:rFonts w:ascii="Arial" w:eastAsia="Calibri" w:hAnsi="Arial" w:cs="Arial"/>
          <w:b/>
          <w:color w:val="000000" w:themeColor="text1"/>
          <w:sz w:val="22"/>
        </w:rPr>
        <w:t>SUPERVISIÓN E INTERVENTORÍA – Concurrencia</w:t>
      </w:r>
    </w:p>
    <w:p w14:paraId="5F008B43" w14:textId="77777777" w:rsidR="00656551" w:rsidRPr="00A945B9" w:rsidRDefault="00656551" w:rsidP="00656551">
      <w:pPr>
        <w:jc w:val="both"/>
        <w:rPr>
          <w:rFonts w:ascii="Arial" w:hAnsi="Arial" w:cs="Arial"/>
          <w:color w:val="000000" w:themeColor="text1"/>
          <w:sz w:val="20"/>
          <w:szCs w:val="20"/>
        </w:rPr>
      </w:pPr>
    </w:p>
    <w:p w14:paraId="34C48D59" w14:textId="377C2FF8" w:rsidR="00656551" w:rsidRPr="00A945B9" w:rsidRDefault="00656551" w:rsidP="00656551">
      <w:pPr>
        <w:spacing w:before="120" w:after="120"/>
        <w:jc w:val="both"/>
        <w:rPr>
          <w:rFonts w:ascii="Arial" w:hAnsi="Arial" w:cs="Arial"/>
          <w:color w:val="000000" w:themeColor="text1"/>
          <w:sz w:val="20"/>
          <w:szCs w:val="20"/>
        </w:rPr>
      </w:pPr>
      <w:r w:rsidRPr="00A945B9">
        <w:rPr>
          <w:rFonts w:ascii="Arial" w:hAnsi="Arial" w:cs="Arial"/>
          <w:color w:val="000000" w:themeColor="text1"/>
          <w:sz w:val="20"/>
          <w:szCs w:val="20"/>
        </w:rPr>
        <w:t>[…] En cuanto a la concurrencia entre la Supervisión y la Interventoría, la «Guía para el ejercicio de las funciones de supervisión e interventoría de los contratos del Estado» indica que: Por regla general, las funciones de supervisión e interventoría no son concurrentes en relación con un mismo contrato.</w:t>
      </w:r>
    </w:p>
    <w:p w14:paraId="736F4FD8" w14:textId="77777777" w:rsidR="00656551" w:rsidRPr="00A945B9" w:rsidRDefault="00656551" w:rsidP="00656551">
      <w:pPr>
        <w:spacing w:before="120" w:after="120"/>
        <w:ind w:right="49"/>
        <w:jc w:val="both"/>
        <w:rPr>
          <w:rFonts w:ascii="Arial" w:hAnsi="Arial" w:cs="Arial"/>
          <w:color w:val="000000" w:themeColor="text1"/>
          <w:sz w:val="20"/>
          <w:szCs w:val="20"/>
        </w:rPr>
      </w:pPr>
      <w:r w:rsidRPr="00A945B9">
        <w:rPr>
          <w:rFonts w:ascii="Arial" w:hAnsi="Arial" w:cs="Arial"/>
          <w:color w:val="000000" w:themeColor="text1"/>
          <w:sz w:val="20"/>
          <w:szCs w:val="20"/>
        </w:rPr>
        <w:t xml:space="preserve">Sin embargo, en caso de que sea necesario, la Entidad Estatal puede determinar que la vigilancia del contrato principal se realice de manera conjunta entre un supervisor y un interventor, caso en el cual en el contrato de interventoría deben indicarse las actividades a cargo del interventor, de tal manera que las demás actividades de vigilancia se entienden a cargo del supervisor, sin que en ningún caso pueda haber duplicidad de funciones. </w:t>
      </w:r>
    </w:p>
    <w:p w14:paraId="1056FA5F" w14:textId="77777777" w:rsidR="00656551" w:rsidRPr="00A945B9" w:rsidRDefault="00656551" w:rsidP="00656551">
      <w:pPr>
        <w:spacing w:before="120" w:after="120"/>
        <w:ind w:right="49"/>
        <w:jc w:val="both"/>
        <w:rPr>
          <w:rFonts w:ascii="Arial" w:hAnsi="Arial" w:cs="Arial"/>
          <w:color w:val="000000" w:themeColor="text1"/>
          <w:sz w:val="20"/>
          <w:szCs w:val="20"/>
        </w:rPr>
      </w:pPr>
      <w:r w:rsidRPr="00A945B9">
        <w:rPr>
          <w:rFonts w:ascii="Arial" w:hAnsi="Arial" w:cs="Arial"/>
          <w:color w:val="000000" w:themeColor="text1"/>
          <w:sz w:val="20"/>
          <w:szCs w:val="20"/>
        </w:rPr>
        <w:t>En estos casos, también es recomendable que en la designación que se haga al supervisor del contrato se especifique el tipo de seguimiento que debe hacer a la ejecución contractual, con el fin de que sepa que algunas de las actividades propias de la supervisión van a ser ejercidas por la interventoría.</w:t>
      </w:r>
    </w:p>
    <w:p w14:paraId="4BFFA5AB" w14:textId="77777777" w:rsidR="00656551" w:rsidRPr="00A945B9" w:rsidRDefault="00656551" w:rsidP="00656551">
      <w:pPr>
        <w:jc w:val="both"/>
        <w:rPr>
          <w:rFonts w:ascii="Arial" w:eastAsia="Calibri" w:hAnsi="Arial" w:cs="Arial"/>
          <w:b/>
          <w:bCs/>
          <w:sz w:val="22"/>
          <w:szCs w:val="22"/>
          <w:lang w:val="es-MX" w:eastAsia="en-US"/>
        </w:rPr>
      </w:pPr>
    </w:p>
    <w:p w14:paraId="5ECECEEE" w14:textId="21CA6AC4" w:rsidR="0050272A" w:rsidRDefault="0050272A" w:rsidP="00656551">
      <w:pPr>
        <w:jc w:val="both"/>
        <w:rPr>
          <w:rFonts w:ascii="Arial" w:eastAsia="Calibri" w:hAnsi="Arial" w:cs="Arial"/>
          <w:b/>
          <w:bCs/>
          <w:sz w:val="22"/>
          <w:szCs w:val="22"/>
          <w:lang w:val="es-MX" w:eastAsia="en-US"/>
        </w:rPr>
      </w:pPr>
      <w:r w:rsidRPr="00A945B9">
        <w:rPr>
          <w:rFonts w:ascii="Arial" w:eastAsia="Calibri" w:hAnsi="Arial" w:cs="Arial"/>
          <w:b/>
          <w:bCs/>
          <w:sz w:val="22"/>
          <w:szCs w:val="22"/>
          <w:lang w:val="es-MX" w:eastAsia="en-US"/>
        </w:rPr>
        <w:t>SUPERVISIÓN – Designación – Plazo</w:t>
      </w:r>
      <w:r w:rsidR="004379ED">
        <w:rPr>
          <w:rFonts w:ascii="Arial" w:eastAsia="Calibri" w:hAnsi="Arial" w:cs="Arial"/>
          <w:b/>
          <w:bCs/>
          <w:sz w:val="22"/>
          <w:szCs w:val="22"/>
          <w:lang w:val="es-MX" w:eastAsia="en-US"/>
        </w:rPr>
        <w:t xml:space="preserve"> </w:t>
      </w:r>
    </w:p>
    <w:p w14:paraId="5CA8F9FD" w14:textId="77777777" w:rsidR="004379ED" w:rsidRPr="00A945B9" w:rsidRDefault="004379ED" w:rsidP="00656551">
      <w:pPr>
        <w:jc w:val="both"/>
        <w:rPr>
          <w:rFonts w:ascii="Arial" w:eastAsia="Calibri" w:hAnsi="Arial" w:cs="Arial"/>
          <w:b/>
          <w:sz w:val="20"/>
          <w:szCs w:val="20"/>
          <w:lang w:val="es-MX" w:eastAsia="en-US"/>
        </w:rPr>
      </w:pPr>
    </w:p>
    <w:p w14:paraId="2C3CC519" w14:textId="08BED1B9" w:rsidR="0050272A" w:rsidRPr="00A945B9" w:rsidRDefault="00AE0814" w:rsidP="00AE0814">
      <w:pPr>
        <w:jc w:val="both"/>
        <w:rPr>
          <w:rFonts w:ascii="Arial" w:eastAsia="Calibri" w:hAnsi="Arial" w:cs="Arial"/>
          <w:sz w:val="22"/>
          <w:szCs w:val="22"/>
          <w:lang w:val="es-MX" w:eastAsia="en-US"/>
        </w:rPr>
      </w:pPr>
      <w:r w:rsidRPr="00A945B9">
        <w:rPr>
          <w:rFonts w:ascii="Arial" w:eastAsiaTheme="minorHAnsi" w:hAnsi="Arial" w:cs="Arial"/>
          <w:sz w:val="20"/>
          <w:szCs w:val="20"/>
          <w:lang w:val="es-MX" w:eastAsia="en-US"/>
        </w:rPr>
        <w:t>En consecuencia, la designación podrá hacerse por el representante legal de la entidad o por el ordenador del gasto, en caso de que esta función se encuentre delegada, después de iniciada la planeación del contrato, pero a más tardar en  al momento de la adjudicación, sin perjuicio de las funciones  que se definan en el pliego de condiciones, en cláusulas del contrato, en el manual de contratación o en el acto por medio del cual se asigne la función al servidor público escogido para ejercer la supervisión</w:t>
      </w:r>
    </w:p>
    <w:p w14:paraId="1F7D26C7" w14:textId="5CD2C1EA" w:rsidR="00D34DC5" w:rsidRPr="00A945B9" w:rsidRDefault="00D34DC5" w:rsidP="00DA1704">
      <w:pPr>
        <w:tabs>
          <w:tab w:val="left" w:pos="1845"/>
        </w:tabs>
        <w:rPr>
          <w:rFonts w:ascii="Arial" w:hAnsi="Arial" w:cs="Arial"/>
          <w:bCs/>
          <w:color w:val="000000" w:themeColor="text1"/>
          <w:sz w:val="22"/>
          <w:szCs w:val="22"/>
        </w:rPr>
      </w:pPr>
    </w:p>
    <w:p w14:paraId="2D9E0A3C" w14:textId="6D6E9C78" w:rsidR="00D34DC5" w:rsidRDefault="004379ED" w:rsidP="0050272A">
      <w:pPr>
        <w:rPr>
          <w:rFonts w:ascii="Arial" w:hAnsi="Arial" w:cs="Arial"/>
          <w:bCs/>
          <w:color w:val="000000" w:themeColor="text1"/>
          <w:sz w:val="22"/>
          <w:szCs w:val="22"/>
        </w:rPr>
      </w:pPr>
      <w:r>
        <w:rPr>
          <w:rFonts w:ascii="Arial" w:eastAsia="Calibri" w:hAnsi="Arial" w:cs="Arial"/>
          <w:b/>
          <w:bCs/>
          <w:sz w:val="22"/>
          <w:szCs w:val="22"/>
          <w:lang w:val="es-MX" w:eastAsia="en-US"/>
        </w:rPr>
        <w:t xml:space="preserve">COMISARIO DE FAMÍLIA </w:t>
      </w:r>
      <w:r w:rsidRPr="004379ED">
        <w:rPr>
          <w:rFonts w:ascii="Arial" w:eastAsia="Calibri" w:hAnsi="Arial" w:cs="Arial"/>
          <w:b/>
          <w:bCs/>
          <w:sz w:val="22"/>
          <w:szCs w:val="22"/>
          <w:lang w:val="es-MX" w:eastAsia="en-US"/>
        </w:rPr>
        <w:t>–</w:t>
      </w:r>
      <w:r>
        <w:rPr>
          <w:rFonts w:ascii="Arial" w:eastAsia="Calibri" w:hAnsi="Arial" w:cs="Arial"/>
          <w:b/>
          <w:bCs/>
          <w:sz w:val="22"/>
          <w:szCs w:val="22"/>
          <w:lang w:val="es-MX" w:eastAsia="en-US"/>
        </w:rPr>
        <w:t xml:space="preserve"> Funciones</w:t>
      </w:r>
    </w:p>
    <w:p w14:paraId="0A4FC92F" w14:textId="31E5CEA4" w:rsidR="00AD4D65" w:rsidRDefault="00AD4D65" w:rsidP="0050272A">
      <w:pPr>
        <w:rPr>
          <w:rFonts w:ascii="Arial" w:hAnsi="Arial" w:cs="Arial"/>
          <w:bCs/>
          <w:color w:val="000000" w:themeColor="text1"/>
          <w:sz w:val="22"/>
          <w:szCs w:val="22"/>
        </w:rPr>
      </w:pPr>
    </w:p>
    <w:p w14:paraId="583536C1" w14:textId="33AF4389" w:rsidR="00AD4D65" w:rsidRPr="004379ED" w:rsidRDefault="004379ED" w:rsidP="004379ED">
      <w:pPr>
        <w:jc w:val="both"/>
        <w:rPr>
          <w:rFonts w:ascii="Arial" w:eastAsiaTheme="minorHAnsi" w:hAnsi="Arial" w:cs="Arial"/>
          <w:sz w:val="20"/>
          <w:szCs w:val="20"/>
          <w:lang w:val="es-MX" w:eastAsia="en-US"/>
        </w:rPr>
      </w:pPr>
      <w:r w:rsidRPr="004379ED">
        <w:rPr>
          <w:rFonts w:ascii="Arial" w:eastAsiaTheme="minorHAnsi" w:hAnsi="Arial" w:cs="Arial"/>
          <w:sz w:val="20"/>
          <w:szCs w:val="20"/>
          <w:lang w:val="es-MX" w:eastAsia="en-US"/>
        </w:rPr>
        <w:t xml:space="preserve">Dado que el Comisario de Familia es un servidor público de carrera administrativa, sus funciones se deben ceñir a lo dispuesta en la norma anteriormente citada y al respectivo manual específico de funciones y competencias </w:t>
      </w:r>
      <w:r w:rsidR="00D11252" w:rsidRPr="004379ED">
        <w:rPr>
          <w:rFonts w:ascii="Arial" w:eastAsiaTheme="minorHAnsi" w:hAnsi="Arial" w:cs="Arial"/>
          <w:sz w:val="20"/>
          <w:szCs w:val="20"/>
          <w:lang w:val="es-MX" w:eastAsia="en-US"/>
        </w:rPr>
        <w:t>laborales,</w:t>
      </w:r>
      <w:r w:rsidRPr="004379ED">
        <w:rPr>
          <w:rFonts w:ascii="Arial" w:eastAsiaTheme="minorHAnsi" w:hAnsi="Arial" w:cs="Arial"/>
          <w:sz w:val="20"/>
          <w:szCs w:val="20"/>
          <w:lang w:val="es-MX" w:eastAsia="en-US"/>
        </w:rPr>
        <w:t xml:space="preserve"> en donde consta, ente otros, el área funcional, la descripción de funciones esenciales, los conocimientos básicos, las competencias comportamentales y los requisitos de formación académica del Comisario de Familia. En cuanto a la posibilidad de que el Comisario/Defensor de Familia funja como supervisor de un contrato de prestación de servicios dependerá, en estricto sentido, del ejercicio de su deber funcional, entendido este como las funciones descritas en el artículo 86 de la Ley 1098 de 2006, y de las directrices y funciones específicas que le asigne el jefe inmediato, siempre que estas se encuentren circunscritas al nivel jerárquico, naturaleza jerárquica y área funcional del empleo, estas directrices se fundamentan en la asignación de funciones a los servidores públicos de que trata el artículo 2.2.5.5.52 del Decreto 1083 de 2015</w:t>
      </w:r>
    </w:p>
    <w:p w14:paraId="01C5935E" w14:textId="13B3326D" w:rsidR="00AD4D65" w:rsidRDefault="00AD4D65" w:rsidP="0050272A">
      <w:pPr>
        <w:rPr>
          <w:rFonts w:ascii="Arial" w:hAnsi="Arial" w:cs="Arial"/>
          <w:bCs/>
          <w:color w:val="000000" w:themeColor="text1"/>
          <w:sz w:val="22"/>
          <w:szCs w:val="22"/>
        </w:rPr>
      </w:pPr>
    </w:p>
    <w:p w14:paraId="5CA238B2" w14:textId="5665DEE0" w:rsidR="00AD4D65" w:rsidRDefault="00AD4D65" w:rsidP="0050272A">
      <w:pPr>
        <w:rPr>
          <w:rFonts w:ascii="Arial" w:hAnsi="Arial" w:cs="Arial"/>
          <w:bCs/>
          <w:color w:val="000000" w:themeColor="text1"/>
          <w:sz w:val="22"/>
          <w:szCs w:val="22"/>
        </w:rPr>
      </w:pPr>
    </w:p>
    <w:p w14:paraId="1D242BE4" w14:textId="0FB48E9E" w:rsidR="00AD4D65" w:rsidRDefault="00AD4D65" w:rsidP="0050272A">
      <w:pPr>
        <w:rPr>
          <w:rFonts w:ascii="Arial" w:hAnsi="Arial" w:cs="Arial"/>
          <w:bCs/>
          <w:color w:val="000000" w:themeColor="text1"/>
          <w:sz w:val="22"/>
          <w:szCs w:val="22"/>
        </w:rPr>
      </w:pPr>
    </w:p>
    <w:p w14:paraId="1CCFED23" w14:textId="6FC911DB" w:rsidR="00AD4D65" w:rsidRDefault="00AD4D65" w:rsidP="0050272A">
      <w:pPr>
        <w:rPr>
          <w:rFonts w:ascii="Arial" w:hAnsi="Arial" w:cs="Arial"/>
          <w:bCs/>
          <w:color w:val="000000" w:themeColor="text1"/>
          <w:sz w:val="22"/>
          <w:szCs w:val="22"/>
        </w:rPr>
      </w:pPr>
    </w:p>
    <w:p w14:paraId="0FBEFCF7" w14:textId="2CFB53B1" w:rsidR="00AD4D65" w:rsidRDefault="00AD4D65" w:rsidP="0050272A">
      <w:pPr>
        <w:rPr>
          <w:rFonts w:ascii="Arial" w:hAnsi="Arial" w:cs="Arial"/>
          <w:bCs/>
          <w:color w:val="000000" w:themeColor="text1"/>
          <w:sz w:val="22"/>
          <w:szCs w:val="22"/>
        </w:rPr>
      </w:pPr>
    </w:p>
    <w:p w14:paraId="354E2E10" w14:textId="125027FD" w:rsidR="00D34DC5" w:rsidRPr="00A945B9" w:rsidRDefault="00D34DC5" w:rsidP="00D11252">
      <w:pPr>
        <w:rPr>
          <w:rFonts w:ascii="Arial" w:hAnsi="Arial" w:cs="Arial"/>
          <w:bCs/>
          <w:color w:val="000000" w:themeColor="text1"/>
          <w:sz w:val="22"/>
          <w:szCs w:val="22"/>
        </w:rPr>
      </w:pPr>
    </w:p>
    <w:p w14:paraId="3FB9D2EE" w14:textId="625A60C0" w:rsidR="005B2B0B" w:rsidRPr="00A945B9" w:rsidRDefault="002220AD" w:rsidP="0050272A">
      <w:pPr>
        <w:rPr>
          <w:rFonts w:ascii="Arial" w:hAnsi="Arial" w:cs="Arial"/>
          <w:bCs/>
          <w:color w:val="000000" w:themeColor="text1"/>
          <w:sz w:val="22"/>
          <w:szCs w:val="22"/>
        </w:rPr>
      </w:pPr>
      <w:r>
        <w:rPr>
          <w:rFonts w:ascii="Arial" w:hAnsi="Arial" w:cs="Arial"/>
          <w:bCs/>
          <w:color w:val="000000" w:themeColor="text1"/>
          <w:sz w:val="22"/>
          <w:szCs w:val="22"/>
        </w:rPr>
        <w:lastRenderedPageBreak/>
        <w:t xml:space="preserve">Bogotá D.C., </w:t>
      </w:r>
      <w:r w:rsidRPr="005E02D9">
        <w:rPr>
          <w:rFonts w:ascii="Arial" w:hAnsi="Arial" w:cs="Arial"/>
          <w:bCs/>
          <w:color w:val="000000" w:themeColor="text1"/>
          <w:sz w:val="22"/>
          <w:szCs w:val="22"/>
        </w:rPr>
        <w:t>XX</w:t>
      </w:r>
      <w:r>
        <w:rPr>
          <w:rFonts w:ascii="Arial" w:hAnsi="Arial" w:cs="Arial"/>
          <w:bCs/>
          <w:color w:val="000000" w:themeColor="text1"/>
          <w:sz w:val="22"/>
          <w:szCs w:val="22"/>
        </w:rPr>
        <w:t xml:space="preserve"> de noviembre de 2022.</w:t>
      </w:r>
    </w:p>
    <w:p w14:paraId="4BE88D09" w14:textId="62468621" w:rsidR="002220AD" w:rsidRDefault="002220AD" w:rsidP="0050272A">
      <w:pPr>
        <w:rPr>
          <w:rFonts w:ascii="Arial" w:hAnsi="Arial" w:cs="Arial"/>
          <w:bCs/>
          <w:color w:val="000000" w:themeColor="text1"/>
          <w:sz w:val="22"/>
        </w:rPr>
      </w:pPr>
    </w:p>
    <w:p w14:paraId="46948E82" w14:textId="673028BF" w:rsidR="002F2917" w:rsidRDefault="002F2917" w:rsidP="002F2917">
      <w:pPr>
        <w:jc w:val="right"/>
        <w:rPr>
          <w:rFonts w:ascii="Arial" w:hAnsi="Arial" w:cs="Arial"/>
          <w:bCs/>
          <w:color w:val="000000" w:themeColor="text1"/>
          <w:sz w:val="22"/>
        </w:rPr>
      </w:pPr>
      <w:r w:rsidRPr="002F2917">
        <w:rPr>
          <w:rFonts w:ascii="Arial" w:hAnsi="Arial" w:cs="Arial"/>
          <w:bCs/>
          <w:noProof/>
          <w:color w:val="000000" w:themeColor="text1"/>
          <w:sz w:val="22"/>
        </w:rPr>
        <w:drawing>
          <wp:inline distT="0" distB="0" distL="0" distR="0" wp14:anchorId="5029400C" wp14:editId="76ED198C">
            <wp:extent cx="3369945" cy="931984"/>
            <wp:effectExtent l="0" t="0" r="1905" b="190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79011" cy="934491"/>
                    </a:xfrm>
                    <a:prstGeom prst="rect">
                      <a:avLst/>
                    </a:prstGeom>
                    <a:noFill/>
                    <a:ln>
                      <a:noFill/>
                    </a:ln>
                  </pic:spPr>
                </pic:pic>
              </a:graphicData>
            </a:graphic>
          </wp:inline>
        </w:drawing>
      </w:r>
    </w:p>
    <w:p w14:paraId="409D06A6" w14:textId="77777777" w:rsidR="002F2917" w:rsidRDefault="002F2917" w:rsidP="0050272A">
      <w:pPr>
        <w:rPr>
          <w:rFonts w:ascii="Arial" w:hAnsi="Arial" w:cs="Arial"/>
          <w:bCs/>
          <w:color w:val="000000" w:themeColor="text1"/>
          <w:sz w:val="22"/>
        </w:rPr>
      </w:pPr>
    </w:p>
    <w:p w14:paraId="3A9A0B94" w14:textId="7525F302" w:rsidR="0050272A" w:rsidRPr="00A945B9" w:rsidRDefault="0050272A" w:rsidP="0050272A">
      <w:pPr>
        <w:rPr>
          <w:rFonts w:ascii="Arial" w:hAnsi="Arial" w:cs="Arial"/>
          <w:bCs/>
          <w:color w:val="000000" w:themeColor="text1"/>
          <w:sz w:val="22"/>
        </w:rPr>
      </w:pPr>
      <w:r w:rsidRPr="00A945B9">
        <w:rPr>
          <w:rFonts w:ascii="Arial" w:hAnsi="Arial" w:cs="Arial"/>
          <w:bCs/>
          <w:color w:val="000000" w:themeColor="text1"/>
          <w:sz w:val="22"/>
        </w:rPr>
        <w:t>Señor</w:t>
      </w:r>
    </w:p>
    <w:p w14:paraId="6DD245CD" w14:textId="6AB69E45" w:rsidR="002220AD" w:rsidRPr="00A945B9" w:rsidRDefault="00C6714D" w:rsidP="0050272A">
      <w:pPr>
        <w:jc w:val="both"/>
        <w:rPr>
          <w:rFonts w:ascii="Arial" w:hAnsi="Arial" w:cs="Arial"/>
          <w:b/>
          <w:color w:val="000000" w:themeColor="text1"/>
          <w:sz w:val="22"/>
        </w:rPr>
      </w:pPr>
      <w:r>
        <w:rPr>
          <w:rFonts w:ascii="Arial" w:hAnsi="Arial" w:cs="Arial"/>
          <w:b/>
          <w:color w:val="000000" w:themeColor="text1"/>
          <w:sz w:val="22"/>
        </w:rPr>
        <w:t xml:space="preserve">Carlos Ferney Murcia </w:t>
      </w:r>
    </w:p>
    <w:p w14:paraId="1C7A942A" w14:textId="4F8EEE27" w:rsidR="0050272A" w:rsidRPr="00A945B9" w:rsidRDefault="0050272A" w:rsidP="0050272A">
      <w:pPr>
        <w:jc w:val="both"/>
        <w:rPr>
          <w:rFonts w:ascii="Arial" w:hAnsi="Arial" w:cs="Arial"/>
          <w:bCs/>
          <w:color w:val="000000" w:themeColor="text1"/>
          <w:sz w:val="22"/>
        </w:rPr>
      </w:pPr>
      <w:r w:rsidRPr="00A945B9">
        <w:rPr>
          <w:rFonts w:ascii="Arial" w:hAnsi="Arial" w:cs="Arial"/>
          <w:bCs/>
          <w:color w:val="000000" w:themeColor="text1"/>
          <w:sz w:val="22"/>
        </w:rPr>
        <w:t>Bogotá D.C</w:t>
      </w:r>
      <w:r w:rsidR="005B2B0B" w:rsidRPr="00A945B9">
        <w:rPr>
          <w:rFonts w:ascii="Arial" w:hAnsi="Arial" w:cs="Arial"/>
          <w:bCs/>
          <w:color w:val="000000" w:themeColor="text1"/>
          <w:sz w:val="22"/>
        </w:rPr>
        <w:t>.</w:t>
      </w:r>
    </w:p>
    <w:p w14:paraId="047D993B" w14:textId="77777777" w:rsidR="005B2B0B" w:rsidRPr="00A945B9" w:rsidRDefault="005B2B0B" w:rsidP="0050272A">
      <w:pPr>
        <w:jc w:val="both"/>
        <w:rPr>
          <w:rFonts w:ascii="Arial" w:hAnsi="Arial" w:cs="Arial"/>
          <w:b/>
          <w:color w:val="000000" w:themeColor="text1"/>
          <w:sz w:val="22"/>
          <w:szCs w:val="22"/>
        </w:rPr>
      </w:pPr>
    </w:p>
    <w:p w14:paraId="0B288DC1" w14:textId="77777777" w:rsidR="0050272A" w:rsidRPr="00A945B9" w:rsidRDefault="0050272A" w:rsidP="0050272A">
      <w:pPr>
        <w:jc w:val="both"/>
        <w:rPr>
          <w:rFonts w:ascii="Arial" w:eastAsia="Calibri" w:hAnsi="Arial" w:cs="Arial"/>
          <w:color w:val="000000" w:themeColor="text1"/>
          <w:sz w:val="22"/>
          <w:szCs w:val="22"/>
        </w:rPr>
      </w:pPr>
    </w:p>
    <w:p w14:paraId="2DD2EBD9" w14:textId="75B45A71" w:rsidR="0050272A" w:rsidRPr="00A945B9" w:rsidRDefault="0050272A" w:rsidP="0050272A">
      <w:pPr>
        <w:rPr>
          <w:rFonts w:ascii="Arial" w:eastAsia="Calibri" w:hAnsi="Arial" w:cs="Arial"/>
          <w:b/>
          <w:bCs/>
          <w:color w:val="000000" w:themeColor="text1"/>
          <w:sz w:val="22"/>
          <w:szCs w:val="22"/>
        </w:rPr>
      </w:pPr>
      <w:r w:rsidRPr="00A945B9">
        <w:rPr>
          <w:rFonts w:ascii="Arial" w:eastAsia="Calibri" w:hAnsi="Arial" w:cs="Arial"/>
          <w:b/>
          <w:bCs/>
          <w:color w:val="000000" w:themeColor="text1"/>
          <w:sz w:val="22"/>
          <w:szCs w:val="22"/>
        </w:rPr>
        <w:t xml:space="preserve">                                            Concepto C ‒ </w:t>
      </w:r>
      <w:r w:rsidR="00C6714D">
        <w:rPr>
          <w:rFonts w:ascii="Arial" w:eastAsia="Calibri" w:hAnsi="Arial" w:cs="Arial"/>
          <w:b/>
          <w:bCs/>
          <w:color w:val="000000" w:themeColor="text1"/>
          <w:sz w:val="22"/>
          <w:szCs w:val="22"/>
        </w:rPr>
        <w:t>818</w:t>
      </w:r>
      <w:r w:rsidRPr="00A945B9">
        <w:rPr>
          <w:rFonts w:ascii="Arial" w:eastAsia="Calibri" w:hAnsi="Arial" w:cs="Arial"/>
          <w:b/>
          <w:bCs/>
          <w:color w:val="000000" w:themeColor="text1"/>
          <w:sz w:val="22"/>
          <w:szCs w:val="22"/>
        </w:rPr>
        <w:t xml:space="preserve"> de 2022</w:t>
      </w:r>
    </w:p>
    <w:p w14:paraId="0FAEA94B" w14:textId="77777777" w:rsidR="0050272A" w:rsidRPr="00A945B9" w:rsidRDefault="0050272A" w:rsidP="0050272A">
      <w:pPr>
        <w:jc w:val="both"/>
        <w:rPr>
          <w:rFonts w:ascii="Arial" w:eastAsia="Calibri" w:hAnsi="Arial" w:cs="Arial"/>
          <w:color w:val="000000" w:themeColor="text1"/>
          <w:sz w:val="22"/>
          <w:szCs w:val="22"/>
        </w:rPr>
      </w:pPr>
    </w:p>
    <w:tbl>
      <w:tblPr>
        <w:tblStyle w:val="Tablaconcuadrcula"/>
        <w:tblW w:w="88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0"/>
        <w:gridCol w:w="6171"/>
      </w:tblGrid>
      <w:tr w:rsidR="0050272A" w:rsidRPr="00A945B9" w14:paraId="0C7418CF" w14:textId="77777777" w:rsidTr="00B47043">
        <w:trPr>
          <w:trHeight w:val="1060"/>
        </w:trPr>
        <w:tc>
          <w:tcPr>
            <w:tcW w:w="2660" w:type="dxa"/>
          </w:tcPr>
          <w:p w14:paraId="3AA16455" w14:textId="77777777" w:rsidR="0050272A" w:rsidRPr="00A945B9" w:rsidRDefault="0050272A" w:rsidP="00857D19">
            <w:pPr>
              <w:jc w:val="both"/>
              <w:rPr>
                <w:rFonts w:ascii="Arial" w:eastAsia="Calibri" w:hAnsi="Arial" w:cs="Arial"/>
                <w:color w:val="000000" w:themeColor="text1"/>
                <w:sz w:val="22"/>
                <w:szCs w:val="22"/>
              </w:rPr>
            </w:pPr>
            <w:r w:rsidRPr="00A945B9">
              <w:rPr>
                <w:rFonts w:ascii="Arial" w:eastAsia="Calibri" w:hAnsi="Arial" w:cs="Arial"/>
                <w:b/>
                <w:color w:val="000000" w:themeColor="text1"/>
                <w:sz w:val="22"/>
                <w:szCs w:val="22"/>
              </w:rPr>
              <w:t>Temas:</w:t>
            </w:r>
            <w:r w:rsidRPr="00A945B9">
              <w:rPr>
                <w:rFonts w:ascii="Arial" w:eastAsia="Calibri" w:hAnsi="Arial" w:cs="Arial"/>
                <w:color w:val="000000" w:themeColor="text1"/>
                <w:sz w:val="22"/>
                <w:szCs w:val="22"/>
              </w:rPr>
              <w:t xml:space="preserve">                                      </w:t>
            </w:r>
          </w:p>
        </w:tc>
        <w:tc>
          <w:tcPr>
            <w:tcW w:w="6171" w:type="dxa"/>
          </w:tcPr>
          <w:p w14:paraId="6D5AA015" w14:textId="77777777" w:rsidR="00D11252" w:rsidRDefault="00656551" w:rsidP="00857D19">
            <w:pPr>
              <w:jc w:val="both"/>
              <w:rPr>
                <w:rFonts w:ascii="Arial" w:eastAsia="Calibri" w:hAnsi="Arial" w:cs="Arial"/>
                <w:bCs/>
                <w:sz w:val="22"/>
                <w:szCs w:val="22"/>
                <w:lang w:val="es-MX" w:eastAsia="en-US"/>
              </w:rPr>
            </w:pPr>
            <w:r w:rsidRPr="00A945B9">
              <w:rPr>
                <w:rFonts w:ascii="Arial" w:eastAsia="Calibri" w:hAnsi="Arial" w:cs="Arial"/>
                <w:bCs/>
                <w:sz w:val="22"/>
                <w:szCs w:val="22"/>
                <w:lang w:eastAsia="en-US"/>
              </w:rPr>
              <w:t xml:space="preserve">SUPERVISIÓN – Noción ‒ Ley 1474 de 2011 / </w:t>
            </w:r>
            <w:r w:rsidRPr="00A945B9">
              <w:rPr>
                <w:rFonts w:ascii="Arial" w:eastAsia="Calibri" w:hAnsi="Arial" w:cs="Arial"/>
                <w:bCs/>
                <w:color w:val="000000" w:themeColor="text1"/>
                <w:sz w:val="22"/>
                <w:szCs w:val="22"/>
              </w:rPr>
              <w:t xml:space="preserve">CONTRATOS ESTATALES – Deber de vigilancia y control / SUPERVISIÓN – Características – Diferencias – Interventoría / INTERVENTORÍA – Características / SUPERVISIÓN E INTERVENTORÍA – Concurrencia / </w:t>
            </w:r>
            <w:r w:rsidRPr="00A945B9">
              <w:rPr>
                <w:rFonts w:ascii="Arial" w:eastAsia="Calibri" w:hAnsi="Arial" w:cs="Arial"/>
                <w:bCs/>
                <w:sz w:val="22"/>
                <w:szCs w:val="22"/>
                <w:lang w:val="es-MX" w:eastAsia="en-US"/>
              </w:rPr>
              <w:t>SUPERVISIÓN – Designación – Plazo</w:t>
            </w:r>
            <w:r w:rsidR="00D11252">
              <w:rPr>
                <w:rFonts w:ascii="Arial" w:eastAsia="Calibri" w:hAnsi="Arial" w:cs="Arial"/>
                <w:bCs/>
                <w:sz w:val="22"/>
                <w:szCs w:val="22"/>
                <w:lang w:val="es-MX" w:eastAsia="en-US"/>
              </w:rPr>
              <w:t xml:space="preserve"> / </w:t>
            </w:r>
            <w:r w:rsidR="00D11252" w:rsidRPr="00D11252">
              <w:rPr>
                <w:rFonts w:ascii="Arial" w:eastAsia="Calibri" w:hAnsi="Arial" w:cs="Arial"/>
                <w:bCs/>
                <w:sz w:val="22"/>
                <w:szCs w:val="22"/>
                <w:lang w:val="es-MX" w:eastAsia="en-US"/>
              </w:rPr>
              <w:t>COMISARIO DE FAMÍLIA – Funciones</w:t>
            </w:r>
          </w:p>
          <w:p w14:paraId="5C92F2A9" w14:textId="57EAFF8D" w:rsidR="002220AD" w:rsidRPr="00A945B9" w:rsidRDefault="002220AD" w:rsidP="00857D19">
            <w:pPr>
              <w:jc w:val="both"/>
              <w:rPr>
                <w:rFonts w:ascii="Arial" w:eastAsia="Calibri" w:hAnsi="Arial" w:cs="Arial"/>
                <w:bCs/>
                <w:sz w:val="22"/>
                <w:szCs w:val="22"/>
                <w:lang w:val="es-MX" w:eastAsia="en-US"/>
              </w:rPr>
            </w:pPr>
          </w:p>
        </w:tc>
      </w:tr>
      <w:tr w:rsidR="0050272A" w:rsidRPr="00A945B9" w14:paraId="024F2409" w14:textId="77777777" w:rsidTr="00C6714D">
        <w:trPr>
          <w:trHeight w:val="341"/>
        </w:trPr>
        <w:tc>
          <w:tcPr>
            <w:tcW w:w="2660" w:type="dxa"/>
          </w:tcPr>
          <w:p w14:paraId="5CE887C0" w14:textId="77777777" w:rsidR="0050272A" w:rsidRPr="00A945B9" w:rsidRDefault="0050272A" w:rsidP="00857D19">
            <w:pPr>
              <w:spacing w:before="120"/>
              <w:jc w:val="both"/>
              <w:rPr>
                <w:rFonts w:ascii="Arial" w:eastAsia="Calibri" w:hAnsi="Arial" w:cs="Arial"/>
                <w:b/>
                <w:color w:val="000000" w:themeColor="text1"/>
                <w:sz w:val="22"/>
                <w:szCs w:val="22"/>
              </w:rPr>
            </w:pPr>
            <w:r w:rsidRPr="00A945B9">
              <w:rPr>
                <w:rFonts w:ascii="Arial" w:eastAsia="Calibri" w:hAnsi="Arial" w:cs="Arial"/>
                <w:b/>
                <w:color w:val="000000" w:themeColor="text1"/>
                <w:sz w:val="22"/>
                <w:szCs w:val="22"/>
              </w:rPr>
              <w:t>Radicación:</w:t>
            </w:r>
            <w:r w:rsidRPr="00A945B9">
              <w:rPr>
                <w:rFonts w:ascii="Arial" w:eastAsia="Calibri" w:hAnsi="Arial" w:cs="Arial"/>
                <w:color w:val="000000" w:themeColor="text1"/>
                <w:sz w:val="22"/>
                <w:szCs w:val="22"/>
              </w:rPr>
              <w:t xml:space="preserve">                              </w:t>
            </w:r>
          </w:p>
        </w:tc>
        <w:tc>
          <w:tcPr>
            <w:tcW w:w="6171" w:type="dxa"/>
          </w:tcPr>
          <w:p w14:paraId="5FACC6AF" w14:textId="5A22BDCD" w:rsidR="0050272A" w:rsidRPr="00A945B9" w:rsidRDefault="0050272A" w:rsidP="005E02D9">
            <w:pPr>
              <w:jc w:val="both"/>
              <w:rPr>
                <w:rFonts w:ascii="Arial" w:eastAsia="Calibri" w:hAnsi="Arial" w:cs="Arial"/>
                <w:color w:val="000000" w:themeColor="text1"/>
                <w:sz w:val="22"/>
                <w:szCs w:val="22"/>
              </w:rPr>
            </w:pPr>
            <w:r w:rsidRPr="00A945B9">
              <w:rPr>
                <w:rFonts w:ascii="Arial" w:eastAsia="Arial" w:hAnsi="Arial" w:cs="Arial"/>
                <w:sz w:val="22"/>
                <w:szCs w:val="22"/>
                <w:lang w:eastAsia="en-US"/>
              </w:rPr>
              <w:t>Respuesta a la consulta</w:t>
            </w:r>
            <w:r w:rsidRPr="00A945B9">
              <w:rPr>
                <w:sz w:val="22"/>
                <w:szCs w:val="22"/>
              </w:rPr>
              <w:t xml:space="preserve"> </w:t>
            </w:r>
            <w:r w:rsidRPr="00A945B9">
              <w:rPr>
                <w:rFonts w:ascii="Arial" w:eastAsia="Arial" w:hAnsi="Arial" w:cs="Arial"/>
                <w:sz w:val="22"/>
                <w:szCs w:val="22"/>
                <w:lang w:eastAsia="en-US"/>
              </w:rPr>
              <w:t>P2022</w:t>
            </w:r>
            <w:r w:rsidR="00C6714D">
              <w:rPr>
                <w:rFonts w:ascii="Arial" w:eastAsia="Arial" w:hAnsi="Arial" w:cs="Arial"/>
                <w:sz w:val="22"/>
                <w:szCs w:val="22"/>
                <w:lang w:eastAsia="en-US"/>
              </w:rPr>
              <w:t>1013010338</w:t>
            </w:r>
          </w:p>
        </w:tc>
      </w:tr>
    </w:tbl>
    <w:p w14:paraId="3126156F" w14:textId="77777777" w:rsidR="0050272A" w:rsidRPr="00A945B9" w:rsidRDefault="0050272A" w:rsidP="0050272A">
      <w:pPr>
        <w:jc w:val="both"/>
        <w:rPr>
          <w:rFonts w:ascii="Arial" w:eastAsia="Calibri" w:hAnsi="Arial" w:cs="Arial"/>
          <w:color w:val="000000" w:themeColor="text1"/>
          <w:sz w:val="22"/>
        </w:rPr>
      </w:pPr>
    </w:p>
    <w:p w14:paraId="1D110497" w14:textId="77777777" w:rsidR="0050272A" w:rsidRPr="00A945B9" w:rsidRDefault="0050272A" w:rsidP="0050272A">
      <w:pPr>
        <w:jc w:val="both"/>
        <w:rPr>
          <w:rFonts w:ascii="Arial" w:eastAsia="Calibri" w:hAnsi="Arial" w:cs="Arial"/>
          <w:color w:val="000000" w:themeColor="text1"/>
          <w:sz w:val="22"/>
        </w:rPr>
      </w:pPr>
    </w:p>
    <w:p w14:paraId="30E9E75A" w14:textId="300989F9" w:rsidR="0050272A" w:rsidRPr="00A945B9" w:rsidRDefault="0050272A" w:rsidP="0050272A">
      <w:pPr>
        <w:jc w:val="both"/>
        <w:rPr>
          <w:rFonts w:ascii="Arial" w:eastAsia="Calibri" w:hAnsi="Arial" w:cs="Arial"/>
          <w:color w:val="000000" w:themeColor="text1"/>
          <w:sz w:val="22"/>
        </w:rPr>
      </w:pPr>
      <w:r w:rsidRPr="00A945B9">
        <w:rPr>
          <w:rFonts w:ascii="Arial" w:eastAsia="Calibri" w:hAnsi="Arial" w:cs="Arial"/>
          <w:color w:val="000000" w:themeColor="text1"/>
          <w:sz w:val="22"/>
        </w:rPr>
        <w:t>Estimad</w:t>
      </w:r>
      <w:r w:rsidR="004876E0">
        <w:rPr>
          <w:rFonts w:ascii="Arial" w:eastAsia="Calibri" w:hAnsi="Arial" w:cs="Arial"/>
          <w:color w:val="000000" w:themeColor="text1"/>
          <w:sz w:val="22"/>
        </w:rPr>
        <w:t>o</w:t>
      </w:r>
      <w:r w:rsidRPr="00A945B9">
        <w:rPr>
          <w:rFonts w:ascii="Arial" w:eastAsia="Calibri" w:hAnsi="Arial" w:cs="Arial"/>
          <w:color w:val="000000" w:themeColor="text1"/>
          <w:sz w:val="22"/>
        </w:rPr>
        <w:t xml:space="preserve"> señor </w:t>
      </w:r>
      <w:r w:rsidR="004876E0">
        <w:rPr>
          <w:rFonts w:ascii="Arial" w:eastAsia="Calibri" w:hAnsi="Arial" w:cs="Arial"/>
          <w:color w:val="000000" w:themeColor="text1"/>
          <w:sz w:val="22"/>
        </w:rPr>
        <w:t>Murcia:</w:t>
      </w:r>
    </w:p>
    <w:p w14:paraId="185D4103" w14:textId="77777777" w:rsidR="0050272A" w:rsidRPr="00A945B9" w:rsidRDefault="0050272A" w:rsidP="0050272A">
      <w:pPr>
        <w:jc w:val="both"/>
        <w:rPr>
          <w:rFonts w:ascii="Arial" w:eastAsia="Calibri" w:hAnsi="Arial" w:cs="Arial"/>
          <w:color w:val="000000" w:themeColor="text1"/>
          <w:sz w:val="22"/>
        </w:rPr>
      </w:pPr>
    </w:p>
    <w:p w14:paraId="4C93D759" w14:textId="2AC5EB42" w:rsidR="0050272A" w:rsidRPr="00A945B9" w:rsidRDefault="0050272A" w:rsidP="0050272A">
      <w:pPr>
        <w:spacing w:line="276" w:lineRule="auto"/>
        <w:jc w:val="both"/>
        <w:rPr>
          <w:rFonts w:ascii="Arial" w:eastAsia="Calibri" w:hAnsi="Arial" w:cs="Arial"/>
          <w:color w:val="000000" w:themeColor="text1"/>
          <w:sz w:val="22"/>
        </w:rPr>
      </w:pPr>
      <w:r w:rsidRPr="00A945B9">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2220AD">
        <w:rPr>
          <w:rFonts w:ascii="Arial" w:eastAsia="Calibri" w:hAnsi="Arial" w:cs="Arial"/>
          <w:color w:val="000000" w:themeColor="text1"/>
          <w:sz w:val="22"/>
        </w:rPr>
        <w:t>4</w:t>
      </w:r>
      <w:r w:rsidR="00825AE1" w:rsidRPr="00A945B9">
        <w:rPr>
          <w:rFonts w:ascii="Arial" w:eastAsia="Calibri" w:hAnsi="Arial" w:cs="Arial"/>
          <w:color w:val="000000" w:themeColor="text1"/>
          <w:sz w:val="22"/>
        </w:rPr>
        <w:t xml:space="preserve"> de </w:t>
      </w:r>
      <w:r w:rsidR="00B64DE9">
        <w:rPr>
          <w:rFonts w:ascii="Arial" w:eastAsia="Calibri" w:hAnsi="Arial" w:cs="Arial"/>
          <w:color w:val="000000" w:themeColor="text1"/>
          <w:sz w:val="22"/>
        </w:rPr>
        <w:t>octubre</w:t>
      </w:r>
      <w:r w:rsidR="00825AE1" w:rsidRPr="00A945B9">
        <w:rPr>
          <w:rFonts w:ascii="Arial" w:eastAsia="Calibri" w:hAnsi="Arial" w:cs="Arial"/>
          <w:color w:val="000000" w:themeColor="text1"/>
          <w:sz w:val="22"/>
        </w:rPr>
        <w:t xml:space="preserve"> de 2022</w:t>
      </w:r>
      <w:r w:rsidR="002220AD">
        <w:rPr>
          <w:rFonts w:ascii="Arial" w:eastAsia="Calibri" w:hAnsi="Arial" w:cs="Arial"/>
          <w:color w:val="000000" w:themeColor="text1"/>
          <w:sz w:val="22"/>
        </w:rPr>
        <w:t>, remitida a esta Entidad por el Departamento Administrativo de la Función Pública el 12 de octubre de 2022</w:t>
      </w:r>
      <w:r w:rsidRPr="00A945B9">
        <w:rPr>
          <w:rFonts w:ascii="Arial" w:eastAsia="Calibri" w:hAnsi="Arial" w:cs="Arial"/>
          <w:color w:val="000000" w:themeColor="text1"/>
          <w:sz w:val="22"/>
        </w:rPr>
        <w:t>.</w:t>
      </w:r>
    </w:p>
    <w:p w14:paraId="5EB94134" w14:textId="77777777" w:rsidR="0050272A" w:rsidRPr="00A945B9" w:rsidRDefault="0050272A" w:rsidP="0050272A">
      <w:pPr>
        <w:spacing w:line="276" w:lineRule="auto"/>
        <w:jc w:val="both"/>
        <w:rPr>
          <w:rFonts w:ascii="Arial" w:eastAsia="Calibri" w:hAnsi="Arial" w:cs="Arial"/>
          <w:b/>
          <w:color w:val="000000" w:themeColor="text1"/>
          <w:sz w:val="22"/>
        </w:rPr>
      </w:pPr>
    </w:p>
    <w:p w14:paraId="040759DC" w14:textId="77777777" w:rsidR="0050272A" w:rsidRPr="00A945B9" w:rsidRDefault="0050272A" w:rsidP="0050272A">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color w:val="000000" w:themeColor="text1"/>
          <w:sz w:val="22"/>
          <w:lang w:val="es-CO"/>
        </w:rPr>
      </w:pPr>
      <w:r w:rsidRPr="00A945B9">
        <w:rPr>
          <w:rFonts w:ascii="Arial" w:eastAsia="Calibri" w:hAnsi="Arial" w:cs="Arial"/>
          <w:b/>
          <w:color w:val="000000" w:themeColor="text1"/>
          <w:sz w:val="22"/>
          <w:lang w:val="es-CO"/>
        </w:rPr>
        <w:t xml:space="preserve">Problema planteado </w:t>
      </w:r>
    </w:p>
    <w:p w14:paraId="290F0AF7" w14:textId="77777777" w:rsidR="0050272A" w:rsidRPr="00A945B9" w:rsidRDefault="0050272A" w:rsidP="0050272A">
      <w:pPr>
        <w:tabs>
          <w:tab w:val="left" w:pos="426"/>
        </w:tabs>
        <w:spacing w:line="276" w:lineRule="auto"/>
        <w:jc w:val="both"/>
        <w:rPr>
          <w:rFonts w:ascii="Arial" w:eastAsia="Calibri" w:hAnsi="Arial" w:cs="Arial"/>
          <w:b/>
          <w:color w:val="000000" w:themeColor="text1"/>
          <w:sz w:val="22"/>
        </w:rPr>
      </w:pPr>
    </w:p>
    <w:p w14:paraId="4124687E" w14:textId="06ABBF53" w:rsidR="0050272A" w:rsidRPr="00A945B9" w:rsidRDefault="0050272A" w:rsidP="0050272A">
      <w:pPr>
        <w:spacing w:line="276" w:lineRule="auto"/>
        <w:jc w:val="both"/>
        <w:rPr>
          <w:rFonts w:ascii="Arial" w:hAnsi="Arial" w:cs="Arial"/>
          <w:color w:val="000000" w:themeColor="text1"/>
          <w:sz w:val="22"/>
        </w:rPr>
      </w:pPr>
      <w:r w:rsidRPr="00A945B9">
        <w:rPr>
          <w:rFonts w:ascii="Arial" w:hAnsi="Arial" w:cs="Arial"/>
          <w:color w:val="000000" w:themeColor="text1"/>
          <w:sz w:val="22"/>
        </w:rPr>
        <w:t xml:space="preserve">Usted formula la siguiente pregunta: </w:t>
      </w:r>
    </w:p>
    <w:p w14:paraId="2CC97D8B" w14:textId="77777777" w:rsidR="0050272A" w:rsidRPr="00A945B9" w:rsidRDefault="0050272A" w:rsidP="005E02D9">
      <w:pPr>
        <w:spacing w:line="276" w:lineRule="auto"/>
        <w:jc w:val="both"/>
        <w:rPr>
          <w:rFonts w:ascii="Arial" w:hAnsi="Arial" w:cs="Arial"/>
          <w:color w:val="000000" w:themeColor="text1"/>
          <w:sz w:val="22"/>
        </w:rPr>
      </w:pPr>
    </w:p>
    <w:p w14:paraId="07508E66" w14:textId="5C073472" w:rsidR="00825AE1" w:rsidRPr="00A945B9" w:rsidRDefault="0050272A" w:rsidP="00663E8C">
      <w:pPr>
        <w:ind w:left="709" w:right="709"/>
        <w:jc w:val="both"/>
        <w:rPr>
          <w:rFonts w:ascii="Arial" w:hAnsi="Arial" w:cs="Arial"/>
          <w:color w:val="000000" w:themeColor="text1"/>
          <w:sz w:val="21"/>
          <w:szCs w:val="21"/>
        </w:rPr>
      </w:pPr>
      <w:bookmarkStart w:id="0" w:name="_Hlk118383169"/>
      <w:r w:rsidRPr="00A945B9">
        <w:rPr>
          <w:rFonts w:ascii="Arial" w:hAnsi="Arial" w:cs="Arial"/>
          <w:color w:val="000000" w:themeColor="text1"/>
          <w:sz w:val="21"/>
          <w:szCs w:val="21"/>
        </w:rPr>
        <w:t>«</w:t>
      </w:r>
      <w:r w:rsidR="00663E8C">
        <w:rPr>
          <w:rFonts w:ascii="Arial" w:hAnsi="Arial" w:cs="Arial"/>
          <w:color w:val="000000" w:themeColor="text1"/>
          <w:sz w:val="21"/>
          <w:szCs w:val="21"/>
        </w:rPr>
        <w:t xml:space="preserve">Los defensores de familia o comisarios de familia pueden ser interventores o auditores de contratos de prestación de servicios </w:t>
      </w:r>
      <w:r w:rsidR="00B64DE9">
        <w:rPr>
          <w:rFonts w:ascii="Arial" w:hAnsi="Arial" w:cs="Arial"/>
          <w:color w:val="000000" w:themeColor="text1"/>
          <w:sz w:val="21"/>
          <w:szCs w:val="21"/>
        </w:rPr>
        <w:t>o de cualquier otra clase de contrato o convenio, en caso afirmativo que norma lo regula</w:t>
      </w:r>
      <w:r w:rsidR="00825AE1" w:rsidRPr="00A945B9">
        <w:rPr>
          <w:rFonts w:ascii="Arial" w:hAnsi="Arial" w:cs="Arial"/>
          <w:color w:val="000000" w:themeColor="text1"/>
          <w:sz w:val="21"/>
          <w:szCs w:val="21"/>
        </w:rPr>
        <w:t>».</w:t>
      </w:r>
    </w:p>
    <w:bookmarkEnd w:id="0"/>
    <w:p w14:paraId="2608C7FD" w14:textId="77777777" w:rsidR="0050272A" w:rsidRPr="00A945B9" w:rsidRDefault="0050272A" w:rsidP="005E02D9">
      <w:pPr>
        <w:spacing w:line="276" w:lineRule="auto"/>
        <w:ind w:left="709" w:right="709"/>
        <w:jc w:val="both"/>
        <w:rPr>
          <w:rFonts w:ascii="Arial" w:hAnsi="Arial" w:cs="Arial"/>
          <w:color w:val="000000" w:themeColor="text1"/>
          <w:sz w:val="21"/>
          <w:szCs w:val="21"/>
        </w:rPr>
      </w:pPr>
    </w:p>
    <w:p w14:paraId="39ECEE15" w14:textId="4D59929E" w:rsidR="0050272A" w:rsidRPr="00A945B9" w:rsidRDefault="0050272A" w:rsidP="0050272A">
      <w:pPr>
        <w:pStyle w:val="Prrafodelista"/>
        <w:numPr>
          <w:ilvl w:val="0"/>
          <w:numId w:val="1"/>
        </w:numPr>
        <w:tabs>
          <w:tab w:val="left" w:pos="0"/>
          <w:tab w:val="left" w:pos="284"/>
        </w:tabs>
        <w:ind w:left="0" w:firstLine="0"/>
        <w:jc w:val="both"/>
        <w:rPr>
          <w:rFonts w:ascii="Arial" w:eastAsia="Calibri" w:hAnsi="Arial" w:cs="Arial"/>
          <w:b/>
          <w:color w:val="000000" w:themeColor="text1"/>
          <w:sz w:val="22"/>
          <w:lang w:val="es-CO"/>
        </w:rPr>
      </w:pPr>
      <w:r w:rsidRPr="00A945B9">
        <w:rPr>
          <w:rFonts w:ascii="Arial" w:eastAsia="Calibri" w:hAnsi="Arial" w:cs="Arial"/>
          <w:b/>
          <w:color w:val="000000" w:themeColor="text1"/>
          <w:sz w:val="22"/>
          <w:lang w:val="es-CO"/>
        </w:rPr>
        <w:t>Consideraciones</w:t>
      </w:r>
    </w:p>
    <w:p w14:paraId="005A887A" w14:textId="4473BB4A" w:rsidR="004505DA" w:rsidRPr="00A945B9" w:rsidRDefault="004505DA" w:rsidP="005E02D9">
      <w:pPr>
        <w:tabs>
          <w:tab w:val="left" w:pos="0"/>
          <w:tab w:val="left" w:pos="284"/>
        </w:tabs>
        <w:spacing w:line="276" w:lineRule="auto"/>
        <w:jc w:val="both"/>
        <w:rPr>
          <w:rFonts w:ascii="Arial" w:eastAsia="Calibri" w:hAnsi="Arial" w:cs="Arial"/>
          <w:b/>
          <w:color w:val="000000" w:themeColor="text1"/>
          <w:sz w:val="22"/>
        </w:rPr>
      </w:pPr>
    </w:p>
    <w:p w14:paraId="530E48E4" w14:textId="77777777" w:rsidR="0017480B" w:rsidRPr="0017480B" w:rsidRDefault="0017480B" w:rsidP="0017480B">
      <w:pPr>
        <w:spacing w:after="120" w:line="276" w:lineRule="auto"/>
        <w:jc w:val="both"/>
        <w:rPr>
          <w:rFonts w:ascii="Arial" w:eastAsia="Calibri" w:hAnsi="Arial" w:cs="Arial"/>
          <w:sz w:val="22"/>
          <w:szCs w:val="22"/>
          <w:lang w:val="es-ES_tradnl"/>
        </w:rPr>
      </w:pPr>
      <w:r w:rsidRPr="0017480B">
        <w:rPr>
          <w:rFonts w:ascii="Arial" w:eastAsia="Calibri" w:hAnsi="Arial" w:cs="Arial"/>
          <w:sz w:val="22"/>
          <w:szCs w:val="22"/>
          <w:lang w:val="es-ES_tradnl"/>
        </w:rPr>
        <w:lastRenderedPageBreak/>
        <w:t xml:space="preserve">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w:t>
      </w:r>
      <w:r w:rsidRPr="0017480B">
        <w:rPr>
          <w:rFonts w:ascii="Arial" w:eastAsiaTheme="minorHAnsi" w:hAnsi="Arial" w:cs="Arial"/>
          <w:sz w:val="22"/>
          <w:szCs w:val="22"/>
          <w:lang w:eastAsia="en-US"/>
        </w:rPr>
        <w:t>ni para asesorar procesos de contratación</w:t>
      </w:r>
      <w:r w:rsidRPr="0017480B">
        <w:rPr>
          <w:rFonts w:ascii="Arial" w:eastAsia="Calibri" w:hAnsi="Arial" w:cs="Arial"/>
          <w:sz w:val="22"/>
          <w:szCs w:val="22"/>
          <w:lang w:val="es-ES_tradnl"/>
        </w:rPr>
        <w:t>.</w:t>
      </w:r>
    </w:p>
    <w:p w14:paraId="660F2C11" w14:textId="77777777" w:rsidR="0017480B" w:rsidRPr="0017480B" w:rsidRDefault="0017480B" w:rsidP="0017480B">
      <w:pPr>
        <w:tabs>
          <w:tab w:val="left" w:pos="426"/>
        </w:tabs>
        <w:spacing w:after="120" w:line="276" w:lineRule="auto"/>
        <w:jc w:val="both"/>
        <w:rPr>
          <w:rFonts w:ascii="Arial" w:eastAsia="Calibri" w:hAnsi="Arial" w:cs="Arial"/>
          <w:bCs/>
          <w:sz w:val="22"/>
          <w:szCs w:val="22"/>
          <w:lang w:eastAsia="en-US"/>
        </w:rPr>
      </w:pPr>
      <w:r w:rsidRPr="0017480B">
        <w:rPr>
          <w:rFonts w:ascii="Arial" w:eastAsia="Calibri" w:hAnsi="Arial" w:cs="Arial"/>
          <w:sz w:val="22"/>
          <w:szCs w:val="22"/>
          <w:lang w:val="es-ES_tradnl"/>
        </w:rPr>
        <w:tab/>
      </w:r>
      <w:r w:rsidRPr="0017480B">
        <w:rPr>
          <w:rFonts w:ascii="Arial" w:eastAsia="Calibri" w:hAnsi="Arial" w:cs="Arial"/>
          <w:sz w:val="22"/>
          <w:szCs w:val="22"/>
          <w:lang w:val="es-ES_tradnl"/>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w:t>
      </w:r>
      <w:r w:rsidRPr="0017480B">
        <w:rPr>
          <w:rFonts w:ascii="Arial" w:eastAsia="Calibri" w:hAnsi="Arial" w:cs="Arial"/>
          <w:bCs/>
          <w:sz w:val="22"/>
          <w:szCs w:val="22"/>
          <w:lang w:eastAsia="en-US"/>
        </w:rPr>
        <w:t>que adelanta el procedimiento de selección y, en caso de conflicto, a las autoridades judiciales, fiscales y disciplinarias.</w:t>
      </w:r>
    </w:p>
    <w:p w14:paraId="72983A3B" w14:textId="2022B0D9" w:rsidR="004505DA" w:rsidRDefault="0017480B" w:rsidP="0033027E">
      <w:pPr>
        <w:spacing w:line="276" w:lineRule="auto"/>
        <w:ind w:firstLine="708"/>
        <w:jc w:val="both"/>
        <w:rPr>
          <w:rFonts w:ascii="Arial" w:hAnsi="Arial" w:cs="Arial"/>
          <w:color w:val="000000" w:themeColor="text1"/>
          <w:sz w:val="22"/>
          <w:lang w:val="es-ES_tradnl"/>
        </w:rPr>
      </w:pPr>
      <w:r w:rsidRPr="0033027E">
        <w:rPr>
          <w:rFonts w:ascii="Arial" w:hAnsi="Arial" w:cs="Arial"/>
          <w:color w:val="000000" w:themeColor="text1"/>
          <w:sz w:val="22"/>
          <w:lang w:val="es-ES_tradnl"/>
        </w:rPr>
        <w:t xml:space="preserve">Sin perjuicio de lo anterior, la Subdirección de Gestión Contractual, dentro de los límites de sus atribuciones, resolverá la consulta conforme a las normas generales en materia de contratación estatal. Con este objetivo se analizarán los siguientes temas: </w:t>
      </w:r>
      <w:r w:rsidR="004505DA" w:rsidRPr="0033027E">
        <w:rPr>
          <w:rFonts w:ascii="Arial" w:hAnsi="Arial" w:cs="Arial"/>
          <w:color w:val="000000" w:themeColor="text1"/>
          <w:sz w:val="22"/>
          <w:lang w:val="es-ES_tradnl"/>
        </w:rPr>
        <w:t xml:space="preserve">i) </w:t>
      </w:r>
      <w:r w:rsidR="003C302D" w:rsidRPr="0033027E">
        <w:rPr>
          <w:rFonts w:ascii="Arial" w:hAnsi="Arial" w:cs="Arial"/>
          <w:color w:val="000000" w:themeColor="text1"/>
          <w:sz w:val="22"/>
          <w:lang w:val="es-ES_tradnl"/>
        </w:rPr>
        <w:t>Contrato de prestación de servicios profesionales. Requisitos y límites para su celebración</w:t>
      </w:r>
      <w:r w:rsidR="004505DA" w:rsidRPr="0033027E">
        <w:rPr>
          <w:rFonts w:ascii="Arial" w:hAnsi="Arial" w:cs="Arial"/>
          <w:color w:val="000000" w:themeColor="text1"/>
          <w:sz w:val="22"/>
          <w:lang w:val="es-ES_tradnl"/>
        </w:rPr>
        <w:t>; ii)</w:t>
      </w:r>
      <w:r w:rsidR="003C302D" w:rsidRPr="0033027E">
        <w:rPr>
          <w:rFonts w:ascii="Arial" w:hAnsi="Arial" w:cs="Arial"/>
          <w:color w:val="000000" w:themeColor="text1"/>
          <w:sz w:val="22"/>
          <w:lang w:val="es-ES_tradnl"/>
        </w:rPr>
        <w:t xml:space="preserve"> </w:t>
      </w:r>
      <w:r w:rsidR="004505DA" w:rsidRPr="0033027E">
        <w:rPr>
          <w:rFonts w:ascii="Arial" w:hAnsi="Arial" w:cs="Arial"/>
          <w:color w:val="000000" w:themeColor="text1"/>
          <w:sz w:val="22"/>
          <w:lang w:val="es-ES_tradnl"/>
        </w:rPr>
        <w:t xml:space="preserve">la obligación de controlar y vigilar la correcta ejecución de los contratos estatales; y </w:t>
      </w:r>
      <w:r w:rsidR="00677898">
        <w:rPr>
          <w:rFonts w:ascii="Arial" w:hAnsi="Arial" w:cs="Arial"/>
          <w:color w:val="000000" w:themeColor="text1"/>
          <w:sz w:val="22"/>
          <w:lang w:val="es-ES_tradnl"/>
        </w:rPr>
        <w:t>iii</w:t>
      </w:r>
      <w:r w:rsidR="004505DA" w:rsidRPr="0033027E">
        <w:rPr>
          <w:rFonts w:ascii="Arial" w:hAnsi="Arial" w:cs="Arial"/>
          <w:color w:val="000000" w:themeColor="text1"/>
          <w:sz w:val="22"/>
          <w:lang w:val="es-ES_tradnl"/>
        </w:rPr>
        <w:t xml:space="preserve">) </w:t>
      </w:r>
      <w:r w:rsidR="007C6188" w:rsidRPr="0033027E">
        <w:rPr>
          <w:rFonts w:ascii="Arial" w:hAnsi="Arial" w:cs="Arial"/>
          <w:color w:val="000000" w:themeColor="text1"/>
          <w:sz w:val="22"/>
          <w:lang w:val="es-ES_tradnl"/>
        </w:rPr>
        <w:t>el ejercicio de funciones de supervisión de contratos de prestación</w:t>
      </w:r>
      <w:r w:rsidR="00472FA4">
        <w:rPr>
          <w:rFonts w:ascii="Arial" w:hAnsi="Arial" w:cs="Arial"/>
          <w:color w:val="000000" w:themeColor="text1"/>
          <w:sz w:val="22"/>
          <w:lang w:val="es-ES_tradnl"/>
        </w:rPr>
        <w:t xml:space="preserve"> de servicios</w:t>
      </w:r>
      <w:r w:rsidR="007C6188" w:rsidRPr="0033027E">
        <w:rPr>
          <w:rFonts w:ascii="Arial" w:hAnsi="Arial" w:cs="Arial"/>
          <w:color w:val="000000" w:themeColor="text1"/>
          <w:sz w:val="22"/>
          <w:lang w:val="es-ES_tradnl"/>
        </w:rPr>
        <w:t>.</w:t>
      </w:r>
    </w:p>
    <w:p w14:paraId="1315B284" w14:textId="77777777" w:rsidR="0033027E" w:rsidRPr="0033027E" w:rsidRDefault="0033027E" w:rsidP="0033027E">
      <w:pPr>
        <w:spacing w:line="276" w:lineRule="auto"/>
        <w:ind w:firstLine="708"/>
        <w:jc w:val="both"/>
        <w:rPr>
          <w:rFonts w:ascii="Arial" w:hAnsi="Arial" w:cs="Arial"/>
          <w:color w:val="000000" w:themeColor="text1"/>
          <w:sz w:val="22"/>
          <w:lang w:val="es-ES_tradnl"/>
        </w:rPr>
      </w:pPr>
    </w:p>
    <w:p w14:paraId="462C894B" w14:textId="75C694A0" w:rsidR="0050272A" w:rsidRPr="00A945B9" w:rsidRDefault="00FB2B3E" w:rsidP="00B47043">
      <w:pPr>
        <w:spacing w:line="276" w:lineRule="auto"/>
        <w:ind w:firstLine="708"/>
        <w:jc w:val="both"/>
        <w:rPr>
          <w:rFonts w:ascii="Arial" w:eastAsia="Calibri" w:hAnsi="Arial" w:cs="Arial"/>
          <w:sz w:val="22"/>
        </w:rPr>
      </w:pPr>
      <w:r w:rsidRPr="00A945B9">
        <w:rPr>
          <w:rFonts w:ascii="Arial" w:hAnsi="Arial" w:cs="Arial"/>
          <w:color w:val="000000" w:themeColor="text1"/>
          <w:sz w:val="22"/>
          <w:lang w:val="es-ES_tradnl"/>
        </w:rPr>
        <w:t>L</w:t>
      </w:r>
      <w:r w:rsidR="00113E94" w:rsidRPr="00A945B9">
        <w:rPr>
          <w:rFonts w:ascii="Arial" w:hAnsi="Arial" w:cs="Arial"/>
          <w:color w:val="000000" w:themeColor="text1"/>
          <w:sz w:val="22"/>
          <w:lang w:val="es-ES_tradnl"/>
        </w:rPr>
        <w:t>a Agencia Nacional de Contratación Pública – Colombia Compra Eficiente analizó el contrato de prestación de servicios</w:t>
      </w:r>
      <w:r w:rsidR="00113E94" w:rsidRPr="00A945B9">
        <w:rPr>
          <w:rFonts w:ascii="Arial" w:eastAsiaTheme="minorHAnsi" w:hAnsi="Arial" w:cs="Arial"/>
          <w:color w:val="000000" w:themeColor="text1"/>
          <w:sz w:val="22"/>
          <w:szCs w:val="22"/>
          <w:lang w:val="es-ES_tradnl" w:eastAsia="en-US"/>
        </w:rPr>
        <w:t xml:space="preserve"> en los conceptos </w:t>
      </w:r>
      <w:r w:rsidR="00113E94" w:rsidRPr="00A945B9">
        <w:rPr>
          <w:rFonts w:ascii="Arial" w:eastAsia="Calibri" w:hAnsi="Arial" w:cs="Arial"/>
          <w:color w:val="000000" w:themeColor="text1"/>
          <w:sz w:val="22"/>
        </w:rPr>
        <w:t>C–047 del 18 de febrero de 2020</w:t>
      </w:r>
      <w:r w:rsidR="00113E94" w:rsidRPr="00A945B9">
        <w:rPr>
          <w:rFonts w:ascii="Arial" w:hAnsi="Arial" w:cs="Arial"/>
          <w:noProof/>
          <w:sz w:val="22"/>
          <w:lang w:val="es-ES_tradnl"/>
        </w:rPr>
        <w:t xml:space="preserve">, </w:t>
      </w:r>
      <w:r w:rsidR="00113E94" w:rsidRPr="00A945B9">
        <w:rPr>
          <w:rFonts w:ascii="Arial" w:eastAsia="Calibri" w:hAnsi="Arial" w:cs="Arial"/>
          <w:color w:val="000000" w:themeColor="text1"/>
          <w:sz w:val="22"/>
        </w:rPr>
        <w:t>C–071 del 4 de marzo de 2020,</w:t>
      </w:r>
      <w:r w:rsidR="00113E94" w:rsidRPr="00A945B9">
        <w:rPr>
          <w:rFonts w:ascii="Arial" w:hAnsi="Arial" w:cs="Arial"/>
          <w:noProof/>
          <w:sz w:val="22"/>
          <w:lang w:val="es-ES_tradnl"/>
        </w:rPr>
        <w:t xml:space="preserve"> </w:t>
      </w:r>
      <w:r w:rsidR="00113E94" w:rsidRPr="00A945B9">
        <w:rPr>
          <w:rFonts w:ascii="Arial" w:eastAsia="Calibri" w:hAnsi="Arial" w:cs="Arial"/>
          <w:color w:val="000000" w:themeColor="text1"/>
          <w:sz w:val="22"/>
        </w:rPr>
        <w:t xml:space="preserve">C–188 del 13 de abril de 2020, C–005, 006, 018 y 138 del 11 de mayo de 2020, </w:t>
      </w:r>
      <w:r w:rsidR="00113E94" w:rsidRPr="00A945B9">
        <w:rPr>
          <w:rFonts w:ascii="Arial" w:hAnsi="Arial" w:cs="Arial"/>
          <w:noProof/>
          <w:sz w:val="22"/>
          <w:lang w:val="es-ES_tradnl"/>
        </w:rPr>
        <w:t>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053, 175, 255, 282, 293 y 320 del 12 de mayo de 2020, 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288 del 27 de mayo de 2020, 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345 del 23 de junio de 2020, 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484 del 6 de agosto de 2020, C</w:t>
      </w:r>
      <w:r w:rsidR="00113E94" w:rsidRPr="00A945B9">
        <w:rPr>
          <w:rFonts w:ascii="Arial" w:eastAsia="Calibri" w:hAnsi="Arial" w:cs="Arial"/>
          <w:color w:val="000000" w:themeColor="text1"/>
          <w:sz w:val="22"/>
        </w:rPr>
        <w:t>–</w:t>
      </w:r>
      <w:r w:rsidR="00113E94" w:rsidRPr="00A945B9">
        <w:rPr>
          <w:rFonts w:ascii="Arial" w:hAnsi="Arial" w:cs="Arial"/>
          <w:noProof/>
          <w:sz w:val="22"/>
          <w:lang w:val="es-ES_tradnl"/>
        </w:rPr>
        <w:t xml:space="preserve">608 del 1 de octubre de 2020, C-145 del 8 de abril del 2021, C-491 del 14 de septiembre de 2021, C-517 del 30 de septiembre de 2021, C-707 del 17 de enero de 2022, </w:t>
      </w:r>
      <w:r w:rsidR="00BF2C4A" w:rsidRPr="00A945B9">
        <w:rPr>
          <w:rFonts w:ascii="Arial" w:hAnsi="Arial" w:cs="Arial"/>
          <w:noProof/>
          <w:sz w:val="22"/>
          <w:lang w:val="es-ES_tradnl"/>
        </w:rPr>
        <w:t>C-019 del 21 de feberero de 2022, C-024 del  2 de marzo de 2022</w:t>
      </w:r>
      <w:r w:rsidRPr="00A945B9">
        <w:rPr>
          <w:rFonts w:ascii="Arial" w:hAnsi="Arial" w:cs="Arial"/>
          <w:noProof/>
          <w:sz w:val="22"/>
          <w:lang w:val="es-ES_tradnl"/>
        </w:rPr>
        <w:t xml:space="preserve"> y</w:t>
      </w:r>
      <w:r w:rsidR="00BF2C4A" w:rsidRPr="00A945B9">
        <w:rPr>
          <w:rFonts w:ascii="Arial" w:hAnsi="Arial" w:cs="Arial"/>
          <w:noProof/>
          <w:sz w:val="22"/>
          <w:lang w:val="es-ES_tradnl"/>
        </w:rPr>
        <w:t xml:space="preserve"> </w:t>
      </w:r>
      <w:r w:rsidR="00081355" w:rsidRPr="00A945B9">
        <w:rPr>
          <w:rFonts w:ascii="Arial" w:hAnsi="Arial" w:cs="Arial"/>
          <w:noProof/>
          <w:sz w:val="22"/>
          <w:lang w:val="es-ES_tradnl"/>
        </w:rPr>
        <w:t>C-491 del 1 de agosto de 2022</w:t>
      </w:r>
      <w:r w:rsidR="00113E94" w:rsidRPr="00A945B9">
        <w:rPr>
          <w:rFonts w:ascii="Arial" w:hAnsi="Arial" w:cs="Arial"/>
          <w:noProof/>
          <w:sz w:val="22"/>
          <w:lang w:val="es-ES_tradnl"/>
        </w:rPr>
        <w:t xml:space="preserve">. </w:t>
      </w:r>
      <w:r w:rsidRPr="00A945B9">
        <w:rPr>
          <w:rFonts w:ascii="Arial" w:hAnsi="Arial" w:cs="Arial"/>
          <w:noProof/>
          <w:sz w:val="22"/>
          <w:lang w:val="es-ES_tradnl"/>
        </w:rPr>
        <w:t xml:space="preserve"> Por otra parte</w:t>
      </w:r>
      <w:r w:rsidRPr="00A945B9">
        <w:rPr>
          <w:rFonts w:ascii="Arial" w:eastAsia="Calibri" w:hAnsi="Arial" w:cs="Arial"/>
          <w:sz w:val="22"/>
        </w:rPr>
        <w:t>,</w:t>
      </w:r>
      <w:r w:rsidR="00A30F20" w:rsidRPr="00A945B9">
        <w:rPr>
          <w:rFonts w:ascii="Arial" w:eastAsia="Calibri" w:hAnsi="Arial" w:cs="Arial"/>
          <w:sz w:val="22"/>
        </w:rPr>
        <w:t xml:space="preserve"> </w:t>
      </w:r>
      <w:r w:rsidRPr="00A945B9">
        <w:rPr>
          <w:rFonts w:ascii="Arial" w:eastAsia="Calibri" w:hAnsi="Arial" w:cs="Arial"/>
          <w:sz w:val="22"/>
        </w:rPr>
        <w:t>e</w:t>
      </w:r>
      <w:r w:rsidR="0050272A" w:rsidRPr="00A945B9">
        <w:rPr>
          <w:rFonts w:ascii="Arial" w:eastAsia="Calibri" w:hAnsi="Arial" w:cs="Arial"/>
          <w:sz w:val="22"/>
        </w:rPr>
        <w:t>sta Agencia se pronunció sobre la obligación de controlar y vigilar la ejecución de los contratos estatales en los conceptos con radicado 4201913000004799, emitido el 30 de agosto de 2019, y 4201913000008240 del 20 de diciembre de 2019; y en los conceptos C-064 del 28 de febrero de 2020, C</w:t>
      </w:r>
      <w:r w:rsidR="00C94906">
        <w:rPr>
          <w:rFonts w:ascii="Arial" w:eastAsia="Calibri" w:hAnsi="Arial" w:cs="Arial"/>
          <w:sz w:val="22"/>
        </w:rPr>
        <w:t>-</w:t>
      </w:r>
      <w:r w:rsidR="0050272A" w:rsidRPr="00A945B9">
        <w:rPr>
          <w:rFonts w:ascii="Arial" w:eastAsia="Calibri" w:hAnsi="Arial" w:cs="Arial"/>
          <w:sz w:val="22"/>
        </w:rPr>
        <w:t>077 del 18 de marzo de 2020, C</w:t>
      </w:r>
      <w:r w:rsidR="00C94906">
        <w:rPr>
          <w:rFonts w:ascii="Arial" w:eastAsia="Calibri" w:hAnsi="Arial" w:cs="Arial"/>
          <w:sz w:val="22"/>
        </w:rPr>
        <w:t>-</w:t>
      </w:r>
      <w:r w:rsidR="0050272A" w:rsidRPr="00A945B9">
        <w:rPr>
          <w:rFonts w:ascii="Arial" w:eastAsia="Calibri" w:hAnsi="Arial" w:cs="Arial"/>
          <w:sz w:val="22"/>
        </w:rPr>
        <w:t>150 del 18 de marzo de 2020, C</w:t>
      </w:r>
      <w:r w:rsidR="00C94906">
        <w:rPr>
          <w:rFonts w:ascii="Arial" w:eastAsia="Calibri" w:hAnsi="Arial" w:cs="Arial"/>
          <w:sz w:val="22"/>
        </w:rPr>
        <w:t>-</w:t>
      </w:r>
      <w:r w:rsidR="0050272A" w:rsidRPr="00A945B9">
        <w:rPr>
          <w:rFonts w:ascii="Arial" w:eastAsia="Calibri" w:hAnsi="Arial" w:cs="Arial"/>
          <w:sz w:val="22"/>
        </w:rPr>
        <w:t>134 del 30 de marzo de 2020, C</w:t>
      </w:r>
      <w:r w:rsidR="00C94906">
        <w:rPr>
          <w:rFonts w:ascii="Arial" w:eastAsia="Calibri" w:hAnsi="Arial" w:cs="Arial"/>
          <w:sz w:val="22"/>
        </w:rPr>
        <w:t>-</w:t>
      </w:r>
      <w:r w:rsidR="0050272A" w:rsidRPr="00A945B9">
        <w:rPr>
          <w:rFonts w:ascii="Arial" w:eastAsia="Calibri" w:hAnsi="Arial" w:cs="Arial"/>
          <w:sz w:val="22"/>
        </w:rPr>
        <w:t xml:space="preserve">180 del 13 de abril de 2020, C-344 de 26 de mayo de 2020, C-765 de 1 de enero de 2021, C-603 de 02 de noviembre de </w:t>
      </w:r>
      <w:r w:rsidR="0050272A" w:rsidRPr="00A945B9">
        <w:rPr>
          <w:rFonts w:ascii="Arial" w:eastAsia="Calibri" w:hAnsi="Arial" w:cs="Arial"/>
          <w:sz w:val="22"/>
        </w:rPr>
        <w:lastRenderedPageBreak/>
        <w:t>2021, C-745 de 3 de febrero de 2022</w:t>
      </w:r>
      <w:r w:rsidR="00480144">
        <w:rPr>
          <w:rFonts w:ascii="Arial" w:eastAsia="Calibri" w:hAnsi="Arial" w:cs="Arial"/>
          <w:sz w:val="22"/>
        </w:rPr>
        <w:t xml:space="preserve">, </w:t>
      </w:r>
      <w:r w:rsidR="0050272A" w:rsidRPr="00A945B9">
        <w:rPr>
          <w:rFonts w:ascii="Arial" w:eastAsia="Calibri" w:hAnsi="Arial" w:cs="Arial"/>
          <w:sz w:val="22"/>
        </w:rPr>
        <w:t>C-</w:t>
      </w:r>
      <w:r w:rsidR="00825AE1" w:rsidRPr="00A945B9">
        <w:rPr>
          <w:rFonts w:ascii="Arial" w:eastAsia="Calibri" w:hAnsi="Arial" w:cs="Arial"/>
          <w:sz w:val="22"/>
        </w:rPr>
        <w:t>506 del 3 de agosto de 2022</w:t>
      </w:r>
      <w:r w:rsidR="00480144">
        <w:rPr>
          <w:rFonts w:ascii="Arial" w:eastAsia="Calibri" w:hAnsi="Arial" w:cs="Arial"/>
          <w:sz w:val="22"/>
        </w:rPr>
        <w:t xml:space="preserve"> y C-620 del 27 de septiembre de 2022</w:t>
      </w:r>
      <w:r w:rsidR="0050272A" w:rsidRPr="00A945B9">
        <w:rPr>
          <w:rFonts w:ascii="Arial" w:eastAsia="Calibri" w:hAnsi="Arial" w:cs="Arial"/>
          <w:sz w:val="22"/>
        </w:rPr>
        <w:t>. La</w:t>
      </w:r>
      <w:r w:rsidR="00480144">
        <w:rPr>
          <w:rFonts w:ascii="Arial" w:eastAsia="Calibri" w:hAnsi="Arial" w:cs="Arial"/>
          <w:sz w:val="22"/>
        </w:rPr>
        <w:t>s</w:t>
      </w:r>
      <w:r w:rsidR="0050272A" w:rsidRPr="00A945B9">
        <w:rPr>
          <w:rFonts w:ascii="Arial" w:eastAsia="Calibri" w:hAnsi="Arial" w:cs="Arial"/>
          <w:sz w:val="22"/>
        </w:rPr>
        <w:t xml:space="preserve"> tesis y argumentos expuestos en dichos conceptos se reiteran y se complementan</w:t>
      </w:r>
      <w:r w:rsidR="00C94906">
        <w:rPr>
          <w:rFonts w:ascii="Arial" w:eastAsia="Calibri" w:hAnsi="Arial" w:cs="Arial"/>
          <w:sz w:val="22"/>
        </w:rPr>
        <w:t xml:space="preserve"> en lo pertinente</w:t>
      </w:r>
      <w:r w:rsidR="0050272A" w:rsidRPr="00A945B9">
        <w:rPr>
          <w:rFonts w:ascii="Arial" w:eastAsia="Calibri" w:hAnsi="Arial" w:cs="Arial"/>
          <w:sz w:val="22"/>
        </w:rPr>
        <w:t xml:space="preserve"> a continuación: </w:t>
      </w:r>
    </w:p>
    <w:p w14:paraId="3CC39E6F" w14:textId="066C6F3A" w:rsidR="00750980" w:rsidRPr="00A945B9" w:rsidRDefault="00750980" w:rsidP="00C477C4">
      <w:pPr>
        <w:spacing w:line="276" w:lineRule="auto"/>
        <w:jc w:val="both"/>
        <w:rPr>
          <w:rFonts w:ascii="Arial" w:eastAsia="Calibri" w:hAnsi="Arial" w:cs="Arial"/>
          <w:sz w:val="22"/>
        </w:rPr>
      </w:pPr>
    </w:p>
    <w:p w14:paraId="47D4075D" w14:textId="77777777" w:rsidR="00365622" w:rsidRPr="00A945B9" w:rsidRDefault="00365622" w:rsidP="00365622">
      <w:pPr>
        <w:spacing w:line="276" w:lineRule="auto"/>
        <w:jc w:val="both"/>
        <w:rPr>
          <w:rFonts w:ascii="Arial" w:eastAsia="Calibri" w:hAnsi="Arial" w:cs="Arial"/>
          <w:b/>
          <w:bCs/>
          <w:color w:val="000000" w:themeColor="text1"/>
          <w:sz w:val="22"/>
          <w:lang w:val="es-ES_tradnl"/>
        </w:rPr>
      </w:pPr>
      <w:r w:rsidRPr="00A945B9">
        <w:rPr>
          <w:rFonts w:ascii="Arial" w:eastAsia="Calibri" w:hAnsi="Arial" w:cs="Arial"/>
          <w:b/>
          <w:bCs/>
          <w:color w:val="000000" w:themeColor="text1"/>
          <w:sz w:val="22"/>
          <w:lang w:val="es-ES_tradnl"/>
        </w:rPr>
        <w:t>2.1. Contrato de prestación de servicios profesionales. Requisitos y límites para su celebración</w:t>
      </w:r>
    </w:p>
    <w:p w14:paraId="2C2B6902" w14:textId="77777777" w:rsidR="00365622" w:rsidRPr="00A945B9" w:rsidRDefault="00365622" w:rsidP="00365622">
      <w:pPr>
        <w:spacing w:line="276" w:lineRule="auto"/>
        <w:jc w:val="both"/>
        <w:rPr>
          <w:rFonts w:ascii="Arial" w:eastAsia="Calibri" w:hAnsi="Arial" w:cs="Arial"/>
          <w:color w:val="000000" w:themeColor="text1"/>
          <w:sz w:val="22"/>
          <w:lang w:val="es-ES_tradnl"/>
        </w:rPr>
      </w:pPr>
    </w:p>
    <w:p w14:paraId="18682C9F" w14:textId="77777777" w:rsidR="00365622" w:rsidRPr="00A945B9" w:rsidRDefault="00365622" w:rsidP="00365622">
      <w:pPr>
        <w:tabs>
          <w:tab w:val="left" w:pos="0"/>
        </w:tabs>
        <w:spacing w:line="276" w:lineRule="auto"/>
        <w:jc w:val="both"/>
        <w:rPr>
          <w:rFonts w:ascii="Arial" w:eastAsia="Calibri" w:hAnsi="Arial" w:cs="Arial"/>
          <w:color w:val="000000" w:themeColor="text1"/>
          <w:sz w:val="22"/>
          <w:lang w:val="es-ES_tradnl"/>
        </w:rPr>
      </w:pPr>
      <w:r w:rsidRPr="00A945B9">
        <w:rPr>
          <w:rFonts w:ascii="Arial" w:hAnsi="Arial" w:cs="Arial"/>
          <w:color w:val="000000" w:themeColor="text1"/>
          <w:sz w:val="22"/>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A945B9">
        <w:rPr>
          <w:rFonts w:ascii="Arial" w:eastAsia="Calibri" w:hAnsi="Arial" w:cs="Arial"/>
          <w:color w:val="000000" w:themeColor="text1"/>
          <w:sz w:val="22"/>
          <w:lang w:val="es-ES_tradnl"/>
        </w:rPr>
        <w:t xml:space="preserve"> La celebración de dicho contrato debe efectuarse a través de la modalidad de contratación directa. Así lo dispone el artículo 2, numeral 4º, literal h), de la Ley 1150 de 2007:</w:t>
      </w:r>
    </w:p>
    <w:p w14:paraId="6F84A0C2" w14:textId="77777777" w:rsidR="00365622" w:rsidRPr="00A945B9" w:rsidRDefault="00365622" w:rsidP="00365622">
      <w:pPr>
        <w:ind w:right="709"/>
        <w:jc w:val="both"/>
        <w:rPr>
          <w:rFonts w:ascii="Arial" w:eastAsia="Calibri" w:hAnsi="Arial" w:cs="Arial"/>
          <w:color w:val="000000" w:themeColor="text1"/>
          <w:sz w:val="21"/>
          <w:szCs w:val="21"/>
          <w:lang w:val="es-ES_tradnl"/>
        </w:rPr>
      </w:pPr>
    </w:p>
    <w:p w14:paraId="4E1819E1" w14:textId="77777777" w:rsidR="00365622" w:rsidRPr="00A945B9" w:rsidRDefault="00365622" w:rsidP="00365622">
      <w:pPr>
        <w:ind w:left="709" w:right="758"/>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La escogencia del contratista se efectuará con arreglo a las modalidades de selección de licitación pública, selección abreviada, concurso de méritos y contratación directa, con base en las siguientes reglas:</w:t>
      </w:r>
    </w:p>
    <w:p w14:paraId="0DA599B1" w14:textId="77777777" w:rsidR="00365622" w:rsidRPr="00A945B9" w:rsidRDefault="00365622" w:rsidP="00365622">
      <w:pPr>
        <w:spacing w:after="120"/>
        <w:ind w:left="709" w:right="760"/>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w:t>
      </w:r>
    </w:p>
    <w:p w14:paraId="2505E3AF" w14:textId="77777777" w:rsidR="00365622" w:rsidRPr="00A945B9" w:rsidRDefault="00365622" w:rsidP="00365622">
      <w:pPr>
        <w:ind w:left="709" w:right="758"/>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4. Contratación directa. La modalidad de selección de contratación directa, solamente procederá en los siguientes casos:</w:t>
      </w:r>
    </w:p>
    <w:p w14:paraId="6DFC75E1" w14:textId="77777777" w:rsidR="00365622" w:rsidRPr="00A945B9" w:rsidRDefault="00365622" w:rsidP="00365622">
      <w:pPr>
        <w:spacing w:after="120"/>
        <w:ind w:left="709" w:right="760"/>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w:t>
      </w:r>
    </w:p>
    <w:p w14:paraId="0943399E" w14:textId="77777777" w:rsidR="00365622" w:rsidRPr="00A945B9" w:rsidRDefault="00365622" w:rsidP="00365622">
      <w:pPr>
        <w:ind w:left="709" w:right="758"/>
        <w:jc w:val="both"/>
        <w:rPr>
          <w:rFonts w:ascii="Arial" w:eastAsia="Calibri" w:hAnsi="Arial" w:cs="Arial"/>
          <w:color w:val="000000" w:themeColor="text1"/>
          <w:sz w:val="21"/>
          <w:szCs w:val="21"/>
        </w:rPr>
      </w:pPr>
      <w:r w:rsidRPr="00A945B9">
        <w:rPr>
          <w:rFonts w:ascii="Arial" w:eastAsia="Calibri" w:hAnsi="Arial" w:cs="Arial"/>
          <w:color w:val="000000" w:themeColor="text1"/>
          <w:sz w:val="21"/>
          <w:szCs w:val="21"/>
        </w:rPr>
        <w:t>h) Para la prestación de servicios profesionales y de apoyo a la gestión, o para la ejecución de trabajos artísticos que sólo puedan encomendarse a determinadas personas naturales.</w:t>
      </w:r>
    </w:p>
    <w:p w14:paraId="7306260E" w14:textId="77777777" w:rsidR="00365622" w:rsidRPr="00A945B9" w:rsidRDefault="00365622" w:rsidP="00365622">
      <w:pPr>
        <w:tabs>
          <w:tab w:val="left" w:pos="0"/>
        </w:tabs>
        <w:spacing w:line="276" w:lineRule="auto"/>
        <w:jc w:val="both"/>
        <w:rPr>
          <w:rFonts w:ascii="Arial" w:hAnsi="Arial" w:cs="Arial"/>
          <w:noProof/>
          <w:sz w:val="22"/>
          <w:lang w:val="es-ES_tradnl"/>
        </w:rPr>
      </w:pPr>
      <w:r w:rsidRPr="00A945B9">
        <w:rPr>
          <w:rFonts w:ascii="Arial" w:hAnsi="Arial" w:cs="Arial"/>
          <w:noProof/>
          <w:sz w:val="22"/>
          <w:lang w:val="es-ES_tradnl"/>
        </w:rPr>
        <w:tab/>
      </w:r>
    </w:p>
    <w:p w14:paraId="4DEEE81D" w14:textId="71E15025" w:rsidR="00365622" w:rsidRPr="00A945B9" w:rsidRDefault="00365622" w:rsidP="00365622">
      <w:pPr>
        <w:tabs>
          <w:tab w:val="left" w:pos="0"/>
        </w:tabs>
        <w:spacing w:line="276" w:lineRule="auto"/>
        <w:jc w:val="both"/>
        <w:rPr>
          <w:rFonts w:ascii="Arial" w:hAnsi="Arial" w:cs="Arial"/>
          <w:noProof/>
          <w:sz w:val="22"/>
          <w:lang w:val="es-ES_tradnl"/>
        </w:rPr>
      </w:pPr>
      <w:r w:rsidRPr="00A945B9">
        <w:rPr>
          <w:rFonts w:ascii="Arial" w:hAnsi="Arial" w:cs="Arial"/>
          <w:noProof/>
          <w:sz w:val="22"/>
          <w:lang w:val="es-ES_tradnl"/>
        </w:rPr>
        <w:tab/>
        <w:t>En tal sentido, el</w:t>
      </w:r>
      <w:r w:rsidR="00C94906">
        <w:rPr>
          <w:rFonts w:ascii="Arial" w:hAnsi="Arial" w:cs="Arial"/>
          <w:noProof/>
          <w:sz w:val="22"/>
          <w:lang w:val="es-ES_tradnl"/>
        </w:rPr>
        <w:t xml:space="preserve"> </w:t>
      </w:r>
      <w:r w:rsidR="00C94906" w:rsidRPr="00A945B9">
        <w:rPr>
          <w:rFonts w:ascii="Arial" w:hAnsi="Arial" w:cs="Arial"/>
          <w:noProof/>
          <w:sz w:val="22"/>
          <w:lang w:val="es-ES_tradnl"/>
        </w:rPr>
        <w:t>el artículo 2.2.1.2.1.4.9.</w:t>
      </w:r>
      <w:r w:rsidRPr="00A945B9">
        <w:rPr>
          <w:rFonts w:ascii="Arial" w:hAnsi="Arial" w:cs="Arial"/>
          <w:noProof/>
          <w:sz w:val="22"/>
          <w:lang w:val="es-ES_tradnl"/>
        </w:rPr>
        <w:t xml:space="preserve"> </w:t>
      </w:r>
      <w:r w:rsidR="00C94906">
        <w:rPr>
          <w:rFonts w:ascii="Arial" w:hAnsi="Arial" w:cs="Arial"/>
          <w:noProof/>
          <w:sz w:val="22"/>
          <w:lang w:val="es-ES_tradnl"/>
        </w:rPr>
        <w:t xml:space="preserve">del </w:t>
      </w:r>
      <w:r w:rsidRPr="00A945B9">
        <w:rPr>
          <w:rFonts w:ascii="Arial" w:hAnsi="Arial" w:cs="Arial"/>
          <w:noProof/>
          <w:sz w:val="22"/>
          <w:lang w:val="es-ES_tradnl"/>
        </w:rPr>
        <w:t>Decreto 1082 de 2015 reglamenta la contratación directa para los contratos de servicios profesionales y de apoyo a la gestión, o para la ejecución de trabajos artísticos</w:t>
      </w:r>
      <w:r w:rsidR="00C94906">
        <w:rPr>
          <w:rFonts w:ascii="Arial" w:hAnsi="Arial" w:cs="Arial"/>
          <w:noProof/>
          <w:sz w:val="22"/>
          <w:lang w:val="es-ES_tradnl"/>
        </w:rPr>
        <w:t xml:space="preserve"> los cuales</w:t>
      </w:r>
      <w:r w:rsidRPr="00A945B9">
        <w:rPr>
          <w:rFonts w:ascii="Arial" w:hAnsi="Arial" w:cs="Arial"/>
          <w:noProof/>
          <w:sz w:val="22"/>
          <w:lang w:val="es-ES_tradnl"/>
        </w:rPr>
        <w:t xml:space="preserve"> solo puedan encomendarse a determinadas personas naturales, en los siguientes términos:</w:t>
      </w:r>
    </w:p>
    <w:p w14:paraId="614B7248" w14:textId="77777777" w:rsidR="00365622" w:rsidRPr="00A945B9" w:rsidRDefault="00365622" w:rsidP="00365622">
      <w:pPr>
        <w:tabs>
          <w:tab w:val="left" w:pos="0"/>
        </w:tabs>
        <w:spacing w:line="276" w:lineRule="auto"/>
        <w:jc w:val="both"/>
        <w:rPr>
          <w:rFonts w:ascii="Arial" w:hAnsi="Arial" w:cs="Arial"/>
          <w:noProof/>
          <w:sz w:val="22"/>
          <w:lang w:val="es-ES_tradnl"/>
        </w:rPr>
      </w:pPr>
    </w:p>
    <w:p w14:paraId="266C1484" w14:textId="77777777" w:rsidR="00365622" w:rsidRPr="00A945B9" w:rsidRDefault="00365622" w:rsidP="00365622">
      <w:pPr>
        <w:ind w:left="709" w:right="758"/>
        <w:jc w:val="both"/>
        <w:rPr>
          <w:rFonts w:ascii="Arial" w:hAnsi="Arial" w:cs="Arial"/>
          <w:sz w:val="21"/>
          <w:szCs w:val="21"/>
        </w:rPr>
      </w:pPr>
      <w:r w:rsidRPr="00A945B9">
        <w:rPr>
          <w:rFonts w:ascii="Arial" w:hAnsi="Arial" w:cs="Arial"/>
          <w:sz w:val="21"/>
          <w:szCs w:val="21"/>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B5BD60F" w14:textId="77777777" w:rsidR="00365622" w:rsidRPr="00A945B9" w:rsidRDefault="00365622" w:rsidP="00365622">
      <w:pPr>
        <w:ind w:left="709" w:right="758"/>
        <w:jc w:val="both"/>
        <w:rPr>
          <w:rFonts w:ascii="Arial" w:hAnsi="Arial" w:cs="Arial"/>
          <w:sz w:val="21"/>
          <w:szCs w:val="21"/>
        </w:rPr>
      </w:pPr>
    </w:p>
    <w:p w14:paraId="2D2FC994" w14:textId="77777777" w:rsidR="00365622" w:rsidRPr="00A945B9" w:rsidRDefault="00365622" w:rsidP="00365622">
      <w:pPr>
        <w:ind w:left="709" w:right="758"/>
        <w:jc w:val="both"/>
        <w:rPr>
          <w:rFonts w:ascii="Arial" w:hAnsi="Arial" w:cs="Arial"/>
          <w:sz w:val="21"/>
          <w:szCs w:val="21"/>
        </w:rPr>
      </w:pPr>
      <w:r w:rsidRPr="00A945B9">
        <w:rPr>
          <w:rFonts w:ascii="Arial" w:hAnsi="Arial" w:cs="Arial"/>
          <w:sz w:val="21"/>
          <w:szCs w:val="21"/>
        </w:rPr>
        <w:t xml:space="preserve">Los servicios profesionales y de apoyo a la gestión corresponden a aquellos de naturaleza intelectual diferentes a los de consultoría que se derivan del </w:t>
      </w:r>
      <w:r w:rsidRPr="00A945B9">
        <w:rPr>
          <w:rFonts w:ascii="Arial" w:hAnsi="Arial" w:cs="Arial"/>
          <w:sz w:val="21"/>
          <w:szCs w:val="21"/>
        </w:rPr>
        <w:lastRenderedPageBreak/>
        <w:t>cumplimiento de las funciones de la Entidad Estatal, así como los relacionados con actividades operativas, logísticas, o asistenciales.</w:t>
      </w:r>
    </w:p>
    <w:p w14:paraId="1D54FB39" w14:textId="77777777" w:rsidR="00365622" w:rsidRPr="00A945B9" w:rsidRDefault="00365622" w:rsidP="00365622">
      <w:pPr>
        <w:ind w:left="709" w:right="758"/>
        <w:jc w:val="both"/>
        <w:rPr>
          <w:rFonts w:ascii="Arial" w:hAnsi="Arial" w:cs="Arial"/>
          <w:sz w:val="21"/>
          <w:szCs w:val="21"/>
        </w:rPr>
      </w:pPr>
    </w:p>
    <w:p w14:paraId="603685FB" w14:textId="77777777" w:rsidR="00365622" w:rsidRPr="00A945B9" w:rsidRDefault="00365622" w:rsidP="00365622">
      <w:pPr>
        <w:ind w:left="709" w:right="758"/>
        <w:jc w:val="both"/>
        <w:rPr>
          <w:rFonts w:ascii="Arial" w:hAnsi="Arial" w:cs="Arial"/>
          <w:sz w:val="21"/>
          <w:szCs w:val="21"/>
        </w:rPr>
      </w:pPr>
      <w:r w:rsidRPr="00A945B9">
        <w:rPr>
          <w:rFonts w:ascii="Arial" w:hAnsi="Arial" w:cs="Arial"/>
          <w:sz w:val="21"/>
          <w:szCs w:val="21"/>
        </w:rPr>
        <w:t>La Entidad Estatal, para la contratación de trabajos artísticos que solamente puedan en</w:t>
      </w:r>
      <w:r w:rsidRPr="00A945B9">
        <w:rPr>
          <w:rFonts w:ascii="Arial" w:hAnsi="Arial" w:cs="Arial"/>
          <w:sz w:val="21"/>
          <w:szCs w:val="21"/>
        </w:rPr>
        <w:softHyphen/>
        <w:t>comendarse a determinadas personas naturales, debe justificar esta situación en los estudios y documentos previos.</w:t>
      </w:r>
    </w:p>
    <w:p w14:paraId="26BEEAF1" w14:textId="77777777" w:rsidR="00365622" w:rsidRPr="00A945B9" w:rsidRDefault="00365622" w:rsidP="00365622">
      <w:pPr>
        <w:tabs>
          <w:tab w:val="left" w:pos="0"/>
        </w:tabs>
        <w:spacing w:line="276" w:lineRule="auto"/>
        <w:jc w:val="both"/>
        <w:rPr>
          <w:rFonts w:ascii="Arial" w:hAnsi="Arial" w:cs="Arial"/>
          <w:noProof/>
          <w:sz w:val="21"/>
          <w:szCs w:val="21"/>
        </w:rPr>
      </w:pPr>
    </w:p>
    <w:p w14:paraId="0547E397" w14:textId="77777777" w:rsidR="00365622" w:rsidRPr="00A945B9" w:rsidRDefault="00365622" w:rsidP="00365622">
      <w:pPr>
        <w:tabs>
          <w:tab w:val="left" w:pos="0"/>
        </w:tabs>
        <w:spacing w:line="276" w:lineRule="auto"/>
        <w:jc w:val="both"/>
        <w:rPr>
          <w:rFonts w:ascii="Arial" w:hAnsi="Arial" w:cs="Arial"/>
          <w:color w:val="000000" w:themeColor="text1"/>
          <w:sz w:val="22"/>
          <w:lang w:val="es-ES_tradnl"/>
        </w:rPr>
      </w:pPr>
      <w:r w:rsidRPr="00A945B9">
        <w:rPr>
          <w:rFonts w:ascii="Arial" w:hAnsi="Arial" w:cs="Arial"/>
          <w:color w:val="000000" w:themeColor="text1"/>
          <w:sz w:val="22"/>
          <w:lang w:val="es-ES_tradnl"/>
        </w:rPr>
        <w:tab/>
        <w:t>A partir de las disposiciones citadas, así como de la reciente Sentencia de Unificación de Jurisprudencial del 9 de septiembre de 2021, proferida por el Consejo de Estado</w:t>
      </w:r>
      <w:r w:rsidRPr="00A945B9">
        <w:rPr>
          <w:rStyle w:val="Refdenotaalpie"/>
          <w:rFonts w:ascii="Arial" w:hAnsi="Arial" w:cs="Arial"/>
          <w:bCs/>
          <w:lang w:val="es-ES"/>
        </w:rPr>
        <w:footnoteReference w:id="1"/>
      </w:r>
      <w:r w:rsidRPr="00A945B9">
        <w:rPr>
          <w:rFonts w:ascii="Arial" w:hAnsi="Arial" w:cs="Arial"/>
          <w:color w:val="000000" w:themeColor="text1"/>
          <w:sz w:val="22"/>
          <w:lang w:val="es-ES_tradnl"/>
        </w:rPr>
        <w:t>, es posible señalar las siguientes características del contrato de prestación de servicios</w:t>
      </w:r>
      <w:r w:rsidRPr="00A945B9">
        <w:rPr>
          <w:rFonts w:ascii="Arial" w:hAnsi="Arial" w:cs="Arial"/>
          <w:noProof/>
          <w:sz w:val="22"/>
          <w:lang w:val="es-ES_tradnl"/>
        </w:rPr>
        <w:t>:</w:t>
      </w:r>
    </w:p>
    <w:p w14:paraId="31F2C8A3"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i) Solo puede celebrarse para realizar «actividades relacionadas con la administración o funcionamiento de la entidad», es decir, que hagan parte de su giro ordinario o quehacer cotidiano</w:t>
      </w:r>
      <w:r w:rsidRPr="00A945B9">
        <w:rPr>
          <w:rStyle w:val="Refdenotaalpie"/>
          <w:rFonts w:ascii="Arial" w:hAnsi="Arial" w:cs="Arial"/>
          <w:noProof/>
          <w:sz w:val="22"/>
          <w:lang w:val="es-ES_tradnl"/>
        </w:rPr>
        <w:footnoteReference w:id="2"/>
      </w:r>
      <w:r w:rsidRPr="00A945B9">
        <w:rPr>
          <w:rFonts w:ascii="Arial" w:hAnsi="Arial" w:cs="Arial"/>
          <w:noProof/>
          <w:sz w:val="22"/>
          <w:lang w:val="es-ES_tradnl"/>
        </w:rPr>
        <w:t>.</w:t>
      </w:r>
    </w:p>
    <w:p w14:paraId="4A07D235"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ii) Respecto del tipo de personas que pueden ser contratadas, admite que se suscriba con personas naturales o jurídicas. Sin embargo, cuando se celebre con aquellas, la entidad estatal debe justificar, en los estudios previos, que las actividades «no puedan realizarse con personal de planta o requieran conocimientos especializados».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29180F8D"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A945B9">
        <w:rPr>
          <w:rFonts w:ascii="Arial" w:hAnsi="Arial" w:cs="Arial"/>
          <w:i/>
          <w:noProof/>
          <w:sz w:val="22"/>
          <w:lang w:val="es-ES_tradnl"/>
        </w:rPr>
        <w:t xml:space="preserve">subordinación </w:t>
      </w:r>
      <w:r w:rsidRPr="00A945B9">
        <w:rPr>
          <w:rFonts w:ascii="Arial" w:hAnsi="Arial" w:cs="Arial"/>
          <w:iCs/>
          <w:noProof/>
          <w:sz w:val="22"/>
          <w:lang w:val="es-ES_tradnl"/>
        </w:rPr>
        <w:t>ni</w:t>
      </w:r>
      <w:r w:rsidRPr="00A945B9">
        <w:rPr>
          <w:rFonts w:ascii="Arial" w:hAnsi="Arial" w:cs="Arial"/>
          <w:i/>
          <w:noProof/>
          <w:sz w:val="22"/>
          <w:lang w:val="es-ES_tradnl"/>
        </w:rPr>
        <w:t xml:space="preserve"> dependencia</w:t>
      </w:r>
      <w:r w:rsidRPr="00A945B9">
        <w:rPr>
          <w:rFonts w:ascii="Arial" w:hAnsi="Arial" w:cs="Arial"/>
          <w:iCs/>
          <w:noProof/>
          <w:sz w:val="22"/>
          <w:lang w:val="es-ES_tradnl"/>
        </w:rPr>
        <w:t>,</w:t>
      </w:r>
      <w:r w:rsidRPr="00A945B9">
        <w:rPr>
          <w:rFonts w:ascii="Arial" w:hAnsi="Arial" w:cs="Arial"/>
          <w:noProof/>
          <w:sz w:val="22"/>
          <w:lang w:val="es-ES_tradnl"/>
        </w:rPr>
        <w:t xml:space="preserve"> que es uno de los elementos constitutivos del vínculo laboral</w:t>
      </w:r>
      <w:r w:rsidRPr="00A945B9">
        <w:rPr>
          <w:rStyle w:val="Refdenotaalpie"/>
          <w:rFonts w:ascii="Arial" w:hAnsi="Arial" w:cs="Arial"/>
          <w:noProof/>
          <w:sz w:val="22"/>
          <w:lang w:val="es-ES_tradnl"/>
        </w:rPr>
        <w:footnoteReference w:id="3"/>
      </w:r>
      <w:r w:rsidRPr="00A945B9">
        <w:rPr>
          <w:rFonts w:ascii="Arial" w:hAnsi="Arial" w:cs="Arial"/>
          <w:noProof/>
          <w:sz w:val="22"/>
          <w:lang w:val="es-ES_tradnl"/>
        </w:rPr>
        <w:t xml:space="preserve">. Por eso,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w:t>
      </w:r>
      <w:r w:rsidRPr="00A945B9">
        <w:rPr>
          <w:rFonts w:ascii="Arial" w:hAnsi="Arial" w:cs="Arial"/>
          <w:noProof/>
          <w:sz w:val="22"/>
          <w:lang w:val="es-ES_tradnl"/>
        </w:rPr>
        <w:lastRenderedPageBreak/>
        <w:t xml:space="preserve">profesionales </w:t>
      </w:r>
      <w:r w:rsidRPr="00A945B9">
        <w:rPr>
          <w:rFonts w:ascii="Arial" w:hAnsi="Arial" w:cs="Arial"/>
          <w:i/>
          <w:noProof/>
          <w:sz w:val="22"/>
          <w:lang w:val="es-ES_tradnl"/>
        </w:rPr>
        <w:t>no pueden</w:t>
      </w:r>
      <w:r w:rsidRPr="00A945B9">
        <w:rPr>
          <w:rFonts w:ascii="Arial" w:hAnsi="Arial" w:cs="Arial"/>
          <w:noProof/>
          <w:sz w:val="22"/>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«trabajador independiente» –como lo califican las normas de la seguridad social– debe cotizar por su cuenta y riesgo al Sistema de Seguridad Social Integral</w:t>
      </w:r>
      <w:r w:rsidRPr="00A945B9">
        <w:rPr>
          <w:rStyle w:val="Refdenotaalpie"/>
          <w:rFonts w:ascii="Arial" w:hAnsi="Arial" w:cs="Arial"/>
          <w:noProof/>
          <w:sz w:val="22"/>
          <w:lang w:val="es-ES_tradnl"/>
        </w:rPr>
        <w:footnoteReference w:id="4"/>
      </w:r>
      <w:r w:rsidRPr="00A945B9">
        <w:rPr>
          <w:rFonts w:ascii="Arial" w:hAnsi="Arial" w:cs="Arial"/>
          <w:noProof/>
          <w:sz w:val="22"/>
          <w:lang w:val="es-ES_tradnl"/>
        </w:rPr>
        <w:t xml:space="preserve">. </w:t>
      </w:r>
    </w:p>
    <w:p w14:paraId="1B1954F7" w14:textId="61D5D494"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 xml:space="preserve">A pesar de este mandato deontológico, es posible que en la práctica se configure una relación laboral, pues el contrato de trabajo es </w:t>
      </w:r>
      <w:r w:rsidRPr="00A945B9">
        <w:rPr>
          <w:rFonts w:ascii="Arial" w:hAnsi="Arial" w:cs="Arial"/>
          <w:i/>
          <w:iCs/>
          <w:noProof/>
          <w:sz w:val="22"/>
          <w:lang w:val="es-ES_tradnl"/>
        </w:rPr>
        <w:t xml:space="preserve">de </w:t>
      </w:r>
      <w:r w:rsidRPr="00A945B9">
        <w:rPr>
          <w:rFonts w:ascii="Arial" w:hAnsi="Arial" w:cs="Arial"/>
          <w:i/>
          <w:noProof/>
          <w:sz w:val="22"/>
          <w:lang w:val="es-ES_tradnl"/>
        </w:rPr>
        <w:t>realidad</w:t>
      </w:r>
      <w:r w:rsidRPr="00A945B9">
        <w:rPr>
          <w:rFonts w:ascii="Arial" w:hAnsi="Arial" w:cs="Arial"/>
          <w:noProof/>
          <w:sz w:val="22"/>
          <w:lang w:val="es-ES_tradnl"/>
        </w:rPr>
        <w:t>, y para perfeccionarlo rige el principio de prevalencia de la realidad sobre las formalidades. En el sentido anterior, la Corte Constitucional declaró la exequibilidad condicionada del segundo inciso del numeral 3º del artículo 32, indicando que «las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sidRPr="00A945B9">
        <w:rPr>
          <w:rStyle w:val="Refdenotaalpie"/>
          <w:rFonts w:ascii="Arial" w:hAnsi="Arial" w:cs="Arial"/>
          <w:noProof/>
          <w:sz w:val="22"/>
          <w:lang w:val="es-ES_tradnl"/>
        </w:rPr>
        <w:footnoteReference w:id="5"/>
      </w:r>
      <w:r w:rsidRPr="00A945B9">
        <w:rPr>
          <w:rFonts w:ascii="Arial" w:hAnsi="Arial" w:cs="Arial"/>
          <w:noProof/>
          <w:sz w:val="22"/>
          <w:lang w:val="es-ES_tradnl"/>
        </w:rPr>
        <w:t>. Por su parte, el Consejo de Estado</w:t>
      </w:r>
      <w:r w:rsidR="004F19AC">
        <w:rPr>
          <w:rFonts w:ascii="Arial" w:hAnsi="Arial" w:cs="Arial"/>
          <w:noProof/>
          <w:sz w:val="22"/>
          <w:lang w:val="es-ES_tradnl"/>
        </w:rPr>
        <w:t>,</w:t>
      </w:r>
      <w:r w:rsidRPr="00A945B9">
        <w:rPr>
          <w:rFonts w:ascii="Arial" w:hAnsi="Arial" w:cs="Arial"/>
          <w:noProof/>
          <w:sz w:val="22"/>
          <w:lang w:val="es-ES_tradnl"/>
        </w:rPr>
        <w:t xml:space="preserve"> en sentencia de unificación jurisprudencial del 9 de septiembre de 2021</w:t>
      </w:r>
      <w:r w:rsidR="004F19AC">
        <w:rPr>
          <w:rFonts w:ascii="Arial" w:hAnsi="Arial" w:cs="Arial"/>
          <w:noProof/>
          <w:sz w:val="22"/>
          <w:lang w:val="es-ES_tradnl"/>
        </w:rPr>
        <w:t>,</w:t>
      </w:r>
      <w:r w:rsidRPr="00A945B9">
        <w:rPr>
          <w:rFonts w:ascii="Arial" w:hAnsi="Arial" w:cs="Arial"/>
          <w:noProof/>
          <w:sz w:val="22"/>
          <w:lang w:val="es-ES_tradnl"/>
        </w:rPr>
        <w:t xml:space="preserve"> se pronunció respecto de los criterios para identificar la existencia de una relación laboral encubierta o subyacente por </w:t>
      </w:r>
      <w:r w:rsidRPr="00A945B9">
        <w:rPr>
          <w:rFonts w:ascii="Arial" w:hAnsi="Arial" w:cs="Arial"/>
          <w:noProof/>
          <w:sz w:val="22"/>
          <w:lang w:val="es-ES_tradnl"/>
        </w:rPr>
        <w:lastRenderedPageBreak/>
        <w:t>contratos de prestación de servicios y definó tres reglas para el efecto</w:t>
      </w:r>
      <w:r w:rsidRPr="00A945B9">
        <w:rPr>
          <w:vertAlign w:val="superscript"/>
          <w:lang w:val="es-ES_tradnl"/>
        </w:rPr>
        <w:footnoteReference w:id="6"/>
      </w:r>
      <w:r w:rsidRPr="00A945B9">
        <w:rPr>
          <w:rFonts w:ascii="Arial" w:hAnsi="Arial" w:cs="Arial"/>
          <w:noProof/>
          <w:sz w:val="22"/>
          <w:lang w:val="es-ES_tradnl"/>
        </w:rPr>
        <w:t>, aspectos que fueron aclarados posteriormente por Auto del 11 de noviembre de 2021</w:t>
      </w:r>
      <w:r w:rsidRPr="00A945B9">
        <w:rPr>
          <w:rStyle w:val="Refdenotaalpie"/>
          <w:rFonts w:ascii="Arial" w:hAnsi="Arial" w:cs="Arial"/>
          <w:noProof/>
          <w:sz w:val="22"/>
          <w:lang w:val="es-ES_tradnl"/>
        </w:rPr>
        <w:footnoteReference w:id="7"/>
      </w:r>
      <w:r w:rsidRPr="00A945B9">
        <w:rPr>
          <w:rFonts w:ascii="Arial" w:hAnsi="Arial" w:cs="Arial"/>
          <w:noProof/>
          <w:sz w:val="22"/>
          <w:lang w:val="es-ES_tradnl"/>
        </w:rPr>
        <w:t>.</w:t>
      </w:r>
    </w:p>
    <w:p w14:paraId="35DD38CF"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iv) Deben ser temporales. La sentencia de unificacion jurisprudencial del Consejo de Estado mencionada, frente a la duración del contrato de prestación de servicios señaló que solo puede celebrarse por un «término estrictamente indispensable». En ese entendido,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A945B9">
        <w:rPr>
          <w:rFonts w:ascii="Arial" w:hAnsi="Arial" w:cs="Arial"/>
          <w:sz w:val="22"/>
        </w:rPr>
        <w:t xml:space="preserve"> De igual manera, señaló que «no cabe su empleo para la cobertura indefinida de necesidades permanentes o recurrentes». </w:t>
      </w:r>
      <w:r w:rsidRPr="00A945B9">
        <w:rPr>
          <w:rFonts w:ascii="Arial" w:hAnsi="Arial" w:cs="Arial"/>
          <w:noProof/>
          <w:sz w:val="22"/>
          <w:lang w:val="es-ES_tradnl"/>
        </w:rPr>
        <w:t>En sentido similar se manifestó la Corte Constitucional en la Sentencia C-154 de 1997, expresando que:</w:t>
      </w:r>
    </w:p>
    <w:p w14:paraId="02D93611" w14:textId="77777777" w:rsidR="00365622" w:rsidRPr="00A945B9" w:rsidRDefault="00365622" w:rsidP="00365622">
      <w:pPr>
        <w:spacing w:line="276" w:lineRule="auto"/>
        <w:jc w:val="both"/>
        <w:rPr>
          <w:rFonts w:ascii="Arial" w:hAnsi="Arial" w:cs="Arial"/>
          <w:noProof/>
          <w:sz w:val="22"/>
          <w:lang w:val="es-ES_tradnl"/>
        </w:rPr>
      </w:pPr>
    </w:p>
    <w:p w14:paraId="61FBEDFC" w14:textId="77777777" w:rsidR="00365622" w:rsidRPr="00A945B9" w:rsidRDefault="00365622" w:rsidP="00365622">
      <w:pPr>
        <w:ind w:left="709" w:right="709"/>
        <w:jc w:val="both"/>
        <w:rPr>
          <w:rFonts w:ascii="Arial" w:hAnsi="Arial" w:cs="Arial"/>
          <w:noProof/>
          <w:sz w:val="21"/>
          <w:szCs w:val="21"/>
          <w:lang w:val="es-ES_tradnl"/>
        </w:rPr>
      </w:pPr>
      <w:r w:rsidRPr="00A945B9">
        <w:rPr>
          <w:rFonts w:ascii="Arial" w:hAnsi="Arial" w:cs="Arial"/>
          <w:noProof/>
          <w:sz w:val="21"/>
          <w:szCs w:val="21"/>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w:t>
      </w:r>
      <w:r w:rsidRPr="00A945B9">
        <w:rPr>
          <w:rFonts w:ascii="Arial" w:hAnsi="Arial" w:cs="Arial"/>
          <w:noProof/>
          <w:sz w:val="21"/>
          <w:szCs w:val="21"/>
          <w:lang w:val="es-ES_tradnl"/>
        </w:rPr>
        <w:lastRenderedPageBreak/>
        <w:t>cumplimiento a lo previsto en el artículo 122 de la Carta Política, según el cual se requiere que el empleo público quede contemplado en la respectiva planta y previstos sus emolumentos en el presupuesto correspondiente</w:t>
      </w:r>
      <w:r w:rsidRPr="00A945B9">
        <w:rPr>
          <w:rStyle w:val="Refdenotaalpie"/>
          <w:rFonts w:ascii="Arial" w:hAnsi="Arial" w:cs="Arial"/>
          <w:noProof/>
          <w:sz w:val="21"/>
          <w:szCs w:val="21"/>
          <w:lang w:val="es-ES_tradnl"/>
        </w:rPr>
        <w:footnoteReference w:id="8"/>
      </w:r>
      <w:r w:rsidRPr="00A945B9">
        <w:rPr>
          <w:rFonts w:ascii="Arial" w:hAnsi="Arial" w:cs="Arial"/>
          <w:noProof/>
          <w:sz w:val="21"/>
          <w:szCs w:val="21"/>
          <w:lang w:val="es-ES_tradnl"/>
        </w:rPr>
        <w:t>.</w:t>
      </w:r>
    </w:p>
    <w:p w14:paraId="18E5C527" w14:textId="77777777" w:rsidR="00365622" w:rsidRPr="00A945B9" w:rsidRDefault="00365622" w:rsidP="00365622">
      <w:pPr>
        <w:spacing w:line="276" w:lineRule="auto"/>
        <w:ind w:left="709" w:right="709"/>
        <w:jc w:val="both"/>
        <w:rPr>
          <w:rFonts w:ascii="Arial" w:hAnsi="Arial" w:cs="Arial"/>
          <w:noProof/>
          <w:sz w:val="22"/>
          <w:lang w:val="es-ES_tradnl"/>
        </w:rPr>
      </w:pPr>
    </w:p>
    <w:p w14:paraId="41C9232A" w14:textId="77777777" w:rsidR="00365622" w:rsidRPr="00A945B9" w:rsidRDefault="00365622" w:rsidP="00365622">
      <w:pPr>
        <w:spacing w:after="120" w:line="276" w:lineRule="auto"/>
        <w:ind w:firstLine="709"/>
        <w:jc w:val="both"/>
        <w:rPr>
          <w:rFonts w:ascii="Arial" w:hAnsi="Arial" w:cs="Arial"/>
          <w:noProof/>
          <w:sz w:val="22"/>
          <w:lang w:val="es-ES_tradnl"/>
        </w:rPr>
      </w:pPr>
      <w:r w:rsidRPr="00A945B9">
        <w:rPr>
          <w:rFonts w:ascii="Arial" w:hAnsi="Arial" w:cs="Arial"/>
          <w:noProof/>
          <w:sz w:val="22"/>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A945B9">
        <w:rPr>
          <w:rStyle w:val="Refdenotaalpie"/>
          <w:rFonts w:ascii="Arial" w:hAnsi="Arial" w:cs="Arial"/>
          <w:noProof/>
          <w:sz w:val="22"/>
          <w:lang w:val="es-ES_tradnl"/>
        </w:rPr>
        <w:footnoteReference w:id="9"/>
      </w:r>
      <w:r w:rsidRPr="00A945B9">
        <w:rPr>
          <w:rFonts w:ascii="Arial" w:hAnsi="Arial" w:cs="Arial"/>
          <w:noProof/>
          <w:sz w:val="22"/>
          <w:lang w:val="es-ES_tradnl"/>
        </w:rPr>
        <w:t>. Esto también se deriva d</w:t>
      </w:r>
      <w:r w:rsidRPr="00A945B9">
        <w:rPr>
          <w:rFonts w:ascii="Arial" w:eastAsia="Calibri" w:hAnsi="Arial" w:cs="Arial"/>
          <w:color w:val="000000" w:themeColor="text1"/>
          <w:sz w:val="22"/>
          <w:lang w:val="es-ES_tradnl"/>
        </w:rPr>
        <w:t xml:space="preserve">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r w:rsidRPr="00A945B9">
        <w:rPr>
          <w:rFonts w:ascii="Arial" w:hAnsi="Arial" w:cs="Arial"/>
          <w:noProof/>
          <w:sz w:val="22"/>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5C56CC5C" w14:textId="77777777" w:rsidR="00365622" w:rsidRPr="00A945B9" w:rsidRDefault="00365622" w:rsidP="00365622">
      <w:pPr>
        <w:spacing w:after="120" w:line="276" w:lineRule="auto"/>
        <w:ind w:firstLine="709"/>
        <w:jc w:val="both"/>
        <w:rPr>
          <w:rFonts w:ascii="Arial" w:hAnsi="Arial" w:cs="Arial"/>
          <w:noProof/>
          <w:sz w:val="22"/>
          <w:lang w:val="es-ES_tradnl"/>
        </w:rPr>
      </w:pPr>
      <w:r w:rsidRPr="00A945B9">
        <w:rPr>
          <w:rFonts w:ascii="Arial" w:hAnsi="Arial" w:cs="Arial"/>
          <w:noProof/>
          <w:sz w:val="22"/>
          <w:lang w:val="es-ES_tradnl"/>
        </w:rPr>
        <w:t>vi) Para su celebración no se requiere expedir un acto administrativo de justificación de la contratación directa</w:t>
      </w:r>
      <w:r w:rsidRPr="00A945B9">
        <w:rPr>
          <w:rStyle w:val="Refdenotaalpie"/>
          <w:rFonts w:ascii="Arial" w:hAnsi="Arial" w:cs="Arial"/>
          <w:noProof/>
          <w:sz w:val="22"/>
          <w:lang w:val="es-ES_tradnl"/>
        </w:rPr>
        <w:footnoteReference w:id="10"/>
      </w:r>
      <w:r w:rsidRPr="00A945B9">
        <w:rPr>
          <w:rFonts w:ascii="Arial" w:hAnsi="Arial" w:cs="Arial"/>
          <w:noProof/>
          <w:sz w:val="22"/>
          <w:lang w:val="es-ES_tradnl"/>
        </w:rPr>
        <w:t>.</w:t>
      </w:r>
    </w:p>
    <w:p w14:paraId="08EAD7EA"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 xml:space="preserve">vii) El contrato admite la inclusión de cláusulas excepcionales. En los contratos de prestación de servicios se puede pactar la caducidad, la modificación, interpretación o terminación unilateral, como acuerdos o elementos accidentales, así que para ejercer estas </w:t>
      </w:r>
      <w:r w:rsidRPr="00A945B9">
        <w:rPr>
          <w:rFonts w:ascii="Arial" w:hAnsi="Arial" w:cs="Arial"/>
          <w:noProof/>
          <w:sz w:val="22"/>
          <w:lang w:val="es-ES_tradnl"/>
        </w:rPr>
        <w:lastRenderedPageBreak/>
        <w:t>exorbitancias deben incluirse expresamente, porque no se entienden pactadas como cláusula de la naturaleza. Así se infiere del artículo 14, numeral 2º, de la Ley 80 de 1993</w:t>
      </w:r>
      <w:r w:rsidRPr="00A945B9">
        <w:rPr>
          <w:rStyle w:val="Refdenotaalpie"/>
          <w:rFonts w:ascii="Arial" w:hAnsi="Arial" w:cs="Arial"/>
          <w:noProof/>
          <w:sz w:val="22"/>
          <w:lang w:val="es-ES_tradnl"/>
        </w:rPr>
        <w:footnoteReference w:id="11"/>
      </w:r>
      <w:r w:rsidRPr="00A945B9">
        <w:rPr>
          <w:rFonts w:ascii="Arial" w:hAnsi="Arial" w:cs="Arial"/>
          <w:noProof/>
          <w:sz w:val="22"/>
          <w:lang w:val="es-ES_tradnl"/>
        </w:rPr>
        <w:t>.</w:t>
      </w:r>
    </w:p>
    <w:p w14:paraId="3469F477" w14:textId="65D5E90C"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 xml:space="preserve">viii) No es obligatoria la liquidación de estos contratos, como lo establece el artículo 217 del Decreto 019 de 2012, </w:t>
      </w:r>
      <w:r w:rsidR="00B365CA">
        <w:rPr>
          <w:rFonts w:ascii="Arial" w:hAnsi="Arial" w:cs="Arial"/>
          <w:noProof/>
          <w:sz w:val="22"/>
          <w:lang w:val="es-ES_tradnl"/>
        </w:rPr>
        <w:t>mediante el cual se</w:t>
      </w:r>
      <w:r w:rsidRPr="00A945B9">
        <w:rPr>
          <w:rFonts w:ascii="Arial" w:hAnsi="Arial" w:cs="Arial"/>
          <w:noProof/>
          <w:sz w:val="22"/>
          <w:lang w:val="es-ES_tradnl"/>
        </w:rPr>
        <w:t xml:space="preserve"> modificó el artículo 60 de la Ley 80 de 1993</w:t>
      </w:r>
      <w:r w:rsidRPr="00A945B9">
        <w:rPr>
          <w:rStyle w:val="Refdenotaalpie"/>
          <w:rFonts w:ascii="Arial" w:hAnsi="Arial" w:cs="Arial"/>
          <w:noProof/>
          <w:sz w:val="22"/>
          <w:lang w:val="es-ES_tradnl"/>
        </w:rPr>
        <w:footnoteReference w:id="12"/>
      </w:r>
      <w:r w:rsidRPr="00A945B9">
        <w:rPr>
          <w:rFonts w:ascii="Arial" w:hAnsi="Arial" w:cs="Arial"/>
          <w:noProof/>
          <w:sz w:val="22"/>
          <w:lang w:val="es-ES_tradnl"/>
        </w:rPr>
        <w:t>.</w:t>
      </w:r>
    </w:p>
    <w:p w14:paraId="5FD44581" w14:textId="77777777" w:rsidR="00365622" w:rsidRPr="00A945B9" w:rsidRDefault="00365622" w:rsidP="00365622">
      <w:pPr>
        <w:spacing w:before="120" w:line="276" w:lineRule="auto"/>
        <w:ind w:firstLine="709"/>
        <w:jc w:val="both"/>
        <w:rPr>
          <w:rFonts w:ascii="Arial" w:hAnsi="Arial" w:cs="Arial"/>
          <w:noProof/>
          <w:sz w:val="22"/>
          <w:lang w:val="es-ES_tradnl"/>
        </w:rPr>
      </w:pPr>
      <w:r w:rsidRPr="00A945B9">
        <w:rPr>
          <w:rFonts w:ascii="Arial" w:hAnsi="Arial" w:cs="Arial"/>
          <w:noProof/>
          <w:sz w:val="22"/>
          <w:lang w:val="es-ES_tradnl"/>
        </w:rPr>
        <w:t>ix) Para su celebración el contratista no requiere estar inscrito en el Registro Único de Proponentes –RUP–, como lo señala el artículo 6 de la Ley 1150 de 2007</w:t>
      </w:r>
      <w:r w:rsidRPr="00A945B9">
        <w:rPr>
          <w:rStyle w:val="Refdenotaalpie"/>
          <w:rFonts w:ascii="Arial" w:hAnsi="Arial" w:cs="Arial"/>
          <w:noProof/>
          <w:sz w:val="22"/>
          <w:lang w:val="es-ES_tradnl"/>
        </w:rPr>
        <w:footnoteReference w:id="13"/>
      </w:r>
      <w:r w:rsidRPr="00A945B9">
        <w:rPr>
          <w:rFonts w:ascii="Arial" w:hAnsi="Arial" w:cs="Arial"/>
          <w:noProof/>
          <w:sz w:val="22"/>
          <w:lang w:val="es-ES_tradnl"/>
        </w:rPr>
        <w:t>.</w:t>
      </w:r>
    </w:p>
    <w:p w14:paraId="6D7B629E" w14:textId="77777777" w:rsidR="00365622" w:rsidRPr="00A945B9" w:rsidRDefault="00365622" w:rsidP="00365622">
      <w:pPr>
        <w:spacing w:before="120" w:line="276" w:lineRule="auto"/>
        <w:ind w:firstLine="708"/>
        <w:jc w:val="both"/>
        <w:rPr>
          <w:rFonts w:ascii="Arial" w:hAnsi="Arial" w:cs="Arial"/>
          <w:noProof/>
          <w:sz w:val="22"/>
          <w:lang w:val="es-ES_tradnl"/>
        </w:rPr>
      </w:pPr>
      <w:r w:rsidRPr="00A945B9">
        <w:rPr>
          <w:rFonts w:ascii="Arial" w:hAnsi="Arial" w:cs="Arial"/>
          <w:noProof/>
          <w:sz w:val="22"/>
          <w:lang w:val="es-ES_tradnl"/>
        </w:rPr>
        <w:t>x) No es obligatoria la exigencia de garantías</w:t>
      </w:r>
      <w:r w:rsidRPr="00A945B9">
        <w:rPr>
          <w:rStyle w:val="Refdenotaalpie"/>
          <w:rFonts w:ascii="Arial" w:hAnsi="Arial" w:cs="Arial"/>
          <w:noProof/>
          <w:sz w:val="22"/>
          <w:lang w:val="es-ES_tradnl"/>
        </w:rPr>
        <w:footnoteReference w:id="14"/>
      </w:r>
      <w:r w:rsidRPr="00A945B9">
        <w:rPr>
          <w:rFonts w:ascii="Arial" w:hAnsi="Arial" w:cs="Arial"/>
          <w:noProof/>
          <w:sz w:val="22"/>
          <w:lang w:val="es-ES_tradnl"/>
        </w:rPr>
        <w:t>.</w:t>
      </w:r>
    </w:p>
    <w:p w14:paraId="318331CC" w14:textId="77777777" w:rsidR="00365622" w:rsidRPr="00A945B9" w:rsidRDefault="00365622" w:rsidP="00365622">
      <w:pPr>
        <w:spacing w:before="120" w:line="276" w:lineRule="auto"/>
        <w:ind w:firstLine="708"/>
        <w:jc w:val="both"/>
        <w:rPr>
          <w:rFonts w:ascii="Arial" w:hAnsi="Arial" w:cs="Arial"/>
          <w:noProof/>
          <w:sz w:val="22"/>
          <w:lang w:val="es-ES"/>
        </w:rPr>
      </w:pPr>
      <w:r w:rsidRPr="00A945B9">
        <w:rPr>
          <w:rFonts w:ascii="Arial" w:hAnsi="Arial" w:cs="Arial"/>
          <w:noProof/>
          <w:sz w:val="22"/>
          <w:lang w:val="es-ES_tradnl"/>
        </w:rPr>
        <w:t>xi) Como los demás contratos estatales, se trata de un contrato solemne que debe constar por escrito y debe ser publicado en el SECOP.</w:t>
      </w:r>
    </w:p>
    <w:p w14:paraId="111A3641" w14:textId="77777777" w:rsidR="00365622" w:rsidRPr="00A945B9" w:rsidRDefault="00365622" w:rsidP="00365622">
      <w:pPr>
        <w:tabs>
          <w:tab w:val="left" w:pos="0"/>
        </w:tabs>
        <w:spacing w:before="120" w:line="276" w:lineRule="auto"/>
        <w:ind w:firstLine="709"/>
        <w:jc w:val="both"/>
        <w:rPr>
          <w:rFonts w:ascii="Arial" w:hAnsi="Arial" w:cs="Arial"/>
          <w:color w:val="000000" w:themeColor="text1"/>
          <w:sz w:val="21"/>
          <w:szCs w:val="21"/>
        </w:rPr>
      </w:pPr>
      <w:r w:rsidRPr="00A945B9">
        <w:rPr>
          <w:rFonts w:ascii="Arial" w:hAnsi="Arial" w:cs="Arial"/>
          <w:color w:val="000000" w:themeColor="text1"/>
          <w:sz w:val="22"/>
          <w:lang w:val="es-ES"/>
        </w:rPr>
        <w:t>xii) C</w:t>
      </w:r>
      <w:r w:rsidRPr="00A945B9">
        <w:rPr>
          <w:rFonts w:ascii="Arial" w:hAnsi="Arial" w:cs="Arial"/>
          <w:color w:val="000000" w:themeColor="text1"/>
          <w:sz w:val="22"/>
        </w:rPr>
        <w:t xml:space="preserve">omo especies del género </w:t>
      </w:r>
      <w:r w:rsidRPr="00A945B9">
        <w:rPr>
          <w:rFonts w:ascii="Arial" w:hAnsi="Arial" w:cs="Arial"/>
          <w:i/>
          <w:color w:val="000000" w:themeColor="text1"/>
          <w:sz w:val="22"/>
        </w:rPr>
        <w:t>prestación de servicios,</w:t>
      </w:r>
      <w:r w:rsidRPr="00A945B9">
        <w:rPr>
          <w:rFonts w:ascii="Arial" w:hAnsi="Arial" w:cs="Arial"/>
          <w:color w:val="000000" w:themeColor="text1"/>
          <w:sz w:val="22"/>
        </w:rPr>
        <w:t xml:space="preserve"> se incluyen </w:t>
      </w:r>
      <w:r w:rsidRPr="00A945B9">
        <w:rPr>
          <w:rFonts w:ascii="Arial" w:hAnsi="Arial" w:cs="Arial"/>
          <w:color w:val="000000" w:themeColor="text1"/>
          <w:sz w:val="22"/>
          <w:lang w:val="es-ES_tradnl"/>
        </w:rPr>
        <w:t xml:space="preserve">los </w:t>
      </w:r>
      <w:r w:rsidRPr="00A945B9">
        <w:rPr>
          <w:rFonts w:ascii="Arial" w:hAnsi="Arial" w:cs="Arial"/>
          <w:i/>
          <w:iCs/>
          <w:color w:val="000000" w:themeColor="text1"/>
          <w:sz w:val="22"/>
          <w:lang w:val="es-ES_tradnl"/>
        </w:rPr>
        <w:t xml:space="preserve">contratos de prestación de servicios profesionales, los contratos de prestación de servicios de apoyo a </w:t>
      </w:r>
      <w:r w:rsidRPr="00A945B9">
        <w:rPr>
          <w:rFonts w:ascii="Arial" w:hAnsi="Arial" w:cs="Arial"/>
          <w:i/>
          <w:iCs/>
          <w:color w:val="000000" w:themeColor="text1"/>
          <w:sz w:val="22"/>
          <w:lang w:val="es-ES_tradnl"/>
        </w:rPr>
        <w:lastRenderedPageBreak/>
        <w:t>la gestión</w:t>
      </w:r>
      <w:r w:rsidRPr="00A945B9">
        <w:rPr>
          <w:rFonts w:ascii="Arial" w:hAnsi="Arial" w:cs="Arial"/>
          <w:color w:val="000000" w:themeColor="text1"/>
          <w:sz w:val="22"/>
          <w:lang w:val="es-ES_tradnl"/>
        </w:rPr>
        <w:t xml:space="preserve"> y los </w:t>
      </w:r>
      <w:r w:rsidRPr="00A945B9">
        <w:rPr>
          <w:rFonts w:ascii="Arial" w:hAnsi="Arial" w:cs="Arial"/>
          <w:i/>
          <w:iCs/>
          <w:color w:val="000000" w:themeColor="text1"/>
          <w:sz w:val="22"/>
          <w:lang w:val="es-ES_tradnl"/>
        </w:rPr>
        <w:t>contratos de prestación de servicios artísticos que solo pueden encomendarse a determinadas personas naturales</w:t>
      </w:r>
      <w:r w:rsidRPr="00A945B9">
        <w:rPr>
          <w:rFonts w:ascii="Arial" w:hAnsi="Arial" w:cs="Arial"/>
          <w:color w:val="000000" w:themeColor="text1"/>
          <w:sz w:val="22"/>
          <w:vertAlign w:val="superscript"/>
          <w:lang w:val="es-ES_tradnl"/>
        </w:rPr>
        <w:footnoteReference w:id="15"/>
      </w:r>
      <w:r w:rsidRPr="00A945B9">
        <w:rPr>
          <w:rFonts w:ascii="Arial" w:hAnsi="Arial" w:cs="Arial"/>
          <w:color w:val="000000" w:themeColor="text1"/>
          <w:sz w:val="22"/>
        </w:rPr>
        <w:t xml:space="preserve">. </w:t>
      </w:r>
      <w:r w:rsidRPr="00A945B9">
        <w:rPr>
          <w:rFonts w:ascii="Arial" w:hAnsi="Arial" w:cs="Arial"/>
          <w:color w:val="000000" w:themeColor="text1"/>
          <w:sz w:val="22"/>
          <w:lang w:val="es-ES_tradnl"/>
        </w:rPr>
        <w:t xml:space="preserve">La diferencia entre el contrato de prestación de servicios </w:t>
      </w:r>
      <w:r w:rsidRPr="00A945B9">
        <w:rPr>
          <w:rFonts w:ascii="Arial" w:hAnsi="Arial" w:cs="Arial"/>
          <w:i/>
          <w:color w:val="000000" w:themeColor="text1"/>
          <w:sz w:val="22"/>
          <w:lang w:val="es-ES_tradnl"/>
        </w:rPr>
        <w:t>profesionales</w:t>
      </w:r>
      <w:r w:rsidRPr="00A945B9">
        <w:rPr>
          <w:rFonts w:ascii="Arial" w:hAnsi="Arial" w:cs="Arial"/>
          <w:color w:val="000000" w:themeColor="text1"/>
          <w:sz w:val="22"/>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35A0189B"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p>
    <w:p w14:paraId="59DCC69A" w14:textId="77777777" w:rsidR="00365622" w:rsidRPr="00A945B9" w:rsidRDefault="00365622" w:rsidP="00365622">
      <w:pPr>
        <w:ind w:left="709" w:right="709"/>
        <w:jc w:val="both"/>
        <w:rPr>
          <w:rFonts w:ascii="Arial" w:hAnsi="Arial" w:cs="Arial"/>
          <w:color w:val="000000" w:themeColor="text1"/>
          <w:sz w:val="21"/>
          <w:szCs w:val="21"/>
          <w:lang w:val="es-ES_tradnl"/>
        </w:rPr>
      </w:pPr>
      <w:r w:rsidRPr="00A945B9">
        <w:rPr>
          <w:rFonts w:ascii="Arial" w:hAnsi="Arial" w:cs="Arial"/>
          <w:color w:val="000000" w:themeColor="text1"/>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A945B9">
        <w:rPr>
          <w:rStyle w:val="Refdenotaalpie"/>
          <w:rFonts w:ascii="Arial" w:hAnsi="Arial" w:cs="Arial"/>
          <w:color w:val="000000" w:themeColor="text1"/>
          <w:sz w:val="21"/>
          <w:szCs w:val="21"/>
          <w:lang w:val="es-ES_tradnl"/>
        </w:rPr>
        <w:footnoteReference w:id="16"/>
      </w:r>
      <w:r w:rsidRPr="00A945B9">
        <w:rPr>
          <w:rFonts w:ascii="Arial" w:hAnsi="Arial" w:cs="Arial"/>
          <w:color w:val="000000" w:themeColor="text1"/>
          <w:sz w:val="21"/>
          <w:szCs w:val="21"/>
          <w:lang w:val="es-ES_tradnl"/>
        </w:rPr>
        <w:t>.</w:t>
      </w:r>
    </w:p>
    <w:p w14:paraId="05BBE90D"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p>
    <w:p w14:paraId="14E848CE"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r w:rsidRPr="00A945B9">
        <w:rPr>
          <w:rFonts w:ascii="Arial" w:hAnsi="Arial" w:cs="Arial"/>
          <w:color w:val="000000" w:themeColor="text1"/>
          <w:sz w:val="22"/>
          <w:lang w:val="es-ES_tradnl"/>
        </w:rPr>
        <w:t xml:space="preserve">Lo expuesto, según la jurisprudencia citada, se diferencia del objeto del </w:t>
      </w:r>
      <w:r w:rsidRPr="00A945B9">
        <w:rPr>
          <w:rFonts w:ascii="Arial" w:hAnsi="Arial" w:cs="Arial"/>
          <w:i/>
          <w:iCs/>
          <w:color w:val="000000" w:themeColor="text1"/>
          <w:sz w:val="22"/>
          <w:lang w:val="es-ES_tradnl"/>
        </w:rPr>
        <w:t>contrato de prestación de servicios de apoyo a la gestión</w:t>
      </w:r>
      <w:r w:rsidRPr="00A945B9">
        <w:rPr>
          <w:rFonts w:ascii="Arial" w:hAnsi="Arial" w:cs="Arial"/>
          <w:color w:val="000000" w:themeColor="text1"/>
          <w:sz w:val="22"/>
          <w:lang w:val="es-ES_tradnl"/>
        </w:rPr>
        <w:t>, en los siguientes aspectos:</w:t>
      </w:r>
    </w:p>
    <w:p w14:paraId="2E3DB957" w14:textId="77777777" w:rsidR="00365622" w:rsidRPr="00A945B9" w:rsidRDefault="00365622" w:rsidP="00365622">
      <w:pPr>
        <w:spacing w:line="276" w:lineRule="auto"/>
        <w:ind w:firstLine="709"/>
        <w:jc w:val="both"/>
        <w:rPr>
          <w:rFonts w:ascii="Arial" w:hAnsi="Arial" w:cs="Arial"/>
          <w:color w:val="000000" w:themeColor="text1"/>
          <w:sz w:val="22"/>
          <w:lang w:val="es-ES_tradnl"/>
        </w:rPr>
      </w:pPr>
    </w:p>
    <w:p w14:paraId="10FC026B" w14:textId="77777777" w:rsidR="00365622" w:rsidRPr="00A945B9" w:rsidRDefault="00365622" w:rsidP="00365622">
      <w:pPr>
        <w:spacing w:after="120"/>
        <w:ind w:left="709" w:right="709"/>
        <w:jc w:val="both"/>
        <w:rPr>
          <w:rFonts w:ascii="Arial" w:hAnsi="Arial" w:cs="Arial"/>
          <w:color w:val="000000" w:themeColor="text1"/>
          <w:sz w:val="21"/>
          <w:szCs w:val="21"/>
          <w:lang w:val="es-ES_tradnl"/>
        </w:rPr>
      </w:pPr>
      <w:r w:rsidRPr="00A945B9">
        <w:rPr>
          <w:rFonts w:ascii="Arial" w:hAnsi="Arial" w:cs="Arial"/>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EF5851C" w14:textId="77777777" w:rsidR="00365622" w:rsidRPr="00A945B9" w:rsidRDefault="00365622" w:rsidP="00365622">
      <w:pPr>
        <w:spacing w:after="120"/>
        <w:ind w:left="709" w:right="709"/>
        <w:jc w:val="both"/>
        <w:rPr>
          <w:rFonts w:ascii="Arial" w:hAnsi="Arial" w:cs="Arial"/>
          <w:color w:val="000000" w:themeColor="text1"/>
          <w:sz w:val="21"/>
          <w:szCs w:val="21"/>
          <w:lang w:val="es-ES_tradnl"/>
        </w:rPr>
      </w:pPr>
      <w:r w:rsidRPr="00A945B9">
        <w:rPr>
          <w:rFonts w:ascii="Arial" w:hAnsi="Arial" w:cs="Arial"/>
          <w:color w:val="000000" w:themeColor="text1"/>
          <w:sz w:val="21"/>
          <w:szCs w:val="21"/>
          <w:lang w:val="es-ES_tradnl"/>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1C004C87" w14:textId="77777777" w:rsidR="00365622" w:rsidRPr="00A945B9" w:rsidRDefault="00365622" w:rsidP="00365622">
      <w:pPr>
        <w:ind w:left="709" w:right="709"/>
        <w:jc w:val="both"/>
        <w:rPr>
          <w:rFonts w:ascii="Arial" w:hAnsi="Arial" w:cs="Arial"/>
          <w:color w:val="000000" w:themeColor="text1"/>
          <w:sz w:val="21"/>
          <w:szCs w:val="21"/>
          <w:lang w:val="es-ES_tradnl"/>
        </w:rPr>
      </w:pPr>
      <w:r w:rsidRPr="00A945B9">
        <w:rPr>
          <w:rFonts w:ascii="Arial" w:hAnsi="Arial" w:cs="Arial"/>
          <w:color w:val="000000" w:themeColor="text1"/>
          <w:sz w:val="21"/>
          <w:szCs w:val="21"/>
          <w:lang w:val="es-ES_tradnl"/>
        </w:rPr>
        <w:lastRenderedPageBreak/>
        <w:t>Dentro de su objeto contractual pueden tener lugar actividades operativas, logísticas o asistenciales, siempre que satisfaga los requisitos antes mencionados y sea acorde con las necesidades de la Administración y el principio de planeación</w:t>
      </w:r>
      <w:r w:rsidRPr="00A945B9">
        <w:rPr>
          <w:rStyle w:val="Refdenotaalpie"/>
          <w:rFonts w:ascii="Arial" w:hAnsi="Arial" w:cs="Arial"/>
          <w:color w:val="000000" w:themeColor="text1"/>
          <w:sz w:val="21"/>
          <w:szCs w:val="21"/>
          <w:lang w:val="es-ES_tradnl"/>
        </w:rPr>
        <w:footnoteReference w:id="17"/>
      </w:r>
      <w:r w:rsidRPr="00A945B9">
        <w:rPr>
          <w:rFonts w:ascii="Arial" w:hAnsi="Arial" w:cs="Arial"/>
          <w:color w:val="000000" w:themeColor="text1"/>
          <w:sz w:val="21"/>
          <w:szCs w:val="21"/>
          <w:lang w:val="es-ES_tradnl"/>
        </w:rPr>
        <w:t>.</w:t>
      </w:r>
    </w:p>
    <w:p w14:paraId="5128C55D" w14:textId="77777777" w:rsidR="00365622" w:rsidRPr="00A945B9" w:rsidRDefault="00365622" w:rsidP="005E02D9">
      <w:pPr>
        <w:ind w:right="709"/>
        <w:jc w:val="both"/>
        <w:rPr>
          <w:rFonts w:ascii="Arial" w:hAnsi="Arial" w:cs="Arial"/>
          <w:color w:val="000000" w:themeColor="text1"/>
          <w:sz w:val="21"/>
          <w:szCs w:val="21"/>
          <w:lang w:val="es-ES_tradnl"/>
        </w:rPr>
      </w:pPr>
    </w:p>
    <w:p w14:paraId="3FB5914A" w14:textId="01D0DDAA" w:rsidR="00FB6EEE" w:rsidRPr="00A945B9" w:rsidRDefault="00365622" w:rsidP="00FB6EEE">
      <w:pPr>
        <w:spacing w:line="276" w:lineRule="auto"/>
        <w:ind w:firstLine="709"/>
        <w:jc w:val="both"/>
        <w:rPr>
          <w:rFonts w:ascii="Arial" w:hAnsi="Arial" w:cs="Arial"/>
          <w:color w:val="000000" w:themeColor="text1"/>
          <w:sz w:val="22"/>
        </w:rPr>
      </w:pPr>
      <w:r w:rsidRPr="00A945B9">
        <w:rPr>
          <w:rFonts w:ascii="Arial" w:hAnsi="Arial" w:cs="Arial"/>
          <w:color w:val="000000" w:themeColor="text1"/>
          <w:sz w:val="22"/>
          <w:lang w:val="es-ES_tradnl"/>
        </w:rPr>
        <w:t xml:space="preserve">En este sentido, el contrato de prestación de servicios </w:t>
      </w:r>
      <w:r w:rsidRPr="00A945B9">
        <w:rPr>
          <w:rFonts w:ascii="Arial" w:hAnsi="Arial" w:cs="Arial"/>
          <w:i/>
          <w:iCs/>
          <w:color w:val="000000" w:themeColor="text1"/>
          <w:sz w:val="22"/>
          <w:lang w:val="es-ES_tradnl"/>
        </w:rPr>
        <w:t>profesionales</w:t>
      </w:r>
      <w:r w:rsidRPr="00A945B9">
        <w:rPr>
          <w:rFonts w:ascii="Arial" w:hAnsi="Arial" w:cs="Arial"/>
          <w:color w:val="000000" w:themeColor="text1"/>
          <w:sz w:val="22"/>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A945B9">
        <w:rPr>
          <w:rFonts w:ascii="Arial" w:hAnsi="Arial" w:cs="Arial"/>
          <w:i/>
          <w:iCs/>
          <w:color w:val="000000" w:themeColor="text1"/>
          <w:sz w:val="22"/>
          <w:lang w:val="es-ES_tradnl"/>
        </w:rPr>
        <w:t>saber intelectivo cualificado.</w:t>
      </w:r>
      <w:r w:rsidRPr="00A945B9">
        <w:rPr>
          <w:rFonts w:ascii="Arial" w:hAnsi="Arial" w:cs="Arial"/>
          <w:color w:val="000000" w:themeColor="text1"/>
          <w:sz w:val="22"/>
          <w:lang w:val="es-ES_tradnl"/>
        </w:rPr>
        <w:t xml:space="preserve"> En cambio, los contratos de prestación de servicios de </w:t>
      </w:r>
      <w:r w:rsidRPr="00A945B9">
        <w:rPr>
          <w:rFonts w:ascii="Arial" w:hAnsi="Arial" w:cs="Arial"/>
          <w:i/>
          <w:iCs/>
          <w:color w:val="000000" w:themeColor="text1"/>
          <w:sz w:val="22"/>
          <w:lang w:val="es-ES_tradnl"/>
        </w:rPr>
        <w:t>apoyo a la gestión</w:t>
      </w:r>
      <w:r w:rsidRPr="00A945B9">
        <w:rPr>
          <w:rFonts w:ascii="Arial" w:hAnsi="Arial" w:cs="Arial"/>
          <w:color w:val="000000" w:themeColor="text1"/>
          <w:sz w:val="22"/>
          <w:lang w:val="es-ES_tradnl"/>
        </w:rPr>
        <w:t xml:space="preserve"> y de </w:t>
      </w:r>
      <w:r w:rsidRPr="00A945B9">
        <w:rPr>
          <w:rFonts w:ascii="Arial" w:hAnsi="Arial" w:cs="Arial"/>
          <w:i/>
          <w:iCs/>
          <w:color w:val="000000" w:themeColor="text1"/>
          <w:sz w:val="22"/>
          <w:lang w:val="es-ES_tradnl"/>
        </w:rPr>
        <w:t>servicios artísticos</w:t>
      </w:r>
      <w:r w:rsidRPr="00A945B9">
        <w:rPr>
          <w:rFonts w:ascii="Arial" w:hAnsi="Arial" w:cs="Arial"/>
          <w:color w:val="000000" w:themeColor="text1"/>
          <w:sz w:val="22"/>
          <w:lang w:val="es-ES_tradnl"/>
        </w:rPr>
        <w:t xml:space="preserve"> no involucran ese conocimiento profesional </w:t>
      </w:r>
      <w:r w:rsidRPr="00A945B9">
        <w:rPr>
          <w:rFonts w:ascii="Arial" w:hAnsi="Arial" w:cs="Arial"/>
          <w:color w:val="000000" w:themeColor="text1"/>
          <w:sz w:val="22"/>
        </w:rPr>
        <w:t xml:space="preserve">o especializados para su ejecución. En los contratos de apoyo a la gestión </w:t>
      </w:r>
      <w:r w:rsidRPr="00A945B9">
        <w:rPr>
          <w:rFonts w:ascii="Arial" w:hAnsi="Arial" w:cs="Arial"/>
          <w:color w:val="000000" w:themeColor="text1"/>
          <w:sz w:val="22"/>
          <w:lang w:val="es-ES_tradnl"/>
        </w:rPr>
        <w:t xml:space="preserve">el contratista desempeña un esfuerzo o actividad de apoyo, acompañamiento, o soporte, </w:t>
      </w:r>
      <w:r w:rsidRPr="00A945B9">
        <w:rPr>
          <w:rFonts w:ascii="Arial" w:hAnsi="Arial" w:cs="Arial"/>
          <w:color w:val="000000" w:themeColor="text1"/>
          <w:sz w:val="22"/>
        </w:rPr>
        <w:t xml:space="preserve">donde </w:t>
      </w:r>
      <w:r w:rsidRPr="00A945B9">
        <w:rPr>
          <w:rFonts w:ascii="Arial" w:hAnsi="Arial" w:cs="Arial"/>
          <w:color w:val="000000" w:themeColor="text1"/>
          <w:sz w:val="22"/>
          <w:lang w:val="es-ES_tradnl"/>
        </w:rPr>
        <w:t>«lo predominante es el actuar como ejecutor, con el propósito y finalidad de satisfacer necesidades de las entidades estatales en lo relacionado con la gestión administrativa o funcionamiento de la misma, por personas no profesionales y que no implican el ejercicio de funciones públicas administrativas». Igualmente, en el contrato de prestación de servicios artísticos lo prevalente es que la persona que lo ejecute se trate de un artista, es decir, «una persona reconocida como realizador o productor de arte, de obras de arte, ejecutor de trabajos artísticos</w:t>
      </w:r>
      <w:bookmarkStart w:id="1" w:name="_Hlk80118732"/>
      <w:r w:rsidRPr="00A945B9">
        <w:rPr>
          <w:rFonts w:ascii="Arial" w:hAnsi="Arial" w:cs="Arial"/>
          <w:color w:val="000000" w:themeColor="text1"/>
          <w:sz w:val="22"/>
          <w:lang w:val="es-ES_tradnl"/>
        </w:rPr>
        <w:t>»</w:t>
      </w:r>
      <w:bookmarkEnd w:id="1"/>
      <w:r w:rsidRPr="00A945B9">
        <w:rPr>
          <w:rFonts w:ascii="Arial" w:hAnsi="Arial" w:cs="Arial"/>
          <w:color w:val="000000" w:themeColor="text1"/>
          <w:sz w:val="22"/>
          <w:lang w:val="es-ES_tradnl"/>
        </w:rPr>
        <w:t>, para lo cual es indiferente el carácter de profesional.</w:t>
      </w:r>
    </w:p>
    <w:p w14:paraId="02363A9D" w14:textId="77777777" w:rsidR="00B76EBA" w:rsidRPr="00A945B9" w:rsidRDefault="00B76EBA" w:rsidP="005E02D9">
      <w:pPr>
        <w:shd w:val="clear" w:color="auto" w:fill="FFFFFF"/>
        <w:spacing w:line="276" w:lineRule="auto"/>
        <w:contextualSpacing/>
        <w:jc w:val="both"/>
        <w:textAlignment w:val="baseline"/>
        <w:rPr>
          <w:rFonts w:ascii="Arial" w:eastAsia="Calibri" w:hAnsi="Arial" w:cs="Arial"/>
          <w:sz w:val="22"/>
          <w:lang w:val="es-ES"/>
        </w:rPr>
      </w:pPr>
    </w:p>
    <w:p w14:paraId="40C7FA95" w14:textId="371E86CE" w:rsidR="005F7447" w:rsidRDefault="005F7447" w:rsidP="005E02D9">
      <w:pPr>
        <w:pStyle w:val="Sinespaciado"/>
        <w:widowControl w:val="0"/>
        <w:autoSpaceDE w:val="0"/>
        <w:autoSpaceDN w:val="0"/>
        <w:contextualSpacing/>
        <w:jc w:val="both"/>
        <w:rPr>
          <w:rFonts w:ascii="Arial" w:hAnsi="Arial" w:cs="Arial"/>
          <w:b/>
          <w:color w:val="000000" w:themeColor="text1"/>
          <w:sz w:val="22"/>
        </w:rPr>
      </w:pPr>
      <w:r w:rsidRPr="00A945B9">
        <w:rPr>
          <w:rFonts w:ascii="Arial" w:hAnsi="Arial" w:cs="Arial"/>
          <w:b/>
          <w:color w:val="000000" w:themeColor="text1"/>
          <w:sz w:val="22"/>
        </w:rPr>
        <w:t>2.</w:t>
      </w:r>
      <w:r w:rsidR="00444256" w:rsidRPr="00A945B9">
        <w:rPr>
          <w:rFonts w:ascii="Arial" w:hAnsi="Arial" w:cs="Arial"/>
          <w:b/>
          <w:color w:val="000000" w:themeColor="text1"/>
          <w:sz w:val="22"/>
        </w:rPr>
        <w:t>2</w:t>
      </w:r>
      <w:r w:rsidRPr="00A945B9">
        <w:rPr>
          <w:rFonts w:ascii="Arial" w:hAnsi="Arial" w:cs="Arial"/>
          <w:b/>
          <w:color w:val="000000" w:themeColor="text1"/>
          <w:sz w:val="22"/>
        </w:rPr>
        <w:t xml:space="preserve">. La obligación de controlar y vigilar la correcta ejecución de los contratos estatales </w:t>
      </w:r>
    </w:p>
    <w:p w14:paraId="29264CFA" w14:textId="77777777" w:rsidR="00677898" w:rsidRPr="00A945B9" w:rsidRDefault="00677898" w:rsidP="005E02D9">
      <w:pPr>
        <w:pStyle w:val="Sinespaciado"/>
        <w:widowControl w:val="0"/>
        <w:autoSpaceDE w:val="0"/>
        <w:autoSpaceDN w:val="0"/>
        <w:contextualSpacing/>
        <w:jc w:val="both"/>
        <w:rPr>
          <w:rFonts w:ascii="Arial" w:hAnsi="Arial" w:cs="Arial"/>
          <w:b/>
          <w:color w:val="000000" w:themeColor="text1"/>
          <w:sz w:val="22"/>
        </w:rPr>
      </w:pPr>
    </w:p>
    <w:p w14:paraId="369E5A5F" w14:textId="77777777" w:rsidR="005F7447" w:rsidRPr="00A945B9" w:rsidRDefault="005F7447" w:rsidP="005F7447">
      <w:pPr>
        <w:pStyle w:val="Sinespaciado"/>
        <w:spacing w:before="120" w:line="276" w:lineRule="auto"/>
        <w:jc w:val="both"/>
        <w:rPr>
          <w:rFonts w:ascii="Arial" w:hAnsi="Arial" w:cs="Arial"/>
          <w:bCs/>
          <w:color w:val="000000" w:themeColor="text1"/>
          <w:sz w:val="22"/>
        </w:rPr>
      </w:pPr>
      <w:r w:rsidRPr="00A945B9">
        <w:rPr>
          <w:rFonts w:ascii="Arial" w:hAnsi="Arial" w:cs="Arial"/>
          <w:bCs/>
          <w:color w:val="000000" w:themeColor="text1"/>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A945B9">
        <w:rPr>
          <w:rStyle w:val="Refdenotaalpie"/>
          <w:rFonts w:ascii="Arial" w:hAnsi="Arial" w:cs="Arial"/>
          <w:color w:val="000000" w:themeColor="text1"/>
          <w:sz w:val="22"/>
        </w:rPr>
        <w:footnoteReference w:id="18"/>
      </w:r>
      <w:r w:rsidRPr="00A945B9">
        <w:rPr>
          <w:rFonts w:ascii="Arial" w:hAnsi="Arial" w:cs="Arial"/>
          <w:bCs/>
          <w:color w:val="000000" w:themeColor="text1"/>
          <w:sz w:val="22"/>
        </w:rPr>
        <w:t xml:space="preserve">. Para la garantía de los fines de interés general involucrados en la contratación de las entidades estatales, el Estatuto 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14:paraId="73FDAEDF" w14:textId="77777777" w:rsidR="005F7447" w:rsidRPr="00A945B9" w:rsidRDefault="005F7447" w:rsidP="005F7447">
      <w:pPr>
        <w:pStyle w:val="Sinespaciado"/>
        <w:spacing w:before="120" w:line="276" w:lineRule="auto"/>
        <w:ind w:firstLine="708"/>
        <w:jc w:val="both"/>
        <w:rPr>
          <w:rFonts w:ascii="Arial" w:hAnsi="Arial" w:cs="Arial"/>
          <w:bCs/>
          <w:color w:val="000000" w:themeColor="text1"/>
          <w:sz w:val="22"/>
        </w:rPr>
      </w:pPr>
      <w:r w:rsidRPr="00A945B9">
        <w:rPr>
          <w:rFonts w:ascii="Arial" w:hAnsi="Arial" w:cs="Arial"/>
          <w:bCs/>
          <w:color w:val="000000" w:themeColor="text1"/>
          <w:sz w:val="22"/>
        </w:rPr>
        <w:t xml:space="preserve">Por esto, </w:t>
      </w:r>
      <w:bookmarkStart w:id="2" w:name="_Hlk120486385"/>
      <w:r w:rsidRPr="00A945B9">
        <w:rPr>
          <w:rFonts w:ascii="Arial" w:hAnsi="Arial" w:cs="Arial"/>
          <w:bCs/>
          <w:color w:val="000000" w:themeColor="text1"/>
          <w:sz w:val="22"/>
        </w:rPr>
        <w:t xml:space="preserve">el estatuto contractual alude a la obligación mencionada, que guarda relación con el principio de responsabilidad que rige la celebración y ejecución de los </w:t>
      </w:r>
      <w:r w:rsidRPr="00A945B9">
        <w:rPr>
          <w:rFonts w:ascii="Arial" w:hAnsi="Arial" w:cs="Arial"/>
          <w:bCs/>
          <w:color w:val="000000" w:themeColor="text1"/>
          <w:sz w:val="22"/>
        </w:rPr>
        <w:lastRenderedPageBreak/>
        <w:t>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bookmarkEnd w:id="2"/>
    <w:p w14:paraId="662AA256" w14:textId="77777777" w:rsidR="005F7447" w:rsidRPr="00A945B9" w:rsidRDefault="005F7447" w:rsidP="005F7447">
      <w:pPr>
        <w:pStyle w:val="Sinespaciado"/>
        <w:spacing w:before="120" w:line="276" w:lineRule="auto"/>
        <w:ind w:firstLine="708"/>
        <w:jc w:val="both"/>
        <w:rPr>
          <w:rFonts w:ascii="Arial" w:hAnsi="Arial" w:cs="Arial"/>
          <w:bCs/>
          <w:color w:val="000000" w:themeColor="text1"/>
          <w:sz w:val="22"/>
        </w:rPr>
      </w:pPr>
      <w:r w:rsidRPr="00A945B9">
        <w:rPr>
          <w:rFonts w:ascii="Arial" w:hAnsi="Arial" w:cs="Arial"/>
          <w:bCs/>
          <w:color w:val="000000" w:themeColor="text1"/>
          <w:sz w:val="22"/>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A945B9">
        <w:rPr>
          <w:rStyle w:val="Refdenotaalpie"/>
          <w:rFonts w:ascii="Arial" w:hAnsi="Arial" w:cs="Arial"/>
          <w:color w:val="000000" w:themeColor="text1"/>
          <w:sz w:val="22"/>
        </w:rPr>
        <w:footnoteReference w:id="19"/>
      </w:r>
      <w:r w:rsidRPr="00A945B9">
        <w:rPr>
          <w:rFonts w:ascii="Arial" w:hAnsi="Arial" w:cs="Arial"/>
          <w:bCs/>
          <w:color w:val="000000" w:themeColor="text1"/>
          <w:sz w:val="22"/>
        </w:rPr>
        <w:t>. También se establecen los límites de la responsabilidad del representante legal ante la delegación de sus funciones en materia contractual</w:t>
      </w:r>
      <w:r w:rsidRPr="00A945B9">
        <w:rPr>
          <w:rStyle w:val="Refdenotaalpie"/>
          <w:rFonts w:ascii="Arial" w:hAnsi="Arial" w:cs="Arial"/>
          <w:color w:val="000000" w:themeColor="text1"/>
          <w:sz w:val="22"/>
        </w:rPr>
        <w:footnoteReference w:id="20"/>
      </w:r>
      <w:r w:rsidRPr="00A945B9">
        <w:rPr>
          <w:rFonts w:ascii="Arial" w:hAnsi="Arial" w:cs="Arial"/>
          <w:bCs/>
          <w:color w:val="000000" w:themeColor="text1"/>
          <w:sz w:val="22"/>
        </w:rPr>
        <w:t xml:space="preserve"> y se regula la supervisión y la interventoría de los contratos estatales</w:t>
      </w:r>
      <w:r w:rsidRPr="00A945B9">
        <w:rPr>
          <w:rStyle w:val="Refdenotaalpie"/>
          <w:rFonts w:ascii="Arial" w:hAnsi="Arial" w:cs="Arial"/>
          <w:color w:val="000000" w:themeColor="text1"/>
          <w:sz w:val="22"/>
        </w:rPr>
        <w:footnoteReference w:id="21"/>
      </w:r>
      <w:r w:rsidRPr="00A945B9">
        <w:rPr>
          <w:rFonts w:ascii="Arial" w:hAnsi="Arial" w:cs="Arial"/>
          <w:bCs/>
          <w:color w:val="000000" w:themeColor="text1"/>
          <w:sz w:val="22"/>
        </w:rPr>
        <w:t xml:space="preserve">. </w:t>
      </w:r>
    </w:p>
    <w:p w14:paraId="0CA2AADE" w14:textId="77777777" w:rsidR="005F7447" w:rsidRPr="00A945B9" w:rsidRDefault="005F7447" w:rsidP="005F7447">
      <w:pPr>
        <w:pStyle w:val="Sinespaciado"/>
        <w:spacing w:before="120" w:line="276" w:lineRule="auto"/>
        <w:ind w:firstLine="708"/>
        <w:jc w:val="both"/>
        <w:rPr>
          <w:rFonts w:ascii="Arial" w:hAnsi="Arial" w:cs="Arial"/>
          <w:bCs/>
          <w:color w:val="000000" w:themeColor="text1"/>
          <w:sz w:val="22"/>
        </w:rPr>
      </w:pPr>
      <w:r w:rsidRPr="00A945B9">
        <w:rPr>
          <w:rFonts w:ascii="Arial" w:hAnsi="Arial" w:cs="Arial"/>
          <w:bCs/>
          <w:color w:val="000000" w:themeColor="text1"/>
          <w:sz w:val="22"/>
        </w:rPr>
        <w:t>La jurisprudencia contencioso-administrativa, por su parte, ha considerado que la obligación de vigilar la correcta ejecución del objeto contractual es una función de la entidad contratante, en los siguientes términos:</w:t>
      </w:r>
    </w:p>
    <w:p w14:paraId="5781B028" w14:textId="77777777" w:rsidR="005F7447" w:rsidRPr="005E02D9" w:rsidRDefault="005F7447" w:rsidP="005F7447">
      <w:pPr>
        <w:pStyle w:val="Sinespaciado"/>
        <w:spacing w:line="276" w:lineRule="auto"/>
        <w:jc w:val="both"/>
        <w:rPr>
          <w:rFonts w:ascii="Arial" w:hAnsi="Arial" w:cs="Arial"/>
          <w:bCs/>
          <w:color w:val="000000" w:themeColor="text1"/>
          <w:sz w:val="22"/>
        </w:rPr>
      </w:pPr>
      <w:r w:rsidRPr="00A945B9">
        <w:rPr>
          <w:rFonts w:ascii="Arial" w:hAnsi="Arial" w:cs="Arial"/>
          <w:bCs/>
          <w:color w:val="000000" w:themeColor="text1"/>
        </w:rPr>
        <w:t xml:space="preserve"> </w:t>
      </w:r>
    </w:p>
    <w:p w14:paraId="254FE080" w14:textId="77777777" w:rsidR="005F7447" w:rsidRPr="00A945B9" w:rsidRDefault="005F7447" w:rsidP="005F7447">
      <w:pPr>
        <w:pStyle w:val="Sinespaciado"/>
        <w:ind w:left="709" w:right="709"/>
        <w:jc w:val="both"/>
        <w:rPr>
          <w:rFonts w:ascii="Arial" w:hAnsi="Arial" w:cs="Arial"/>
          <w:bCs/>
          <w:color w:val="000000" w:themeColor="text1"/>
          <w:sz w:val="21"/>
          <w:szCs w:val="21"/>
          <w:lang w:val="es-CO"/>
        </w:rPr>
      </w:pPr>
      <w:r w:rsidRPr="00A945B9">
        <w:rPr>
          <w:rFonts w:ascii="Arial" w:hAnsi="Arial" w:cs="Arial"/>
          <w:bCs/>
          <w:color w:val="000000" w:themeColor="text1"/>
          <w:sz w:val="21"/>
          <w:szCs w:val="21"/>
        </w:rPr>
        <w:t>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garantizar la satisfacción de las necesidades que la administración buscaba alcanzar con la celebración del respectivo contrato”</w:t>
      </w:r>
      <w:r w:rsidRPr="00A945B9">
        <w:rPr>
          <w:rStyle w:val="Refdenotaalpie"/>
          <w:rFonts w:ascii="Arial" w:hAnsi="Arial" w:cs="Arial"/>
          <w:color w:val="000000" w:themeColor="text1"/>
          <w:sz w:val="21"/>
          <w:szCs w:val="21"/>
        </w:rPr>
        <w:footnoteReference w:id="22"/>
      </w:r>
      <w:r w:rsidRPr="00A945B9">
        <w:rPr>
          <w:rFonts w:ascii="Arial" w:hAnsi="Arial" w:cs="Arial"/>
          <w:bCs/>
          <w:color w:val="000000" w:themeColor="text1"/>
          <w:sz w:val="21"/>
          <w:szCs w:val="21"/>
        </w:rPr>
        <w:t>.</w:t>
      </w:r>
    </w:p>
    <w:p w14:paraId="04644C8B" w14:textId="77777777" w:rsidR="005F7447" w:rsidRPr="005E02D9" w:rsidRDefault="005F7447" w:rsidP="005F7447">
      <w:pPr>
        <w:pStyle w:val="Sinespaciado"/>
        <w:spacing w:line="276" w:lineRule="auto"/>
        <w:jc w:val="both"/>
        <w:rPr>
          <w:rFonts w:ascii="Arial" w:hAnsi="Arial" w:cs="Arial"/>
          <w:bCs/>
          <w:color w:val="000000" w:themeColor="text1"/>
          <w:sz w:val="22"/>
          <w:lang w:val="es-ES"/>
        </w:rPr>
      </w:pPr>
    </w:p>
    <w:p w14:paraId="16D93343" w14:textId="31227575" w:rsidR="005F7447" w:rsidRPr="00A945B9" w:rsidRDefault="005F7447" w:rsidP="005F7447">
      <w:pPr>
        <w:pStyle w:val="Sinespaciado"/>
        <w:spacing w:line="276" w:lineRule="auto"/>
        <w:ind w:firstLine="567"/>
        <w:jc w:val="both"/>
        <w:rPr>
          <w:rFonts w:ascii="Arial" w:hAnsi="Arial" w:cs="Arial"/>
          <w:bCs/>
          <w:color w:val="000000" w:themeColor="text1"/>
          <w:sz w:val="22"/>
        </w:rPr>
      </w:pPr>
      <w:r w:rsidRPr="00A945B9">
        <w:rPr>
          <w:rFonts w:ascii="Arial" w:hAnsi="Arial" w:cs="Arial"/>
          <w:bCs/>
          <w:color w:val="000000" w:themeColor="text1"/>
          <w:sz w:val="22"/>
        </w:rPr>
        <w:t xml:space="preserve">En este punto, se reitera lo expuesto en el concepto emitido por esta Agencia con el radicado 4201913000008240, del 20 de diciembre de 2019, esto es, que </w:t>
      </w:r>
      <w:bookmarkStart w:id="3" w:name="_Hlk120486740"/>
      <w:r w:rsidRPr="00A945B9">
        <w:rPr>
          <w:rFonts w:ascii="Arial" w:hAnsi="Arial" w:cs="Arial"/>
          <w:bCs/>
          <w:color w:val="000000" w:themeColor="text1"/>
          <w:sz w:val="22"/>
        </w:rPr>
        <w:t xml:space="preserve">«el seguimiento de la ejecución del contrato para su dirección, control y vigilancia del correcto cumplimiento </w:t>
      </w:r>
      <w:r w:rsidRPr="00A945B9">
        <w:rPr>
          <w:rFonts w:ascii="Arial" w:hAnsi="Arial" w:cs="Arial"/>
          <w:bCs/>
          <w:color w:val="000000" w:themeColor="text1"/>
          <w:sz w:val="22"/>
        </w:rPr>
        <w:lastRenderedPageBreak/>
        <w:t xml:space="preserve">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w:t>
      </w:r>
      <w:bookmarkStart w:id="4" w:name="_Hlk120486796"/>
      <w:r w:rsidRPr="00A945B9">
        <w:rPr>
          <w:rFonts w:ascii="Arial" w:hAnsi="Arial" w:cs="Arial"/>
          <w:bCs/>
          <w:color w:val="000000" w:themeColor="text1"/>
          <w:sz w:val="22"/>
        </w:rPr>
        <w:t xml:space="preserve">las </w:t>
      </w:r>
      <w:bookmarkEnd w:id="3"/>
      <w:r w:rsidRPr="00A945B9">
        <w:rPr>
          <w:rFonts w:ascii="Arial" w:hAnsi="Arial" w:cs="Arial"/>
          <w:bCs/>
          <w:color w:val="000000" w:themeColor="text1"/>
          <w:sz w:val="22"/>
        </w:rPr>
        <w:t>obligaciones del contrato, en aras de lograr la satisfacción de las necesidades de bienes, obras o servicios que se pretenden suplir con la celebración de los contratos estatales</w:t>
      </w:r>
      <w:bookmarkEnd w:id="4"/>
      <w:r w:rsidRPr="00A945B9">
        <w:rPr>
          <w:rFonts w:ascii="Arial" w:hAnsi="Arial" w:cs="Arial"/>
          <w:bCs/>
          <w:color w:val="000000" w:themeColor="text1"/>
          <w:sz w:val="22"/>
        </w:rPr>
        <w:t>».</w:t>
      </w:r>
      <w:r w:rsidR="008C1ADE">
        <w:rPr>
          <w:rFonts w:ascii="Arial" w:hAnsi="Arial" w:cs="Arial"/>
          <w:bCs/>
          <w:color w:val="000000" w:themeColor="text1"/>
          <w:sz w:val="22"/>
        </w:rPr>
        <w:t xml:space="preserve"> Teniendo en cuenta el objeto de la consulta, a continuación</w:t>
      </w:r>
      <w:r w:rsidR="003E4FD7">
        <w:rPr>
          <w:rFonts w:ascii="Arial" w:hAnsi="Arial" w:cs="Arial"/>
          <w:bCs/>
          <w:color w:val="000000" w:themeColor="text1"/>
          <w:sz w:val="22"/>
        </w:rPr>
        <w:t>,</w:t>
      </w:r>
      <w:r w:rsidR="008C1ADE">
        <w:rPr>
          <w:rFonts w:ascii="Arial" w:hAnsi="Arial" w:cs="Arial"/>
          <w:bCs/>
          <w:color w:val="000000" w:themeColor="text1"/>
          <w:sz w:val="22"/>
        </w:rPr>
        <w:t xml:space="preserve"> se procede </w:t>
      </w:r>
      <w:r w:rsidR="003E4FD7">
        <w:rPr>
          <w:rFonts w:ascii="Arial" w:hAnsi="Arial" w:cs="Arial"/>
          <w:bCs/>
          <w:color w:val="000000" w:themeColor="text1"/>
          <w:sz w:val="22"/>
        </w:rPr>
        <w:t>exponer el marco</w:t>
      </w:r>
      <w:r w:rsidR="008C1ADE">
        <w:rPr>
          <w:rFonts w:ascii="Arial" w:hAnsi="Arial" w:cs="Arial"/>
          <w:bCs/>
          <w:color w:val="000000" w:themeColor="text1"/>
          <w:sz w:val="22"/>
        </w:rPr>
        <w:t xml:space="preserve"> normativ</w:t>
      </w:r>
      <w:r w:rsidR="003E4FD7">
        <w:rPr>
          <w:rFonts w:ascii="Arial" w:hAnsi="Arial" w:cs="Arial"/>
          <w:bCs/>
          <w:color w:val="000000" w:themeColor="text1"/>
          <w:sz w:val="22"/>
        </w:rPr>
        <w:t xml:space="preserve">o que rige </w:t>
      </w:r>
      <w:r w:rsidR="008C1ADE">
        <w:rPr>
          <w:rFonts w:ascii="Arial" w:hAnsi="Arial" w:cs="Arial"/>
          <w:bCs/>
          <w:color w:val="000000" w:themeColor="text1"/>
          <w:sz w:val="22"/>
        </w:rPr>
        <w:t xml:space="preserve">el ejercicio de la supervisión de los contratos de prestación de servicios. </w:t>
      </w:r>
    </w:p>
    <w:p w14:paraId="25903EC0" w14:textId="77777777" w:rsidR="005F7447" w:rsidRPr="00A945B9" w:rsidRDefault="005F7447" w:rsidP="00B47043">
      <w:pPr>
        <w:pStyle w:val="Sinespaciado"/>
        <w:jc w:val="both"/>
        <w:rPr>
          <w:rFonts w:ascii="Arial" w:hAnsi="Arial" w:cs="Arial"/>
          <w:b/>
          <w:color w:val="000000" w:themeColor="text1"/>
          <w:sz w:val="22"/>
        </w:rPr>
      </w:pPr>
    </w:p>
    <w:p w14:paraId="29C40213" w14:textId="42C0011C" w:rsidR="005F7447" w:rsidRPr="00A945B9" w:rsidRDefault="005F7447" w:rsidP="005F7447">
      <w:pPr>
        <w:pStyle w:val="Sinespaciado"/>
        <w:widowControl w:val="0"/>
        <w:autoSpaceDE w:val="0"/>
        <w:autoSpaceDN w:val="0"/>
        <w:spacing w:line="276" w:lineRule="auto"/>
        <w:jc w:val="both"/>
        <w:rPr>
          <w:rFonts w:ascii="Arial" w:hAnsi="Arial" w:cs="Arial"/>
          <w:b/>
          <w:color w:val="000000" w:themeColor="text1"/>
          <w:sz w:val="22"/>
        </w:rPr>
      </w:pPr>
      <w:r w:rsidRPr="005E02D9">
        <w:rPr>
          <w:rFonts w:ascii="Arial" w:hAnsi="Arial" w:cs="Arial"/>
          <w:b/>
          <w:color w:val="000000" w:themeColor="text1"/>
          <w:sz w:val="22"/>
        </w:rPr>
        <w:t>2.</w:t>
      </w:r>
      <w:r w:rsidR="00A470D7" w:rsidRPr="005E02D9">
        <w:rPr>
          <w:rFonts w:ascii="Arial" w:hAnsi="Arial" w:cs="Arial"/>
          <w:b/>
          <w:color w:val="000000" w:themeColor="text1"/>
          <w:sz w:val="22"/>
        </w:rPr>
        <w:t>3</w:t>
      </w:r>
      <w:r w:rsidRPr="005E02D9">
        <w:rPr>
          <w:rFonts w:ascii="Arial" w:hAnsi="Arial" w:cs="Arial"/>
          <w:b/>
          <w:color w:val="000000" w:themeColor="text1"/>
          <w:sz w:val="22"/>
        </w:rPr>
        <w:t>. La supervisión e interventoría en los contratos estatales</w:t>
      </w:r>
      <w:r w:rsidR="004505DA" w:rsidRPr="005E02D9">
        <w:rPr>
          <w:rFonts w:ascii="Arial" w:hAnsi="Arial" w:cs="Arial"/>
          <w:b/>
          <w:color w:val="000000" w:themeColor="text1"/>
          <w:sz w:val="22"/>
        </w:rPr>
        <w:t xml:space="preserve">. Consideraciones particulares sobre </w:t>
      </w:r>
      <w:r w:rsidR="004408FA" w:rsidRPr="005E02D9">
        <w:rPr>
          <w:rFonts w:ascii="Arial" w:hAnsi="Arial" w:cs="Arial"/>
          <w:b/>
          <w:color w:val="000000" w:themeColor="text1"/>
          <w:sz w:val="22"/>
        </w:rPr>
        <w:t xml:space="preserve">el ejercicio de </w:t>
      </w:r>
      <w:r w:rsidR="007C6188" w:rsidRPr="005E02D9">
        <w:rPr>
          <w:rFonts w:ascii="Arial" w:hAnsi="Arial" w:cs="Arial"/>
          <w:b/>
          <w:color w:val="000000" w:themeColor="text1"/>
          <w:sz w:val="22"/>
        </w:rPr>
        <w:t xml:space="preserve">funciones de </w:t>
      </w:r>
      <w:r w:rsidR="004505DA" w:rsidRPr="005E02D9">
        <w:rPr>
          <w:rFonts w:ascii="Arial" w:hAnsi="Arial" w:cs="Arial"/>
          <w:b/>
          <w:color w:val="000000" w:themeColor="text1"/>
          <w:sz w:val="22"/>
        </w:rPr>
        <w:t>supervisión de contratos de prestación</w:t>
      </w:r>
      <w:r w:rsidR="00C751E5" w:rsidRPr="005E02D9">
        <w:rPr>
          <w:rFonts w:ascii="Arial" w:hAnsi="Arial" w:cs="Arial"/>
          <w:b/>
          <w:color w:val="000000" w:themeColor="text1"/>
          <w:sz w:val="22"/>
        </w:rPr>
        <w:t xml:space="preserve"> de servicios</w:t>
      </w:r>
      <w:r w:rsidR="007C6188" w:rsidRPr="005E02D9">
        <w:rPr>
          <w:rFonts w:ascii="Arial" w:hAnsi="Arial" w:cs="Arial"/>
          <w:b/>
          <w:color w:val="000000" w:themeColor="text1"/>
          <w:sz w:val="22"/>
        </w:rPr>
        <w:t>.</w:t>
      </w:r>
      <w:r w:rsidR="004505DA" w:rsidRPr="00A945B9">
        <w:rPr>
          <w:rFonts w:ascii="Arial" w:hAnsi="Arial" w:cs="Arial"/>
          <w:b/>
          <w:color w:val="000000" w:themeColor="text1"/>
          <w:sz w:val="22"/>
        </w:rPr>
        <w:t xml:space="preserve"> </w:t>
      </w:r>
    </w:p>
    <w:p w14:paraId="5F9060D3" w14:textId="77777777" w:rsidR="005F7447" w:rsidRPr="00A945B9" w:rsidRDefault="005F7447" w:rsidP="005F7447">
      <w:pPr>
        <w:pStyle w:val="Sinespaciado"/>
        <w:spacing w:line="276" w:lineRule="auto"/>
        <w:ind w:left="567"/>
        <w:jc w:val="both"/>
        <w:rPr>
          <w:rFonts w:ascii="Arial" w:hAnsi="Arial" w:cs="Arial"/>
          <w:color w:val="000000" w:themeColor="text1"/>
          <w:sz w:val="22"/>
        </w:rPr>
      </w:pPr>
    </w:p>
    <w:p w14:paraId="40DF7B42" w14:textId="01C7C356" w:rsidR="005F7447" w:rsidRPr="00A945B9" w:rsidRDefault="005F7447" w:rsidP="005F7447">
      <w:pPr>
        <w:pStyle w:val="Sinespaciado"/>
        <w:spacing w:line="276" w:lineRule="auto"/>
        <w:jc w:val="both"/>
        <w:rPr>
          <w:rFonts w:ascii="Arial" w:hAnsi="Arial" w:cs="Arial"/>
          <w:color w:val="000000" w:themeColor="text1"/>
          <w:sz w:val="22"/>
        </w:rPr>
      </w:pPr>
      <w:r w:rsidRPr="00A945B9">
        <w:rPr>
          <w:rFonts w:ascii="Arial" w:hAnsi="Arial" w:cs="Arial"/>
          <w:color w:val="000000" w:themeColor="text1"/>
          <w:sz w:val="22"/>
        </w:rPr>
        <w:t xml:space="preserve">La Ley 1474 de 2011 enmarcó el seguimiento, control y vigilancia de la ejecución del contrato estatal dentro del principio de moralidad administrativa. El artículo 83 </w:t>
      </w:r>
      <w:r w:rsidRPr="00A945B9">
        <w:rPr>
          <w:rFonts w:ascii="Arial" w:hAnsi="Arial" w:cs="Arial"/>
          <w:i/>
          <w:iCs/>
          <w:color w:val="000000" w:themeColor="text1"/>
          <w:sz w:val="22"/>
        </w:rPr>
        <w:t xml:space="preserve">ibidem </w:t>
      </w:r>
      <w:r w:rsidRPr="00A945B9">
        <w:rPr>
          <w:rFonts w:ascii="Arial" w:hAnsi="Arial" w:cs="Arial"/>
          <w:color w:val="000000" w:themeColor="text1"/>
          <w:sz w:val="22"/>
        </w:rPr>
        <w:t>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r w:rsidR="006B586E" w:rsidRPr="00A945B9">
        <w:rPr>
          <w:rStyle w:val="Refdenotaalpie"/>
          <w:rFonts w:ascii="Arial" w:hAnsi="Arial" w:cs="Arial"/>
          <w:color w:val="000000" w:themeColor="text1"/>
          <w:sz w:val="22"/>
        </w:rPr>
        <w:footnoteReference w:id="23"/>
      </w:r>
      <w:r w:rsidRPr="00A945B9">
        <w:rPr>
          <w:rFonts w:ascii="Arial" w:hAnsi="Arial" w:cs="Arial"/>
          <w:color w:val="000000" w:themeColor="text1"/>
          <w:sz w:val="22"/>
        </w:rPr>
        <w:t xml:space="preserve">. </w:t>
      </w:r>
      <w:bookmarkStart w:id="5" w:name="_Hlk120487214"/>
      <w:r w:rsidRPr="00A945B9">
        <w:rPr>
          <w:rFonts w:ascii="Arial" w:hAnsi="Arial" w:cs="Arial"/>
          <w:color w:val="000000" w:themeColor="text1"/>
          <w:sz w:val="22"/>
        </w:rPr>
        <w:t xml:space="preserve">El legislador </w:t>
      </w:r>
      <w:r w:rsidRPr="00A945B9">
        <w:rPr>
          <w:rFonts w:ascii="Arial" w:hAnsi="Arial" w:cs="Arial"/>
          <w:color w:val="000000" w:themeColor="text1"/>
          <w:sz w:val="22"/>
        </w:rPr>
        <w:lastRenderedPageBreak/>
        <w:t xml:space="preserve">además definió las nociones de </w:t>
      </w:r>
      <w:r w:rsidRPr="00A945B9">
        <w:rPr>
          <w:rFonts w:ascii="Arial" w:hAnsi="Arial" w:cs="Arial"/>
          <w:i/>
          <w:iCs/>
          <w:color w:val="000000" w:themeColor="text1"/>
          <w:sz w:val="22"/>
        </w:rPr>
        <w:t>supervisión</w:t>
      </w:r>
      <w:r w:rsidRPr="00A945B9">
        <w:rPr>
          <w:rFonts w:ascii="Arial" w:hAnsi="Arial" w:cs="Arial"/>
          <w:color w:val="000000" w:themeColor="text1"/>
          <w:sz w:val="22"/>
        </w:rPr>
        <w:t xml:space="preserve"> e </w:t>
      </w:r>
      <w:r w:rsidRPr="00A945B9">
        <w:rPr>
          <w:rFonts w:ascii="Arial" w:hAnsi="Arial" w:cs="Arial"/>
          <w:i/>
          <w:iCs/>
          <w:color w:val="000000" w:themeColor="text1"/>
          <w:sz w:val="22"/>
        </w:rPr>
        <w:t>interventoría</w:t>
      </w:r>
      <w:r w:rsidRPr="00A945B9">
        <w:rPr>
          <w:rFonts w:ascii="Arial" w:hAnsi="Arial" w:cs="Arial"/>
          <w:color w:val="000000" w:themeColor="text1"/>
          <w:sz w:val="22"/>
        </w:rPr>
        <w:t xml:space="preserve">, como mecanismos que pueden usar las entidades estatales para vigilar el contrato, en estos términos: </w:t>
      </w:r>
    </w:p>
    <w:p w14:paraId="58886F70" w14:textId="77777777" w:rsidR="005F7447" w:rsidRPr="00A945B9" w:rsidRDefault="005F7447" w:rsidP="005F7447">
      <w:pPr>
        <w:pStyle w:val="Sinespaciado"/>
        <w:spacing w:line="276" w:lineRule="auto"/>
        <w:jc w:val="both"/>
        <w:rPr>
          <w:rFonts w:ascii="Arial" w:hAnsi="Arial" w:cs="Arial"/>
          <w:color w:val="000000" w:themeColor="text1"/>
        </w:rPr>
      </w:pPr>
    </w:p>
    <w:p w14:paraId="0527FB13" w14:textId="77777777" w:rsidR="005F7447" w:rsidRPr="00A945B9" w:rsidRDefault="005F7447" w:rsidP="005F7447">
      <w:pPr>
        <w:pStyle w:val="Sinespaciado"/>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69D7C424" w14:textId="77777777" w:rsidR="005F7447" w:rsidRPr="00A945B9" w:rsidRDefault="005F7447" w:rsidP="005F7447">
      <w:pPr>
        <w:pStyle w:val="Sinespaciado"/>
        <w:ind w:left="709" w:right="709"/>
        <w:jc w:val="both"/>
        <w:rPr>
          <w:rFonts w:ascii="Arial" w:hAnsi="Arial" w:cs="Arial"/>
          <w:color w:val="000000" w:themeColor="text1"/>
          <w:sz w:val="21"/>
          <w:szCs w:val="21"/>
        </w:rPr>
      </w:pPr>
    </w:p>
    <w:p w14:paraId="4E1AAE3E" w14:textId="38EA08DF" w:rsidR="005F7447" w:rsidRPr="00A945B9" w:rsidRDefault="005F7447" w:rsidP="00656551">
      <w:pPr>
        <w:pStyle w:val="Sinespaciado"/>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bookmarkEnd w:id="5"/>
    <w:p w14:paraId="056329B5" w14:textId="77777777" w:rsidR="00656551" w:rsidRPr="00A945B9" w:rsidRDefault="00656551" w:rsidP="00656551">
      <w:pPr>
        <w:pStyle w:val="Sinespaciado"/>
        <w:ind w:left="709" w:right="709"/>
        <w:jc w:val="both"/>
        <w:rPr>
          <w:rFonts w:ascii="Arial" w:hAnsi="Arial" w:cs="Arial"/>
          <w:color w:val="000000" w:themeColor="text1"/>
          <w:sz w:val="21"/>
          <w:szCs w:val="21"/>
        </w:rPr>
      </w:pPr>
    </w:p>
    <w:p w14:paraId="709B5437" w14:textId="77777777" w:rsidR="005F7447" w:rsidRPr="00A945B9" w:rsidRDefault="005F7447" w:rsidP="005F7447">
      <w:pPr>
        <w:pStyle w:val="Sinespaciado"/>
        <w:spacing w:line="276" w:lineRule="auto"/>
        <w:ind w:firstLine="708"/>
        <w:jc w:val="both"/>
        <w:rPr>
          <w:rFonts w:ascii="Arial" w:hAnsi="Arial" w:cs="Arial"/>
          <w:color w:val="000000" w:themeColor="text1"/>
          <w:sz w:val="22"/>
        </w:rPr>
      </w:pPr>
      <w:r w:rsidRPr="00A945B9">
        <w:rPr>
          <w:rFonts w:ascii="Arial" w:hAnsi="Arial" w:cs="Arial"/>
          <w:color w:val="000000" w:themeColor="text1"/>
          <w:sz w:val="22"/>
        </w:rPr>
        <w:t xml:space="preserve">En relación con las definiciones de </w:t>
      </w:r>
      <w:r w:rsidRPr="00A945B9">
        <w:rPr>
          <w:rFonts w:ascii="Arial" w:hAnsi="Arial" w:cs="Arial"/>
          <w:i/>
          <w:iCs/>
          <w:color w:val="000000" w:themeColor="text1"/>
          <w:sz w:val="22"/>
        </w:rPr>
        <w:t xml:space="preserve">supervisión </w:t>
      </w:r>
      <w:r w:rsidRPr="00A945B9">
        <w:rPr>
          <w:rFonts w:ascii="Arial" w:hAnsi="Arial" w:cs="Arial"/>
          <w:color w:val="000000" w:themeColor="text1"/>
          <w:sz w:val="22"/>
        </w:rPr>
        <w:t xml:space="preserve">e </w:t>
      </w:r>
      <w:r w:rsidRPr="00A945B9">
        <w:rPr>
          <w:rFonts w:ascii="Arial" w:hAnsi="Arial" w:cs="Arial"/>
          <w:i/>
          <w:iCs/>
          <w:color w:val="000000" w:themeColor="text1"/>
          <w:sz w:val="22"/>
        </w:rPr>
        <w:t>interventoría</w:t>
      </w:r>
      <w:r w:rsidRPr="00A945B9">
        <w:rPr>
          <w:rFonts w:ascii="Arial" w:hAnsi="Arial" w:cs="Arial"/>
          <w:color w:val="000000" w:themeColor="text1"/>
          <w:sz w:val="22"/>
        </w:rPr>
        <w:t>, doctrinariamente se ha establecido la diferencia entre una y otra, de la siguiente manera:</w:t>
      </w:r>
    </w:p>
    <w:p w14:paraId="11FABE11" w14:textId="77777777" w:rsidR="005F7447" w:rsidRPr="00A945B9" w:rsidRDefault="005F7447" w:rsidP="005F7447">
      <w:pPr>
        <w:pStyle w:val="Sinespaciado"/>
        <w:ind w:left="709" w:right="709"/>
        <w:jc w:val="both"/>
        <w:rPr>
          <w:rFonts w:ascii="Arial" w:hAnsi="Arial" w:cs="Arial"/>
          <w:color w:val="000000" w:themeColor="text1"/>
          <w:sz w:val="21"/>
          <w:szCs w:val="21"/>
        </w:rPr>
      </w:pPr>
    </w:p>
    <w:p w14:paraId="3003F6CA" w14:textId="384E20B8" w:rsidR="005F7447" w:rsidRPr="00A945B9" w:rsidRDefault="005F7447" w:rsidP="00656551">
      <w:pPr>
        <w:pStyle w:val="Sinespaciado"/>
        <w:ind w:left="709" w:right="709"/>
        <w:jc w:val="both"/>
        <w:rPr>
          <w:rFonts w:ascii="Arial" w:hAnsi="Arial" w:cs="Arial"/>
          <w:color w:val="000000" w:themeColor="text1"/>
          <w:sz w:val="21"/>
          <w:szCs w:val="21"/>
        </w:rPr>
      </w:pPr>
      <w:r w:rsidRPr="00A945B9">
        <w:rPr>
          <w:rFonts w:ascii="Arial" w:hAnsi="Arial" w:cs="Arial"/>
          <w:color w:val="000000" w:themeColor="text1"/>
          <w:sz w:val="21"/>
          <w:szCs w:val="21"/>
        </w:rPr>
        <w:t>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que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A945B9">
        <w:rPr>
          <w:rStyle w:val="Refdenotaalpie"/>
          <w:rFonts w:ascii="Arial" w:hAnsi="Arial" w:cs="Arial"/>
          <w:color w:val="000000" w:themeColor="text1"/>
          <w:sz w:val="21"/>
          <w:szCs w:val="21"/>
        </w:rPr>
        <w:footnoteReference w:id="24"/>
      </w:r>
      <w:r w:rsidRPr="00A945B9">
        <w:rPr>
          <w:rFonts w:ascii="Arial" w:hAnsi="Arial" w:cs="Arial"/>
          <w:color w:val="000000" w:themeColor="text1"/>
          <w:sz w:val="21"/>
          <w:szCs w:val="21"/>
        </w:rPr>
        <w:t xml:space="preserve">. </w:t>
      </w:r>
    </w:p>
    <w:p w14:paraId="0AFF7AC7" w14:textId="679D6EE3" w:rsidR="005F7447" w:rsidRPr="00A945B9" w:rsidRDefault="005F7447" w:rsidP="005F7447">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 xml:space="preserve">Sin perjuicio de lo anterior, según lo expresado por esta </w:t>
      </w:r>
      <w:r w:rsidR="008C1ADE">
        <w:rPr>
          <w:rFonts w:ascii="Arial" w:hAnsi="Arial" w:cs="Arial"/>
          <w:color w:val="000000" w:themeColor="text1"/>
          <w:sz w:val="22"/>
        </w:rPr>
        <w:t>Agencia</w:t>
      </w:r>
      <w:r w:rsidRPr="00A945B9">
        <w:rPr>
          <w:rStyle w:val="Refdenotaalpie"/>
          <w:rFonts w:ascii="Arial" w:hAnsi="Arial" w:cs="Arial"/>
          <w:color w:val="000000" w:themeColor="text1"/>
          <w:sz w:val="22"/>
        </w:rPr>
        <w:footnoteReference w:id="25"/>
      </w:r>
      <w:r w:rsidRPr="00A945B9">
        <w:rPr>
          <w:rFonts w:ascii="Arial" w:hAnsi="Arial" w:cs="Arial"/>
          <w:color w:val="000000" w:themeColor="text1"/>
          <w:sz w:val="22"/>
        </w:rPr>
        <w:t xml:space="preserve">, de las disposiciones contenidas en </w:t>
      </w:r>
      <w:bookmarkStart w:id="6" w:name="_Hlk120487226"/>
      <w:r w:rsidRPr="00A945B9">
        <w:rPr>
          <w:rFonts w:ascii="Arial" w:hAnsi="Arial" w:cs="Arial"/>
          <w:color w:val="000000" w:themeColor="text1"/>
          <w:sz w:val="22"/>
        </w:rPr>
        <w:t xml:space="preserve">la Ley 1474 de 2011 se infieren las siguientes características, </w:t>
      </w:r>
      <w:r w:rsidRPr="00A945B9">
        <w:rPr>
          <w:rFonts w:ascii="Arial" w:hAnsi="Arial" w:cs="Arial"/>
          <w:color w:val="000000" w:themeColor="text1"/>
          <w:sz w:val="22"/>
        </w:rPr>
        <w:lastRenderedPageBreak/>
        <w:t xml:space="preserve">en relación con la supervisión: </w:t>
      </w:r>
      <w:r w:rsidRPr="005E02D9">
        <w:rPr>
          <w:rFonts w:ascii="Arial" w:hAnsi="Arial" w:cs="Arial"/>
          <w:color w:val="000000" w:themeColor="text1"/>
          <w:sz w:val="22"/>
        </w:rPr>
        <w:t>i) la labor de supervisión siempre existirá en relación con cualquier contrato estatal</w:t>
      </w:r>
      <w:r w:rsidR="002828AD" w:rsidRPr="005E02D9">
        <w:rPr>
          <w:rFonts w:ascii="Arial" w:hAnsi="Arial" w:cs="Arial"/>
          <w:color w:val="000000" w:themeColor="text1"/>
          <w:sz w:val="22"/>
        </w:rPr>
        <w:t>, incluidos los contratos de prestación de servicios</w:t>
      </w:r>
      <w:r w:rsidRPr="005E02D9">
        <w:rPr>
          <w:rFonts w:ascii="Arial" w:hAnsi="Arial" w:cs="Arial"/>
          <w:color w:val="000000" w:themeColor="text1"/>
          <w:sz w:val="22"/>
        </w:rPr>
        <w:t xml:space="preserve"> ―a diferencia de la interventoría que depende del análisis de su necesidad y extensión</w:t>
      </w:r>
      <w:r w:rsidRPr="005E02D9">
        <w:rPr>
          <w:color w:val="000000" w:themeColor="text1"/>
          <w:sz w:val="22"/>
          <w:vertAlign w:val="superscript"/>
        </w:rPr>
        <w:footnoteReference w:id="26"/>
      </w:r>
      <w:r w:rsidRPr="005E02D9">
        <w:rPr>
          <w:rFonts w:ascii="Arial" w:hAnsi="Arial" w:cs="Arial"/>
          <w:color w:val="000000" w:themeColor="text1"/>
          <w:sz w:val="22"/>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v) le es inherente el seguimiento técnico, administrativo, financiero, contable, y jurídico del contrato vigilado.</w:t>
      </w:r>
    </w:p>
    <w:bookmarkEnd w:id="6"/>
    <w:p w14:paraId="0615DEAA" w14:textId="49F099A6" w:rsidR="005F7447" w:rsidRPr="00A945B9" w:rsidRDefault="005F7447" w:rsidP="005F7447">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justifiquen» ―art. 83, Ley 1474 de 2011―. ii) Este mecanismo de vigilancia exige, en su ejecución, la utilización de conocimientos especializados. iii) Por lo anterior, la entidad contrata un experto a través de un concurso de méritos, al tratarse la interventoría de una especie del contrato de consultoría ―art. 32, numeral 2, inciso 2, Ley 80 de 1993</w:t>
      </w:r>
      <w:r w:rsidRPr="00A945B9">
        <w:rPr>
          <w:rStyle w:val="Refdenotaalpie"/>
          <w:rFonts w:ascii="Arial" w:hAnsi="Arial" w:cs="Arial"/>
          <w:color w:val="000000" w:themeColor="text1"/>
          <w:sz w:val="22"/>
        </w:rPr>
        <w:footnoteReference w:id="27"/>
      </w:r>
      <w:r w:rsidRPr="00A945B9">
        <w:rPr>
          <w:rFonts w:ascii="Arial" w:hAnsi="Arial" w:cs="Arial"/>
          <w:color w:val="000000" w:themeColor="text1"/>
          <w:sz w:val="22"/>
        </w:rPr>
        <w:t xml:space="preserve">―,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w:t>
      </w:r>
      <w:r w:rsidR="00394BFA" w:rsidRPr="00A945B9">
        <w:rPr>
          <w:rFonts w:ascii="Arial" w:hAnsi="Arial" w:cs="Arial"/>
          <w:color w:val="000000" w:themeColor="text1"/>
          <w:sz w:val="22"/>
        </w:rPr>
        <w:t>dentro de sus obligaciones se debe estipular que</w:t>
      </w:r>
      <w:r w:rsidRPr="00A945B9">
        <w:rPr>
          <w:rFonts w:ascii="Arial" w:hAnsi="Arial" w:cs="Arial"/>
          <w:color w:val="000000" w:themeColor="text1"/>
          <w:sz w:val="22"/>
        </w:rPr>
        <w:t xml:space="preserve"> </w:t>
      </w:r>
      <w:r w:rsidR="00B24F4E" w:rsidRPr="00A945B9">
        <w:rPr>
          <w:rFonts w:ascii="Arial" w:hAnsi="Arial" w:cs="Arial"/>
          <w:color w:val="000000" w:themeColor="text1"/>
          <w:sz w:val="22"/>
        </w:rPr>
        <w:t>«las</w:t>
      </w:r>
      <w:r w:rsidRPr="00A945B9">
        <w:rPr>
          <w:rFonts w:ascii="Arial" w:hAnsi="Arial" w:cs="Arial"/>
          <w:color w:val="000000" w:themeColor="text1"/>
          <w:sz w:val="22"/>
        </w:rPr>
        <w:t xml:space="preserve"> actividades técnicas a cargo del interventor y las demás quedarán a cargo de la Entidad a través del supervisor» ―art. 83, inciso 3―. vi) El contrato de interventoría será supervisado directamente por la entidad ―art. 83, inciso 4―.</w:t>
      </w:r>
    </w:p>
    <w:p w14:paraId="100BE658" w14:textId="1ADFEF31" w:rsidR="005F7447" w:rsidRPr="00A945B9" w:rsidRDefault="005F7447" w:rsidP="005F7447">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 xml:space="preserve">Sin perjuicio de las diferencias señaladas en los párrafos anteriores, cabe destacar que son más las similitudes que existen entre </w:t>
      </w:r>
      <w:bookmarkStart w:id="7" w:name="_Hlk120517965"/>
      <w:r w:rsidRPr="00A945B9">
        <w:rPr>
          <w:rFonts w:ascii="Arial" w:hAnsi="Arial" w:cs="Arial"/>
          <w:color w:val="000000" w:themeColor="text1"/>
          <w:sz w:val="22"/>
        </w:rPr>
        <w:t xml:space="preserve">la supervisión y la interventoría, pues ambos son mecanismos a través de los cuales las entidades estatales cumplen su deber de vigilar la correcta ejecución de los contratos estatales. </w:t>
      </w:r>
      <w:bookmarkEnd w:id="7"/>
      <w:r w:rsidRPr="00A945B9">
        <w:rPr>
          <w:rFonts w:ascii="Arial" w:hAnsi="Arial" w:cs="Arial"/>
          <w:color w:val="000000" w:themeColor="text1"/>
          <w:sz w:val="22"/>
        </w:rPr>
        <w:t>En este sentido, sus actividades son bastante similares y cuentan con una finalidad común, por lo que sus diferencias no son tan sustanciales y se resumen en los aspectos indicados.</w:t>
      </w:r>
    </w:p>
    <w:p w14:paraId="3390757E" w14:textId="1BE7E9F8" w:rsidR="005F7447" w:rsidRPr="00A945B9" w:rsidRDefault="005F7447" w:rsidP="005F7447">
      <w:pPr>
        <w:pStyle w:val="Sinespaciado"/>
        <w:spacing w:before="120" w:line="276" w:lineRule="auto"/>
        <w:ind w:firstLine="709"/>
        <w:jc w:val="both"/>
        <w:rPr>
          <w:rFonts w:ascii="Arial" w:hAnsi="Arial" w:cs="Arial"/>
          <w:color w:val="000000" w:themeColor="text1"/>
          <w:sz w:val="22"/>
        </w:rPr>
      </w:pPr>
      <w:r w:rsidRPr="00A945B9">
        <w:rPr>
          <w:rFonts w:ascii="Arial" w:hAnsi="Arial" w:cs="Arial"/>
          <w:color w:val="000000" w:themeColor="text1"/>
          <w:sz w:val="22"/>
        </w:rPr>
        <w:t xml:space="preserve">De acuerdo con lo anterior, el interventor es un contratista externo a la entidad estatal y al contratista vigilado, de manera que es seleccionado por la entidad estatal mediante los procedimientos de selección establecidos en el EGCAP; en principio, mediante un concurso de méritos. </w:t>
      </w:r>
    </w:p>
    <w:p w14:paraId="6E237F6C" w14:textId="7FAD78B8" w:rsidR="0050272A" w:rsidRPr="00A945B9" w:rsidRDefault="0050272A" w:rsidP="0050272A">
      <w:pPr>
        <w:spacing w:before="120" w:line="276" w:lineRule="auto"/>
        <w:ind w:firstLine="709"/>
        <w:jc w:val="both"/>
        <w:rPr>
          <w:rFonts w:ascii="Arial" w:eastAsia="Calibri" w:hAnsi="Arial" w:cs="Arial"/>
          <w:sz w:val="22"/>
        </w:rPr>
      </w:pPr>
      <w:r w:rsidRPr="005E02D9">
        <w:rPr>
          <w:rFonts w:ascii="Arial" w:eastAsia="Calibri" w:hAnsi="Arial" w:cs="Arial"/>
          <w:sz w:val="22"/>
        </w:rPr>
        <w:t>Por otro lado, quien ejerza la vigilancia de la ejecución del contrato, ya sea mediante la supervisión o mediante la interventoría, puede hacer uso de las facultades previstas en el artículo 84 de la Ley 1474 de 2011 para efectuar el seguimiento al cumplimiento obligacional del contrato y estará sometido a los deberes y responsabilidades que implica el ejercicio de dicha actividad</w:t>
      </w:r>
      <w:r w:rsidR="008C1ADE" w:rsidRPr="005E02D9">
        <w:rPr>
          <w:rStyle w:val="Refdenotaalpie"/>
          <w:rFonts w:ascii="Arial" w:hAnsi="Arial" w:cs="Arial"/>
          <w:color w:val="000000" w:themeColor="text1"/>
          <w:sz w:val="22"/>
        </w:rPr>
        <w:footnoteReference w:id="28"/>
      </w:r>
      <w:r w:rsidRPr="005E02D9">
        <w:rPr>
          <w:rFonts w:ascii="Arial" w:eastAsia="Calibri" w:hAnsi="Arial" w:cs="Arial"/>
          <w:sz w:val="22"/>
        </w:rPr>
        <w:t>.</w:t>
      </w:r>
      <w:r w:rsidR="000D17B5">
        <w:rPr>
          <w:rFonts w:ascii="Arial" w:eastAsia="Calibri" w:hAnsi="Arial" w:cs="Arial"/>
          <w:sz w:val="22"/>
        </w:rPr>
        <w:t xml:space="preserve"> </w:t>
      </w:r>
    </w:p>
    <w:p w14:paraId="39D0B9B1" w14:textId="7EAE8783" w:rsidR="002828AD" w:rsidRDefault="0050272A" w:rsidP="00210D04">
      <w:pPr>
        <w:spacing w:before="120" w:line="276" w:lineRule="auto"/>
        <w:ind w:firstLine="709"/>
        <w:jc w:val="both"/>
        <w:rPr>
          <w:rFonts w:ascii="Arial" w:eastAsia="Calibri" w:hAnsi="Arial" w:cs="Arial"/>
          <w:sz w:val="22"/>
          <w:szCs w:val="22"/>
        </w:rPr>
      </w:pPr>
      <w:r w:rsidRPr="00A945B9">
        <w:rPr>
          <w:rFonts w:ascii="Arial" w:eastAsia="Calibri" w:hAnsi="Arial" w:cs="Arial"/>
          <w:bCs/>
          <w:sz w:val="22"/>
          <w:szCs w:val="22"/>
        </w:rPr>
        <w:t>Ahora bien, e</w:t>
      </w:r>
      <w:r w:rsidRPr="00A945B9">
        <w:rPr>
          <w:rFonts w:ascii="Arial" w:eastAsia="Calibri" w:hAnsi="Arial" w:cs="Arial"/>
          <w:sz w:val="22"/>
          <w:szCs w:val="22"/>
        </w:rPr>
        <w:t xml:space="preserve">n cuanto a la </w:t>
      </w:r>
      <w:r w:rsidR="002828AD" w:rsidRPr="00A945B9">
        <w:rPr>
          <w:rFonts w:ascii="Arial" w:eastAsia="Calibri" w:hAnsi="Arial" w:cs="Arial"/>
          <w:sz w:val="22"/>
          <w:szCs w:val="22"/>
        </w:rPr>
        <w:t>concurrencia entre la Supervisión y la Interventoría, la «Guía para el ejercicio de las funciones de supervisión e interventoría de los contratos del Estado»</w:t>
      </w:r>
      <w:r w:rsidR="002828AD" w:rsidRPr="00A945B9">
        <w:rPr>
          <w:rFonts w:ascii="Arial" w:eastAsia="Calibri" w:hAnsi="Arial" w:cs="Arial"/>
          <w:sz w:val="22"/>
          <w:szCs w:val="22"/>
          <w:vertAlign w:val="superscript"/>
        </w:rPr>
        <w:footnoteReference w:id="29"/>
      </w:r>
      <w:r w:rsidR="002828AD" w:rsidRPr="00A945B9">
        <w:rPr>
          <w:rFonts w:ascii="Arial" w:eastAsia="Calibri" w:hAnsi="Arial" w:cs="Arial"/>
          <w:sz w:val="22"/>
          <w:szCs w:val="22"/>
        </w:rPr>
        <w:t xml:space="preserve"> indica que:</w:t>
      </w:r>
    </w:p>
    <w:p w14:paraId="0891BB2F" w14:textId="77777777" w:rsidR="00210D04" w:rsidRPr="00A945B9" w:rsidRDefault="00210D04" w:rsidP="005E02D9">
      <w:pPr>
        <w:spacing w:line="276" w:lineRule="auto"/>
        <w:ind w:firstLine="709"/>
        <w:contextualSpacing/>
        <w:jc w:val="both"/>
        <w:rPr>
          <w:rFonts w:ascii="Arial" w:eastAsia="Calibri" w:hAnsi="Arial" w:cs="Arial"/>
          <w:sz w:val="22"/>
          <w:szCs w:val="22"/>
        </w:rPr>
      </w:pPr>
    </w:p>
    <w:p w14:paraId="4A24A6F3" w14:textId="1A0BF5F1" w:rsidR="002828AD" w:rsidRDefault="002828AD" w:rsidP="00210D04">
      <w:pPr>
        <w:ind w:left="709" w:right="709"/>
        <w:contextualSpacing/>
        <w:jc w:val="both"/>
        <w:rPr>
          <w:rFonts w:ascii="Arial" w:eastAsia="Calibri" w:hAnsi="Arial" w:cs="Arial"/>
          <w:bCs/>
          <w:sz w:val="21"/>
          <w:szCs w:val="21"/>
        </w:rPr>
      </w:pPr>
      <w:r w:rsidRPr="00A945B9">
        <w:rPr>
          <w:rFonts w:ascii="Arial" w:eastAsia="Calibri" w:hAnsi="Arial" w:cs="Arial"/>
          <w:bCs/>
          <w:sz w:val="21"/>
          <w:szCs w:val="21"/>
        </w:rPr>
        <w:t>Por regla general, las funciones de supervisión e interventoría no son concurrentes en relación con un mismo contrato.</w:t>
      </w:r>
    </w:p>
    <w:p w14:paraId="57E6E907" w14:textId="77777777" w:rsidR="00210D04" w:rsidRPr="00A945B9" w:rsidRDefault="00210D04" w:rsidP="005E02D9">
      <w:pPr>
        <w:ind w:left="709" w:right="709"/>
        <w:contextualSpacing/>
        <w:jc w:val="both"/>
        <w:rPr>
          <w:rFonts w:ascii="Arial" w:eastAsia="Calibri" w:hAnsi="Arial" w:cs="Arial"/>
          <w:bCs/>
          <w:sz w:val="21"/>
          <w:szCs w:val="21"/>
        </w:rPr>
      </w:pPr>
    </w:p>
    <w:p w14:paraId="4F03E456" w14:textId="77777777" w:rsidR="00F517C2" w:rsidRPr="00A945B9" w:rsidRDefault="002828AD" w:rsidP="005E02D9">
      <w:pPr>
        <w:ind w:left="709" w:right="709"/>
        <w:contextualSpacing/>
        <w:jc w:val="both"/>
        <w:rPr>
          <w:rFonts w:ascii="Arial" w:eastAsia="Calibri" w:hAnsi="Arial" w:cs="Arial"/>
          <w:bCs/>
          <w:sz w:val="21"/>
          <w:szCs w:val="21"/>
        </w:rPr>
      </w:pPr>
      <w:r w:rsidRPr="00A945B9">
        <w:rPr>
          <w:rFonts w:ascii="Arial" w:eastAsia="Calibri" w:hAnsi="Arial" w:cs="Arial"/>
          <w:bCs/>
          <w:sz w:val="21"/>
          <w:szCs w:val="21"/>
        </w:rPr>
        <w:t xml:space="preserve">Sin embargo, en caso de que sea necesario, la Entidad Estatal puede determinar que la vigilancia del contrato principal se realice de manera conjunta entre un supervisor y un interventor, caso en el cual en el contrato de interventoría deben indicarse las actividades a cargo del interventor, de tal manera que las demás actividades de vigilancia se entienden a cargo del supervisor, sin que en ningún caso pueda haber duplicidad de funciones. </w:t>
      </w:r>
    </w:p>
    <w:p w14:paraId="3CF3DC53" w14:textId="77777777" w:rsidR="00210D04" w:rsidRDefault="00210D04" w:rsidP="00210D04">
      <w:pPr>
        <w:ind w:left="709" w:right="709"/>
        <w:contextualSpacing/>
        <w:jc w:val="both"/>
        <w:rPr>
          <w:rFonts w:ascii="Arial" w:eastAsia="Calibri" w:hAnsi="Arial" w:cs="Arial"/>
          <w:bCs/>
          <w:sz w:val="21"/>
          <w:szCs w:val="21"/>
        </w:rPr>
      </w:pPr>
    </w:p>
    <w:p w14:paraId="4785F445" w14:textId="4D9A8BD9" w:rsidR="002828AD" w:rsidRPr="00A945B9" w:rsidRDefault="002828AD" w:rsidP="005E02D9">
      <w:pPr>
        <w:ind w:left="709" w:right="709"/>
        <w:contextualSpacing/>
        <w:jc w:val="both"/>
        <w:rPr>
          <w:rFonts w:ascii="Arial" w:eastAsia="Calibri" w:hAnsi="Arial" w:cs="Arial"/>
          <w:bCs/>
          <w:sz w:val="21"/>
          <w:szCs w:val="21"/>
        </w:rPr>
      </w:pPr>
      <w:r w:rsidRPr="00A945B9">
        <w:rPr>
          <w:rFonts w:ascii="Arial" w:eastAsia="Calibri" w:hAnsi="Arial" w:cs="Arial"/>
          <w:bCs/>
          <w:sz w:val="21"/>
          <w:szCs w:val="21"/>
        </w:rPr>
        <w:t>En estos casos, también es recomendable que en la designación que se haga al supervisor del contrato se especifique el tipo de seguimiento que debe hacer a la ejecución contractual, con el fin de que sepa que algunas de las actividades propias de la supervisión van a ser ejercidas por la interventoría.</w:t>
      </w:r>
    </w:p>
    <w:p w14:paraId="4993592E" w14:textId="77777777" w:rsidR="00F4210F" w:rsidRPr="00A945B9" w:rsidRDefault="00F4210F" w:rsidP="005E02D9">
      <w:pPr>
        <w:ind w:left="709" w:right="709"/>
        <w:contextualSpacing/>
        <w:jc w:val="both"/>
        <w:rPr>
          <w:rFonts w:ascii="Arial" w:eastAsia="Calibri" w:hAnsi="Arial" w:cs="Arial"/>
          <w:bCs/>
          <w:sz w:val="21"/>
          <w:szCs w:val="21"/>
        </w:rPr>
      </w:pPr>
    </w:p>
    <w:p w14:paraId="7D36B81D" w14:textId="77777777" w:rsidR="00210D04" w:rsidRDefault="00150489" w:rsidP="00F4210F">
      <w:pPr>
        <w:spacing w:after="120" w:line="276" w:lineRule="auto"/>
        <w:ind w:firstLine="709"/>
        <w:jc w:val="both"/>
        <w:rPr>
          <w:rFonts w:ascii="Arial" w:eastAsia="Calibri" w:hAnsi="Arial" w:cs="Arial"/>
          <w:sz w:val="22"/>
        </w:rPr>
      </w:pPr>
      <w:bookmarkStart w:id="9" w:name="_Hlk120487500"/>
      <w:r w:rsidRPr="00A945B9">
        <w:rPr>
          <w:rFonts w:ascii="Arial" w:eastAsia="Calibri" w:hAnsi="Arial" w:cs="Arial"/>
          <w:bCs/>
          <w:sz w:val="22"/>
        </w:rPr>
        <w:t>Finalmente, e</w:t>
      </w:r>
      <w:r w:rsidRPr="00A945B9">
        <w:rPr>
          <w:rFonts w:ascii="Arial" w:eastAsia="Calibri" w:hAnsi="Arial" w:cs="Arial"/>
          <w:sz w:val="22"/>
        </w:rPr>
        <w:t xml:space="preserve">n cuanto a la designación del supervisor, </w:t>
      </w:r>
      <w:r w:rsidR="008C1ADE">
        <w:rPr>
          <w:rFonts w:ascii="Arial" w:eastAsia="Calibri" w:hAnsi="Arial" w:cs="Arial"/>
          <w:sz w:val="22"/>
        </w:rPr>
        <w:t xml:space="preserve">la Agencia Nacional de Contratación Pública - </w:t>
      </w:r>
      <w:r w:rsidRPr="00A945B9">
        <w:rPr>
          <w:rFonts w:ascii="Arial" w:eastAsia="Calibri" w:hAnsi="Arial" w:cs="Arial"/>
          <w:sz w:val="22"/>
        </w:rPr>
        <w:t>Colombia Compra Eficiente, en la «Guía para el ejercicio de las funciones de supervisión e interventoría de los contratos del Estado»</w:t>
      </w:r>
      <w:r w:rsidRPr="00A945B9">
        <w:rPr>
          <w:rFonts w:ascii="Arial" w:eastAsia="Calibri" w:hAnsi="Arial" w:cs="Arial"/>
          <w:sz w:val="22"/>
          <w:vertAlign w:val="superscript"/>
        </w:rPr>
        <w:footnoteReference w:id="30"/>
      </w:r>
      <w:r w:rsidRPr="00A945B9">
        <w:rPr>
          <w:rFonts w:ascii="Arial" w:eastAsia="Calibri" w:hAnsi="Arial" w:cs="Arial"/>
          <w:sz w:val="22"/>
        </w:rPr>
        <w:t xml:space="preserve"> </w:t>
      </w:r>
      <w:r w:rsidR="00F97DA1">
        <w:rPr>
          <w:rFonts w:ascii="Arial" w:eastAsia="Calibri" w:hAnsi="Arial" w:cs="Arial"/>
          <w:sz w:val="22"/>
        </w:rPr>
        <w:t xml:space="preserve">señala que el supervisor debe ser un funcionario de la entidad estatal y </w:t>
      </w:r>
      <w:r w:rsidRPr="00A945B9">
        <w:rPr>
          <w:rFonts w:ascii="Arial" w:eastAsia="Calibri" w:hAnsi="Arial" w:cs="Arial"/>
          <w:sz w:val="22"/>
        </w:rPr>
        <w:t>recomienda que</w:t>
      </w:r>
      <w:r w:rsidR="00F97DA1">
        <w:rPr>
          <w:rFonts w:ascii="Arial" w:eastAsia="Calibri" w:hAnsi="Arial" w:cs="Arial"/>
          <w:sz w:val="22"/>
        </w:rPr>
        <w:t>, si bien este no requiere un perfil predeterminado,</w:t>
      </w:r>
      <w:r w:rsidRPr="00A945B9">
        <w:rPr>
          <w:rFonts w:ascii="Arial" w:eastAsia="Calibri" w:hAnsi="Arial" w:cs="Arial"/>
          <w:sz w:val="22"/>
        </w:rPr>
        <w:t xml:space="preserve"> esta</w:t>
      </w:r>
      <w:r w:rsidR="00F97DA1">
        <w:rPr>
          <w:rFonts w:ascii="Arial" w:eastAsia="Calibri" w:hAnsi="Arial" w:cs="Arial"/>
          <w:sz w:val="22"/>
        </w:rPr>
        <w:t xml:space="preserve"> designación</w:t>
      </w:r>
      <w:r w:rsidRPr="00A945B9">
        <w:rPr>
          <w:rFonts w:ascii="Arial" w:eastAsia="Calibri" w:hAnsi="Arial" w:cs="Arial"/>
          <w:sz w:val="22"/>
        </w:rPr>
        <w:t xml:space="preserve"> se haga </w:t>
      </w:r>
      <w:r w:rsidR="00394BFA" w:rsidRPr="00A945B9">
        <w:rPr>
          <w:rFonts w:ascii="Arial" w:eastAsia="Calibri" w:hAnsi="Arial" w:cs="Arial"/>
          <w:sz w:val="22"/>
        </w:rPr>
        <w:t xml:space="preserve">con </w:t>
      </w:r>
      <w:r w:rsidRPr="00A945B9">
        <w:rPr>
          <w:rFonts w:ascii="Arial" w:eastAsia="Calibri" w:hAnsi="Arial" w:cs="Arial"/>
          <w:sz w:val="22"/>
        </w:rPr>
        <w:t>un funcionario que pueda actuar al menos como par del contratista y que tenga asignadas funciones relacionadas con el objeto contractual. As</w:t>
      </w:r>
      <w:r w:rsidR="003E20DE" w:rsidRPr="00A945B9">
        <w:rPr>
          <w:rFonts w:ascii="Arial" w:eastAsia="Calibri" w:hAnsi="Arial" w:cs="Arial"/>
          <w:sz w:val="22"/>
        </w:rPr>
        <w:t xml:space="preserve">í </w:t>
      </w:r>
      <w:r w:rsidRPr="00A945B9">
        <w:rPr>
          <w:rFonts w:ascii="Arial" w:eastAsia="Calibri" w:hAnsi="Arial" w:cs="Arial"/>
          <w:sz w:val="22"/>
        </w:rPr>
        <w:t xml:space="preserve">mismo, </w:t>
      </w:r>
      <w:r w:rsidR="007175EE" w:rsidRPr="00A945B9">
        <w:rPr>
          <w:rFonts w:ascii="Arial" w:eastAsia="Calibri" w:hAnsi="Arial" w:cs="Arial"/>
          <w:sz w:val="22"/>
        </w:rPr>
        <w:t xml:space="preserve">en </w:t>
      </w:r>
      <w:r w:rsidR="00394BFA" w:rsidRPr="00A945B9">
        <w:rPr>
          <w:rFonts w:ascii="Arial" w:eastAsia="Calibri" w:hAnsi="Arial" w:cs="Arial"/>
          <w:sz w:val="22"/>
        </w:rPr>
        <w:t>la</w:t>
      </w:r>
      <w:r w:rsidR="007175EE" w:rsidRPr="00A945B9">
        <w:rPr>
          <w:rFonts w:ascii="Arial" w:eastAsia="Calibri" w:hAnsi="Arial" w:cs="Arial"/>
          <w:sz w:val="22"/>
        </w:rPr>
        <w:t xml:space="preserve"> Guía</w:t>
      </w:r>
      <w:r w:rsidR="00394BFA" w:rsidRPr="00A945B9">
        <w:rPr>
          <w:rFonts w:ascii="Arial" w:eastAsia="Calibri" w:hAnsi="Arial" w:cs="Arial"/>
          <w:sz w:val="22"/>
        </w:rPr>
        <w:t xml:space="preserve"> mencionada</w:t>
      </w:r>
      <w:r w:rsidR="007175EE" w:rsidRPr="00A945B9">
        <w:rPr>
          <w:rFonts w:ascii="Arial" w:eastAsia="Calibri" w:hAnsi="Arial" w:cs="Arial"/>
          <w:sz w:val="22"/>
        </w:rPr>
        <w:t xml:space="preserve"> se señala que </w:t>
      </w:r>
      <w:r w:rsidRPr="00A945B9">
        <w:rPr>
          <w:rFonts w:ascii="Arial" w:eastAsia="Calibri" w:hAnsi="Arial" w:cs="Arial"/>
          <w:sz w:val="22"/>
        </w:rPr>
        <w:t xml:space="preserve">la designación debe estar antecedida </w:t>
      </w:r>
      <w:r w:rsidR="00394BFA" w:rsidRPr="00A945B9">
        <w:rPr>
          <w:rFonts w:ascii="Arial" w:eastAsia="Calibri" w:hAnsi="Arial" w:cs="Arial"/>
          <w:sz w:val="22"/>
        </w:rPr>
        <w:t xml:space="preserve">de </w:t>
      </w:r>
      <w:r w:rsidRPr="00A945B9">
        <w:rPr>
          <w:rFonts w:ascii="Arial" w:eastAsia="Calibri" w:hAnsi="Arial" w:cs="Arial"/>
          <w:sz w:val="22"/>
        </w:rPr>
        <w:t xml:space="preserve">un análisis de la carga operativa del funcionario al que se le asigna la función, para no incurrir en el riesgo de que el supervisor no pueda desempeñar la labor de manera adecuada. </w:t>
      </w:r>
    </w:p>
    <w:p w14:paraId="39C840A0" w14:textId="741C5005" w:rsidR="00150489" w:rsidRPr="00A945B9" w:rsidRDefault="00150489" w:rsidP="00F4210F">
      <w:pPr>
        <w:spacing w:after="120" w:line="276" w:lineRule="auto"/>
        <w:ind w:firstLine="709"/>
        <w:jc w:val="both"/>
        <w:rPr>
          <w:rFonts w:ascii="Arial" w:eastAsia="Calibri" w:hAnsi="Arial" w:cs="Arial"/>
          <w:sz w:val="22"/>
        </w:rPr>
      </w:pPr>
      <w:r w:rsidRPr="00A945B9">
        <w:rPr>
          <w:rFonts w:ascii="Arial" w:eastAsia="Calibri" w:hAnsi="Arial" w:cs="Arial"/>
          <w:sz w:val="22"/>
        </w:rPr>
        <w:t xml:space="preserve">La designación, igualmente, se recomienda que se efectúe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bookmarkEnd w:id="9"/>
    <w:p w14:paraId="52640CB2" w14:textId="77777777" w:rsidR="00150489" w:rsidRPr="00A945B9" w:rsidRDefault="00150489" w:rsidP="005E02D9">
      <w:pPr>
        <w:spacing w:line="276" w:lineRule="auto"/>
        <w:ind w:firstLine="709"/>
        <w:jc w:val="both"/>
        <w:rPr>
          <w:rFonts w:ascii="Arial" w:eastAsia="Calibri" w:hAnsi="Arial" w:cs="Arial"/>
          <w:sz w:val="22"/>
        </w:rPr>
      </w:pPr>
      <w:r w:rsidRPr="00A945B9">
        <w:rPr>
          <w:rFonts w:ascii="Arial" w:eastAsia="Calibri" w:hAnsi="Arial" w:cs="Arial"/>
          <w:sz w:val="22"/>
        </w:rPr>
        <w:t>En el mismo orden, respecto al plazo para la designación del supervisor, la Guía en mención establece que:</w:t>
      </w:r>
    </w:p>
    <w:p w14:paraId="13F7C4B0" w14:textId="77777777" w:rsidR="00210D04" w:rsidRDefault="00210D04" w:rsidP="005E02D9">
      <w:pPr>
        <w:spacing w:line="276" w:lineRule="auto"/>
        <w:ind w:left="709" w:right="709"/>
        <w:contextualSpacing/>
        <w:jc w:val="both"/>
        <w:rPr>
          <w:rFonts w:ascii="Arial" w:eastAsia="Calibri" w:hAnsi="Arial" w:cs="Arial"/>
          <w:sz w:val="21"/>
          <w:szCs w:val="21"/>
        </w:rPr>
      </w:pPr>
    </w:p>
    <w:p w14:paraId="6347E8F2" w14:textId="16DFE189" w:rsidR="00150489" w:rsidRDefault="00150489" w:rsidP="00210D04">
      <w:pPr>
        <w:ind w:left="709" w:right="709"/>
        <w:contextualSpacing/>
        <w:jc w:val="both"/>
        <w:rPr>
          <w:rFonts w:ascii="Arial" w:eastAsia="Calibri" w:hAnsi="Arial" w:cs="Arial"/>
          <w:sz w:val="21"/>
          <w:szCs w:val="21"/>
        </w:rPr>
      </w:pPr>
      <w:r w:rsidRPr="00A945B9">
        <w:rPr>
          <w:rFonts w:ascii="Arial" w:eastAsia="Calibri" w:hAnsi="Arial" w:cs="Arial"/>
          <w:sz w:val="21"/>
          <w:szCs w:val="21"/>
        </w:rPr>
        <w:t>En la etapa de planeación del Proceso de Contratación, la Entidad Estatal debe establecer la forma como supervisará la ejecución del contrato e indicar si lo hace a través de un supervisor, de un interventor o de las dos figuras de manera concurrente.</w:t>
      </w:r>
    </w:p>
    <w:p w14:paraId="25DC01B0" w14:textId="77777777" w:rsidR="00210D04" w:rsidRPr="00A945B9" w:rsidRDefault="00210D04" w:rsidP="005E02D9">
      <w:pPr>
        <w:ind w:left="709" w:right="709"/>
        <w:contextualSpacing/>
        <w:jc w:val="both"/>
        <w:rPr>
          <w:rFonts w:ascii="Arial" w:eastAsia="Calibri" w:hAnsi="Arial" w:cs="Arial"/>
          <w:sz w:val="21"/>
          <w:szCs w:val="21"/>
        </w:rPr>
      </w:pPr>
    </w:p>
    <w:p w14:paraId="58C07569" w14:textId="59F2DFA5" w:rsidR="00150489" w:rsidRPr="00A945B9" w:rsidRDefault="00246985" w:rsidP="005E02D9">
      <w:pPr>
        <w:ind w:left="709" w:right="709"/>
        <w:contextualSpacing/>
        <w:jc w:val="both"/>
        <w:rPr>
          <w:rFonts w:ascii="Arial" w:eastAsia="Calibri" w:hAnsi="Arial" w:cs="Arial"/>
          <w:sz w:val="21"/>
          <w:szCs w:val="21"/>
        </w:rPr>
      </w:pPr>
      <w:r w:rsidRPr="00A945B9">
        <w:rPr>
          <w:rFonts w:ascii="Arial" w:eastAsia="Calibri" w:hAnsi="Arial" w:cs="Arial"/>
          <w:sz w:val="21"/>
          <w:szCs w:val="21"/>
        </w:rPr>
        <w:t>[</w:t>
      </w:r>
      <w:r w:rsidR="00150489" w:rsidRPr="00A945B9">
        <w:rPr>
          <w:rFonts w:ascii="Arial" w:eastAsia="Calibri" w:hAnsi="Arial" w:cs="Arial"/>
          <w:sz w:val="21"/>
          <w:szCs w:val="21"/>
        </w:rPr>
        <w:t>…</w:t>
      </w:r>
      <w:r w:rsidRPr="00A945B9">
        <w:rPr>
          <w:rFonts w:ascii="Arial" w:eastAsia="Calibri" w:hAnsi="Arial" w:cs="Arial"/>
          <w:sz w:val="21"/>
          <w:szCs w:val="21"/>
        </w:rPr>
        <w:t>]</w:t>
      </w:r>
      <w:r w:rsidR="00150489" w:rsidRPr="00A945B9">
        <w:rPr>
          <w:rFonts w:ascii="Arial" w:eastAsia="Calibri" w:hAnsi="Arial" w:cs="Arial"/>
          <w:sz w:val="21"/>
          <w:szCs w:val="21"/>
        </w:rPr>
        <w:t xml:space="preserve"> </w:t>
      </w:r>
    </w:p>
    <w:p w14:paraId="58DF15F1" w14:textId="77777777" w:rsidR="00210D04" w:rsidRDefault="00210D04" w:rsidP="00210D04">
      <w:pPr>
        <w:ind w:left="709" w:right="709"/>
        <w:contextualSpacing/>
        <w:jc w:val="both"/>
        <w:rPr>
          <w:rFonts w:ascii="Arial" w:eastAsia="Calibri" w:hAnsi="Arial" w:cs="Arial"/>
          <w:sz w:val="21"/>
          <w:szCs w:val="21"/>
        </w:rPr>
      </w:pPr>
    </w:p>
    <w:p w14:paraId="6A6533C1" w14:textId="57D9C81E" w:rsidR="00150489" w:rsidRPr="00A945B9" w:rsidRDefault="00150489" w:rsidP="005E02D9">
      <w:pPr>
        <w:ind w:left="709" w:right="709"/>
        <w:contextualSpacing/>
        <w:jc w:val="both"/>
        <w:rPr>
          <w:rFonts w:ascii="Arial" w:eastAsia="Calibri" w:hAnsi="Arial" w:cs="Arial"/>
          <w:sz w:val="21"/>
          <w:szCs w:val="21"/>
        </w:rPr>
      </w:pPr>
      <w:r w:rsidRPr="00A945B9">
        <w:rPr>
          <w:rFonts w:ascii="Arial" w:eastAsia="Calibri" w:hAnsi="Arial" w:cs="Arial"/>
          <w:sz w:val="21"/>
          <w:szCs w:val="21"/>
        </w:rPr>
        <w:t xml:space="preserve">En la etapa de planeación del Proceso de Contratación, la Entidad Estatal debe identificar el perfil del supervisor para poderlo designar a más tardar al final de la audiencia de adjudicación, cuando el Proceso de Contratación es competitivo o en la fecha de la firma del contrato en los Procesos de Contratación sin competencia. La Entidad Estatal puede designar el supervisor </w:t>
      </w:r>
      <w:bookmarkStart w:id="10" w:name="_Hlk109985795"/>
      <w:r w:rsidRPr="00A945B9">
        <w:rPr>
          <w:rFonts w:ascii="Arial" w:eastAsia="Calibri" w:hAnsi="Arial" w:cs="Arial"/>
          <w:sz w:val="21"/>
          <w:szCs w:val="21"/>
        </w:rPr>
        <w:t>en cualquier momento del Proceso de Contratación una vez iniciada la etapa de planeación</w:t>
      </w:r>
      <w:bookmarkEnd w:id="10"/>
      <w:r w:rsidRPr="00A945B9">
        <w:rPr>
          <w:rFonts w:ascii="Arial" w:eastAsia="Calibri" w:hAnsi="Arial" w:cs="Arial"/>
          <w:sz w:val="21"/>
          <w:szCs w:val="21"/>
        </w:rPr>
        <w:t>.</w:t>
      </w:r>
    </w:p>
    <w:p w14:paraId="780132EE" w14:textId="77777777" w:rsidR="00246985" w:rsidRPr="00A945B9" w:rsidRDefault="00246985" w:rsidP="005E02D9">
      <w:pPr>
        <w:spacing w:line="276" w:lineRule="auto"/>
        <w:ind w:firstLine="709"/>
        <w:contextualSpacing/>
        <w:jc w:val="both"/>
        <w:rPr>
          <w:rFonts w:ascii="Arial" w:eastAsia="Calibri" w:hAnsi="Arial" w:cs="Arial"/>
          <w:sz w:val="22"/>
          <w:szCs w:val="22"/>
        </w:rPr>
      </w:pPr>
    </w:p>
    <w:p w14:paraId="775B9ED5" w14:textId="29762461" w:rsidR="00210D04" w:rsidRPr="00A945B9" w:rsidRDefault="00150489" w:rsidP="00150489">
      <w:pPr>
        <w:spacing w:after="120" w:line="276" w:lineRule="auto"/>
        <w:ind w:firstLine="709"/>
        <w:jc w:val="both"/>
        <w:rPr>
          <w:rFonts w:ascii="Arial" w:eastAsia="Calibri" w:hAnsi="Arial" w:cs="Arial"/>
          <w:sz w:val="22"/>
          <w:szCs w:val="22"/>
        </w:rPr>
      </w:pPr>
      <w:r w:rsidRPr="004379ED">
        <w:rPr>
          <w:rFonts w:ascii="Arial" w:eastAsia="Calibri" w:hAnsi="Arial" w:cs="Arial"/>
          <w:sz w:val="22"/>
          <w:szCs w:val="22"/>
        </w:rPr>
        <w:t>En</w:t>
      </w:r>
      <w:r w:rsidRPr="00A945B9">
        <w:rPr>
          <w:rFonts w:ascii="Arial" w:eastAsia="Calibri" w:hAnsi="Arial" w:cs="Arial"/>
          <w:sz w:val="22"/>
          <w:szCs w:val="22"/>
        </w:rPr>
        <w:t xml:space="preserve"> ese sentido, como bien lo establece la «Guía para el ejercicio de las funciones de supervisión e interventoría de los contratos del Estado», y teniendo en cuenta que no hay norma que establezca una prohibición en tal sentido, la designación del Supervisor se puede realizar «en cualquier momento del Proceso de Contratación una vez iniciada la etapa de planeación» y «a más tardar al final de la audiencia de adjudicación, cuando el Proceso de Contratación es competitivo o en la fecha de la firma del contrato en los Procesos de Contratación sin competencia». Al respecto, cabe recordar el artículo 2.2.1.1.1.3.1 del Decreto 1082 de 2015 define el Proceso de Contratación como el «</w:t>
      </w:r>
      <w:r w:rsidRPr="00A945B9">
        <w:rPr>
          <w:rFonts w:ascii="Arial" w:hAnsi="Arial" w:cs="Arial"/>
          <w:color w:val="000000"/>
          <w:sz w:val="22"/>
          <w:szCs w:val="22"/>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sidR="00210D04">
        <w:rPr>
          <w:rFonts w:ascii="Arial" w:hAnsi="Arial" w:cs="Arial"/>
          <w:color w:val="000000"/>
          <w:sz w:val="22"/>
          <w:szCs w:val="22"/>
        </w:rPr>
        <w:t xml:space="preserve"> </w:t>
      </w:r>
    </w:p>
    <w:p w14:paraId="0386C4B1" w14:textId="0AED85FA" w:rsidR="00210D04" w:rsidRDefault="00150489" w:rsidP="005E02D9">
      <w:pPr>
        <w:spacing w:after="120" w:line="276" w:lineRule="auto"/>
        <w:ind w:firstLine="708"/>
        <w:jc w:val="both"/>
        <w:rPr>
          <w:rFonts w:ascii="Arial" w:eastAsia="Calibri" w:hAnsi="Arial" w:cs="Arial"/>
          <w:sz w:val="22"/>
        </w:rPr>
      </w:pPr>
      <w:bookmarkStart w:id="11" w:name="_Hlk117618153"/>
      <w:r w:rsidRPr="00A945B9">
        <w:rPr>
          <w:rFonts w:ascii="Arial" w:eastAsia="Calibri" w:hAnsi="Arial" w:cs="Arial"/>
          <w:sz w:val="22"/>
        </w:rPr>
        <w:t>En consecuencia, la designación podrá hacerse por el representante legal de la entidad o por el ordenador del gasto, en caso de que esta función se encuentre delegada, después de iniciada la planeación del contrato, pero a más tardar al momento de la adjudicación, sin perjuicio de las funciones que se definan en el pliego de condiciones, en</w:t>
      </w:r>
      <w:r w:rsidR="00AA7707">
        <w:rPr>
          <w:rFonts w:ascii="Arial" w:eastAsia="Calibri" w:hAnsi="Arial" w:cs="Arial"/>
          <w:sz w:val="22"/>
        </w:rPr>
        <w:t xml:space="preserve"> las</w:t>
      </w:r>
      <w:r w:rsidRPr="00A945B9">
        <w:rPr>
          <w:rFonts w:ascii="Arial" w:eastAsia="Calibri" w:hAnsi="Arial" w:cs="Arial"/>
          <w:sz w:val="22"/>
        </w:rPr>
        <w:t xml:space="preserve"> cláusulas del contrato, en el manual de contratación o en el acto </w:t>
      </w:r>
      <w:r w:rsidR="00020575" w:rsidRPr="00A945B9">
        <w:rPr>
          <w:rFonts w:ascii="Arial" w:eastAsia="Calibri" w:hAnsi="Arial" w:cs="Arial"/>
          <w:sz w:val="22"/>
        </w:rPr>
        <w:t xml:space="preserve">por medio del cual se asigne </w:t>
      </w:r>
      <w:r w:rsidRPr="00A945B9">
        <w:rPr>
          <w:rFonts w:ascii="Arial" w:eastAsia="Calibri" w:hAnsi="Arial" w:cs="Arial"/>
          <w:sz w:val="22"/>
        </w:rPr>
        <w:t>la función al servidor público escogido para ejercer la supervisión</w:t>
      </w:r>
      <w:bookmarkEnd w:id="11"/>
      <w:r w:rsidRPr="00A945B9">
        <w:rPr>
          <w:rFonts w:ascii="Arial" w:eastAsia="Calibri" w:hAnsi="Arial" w:cs="Arial"/>
          <w:sz w:val="22"/>
          <w:vertAlign w:val="superscript"/>
        </w:rPr>
        <w:footnoteReference w:id="31"/>
      </w:r>
      <w:r w:rsidRPr="00A945B9">
        <w:rPr>
          <w:rFonts w:ascii="Arial" w:eastAsia="Calibri" w:hAnsi="Arial" w:cs="Arial"/>
          <w:sz w:val="22"/>
        </w:rPr>
        <w:t>.</w:t>
      </w:r>
      <w:r w:rsidR="00AF0221" w:rsidRPr="00A945B9">
        <w:rPr>
          <w:rFonts w:ascii="Arial" w:eastAsia="Calibri" w:hAnsi="Arial" w:cs="Arial"/>
          <w:sz w:val="22"/>
        </w:rPr>
        <w:t xml:space="preserve"> </w:t>
      </w:r>
      <w:bookmarkStart w:id="12" w:name="_Hlk120488188"/>
    </w:p>
    <w:p w14:paraId="7CCE7ABF" w14:textId="19E356B2" w:rsidR="00150489" w:rsidRPr="00A945B9" w:rsidRDefault="0040683F" w:rsidP="005E02D9">
      <w:pPr>
        <w:spacing w:after="120" w:line="276" w:lineRule="auto"/>
        <w:ind w:firstLine="708"/>
        <w:jc w:val="both"/>
        <w:rPr>
          <w:rFonts w:ascii="Arial" w:eastAsia="Calibri" w:hAnsi="Arial" w:cs="Arial"/>
          <w:sz w:val="22"/>
        </w:rPr>
      </w:pPr>
      <w:r w:rsidRPr="005E02D9">
        <w:rPr>
          <w:rFonts w:ascii="Arial" w:eastAsia="Calibri" w:hAnsi="Arial" w:cs="Arial"/>
          <w:sz w:val="22"/>
        </w:rPr>
        <w:t xml:space="preserve">Adicionalmente, </w:t>
      </w:r>
      <w:r w:rsidR="00194743" w:rsidRPr="005E02D9">
        <w:rPr>
          <w:rFonts w:ascii="Arial" w:eastAsia="Calibri" w:hAnsi="Arial" w:cs="Arial"/>
          <w:sz w:val="22"/>
          <w:szCs w:val="22"/>
        </w:rPr>
        <w:t xml:space="preserve">es importante </w:t>
      </w:r>
      <w:r w:rsidR="00020575" w:rsidRPr="005E02D9">
        <w:rPr>
          <w:rFonts w:ascii="Arial" w:eastAsia="Calibri" w:hAnsi="Arial" w:cs="Arial"/>
          <w:sz w:val="22"/>
          <w:szCs w:val="22"/>
        </w:rPr>
        <w:t>resaltar,</w:t>
      </w:r>
      <w:r w:rsidR="00194743" w:rsidRPr="005E02D9">
        <w:rPr>
          <w:rFonts w:ascii="Arial" w:eastAsia="Calibri" w:hAnsi="Arial" w:cs="Arial"/>
          <w:sz w:val="22"/>
          <w:szCs w:val="22"/>
        </w:rPr>
        <w:t xml:space="preserve"> según lo me</w:t>
      </w:r>
      <w:r w:rsidR="00954EF0" w:rsidRPr="005E02D9">
        <w:rPr>
          <w:rFonts w:ascii="Arial" w:eastAsia="Calibri" w:hAnsi="Arial" w:cs="Arial"/>
          <w:sz w:val="22"/>
          <w:szCs w:val="22"/>
        </w:rPr>
        <w:t>ncionado en la</w:t>
      </w:r>
      <w:r w:rsidR="00194743" w:rsidRPr="005E02D9">
        <w:rPr>
          <w:rFonts w:ascii="Arial" w:eastAsia="Calibri" w:hAnsi="Arial" w:cs="Arial"/>
          <w:sz w:val="22"/>
          <w:szCs w:val="22"/>
        </w:rPr>
        <w:t xml:space="preserve"> </w:t>
      </w:r>
      <w:r w:rsidR="00954EF0" w:rsidRPr="005E02D9">
        <w:rPr>
          <w:rFonts w:ascii="Arial" w:eastAsia="Calibri" w:hAnsi="Arial" w:cs="Arial"/>
          <w:sz w:val="22"/>
          <w:szCs w:val="22"/>
        </w:rPr>
        <w:t>«</w:t>
      </w:r>
      <w:r w:rsidR="00194743" w:rsidRPr="005E02D9">
        <w:rPr>
          <w:rFonts w:ascii="Arial" w:eastAsia="Calibri" w:hAnsi="Arial" w:cs="Arial"/>
          <w:sz w:val="22"/>
          <w:szCs w:val="22"/>
        </w:rPr>
        <w:t>Guía para el ejercicio de las funciones de supervisión e interventoría de los contratos del Estado»</w:t>
      </w:r>
      <w:r w:rsidR="00020575" w:rsidRPr="005E02D9">
        <w:rPr>
          <w:rFonts w:ascii="Arial" w:eastAsia="Calibri" w:hAnsi="Arial" w:cs="Arial"/>
          <w:sz w:val="22"/>
          <w:szCs w:val="22"/>
        </w:rPr>
        <w:t>,</w:t>
      </w:r>
      <w:r w:rsidR="00194743" w:rsidRPr="005E02D9">
        <w:rPr>
          <w:rFonts w:ascii="Arial" w:eastAsia="Calibri" w:hAnsi="Arial" w:cs="Arial"/>
          <w:sz w:val="22"/>
          <w:szCs w:val="22"/>
        </w:rPr>
        <w:t xml:space="preserve"> que </w:t>
      </w:r>
      <w:r w:rsidR="00020575" w:rsidRPr="005E02D9">
        <w:rPr>
          <w:rFonts w:ascii="Arial" w:eastAsia="Calibri" w:hAnsi="Arial" w:cs="Arial"/>
          <w:sz w:val="22"/>
          <w:szCs w:val="22"/>
        </w:rPr>
        <w:t xml:space="preserve">para </w:t>
      </w:r>
      <w:r w:rsidR="00954EF0" w:rsidRPr="005E02D9">
        <w:rPr>
          <w:rFonts w:ascii="Arial" w:eastAsia="Calibri" w:hAnsi="Arial" w:cs="Arial"/>
          <w:sz w:val="22"/>
          <w:szCs w:val="22"/>
        </w:rPr>
        <w:t xml:space="preserve">la designación del supervisor del contrato no </w:t>
      </w:r>
      <w:r w:rsidR="00020575" w:rsidRPr="005E02D9">
        <w:rPr>
          <w:rFonts w:ascii="Arial" w:eastAsia="Calibri" w:hAnsi="Arial" w:cs="Arial"/>
          <w:sz w:val="22"/>
          <w:szCs w:val="22"/>
        </w:rPr>
        <w:t xml:space="preserve">se </w:t>
      </w:r>
      <w:r w:rsidR="00954EF0" w:rsidRPr="005E02D9">
        <w:rPr>
          <w:rFonts w:ascii="Arial" w:eastAsia="Calibri" w:hAnsi="Arial" w:cs="Arial"/>
          <w:sz w:val="22"/>
          <w:szCs w:val="22"/>
        </w:rPr>
        <w:t xml:space="preserve">requiere que </w:t>
      </w:r>
      <w:r w:rsidR="00020575" w:rsidRPr="005E02D9">
        <w:rPr>
          <w:rFonts w:ascii="Arial" w:eastAsia="Calibri" w:hAnsi="Arial" w:cs="Arial"/>
          <w:sz w:val="22"/>
          <w:szCs w:val="22"/>
        </w:rPr>
        <w:t xml:space="preserve">en </w:t>
      </w:r>
      <w:r w:rsidR="00954EF0" w:rsidRPr="005E02D9">
        <w:rPr>
          <w:rFonts w:ascii="Arial" w:eastAsia="Calibri" w:hAnsi="Arial" w:cs="Arial"/>
          <w:sz w:val="22"/>
          <w:szCs w:val="22"/>
        </w:rPr>
        <w:t xml:space="preserve">el manual de funciones de las </w:t>
      </w:r>
      <w:r w:rsidR="00AA7707" w:rsidRPr="005E02D9">
        <w:rPr>
          <w:rFonts w:ascii="Arial" w:eastAsia="Calibri" w:hAnsi="Arial" w:cs="Arial"/>
          <w:sz w:val="22"/>
          <w:szCs w:val="22"/>
        </w:rPr>
        <w:t xml:space="preserve">entidad estatal </w:t>
      </w:r>
      <w:r w:rsidR="00020575" w:rsidRPr="005E02D9">
        <w:rPr>
          <w:rFonts w:ascii="Arial" w:eastAsia="Calibri" w:hAnsi="Arial" w:cs="Arial"/>
          <w:sz w:val="22"/>
          <w:szCs w:val="22"/>
        </w:rPr>
        <w:t xml:space="preserve">se </w:t>
      </w:r>
      <w:r w:rsidR="00954EF0" w:rsidRPr="005E02D9">
        <w:rPr>
          <w:rFonts w:ascii="Arial" w:eastAsia="Calibri" w:hAnsi="Arial" w:cs="Arial"/>
          <w:sz w:val="22"/>
          <w:szCs w:val="22"/>
        </w:rPr>
        <w:t xml:space="preserve">establezca expresamente la </w:t>
      </w:r>
      <w:r w:rsidR="0021482B" w:rsidRPr="005E02D9">
        <w:rPr>
          <w:rFonts w:ascii="Arial" w:eastAsia="Calibri" w:hAnsi="Arial" w:cs="Arial"/>
          <w:sz w:val="22"/>
          <w:szCs w:val="22"/>
        </w:rPr>
        <w:t>obligación</w:t>
      </w:r>
      <w:r w:rsidR="00954EF0" w:rsidRPr="005E02D9">
        <w:rPr>
          <w:rFonts w:ascii="Arial" w:eastAsia="Calibri" w:hAnsi="Arial" w:cs="Arial"/>
          <w:sz w:val="22"/>
          <w:szCs w:val="22"/>
        </w:rPr>
        <w:t xml:space="preserve"> de supervisar contratos, pues la misma es inherente al desempeño de las funciones ordinarias de los servidores públicos.</w:t>
      </w:r>
      <w:bookmarkEnd w:id="12"/>
    </w:p>
    <w:p w14:paraId="4342292E" w14:textId="5C1A0801" w:rsidR="00AD61BA" w:rsidRPr="00A945B9" w:rsidRDefault="00343219" w:rsidP="003B6B9C">
      <w:pPr>
        <w:spacing w:line="276" w:lineRule="auto"/>
        <w:ind w:firstLine="709"/>
        <w:jc w:val="both"/>
        <w:rPr>
          <w:rFonts w:ascii="Arial" w:eastAsia="Calibri" w:hAnsi="Arial" w:cs="Arial"/>
          <w:sz w:val="22"/>
          <w:szCs w:val="22"/>
        </w:rPr>
      </w:pPr>
      <w:r w:rsidRPr="005E02D9">
        <w:rPr>
          <w:rFonts w:ascii="Arial" w:eastAsia="Calibri" w:hAnsi="Arial" w:cs="Arial"/>
          <w:sz w:val="22"/>
        </w:rPr>
        <w:t xml:space="preserve">En </w:t>
      </w:r>
      <w:r w:rsidR="000F6039" w:rsidRPr="005E02D9">
        <w:rPr>
          <w:rFonts w:ascii="Arial" w:eastAsia="Calibri" w:hAnsi="Arial" w:cs="Arial"/>
          <w:sz w:val="22"/>
        </w:rPr>
        <w:t>cuanto a la vigilancia de la ejecución de contratos de prestación de servicios</w:t>
      </w:r>
      <w:r w:rsidR="00B447F1" w:rsidRPr="005E02D9">
        <w:rPr>
          <w:rFonts w:ascii="Arial" w:eastAsia="Calibri" w:hAnsi="Arial" w:cs="Arial"/>
          <w:sz w:val="22"/>
        </w:rPr>
        <w:t xml:space="preserve"> debe advertirse que</w:t>
      </w:r>
      <w:r w:rsidR="00937649" w:rsidRPr="005E02D9">
        <w:rPr>
          <w:rFonts w:ascii="Arial" w:eastAsia="Calibri" w:hAnsi="Arial" w:cs="Arial"/>
          <w:sz w:val="22"/>
        </w:rPr>
        <w:t>, ni</w:t>
      </w:r>
      <w:r w:rsidR="00B447F1" w:rsidRPr="005E02D9">
        <w:rPr>
          <w:rFonts w:ascii="Arial" w:eastAsia="Calibri" w:hAnsi="Arial" w:cs="Arial"/>
          <w:sz w:val="22"/>
        </w:rPr>
        <w:t xml:space="preserve"> en la </w:t>
      </w:r>
      <w:r w:rsidR="00B447F1" w:rsidRPr="005E02D9">
        <w:rPr>
          <w:rFonts w:ascii="Arial" w:eastAsia="Calibri" w:hAnsi="Arial" w:cs="Arial"/>
          <w:sz w:val="22"/>
          <w:szCs w:val="22"/>
        </w:rPr>
        <w:t xml:space="preserve">«Guía para el ejercicio de las funciones de supervisión e interventoría de los contratos del Estado», ni en los demás instrumentos expedidos por esta Agencia de conformidad con las </w:t>
      </w:r>
      <w:r w:rsidR="00792ADE" w:rsidRPr="005E02D9">
        <w:rPr>
          <w:rFonts w:ascii="Arial" w:eastAsia="Calibri" w:hAnsi="Arial" w:cs="Arial"/>
          <w:sz w:val="22"/>
          <w:szCs w:val="22"/>
        </w:rPr>
        <w:t xml:space="preserve">funciones atribuidas </w:t>
      </w:r>
      <w:r w:rsidR="00937649" w:rsidRPr="005E02D9">
        <w:rPr>
          <w:rFonts w:ascii="Arial" w:eastAsia="Calibri" w:hAnsi="Arial" w:cs="Arial"/>
          <w:sz w:val="22"/>
          <w:szCs w:val="22"/>
        </w:rPr>
        <w:t xml:space="preserve">por el Decreto 4170 de 2011, </w:t>
      </w:r>
      <w:r w:rsidR="00792ADE" w:rsidRPr="005E02D9">
        <w:rPr>
          <w:rFonts w:ascii="Arial" w:eastAsia="Calibri" w:hAnsi="Arial" w:cs="Arial"/>
          <w:sz w:val="22"/>
          <w:szCs w:val="22"/>
        </w:rPr>
        <w:t>se establece</w:t>
      </w:r>
      <w:r w:rsidR="00937649" w:rsidRPr="005E02D9">
        <w:rPr>
          <w:rFonts w:ascii="Arial" w:eastAsia="Calibri" w:hAnsi="Arial" w:cs="Arial"/>
          <w:sz w:val="22"/>
          <w:szCs w:val="22"/>
        </w:rPr>
        <w:t xml:space="preserve">n </w:t>
      </w:r>
      <w:r w:rsidR="00792ADE" w:rsidRPr="005E02D9">
        <w:rPr>
          <w:rFonts w:ascii="Arial" w:eastAsia="Calibri" w:hAnsi="Arial" w:cs="Arial"/>
          <w:sz w:val="22"/>
          <w:szCs w:val="22"/>
        </w:rPr>
        <w:t>lineamiento</w:t>
      </w:r>
      <w:r w:rsidR="00937649" w:rsidRPr="005E02D9">
        <w:rPr>
          <w:rFonts w:ascii="Arial" w:eastAsia="Calibri" w:hAnsi="Arial" w:cs="Arial"/>
          <w:sz w:val="22"/>
          <w:szCs w:val="22"/>
        </w:rPr>
        <w:t>s</w:t>
      </w:r>
      <w:r w:rsidR="00792ADE" w:rsidRPr="005E02D9">
        <w:rPr>
          <w:rFonts w:ascii="Arial" w:eastAsia="Calibri" w:hAnsi="Arial" w:cs="Arial"/>
          <w:sz w:val="22"/>
          <w:szCs w:val="22"/>
        </w:rPr>
        <w:t xml:space="preserve"> </w:t>
      </w:r>
      <w:r w:rsidR="00937649" w:rsidRPr="005E02D9">
        <w:rPr>
          <w:rFonts w:ascii="Arial" w:eastAsia="Calibri" w:hAnsi="Arial" w:cs="Arial"/>
          <w:sz w:val="22"/>
          <w:szCs w:val="22"/>
        </w:rPr>
        <w:t xml:space="preserve">específicos </w:t>
      </w:r>
      <w:r w:rsidR="00AD6EFF" w:rsidRPr="005E02D9">
        <w:rPr>
          <w:rFonts w:ascii="Arial" w:eastAsia="Calibri" w:hAnsi="Arial" w:cs="Arial"/>
          <w:sz w:val="22"/>
          <w:szCs w:val="22"/>
        </w:rPr>
        <w:t>aplicables en estos contratos. Sin embargo, en la mencionada gu</w:t>
      </w:r>
      <w:r w:rsidR="007674B3" w:rsidRPr="005E02D9">
        <w:rPr>
          <w:rFonts w:ascii="Arial" w:eastAsia="Calibri" w:hAnsi="Arial" w:cs="Arial"/>
          <w:sz w:val="22"/>
          <w:szCs w:val="22"/>
        </w:rPr>
        <w:t xml:space="preserve">ía </w:t>
      </w:r>
      <w:r w:rsidR="0021482B" w:rsidRPr="005E02D9">
        <w:rPr>
          <w:rFonts w:ascii="Arial" w:eastAsia="Calibri" w:hAnsi="Arial" w:cs="Arial"/>
          <w:sz w:val="22"/>
          <w:szCs w:val="22"/>
        </w:rPr>
        <w:t xml:space="preserve">se señala </w:t>
      </w:r>
      <w:r w:rsidR="007674B3" w:rsidRPr="005E02D9">
        <w:rPr>
          <w:rFonts w:ascii="Arial" w:eastAsia="Calibri" w:hAnsi="Arial" w:cs="Arial"/>
          <w:sz w:val="22"/>
          <w:szCs w:val="22"/>
        </w:rPr>
        <w:t xml:space="preserve">que </w:t>
      </w:r>
      <w:r w:rsidR="00101002" w:rsidRPr="005E02D9">
        <w:rPr>
          <w:rFonts w:ascii="Arial" w:eastAsia="Calibri" w:hAnsi="Arial" w:cs="Arial"/>
          <w:sz w:val="22"/>
        </w:rPr>
        <w:t>tanto</w:t>
      </w:r>
      <w:r w:rsidR="004C407D" w:rsidRPr="005E02D9">
        <w:rPr>
          <w:rFonts w:ascii="Arial" w:eastAsia="Calibri" w:hAnsi="Arial" w:cs="Arial"/>
          <w:sz w:val="22"/>
        </w:rPr>
        <w:t xml:space="preserve"> supervisores e interventores tienen la función general de ejercer el control y vigilancia sobre la ejecución</w:t>
      </w:r>
      <w:r w:rsidR="00101002" w:rsidRPr="005E02D9">
        <w:rPr>
          <w:rFonts w:ascii="Arial" w:eastAsia="Calibri" w:hAnsi="Arial" w:cs="Arial"/>
          <w:sz w:val="22"/>
        </w:rPr>
        <w:t xml:space="preserve"> </w:t>
      </w:r>
      <w:r w:rsidR="004C407D" w:rsidRPr="005E02D9">
        <w:rPr>
          <w:rFonts w:ascii="Arial" w:eastAsia="Calibri" w:hAnsi="Arial" w:cs="Arial"/>
          <w:sz w:val="22"/>
        </w:rPr>
        <w:t xml:space="preserve">contractual de los contratos </w:t>
      </w:r>
      <w:r w:rsidR="0021482B" w:rsidRPr="005E02D9">
        <w:rPr>
          <w:rFonts w:ascii="Arial" w:eastAsia="Calibri" w:hAnsi="Arial" w:cs="Arial"/>
          <w:sz w:val="22"/>
        </w:rPr>
        <w:t>respecto de los cuales ejercen sus corre</w:t>
      </w:r>
      <w:r w:rsidR="00AE0814" w:rsidRPr="005E02D9">
        <w:rPr>
          <w:rFonts w:ascii="Arial" w:eastAsia="Calibri" w:hAnsi="Arial" w:cs="Arial"/>
          <w:sz w:val="22"/>
        </w:rPr>
        <w:t>s</w:t>
      </w:r>
      <w:r w:rsidR="0021482B" w:rsidRPr="005E02D9">
        <w:rPr>
          <w:rFonts w:ascii="Arial" w:eastAsia="Calibri" w:hAnsi="Arial" w:cs="Arial"/>
          <w:sz w:val="22"/>
        </w:rPr>
        <w:t>pondientes obligaciones</w:t>
      </w:r>
      <w:r w:rsidR="00101002" w:rsidRPr="005E02D9">
        <w:rPr>
          <w:rFonts w:ascii="Arial" w:eastAsia="Calibri" w:hAnsi="Arial" w:cs="Arial"/>
          <w:sz w:val="22"/>
        </w:rPr>
        <w:t>. Dicha labor debe ir</w:t>
      </w:r>
      <w:r w:rsidR="004C407D" w:rsidRPr="005E02D9">
        <w:rPr>
          <w:rFonts w:ascii="Arial" w:eastAsia="Calibri" w:hAnsi="Arial" w:cs="Arial"/>
          <w:sz w:val="22"/>
        </w:rPr>
        <w:t xml:space="preserve"> dirigida a verificar el cumplimiento de las condiciones pactadas</w:t>
      </w:r>
      <w:r w:rsidR="00101002" w:rsidRPr="005E02D9">
        <w:rPr>
          <w:rFonts w:ascii="Arial" w:eastAsia="Calibri" w:hAnsi="Arial" w:cs="Arial"/>
          <w:sz w:val="22"/>
        </w:rPr>
        <w:t xml:space="preserve">, </w:t>
      </w:r>
      <w:r w:rsidR="00AD61BA" w:rsidRPr="005E02D9">
        <w:rPr>
          <w:rFonts w:ascii="Arial" w:eastAsia="Calibri" w:hAnsi="Arial" w:cs="Arial"/>
          <w:sz w:val="22"/>
        </w:rPr>
        <w:t>por lo que</w:t>
      </w:r>
      <w:r w:rsidR="004C407D" w:rsidRPr="005E02D9">
        <w:rPr>
          <w:rFonts w:ascii="Arial" w:eastAsia="Calibri" w:hAnsi="Arial" w:cs="Arial"/>
          <w:sz w:val="22"/>
        </w:rPr>
        <w:t xml:space="preserve"> están facultados para solicitar informes, aclaraciones y explicaciones</w:t>
      </w:r>
      <w:r w:rsidR="00AD61BA" w:rsidRPr="005E02D9">
        <w:rPr>
          <w:rFonts w:ascii="Arial" w:eastAsia="Calibri" w:hAnsi="Arial" w:cs="Arial"/>
          <w:sz w:val="22"/>
        </w:rPr>
        <w:t xml:space="preserve"> </w:t>
      </w:r>
      <w:r w:rsidR="004C407D" w:rsidRPr="005E02D9">
        <w:rPr>
          <w:rFonts w:ascii="Arial" w:eastAsia="Calibri" w:hAnsi="Arial" w:cs="Arial"/>
          <w:sz w:val="22"/>
        </w:rPr>
        <w:t>sobre el desarrollo de la ejecución contractual, impartir instrucciones al contratista y hacer recomendaciones</w:t>
      </w:r>
      <w:r w:rsidR="00AD61BA" w:rsidRPr="005E02D9">
        <w:rPr>
          <w:rFonts w:ascii="Arial" w:eastAsia="Calibri" w:hAnsi="Arial" w:cs="Arial"/>
          <w:sz w:val="22"/>
        </w:rPr>
        <w:t xml:space="preserve"> </w:t>
      </w:r>
      <w:r w:rsidR="004C407D" w:rsidRPr="005E02D9">
        <w:rPr>
          <w:rFonts w:ascii="Arial" w:eastAsia="Calibri" w:hAnsi="Arial" w:cs="Arial"/>
          <w:sz w:val="22"/>
        </w:rPr>
        <w:t>encaminadas a lograr la correcta ejecución del objeto contratado.</w:t>
      </w:r>
      <w:r w:rsidR="004C407D" w:rsidRPr="00A945B9">
        <w:rPr>
          <w:rFonts w:ascii="Arial" w:eastAsia="Calibri" w:hAnsi="Arial" w:cs="Arial"/>
          <w:sz w:val="22"/>
        </w:rPr>
        <w:t xml:space="preserve"> </w:t>
      </w:r>
      <w:r w:rsidR="00AD61BA" w:rsidRPr="00A945B9">
        <w:rPr>
          <w:rFonts w:ascii="Arial" w:eastAsia="Calibri" w:hAnsi="Arial" w:cs="Arial"/>
          <w:sz w:val="22"/>
        </w:rPr>
        <w:t xml:space="preserve">De hecho, conforme a lo manifestado por esta Agencia en la </w:t>
      </w:r>
      <w:r w:rsidR="001014AC">
        <w:rPr>
          <w:rFonts w:ascii="Arial" w:eastAsia="Calibri" w:hAnsi="Arial" w:cs="Arial"/>
          <w:sz w:val="22"/>
        </w:rPr>
        <w:t xml:space="preserve">mencionada </w:t>
      </w:r>
      <w:r w:rsidR="00AD61BA" w:rsidRPr="005C1BFA">
        <w:rPr>
          <w:rFonts w:ascii="Arial" w:eastAsia="Calibri" w:hAnsi="Arial" w:cs="Arial"/>
          <w:sz w:val="22"/>
          <w:szCs w:val="22"/>
        </w:rPr>
        <w:t>Guía</w:t>
      </w:r>
      <w:r w:rsidR="00517C85" w:rsidRPr="00A945B9">
        <w:rPr>
          <w:rFonts w:ascii="Arial" w:eastAsia="Calibri" w:hAnsi="Arial" w:cs="Arial"/>
          <w:sz w:val="20"/>
          <w:szCs w:val="20"/>
        </w:rPr>
        <w:t>,</w:t>
      </w:r>
      <w:r w:rsidR="00517C85" w:rsidRPr="00A945B9">
        <w:rPr>
          <w:rFonts w:ascii="Arial" w:eastAsia="Calibri" w:hAnsi="Arial" w:cs="Arial"/>
          <w:sz w:val="22"/>
          <w:szCs w:val="22"/>
        </w:rPr>
        <w:t xml:space="preserve"> los supervisor</w:t>
      </w:r>
      <w:r w:rsidR="00EF076A" w:rsidRPr="00A945B9">
        <w:rPr>
          <w:rFonts w:ascii="Arial" w:eastAsia="Calibri" w:hAnsi="Arial" w:cs="Arial"/>
          <w:sz w:val="22"/>
          <w:szCs w:val="22"/>
        </w:rPr>
        <w:t>es</w:t>
      </w:r>
      <w:r w:rsidR="00517C85" w:rsidRPr="00A945B9">
        <w:rPr>
          <w:rFonts w:ascii="Arial" w:eastAsia="Calibri" w:hAnsi="Arial" w:cs="Arial"/>
          <w:sz w:val="22"/>
          <w:szCs w:val="22"/>
        </w:rPr>
        <w:t xml:space="preserve"> e intervenciones </w:t>
      </w:r>
      <w:r w:rsidR="00B1585A" w:rsidRPr="00A945B9">
        <w:rPr>
          <w:rFonts w:ascii="Arial" w:eastAsia="Calibri" w:hAnsi="Arial" w:cs="Arial"/>
          <w:sz w:val="22"/>
          <w:szCs w:val="22"/>
        </w:rPr>
        <w:t xml:space="preserve">tienen funciones generales como: </w:t>
      </w:r>
    </w:p>
    <w:p w14:paraId="743C0761" w14:textId="77777777" w:rsidR="00EF076A" w:rsidRPr="00A945B9" w:rsidRDefault="00EF076A" w:rsidP="00B47043">
      <w:pPr>
        <w:ind w:firstLine="709"/>
        <w:jc w:val="both"/>
        <w:rPr>
          <w:rFonts w:ascii="Arial" w:eastAsia="Calibri" w:hAnsi="Arial" w:cs="Arial"/>
          <w:sz w:val="22"/>
          <w:szCs w:val="22"/>
        </w:rPr>
      </w:pPr>
    </w:p>
    <w:p w14:paraId="1FDA8BF5" w14:textId="77777777" w:rsidR="00B1585A" w:rsidRPr="00A945B9" w:rsidRDefault="00B1585A" w:rsidP="001014AC">
      <w:pPr>
        <w:ind w:left="709" w:right="709"/>
        <w:jc w:val="both"/>
        <w:rPr>
          <w:rFonts w:ascii="Arial" w:hAnsi="Arial" w:cs="Arial"/>
          <w:sz w:val="21"/>
          <w:szCs w:val="21"/>
        </w:rPr>
      </w:pPr>
      <w:r w:rsidRPr="00A945B9">
        <w:rPr>
          <w:rFonts w:ascii="Arial" w:hAnsi="Arial" w:cs="Arial"/>
          <w:sz w:val="21"/>
          <w:szCs w:val="21"/>
        </w:rPr>
        <w:t xml:space="preserve">• Apoyar el logro de los objetivos contractuales. </w:t>
      </w:r>
    </w:p>
    <w:p w14:paraId="474E1DFD" w14:textId="77777777" w:rsidR="005D6C3C" w:rsidRPr="00A945B9" w:rsidRDefault="005D6C3C" w:rsidP="001014AC">
      <w:pPr>
        <w:ind w:left="709" w:right="709"/>
        <w:jc w:val="both"/>
        <w:rPr>
          <w:rFonts w:ascii="Arial" w:hAnsi="Arial" w:cs="Arial"/>
          <w:sz w:val="21"/>
          <w:szCs w:val="21"/>
        </w:rPr>
      </w:pPr>
    </w:p>
    <w:p w14:paraId="7B03011F" w14:textId="66E3AC19" w:rsidR="00B1585A" w:rsidRPr="00A945B9" w:rsidRDefault="00B1585A" w:rsidP="001014AC">
      <w:pPr>
        <w:ind w:left="709" w:right="709"/>
        <w:jc w:val="both"/>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Velar por el cumplimiento del contrato en términos de plazos, calidades, cantidades y adecuada ejecución de los recursos del contrato.</w:t>
      </w:r>
      <w:r w:rsidRPr="00A945B9">
        <w:rPr>
          <w:rFonts w:ascii="Arial" w:hAnsi="Arial" w:cs="Arial"/>
          <w:sz w:val="21"/>
          <w:szCs w:val="21"/>
        </w:rPr>
        <w:t xml:space="preserve"> </w:t>
      </w:r>
    </w:p>
    <w:p w14:paraId="4CB60251" w14:textId="77777777" w:rsidR="005D6C3C" w:rsidRPr="00A945B9" w:rsidRDefault="005D6C3C" w:rsidP="001014AC">
      <w:pPr>
        <w:ind w:left="709" w:right="709"/>
        <w:jc w:val="both"/>
        <w:rPr>
          <w:rFonts w:ascii="Arial" w:hAnsi="Arial" w:cs="Arial"/>
          <w:sz w:val="21"/>
          <w:szCs w:val="21"/>
        </w:rPr>
      </w:pPr>
    </w:p>
    <w:p w14:paraId="73C9DA4A" w14:textId="60F5B1E2" w:rsidR="00B1585A" w:rsidRPr="00A945B9" w:rsidRDefault="00B1585A" w:rsidP="001014AC">
      <w:pPr>
        <w:ind w:left="709" w:right="709"/>
        <w:jc w:val="both"/>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Mantener en contacto a las partes del contrato.</w:t>
      </w:r>
      <w:r w:rsidRPr="00A945B9">
        <w:rPr>
          <w:rFonts w:ascii="Arial" w:hAnsi="Arial" w:cs="Arial"/>
          <w:sz w:val="21"/>
          <w:szCs w:val="21"/>
        </w:rPr>
        <w:t xml:space="preserve"> </w:t>
      </w:r>
    </w:p>
    <w:p w14:paraId="2729EE49" w14:textId="77777777" w:rsidR="005D6C3C" w:rsidRPr="00A945B9" w:rsidRDefault="005D6C3C" w:rsidP="001014AC">
      <w:pPr>
        <w:ind w:left="709" w:right="709"/>
        <w:jc w:val="both"/>
        <w:rPr>
          <w:rFonts w:ascii="Arial" w:hAnsi="Arial" w:cs="Arial"/>
          <w:sz w:val="21"/>
          <w:szCs w:val="21"/>
        </w:rPr>
      </w:pPr>
    </w:p>
    <w:p w14:paraId="1774801C" w14:textId="3A13DD9F" w:rsidR="00B1585A" w:rsidRPr="00A945B9" w:rsidRDefault="00B1585A" w:rsidP="001014AC">
      <w:pPr>
        <w:ind w:left="709" w:right="709"/>
        <w:jc w:val="both"/>
        <w:rPr>
          <w:rFonts w:ascii="Arial" w:hAnsi="Arial" w:cs="Arial"/>
          <w:sz w:val="21"/>
          <w:szCs w:val="21"/>
        </w:rPr>
      </w:pPr>
      <w:r w:rsidRPr="00A945B9">
        <w:rPr>
          <w:rFonts w:ascii="Arial" w:hAnsi="Arial" w:cs="Arial"/>
          <w:sz w:val="21"/>
          <w:szCs w:val="21"/>
        </w:rPr>
        <w:t xml:space="preserve">• Evitar la generación de controversias y propender por su rápida solución. </w:t>
      </w:r>
    </w:p>
    <w:p w14:paraId="3E197819" w14:textId="77777777" w:rsidR="005D6C3C" w:rsidRPr="00A945B9" w:rsidRDefault="005D6C3C" w:rsidP="001014AC">
      <w:pPr>
        <w:ind w:left="709" w:right="709"/>
        <w:jc w:val="both"/>
        <w:rPr>
          <w:rFonts w:ascii="Arial" w:hAnsi="Arial" w:cs="Arial"/>
          <w:sz w:val="21"/>
          <w:szCs w:val="21"/>
        </w:rPr>
      </w:pPr>
    </w:p>
    <w:p w14:paraId="762594CB" w14:textId="1AFB8491" w:rsidR="00B1585A" w:rsidRPr="00A945B9" w:rsidRDefault="00B1585A" w:rsidP="001014AC">
      <w:pPr>
        <w:ind w:left="709" w:right="709"/>
        <w:jc w:val="both"/>
        <w:rPr>
          <w:rFonts w:ascii="Arial" w:eastAsia="Calibri" w:hAnsi="Arial" w:cs="Arial"/>
          <w:sz w:val="21"/>
          <w:szCs w:val="21"/>
        </w:rPr>
      </w:pPr>
      <w:r w:rsidRPr="00A945B9">
        <w:rPr>
          <w:rFonts w:ascii="Arial" w:hAnsi="Arial" w:cs="Arial"/>
          <w:sz w:val="21"/>
          <w:szCs w:val="21"/>
        </w:rPr>
        <w:t>• Solicitar informes, llevar a cabo reuniones, integrar comités y desarrollar otras herramientas encaminadas a verificar la adecuada ejecución del contrato.</w:t>
      </w:r>
    </w:p>
    <w:p w14:paraId="4ED7CDE3" w14:textId="77777777" w:rsidR="005D6C3C" w:rsidRPr="00A945B9" w:rsidRDefault="005D6C3C" w:rsidP="005E02D9">
      <w:pPr>
        <w:ind w:left="709" w:right="709"/>
        <w:jc w:val="both"/>
        <w:rPr>
          <w:rFonts w:ascii="Arial" w:hAnsi="Arial" w:cs="Arial"/>
          <w:sz w:val="21"/>
          <w:szCs w:val="21"/>
        </w:rPr>
      </w:pPr>
    </w:p>
    <w:p w14:paraId="774C2D75" w14:textId="779FF71B" w:rsidR="00730D2C" w:rsidRPr="00A945B9" w:rsidRDefault="00730D2C" w:rsidP="005E02D9">
      <w:pPr>
        <w:ind w:left="709" w:right="709"/>
        <w:jc w:val="both"/>
        <w:rPr>
          <w:rFonts w:ascii="Arial" w:hAnsi="Arial" w:cs="Arial"/>
          <w:sz w:val="21"/>
          <w:szCs w:val="21"/>
        </w:rPr>
      </w:pPr>
      <w:r w:rsidRPr="00A945B9">
        <w:rPr>
          <w:rFonts w:ascii="Arial" w:hAnsi="Arial" w:cs="Arial"/>
          <w:sz w:val="21"/>
          <w:szCs w:val="21"/>
        </w:rPr>
        <w:t xml:space="preserve">• Llevar a cabo las labores de monitoreo y control de riesgos que se le asignen, en coordinación con el área responsable de cada riesgo incluido en el mapa correspondiente, así como la identificación y tratamiento de los riesgos que puedan surgir durante las diversas etapas del contrato. </w:t>
      </w:r>
    </w:p>
    <w:p w14:paraId="470896E6" w14:textId="77777777" w:rsidR="005D6C3C" w:rsidRPr="00A945B9" w:rsidRDefault="005D6C3C" w:rsidP="005E02D9">
      <w:pPr>
        <w:ind w:left="709" w:right="709"/>
        <w:jc w:val="both"/>
        <w:rPr>
          <w:rFonts w:ascii="Arial" w:hAnsi="Arial" w:cs="Arial"/>
          <w:sz w:val="21"/>
          <w:szCs w:val="21"/>
        </w:rPr>
      </w:pPr>
    </w:p>
    <w:p w14:paraId="58EFB435" w14:textId="46EB2C20" w:rsidR="00730D2C" w:rsidRPr="00A945B9" w:rsidRDefault="00730D2C" w:rsidP="005E02D9">
      <w:pPr>
        <w:ind w:left="709" w:right="709"/>
        <w:jc w:val="both"/>
        <w:rPr>
          <w:rFonts w:ascii="Arial" w:hAnsi="Arial" w:cs="Arial"/>
          <w:sz w:val="21"/>
          <w:szCs w:val="21"/>
        </w:rPr>
      </w:pPr>
      <w:r w:rsidRPr="00A945B9">
        <w:rPr>
          <w:rFonts w:ascii="Arial" w:hAnsi="Arial" w:cs="Arial"/>
          <w:sz w:val="21"/>
          <w:szCs w:val="21"/>
        </w:rPr>
        <w:t xml:space="preserve">• </w:t>
      </w:r>
      <w:r w:rsidRPr="00A945B9">
        <w:rPr>
          <w:rFonts w:ascii="Arial" w:hAnsi="Arial" w:cs="Arial"/>
          <w:i/>
          <w:iCs/>
          <w:sz w:val="21"/>
          <w:szCs w:val="21"/>
        </w:rPr>
        <w:t>Aprobar o rechazar por escrito, de forma oportuna y motivada la entrega de los bienes o servicios, cuando éstos no se ajustan a lo requerido en el contrato, especificaciones técnicas, condiciones y/o calidades acordadas.</w:t>
      </w:r>
      <w:r w:rsidRPr="00A945B9">
        <w:rPr>
          <w:rFonts w:ascii="Arial" w:hAnsi="Arial" w:cs="Arial"/>
          <w:sz w:val="21"/>
          <w:szCs w:val="21"/>
        </w:rPr>
        <w:t xml:space="preserve"> </w:t>
      </w:r>
    </w:p>
    <w:p w14:paraId="3500E314" w14:textId="77777777" w:rsidR="005D6C3C" w:rsidRPr="00A945B9" w:rsidRDefault="005D6C3C" w:rsidP="005E02D9">
      <w:pPr>
        <w:ind w:left="709" w:right="709"/>
        <w:jc w:val="both"/>
        <w:rPr>
          <w:rFonts w:ascii="Arial" w:hAnsi="Arial" w:cs="Arial"/>
          <w:i/>
          <w:iCs/>
          <w:sz w:val="21"/>
          <w:szCs w:val="21"/>
        </w:rPr>
      </w:pPr>
    </w:p>
    <w:p w14:paraId="31BD3D63" w14:textId="6F193486" w:rsidR="00730D2C" w:rsidRPr="00A945B9" w:rsidRDefault="00730D2C" w:rsidP="005E02D9">
      <w:pPr>
        <w:ind w:left="709" w:right="709"/>
        <w:jc w:val="both"/>
        <w:rPr>
          <w:rFonts w:ascii="Arial" w:hAnsi="Arial" w:cs="Arial"/>
          <w:sz w:val="21"/>
          <w:szCs w:val="21"/>
        </w:rPr>
      </w:pPr>
      <w:r w:rsidRPr="00A945B9">
        <w:rPr>
          <w:rFonts w:ascii="Arial" w:hAnsi="Arial" w:cs="Arial"/>
          <w:i/>
          <w:iCs/>
          <w:sz w:val="21"/>
          <w:szCs w:val="21"/>
        </w:rPr>
        <w:t>• Suscribir las actas que se generen durante la ejecución del contrato para dejar documentadas diversas situaciones y entre las que se encuentran: actas de actas parciales de avance, actas parciales de recibo y actas de recibo final</w:t>
      </w:r>
      <w:r w:rsidRPr="00A945B9">
        <w:rPr>
          <w:rFonts w:ascii="Arial" w:hAnsi="Arial" w:cs="Arial"/>
          <w:sz w:val="21"/>
          <w:szCs w:val="21"/>
        </w:rPr>
        <w:t xml:space="preserve">. </w:t>
      </w:r>
    </w:p>
    <w:p w14:paraId="247649B0" w14:textId="77777777" w:rsidR="005D6C3C" w:rsidRPr="00A945B9" w:rsidRDefault="005D6C3C" w:rsidP="005E02D9">
      <w:pPr>
        <w:ind w:left="709" w:right="709"/>
        <w:jc w:val="both"/>
        <w:rPr>
          <w:rFonts w:ascii="Arial" w:hAnsi="Arial" w:cs="Arial"/>
          <w:sz w:val="21"/>
          <w:szCs w:val="21"/>
        </w:rPr>
      </w:pPr>
    </w:p>
    <w:p w14:paraId="6739E0D7" w14:textId="4DA74105" w:rsidR="00730D2C" w:rsidRPr="00A945B9" w:rsidRDefault="00730D2C" w:rsidP="005E02D9">
      <w:pPr>
        <w:ind w:left="709" w:right="709"/>
        <w:jc w:val="both"/>
        <w:rPr>
          <w:rFonts w:ascii="Arial" w:hAnsi="Arial" w:cs="Arial"/>
          <w:sz w:val="21"/>
          <w:szCs w:val="21"/>
        </w:rPr>
      </w:pPr>
      <w:r w:rsidRPr="00A945B9">
        <w:rPr>
          <w:rFonts w:ascii="Arial" w:hAnsi="Arial" w:cs="Arial"/>
          <w:sz w:val="21"/>
          <w:szCs w:val="21"/>
        </w:rPr>
        <w:t xml:space="preserve">• Informar a la Entidad Estatal de hechos o circunstancias que puedan constituir actos de corrupción tipificados como conductas punibles, o que pongan en riesgo el cumplimiento del contrato; así como entregar los soportes necesarios para que la Entidad Estatal desarrolle las actividades correspondientes. </w:t>
      </w:r>
    </w:p>
    <w:p w14:paraId="092EC7F9" w14:textId="77777777" w:rsidR="005D6C3C" w:rsidRPr="00A945B9" w:rsidRDefault="005D6C3C" w:rsidP="005E02D9">
      <w:pPr>
        <w:ind w:left="709" w:right="709"/>
        <w:jc w:val="both"/>
        <w:rPr>
          <w:rFonts w:ascii="Arial" w:hAnsi="Arial" w:cs="Arial"/>
          <w:sz w:val="21"/>
          <w:szCs w:val="21"/>
        </w:rPr>
      </w:pPr>
    </w:p>
    <w:p w14:paraId="5EFE29AA" w14:textId="5D50CD5C" w:rsidR="00B1585A" w:rsidRPr="00A945B9" w:rsidRDefault="00730D2C" w:rsidP="005E02D9">
      <w:pPr>
        <w:ind w:left="709" w:right="709"/>
        <w:jc w:val="both"/>
        <w:rPr>
          <w:rFonts w:ascii="Arial" w:eastAsia="Calibri" w:hAnsi="Arial" w:cs="Arial"/>
          <w:sz w:val="21"/>
          <w:szCs w:val="21"/>
        </w:rPr>
      </w:pPr>
      <w:r w:rsidRPr="00A945B9">
        <w:rPr>
          <w:rFonts w:ascii="Arial" w:hAnsi="Arial" w:cs="Arial"/>
          <w:sz w:val="21"/>
          <w:szCs w:val="21"/>
        </w:rPr>
        <w:t>• Informar a la Entidad Estatal cuando se presente incumplimiento contractual; así como</w:t>
      </w:r>
      <w:r w:rsidR="00CE47D9" w:rsidRPr="00A945B9">
        <w:rPr>
          <w:rFonts w:ascii="Arial" w:hAnsi="Arial" w:cs="Arial"/>
          <w:sz w:val="21"/>
          <w:szCs w:val="21"/>
        </w:rPr>
        <w:t xml:space="preserve"> entregar los soportes necesarios para que la Entidad Estatal desarrolle las actividades correspondientes</w:t>
      </w:r>
      <w:r w:rsidR="00427B95" w:rsidRPr="00A945B9">
        <w:rPr>
          <w:rFonts w:ascii="Arial" w:hAnsi="Arial" w:cs="Arial"/>
          <w:sz w:val="21"/>
          <w:szCs w:val="21"/>
        </w:rPr>
        <w:t xml:space="preserve">. (Énfasis fuera de texto). </w:t>
      </w:r>
    </w:p>
    <w:p w14:paraId="64161EBC" w14:textId="64B82D0C" w:rsidR="00343219" w:rsidRPr="00A945B9" w:rsidRDefault="00343219" w:rsidP="00150489">
      <w:pPr>
        <w:spacing w:line="276" w:lineRule="auto"/>
        <w:ind w:firstLine="708"/>
        <w:jc w:val="both"/>
        <w:rPr>
          <w:rFonts w:ascii="Arial" w:eastAsia="Calibri" w:hAnsi="Arial" w:cs="Arial"/>
          <w:sz w:val="22"/>
        </w:rPr>
      </w:pPr>
    </w:p>
    <w:p w14:paraId="54EE4F93" w14:textId="44309312" w:rsidR="00E56690" w:rsidRPr="00A945B9" w:rsidRDefault="00DB4DA3" w:rsidP="00E56690">
      <w:pPr>
        <w:spacing w:after="120" w:line="276" w:lineRule="auto"/>
        <w:ind w:firstLine="709"/>
        <w:jc w:val="both"/>
        <w:rPr>
          <w:rFonts w:ascii="Arial" w:eastAsia="Calibri" w:hAnsi="Arial" w:cs="Arial"/>
          <w:sz w:val="22"/>
        </w:rPr>
      </w:pPr>
      <w:r w:rsidRPr="00A945B9">
        <w:rPr>
          <w:rFonts w:ascii="Arial" w:eastAsia="Calibri" w:hAnsi="Arial" w:cs="Arial"/>
          <w:sz w:val="22"/>
        </w:rPr>
        <w:t xml:space="preserve">Según se desprende </w:t>
      </w:r>
      <w:r w:rsidR="00125960" w:rsidRPr="00A945B9">
        <w:rPr>
          <w:rFonts w:ascii="Arial" w:eastAsia="Calibri" w:hAnsi="Arial" w:cs="Arial"/>
          <w:sz w:val="22"/>
        </w:rPr>
        <w:t>del apartado en cita</w:t>
      </w:r>
      <w:r w:rsidR="005D614B" w:rsidRPr="00A945B9">
        <w:rPr>
          <w:rFonts w:ascii="Arial" w:eastAsia="Calibri" w:hAnsi="Arial" w:cs="Arial"/>
          <w:sz w:val="22"/>
        </w:rPr>
        <w:t xml:space="preserve">, </w:t>
      </w:r>
      <w:r w:rsidR="003B6B9C" w:rsidRPr="00A945B9">
        <w:rPr>
          <w:rFonts w:ascii="Arial" w:eastAsia="Calibri" w:hAnsi="Arial" w:cs="Arial"/>
          <w:sz w:val="22"/>
        </w:rPr>
        <w:t>el ejercicio de la vigilancia de la ejecución de</w:t>
      </w:r>
      <w:r w:rsidR="00A61E54" w:rsidRPr="00A945B9">
        <w:rPr>
          <w:rFonts w:ascii="Arial" w:eastAsia="Calibri" w:hAnsi="Arial" w:cs="Arial"/>
          <w:sz w:val="22"/>
        </w:rPr>
        <w:t xml:space="preserve">l contrato </w:t>
      </w:r>
      <w:r w:rsidR="00A944C2" w:rsidRPr="00A945B9">
        <w:rPr>
          <w:rFonts w:ascii="Arial" w:eastAsia="Calibri" w:hAnsi="Arial" w:cs="Arial"/>
          <w:sz w:val="22"/>
        </w:rPr>
        <w:t>estatal conlleva</w:t>
      </w:r>
      <w:r w:rsidR="00A61E54" w:rsidRPr="00A945B9">
        <w:rPr>
          <w:rFonts w:ascii="Arial" w:eastAsia="Calibri" w:hAnsi="Arial" w:cs="Arial"/>
          <w:sz w:val="22"/>
        </w:rPr>
        <w:t xml:space="preserve"> </w:t>
      </w:r>
      <w:r w:rsidR="006374BE" w:rsidRPr="00A945B9">
        <w:rPr>
          <w:rFonts w:ascii="Arial" w:eastAsia="Calibri" w:hAnsi="Arial" w:cs="Arial"/>
          <w:sz w:val="22"/>
        </w:rPr>
        <w:t xml:space="preserve">la tarea de velar por el cumplimiento de los plazos, calidades, cantidades y adecuada ejecución de los recursos del contrato. </w:t>
      </w:r>
      <w:r w:rsidR="00125960" w:rsidRPr="00A945B9">
        <w:rPr>
          <w:rFonts w:ascii="Arial" w:eastAsia="Calibri" w:hAnsi="Arial" w:cs="Arial"/>
          <w:sz w:val="22"/>
        </w:rPr>
        <w:t>Debido a</w:t>
      </w:r>
      <w:r w:rsidR="008D0D6E" w:rsidRPr="00A945B9">
        <w:rPr>
          <w:rFonts w:ascii="Arial" w:eastAsia="Calibri" w:hAnsi="Arial" w:cs="Arial"/>
          <w:sz w:val="22"/>
        </w:rPr>
        <w:t xml:space="preserve"> esto, </w:t>
      </w:r>
      <w:r w:rsidR="000E3BD4" w:rsidRPr="00A945B9">
        <w:rPr>
          <w:rFonts w:ascii="Arial" w:eastAsia="Calibri" w:hAnsi="Arial" w:cs="Arial"/>
          <w:sz w:val="22"/>
        </w:rPr>
        <w:t>es a los</w:t>
      </w:r>
      <w:r w:rsidR="008D0D6E" w:rsidRPr="00A945B9">
        <w:rPr>
          <w:rFonts w:ascii="Arial" w:eastAsia="Calibri" w:hAnsi="Arial" w:cs="Arial"/>
          <w:sz w:val="22"/>
        </w:rPr>
        <w:t xml:space="preserve"> supervisores</w:t>
      </w:r>
      <w:r w:rsidR="000E3BD4" w:rsidRPr="00A945B9">
        <w:rPr>
          <w:rFonts w:ascii="Arial" w:eastAsia="Calibri" w:hAnsi="Arial" w:cs="Arial"/>
          <w:sz w:val="22"/>
        </w:rPr>
        <w:t xml:space="preserve"> y/o interventores a quienes corresponde</w:t>
      </w:r>
      <w:r w:rsidR="00125960" w:rsidRPr="00A945B9">
        <w:rPr>
          <w:rFonts w:ascii="Arial" w:eastAsia="Calibri" w:hAnsi="Arial" w:cs="Arial"/>
          <w:sz w:val="22"/>
        </w:rPr>
        <w:t>,</w:t>
      </w:r>
      <w:r w:rsidR="000E3BD4" w:rsidRPr="00A945B9">
        <w:rPr>
          <w:rFonts w:ascii="Arial" w:eastAsia="Calibri" w:hAnsi="Arial" w:cs="Arial"/>
          <w:sz w:val="22"/>
        </w:rPr>
        <w:t xml:space="preserve"> en primera medida</w:t>
      </w:r>
      <w:r w:rsidR="00125960" w:rsidRPr="00A945B9">
        <w:rPr>
          <w:rFonts w:ascii="Arial" w:eastAsia="Calibri" w:hAnsi="Arial" w:cs="Arial"/>
          <w:sz w:val="22"/>
        </w:rPr>
        <w:t>,</w:t>
      </w:r>
      <w:r w:rsidR="000E3BD4" w:rsidRPr="00A945B9">
        <w:rPr>
          <w:rFonts w:ascii="Arial" w:eastAsia="Calibri" w:hAnsi="Arial" w:cs="Arial"/>
          <w:sz w:val="22"/>
        </w:rPr>
        <w:t xml:space="preserve"> verificar </w:t>
      </w:r>
      <w:r w:rsidR="00D84120" w:rsidRPr="00A945B9">
        <w:rPr>
          <w:rFonts w:ascii="Arial" w:eastAsia="Calibri" w:hAnsi="Arial" w:cs="Arial"/>
          <w:sz w:val="22"/>
        </w:rPr>
        <w:t>las entregas de bienes, obras o servicios realizadas por el contratista</w:t>
      </w:r>
      <w:r w:rsidR="00B07361" w:rsidRPr="00A945B9">
        <w:rPr>
          <w:rFonts w:ascii="Arial" w:eastAsia="Calibri" w:hAnsi="Arial" w:cs="Arial"/>
          <w:sz w:val="22"/>
        </w:rPr>
        <w:t>, determinando si las mismas se ajustan a las condiciones pactadas</w:t>
      </w:r>
      <w:r w:rsidR="00DD15D7" w:rsidRPr="00A945B9">
        <w:rPr>
          <w:rFonts w:ascii="Arial" w:eastAsia="Calibri" w:hAnsi="Arial" w:cs="Arial"/>
          <w:sz w:val="22"/>
        </w:rPr>
        <w:t>. Tales act</w:t>
      </w:r>
      <w:r w:rsidR="008017CD" w:rsidRPr="00A945B9">
        <w:rPr>
          <w:rFonts w:ascii="Arial" w:eastAsia="Calibri" w:hAnsi="Arial" w:cs="Arial"/>
          <w:sz w:val="22"/>
        </w:rPr>
        <w:t>ividades propia</w:t>
      </w:r>
      <w:r w:rsidR="00D12C0D" w:rsidRPr="00A945B9">
        <w:rPr>
          <w:rFonts w:ascii="Arial" w:eastAsia="Calibri" w:hAnsi="Arial" w:cs="Arial"/>
          <w:sz w:val="22"/>
        </w:rPr>
        <w:t>s</w:t>
      </w:r>
      <w:r w:rsidR="008017CD" w:rsidRPr="00A945B9">
        <w:rPr>
          <w:rFonts w:ascii="Arial" w:eastAsia="Calibri" w:hAnsi="Arial" w:cs="Arial"/>
          <w:sz w:val="22"/>
        </w:rPr>
        <w:t xml:space="preserve"> de la </w:t>
      </w:r>
      <w:r w:rsidR="00D7751C" w:rsidRPr="00A945B9">
        <w:rPr>
          <w:rFonts w:ascii="Arial" w:eastAsia="Calibri" w:hAnsi="Arial" w:cs="Arial"/>
          <w:sz w:val="22"/>
        </w:rPr>
        <w:t xml:space="preserve">custodia </w:t>
      </w:r>
      <w:r w:rsidR="00D12C0D" w:rsidRPr="00A945B9">
        <w:rPr>
          <w:rFonts w:ascii="Arial" w:eastAsia="Calibri" w:hAnsi="Arial" w:cs="Arial"/>
          <w:sz w:val="22"/>
        </w:rPr>
        <w:t>a</w:t>
      </w:r>
      <w:r w:rsidR="00D7751C" w:rsidRPr="00A945B9">
        <w:rPr>
          <w:rFonts w:ascii="Arial" w:eastAsia="Calibri" w:hAnsi="Arial" w:cs="Arial"/>
          <w:sz w:val="22"/>
        </w:rPr>
        <w:t xml:space="preserve"> la debida ejecución de los contratos</w:t>
      </w:r>
      <w:r w:rsidR="00D12C0D" w:rsidRPr="00A945B9">
        <w:rPr>
          <w:rFonts w:ascii="Arial" w:eastAsia="Calibri" w:hAnsi="Arial" w:cs="Arial"/>
          <w:sz w:val="22"/>
        </w:rPr>
        <w:t xml:space="preserve"> estatales</w:t>
      </w:r>
      <w:r w:rsidR="00D7751C" w:rsidRPr="00A945B9">
        <w:rPr>
          <w:rFonts w:ascii="Arial" w:eastAsia="Calibri" w:hAnsi="Arial" w:cs="Arial"/>
          <w:sz w:val="22"/>
        </w:rPr>
        <w:t xml:space="preserve"> </w:t>
      </w:r>
      <w:r w:rsidR="00D12C0D" w:rsidRPr="00A945B9">
        <w:rPr>
          <w:rFonts w:ascii="Arial" w:eastAsia="Calibri" w:hAnsi="Arial" w:cs="Arial"/>
          <w:sz w:val="22"/>
        </w:rPr>
        <w:t xml:space="preserve">también </w:t>
      </w:r>
      <w:r w:rsidR="00C0120A" w:rsidRPr="00A945B9">
        <w:rPr>
          <w:rFonts w:ascii="Arial" w:eastAsia="Calibri" w:hAnsi="Arial" w:cs="Arial"/>
          <w:sz w:val="22"/>
        </w:rPr>
        <w:t>implican el deber de supervisore</w:t>
      </w:r>
      <w:r w:rsidR="00125960" w:rsidRPr="00A945B9">
        <w:rPr>
          <w:rFonts w:ascii="Arial" w:eastAsia="Calibri" w:hAnsi="Arial" w:cs="Arial"/>
          <w:sz w:val="22"/>
        </w:rPr>
        <w:t>s</w:t>
      </w:r>
      <w:r w:rsidR="00C0120A" w:rsidRPr="00A945B9">
        <w:rPr>
          <w:rFonts w:ascii="Arial" w:eastAsia="Calibri" w:hAnsi="Arial" w:cs="Arial"/>
          <w:sz w:val="22"/>
        </w:rPr>
        <w:t xml:space="preserve"> e interventores de concurrir a la suscripción de documentos </w:t>
      </w:r>
      <w:r w:rsidR="005F231B" w:rsidRPr="00A945B9">
        <w:rPr>
          <w:rFonts w:ascii="Arial" w:eastAsia="Calibri" w:hAnsi="Arial" w:cs="Arial"/>
          <w:sz w:val="22"/>
        </w:rPr>
        <w:t xml:space="preserve">como actas parciales </w:t>
      </w:r>
      <w:r w:rsidR="00E56690" w:rsidRPr="00A945B9">
        <w:rPr>
          <w:rFonts w:ascii="Arial" w:eastAsia="Calibri" w:hAnsi="Arial" w:cs="Arial"/>
          <w:sz w:val="22"/>
        </w:rPr>
        <w:t>de avance, actas parciales de recibo y actas de recibo final.</w:t>
      </w:r>
      <w:r w:rsidRPr="00A945B9">
        <w:rPr>
          <w:rFonts w:ascii="Arial" w:eastAsia="Calibri" w:hAnsi="Arial" w:cs="Arial"/>
          <w:sz w:val="22"/>
        </w:rPr>
        <w:t xml:space="preserve"> </w:t>
      </w:r>
    </w:p>
    <w:p w14:paraId="4ADE4A07" w14:textId="52BD9BB4" w:rsidR="007674B3" w:rsidRPr="00A945B9" w:rsidRDefault="007674B3" w:rsidP="00E56690">
      <w:pPr>
        <w:spacing w:after="120" w:line="276" w:lineRule="auto"/>
        <w:ind w:firstLine="709"/>
        <w:jc w:val="both"/>
        <w:rPr>
          <w:rFonts w:ascii="Arial" w:eastAsia="Calibri" w:hAnsi="Arial" w:cs="Arial"/>
          <w:sz w:val="22"/>
        </w:rPr>
      </w:pPr>
      <w:bookmarkStart w:id="13" w:name="_Hlk120488314"/>
      <w:r w:rsidRPr="005E02D9">
        <w:rPr>
          <w:rFonts w:ascii="Arial" w:eastAsia="Calibri" w:hAnsi="Arial" w:cs="Arial"/>
          <w:sz w:val="22"/>
        </w:rPr>
        <w:t xml:space="preserve">En </w:t>
      </w:r>
      <w:r w:rsidR="00B672F3" w:rsidRPr="005E02D9">
        <w:rPr>
          <w:rFonts w:ascii="Arial" w:eastAsia="Calibri" w:hAnsi="Arial" w:cs="Arial"/>
          <w:sz w:val="22"/>
        </w:rPr>
        <w:t>ese sentido, l</w:t>
      </w:r>
      <w:r w:rsidR="002F0962" w:rsidRPr="005E02D9">
        <w:rPr>
          <w:rFonts w:ascii="Arial" w:eastAsia="Calibri" w:hAnsi="Arial" w:cs="Arial"/>
          <w:sz w:val="22"/>
        </w:rPr>
        <w:t>a obligación general de vigilancia de la ejecución del contrato</w:t>
      </w:r>
      <w:r w:rsidR="002D7485" w:rsidRPr="005E02D9">
        <w:rPr>
          <w:rFonts w:ascii="Arial" w:eastAsia="Calibri" w:hAnsi="Arial" w:cs="Arial"/>
          <w:sz w:val="22"/>
        </w:rPr>
        <w:t xml:space="preserve"> implica que</w:t>
      </w:r>
      <w:r w:rsidR="00B672F3" w:rsidRPr="005E02D9">
        <w:rPr>
          <w:rFonts w:ascii="Arial" w:eastAsia="Calibri" w:hAnsi="Arial" w:cs="Arial"/>
          <w:sz w:val="22"/>
        </w:rPr>
        <w:t xml:space="preserve"> </w:t>
      </w:r>
      <w:r w:rsidR="002D7485" w:rsidRPr="005E02D9">
        <w:rPr>
          <w:rFonts w:ascii="Arial" w:eastAsia="Calibri" w:hAnsi="Arial" w:cs="Arial"/>
          <w:sz w:val="22"/>
        </w:rPr>
        <w:t xml:space="preserve">los </w:t>
      </w:r>
      <w:r w:rsidR="00B672F3" w:rsidRPr="005E02D9">
        <w:rPr>
          <w:rFonts w:ascii="Arial" w:eastAsia="Calibri" w:hAnsi="Arial" w:cs="Arial"/>
          <w:sz w:val="22"/>
        </w:rPr>
        <w:t>supervisores</w:t>
      </w:r>
      <w:r w:rsidR="002D7485" w:rsidRPr="005E02D9">
        <w:rPr>
          <w:rFonts w:ascii="Arial" w:eastAsia="Calibri" w:hAnsi="Arial" w:cs="Arial"/>
          <w:sz w:val="22"/>
        </w:rPr>
        <w:t xml:space="preserve"> de la generalidad </w:t>
      </w:r>
      <w:r w:rsidR="00B672F3" w:rsidRPr="005E02D9">
        <w:rPr>
          <w:rFonts w:ascii="Arial" w:eastAsia="Calibri" w:hAnsi="Arial" w:cs="Arial"/>
          <w:sz w:val="22"/>
        </w:rPr>
        <w:t>de contratos</w:t>
      </w:r>
      <w:r w:rsidR="002D7485" w:rsidRPr="005E02D9">
        <w:rPr>
          <w:rFonts w:ascii="Arial" w:eastAsia="Calibri" w:hAnsi="Arial" w:cs="Arial"/>
          <w:sz w:val="22"/>
        </w:rPr>
        <w:t xml:space="preserve"> –incluso los </w:t>
      </w:r>
      <w:r w:rsidR="00B672F3" w:rsidRPr="005E02D9">
        <w:rPr>
          <w:rFonts w:ascii="Arial" w:eastAsia="Calibri" w:hAnsi="Arial" w:cs="Arial"/>
          <w:sz w:val="22"/>
        </w:rPr>
        <w:t>de prestación de servicios</w:t>
      </w:r>
      <w:r w:rsidR="002D7485" w:rsidRPr="005E02D9">
        <w:rPr>
          <w:rFonts w:ascii="Arial" w:eastAsia="Calibri" w:hAnsi="Arial" w:cs="Arial"/>
          <w:sz w:val="22"/>
        </w:rPr>
        <w:t>–</w:t>
      </w:r>
      <w:r w:rsidR="00B672F3" w:rsidRPr="005E02D9">
        <w:rPr>
          <w:rFonts w:ascii="Arial" w:eastAsia="Calibri" w:hAnsi="Arial" w:cs="Arial"/>
          <w:sz w:val="22"/>
        </w:rPr>
        <w:t xml:space="preserve"> tienen </w:t>
      </w:r>
      <w:r w:rsidR="002A080E" w:rsidRPr="005E02D9">
        <w:rPr>
          <w:rFonts w:ascii="Arial" w:eastAsia="Calibri" w:hAnsi="Arial" w:cs="Arial"/>
          <w:sz w:val="22"/>
        </w:rPr>
        <w:t xml:space="preserve">el deber </w:t>
      </w:r>
      <w:r w:rsidR="00EA0862" w:rsidRPr="005E02D9">
        <w:rPr>
          <w:rFonts w:ascii="Arial" w:eastAsia="Calibri" w:hAnsi="Arial" w:cs="Arial"/>
          <w:sz w:val="22"/>
        </w:rPr>
        <w:t xml:space="preserve">de </w:t>
      </w:r>
      <w:r w:rsidR="00B672F3" w:rsidRPr="005E02D9">
        <w:rPr>
          <w:rFonts w:ascii="Arial" w:eastAsia="Calibri" w:hAnsi="Arial" w:cs="Arial"/>
          <w:sz w:val="22"/>
        </w:rPr>
        <w:t>aproba</w:t>
      </w:r>
      <w:r w:rsidR="00716696" w:rsidRPr="005E02D9">
        <w:rPr>
          <w:rFonts w:ascii="Arial" w:eastAsia="Calibri" w:hAnsi="Arial" w:cs="Arial"/>
          <w:sz w:val="22"/>
        </w:rPr>
        <w:t>r o rechazar</w:t>
      </w:r>
      <w:r w:rsidR="006B0DE2" w:rsidRPr="005E02D9">
        <w:rPr>
          <w:rFonts w:ascii="Arial" w:eastAsia="Calibri" w:hAnsi="Arial" w:cs="Arial"/>
          <w:sz w:val="22"/>
        </w:rPr>
        <w:t xml:space="preserve"> las entregas realizadas por el contratista</w:t>
      </w:r>
      <w:r w:rsidR="00B672F3" w:rsidRPr="005E02D9">
        <w:rPr>
          <w:rFonts w:ascii="Arial" w:eastAsia="Calibri" w:hAnsi="Arial" w:cs="Arial"/>
          <w:sz w:val="22"/>
        </w:rPr>
        <w:t xml:space="preserve">, </w:t>
      </w:r>
      <w:r w:rsidR="00716696" w:rsidRPr="005E02D9">
        <w:rPr>
          <w:rFonts w:ascii="Arial" w:eastAsia="Calibri" w:hAnsi="Arial" w:cs="Arial"/>
          <w:sz w:val="22"/>
        </w:rPr>
        <w:t xml:space="preserve">según se ajusten o </w:t>
      </w:r>
      <w:r w:rsidR="00F4607E" w:rsidRPr="005E02D9">
        <w:rPr>
          <w:rFonts w:ascii="Arial" w:eastAsia="Calibri" w:hAnsi="Arial" w:cs="Arial"/>
          <w:sz w:val="22"/>
        </w:rPr>
        <w:t>no a las condiciones pactadas.</w:t>
      </w:r>
      <w:r w:rsidR="00FB737C" w:rsidRPr="00A945B9">
        <w:rPr>
          <w:rFonts w:ascii="Arial" w:eastAsia="Calibri" w:hAnsi="Arial" w:cs="Arial"/>
          <w:sz w:val="22"/>
        </w:rPr>
        <w:t xml:space="preserve"> </w:t>
      </w:r>
      <w:bookmarkEnd w:id="13"/>
      <w:r w:rsidR="004743E7" w:rsidRPr="00A945B9">
        <w:rPr>
          <w:rFonts w:ascii="Arial" w:eastAsia="Calibri" w:hAnsi="Arial" w:cs="Arial"/>
          <w:sz w:val="22"/>
        </w:rPr>
        <w:t xml:space="preserve">En todo caso, es importante que tales funciones sean concordantes con las obligaciones del respectivo contrato, </w:t>
      </w:r>
      <w:r w:rsidR="00B778E8" w:rsidRPr="00A945B9">
        <w:rPr>
          <w:rFonts w:ascii="Arial" w:eastAsia="Calibri" w:hAnsi="Arial" w:cs="Arial"/>
          <w:sz w:val="22"/>
        </w:rPr>
        <w:t>por lo que en el marco de la auton</w:t>
      </w:r>
      <w:r w:rsidR="00D36C02" w:rsidRPr="00A945B9">
        <w:rPr>
          <w:rFonts w:ascii="Arial" w:eastAsia="Calibri" w:hAnsi="Arial" w:cs="Arial"/>
          <w:sz w:val="22"/>
        </w:rPr>
        <w:t>omía que tiene la entidad para desarrollar el proceso de contratac</w:t>
      </w:r>
      <w:r w:rsidR="00B13615" w:rsidRPr="00A945B9">
        <w:rPr>
          <w:rFonts w:ascii="Arial" w:eastAsia="Calibri" w:hAnsi="Arial" w:cs="Arial"/>
          <w:sz w:val="22"/>
        </w:rPr>
        <w:t xml:space="preserve">ión, podría optar por </w:t>
      </w:r>
      <w:r w:rsidR="00E92C99" w:rsidRPr="00A945B9">
        <w:rPr>
          <w:rFonts w:ascii="Arial" w:eastAsia="Calibri" w:hAnsi="Arial" w:cs="Arial"/>
          <w:sz w:val="22"/>
        </w:rPr>
        <w:t>realizar estipulaciones dentro del pliego de condiciones o la minuta del contrato</w:t>
      </w:r>
      <w:r w:rsidR="00787523" w:rsidRPr="00A945B9">
        <w:rPr>
          <w:rFonts w:ascii="Arial" w:eastAsia="Calibri" w:hAnsi="Arial" w:cs="Arial"/>
          <w:sz w:val="22"/>
        </w:rPr>
        <w:t xml:space="preserve"> </w:t>
      </w:r>
      <w:r w:rsidR="00E92C99" w:rsidRPr="00A945B9">
        <w:rPr>
          <w:rFonts w:ascii="Arial" w:eastAsia="Calibri" w:hAnsi="Arial" w:cs="Arial"/>
          <w:sz w:val="22"/>
        </w:rPr>
        <w:t>tendientes a señalar</w:t>
      </w:r>
      <w:r w:rsidR="00A77CEE" w:rsidRPr="00A945B9">
        <w:rPr>
          <w:rFonts w:ascii="Arial" w:eastAsia="Calibri" w:hAnsi="Arial" w:cs="Arial"/>
          <w:sz w:val="22"/>
        </w:rPr>
        <w:t xml:space="preserve"> actividades específicas cuyo desarrollo esté sujeto</w:t>
      </w:r>
      <w:r w:rsidR="00E64A4D" w:rsidRPr="00A945B9">
        <w:rPr>
          <w:rFonts w:ascii="Arial" w:eastAsia="Calibri" w:hAnsi="Arial" w:cs="Arial"/>
          <w:sz w:val="22"/>
        </w:rPr>
        <w:t xml:space="preserve"> a</w:t>
      </w:r>
      <w:r w:rsidR="00E92C99" w:rsidRPr="00A945B9">
        <w:rPr>
          <w:rFonts w:ascii="Arial" w:eastAsia="Calibri" w:hAnsi="Arial" w:cs="Arial"/>
          <w:sz w:val="22"/>
        </w:rPr>
        <w:t xml:space="preserve"> </w:t>
      </w:r>
      <w:r w:rsidR="00EC52B2" w:rsidRPr="00A945B9">
        <w:rPr>
          <w:rFonts w:ascii="Arial" w:eastAsia="Calibri" w:hAnsi="Arial" w:cs="Arial"/>
          <w:sz w:val="22"/>
        </w:rPr>
        <w:t xml:space="preserve">mecanismos concretos </w:t>
      </w:r>
      <w:r w:rsidR="006B0DE2" w:rsidRPr="00A945B9">
        <w:rPr>
          <w:rFonts w:ascii="Arial" w:eastAsia="Calibri" w:hAnsi="Arial" w:cs="Arial"/>
          <w:sz w:val="22"/>
        </w:rPr>
        <w:t>de vigilancia</w:t>
      </w:r>
      <w:r w:rsidR="00EC52B2" w:rsidRPr="00A945B9">
        <w:rPr>
          <w:rFonts w:ascii="Arial" w:eastAsia="Calibri" w:hAnsi="Arial" w:cs="Arial"/>
          <w:sz w:val="22"/>
        </w:rPr>
        <w:t xml:space="preserve"> </w:t>
      </w:r>
      <w:r w:rsidR="00E64A4D" w:rsidRPr="00A945B9">
        <w:rPr>
          <w:rFonts w:ascii="Arial" w:eastAsia="Calibri" w:hAnsi="Arial" w:cs="Arial"/>
          <w:sz w:val="22"/>
        </w:rPr>
        <w:t>por parte del supervisor</w:t>
      </w:r>
      <w:r w:rsidR="006B389E" w:rsidRPr="00A945B9">
        <w:rPr>
          <w:rFonts w:ascii="Arial" w:eastAsia="Calibri" w:hAnsi="Arial" w:cs="Arial"/>
          <w:sz w:val="22"/>
        </w:rPr>
        <w:t>, como</w:t>
      </w:r>
      <w:r w:rsidR="006B0DE2" w:rsidRPr="00A945B9">
        <w:rPr>
          <w:rFonts w:ascii="Arial" w:eastAsia="Calibri" w:hAnsi="Arial" w:cs="Arial"/>
          <w:sz w:val="22"/>
        </w:rPr>
        <w:t xml:space="preserve">, por ejemplo, </w:t>
      </w:r>
      <w:r w:rsidR="005B78FC" w:rsidRPr="00A945B9">
        <w:rPr>
          <w:rFonts w:ascii="Arial" w:eastAsia="Calibri" w:hAnsi="Arial" w:cs="Arial"/>
          <w:sz w:val="22"/>
        </w:rPr>
        <w:t xml:space="preserve">el levantamiento de actas de las diferentes entregas que realice el contratista, </w:t>
      </w:r>
      <w:r w:rsidR="00C83393" w:rsidRPr="00A945B9">
        <w:rPr>
          <w:rFonts w:ascii="Arial" w:eastAsia="Calibri" w:hAnsi="Arial" w:cs="Arial"/>
          <w:sz w:val="22"/>
        </w:rPr>
        <w:t>la presentación</w:t>
      </w:r>
      <w:r w:rsidR="005B78FC" w:rsidRPr="00A945B9">
        <w:rPr>
          <w:rFonts w:ascii="Arial" w:eastAsia="Calibri" w:hAnsi="Arial" w:cs="Arial"/>
          <w:sz w:val="22"/>
        </w:rPr>
        <w:t xml:space="preserve"> de informes, la celebración de reuniones periódicas</w:t>
      </w:r>
      <w:r w:rsidR="00086319" w:rsidRPr="00A945B9">
        <w:rPr>
          <w:rFonts w:ascii="Arial" w:eastAsia="Calibri" w:hAnsi="Arial" w:cs="Arial"/>
          <w:sz w:val="22"/>
        </w:rPr>
        <w:t xml:space="preserve"> y, en general, las actuaciones que </w:t>
      </w:r>
      <w:r w:rsidR="00C83393" w:rsidRPr="00A945B9">
        <w:rPr>
          <w:rFonts w:ascii="Arial" w:eastAsia="Calibri" w:hAnsi="Arial" w:cs="Arial"/>
          <w:sz w:val="22"/>
        </w:rPr>
        <w:t>sean</w:t>
      </w:r>
      <w:r w:rsidR="00086319" w:rsidRPr="00A945B9">
        <w:rPr>
          <w:rFonts w:ascii="Arial" w:eastAsia="Calibri" w:hAnsi="Arial" w:cs="Arial"/>
          <w:sz w:val="22"/>
        </w:rPr>
        <w:t xml:space="preserve"> pertinentes para </w:t>
      </w:r>
      <w:r w:rsidR="00F17AF4" w:rsidRPr="00A945B9">
        <w:rPr>
          <w:rFonts w:ascii="Arial" w:eastAsia="Calibri" w:hAnsi="Arial" w:cs="Arial"/>
          <w:sz w:val="22"/>
        </w:rPr>
        <w:t xml:space="preserve">garantizar la vigilancia de la debida ejecución del respectivo contrato estatal y el cumplimiento de sus objetivos. </w:t>
      </w:r>
      <w:r w:rsidR="005B78FC" w:rsidRPr="00A945B9">
        <w:rPr>
          <w:rFonts w:ascii="Arial" w:eastAsia="Calibri" w:hAnsi="Arial" w:cs="Arial"/>
          <w:sz w:val="22"/>
        </w:rPr>
        <w:t xml:space="preserve"> </w:t>
      </w:r>
    </w:p>
    <w:p w14:paraId="5428C1F9" w14:textId="62B50340" w:rsidR="00CE00CF" w:rsidRDefault="00787523" w:rsidP="008F25B5">
      <w:pPr>
        <w:spacing w:after="120" w:line="276" w:lineRule="auto"/>
        <w:ind w:firstLine="709"/>
        <w:jc w:val="both"/>
        <w:rPr>
          <w:rFonts w:ascii="Arial" w:eastAsia="Calibri" w:hAnsi="Arial" w:cs="Arial"/>
          <w:sz w:val="22"/>
        </w:rPr>
      </w:pPr>
      <w:r w:rsidRPr="005E02D9">
        <w:rPr>
          <w:rFonts w:ascii="Arial" w:eastAsia="Calibri" w:hAnsi="Arial" w:cs="Arial"/>
          <w:sz w:val="22"/>
        </w:rPr>
        <w:t>Sin perjuicio</w:t>
      </w:r>
      <w:r w:rsidR="00D10582" w:rsidRPr="005E02D9">
        <w:rPr>
          <w:rFonts w:ascii="Arial" w:eastAsia="Calibri" w:hAnsi="Arial" w:cs="Arial"/>
          <w:sz w:val="22"/>
        </w:rPr>
        <w:t xml:space="preserve"> de lo anterior, </w:t>
      </w:r>
      <w:r w:rsidR="00601505" w:rsidRPr="005E02D9">
        <w:rPr>
          <w:rFonts w:ascii="Arial" w:eastAsia="Calibri" w:hAnsi="Arial" w:cs="Arial"/>
          <w:sz w:val="22"/>
        </w:rPr>
        <w:t xml:space="preserve">debe recordarse que, </w:t>
      </w:r>
      <w:r w:rsidR="00D10582" w:rsidRPr="005E02D9">
        <w:rPr>
          <w:rFonts w:ascii="Arial" w:eastAsia="Calibri" w:hAnsi="Arial" w:cs="Arial"/>
          <w:sz w:val="22"/>
        </w:rPr>
        <w:t xml:space="preserve">conforme a lo manifestado en el numeral 2.1 del </w:t>
      </w:r>
      <w:r w:rsidR="0088027A" w:rsidRPr="005E02D9">
        <w:rPr>
          <w:rFonts w:ascii="Arial" w:eastAsia="Calibri" w:hAnsi="Arial" w:cs="Arial"/>
          <w:sz w:val="22"/>
        </w:rPr>
        <w:t xml:space="preserve">presente concepto, la </w:t>
      </w:r>
      <w:r w:rsidR="00DA23DD" w:rsidRPr="005E02D9">
        <w:rPr>
          <w:rFonts w:ascii="Arial" w:eastAsia="Calibri" w:hAnsi="Arial" w:cs="Arial"/>
          <w:sz w:val="22"/>
        </w:rPr>
        <w:t xml:space="preserve">autonomía </w:t>
      </w:r>
      <w:r w:rsidR="00D620D0" w:rsidRPr="005E02D9">
        <w:rPr>
          <w:rFonts w:ascii="Arial" w:eastAsia="Calibri" w:hAnsi="Arial" w:cs="Arial"/>
          <w:sz w:val="22"/>
        </w:rPr>
        <w:t>del contratista en la ejecución del co</w:t>
      </w:r>
      <w:r w:rsidR="00601505" w:rsidRPr="005E02D9">
        <w:rPr>
          <w:rFonts w:ascii="Arial" w:eastAsia="Calibri" w:hAnsi="Arial" w:cs="Arial"/>
          <w:sz w:val="22"/>
        </w:rPr>
        <w:t xml:space="preserve">ntrato </w:t>
      </w:r>
      <w:r w:rsidR="00102574" w:rsidRPr="005E02D9">
        <w:rPr>
          <w:rFonts w:ascii="Arial" w:eastAsia="Calibri" w:hAnsi="Arial" w:cs="Arial"/>
          <w:sz w:val="22"/>
        </w:rPr>
        <w:t>es un</w:t>
      </w:r>
      <w:r w:rsidR="00601505" w:rsidRPr="005E02D9">
        <w:rPr>
          <w:rFonts w:ascii="Arial" w:eastAsia="Calibri" w:hAnsi="Arial" w:cs="Arial"/>
          <w:sz w:val="22"/>
        </w:rPr>
        <w:t xml:space="preserve"> elemento característico de </w:t>
      </w:r>
      <w:r w:rsidR="00757EDD" w:rsidRPr="005E02D9">
        <w:rPr>
          <w:rFonts w:ascii="Arial" w:eastAsia="Calibri" w:hAnsi="Arial" w:cs="Arial"/>
          <w:sz w:val="22"/>
        </w:rPr>
        <w:t xml:space="preserve">los contratos de prestación de servicios profesionales, </w:t>
      </w:r>
      <w:r w:rsidR="00102574" w:rsidRPr="005E02D9">
        <w:rPr>
          <w:rFonts w:ascii="Arial" w:eastAsia="Calibri" w:hAnsi="Arial" w:cs="Arial"/>
          <w:sz w:val="22"/>
        </w:rPr>
        <w:t>el</w:t>
      </w:r>
      <w:r w:rsidR="00343C57" w:rsidRPr="005E02D9">
        <w:rPr>
          <w:rFonts w:ascii="Arial" w:eastAsia="Calibri" w:hAnsi="Arial" w:cs="Arial"/>
          <w:sz w:val="22"/>
        </w:rPr>
        <w:t xml:space="preserve"> cual </w:t>
      </w:r>
      <w:r w:rsidR="00102574" w:rsidRPr="005E02D9">
        <w:rPr>
          <w:rFonts w:ascii="Arial" w:eastAsia="Calibri" w:hAnsi="Arial" w:cs="Arial"/>
          <w:sz w:val="22"/>
        </w:rPr>
        <w:t>s</w:t>
      </w:r>
      <w:r w:rsidR="00343C57" w:rsidRPr="005E02D9">
        <w:rPr>
          <w:rFonts w:ascii="Arial" w:eastAsia="Calibri" w:hAnsi="Arial" w:cs="Arial"/>
          <w:sz w:val="22"/>
        </w:rPr>
        <w:t xml:space="preserve">upone la ausencia de </w:t>
      </w:r>
      <w:r w:rsidR="00FC12FD" w:rsidRPr="005E02D9">
        <w:rPr>
          <w:rFonts w:ascii="Arial" w:eastAsia="Calibri" w:hAnsi="Arial" w:cs="Arial"/>
          <w:sz w:val="22"/>
        </w:rPr>
        <w:t xml:space="preserve">dependencia entre la entidad contratante y el contratista. </w:t>
      </w:r>
      <w:r w:rsidR="00080D1B" w:rsidRPr="005E02D9">
        <w:rPr>
          <w:rFonts w:ascii="Arial" w:eastAsia="Calibri" w:hAnsi="Arial" w:cs="Arial"/>
          <w:sz w:val="22"/>
        </w:rPr>
        <w:t xml:space="preserve">Esto resulta importante por cuanto, </w:t>
      </w:r>
      <w:r w:rsidR="003A1123" w:rsidRPr="005E02D9">
        <w:rPr>
          <w:rFonts w:ascii="Arial" w:eastAsia="Calibri" w:hAnsi="Arial" w:cs="Arial"/>
          <w:sz w:val="22"/>
        </w:rPr>
        <w:t xml:space="preserve">el ejercicio de las labores </w:t>
      </w:r>
      <w:r w:rsidR="00102574" w:rsidRPr="005E02D9">
        <w:rPr>
          <w:rFonts w:ascii="Arial" w:eastAsia="Calibri" w:hAnsi="Arial" w:cs="Arial"/>
          <w:sz w:val="22"/>
        </w:rPr>
        <w:t>propias de la</w:t>
      </w:r>
      <w:r w:rsidR="003A1123" w:rsidRPr="005E02D9">
        <w:rPr>
          <w:rFonts w:ascii="Arial" w:eastAsia="Calibri" w:hAnsi="Arial" w:cs="Arial"/>
          <w:sz w:val="22"/>
        </w:rPr>
        <w:t xml:space="preserve"> vigilancia a la ejecución de contratos no puede</w:t>
      </w:r>
      <w:r w:rsidR="00421425" w:rsidRPr="005E02D9">
        <w:rPr>
          <w:rFonts w:ascii="Arial" w:eastAsia="Calibri" w:hAnsi="Arial" w:cs="Arial"/>
          <w:sz w:val="22"/>
        </w:rPr>
        <w:t xml:space="preserve"> devenir en </w:t>
      </w:r>
      <w:r w:rsidR="00BE5DC0" w:rsidRPr="005E02D9">
        <w:rPr>
          <w:rFonts w:ascii="Arial" w:eastAsia="Calibri" w:hAnsi="Arial" w:cs="Arial"/>
          <w:sz w:val="22"/>
        </w:rPr>
        <w:t xml:space="preserve">una relación de subordinación entre </w:t>
      </w:r>
      <w:r w:rsidR="006766F1" w:rsidRPr="005E02D9">
        <w:rPr>
          <w:rFonts w:ascii="Arial" w:eastAsia="Calibri" w:hAnsi="Arial" w:cs="Arial"/>
          <w:sz w:val="22"/>
        </w:rPr>
        <w:t>el supervisor y el contratista</w:t>
      </w:r>
      <w:r w:rsidR="008F25B5" w:rsidRPr="005E02D9">
        <w:rPr>
          <w:rFonts w:ascii="Arial" w:eastAsia="Calibri" w:hAnsi="Arial" w:cs="Arial"/>
          <w:sz w:val="22"/>
        </w:rPr>
        <w:t>,</w:t>
      </w:r>
      <w:r w:rsidR="006766F1" w:rsidRPr="005E02D9">
        <w:rPr>
          <w:rFonts w:ascii="Arial" w:eastAsia="Calibri" w:hAnsi="Arial" w:cs="Arial"/>
          <w:sz w:val="22"/>
        </w:rPr>
        <w:t xml:space="preserve"> </w:t>
      </w:r>
      <w:r w:rsidR="008F25B5" w:rsidRPr="005E02D9">
        <w:rPr>
          <w:rFonts w:ascii="Arial" w:eastAsia="Calibri" w:hAnsi="Arial" w:cs="Arial"/>
          <w:sz w:val="22"/>
        </w:rPr>
        <w:t xml:space="preserve">en la medida que ello no solo socavaría la independencia </w:t>
      </w:r>
      <w:r w:rsidR="00F00DA1" w:rsidRPr="005E02D9">
        <w:rPr>
          <w:rFonts w:ascii="Arial" w:eastAsia="Calibri" w:hAnsi="Arial" w:cs="Arial"/>
          <w:sz w:val="22"/>
        </w:rPr>
        <w:t xml:space="preserve">del contratista para ejecutar el contrato, sino que </w:t>
      </w:r>
      <w:r w:rsidR="00382925" w:rsidRPr="005E02D9">
        <w:rPr>
          <w:rFonts w:ascii="Arial" w:eastAsia="Calibri" w:hAnsi="Arial" w:cs="Arial"/>
          <w:sz w:val="22"/>
        </w:rPr>
        <w:t>podría devenir en la existencia de</w:t>
      </w:r>
      <w:r w:rsidR="00090495" w:rsidRPr="005E02D9">
        <w:rPr>
          <w:rFonts w:ascii="Arial" w:eastAsia="Calibri" w:hAnsi="Arial" w:cs="Arial"/>
          <w:sz w:val="22"/>
        </w:rPr>
        <w:t xml:space="preserve"> una relación laboral, </w:t>
      </w:r>
      <w:r w:rsidR="009150B7" w:rsidRPr="005E02D9">
        <w:rPr>
          <w:rFonts w:ascii="Arial" w:eastAsia="Calibri" w:hAnsi="Arial" w:cs="Arial"/>
          <w:sz w:val="22"/>
        </w:rPr>
        <w:t xml:space="preserve">en atención a la figura del contrato realidad. </w:t>
      </w:r>
      <w:r w:rsidR="00AC10A8" w:rsidRPr="005E02D9">
        <w:rPr>
          <w:rFonts w:ascii="Arial" w:eastAsia="Calibri" w:hAnsi="Arial" w:cs="Arial"/>
          <w:sz w:val="22"/>
        </w:rPr>
        <w:t>En consideración a</w:t>
      </w:r>
      <w:r w:rsidR="0096390A" w:rsidRPr="005E02D9">
        <w:rPr>
          <w:rFonts w:ascii="Arial" w:eastAsia="Calibri" w:hAnsi="Arial" w:cs="Arial"/>
          <w:sz w:val="22"/>
        </w:rPr>
        <w:t xml:space="preserve"> esto</w:t>
      </w:r>
      <w:r w:rsidR="00AC10A8" w:rsidRPr="005E02D9">
        <w:rPr>
          <w:rFonts w:ascii="Arial" w:eastAsia="Calibri" w:hAnsi="Arial" w:cs="Arial"/>
          <w:sz w:val="22"/>
        </w:rPr>
        <w:t xml:space="preserve"> </w:t>
      </w:r>
      <w:r w:rsidR="0096390A" w:rsidRPr="005E02D9">
        <w:rPr>
          <w:rFonts w:ascii="Arial" w:eastAsia="Calibri" w:hAnsi="Arial" w:cs="Arial"/>
          <w:sz w:val="22"/>
        </w:rPr>
        <w:t xml:space="preserve">se </w:t>
      </w:r>
      <w:r w:rsidR="00846A0A" w:rsidRPr="005E02D9">
        <w:rPr>
          <w:rFonts w:ascii="Arial" w:eastAsia="Calibri" w:hAnsi="Arial" w:cs="Arial"/>
          <w:sz w:val="22"/>
        </w:rPr>
        <w:t xml:space="preserve">estima que, </w:t>
      </w:r>
      <w:r w:rsidR="00461422" w:rsidRPr="005E02D9">
        <w:rPr>
          <w:rFonts w:ascii="Arial" w:eastAsia="Calibri" w:hAnsi="Arial" w:cs="Arial"/>
          <w:sz w:val="22"/>
        </w:rPr>
        <w:t xml:space="preserve">la posibilidad de </w:t>
      </w:r>
      <w:r w:rsidR="0012070D" w:rsidRPr="005E02D9">
        <w:rPr>
          <w:rFonts w:ascii="Arial" w:eastAsia="Calibri" w:hAnsi="Arial" w:cs="Arial"/>
          <w:sz w:val="22"/>
        </w:rPr>
        <w:t>requerir</w:t>
      </w:r>
      <w:r w:rsidR="00461422" w:rsidRPr="005E02D9">
        <w:rPr>
          <w:rFonts w:ascii="Arial" w:eastAsia="Calibri" w:hAnsi="Arial" w:cs="Arial"/>
          <w:sz w:val="22"/>
        </w:rPr>
        <w:t xml:space="preserve"> la </w:t>
      </w:r>
      <w:r w:rsidR="00846A0A" w:rsidRPr="005E02D9">
        <w:rPr>
          <w:rFonts w:ascii="Arial" w:eastAsia="Calibri" w:hAnsi="Arial" w:cs="Arial"/>
          <w:sz w:val="22"/>
        </w:rPr>
        <w:t>anuencia del supervisor</w:t>
      </w:r>
      <w:r w:rsidR="00A807B1" w:rsidRPr="005E02D9">
        <w:rPr>
          <w:rFonts w:ascii="Arial" w:eastAsia="Calibri" w:hAnsi="Arial" w:cs="Arial"/>
          <w:sz w:val="22"/>
        </w:rPr>
        <w:t xml:space="preserve"> </w:t>
      </w:r>
      <w:r w:rsidR="0012070D" w:rsidRPr="005E02D9">
        <w:rPr>
          <w:rFonts w:ascii="Arial" w:eastAsia="Calibri" w:hAnsi="Arial" w:cs="Arial"/>
          <w:sz w:val="22"/>
        </w:rPr>
        <w:t>como un condicionamiento de la ejecución</w:t>
      </w:r>
      <w:r w:rsidR="00C449F3" w:rsidRPr="005E02D9">
        <w:rPr>
          <w:rFonts w:ascii="Arial" w:eastAsia="Calibri" w:hAnsi="Arial" w:cs="Arial"/>
          <w:sz w:val="22"/>
        </w:rPr>
        <w:t xml:space="preserve"> de ciertas actividades del contrato, </w:t>
      </w:r>
      <w:r w:rsidR="004746E3" w:rsidRPr="005E02D9">
        <w:rPr>
          <w:rFonts w:ascii="Arial" w:eastAsia="Calibri" w:hAnsi="Arial" w:cs="Arial"/>
          <w:sz w:val="22"/>
        </w:rPr>
        <w:t xml:space="preserve">debe ser ejercida de tal manera que la labor de la supervisión </w:t>
      </w:r>
      <w:r w:rsidR="00327FED" w:rsidRPr="005E02D9">
        <w:rPr>
          <w:rFonts w:ascii="Arial" w:eastAsia="Calibri" w:hAnsi="Arial" w:cs="Arial"/>
          <w:sz w:val="22"/>
        </w:rPr>
        <w:t xml:space="preserve">se limite a lo señalado en </w:t>
      </w:r>
      <w:r w:rsidR="00CA485B" w:rsidRPr="005E02D9">
        <w:rPr>
          <w:rFonts w:ascii="Arial" w:eastAsia="Calibri" w:hAnsi="Arial" w:cs="Arial"/>
          <w:sz w:val="22"/>
        </w:rPr>
        <w:t xml:space="preserve">los </w:t>
      </w:r>
      <w:r w:rsidR="00327FED" w:rsidRPr="005E02D9">
        <w:rPr>
          <w:rFonts w:ascii="Arial" w:eastAsia="Calibri" w:hAnsi="Arial" w:cs="Arial"/>
          <w:sz w:val="22"/>
        </w:rPr>
        <w:t>artículo</w:t>
      </w:r>
      <w:r w:rsidR="00CA485B" w:rsidRPr="005E02D9">
        <w:rPr>
          <w:rFonts w:ascii="Arial" w:eastAsia="Calibri" w:hAnsi="Arial" w:cs="Arial"/>
          <w:sz w:val="22"/>
        </w:rPr>
        <w:t>s</w:t>
      </w:r>
      <w:r w:rsidR="00327FED" w:rsidRPr="005E02D9">
        <w:rPr>
          <w:rFonts w:ascii="Arial" w:eastAsia="Calibri" w:hAnsi="Arial" w:cs="Arial"/>
          <w:sz w:val="22"/>
        </w:rPr>
        <w:t xml:space="preserve"> 83</w:t>
      </w:r>
      <w:r w:rsidR="00CA485B" w:rsidRPr="005E02D9">
        <w:rPr>
          <w:rFonts w:ascii="Arial" w:eastAsia="Calibri" w:hAnsi="Arial" w:cs="Arial"/>
          <w:sz w:val="22"/>
        </w:rPr>
        <w:t xml:space="preserve"> y 84</w:t>
      </w:r>
      <w:r w:rsidR="00327FED" w:rsidRPr="005E02D9">
        <w:rPr>
          <w:rFonts w:ascii="Arial" w:eastAsia="Calibri" w:hAnsi="Arial" w:cs="Arial"/>
          <w:sz w:val="22"/>
        </w:rPr>
        <w:t xml:space="preserve"> de la Ley 1474 de 2011.</w:t>
      </w:r>
    </w:p>
    <w:p w14:paraId="69CAB0CA" w14:textId="592E783A" w:rsidR="005D7C36" w:rsidRDefault="005D7C36" w:rsidP="001014AC">
      <w:pPr>
        <w:spacing w:line="276" w:lineRule="auto"/>
        <w:ind w:firstLine="709"/>
        <w:jc w:val="both"/>
        <w:rPr>
          <w:rFonts w:ascii="Arial" w:eastAsia="Calibri" w:hAnsi="Arial" w:cs="Arial"/>
          <w:sz w:val="22"/>
        </w:rPr>
      </w:pPr>
      <w:r>
        <w:rPr>
          <w:rFonts w:ascii="Arial" w:eastAsia="Calibri" w:hAnsi="Arial" w:cs="Arial"/>
          <w:sz w:val="22"/>
        </w:rPr>
        <w:t>Ahora bien, conforme a la consulta realizada, es pertinente detenernos en las funciones propias de los defensores y comisarios de famili</w:t>
      </w:r>
      <w:r w:rsidR="000B0824">
        <w:rPr>
          <w:rFonts w:ascii="Arial" w:eastAsia="Calibri" w:hAnsi="Arial" w:cs="Arial"/>
          <w:sz w:val="22"/>
        </w:rPr>
        <w:t xml:space="preserve">a las cuales están contempladas en </w:t>
      </w:r>
      <w:r w:rsidR="000B0824" w:rsidRPr="000B0824">
        <w:rPr>
          <w:rFonts w:ascii="Arial" w:eastAsia="Calibri" w:hAnsi="Arial" w:cs="Arial"/>
          <w:sz w:val="22"/>
        </w:rPr>
        <w:t xml:space="preserve">el artículo 86 de la </w:t>
      </w:r>
      <w:bookmarkStart w:id="14" w:name="_Hlk118991968"/>
      <w:r w:rsidR="000B0824" w:rsidRPr="000B0824">
        <w:rPr>
          <w:rFonts w:ascii="Arial" w:eastAsia="Calibri" w:hAnsi="Arial" w:cs="Arial"/>
          <w:sz w:val="22"/>
        </w:rPr>
        <w:t xml:space="preserve">Ley 1098 de </w:t>
      </w:r>
      <w:r w:rsidR="00733D38" w:rsidRPr="000B0824">
        <w:rPr>
          <w:rFonts w:ascii="Arial" w:eastAsia="Calibri" w:hAnsi="Arial" w:cs="Arial"/>
          <w:sz w:val="22"/>
        </w:rPr>
        <w:t xml:space="preserve">2006 </w:t>
      </w:r>
      <w:bookmarkEnd w:id="14"/>
      <w:r w:rsidR="00733D38" w:rsidRPr="00733D38">
        <w:rPr>
          <w:rFonts w:ascii="Arial" w:eastAsia="Calibri" w:hAnsi="Arial" w:cs="Arial"/>
          <w:sz w:val="22"/>
        </w:rPr>
        <w:t>–</w:t>
      </w:r>
      <w:r w:rsidR="000B0824" w:rsidRPr="000B0824">
        <w:rPr>
          <w:rFonts w:ascii="Arial" w:eastAsia="Calibri" w:hAnsi="Arial" w:cs="Arial"/>
          <w:sz w:val="22"/>
        </w:rPr>
        <w:t>por la cual se expide el Código de la Infancia y la Adolescencia</w:t>
      </w:r>
      <w:r w:rsidR="00733D38" w:rsidRPr="00733D38">
        <w:rPr>
          <w:rFonts w:ascii="Arial" w:eastAsia="Calibri" w:hAnsi="Arial" w:cs="Arial"/>
          <w:sz w:val="22"/>
        </w:rPr>
        <w:t>–</w:t>
      </w:r>
      <w:r w:rsidR="00733D38">
        <w:rPr>
          <w:rFonts w:ascii="Arial" w:eastAsia="Calibri" w:hAnsi="Arial" w:cs="Arial"/>
          <w:sz w:val="22"/>
        </w:rPr>
        <w:t xml:space="preserve"> a saber, son:</w:t>
      </w:r>
    </w:p>
    <w:p w14:paraId="66C72D2C" w14:textId="77777777" w:rsidR="001014AC" w:rsidRDefault="001014AC" w:rsidP="005E02D9">
      <w:pPr>
        <w:spacing w:line="276" w:lineRule="auto"/>
        <w:ind w:firstLine="709"/>
        <w:jc w:val="both"/>
        <w:rPr>
          <w:rFonts w:ascii="Arial" w:eastAsia="Calibri" w:hAnsi="Arial" w:cs="Arial"/>
          <w:sz w:val="22"/>
        </w:rPr>
      </w:pPr>
    </w:p>
    <w:p w14:paraId="35125AF4" w14:textId="39D2BE48" w:rsidR="00410F53" w:rsidRPr="00410F53" w:rsidRDefault="00410F53" w:rsidP="005E02D9">
      <w:pPr>
        <w:ind w:left="709" w:right="709"/>
        <w:jc w:val="both"/>
        <w:rPr>
          <w:rFonts w:ascii="Arial" w:eastAsia="Calibri" w:hAnsi="Arial" w:cs="Arial"/>
          <w:sz w:val="21"/>
          <w:szCs w:val="21"/>
        </w:rPr>
      </w:pPr>
      <w:r w:rsidRPr="00410F53">
        <w:rPr>
          <w:rFonts w:ascii="Arial" w:eastAsia="Calibri" w:hAnsi="Arial" w:cs="Arial"/>
          <w:sz w:val="21"/>
          <w:szCs w:val="21"/>
        </w:rPr>
        <w:t xml:space="preserve">1. Garantizar, proteger, restablecer y reparar los derechos de los miembros de la familia conculcados por situaciones de violencia intrafamiliar. </w:t>
      </w:r>
    </w:p>
    <w:p w14:paraId="3B893E5A" w14:textId="4D90938E" w:rsidR="00410F53" w:rsidRPr="00410F53" w:rsidRDefault="00410F53" w:rsidP="005E02D9">
      <w:pPr>
        <w:ind w:left="709" w:right="709"/>
        <w:jc w:val="both"/>
        <w:rPr>
          <w:rFonts w:ascii="Arial" w:eastAsia="Calibri" w:hAnsi="Arial" w:cs="Arial"/>
          <w:sz w:val="21"/>
          <w:szCs w:val="21"/>
        </w:rPr>
      </w:pPr>
      <w:r w:rsidRPr="00410F53">
        <w:rPr>
          <w:rFonts w:ascii="Arial" w:eastAsia="Calibri" w:hAnsi="Arial" w:cs="Arial"/>
          <w:sz w:val="21"/>
          <w:szCs w:val="21"/>
        </w:rPr>
        <w:t xml:space="preserve">2. Atender y orientar a los niños, las niñas y los adolescentes y demás miembros del grupo familiar en el ejercicio y restablecimiento de sus derechos. </w:t>
      </w:r>
    </w:p>
    <w:p w14:paraId="24BA4FE2" w14:textId="53EEDE40" w:rsidR="00410F53" w:rsidRPr="00410F53" w:rsidRDefault="00410F53" w:rsidP="005E02D9">
      <w:pPr>
        <w:ind w:left="709" w:right="709"/>
        <w:jc w:val="both"/>
        <w:rPr>
          <w:rFonts w:ascii="Arial" w:eastAsia="Calibri" w:hAnsi="Arial" w:cs="Arial"/>
          <w:sz w:val="21"/>
          <w:szCs w:val="21"/>
        </w:rPr>
      </w:pPr>
      <w:r w:rsidRPr="00410F53">
        <w:rPr>
          <w:rFonts w:ascii="Arial" w:eastAsia="Calibri" w:hAnsi="Arial" w:cs="Arial"/>
          <w:sz w:val="21"/>
          <w:szCs w:val="21"/>
        </w:rPr>
        <w:t xml:space="preserve">3. Recibir denuncias y adoptar las medidas de emergencia y de protección necesarias en casos de delitos contra los niños, las niñas y los adolescentes. </w:t>
      </w:r>
    </w:p>
    <w:p w14:paraId="58EA2543" w14:textId="77777777" w:rsidR="00410F53" w:rsidRPr="00410F53" w:rsidRDefault="00410F53" w:rsidP="005E02D9">
      <w:pPr>
        <w:ind w:left="709" w:right="709"/>
        <w:jc w:val="both"/>
        <w:rPr>
          <w:rFonts w:ascii="Arial" w:eastAsia="Calibri" w:hAnsi="Arial" w:cs="Arial"/>
          <w:sz w:val="21"/>
          <w:szCs w:val="21"/>
        </w:rPr>
      </w:pPr>
      <w:r w:rsidRPr="00410F53">
        <w:rPr>
          <w:rFonts w:ascii="Arial" w:eastAsia="Calibri" w:hAnsi="Arial" w:cs="Arial"/>
          <w:sz w:val="21"/>
          <w:szCs w:val="21"/>
        </w:rPr>
        <w:t>4. Recibir denuncias y tomar las medidas de protección en casos de violencia intrafamiliar</w:t>
      </w:r>
    </w:p>
    <w:p w14:paraId="7D0E1D10" w14:textId="29A46870" w:rsidR="00410F53" w:rsidRPr="00410F53" w:rsidRDefault="00410F53" w:rsidP="005E02D9">
      <w:pPr>
        <w:ind w:left="709" w:right="709"/>
        <w:jc w:val="both"/>
        <w:rPr>
          <w:rFonts w:ascii="Arial" w:eastAsia="Calibri" w:hAnsi="Arial" w:cs="Arial"/>
          <w:sz w:val="21"/>
          <w:szCs w:val="21"/>
        </w:rPr>
      </w:pPr>
      <w:r w:rsidRPr="00410F53">
        <w:rPr>
          <w:rFonts w:ascii="Arial" w:eastAsia="Calibri" w:hAnsi="Arial" w:cs="Arial"/>
          <w:sz w:val="21"/>
          <w:szCs w:val="21"/>
        </w:rPr>
        <w:t>5. Definir provisionalmente sobre la custodia y cuidado personal, la cuota de alimentos y la reglamentación de visitas, la suspensión de la vida en común de los cónyuges o compañeros permanentes y fijar las cauciones de comportamiento conyugal, en las situaciones de violencia intrafamiliar.</w:t>
      </w:r>
    </w:p>
    <w:p w14:paraId="18C71496" w14:textId="19764745" w:rsidR="00410F53" w:rsidRPr="00410F53" w:rsidRDefault="00410F53" w:rsidP="005E02D9">
      <w:pPr>
        <w:ind w:left="709" w:right="709"/>
        <w:jc w:val="both"/>
        <w:rPr>
          <w:rFonts w:ascii="Arial" w:eastAsia="Calibri" w:hAnsi="Arial" w:cs="Arial"/>
          <w:sz w:val="21"/>
          <w:szCs w:val="21"/>
        </w:rPr>
      </w:pPr>
      <w:r w:rsidRPr="00410F53">
        <w:rPr>
          <w:rFonts w:ascii="Arial" w:eastAsia="Calibri" w:hAnsi="Arial" w:cs="Arial"/>
          <w:sz w:val="21"/>
          <w:szCs w:val="21"/>
        </w:rPr>
        <w:t xml:space="preserve">6. Practicar rescates para conjurar las situaciones de peligro en que pueda encontrarse un niño, niña o adolescente, cuando la urgencia del caso lo demande. </w:t>
      </w:r>
    </w:p>
    <w:p w14:paraId="5D57B724" w14:textId="78CB6970" w:rsidR="00410F53" w:rsidRPr="00410F53" w:rsidRDefault="00410F53" w:rsidP="005E02D9">
      <w:pPr>
        <w:ind w:left="709" w:right="709"/>
        <w:jc w:val="both"/>
        <w:rPr>
          <w:rFonts w:ascii="Arial" w:eastAsia="Calibri" w:hAnsi="Arial" w:cs="Arial"/>
          <w:sz w:val="21"/>
          <w:szCs w:val="21"/>
        </w:rPr>
      </w:pPr>
      <w:r w:rsidRPr="00410F53">
        <w:rPr>
          <w:rFonts w:ascii="Arial" w:eastAsia="Calibri" w:hAnsi="Arial" w:cs="Arial"/>
          <w:sz w:val="21"/>
          <w:szCs w:val="21"/>
        </w:rPr>
        <w:t xml:space="preserve">7. Desarrollar programas de prevención en materia de violencia intrafamiliar y delitos sexuales. </w:t>
      </w:r>
    </w:p>
    <w:p w14:paraId="24ECE9D6" w14:textId="379FE462" w:rsidR="00410F53" w:rsidRPr="00410F53" w:rsidRDefault="00410F53" w:rsidP="005E02D9">
      <w:pPr>
        <w:ind w:left="709" w:right="709"/>
        <w:jc w:val="both"/>
        <w:rPr>
          <w:rFonts w:ascii="Arial" w:eastAsia="Calibri" w:hAnsi="Arial" w:cs="Arial"/>
          <w:sz w:val="21"/>
          <w:szCs w:val="21"/>
        </w:rPr>
      </w:pPr>
      <w:r w:rsidRPr="00410F53">
        <w:rPr>
          <w:rFonts w:ascii="Arial" w:eastAsia="Calibri" w:hAnsi="Arial" w:cs="Arial"/>
          <w:sz w:val="21"/>
          <w:szCs w:val="21"/>
        </w:rPr>
        <w:t xml:space="preserve">8. Adoptar las medidas de restablecimiento de derechos en los casos de maltrato infantil y denunciar el delito. </w:t>
      </w:r>
    </w:p>
    <w:p w14:paraId="4A8E8D3B" w14:textId="5C73AC94" w:rsidR="00410F53" w:rsidRDefault="00410F53" w:rsidP="005E02D9">
      <w:pPr>
        <w:ind w:left="709" w:right="709"/>
        <w:jc w:val="both"/>
        <w:rPr>
          <w:rFonts w:ascii="Arial" w:eastAsia="Calibri" w:hAnsi="Arial" w:cs="Arial"/>
          <w:sz w:val="21"/>
          <w:szCs w:val="21"/>
        </w:rPr>
      </w:pPr>
      <w:r w:rsidRPr="00410F53">
        <w:rPr>
          <w:rFonts w:ascii="Arial" w:eastAsia="Calibri" w:hAnsi="Arial" w:cs="Arial"/>
          <w:sz w:val="21"/>
          <w:szCs w:val="21"/>
        </w:rPr>
        <w:t>9. Aplicar las medidas policivas que correspondan en casos de conflictos familiares, conforme a las atribuciones que les confieran los Concejos Municipales.</w:t>
      </w:r>
    </w:p>
    <w:p w14:paraId="34628F6F" w14:textId="1540C566" w:rsidR="00410F53" w:rsidRDefault="00410F53" w:rsidP="005E02D9">
      <w:pPr>
        <w:ind w:right="709"/>
        <w:contextualSpacing/>
        <w:jc w:val="both"/>
        <w:rPr>
          <w:rFonts w:ascii="Arial" w:eastAsia="Calibri" w:hAnsi="Arial" w:cs="Arial"/>
          <w:sz w:val="21"/>
          <w:szCs w:val="21"/>
        </w:rPr>
      </w:pPr>
    </w:p>
    <w:p w14:paraId="75409A0D" w14:textId="760A6147" w:rsidR="008E2B58" w:rsidRPr="005E02D9" w:rsidRDefault="008354D3" w:rsidP="005E02D9">
      <w:pPr>
        <w:tabs>
          <w:tab w:val="left" w:pos="1188"/>
        </w:tabs>
        <w:spacing w:after="120" w:line="276" w:lineRule="auto"/>
        <w:jc w:val="both"/>
        <w:rPr>
          <w:rFonts w:ascii="Arial" w:eastAsia="Calibri" w:hAnsi="Arial" w:cs="Arial"/>
          <w:sz w:val="22"/>
          <w:szCs w:val="22"/>
        </w:rPr>
      </w:pPr>
      <w:r w:rsidRPr="005E02D9">
        <w:rPr>
          <w:rFonts w:ascii="Arial" w:eastAsia="Calibri" w:hAnsi="Arial" w:cs="Arial"/>
          <w:sz w:val="22"/>
        </w:rPr>
        <w:tab/>
      </w:r>
      <w:r w:rsidR="00410F53" w:rsidRPr="005E02D9">
        <w:rPr>
          <w:rFonts w:ascii="Arial" w:eastAsia="Calibri" w:hAnsi="Arial" w:cs="Arial"/>
          <w:sz w:val="22"/>
          <w:szCs w:val="22"/>
        </w:rPr>
        <w:t>Dado que el Comisario de Familia es un servidor público de carrera administrativa,</w:t>
      </w:r>
      <w:r w:rsidR="0010743B" w:rsidRPr="005E02D9">
        <w:rPr>
          <w:rFonts w:ascii="Arial" w:eastAsia="Calibri" w:hAnsi="Arial" w:cs="Arial"/>
          <w:sz w:val="22"/>
          <w:szCs w:val="22"/>
        </w:rPr>
        <w:t xml:space="preserve"> sus funciones se deben ceñir a lo dispuest</w:t>
      </w:r>
      <w:r w:rsidR="001014AC" w:rsidRPr="005E02D9">
        <w:rPr>
          <w:rFonts w:ascii="Arial" w:eastAsia="Calibri" w:hAnsi="Arial" w:cs="Arial"/>
          <w:sz w:val="22"/>
          <w:szCs w:val="22"/>
        </w:rPr>
        <w:t>o</w:t>
      </w:r>
      <w:r w:rsidR="0010743B" w:rsidRPr="005E02D9">
        <w:rPr>
          <w:rFonts w:ascii="Arial" w:eastAsia="Calibri" w:hAnsi="Arial" w:cs="Arial"/>
          <w:sz w:val="22"/>
          <w:szCs w:val="22"/>
        </w:rPr>
        <w:t xml:space="preserve"> en la norma anteriormente citada y al respectivo manual específico de funciones y competencias laborales</w:t>
      </w:r>
      <w:r w:rsidR="006B40D6" w:rsidRPr="005E02D9">
        <w:rPr>
          <w:rStyle w:val="Refdenotaalpie"/>
          <w:rFonts w:ascii="Arial" w:eastAsia="Calibri" w:hAnsi="Arial" w:cs="Arial"/>
          <w:sz w:val="22"/>
          <w:szCs w:val="22"/>
        </w:rPr>
        <w:footnoteReference w:id="32"/>
      </w:r>
      <w:r w:rsidR="0010743B" w:rsidRPr="005E02D9">
        <w:rPr>
          <w:rFonts w:ascii="Arial" w:eastAsia="Calibri" w:hAnsi="Arial" w:cs="Arial"/>
          <w:sz w:val="22"/>
          <w:szCs w:val="22"/>
        </w:rPr>
        <w:t xml:space="preserve">, en donde consta, ente otros, el área funcional, la descripción de funciones esenciales, los conocimientos básicos, las competencias comportamentales y los requisitos de formación académica del Comisario de Familia. </w:t>
      </w:r>
      <w:r w:rsidR="00F53A80" w:rsidRPr="005E02D9">
        <w:rPr>
          <w:rFonts w:ascii="Arial" w:eastAsia="Calibri" w:hAnsi="Arial" w:cs="Arial"/>
          <w:sz w:val="22"/>
          <w:szCs w:val="22"/>
        </w:rPr>
        <w:t>En cuanto a la posibilidad de que el Comisario/Defensor de Familia funja como supervisor de un contrato de prestación de servicios dependerá,</w:t>
      </w:r>
      <w:r w:rsidRPr="005E02D9">
        <w:rPr>
          <w:rFonts w:ascii="Arial" w:eastAsia="Calibri" w:hAnsi="Arial" w:cs="Arial"/>
          <w:sz w:val="22"/>
          <w:szCs w:val="22"/>
        </w:rPr>
        <w:t xml:space="preserve"> por una parte,</w:t>
      </w:r>
      <w:r w:rsidR="00F53A80" w:rsidRPr="005E02D9">
        <w:rPr>
          <w:rFonts w:ascii="Arial" w:eastAsia="Calibri" w:hAnsi="Arial" w:cs="Arial"/>
          <w:sz w:val="22"/>
          <w:szCs w:val="22"/>
        </w:rPr>
        <w:t xml:space="preserve"> del ejercicio de su deber funcional, entendido este como las funciones descritas en el artículo 86 de la Ley 1098 de 2006, y de </w:t>
      </w:r>
      <w:r w:rsidR="009D185F" w:rsidRPr="005E02D9">
        <w:rPr>
          <w:rFonts w:ascii="Arial" w:eastAsia="Calibri" w:hAnsi="Arial" w:cs="Arial"/>
          <w:sz w:val="22"/>
          <w:szCs w:val="22"/>
        </w:rPr>
        <w:t>las directrices y funciones específicas que le asigne el jefe inmediato</w:t>
      </w:r>
      <w:r w:rsidRPr="005E02D9">
        <w:rPr>
          <w:rFonts w:ascii="Arial" w:eastAsia="Calibri" w:hAnsi="Arial" w:cs="Arial"/>
          <w:sz w:val="22"/>
          <w:szCs w:val="22"/>
        </w:rPr>
        <w:t xml:space="preserve">. Por otra parte, es preciso recordar que la «Guía para el ejercicio de las funciones de supervisión e interventoría de los contratos del Estado», expedida por esta Agencia, señala que para la designación del supervisor del contrato no se requiere que en el manual de funciones de la entidad estatal se establezca expresamente la obligación de supervisar contratos, pues la misma es inherente al desempeño de las funciones ordinarias de los servidores públicos. Así las cosas, los defensores y comisarios de familia, como servidores públicos puede fungir como supervisores de los contratos. No obstante, se recomienda que la designación del supervisor se haga con un funcionario que pueda actuar al menos como par del contratista y que tenga asignadas funciones relacionadas con el objeto contractual. Adicionalmente, es recomendable que la entidad realice un análisis de la carga operativa de que va a ser designado. </w:t>
      </w:r>
    </w:p>
    <w:p w14:paraId="5D9E5B22" w14:textId="2193B0D8" w:rsidR="000A6D96" w:rsidRPr="000A6D96" w:rsidRDefault="008E2B58" w:rsidP="005E02D9">
      <w:pPr>
        <w:tabs>
          <w:tab w:val="left" w:pos="1188"/>
        </w:tabs>
        <w:spacing w:after="120" w:line="276" w:lineRule="auto"/>
        <w:jc w:val="both"/>
        <w:rPr>
          <w:rFonts w:ascii="Arial" w:eastAsia="Calibri" w:hAnsi="Arial" w:cs="Arial"/>
          <w:sz w:val="22"/>
          <w:szCs w:val="22"/>
        </w:rPr>
      </w:pPr>
      <w:r w:rsidRPr="005E02D9">
        <w:rPr>
          <w:rFonts w:ascii="Arial" w:eastAsia="Calibri" w:hAnsi="Arial" w:cs="Arial"/>
          <w:sz w:val="22"/>
          <w:szCs w:val="22"/>
        </w:rPr>
        <w:tab/>
        <w:t xml:space="preserve">Ahora bien, respecto </w:t>
      </w:r>
      <w:r w:rsidR="000A6D96" w:rsidRPr="005E02D9">
        <w:rPr>
          <w:rFonts w:ascii="Arial" w:eastAsia="Calibri" w:hAnsi="Arial" w:cs="Arial"/>
          <w:sz w:val="22"/>
          <w:szCs w:val="22"/>
        </w:rPr>
        <w:t xml:space="preserve">a la posibilidad de que el Comisario de Familia funja como interventor, </w:t>
      </w:r>
      <w:r w:rsidRPr="005E02D9">
        <w:rPr>
          <w:rFonts w:ascii="Arial" w:eastAsia="Calibri" w:hAnsi="Arial" w:cs="Arial"/>
          <w:sz w:val="22"/>
          <w:szCs w:val="22"/>
        </w:rPr>
        <w:t xml:space="preserve">debe </w:t>
      </w:r>
      <w:r w:rsidR="000A6D96" w:rsidRPr="005E02D9">
        <w:rPr>
          <w:rFonts w:ascii="Arial" w:eastAsia="Calibri" w:hAnsi="Arial" w:cs="Arial"/>
          <w:sz w:val="22"/>
          <w:szCs w:val="22"/>
        </w:rPr>
        <w:t xml:space="preserve">recordarse que la interventoría es un mecanismo </w:t>
      </w:r>
      <w:r w:rsidR="000A6D96" w:rsidRPr="005E02D9">
        <w:rPr>
          <w:rFonts w:ascii="Arial" w:hAnsi="Arial" w:cs="Arial"/>
          <w:color w:val="000000" w:themeColor="text1"/>
          <w:sz w:val="22"/>
          <w:szCs w:val="22"/>
        </w:rPr>
        <w:t>de vigilancia que solo es obligatorio para el seguimiento de los contratos de obra adjudicados por licitación pública y en los demás casos se requerirá cuando «el seguimiento del contrato suponga conocimiento especializado en la materia, o cuando la complejidad o la extensión del mismo lo justifiquen». Así mismo, este mecanismo de vigilancia exige, en su ejecución, la utilización de conocimientos especializados, por lo cual la entidad contrata un experto a través de un concurso de méritos.</w:t>
      </w:r>
      <w:r w:rsidR="000A6D96" w:rsidRPr="000A6D96">
        <w:rPr>
          <w:rFonts w:ascii="Arial" w:hAnsi="Arial" w:cs="Arial"/>
          <w:color w:val="000000" w:themeColor="text1"/>
          <w:sz w:val="22"/>
          <w:szCs w:val="22"/>
        </w:rPr>
        <w:t xml:space="preserve"> </w:t>
      </w:r>
    </w:p>
    <w:p w14:paraId="5C5DD927" w14:textId="6B72DDD3" w:rsidR="00762188" w:rsidRPr="00CD5917" w:rsidRDefault="005F46E8" w:rsidP="00B47043">
      <w:pPr>
        <w:spacing w:line="276" w:lineRule="auto"/>
        <w:ind w:firstLine="709"/>
        <w:jc w:val="both"/>
        <w:rPr>
          <w:rFonts w:ascii="Arial" w:eastAsia="Calibri" w:hAnsi="Arial" w:cs="Arial"/>
          <w:color w:val="FF0000"/>
          <w:sz w:val="22"/>
        </w:rPr>
      </w:pPr>
      <w:r w:rsidRPr="00A945B9">
        <w:rPr>
          <w:rFonts w:ascii="Arial" w:eastAsia="Calibri" w:hAnsi="Arial" w:cs="Arial"/>
          <w:sz w:val="22"/>
        </w:rPr>
        <w:t>Con todo, es preciso seña</w:t>
      </w:r>
      <w:r w:rsidR="00364EC9" w:rsidRPr="00A945B9">
        <w:rPr>
          <w:rFonts w:ascii="Arial" w:eastAsia="Calibri" w:hAnsi="Arial" w:cs="Arial"/>
          <w:sz w:val="22"/>
        </w:rPr>
        <w:t>lar que, la</w:t>
      </w:r>
      <w:r w:rsidR="005208EA" w:rsidRPr="00A945B9">
        <w:rPr>
          <w:rFonts w:ascii="Arial" w:eastAsia="Calibri" w:hAnsi="Arial" w:cs="Arial"/>
          <w:sz w:val="22"/>
        </w:rPr>
        <w:t xml:space="preserve"> competencia consultiva atribuida a la</w:t>
      </w:r>
      <w:r w:rsidR="00364EC9" w:rsidRPr="00A945B9">
        <w:rPr>
          <w:rFonts w:ascii="Arial" w:eastAsia="Calibri" w:hAnsi="Arial" w:cs="Arial"/>
          <w:sz w:val="22"/>
        </w:rPr>
        <w:t xml:space="preserve"> Agencia Nacional de Contratación Pública</w:t>
      </w:r>
      <w:r w:rsidR="00327FED" w:rsidRPr="00A945B9">
        <w:rPr>
          <w:rFonts w:ascii="Arial" w:eastAsia="Calibri" w:hAnsi="Arial" w:cs="Arial"/>
          <w:sz w:val="22"/>
        </w:rPr>
        <w:t xml:space="preserve"> </w:t>
      </w:r>
      <w:r w:rsidR="005208EA" w:rsidRPr="00A945B9">
        <w:rPr>
          <w:rFonts w:ascii="Arial" w:eastAsia="Calibri" w:hAnsi="Arial" w:cs="Arial"/>
          <w:sz w:val="22"/>
        </w:rPr>
        <w:t>por los artículos 3</w:t>
      </w:r>
      <w:r w:rsidR="00DE0BE2" w:rsidRPr="00A945B9">
        <w:rPr>
          <w:rFonts w:ascii="Arial" w:eastAsia="Calibri" w:hAnsi="Arial" w:cs="Arial"/>
          <w:sz w:val="22"/>
        </w:rPr>
        <w:t xml:space="preserve">-5 y 11-8 del Decreto 4170 de 2011, se limita a la interpretación de normas generales en materia de contratación pública, </w:t>
      </w:r>
      <w:r w:rsidR="00273843" w:rsidRPr="00A945B9">
        <w:rPr>
          <w:rFonts w:ascii="Arial" w:eastAsia="Calibri" w:hAnsi="Arial" w:cs="Arial"/>
          <w:sz w:val="22"/>
        </w:rPr>
        <w:t xml:space="preserve">facultad en ejercicio de la cual, a lo largo del presente concepto se </w:t>
      </w:r>
      <w:r w:rsidR="007B2CF1" w:rsidRPr="00A945B9">
        <w:rPr>
          <w:rFonts w:ascii="Arial" w:eastAsia="Calibri" w:hAnsi="Arial" w:cs="Arial"/>
          <w:sz w:val="22"/>
        </w:rPr>
        <w:t>caracterizó el contrato de prestación de servicios y se estableció el alcance de</w:t>
      </w:r>
      <w:r w:rsidR="006B63E1" w:rsidRPr="00A945B9">
        <w:rPr>
          <w:rFonts w:ascii="Arial" w:eastAsia="Calibri" w:hAnsi="Arial" w:cs="Arial"/>
          <w:sz w:val="22"/>
        </w:rPr>
        <w:t xml:space="preserve">l ejercicio de la supervisión de contratos estatales. </w:t>
      </w:r>
    </w:p>
    <w:p w14:paraId="672F31F9" w14:textId="4F0B1BC9" w:rsidR="0050272A" w:rsidRPr="00A945B9" w:rsidRDefault="005D614B" w:rsidP="0050272A">
      <w:pPr>
        <w:spacing w:line="276" w:lineRule="auto"/>
        <w:ind w:firstLine="709"/>
        <w:jc w:val="both"/>
        <w:rPr>
          <w:rFonts w:ascii="Arial" w:eastAsia="Calibri" w:hAnsi="Arial" w:cs="Arial"/>
          <w:sz w:val="22"/>
        </w:rPr>
      </w:pPr>
      <w:r w:rsidRPr="00A945B9">
        <w:rPr>
          <w:rFonts w:ascii="Arial" w:eastAsia="Calibri" w:hAnsi="Arial" w:cs="Arial"/>
          <w:sz w:val="22"/>
        </w:rPr>
        <w:t xml:space="preserve"> </w:t>
      </w:r>
    </w:p>
    <w:p w14:paraId="189D120D" w14:textId="3F02F80B" w:rsidR="0050272A" w:rsidRPr="00A945B9" w:rsidRDefault="0050272A" w:rsidP="00B47043">
      <w:pPr>
        <w:pStyle w:val="Prrafodelista"/>
        <w:numPr>
          <w:ilvl w:val="0"/>
          <w:numId w:val="1"/>
        </w:numPr>
        <w:ind w:left="426"/>
        <w:jc w:val="both"/>
        <w:rPr>
          <w:rFonts w:ascii="Arial" w:eastAsia="Calibri" w:hAnsi="Arial" w:cs="Arial"/>
          <w:b/>
          <w:color w:val="000000" w:themeColor="text1"/>
          <w:sz w:val="22"/>
        </w:rPr>
      </w:pPr>
      <w:r w:rsidRPr="00A945B9">
        <w:rPr>
          <w:rFonts w:ascii="Arial" w:eastAsia="Calibri" w:hAnsi="Arial" w:cs="Arial"/>
          <w:b/>
          <w:color w:val="000000" w:themeColor="text1"/>
          <w:sz w:val="22"/>
        </w:rPr>
        <w:t>Respuesta</w:t>
      </w:r>
    </w:p>
    <w:p w14:paraId="60A40903" w14:textId="4DF4B695" w:rsidR="00002020" w:rsidRPr="00A945B9" w:rsidRDefault="00002020" w:rsidP="00002020">
      <w:pPr>
        <w:jc w:val="both"/>
        <w:rPr>
          <w:rFonts w:ascii="Arial" w:eastAsia="Calibri" w:hAnsi="Arial" w:cs="Arial"/>
          <w:b/>
          <w:color w:val="000000" w:themeColor="text1"/>
          <w:sz w:val="22"/>
        </w:rPr>
      </w:pPr>
    </w:p>
    <w:p w14:paraId="338F8D74" w14:textId="6FC7651B" w:rsidR="00243F6D" w:rsidRPr="00A945B9" w:rsidRDefault="00B64DE9" w:rsidP="00B64DE9">
      <w:pPr>
        <w:ind w:left="709" w:right="709"/>
        <w:jc w:val="both"/>
        <w:rPr>
          <w:rFonts w:ascii="Arial" w:hAnsi="Arial" w:cs="Arial"/>
          <w:color w:val="000000" w:themeColor="text1"/>
          <w:sz w:val="21"/>
          <w:szCs w:val="21"/>
        </w:rPr>
      </w:pPr>
      <w:r w:rsidRPr="00B64DE9">
        <w:rPr>
          <w:rFonts w:ascii="Arial" w:hAnsi="Arial" w:cs="Arial"/>
          <w:color w:val="000000" w:themeColor="text1"/>
          <w:sz w:val="21"/>
          <w:szCs w:val="21"/>
        </w:rPr>
        <w:t>«Los defensores de familia o comisarios de familia pueden ser interventores o auditores de contratos de prestación de servicios o de cualquier otra clase de contrato o convenio, en caso afirmativo que norma lo regula».</w:t>
      </w:r>
    </w:p>
    <w:p w14:paraId="6BA27945" w14:textId="106D588B" w:rsidR="00002020" w:rsidRPr="00A945B9" w:rsidRDefault="00002020" w:rsidP="00002020">
      <w:pPr>
        <w:jc w:val="both"/>
        <w:rPr>
          <w:rFonts w:ascii="Arial" w:eastAsia="Calibri" w:hAnsi="Arial" w:cs="Arial"/>
          <w:b/>
          <w:color w:val="000000" w:themeColor="text1"/>
          <w:sz w:val="22"/>
        </w:rPr>
      </w:pPr>
    </w:p>
    <w:p w14:paraId="502C86D5" w14:textId="2E60E786" w:rsidR="008E2B58" w:rsidRPr="00B07480" w:rsidRDefault="008E2B58" w:rsidP="008E2B58">
      <w:pPr>
        <w:spacing w:after="120" w:line="276" w:lineRule="auto"/>
        <w:jc w:val="both"/>
        <w:rPr>
          <w:rFonts w:ascii="Arial" w:eastAsiaTheme="minorHAnsi" w:hAnsi="Arial" w:cs="Arial"/>
          <w:bCs/>
          <w:sz w:val="22"/>
          <w:szCs w:val="22"/>
          <w:lang w:val="es-ES" w:eastAsia="en-US"/>
        </w:rPr>
      </w:pPr>
      <w:r w:rsidRPr="00B07480">
        <w:rPr>
          <w:rFonts w:ascii="Arial" w:hAnsi="Arial" w:cs="Arial"/>
          <w:bCs/>
          <w:sz w:val="22"/>
          <w:lang w:val="es-ES"/>
        </w:rPr>
        <w:t xml:space="preserve">Conforme lo expuesto a lo largo de este concepto, </w:t>
      </w:r>
      <w:r w:rsidRPr="00B07480">
        <w:rPr>
          <w:rFonts w:ascii="Arial" w:hAnsi="Arial" w:cs="Arial"/>
          <w:bCs/>
          <w:color w:val="000000" w:themeColor="text1"/>
          <w:sz w:val="22"/>
        </w:rPr>
        <w:t xml:space="preserve">el seguimiento de la ejecución del contrato para su dirección, control y vigilancia del correcto cumplimiento del objeto es un deber legal que permite a las entidades estatales tomar medidas orientadas a la satisfacción de los fines de la contratación. Dentro de los mecanismos a través de los cuales se ejerce dicha vigilancia se encuentra la designación de una supervisión o la contratación de una interventoría. </w:t>
      </w:r>
    </w:p>
    <w:p w14:paraId="41E9E338" w14:textId="064CB65B" w:rsidR="008E2B58" w:rsidRPr="00B07480" w:rsidRDefault="008E2B58" w:rsidP="008E2B58">
      <w:pPr>
        <w:pStyle w:val="Sinespaciado"/>
        <w:spacing w:before="120" w:line="276" w:lineRule="auto"/>
        <w:ind w:firstLine="709"/>
        <w:jc w:val="both"/>
        <w:rPr>
          <w:rFonts w:ascii="Arial" w:hAnsi="Arial" w:cs="Arial"/>
          <w:color w:val="000000" w:themeColor="text1"/>
          <w:sz w:val="22"/>
        </w:rPr>
      </w:pPr>
      <w:r w:rsidRPr="00B07480">
        <w:rPr>
          <w:rFonts w:ascii="Arial" w:hAnsi="Arial" w:cs="Arial"/>
          <w:bCs/>
          <w:sz w:val="22"/>
          <w:lang w:val="es-ES"/>
        </w:rPr>
        <w:tab/>
        <w:t xml:space="preserve">Por un lado, del contenido de </w:t>
      </w:r>
      <w:r w:rsidRPr="00B07480">
        <w:rPr>
          <w:rFonts w:ascii="Arial" w:hAnsi="Arial" w:cs="Arial"/>
          <w:color w:val="000000" w:themeColor="text1"/>
          <w:sz w:val="22"/>
        </w:rPr>
        <w:t xml:space="preserve">la Ley 1474 de 2011 se infieren las siguientes características en relación con la supervisión: </w:t>
      </w:r>
      <w:r w:rsidRPr="005E02D9">
        <w:rPr>
          <w:rFonts w:ascii="Arial" w:hAnsi="Arial" w:cs="Arial"/>
          <w:color w:val="000000" w:themeColor="text1"/>
          <w:sz w:val="22"/>
        </w:rPr>
        <w:t>i) la labor de supervisión siempre existirá en relación con cualquier contrato estatal, incluidos los contratos de prestación de servicios ―a diferencia de la interventoría que depende del análisis de su necesidad y extensión</w:t>
      </w:r>
      <w:r w:rsidRPr="005E02D9">
        <w:rPr>
          <w:rFonts w:ascii="Arial" w:hAnsi="Arial" w:cs="Arial"/>
          <w:color w:val="000000" w:themeColor="text1"/>
          <w:sz w:val="22"/>
          <w:vertAlign w:val="superscript"/>
        </w:rPr>
        <w:footnoteReference w:id="33"/>
      </w:r>
      <w:r w:rsidRPr="005E02D9">
        <w:rPr>
          <w:rFonts w:ascii="Arial" w:hAnsi="Arial" w:cs="Arial"/>
          <w:color w:val="000000" w:themeColor="text1"/>
          <w:sz w:val="22"/>
        </w:rPr>
        <w:t>―; ii) no requiere conocimientos tan especializados como la interventoría; iii) se ejerce por la entidad estatal por conducto de la designación de servidores públicos idóneos para cumplir la función; iv) puede recibir apoyo de personal contratado para tal fin mediante contratos de prestación de servicios; v) le es inherente el seguimiento técnico, administrativo, financiero, contable, y jurídico del contrato vigilado.</w:t>
      </w:r>
    </w:p>
    <w:p w14:paraId="4F54E3E9" w14:textId="4F06D458" w:rsidR="008E2B58" w:rsidRPr="00B07480" w:rsidRDefault="008E2B58" w:rsidP="005E02D9">
      <w:pPr>
        <w:pStyle w:val="Sinespaciado"/>
        <w:spacing w:before="120" w:after="120" w:line="276" w:lineRule="auto"/>
        <w:ind w:firstLine="709"/>
        <w:jc w:val="both"/>
        <w:rPr>
          <w:rFonts w:ascii="Arial" w:hAnsi="Arial" w:cs="Arial"/>
          <w:color w:val="000000" w:themeColor="text1"/>
          <w:sz w:val="22"/>
        </w:rPr>
      </w:pPr>
      <w:r w:rsidRPr="00B07480">
        <w:rPr>
          <w:rFonts w:ascii="Arial" w:hAnsi="Arial" w:cs="Arial"/>
          <w:color w:val="000000" w:themeColor="text1"/>
          <w:sz w:val="22"/>
        </w:rPr>
        <w:t>Por su parte, la interventoría: i) será un mecanismo de vigilancia contingente en la medida que solo es obligatorio para el seguimiento de los contratos de obra adjudicados por licitación pública ―art. 32, numeral 1―; en los demás casos se requerirá cuando «el seguimiento del contrato suponga conocimiento especializado en la materia, o cuando la complejidad o la extensión del mismo lo justifiquen» ―art. 83, Ley 1474 de 2011―. ii) Este mecanismo de vigilancia exige, en su ejecución, la utilización de conocimientos especializados. iii) Por lo anterior, la entidad contrata un experto a través de un concurso de méritos, al tratarse la interventoría de una especie del contrato de consultoría ―art. 32, numeral 2, inciso 2, Ley 80 de 1993</w:t>
      </w:r>
      <w:r w:rsidRPr="00B07480">
        <w:rPr>
          <w:rStyle w:val="Refdenotaalpie"/>
          <w:rFonts w:ascii="Arial" w:hAnsi="Arial" w:cs="Arial"/>
          <w:color w:val="000000" w:themeColor="text1"/>
          <w:sz w:val="22"/>
        </w:rPr>
        <w:footnoteReference w:id="34"/>
      </w:r>
      <w:r w:rsidRPr="00B07480">
        <w:rPr>
          <w:rFonts w:ascii="Arial" w:hAnsi="Arial" w:cs="Arial"/>
          <w:color w:val="000000" w:themeColor="text1"/>
          <w:sz w:val="22"/>
        </w:rPr>
        <w:t>―, de manera que la interventoría es realizada por una «persona natural o jurídica contratada para tal fin por la Entidad Estatal» ―art. 83, Ley 1474―. iv) Le es inherente el seguimiento técnico, frente a la vigilancia de la correcta ejecución del contrato vigilado; sin embargo, el artículo 83 de la Ley 1474 de 2011 permite que en el contrato de interventoría también se pacten obligaciones para que el contratista realice el seguimiento administrativo, financiero, contable o jurídico. v) En caso de que no se encomiende al interventor el seguimiento total del contrato, dentro de sus obligaciones se debe estipular que «las actividades técnicas a cargo del interventor y las demás quedarán a cargo de la Entidad a través del supervisor» ―art. 83, inciso 3―. vi) El contrato de interventoría será supervisado directamente por la entidad ―art. 83, inciso 4―.</w:t>
      </w:r>
    </w:p>
    <w:p w14:paraId="43DAA58F" w14:textId="323B0252" w:rsidR="000A6D96" w:rsidRPr="005E02D9" w:rsidRDefault="000A6D96" w:rsidP="005E02D9">
      <w:pPr>
        <w:pStyle w:val="Sinespaciado"/>
        <w:spacing w:after="120" w:line="276" w:lineRule="auto"/>
        <w:jc w:val="both"/>
        <w:rPr>
          <w:rFonts w:ascii="Arial" w:eastAsia="Calibri" w:hAnsi="Arial" w:cs="Arial"/>
          <w:sz w:val="22"/>
        </w:rPr>
      </w:pPr>
      <w:r w:rsidRPr="00B07480">
        <w:rPr>
          <w:rFonts w:ascii="Arial" w:eastAsia="Calibri" w:hAnsi="Arial" w:cs="Arial"/>
          <w:sz w:val="22"/>
        </w:rPr>
        <w:tab/>
      </w:r>
      <w:r w:rsidR="00232DCA" w:rsidRPr="00B07480">
        <w:rPr>
          <w:rFonts w:ascii="Arial" w:hAnsi="Arial" w:cs="Arial"/>
          <w:color w:val="000000" w:themeColor="text1"/>
          <w:sz w:val="22"/>
        </w:rPr>
        <w:t>Ahora bien</w:t>
      </w:r>
      <w:r w:rsidR="003D720A" w:rsidRPr="00B07480">
        <w:rPr>
          <w:rFonts w:ascii="Arial" w:hAnsi="Arial" w:cs="Arial"/>
          <w:color w:val="000000" w:themeColor="text1"/>
          <w:sz w:val="22"/>
        </w:rPr>
        <w:t xml:space="preserve">, </w:t>
      </w:r>
      <w:r w:rsidR="00147F28" w:rsidRPr="00B07480">
        <w:rPr>
          <w:rFonts w:ascii="Arial" w:hAnsi="Arial" w:cs="Arial"/>
          <w:color w:val="000000" w:themeColor="text1"/>
          <w:sz w:val="22"/>
        </w:rPr>
        <w:t>dado que el Comisario de Familia es un servidor público de carrera administrativa, sus funciones se deben ceñir a lo dispuesta en la</w:t>
      </w:r>
      <w:r w:rsidR="0023199A" w:rsidRPr="00B07480">
        <w:rPr>
          <w:rFonts w:ascii="Arial" w:hAnsi="Arial" w:cs="Arial"/>
          <w:color w:val="000000" w:themeColor="text1"/>
          <w:sz w:val="22"/>
        </w:rPr>
        <w:t xml:space="preserve"> Ley 1098 de 2006</w:t>
      </w:r>
      <w:r w:rsidR="00147F28" w:rsidRPr="00B07480">
        <w:rPr>
          <w:rFonts w:ascii="Arial" w:hAnsi="Arial" w:cs="Arial"/>
          <w:color w:val="000000" w:themeColor="text1"/>
          <w:sz w:val="22"/>
        </w:rPr>
        <w:t xml:space="preserve"> y al respectivo manual específico de funciones y competencias laborales, en donde consta, ente otros, el área funcional, la descripción de funciones esenciales, los conocimientos básicos, las competencias comportamentales y los requisitos de formación académica del Comisario de Familia. En cuanto a la posibilidad de que el Comisario</w:t>
      </w:r>
      <w:r w:rsidR="00B07480">
        <w:rPr>
          <w:rFonts w:ascii="Arial" w:hAnsi="Arial" w:cs="Arial"/>
          <w:color w:val="000000" w:themeColor="text1"/>
          <w:sz w:val="22"/>
        </w:rPr>
        <w:t xml:space="preserve"> y</w:t>
      </w:r>
      <w:r w:rsidR="00147F28" w:rsidRPr="00B07480">
        <w:rPr>
          <w:rFonts w:ascii="Arial" w:hAnsi="Arial" w:cs="Arial"/>
          <w:color w:val="000000" w:themeColor="text1"/>
          <w:sz w:val="22"/>
        </w:rPr>
        <w:t>/</w:t>
      </w:r>
      <w:r w:rsidR="00B07480">
        <w:rPr>
          <w:rFonts w:ascii="Arial" w:hAnsi="Arial" w:cs="Arial"/>
          <w:color w:val="000000" w:themeColor="text1"/>
          <w:sz w:val="22"/>
        </w:rPr>
        <w:t xml:space="preserve">o </w:t>
      </w:r>
      <w:r w:rsidR="00147F28" w:rsidRPr="00B07480">
        <w:rPr>
          <w:rFonts w:ascii="Arial" w:hAnsi="Arial" w:cs="Arial"/>
          <w:color w:val="000000" w:themeColor="text1"/>
          <w:sz w:val="22"/>
        </w:rPr>
        <w:t xml:space="preserve">Defensor de Familia funja como supervisor de un contrato de prestación de servicios dependerá, </w:t>
      </w:r>
      <w:r w:rsidRPr="005E02D9">
        <w:rPr>
          <w:rFonts w:ascii="Arial" w:eastAsia="Calibri" w:hAnsi="Arial" w:cs="Arial"/>
          <w:sz w:val="22"/>
        </w:rPr>
        <w:t>por una parte, del ejercicio de su deber funcional, entendido este como las funciones descritas en el artículo 86 de la Ley 1098 de 2006, y de las directrices y funciones específicas que le asigne el jefe inmediato. Por otra parte, es preciso recordar que la «Guía para el ejercicio de las funciones de supervisión e interventoría de los contratos del Estado», expedida por esta Agencia, señala que para la designación del supervisor del contrato no se requiere que en el manual de funciones de la entidad estatal se establezca expresamente la obligación de supervisar contratos, pues la misma es inherente al desempeño de las funciones ordinarias de los servidores públicos. Así las cosas, los defensores y comisarios de familia, como servidores públicos</w:t>
      </w:r>
      <w:r w:rsidR="00B07480" w:rsidRPr="005E02D9">
        <w:rPr>
          <w:rFonts w:ascii="Arial" w:eastAsia="Calibri" w:hAnsi="Arial" w:cs="Arial"/>
          <w:sz w:val="22"/>
        </w:rPr>
        <w:t>,</w:t>
      </w:r>
      <w:r w:rsidRPr="005E02D9">
        <w:rPr>
          <w:rFonts w:ascii="Arial" w:eastAsia="Calibri" w:hAnsi="Arial" w:cs="Arial"/>
          <w:sz w:val="22"/>
        </w:rPr>
        <w:t xml:space="preserve"> puede</w:t>
      </w:r>
      <w:r w:rsidR="00B07480" w:rsidRPr="005E02D9">
        <w:rPr>
          <w:rFonts w:ascii="Arial" w:eastAsia="Calibri" w:hAnsi="Arial" w:cs="Arial"/>
          <w:sz w:val="22"/>
        </w:rPr>
        <w:t>n</w:t>
      </w:r>
      <w:r w:rsidRPr="005E02D9">
        <w:rPr>
          <w:rFonts w:ascii="Arial" w:eastAsia="Calibri" w:hAnsi="Arial" w:cs="Arial"/>
          <w:sz w:val="22"/>
        </w:rPr>
        <w:t xml:space="preserve"> fungir como supervisores de los contratos. No obstante, se recomienda que la designación del supervisor se haga con un funcionario que pueda actuar al menos como par del contratista y que tenga asignadas funciones relacionadas con el objeto contractual. Adicionalmente, es recomendable que la entidad realice un análisis de la carga operativa de que va a ser designado</w:t>
      </w:r>
      <w:r w:rsidR="00B07480" w:rsidRPr="005E02D9">
        <w:rPr>
          <w:rFonts w:ascii="Arial" w:eastAsia="Calibri" w:hAnsi="Arial" w:cs="Arial"/>
          <w:sz w:val="22"/>
        </w:rPr>
        <w:t>, para no incurrir en el riesgo de que el supervisor no pueda desempeñar la labor de manera adecuada</w:t>
      </w:r>
      <w:r w:rsidRPr="005E02D9">
        <w:rPr>
          <w:rFonts w:ascii="Arial" w:eastAsia="Calibri" w:hAnsi="Arial" w:cs="Arial"/>
          <w:sz w:val="22"/>
        </w:rPr>
        <w:t xml:space="preserve">. </w:t>
      </w:r>
    </w:p>
    <w:p w14:paraId="2CA4B86E" w14:textId="158ACDBF" w:rsidR="000A6D96" w:rsidRPr="00B07480" w:rsidRDefault="000A6D96" w:rsidP="005E02D9">
      <w:pPr>
        <w:pStyle w:val="Sinespaciado"/>
        <w:spacing w:line="276" w:lineRule="auto"/>
        <w:jc w:val="both"/>
        <w:rPr>
          <w:rFonts w:ascii="Arial" w:hAnsi="Arial" w:cs="Arial"/>
          <w:color w:val="000000" w:themeColor="text1"/>
          <w:sz w:val="22"/>
        </w:rPr>
      </w:pPr>
      <w:r w:rsidRPr="005E02D9">
        <w:rPr>
          <w:rFonts w:ascii="Arial" w:eastAsia="Calibri" w:hAnsi="Arial" w:cs="Arial"/>
          <w:sz w:val="22"/>
        </w:rPr>
        <w:tab/>
      </w:r>
      <w:r w:rsidR="00B07480" w:rsidRPr="005E02D9">
        <w:rPr>
          <w:rFonts w:ascii="Arial" w:eastAsia="Calibri" w:hAnsi="Arial" w:cs="Arial"/>
          <w:sz w:val="22"/>
        </w:rPr>
        <w:t>Finalmente</w:t>
      </w:r>
      <w:r w:rsidRPr="005E02D9">
        <w:rPr>
          <w:rFonts w:ascii="Arial" w:eastAsia="Calibri" w:hAnsi="Arial" w:cs="Arial"/>
          <w:sz w:val="22"/>
        </w:rPr>
        <w:t xml:space="preserve">, respecto a la posibilidad de que el Comisario de Familia funja como interventor, debe recordarse que la interventoría es un mecanismo </w:t>
      </w:r>
      <w:r w:rsidRPr="005E02D9">
        <w:rPr>
          <w:rFonts w:ascii="Arial" w:hAnsi="Arial" w:cs="Arial"/>
          <w:color w:val="000000" w:themeColor="text1"/>
          <w:sz w:val="22"/>
        </w:rPr>
        <w:t>de vigilancia que solo es obligatorio para el seguimiento de los contratos de obra adjudicados por licitación pública y en los demás casos se requerirá cuando «el seguimiento del contrato suponga conocimiento especializado en la materia, o cuando la complejidad o la extensión del mismo lo justifiquen». Así mismo, este mecanismo de vigilancia exige, en su ejecución, la utilización de conocimientos especializados, por lo cual la entidad contrata un experto a través de un concurso de méritos.</w:t>
      </w:r>
    </w:p>
    <w:p w14:paraId="7076A99E" w14:textId="77777777" w:rsidR="00CA27AC" w:rsidRPr="00A945B9" w:rsidRDefault="00CA27AC" w:rsidP="0050272A">
      <w:pPr>
        <w:spacing w:line="276" w:lineRule="auto"/>
        <w:jc w:val="both"/>
        <w:rPr>
          <w:rFonts w:ascii="Arial" w:hAnsi="Arial" w:cs="Arial"/>
          <w:color w:val="000000" w:themeColor="text1"/>
          <w:sz w:val="22"/>
          <w:szCs w:val="22"/>
        </w:rPr>
      </w:pPr>
    </w:p>
    <w:p w14:paraId="5CC13A48" w14:textId="77777777" w:rsidR="0050272A" w:rsidRPr="00A945B9" w:rsidRDefault="0050272A" w:rsidP="0050272A">
      <w:pPr>
        <w:spacing w:line="276" w:lineRule="auto"/>
        <w:jc w:val="both"/>
        <w:rPr>
          <w:rFonts w:ascii="Arial" w:hAnsi="Arial" w:cs="Arial"/>
          <w:color w:val="000000" w:themeColor="text1"/>
          <w:sz w:val="22"/>
        </w:rPr>
      </w:pPr>
      <w:r w:rsidRPr="00A945B9">
        <w:rPr>
          <w:rFonts w:ascii="Arial" w:hAnsi="Arial" w:cs="Arial"/>
          <w:color w:val="000000" w:themeColor="text1"/>
          <w:sz w:val="22"/>
        </w:rPr>
        <w:t>Este concepto tiene el alcance previsto en el artículo 28 del Código de Procedimiento Administrativo y de lo Contencioso Administrativo.</w:t>
      </w:r>
    </w:p>
    <w:p w14:paraId="7BE5B192" w14:textId="77777777" w:rsidR="0050272A" w:rsidRPr="00A945B9" w:rsidRDefault="0050272A" w:rsidP="0050272A">
      <w:pPr>
        <w:pStyle w:val="NormalWeb"/>
        <w:spacing w:before="0" w:beforeAutospacing="0" w:after="0" w:afterAutospacing="0" w:line="276" w:lineRule="auto"/>
        <w:jc w:val="both"/>
        <w:rPr>
          <w:rFonts w:ascii="Arial" w:hAnsi="Arial" w:cs="Arial"/>
          <w:color w:val="000000" w:themeColor="text1"/>
          <w:sz w:val="22"/>
          <w:szCs w:val="22"/>
        </w:rPr>
      </w:pPr>
    </w:p>
    <w:p w14:paraId="0E944D9E" w14:textId="512E0AB6" w:rsidR="0050272A" w:rsidRPr="00A945B9" w:rsidRDefault="0050272A" w:rsidP="00CA27AC">
      <w:pPr>
        <w:pStyle w:val="NormalWeb"/>
        <w:spacing w:before="0" w:beforeAutospacing="0" w:after="0" w:afterAutospacing="0" w:line="276" w:lineRule="auto"/>
        <w:jc w:val="both"/>
        <w:rPr>
          <w:rFonts w:ascii="Arial" w:hAnsi="Arial" w:cs="Arial"/>
          <w:color w:val="000000" w:themeColor="text1"/>
          <w:sz w:val="22"/>
          <w:szCs w:val="22"/>
        </w:rPr>
      </w:pPr>
      <w:r w:rsidRPr="00A945B9">
        <w:rPr>
          <w:rFonts w:ascii="Arial" w:hAnsi="Arial" w:cs="Arial"/>
          <w:color w:val="000000" w:themeColor="text1"/>
          <w:sz w:val="22"/>
          <w:szCs w:val="22"/>
        </w:rPr>
        <w:t>Atentamente,</w:t>
      </w:r>
      <w:r w:rsidRPr="00A945B9">
        <w:t xml:space="preserve"> </w:t>
      </w:r>
    </w:p>
    <w:p w14:paraId="6A72657C" w14:textId="1B49808D" w:rsidR="0050272A" w:rsidRDefault="002F2917" w:rsidP="0050272A">
      <w:pPr>
        <w:jc w:val="center"/>
        <w:rPr>
          <w:rFonts w:ascii="Arial" w:hAnsi="Arial" w:cs="Arial"/>
          <w:sz w:val="22"/>
          <w:lang w:eastAsia="es-CO"/>
        </w:rPr>
      </w:pPr>
      <w:r w:rsidRPr="002F2917">
        <w:rPr>
          <w:rFonts w:ascii="Calibri" w:eastAsia="Calibri" w:hAnsi="Calibri"/>
          <w:noProof/>
          <w:sz w:val="22"/>
          <w:szCs w:val="22"/>
          <w:lang w:val="es-ES" w:eastAsia="en-US"/>
        </w:rPr>
        <w:drawing>
          <wp:inline distT="0" distB="0" distL="0" distR="0" wp14:anchorId="144EB2F0" wp14:editId="2A336F90">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41AC4400" w14:textId="77777777" w:rsidR="0050272A" w:rsidRPr="00A945B9" w:rsidRDefault="0050272A" w:rsidP="0050272A">
      <w:pPr>
        <w:jc w:val="center"/>
        <w:rPr>
          <w:rFonts w:ascii="Arial" w:hAnsi="Arial" w:cs="Arial"/>
          <w:sz w:val="18"/>
          <w:szCs w:val="20"/>
          <w:lang w:eastAsia="es-CO"/>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5102"/>
      </w:tblGrid>
      <w:tr w:rsidR="00077368" w:rsidRPr="00077368" w14:paraId="0B96C6AF" w14:textId="77777777" w:rsidTr="00467D28">
        <w:trPr>
          <w:trHeight w:val="305"/>
        </w:trPr>
        <w:tc>
          <w:tcPr>
            <w:tcW w:w="1025" w:type="dxa"/>
            <w:vAlign w:val="center"/>
            <w:hideMark/>
          </w:tcPr>
          <w:p w14:paraId="31CF9D13" w14:textId="77777777" w:rsidR="00077368" w:rsidRPr="00077368" w:rsidRDefault="00077368" w:rsidP="00077368">
            <w:pPr>
              <w:spacing w:line="276" w:lineRule="auto"/>
              <w:jc w:val="both"/>
              <w:rPr>
                <w:rFonts w:ascii="Arial" w:eastAsia="Calibri" w:hAnsi="Arial" w:cs="Arial"/>
                <w:sz w:val="16"/>
                <w:szCs w:val="16"/>
                <w:lang w:val="es-ES_tradnl" w:eastAsia="es-ES"/>
              </w:rPr>
            </w:pPr>
            <w:r w:rsidRPr="00077368">
              <w:rPr>
                <w:rFonts w:ascii="Arial" w:eastAsia="Calibri" w:hAnsi="Arial" w:cs="Arial"/>
                <w:sz w:val="16"/>
                <w:szCs w:val="16"/>
                <w:lang w:val="es-ES_tradnl" w:eastAsia="es-ES"/>
              </w:rPr>
              <w:t>Elaboró:</w:t>
            </w:r>
          </w:p>
        </w:tc>
        <w:tc>
          <w:tcPr>
            <w:tcW w:w="5102" w:type="dxa"/>
            <w:tcBorders>
              <w:top w:val="nil"/>
              <w:left w:val="nil"/>
              <w:bottom w:val="dotted" w:sz="4" w:space="0" w:color="7F7F7F"/>
              <w:right w:val="nil"/>
            </w:tcBorders>
            <w:vAlign w:val="center"/>
            <w:hideMark/>
          </w:tcPr>
          <w:p w14:paraId="04C9BEBE" w14:textId="77777777" w:rsidR="00077368" w:rsidRPr="00077368" w:rsidRDefault="00077368" w:rsidP="00077368">
            <w:pPr>
              <w:spacing w:line="276" w:lineRule="auto"/>
              <w:jc w:val="both"/>
              <w:rPr>
                <w:rFonts w:ascii="Arial" w:eastAsia="Calibri" w:hAnsi="Arial" w:cs="Arial"/>
                <w:sz w:val="16"/>
                <w:szCs w:val="16"/>
                <w:lang w:val="es-ES_tradnl" w:eastAsia="es-ES"/>
              </w:rPr>
            </w:pPr>
            <w:r w:rsidRPr="00077368">
              <w:rPr>
                <w:rFonts w:ascii="Arial" w:eastAsia="Calibri" w:hAnsi="Arial" w:cs="Arial"/>
                <w:sz w:val="16"/>
                <w:szCs w:val="16"/>
                <w:lang w:val="es-ES_tradnl" w:eastAsia="es-ES"/>
              </w:rPr>
              <w:t>Gabriel Alejandro Murcia Taboada</w:t>
            </w:r>
          </w:p>
          <w:p w14:paraId="4AA73486" w14:textId="77777777" w:rsidR="00077368" w:rsidRPr="00077368" w:rsidRDefault="00077368" w:rsidP="00077368">
            <w:pPr>
              <w:spacing w:line="276" w:lineRule="auto"/>
              <w:jc w:val="both"/>
              <w:rPr>
                <w:rFonts w:ascii="Arial" w:eastAsia="Calibri" w:hAnsi="Arial" w:cs="Arial"/>
                <w:sz w:val="16"/>
                <w:szCs w:val="16"/>
                <w:lang w:val="es-ES_tradnl" w:eastAsia="es-ES"/>
              </w:rPr>
            </w:pPr>
            <w:r w:rsidRPr="00077368">
              <w:rPr>
                <w:rFonts w:ascii="Arial" w:eastAsia="Calibri" w:hAnsi="Arial" w:cs="Arial"/>
                <w:sz w:val="16"/>
                <w:szCs w:val="16"/>
                <w:lang w:val="es-ES_tradnl" w:eastAsia="es-ES"/>
              </w:rPr>
              <w:t>Contratista de la Subdirección de Gestión Contractual</w:t>
            </w:r>
          </w:p>
        </w:tc>
      </w:tr>
      <w:tr w:rsidR="00077368" w:rsidRPr="00077368" w14:paraId="3904C3FB" w14:textId="77777777" w:rsidTr="00467D28">
        <w:trPr>
          <w:trHeight w:val="319"/>
        </w:trPr>
        <w:tc>
          <w:tcPr>
            <w:tcW w:w="1025" w:type="dxa"/>
            <w:vAlign w:val="center"/>
            <w:hideMark/>
          </w:tcPr>
          <w:p w14:paraId="3250DE6C" w14:textId="77777777" w:rsidR="00077368" w:rsidRPr="00077368" w:rsidRDefault="00077368" w:rsidP="00077368">
            <w:pPr>
              <w:spacing w:line="276" w:lineRule="auto"/>
              <w:jc w:val="both"/>
              <w:rPr>
                <w:rFonts w:ascii="Arial" w:eastAsia="Calibri" w:hAnsi="Arial" w:cs="Arial"/>
                <w:sz w:val="16"/>
                <w:szCs w:val="16"/>
                <w:lang w:val="es-ES_tradnl" w:eastAsia="es-ES"/>
              </w:rPr>
            </w:pPr>
            <w:r w:rsidRPr="00077368">
              <w:rPr>
                <w:rFonts w:ascii="Arial" w:eastAsia="Calibri" w:hAnsi="Arial" w:cs="Arial"/>
                <w:sz w:val="16"/>
                <w:szCs w:val="16"/>
                <w:lang w:val="es-ES_tradnl" w:eastAsia="es-ES"/>
              </w:rPr>
              <w:t>Revisó:</w:t>
            </w:r>
          </w:p>
        </w:tc>
        <w:tc>
          <w:tcPr>
            <w:tcW w:w="5102" w:type="dxa"/>
            <w:tcBorders>
              <w:top w:val="dotted" w:sz="4" w:space="0" w:color="7F7F7F"/>
              <w:left w:val="nil"/>
              <w:bottom w:val="dotted" w:sz="4" w:space="0" w:color="7F7F7F"/>
              <w:right w:val="nil"/>
            </w:tcBorders>
            <w:vAlign w:val="center"/>
            <w:hideMark/>
          </w:tcPr>
          <w:p w14:paraId="6371AD93" w14:textId="77777777" w:rsidR="00077368" w:rsidRPr="00077368" w:rsidRDefault="00077368" w:rsidP="00077368">
            <w:pPr>
              <w:spacing w:line="276" w:lineRule="auto"/>
              <w:jc w:val="both"/>
              <w:rPr>
                <w:rFonts w:ascii="Arial" w:eastAsia="Calibri" w:hAnsi="Arial" w:cs="Arial"/>
                <w:sz w:val="16"/>
                <w:szCs w:val="16"/>
                <w:lang w:val="es-ES_tradnl" w:eastAsia="es-ES"/>
              </w:rPr>
            </w:pPr>
            <w:r w:rsidRPr="00077368">
              <w:rPr>
                <w:rFonts w:ascii="Arial" w:eastAsia="Calibri" w:hAnsi="Arial" w:cs="Arial"/>
                <w:sz w:val="16"/>
                <w:szCs w:val="16"/>
                <w:lang w:val="es-ES_tradnl" w:eastAsia="es-ES"/>
              </w:rPr>
              <w:t>Diana Lucia Saavedra Castañeda</w:t>
            </w:r>
          </w:p>
          <w:p w14:paraId="1B1CC02A" w14:textId="77777777" w:rsidR="00077368" w:rsidRPr="00077368" w:rsidRDefault="00077368" w:rsidP="00077368">
            <w:pPr>
              <w:spacing w:line="276" w:lineRule="auto"/>
              <w:jc w:val="both"/>
              <w:rPr>
                <w:rFonts w:ascii="Arial" w:eastAsia="Calibri" w:hAnsi="Arial" w:cs="Arial"/>
                <w:sz w:val="16"/>
                <w:szCs w:val="16"/>
                <w:lang w:val="es-ES_tradnl" w:eastAsia="es-ES"/>
              </w:rPr>
            </w:pPr>
            <w:r w:rsidRPr="00077368">
              <w:rPr>
                <w:rFonts w:ascii="Arial" w:eastAsia="Calibri" w:hAnsi="Arial" w:cs="Arial"/>
                <w:sz w:val="16"/>
                <w:szCs w:val="16"/>
                <w:lang w:val="es-ES_tradnl" w:eastAsia="es-ES"/>
              </w:rPr>
              <w:t xml:space="preserve">Contratista de la Subdirección de Gestión Contractual  </w:t>
            </w:r>
          </w:p>
        </w:tc>
      </w:tr>
      <w:tr w:rsidR="00077368" w:rsidRPr="00077368" w14:paraId="3B6C8E03" w14:textId="77777777" w:rsidTr="00467D28">
        <w:trPr>
          <w:trHeight w:val="290"/>
        </w:trPr>
        <w:tc>
          <w:tcPr>
            <w:tcW w:w="1025" w:type="dxa"/>
            <w:vAlign w:val="center"/>
            <w:hideMark/>
          </w:tcPr>
          <w:p w14:paraId="06DF3AEB" w14:textId="77777777" w:rsidR="00077368" w:rsidRPr="00077368" w:rsidRDefault="00077368" w:rsidP="00077368">
            <w:pPr>
              <w:spacing w:line="276" w:lineRule="auto"/>
              <w:jc w:val="both"/>
              <w:rPr>
                <w:rFonts w:ascii="Arial" w:eastAsia="Calibri" w:hAnsi="Arial" w:cs="Arial"/>
                <w:sz w:val="16"/>
                <w:szCs w:val="16"/>
                <w:lang w:val="es-ES_tradnl" w:eastAsia="es-ES"/>
              </w:rPr>
            </w:pPr>
            <w:r w:rsidRPr="00077368">
              <w:rPr>
                <w:rFonts w:ascii="Arial" w:eastAsia="Calibri" w:hAnsi="Arial" w:cs="Arial"/>
                <w:sz w:val="16"/>
                <w:szCs w:val="16"/>
                <w:lang w:val="es-ES_tradnl" w:eastAsia="es-ES"/>
              </w:rPr>
              <w:t>Aprobó:</w:t>
            </w:r>
          </w:p>
        </w:tc>
        <w:tc>
          <w:tcPr>
            <w:tcW w:w="5102" w:type="dxa"/>
            <w:tcBorders>
              <w:top w:val="dotted" w:sz="4" w:space="0" w:color="7F7F7F"/>
              <w:left w:val="nil"/>
              <w:bottom w:val="dotted" w:sz="4" w:space="0" w:color="7F7F7F"/>
              <w:right w:val="nil"/>
            </w:tcBorders>
            <w:vAlign w:val="center"/>
            <w:hideMark/>
          </w:tcPr>
          <w:p w14:paraId="3CE40ED5" w14:textId="1F9B5A7E" w:rsidR="00077368" w:rsidRPr="00077368" w:rsidRDefault="00077368" w:rsidP="00077368">
            <w:pPr>
              <w:spacing w:line="276" w:lineRule="auto"/>
              <w:jc w:val="both"/>
              <w:rPr>
                <w:rFonts w:ascii="Arial" w:eastAsia="Calibri" w:hAnsi="Arial" w:cs="Arial"/>
                <w:sz w:val="16"/>
                <w:szCs w:val="16"/>
                <w:lang w:val="es-ES_tradnl" w:eastAsia="es-ES"/>
              </w:rPr>
            </w:pPr>
            <w:r>
              <w:rPr>
                <w:rFonts w:ascii="Arial" w:eastAsia="Calibri" w:hAnsi="Arial" w:cs="Arial"/>
                <w:sz w:val="16"/>
                <w:szCs w:val="16"/>
                <w:lang w:val="es-ES_tradnl" w:eastAsia="es-ES"/>
              </w:rPr>
              <w:t>Nohelia del Carmen Zawady Palacio</w:t>
            </w:r>
          </w:p>
          <w:p w14:paraId="1419C378" w14:textId="1EEF1015" w:rsidR="00077368" w:rsidRPr="00077368" w:rsidRDefault="00077368" w:rsidP="00077368">
            <w:pPr>
              <w:spacing w:line="276" w:lineRule="auto"/>
              <w:jc w:val="both"/>
              <w:rPr>
                <w:rFonts w:ascii="Arial" w:eastAsia="Calibri" w:hAnsi="Arial" w:cs="Arial"/>
                <w:sz w:val="16"/>
                <w:szCs w:val="16"/>
                <w:lang w:val="es-ES_tradnl" w:eastAsia="es-ES"/>
              </w:rPr>
            </w:pPr>
            <w:r w:rsidRPr="00077368">
              <w:rPr>
                <w:rFonts w:ascii="Arial" w:eastAsia="Calibri" w:hAnsi="Arial" w:cs="Arial"/>
                <w:sz w:val="16"/>
                <w:szCs w:val="16"/>
                <w:lang w:val="es-ES_tradnl" w:eastAsia="es-ES"/>
              </w:rPr>
              <w:t>Subdirector</w:t>
            </w:r>
            <w:r>
              <w:rPr>
                <w:rFonts w:ascii="Arial" w:eastAsia="Calibri" w:hAnsi="Arial" w:cs="Arial"/>
                <w:sz w:val="16"/>
                <w:szCs w:val="16"/>
                <w:lang w:val="es-ES_tradnl" w:eastAsia="es-ES"/>
              </w:rPr>
              <w:t>a</w:t>
            </w:r>
            <w:r w:rsidRPr="00077368">
              <w:rPr>
                <w:rFonts w:ascii="Arial" w:eastAsia="Calibri" w:hAnsi="Arial" w:cs="Arial"/>
                <w:sz w:val="16"/>
                <w:szCs w:val="16"/>
                <w:lang w:val="es-ES_tradnl" w:eastAsia="es-ES"/>
              </w:rPr>
              <w:t xml:space="preserve"> de Gestión Contractual </w:t>
            </w:r>
          </w:p>
        </w:tc>
      </w:tr>
    </w:tbl>
    <w:p w14:paraId="0099088D" w14:textId="77777777" w:rsidR="0050272A" w:rsidRPr="00077368" w:rsidRDefault="0050272A" w:rsidP="0050272A">
      <w:pPr>
        <w:jc w:val="both"/>
        <w:rPr>
          <w:rFonts w:ascii="Arial" w:hAnsi="Arial" w:cs="Arial"/>
          <w:sz w:val="16"/>
          <w:szCs w:val="16"/>
          <w:lang w:val="es-ES_tradnl"/>
        </w:rPr>
      </w:pPr>
    </w:p>
    <w:p w14:paraId="09E9BF8D" w14:textId="77777777" w:rsidR="0050272A" w:rsidRPr="00077368" w:rsidRDefault="0050272A" w:rsidP="0050272A">
      <w:pPr>
        <w:jc w:val="center"/>
        <w:rPr>
          <w:rFonts w:ascii="Arial" w:hAnsi="Arial" w:cs="Arial"/>
          <w:color w:val="000000" w:themeColor="text1"/>
          <w:sz w:val="16"/>
          <w:szCs w:val="16"/>
          <w:lang w:eastAsia="es-CO"/>
        </w:rPr>
      </w:pPr>
    </w:p>
    <w:p w14:paraId="7A4F17A4" w14:textId="77777777" w:rsidR="00CE7CA5" w:rsidRDefault="00E628B6"/>
    <w:sectPr w:rsidR="00CE7CA5"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79EAB" w14:textId="77777777" w:rsidR="00CA31D7" w:rsidRDefault="00CA31D7" w:rsidP="0050272A">
      <w:r>
        <w:separator/>
      </w:r>
    </w:p>
  </w:endnote>
  <w:endnote w:type="continuationSeparator" w:id="0">
    <w:p w14:paraId="14C172D1" w14:textId="77777777" w:rsidR="00CA31D7" w:rsidRDefault="00CA31D7" w:rsidP="005027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3326D" w14:textId="77777777" w:rsidR="008F4163" w:rsidRDefault="00E628B6" w:rsidP="00322937">
    <w:pPr>
      <w:pStyle w:val="Sinespaciado"/>
      <w:jc w:val="right"/>
      <w:rPr>
        <w:rFonts w:ascii="Arial" w:hAnsi="Arial" w:cs="Arial"/>
        <w:sz w:val="18"/>
        <w:szCs w:val="18"/>
      </w:rPr>
    </w:pPr>
  </w:p>
  <w:p w14:paraId="26F244C2" w14:textId="77777777" w:rsidR="008F4163" w:rsidRPr="00D059DA" w:rsidRDefault="0076103D" w:rsidP="00FE42ED">
    <w:pPr>
      <w:pStyle w:val="Piedepgina"/>
      <w:jc w:val="right"/>
      <w:rPr>
        <w:rFonts w:ascii="Arial" w:hAnsi="Arial" w:cs="Arial"/>
        <w:color w:val="7F7F7F"/>
        <w:sz w:val="16"/>
        <w:szCs w:val="16"/>
      </w:rPr>
    </w:pPr>
    <w:r w:rsidRPr="00D059DA">
      <w:rPr>
        <w:rFonts w:ascii="Arial" w:hAnsi="Arial" w:cs="Arial"/>
        <w:bCs/>
        <w:color w:val="7F7F7F"/>
        <w:sz w:val="16"/>
        <w:szCs w:val="16"/>
      </w:rPr>
      <w:t xml:space="preserve">Página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PAGE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2</w:t>
    </w:r>
    <w:r w:rsidRPr="00D059DA">
      <w:rPr>
        <w:rFonts w:ascii="Arial" w:hAnsi="Arial" w:cs="Arial"/>
        <w:b/>
        <w:bCs/>
        <w:color w:val="7F7F7F"/>
        <w:sz w:val="16"/>
        <w:szCs w:val="16"/>
      </w:rPr>
      <w:fldChar w:fldCharType="end"/>
    </w:r>
    <w:r w:rsidRPr="00D059DA">
      <w:rPr>
        <w:rFonts w:ascii="Arial" w:hAnsi="Arial" w:cs="Arial"/>
        <w:color w:val="7F7F7F"/>
        <w:sz w:val="16"/>
        <w:szCs w:val="16"/>
      </w:rPr>
      <w:t xml:space="preserve"> de </w:t>
    </w:r>
    <w:r w:rsidRPr="00D059DA">
      <w:rPr>
        <w:rFonts w:ascii="Arial" w:hAnsi="Arial" w:cs="Arial"/>
        <w:b/>
        <w:bCs/>
        <w:color w:val="7F7F7F"/>
        <w:sz w:val="16"/>
        <w:szCs w:val="16"/>
      </w:rPr>
      <w:fldChar w:fldCharType="begin"/>
    </w:r>
    <w:r w:rsidRPr="00D059DA">
      <w:rPr>
        <w:rFonts w:ascii="Arial" w:hAnsi="Arial" w:cs="Arial"/>
        <w:b/>
        <w:bCs/>
        <w:color w:val="7F7F7F"/>
        <w:sz w:val="16"/>
        <w:szCs w:val="16"/>
      </w:rPr>
      <w:instrText>NUMPAGES  \* Arabic  \* MERGEFORMAT</w:instrText>
    </w:r>
    <w:r w:rsidRPr="00D059DA">
      <w:rPr>
        <w:rFonts w:ascii="Arial" w:hAnsi="Arial" w:cs="Arial"/>
        <w:b/>
        <w:bCs/>
        <w:color w:val="7F7F7F"/>
        <w:sz w:val="16"/>
        <w:szCs w:val="16"/>
      </w:rPr>
      <w:fldChar w:fldCharType="separate"/>
    </w:r>
    <w:r w:rsidRPr="00D059DA">
      <w:rPr>
        <w:rFonts w:ascii="Arial" w:hAnsi="Arial" w:cs="Arial"/>
        <w:b/>
        <w:bCs/>
        <w:noProof/>
        <w:color w:val="7F7F7F"/>
        <w:sz w:val="16"/>
        <w:szCs w:val="16"/>
      </w:rPr>
      <w:t>15</w:t>
    </w:r>
    <w:r w:rsidRPr="00D059DA">
      <w:rPr>
        <w:rFonts w:ascii="Arial" w:hAnsi="Arial" w:cs="Arial"/>
        <w:b/>
        <w:bCs/>
        <w:color w:val="7F7F7F"/>
        <w:sz w:val="16"/>
        <w:szCs w:val="16"/>
      </w:rPr>
      <w:fldChar w:fldCharType="end"/>
    </w:r>
  </w:p>
  <w:p w14:paraId="3744930E" w14:textId="77777777" w:rsidR="008F4163" w:rsidRDefault="0076103D" w:rsidP="00322937">
    <w:pPr>
      <w:pStyle w:val="Piedepgina"/>
      <w:jc w:val="center"/>
      <w:rPr>
        <w:lang w:val="es-ES"/>
      </w:rPr>
    </w:pPr>
    <w:r>
      <w:rPr>
        <w:noProof/>
        <w:lang w:val="es-ES_tradnl" w:eastAsia="es-ES_tradnl"/>
      </w:rPr>
      <w:drawing>
        <wp:inline distT="0" distB="0" distL="0" distR="0" wp14:anchorId="1084A4D2" wp14:editId="4BB3C3A9">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CCA4BFD" w14:textId="77777777" w:rsidR="008F4163" w:rsidRDefault="00E628B6" w:rsidP="007B0854">
    <w:pPr>
      <w:pStyle w:val="Piedepgina"/>
      <w:jc w:val="center"/>
      <w:rPr>
        <w:lang w:val="es-ES"/>
      </w:rPr>
    </w:pPr>
  </w:p>
  <w:p w14:paraId="57D202D3" w14:textId="77777777" w:rsidR="008F4163" w:rsidRPr="007B0854" w:rsidRDefault="00E628B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26F5A" w14:textId="77777777" w:rsidR="00CA31D7" w:rsidRDefault="00CA31D7" w:rsidP="0050272A">
      <w:r>
        <w:separator/>
      </w:r>
    </w:p>
  </w:footnote>
  <w:footnote w:type="continuationSeparator" w:id="0">
    <w:p w14:paraId="1629E2C5" w14:textId="77777777" w:rsidR="00CA31D7" w:rsidRDefault="00CA31D7" w:rsidP="0050272A">
      <w:r>
        <w:continuationSeparator/>
      </w:r>
    </w:p>
  </w:footnote>
  <w:footnote w:id="1">
    <w:p w14:paraId="643132B5" w14:textId="77777777" w:rsidR="00365622" w:rsidRPr="008A5525" w:rsidRDefault="00365622" w:rsidP="00365622">
      <w:pPr>
        <w:pStyle w:val="Textonotapie"/>
        <w:ind w:firstLine="708"/>
        <w:jc w:val="both"/>
        <w:rPr>
          <w:rFonts w:ascii="Arial" w:hAnsi="Arial" w:cs="Arial"/>
          <w:sz w:val="19"/>
          <w:szCs w:val="19"/>
        </w:rPr>
      </w:pPr>
      <w:r w:rsidRPr="008A5525">
        <w:rPr>
          <w:rStyle w:val="Refdenotaalpie"/>
          <w:rFonts w:ascii="Arial" w:hAnsi="Arial" w:cs="Arial"/>
          <w:sz w:val="19"/>
          <w:szCs w:val="19"/>
        </w:rPr>
        <w:footnoteRef/>
      </w:r>
      <w:r w:rsidRPr="008A5525">
        <w:rPr>
          <w:rFonts w:ascii="Arial" w:hAnsi="Arial" w:cs="Arial"/>
          <w:sz w:val="19"/>
          <w:szCs w:val="19"/>
        </w:rPr>
        <w:t xml:space="preserve"> Consejo de Estado</w:t>
      </w:r>
      <w:r>
        <w:rPr>
          <w:rFonts w:ascii="Arial" w:hAnsi="Arial" w:cs="Arial"/>
          <w:sz w:val="19"/>
          <w:szCs w:val="19"/>
        </w:rPr>
        <w:t>.</w:t>
      </w:r>
      <w:r w:rsidRPr="008A5525">
        <w:rPr>
          <w:rFonts w:ascii="Arial" w:hAnsi="Arial" w:cs="Arial"/>
          <w:sz w:val="19"/>
          <w:szCs w:val="19"/>
        </w:rPr>
        <w:t xml:space="preserve"> Sección Segunda</w:t>
      </w:r>
      <w:r>
        <w:rPr>
          <w:rFonts w:ascii="Arial" w:hAnsi="Arial" w:cs="Arial"/>
          <w:sz w:val="19"/>
          <w:szCs w:val="19"/>
        </w:rPr>
        <w:t>. Sentencia del</w:t>
      </w:r>
      <w:r w:rsidRPr="008A5525">
        <w:rPr>
          <w:rFonts w:ascii="Arial" w:hAnsi="Arial" w:cs="Arial"/>
          <w:sz w:val="19"/>
          <w:szCs w:val="19"/>
        </w:rPr>
        <w:t xml:space="preserve"> 9 de septiembre de 2021</w:t>
      </w:r>
      <w:r>
        <w:rPr>
          <w:rFonts w:ascii="Arial" w:hAnsi="Arial" w:cs="Arial"/>
          <w:sz w:val="19"/>
          <w:szCs w:val="19"/>
        </w:rPr>
        <w:t xml:space="preserve">. </w:t>
      </w:r>
      <w:r w:rsidRPr="008A5525">
        <w:rPr>
          <w:rFonts w:ascii="Arial" w:hAnsi="Arial" w:cs="Arial"/>
          <w:sz w:val="19"/>
          <w:szCs w:val="19"/>
        </w:rPr>
        <w:t>Expediente No. 05001-23-33-000-2013-01143-01(1317-16)</w:t>
      </w:r>
      <w:r>
        <w:rPr>
          <w:rFonts w:ascii="Arial" w:hAnsi="Arial" w:cs="Arial"/>
          <w:sz w:val="19"/>
          <w:szCs w:val="19"/>
        </w:rPr>
        <w:t>.</w:t>
      </w:r>
      <w:r w:rsidRPr="008A5525">
        <w:rPr>
          <w:rFonts w:ascii="Arial" w:hAnsi="Arial" w:cs="Arial"/>
          <w:sz w:val="19"/>
          <w:szCs w:val="19"/>
        </w:rPr>
        <w:t xml:space="preserve"> </w:t>
      </w:r>
      <w:r>
        <w:rPr>
          <w:rFonts w:ascii="Arial" w:hAnsi="Arial" w:cs="Arial"/>
          <w:sz w:val="19"/>
          <w:szCs w:val="19"/>
        </w:rPr>
        <w:t>M.</w:t>
      </w:r>
      <w:r w:rsidRPr="008A5525">
        <w:rPr>
          <w:rFonts w:ascii="Arial" w:hAnsi="Arial" w:cs="Arial"/>
          <w:sz w:val="19"/>
          <w:szCs w:val="19"/>
        </w:rPr>
        <w:t>P. Dra. Sandra Lisset Ibarra Vélez.</w:t>
      </w:r>
    </w:p>
  </w:footnote>
  <w:footnote w:id="2">
    <w:p w14:paraId="4E732B16" w14:textId="77777777" w:rsidR="00365622" w:rsidRPr="008A5525" w:rsidRDefault="00365622" w:rsidP="00365622">
      <w:pPr>
        <w:pStyle w:val="Textonotapie"/>
        <w:ind w:firstLine="708"/>
        <w:jc w:val="both"/>
        <w:rPr>
          <w:rFonts w:ascii="Arial" w:hAnsi="Arial" w:cs="Arial"/>
          <w:sz w:val="19"/>
          <w:szCs w:val="19"/>
          <w:lang w:val="es-ES_tradnl"/>
        </w:rPr>
      </w:pPr>
      <w:r w:rsidRPr="002F556D">
        <w:rPr>
          <w:rStyle w:val="Refdenotaalpie"/>
          <w:rFonts w:ascii="Arial" w:hAnsi="Arial" w:cs="Arial"/>
          <w:sz w:val="19"/>
          <w:szCs w:val="19"/>
        </w:rPr>
        <w:footnoteRef/>
      </w:r>
      <w:r w:rsidRPr="002F556D">
        <w:rPr>
          <w:rFonts w:ascii="Arial" w:hAnsi="Arial" w:cs="Arial"/>
          <w:sz w:val="19"/>
          <w:szCs w:val="19"/>
        </w:rPr>
        <w:t xml:space="preserve"> </w:t>
      </w:r>
      <w:r w:rsidRPr="008A5525">
        <w:rPr>
          <w:rFonts w:ascii="Arial" w:hAnsi="Arial" w:cs="Arial"/>
          <w:sz w:val="19"/>
          <w:szCs w:val="19"/>
        </w:rPr>
        <w:t xml:space="preserve">Así lo señaló el Consejo de Estado en la sentencia de unificación en mención, al indicar que </w:t>
      </w:r>
      <w:r>
        <w:rPr>
          <w:rFonts w:ascii="Arial" w:hAnsi="Arial" w:cs="Arial"/>
          <w:sz w:val="19"/>
          <w:szCs w:val="19"/>
        </w:rPr>
        <w:t>«</w:t>
      </w:r>
      <w:r w:rsidRPr="008A5525">
        <w:rPr>
          <w:rFonts w:ascii="Arial" w:hAnsi="Arial" w:cs="Arial"/>
          <w:sz w:val="19"/>
          <w:szCs w:val="19"/>
        </w:rPr>
        <w:t xml:space="preserve">cualquier contrato de prestación de servicios tiene por objeto genérico </w:t>
      </w:r>
      <w:r>
        <w:rPr>
          <w:rFonts w:ascii="Arial" w:hAnsi="Arial" w:cs="Arial"/>
          <w:sz w:val="19"/>
          <w:szCs w:val="19"/>
        </w:rPr>
        <w:t>“</w:t>
      </w:r>
      <w:r w:rsidRPr="008A5525">
        <w:rPr>
          <w:rFonts w:ascii="Arial" w:hAnsi="Arial" w:cs="Arial"/>
          <w:sz w:val="19"/>
          <w:szCs w:val="19"/>
        </w:rPr>
        <w:t>desarrollar actividades relacionadas con la administración o funcionamiento de la entidad”</w:t>
      </w:r>
      <w:r>
        <w:rPr>
          <w:rFonts w:ascii="Arial" w:hAnsi="Arial" w:cs="Arial"/>
          <w:sz w:val="19"/>
          <w:szCs w:val="19"/>
        </w:rPr>
        <w:t>»</w:t>
      </w:r>
      <w:r w:rsidRPr="008A5525">
        <w:rPr>
          <w:rFonts w:ascii="Arial" w:hAnsi="Arial" w:cs="Arial"/>
          <w:sz w:val="19"/>
          <w:szCs w:val="19"/>
        </w:rPr>
        <w:t>.</w:t>
      </w:r>
    </w:p>
  </w:footnote>
  <w:footnote w:id="3">
    <w:p w14:paraId="3348C2F6" w14:textId="77777777" w:rsidR="00365622" w:rsidRPr="008A5525" w:rsidRDefault="00365622" w:rsidP="00365622">
      <w:pPr>
        <w:pStyle w:val="Textonotapie"/>
        <w:ind w:firstLine="708"/>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096C144A" w14:textId="77777777" w:rsidR="00365622" w:rsidRPr="008A5525" w:rsidRDefault="00365622" w:rsidP="00365622">
      <w:pPr>
        <w:pStyle w:val="Textonotapie"/>
        <w:ind w:firstLine="709"/>
        <w:jc w:val="both"/>
        <w:rPr>
          <w:rFonts w:ascii="Arial" w:hAnsi="Arial" w:cs="Arial"/>
          <w:sz w:val="19"/>
          <w:szCs w:val="19"/>
          <w:lang w:val="es-ES"/>
        </w:rPr>
      </w:pPr>
    </w:p>
  </w:footnote>
  <w:footnote w:id="4">
    <w:p w14:paraId="125301D9"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57AA6B2"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D59AB5F"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El Gobierno nacional reglamentará el mecanismo para realizar la mensualización de que trata el presente artículo.</w:t>
      </w:r>
    </w:p>
    <w:p w14:paraId="1410118A" w14:textId="77777777" w:rsidR="00365622" w:rsidRPr="008A5525" w:rsidRDefault="00365622" w:rsidP="00365622">
      <w:pPr>
        <w:pStyle w:val="Textonotapie"/>
        <w:ind w:firstLine="709"/>
        <w:jc w:val="both"/>
        <w:rPr>
          <w:rFonts w:ascii="Arial" w:hAnsi="Arial" w:cs="Arial"/>
          <w:sz w:val="19"/>
          <w:szCs w:val="19"/>
          <w:lang w:val="pt-BR"/>
        </w:rPr>
      </w:pPr>
      <w:r w:rsidRPr="008A5525">
        <w:rPr>
          <w:rFonts w:ascii="Arial" w:hAnsi="Arial" w:cs="Arial"/>
          <w:sz w:val="19"/>
          <w:szCs w:val="19"/>
          <w:lang w:val="pt-BR"/>
        </w:rPr>
        <w:t>[…]».</w:t>
      </w:r>
    </w:p>
  </w:footnote>
  <w:footnote w:id="5">
    <w:p w14:paraId="477D8D2F"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lang w:val="pt-BR"/>
        </w:rPr>
        <w:t xml:space="preserve"> Corte Constitucional. Sentencia C-154 de 1997. </w:t>
      </w:r>
      <w:r w:rsidRPr="008A5525">
        <w:rPr>
          <w:rFonts w:ascii="Arial" w:hAnsi="Arial" w:cs="Arial"/>
          <w:sz w:val="19"/>
          <w:szCs w:val="19"/>
          <w:lang w:val="es-ES"/>
        </w:rPr>
        <w:t>MP: Hernando Herrera Vergara.</w:t>
      </w:r>
    </w:p>
    <w:p w14:paraId="369E2ACD" w14:textId="77777777" w:rsidR="00365622" w:rsidRPr="008A5525" w:rsidRDefault="00365622" w:rsidP="00365622">
      <w:pPr>
        <w:pStyle w:val="Textonotapie"/>
        <w:ind w:firstLine="709"/>
        <w:jc w:val="both"/>
        <w:rPr>
          <w:rFonts w:ascii="Arial" w:hAnsi="Arial" w:cs="Arial"/>
          <w:sz w:val="19"/>
          <w:szCs w:val="19"/>
          <w:lang w:val="es-ES"/>
        </w:rPr>
      </w:pPr>
    </w:p>
  </w:footnote>
  <w:footnote w:id="6">
    <w:p w14:paraId="6CDCD56F" w14:textId="77777777" w:rsidR="00365622" w:rsidRPr="00046FD0" w:rsidRDefault="00365622" w:rsidP="00365622">
      <w:pPr>
        <w:pStyle w:val="Textonotapie"/>
        <w:ind w:firstLine="709"/>
        <w:jc w:val="both"/>
        <w:rPr>
          <w:rFonts w:ascii="Arial" w:hAnsi="Arial" w:cs="Arial"/>
          <w:color w:val="000000" w:themeColor="text1"/>
          <w:sz w:val="19"/>
          <w:szCs w:val="19"/>
          <w:lang w:val="es-CO"/>
        </w:rPr>
      </w:pPr>
      <w:r w:rsidRPr="00046FD0">
        <w:rPr>
          <w:rStyle w:val="Refdenotaalpie"/>
          <w:sz w:val="19"/>
          <w:szCs w:val="19"/>
        </w:rPr>
        <w:footnoteRef/>
      </w:r>
      <w:r w:rsidRPr="00046FD0">
        <w:rPr>
          <w:sz w:val="19"/>
          <w:szCs w:val="19"/>
        </w:rPr>
        <w:t xml:space="preserve"> </w:t>
      </w:r>
      <w:r w:rsidRPr="00046FD0">
        <w:rPr>
          <w:rFonts w:ascii="Arial" w:hAnsi="Arial" w:cs="Arial"/>
          <w:color w:val="000000" w:themeColor="text1"/>
          <w:sz w:val="19"/>
          <w:szCs w:val="19"/>
          <w:lang w:val="es-ES"/>
        </w:rPr>
        <w:t xml:space="preserve">Consejo de Estado. Sección Segunda. Sentencia de Unificación Jurisprudencial </w:t>
      </w:r>
      <w:r w:rsidRPr="00046FD0">
        <w:rPr>
          <w:rFonts w:ascii="Arial" w:hAnsi="Arial" w:cs="Arial"/>
          <w:color w:val="000000" w:themeColor="text1"/>
          <w:sz w:val="19"/>
          <w:szCs w:val="19"/>
          <w:lang w:val="es-CO"/>
        </w:rPr>
        <w:t>SUJ-025-CE-S2-2021.</w:t>
      </w:r>
      <w:r w:rsidRPr="00046FD0">
        <w:rPr>
          <w:rFonts w:ascii="Arial" w:hAnsi="Arial" w:cs="Arial"/>
          <w:color w:val="000000" w:themeColor="text1"/>
          <w:sz w:val="19"/>
          <w:szCs w:val="19"/>
          <w:lang w:val="es-ES"/>
        </w:rPr>
        <w:t xml:space="preserve"> Radicado (1317-2016). El numeral primero de la parte resolutiva de la sentencia señala lo siguiente:</w:t>
      </w:r>
      <w:r w:rsidRPr="00046FD0">
        <w:rPr>
          <w:rFonts w:ascii="Times New Roman" w:eastAsia="Times New Roman" w:hAnsi="Times New Roman" w:cs="Times New Roman"/>
          <w:sz w:val="19"/>
          <w:szCs w:val="19"/>
          <w:lang w:val="es-CO" w:eastAsia="es-ES_tradnl"/>
        </w:rPr>
        <w:t xml:space="preserve"> </w:t>
      </w:r>
      <w:r w:rsidRPr="00046FD0">
        <w:rPr>
          <w:rFonts w:ascii="Arial" w:hAnsi="Arial" w:cs="Arial"/>
          <w:noProof/>
          <w:sz w:val="19"/>
          <w:szCs w:val="19"/>
          <w:lang w:val="es-ES_tradnl"/>
        </w:rPr>
        <w:t>«</w:t>
      </w:r>
      <w:r w:rsidRPr="00046FD0">
        <w:rPr>
          <w:rFonts w:ascii="Arial" w:hAnsi="Arial" w:cs="Arial"/>
          <w:color w:val="000000" w:themeColor="text1"/>
          <w:sz w:val="19"/>
          <w:szCs w:val="19"/>
          <w:lang w:val="es-CO"/>
        </w:rPr>
        <w:t xml:space="preserve">Unificar la jurisprudencia de la Sección Segunda del Consejo de Estado, en el sentido de precisar las siguientes reglas en las relaciones laborales encubiertas o subyacentes: </w:t>
      </w:r>
    </w:p>
    <w:p w14:paraId="6EF4F0CB" w14:textId="77777777" w:rsidR="00365622" w:rsidRPr="00046FD0" w:rsidRDefault="00365622" w:rsidP="00365622">
      <w:pPr>
        <w:pStyle w:val="Textonotapie"/>
        <w:ind w:firstLine="709"/>
        <w:jc w:val="both"/>
        <w:rPr>
          <w:rFonts w:ascii="Arial" w:hAnsi="Arial" w:cs="Arial"/>
          <w:color w:val="000000" w:themeColor="text1"/>
          <w:sz w:val="19"/>
          <w:szCs w:val="19"/>
          <w:lang w:val="es-CO"/>
        </w:rPr>
      </w:pPr>
      <w:r w:rsidRPr="00046FD0">
        <w:rPr>
          <w:rFonts w:ascii="Arial" w:hAnsi="Arial" w:cs="Arial"/>
          <w:color w:val="000000" w:themeColor="text1"/>
          <w:sz w:val="19"/>
          <w:szCs w:val="19"/>
          <w:lang w:val="es-ES"/>
        </w:rPr>
        <w:t xml:space="preserve"> </w:t>
      </w:r>
      <w:r w:rsidRPr="00046FD0">
        <w:rPr>
          <w:rFonts w:ascii="Arial" w:hAnsi="Arial" w:cs="Arial"/>
          <w:sz w:val="19"/>
          <w:szCs w:val="19"/>
          <w:lang w:val="pt-BR"/>
        </w:rPr>
        <w:t>»</w:t>
      </w:r>
      <w:r w:rsidRPr="00046FD0">
        <w:rPr>
          <w:rFonts w:ascii="Arial" w:hAnsi="Arial" w:cs="Arial"/>
          <w:color w:val="000000" w:themeColor="text1"/>
          <w:sz w:val="19"/>
          <w:szCs w:val="19"/>
          <w:lang w:val="es-CO"/>
        </w:rPr>
        <w:t xml:space="preserve">(i) La primera regla define que el concepto de «término estrictamente indispensable»,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45C6841F" w14:textId="77777777" w:rsidR="00365622" w:rsidRPr="00046FD0" w:rsidRDefault="00365622" w:rsidP="00365622">
      <w:pPr>
        <w:pStyle w:val="Textonotapie"/>
        <w:ind w:firstLine="709"/>
        <w:jc w:val="both"/>
        <w:rPr>
          <w:rFonts w:ascii="Arial" w:hAnsi="Arial" w:cs="Arial"/>
          <w:color w:val="000000" w:themeColor="text1"/>
          <w:sz w:val="19"/>
          <w:szCs w:val="19"/>
          <w:lang w:val="es-CO"/>
        </w:rPr>
      </w:pPr>
      <w:r w:rsidRPr="00046FD0">
        <w:rPr>
          <w:rFonts w:ascii="Arial" w:hAnsi="Arial" w:cs="Arial"/>
          <w:sz w:val="19"/>
          <w:szCs w:val="19"/>
          <w:lang w:val="pt-BR"/>
        </w:rPr>
        <w:t>»</w:t>
      </w:r>
      <w:r w:rsidRPr="00046FD0">
        <w:rPr>
          <w:rFonts w:ascii="Arial" w:hAnsi="Arial" w:cs="Arial"/>
          <w:color w:val="000000" w:themeColor="text1"/>
          <w:sz w:val="19"/>
          <w:szCs w:val="19"/>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6BC77426" w14:textId="77777777" w:rsidR="00365622" w:rsidRDefault="00365622" w:rsidP="00365622">
      <w:pPr>
        <w:pStyle w:val="Textonotapie"/>
        <w:ind w:firstLine="709"/>
        <w:jc w:val="both"/>
        <w:rPr>
          <w:rFonts w:ascii="Arial" w:hAnsi="Arial" w:cs="Arial"/>
          <w:sz w:val="19"/>
          <w:szCs w:val="19"/>
          <w:lang w:val="pt-BR"/>
        </w:rPr>
      </w:pPr>
      <w:r w:rsidRPr="00046FD0">
        <w:rPr>
          <w:rFonts w:ascii="Arial" w:hAnsi="Arial" w:cs="Arial"/>
          <w:sz w:val="19"/>
          <w:szCs w:val="19"/>
          <w:lang w:val="pt-BR"/>
        </w:rPr>
        <w:t>»</w:t>
      </w:r>
      <w:r w:rsidRPr="00046FD0">
        <w:rPr>
          <w:rFonts w:ascii="Arial" w:hAnsi="Arial" w:cs="Arial"/>
          <w:color w:val="000000" w:themeColor="text1"/>
          <w:sz w:val="19"/>
          <w:szCs w:val="19"/>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046FD0">
        <w:rPr>
          <w:rFonts w:ascii="Arial" w:hAnsi="Arial" w:cs="Arial"/>
          <w:sz w:val="19"/>
          <w:szCs w:val="19"/>
          <w:lang w:val="pt-BR"/>
        </w:rPr>
        <w:t>»</w:t>
      </w:r>
      <w:r>
        <w:rPr>
          <w:rFonts w:ascii="Arial" w:hAnsi="Arial" w:cs="Arial"/>
          <w:sz w:val="19"/>
          <w:szCs w:val="19"/>
          <w:lang w:val="pt-BR"/>
        </w:rPr>
        <w:t>.</w:t>
      </w:r>
    </w:p>
    <w:p w14:paraId="5DBFBC4E" w14:textId="77777777" w:rsidR="00365622" w:rsidRPr="00046FD0" w:rsidRDefault="00365622" w:rsidP="00365622">
      <w:pPr>
        <w:pStyle w:val="Textonotapie"/>
        <w:ind w:firstLine="709"/>
        <w:jc w:val="both"/>
        <w:rPr>
          <w:sz w:val="19"/>
          <w:szCs w:val="19"/>
          <w:lang w:val="es-CO"/>
        </w:rPr>
      </w:pPr>
    </w:p>
  </w:footnote>
  <w:footnote w:id="7">
    <w:p w14:paraId="1FA7E8C2" w14:textId="77777777" w:rsidR="00365622" w:rsidRPr="00C94F0B" w:rsidRDefault="00365622" w:rsidP="00365622">
      <w:pPr>
        <w:pStyle w:val="Textonotapie"/>
        <w:ind w:firstLine="708"/>
        <w:jc w:val="both"/>
        <w:rPr>
          <w:rFonts w:ascii="Arial" w:hAnsi="Arial" w:cs="Arial"/>
          <w:sz w:val="19"/>
          <w:szCs w:val="19"/>
        </w:rPr>
      </w:pPr>
      <w:r w:rsidRPr="00C94F0B">
        <w:rPr>
          <w:rStyle w:val="Refdenotaalpie"/>
          <w:rFonts w:ascii="Arial" w:hAnsi="Arial" w:cs="Arial"/>
          <w:sz w:val="19"/>
          <w:szCs w:val="19"/>
        </w:rPr>
        <w:footnoteRef/>
      </w:r>
      <w:r w:rsidRPr="00C94F0B">
        <w:rPr>
          <w:rFonts w:ascii="Arial" w:hAnsi="Arial" w:cs="Arial"/>
          <w:sz w:val="19"/>
          <w:szCs w:val="19"/>
        </w:rPr>
        <w:t xml:space="preserve"> Particularmente</w:t>
      </w:r>
      <w:r>
        <w:rPr>
          <w:rFonts w:ascii="Arial" w:hAnsi="Arial" w:cs="Arial"/>
          <w:sz w:val="19"/>
          <w:szCs w:val="19"/>
        </w:rPr>
        <w:t xml:space="preserve">, sobre la regla de unificación número 2, el Consejo de Estado explica que «[…] </w:t>
      </w:r>
      <w:r w:rsidRPr="00BF0DFA">
        <w:rPr>
          <w:rFonts w:ascii="Arial" w:hAnsi="Arial" w:cs="Arial"/>
          <w:sz w:val="19"/>
          <w:szCs w:val="19"/>
        </w:rPr>
        <w:t xml:space="preserve">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C94F0B">
        <w:rPr>
          <w:rFonts w:ascii="Arial" w:hAnsi="Arial" w:cs="Arial"/>
          <w:b/>
          <w:bCs/>
          <w:sz w:val="19"/>
          <w:szCs w:val="19"/>
        </w:rPr>
        <w:t>solo para efectos de la prescripción de derechos laborales</w:t>
      </w:r>
      <w:r>
        <w:rPr>
          <w:rFonts w:ascii="Arial" w:hAnsi="Arial" w:cs="Arial"/>
          <w:sz w:val="19"/>
          <w:szCs w:val="19"/>
        </w:rPr>
        <w:t>» (Énfasis dentro del texto)</w:t>
      </w:r>
      <w:r w:rsidRPr="00BF0DFA">
        <w:rPr>
          <w:rFonts w:ascii="Arial" w:hAnsi="Arial" w:cs="Arial"/>
          <w:sz w:val="19"/>
          <w:szCs w:val="19"/>
        </w:rPr>
        <w:t>.</w:t>
      </w:r>
    </w:p>
    <w:p w14:paraId="07992DF3" w14:textId="77777777" w:rsidR="00365622" w:rsidRDefault="00365622" w:rsidP="00365622">
      <w:pPr>
        <w:pStyle w:val="Textonotapie"/>
        <w:ind w:firstLine="708"/>
      </w:pPr>
    </w:p>
  </w:footnote>
  <w:footnote w:id="8">
    <w:p w14:paraId="1A848418"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Ibíd.</w:t>
      </w:r>
    </w:p>
  </w:footnote>
  <w:footnote w:id="9">
    <w:p w14:paraId="68CC44C3" w14:textId="77777777" w:rsidR="00365622" w:rsidRDefault="00365622" w:rsidP="00365622">
      <w:pPr>
        <w:pStyle w:val="Textonotapie"/>
        <w:ind w:firstLine="709"/>
        <w:jc w:val="both"/>
        <w:rPr>
          <w:rFonts w:ascii="Arial" w:hAnsi="Arial" w:cs="Arial"/>
          <w:sz w:val="19"/>
          <w:szCs w:val="19"/>
        </w:rPr>
      </w:pPr>
      <w:r w:rsidRPr="00F46237">
        <w:rPr>
          <w:rStyle w:val="Refdenotaalpie"/>
          <w:rFonts w:ascii="Arial" w:hAnsi="Arial" w:cs="Arial"/>
          <w:sz w:val="19"/>
          <w:szCs w:val="19"/>
        </w:rPr>
        <w:footnoteRef/>
      </w:r>
      <w:r>
        <w:rPr>
          <w:rFonts w:ascii="Arial" w:hAnsi="Arial" w:cs="Arial"/>
          <w:sz w:val="19"/>
          <w:szCs w:val="19"/>
        </w:rPr>
        <w:t xml:space="preserve"> </w:t>
      </w:r>
      <w:r w:rsidRPr="008A5525">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r w:rsidRPr="00F46237">
        <w:rPr>
          <w:rFonts w:ascii="Arial" w:hAnsi="Arial" w:cs="Arial"/>
          <w:sz w:val="19"/>
          <w:szCs w:val="19"/>
        </w:rPr>
        <w:t xml:space="preserve"> </w:t>
      </w:r>
    </w:p>
    <w:p w14:paraId="7F76E7F2" w14:textId="77777777" w:rsidR="00365622" w:rsidRPr="00F46237" w:rsidRDefault="00365622" w:rsidP="00365622">
      <w:pPr>
        <w:pStyle w:val="Textonotapie"/>
        <w:ind w:firstLine="709"/>
        <w:jc w:val="both"/>
        <w:rPr>
          <w:rFonts w:ascii="Arial" w:hAnsi="Arial" w:cs="Arial"/>
          <w:sz w:val="19"/>
          <w:szCs w:val="19"/>
          <w:lang w:val="es-ES"/>
        </w:rPr>
      </w:pPr>
      <w:r>
        <w:rPr>
          <w:rFonts w:ascii="Arial" w:hAnsi="Arial" w:cs="Arial"/>
          <w:sz w:val="19"/>
          <w:szCs w:val="19"/>
          <w:lang w:val="es-ES"/>
        </w:rPr>
        <w:t>Además</w:t>
      </w:r>
      <w:r w:rsidRPr="00F46237">
        <w:rPr>
          <w:rFonts w:ascii="Arial" w:hAnsi="Arial" w:cs="Arial"/>
          <w:sz w:val="19"/>
          <w:szCs w:val="19"/>
          <w:lang w:val="es-ES"/>
        </w:rPr>
        <w:t>,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FAD1977" w14:textId="77777777" w:rsidR="00365622" w:rsidRPr="00F46237" w:rsidRDefault="00365622" w:rsidP="00365622">
      <w:pPr>
        <w:pStyle w:val="Textonotapie"/>
        <w:ind w:firstLine="709"/>
        <w:jc w:val="both"/>
        <w:rPr>
          <w:rFonts w:ascii="Arial" w:hAnsi="Arial" w:cs="Arial"/>
          <w:sz w:val="19"/>
          <w:szCs w:val="19"/>
          <w:lang w:val="es-ES"/>
        </w:rPr>
      </w:pPr>
      <w:r w:rsidRPr="00F46237">
        <w:rPr>
          <w:rFonts w:ascii="Arial" w:hAnsi="Arial" w:cs="Arial"/>
          <w:sz w:val="19"/>
          <w:szCs w:val="19"/>
          <w:lang w:val="es-ES"/>
        </w:rPr>
        <w:t>»Son también contratos de consultoría los que tienen por objeto la interventoría, asesoría, gerencia de obra o de proyectos, dirección, programación y la ejecución de diseños, planos, anteproyectos y proyectos.</w:t>
      </w:r>
    </w:p>
    <w:p w14:paraId="7EB6A918" w14:textId="77777777" w:rsidR="00365622" w:rsidRPr="00F46237" w:rsidRDefault="00365622" w:rsidP="00365622">
      <w:pPr>
        <w:pStyle w:val="Textonotapie"/>
        <w:ind w:firstLine="709"/>
        <w:jc w:val="both"/>
        <w:rPr>
          <w:rFonts w:ascii="Arial" w:hAnsi="Arial" w:cs="Arial"/>
          <w:sz w:val="19"/>
          <w:szCs w:val="19"/>
          <w:lang w:val="es-ES"/>
        </w:rPr>
      </w:pPr>
      <w:r w:rsidRPr="00F46237">
        <w:rPr>
          <w:rFonts w:ascii="Arial" w:hAnsi="Arial" w:cs="Arial"/>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0">
    <w:p w14:paraId="4081E6C5"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dispone el artículo 2.2.1.2.1.4.1. del Decreto 1082 de 2015: «La Entidad Estatal debe señalar en un acto administrativo la justificación para contratar bajo la modalidad de contratación directa, el cual debe contener:</w:t>
      </w:r>
    </w:p>
    <w:p w14:paraId="527EE084"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»1. La causal que invoca para contratar directamente.</w:t>
      </w:r>
    </w:p>
    <w:p w14:paraId="687816B2"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»2. El objeto del contrato.</w:t>
      </w:r>
    </w:p>
    <w:p w14:paraId="620B9656"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»3. El presupuesto para la contratación y las condiciones que exigirá al contratista.</w:t>
      </w:r>
    </w:p>
    <w:p w14:paraId="71933BC1"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»4. El lugar en el cual los interesados pueden consultar los estudios y documentos previos.</w:t>
      </w:r>
    </w:p>
    <w:p w14:paraId="38684523"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1">
    <w:p w14:paraId="13312A75" w14:textId="77777777" w:rsidR="00365622" w:rsidRPr="008A5525" w:rsidRDefault="00365622" w:rsidP="00365622">
      <w:pPr>
        <w:pStyle w:val="Textonotapie"/>
        <w:jc w:val="both"/>
        <w:rPr>
          <w:rFonts w:ascii="Arial" w:hAnsi="Arial" w:cs="Arial"/>
          <w:sz w:val="19"/>
          <w:szCs w:val="19"/>
        </w:rPr>
      </w:pPr>
    </w:p>
    <w:p w14:paraId="60367CB4"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 xml:space="preserve">La norma expresa: «Art. 14. </w:t>
      </w:r>
      <w:r w:rsidRPr="008A5525">
        <w:rPr>
          <w:rFonts w:ascii="Arial" w:hAnsi="Arial" w:cs="Arial"/>
          <w:sz w:val="19"/>
          <w:szCs w:val="19"/>
        </w:rPr>
        <w:t>P</w:t>
      </w:r>
      <w:r w:rsidRPr="008A5525">
        <w:rPr>
          <w:rFonts w:ascii="Arial" w:hAnsi="Arial" w:cs="Arial"/>
          <w:sz w:val="19"/>
          <w:szCs w:val="19"/>
          <w:lang w:val="es-ES"/>
        </w:rPr>
        <w:t>ara el cumplimiento de los fines de la contratación, las entidades estatales al celebrar un contrato:</w:t>
      </w:r>
    </w:p>
    <w:p w14:paraId="255AFA0E"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w:t>
      </w:r>
    </w:p>
    <w:p w14:paraId="2E37BDCF"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w:t>
      </w:r>
      <w:r>
        <w:rPr>
          <w:rFonts w:ascii="Arial" w:hAnsi="Arial" w:cs="Arial"/>
          <w:sz w:val="19"/>
          <w:szCs w:val="19"/>
          <w:lang w:val="es-ES"/>
        </w:rPr>
        <w:t>, los contratos relacionados con el programa de alimentación escolar</w:t>
      </w:r>
      <w:r w:rsidRPr="008A5525">
        <w:rPr>
          <w:rFonts w:ascii="Arial" w:hAnsi="Arial" w:cs="Arial"/>
          <w:sz w:val="19"/>
          <w:szCs w:val="19"/>
          <w:lang w:val="es-ES"/>
        </w:rPr>
        <w:t xml:space="preserve"> o la explotación y concesión de bienes del Estado, así como en los contratos de obra. En los contratos de explotación y concesión de bienes del Estado se incluirá la cláusula de reversión.</w:t>
      </w:r>
    </w:p>
    <w:p w14:paraId="2B79760F"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Las entidades estatales podrán pactar estas cláusulas en los contratos de suministro y de prestación de servicios.</w:t>
      </w:r>
    </w:p>
    <w:p w14:paraId="6DB2D857"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lang w:val="es-ES"/>
        </w:rPr>
        <w:t>[…]».</w:t>
      </w:r>
    </w:p>
  </w:footnote>
  <w:footnote w:id="12">
    <w:p w14:paraId="012278F8"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La norma dispone: «La liquidación a que se refiere el presente artículo no será obligatoria en los contratos de prestación de servicios profesionales y de apoyo a la gestión».</w:t>
      </w:r>
    </w:p>
  </w:footnote>
  <w:footnote w:id="13">
    <w:p w14:paraId="22878335" w14:textId="77777777" w:rsidR="00365622" w:rsidRPr="008A5525" w:rsidRDefault="00365622" w:rsidP="00365622">
      <w:pPr>
        <w:pStyle w:val="Textonotapie"/>
        <w:ind w:firstLine="709"/>
        <w:jc w:val="both"/>
        <w:rPr>
          <w:rFonts w:ascii="Arial" w:hAnsi="Arial" w:cs="Arial"/>
          <w:sz w:val="19"/>
          <w:szCs w:val="19"/>
        </w:rPr>
      </w:pPr>
      <w:r w:rsidRPr="008A5525">
        <w:rPr>
          <w:rStyle w:val="Refdenotaalpie"/>
          <w:rFonts w:ascii="Arial" w:hAnsi="Arial" w:cs="Arial"/>
          <w:sz w:val="19"/>
          <w:szCs w:val="19"/>
        </w:rPr>
        <w:footnoteRef/>
      </w:r>
      <w:r w:rsidRPr="008A5525">
        <w:rPr>
          <w:rFonts w:ascii="Arial" w:hAnsi="Arial" w:cs="Arial"/>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43C15C2D" w14:textId="77777777" w:rsidR="00365622" w:rsidRPr="008A5525" w:rsidRDefault="00365622" w:rsidP="00365622">
      <w:pPr>
        <w:pStyle w:val="Textonotapie"/>
        <w:ind w:firstLine="709"/>
        <w:jc w:val="both"/>
        <w:rPr>
          <w:rFonts w:ascii="Arial" w:hAnsi="Arial" w:cs="Arial"/>
          <w:sz w:val="19"/>
          <w:szCs w:val="19"/>
        </w:rPr>
      </w:pPr>
      <w:r w:rsidRPr="008A5525">
        <w:rPr>
          <w:rFonts w:ascii="Arial" w:hAnsi="Arial" w:cs="Arial"/>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6BF9FA1B" w14:textId="77777777" w:rsidR="00365622" w:rsidRPr="008A5525" w:rsidRDefault="00365622" w:rsidP="00365622">
      <w:pPr>
        <w:pStyle w:val="Textonotapie"/>
        <w:ind w:firstLine="709"/>
        <w:jc w:val="both"/>
        <w:rPr>
          <w:rFonts w:ascii="Arial" w:hAnsi="Arial" w:cs="Arial"/>
          <w:sz w:val="19"/>
          <w:szCs w:val="19"/>
          <w:lang w:val="es-ES"/>
        </w:rPr>
      </w:pPr>
      <w:r w:rsidRPr="008A5525">
        <w:rPr>
          <w:rFonts w:ascii="Arial" w:hAnsi="Arial" w:cs="Arial"/>
          <w:sz w:val="19"/>
          <w:szCs w:val="19"/>
        </w:rPr>
        <w:t>[…]».</w:t>
      </w:r>
    </w:p>
  </w:footnote>
  <w:footnote w:id="14">
    <w:p w14:paraId="6FFCD88A" w14:textId="77777777" w:rsidR="00365622" w:rsidRPr="008A5525" w:rsidRDefault="00365622" w:rsidP="00365622">
      <w:pPr>
        <w:pStyle w:val="Textonotapie"/>
        <w:ind w:firstLine="709"/>
        <w:jc w:val="both"/>
        <w:rPr>
          <w:rFonts w:ascii="Arial" w:hAnsi="Arial" w:cs="Arial"/>
          <w:sz w:val="19"/>
          <w:szCs w:val="19"/>
          <w:lang w:val="es-ES"/>
        </w:rPr>
      </w:pPr>
      <w:r w:rsidRPr="008A5525">
        <w:rPr>
          <w:rStyle w:val="Refdenotaalpie"/>
          <w:rFonts w:ascii="Arial" w:hAnsi="Arial" w:cs="Arial"/>
          <w:sz w:val="19"/>
          <w:szCs w:val="19"/>
        </w:rPr>
        <w:footnoteRef/>
      </w:r>
      <w:r w:rsidRPr="008A5525">
        <w:rPr>
          <w:rFonts w:ascii="Arial" w:hAnsi="Arial" w:cs="Arial"/>
          <w:sz w:val="19"/>
          <w:szCs w:val="19"/>
        </w:rPr>
        <w:t xml:space="preserve"> </w:t>
      </w:r>
      <w:r w:rsidRPr="008A5525">
        <w:rPr>
          <w:rFonts w:ascii="Arial" w:hAnsi="Arial" w:cs="Arial"/>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520C145A" w14:textId="77777777" w:rsidR="00365622" w:rsidRPr="008A5525" w:rsidRDefault="00365622" w:rsidP="00365622">
      <w:pPr>
        <w:pStyle w:val="Textonotapie"/>
        <w:ind w:firstLine="709"/>
        <w:jc w:val="both"/>
        <w:rPr>
          <w:rFonts w:ascii="Arial" w:hAnsi="Arial" w:cs="Arial"/>
          <w:sz w:val="19"/>
          <w:szCs w:val="19"/>
          <w:lang w:val="es-ES"/>
        </w:rPr>
      </w:pPr>
    </w:p>
  </w:footnote>
  <w:footnote w:id="15">
    <w:p w14:paraId="3475A207"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El Decreto 1082 de 2015 lo establece de la siguiente manera: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1FD5BE83"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5FA6481"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Fonts w:ascii="Arial" w:hAnsi="Arial" w:cs="Arial"/>
          <w:color w:val="000000" w:themeColor="text1"/>
          <w:sz w:val="19"/>
          <w:szCs w:val="19"/>
          <w:lang w:val="es-ES"/>
        </w:rPr>
        <w:t>»La Entidad Estatal, para la contratación de trabajos artísticos que solamente puedan en</w:t>
      </w:r>
      <w:r w:rsidRPr="008A5525">
        <w:rPr>
          <w:rFonts w:ascii="Arial" w:hAnsi="Arial" w:cs="Arial"/>
          <w:color w:val="000000" w:themeColor="text1"/>
          <w:sz w:val="19"/>
          <w:szCs w:val="19"/>
          <w:lang w:val="es-ES"/>
        </w:rPr>
        <w:softHyphen/>
        <w:t>comendarse a determinadas personas naturales, debe justificar esta situación en los estudios y documentos previos».</w:t>
      </w:r>
    </w:p>
    <w:p w14:paraId="51EE9C8D"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p>
  </w:footnote>
  <w:footnote w:id="16">
    <w:p w14:paraId="49F8B872"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color w:val="000000" w:themeColor="text1"/>
          <w:sz w:val="19"/>
          <w:szCs w:val="19"/>
          <w:lang w:val="es-ES"/>
        </w:rPr>
        <w:t>CONSEJO DE ESTADO. Sección Tercera. Subsección C. Sentencia de Unificación del 2 de diciembre de 2013. Exp. 41.719. C.P. Jaime Orlando Santofimio Gamboa.</w:t>
      </w:r>
    </w:p>
    <w:p w14:paraId="65C8C47B"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p>
  </w:footnote>
  <w:footnote w:id="17">
    <w:p w14:paraId="62267F12"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r w:rsidRPr="008A5525">
        <w:rPr>
          <w:rStyle w:val="Refdenotaalpie"/>
          <w:rFonts w:ascii="Arial" w:hAnsi="Arial" w:cs="Arial"/>
          <w:color w:val="000000" w:themeColor="text1"/>
          <w:sz w:val="19"/>
          <w:szCs w:val="19"/>
        </w:rPr>
        <w:footnoteRef/>
      </w:r>
      <w:r w:rsidRPr="008A5525">
        <w:rPr>
          <w:rFonts w:ascii="Arial" w:hAnsi="Arial" w:cs="Arial"/>
          <w:color w:val="000000" w:themeColor="text1"/>
          <w:sz w:val="19"/>
          <w:szCs w:val="19"/>
        </w:rPr>
        <w:t xml:space="preserve"> </w:t>
      </w:r>
      <w:r w:rsidRPr="008A5525">
        <w:rPr>
          <w:rFonts w:ascii="Arial" w:hAnsi="Arial" w:cs="Arial"/>
          <w:i/>
          <w:iCs/>
          <w:color w:val="000000" w:themeColor="text1"/>
          <w:sz w:val="19"/>
          <w:szCs w:val="19"/>
          <w:lang w:val="es-ES"/>
        </w:rPr>
        <w:t>Ibíd</w:t>
      </w:r>
      <w:r w:rsidRPr="008A5525">
        <w:rPr>
          <w:rFonts w:ascii="Arial" w:hAnsi="Arial" w:cs="Arial"/>
          <w:color w:val="000000" w:themeColor="text1"/>
          <w:sz w:val="19"/>
          <w:szCs w:val="19"/>
          <w:lang w:val="es-ES"/>
        </w:rPr>
        <w:t>.</w:t>
      </w:r>
    </w:p>
    <w:p w14:paraId="79E5ADF4" w14:textId="77777777" w:rsidR="00365622" w:rsidRPr="008A5525" w:rsidRDefault="00365622" w:rsidP="00365622">
      <w:pPr>
        <w:pStyle w:val="Textonotapie"/>
        <w:ind w:firstLine="709"/>
        <w:jc w:val="both"/>
        <w:rPr>
          <w:rFonts w:ascii="Arial" w:hAnsi="Arial" w:cs="Arial"/>
          <w:color w:val="000000" w:themeColor="text1"/>
          <w:sz w:val="19"/>
          <w:szCs w:val="19"/>
          <w:lang w:val="es-ES"/>
        </w:rPr>
      </w:pPr>
    </w:p>
  </w:footnote>
  <w:footnote w:id="18">
    <w:p w14:paraId="16E71F7B"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Artículo 3 de la Ley 80 de 1993.</w:t>
      </w:r>
    </w:p>
    <w:p w14:paraId="3BAF6DC7" w14:textId="77777777" w:rsidR="005F7447" w:rsidRPr="007B1FE3" w:rsidRDefault="005F7447" w:rsidP="006B586E">
      <w:pPr>
        <w:pStyle w:val="Textonotapie"/>
        <w:jc w:val="both"/>
        <w:rPr>
          <w:rFonts w:ascii="Arial" w:hAnsi="Arial" w:cs="Arial"/>
          <w:iCs/>
          <w:color w:val="000000" w:themeColor="text1"/>
          <w:sz w:val="19"/>
          <w:szCs w:val="19"/>
        </w:rPr>
      </w:pPr>
    </w:p>
  </w:footnote>
  <w:footnote w:id="19">
    <w:p w14:paraId="541338B1"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Artículo 17 de la Ley 1150 de 2007.</w:t>
      </w:r>
    </w:p>
    <w:p w14:paraId="0072D07F" w14:textId="77777777" w:rsidR="005F7447" w:rsidRPr="007B1FE3" w:rsidRDefault="005F7447" w:rsidP="006B586E">
      <w:pPr>
        <w:pStyle w:val="Textonotapie"/>
        <w:ind w:firstLine="708"/>
        <w:jc w:val="both"/>
        <w:rPr>
          <w:rFonts w:ascii="Arial" w:hAnsi="Arial" w:cs="Arial"/>
          <w:color w:val="000000" w:themeColor="text1"/>
          <w:sz w:val="19"/>
          <w:szCs w:val="19"/>
          <w:lang w:val="es-ES"/>
        </w:rPr>
      </w:pPr>
    </w:p>
  </w:footnote>
  <w:footnote w:id="20">
    <w:p w14:paraId="4FB544B8"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Artículo 21 de la Ley 1150 de 2007.</w:t>
      </w:r>
    </w:p>
    <w:p w14:paraId="781A239A" w14:textId="77777777" w:rsidR="005F7447" w:rsidRPr="007B1FE3" w:rsidRDefault="005F7447" w:rsidP="006B586E">
      <w:pPr>
        <w:pStyle w:val="Textonotapie"/>
        <w:jc w:val="both"/>
        <w:rPr>
          <w:rFonts w:ascii="Arial" w:hAnsi="Arial" w:cs="Arial"/>
          <w:color w:val="000000" w:themeColor="text1"/>
          <w:sz w:val="19"/>
          <w:szCs w:val="19"/>
        </w:rPr>
      </w:pPr>
    </w:p>
  </w:footnote>
  <w:footnote w:id="21">
    <w:p w14:paraId="1DD4D1AB"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Artículos 83 a 86 de la Ley 1474 de 2011.</w:t>
      </w:r>
    </w:p>
    <w:p w14:paraId="087C5761" w14:textId="77777777" w:rsidR="005F7447" w:rsidRPr="007B1FE3" w:rsidRDefault="005F7447" w:rsidP="006B586E">
      <w:pPr>
        <w:pStyle w:val="Textonotapie"/>
        <w:jc w:val="both"/>
        <w:rPr>
          <w:rFonts w:ascii="Arial" w:hAnsi="Arial" w:cs="Arial"/>
          <w:color w:val="000000" w:themeColor="text1"/>
          <w:sz w:val="19"/>
          <w:szCs w:val="19"/>
        </w:rPr>
      </w:pPr>
    </w:p>
  </w:footnote>
  <w:footnote w:id="22">
    <w:p w14:paraId="2530D7F1"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Consejo de Estado. Sección 3ª. Sentencia del 27 de noviembre de 2017. M.P. Jaime Orlando Santofimio. Exp. 51.802.</w:t>
      </w:r>
    </w:p>
    <w:p w14:paraId="5DD8F8C3" w14:textId="77777777" w:rsidR="005F7447" w:rsidRPr="007B1FE3" w:rsidRDefault="005F7447" w:rsidP="006B586E">
      <w:pPr>
        <w:pStyle w:val="Textonotapie"/>
        <w:jc w:val="both"/>
        <w:rPr>
          <w:rFonts w:ascii="Arial" w:hAnsi="Arial" w:cs="Arial"/>
          <w:color w:val="000000" w:themeColor="text1"/>
          <w:sz w:val="19"/>
          <w:szCs w:val="19"/>
          <w:lang w:val="es-CO"/>
        </w:rPr>
      </w:pPr>
    </w:p>
  </w:footnote>
  <w:footnote w:id="23">
    <w:p w14:paraId="6657B923" w14:textId="20B53E9F" w:rsidR="006B586E" w:rsidRPr="00B47043" w:rsidRDefault="006B586E" w:rsidP="00B47043">
      <w:pPr>
        <w:pStyle w:val="Textonotapie"/>
        <w:ind w:firstLine="708"/>
        <w:jc w:val="both"/>
        <w:rPr>
          <w:rFonts w:ascii="Arial" w:hAnsi="Arial" w:cs="Arial"/>
          <w:sz w:val="19"/>
          <w:szCs w:val="19"/>
        </w:rPr>
      </w:pPr>
      <w:r w:rsidRPr="00B47043">
        <w:rPr>
          <w:rStyle w:val="Refdenotaalpie"/>
          <w:rFonts w:ascii="Arial" w:hAnsi="Arial" w:cs="Arial"/>
          <w:sz w:val="19"/>
          <w:szCs w:val="19"/>
        </w:rPr>
        <w:footnoteRef/>
      </w:r>
      <w:r w:rsidRPr="00B47043">
        <w:rPr>
          <w:rFonts w:ascii="Arial" w:hAnsi="Arial" w:cs="Arial"/>
          <w:sz w:val="19"/>
          <w:szCs w:val="19"/>
        </w:rPr>
        <w:t xml:space="preserve"> «Artículo 83.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w:t>
      </w:r>
    </w:p>
    <w:p w14:paraId="10902900" w14:textId="608F43B2"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»La supervisión consistirá en el seguimiento técnico, administrativo, financiero, contable, y jurídico que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w:t>
      </w:r>
    </w:p>
    <w:p w14:paraId="7EEC8C78" w14:textId="12DC778D"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w:t>
      </w:r>
    </w:p>
    <w:p w14:paraId="62DB5CD8" w14:textId="0D308C4F"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»Por regla general, no serán concurrentes en relación con un mismo contrato, las funciones de supervisión e interventoría. Sin embargo, la entidad puede dividir la vigilancia del contrato principal, caso en el cual en el contrato respectivo de interventoría, se deberán indicar las actividades técnicas a cargo del interventor y las demás quedarán a cargo de la Entidad a través del supervisor. </w:t>
      </w:r>
    </w:p>
    <w:p w14:paraId="079A354B" w14:textId="5EA519F0"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»El contrato de Interventoría será supervisado directamente por la entidad estatal. </w:t>
      </w:r>
    </w:p>
    <w:p w14:paraId="02F1335A" w14:textId="75996376"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 xml:space="preserve">»Parágrafo 1°. En adición a la obligación de contar con interventoría, teniendo en cuenta la capacidad de la entidad para asumir o no la respectiva supervisión en los contratos de obra a que se refiere el artículo 32 de la Ley 80 de 1993, los estudios previos de los contratos cuyo valor supere la menor cuantía de la entidad, con independencia de la modalidad de selección, se pronunciarán sobre la necesidad de contar con interventoría. </w:t>
      </w:r>
    </w:p>
    <w:p w14:paraId="679D5C08" w14:textId="5086EE8D" w:rsidR="006B586E" w:rsidRPr="00B47043" w:rsidRDefault="006B586E" w:rsidP="00B47043">
      <w:pPr>
        <w:pStyle w:val="Textonotapie"/>
        <w:ind w:firstLine="708"/>
        <w:jc w:val="both"/>
        <w:rPr>
          <w:rFonts w:ascii="Arial" w:hAnsi="Arial" w:cs="Arial"/>
          <w:sz w:val="19"/>
          <w:szCs w:val="19"/>
        </w:rPr>
      </w:pPr>
      <w:r w:rsidRPr="00B47043">
        <w:rPr>
          <w:rFonts w:ascii="Arial" w:hAnsi="Arial" w:cs="Arial"/>
          <w:sz w:val="19"/>
          <w:szCs w:val="19"/>
        </w:rPr>
        <w:t>»Parágrafo 2°. El Gobierno Nacional reglamentará la materia</w:t>
      </w:r>
      <w:r w:rsidR="007B1FE3">
        <w:rPr>
          <w:rFonts w:ascii="Arial" w:hAnsi="Arial" w:cs="Arial"/>
          <w:sz w:val="19"/>
          <w:szCs w:val="19"/>
        </w:rPr>
        <w:t>»</w:t>
      </w:r>
      <w:r w:rsidRPr="00B47043">
        <w:rPr>
          <w:rFonts w:ascii="Arial" w:hAnsi="Arial" w:cs="Arial"/>
          <w:sz w:val="19"/>
          <w:szCs w:val="19"/>
        </w:rPr>
        <w:t xml:space="preserve">.  </w:t>
      </w:r>
    </w:p>
  </w:footnote>
  <w:footnote w:id="24">
    <w:p w14:paraId="67CC443A" w14:textId="77777777" w:rsidR="005F7447" w:rsidRPr="007B1FE3" w:rsidRDefault="005F7447" w:rsidP="006B586E">
      <w:pPr>
        <w:pStyle w:val="Textonotapie"/>
        <w:ind w:firstLine="708"/>
        <w:jc w:val="both"/>
        <w:rPr>
          <w:rFonts w:ascii="Arial" w:hAnsi="Arial" w:cs="Arial"/>
          <w:color w:val="000000" w:themeColor="text1"/>
          <w:sz w:val="19"/>
          <w:szCs w:val="19"/>
          <w:lang w:val="es-ES"/>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BELTRÁN SUÁREZ, Gonzalo. Estudios de derecho contractual público. 1ª Ed. Legis, 2014. Bogotá. p. 256.</w:t>
      </w:r>
    </w:p>
    <w:p w14:paraId="22625AC9" w14:textId="77777777" w:rsidR="005F7447" w:rsidRPr="007B1FE3" w:rsidRDefault="005F7447" w:rsidP="006B586E">
      <w:pPr>
        <w:pStyle w:val="Textonotapie"/>
        <w:jc w:val="both"/>
        <w:rPr>
          <w:rFonts w:ascii="Arial" w:hAnsi="Arial" w:cs="Arial"/>
          <w:color w:val="000000" w:themeColor="text1"/>
          <w:sz w:val="19"/>
          <w:szCs w:val="19"/>
        </w:rPr>
      </w:pPr>
    </w:p>
  </w:footnote>
  <w:footnote w:id="25">
    <w:p w14:paraId="32419235" w14:textId="77777777" w:rsidR="005F7447" w:rsidRPr="007B1FE3" w:rsidRDefault="005F7447" w:rsidP="006B586E">
      <w:pPr>
        <w:pStyle w:val="Textonotapie"/>
        <w:ind w:firstLine="708"/>
        <w:jc w:val="both"/>
        <w:rPr>
          <w:rFonts w:ascii="Arial" w:hAnsi="Arial" w:cs="Arial"/>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Radicado # 4201913000008240 del 20 de diciembre de 2019.</w:t>
      </w:r>
    </w:p>
    <w:p w14:paraId="1892D625" w14:textId="77777777" w:rsidR="005F7447" w:rsidRPr="007B1FE3" w:rsidRDefault="005F7447" w:rsidP="006B586E">
      <w:pPr>
        <w:pStyle w:val="Textonotapie"/>
        <w:ind w:firstLine="708"/>
        <w:jc w:val="both"/>
        <w:rPr>
          <w:rFonts w:ascii="Arial" w:hAnsi="Arial" w:cs="Arial"/>
          <w:color w:val="000000" w:themeColor="text1"/>
          <w:sz w:val="19"/>
          <w:szCs w:val="19"/>
          <w:lang w:val="es-ES"/>
        </w:rPr>
      </w:pPr>
    </w:p>
  </w:footnote>
  <w:footnote w:id="26">
    <w:p w14:paraId="542E0994" w14:textId="77777777" w:rsidR="005F7447" w:rsidRPr="007B1FE3" w:rsidRDefault="005F7447" w:rsidP="006B586E">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05325F31" w14:textId="77777777" w:rsidR="005F7447" w:rsidRPr="007B1FE3" w:rsidRDefault="005F7447" w:rsidP="006B586E">
      <w:pPr>
        <w:pStyle w:val="Textonotapie"/>
        <w:jc w:val="both"/>
        <w:rPr>
          <w:rFonts w:ascii="Arial" w:hAnsi="Arial" w:cs="Arial"/>
          <w:iCs/>
          <w:color w:val="000000" w:themeColor="text1"/>
          <w:sz w:val="19"/>
          <w:szCs w:val="19"/>
        </w:rPr>
      </w:pPr>
    </w:p>
  </w:footnote>
  <w:footnote w:id="27">
    <w:p w14:paraId="787A87E8" w14:textId="77777777" w:rsidR="005F7447" w:rsidRPr="007B1FE3" w:rsidRDefault="005F7447" w:rsidP="00B47043">
      <w:pPr>
        <w:pStyle w:val="Textonotapie"/>
        <w:ind w:firstLine="708"/>
        <w:jc w:val="both"/>
        <w:rPr>
          <w:rFonts w:ascii="Arial" w:hAnsi="Arial" w:cs="Arial"/>
          <w:color w:val="000000" w:themeColor="text1"/>
          <w:sz w:val="19"/>
          <w:szCs w:val="19"/>
          <w:lang w:val="es-CO"/>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«Son también contratos de consultoría los que tienen por objeto la interventoría[…]»</w:t>
      </w:r>
    </w:p>
  </w:footnote>
  <w:footnote w:id="28">
    <w:p w14:paraId="3CFD328A" w14:textId="77777777" w:rsidR="008C1ADE" w:rsidRPr="00B47043" w:rsidRDefault="008C1ADE" w:rsidP="008C1ADE">
      <w:pPr>
        <w:pStyle w:val="Textonotapie"/>
        <w:ind w:firstLine="708"/>
        <w:jc w:val="both"/>
        <w:rPr>
          <w:rFonts w:ascii="Arial" w:hAnsi="Arial" w:cs="Arial"/>
          <w:sz w:val="19"/>
          <w:szCs w:val="19"/>
        </w:rPr>
      </w:pPr>
      <w:r w:rsidRPr="00B47043">
        <w:rPr>
          <w:rStyle w:val="Refdenotaalpie"/>
          <w:rFonts w:ascii="Arial" w:hAnsi="Arial" w:cs="Arial"/>
          <w:sz w:val="19"/>
          <w:szCs w:val="19"/>
        </w:rPr>
        <w:footnoteRef/>
      </w:r>
      <w:r w:rsidRPr="00B47043">
        <w:rPr>
          <w:rFonts w:ascii="Arial" w:hAnsi="Arial" w:cs="Arial"/>
          <w:sz w:val="19"/>
          <w:szCs w:val="19"/>
        </w:rPr>
        <w:t xml:space="preserve"> «Artículo 84. Facultades y deberes de los supervisores y los interventores. La supervisión e interventoría contractual implica el seguimiento al ejercicio del cumplimiento obligacional por la entidad contratante sobre las obligaciones a cargo del contratista. </w:t>
      </w:r>
    </w:p>
    <w:p w14:paraId="5888B02C" w14:textId="77777777" w:rsidR="008C1ADE" w:rsidRPr="00B47043" w:rsidRDefault="008C1ADE" w:rsidP="008C1ADE">
      <w:pPr>
        <w:pStyle w:val="Textonotapie"/>
        <w:ind w:firstLine="708"/>
        <w:jc w:val="both"/>
        <w:rPr>
          <w:rFonts w:ascii="Arial" w:hAnsi="Arial" w:cs="Arial"/>
          <w:sz w:val="19"/>
          <w:szCs w:val="19"/>
        </w:rPr>
      </w:pPr>
      <w:r w:rsidRPr="00B47043">
        <w:rPr>
          <w:rFonts w:ascii="Arial" w:hAnsi="Arial" w:cs="Arial"/>
          <w:sz w:val="19"/>
          <w:szCs w:val="19"/>
        </w:rPr>
        <w:t xml:space="preserve">»Los interventores y supervisores están facultados para solicitar informes, aclaraciones y explicaciones sobre el desarrollo de la ejecución contractual, y serán responsables por mantener informada a la entidad contratante de los hechos o circunstancias que puedan constituir actos de corrupción tipificados como conductas punibles, o que puedan poner o pongan en riesgo el cumplimiento del contrato, o cuando tal incumplimiento se presente […]». </w:t>
      </w:r>
    </w:p>
    <w:p w14:paraId="0EDB723C" w14:textId="77777777" w:rsidR="008C1ADE" w:rsidRPr="00B47043" w:rsidRDefault="008C1ADE" w:rsidP="008C1ADE">
      <w:pPr>
        <w:pStyle w:val="Textonotapie"/>
        <w:ind w:firstLine="708"/>
        <w:jc w:val="both"/>
        <w:rPr>
          <w:rFonts w:ascii="Arial" w:hAnsi="Arial" w:cs="Arial"/>
          <w:sz w:val="19"/>
          <w:szCs w:val="19"/>
        </w:rPr>
      </w:pPr>
      <w:r w:rsidRPr="00B47043">
        <w:rPr>
          <w:rFonts w:ascii="Arial" w:hAnsi="Arial" w:cs="Arial"/>
          <w:sz w:val="19"/>
          <w:szCs w:val="19"/>
        </w:rPr>
        <w:t xml:space="preserve">  </w:t>
      </w:r>
    </w:p>
  </w:footnote>
  <w:footnote w:id="29">
    <w:p w14:paraId="7437BF55" w14:textId="585BE0B4" w:rsidR="002828AD" w:rsidRDefault="002828AD" w:rsidP="006B586E">
      <w:pPr>
        <w:pStyle w:val="Textonotapie"/>
        <w:ind w:firstLine="708"/>
        <w:jc w:val="both"/>
        <w:rPr>
          <w:rFonts w:ascii="Arial" w:hAnsi="Arial" w:cs="Arial"/>
          <w:iCs/>
          <w:color w:val="000000"/>
          <w:sz w:val="19"/>
          <w:szCs w:val="19"/>
        </w:rPr>
      </w:pPr>
      <w:r w:rsidRPr="007B1FE3">
        <w:rPr>
          <w:rStyle w:val="Refdenotaalpie"/>
          <w:rFonts w:ascii="Arial" w:hAnsi="Arial" w:cs="Arial"/>
          <w:color w:val="000000"/>
          <w:sz w:val="19"/>
          <w:szCs w:val="19"/>
        </w:rPr>
        <w:footnoteRef/>
      </w:r>
      <w:r w:rsidRPr="007B1FE3">
        <w:rPr>
          <w:rFonts w:ascii="Arial" w:hAnsi="Arial" w:cs="Arial"/>
          <w:color w:val="000000"/>
          <w:sz w:val="19"/>
          <w:szCs w:val="19"/>
        </w:rPr>
        <w:t xml:space="preserve"> </w:t>
      </w:r>
      <w:r w:rsidRPr="007B1FE3">
        <w:rPr>
          <w:rFonts w:ascii="Arial" w:hAnsi="Arial" w:cs="Arial"/>
          <w:iCs/>
          <w:color w:val="000000"/>
          <w:sz w:val="19"/>
          <w:szCs w:val="19"/>
        </w:rPr>
        <w:t xml:space="preserve">Disponible en: </w:t>
      </w:r>
      <w:bookmarkStart w:id="8" w:name="_Hlk118974701"/>
      <w:r w:rsidR="00A87E55" w:rsidRPr="00A87E55">
        <w:rPr>
          <w:rFonts w:ascii="Arial" w:hAnsi="Arial" w:cs="Arial"/>
          <w:iCs/>
          <w:color w:val="000000"/>
          <w:sz w:val="19"/>
          <w:szCs w:val="19"/>
        </w:rPr>
        <w:t>chrome-extension://efaidnbmnnnibpcajpcglclefindmkaj/https://www.colombiacompra.gov.co/sites/cce_public/files/cce_documents/cce_guia_para_el_ejercicio_de_las_funciones_de_supervision_e_interventoria_de_los_contratos_del_estado.pdf</w:t>
      </w:r>
    </w:p>
    <w:bookmarkEnd w:id="8"/>
    <w:p w14:paraId="57C82D9C" w14:textId="77777777" w:rsidR="00A87E55" w:rsidRPr="007B1FE3" w:rsidRDefault="00A87E55" w:rsidP="006B586E">
      <w:pPr>
        <w:pStyle w:val="Textonotapie"/>
        <w:ind w:firstLine="708"/>
        <w:jc w:val="both"/>
        <w:rPr>
          <w:rStyle w:val="Hipervnculo"/>
          <w:rFonts w:ascii="Arial" w:hAnsi="Arial" w:cs="Arial"/>
          <w:iCs/>
          <w:color w:val="000000"/>
          <w:sz w:val="19"/>
          <w:szCs w:val="19"/>
        </w:rPr>
      </w:pPr>
    </w:p>
    <w:p w14:paraId="19B421E2" w14:textId="77777777" w:rsidR="002828AD" w:rsidRPr="007B1FE3" w:rsidRDefault="002828AD" w:rsidP="006B586E">
      <w:pPr>
        <w:pStyle w:val="Textonotapie"/>
        <w:ind w:firstLine="708"/>
        <w:jc w:val="both"/>
        <w:rPr>
          <w:rFonts w:ascii="Arial" w:hAnsi="Arial" w:cs="Arial"/>
          <w:iCs/>
          <w:color w:val="000000"/>
          <w:sz w:val="19"/>
          <w:szCs w:val="19"/>
        </w:rPr>
      </w:pPr>
    </w:p>
  </w:footnote>
  <w:footnote w:id="30">
    <w:p w14:paraId="1847DC63" w14:textId="70C4D7CF" w:rsidR="00150489" w:rsidRPr="007B1FE3" w:rsidRDefault="00150489" w:rsidP="006B586E">
      <w:pPr>
        <w:pStyle w:val="Textonotapie"/>
        <w:ind w:firstLine="708"/>
        <w:jc w:val="both"/>
        <w:rPr>
          <w:rStyle w:val="Hipervnculo"/>
          <w:rFonts w:ascii="Arial" w:hAnsi="Arial" w:cs="Arial"/>
          <w:iCs/>
          <w:color w:val="000000"/>
          <w:sz w:val="19"/>
          <w:szCs w:val="19"/>
        </w:rPr>
      </w:pPr>
      <w:r w:rsidRPr="007B1FE3">
        <w:rPr>
          <w:rStyle w:val="Refdenotaalpie"/>
          <w:rFonts w:ascii="Arial" w:hAnsi="Arial" w:cs="Arial"/>
          <w:color w:val="000000"/>
          <w:sz w:val="19"/>
          <w:szCs w:val="19"/>
        </w:rPr>
        <w:footnoteRef/>
      </w:r>
      <w:r w:rsidRPr="007B1FE3">
        <w:rPr>
          <w:rFonts w:ascii="Arial" w:hAnsi="Arial" w:cs="Arial"/>
          <w:color w:val="000000"/>
          <w:sz w:val="19"/>
          <w:szCs w:val="19"/>
        </w:rPr>
        <w:t xml:space="preserve"> </w:t>
      </w:r>
      <w:r w:rsidRPr="007B1FE3">
        <w:rPr>
          <w:rFonts w:ascii="Arial" w:hAnsi="Arial" w:cs="Arial"/>
          <w:iCs/>
          <w:color w:val="000000"/>
          <w:sz w:val="19"/>
          <w:szCs w:val="19"/>
        </w:rPr>
        <w:t xml:space="preserve">Disponible en: </w:t>
      </w:r>
      <w:r w:rsidR="00916815" w:rsidRPr="00916815">
        <w:rPr>
          <w:rFonts w:ascii="Arial" w:hAnsi="Arial" w:cs="Arial"/>
          <w:iCs/>
          <w:color w:val="000000"/>
          <w:sz w:val="19"/>
          <w:szCs w:val="19"/>
        </w:rPr>
        <w:t>chrome-extension://efaidnbmnnnibpcajpcglclefindmkaj/https://www.colombiacompra.gov.co/sites/cce_public/files/cce_documents/cce_guia_para_el_ejercicio_de_las_funciones_de_supervision_e_interventoria_de_los_contratos_del_estado.pdf</w:t>
      </w:r>
    </w:p>
    <w:p w14:paraId="17DE8421" w14:textId="77777777" w:rsidR="00150489" w:rsidRPr="007B1FE3" w:rsidRDefault="00150489" w:rsidP="006B586E">
      <w:pPr>
        <w:pStyle w:val="Textonotapie"/>
        <w:ind w:firstLine="708"/>
        <w:jc w:val="both"/>
        <w:rPr>
          <w:rFonts w:ascii="Arial" w:hAnsi="Arial" w:cs="Arial"/>
          <w:iCs/>
          <w:color w:val="000000"/>
          <w:sz w:val="19"/>
          <w:szCs w:val="19"/>
        </w:rPr>
      </w:pPr>
    </w:p>
  </w:footnote>
  <w:footnote w:id="31">
    <w:p w14:paraId="4E7FA860" w14:textId="77777777" w:rsidR="00150489" w:rsidRPr="007B1FE3" w:rsidRDefault="00150489" w:rsidP="006B586E">
      <w:pPr>
        <w:pStyle w:val="Textonotapie"/>
        <w:ind w:firstLine="708"/>
        <w:jc w:val="both"/>
        <w:rPr>
          <w:rFonts w:ascii="Arial" w:hAnsi="Arial" w:cs="Arial"/>
          <w:color w:val="000000"/>
          <w:sz w:val="19"/>
          <w:szCs w:val="19"/>
        </w:rPr>
      </w:pPr>
      <w:r w:rsidRPr="007B1FE3">
        <w:rPr>
          <w:rStyle w:val="Refdenotaalpie"/>
          <w:rFonts w:ascii="Arial" w:hAnsi="Arial" w:cs="Arial"/>
          <w:color w:val="000000"/>
          <w:sz w:val="19"/>
          <w:szCs w:val="19"/>
        </w:rPr>
        <w:footnoteRef/>
      </w:r>
      <w:r w:rsidRPr="007B1FE3">
        <w:rPr>
          <w:rFonts w:ascii="Arial" w:hAnsi="Arial" w:cs="Arial"/>
          <w:color w:val="000000"/>
          <w:sz w:val="19"/>
          <w:szCs w:val="19"/>
        </w:rPr>
        <w:t xml:space="preserve"> </w:t>
      </w:r>
      <w:r w:rsidRPr="007B1FE3">
        <w:rPr>
          <w:rFonts w:ascii="Arial" w:hAnsi="Arial" w:cs="Arial"/>
          <w:iCs/>
          <w:color w:val="000000"/>
          <w:sz w:val="19"/>
          <w:szCs w:val="19"/>
        </w:rPr>
        <w:t>Departamento Administrativo de la Función Pública. Concepto del 6 de mayo de 2019. Rad. 140.881.</w:t>
      </w:r>
    </w:p>
    <w:p w14:paraId="126B422B" w14:textId="77777777" w:rsidR="00150489" w:rsidRPr="007B1FE3" w:rsidRDefault="00150489" w:rsidP="006B586E">
      <w:pPr>
        <w:pStyle w:val="Textonotapie"/>
        <w:jc w:val="both"/>
        <w:rPr>
          <w:rFonts w:ascii="Arial" w:hAnsi="Arial" w:cs="Arial"/>
          <w:color w:val="000000"/>
          <w:sz w:val="19"/>
          <w:szCs w:val="19"/>
        </w:rPr>
      </w:pPr>
    </w:p>
  </w:footnote>
  <w:footnote w:id="32">
    <w:p w14:paraId="731E5F68" w14:textId="343BB387" w:rsidR="006B40D6" w:rsidRDefault="006B40D6">
      <w:pPr>
        <w:pStyle w:val="Textonotapie"/>
        <w:rPr>
          <w:rFonts w:ascii="Arial" w:hAnsi="Arial" w:cs="Arial"/>
          <w:sz w:val="19"/>
          <w:szCs w:val="19"/>
          <w:lang w:val="es-CO"/>
        </w:rPr>
      </w:pPr>
      <w:r w:rsidRPr="006B40D6">
        <w:rPr>
          <w:rStyle w:val="Refdenotaalpie"/>
          <w:rFonts w:ascii="Arial" w:hAnsi="Arial" w:cs="Arial"/>
          <w:sz w:val="19"/>
          <w:szCs w:val="19"/>
        </w:rPr>
        <w:footnoteRef/>
      </w:r>
      <w:r w:rsidRPr="006B40D6">
        <w:rPr>
          <w:rFonts w:ascii="Arial" w:hAnsi="Arial" w:cs="Arial"/>
          <w:sz w:val="19"/>
          <w:szCs w:val="19"/>
        </w:rPr>
        <w:t xml:space="preserve"> </w:t>
      </w:r>
      <w:r w:rsidRPr="006B40D6">
        <w:rPr>
          <w:rFonts w:ascii="Arial" w:hAnsi="Arial" w:cs="Arial"/>
          <w:sz w:val="19"/>
          <w:szCs w:val="19"/>
          <w:lang w:val="es-CO"/>
        </w:rPr>
        <w:t xml:space="preserve">El cual puede ser consultado en el siguiente link: </w:t>
      </w:r>
      <w:hyperlink r:id="rId1" w:history="1">
        <w:r w:rsidRPr="00B523F1">
          <w:rPr>
            <w:rStyle w:val="Hipervnculo"/>
            <w:rFonts w:ascii="Arial" w:hAnsi="Arial" w:cs="Arial"/>
            <w:sz w:val="19"/>
            <w:szCs w:val="19"/>
            <w:lang w:val="es-CO"/>
          </w:rPr>
          <w:t>https://www.itagui.gov.co/uploads/entidad/funcionarios/0848a-45-202-03-comisario-de-familia.pdf</w:t>
        </w:r>
      </w:hyperlink>
    </w:p>
    <w:p w14:paraId="76E21464" w14:textId="77777777" w:rsidR="006B40D6" w:rsidRPr="006B40D6" w:rsidRDefault="006B40D6">
      <w:pPr>
        <w:pStyle w:val="Textonotapie"/>
        <w:rPr>
          <w:rFonts w:ascii="Arial" w:hAnsi="Arial" w:cs="Arial"/>
          <w:sz w:val="19"/>
          <w:szCs w:val="19"/>
          <w:lang w:val="es-CO"/>
        </w:rPr>
      </w:pPr>
    </w:p>
  </w:footnote>
  <w:footnote w:id="33">
    <w:p w14:paraId="61D52DC8" w14:textId="77777777" w:rsidR="008E2B58" w:rsidRPr="007B1FE3" w:rsidRDefault="008E2B58" w:rsidP="008E2B58">
      <w:pPr>
        <w:pStyle w:val="Textonotapie"/>
        <w:ind w:firstLine="708"/>
        <w:jc w:val="both"/>
        <w:rPr>
          <w:rFonts w:ascii="Arial" w:hAnsi="Arial" w:cs="Arial"/>
          <w:iCs/>
          <w:color w:val="000000" w:themeColor="text1"/>
          <w:sz w:val="19"/>
          <w:szCs w:val="19"/>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w:t>
      </w:r>
      <w:r w:rsidRPr="007B1FE3">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14:paraId="4A4A3755" w14:textId="77777777" w:rsidR="008E2B58" w:rsidRPr="007B1FE3" w:rsidRDefault="008E2B58" w:rsidP="008E2B58">
      <w:pPr>
        <w:pStyle w:val="Textonotapie"/>
        <w:jc w:val="both"/>
        <w:rPr>
          <w:rFonts w:ascii="Arial" w:hAnsi="Arial" w:cs="Arial"/>
          <w:iCs/>
          <w:color w:val="000000" w:themeColor="text1"/>
          <w:sz w:val="19"/>
          <w:szCs w:val="19"/>
        </w:rPr>
      </w:pPr>
    </w:p>
  </w:footnote>
  <w:footnote w:id="34">
    <w:p w14:paraId="06B83BA3" w14:textId="77777777" w:rsidR="008E2B58" w:rsidRPr="007B1FE3" w:rsidRDefault="008E2B58" w:rsidP="008E2B58">
      <w:pPr>
        <w:pStyle w:val="Textonotapie"/>
        <w:ind w:firstLine="708"/>
        <w:jc w:val="both"/>
        <w:rPr>
          <w:rFonts w:ascii="Arial" w:hAnsi="Arial" w:cs="Arial"/>
          <w:color w:val="000000" w:themeColor="text1"/>
          <w:sz w:val="19"/>
          <w:szCs w:val="19"/>
          <w:lang w:val="es-CO"/>
        </w:rPr>
      </w:pPr>
      <w:r w:rsidRPr="007B1FE3">
        <w:rPr>
          <w:rStyle w:val="Refdenotaalpie"/>
          <w:rFonts w:ascii="Arial" w:hAnsi="Arial" w:cs="Arial"/>
          <w:color w:val="000000" w:themeColor="text1"/>
          <w:sz w:val="19"/>
          <w:szCs w:val="19"/>
        </w:rPr>
        <w:footnoteRef/>
      </w:r>
      <w:r w:rsidRPr="007B1FE3">
        <w:rPr>
          <w:rFonts w:ascii="Arial" w:hAnsi="Arial" w:cs="Arial"/>
          <w:color w:val="000000" w:themeColor="text1"/>
          <w:sz w:val="19"/>
          <w:szCs w:val="19"/>
        </w:rPr>
        <w:t xml:space="preserve"> «Son también contratos de consultoría los que tienen por objeto la interventoría[…]»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E5EC3" w14:textId="77777777" w:rsidR="008F4163" w:rsidRDefault="0076103D">
    <w:pPr>
      <w:pStyle w:val="Encabezado"/>
    </w:pPr>
    <w:r>
      <w:rPr>
        <w:noProof/>
        <w:lang w:val="es-ES_tradnl" w:eastAsia="es-ES_tradnl"/>
      </w:rPr>
      <w:drawing>
        <wp:anchor distT="0" distB="0" distL="114300" distR="114300" simplePos="0" relativeHeight="251659264" behindDoc="1" locked="0" layoutInCell="1" allowOverlap="1" wp14:anchorId="1146DF85" wp14:editId="66F9998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341779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72A"/>
    <w:rsid w:val="00002020"/>
    <w:rsid w:val="000023FD"/>
    <w:rsid w:val="00005657"/>
    <w:rsid w:val="00020575"/>
    <w:rsid w:val="00037406"/>
    <w:rsid w:val="000469B9"/>
    <w:rsid w:val="00072724"/>
    <w:rsid w:val="0007709B"/>
    <w:rsid w:val="00077368"/>
    <w:rsid w:val="00080D1B"/>
    <w:rsid w:val="00081355"/>
    <w:rsid w:val="00086319"/>
    <w:rsid w:val="00090495"/>
    <w:rsid w:val="000944E0"/>
    <w:rsid w:val="00097348"/>
    <w:rsid w:val="000A4732"/>
    <w:rsid w:val="000A4767"/>
    <w:rsid w:val="000A6D96"/>
    <w:rsid w:val="000B0824"/>
    <w:rsid w:val="000B3ACF"/>
    <w:rsid w:val="000C1AB8"/>
    <w:rsid w:val="000D17B5"/>
    <w:rsid w:val="000E3BD4"/>
    <w:rsid w:val="000F0B77"/>
    <w:rsid w:val="000F12F0"/>
    <w:rsid w:val="000F6039"/>
    <w:rsid w:val="000F6425"/>
    <w:rsid w:val="000F7EA8"/>
    <w:rsid w:val="00101002"/>
    <w:rsid w:val="001014AC"/>
    <w:rsid w:val="00102574"/>
    <w:rsid w:val="0010281E"/>
    <w:rsid w:val="0010733C"/>
    <w:rsid w:val="0010743B"/>
    <w:rsid w:val="00107A80"/>
    <w:rsid w:val="00113E94"/>
    <w:rsid w:val="0012070D"/>
    <w:rsid w:val="00122E70"/>
    <w:rsid w:val="00125960"/>
    <w:rsid w:val="00135B32"/>
    <w:rsid w:val="00147539"/>
    <w:rsid w:val="00147F22"/>
    <w:rsid w:val="00147F28"/>
    <w:rsid w:val="00150489"/>
    <w:rsid w:val="00157F2D"/>
    <w:rsid w:val="00166F01"/>
    <w:rsid w:val="00171ED6"/>
    <w:rsid w:val="001722D9"/>
    <w:rsid w:val="0017480B"/>
    <w:rsid w:val="00177AF4"/>
    <w:rsid w:val="0018018A"/>
    <w:rsid w:val="00180219"/>
    <w:rsid w:val="00181721"/>
    <w:rsid w:val="001828E6"/>
    <w:rsid w:val="00192FA2"/>
    <w:rsid w:val="00194743"/>
    <w:rsid w:val="00196F3A"/>
    <w:rsid w:val="001B10ED"/>
    <w:rsid w:val="001D136D"/>
    <w:rsid w:val="00202622"/>
    <w:rsid w:val="00210D04"/>
    <w:rsid w:val="0021482B"/>
    <w:rsid w:val="002220AD"/>
    <w:rsid w:val="0023199A"/>
    <w:rsid w:val="00232DCA"/>
    <w:rsid w:val="00243F6D"/>
    <w:rsid w:val="00246985"/>
    <w:rsid w:val="00255DB6"/>
    <w:rsid w:val="00272CCC"/>
    <w:rsid w:val="00273843"/>
    <w:rsid w:val="002828AD"/>
    <w:rsid w:val="00287744"/>
    <w:rsid w:val="002921AC"/>
    <w:rsid w:val="002A080E"/>
    <w:rsid w:val="002B0E64"/>
    <w:rsid w:val="002B3468"/>
    <w:rsid w:val="002B66D6"/>
    <w:rsid w:val="002D7485"/>
    <w:rsid w:val="002E4878"/>
    <w:rsid w:val="002F0962"/>
    <w:rsid w:val="002F2227"/>
    <w:rsid w:val="002F2917"/>
    <w:rsid w:val="002F2973"/>
    <w:rsid w:val="00327FED"/>
    <w:rsid w:val="0033027E"/>
    <w:rsid w:val="00332E05"/>
    <w:rsid w:val="00343219"/>
    <w:rsid w:val="00343C57"/>
    <w:rsid w:val="003505B4"/>
    <w:rsid w:val="0035756A"/>
    <w:rsid w:val="00360B63"/>
    <w:rsid w:val="00363939"/>
    <w:rsid w:val="00364EC9"/>
    <w:rsid w:val="00365622"/>
    <w:rsid w:val="00375558"/>
    <w:rsid w:val="00382925"/>
    <w:rsid w:val="00390477"/>
    <w:rsid w:val="00394BFA"/>
    <w:rsid w:val="003A1123"/>
    <w:rsid w:val="003A19C1"/>
    <w:rsid w:val="003A2088"/>
    <w:rsid w:val="003B6B9C"/>
    <w:rsid w:val="003C302D"/>
    <w:rsid w:val="003D510B"/>
    <w:rsid w:val="003D720A"/>
    <w:rsid w:val="003D72C3"/>
    <w:rsid w:val="003E20DE"/>
    <w:rsid w:val="003E2424"/>
    <w:rsid w:val="003E4FD7"/>
    <w:rsid w:val="003E500C"/>
    <w:rsid w:val="003E68CE"/>
    <w:rsid w:val="003F5FD6"/>
    <w:rsid w:val="0040683F"/>
    <w:rsid w:val="00410F53"/>
    <w:rsid w:val="00421425"/>
    <w:rsid w:val="00427B95"/>
    <w:rsid w:val="00434645"/>
    <w:rsid w:val="004379ED"/>
    <w:rsid w:val="00437C68"/>
    <w:rsid w:val="004408FA"/>
    <w:rsid w:val="00441857"/>
    <w:rsid w:val="00444256"/>
    <w:rsid w:val="004505DA"/>
    <w:rsid w:val="00457DF0"/>
    <w:rsid w:val="00461422"/>
    <w:rsid w:val="00472FA4"/>
    <w:rsid w:val="004743E7"/>
    <w:rsid w:val="004746E3"/>
    <w:rsid w:val="00480144"/>
    <w:rsid w:val="004876E0"/>
    <w:rsid w:val="00494652"/>
    <w:rsid w:val="004A2B02"/>
    <w:rsid w:val="004C407D"/>
    <w:rsid w:val="004D500F"/>
    <w:rsid w:val="004D7AB4"/>
    <w:rsid w:val="004E016A"/>
    <w:rsid w:val="004E3137"/>
    <w:rsid w:val="004E5AC5"/>
    <w:rsid w:val="004F014F"/>
    <w:rsid w:val="004F19AC"/>
    <w:rsid w:val="0050272A"/>
    <w:rsid w:val="00505A40"/>
    <w:rsid w:val="00517C85"/>
    <w:rsid w:val="005208EA"/>
    <w:rsid w:val="00522248"/>
    <w:rsid w:val="00532F28"/>
    <w:rsid w:val="005752E8"/>
    <w:rsid w:val="00575490"/>
    <w:rsid w:val="00586102"/>
    <w:rsid w:val="0059141A"/>
    <w:rsid w:val="0059750B"/>
    <w:rsid w:val="005A680C"/>
    <w:rsid w:val="005B2B0B"/>
    <w:rsid w:val="005B3DC2"/>
    <w:rsid w:val="005B78FC"/>
    <w:rsid w:val="005C1BFA"/>
    <w:rsid w:val="005C24E9"/>
    <w:rsid w:val="005D614B"/>
    <w:rsid w:val="005D6C3C"/>
    <w:rsid w:val="005D7684"/>
    <w:rsid w:val="005D7C36"/>
    <w:rsid w:val="005E02D9"/>
    <w:rsid w:val="005E0E4D"/>
    <w:rsid w:val="005E2448"/>
    <w:rsid w:val="005E5743"/>
    <w:rsid w:val="005E6F24"/>
    <w:rsid w:val="005F231B"/>
    <w:rsid w:val="005F46E8"/>
    <w:rsid w:val="005F625B"/>
    <w:rsid w:val="005F7447"/>
    <w:rsid w:val="00601505"/>
    <w:rsid w:val="00607322"/>
    <w:rsid w:val="006374BE"/>
    <w:rsid w:val="00656551"/>
    <w:rsid w:val="00663E8C"/>
    <w:rsid w:val="00667C4C"/>
    <w:rsid w:val="00671299"/>
    <w:rsid w:val="006764DD"/>
    <w:rsid w:val="006766F1"/>
    <w:rsid w:val="00677898"/>
    <w:rsid w:val="006801AA"/>
    <w:rsid w:val="0069732C"/>
    <w:rsid w:val="006A3BEC"/>
    <w:rsid w:val="006A6E6A"/>
    <w:rsid w:val="006B0DE2"/>
    <w:rsid w:val="006B389E"/>
    <w:rsid w:val="006B40D6"/>
    <w:rsid w:val="006B586E"/>
    <w:rsid w:val="006B63E1"/>
    <w:rsid w:val="006B6D6C"/>
    <w:rsid w:val="006B724B"/>
    <w:rsid w:val="006D5A7C"/>
    <w:rsid w:val="006D6DB3"/>
    <w:rsid w:val="007018ED"/>
    <w:rsid w:val="00716696"/>
    <w:rsid w:val="007175EE"/>
    <w:rsid w:val="00730D2C"/>
    <w:rsid w:val="007335A5"/>
    <w:rsid w:val="00733D38"/>
    <w:rsid w:val="00734D90"/>
    <w:rsid w:val="00736FA5"/>
    <w:rsid w:val="007376D0"/>
    <w:rsid w:val="0075070E"/>
    <w:rsid w:val="00750980"/>
    <w:rsid w:val="00757EDD"/>
    <w:rsid w:val="0076103D"/>
    <w:rsid w:val="00762188"/>
    <w:rsid w:val="00766B55"/>
    <w:rsid w:val="007674B3"/>
    <w:rsid w:val="00767838"/>
    <w:rsid w:val="00776C70"/>
    <w:rsid w:val="00787523"/>
    <w:rsid w:val="00792ADE"/>
    <w:rsid w:val="007A1B1E"/>
    <w:rsid w:val="007A39B0"/>
    <w:rsid w:val="007B1FE3"/>
    <w:rsid w:val="007B2CF1"/>
    <w:rsid w:val="007C6188"/>
    <w:rsid w:val="007D657B"/>
    <w:rsid w:val="007E4115"/>
    <w:rsid w:val="007E48AE"/>
    <w:rsid w:val="007E5BBA"/>
    <w:rsid w:val="007F63C5"/>
    <w:rsid w:val="00801438"/>
    <w:rsid w:val="008017CD"/>
    <w:rsid w:val="00805DAB"/>
    <w:rsid w:val="00815BA2"/>
    <w:rsid w:val="00825AE1"/>
    <w:rsid w:val="00832082"/>
    <w:rsid w:val="00834266"/>
    <w:rsid w:val="008354D3"/>
    <w:rsid w:val="00835D72"/>
    <w:rsid w:val="00846927"/>
    <w:rsid w:val="00846A0A"/>
    <w:rsid w:val="008552B1"/>
    <w:rsid w:val="00875A67"/>
    <w:rsid w:val="0088027A"/>
    <w:rsid w:val="00896738"/>
    <w:rsid w:val="008A0416"/>
    <w:rsid w:val="008A0BD2"/>
    <w:rsid w:val="008A4123"/>
    <w:rsid w:val="008A5E7A"/>
    <w:rsid w:val="008B20B2"/>
    <w:rsid w:val="008C1ADE"/>
    <w:rsid w:val="008C52E9"/>
    <w:rsid w:val="008C5A10"/>
    <w:rsid w:val="008D0D6E"/>
    <w:rsid w:val="008D105F"/>
    <w:rsid w:val="008D6D22"/>
    <w:rsid w:val="008E2B58"/>
    <w:rsid w:val="008E5E21"/>
    <w:rsid w:val="008F25B5"/>
    <w:rsid w:val="008F7350"/>
    <w:rsid w:val="00904B5F"/>
    <w:rsid w:val="00907070"/>
    <w:rsid w:val="009150B7"/>
    <w:rsid w:val="009161A8"/>
    <w:rsid w:val="00916815"/>
    <w:rsid w:val="00922690"/>
    <w:rsid w:val="00925BBD"/>
    <w:rsid w:val="00933247"/>
    <w:rsid w:val="00937649"/>
    <w:rsid w:val="00941EC2"/>
    <w:rsid w:val="00944B74"/>
    <w:rsid w:val="00954EF0"/>
    <w:rsid w:val="009556CE"/>
    <w:rsid w:val="00957025"/>
    <w:rsid w:val="0096093B"/>
    <w:rsid w:val="0096390A"/>
    <w:rsid w:val="00974CED"/>
    <w:rsid w:val="00986EE8"/>
    <w:rsid w:val="00987BE4"/>
    <w:rsid w:val="009A2B7C"/>
    <w:rsid w:val="009B2027"/>
    <w:rsid w:val="009C0FAC"/>
    <w:rsid w:val="009C35B3"/>
    <w:rsid w:val="009C525B"/>
    <w:rsid w:val="009D185F"/>
    <w:rsid w:val="009D34B5"/>
    <w:rsid w:val="009D4FE0"/>
    <w:rsid w:val="00A019D3"/>
    <w:rsid w:val="00A0520F"/>
    <w:rsid w:val="00A1190F"/>
    <w:rsid w:val="00A2166E"/>
    <w:rsid w:val="00A26C26"/>
    <w:rsid w:val="00A30F20"/>
    <w:rsid w:val="00A470D7"/>
    <w:rsid w:val="00A47123"/>
    <w:rsid w:val="00A600CC"/>
    <w:rsid w:val="00A61E54"/>
    <w:rsid w:val="00A62E07"/>
    <w:rsid w:val="00A77CEE"/>
    <w:rsid w:val="00A807B1"/>
    <w:rsid w:val="00A83AB3"/>
    <w:rsid w:val="00A87E55"/>
    <w:rsid w:val="00A944C2"/>
    <w:rsid w:val="00A945B9"/>
    <w:rsid w:val="00AA2790"/>
    <w:rsid w:val="00AA6C1A"/>
    <w:rsid w:val="00AA7707"/>
    <w:rsid w:val="00AB6EEF"/>
    <w:rsid w:val="00AC10A8"/>
    <w:rsid w:val="00AD4D65"/>
    <w:rsid w:val="00AD61BA"/>
    <w:rsid w:val="00AD6A0C"/>
    <w:rsid w:val="00AD6EFF"/>
    <w:rsid w:val="00AE0814"/>
    <w:rsid w:val="00AF0221"/>
    <w:rsid w:val="00AF4964"/>
    <w:rsid w:val="00B042EB"/>
    <w:rsid w:val="00B07361"/>
    <w:rsid w:val="00B07480"/>
    <w:rsid w:val="00B13615"/>
    <w:rsid w:val="00B1585A"/>
    <w:rsid w:val="00B22539"/>
    <w:rsid w:val="00B24F4E"/>
    <w:rsid w:val="00B3000E"/>
    <w:rsid w:val="00B365CA"/>
    <w:rsid w:val="00B4106F"/>
    <w:rsid w:val="00B447F1"/>
    <w:rsid w:val="00B47043"/>
    <w:rsid w:val="00B50815"/>
    <w:rsid w:val="00B539D5"/>
    <w:rsid w:val="00B64DE9"/>
    <w:rsid w:val="00B672F3"/>
    <w:rsid w:val="00B73F10"/>
    <w:rsid w:val="00B76EBA"/>
    <w:rsid w:val="00B778E8"/>
    <w:rsid w:val="00B83D0B"/>
    <w:rsid w:val="00B83F1A"/>
    <w:rsid w:val="00BC4067"/>
    <w:rsid w:val="00BC79ED"/>
    <w:rsid w:val="00BE3BE5"/>
    <w:rsid w:val="00BE5DC0"/>
    <w:rsid w:val="00BF2C4A"/>
    <w:rsid w:val="00BF6BD9"/>
    <w:rsid w:val="00C0120A"/>
    <w:rsid w:val="00C36866"/>
    <w:rsid w:val="00C4106A"/>
    <w:rsid w:val="00C4420D"/>
    <w:rsid w:val="00C449F3"/>
    <w:rsid w:val="00C477C4"/>
    <w:rsid w:val="00C47831"/>
    <w:rsid w:val="00C52382"/>
    <w:rsid w:val="00C62611"/>
    <w:rsid w:val="00C63F2E"/>
    <w:rsid w:val="00C6714D"/>
    <w:rsid w:val="00C751E5"/>
    <w:rsid w:val="00C76267"/>
    <w:rsid w:val="00C7669C"/>
    <w:rsid w:val="00C8209D"/>
    <w:rsid w:val="00C83393"/>
    <w:rsid w:val="00C933F8"/>
    <w:rsid w:val="00C94906"/>
    <w:rsid w:val="00C96981"/>
    <w:rsid w:val="00CA27AC"/>
    <w:rsid w:val="00CA31D7"/>
    <w:rsid w:val="00CA357C"/>
    <w:rsid w:val="00CA485B"/>
    <w:rsid w:val="00CA6E55"/>
    <w:rsid w:val="00CC519C"/>
    <w:rsid w:val="00CD4F61"/>
    <w:rsid w:val="00CD5917"/>
    <w:rsid w:val="00CE00CF"/>
    <w:rsid w:val="00CE0EA8"/>
    <w:rsid w:val="00CE47D9"/>
    <w:rsid w:val="00CF0623"/>
    <w:rsid w:val="00D072C5"/>
    <w:rsid w:val="00D10582"/>
    <w:rsid w:val="00D11252"/>
    <w:rsid w:val="00D12C0D"/>
    <w:rsid w:val="00D27946"/>
    <w:rsid w:val="00D333D1"/>
    <w:rsid w:val="00D34DC5"/>
    <w:rsid w:val="00D36C02"/>
    <w:rsid w:val="00D52E49"/>
    <w:rsid w:val="00D61154"/>
    <w:rsid w:val="00D620D0"/>
    <w:rsid w:val="00D733AA"/>
    <w:rsid w:val="00D7751C"/>
    <w:rsid w:val="00D80758"/>
    <w:rsid w:val="00D84120"/>
    <w:rsid w:val="00D872FF"/>
    <w:rsid w:val="00D90135"/>
    <w:rsid w:val="00D97629"/>
    <w:rsid w:val="00DA0EB9"/>
    <w:rsid w:val="00DA1704"/>
    <w:rsid w:val="00DA23DD"/>
    <w:rsid w:val="00DB0A19"/>
    <w:rsid w:val="00DB1B4C"/>
    <w:rsid w:val="00DB2639"/>
    <w:rsid w:val="00DB343F"/>
    <w:rsid w:val="00DB4DA3"/>
    <w:rsid w:val="00DB55A5"/>
    <w:rsid w:val="00DC2D77"/>
    <w:rsid w:val="00DC76DA"/>
    <w:rsid w:val="00DD0C92"/>
    <w:rsid w:val="00DD15D7"/>
    <w:rsid w:val="00DD3BA5"/>
    <w:rsid w:val="00DE0BE2"/>
    <w:rsid w:val="00DE199B"/>
    <w:rsid w:val="00E024EC"/>
    <w:rsid w:val="00E16D5F"/>
    <w:rsid w:val="00E17D83"/>
    <w:rsid w:val="00E2544A"/>
    <w:rsid w:val="00E526D9"/>
    <w:rsid w:val="00E52DBB"/>
    <w:rsid w:val="00E56690"/>
    <w:rsid w:val="00E628B6"/>
    <w:rsid w:val="00E64A4D"/>
    <w:rsid w:val="00E92C99"/>
    <w:rsid w:val="00E93DE9"/>
    <w:rsid w:val="00E974D5"/>
    <w:rsid w:val="00EA0862"/>
    <w:rsid w:val="00EA123A"/>
    <w:rsid w:val="00EC52B2"/>
    <w:rsid w:val="00ED5D2B"/>
    <w:rsid w:val="00EE46BE"/>
    <w:rsid w:val="00EF076A"/>
    <w:rsid w:val="00EF2EC6"/>
    <w:rsid w:val="00F00DA1"/>
    <w:rsid w:val="00F101FE"/>
    <w:rsid w:val="00F17AF4"/>
    <w:rsid w:val="00F26D40"/>
    <w:rsid w:val="00F31FAD"/>
    <w:rsid w:val="00F32FD5"/>
    <w:rsid w:val="00F3685F"/>
    <w:rsid w:val="00F4210F"/>
    <w:rsid w:val="00F4607E"/>
    <w:rsid w:val="00F517C2"/>
    <w:rsid w:val="00F53A80"/>
    <w:rsid w:val="00F93FA3"/>
    <w:rsid w:val="00F94807"/>
    <w:rsid w:val="00F97DA1"/>
    <w:rsid w:val="00FB2B3E"/>
    <w:rsid w:val="00FB6EEE"/>
    <w:rsid w:val="00FB737C"/>
    <w:rsid w:val="00FC12FD"/>
    <w:rsid w:val="00FC4251"/>
    <w:rsid w:val="00FC51FC"/>
    <w:rsid w:val="00FD2FC2"/>
    <w:rsid w:val="00FE3A4B"/>
    <w:rsid w:val="00FE7FA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9BEDA"/>
  <w15:chartTrackingRefBased/>
  <w15:docId w15:val="{A0764E18-E8DD-4E9A-A2FF-01783D44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6D96"/>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50272A"/>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50272A"/>
    <w:rPr>
      <w:sz w:val="24"/>
      <w:lang w:val="es-MX"/>
    </w:rPr>
  </w:style>
  <w:style w:type="paragraph" w:styleId="Encabezado">
    <w:name w:val="header"/>
    <w:basedOn w:val="Normal"/>
    <w:link w:val="EncabezadoCar"/>
    <w:uiPriority w:val="99"/>
    <w:unhideWhenUsed/>
    <w:rsid w:val="0050272A"/>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50272A"/>
    <w:rPr>
      <w:sz w:val="24"/>
      <w:lang w:val="es-MX"/>
    </w:rPr>
  </w:style>
  <w:style w:type="table" w:styleId="Tablaconcuadrcula">
    <w:name w:val="Table Grid"/>
    <w:basedOn w:val="Tablanormal"/>
    <w:uiPriority w:val="59"/>
    <w:rsid w:val="005027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0272A"/>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50272A"/>
    <w:rPr>
      <w:color w:val="0563C1" w:themeColor="hyperlink"/>
      <w:u w:val="single"/>
    </w:rPr>
  </w:style>
  <w:style w:type="paragraph" w:styleId="NormalWeb">
    <w:name w:val="Normal (Web)"/>
    <w:basedOn w:val="Normal"/>
    <w:link w:val="NormalWebCar"/>
    <w:uiPriority w:val="99"/>
    <w:unhideWhenUsed/>
    <w:rsid w:val="0050272A"/>
    <w:pPr>
      <w:spacing w:before="100" w:beforeAutospacing="1" w:after="100" w:afterAutospacing="1"/>
    </w:pPr>
    <w:rPr>
      <w:lang w:eastAsia="es-CO"/>
    </w:rPr>
  </w:style>
  <w:style w:type="paragraph" w:styleId="Sinespaciado">
    <w:name w:val="No Spacing"/>
    <w:aliases w:val="No Indent"/>
    <w:link w:val="SinespaciadoCar"/>
    <w:uiPriority w:val="3"/>
    <w:qFormat/>
    <w:rsid w:val="0050272A"/>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0272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0272A"/>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50272A"/>
    <w:rPr>
      <w:rFonts w:ascii="Times New Roman" w:eastAsia="Times New Roman" w:hAnsi="Times New Roman" w:cs="Times New Roman"/>
      <w:sz w:val="20"/>
      <w:szCs w:val="20"/>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72A"/>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50272A"/>
    <w:rPr>
      <w:vertAlign w:val="superscript"/>
    </w:rPr>
  </w:style>
  <w:style w:type="paragraph" w:customStyle="1" w:styleId="Appelnotedebasde">
    <w:name w:val="Appel note de bas de..."/>
    <w:basedOn w:val="Normal"/>
    <w:link w:val="Refdenotaalpie"/>
    <w:uiPriority w:val="99"/>
    <w:rsid w:val="0050272A"/>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50272A"/>
    <w:rPr>
      <w:rFonts w:ascii="Times New Roman" w:eastAsia="Times New Roman" w:hAnsi="Times New Roman" w:cs="Times New Roman"/>
      <w:sz w:val="24"/>
      <w:szCs w:val="24"/>
      <w:lang w:eastAsia="es-CO"/>
    </w:rPr>
  </w:style>
  <w:style w:type="character" w:customStyle="1" w:styleId="SinespaciadoCar">
    <w:name w:val="Sin espaciado Car"/>
    <w:aliases w:val="No Indent Car"/>
    <w:link w:val="Sinespaciado"/>
    <w:uiPriority w:val="3"/>
    <w:rsid w:val="005F7447"/>
    <w:rPr>
      <w:sz w:val="24"/>
      <w:lang w:val="es-MX"/>
    </w:rPr>
  </w:style>
  <w:style w:type="character" w:customStyle="1" w:styleId="normaltextrun">
    <w:name w:val="normaltextrun"/>
    <w:basedOn w:val="Fuentedeprrafopredeter"/>
    <w:rsid w:val="00C4106A"/>
  </w:style>
  <w:style w:type="paragraph" w:styleId="Revisin">
    <w:name w:val="Revision"/>
    <w:hidden/>
    <w:uiPriority w:val="99"/>
    <w:semiHidden/>
    <w:rsid w:val="00246985"/>
    <w:pPr>
      <w:spacing w:after="0" w:line="240" w:lineRule="auto"/>
    </w:pPr>
    <w:rPr>
      <w:rFonts w:ascii="Times New Roman" w:eastAsia="Times New Roman" w:hAnsi="Times New Roman" w:cs="Times New Roman"/>
      <w:sz w:val="24"/>
      <w:szCs w:val="24"/>
      <w:lang w:eastAsia="es-ES_tradnl"/>
    </w:rPr>
  </w:style>
  <w:style w:type="character" w:styleId="Refdecomentario">
    <w:name w:val="annotation reference"/>
    <w:basedOn w:val="Fuentedeprrafopredeter"/>
    <w:uiPriority w:val="99"/>
    <w:semiHidden/>
    <w:unhideWhenUsed/>
    <w:rsid w:val="004505DA"/>
    <w:rPr>
      <w:sz w:val="16"/>
      <w:szCs w:val="16"/>
    </w:rPr>
  </w:style>
  <w:style w:type="paragraph" w:styleId="Textocomentario">
    <w:name w:val="annotation text"/>
    <w:basedOn w:val="Normal"/>
    <w:link w:val="TextocomentarioCar"/>
    <w:uiPriority w:val="99"/>
    <w:unhideWhenUsed/>
    <w:rsid w:val="004505DA"/>
    <w:rPr>
      <w:sz w:val="20"/>
      <w:szCs w:val="20"/>
    </w:rPr>
  </w:style>
  <w:style w:type="character" w:customStyle="1" w:styleId="TextocomentarioCar">
    <w:name w:val="Texto comentario Car"/>
    <w:basedOn w:val="Fuentedeprrafopredeter"/>
    <w:link w:val="Textocomentario"/>
    <w:uiPriority w:val="99"/>
    <w:rsid w:val="004505DA"/>
    <w:rPr>
      <w:rFonts w:ascii="Times New Roman" w:eastAsia="Times New Roman" w:hAnsi="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4505DA"/>
    <w:rPr>
      <w:b/>
      <w:bCs/>
    </w:rPr>
  </w:style>
  <w:style w:type="character" w:customStyle="1" w:styleId="AsuntodelcomentarioCar">
    <w:name w:val="Asunto del comentario Car"/>
    <w:basedOn w:val="TextocomentarioCar"/>
    <w:link w:val="Asuntodelcomentario"/>
    <w:uiPriority w:val="99"/>
    <w:semiHidden/>
    <w:rsid w:val="004505DA"/>
    <w:rPr>
      <w:rFonts w:ascii="Times New Roman" w:eastAsia="Times New Roman" w:hAnsi="Times New Roman" w:cs="Times New Roman"/>
      <w:b/>
      <w:bCs/>
      <w:sz w:val="20"/>
      <w:szCs w:val="20"/>
      <w:lang w:eastAsia="es-ES_tradnl"/>
    </w:rPr>
  </w:style>
  <w:style w:type="table" w:customStyle="1" w:styleId="Tablaconcuadrcula3">
    <w:name w:val="Tabla con cuadrícula3"/>
    <w:basedOn w:val="Tablanormal"/>
    <w:next w:val="Tablaconcuadrcula"/>
    <w:uiPriority w:val="59"/>
    <w:qFormat/>
    <w:rsid w:val="000773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6B40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222462">
      <w:bodyDiv w:val="1"/>
      <w:marLeft w:val="0"/>
      <w:marRight w:val="0"/>
      <w:marTop w:val="0"/>
      <w:marBottom w:val="0"/>
      <w:divBdr>
        <w:top w:val="none" w:sz="0" w:space="0" w:color="auto"/>
        <w:left w:val="none" w:sz="0" w:space="0" w:color="auto"/>
        <w:bottom w:val="none" w:sz="0" w:space="0" w:color="auto"/>
        <w:right w:val="none" w:sz="0" w:space="0" w:color="auto"/>
      </w:divBdr>
    </w:div>
    <w:div w:id="138945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itagui.gov.co/uploads/entidad/funcionarios/0848a-45-202-03-comisario-de-famili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C1E095-E632-4E44-BD48-5DA8DA6C54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C0590C-1C17-4331-BEEE-21D08F52011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AC0BE62C-4426-49FD-A723-314FF062367C}">
  <ds:schemaRefs>
    <ds:schemaRef ds:uri="http://schemas.openxmlformats.org/officeDocument/2006/bibliography"/>
  </ds:schemaRefs>
</ds:datastoreItem>
</file>

<file path=customXml/itemProps4.xml><?xml version="1.0" encoding="utf-8"?>
<ds:datastoreItem xmlns:ds="http://schemas.openxmlformats.org/officeDocument/2006/customXml" ds:itemID="{996D2DD8-877F-4592-94DE-5D5F7321569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8874</Words>
  <Characters>48809</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Nathalia Urrego J.</dc:creator>
  <cp:keywords/>
  <dc:description/>
  <cp:lastModifiedBy>MARIA CLAUDIA DE LA OSSA BOBADILLA</cp:lastModifiedBy>
  <cp:revision>2</cp:revision>
  <dcterms:created xsi:type="dcterms:W3CDTF">2022-12-23T16:57:00Z</dcterms:created>
  <dcterms:modified xsi:type="dcterms:W3CDTF">2022-12-23T16:57:00Z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