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ADC95" w14:textId="77777777" w:rsidR="00474929" w:rsidRPr="00F76E2D" w:rsidRDefault="00474929" w:rsidP="00D92B4A">
      <w:pPr>
        <w:spacing w:after="0" w:line="240" w:lineRule="auto"/>
        <w:rPr>
          <w:rFonts w:ascii="Geomanist Light" w:eastAsia="Calibri" w:hAnsi="Geomanist Light" w:cs="Arial"/>
          <w:b/>
          <w:bCs/>
          <w:color w:val="000000" w:themeColor="text1"/>
          <w:sz w:val="20"/>
          <w:szCs w:val="20"/>
          <w:lang w:val="es-ES" w:eastAsia="es-ES_tradnl"/>
        </w:rPr>
      </w:pPr>
      <w:bookmarkStart w:id="0" w:name="_Hlk78821436"/>
    </w:p>
    <w:p w14:paraId="7FB45475" w14:textId="260417C7" w:rsidR="00D92B4A" w:rsidRPr="00F76E2D" w:rsidRDefault="00D92B4A" w:rsidP="00D92B4A">
      <w:pPr>
        <w:spacing w:after="0"/>
        <w:rPr>
          <w:rFonts w:ascii="Geomanist Light" w:eastAsia="Calibri" w:hAnsi="Geomanist Light" w:cs="Arial"/>
          <w:b/>
          <w:sz w:val="20"/>
          <w:szCs w:val="20"/>
        </w:rPr>
      </w:pPr>
      <w:r w:rsidRPr="00F76E2D">
        <w:rPr>
          <w:rFonts w:ascii="Geomanist Light" w:eastAsia="Calibri" w:hAnsi="Geomanist Light" w:cs="Arial"/>
          <w:b/>
          <w:sz w:val="20"/>
          <w:szCs w:val="20"/>
        </w:rPr>
        <w:t xml:space="preserve">EXPERIENCIA – Noción – </w:t>
      </w:r>
      <w:r w:rsidRPr="00EA407F">
        <w:rPr>
          <w:rFonts w:ascii="Geomanist Light" w:eastAsia="Calibri" w:hAnsi="Geomanist Light" w:cs="Arial"/>
          <w:b/>
          <w:sz w:val="20"/>
          <w:szCs w:val="20"/>
        </w:rPr>
        <w:t>Concepto</w:t>
      </w:r>
    </w:p>
    <w:p w14:paraId="0610F228" w14:textId="77777777" w:rsidR="00976BAD" w:rsidRPr="00F76E2D" w:rsidRDefault="00976BAD" w:rsidP="00D92B4A">
      <w:pPr>
        <w:spacing w:after="0"/>
        <w:rPr>
          <w:rFonts w:ascii="Geomanist Light" w:eastAsia="Calibri" w:hAnsi="Geomanist Light" w:cs="Arial"/>
          <w:sz w:val="20"/>
          <w:szCs w:val="20"/>
        </w:rPr>
      </w:pPr>
    </w:p>
    <w:p w14:paraId="44190B6F" w14:textId="77777777" w:rsidR="00D92B4A" w:rsidRPr="00F76E2D" w:rsidRDefault="00D92B4A" w:rsidP="00F76E2D">
      <w:pPr>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 xml:space="preserve">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77CC9B78" w14:textId="77777777" w:rsidR="00F76E2D" w:rsidRPr="00F76E2D" w:rsidRDefault="00F76E2D" w:rsidP="00F76E2D">
      <w:pPr>
        <w:spacing w:after="0" w:line="240" w:lineRule="auto"/>
        <w:rPr>
          <w:rFonts w:ascii="Geomanist Light" w:eastAsia="Calibri" w:hAnsi="Geomanist Light" w:cs="Arial"/>
          <w:sz w:val="20"/>
          <w:szCs w:val="20"/>
        </w:rPr>
      </w:pPr>
    </w:p>
    <w:p w14:paraId="0FD86FC7" w14:textId="77777777" w:rsidR="00D92B4A" w:rsidRPr="00F76E2D" w:rsidRDefault="00D92B4A" w:rsidP="00F76E2D">
      <w:pPr>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Para ello,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p>
    <w:p w14:paraId="20856863" w14:textId="77777777" w:rsidR="001E4F7D" w:rsidRPr="00F76E2D" w:rsidRDefault="001E4F7D" w:rsidP="00F76E2D">
      <w:pPr>
        <w:spacing w:after="0" w:line="240" w:lineRule="auto"/>
        <w:rPr>
          <w:rFonts w:ascii="Geomanist Light" w:eastAsia="Calibri" w:hAnsi="Geomanist Light" w:cs="Arial"/>
          <w:sz w:val="20"/>
          <w:szCs w:val="20"/>
        </w:rPr>
      </w:pPr>
    </w:p>
    <w:p w14:paraId="56426378" w14:textId="53008E60" w:rsidR="00D92B4A" w:rsidRPr="00F76E2D" w:rsidRDefault="001E4F7D" w:rsidP="00F76E2D">
      <w:pPr>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En relación con el requisito habilitante de experiencia, la Agencia Nacional de Contratación Pública – Colombia Compra Eficiente puso a disposición de los interesados del Sistema de Compra Pública el «Manual para determinar y verificar requisitos habilitantes en los Procesos de Contratación». 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p>
    <w:p w14:paraId="139E1D33" w14:textId="77777777" w:rsidR="001E4F7D" w:rsidRPr="00F76E2D" w:rsidRDefault="001E4F7D" w:rsidP="00F76E2D">
      <w:pPr>
        <w:spacing w:after="0" w:line="240" w:lineRule="auto"/>
        <w:rPr>
          <w:rFonts w:ascii="Geomanist Light" w:eastAsia="Calibri" w:hAnsi="Geomanist Light" w:cs="Arial"/>
          <w:sz w:val="20"/>
          <w:szCs w:val="20"/>
        </w:rPr>
      </w:pPr>
    </w:p>
    <w:p w14:paraId="33D2D996" w14:textId="53B2854E" w:rsidR="001E4F7D" w:rsidRPr="00F76E2D" w:rsidRDefault="001E4F7D" w:rsidP="00F76E2D">
      <w:pPr>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 xml:space="preserv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w:t>
      </w:r>
      <w:r w:rsidR="0010636B" w:rsidRPr="0010636B">
        <w:rPr>
          <w:rFonts w:ascii="Geomanist Light" w:eastAsia="Calibri" w:hAnsi="Geomanist Light" w:cs="Arial"/>
          <w:sz w:val="20"/>
          <w:szCs w:val="20"/>
        </w:rPr>
        <w:t>Adicionalmente, el Manual explica que la experiencia puede obtenerse directamente o por participar asociado con otra persona, como es el caso de los proponentes plurales. Por otra parte, la Agencia recomienda que la experiencia que se solicite sea proporcional y no igual al objeto que se va a contratar, ya que esto puede limitar la participación de los proveedores por no haber ejecutado un objeto igual pero sí similar, de manera que se ayude a que exista pluralidad de oferentes</w:t>
      </w:r>
      <w:r w:rsidRPr="00F76E2D">
        <w:rPr>
          <w:rFonts w:ascii="Geomanist Light" w:eastAsia="Calibri" w:hAnsi="Geomanist Light" w:cs="Arial"/>
          <w:sz w:val="20"/>
          <w:szCs w:val="20"/>
        </w:rPr>
        <w:t>.</w:t>
      </w:r>
    </w:p>
    <w:p w14:paraId="5367EBB1" w14:textId="54C9C030" w:rsidR="00732CE6" w:rsidRPr="00F76E2D" w:rsidRDefault="00732CE6" w:rsidP="00732CE6">
      <w:pPr>
        <w:spacing w:after="0" w:line="240" w:lineRule="auto"/>
        <w:rPr>
          <w:rFonts w:ascii="Geomanist Light" w:eastAsia="Calibri" w:hAnsi="Geomanist Light" w:cs="Arial"/>
          <w:sz w:val="20"/>
          <w:szCs w:val="20"/>
        </w:rPr>
      </w:pPr>
    </w:p>
    <w:p w14:paraId="320EFE9C" w14:textId="7830F6B5" w:rsidR="00732CE6" w:rsidRPr="00F76E2D" w:rsidRDefault="00732CE6" w:rsidP="00732CE6">
      <w:pPr>
        <w:spacing w:after="0" w:line="240" w:lineRule="auto"/>
        <w:rPr>
          <w:rFonts w:ascii="Geomanist Light" w:eastAsia="Calibri" w:hAnsi="Geomanist Light" w:cs="Arial"/>
          <w:b/>
          <w:bCs/>
          <w:sz w:val="20"/>
          <w:szCs w:val="20"/>
        </w:rPr>
      </w:pPr>
      <w:r w:rsidRPr="00F76E2D">
        <w:rPr>
          <w:rFonts w:ascii="Geomanist Light" w:eastAsia="Calibri" w:hAnsi="Geomanist Light" w:cs="Arial"/>
          <w:b/>
          <w:bCs/>
          <w:sz w:val="20"/>
          <w:szCs w:val="20"/>
        </w:rPr>
        <w:t xml:space="preserve">EXPERIENCIA – Transformación </w:t>
      </w:r>
    </w:p>
    <w:p w14:paraId="044A7A25" w14:textId="77777777" w:rsidR="00732CE6" w:rsidRPr="00F76E2D" w:rsidRDefault="00732CE6" w:rsidP="00732CE6">
      <w:pPr>
        <w:widowControl w:val="0"/>
        <w:autoSpaceDE w:val="0"/>
        <w:autoSpaceDN w:val="0"/>
        <w:spacing w:after="0" w:line="240" w:lineRule="auto"/>
        <w:rPr>
          <w:rFonts w:ascii="Geomanist Light" w:eastAsia="Calibri" w:hAnsi="Geomanist Light" w:cs="Arial"/>
          <w:sz w:val="20"/>
          <w:szCs w:val="20"/>
        </w:rPr>
      </w:pPr>
    </w:p>
    <w:p w14:paraId="383C9E41" w14:textId="77777777" w:rsidR="00732CE6" w:rsidRPr="00F76E2D" w:rsidRDefault="00732CE6" w:rsidP="00732CE6">
      <w:pPr>
        <w:autoSpaceDE w:val="0"/>
        <w:autoSpaceDN w:val="0"/>
        <w:adjustRightInd w:val="0"/>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14:paraId="08900207" w14:textId="77777777" w:rsidR="00732CE6" w:rsidRPr="00F76E2D" w:rsidRDefault="00732CE6" w:rsidP="00732CE6">
      <w:pPr>
        <w:autoSpaceDE w:val="0"/>
        <w:autoSpaceDN w:val="0"/>
        <w:adjustRightInd w:val="0"/>
        <w:spacing w:after="0" w:line="240" w:lineRule="auto"/>
        <w:rPr>
          <w:rFonts w:ascii="Geomanist Light" w:eastAsia="Calibri" w:hAnsi="Geomanist Light" w:cs="Arial"/>
          <w:sz w:val="20"/>
          <w:szCs w:val="20"/>
        </w:rPr>
      </w:pPr>
    </w:p>
    <w:p w14:paraId="17AA74ED" w14:textId="77777777" w:rsidR="00732CE6" w:rsidRPr="00F76E2D" w:rsidRDefault="00732CE6" w:rsidP="00732CE6">
      <w:pPr>
        <w:spacing w:after="0" w:line="240" w:lineRule="auto"/>
        <w:rPr>
          <w:rFonts w:ascii="Geomanist Light" w:eastAsia="Calibri" w:hAnsi="Geomanist Light" w:cs="Arial"/>
          <w:b/>
          <w:bCs/>
          <w:sz w:val="20"/>
          <w:szCs w:val="20"/>
        </w:rPr>
      </w:pPr>
      <w:r w:rsidRPr="00F76E2D">
        <w:rPr>
          <w:rFonts w:ascii="Geomanist Light" w:eastAsia="Calibri" w:hAnsi="Geomanist Light" w:cs="Arial"/>
          <w:b/>
          <w:bCs/>
          <w:sz w:val="20"/>
          <w:szCs w:val="20"/>
        </w:rPr>
        <w:t xml:space="preserve">EXPERIENCIA – </w:t>
      </w:r>
      <w:r w:rsidRPr="00123AEC">
        <w:rPr>
          <w:rFonts w:ascii="Geomanist Light" w:eastAsia="Calibri" w:hAnsi="Geomanist Light" w:cs="Arial"/>
          <w:b/>
          <w:bCs/>
          <w:sz w:val="20"/>
          <w:szCs w:val="20"/>
        </w:rPr>
        <w:t>Escisión</w:t>
      </w:r>
    </w:p>
    <w:p w14:paraId="01546C49" w14:textId="77777777" w:rsidR="00732CE6" w:rsidRPr="00F76E2D" w:rsidRDefault="00732CE6" w:rsidP="00732CE6">
      <w:pPr>
        <w:widowControl w:val="0"/>
        <w:autoSpaceDE w:val="0"/>
        <w:autoSpaceDN w:val="0"/>
        <w:spacing w:after="0" w:line="240" w:lineRule="auto"/>
        <w:rPr>
          <w:rFonts w:ascii="Geomanist Light" w:eastAsia="Calibri" w:hAnsi="Geomanist Light" w:cs="Arial"/>
          <w:sz w:val="20"/>
          <w:szCs w:val="20"/>
        </w:rPr>
      </w:pPr>
    </w:p>
    <w:p w14:paraId="1ECAEB3D" w14:textId="4154C8CE" w:rsidR="00732CE6" w:rsidRPr="00F76E2D" w:rsidRDefault="00732CE6" w:rsidP="00732CE6">
      <w:pPr>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 xml:space="preserve">Para la primera modalidad de escisión, teniendo en cuenta que la sociedad continúa sin alteraciones, puede compartir la experiencia a través de esquemas asociativos, pero no la transfiere porque para 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 pero no puede transferirla, porque le pertenece, al ser quien la adquirió. </w:t>
      </w:r>
    </w:p>
    <w:p w14:paraId="6CA85343" w14:textId="77777777" w:rsidR="00732CE6" w:rsidRPr="00F76E2D" w:rsidRDefault="00732CE6" w:rsidP="00732CE6">
      <w:pPr>
        <w:spacing w:after="0" w:line="240" w:lineRule="auto"/>
        <w:rPr>
          <w:rFonts w:ascii="Geomanist Light" w:eastAsia="Calibri" w:hAnsi="Geomanist Light" w:cs="Arial"/>
          <w:sz w:val="20"/>
          <w:szCs w:val="20"/>
        </w:rPr>
      </w:pPr>
    </w:p>
    <w:p w14:paraId="69AF37E9" w14:textId="77777777" w:rsidR="00732CE6" w:rsidRPr="00F76E2D" w:rsidRDefault="00732CE6" w:rsidP="00732CE6">
      <w:pPr>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p>
    <w:p w14:paraId="0200C632" w14:textId="77777777" w:rsidR="00732CE6" w:rsidRPr="00F76E2D" w:rsidRDefault="00732CE6" w:rsidP="00732CE6">
      <w:pPr>
        <w:spacing w:after="0" w:line="240" w:lineRule="auto"/>
        <w:rPr>
          <w:rFonts w:ascii="Geomanist Light" w:eastAsia="Calibri" w:hAnsi="Geomanist Light" w:cs="Arial"/>
          <w:sz w:val="20"/>
          <w:szCs w:val="20"/>
        </w:rPr>
      </w:pPr>
    </w:p>
    <w:p w14:paraId="72C00E2E" w14:textId="77777777" w:rsidR="00732CE6" w:rsidRPr="00F76E2D" w:rsidRDefault="00732CE6" w:rsidP="00732CE6">
      <w:pPr>
        <w:widowControl w:val="0"/>
        <w:autoSpaceDE w:val="0"/>
        <w:autoSpaceDN w:val="0"/>
        <w:spacing w:after="0" w:line="240" w:lineRule="auto"/>
        <w:ind w:right="102"/>
        <w:rPr>
          <w:rFonts w:ascii="Geomanist Light" w:eastAsia="Calibri" w:hAnsi="Geomanist Light" w:cs="Arial"/>
          <w:b/>
          <w:bCs/>
          <w:sz w:val="20"/>
          <w:szCs w:val="20"/>
        </w:rPr>
      </w:pPr>
      <w:r w:rsidRPr="00F76E2D">
        <w:rPr>
          <w:rFonts w:ascii="Geomanist Light" w:eastAsia="Calibri" w:hAnsi="Geomanist Light" w:cs="Arial"/>
          <w:b/>
          <w:bCs/>
          <w:sz w:val="20"/>
          <w:szCs w:val="20"/>
        </w:rPr>
        <w:t xml:space="preserve">EXPERIENCIA – Fusión – Fusión por absorción </w:t>
      </w:r>
    </w:p>
    <w:p w14:paraId="4CECE663" w14:textId="77777777" w:rsidR="00732CE6" w:rsidRPr="00F76E2D" w:rsidRDefault="00732CE6" w:rsidP="00732CE6">
      <w:pPr>
        <w:widowControl w:val="0"/>
        <w:autoSpaceDE w:val="0"/>
        <w:autoSpaceDN w:val="0"/>
        <w:spacing w:after="0" w:line="240" w:lineRule="auto"/>
        <w:ind w:left="301" w:right="102"/>
        <w:rPr>
          <w:rFonts w:ascii="Geomanist Light" w:eastAsia="Calibri" w:hAnsi="Geomanist Light" w:cs="Arial"/>
          <w:sz w:val="20"/>
          <w:szCs w:val="20"/>
        </w:rPr>
      </w:pPr>
    </w:p>
    <w:p w14:paraId="374F2F1E" w14:textId="77777777" w:rsidR="00732CE6" w:rsidRPr="00F76E2D" w:rsidRDefault="00732CE6" w:rsidP="00732CE6">
      <w:pPr>
        <w:widowControl w:val="0"/>
        <w:autoSpaceDE w:val="0"/>
        <w:autoSpaceDN w:val="0"/>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Para analizar la fusión y sus efectos respecto de la experiencia de la sociedad que se «disuelve» pero no se «liquida»,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14:paraId="5C3F235A" w14:textId="77777777" w:rsidR="00732CE6" w:rsidRPr="00F76E2D" w:rsidRDefault="00732CE6" w:rsidP="00732CE6">
      <w:pPr>
        <w:widowControl w:val="0"/>
        <w:autoSpaceDE w:val="0"/>
        <w:autoSpaceDN w:val="0"/>
        <w:spacing w:after="0" w:line="240" w:lineRule="auto"/>
        <w:ind w:right="102"/>
        <w:rPr>
          <w:rFonts w:ascii="Geomanist Light" w:eastAsia="Calibri" w:hAnsi="Geomanist Light" w:cs="Arial"/>
          <w:sz w:val="20"/>
          <w:szCs w:val="20"/>
        </w:rPr>
      </w:pPr>
    </w:p>
    <w:p w14:paraId="73CF72DA" w14:textId="108F15AC" w:rsidR="00732CE6" w:rsidRPr="00F76E2D" w:rsidRDefault="00732CE6" w:rsidP="00732CE6">
      <w:pPr>
        <w:widowControl w:val="0"/>
        <w:autoSpaceDE w:val="0"/>
        <w:autoSpaceDN w:val="0"/>
        <w:spacing w:after="0" w:line="240" w:lineRule="auto"/>
        <w:ind w:right="102"/>
        <w:rPr>
          <w:rFonts w:ascii="Geomanist Light" w:eastAsia="Calibri" w:hAnsi="Geomanist Light" w:cs="Arial"/>
          <w:sz w:val="20"/>
          <w:szCs w:val="20"/>
        </w:rPr>
      </w:pPr>
      <w:r w:rsidRPr="00F76E2D">
        <w:rPr>
          <w:rFonts w:ascii="Geomanist Light" w:eastAsia="Calibri" w:hAnsi="Geomanist Light" w:cs="Arial"/>
          <w:sz w:val="20"/>
          <w:szCs w:val="20"/>
        </w:rPr>
        <w:t>[…]</w:t>
      </w:r>
    </w:p>
    <w:p w14:paraId="04A0A9C8" w14:textId="77777777" w:rsidR="00732CE6" w:rsidRPr="00F76E2D" w:rsidRDefault="00732CE6" w:rsidP="00732CE6">
      <w:pPr>
        <w:spacing w:after="0" w:line="240" w:lineRule="auto"/>
        <w:rPr>
          <w:rFonts w:ascii="Geomanist Light" w:eastAsia="Calibri" w:hAnsi="Geomanist Light" w:cs="Arial"/>
          <w:sz w:val="20"/>
          <w:szCs w:val="20"/>
        </w:rPr>
      </w:pPr>
    </w:p>
    <w:p w14:paraId="5ADED7F0" w14:textId="7D3C128D" w:rsidR="00732CE6" w:rsidRPr="00F76E2D" w:rsidRDefault="00732CE6" w:rsidP="00732CE6">
      <w:pPr>
        <w:spacing w:after="0" w:line="240" w:lineRule="auto"/>
        <w:rPr>
          <w:rFonts w:ascii="Geomanist Light" w:eastAsia="Calibri" w:hAnsi="Geomanist Light" w:cs="Arial"/>
          <w:sz w:val="20"/>
          <w:szCs w:val="20"/>
        </w:rPr>
      </w:pPr>
      <w:r w:rsidRPr="00F76E2D">
        <w:rPr>
          <w:rFonts w:ascii="Geomanist Light" w:eastAsia="Calibri" w:hAnsi="Geomanist Light" w:cs="Arial"/>
          <w:sz w:val="20"/>
          <w:szCs w:val="20"/>
        </w:rPr>
        <w:t>En consecuencia, en la fusión es posible que la sociedad absorbente tenga la experiencia de la sociedad absorbida, porque esta última continuó a través de la primera, y ello implica que transfirió su experiencia debido a que no se liquidó, es decir no desapareció, lo que haría imposible la transferencia de experiencia.</w:t>
      </w:r>
    </w:p>
    <w:p w14:paraId="687305AE" w14:textId="77777777" w:rsidR="001E4F7D" w:rsidRPr="00F76E2D" w:rsidRDefault="001E4F7D" w:rsidP="00D92B4A">
      <w:pPr>
        <w:spacing w:after="0"/>
        <w:rPr>
          <w:rFonts w:ascii="Geomanist Light" w:eastAsia="Calibri" w:hAnsi="Geomanist Light" w:cs="Arial"/>
          <w:sz w:val="20"/>
          <w:szCs w:val="20"/>
        </w:rPr>
      </w:pPr>
    </w:p>
    <w:bookmarkEnd w:id="0"/>
    <w:p w14:paraId="50E6E80E" w14:textId="530A17CE" w:rsidR="00732CE6" w:rsidRPr="00F76E2D" w:rsidRDefault="00F66826" w:rsidP="00732CE6">
      <w:pPr>
        <w:rPr>
          <w:rFonts w:ascii="Geomanist Light" w:eastAsia="Calibri" w:hAnsi="Geomanist Light" w:cs="Arial"/>
          <w:b/>
          <w:bCs/>
          <w:color w:val="000000" w:themeColor="text1"/>
          <w:sz w:val="20"/>
          <w:szCs w:val="20"/>
        </w:rPr>
      </w:pPr>
      <w:r w:rsidRPr="00F76E2D">
        <w:rPr>
          <w:rFonts w:ascii="Geomanist Light" w:eastAsia="Calibri" w:hAnsi="Geomanist Light" w:cs="Arial"/>
          <w:b/>
          <w:bCs/>
          <w:color w:val="000000" w:themeColor="text1"/>
          <w:sz w:val="20"/>
          <w:szCs w:val="20"/>
        </w:rPr>
        <w:t>MATRICES Y SUBORDINADAS</w:t>
      </w:r>
      <w:r w:rsidR="00732CE6" w:rsidRPr="00F76E2D">
        <w:rPr>
          <w:rFonts w:ascii="Geomanist Light" w:eastAsia="Calibri" w:hAnsi="Geomanist Light" w:cs="Arial"/>
          <w:b/>
          <w:bCs/>
          <w:color w:val="000000" w:themeColor="text1"/>
          <w:sz w:val="20"/>
          <w:szCs w:val="20"/>
        </w:rPr>
        <w:t xml:space="preserve"> </w:t>
      </w:r>
      <w:r w:rsidRPr="00F76E2D">
        <w:rPr>
          <w:rFonts w:ascii="Geomanist Light" w:eastAsia="Calibri" w:hAnsi="Geomanist Light" w:cs="Arial"/>
          <w:b/>
          <w:color w:val="000000" w:themeColor="text1"/>
          <w:sz w:val="20"/>
          <w:szCs w:val="20"/>
        </w:rPr>
        <w:t xml:space="preserve">– </w:t>
      </w:r>
      <w:r w:rsidRPr="00EA3887">
        <w:rPr>
          <w:rFonts w:ascii="Geomanist Light" w:eastAsia="Calibri" w:hAnsi="Geomanist Light" w:cs="Arial"/>
          <w:b/>
          <w:bCs/>
          <w:color w:val="000000" w:themeColor="text1"/>
          <w:sz w:val="20"/>
          <w:szCs w:val="20"/>
        </w:rPr>
        <w:t>Experiencia</w:t>
      </w:r>
      <w:r w:rsidRPr="00F76E2D">
        <w:rPr>
          <w:rFonts w:ascii="Geomanist Light" w:eastAsia="Calibri" w:hAnsi="Geomanist Light" w:cs="Arial"/>
          <w:b/>
          <w:bCs/>
          <w:color w:val="000000" w:themeColor="text1"/>
          <w:sz w:val="20"/>
          <w:szCs w:val="20"/>
        </w:rPr>
        <w:t xml:space="preserve"> </w:t>
      </w:r>
    </w:p>
    <w:p w14:paraId="5C4C45E9" w14:textId="45401C37" w:rsidR="00F66826" w:rsidRPr="00F76E2D" w:rsidRDefault="00F66826" w:rsidP="00F66826">
      <w:pPr>
        <w:spacing w:line="240" w:lineRule="auto"/>
        <w:rPr>
          <w:rFonts w:ascii="Geomanist Light" w:eastAsia="Calibri" w:hAnsi="Geomanist Light" w:cs="Arial"/>
          <w:color w:val="000000" w:themeColor="text1"/>
          <w:sz w:val="20"/>
          <w:szCs w:val="20"/>
        </w:rPr>
      </w:pPr>
      <w:r w:rsidRPr="00F76E2D">
        <w:rPr>
          <w:rFonts w:ascii="Geomanist Light" w:eastAsia="Calibri" w:hAnsi="Geomanist Light" w:cs="Arial"/>
          <w:color w:val="000000" w:themeColor="text1"/>
          <w:sz w:val="20"/>
          <w:szCs w:val="20"/>
        </w:rPr>
        <w:t xml:space="preserve">[…] el Código de Comercio, en el artículo 260, subrogado por el artículo 26 de la Ley 222 de 1995, regula las matrices y subordinadas. La norma citada contiene los siguientes conceptos: i) matriz, ii) subordinada o controlada, iii) filial y iv) subsidiaria. En primer lugar, una sociedad es i) matriz cuando </w:t>
      </w:r>
      <w:r w:rsidRPr="00F76E2D">
        <w:rPr>
          <w:rFonts w:ascii="Geomanist Light" w:eastAsia="Calibri" w:hAnsi="Geomanist Light" w:cs="Arial"/>
          <w:color w:val="000000" w:themeColor="text1"/>
          <w:sz w:val="20"/>
          <w:szCs w:val="20"/>
        </w:rPr>
        <w:lastRenderedPageBreak/>
        <w:t>tiene poder de decisión frente a otras personas, ii) la sociedad subordinada o controlada es la que no puede autodeterminarse porque sus decisiones se someten a la sociedad matriz, y esa subordinación cuando es directa se denomina iii) filial, y cuando es indirecta, esto es, la matriz toma decisiones con el concurso o por intermedio de otras de sus sociedades subordinadas o controladas, es una iv) sociedad subsidiaria.</w:t>
      </w:r>
    </w:p>
    <w:p w14:paraId="569B0E3E" w14:textId="080183C5" w:rsidR="00F66826" w:rsidRPr="00F76E2D" w:rsidRDefault="00F66826" w:rsidP="00F66826">
      <w:pPr>
        <w:spacing w:line="240" w:lineRule="auto"/>
        <w:rPr>
          <w:rFonts w:ascii="Geomanist Light" w:eastAsia="Calibri" w:hAnsi="Geomanist Light" w:cs="Arial"/>
          <w:color w:val="000000" w:themeColor="text1"/>
          <w:sz w:val="20"/>
          <w:szCs w:val="20"/>
        </w:rPr>
      </w:pPr>
      <w:r w:rsidRPr="00F76E2D">
        <w:rPr>
          <w:rFonts w:ascii="Geomanist Light" w:eastAsia="Calibri" w:hAnsi="Geomanist Light" w:cs="Arial"/>
          <w:color w:val="000000" w:themeColor="text1"/>
          <w:sz w:val="20"/>
          <w:szCs w:val="20"/>
        </w:rPr>
        <w:t>[…] una sociedad subordinada  ̶ filial o subsidiaria ̶ conserva su individualidad respecto de su matriz, y al ser personas jurídicas diferentes adquieren su experiencia de forma personal e independiente, la cual pueden compartir conformando un proponente plural  ̶ unión temporal o consorcio ̶,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de Comercio involucra una persona jurídica y no varias como es el caso de la matriz y sus subordinadas.</w:t>
      </w:r>
    </w:p>
    <w:p w14:paraId="1B84C2FA" w14:textId="5E501FB7" w:rsidR="00732CE6" w:rsidRPr="00F76E2D" w:rsidRDefault="00732CE6" w:rsidP="00F66826">
      <w:pPr>
        <w:spacing w:after="0" w:line="240" w:lineRule="auto"/>
        <w:rPr>
          <w:rFonts w:ascii="Geomanist Light" w:eastAsia="Calibri" w:hAnsi="Geomanist Light" w:cs="Arial"/>
          <w:color w:val="000000" w:themeColor="text1"/>
          <w:sz w:val="20"/>
          <w:szCs w:val="20"/>
        </w:rPr>
      </w:pPr>
      <w:r w:rsidRPr="00F76E2D">
        <w:rPr>
          <w:rFonts w:ascii="Geomanist Light" w:eastAsia="Calibri" w:hAnsi="Geomanist Light" w:cs="Arial"/>
          <w:sz w:val="20"/>
          <w:szCs w:val="20"/>
        </w:rPr>
        <w:t>[…]</w:t>
      </w:r>
      <w:r w:rsidRPr="00F76E2D">
        <w:rPr>
          <w:rFonts w:ascii="Geomanist Light" w:eastAsia="Calibri" w:hAnsi="Geomanist Light" w:cs="Arial"/>
          <w:color w:val="000000" w:themeColor="text1"/>
          <w:sz w:val="20"/>
          <w:szCs w:val="20"/>
        </w:rPr>
        <w:t xml:space="preserve">se precisa que la figura de consorcio o la unión temporal establecida en el artículo 7 de la Ley 80 de 1993 tan solo exige que la propuesta debe ser presentada conjuntamente por dos o más «personas», sin hacer ninguna aclaración ulterior. En ese orden de ideas, como consecuencia del principio de interpretación de las normas jurídicas según el cual donde la ley no distingue no le es dado distinguir al intérprete, las dos o más personas que conforman el consorcio o la unión temporal pueden tener cualquier calidad o relación entre ellas, sin que exista limitación sobre su condición de matriz o controlante y subsidiaria o filial. </w:t>
      </w:r>
    </w:p>
    <w:p w14:paraId="0C06A940" w14:textId="77777777" w:rsidR="00F66826" w:rsidRPr="00F76E2D" w:rsidRDefault="00F66826" w:rsidP="00F66826">
      <w:pPr>
        <w:spacing w:after="0" w:line="240" w:lineRule="auto"/>
        <w:rPr>
          <w:rFonts w:ascii="Geomanist Light" w:eastAsia="Calibri" w:hAnsi="Geomanist Light" w:cs="Arial"/>
          <w:color w:val="000000" w:themeColor="text1"/>
          <w:sz w:val="20"/>
          <w:szCs w:val="20"/>
        </w:rPr>
      </w:pPr>
    </w:p>
    <w:p w14:paraId="258386BE" w14:textId="2338B83A" w:rsidR="000E6DE8" w:rsidRPr="00F76E2D" w:rsidRDefault="000E6DE8" w:rsidP="000E6DE8">
      <w:pPr>
        <w:spacing w:after="0" w:line="240" w:lineRule="auto"/>
        <w:rPr>
          <w:rFonts w:ascii="Geomanist Light" w:eastAsia="Calibri" w:hAnsi="Geomanist Light" w:cs="Arial"/>
          <w:b/>
          <w:bCs/>
          <w:color w:val="000000" w:themeColor="text1"/>
          <w:sz w:val="22"/>
          <w:lang w:val="es-ES"/>
        </w:rPr>
      </w:pPr>
    </w:p>
    <w:p w14:paraId="41D4FA7E" w14:textId="77777777" w:rsidR="000E6DE8" w:rsidRPr="00F76E2D" w:rsidRDefault="000E6DE8" w:rsidP="000E6DE8">
      <w:pPr>
        <w:spacing w:after="0" w:line="240" w:lineRule="auto"/>
        <w:rPr>
          <w:rFonts w:ascii="Geomanist Light" w:eastAsia="Calibri" w:hAnsi="Geomanist Light" w:cs="Arial"/>
          <w:sz w:val="20"/>
          <w:szCs w:val="20"/>
        </w:rPr>
      </w:pPr>
    </w:p>
    <w:p w14:paraId="0A50BCE8" w14:textId="77777777" w:rsidR="00474929" w:rsidRPr="00F76E2D" w:rsidRDefault="00474929" w:rsidP="00474929">
      <w:pPr>
        <w:spacing w:after="0"/>
        <w:rPr>
          <w:rFonts w:ascii="Geomanist Light" w:eastAsia="Calibri" w:hAnsi="Geomanist Light" w:cs="Arial"/>
          <w:b/>
          <w:bCs/>
          <w:color w:val="000000" w:themeColor="text1"/>
          <w:sz w:val="20"/>
          <w:szCs w:val="20"/>
        </w:rPr>
      </w:pPr>
    </w:p>
    <w:p w14:paraId="566BB4C5" w14:textId="77777777" w:rsidR="00474929" w:rsidRPr="00F76E2D" w:rsidRDefault="00474929" w:rsidP="00474929">
      <w:pPr>
        <w:spacing w:after="0"/>
        <w:rPr>
          <w:rFonts w:ascii="Geomanist Light" w:eastAsia="Calibri" w:hAnsi="Geomanist Light" w:cs="Arial"/>
          <w:b/>
          <w:bCs/>
          <w:color w:val="000000" w:themeColor="text1"/>
          <w:sz w:val="20"/>
          <w:szCs w:val="20"/>
        </w:rPr>
      </w:pPr>
    </w:p>
    <w:p w14:paraId="3F7A80F6" w14:textId="59B2407F" w:rsidR="002105A9" w:rsidRPr="00F76E2D" w:rsidRDefault="002105A9" w:rsidP="00474929">
      <w:pPr>
        <w:spacing w:after="0"/>
        <w:rPr>
          <w:rFonts w:ascii="Geomanist Light" w:eastAsia="Calibri" w:hAnsi="Geomanist Light" w:cs="Arial"/>
          <w:b/>
          <w:bCs/>
          <w:color w:val="000000" w:themeColor="text1"/>
          <w:sz w:val="20"/>
          <w:szCs w:val="20"/>
          <w:lang w:val="es-CO"/>
        </w:rPr>
      </w:pPr>
    </w:p>
    <w:p w14:paraId="26612DE4" w14:textId="4ECEEB3A" w:rsidR="00A67571" w:rsidRPr="00F76E2D" w:rsidRDefault="00A67571">
      <w:pPr>
        <w:spacing w:after="0" w:line="240" w:lineRule="auto"/>
        <w:jc w:val="left"/>
        <w:rPr>
          <w:rFonts w:ascii="Geomanist Light" w:eastAsia="Calibri" w:hAnsi="Geomanist Light" w:cs="Arial"/>
          <w:b/>
          <w:bCs/>
          <w:color w:val="000000" w:themeColor="text1"/>
          <w:sz w:val="20"/>
          <w:szCs w:val="20"/>
          <w:lang w:val="es-CO"/>
        </w:rPr>
      </w:pPr>
      <w:r w:rsidRPr="00F76E2D">
        <w:rPr>
          <w:rFonts w:ascii="Geomanist Light" w:eastAsia="Calibri" w:hAnsi="Geomanist Light" w:cs="Arial"/>
          <w:b/>
          <w:bCs/>
          <w:color w:val="000000" w:themeColor="text1"/>
          <w:sz w:val="20"/>
          <w:szCs w:val="20"/>
          <w:lang w:val="es-CO"/>
        </w:rPr>
        <w:br w:type="page"/>
      </w:r>
    </w:p>
    <w:p w14:paraId="7322F8BE" w14:textId="77777777" w:rsidR="002105A9" w:rsidRPr="00F76E2D" w:rsidRDefault="002105A9" w:rsidP="00474929">
      <w:pPr>
        <w:spacing w:after="0"/>
        <w:rPr>
          <w:rFonts w:ascii="Geomanist Light" w:eastAsia="Calibri" w:hAnsi="Geomanist Light" w:cs="Arial"/>
          <w:b/>
          <w:bCs/>
          <w:color w:val="000000" w:themeColor="text1"/>
          <w:sz w:val="20"/>
          <w:szCs w:val="20"/>
          <w:lang w:val="es-CO"/>
        </w:rPr>
      </w:pPr>
    </w:p>
    <w:p w14:paraId="0ADE2946" w14:textId="22DFFB45" w:rsidR="00474929" w:rsidRPr="00F76E2D" w:rsidRDefault="00474929" w:rsidP="00474929">
      <w:pPr>
        <w:spacing w:after="0"/>
        <w:jc w:val="right"/>
        <w:rPr>
          <w:rFonts w:ascii="Geomanist Light" w:eastAsia="Calibri" w:hAnsi="Geomanist Light" w:cs="Arial"/>
          <w:b/>
          <w:bCs/>
          <w:sz w:val="16"/>
          <w:szCs w:val="16"/>
          <w:lang w:val="es-CO"/>
        </w:rPr>
      </w:pPr>
      <w:r w:rsidRPr="00F76E2D">
        <w:rPr>
          <w:rFonts w:ascii="Geomanist Light" w:eastAsia="Times New Roman" w:hAnsi="Geomanist Light" w:cs="Arial"/>
          <w:b/>
          <w:bCs/>
          <w:sz w:val="16"/>
          <w:szCs w:val="16"/>
          <w:lang w:val="es-CO" w:eastAsia="es-ES"/>
        </w:rPr>
        <w:t>CCE-DES-FM-17</w:t>
      </w:r>
    </w:p>
    <w:p w14:paraId="07E22425" w14:textId="374CDB83" w:rsidR="00474929" w:rsidRDefault="009236A6" w:rsidP="009236A6">
      <w:pPr>
        <w:spacing w:after="0" w:line="240" w:lineRule="auto"/>
        <w:rPr>
          <w:rFonts w:ascii="Geomanist Light" w:eastAsia="Times New Roman" w:hAnsi="Geomanist Light" w:cs="Arial"/>
          <w:szCs w:val="24"/>
          <w:lang w:val="es-CO" w:eastAsia="es-MX"/>
        </w:rPr>
      </w:pPr>
      <w:r>
        <w:rPr>
          <w:rFonts w:ascii="Geomanist Light" w:eastAsia="Times New Roman" w:hAnsi="Geomanist Light" w:cs="Arial"/>
          <w:szCs w:val="24"/>
          <w:lang w:val="es-CO" w:eastAsia="es-MX"/>
        </w:rPr>
        <w:t>Bogotá D.C. 29 de noviembre de 2022</w:t>
      </w:r>
    </w:p>
    <w:p w14:paraId="1AA4ABBB" w14:textId="1910BDA3" w:rsidR="009236A6" w:rsidRDefault="009236A6" w:rsidP="009236A6">
      <w:pPr>
        <w:spacing w:after="0" w:line="240" w:lineRule="auto"/>
        <w:rPr>
          <w:rFonts w:ascii="Geomanist Light" w:eastAsia="Times New Roman" w:hAnsi="Geomanist Light" w:cs="Arial"/>
          <w:szCs w:val="24"/>
          <w:lang w:val="es-CO" w:eastAsia="es-MX"/>
        </w:rPr>
      </w:pPr>
    </w:p>
    <w:p w14:paraId="3247CA4B" w14:textId="4CA9A228" w:rsidR="009236A6" w:rsidRDefault="009236A6" w:rsidP="009236A6">
      <w:pPr>
        <w:spacing w:after="0" w:line="240" w:lineRule="auto"/>
        <w:jc w:val="right"/>
        <w:rPr>
          <w:rFonts w:ascii="Geomanist Light" w:eastAsia="Times New Roman" w:hAnsi="Geomanist Light" w:cs="Arial"/>
          <w:szCs w:val="24"/>
          <w:lang w:val="es-CO" w:eastAsia="es-MX"/>
        </w:rPr>
      </w:pPr>
      <w:r>
        <w:rPr>
          <w:noProof/>
          <w:lang w:val="en-US"/>
        </w:rPr>
        <w:drawing>
          <wp:inline distT="0" distB="0" distL="0" distR="0" wp14:anchorId="22BEC28F" wp14:editId="4A026800">
            <wp:extent cx="3137876" cy="838200"/>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8839" t="35621" r="6823" b="29060"/>
                    <a:stretch/>
                  </pic:blipFill>
                  <pic:spPr bwMode="auto">
                    <a:xfrm>
                      <a:off x="0" y="0"/>
                      <a:ext cx="3181487" cy="849849"/>
                    </a:xfrm>
                    <a:prstGeom prst="rect">
                      <a:avLst/>
                    </a:prstGeom>
                    <a:ln>
                      <a:noFill/>
                    </a:ln>
                    <a:extLst>
                      <a:ext uri="{53640926-AAD7-44D8-BBD7-CCE9431645EC}">
                        <a14:shadowObscured xmlns:a14="http://schemas.microsoft.com/office/drawing/2010/main"/>
                      </a:ext>
                    </a:extLst>
                  </pic:spPr>
                </pic:pic>
              </a:graphicData>
            </a:graphic>
          </wp:inline>
        </w:drawing>
      </w:r>
    </w:p>
    <w:p w14:paraId="28DE9F42" w14:textId="429B40AD" w:rsidR="00474929" w:rsidRPr="00F76E2D" w:rsidRDefault="00474929" w:rsidP="00474929">
      <w:pPr>
        <w:spacing w:after="0" w:line="240" w:lineRule="auto"/>
        <w:rPr>
          <w:rFonts w:ascii="Geomanist Light" w:eastAsia="Calibri" w:hAnsi="Geomanist Light" w:cs="Arial"/>
          <w:sz w:val="22"/>
          <w:lang w:val="es-CO"/>
        </w:rPr>
      </w:pPr>
      <w:bookmarkStart w:id="1" w:name="_Hlk96417464"/>
      <w:r w:rsidRPr="00F76E2D">
        <w:rPr>
          <w:rFonts w:ascii="Geomanist Light" w:eastAsia="Calibri" w:hAnsi="Geomanist Light" w:cs="Arial"/>
          <w:sz w:val="22"/>
          <w:lang w:val="es-CO"/>
        </w:rPr>
        <w:t>Señor</w:t>
      </w:r>
      <w:r w:rsidR="00777192" w:rsidRPr="00F76E2D">
        <w:rPr>
          <w:rFonts w:ascii="Geomanist Light" w:eastAsia="Calibri" w:hAnsi="Geomanist Light" w:cs="Arial"/>
          <w:sz w:val="22"/>
          <w:lang w:val="es-CO"/>
        </w:rPr>
        <w:t>a</w:t>
      </w:r>
    </w:p>
    <w:p w14:paraId="7F906FA7" w14:textId="20A493F5" w:rsidR="00474929" w:rsidRPr="00F76E2D" w:rsidRDefault="00777192" w:rsidP="00474929">
      <w:pPr>
        <w:spacing w:after="0" w:line="240" w:lineRule="auto"/>
        <w:rPr>
          <w:rFonts w:ascii="Geomanist Light" w:eastAsia="Calibri" w:hAnsi="Geomanist Light" w:cs="Arial"/>
          <w:b/>
          <w:bCs/>
          <w:sz w:val="22"/>
          <w:lang w:val="es-CO"/>
        </w:rPr>
      </w:pPr>
      <w:r w:rsidRPr="00F76E2D">
        <w:rPr>
          <w:rFonts w:ascii="Geomanist Light" w:eastAsia="Calibri" w:hAnsi="Geomanist Light" w:cs="Arial"/>
          <w:b/>
          <w:bCs/>
          <w:sz w:val="22"/>
          <w:lang w:val="es-CO"/>
        </w:rPr>
        <w:t xml:space="preserve">Andrea Villate </w:t>
      </w:r>
    </w:p>
    <w:p w14:paraId="39564516" w14:textId="328C35D1" w:rsidR="00474929" w:rsidRPr="00F76E2D" w:rsidRDefault="00474929" w:rsidP="00474929">
      <w:pPr>
        <w:spacing w:after="0" w:line="240" w:lineRule="auto"/>
        <w:rPr>
          <w:rFonts w:ascii="Geomanist Light" w:eastAsia="Calibri" w:hAnsi="Geomanist Light" w:cs="Arial"/>
          <w:sz w:val="22"/>
          <w:lang w:val="es-CO"/>
        </w:rPr>
      </w:pPr>
      <w:r w:rsidRPr="00F76E2D">
        <w:rPr>
          <w:rFonts w:ascii="Geomanist Light" w:eastAsia="Calibri" w:hAnsi="Geomanist Light" w:cs="Arial"/>
          <w:sz w:val="22"/>
          <w:lang w:val="es-CO"/>
        </w:rPr>
        <w:t>Bogotá D.C.</w:t>
      </w:r>
    </w:p>
    <w:p w14:paraId="3DA5291F" w14:textId="77777777" w:rsidR="00474929" w:rsidRPr="00F76E2D" w:rsidRDefault="00474929" w:rsidP="00474929">
      <w:pPr>
        <w:spacing w:after="0" w:line="240" w:lineRule="auto"/>
        <w:rPr>
          <w:rFonts w:ascii="Geomanist Light" w:eastAsia="Calibri" w:hAnsi="Geomanist Light" w:cs="Arial"/>
          <w:sz w:val="22"/>
          <w:lang w:val="es-CO"/>
        </w:rPr>
      </w:pPr>
    </w:p>
    <w:p w14:paraId="042752B9" w14:textId="20A04B8C" w:rsidR="00474929" w:rsidRPr="00F76E2D" w:rsidRDefault="00474929" w:rsidP="00F368DD">
      <w:pPr>
        <w:spacing w:after="0" w:line="240" w:lineRule="auto"/>
        <w:ind w:left="2694"/>
        <w:rPr>
          <w:rFonts w:ascii="Geomanist Light" w:hAnsi="Geomanist Light" w:cs="Arial"/>
          <w:sz w:val="22"/>
          <w:lang w:val="es-CO"/>
        </w:rPr>
      </w:pPr>
      <w:r w:rsidRPr="00F76E2D">
        <w:rPr>
          <w:rFonts w:ascii="Geomanist Light" w:eastAsia="Calibri" w:hAnsi="Geomanist Light" w:cs="Arial"/>
          <w:b/>
          <w:sz w:val="22"/>
          <w:lang w:val="es-CO"/>
        </w:rPr>
        <w:t xml:space="preserve">Concepto C – </w:t>
      </w:r>
      <w:r w:rsidR="006C18F0" w:rsidRPr="00F76E2D">
        <w:rPr>
          <w:rFonts w:ascii="Geomanist Light" w:eastAsia="Calibri" w:hAnsi="Geomanist Light" w:cs="Arial"/>
          <w:b/>
          <w:sz w:val="22"/>
          <w:lang w:val="es-CO"/>
        </w:rPr>
        <w:t>820</w:t>
      </w:r>
      <w:r w:rsidRPr="00F76E2D">
        <w:rPr>
          <w:rFonts w:ascii="Geomanist Light" w:eastAsia="Calibri" w:hAnsi="Geomanist Light" w:cs="Arial"/>
          <w:b/>
          <w:sz w:val="22"/>
          <w:lang w:val="es-CO"/>
        </w:rPr>
        <w:t xml:space="preserve"> de 2022</w:t>
      </w:r>
      <w:r w:rsidRPr="00F76E2D">
        <w:rPr>
          <w:rFonts w:ascii="Geomanist Light" w:hAnsi="Geomanist Light" w:cs="Arial"/>
          <w:sz w:val="22"/>
          <w:lang w:val="es-CO"/>
        </w:rPr>
        <w:t xml:space="preserve"> </w:t>
      </w:r>
    </w:p>
    <w:p w14:paraId="739D291E" w14:textId="77777777" w:rsidR="00474929" w:rsidRPr="00F76E2D" w:rsidRDefault="00474929" w:rsidP="00474929">
      <w:pPr>
        <w:spacing w:after="0" w:line="240" w:lineRule="auto"/>
        <w:rPr>
          <w:rFonts w:ascii="Geomanist Light" w:eastAsia="Calibri" w:hAnsi="Geomanist Light"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74929" w:rsidRPr="00F76E2D" w14:paraId="189F609F" w14:textId="77777777" w:rsidTr="00DA0611">
        <w:trPr>
          <w:trHeight w:val="485"/>
        </w:trPr>
        <w:tc>
          <w:tcPr>
            <w:tcW w:w="2689" w:type="dxa"/>
            <w:hideMark/>
          </w:tcPr>
          <w:p w14:paraId="6F3F60A7" w14:textId="3C2980C2" w:rsidR="00474929" w:rsidRPr="00F76E2D" w:rsidRDefault="00474929" w:rsidP="00DA0611">
            <w:pPr>
              <w:contextualSpacing/>
              <w:rPr>
                <w:rFonts w:ascii="Geomanist Light" w:eastAsia="Calibri" w:hAnsi="Geomanist Light" w:cs="Arial"/>
                <w:noProof/>
                <w:lang w:val="es-ES_tradnl"/>
              </w:rPr>
            </w:pPr>
            <w:r w:rsidRPr="00F76E2D">
              <w:rPr>
                <w:rFonts w:ascii="Geomanist Light" w:eastAsia="Calibri" w:hAnsi="Geomanist Light" w:cs="Arial"/>
                <w:b/>
                <w:noProof/>
                <w:lang w:val="es-ES_tradnl"/>
              </w:rPr>
              <w:t>Temas:</w:t>
            </w:r>
            <w:r w:rsidR="004B1796" w:rsidRPr="00F76E2D">
              <w:rPr>
                <w:rFonts w:ascii="Geomanist Light" w:eastAsia="Calibri" w:hAnsi="Geomanist Light" w:cs="Arial"/>
                <w:noProof/>
                <w:lang w:val="es-ES_tradnl"/>
              </w:rPr>
              <w:t xml:space="preserve">    </w:t>
            </w:r>
          </w:p>
        </w:tc>
        <w:tc>
          <w:tcPr>
            <w:tcW w:w="6237" w:type="dxa"/>
            <w:hideMark/>
          </w:tcPr>
          <w:p w14:paraId="5C433043" w14:textId="239C289C" w:rsidR="00637CD8" w:rsidRPr="00F76E2D" w:rsidRDefault="00637CD8" w:rsidP="0010636B">
            <w:pPr>
              <w:spacing w:after="120"/>
              <w:ind w:right="703"/>
              <w:rPr>
                <w:rFonts w:ascii="Geomanist Light" w:eastAsia="Calibri" w:hAnsi="Geomanist Light" w:cs="Arial"/>
                <w:bCs/>
                <w:lang w:val="es-ES_tradnl"/>
              </w:rPr>
            </w:pPr>
            <w:r w:rsidRPr="00F76E2D">
              <w:rPr>
                <w:rFonts w:ascii="Geomanist Light" w:eastAsia="Calibri" w:hAnsi="Geomanist Light" w:cs="Arial"/>
                <w:bCs/>
              </w:rPr>
              <w:t xml:space="preserve">EXPERIENCIA – Noción – Concepto / EXPERIENCIA – Transformación / EXPERIENCIA – Escisión / EXPERIENCIA – Fusión – Fusión por absorción / </w:t>
            </w:r>
            <w:r w:rsidRPr="00F76E2D">
              <w:rPr>
                <w:rFonts w:ascii="Geomanist Light" w:eastAsia="Calibri" w:hAnsi="Geomanist Light" w:cs="Arial"/>
                <w:bCs/>
                <w:color w:val="000000" w:themeColor="text1"/>
              </w:rPr>
              <w:t>MATRICES Y SUBORDINADAS – Experiencia</w:t>
            </w:r>
          </w:p>
        </w:tc>
      </w:tr>
      <w:tr w:rsidR="00474929" w:rsidRPr="00F76E2D" w14:paraId="0E523183" w14:textId="77777777" w:rsidTr="00DA0611">
        <w:tc>
          <w:tcPr>
            <w:tcW w:w="2689" w:type="dxa"/>
          </w:tcPr>
          <w:p w14:paraId="354A64EA" w14:textId="20500256" w:rsidR="00474929" w:rsidRPr="00F76E2D" w:rsidRDefault="00474929" w:rsidP="00DA0611">
            <w:pPr>
              <w:contextualSpacing/>
              <w:rPr>
                <w:rFonts w:ascii="Geomanist Light" w:eastAsia="Calibri" w:hAnsi="Geomanist Light" w:cs="Arial"/>
                <w:b/>
                <w:noProof/>
                <w:lang w:val="es-ES_tradnl"/>
              </w:rPr>
            </w:pPr>
            <w:r w:rsidRPr="00F76E2D">
              <w:rPr>
                <w:rFonts w:ascii="Geomanist Light" w:eastAsia="Calibri" w:hAnsi="Geomanist Light" w:cs="Arial"/>
                <w:b/>
                <w:noProof/>
                <w:lang w:val="es-ES_tradnl"/>
              </w:rPr>
              <w:t xml:space="preserve"> Radicación:</w:t>
            </w:r>
            <w:r w:rsidR="004B1796" w:rsidRPr="00F76E2D">
              <w:rPr>
                <w:rFonts w:ascii="Geomanist Light" w:eastAsia="Calibri" w:hAnsi="Geomanist Light" w:cs="Arial"/>
                <w:noProof/>
                <w:lang w:val="es-ES_tradnl"/>
              </w:rPr>
              <w:t xml:space="preserve">               </w:t>
            </w:r>
          </w:p>
        </w:tc>
        <w:tc>
          <w:tcPr>
            <w:tcW w:w="6237" w:type="dxa"/>
          </w:tcPr>
          <w:p w14:paraId="020E44D8" w14:textId="3B982A70" w:rsidR="00474929" w:rsidRPr="00F76E2D" w:rsidRDefault="00474929" w:rsidP="00DA0611">
            <w:pPr>
              <w:contextualSpacing/>
              <w:rPr>
                <w:rFonts w:ascii="Geomanist Light" w:eastAsia="Calibri" w:hAnsi="Geomanist Light" w:cs="Arial"/>
                <w:noProof/>
                <w:lang w:val="es-ES_tradnl"/>
              </w:rPr>
            </w:pPr>
            <w:r w:rsidRPr="00F76E2D">
              <w:rPr>
                <w:rFonts w:ascii="Geomanist Light" w:eastAsia="Calibri" w:hAnsi="Geomanist Light" w:cs="Arial"/>
                <w:noProof/>
                <w:lang w:val="es-ES_tradnl"/>
              </w:rPr>
              <w:t>Respuesta a consulta</w:t>
            </w:r>
            <w:r w:rsidR="006C18F0" w:rsidRPr="00F76E2D">
              <w:rPr>
                <w:rFonts w:ascii="Geomanist Light" w:eastAsia="Calibri" w:hAnsi="Geomanist Light" w:cs="Arial"/>
                <w:noProof/>
                <w:lang w:val="es-ES_tradnl"/>
              </w:rPr>
              <w:t>s</w:t>
            </w:r>
            <w:r w:rsidRPr="00F76E2D">
              <w:rPr>
                <w:rFonts w:ascii="Geomanist Light" w:eastAsia="Calibri" w:hAnsi="Geomanist Light" w:cs="Arial"/>
                <w:noProof/>
                <w:lang w:val="es-ES_tradnl"/>
              </w:rPr>
              <w:t xml:space="preserve"> </w:t>
            </w:r>
            <w:r w:rsidR="006C18F0" w:rsidRPr="00F76E2D">
              <w:rPr>
                <w:rFonts w:ascii="Geomanist Light" w:eastAsia="Calibri" w:hAnsi="Geomanist Light" w:cs="Arial"/>
                <w:noProof/>
                <w:lang w:val="es-ES_tradnl"/>
              </w:rPr>
              <w:t>P20221013010364 y P20221013010375</w:t>
            </w:r>
          </w:p>
          <w:p w14:paraId="7873D228" w14:textId="7676E8AC" w:rsidR="00474929" w:rsidRPr="00F76E2D" w:rsidRDefault="004B1796" w:rsidP="00DA0611">
            <w:pPr>
              <w:contextualSpacing/>
              <w:rPr>
                <w:rFonts w:ascii="Geomanist Light" w:eastAsia="Calibri" w:hAnsi="Geomanist Light" w:cs="Arial"/>
                <w:noProof/>
                <w:lang w:val="es-ES_tradnl"/>
              </w:rPr>
            </w:pPr>
            <w:r w:rsidRPr="00F76E2D">
              <w:rPr>
                <w:rFonts w:ascii="Geomanist Light" w:eastAsia="Calibri" w:hAnsi="Geomanist Light" w:cs="Arial"/>
                <w:noProof/>
                <w:lang w:val="es-ES_tradnl"/>
              </w:rPr>
              <w:t xml:space="preserve">                  </w:t>
            </w:r>
          </w:p>
        </w:tc>
      </w:tr>
    </w:tbl>
    <w:p w14:paraId="3E94B2AD" w14:textId="7223FC8E" w:rsidR="00474929" w:rsidRPr="00F76E2D" w:rsidRDefault="00474929" w:rsidP="00474929">
      <w:pPr>
        <w:spacing w:after="0"/>
        <w:rPr>
          <w:rFonts w:ascii="Geomanist Light" w:eastAsia="Calibri" w:hAnsi="Geomanist Light" w:cs="Arial"/>
          <w:sz w:val="22"/>
          <w:lang w:val="es-CO"/>
        </w:rPr>
      </w:pPr>
      <w:r w:rsidRPr="00F76E2D">
        <w:rPr>
          <w:rFonts w:ascii="Geomanist Light" w:eastAsia="Calibri" w:hAnsi="Geomanist Light" w:cs="Arial"/>
          <w:sz w:val="22"/>
          <w:lang w:val="es-CO"/>
        </w:rPr>
        <w:t>Estimad</w:t>
      </w:r>
      <w:r w:rsidR="006C18F0" w:rsidRPr="00F76E2D">
        <w:rPr>
          <w:rFonts w:ascii="Geomanist Light" w:eastAsia="Calibri" w:hAnsi="Geomanist Light" w:cs="Arial"/>
          <w:sz w:val="22"/>
          <w:lang w:val="es-CO"/>
        </w:rPr>
        <w:t>a</w:t>
      </w:r>
      <w:r w:rsidRPr="00F76E2D">
        <w:rPr>
          <w:rFonts w:ascii="Geomanist Light" w:eastAsia="Calibri" w:hAnsi="Geomanist Light" w:cs="Arial"/>
          <w:sz w:val="22"/>
          <w:lang w:val="es-CO"/>
        </w:rPr>
        <w:t xml:space="preserve"> Señor</w:t>
      </w:r>
      <w:r w:rsidR="006C18F0" w:rsidRPr="00F76E2D">
        <w:rPr>
          <w:rFonts w:ascii="Geomanist Light" w:eastAsia="Calibri" w:hAnsi="Geomanist Light" w:cs="Arial"/>
          <w:sz w:val="22"/>
          <w:lang w:val="es-CO"/>
        </w:rPr>
        <w:t>a</w:t>
      </w:r>
      <w:r w:rsidRPr="00F76E2D">
        <w:rPr>
          <w:rFonts w:ascii="Geomanist Light" w:eastAsia="Calibri" w:hAnsi="Geomanist Light" w:cs="Arial"/>
          <w:sz w:val="22"/>
          <w:lang w:val="es-CO"/>
        </w:rPr>
        <w:t xml:space="preserve"> </w:t>
      </w:r>
      <w:r w:rsidR="006C18F0" w:rsidRPr="00F76E2D">
        <w:rPr>
          <w:rFonts w:ascii="Geomanist Light" w:eastAsia="Calibri" w:hAnsi="Geomanist Light" w:cs="Arial"/>
          <w:sz w:val="22"/>
          <w:lang w:val="es-CO"/>
        </w:rPr>
        <w:t>Villate</w:t>
      </w:r>
      <w:r w:rsidRPr="00F76E2D">
        <w:rPr>
          <w:rFonts w:ascii="Geomanist Light" w:eastAsia="Calibri" w:hAnsi="Geomanist Light" w:cs="Arial"/>
          <w:sz w:val="22"/>
          <w:lang w:val="es-CO"/>
        </w:rPr>
        <w:t xml:space="preserve">: </w:t>
      </w:r>
    </w:p>
    <w:p w14:paraId="699764D9" w14:textId="77777777" w:rsidR="00474929" w:rsidRPr="00F76E2D" w:rsidRDefault="00474929" w:rsidP="00474929">
      <w:pPr>
        <w:spacing w:after="0"/>
        <w:ind w:firstLine="709"/>
        <w:rPr>
          <w:rFonts w:ascii="Geomanist Light" w:eastAsia="Calibri" w:hAnsi="Geomanist Light" w:cs="Arial"/>
          <w:sz w:val="22"/>
          <w:lang w:val="es-CO"/>
        </w:rPr>
      </w:pPr>
    </w:p>
    <w:p w14:paraId="7004CD0B" w14:textId="7A2BB4C2" w:rsidR="00474929" w:rsidRPr="00F76E2D" w:rsidRDefault="00474929" w:rsidP="00474929">
      <w:pPr>
        <w:spacing w:after="0"/>
        <w:ind w:right="51"/>
        <w:rPr>
          <w:rFonts w:ascii="Geomanist Light" w:eastAsia="Calibri" w:hAnsi="Geomanist Light" w:cs="Arial"/>
          <w:sz w:val="22"/>
          <w:lang w:val="es-CO"/>
        </w:rPr>
      </w:pPr>
      <w:r w:rsidRPr="00F76E2D">
        <w:rPr>
          <w:rFonts w:ascii="Geomanist Light" w:eastAsia="Calibri" w:hAnsi="Geomanist Light" w:cs="Arial"/>
          <w:sz w:val="22"/>
          <w:lang w:val="es-CO"/>
        </w:rPr>
        <w:t xml:space="preserve">En ejercicio de la competencia otorgada por el numeral 8 del artículo 11 y el numeral 5 del artículo 3 del Decreto Ley 4170 de 2011, la Agencia Nacional de Contratación Pública – Colombia Compra Eficiente responde </w:t>
      </w:r>
      <w:r w:rsidR="0092402D" w:rsidRPr="00F76E2D">
        <w:rPr>
          <w:rFonts w:ascii="Geomanist Light" w:eastAsia="Calibri" w:hAnsi="Geomanist Light" w:cs="Arial"/>
          <w:sz w:val="22"/>
          <w:lang w:val="es-CO"/>
        </w:rPr>
        <w:t>sus</w:t>
      </w:r>
      <w:r w:rsidRPr="00F76E2D">
        <w:rPr>
          <w:rFonts w:ascii="Geomanist Light" w:eastAsia="Calibri" w:hAnsi="Geomanist Light" w:cs="Arial"/>
          <w:sz w:val="22"/>
          <w:lang w:val="es-CO"/>
        </w:rPr>
        <w:t xml:space="preserve"> consulta</w:t>
      </w:r>
      <w:r w:rsidR="00381B0F" w:rsidRPr="00F76E2D">
        <w:rPr>
          <w:rFonts w:ascii="Geomanist Light" w:eastAsia="Calibri" w:hAnsi="Geomanist Light" w:cs="Arial"/>
          <w:sz w:val="22"/>
          <w:lang w:val="es-CO"/>
        </w:rPr>
        <w:t>s</w:t>
      </w:r>
      <w:r w:rsidRPr="00F76E2D">
        <w:rPr>
          <w:rFonts w:ascii="Geomanist Light" w:eastAsia="Calibri" w:hAnsi="Geomanist Light" w:cs="Arial"/>
          <w:sz w:val="22"/>
          <w:lang w:val="es-CO"/>
        </w:rPr>
        <w:t xml:space="preserve"> radicada</w:t>
      </w:r>
      <w:r w:rsidR="00381B0F" w:rsidRPr="00F76E2D">
        <w:rPr>
          <w:rFonts w:ascii="Geomanist Light" w:eastAsia="Calibri" w:hAnsi="Geomanist Light" w:cs="Arial"/>
          <w:sz w:val="22"/>
          <w:lang w:val="es-CO"/>
        </w:rPr>
        <w:t>s</w:t>
      </w:r>
      <w:r w:rsidRPr="00F76E2D">
        <w:rPr>
          <w:rFonts w:ascii="Geomanist Light" w:eastAsia="Calibri" w:hAnsi="Geomanist Light" w:cs="Arial"/>
          <w:sz w:val="22"/>
          <w:lang w:val="es-CO"/>
        </w:rPr>
        <w:t xml:space="preserve"> el 1</w:t>
      </w:r>
      <w:r w:rsidR="00381B0F" w:rsidRPr="00F76E2D">
        <w:rPr>
          <w:rFonts w:ascii="Geomanist Light" w:eastAsia="Calibri" w:hAnsi="Geomanist Light" w:cs="Arial"/>
          <w:sz w:val="22"/>
          <w:lang w:val="es-CO"/>
        </w:rPr>
        <w:t xml:space="preserve">3 </w:t>
      </w:r>
      <w:r w:rsidRPr="00F76E2D">
        <w:rPr>
          <w:rFonts w:ascii="Geomanist Light" w:eastAsia="Calibri" w:hAnsi="Geomanist Light" w:cs="Arial"/>
          <w:sz w:val="22"/>
          <w:lang w:val="es-CO"/>
        </w:rPr>
        <w:t xml:space="preserve">de </w:t>
      </w:r>
      <w:r w:rsidR="00381B0F" w:rsidRPr="00F76E2D">
        <w:rPr>
          <w:rFonts w:ascii="Geomanist Light" w:eastAsia="Calibri" w:hAnsi="Geomanist Light" w:cs="Arial"/>
          <w:sz w:val="22"/>
          <w:lang w:val="es-CO"/>
        </w:rPr>
        <w:t>octubre</w:t>
      </w:r>
      <w:r w:rsidRPr="00F76E2D">
        <w:rPr>
          <w:rFonts w:ascii="Geomanist Light" w:eastAsia="Calibri" w:hAnsi="Geomanist Light" w:cs="Arial"/>
          <w:sz w:val="22"/>
          <w:lang w:val="es-CO"/>
        </w:rPr>
        <w:t xml:space="preserve"> de 2022. </w:t>
      </w:r>
    </w:p>
    <w:p w14:paraId="033B14A3" w14:textId="77777777" w:rsidR="00474929" w:rsidRPr="00F76E2D" w:rsidRDefault="00474929" w:rsidP="00474929">
      <w:pPr>
        <w:spacing w:after="0"/>
        <w:ind w:right="51"/>
        <w:rPr>
          <w:rFonts w:ascii="Geomanist Light" w:eastAsia="Calibri" w:hAnsi="Geomanist Light" w:cs="Arial"/>
          <w:sz w:val="22"/>
          <w:lang w:val="es-CO"/>
        </w:rPr>
      </w:pPr>
    </w:p>
    <w:p w14:paraId="0E932015" w14:textId="0EF7851C" w:rsidR="00474929" w:rsidRPr="00F76E2D" w:rsidRDefault="00474929" w:rsidP="00ED1C5C">
      <w:pPr>
        <w:pStyle w:val="Prrafodelista"/>
        <w:numPr>
          <w:ilvl w:val="0"/>
          <w:numId w:val="1"/>
        </w:numPr>
        <w:tabs>
          <w:tab w:val="left" w:pos="284"/>
        </w:tabs>
        <w:spacing w:after="240"/>
        <w:ind w:left="426"/>
        <w:rPr>
          <w:rFonts w:ascii="Geomanist Light" w:eastAsia="Calibri" w:hAnsi="Geomanist Light" w:cs="Arial"/>
          <w:b/>
          <w:sz w:val="22"/>
        </w:rPr>
      </w:pPr>
      <w:r w:rsidRPr="00F76E2D">
        <w:rPr>
          <w:rFonts w:ascii="Geomanist Light" w:eastAsia="Calibri" w:hAnsi="Geomanist Light" w:cs="Arial"/>
          <w:b/>
          <w:sz w:val="22"/>
        </w:rPr>
        <w:t xml:space="preserve">Problema planteado </w:t>
      </w:r>
    </w:p>
    <w:p w14:paraId="04BB06B3" w14:textId="48BA46D5" w:rsidR="00A51F0F" w:rsidRPr="00F76E2D" w:rsidRDefault="00474929" w:rsidP="00ED1C5C">
      <w:pPr>
        <w:pStyle w:val="NormalWeb"/>
        <w:spacing w:before="0" w:beforeAutospacing="0" w:after="240" w:afterAutospacing="0"/>
        <w:ind w:right="49"/>
        <w:rPr>
          <w:rFonts w:ascii="Geomanist Light" w:hAnsi="Geomanist Light" w:cs="Arial"/>
          <w:sz w:val="22"/>
          <w:szCs w:val="22"/>
        </w:rPr>
      </w:pPr>
      <w:bookmarkStart w:id="2" w:name="_Hlk103091300"/>
      <w:r w:rsidRPr="00F76E2D">
        <w:rPr>
          <w:rFonts w:ascii="Geomanist Light" w:hAnsi="Geomanist Light" w:cs="Arial"/>
          <w:sz w:val="22"/>
          <w:szCs w:val="22"/>
        </w:rPr>
        <w:t>Usted formula solicitud de consulta compuesta por los siguientes interrogantes:</w:t>
      </w:r>
    </w:p>
    <w:p w14:paraId="1494244D" w14:textId="2D3C340B" w:rsidR="00E06E35" w:rsidRPr="00F76E2D" w:rsidRDefault="00474929" w:rsidP="00ED1C5C">
      <w:pPr>
        <w:pStyle w:val="NormalWeb"/>
        <w:spacing w:before="0" w:beforeAutospacing="0" w:after="240" w:afterAutospacing="0" w:line="240" w:lineRule="auto"/>
        <w:ind w:left="709" w:right="900"/>
        <w:rPr>
          <w:rFonts w:ascii="Geomanist Light" w:hAnsi="Geomanist Light" w:cs="Arial"/>
          <w:sz w:val="21"/>
          <w:szCs w:val="21"/>
        </w:rPr>
      </w:pPr>
      <w:r w:rsidRPr="00F76E2D">
        <w:rPr>
          <w:rFonts w:ascii="Geomanist Light" w:hAnsi="Geomanist Light" w:cs="Arial"/>
          <w:sz w:val="21"/>
          <w:szCs w:val="21"/>
        </w:rPr>
        <w:t>«</w:t>
      </w:r>
      <w:r w:rsidR="00381B0F" w:rsidRPr="00F76E2D">
        <w:rPr>
          <w:rFonts w:ascii="Geomanist Light" w:hAnsi="Geomanist Light" w:cs="Arial"/>
          <w:sz w:val="21"/>
          <w:szCs w:val="21"/>
        </w:rPr>
        <w:t>En algunas licitaciones se ha permitido acreditar la experiencia a través de las certificaciones de experiencia presentadas por proveedores nominados o empresas del mismo grupo emp</w:t>
      </w:r>
      <w:r w:rsidR="00C11303" w:rsidRPr="00F76E2D">
        <w:rPr>
          <w:rFonts w:ascii="Geomanist Light" w:hAnsi="Geomanist Light" w:cs="Arial"/>
          <w:sz w:val="21"/>
          <w:szCs w:val="21"/>
        </w:rPr>
        <w:t>r</w:t>
      </w:r>
      <w:r w:rsidR="00381B0F" w:rsidRPr="00F76E2D">
        <w:rPr>
          <w:rFonts w:ascii="Geomanist Light" w:hAnsi="Geomanist Light" w:cs="Arial"/>
          <w:sz w:val="21"/>
          <w:szCs w:val="21"/>
        </w:rPr>
        <w:t xml:space="preserve">esarial, pero que NO hacen parte del proponente, como es el caso de los siguientes procesos licitatorios: </w:t>
      </w:r>
    </w:p>
    <w:p w14:paraId="6DB667C4" w14:textId="79A55B97" w:rsidR="00E06E35" w:rsidRPr="00F76E2D" w:rsidRDefault="00381B0F" w:rsidP="00ED1C5C">
      <w:pPr>
        <w:pStyle w:val="NormalWeb"/>
        <w:spacing w:before="0" w:beforeAutospacing="0" w:after="240" w:afterAutospacing="0" w:line="240" w:lineRule="auto"/>
        <w:ind w:left="709" w:right="900"/>
        <w:rPr>
          <w:rFonts w:ascii="Geomanist Light" w:hAnsi="Geomanist Light" w:cs="Arial"/>
          <w:sz w:val="21"/>
          <w:szCs w:val="21"/>
        </w:rPr>
      </w:pPr>
      <w:proofErr w:type="spellStart"/>
      <w:r w:rsidRPr="00F76E2D">
        <w:rPr>
          <w:rFonts w:ascii="Geomanist Light" w:hAnsi="Geomanist Light" w:cs="Arial"/>
          <w:sz w:val="21"/>
          <w:szCs w:val="21"/>
        </w:rPr>
        <w:t>Regiotram</w:t>
      </w:r>
      <w:proofErr w:type="spellEnd"/>
      <w:r w:rsidRPr="00F76E2D">
        <w:rPr>
          <w:rFonts w:ascii="Geomanist Light" w:hAnsi="Geomanist Light" w:cs="Arial"/>
          <w:sz w:val="21"/>
          <w:szCs w:val="21"/>
        </w:rPr>
        <w:t xml:space="preserve">: LP-EFR-009-2019 </w:t>
      </w:r>
    </w:p>
    <w:p w14:paraId="6B2A661C" w14:textId="57B7A8A4" w:rsidR="00E06E35" w:rsidRPr="00F76E2D" w:rsidRDefault="00381B0F" w:rsidP="00ED1C5C">
      <w:pPr>
        <w:pStyle w:val="NormalWeb"/>
        <w:spacing w:before="0" w:beforeAutospacing="0" w:after="240" w:afterAutospacing="0" w:line="240" w:lineRule="auto"/>
        <w:ind w:left="709" w:right="900"/>
        <w:rPr>
          <w:rFonts w:ascii="Geomanist Light" w:hAnsi="Geomanist Light" w:cs="Arial"/>
          <w:sz w:val="21"/>
          <w:szCs w:val="21"/>
        </w:rPr>
      </w:pPr>
      <w:r w:rsidRPr="00F76E2D">
        <w:rPr>
          <w:rFonts w:ascii="Geomanist Light" w:hAnsi="Geomanist Light" w:cs="Arial"/>
          <w:sz w:val="21"/>
          <w:szCs w:val="21"/>
        </w:rPr>
        <w:t xml:space="preserve">Metro de Bogotá: GT-LPI-001-2018 </w:t>
      </w:r>
    </w:p>
    <w:p w14:paraId="6E2CED20" w14:textId="09B7CC6F" w:rsidR="00E06E35" w:rsidRPr="00F76E2D" w:rsidRDefault="00381B0F" w:rsidP="00ED1C5C">
      <w:pPr>
        <w:pStyle w:val="NormalWeb"/>
        <w:spacing w:before="0" w:beforeAutospacing="0" w:after="240" w:afterAutospacing="0" w:line="240" w:lineRule="auto"/>
        <w:ind w:left="709" w:right="900"/>
        <w:rPr>
          <w:rFonts w:ascii="Geomanist Light" w:hAnsi="Geomanist Light" w:cs="Arial"/>
          <w:sz w:val="21"/>
          <w:szCs w:val="21"/>
        </w:rPr>
      </w:pPr>
      <w:proofErr w:type="gramStart"/>
      <w:r w:rsidRPr="00F76E2D">
        <w:rPr>
          <w:rFonts w:ascii="Geomanist Light" w:hAnsi="Geomanist Light" w:cs="Arial"/>
          <w:sz w:val="21"/>
          <w:szCs w:val="21"/>
        </w:rPr>
        <w:t>Me gustaría saber bajo qué condiciones la Ley permite acreditar experiencia de proveedores o terceros que no hacen parte del oferente?</w:t>
      </w:r>
      <w:proofErr w:type="gramEnd"/>
      <w:r w:rsidRPr="00F76E2D">
        <w:rPr>
          <w:rFonts w:ascii="Geomanist Light" w:hAnsi="Geomanist Light" w:cs="Arial"/>
          <w:sz w:val="21"/>
          <w:szCs w:val="21"/>
        </w:rPr>
        <w:t xml:space="preserve"> </w:t>
      </w:r>
    </w:p>
    <w:p w14:paraId="2FD4D30E" w14:textId="0DD7B6DE" w:rsidR="00474929" w:rsidRPr="00F76E2D" w:rsidRDefault="00381B0F" w:rsidP="00ED1C5C">
      <w:pPr>
        <w:pStyle w:val="NormalWeb"/>
        <w:spacing w:before="0" w:beforeAutospacing="0" w:after="240" w:afterAutospacing="0" w:line="240" w:lineRule="auto"/>
        <w:ind w:left="709" w:right="900"/>
        <w:rPr>
          <w:rFonts w:ascii="Geomanist Light" w:hAnsi="Geomanist Light" w:cs="Arial"/>
          <w:sz w:val="21"/>
          <w:szCs w:val="21"/>
        </w:rPr>
      </w:pPr>
      <w:proofErr w:type="gramStart"/>
      <w:r w:rsidRPr="00F76E2D">
        <w:rPr>
          <w:rFonts w:ascii="Geomanist Light" w:hAnsi="Geomanist Light" w:cs="Arial"/>
          <w:sz w:val="21"/>
          <w:szCs w:val="21"/>
        </w:rPr>
        <w:lastRenderedPageBreak/>
        <w:t>Es decir, si se demuestra que no hay suficientes empresas en Colombia que puedan acreditar esa experiencia, sería posible acreditar la misma a través de terceros (que no se presentan a la licitación como oferentes)?</w:t>
      </w:r>
      <w:proofErr w:type="gramEnd"/>
      <w:r w:rsidR="00474929" w:rsidRPr="00F76E2D">
        <w:rPr>
          <w:rFonts w:ascii="Geomanist Light" w:hAnsi="Geomanist Light" w:cs="Arial"/>
          <w:sz w:val="21"/>
          <w:szCs w:val="21"/>
        </w:rPr>
        <w:t>»</w:t>
      </w:r>
      <w:bookmarkEnd w:id="2"/>
    </w:p>
    <w:p w14:paraId="40937FFB" w14:textId="03578A08" w:rsidR="00474929" w:rsidRPr="00F76E2D" w:rsidRDefault="00474929" w:rsidP="00ED1C5C">
      <w:pPr>
        <w:pStyle w:val="NormalWeb"/>
        <w:spacing w:before="0" w:beforeAutospacing="0" w:after="240" w:afterAutospacing="0" w:line="240" w:lineRule="auto"/>
        <w:ind w:right="709"/>
        <w:rPr>
          <w:rFonts w:ascii="Geomanist Light" w:eastAsia="Calibri" w:hAnsi="Geomanist Light" w:cs="Arial"/>
          <w:b/>
          <w:sz w:val="22"/>
        </w:rPr>
      </w:pPr>
      <w:r w:rsidRPr="00F76E2D">
        <w:rPr>
          <w:rFonts w:ascii="Geomanist Light" w:eastAsia="Calibri" w:hAnsi="Geomanist Light" w:cs="Arial"/>
          <w:b/>
          <w:sz w:val="22"/>
        </w:rPr>
        <w:t>2. Consideraciones</w:t>
      </w:r>
      <w:bookmarkStart w:id="3" w:name="_Hlk96420298"/>
    </w:p>
    <w:p w14:paraId="19B2F6F8" w14:textId="256FB004" w:rsidR="00ED76CF" w:rsidRPr="0010636B" w:rsidRDefault="00ED76CF" w:rsidP="00ED76CF">
      <w:pPr>
        <w:rPr>
          <w:rFonts w:ascii="Geomanist Light" w:eastAsia="Calibri" w:hAnsi="Geomanist Light" w:cs="Arial"/>
          <w:color w:val="000000" w:themeColor="text1"/>
          <w:sz w:val="22"/>
        </w:rPr>
      </w:pPr>
      <w:r w:rsidRPr="0010636B">
        <w:rPr>
          <w:rFonts w:ascii="Geomanist Light" w:eastAsia="Calibri" w:hAnsi="Geomanist Light" w:cs="Arial"/>
          <w:color w:val="000000" w:themeColor="text1"/>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consultas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01B95426" w14:textId="77777777" w:rsidR="00ED76CF" w:rsidRPr="0010636B" w:rsidRDefault="00ED76CF" w:rsidP="00ED76CF">
      <w:pPr>
        <w:spacing w:before="120" w:after="120"/>
        <w:ind w:firstLine="709"/>
        <w:rPr>
          <w:rFonts w:ascii="Geomanist Light" w:eastAsia="Calibri" w:hAnsi="Geomanist Light" w:cs="Arial"/>
          <w:color w:val="000000" w:themeColor="text1"/>
          <w:sz w:val="22"/>
        </w:rPr>
      </w:pPr>
      <w:r w:rsidRPr="0010636B">
        <w:rPr>
          <w:rFonts w:ascii="Geomanist Light" w:eastAsia="Calibri" w:hAnsi="Geomanist Light" w:cs="Arial"/>
          <w:color w:val="000000" w:themeColor="text1"/>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3DDDF74B" w14:textId="77777777" w:rsidR="00ED76CF" w:rsidRPr="0010636B" w:rsidRDefault="00ED76CF" w:rsidP="00ED76CF">
      <w:pPr>
        <w:spacing w:before="120" w:after="120"/>
        <w:ind w:firstLine="709"/>
        <w:rPr>
          <w:rFonts w:ascii="Geomanist Light" w:eastAsia="Calibri" w:hAnsi="Geomanist Light" w:cs="Arial"/>
          <w:color w:val="000000" w:themeColor="text1"/>
          <w:sz w:val="22"/>
        </w:rPr>
      </w:pPr>
      <w:r w:rsidRPr="0010636B">
        <w:rPr>
          <w:rFonts w:ascii="Geomanist Light" w:eastAsia="Calibri" w:hAnsi="Geomanist Light" w:cs="Arial"/>
          <w:color w:val="000000" w:themeColor="text1"/>
          <w:sz w:val="22"/>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555F57DF" w14:textId="3B0A534B" w:rsidR="00730923" w:rsidRPr="00F76E2D" w:rsidRDefault="00CE2431" w:rsidP="00406C77">
      <w:pPr>
        <w:spacing w:after="240"/>
        <w:rPr>
          <w:rFonts w:ascii="Geomanist Light" w:eastAsia="Calibri" w:hAnsi="Geomanist Light" w:cs="Arial"/>
          <w:color w:val="000000" w:themeColor="text1"/>
          <w:sz w:val="22"/>
        </w:rPr>
      </w:pPr>
      <w:r w:rsidRPr="00F76E2D">
        <w:rPr>
          <w:rFonts w:ascii="Geomanist Light" w:eastAsia="Calibri" w:hAnsi="Geomanist Light" w:cs="Arial"/>
          <w:color w:val="000000" w:themeColor="text1"/>
          <w:sz w:val="22"/>
        </w:rPr>
        <w:t xml:space="preserve">Por ello, la Subdirección, dentro de los límites de sus atribuciones, resolverá la consulta conforme a las normas generales en materia de contratación estatal. Con este objetivo </w:t>
      </w:r>
      <w:r w:rsidR="00474929" w:rsidRPr="00F76E2D">
        <w:rPr>
          <w:rFonts w:ascii="Geomanist Light" w:eastAsia="Calibri" w:hAnsi="Geomanist Light" w:cs="Arial"/>
          <w:color w:val="000000" w:themeColor="text1"/>
          <w:sz w:val="22"/>
        </w:rPr>
        <w:t xml:space="preserve">se analizarán los siguientes temas: i) </w:t>
      </w:r>
      <w:r w:rsidR="0096477C" w:rsidRPr="00F76E2D">
        <w:rPr>
          <w:rFonts w:ascii="Geomanist Light" w:eastAsia="Calibri" w:hAnsi="Geomanist Light" w:cs="Arial"/>
          <w:color w:val="000000" w:themeColor="text1"/>
          <w:sz w:val="22"/>
        </w:rPr>
        <w:t>noción de experiencia</w:t>
      </w:r>
      <w:r w:rsidR="00474929" w:rsidRPr="00F76E2D">
        <w:rPr>
          <w:rFonts w:ascii="Geomanist Light" w:eastAsia="Calibri" w:hAnsi="Geomanist Light" w:cs="Arial"/>
          <w:color w:val="000000" w:themeColor="text1"/>
          <w:sz w:val="22"/>
        </w:rPr>
        <w:t xml:space="preserve">; ii) </w:t>
      </w:r>
      <w:r w:rsidR="0096477C" w:rsidRPr="00F76E2D">
        <w:rPr>
          <w:rFonts w:ascii="Geomanist Light" w:eastAsia="Calibri" w:hAnsi="Geomanist Light" w:cs="Arial"/>
          <w:color w:val="000000" w:themeColor="text1"/>
          <w:sz w:val="22"/>
        </w:rPr>
        <w:t>experiencia de los consorcios y uniones temporales</w:t>
      </w:r>
      <w:r w:rsidR="00474929" w:rsidRPr="00F76E2D">
        <w:rPr>
          <w:rFonts w:ascii="Geomanist Light" w:eastAsia="Calibri" w:hAnsi="Geomanist Light" w:cs="Arial"/>
          <w:color w:val="000000" w:themeColor="text1"/>
          <w:sz w:val="22"/>
        </w:rPr>
        <w:t>;</w:t>
      </w:r>
      <w:r w:rsidR="00730923" w:rsidRPr="00F76E2D">
        <w:rPr>
          <w:rFonts w:ascii="Geomanist Light" w:eastAsia="Calibri" w:hAnsi="Geomanist Light" w:cs="Arial"/>
          <w:color w:val="000000" w:themeColor="text1"/>
          <w:sz w:val="22"/>
        </w:rPr>
        <w:t xml:space="preserve"> y</w:t>
      </w:r>
      <w:r w:rsidR="00474929" w:rsidRPr="00F76E2D">
        <w:rPr>
          <w:rFonts w:ascii="Geomanist Light" w:eastAsia="Calibri" w:hAnsi="Geomanist Light" w:cs="Arial"/>
          <w:color w:val="000000" w:themeColor="text1"/>
          <w:sz w:val="22"/>
        </w:rPr>
        <w:t xml:space="preserve"> iii) </w:t>
      </w:r>
      <w:r w:rsidR="00ED6F0E" w:rsidRPr="00F76E2D">
        <w:rPr>
          <w:rFonts w:ascii="Geomanist Light" w:eastAsia="Calibri" w:hAnsi="Geomanist Light" w:cs="Arial"/>
          <w:color w:val="000000" w:themeColor="text1"/>
          <w:sz w:val="22"/>
        </w:rPr>
        <w:t>experiencia adquirida por matrices y subordinadas de una sociedad comercial</w:t>
      </w:r>
      <w:r w:rsidR="00AB3BE9" w:rsidRPr="00F76E2D">
        <w:rPr>
          <w:rFonts w:ascii="Geomanist Light" w:eastAsia="Calibri" w:hAnsi="Geomanist Light" w:cs="Arial"/>
          <w:color w:val="000000" w:themeColor="text1"/>
          <w:sz w:val="22"/>
        </w:rPr>
        <w:t>.</w:t>
      </w:r>
    </w:p>
    <w:p w14:paraId="6CAFE02B" w14:textId="67AC11B4" w:rsidR="006F1C20" w:rsidRPr="00F76E2D" w:rsidRDefault="00170719" w:rsidP="00ED1C5C">
      <w:pPr>
        <w:spacing w:after="240"/>
        <w:ind w:firstLine="709"/>
        <w:rPr>
          <w:rFonts w:ascii="Geomanist Light" w:eastAsia="Calibri" w:hAnsi="Geomanist Light" w:cs="Arial"/>
          <w:color w:val="000000" w:themeColor="text1"/>
          <w:sz w:val="22"/>
        </w:rPr>
      </w:pPr>
      <w:r w:rsidRPr="00F76E2D">
        <w:rPr>
          <w:rFonts w:ascii="Geomanist Light" w:eastAsia="Calibri" w:hAnsi="Geomanist Light" w:cs="Arial"/>
          <w:color w:val="000000" w:themeColor="text1"/>
          <w:sz w:val="22"/>
        </w:rPr>
        <w:t xml:space="preserve">La Agencia Nacional de Contratación Pública ‒ Colombia Compra Eficiente, en los conceptos C-025 del 16 de marzo de 2020, C-051 del 2 de marzo de 2020, C-165 del 1 de abril </w:t>
      </w:r>
      <w:r w:rsidRPr="00F76E2D">
        <w:rPr>
          <w:rFonts w:ascii="Geomanist Light" w:eastAsia="Calibri" w:hAnsi="Geomanist Light" w:cs="Arial"/>
          <w:color w:val="000000" w:themeColor="text1"/>
          <w:sz w:val="22"/>
        </w:rPr>
        <w:lastRenderedPageBreak/>
        <w:t xml:space="preserve">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estudió </w:t>
      </w:r>
      <w:r w:rsidR="00FE2587" w:rsidRPr="00F76E2D">
        <w:rPr>
          <w:rFonts w:ascii="Geomanist Light" w:eastAsia="Calibri" w:hAnsi="Geomanist Light" w:cs="Arial"/>
          <w:color w:val="000000" w:themeColor="text1"/>
          <w:sz w:val="22"/>
        </w:rPr>
        <w:t>el tema de experiencia y su noción</w:t>
      </w:r>
      <w:r w:rsidRPr="00F76E2D">
        <w:rPr>
          <w:rFonts w:ascii="Geomanist Light" w:eastAsia="Calibri" w:hAnsi="Geomanist Light" w:cs="Arial"/>
          <w:color w:val="000000" w:themeColor="text1"/>
          <w:sz w:val="22"/>
        </w:rPr>
        <w:t>.</w:t>
      </w:r>
    </w:p>
    <w:p w14:paraId="5747076A" w14:textId="0897765A" w:rsidR="00FE2587" w:rsidRPr="00F76E2D" w:rsidRDefault="006F1C20" w:rsidP="009236A6">
      <w:pPr>
        <w:spacing w:after="240"/>
        <w:ind w:firstLine="709"/>
        <w:rPr>
          <w:rFonts w:ascii="Geomanist Light" w:eastAsia="Calibri" w:hAnsi="Geomanist Light" w:cs="Arial"/>
          <w:color w:val="000000" w:themeColor="text1"/>
          <w:sz w:val="22"/>
        </w:rPr>
      </w:pPr>
      <w:r w:rsidRPr="00F76E2D">
        <w:rPr>
          <w:rFonts w:ascii="Geomanist Light" w:eastAsia="Calibri" w:hAnsi="Geomanist Light" w:cs="Arial"/>
          <w:color w:val="000000" w:themeColor="text1"/>
          <w:sz w:val="22"/>
        </w:rPr>
        <w:t>Así mismo la Agencia en el concepto con radicado No. 4201913000006736 del 15 de noviembre de 2011, reiterado y desarrollado en los conceptos No. 4201912000006798 del 24 de octubre de 2019, C–002 del 12 de febrero de 2020, C–089 del 4 de marzo de 2020 y C-099 del 6 de abril de 2020 estudió la experiencia y los proponentes plurales.</w:t>
      </w:r>
      <w:r w:rsidR="00ED6F0E" w:rsidRPr="00F76E2D">
        <w:rPr>
          <w:rFonts w:ascii="Geomanist Light" w:eastAsia="Calibri" w:hAnsi="Geomanist Light" w:cs="Arial"/>
          <w:color w:val="000000" w:themeColor="text1"/>
          <w:sz w:val="22"/>
        </w:rPr>
        <w:t xml:space="preserve"> </w:t>
      </w:r>
      <w:r w:rsidR="001D3F4A" w:rsidRPr="00F76E2D">
        <w:rPr>
          <w:rFonts w:ascii="Geomanist Light" w:eastAsia="Calibri" w:hAnsi="Geomanist Light" w:cs="Arial"/>
          <w:color w:val="000000" w:themeColor="text1"/>
          <w:sz w:val="22"/>
        </w:rPr>
        <w:t xml:space="preserve">Del mismo modo, la Agencia en el concepto C-089 del 24 de marzo de 2020 analizó la experiencia adquirida por matrices y subordinadas de una sociedad comercial. </w:t>
      </w:r>
      <w:r w:rsidR="005D0BDE" w:rsidRPr="00F76E2D">
        <w:rPr>
          <w:rFonts w:ascii="Geomanist Light" w:eastAsia="Calibri" w:hAnsi="Geomanist Light" w:cs="Arial"/>
          <w:color w:val="000000" w:themeColor="text1"/>
          <w:sz w:val="22"/>
        </w:rPr>
        <w:t>Los argumentos y consideraciones expuestos en los conceptos mencionados se reiteran y se complementan en lo pertinente.</w:t>
      </w:r>
    </w:p>
    <w:p w14:paraId="35E12BE3" w14:textId="101A3210" w:rsidR="005E587A" w:rsidRPr="00F76E2D" w:rsidRDefault="005E587A" w:rsidP="00ED1C5C">
      <w:pPr>
        <w:spacing w:after="240"/>
        <w:rPr>
          <w:rFonts w:ascii="Geomanist Light" w:eastAsia="Calibri" w:hAnsi="Geomanist Light" w:cs="Arial"/>
          <w:b/>
          <w:sz w:val="22"/>
        </w:rPr>
      </w:pPr>
      <w:r w:rsidRPr="00F76E2D">
        <w:rPr>
          <w:rFonts w:ascii="Geomanist Light" w:eastAsia="Calibri" w:hAnsi="Geomanist Light" w:cs="Arial"/>
          <w:b/>
          <w:sz w:val="22"/>
        </w:rPr>
        <w:t>2.1. La noción de experiencia en la contratación pública</w:t>
      </w:r>
    </w:p>
    <w:p w14:paraId="0B755ADD" w14:textId="57FF568C" w:rsidR="005E587A" w:rsidRPr="00F76E2D" w:rsidRDefault="005E587A" w:rsidP="00ED1C5C">
      <w:pPr>
        <w:spacing w:after="240"/>
        <w:rPr>
          <w:rFonts w:ascii="Geomanist Light" w:eastAsia="Calibri" w:hAnsi="Geomanist Light" w:cs="Arial"/>
          <w:sz w:val="22"/>
        </w:rPr>
      </w:pPr>
      <w:bookmarkStart w:id="4" w:name="_Hlk91599456"/>
      <w:r w:rsidRPr="00F76E2D">
        <w:rPr>
          <w:rFonts w:ascii="Geomanist Light" w:eastAsia="Calibri" w:hAnsi="Geomanist Light" w:cs="Arial"/>
          <w:sz w:val="22"/>
        </w:rPr>
        <w:t xml:space="preserve">La Ley 1150 de 2007, en el artículo 5, </w:t>
      </w:r>
      <w:r w:rsidRPr="00F76E2D">
        <w:rPr>
          <w:rFonts w:ascii="Geomanist Light" w:hAnsi="Geomanist Light" w:cs="Arial"/>
          <w:sz w:val="22"/>
        </w:rPr>
        <w:t xml:space="preserve">dispone que </w:t>
      </w:r>
      <w:r w:rsidRPr="00F76E2D">
        <w:rPr>
          <w:rFonts w:ascii="Geomanist Light" w:eastAsia="Calibri" w:hAnsi="Geomanist Light" w:cs="Arial"/>
          <w:sz w:val="22"/>
        </w:rPr>
        <w:t xml:space="preserve">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37FC4A4A" w14:textId="1A5D6195" w:rsidR="005E587A" w:rsidRPr="00F76E2D" w:rsidRDefault="005E587A" w:rsidP="00ED1C5C">
      <w:pPr>
        <w:spacing w:after="240"/>
        <w:ind w:firstLine="709"/>
        <w:rPr>
          <w:rFonts w:ascii="Geomanist Light" w:eastAsia="Calibri" w:hAnsi="Geomanist Light" w:cs="Arial"/>
          <w:sz w:val="22"/>
        </w:rPr>
      </w:pPr>
      <w:r w:rsidRPr="00F76E2D">
        <w:rPr>
          <w:rFonts w:ascii="Geomanist Light" w:eastAsia="Calibri" w:hAnsi="Geomanist Light" w:cs="Arial"/>
          <w:sz w:val="22"/>
        </w:rPr>
        <w:t xml:space="preserve">Para ello, </w:t>
      </w:r>
      <w:r w:rsidRPr="00F76E2D">
        <w:rPr>
          <w:rFonts w:ascii="Geomanist Light" w:hAnsi="Geomanist Light" w:cs="Arial"/>
          <w:sz w:val="22"/>
        </w:rPr>
        <w:t>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w:t>
      </w:r>
      <w:r w:rsidRPr="00F76E2D">
        <w:rPr>
          <w:rFonts w:ascii="Geomanist Light" w:eastAsia="Calibri" w:hAnsi="Geomanist Light" w:cs="Arial"/>
          <w:sz w:val="22"/>
        </w:rPr>
        <w:t xml:space="preserve"> </w:t>
      </w:r>
      <w:bookmarkEnd w:id="4"/>
      <w:r w:rsidRPr="00F76E2D">
        <w:rPr>
          <w:rFonts w:ascii="Geomanist Light" w:eastAsia="Calibri" w:hAnsi="Geomanist Light" w:cs="Arial"/>
          <w:sz w:val="22"/>
        </w:rPr>
        <w:t>En este registro constan los requisitos habilitantes que se evalúan exclusivamente con este documento, que es plena prueba, sin que la entidad o el proponente puedan, en principio, solicitar o aportar otra documentación</w:t>
      </w:r>
      <w:r w:rsidRPr="00F76E2D">
        <w:rPr>
          <w:rStyle w:val="Refdenotaalpie"/>
          <w:rFonts w:ascii="Geomanist Light" w:eastAsia="Calibri" w:hAnsi="Geomanist Light" w:cs="Arial"/>
        </w:rPr>
        <w:footnoteReference w:id="1"/>
      </w:r>
      <w:r w:rsidRPr="00F76E2D">
        <w:rPr>
          <w:rFonts w:ascii="Geomanist Light" w:eastAsia="Calibri" w:hAnsi="Geomanist Light" w:cs="Arial"/>
          <w:sz w:val="22"/>
        </w:rPr>
        <w:t>.</w:t>
      </w:r>
    </w:p>
    <w:p w14:paraId="64BADD23" w14:textId="77777777" w:rsidR="005E587A" w:rsidRPr="00F76E2D" w:rsidRDefault="005E587A" w:rsidP="00ED1C5C">
      <w:pPr>
        <w:spacing w:after="240"/>
        <w:ind w:firstLine="709"/>
        <w:rPr>
          <w:rFonts w:ascii="Geomanist Light" w:eastAsia="Calibri" w:hAnsi="Geomanist Light" w:cs="Arial"/>
          <w:sz w:val="22"/>
        </w:rPr>
      </w:pPr>
      <w:r w:rsidRPr="00F76E2D">
        <w:rPr>
          <w:rFonts w:ascii="Geomanist Light" w:eastAsia="Calibri" w:hAnsi="Geomanist Light" w:cs="Arial"/>
          <w:sz w:val="22"/>
        </w:rPr>
        <w:lastRenderedPageBreak/>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r w:rsidRPr="00F76E2D">
        <w:rPr>
          <w:rStyle w:val="Refdenotaalpie"/>
          <w:rFonts w:ascii="Geomanist Light" w:eastAsia="Calibri" w:hAnsi="Geomanist Light" w:cs="Arial"/>
        </w:rPr>
        <w:footnoteReference w:id="2"/>
      </w:r>
      <w:r w:rsidRPr="00F76E2D">
        <w:rPr>
          <w:rFonts w:ascii="Geomanist Light" w:eastAsia="Calibri" w:hAnsi="Geomanist Light" w:cs="Arial"/>
          <w:sz w:val="22"/>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6FC262E6" w14:textId="505AB6D9" w:rsidR="005E587A" w:rsidRPr="00F76E2D" w:rsidRDefault="005E587A" w:rsidP="00ED1C5C">
      <w:pPr>
        <w:spacing w:after="240"/>
        <w:ind w:firstLine="709"/>
        <w:rPr>
          <w:rFonts w:ascii="Geomanist Light" w:eastAsia="Calibri" w:hAnsi="Geomanist Light" w:cs="Arial"/>
          <w:sz w:val="22"/>
        </w:rPr>
      </w:pPr>
      <w:r w:rsidRPr="00F76E2D">
        <w:rPr>
          <w:rFonts w:ascii="Geomanist Light" w:eastAsia="Calibri" w:hAnsi="Geomanist Light" w:cs="Arial"/>
          <w:sz w:val="22"/>
        </w:rPr>
        <w:t xml:space="preserve">Así mismo, de manera correlativa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0F5913EF" w14:textId="77777777" w:rsidR="005E587A" w:rsidRPr="00F76E2D" w:rsidRDefault="005E587A" w:rsidP="00ED1C5C">
      <w:pPr>
        <w:spacing w:after="240"/>
        <w:ind w:firstLine="709"/>
        <w:rPr>
          <w:rFonts w:ascii="Geomanist Light" w:eastAsia="Calibri" w:hAnsi="Geomanist Light" w:cs="Arial"/>
          <w:sz w:val="22"/>
        </w:rPr>
      </w:pPr>
      <w:r w:rsidRPr="00F76E2D">
        <w:rPr>
          <w:rFonts w:ascii="Geomanist Light" w:eastAsia="Calibri" w:hAnsi="Geomanist Light" w:cs="Arial"/>
          <w:sz w:val="22"/>
        </w:rPr>
        <w:t xml:space="preserve">En consecuencia, la norma establece que a las entidades les está prohibido exigir otros documentos para efectuar la inscripción en el registro, salvo lo dispuesto en el inciso 3 del numeral 6.1. 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2C97B706" w14:textId="79A81551" w:rsidR="005E587A" w:rsidRPr="00F76E2D" w:rsidRDefault="005E587A" w:rsidP="00ED1C5C">
      <w:pPr>
        <w:spacing w:after="240"/>
        <w:ind w:firstLine="709"/>
        <w:rPr>
          <w:rFonts w:ascii="Geomanist Light" w:eastAsia="Calibri" w:hAnsi="Geomanist Light" w:cs="Arial"/>
          <w:sz w:val="22"/>
        </w:rPr>
      </w:pPr>
      <w:r w:rsidRPr="00F76E2D">
        <w:rPr>
          <w:rFonts w:ascii="Geomanist Light" w:eastAsia="Calibri" w:hAnsi="Geomanist Light" w:cs="Arial"/>
          <w:sz w:val="22"/>
        </w:rPr>
        <w:t xml:space="preserve">De lo anterior se concluye que la regla general es que la experiencia se acredite a través del RUP y, en consecuencia, la evaluación de la experiencia, como requisito habilitante, </w:t>
      </w:r>
      <w:r w:rsidRPr="00F76E2D">
        <w:rPr>
          <w:rFonts w:ascii="Geomanist Light" w:eastAsia="Calibri" w:hAnsi="Geomanist Light" w:cs="Arial"/>
          <w:sz w:val="22"/>
        </w:rPr>
        <w:lastRenderedPageBreak/>
        <w:t>no puede ser realizada nuevamente por la entidad pública a partir de otros criterios distintos a los contenidos en el Registro Único de Proponentes.</w:t>
      </w:r>
    </w:p>
    <w:p w14:paraId="53553A45" w14:textId="6F8B0D6B" w:rsidR="005E587A" w:rsidRPr="00F76E2D" w:rsidRDefault="005E587A" w:rsidP="00ED1C5C">
      <w:pPr>
        <w:spacing w:after="240"/>
        <w:rPr>
          <w:rFonts w:ascii="Geomanist Light" w:eastAsia="Calibri" w:hAnsi="Geomanist Light" w:cs="Arial"/>
          <w:b/>
          <w:bCs/>
          <w:sz w:val="22"/>
        </w:rPr>
      </w:pPr>
      <w:r w:rsidRPr="00F76E2D">
        <w:rPr>
          <w:rFonts w:ascii="Geomanist Light" w:eastAsia="Calibri" w:hAnsi="Geomanist Light" w:cs="Arial"/>
          <w:b/>
          <w:bCs/>
          <w:sz w:val="22"/>
        </w:rPr>
        <w:t xml:space="preserve">2.2. </w:t>
      </w:r>
      <w:r w:rsidR="00B05B7C" w:rsidRPr="00F76E2D">
        <w:rPr>
          <w:rFonts w:ascii="Geomanist Light" w:eastAsia="Calibri" w:hAnsi="Geomanist Light" w:cs="Arial"/>
          <w:b/>
          <w:bCs/>
          <w:sz w:val="22"/>
        </w:rPr>
        <w:t>Consideraciones de la Agencia respecto de la experiencia</w:t>
      </w:r>
    </w:p>
    <w:p w14:paraId="07A941C9" w14:textId="77777777" w:rsidR="005E587A" w:rsidRPr="00F76E2D" w:rsidRDefault="005E587A" w:rsidP="00ED1C5C">
      <w:pPr>
        <w:spacing w:after="240"/>
        <w:rPr>
          <w:rFonts w:ascii="Geomanist Light" w:eastAsia="Calibri" w:hAnsi="Geomanist Light" w:cs="Arial"/>
          <w:sz w:val="22"/>
        </w:rPr>
      </w:pPr>
      <w:r w:rsidRPr="00F76E2D">
        <w:rPr>
          <w:rFonts w:ascii="Geomanist Light" w:hAnsi="Geomanist Light" w:cs="Arial"/>
          <w:sz w:val="22"/>
        </w:rPr>
        <w:t>En relación con el requisito habilitante de experiencia, l</w:t>
      </w:r>
      <w:r w:rsidRPr="00F76E2D">
        <w:rPr>
          <w:rFonts w:ascii="Geomanist Light" w:eastAsia="Calibri" w:hAnsi="Geomanist Light" w:cs="Arial"/>
          <w:sz w:val="22"/>
        </w:rPr>
        <w:t>a Agencia Nacional de Contratación Pública – Colombia Compra Eficiente puso a disposición de los interesados del Sistema de Compra Pública el «Manual para determinar y verificar requisitos habilitantes en los Procesos de Contratación». 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r w:rsidRPr="00F76E2D">
        <w:rPr>
          <w:rStyle w:val="Refdenotaalpie"/>
          <w:rFonts w:ascii="Geomanist Light" w:eastAsia="Calibri" w:hAnsi="Geomanist Light" w:cs="Arial"/>
        </w:rPr>
        <w:footnoteReference w:id="3"/>
      </w:r>
      <w:r w:rsidRPr="00F76E2D">
        <w:rPr>
          <w:rFonts w:ascii="Geomanist Light" w:eastAsia="Calibri" w:hAnsi="Geomanist Light" w:cs="Arial"/>
          <w:sz w:val="22"/>
        </w:rPr>
        <w:t>.</w:t>
      </w:r>
    </w:p>
    <w:p w14:paraId="41C3284B" w14:textId="022BD2C8" w:rsidR="00B05B7C" w:rsidRPr="0010636B" w:rsidRDefault="005E587A" w:rsidP="0010636B">
      <w:pPr>
        <w:spacing w:after="240"/>
        <w:ind w:firstLine="709"/>
        <w:rPr>
          <w:rFonts w:ascii="Geomanist Light" w:eastAsia="Calibri" w:hAnsi="Geomanist Light" w:cs="Arial"/>
          <w:sz w:val="22"/>
        </w:rPr>
      </w:pPr>
      <w:r w:rsidRPr="00F76E2D">
        <w:rPr>
          <w:rFonts w:ascii="Geomanist Light" w:eastAsia="Calibri" w:hAnsi="Geomanist Light" w:cs="Arial"/>
          <w:sz w:val="22"/>
        </w:rPr>
        <w:t>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w:t>
      </w:r>
      <w:r w:rsidR="003E5433" w:rsidRPr="00F76E2D">
        <w:rPr>
          <w:rFonts w:ascii="Geomanist Light" w:eastAsia="Calibri" w:hAnsi="Geomanist Light" w:cs="Arial"/>
          <w:sz w:val="22"/>
        </w:rPr>
        <w:t xml:space="preserve">. </w:t>
      </w:r>
      <w:r w:rsidRPr="00F76E2D">
        <w:rPr>
          <w:rFonts w:ascii="Geomanist Light" w:eastAsia="Calibri" w:hAnsi="Geomanist Light" w:cs="Arial"/>
          <w:sz w:val="22"/>
        </w:rPr>
        <w:t>Por otra parte, la Agencia recomienda que la experiencia que se solicite sea proporcional y no igual al objeto que se va a contratar, ya que esto puede limitar la participación de los proveedores por no haber ejecutado un objeto igual pero sí similar, de manera que se ayude a que exista pluralidad de oferentes.</w:t>
      </w:r>
      <w:r w:rsidR="00C92742" w:rsidRPr="00F76E2D">
        <w:rPr>
          <w:rFonts w:ascii="Geomanist Light" w:eastAsia="Calibri" w:hAnsi="Geomanist Light" w:cs="Arial"/>
          <w:sz w:val="22"/>
        </w:rPr>
        <w:t xml:space="preserve"> </w:t>
      </w:r>
      <w:r w:rsidR="00B05B7C" w:rsidRPr="0010636B">
        <w:rPr>
          <w:rFonts w:ascii="Geomanist Light" w:eastAsia="Calibri" w:hAnsi="Geomanist Light" w:cs="Arial"/>
          <w:sz w:val="22"/>
        </w:rPr>
        <w:t xml:space="preserve">Finalmente, pueden extraerse cuatro (4) conclusiones relevantes para evaluar las figuras y reformas estatutarias de las sociedades comerciales, respecto de la experiencia: </w:t>
      </w:r>
    </w:p>
    <w:p w14:paraId="76EDA620" w14:textId="77777777" w:rsidR="00B05B7C" w:rsidRPr="0010636B" w:rsidRDefault="00B05B7C" w:rsidP="00B05B7C">
      <w:pPr>
        <w:spacing w:before="120" w:after="120"/>
        <w:ind w:firstLine="708"/>
        <w:rPr>
          <w:rFonts w:ascii="Geomanist Light" w:eastAsia="Calibri" w:hAnsi="Geomanist Light" w:cs="Arial"/>
          <w:sz w:val="22"/>
        </w:rPr>
      </w:pPr>
      <w:r w:rsidRPr="0010636B">
        <w:rPr>
          <w:rFonts w:ascii="Geomanist Light" w:eastAsia="Calibri" w:hAnsi="Geomanist Light" w:cs="Arial"/>
          <w:sz w:val="22"/>
        </w:rPr>
        <w:lastRenderedPageBreak/>
        <w:t>i) La experiencia es personal, esto es, se adquiere participando, directa o indirectamente, sin que sea posible no hacerlo y tener experiencia.</w:t>
      </w:r>
    </w:p>
    <w:p w14:paraId="160B1483" w14:textId="77777777" w:rsidR="00B05B7C" w:rsidRPr="0010636B" w:rsidRDefault="00B05B7C" w:rsidP="00B05B7C">
      <w:pPr>
        <w:spacing w:before="120" w:after="120"/>
        <w:ind w:firstLine="708"/>
        <w:rPr>
          <w:rFonts w:ascii="Geomanist Light" w:eastAsia="Calibri" w:hAnsi="Geomanist Light" w:cs="Arial"/>
          <w:sz w:val="22"/>
        </w:rPr>
      </w:pPr>
      <w:r w:rsidRPr="0010636B">
        <w:rPr>
          <w:rFonts w:ascii="Geomanist Light" w:eastAsia="Calibri" w:hAnsi="Geomanist Light" w:cs="Arial"/>
          <w:sz w:val="22"/>
        </w:rPr>
        <w:t>ii)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10636B">
        <w:rPr>
          <w:rFonts w:ascii="Geomanist Light" w:eastAsia="Calibri" w:hAnsi="Geomanist Light" w:cs="Arial"/>
          <w:sz w:val="22"/>
        </w:rPr>
        <w:footnoteReference w:id="4"/>
      </w:r>
      <w:r w:rsidRPr="0010636B">
        <w:rPr>
          <w:rFonts w:ascii="Geomanist Light" w:eastAsia="Calibri" w:hAnsi="Geomanist Light" w:cs="Arial"/>
          <w:sz w:val="22"/>
        </w:rPr>
        <w:t>.</w:t>
      </w:r>
    </w:p>
    <w:p w14:paraId="421E94DF" w14:textId="77777777" w:rsidR="00B05B7C" w:rsidRPr="0010636B" w:rsidRDefault="00B05B7C" w:rsidP="00B05B7C">
      <w:pPr>
        <w:spacing w:before="120" w:after="120"/>
        <w:ind w:firstLine="708"/>
        <w:rPr>
          <w:rFonts w:ascii="Geomanist Light" w:eastAsia="Calibri" w:hAnsi="Geomanist Light" w:cs="Arial"/>
          <w:sz w:val="22"/>
        </w:rPr>
      </w:pPr>
      <w:r w:rsidRPr="0010636B">
        <w:rPr>
          <w:rFonts w:ascii="Geomanist Light" w:eastAsia="Calibri" w:hAnsi="Geomanist Light" w:cs="Arial"/>
          <w:sz w:val="22"/>
        </w:rPr>
        <w:t>iii) La experiencia se puede transferir, y esto es diferente a compartir, lo que implica que la experiencia de una persona se traslada a otra, y esta última acredita la experiencia como propia, como sucede con la figura que se explicará con más detalle en el numeral 2.3 de este concepto.</w:t>
      </w:r>
    </w:p>
    <w:p w14:paraId="2A41FA17" w14:textId="4EF69215" w:rsidR="00B05B7C" w:rsidRPr="0010636B" w:rsidRDefault="00B05B7C" w:rsidP="00B05B7C">
      <w:pPr>
        <w:ind w:firstLine="708"/>
        <w:rPr>
          <w:rFonts w:ascii="Geomanist Light" w:eastAsia="Calibri" w:hAnsi="Geomanist Light" w:cs="Arial"/>
          <w:sz w:val="22"/>
        </w:rPr>
      </w:pPr>
      <w:r w:rsidRPr="0010636B">
        <w:rPr>
          <w:rFonts w:ascii="Geomanist Light" w:eastAsia="Calibri" w:hAnsi="Geomanist Light" w:cs="Arial"/>
          <w:sz w:val="22"/>
        </w:rPr>
        <w:t>iv) Cuando la persona que adquirió la experiencia desaparece o se liquida no es posible que comparta o transfiera su experiencia, porque al ser personal sigue la suerte de quien la adquirió.</w:t>
      </w:r>
    </w:p>
    <w:bookmarkEnd w:id="3"/>
    <w:p w14:paraId="040F36AD" w14:textId="0829FB34" w:rsidR="00F66826" w:rsidRPr="00F76E2D" w:rsidRDefault="00474929" w:rsidP="00F66826">
      <w:pPr>
        <w:spacing w:after="240"/>
        <w:rPr>
          <w:rFonts w:ascii="Geomanist Light" w:eastAsia="Calibri" w:hAnsi="Geomanist Light" w:cs="Arial"/>
          <w:b/>
          <w:bCs/>
          <w:color w:val="000000"/>
          <w:sz w:val="22"/>
          <w:szCs w:val="24"/>
          <w:lang w:val="pt-BR" w:eastAsia="en-GB"/>
        </w:rPr>
      </w:pPr>
      <w:r w:rsidRPr="00F76E2D">
        <w:rPr>
          <w:rFonts w:ascii="Geomanist Light" w:eastAsia="Calibri" w:hAnsi="Geomanist Light" w:cs="Arial"/>
          <w:b/>
          <w:bCs/>
          <w:color w:val="000000"/>
          <w:sz w:val="22"/>
          <w:szCs w:val="24"/>
          <w:lang w:val="es-ES_tradnl" w:eastAsia="es-ES_tradnl"/>
        </w:rPr>
        <w:t>2.</w:t>
      </w:r>
      <w:r w:rsidR="00C92742" w:rsidRPr="00F76E2D">
        <w:rPr>
          <w:rFonts w:ascii="Geomanist Light" w:eastAsia="Calibri" w:hAnsi="Geomanist Light" w:cs="Arial"/>
          <w:b/>
          <w:bCs/>
          <w:color w:val="000000"/>
          <w:sz w:val="22"/>
          <w:szCs w:val="24"/>
          <w:lang w:val="es-ES_tradnl" w:eastAsia="es-ES_tradnl"/>
        </w:rPr>
        <w:t>3</w:t>
      </w:r>
      <w:r w:rsidRPr="00F76E2D">
        <w:rPr>
          <w:rFonts w:ascii="Geomanist Light" w:eastAsia="Calibri" w:hAnsi="Geomanist Light" w:cs="Arial"/>
          <w:b/>
          <w:bCs/>
          <w:color w:val="000000"/>
          <w:sz w:val="22"/>
          <w:szCs w:val="24"/>
          <w:lang w:val="es-ES_tradnl" w:eastAsia="es-ES_tradnl"/>
        </w:rPr>
        <w:t>.</w:t>
      </w:r>
      <w:r w:rsidRPr="00F76E2D">
        <w:rPr>
          <w:rFonts w:ascii="Geomanist Light" w:eastAsia="Calibri" w:hAnsi="Geomanist Light" w:cs="Arial"/>
          <w:b/>
          <w:bCs/>
          <w:color w:val="000000"/>
          <w:sz w:val="22"/>
          <w:szCs w:val="24"/>
          <w:lang w:val="pt-BR" w:eastAsia="en-GB"/>
        </w:rPr>
        <w:t xml:space="preserve"> </w:t>
      </w:r>
      <w:r w:rsidR="00F66826" w:rsidRPr="00F76E2D">
        <w:rPr>
          <w:rFonts w:ascii="Geomanist Light" w:eastAsia="Calibri" w:hAnsi="Geomanist Light" w:cs="Arial"/>
          <w:b/>
          <w:sz w:val="22"/>
          <w:lang w:eastAsia="es-ES_tradnl"/>
        </w:rPr>
        <w:t>Figuras y reformas estatutarias, y efectos sobre la experiencia de las sociedades comerciales</w:t>
      </w:r>
    </w:p>
    <w:p w14:paraId="56B15028" w14:textId="77777777" w:rsidR="00F66826" w:rsidRPr="00F76E2D" w:rsidRDefault="00F66826" w:rsidP="00F66826">
      <w:pPr>
        <w:rPr>
          <w:rFonts w:ascii="Geomanist Light" w:eastAsia="Calibri" w:hAnsi="Geomanist Light" w:cs="Arial"/>
          <w:bCs/>
          <w:sz w:val="22"/>
          <w:lang w:eastAsia="es-ES_tradnl"/>
        </w:rPr>
      </w:pPr>
      <w:r w:rsidRPr="00F76E2D">
        <w:rPr>
          <w:rFonts w:ascii="Geomanist Light" w:eastAsia="Calibri" w:hAnsi="Geomanist Light" w:cs="Arial"/>
          <w:bCs/>
          <w:sz w:val="22"/>
          <w:lang w:eastAsia="es-ES_tradnl"/>
        </w:rPr>
        <w:t xml:space="preserve">Por otra parte, y por resultar relevante para efecto de la consulta realizada, vale la pena analizar las figuras y reformas estatutarias, no obstante, previo a dicho análisis es necesario aclarar dos conceptos respecto de las sociedades comerciales: i) «disolución» y ii) «liquidación», ya que se aplican a las figuras y reformas estatutarias, y tienen incidencia en la posibilidad de transferir o no la experiencia de una sociedad. </w:t>
      </w:r>
    </w:p>
    <w:p w14:paraId="6B5CE90B" w14:textId="77777777" w:rsidR="00F66826" w:rsidRPr="00F76E2D" w:rsidRDefault="00F66826" w:rsidP="00F66826">
      <w:pPr>
        <w:ind w:firstLine="708"/>
        <w:rPr>
          <w:rFonts w:ascii="Geomanist Light" w:eastAsia="Calibri" w:hAnsi="Geomanist Light" w:cs="Arial"/>
          <w:bCs/>
          <w:sz w:val="22"/>
          <w:lang w:eastAsia="es-ES_tradnl"/>
        </w:rPr>
      </w:pPr>
      <w:r w:rsidRPr="00F76E2D">
        <w:rPr>
          <w:rFonts w:ascii="Geomanist Light" w:eastAsia="Calibri" w:hAnsi="Geomanist Light" w:cs="Arial"/>
          <w:bCs/>
          <w:sz w:val="22"/>
          <w:lang w:eastAsia="es-ES_tradnl"/>
        </w:rPr>
        <w:t>En primer lugar, el Código de Comercio señala, como efecto de la «disolución», que la persona jurídica no desaparece, sino que conserva su capacidad jurídica, únicamente para «liquidarse» y para las operaciones o actos autorizados por la ley</w:t>
      </w:r>
      <w:r w:rsidRPr="00F76E2D">
        <w:rPr>
          <w:rFonts w:ascii="Geomanist Light" w:eastAsia="Calibri" w:hAnsi="Geomanist Light" w:cs="Arial"/>
          <w:bCs/>
          <w:sz w:val="22"/>
          <w:vertAlign w:val="superscript"/>
          <w:lang w:eastAsia="es-ES_tradnl"/>
        </w:rPr>
        <w:footnoteReference w:id="5"/>
      </w:r>
      <w:r w:rsidRPr="00F76E2D">
        <w:rPr>
          <w:rFonts w:ascii="Geomanist Light" w:eastAsia="Calibri" w:hAnsi="Geomanist Light" w:cs="Arial"/>
          <w:bCs/>
          <w:sz w:val="22"/>
          <w:lang w:eastAsia="es-ES_tradnl"/>
        </w:rPr>
        <w:t xml:space="preserve">, como las figuras y reformas estatutarias que se verán a continuación. Con esto se anticipa, si la persona jurídica no desaparece, su experiencia se conserva y puede transferirse. Por el contrario, respecto de la «liquidación» de las sociedades comerciales, el Código de Comercio señala el procedimiento </w:t>
      </w:r>
      <w:r w:rsidRPr="00F76E2D">
        <w:rPr>
          <w:rFonts w:ascii="Geomanist Light" w:eastAsia="Calibri" w:hAnsi="Geomanist Light" w:cs="Arial"/>
          <w:bCs/>
          <w:sz w:val="22"/>
          <w:lang w:eastAsia="es-ES_tradnl"/>
        </w:rPr>
        <w:lastRenderedPageBreak/>
        <w:t>para realizar el inventario y distribución del patrimonio social, de lo cual se infiere que termina la persona jurídica</w:t>
      </w:r>
      <w:r w:rsidRPr="00F76E2D">
        <w:rPr>
          <w:rFonts w:ascii="Geomanist Light" w:eastAsia="Calibri" w:hAnsi="Geomanist Light" w:cs="Arial"/>
          <w:bCs/>
          <w:sz w:val="22"/>
          <w:vertAlign w:val="superscript"/>
          <w:lang w:eastAsia="es-ES_tradnl"/>
        </w:rPr>
        <w:footnoteReference w:id="6"/>
      </w:r>
      <w:r w:rsidRPr="00F76E2D">
        <w:rPr>
          <w:rFonts w:ascii="Geomanist Light" w:eastAsia="Calibri" w:hAnsi="Geomanist Light" w:cs="Arial"/>
          <w:bCs/>
          <w:sz w:val="22"/>
          <w:lang w:eastAsia="es-ES_tradnl"/>
        </w:rPr>
        <w:t xml:space="preserve"> y la experiencia desaparece junto con la sociedad que la adquirió.</w:t>
      </w:r>
    </w:p>
    <w:p w14:paraId="66653505" w14:textId="77777777" w:rsidR="00F66826" w:rsidRPr="00F76E2D" w:rsidRDefault="00F66826" w:rsidP="00F66826">
      <w:pPr>
        <w:rPr>
          <w:rFonts w:ascii="Geomanist Light" w:eastAsia="Calibri" w:hAnsi="Geomanist Light" w:cs="Arial"/>
          <w:b/>
          <w:bCs/>
          <w:sz w:val="22"/>
          <w:lang w:eastAsia="es-ES_tradnl"/>
        </w:rPr>
      </w:pPr>
      <w:r w:rsidRPr="00F76E2D">
        <w:rPr>
          <w:rFonts w:ascii="Geomanist Light" w:eastAsia="Calibri" w:hAnsi="Geomanist Light" w:cs="Arial"/>
          <w:b/>
          <w:bCs/>
          <w:sz w:val="22"/>
          <w:lang w:eastAsia="es-ES_tradnl"/>
        </w:rPr>
        <w:t>a) Transformación</w:t>
      </w:r>
    </w:p>
    <w:p w14:paraId="53AFDB8E" w14:textId="77777777" w:rsidR="00F66826" w:rsidRPr="00F76E2D" w:rsidRDefault="00F66826" w:rsidP="00F66826">
      <w:pPr>
        <w:rPr>
          <w:rFonts w:ascii="Geomanist Light" w:eastAsia="Calibri" w:hAnsi="Geomanist Light" w:cs="Arial"/>
          <w:sz w:val="22"/>
          <w:lang w:eastAsia="es-ES_tradnl"/>
        </w:rPr>
      </w:pPr>
      <w:r w:rsidRPr="00F76E2D">
        <w:rPr>
          <w:rFonts w:ascii="Geomanist Light" w:eastAsia="Calibri" w:hAnsi="Geomanist Light" w:cs="Arial"/>
          <w:sz w:val="22"/>
          <w:lang w:eastAsia="es-ES_tradnl"/>
        </w:rPr>
        <w:t>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w:t>
      </w:r>
      <w:r w:rsidRPr="00F76E2D">
        <w:rPr>
          <w:rFonts w:ascii="Geomanist Light" w:eastAsia="Calibri" w:hAnsi="Geomanist Light" w:cs="Arial"/>
          <w:sz w:val="22"/>
          <w:vertAlign w:val="superscript"/>
          <w:lang w:eastAsia="es-ES_tradnl"/>
        </w:rPr>
        <w:footnoteReference w:id="7"/>
      </w:r>
      <w:r w:rsidRPr="00F76E2D">
        <w:rPr>
          <w:rFonts w:ascii="Geomanist Light" w:eastAsia="Calibri" w:hAnsi="Geomanist Light" w:cs="Arial"/>
          <w:sz w:val="22"/>
          <w:lang w:eastAsia="es-ES_tradnl"/>
        </w:rPr>
        <w:t>. Es importante destacar que en esta reforma estatutaria solo participa la sociedad involucrada, y no existen otras sociedades que se relacionen o intervengan, lo cual diferencia la transformación de otras reformas o figuras.</w:t>
      </w:r>
    </w:p>
    <w:p w14:paraId="1C86AF27" w14:textId="77777777" w:rsidR="00F66826" w:rsidRPr="00F76E2D" w:rsidRDefault="00F66826" w:rsidP="00F66826">
      <w:pPr>
        <w:ind w:firstLine="708"/>
        <w:rPr>
          <w:rFonts w:ascii="Geomanist Light" w:eastAsia="Calibri" w:hAnsi="Geomanist Light" w:cs="Arial"/>
          <w:sz w:val="22"/>
          <w:lang w:eastAsia="es-ES_tradnl"/>
        </w:rPr>
      </w:pPr>
      <w:r w:rsidRPr="00F76E2D">
        <w:rPr>
          <w:rFonts w:ascii="Geomanist Light" w:eastAsia="Calibri" w:hAnsi="Geomanist Light" w:cs="Arial"/>
          <w:sz w:val="22"/>
          <w:lang w:eastAsia="es-ES_tradnl"/>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14:paraId="75FA3977" w14:textId="77777777" w:rsidR="00F66826" w:rsidRPr="00F76E2D" w:rsidRDefault="00F66826" w:rsidP="00F66826">
      <w:pPr>
        <w:rPr>
          <w:rFonts w:ascii="Geomanist Light" w:eastAsia="Calibri" w:hAnsi="Geomanist Light" w:cs="Arial"/>
          <w:b/>
          <w:bCs/>
          <w:sz w:val="22"/>
          <w:lang w:eastAsia="es-ES_tradnl"/>
        </w:rPr>
      </w:pPr>
      <w:r w:rsidRPr="00F76E2D">
        <w:rPr>
          <w:rFonts w:ascii="Geomanist Light" w:eastAsia="Calibri" w:hAnsi="Geomanist Light" w:cs="Arial"/>
          <w:b/>
          <w:bCs/>
          <w:sz w:val="22"/>
          <w:lang w:eastAsia="es-ES_tradnl"/>
        </w:rPr>
        <w:t>b) Escisión</w:t>
      </w:r>
    </w:p>
    <w:p w14:paraId="1B7B8351" w14:textId="77777777" w:rsidR="00F66826" w:rsidRPr="00F76E2D" w:rsidRDefault="00F66826" w:rsidP="00F66826">
      <w:pPr>
        <w:rPr>
          <w:rFonts w:ascii="Geomanist Light" w:eastAsia="Calibri" w:hAnsi="Geomanist Light" w:cs="Arial"/>
          <w:sz w:val="22"/>
          <w:lang w:eastAsia="es-ES_tradnl"/>
        </w:rPr>
      </w:pPr>
      <w:r w:rsidRPr="00F76E2D">
        <w:rPr>
          <w:rFonts w:ascii="Geomanist Light" w:eastAsia="Calibri" w:hAnsi="Geomanist Light" w:cs="Arial"/>
          <w:sz w:val="22"/>
          <w:lang w:eastAsia="es-ES_tradnl"/>
        </w:rPr>
        <w:lastRenderedPageBreak/>
        <w:t xml:space="preserve">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«disolverse» o «liquidarse», de acuerdo con lo mencionado sobre estos conceptos. En ese sentido, Colombia Compra Eficiente 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14:paraId="6C698248" w14:textId="77777777" w:rsidR="00F66826" w:rsidRPr="00F76E2D" w:rsidRDefault="00F66826" w:rsidP="00F66826">
      <w:pPr>
        <w:ind w:firstLine="708"/>
        <w:rPr>
          <w:rFonts w:ascii="Geomanist Light" w:eastAsia="Calibri" w:hAnsi="Geomanist Light" w:cs="Arial"/>
          <w:sz w:val="22"/>
          <w:lang w:eastAsia="es-ES_tradnl"/>
        </w:rPr>
      </w:pPr>
      <w:r w:rsidRPr="00F76E2D">
        <w:rPr>
          <w:rFonts w:ascii="Geomanist Light" w:eastAsia="Calibri" w:hAnsi="Geomanist Light" w:cs="Arial"/>
          <w:sz w:val="22"/>
          <w:lang w:eastAsia="es-ES_tradnl"/>
        </w:rPr>
        <w:t>La segunda modalidad se trata de una sociedad que se «disuelve» sin «liquidarse», esto es, que implica una reforma social, lo cual no ocurre con la primera modalidad, y también existe fraccionamiento del patrimonio con el mismo fin</w:t>
      </w:r>
      <w:r w:rsidRPr="00F76E2D">
        <w:rPr>
          <w:rFonts w:ascii="Geomanist Light" w:eastAsia="Calibri" w:hAnsi="Geomanist Light" w:cs="Arial"/>
          <w:sz w:val="22"/>
          <w:vertAlign w:val="superscript"/>
          <w:lang w:eastAsia="es-ES_tradnl"/>
        </w:rPr>
        <w:footnoteReference w:id="8"/>
      </w:r>
      <w:r w:rsidRPr="00F76E2D">
        <w:rPr>
          <w:rFonts w:ascii="Geomanist Light" w:eastAsia="Calibri" w:hAnsi="Geomanist Light" w:cs="Arial"/>
          <w:sz w:val="22"/>
          <w:lang w:eastAsia="es-ES_tradnl"/>
        </w:rPr>
        <w:t xml:space="preserve">. Como se observa, participa una sociedad y otra, u otras, que reciben la transferencia del patrimonio en bloque. </w:t>
      </w:r>
    </w:p>
    <w:p w14:paraId="26B7E56A" w14:textId="77777777" w:rsidR="00F66826" w:rsidRPr="00F76E2D" w:rsidRDefault="00F66826" w:rsidP="00F66826">
      <w:pPr>
        <w:ind w:firstLine="708"/>
        <w:rPr>
          <w:rFonts w:ascii="Geomanist Light" w:eastAsia="Calibri" w:hAnsi="Geomanist Light" w:cs="Arial"/>
          <w:sz w:val="22"/>
          <w:lang w:eastAsia="es-ES_tradnl"/>
        </w:rPr>
      </w:pPr>
      <w:r w:rsidRPr="00F76E2D">
        <w:rPr>
          <w:rFonts w:ascii="Geomanist Light" w:eastAsia="Calibri" w:hAnsi="Geomanist Light" w:cs="Arial"/>
          <w:sz w:val="22"/>
          <w:lang w:eastAsia="es-ES_tradnl"/>
        </w:rPr>
        <w:t xml:space="preserve">Para la primera modalidad de escisión, teniendo en cuenta que la sociedad continúa sin alteraciones, esta puede compartir la experiencia a través de esquemas asociativos, pero no la transfiere, porque para ello tendría que «disolverse» sin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w:t>
      </w:r>
      <w:r w:rsidRPr="00F76E2D">
        <w:rPr>
          <w:rFonts w:ascii="Geomanist Light" w:eastAsia="Calibri" w:hAnsi="Geomanist Light" w:cs="Arial"/>
          <w:sz w:val="22"/>
          <w:lang w:eastAsia="es-ES_tradnl"/>
        </w:rPr>
        <w:lastRenderedPageBreak/>
        <w:t xml:space="preserve">«disolución». Esto significa que la persona continúa por sí misma y puede adquirir experiencia, pero no puede transferirla porque le pertenece, al ser quien la adquirió. </w:t>
      </w:r>
    </w:p>
    <w:p w14:paraId="77E8E4A7" w14:textId="77777777" w:rsidR="00F66826" w:rsidRPr="00F76E2D" w:rsidRDefault="00F66826" w:rsidP="00F66826">
      <w:pPr>
        <w:ind w:firstLine="708"/>
        <w:rPr>
          <w:rFonts w:ascii="Geomanist Light" w:eastAsia="Calibri" w:hAnsi="Geomanist Light" w:cs="Arial"/>
          <w:sz w:val="22"/>
          <w:lang w:eastAsia="es-ES_tradnl"/>
        </w:rPr>
      </w:pPr>
      <w:r w:rsidRPr="00F76E2D">
        <w:rPr>
          <w:rFonts w:ascii="Geomanist Light" w:eastAsia="Calibri" w:hAnsi="Geomanist Light" w:cs="Arial"/>
          <w:sz w:val="22"/>
          <w:lang w:eastAsia="es-ES_tradnl"/>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3C98D002" w14:textId="77777777" w:rsidR="00F66826" w:rsidRPr="00F76E2D" w:rsidRDefault="00F66826" w:rsidP="00F66826">
      <w:pPr>
        <w:ind w:firstLine="709"/>
        <w:rPr>
          <w:rFonts w:ascii="Geomanist Light" w:eastAsia="Calibri" w:hAnsi="Geomanist Light" w:cs="Arial"/>
          <w:sz w:val="22"/>
          <w:lang w:eastAsia="es-ES_tradnl"/>
        </w:rPr>
      </w:pPr>
      <w:r w:rsidRPr="00F76E2D">
        <w:rPr>
          <w:rFonts w:ascii="Geomanist Light" w:eastAsia="Calibri" w:hAnsi="Geomanist Light" w:cs="Arial"/>
          <w:sz w:val="22"/>
          <w:lang w:eastAsia="es-ES_tradnl"/>
        </w:rPr>
        <w:t>Pero en la fusión, como se verá, a pesar de que la sociedad está «disuelta» y debería «liquidarse», para desaparecer, la ley permite que no desaparezca y tenga continuidad convertida en otra sociedad, por lo que, por expresa disposición legal, la sociedad puede no «liquidarse», sino continuar a través de otra sociedad, porque así lo dispuso el legislador. Esto implica que se traslada la experiencia y no se comparte, porque compartir implica que siga existiendo como una persona individualmente considerada, pero como continúa a través de otra, lo que sucede es la transferencia de la experiencia.</w:t>
      </w:r>
    </w:p>
    <w:p w14:paraId="4D70A196" w14:textId="77777777" w:rsidR="00F66826" w:rsidRPr="00F76E2D" w:rsidRDefault="00F66826" w:rsidP="00F66826">
      <w:pPr>
        <w:rPr>
          <w:rFonts w:ascii="Geomanist Light" w:eastAsia="Calibri" w:hAnsi="Geomanist Light" w:cs="Arial"/>
          <w:b/>
          <w:bCs/>
          <w:sz w:val="22"/>
          <w:lang w:eastAsia="es-ES_tradnl"/>
        </w:rPr>
      </w:pPr>
      <w:r w:rsidRPr="00F76E2D">
        <w:rPr>
          <w:rFonts w:ascii="Geomanist Light" w:eastAsia="Calibri" w:hAnsi="Geomanist Light" w:cs="Arial"/>
          <w:b/>
          <w:bCs/>
          <w:sz w:val="22"/>
          <w:lang w:eastAsia="es-ES_tradnl"/>
        </w:rPr>
        <w:t>c) Fusión</w:t>
      </w:r>
    </w:p>
    <w:p w14:paraId="74F3CE8E" w14:textId="77777777" w:rsidR="00F66826" w:rsidRPr="00F76E2D" w:rsidRDefault="00F66826" w:rsidP="00F66826">
      <w:pPr>
        <w:rPr>
          <w:rFonts w:ascii="Geomanist Light" w:eastAsia="Calibri" w:hAnsi="Geomanist Light" w:cs="Arial"/>
          <w:sz w:val="22"/>
          <w:lang w:eastAsia="es-ES_tradnl"/>
        </w:rPr>
      </w:pPr>
      <w:r w:rsidRPr="00F76E2D">
        <w:rPr>
          <w:rFonts w:ascii="Geomanist Light" w:eastAsia="Calibri" w:hAnsi="Geomanist Light" w:cs="Arial"/>
          <w:sz w:val="22"/>
          <w:lang w:eastAsia="es-ES_tradnl"/>
        </w:rPr>
        <w:t>Es una figura con 4 tipologías: i) por absorción: una o más sociedades se «disuelven» sin «liquidarse» para ser absorbidas por otra existente; ii) por creación: una o más sociedades se «disuelven» sin «liquidarse» para ser absorbidas por otra nueva</w:t>
      </w:r>
      <w:r w:rsidRPr="00F76E2D">
        <w:rPr>
          <w:rFonts w:ascii="Geomanist Light" w:eastAsia="Calibri" w:hAnsi="Geomanist Light" w:cs="Arial"/>
          <w:sz w:val="22"/>
          <w:vertAlign w:val="superscript"/>
          <w:lang w:eastAsia="es-ES_tradnl"/>
        </w:rPr>
        <w:footnoteReference w:id="9"/>
      </w:r>
      <w:r w:rsidRPr="00F76E2D">
        <w:rPr>
          <w:rFonts w:ascii="Geomanist Light" w:eastAsia="Calibri" w:hAnsi="Geomanist Light" w:cs="Arial"/>
          <w:sz w:val="22"/>
          <w:lang w:eastAsia="es-ES_tradnl"/>
        </w:rPr>
        <w:t>; iii) impropia: una sociedad se «disuelve» sin el propósito de realizar una fusión sino de «liquidarse», y antes de la liquidación se toma la decisión de crear una sociedad</w:t>
      </w:r>
      <w:r w:rsidRPr="00F76E2D">
        <w:rPr>
          <w:rFonts w:ascii="Geomanist Light" w:eastAsia="Calibri" w:hAnsi="Geomanist Light" w:cs="Arial"/>
          <w:sz w:val="22"/>
          <w:vertAlign w:val="superscript"/>
          <w:lang w:eastAsia="es-ES_tradnl"/>
        </w:rPr>
        <w:footnoteReference w:id="10"/>
      </w:r>
      <w:r w:rsidRPr="00F76E2D">
        <w:rPr>
          <w:rFonts w:ascii="Geomanist Light" w:eastAsia="Calibri" w:hAnsi="Geomanist Light" w:cs="Arial"/>
          <w:sz w:val="22"/>
          <w:lang w:eastAsia="es-ES_tradnl"/>
        </w:rPr>
        <w:t xml:space="preserve">; iv) abreviada: solo aplica cuando una Sociedad </w:t>
      </w:r>
      <w:r w:rsidRPr="00F76E2D">
        <w:rPr>
          <w:rFonts w:ascii="Geomanist Light" w:eastAsia="Calibri" w:hAnsi="Geomanist Light" w:cs="Arial"/>
          <w:sz w:val="22"/>
          <w:lang w:eastAsia="es-ES_tradnl"/>
        </w:rPr>
        <w:lastRenderedPageBreak/>
        <w:t>por Acciones Simplificada (S.A.S.) pertenece a otra sociedad en más del 90% de sus acciones, y es posible que esa sociedad controlante absorba a la S.A.S, es decir, que ocurra una fusión por absorción</w:t>
      </w:r>
      <w:r w:rsidRPr="00F76E2D">
        <w:rPr>
          <w:rFonts w:ascii="Geomanist Light" w:eastAsia="Calibri" w:hAnsi="Geomanist Light" w:cs="Arial"/>
          <w:sz w:val="22"/>
          <w:vertAlign w:val="superscript"/>
          <w:lang w:eastAsia="es-ES_tradnl"/>
        </w:rPr>
        <w:footnoteReference w:id="11"/>
      </w:r>
      <w:r w:rsidRPr="00F76E2D">
        <w:rPr>
          <w:rFonts w:ascii="Geomanist Light" w:eastAsia="Calibri" w:hAnsi="Geomanist Light" w:cs="Arial"/>
          <w:sz w:val="22"/>
          <w:lang w:eastAsia="es-ES_tradnl"/>
        </w:rPr>
        <w:t>. La norma no se refiere a la «disolución de la S.A.S», lo cual no implica que no exista fusión, sino que es abreviada porque no se requiere configurar el estado de «disolución» de la sociedad.</w:t>
      </w:r>
    </w:p>
    <w:p w14:paraId="48482056" w14:textId="77777777" w:rsidR="00F66826" w:rsidRPr="00F76E2D" w:rsidRDefault="00F66826" w:rsidP="00F66826">
      <w:pPr>
        <w:ind w:firstLine="708"/>
        <w:rPr>
          <w:rFonts w:ascii="Geomanist Light" w:eastAsia="Calibri" w:hAnsi="Geomanist Light" w:cs="Arial"/>
          <w:bCs/>
          <w:sz w:val="22"/>
          <w:lang w:eastAsia="es-ES_tradnl"/>
        </w:rPr>
      </w:pPr>
      <w:bookmarkStart w:id="5" w:name="_Hlk77271644"/>
      <w:r w:rsidRPr="00F76E2D">
        <w:rPr>
          <w:rFonts w:ascii="Geomanist Light" w:eastAsia="Calibri" w:hAnsi="Geomanist Light" w:cs="Arial"/>
          <w:bCs/>
          <w:sz w:val="22"/>
          <w:lang w:eastAsia="es-ES_tradnl"/>
        </w:rPr>
        <w:t xml:space="preserve">Para analizar la fusión y sus efectos respecto de la experiencia de la sociedad que se </w:t>
      </w:r>
      <w:r w:rsidRPr="00F76E2D">
        <w:rPr>
          <w:rFonts w:ascii="Geomanist Light" w:eastAsia="Calibri" w:hAnsi="Geomanist Light" w:cs="Arial"/>
          <w:sz w:val="22"/>
          <w:lang w:eastAsia="es-ES_tradnl"/>
        </w:rPr>
        <w:t>«</w:t>
      </w:r>
      <w:r w:rsidRPr="00F76E2D">
        <w:rPr>
          <w:rFonts w:ascii="Geomanist Light" w:eastAsia="Calibri" w:hAnsi="Geomanist Light" w:cs="Arial"/>
          <w:bCs/>
          <w:sz w:val="22"/>
          <w:lang w:eastAsia="es-ES_tradnl"/>
        </w:rPr>
        <w:t xml:space="preserve">disuelve» pero no se </w:t>
      </w:r>
      <w:r w:rsidRPr="00F76E2D">
        <w:rPr>
          <w:rFonts w:ascii="Geomanist Light" w:eastAsia="Calibri" w:hAnsi="Geomanist Light" w:cs="Arial"/>
          <w:sz w:val="22"/>
          <w:lang w:eastAsia="es-ES_tradnl"/>
        </w:rPr>
        <w:t>«</w:t>
      </w:r>
      <w:r w:rsidRPr="00F76E2D">
        <w:rPr>
          <w:rFonts w:ascii="Geomanist Light" w:eastAsia="Calibri" w:hAnsi="Geomanist Light" w:cs="Arial"/>
          <w:bCs/>
          <w:sz w:val="22"/>
          <w:lang w:eastAsia="es-ES_tradnl"/>
        </w:rPr>
        <w:t>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bookmarkEnd w:id="5"/>
    <w:p w14:paraId="120D5BBC" w14:textId="77777777" w:rsidR="00F66826" w:rsidRPr="00F76E2D" w:rsidRDefault="00F66826" w:rsidP="00F66826">
      <w:pPr>
        <w:ind w:firstLine="708"/>
        <w:rPr>
          <w:rFonts w:ascii="Geomanist Light" w:eastAsia="Calibri" w:hAnsi="Geomanist Light" w:cs="Arial"/>
          <w:bCs/>
          <w:sz w:val="22"/>
          <w:lang w:eastAsia="es-ES_tradnl"/>
        </w:rPr>
      </w:pPr>
      <w:r w:rsidRPr="00F76E2D">
        <w:rPr>
          <w:rFonts w:ascii="Geomanist Light" w:eastAsia="Calibri" w:hAnsi="Geomanist Light" w:cs="Arial"/>
          <w:bCs/>
          <w:sz w:val="22"/>
          <w:lang w:eastAsia="es-ES_tradnl"/>
        </w:rPr>
        <w:t xml:space="preserve">La anterior conclusión es coherente con lo establecido en la Guía de Asuntos Corporativos en los Procesos de Contratación, expedida por la Agencia Nacional de Contratación Pública - Colombia Compra Eficiente, pues en ella se dice que «La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 Obsérvese que la Guía no establece que la experiencia es «siempre» intransferible, sino que sostiene que ello es así «en principio». Además, precisa que no es posible transferir la experiencia en la escisión y en la liquidación, justamente porque esos casos la persona jurídica desaparece, lo que no sucede en la fusión. </w:t>
      </w:r>
      <w:r w:rsidRPr="00F76E2D">
        <w:rPr>
          <w:rFonts w:ascii="Geomanist Light" w:eastAsia="Calibri" w:hAnsi="Geomanist Light" w:cs="Arial"/>
          <w:bCs/>
          <w:sz w:val="22"/>
          <w:lang w:eastAsia="es-ES_tradnl"/>
        </w:rPr>
        <w:lastRenderedPageBreak/>
        <w:t xml:space="preserve">Es decir que en este supuesto sí es posible la transferencia de la experiencia de la sociedad fusionada a la resultante. </w:t>
      </w:r>
    </w:p>
    <w:p w14:paraId="258502A1" w14:textId="77777777" w:rsidR="00F66826" w:rsidRPr="00F76E2D" w:rsidRDefault="00F66826" w:rsidP="00F66826">
      <w:pPr>
        <w:ind w:firstLine="708"/>
        <w:rPr>
          <w:rFonts w:ascii="Geomanist Light" w:eastAsia="Calibri" w:hAnsi="Geomanist Light" w:cs="Arial"/>
          <w:bCs/>
          <w:sz w:val="22"/>
          <w:lang w:eastAsia="es-ES_tradnl"/>
        </w:rPr>
      </w:pPr>
      <w:r w:rsidRPr="00F76E2D">
        <w:rPr>
          <w:rFonts w:ascii="Geomanist Light" w:eastAsia="Calibri" w:hAnsi="Geomanist Light" w:cs="Arial"/>
          <w:bCs/>
          <w:sz w:val="22"/>
          <w:lang w:eastAsia="es-ES_tradnl"/>
        </w:rPr>
        <w:t>Esta postura en torno a la validez de la transferencia de experiencia de la sociedad absorbida a la absorbente es compartida por la Superintendencia de Sociedades. Dicha entidad en ejercicio de la función consultiva ha manifestado que esta figura es adecuada que la sociedad absorbida transfiera a la segunda sus atributos en lo relacionado con la experiencia</w:t>
      </w:r>
      <w:r w:rsidRPr="00F76E2D">
        <w:rPr>
          <w:rFonts w:ascii="Geomanist Light" w:eastAsia="Calibri" w:hAnsi="Geomanist Light" w:cs="Arial"/>
          <w:bCs/>
          <w:sz w:val="22"/>
          <w:vertAlign w:val="superscript"/>
          <w:lang w:eastAsia="es-ES_tradnl"/>
        </w:rPr>
        <w:footnoteReference w:id="12"/>
      </w:r>
      <w:r w:rsidRPr="00F76E2D">
        <w:rPr>
          <w:rFonts w:ascii="Geomanist Light" w:eastAsia="Calibri" w:hAnsi="Geomanist Light" w:cs="Arial"/>
          <w:bCs/>
          <w:sz w:val="22"/>
          <w:lang w:eastAsia="es-ES_tradnl"/>
        </w:rPr>
        <w:t xml:space="preserve">. Al respecto se ha manifestado: </w:t>
      </w:r>
    </w:p>
    <w:p w14:paraId="7AC2B154" w14:textId="77777777" w:rsidR="00F66826" w:rsidRPr="00F76E2D" w:rsidRDefault="00F66826" w:rsidP="00F66826">
      <w:pPr>
        <w:spacing w:line="240" w:lineRule="auto"/>
        <w:ind w:left="709" w:right="709"/>
        <w:rPr>
          <w:rFonts w:ascii="Geomanist Light" w:eastAsia="Times New Roman" w:hAnsi="Geomanist Light" w:cs="Arial"/>
          <w:sz w:val="21"/>
          <w:szCs w:val="21"/>
          <w:lang w:eastAsia="es-ES_tradnl"/>
        </w:rPr>
      </w:pPr>
      <w:r w:rsidRPr="00F76E2D">
        <w:rPr>
          <w:rFonts w:ascii="Geomanist Light" w:eastAsia="Times New Roman" w:hAnsi="Geomanist Light" w:cs="Arial"/>
          <w:sz w:val="21"/>
          <w:szCs w:val="21"/>
          <w:lang w:eastAsia="es-ES_tradnl"/>
        </w:rPr>
        <w:t xml:space="preserve">La fusión surge como el mecanismo pertinente para que los atributos de las compañías absorbidas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w:t>
      </w:r>
      <w:proofErr w:type="spellStart"/>
      <w:r w:rsidRPr="00F76E2D">
        <w:rPr>
          <w:rFonts w:ascii="Geomanist Light" w:eastAsia="Times New Roman" w:hAnsi="Geomanist Light" w:cs="Arial"/>
          <w:sz w:val="21"/>
          <w:szCs w:val="21"/>
          <w:lang w:eastAsia="es-ES_tradnl"/>
        </w:rPr>
        <w:t>Know</w:t>
      </w:r>
      <w:proofErr w:type="spellEnd"/>
      <w:r w:rsidRPr="00F76E2D">
        <w:rPr>
          <w:rFonts w:ascii="Geomanist Light" w:eastAsia="Times New Roman" w:hAnsi="Geomanist Light" w:cs="Arial"/>
          <w:sz w:val="21"/>
          <w:szCs w:val="21"/>
          <w:lang w:eastAsia="es-ES_tradnl"/>
        </w:rPr>
        <w:t xml:space="preserve"> </w:t>
      </w:r>
      <w:proofErr w:type="spellStart"/>
      <w:r w:rsidRPr="00F76E2D">
        <w:rPr>
          <w:rFonts w:ascii="Geomanist Light" w:eastAsia="Times New Roman" w:hAnsi="Geomanist Light" w:cs="Arial"/>
          <w:sz w:val="21"/>
          <w:szCs w:val="21"/>
          <w:lang w:eastAsia="es-ES_tradnl"/>
        </w:rPr>
        <w:t>How</w:t>
      </w:r>
      <w:proofErr w:type="spellEnd"/>
      <w:r w:rsidRPr="00F76E2D">
        <w:rPr>
          <w:rFonts w:ascii="Geomanist Light" w:eastAsia="Times New Roman" w:hAnsi="Geomanist Light" w:cs="Arial"/>
          <w:sz w:val="21"/>
          <w:szCs w:val="21"/>
          <w:lang w:eastAsia="es-ES_tradnl"/>
        </w:rPr>
        <w:t>, entre otros</w:t>
      </w:r>
    </w:p>
    <w:p w14:paraId="1A19D15D" w14:textId="77777777" w:rsidR="00F66826" w:rsidRPr="00F76E2D" w:rsidRDefault="00F66826" w:rsidP="00F66826">
      <w:pPr>
        <w:spacing w:line="240" w:lineRule="auto"/>
        <w:ind w:left="709" w:right="709"/>
        <w:rPr>
          <w:rFonts w:ascii="Geomanist Light" w:eastAsia="Times New Roman" w:hAnsi="Geomanist Light" w:cs="Arial"/>
          <w:sz w:val="21"/>
          <w:szCs w:val="21"/>
          <w:lang w:eastAsia="es-ES_tradnl"/>
        </w:rPr>
      </w:pPr>
      <w:r w:rsidRPr="00F76E2D">
        <w:rPr>
          <w:rFonts w:ascii="Geomanist Light" w:eastAsia="Times New Roman" w:hAnsi="Geomanist Light" w:cs="Arial"/>
          <w:sz w:val="21"/>
          <w:szCs w:val="21"/>
          <w:lang w:eastAsia="es-ES_tradnl"/>
        </w:rPr>
        <w:t>[…]</w:t>
      </w:r>
    </w:p>
    <w:p w14:paraId="6B819B59" w14:textId="77777777" w:rsidR="00F66826" w:rsidRPr="00F76E2D" w:rsidRDefault="00F66826" w:rsidP="00F66826">
      <w:pPr>
        <w:spacing w:line="240" w:lineRule="auto"/>
        <w:ind w:left="709" w:right="709"/>
        <w:rPr>
          <w:rFonts w:ascii="Geomanist Light" w:eastAsia="Times New Roman" w:hAnsi="Geomanist Light" w:cs="Arial"/>
          <w:sz w:val="21"/>
          <w:szCs w:val="21"/>
          <w:lang w:eastAsia="es-ES_tradnl"/>
        </w:rPr>
      </w:pPr>
      <w:r w:rsidRPr="00F76E2D">
        <w:rPr>
          <w:rFonts w:ascii="Geomanist Light" w:eastAsia="Times New Roman" w:hAnsi="Geomanist Light" w:cs="Arial"/>
          <w:sz w:val="21"/>
          <w:szCs w:val="21"/>
          <w:lang w:eastAsia="es-ES_tradnl"/>
        </w:rPr>
        <w:t xml:space="preserve">En cuanto refiere a </w:t>
      </w:r>
      <w:r w:rsidRPr="00F76E2D">
        <w:rPr>
          <w:rFonts w:ascii="Geomanist Light" w:eastAsia="Times New Roman" w:hAnsi="Geomanist Light" w:cs="Arial"/>
          <w:i/>
          <w:iCs/>
          <w:sz w:val="21"/>
          <w:szCs w:val="21"/>
          <w:u w:val="single"/>
          <w:lang w:eastAsia="es-ES_tradnl"/>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F76E2D">
        <w:rPr>
          <w:rFonts w:ascii="Geomanist Light" w:eastAsia="Times New Roman" w:hAnsi="Geomanist Light" w:cs="Arial"/>
          <w:sz w:val="21"/>
          <w:szCs w:val="21"/>
          <w:lang w:eastAsia="es-ES_tradnl"/>
        </w:rPr>
        <w:t>por lo que la considera válida para efecto de ser invocada por la absorbente, a través del certificado que le expida la cámara de comercio con base en la información depositada en el Registro Único de Proponentes, RUP</w:t>
      </w:r>
      <w:r w:rsidRPr="00F76E2D">
        <w:rPr>
          <w:rFonts w:ascii="Geomanist Light" w:eastAsia="Times New Roman" w:hAnsi="Geomanist Light" w:cs="Arial"/>
          <w:sz w:val="21"/>
          <w:szCs w:val="21"/>
          <w:vertAlign w:val="superscript"/>
          <w:lang w:eastAsia="es-ES_tradnl"/>
        </w:rPr>
        <w:footnoteReference w:id="13"/>
      </w:r>
      <w:r w:rsidRPr="00F76E2D">
        <w:rPr>
          <w:rFonts w:ascii="Geomanist Light" w:eastAsia="Times New Roman" w:hAnsi="Geomanist Light" w:cs="Arial"/>
          <w:sz w:val="21"/>
          <w:szCs w:val="21"/>
          <w:lang w:eastAsia="es-ES_tradnl"/>
        </w:rPr>
        <w:t>. [Énfasis fuera de texto]</w:t>
      </w:r>
    </w:p>
    <w:p w14:paraId="663198DF" w14:textId="77777777" w:rsidR="00F66826" w:rsidRPr="00F76E2D" w:rsidRDefault="00F66826" w:rsidP="00F66826">
      <w:pPr>
        <w:ind w:firstLine="708"/>
        <w:rPr>
          <w:rFonts w:ascii="Geomanist Light" w:eastAsia="Times New Roman" w:hAnsi="Geomanist Light" w:cs="Arial"/>
          <w:color w:val="000000"/>
          <w:sz w:val="22"/>
          <w:lang w:eastAsia="es-ES_tradnl"/>
        </w:rPr>
      </w:pPr>
      <w:r w:rsidRPr="00F76E2D">
        <w:rPr>
          <w:rFonts w:ascii="Geomanist Light" w:eastAsia="Calibri" w:hAnsi="Geomanist Light" w:cs="Arial"/>
          <w:bCs/>
          <w:sz w:val="22"/>
          <w:lang w:eastAsia="es-ES_tradnl"/>
        </w:rPr>
        <w:t>En efecto, el artículo 2.2.1.1.1.5.3 del Decreto 1082 de 2015 hace referencia a que las cámaras de comercio deberán registrar la experiencia certificada con base en los «</w:t>
      </w:r>
      <w:r w:rsidRPr="00F76E2D">
        <w:rPr>
          <w:rFonts w:ascii="Geomanist Light" w:eastAsia="Times New Roman" w:hAnsi="Geomanist Light" w:cs="Arial"/>
          <w:color w:val="000000"/>
          <w:sz w:val="22"/>
          <w:lang w:eastAsia="es-ES_tradnl"/>
        </w:rPr>
        <w:t xml:space="preserve">Los contratos celebrados por el interesado» y «Los contratos celebrados por consorcios, uniones temporales y sociedades en las cuales el interesado tenga o haya tenido participación», sin hacer alusión a las diferentes reformas estatutarias que podrían amparar la transferencia de </w:t>
      </w:r>
      <w:r w:rsidRPr="00F76E2D">
        <w:rPr>
          <w:rFonts w:ascii="Geomanist Light" w:eastAsia="Times New Roman" w:hAnsi="Geomanist Light" w:cs="Arial"/>
          <w:color w:val="000000"/>
          <w:sz w:val="22"/>
          <w:lang w:eastAsia="es-ES_tradnl"/>
        </w:rPr>
        <w:lastRenderedPageBreak/>
        <w:t xml:space="preserve">experiencia conforme a lo explicado </w:t>
      </w:r>
      <w:r w:rsidRPr="00F76E2D">
        <w:rPr>
          <w:rFonts w:ascii="Geomanist Light" w:eastAsia="Times New Roman" w:hAnsi="Geomanist Light" w:cs="Arial"/>
          <w:i/>
          <w:iCs/>
          <w:color w:val="000000"/>
          <w:sz w:val="22"/>
          <w:lang w:eastAsia="es-ES_tradnl"/>
        </w:rPr>
        <w:t>supra</w:t>
      </w:r>
      <w:r w:rsidRPr="00F76E2D">
        <w:rPr>
          <w:rFonts w:ascii="Geomanist Light" w:eastAsia="Times New Roman" w:hAnsi="Geomanist Light" w:cs="Arial"/>
          <w:i/>
          <w:iCs/>
          <w:color w:val="000000"/>
          <w:sz w:val="22"/>
          <w:vertAlign w:val="superscript"/>
          <w:lang w:eastAsia="es-ES_tradnl"/>
        </w:rPr>
        <w:footnoteReference w:id="14"/>
      </w:r>
      <w:r w:rsidRPr="00F76E2D">
        <w:rPr>
          <w:rFonts w:ascii="Geomanist Light" w:eastAsia="Times New Roman" w:hAnsi="Geomanist Light" w:cs="Arial"/>
          <w:color w:val="000000"/>
          <w:sz w:val="22"/>
          <w:lang w:eastAsia="es-ES_tradnl"/>
        </w:rPr>
        <w:t xml:space="preserve">. Caso contario ocurre con la posibilidad de que una sociedad, durante los primeros tres (3) años de su constitución–e incluso después– pueda acreditar como suya la experiencia de socios, supuesto regulado por el numeral 2.5 del artículo 2.2.1.1.1.5.2 del Decreto 1082 de 2015. </w:t>
      </w:r>
    </w:p>
    <w:p w14:paraId="17C28073" w14:textId="77777777" w:rsidR="00F66826" w:rsidRPr="00F76E2D" w:rsidRDefault="00F66826" w:rsidP="00F66826">
      <w:pPr>
        <w:ind w:firstLine="708"/>
        <w:rPr>
          <w:rFonts w:ascii="Geomanist Light" w:eastAsia="Calibri" w:hAnsi="Geomanist Light" w:cs="Arial"/>
          <w:bCs/>
          <w:sz w:val="22"/>
          <w:lang w:eastAsia="es-ES_tradnl"/>
        </w:rPr>
      </w:pPr>
      <w:r w:rsidRPr="00F76E2D">
        <w:rPr>
          <w:rFonts w:ascii="Geomanist Light" w:eastAsia="Times New Roman" w:hAnsi="Geomanist Light" w:cs="Arial"/>
          <w:color w:val="000000"/>
          <w:sz w:val="22"/>
          <w:lang w:eastAsia="es-ES_tradnl"/>
        </w:rPr>
        <w:t xml:space="preserve">En ese sentido, considerando que el RUP es el documento que constituye plena prueba de la experiencia adquirida por el proponente, es necesario que la experiencia de la sociedad absorbida quedé incorporada en el RUP de la absorbente para que esta pueda acreditarla. Esto implica que la sociedad absorbente haya adelantado el respectivo trámite de actualización o renovación del RUP, en el marco del cual se haya consolidado la transferencia de experiencia. </w:t>
      </w:r>
    </w:p>
    <w:p w14:paraId="4AD2967F" w14:textId="6933666F" w:rsidR="004B7723" w:rsidRPr="00F76E2D" w:rsidRDefault="004B7723" w:rsidP="004B7723">
      <w:pPr>
        <w:rPr>
          <w:rFonts w:ascii="Geomanist Light" w:eastAsia="Calibri" w:hAnsi="Geomanist Light" w:cs="Arial"/>
          <w:b/>
          <w:bCs/>
          <w:color w:val="000000" w:themeColor="text1"/>
          <w:sz w:val="22"/>
        </w:rPr>
      </w:pPr>
      <w:r w:rsidRPr="00F76E2D">
        <w:rPr>
          <w:rFonts w:ascii="Geomanist Light" w:eastAsia="Calibri" w:hAnsi="Geomanist Light" w:cs="Arial"/>
          <w:b/>
          <w:color w:val="000000" w:themeColor="text1"/>
          <w:sz w:val="22"/>
        </w:rPr>
        <w:t>2.</w:t>
      </w:r>
      <w:r w:rsidR="00853165" w:rsidRPr="00F76E2D">
        <w:rPr>
          <w:rFonts w:ascii="Geomanist Light" w:eastAsia="Calibri" w:hAnsi="Geomanist Light" w:cs="Arial"/>
          <w:b/>
          <w:color w:val="000000" w:themeColor="text1"/>
          <w:sz w:val="22"/>
        </w:rPr>
        <w:t>4</w:t>
      </w:r>
      <w:r w:rsidRPr="00F76E2D">
        <w:rPr>
          <w:rFonts w:ascii="Geomanist Light" w:eastAsia="Calibri" w:hAnsi="Geomanist Light" w:cs="Arial"/>
          <w:b/>
          <w:color w:val="000000" w:themeColor="text1"/>
          <w:sz w:val="22"/>
        </w:rPr>
        <w:t xml:space="preserve">. </w:t>
      </w:r>
      <w:r w:rsidRPr="00F76E2D">
        <w:rPr>
          <w:rFonts w:ascii="Geomanist Light" w:eastAsia="Calibri" w:hAnsi="Geomanist Light" w:cs="Arial"/>
          <w:b/>
          <w:bCs/>
          <w:color w:val="000000" w:themeColor="text1"/>
          <w:sz w:val="22"/>
        </w:rPr>
        <w:t>Experiencia adquirida por matrices y subordinadas de una sociedad comercial</w:t>
      </w:r>
    </w:p>
    <w:p w14:paraId="0BE458B6" w14:textId="7BC31473" w:rsidR="004B7723" w:rsidRPr="00F76E2D" w:rsidRDefault="00C92742" w:rsidP="004B7723">
      <w:pPr>
        <w:rPr>
          <w:rFonts w:ascii="Geomanist Light" w:eastAsia="Calibri" w:hAnsi="Geomanist Light" w:cs="Arial"/>
          <w:color w:val="000000" w:themeColor="text1"/>
          <w:sz w:val="22"/>
        </w:rPr>
      </w:pPr>
      <w:r w:rsidRPr="00F76E2D">
        <w:rPr>
          <w:rFonts w:ascii="Geomanist Light" w:eastAsia="Calibri" w:hAnsi="Geomanist Light" w:cs="Arial"/>
          <w:color w:val="000000" w:themeColor="text1"/>
          <w:sz w:val="22"/>
        </w:rPr>
        <w:t>E</w:t>
      </w:r>
      <w:r w:rsidR="004B7723" w:rsidRPr="00F76E2D">
        <w:rPr>
          <w:rFonts w:ascii="Geomanist Light" w:eastAsia="Calibri" w:hAnsi="Geomanist Light" w:cs="Arial"/>
          <w:color w:val="000000" w:themeColor="text1"/>
          <w:sz w:val="22"/>
        </w:rPr>
        <w:t>l Código de Comercio, en el artículo 260, subrogado por el artículo 26 de la Ley 222 de 1995, regula las matrices y subordinadas. La norma citada contiene los siguientes conceptos: i) matriz, ii) subordinada o controlada, iii) filial y iv) subsidiaria</w:t>
      </w:r>
      <w:r w:rsidR="004B7723" w:rsidRPr="00F76E2D">
        <w:rPr>
          <w:rStyle w:val="Refdenotaalpie"/>
          <w:rFonts w:ascii="Geomanist Light" w:eastAsia="Calibri" w:hAnsi="Geomanist Light" w:cs="Arial"/>
          <w:color w:val="000000" w:themeColor="text1"/>
          <w:sz w:val="22"/>
        </w:rPr>
        <w:footnoteReference w:id="15"/>
      </w:r>
      <w:r w:rsidR="004B7723" w:rsidRPr="00F76E2D">
        <w:rPr>
          <w:rFonts w:ascii="Geomanist Light" w:eastAsia="Calibri" w:hAnsi="Geomanist Light" w:cs="Arial"/>
          <w:color w:val="000000" w:themeColor="text1"/>
          <w:sz w:val="22"/>
        </w:rPr>
        <w:t>. En primer lugar, una sociedad es i) matriz cuando tiene poder de decisión frente a otras personas, ii) la sociedad subordinada o controlada es la que no puede autodeterminarse porque sus decisiones se someten a la sociedad matriz, y esa subordinación cuando es directa se denomina iii) filial, y cuando es indirecta, esto es, la matriz toma decisiones con el concurso o por intermedio de otras de sus sociedades subordinadas o controladas, es una iv) sociedad subsidiaria.</w:t>
      </w:r>
    </w:p>
    <w:p w14:paraId="522BF809" w14:textId="77777777" w:rsidR="004B7723" w:rsidRPr="00F76E2D" w:rsidRDefault="004B7723" w:rsidP="004B7723">
      <w:pPr>
        <w:ind w:firstLine="709"/>
        <w:rPr>
          <w:rFonts w:ascii="Geomanist Light" w:eastAsia="Calibri" w:hAnsi="Geomanist Light" w:cs="Arial"/>
          <w:color w:val="000000" w:themeColor="text1"/>
          <w:sz w:val="22"/>
        </w:rPr>
      </w:pPr>
      <w:r w:rsidRPr="00F76E2D">
        <w:rPr>
          <w:rFonts w:ascii="Geomanist Light" w:eastAsia="Calibri" w:hAnsi="Geomanist Light" w:cs="Arial"/>
          <w:color w:val="000000" w:themeColor="text1"/>
          <w:sz w:val="22"/>
        </w:rPr>
        <w:t xml:space="preserve">De la norma analizada se destaca que la matriz subordina a otras personas, con lo cual se diferencian varias personas que se interrelacionan por su actividad comercial, a las que les aplica una prohibición y es que la sociedad subordinada no puede tener participación en el </w:t>
      </w:r>
      <w:r w:rsidRPr="00F76E2D">
        <w:rPr>
          <w:rFonts w:ascii="Geomanist Light" w:eastAsia="Calibri" w:hAnsi="Geomanist Light" w:cs="Arial"/>
          <w:color w:val="000000" w:themeColor="text1"/>
          <w:sz w:val="22"/>
        </w:rPr>
        <w:lastRenderedPageBreak/>
        <w:t>capital social de su matriz so pena de ineficacia de esos actos jurídicos</w:t>
      </w:r>
      <w:r w:rsidRPr="00F76E2D">
        <w:rPr>
          <w:rStyle w:val="Refdenotaalpie"/>
          <w:rFonts w:ascii="Geomanist Light" w:eastAsia="Calibri" w:hAnsi="Geomanist Light" w:cs="Arial"/>
          <w:color w:val="000000" w:themeColor="text1"/>
          <w:sz w:val="22"/>
        </w:rPr>
        <w:footnoteReference w:id="16"/>
      </w:r>
      <w:r w:rsidRPr="00F76E2D">
        <w:rPr>
          <w:rFonts w:ascii="Geomanist Light" w:eastAsia="Calibri" w:hAnsi="Geomanist Light" w:cs="Arial"/>
          <w:color w:val="000000" w:themeColor="text1"/>
          <w:sz w:val="22"/>
        </w:rPr>
        <w:t>. Esto es reafirmado por la Guía práctica régimen de matrices y subordinadas de la Superintendencia de Sociedades que señala que «Los sujetos vinculados en situación de control o grupo empresarial en los términos de la Ley 222 de 1995 conservan su individualidad; es decir, mantienen sus atributos y obligaciones propias</w:t>
      </w:r>
      <w:r w:rsidRPr="00F76E2D">
        <w:rPr>
          <w:rStyle w:val="Refdenotaalpie"/>
          <w:rFonts w:ascii="Geomanist Light" w:eastAsia="Calibri" w:hAnsi="Geomanist Light" w:cs="Arial"/>
          <w:color w:val="000000" w:themeColor="text1"/>
          <w:sz w:val="22"/>
        </w:rPr>
        <w:footnoteReference w:id="17"/>
      </w:r>
      <w:r w:rsidRPr="00F76E2D">
        <w:rPr>
          <w:rFonts w:ascii="Geomanist Light" w:eastAsia="Calibri" w:hAnsi="Geomanist Light" w:cs="Arial"/>
          <w:color w:val="000000" w:themeColor="text1"/>
          <w:sz w:val="22"/>
        </w:rPr>
        <w:t xml:space="preserve">». </w:t>
      </w:r>
    </w:p>
    <w:p w14:paraId="5D430746" w14:textId="09CD5728" w:rsidR="00DE6F7A" w:rsidRPr="00F76E2D" w:rsidRDefault="004B7723" w:rsidP="004B7723">
      <w:pPr>
        <w:ind w:firstLine="708"/>
        <w:rPr>
          <w:rFonts w:ascii="Geomanist Light" w:eastAsia="Calibri" w:hAnsi="Geomanist Light" w:cs="Arial"/>
          <w:color w:val="000000" w:themeColor="text1"/>
          <w:sz w:val="22"/>
        </w:rPr>
      </w:pPr>
      <w:r w:rsidRPr="00F76E2D">
        <w:rPr>
          <w:rFonts w:ascii="Geomanist Light" w:eastAsia="Calibri" w:hAnsi="Geomanist Light" w:cs="Arial"/>
          <w:color w:val="000000" w:themeColor="text1"/>
          <w:sz w:val="22"/>
        </w:rPr>
        <w:t>Por tanto, una sociedad subordinada  ̶ filial o subsidiaria ̶ conserva su individualidad respecto de su matriz, y al ser personas jurídicas diferentes adquieren su experiencia de forma personal e independiente, la cual pueden compartir conformando un proponente plural  ̶ unión temporal o consorcio ̶,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de Comercio</w:t>
      </w:r>
      <w:r w:rsidRPr="00F76E2D">
        <w:rPr>
          <w:rStyle w:val="Refdenotaalpie"/>
          <w:rFonts w:ascii="Geomanist Light" w:eastAsia="Calibri" w:hAnsi="Geomanist Light" w:cs="Arial"/>
          <w:color w:val="000000" w:themeColor="text1"/>
          <w:sz w:val="22"/>
        </w:rPr>
        <w:footnoteReference w:id="18"/>
      </w:r>
      <w:r w:rsidRPr="00F76E2D">
        <w:rPr>
          <w:rFonts w:ascii="Geomanist Light" w:eastAsia="Calibri" w:hAnsi="Geomanist Light" w:cs="Arial"/>
          <w:color w:val="000000" w:themeColor="text1"/>
          <w:sz w:val="22"/>
        </w:rPr>
        <w:t xml:space="preserve"> involucra una persona jurídica y no varias como es el caso de la matriz y sus subordinadas</w:t>
      </w:r>
      <w:r w:rsidRPr="00F76E2D">
        <w:rPr>
          <w:rStyle w:val="Refdenotaalpie"/>
          <w:rFonts w:ascii="Geomanist Light" w:eastAsia="Calibri" w:hAnsi="Geomanist Light" w:cs="Arial"/>
          <w:color w:val="000000" w:themeColor="text1"/>
          <w:sz w:val="22"/>
        </w:rPr>
        <w:footnoteReference w:id="19"/>
      </w:r>
      <w:r w:rsidRPr="00F76E2D">
        <w:rPr>
          <w:rFonts w:ascii="Geomanist Light" w:eastAsia="Calibri" w:hAnsi="Geomanist Light" w:cs="Arial"/>
          <w:color w:val="000000" w:themeColor="text1"/>
          <w:sz w:val="22"/>
        </w:rPr>
        <w:t>.</w:t>
      </w:r>
    </w:p>
    <w:p w14:paraId="3370D223" w14:textId="7519F111" w:rsidR="00474929" w:rsidRPr="00F76E2D" w:rsidRDefault="00474929" w:rsidP="00ED1C5C">
      <w:pPr>
        <w:tabs>
          <w:tab w:val="left" w:pos="426"/>
        </w:tabs>
        <w:spacing w:after="240" w:line="240" w:lineRule="auto"/>
        <w:rPr>
          <w:rFonts w:ascii="Geomanist Light" w:eastAsia="Calibri" w:hAnsi="Geomanist Light" w:cs="Arial"/>
          <w:b/>
          <w:sz w:val="22"/>
          <w:lang w:val="es-CO"/>
        </w:rPr>
      </w:pPr>
      <w:r w:rsidRPr="00F76E2D">
        <w:rPr>
          <w:rFonts w:ascii="Geomanist Light" w:eastAsia="Calibri" w:hAnsi="Geomanist Light" w:cs="Arial"/>
          <w:b/>
          <w:sz w:val="22"/>
          <w:lang w:val="es-CO"/>
        </w:rPr>
        <w:t>3. Respuesta</w:t>
      </w:r>
      <w:bookmarkStart w:id="6" w:name="_Hlk57650395"/>
    </w:p>
    <w:p w14:paraId="236D4BAA" w14:textId="77777777" w:rsidR="00623802" w:rsidRPr="00F76E2D" w:rsidRDefault="00623802" w:rsidP="00623802">
      <w:pPr>
        <w:pStyle w:val="NormalWeb"/>
        <w:spacing w:before="0" w:beforeAutospacing="0" w:after="240" w:afterAutospacing="0" w:line="240" w:lineRule="auto"/>
        <w:ind w:left="709" w:right="900"/>
        <w:rPr>
          <w:rFonts w:ascii="Geomanist Light" w:hAnsi="Geomanist Light" w:cs="Arial"/>
          <w:sz w:val="21"/>
          <w:szCs w:val="21"/>
        </w:rPr>
      </w:pPr>
      <w:r w:rsidRPr="00F76E2D">
        <w:rPr>
          <w:rFonts w:ascii="Geomanist Light" w:hAnsi="Geomanist Light" w:cs="Arial"/>
          <w:sz w:val="21"/>
          <w:szCs w:val="21"/>
        </w:rPr>
        <w:t xml:space="preserve">«En algunas licitaciones se ha permitido acreditar la experiencia a través de las certificaciones de experiencia presentadas por proveedores nominados o </w:t>
      </w:r>
      <w:r w:rsidRPr="00F76E2D">
        <w:rPr>
          <w:rFonts w:ascii="Geomanist Light" w:hAnsi="Geomanist Light" w:cs="Arial"/>
          <w:sz w:val="21"/>
          <w:szCs w:val="21"/>
        </w:rPr>
        <w:lastRenderedPageBreak/>
        <w:t xml:space="preserve">empresas del mismo grupo empresarial, pero que NO hacen parte del proponente, como es el caso de los siguientes procesos licitatorios: </w:t>
      </w:r>
    </w:p>
    <w:p w14:paraId="32FC7261" w14:textId="77777777" w:rsidR="00623802" w:rsidRPr="00F76E2D" w:rsidRDefault="00623802" w:rsidP="00623802">
      <w:pPr>
        <w:pStyle w:val="NormalWeb"/>
        <w:spacing w:before="0" w:beforeAutospacing="0" w:after="240" w:afterAutospacing="0" w:line="240" w:lineRule="auto"/>
        <w:ind w:left="709" w:right="900"/>
        <w:rPr>
          <w:rFonts w:ascii="Geomanist Light" w:hAnsi="Geomanist Light" w:cs="Arial"/>
          <w:sz w:val="21"/>
          <w:szCs w:val="21"/>
        </w:rPr>
      </w:pPr>
      <w:proofErr w:type="spellStart"/>
      <w:r w:rsidRPr="00F76E2D">
        <w:rPr>
          <w:rFonts w:ascii="Geomanist Light" w:hAnsi="Geomanist Light" w:cs="Arial"/>
          <w:sz w:val="21"/>
          <w:szCs w:val="21"/>
        </w:rPr>
        <w:t>Regiotram</w:t>
      </w:r>
      <w:proofErr w:type="spellEnd"/>
      <w:r w:rsidRPr="00F76E2D">
        <w:rPr>
          <w:rFonts w:ascii="Geomanist Light" w:hAnsi="Geomanist Light" w:cs="Arial"/>
          <w:sz w:val="21"/>
          <w:szCs w:val="21"/>
        </w:rPr>
        <w:t xml:space="preserve">: LP-EFR-009-2019 </w:t>
      </w:r>
    </w:p>
    <w:p w14:paraId="19BCC0DE" w14:textId="77777777" w:rsidR="00623802" w:rsidRPr="00F76E2D" w:rsidRDefault="00623802" w:rsidP="00623802">
      <w:pPr>
        <w:pStyle w:val="NormalWeb"/>
        <w:spacing w:before="0" w:beforeAutospacing="0" w:after="240" w:afterAutospacing="0" w:line="240" w:lineRule="auto"/>
        <w:ind w:left="709" w:right="900"/>
        <w:rPr>
          <w:rFonts w:ascii="Geomanist Light" w:hAnsi="Geomanist Light" w:cs="Arial"/>
          <w:sz w:val="21"/>
          <w:szCs w:val="21"/>
        </w:rPr>
      </w:pPr>
      <w:r w:rsidRPr="00F76E2D">
        <w:rPr>
          <w:rFonts w:ascii="Geomanist Light" w:hAnsi="Geomanist Light" w:cs="Arial"/>
          <w:sz w:val="21"/>
          <w:szCs w:val="21"/>
        </w:rPr>
        <w:t xml:space="preserve">Metro de Bogotá: GT-LPI-001-2018 </w:t>
      </w:r>
    </w:p>
    <w:p w14:paraId="793FBF04" w14:textId="77777777" w:rsidR="00623802" w:rsidRPr="00F76E2D" w:rsidRDefault="00623802" w:rsidP="00623802">
      <w:pPr>
        <w:pStyle w:val="NormalWeb"/>
        <w:spacing w:before="0" w:beforeAutospacing="0" w:after="240" w:afterAutospacing="0" w:line="240" w:lineRule="auto"/>
        <w:ind w:left="709" w:right="900"/>
        <w:rPr>
          <w:rFonts w:ascii="Geomanist Light" w:hAnsi="Geomanist Light" w:cs="Arial"/>
          <w:sz w:val="21"/>
          <w:szCs w:val="21"/>
        </w:rPr>
      </w:pPr>
      <w:proofErr w:type="gramStart"/>
      <w:r w:rsidRPr="00F76E2D">
        <w:rPr>
          <w:rFonts w:ascii="Geomanist Light" w:hAnsi="Geomanist Light" w:cs="Arial"/>
          <w:sz w:val="21"/>
          <w:szCs w:val="21"/>
        </w:rPr>
        <w:t>Me gustaría saber bajo qué condiciones la Ley permite acreditar experiencia de proveedores o terceros que no hacen parte del oferente?</w:t>
      </w:r>
      <w:proofErr w:type="gramEnd"/>
      <w:r w:rsidRPr="00F76E2D">
        <w:rPr>
          <w:rFonts w:ascii="Geomanist Light" w:hAnsi="Geomanist Light" w:cs="Arial"/>
          <w:sz w:val="21"/>
          <w:szCs w:val="21"/>
        </w:rPr>
        <w:t xml:space="preserve"> </w:t>
      </w:r>
    </w:p>
    <w:p w14:paraId="316FFC23" w14:textId="1D8FE967" w:rsidR="00C760C7" w:rsidRPr="00F76E2D" w:rsidRDefault="00623802" w:rsidP="00623802">
      <w:pPr>
        <w:spacing w:after="240" w:line="240" w:lineRule="auto"/>
        <w:ind w:left="708" w:right="709"/>
        <w:rPr>
          <w:rFonts w:ascii="Geomanist Light" w:eastAsia="Times New Roman" w:hAnsi="Geomanist Light" w:cs="Arial"/>
          <w:i/>
          <w:iCs/>
          <w:sz w:val="21"/>
          <w:szCs w:val="21"/>
          <w:lang w:val="es-ES" w:eastAsia="es-MX" w:bidi="es-ES"/>
        </w:rPr>
      </w:pPr>
      <w:proofErr w:type="gramStart"/>
      <w:r w:rsidRPr="00F76E2D">
        <w:rPr>
          <w:rFonts w:ascii="Geomanist Light" w:hAnsi="Geomanist Light" w:cs="Arial"/>
          <w:sz w:val="21"/>
          <w:szCs w:val="21"/>
        </w:rPr>
        <w:t>Es decir, si se demuestra que no hay suficientes empresas en Colombia que puedan acreditar esa experiencia, sería posible acreditar la misma a través de terceros (que no se presentan a la licitación como oferentes)?</w:t>
      </w:r>
      <w:proofErr w:type="gramEnd"/>
      <w:r w:rsidRPr="00F76E2D">
        <w:rPr>
          <w:rFonts w:ascii="Geomanist Light" w:hAnsi="Geomanist Light" w:cs="Arial"/>
          <w:sz w:val="21"/>
          <w:szCs w:val="21"/>
        </w:rPr>
        <w:t>»</w:t>
      </w:r>
    </w:p>
    <w:p w14:paraId="5896A596" w14:textId="7110D2BC" w:rsidR="003C6558" w:rsidRPr="00F76E2D" w:rsidRDefault="003C6558" w:rsidP="0010636B">
      <w:pPr>
        <w:rPr>
          <w:rFonts w:ascii="Geomanist Light" w:eastAsia="Calibri" w:hAnsi="Geomanist Light" w:cs="Arial"/>
          <w:color w:val="000000" w:themeColor="text1"/>
          <w:sz w:val="22"/>
        </w:rPr>
      </w:pPr>
      <w:r w:rsidRPr="00F76E2D">
        <w:rPr>
          <w:rFonts w:ascii="Geomanist Light" w:eastAsia="Calibri" w:hAnsi="Geomanist Light" w:cs="Arial"/>
          <w:color w:val="000000" w:themeColor="text1"/>
          <w:sz w:val="22"/>
        </w:rPr>
        <w:t>Una sociedad subordinada  ̶ filial o subsidiaria ̶ conserva su individualidad respecto de su matriz, y al ser personas jurídicas diferentes adquieren su experiencia de forma personal e independiente, la cual pueden compartir conformando un proponente plural  ̶ unión temporal o consorcio ̶,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de Comercio involucra una persona jurídica y no varias como es el caso de la matriz y sus subordinadas.</w:t>
      </w:r>
    </w:p>
    <w:p w14:paraId="197BB4E4" w14:textId="584BB350" w:rsidR="003902B4" w:rsidRPr="00F76E2D" w:rsidRDefault="003C6558" w:rsidP="00BB220A">
      <w:pPr>
        <w:rPr>
          <w:rFonts w:ascii="Geomanist Light" w:eastAsia="Times New Roman" w:hAnsi="Geomanist Light" w:cs="Arial"/>
          <w:color w:val="000000"/>
          <w:sz w:val="22"/>
          <w:lang w:eastAsia="es-ES_tradnl"/>
        </w:rPr>
      </w:pPr>
      <w:r w:rsidRPr="00F76E2D">
        <w:rPr>
          <w:rFonts w:ascii="Geomanist Light" w:eastAsia="Times New Roman" w:hAnsi="Geomanist Light" w:cs="Arial"/>
          <w:color w:val="000000"/>
          <w:sz w:val="22"/>
          <w:lang w:eastAsia="es-ES_tradnl"/>
        </w:rPr>
        <w:t>Así las cosas, debe resaltarse que l</w:t>
      </w:r>
      <w:r w:rsidR="00B05B7C" w:rsidRPr="00F76E2D">
        <w:rPr>
          <w:rFonts w:ascii="Geomanist Light" w:eastAsia="Times New Roman" w:hAnsi="Geomanist Light" w:cs="Arial"/>
          <w:color w:val="000000"/>
          <w:sz w:val="22"/>
          <w:lang w:eastAsia="es-ES_tradnl"/>
        </w:rPr>
        <w:t>a</w:t>
      </w:r>
      <w:r w:rsidR="00653118" w:rsidRPr="00F76E2D">
        <w:rPr>
          <w:rFonts w:ascii="Geomanist Light" w:eastAsia="Times New Roman" w:hAnsi="Geomanist Light" w:cs="Arial"/>
          <w:color w:val="000000"/>
          <w:sz w:val="22"/>
          <w:lang w:eastAsia="es-ES_tradnl"/>
        </w:rPr>
        <w:t xml:space="preserve"> experiencia tiene un carácter personal, lo cual significa que esta se obtiene por la participación, con anterioridad, en actividades que le permitieron a alguien conocer cómo ejecutar determinado objeto contractual que la entidad ahora pretende desarrollar</w:t>
      </w:r>
      <w:r w:rsidR="003902B4" w:rsidRPr="00F76E2D">
        <w:rPr>
          <w:rFonts w:ascii="Geomanist Light" w:eastAsia="Times New Roman" w:hAnsi="Geomanist Light" w:cs="Arial"/>
          <w:color w:val="000000"/>
          <w:sz w:val="22"/>
          <w:lang w:eastAsia="es-ES_tradnl"/>
        </w:rPr>
        <w:t xml:space="preserve">; por ende, </w:t>
      </w:r>
      <w:r w:rsidR="00653118" w:rsidRPr="00F76E2D">
        <w:rPr>
          <w:rFonts w:ascii="Geomanist Light" w:eastAsia="Times New Roman" w:hAnsi="Geomanist Light" w:cs="Arial"/>
          <w:color w:val="000000"/>
          <w:sz w:val="22"/>
          <w:lang w:eastAsia="es-ES_tradnl"/>
        </w:rPr>
        <w:t xml:space="preserve">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w:t>
      </w:r>
      <w:r w:rsidR="003902B4" w:rsidRPr="00F76E2D">
        <w:rPr>
          <w:rFonts w:ascii="Geomanist Light" w:eastAsia="Times New Roman" w:hAnsi="Geomanist Light" w:cs="Arial"/>
          <w:color w:val="000000"/>
          <w:sz w:val="22"/>
          <w:lang w:eastAsia="es-ES_tradnl"/>
        </w:rPr>
        <w:t xml:space="preserve">Lo anterior, significa que quien tiene la experiencia es en razón a su participación, con anterioridad, en actividades que le permitieron conocer directamente cómo ejecutar el objeto contractual, que la entidad pretende satisfacer ahora. </w:t>
      </w:r>
    </w:p>
    <w:p w14:paraId="545600B3" w14:textId="59ADE0A2" w:rsidR="00BB220A" w:rsidRPr="00F76E2D" w:rsidRDefault="003902B4" w:rsidP="0010636B">
      <w:pPr>
        <w:rPr>
          <w:rFonts w:ascii="Geomanist Light" w:eastAsia="Times New Roman" w:hAnsi="Geomanist Light" w:cs="Arial"/>
          <w:color w:val="000000"/>
          <w:sz w:val="22"/>
          <w:lang w:eastAsia="es-ES_tradnl"/>
        </w:rPr>
      </w:pPr>
      <w:r w:rsidRPr="00F76E2D">
        <w:rPr>
          <w:rFonts w:ascii="Geomanist Light" w:hAnsi="Geomanist Light" w:cs="Arial"/>
          <w:color w:val="000000" w:themeColor="text1"/>
          <w:sz w:val="22"/>
        </w:rPr>
        <w:tab/>
      </w:r>
      <w:r w:rsidR="00BB220A" w:rsidRPr="00F76E2D">
        <w:rPr>
          <w:rFonts w:ascii="Geomanist Light" w:eastAsia="Times New Roman" w:hAnsi="Geomanist Light" w:cs="Arial"/>
          <w:color w:val="000000"/>
          <w:sz w:val="22"/>
          <w:lang w:eastAsia="es-ES_tradnl"/>
        </w:rPr>
        <w:t xml:space="preserve">Ahora bien, sin perjuicio de lo anterior, el Manual explica que la experiencia puede obtenerse directamente o por participar asociado con otra persona, como es el caso de los proponentes plurales, en cuyo evento la experiencia no deja de ser personal, sino que es </w:t>
      </w:r>
      <w:r w:rsidR="00BB220A" w:rsidRPr="00F76E2D">
        <w:rPr>
          <w:rFonts w:ascii="Geomanist Light" w:eastAsia="Times New Roman" w:hAnsi="Geomanist Light" w:cs="Arial"/>
          <w:color w:val="000000"/>
          <w:sz w:val="22"/>
          <w:lang w:eastAsia="es-ES_tradnl"/>
        </w:rPr>
        <w:lastRenderedPageBreak/>
        <w:t>proporcional a la participación como miembro de un consorcio o unión temporal. Por tratarse de esquemas asociativos, en estos casos la experiencia es compartida.</w:t>
      </w:r>
    </w:p>
    <w:p w14:paraId="4A074CA0" w14:textId="1BD8E4B7" w:rsidR="00474929" w:rsidRPr="00F76E2D" w:rsidRDefault="00474929" w:rsidP="00ED1C5C">
      <w:pPr>
        <w:spacing w:after="240"/>
        <w:rPr>
          <w:rFonts w:ascii="Geomanist Light" w:eastAsia="Times New Roman" w:hAnsi="Geomanist Light" w:cs="Arial"/>
          <w:szCs w:val="24"/>
          <w:lang w:val="es-CO" w:eastAsia="es-ES_tradnl"/>
        </w:rPr>
      </w:pPr>
      <w:r w:rsidRPr="00F76E2D">
        <w:rPr>
          <w:rFonts w:ascii="Geomanist Light" w:eastAsia="Calibri" w:hAnsi="Geomanist Light" w:cs="Arial"/>
          <w:sz w:val="22"/>
          <w:lang w:val="es-CO"/>
        </w:rPr>
        <w:t>Este concepto tiene el alcance previsto en el artículo 28 del Código de Procedimiento Administrativo y de lo Contencioso Administrativo.</w:t>
      </w:r>
    </w:p>
    <w:p w14:paraId="151370CB" w14:textId="58F27063" w:rsidR="00474929" w:rsidRPr="00F76E2D" w:rsidRDefault="00474929" w:rsidP="00474929">
      <w:pPr>
        <w:rPr>
          <w:rFonts w:ascii="Geomanist Light" w:eastAsia="Times New Roman" w:hAnsi="Geomanist Light" w:cs="Arial"/>
          <w:sz w:val="22"/>
          <w:lang w:val="es-CO" w:eastAsia="es-CO"/>
        </w:rPr>
      </w:pPr>
      <w:r w:rsidRPr="00F76E2D">
        <w:rPr>
          <w:rFonts w:ascii="Geomanist Light" w:eastAsia="Times New Roman" w:hAnsi="Geomanist Light" w:cs="Arial"/>
          <w:sz w:val="22"/>
          <w:lang w:val="es-CO" w:eastAsia="es-CO"/>
        </w:rPr>
        <w:t>Atentamente,</w:t>
      </w:r>
      <w:bookmarkEnd w:id="1"/>
      <w:bookmarkEnd w:id="6"/>
    </w:p>
    <w:p w14:paraId="726F3CD1" w14:textId="19B18CCB" w:rsidR="00290391" w:rsidRPr="00F76E2D" w:rsidRDefault="00304AF4" w:rsidP="00290391">
      <w:pPr>
        <w:spacing w:before="120" w:after="120"/>
        <w:jc w:val="center"/>
        <w:rPr>
          <w:rFonts w:ascii="Geomanist Light" w:eastAsia="Calibri" w:hAnsi="Geomanist Light" w:cs="Arial"/>
        </w:rPr>
      </w:pPr>
      <w:r>
        <w:rPr>
          <w:noProof/>
          <w:lang w:val="en-US"/>
        </w:rPr>
        <w:drawing>
          <wp:inline distT="0" distB="0" distL="0" distR="0" wp14:anchorId="4B730E07" wp14:editId="17EE0AEC">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307D137D" w14:textId="77777777" w:rsidR="00290391" w:rsidRPr="00F76E2D" w:rsidRDefault="00290391" w:rsidP="00290391">
      <w:pPr>
        <w:spacing w:before="120" w:after="120"/>
        <w:jc w:val="center"/>
        <w:rPr>
          <w:rFonts w:ascii="Geomanist Light" w:eastAsia="Calibri" w:hAnsi="Geomanist Light" w:cs="Aria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290391" w:rsidRPr="00F76E2D" w14:paraId="504E0872" w14:textId="77777777" w:rsidTr="0018008A">
        <w:trPr>
          <w:trHeight w:val="286"/>
        </w:trPr>
        <w:tc>
          <w:tcPr>
            <w:tcW w:w="817" w:type="dxa"/>
            <w:vAlign w:val="center"/>
          </w:tcPr>
          <w:p w14:paraId="49617C19"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Elaboró:</w:t>
            </w:r>
          </w:p>
        </w:tc>
        <w:tc>
          <w:tcPr>
            <w:tcW w:w="4445" w:type="dxa"/>
            <w:tcBorders>
              <w:bottom w:val="dotted" w:sz="4" w:space="0" w:color="7F7F7F"/>
            </w:tcBorders>
            <w:vAlign w:val="center"/>
          </w:tcPr>
          <w:p w14:paraId="3BE2B52E"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 xml:space="preserve">Diana Fabiola Herrera Hernández </w:t>
            </w:r>
          </w:p>
          <w:p w14:paraId="034D8759"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Contratista de la Subdirección de Gestión Contractual</w:t>
            </w:r>
          </w:p>
        </w:tc>
      </w:tr>
      <w:tr w:rsidR="00290391" w:rsidRPr="00F76E2D" w14:paraId="7C98C13D" w14:textId="77777777" w:rsidTr="0018008A">
        <w:trPr>
          <w:trHeight w:val="286"/>
        </w:trPr>
        <w:tc>
          <w:tcPr>
            <w:tcW w:w="817" w:type="dxa"/>
            <w:vAlign w:val="center"/>
          </w:tcPr>
          <w:p w14:paraId="5CA6D036"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Revisó:</w:t>
            </w:r>
          </w:p>
        </w:tc>
        <w:tc>
          <w:tcPr>
            <w:tcW w:w="4445" w:type="dxa"/>
            <w:tcBorders>
              <w:bottom w:val="dotted" w:sz="4" w:space="0" w:color="7F7F7F"/>
            </w:tcBorders>
            <w:vAlign w:val="center"/>
          </w:tcPr>
          <w:p w14:paraId="068E8D73" w14:textId="7BB936D4" w:rsidR="00290391" w:rsidRPr="00F76E2D" w:rsidRDefault="00290391" w:rsidP="009236A6">
            <w:pPr>
              <w:spacing w:after="0" w:line="240" w:lineRule="auto"/>
              <w:rPr>
                <w:rFonts w:ascii="Geomanist Light" w:hAnsi="Geomanist Light" w:cs="Arial"/>
                <w:sz w:val="16"/>
                <w:szCs w:val="16"/>
              </w:rPr>
            </w:pPr>
            <w:proofErr w:type="spellStart"/>
            <w:r w:rsidRPr="00F76E2D">
              <w:rPr>
                <w:rFonts w:ascii="Geomanist Light" w:hAnsi="Geomanist Light" w:cs="Arial"/>
                <w:sz w:val="16"/>
                <w:szCs w:val="16"/>
              </w:rPr>
              <w:t>Nathalia</w:t>
            </w:r>
            <w:proofErr w:type="spellEnd"/>
            <w:r w:rsidRPr="00F76E2D">
              <w:rPr>
                <w:rFonts w:ascii="Geomanist Light" w:hAnsi="Geomanist Light" w:cs="Arial"/>
                <w:sz w:val="16"/>
                <w:szCs w:val="16"/>
              </w:rPr>
              <w:t xml:space="preserve"> Andrea Urrego Jiménez </w:t>
            </w:r>
          </w:p>
          <w:p w14:paraId="25D5227C"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Contratista de la Subdirección de Gestión Contractual</w:t>
            </w:r>
          </w:p>
        </w:tc>
      </w:tr>
      <w:tr w:rsidR="00290391" w:rsidRPr="00F76E2D" w14:paraId="03ADD563" w14:textId="77777777" w:rsidTr="0018008A">
        <w:trPr>
          <w:trHeight w:val="299"/>
        </w:trPr>
        <w:tc>
          <w:tcPr>
            <w:tcW w:w="817" w:type="dxa"/>
            <w:vAlign w:val="center"/>
          </w:tcPr>
          <w:p w14:paraId="0B3A4B55"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5668AD41"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 xml:space="preserve">Nohelia del Carmen </w:t>
            </w:r>
            <w:proofErr w:type="spellStart"/>
            <w:r w:rsidRPr="00F76E2D">
              <w:rPr>
                <w:rFonts w:ascii="Geomanist Light" w:hAnsi="Geomanist Light" w:cs="Arial"/>
                <w:sz w:val="16"/>
                <w:szCs w:val="16"/>
              </w:rPr>
              <w:t>Zawady</w:t>
            </w:r>
            <w:proofErr w:type="spellEnd"/>
            <w:r w:rsidRPr="00F76E2D">
              <w:rPr>
                <w:rFonts w:ascii="Geomanist Light" w:hAnsi="Geomanist Light" w:cs="Arial"/>
                <w:sz w:val="16"/>
                <w:szCs w:val="16"/>
              </w:rPr>
              <w:t xml:space="preserve"> Palacio</w:t>
            </w:r>
          </w:p>
          <w:p w14:paraId="08CB8B5B" w14:textId="77777777" w:rsidR="00290391" w:rsidRPr="00F76E2D" w:rsidRDefault="00290391" w:rsidP="009236A6">
            <w:pPr>
              <w:spacing w:after="0" w:line="240" w:lineRule="auto"/>
              <w:rPr>
                <w:rFonts w:ascii="Geomanist Light" w:hAnsi="Geomanist Light" w:cs="Arial"/>
                <w:sz w:val="16"/>
                <w:szCs w:val="16"/>
              </w:rPr>
            </w:pPr>
            <w:r w:rsidRPr="00F76E2D">
              <w:rPr>
                <w:rFonts w:ascii="Geomanist Light" w:hAnsi="Geomanist Light" w:cs="Arial"/>
                <w:sz w:val="16"/>
                <w:szCs w:val="16"/>
              </w:rPr>
              <w:t xml:space="preserve">Subdirectora de Gestión Contractual ANCP – CCE </w:t>
            </w:r>
          </w:p>
        </w:tc>
      </w:tr>
    </w:tbl>
    <w:p w14:paraId="67CE5A68" w14:textId="77777777" w:rsidR="00290391" w:rsidRPr="00F76E2D" w:rsidRDefault="00290391" w:rsidP="00474929">
      <w:pPr>
        <w:rPr>
          <w:rFonts w:ascii="Geomanist Light" w:eastAsia="Times New Roman" w:hAnsi="Geomanist Light" w:cs="Arial"/>
          <w:sz w:val="22"/>
          <w:lang w:val="es-CO" w:eastAsia="es-CO"/>
        </w:rPr>
      </w:pPr>
    </w:p>
    <w:p w14:paraId="25DAC6FB" w14:textId="39CBC286" w:rsidR="00474929" w:rsidRPr="00F76E2D" w:rsidRDefault="00474929" w:rsidP="00474929">
      <w:pPr>
        <w:jc w:val="center"/>
        <w:rPr>
          <w:rFonts w:ascii="Geomanist Light" w:eastAsia="Times New Roman" w:hAnsi="Geomanist Light" w:cs="Arial"/>
          <w:color w:val="000000"/>
          <w:lang w:val="es-ES_tradnl" w:eastAsia="es-CO"/>
        </w:rPr>
      </w:pPr>
    </w:p>
    <w:p w14:paraId="7635A2DF" w14:textId="77777777" w:rsidR="00651A7A" w:rsidRPr="00F76E2D" w:rsidRDefault="00651A7A">
      <w:pPr>
        <w:rPr>
          <w:rFonts w:ascii="Geomanist Light" w:hAnsi="Geomanist Light" w:cs="Arial"/>
        </w:rPr>
      </w:pPr>
    </w:p>
    <w:sectPr w:rsidR="00651A7A" w:rsidRPr="00F76E2D" w:rsidSect="00491E2D">
      <w:headerReference w:type="default" r:id="rId13"/>
      <w:footerReference w:type="default" r:id="rId14"/>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DCCEA" w14:textId="77777777" w:rsidR="004358AB" w:rsidRDefault="004358AB" w:rsidP="00474929">
      <w:pPr>
        <w:spacing w:after="0" w:line="240" w:lineRule="auto"/>
      </w:pPr>
      <w:r>
        <w:separator/>
      </w:r>
    </w:p>
  </w:endnote>
  <w:endnote w:type="continuationSeparator" w:id="0">
    <w:p w14:paraId="0E490718" w14:textId="77777777" w:rsidR="004358AB" w:rsidRDefault="004358AB" w:rsidP="00474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37E42" w14:textId="77777777" w:rsidR="00993A2A" w:rsidRDefault="00993A2A" w:rsidP="00993A2A">
    <w:pPr>
      <w:pStyle w:val="Piedepgina"/>
      <w:spacing w:after="0"/>
    </w:pPr>
    <w:r>
      <w:rPr>
        <w:noProof/>
        <w:lang w:val="en-US"/>
      </w:rPr>
      <w:drawing>
        <wp:inline distT="0" distB="0" distL="0" distR="0" wp14:anchorId="10148073" wp14:editId="7D907C7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70127B63"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14F8086"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2024049"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B6925C9"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BDB5939" w14:textId="77777777" w:rsidR="00993A2A" w:rsidRPr="004B6B0E" w:rsidRDefault="00993A2A"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8FACB4F" w14:textId="77777777"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85642E2" w14:textId="77777777" w:rsidR="00993A2A" w:rsidRPr="00080DA3" w:rsidRDefault="00993A2A"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0509FE2" w14:textId="20315F4B" w:rsidR="00993A2A" w:rsidRPr="00080DA3" w:rsidRDefault="00993A2A"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304AF4">
            <w:rPr>
              <w:rFonts w:ascii="Geomanist Light" w:hAnsi="Geomanist Light"/>
              <w:b/>
              <w:bCs/>
              <w:noProof/>
              <w:sz w:val="18"/>
              <w:szCs w:val="18"/>
            </w:rPr>
            <w:t>16</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304AF4">
            <w:rPr>
              <w:rFonts w:ascii="Geomanist Light" w:hAnsi="Geomanist Light"/>
              <w:b/>
              <w:bCs/>
              <w:noProof/>
              <w:sz w:val="18"/>
              <w:szCs w:val="18"/>
            </w:rPr>
            <w:t>17</w:t>
          </w:r>
          <w:r w:rsidRPr="00080DA3">
            <w:rPr>
              <w:rFonts w:ascii="Geomanist Light" w:hAnsi="Geomanist Light"/>
              <w:b/>
              <w:bCs/>
              <w:sz w:val="18"/>
              <w:szCs w:val="18"/>
            </w:rPr>
            <w:fldChar w:fldCharType="end"/>
          </w:r>
        </w:p>
      </w:tc>
    </w:tr>
  </w:tbl>
  <w:p w14:paraId="2FFD125C"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92131" w14:textId="77777777" w:rsidR="004358AB" w:rsidRDefault="004358AB" w:rsidP="00474929">
      <w:pPr>
        <w:spacing w:after="0" w:line="240" w:lineRule="auto"/>
      </w:pPr>
      <w:r>
        <w:separator/>
      </w:r>
    </w:p>
  </w:footnote>
  <w:footnote w:type="continuationSeparator" w:id="0">
    <w:p w14:paraId="1B5C1614" w14:textId="77777777" w:rsidR="004358AB" w:rsidRDefault="004358AB" w:rsidP="00474929">
      <w:pPr>
        <w:spacing w:after="0" w:line="240" w:lineRule="auto"/>
      </w:pPr>
      <w:r>
        <w:continuationSeparator/>
      </w:r>
    </w:p>
  </w:footnote>
  <w:footnote w:id="1">
    <w:p w14:paraId="4D1728AB"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C801718"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w:t>
      </w:r>
    </w:p>
    <w:p w14:paraId="2902BE93"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955D27C"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C78CB05" w14:textId="77777777" w:rsidR="005E587A" w:rsidRPr="0010636B" w:rsidRDefault="005E587A" w:rsidP="005E587A">
      <w:pPr>
        <w:pStyle w:val="Textonotapie"/>
        <w:spacing w:after="0" w:line="240" w:lineRule="auto"/>
        <w:ind w:firstLine="709"/>
        <w:rPr>
          <w:rFonts w:ascii="Geomanist Light" w:hAnsi="Geomanist Light" w:cs="Arial"/>
          <w:sz w:val="16"/>
          <w:szCs w:val="16"/>
          <w:lang w:val="es-ES"/>
        </w:rPr>
      </w:pPr>
    </w:p>
  </w:footnote>
  <w:footnote w:id="2">
    <w:p w14:paraId="61114ED7"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0A67A4"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»1.    Si es una persona natural:</w:t>
      </w:r>
    </w:p>
    <w:p w14:paraId="5A37011A"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»1.1. Bienes, obras y servicios que ofrecerá a las Entidades Estatales, identificados con el Clasificador de Bienes y Servicios en el tercer nivel.</w:t>
      </w:r>
    </w:p>
    <w:p w14:paraId="0B322C79"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1EE0D242" w14:textId="77777777" w:rsidR="005E587A" w:rsidRPr="0010636B" w:rsidRDefault="005E587A" w:rsidP="005E587A">
      <w:pPr>
        <w:pStyle w:val="Textonotapie"/>
        <w:spacing w:after="0" w:line="240" w:lineRule="auto"/>
        <w:ind w:firstLine="709"/>
        <w:rPr>
          <w:rFonts w:ascii="Geomanist Light" w:hAnsi="Geomanist Light" w:cs="Arial"/>
          <w:sz w:val="16"/>
          <w:szCs w:val="16"/>
          <w:lang w:val="es-ES"/>
        </w:rPr>
      </w:pPr>
    </w:p>
  </w:footnote>
  <w:footnote w:id="3">
    <w:p w14:paraId="31EEFF93"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38CF7CD3"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0AF47D01"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w:t>
      </w:r>
    </w:p>
    <w:p w14:paraId="606C3460"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32223CBD"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680EDC8" w14:textId="77777777" w:rsidR="005E587A" w:rsidRPr="0010636B" w:rsidRDefault="005E587A" w:rsidP="005E587A">
      <w:pPr>
        <w:pStyle w:val="Textonotapie"/>
        <w:spacing w:after="0" w:line="240" w:lineRule="auto"/>
        <w:ind w:firstLine="709"/>
        <w:rPr>
          <w:rFonts w:ascii="Geomanist Light" w:hAnsi="Geomanist Light" w:cs="Arial"/>
          <w:sz w:val="16"/>
          <w:szCs w:val="16"/>
        </w:rPr>
      </w:pPr>
      <w:r w:rsidRPr="0010636B">
        <w:rPr>
          <w:rFonts w:ascii="Geomanist Light" w:hAnsi="Geomanist Light" w:cs="Arial"/>
          <w:sz w:val="16"/>
          <w:szCs w:val="16"/>
        </w:rPr>
        <w:t>[...]».</w:t>
      </w:r>
    </w:p>
    <w:p w14:paraId="7B2F0AAA" w14:textId="77777777" w:rsidR="005E587A" w:rsidRPr="0010636B" w:rsidRDefault="005E587A" w:rsidP="005E587A">
      <w:pPr>
        <w:pStyle w:val="Textonotapie"/>
        <w:spacing w:after="0" w:line="240" w:lineRule="auto"/>
        <w:ind w:firstLine="709"/>
        <w:rPr>
          <w:rFonts w:ascii="Geomanist Light" w:hAnsi="Geomanist Light" w:cs="Arial"/>
          <w:sz w:val="16"/>
          <w:szCs w:val="16"/>
        </w:rPr>
      </w:pPr>
    </w:p>
  </w:footnote>
  <w:footnote w:id="4">
    <w:p w14:paraId="44ACF594" w14:textId="041F98D4" w:rsidR="00B05B7C" w:rsidRPr="0010636B" w:rsidRDefault="00B05B7C" w:rsidP="0098340F">
      <w:pPr>
        <w:pStyle w:val="Textonotapie"/>
        <w:ind w:firstLine="708"/>
        <w:rPr>
          <w:rFonts w:ascii="Geomanist Light" w:hAnsi="Geomanist Light" w:cs="Arial"/>
          <w:sz w:val="16"/>
          <w:szCs w:val="16"/>
        </w:rPr>
      </w:pPr>
      <w:r w:rsidRPr="0010636B">
        <w:rPr>
          <w:rStyle w:val="Refdenotaalpie"/>
          <w:rFonts w:ascii="Geomanist Light" w:hAnsi="Geomanist Light"/>
          <w:sz w:val="16"/>
          <w:szCs w:val="16"/>
        </w:rPr>
        <w:footnoteRef/>
      </w:r>
      <w:r w:rsidRPr="0010636B">
        <w:rPr>
          <w:rFonts w:ascii="Geomanist Light" w:hAnsi="Geomanist Light"/>
          <w:sz w:val="16"/>
          <w:szCs w:val="16"/>
        </w:rPr>
        <w:t xml:space="preserve"> </w:t>
      </w:r>
      <w:r w:rsidRPr="0010636B">
        <w:rPr>
          <w:rFonts w:ascii="Geomanist Light" w:hAnsi="Geomanist Light" w:cs="Arial"/>
          <w:sz w:val="16"/>
          <w:szCs w:val="16"/>
        </w:rPr>
        <w:t>Esta conclusión cambió respecto del concepto C – 002 del 20 de febrero de 2020, para adecuarla a un mejor entendimiento de las normas sobre la experiencia.</w:t>
      </w:r>
    </w:p>
  </w:footnote>
  <w:footnote w:id="5">
    <w:p w14:paraId="1BC682A9" w14:textId="77777777" w:rsidR="00F66826" w:rsidRPr="0010636B" w:rsidRDefault="00F66826" w:rsidP="00F66826">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7C810596" w14:textId="4B369F8F" w:rsidR="00F66826" w:rsidRPr="0010636B" w:rsidRDefault="00F66826" w:rsidP="0098340F">
      <w:pPr>
        <w:pStyle w:val="Textonotapie"/>
        <w:ind w:firstLine="708"/>
        <w:rPr>
          <w:rFonts w:ascii="Geomanist Light" w:hAnsi="Geomanist Light" w:cs="Arial"/>
          <w:sz w:val="16"/>
          <w:szCs w:val="16"/>
        </w:rPr>
      </w:pPr>
      <w:r w:rsidRPr="0010636B">
        <w:rPr>
          <w:rFonts w:ascii="Geomanist Light" w:hAnsi="Geomanist Light" w:cs="Arial"/>
          <w:sz w:val="16"/>
          <w:szCs w:val="16"/>
        </w:rPr>
        <w:t>»El nombre de la sociedad disuelta deberá adicionarse siempre con la expresión ‘en liquidación’. Los encargados de realizarla responderán de los daños y perjuicios que se deriven por dicha omisión».</w:t>
      </w:r>
    </w:p>
  </w:footnote>
  <w:footnote w:id="6">
    <w:p w14:paraId="7CC05462" w14:textId="77777777" w:rsidR="00F66826" w:rsidRPr="0010636B" w:rsidRDefault="00F66826" w:rsidP="00F66826">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Ver artículos 225 y ss. del Código de Comercio.</w:t>
      </w:r>
    </w:p>
    <w:p w14:paraId="79722E68" w14:textId="77777777" w:rsidR="00F66826" w:rsidRPr="0010636B" w:rsidRDefault="00F66826" w:rsidP="00F66826">
      <w:pPr>
        <w:pStyle w:val="Textonotapie"/>
        <w:ind w:firstLine="708"/>
        <w:rPr>
          <w:rFonts w:ascii="Geomanist Light" w:hAnsi="Geomanist Light" w:cs="Arial"/>
          <w:sz w:val="16"/>
          <w:szCs w:val="16"/>
          <w:lang w:val="es-CO"/>
        </w:rPr>
      </w:pPr>
      <w:r w:rsidRPr="0010636B">
        <w:rPr>
          <w:rFonts w:ascii="Geomanist Light" w:hAnsi="Geomanist Light" w:cs="Arial"/>
          <w:sz w:val="16"/>
          <w:szCs w:val="16"/>
        </w:rPr>
        <w:t xml:space="preserve"> </w:t>
      </w:r>
    </w:p>
  </w:footnote>
  <w:footnote w:id="7">
    <w:p w14:paraId="2C6B40E5" w14:textId="77777777" w:rsidR="00F66826" w:rsidRPr="0010636B" w:rsidRDefault="00F66826" w:rsidP="00F66826">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29A56770" w14:textId="77777777" w:rsidR="00F66826" w:rsidRPr="0010636B" w:rsidRDefault="00F66826" w:rsidP="00F66826">
      <w:pPr>
        <w:pStyle w:val="Textonotapie"/>
        <w:ind w:firstLine="708"/>
        <w:rPr>
          <w:rFonts w:ascii="Geomanist Light" w:hAnsi="Geomanist Light" w:cs="Arial"/>
          <w:sz w:val="16"/>
          <w:szCs w:val="16"/>
        </w:rPr>
      </w:pPr>
      <w:r w:rsidRPr="0010636B">
        <w:rPr>
          <w:rFonts w:ascii="Geomanist Light" w:hAnsi="Geomanist Light" w:cs="Arial"/>
          <w:sz w:val="16"/>
          <w:szCs w:val="16"/>
        </w:rPr>
        <w:t>»La transformación no producirá solución de continuidad en la existencia de la sociedad como persona jurídica, ni en sus actividades ni en su patrimonio».</w:t>
      </w:r>
    </w:p>
    <w:p w14:paraId="497DE9C9" w14:textId="77777777" w:rsidR="00F66826" w:rsidRPr="0010636B" w:rsidRDefault="00F66826" w:rsidP="00F66826">
      <w:pPr>
        <w:pStyle w:val="Textonotapie"/>
        <w:ind w:firstLine="708"/>
        <w:rPr>
          <w:rFonts w:ascii="Geomanist Light" w:hAnsi="Geomanist Light" w:cs="Arial"/>
          <w:sz w:val="16"/>
          <w:szCs w:val="16"/>
        </w:rPr>
      </w:pPr>
    </w:p>
  </w:footnote>
  <w:footnote w:id="8">
    <w:p w14:paraId="7E7EA366" w14:textId="77777777" w:rsidR="00F66826" w:rsidRPr="0010636B" w:rsidRDefault="00F66826" w:rsidP="00F66826">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Ley 222 de 1995: «Artículo 3. Modalidades. Habrá escisión cuando:</w:t>
      </w:r>
    </w:p>
    <w:p w14:paraId="5B4F8906" w14:textId="77777777" w:rsidR="00F66826" w:rsidRPr="0010636B" w:rsidRDefault="00F66826" w:rsidP="00F66826">
      <w:pPr>
        <w:pStyle w:val="Textonotapie"/>
        <w:ind w:firstLine="708"/>
        <w:rPr>
          <w:rFonts w:ascii="Geomanist Light" w:hAnsi="Geomanist Light" w:cs="Arial"/>
          <w:sz w:val="16"/>
          <w:szCs w:val="16"/>
        </w:rPr>
      </w:pPr>
      <w:r w:rsidRPr="0010636B">
        <w:rPr>
          <w:rFonts w:ascii="Geomanist Light" w:hAnsi="Geomanist Light" w:cs="Arial"/>
          <w:sz w:val="16"/>
          <w:szCs w:val="16"/>
        </w:rPr>
        <w:t>»1. Una sociedad sin disolverse, transfiere en bloque una o varias partes de su patrimonio a una o más sociedades existentes o las destina a la creación de una o varias sociedades.</w:t>
      </w:r>
    </w:p>
    <w:p w14:paraId="15488685" w14:textId="77777777" w:rsidR="00F66826" w:rsidRPr="0010636B" w:rsidRDefault="00F66826" w:rsidP="00F66826">
      <w:pPr>
        <w:pStyle w:val="Textonotapie"/>
        <w:ind w:firstLine="708"/>
        <w:rPr>
          <w:rFonts w:ascii="Geomanist Light" w:hAnsi="Geomanist Light" w:cs="Arial"/>
          <w:sz w:val="16"/>
          <w:szCs w:val="16"/>
        </w:rPr>
      </w:pPr>
      <w:r w:rsidRPr="0010636B">
        <w:rPr>
          <w:rFonts w:ascii="Geomanist Light" w:hAnsi="Geomanist Light" w:cs="Arial"/>
          <w:sz w:val="16"/>
          <w:szCs w:val="16"/>
        </w:rPr>
        <w:t>»2. Una sociedad se disuelve sin liquidarse, dividiendo su patrimonio en dos o más partes, que se transfieren a varias sociedades existentes o se destinan a la creación de nuevas sociedades.</w:t>
      </w:r>
    </w:p>
    <w:p w14:paraId="1A5D5FE8" w14:textId="77777777" w:rsidR="00F66826" w:rsidRPr="0010636B" w:rsidRDefault="00F66826" w:rsidP="00F66826">
      <w:pPr>
        <w:pStyle w:val="Textonotapie"/>
        <w:ind w:firstLine="708"/>
        <w:rPr>
          <w:rFonts w:ascii="Geomanist Light" w:hAnsi="Geomanist Light" w:cs="Arial"/>
          <w:sz w:val="16"/>
          <w:szCs w:val="16"/>
        </w:rPr>
      </w:pPr>
      <w:r w:rsidRPr="0010636B">
        <w:rPr>
          <w:rFonts w:ascii="Geomanist Light" w:hAnsi="Geomanist Light" w:cs="Arial"/>
          <w:sz w:val="16"/>
          <w:szCs w:val="16"/>
        </w:rPr>
        <w:t>»La sociedad o sociedades destinatarias de las transferencias resultantes de la escisión, se denominarán sociedades beneficiarias.</w:t>
      </w:r>
    </w:p>
    <w:p w14:paraId="0B34F49E" w14:textId="77777777" w:rsidR="00F66826" w:rsidRPr="0010636B" w:rsidRDefault="00F66826" w:rsidP="00F66826">
      <w:pPr>
        <w:pStyle w:val="Textonotapie"/>
        <w:ind w:firstLine="708"/>
        <w:rPr>
          <w:rFonts w:ascii="Geomanist Light" w:hAnsi="Geomanist Light" w:cs="Arial"/>
          <w:sz w:val="16"/>
          <w:szCs w:val="16"/>
          <w:lang w:val="es-CO"/>
        </w:rPr>
      </w:pPr>
      <w:r w:rsidRPr="0010636B">
        <w:rPr>
          <w:rFonts w:ascii="Geomanist Light" w:hAnsi="Geomanist Light" w:cs="Arial"/>
          <w:sz w:val="16"/>
          <w:szCs w:val="16"/>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9">
    <w:p w14:paraId="099900C2" w14:textId="77777777" w:rsidR="00F66826" w:rsidRPr="0010636B" w:rsidRDefault="00F66826" w:rsidP="00F66826">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Código de Comercio: «Artículo 172. Fusión de la sociedad-concepto. Habrá fusión cuando una o más sociedades se disuelvan, sin liquidarse, para ser absorbidas por otra o para crear una nueva.</w:t>
      </w:r>
    </w:p>
    <w:p w14:paraId="299200C4" w14:textId="099400AD" w:rsidR="00F66826" w:rsidRPr="0010636B" w:rsidRDefault="00F66826" w:rsidP="0098340F">
      <w:pPr>
        <w:pStyle w:val="Textonotapie"/>
        <w:ind w:firstLine="708"/>
        <w:rPr>
          <w:rFonts w:ascii="Geomanist Light" w:hAnsi="Geomanist Light" w:cs="Arial"/>
          <w:sz w:val="16"/>
          <w:szCs w:val="16"/>
        </w:rPr>
      </w:pPr>
      <w:r w:rsidRPr="0010636B">
        <w:rPr>
          <w:rFonts w:ascii="Geomanist Light" w:hAnsi="Geomanist Light" w:cs="Arial"/>
          <w:sz w:val="16"/>
          <w:szCs w:val="16"/>
        </w:rPr>
        <w:t>»La absorbente o la nueva compañía adquirirá los derechos y obligaciones de la sociedad o sociedades disueltas al formalizarse el acuerdo de fusión».</w:t>
      </w:r>
    </w:p>
  </w:footnote>
  <w:footnote w:id="10">
    <w:p w14:paraId="26A92448" w14:textId="0DEAAA84" w:rsidR="00F66826" w:rsidRPr="0010636B" w:rsidRDefault="00F66826" w:rsidP="0098340F">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footnote>
  <w:footnote w:id="11">
    <w:p w14:paraId="41E19887" w14:textId="77777777" w:rsidR="00F66826" w:rsidRPr="0010636B" w:rsidRDefault="00F66826" w:rsidP="00F66826">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06A539A1" w14:textId="77777777" w:rsidR="00F66826" w:rsidRPr="0010636B" w:rsidRDefault="00F66826" w:rsidP="00F66826">
      <w:pPr>
        <w:pStyle w:val="Textonotapie"/>
        <w:ind w:firstLine="708"/>
        <w:rPr>
          <w:rFonts w:ascii="Geomanist Light" w:hAnsi="Geomanist Light" w:cs="Arial"/>
          <w:sz w:val="16"/>
          <w:szCs w:val="16"/>
        </w:rPr>
      </w:pPr>
      <w:r w:rsidRPr="0010636B">
        <w:rPr>
          <w:rFonts w:ascii="Geomanist Light" w:hAnsi="Geomanist Light" w:cs="Arial"/>
          <w:sz w:val="16"/>
          <w:szCs w:val="16"/>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294E766C" w14:textId="7E9C503B" w:rsidR="00F66826" w:rsidRPr="0010636B" w:rsidRDefault="00F66826" w:rsidP="0098340F">
      <w:pPr>
        <w:pStyle w:val="Textonotapie"/>
        <w:ind w:firstLine="708"/>
        <w:rPr>
          <w:rFonts w:ascii="Geomanist Light" w:hAnsi="Geomanist Light" w:cs="Arial"/>
          <w:sz w:val="16"/>
          <w:szCs w:val="16"/>
        </w:rPr>
      </w:pPr>
      <w:r w:rsidRPr="0010636B">
        <w:rPr>
          <w:rFonts w:ascii="Geomanist Light" w:hAnsi="Geomanist Light" w:cs="Arial"/>
          <w:sz w:val="16"/>
          <w:szCs w:val="16"/>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footnote>
  <w:footnote w:id="12">
    <w:p w14:paraId="4221C7E7" w14:textId="77777777" w:rsidR="00F66826" w:rsidRPr="0010636B" w:rsidRDefault="00F66826" w:rsidP="00F66826">
      <w:pPr>
        <w:pStyle w:val="Textonotapie"/>
        <w:ind w:firstLine="708"/>
        <w:rPr>
          <w:rFonts w:ascii="Geomanist Light" w:hAnsi="Geomanist Light" w:cs="Arial"/>
          <w:sz w:val="16"/>
          <w:szCs w:val="16"/>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Superintendencia de Sociedades. Oficios 220-072759 del 14 de mayo de 2014, 220-100613 del 14 de julio de 2015, 220-079814 del 31 de agosto de 2015,220-142284 del 15 de julio de 2016, 095721 del 16 de junio de 2020.</w:t>
      </w:r>
    </w:p>
    <w:p w14:paraId="24FECB60" w14:textId="77777777" w:rsidR="00F66826" w:rsidRPr="0010636B" w:rsidRDefault="00F66826" w:rsidP="00F66826">
      <w:pPr>
        <w:pStyle w:val="Textonotapie"/>
        <w:ind w:firstLine="708"/>
        <w:rPr>
          <w:rFonts w:ascii="Geomanist Light" w:hAnsi="Geomanist Light" w:cs="Arial"/>
          <w:sz w:val="16"/>
          <w:szCs w:val="16"/>
          <w:lang w:val="es-CO"/>
        </w:rPr>
      </w:pPr>
    </w:p>
  </w:footnote>
  <w:footnote w:id="13">
    <w:p w14:paraId="5DCCEF46" w14:textId="77777777" w:rsidR="00F66826" w:rsidRPr="0010636B" w:rsidRDefault="00F66826" w:rsidP="00F66826">
      <w:pPr>
        <w:pStyle w:val="Textonotapie"/>
        <w:ind w:firstLine="708"/>
        <w:rPr>
          <w:rFonts w:ascii="Geomanist Light" w:hAnsi="Geomanist Light"/>
          <w:sz w:val="16"/>
          <w:szCs w:val="16"/>
          <w:lang w:val="es-CO"/>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Superintendencia de Sociedades. Oficio 220- 063311 del 6 de abril de 2020.</w:t>
      </w:r>
    </w:p>
  </w:footnote>
  <w:footnote w:id="14">
    <w:p w14:paraId="1A04429F" w14:textId="77777777" w:rsidR="00F66826" w:rsidRPr="0010636B" w:rsidRDefault="00F66826" w:rsidP="00F66826">
      <w:pPr>
        <w:pStyle w:val="Textonotapie"/>
        <w:ind w:firstLine="708"/>
        <w:rPr>
          <w:rFonts w:ascii="Geomanist Light" w:hAnsi="Geomanist Light" w:cs="Arial"/>
          <w:sz w:val="16"/>
          <w:szCs w:val="16"/>
          <w:lang w:val="es-CO"/>
        </w:rPr>
      </w:pPr>
      <w:r w:rsidRPr="0010636B">
        <w:rPr>
          <w:rStyle w:val="Refdenotaalpie"/>
          <w:rFonts w:ascii="Geomanist Light" w:hAnsi="Geomanist Light" w:cs="Arial"/>
          <w:sz w:val="16"/>
          <w:szCs w:val="16"/>
        </w:rPr>
        <w:footnoteRef/>
      </w:r>
      <w:r w:rsidRPr="0010636B">
        <w:rPr>
          <w:rFonts w:ascii="Geomanist Light" w:hAnsi="Geomanist Light" w:cs="Arial"/>
          <w:sz w:val="16"/>
          <w:szCs w:val="16"/>
        </w:rPr>
        <w:t xml:space="preserve"> </w:t>
      </w:r>
      <w:r w:rsidRPr="0010636B">
        <w:rPr>
          <w:rFonts w:ascii="Geomanist Light" w:hAnsi="Geomanist Light" w:cs="Arial"/>
          <w:sz w:val="16"/>
          <w:szCs w:val="16"/>
          <w:lang w:val="es-CO"/>
        </w:rPr>
        <w:t xml:space="preserve">Decreto 1082 de 2015: «Artículo 2.2.1.1.1.5.3. Requisitos habilitantes contenidos en el RUP. Las cámaras de comercio, con base en la información a la que hace referencia el artículo anterior, deben verificar y certificar los siguientes requisitos habilitantes: </w:t>
      </w:r>
    </w:p>
    <w:p w14:paraId="307CA0B5" w14:textId="77777777" w:rsidR="00F66826" w:rsidRPr="0010636B" w:rsidRDefault="00F66826" w:rsidP="00F66826">
      <w:pPr>
        <w:pStyle w:val="Textonotapie"/>
        <w:ind w:firstLine="708"/>
        <w:rPr>
          <w:rFonts w:ascii="Geomanist Light" w:hAnsi="Geomanist Light" w:cs="Arial"/>
          <w:sz w:val="16"/>
          <w:szCs w:val="16"/>
          <w:lang w:val="es-CO"/>
        </w:rPr>
      </w:pPr>
      <w:r w:rsidRPr="0010636B">
        <w:rPr>
          <w:rFonts w:ascii="Geomanist Light" w:hAnsi="Geomanist Light" w:cs="Arial"/>
          <w:sz w:val="16"/>
          <w:szCs w:val="16"/>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14:paraId="382E1C84" w14:textId="77777777" w:rsidR="00F66826" w:rsidRPr="0010636B" w:rsidRDefault="00F66826" w:rsidP="00F66826">
      <w:pPr>
        <w:pStyle w:val="Textonotapie"/>
        <w:ind w:firstLine="708"/>
        <w:rPr>
          <w:rFonts w:ascii="Geomanist Light" w:hAnsi="Geomanist Light"/>
          <w:sz w:val="16"/>
          <w:szCs w:val="16"/>
          <w:lang w:val="es-CO"/>
        </w:rPr>
      </w:pPr>
      <w:r w:rsidRPr="0010636B">
        <w:rPr>
          <w:rFonts w:ascii="Geomanist Light" w:hAnsi="Geomanist Light" w:cs="Arial"/>
          <w:sz w:val="16"/>
          <w:szCs w:val="16"/>
          <w:lang w:val="es-CO"/>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footnote>
  <w:footnote w:id="15">
    <w:p w14:paraId="21B2A515" w14:textId="3B2135F4" w:rsidR="004B7723" w:rsidRPr="0010636B" w:rsidRDefault="004B7723" w:rsidP="0098340F">
      <w:pPr>
        <w:pStyle w:val="Textonotapie"/>
        <w:ind w:firstLine="708"/>
        <w:rPr>
          <w:rFonts w:ascii="Geomanist Light" w:hAnsi="Geomanist Light" w:cs="Arial"/>
          <w:color w:val="000000" w:themeColor="text1"/>
          <w:sz w:val="16"/>
          <w:szCs w:val="16"/>
        </w:rPr>
      </w:pPr>
      <w:r w:rsidRPr="0010636B">
        <w:rPr>
          <w:rStyle w:val="Refdenotaalpie"/>
          <w:rFonts w:ascii="Geomanist Light" w:hAnsi="Geomanist Light" w:cs="Arial"/>
          <w:color w:val="000000" w:themeColor="text1"/>
          <w:sz w:val="16"/>
          <w:szCs w:val="16"/>
        </w:rPr>
        <w:footnoteRef/>
      </w:r>
      <w:r w:rsidRPr="0010636B">
        <w:rPr>
          <w:rFonts w:ascii="Geomanist Light" w:hAnsi="Geomanist Light" w:cs="Arial"/>
          <w:color w:val="000000" w:themeColor="text1"/>
          <w:sz w:val="16"/>
          <w:szCs w:val="16"/>
        </w:rPr>
        <w:t xml:space="preserve"> Código de Comercio: «Artículo 260.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footnote>
  <w:footnote w:id="16">
    <w:p w14:paraId="5D73ED65" w14:textId="77777777" w:rsidR="004B7723" w:rsidRPr="0010636B" w:rsidRDefault="004B7723" w:rsidP="004B7723">
      <w:pPr>
        <w:pStyle w:val="Textonotapie"/>
        <w:ind w:firstLine="708"/>
        <w:rPr>
          <w:rFonts w:ascii="Geomanist Light" w:hAnsi="Geomanist Light" w:cs="Arial"/>
          <w:color w:val="000000" w:themeColor="text1"/>
          <w:sz w:val="16"/>
          <w:szCs w:val="16"/>
          <w:lang w:val="es-ES"/>
        </w:rPr>
      </w:pPr>
      <w:r w:rsidRPr="0010636B">
        <w:rPr>
          <w:rStyle w:val="Refdenotaalpie"/>
          <w:rFonts w:ascii="Geomanist Light" w:hAnsi="Geomanist Light" w:cs="Arial"/>
          <w:color w:val="000000" w:themeColor="text1"/>
          <w:sz w:val="16"/>
          <w:szCs w:val="16"/>
        </w:rPr>
        <w:footnoteRef/>
      </w:r>
      <w:r w:rsidRPr="0010636B">
        <w:rPr>
          <w:rFonts w:ascii="Geomanist Light" w:hAnsi="Geomanist Light" w:cs="Arial"/>
          <w:color w:val="000000" w:themeColor="text1"/>
          <w:sz w:val="16"/>
          <w:szCs w:val="16"/>
        </w:rPr>
        <w:t xml:space="preserve"> Código de Comercio: «Artículo 262.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footnote>
  <w:footnote w:id="17">
    <w:p w14:paraId="08FDD5A2" w14:textId="79B00D50" w:rsidR="004B7723" w:rsidRPr="0010636B" w:rsidRDefault="004B7723" w:rsidP="0098340F">
      <w:pPr>
        <w:pStyle w:val="Textonotapie"/>
        <w:ind w:firstLine="708"/>
        <w:rPr>
          <w:rFonts w:ascii="Geomanist Light" w:hAnsi="Geomanist Light" w:cs="Arial"/>
          <w:color w:val="000000" w:themeColor="text1"/>
          <w:sz w:val="16"/>
          <w:szCs w:val="16"/>
        </w:rPr>
      </w:pPr>
      <w:r w:rsidRPr="0010636B">
        <w:rPr>
          <w:rStyle w:val="Refdenotaalpie"/>
          <w:rFonts w:ascii="Geomanist Light" w:hAnsi="Geomanist Light" w:cs="Arial"/>
          <w:color w:val="000000" w:themeColor="text1"/>
          <w:sz w:val="16"/>
          <w:szCs w:val="16"/>
        </w:rPr>
        <w:footnoteRef/>
      </w:r>
      <w:r w:rsidRPr="0010636B">
        <w:rPr>
          <w:rFonts w:ascii="Geomanist Light" w:hAnsi="Geomanist Light" w:cs="Arial"/>
          <w:color w:val="000000" w:themeColor="text1"/>
          <w:sz w:val="16"/>
          <w:szCs w:val="16"/>
        </w:rPr>
        <w:t xml:space="preserve"> Superintendencia de Sociedades, Guía práctica régimen de matrices y subordinadas. Disponible en:  https://www.supersociedades.gov.co/delegatura_ivc/CartillasyGuias/Guia_Practica_RegimenMatricesySubordinadas.pdf</w:t>
      </w:r>
    </w:p>
  </w:footnote>
  <w:footnote w:id="18">
    <w:p w14:paraId="0CF96A8B" w14:textId="77777777" w:rsidR="004B7723" w:rsidRPr="0010636B" w:rsidRDefault="004B7723" w:rsidP="004B7723">
      <w:pPr>
        <w:pStyle w:val="Textonotapie"/>
        <w:ind w:firstLine="708"/>
        <w:rPr>
          <w:rFonts w:ascii="Geomanist Light" w:eastAsia="Calibri" w:hAnsi="Geomanist Light" w:cs="Arial"/>
          <w:color w:val="000000" w:themeColor="text1"/>
          <w:sz w:val="16"/>
          <w:szCs w:val="16"/>
        </w:rPr>
      </w:pPr>
      <w:r w:rsidRPr="0010636B">
        <w:rPr>
          <w:rStyle w:val="Refdenotaalpie"/>
          <w:rFonts w:ascii="Geomanist Light" w:hAnsi="Geomanist Light" w:cs="Arial"/>
          <w:color w:val="000000" w:themeColor="text1"/>
          <w:sz w:val="16"/>
          <w:szCs w:val="16"/>
        </w:rPr>
        <w:footnoteRef/>
      </w:r>
      <w:r w:rsidRPr="0010636B">
        <w:rPr>
          <w:rFonts w:ascii="Geomanist Light" w:hAnsi="Geomanist Light" w:cs="Arial"/>
          <w:color w:val="000000" w:themeColor="text1"/>
          <w:sz w:val="16"/>
          <w:szCs w:val="16"/>
        </w:rPr>
        <w:t xml:space="preserve"> </w:t>
      </w:r>
      <w:r w:rsidRPr="0010636B">
        <w:rPr>
          <w:rFonts w:ascii="Geomanist Light" w:eastAsia="Calibri" w:hAnsi="Geomanist Light" w:cs="Arial"/>
          <w:color w:val="000000" w:themeColor="text1"/>
          <w:sz w:val="16"/>
          <w:szCs w:val="16"/>
        </w:rPr>
        <w:t>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578C3DA1" w14:textId="688E6E0F" w:rsidR="004B7723" w:rsidRPr="0010636B" w:rsidRDefault="004B7723" w:rsidP="0098340F">
      <w:pPr>
        <w:pStyle w:val="Textonotapie"/>
        <w:ind w:firstLine="708"/>
        <w:rPr>
          <w:rFonts w:ascii="Geomanist Light" w:eastAsia="Calibri" w:hAnsi="Geomanist Light" w:cs="Arial"/>
          <w:color w:val="000000" w:themeColor="text1"/>
          <w:sz w:val="16"/>
          <w:szCs w:val="16"/>
        </w:rPr>
      </w:pPr>
      <w:r w:rsidRPr="0010636B">
        <w:rPr>
          <w:rFonts w:ascii="Geomanist Light" w:eastAsia="Calibri" w:hAnsi="Geomanist Light" w:cs="Arial"/>
          <w:color w:val="000000" w:themeColor="text1"/>
          <w:sz w:val="16"/>
          <w:szCs w:val="16"/>
        </w:rPr>
        <w:t>»La transformación no producirá solución de continuidad en la existencia de la sociedad como persona jurídica, ni en sus actividades ni en su patrimonio».</w:t>
      </w:r>
    </w:p>
  </w:footnote>
  <w:footnote w:id="19">
    <w:p w14:paraId="3A253D67" w14:textId="77777777" w:rsidR="004B7723" w:rsidRPr="0010636B" w:rsidRDefault="004B7723" w:rsidP="004B7723">
      <w:pPr>
        <w:pStyle w:val="Textonotapie"/>
        <w:ind w:firstLine="708"/>
        <w:rPr>
          <w:rFonts w:ascii="Geomanist Light" w:eastAsia="Calibri" w:hAnsi="Geomanist Light" w:cs="Arial"/>
          <w:color w:val="000000" w:themeColor="text1"/>
          <w:sz w:val="16"/>
          <w:szCs w:val="16"/>
        </w:rPr>
      </w:pPr>
      <w:r w:rsidRPr="0010636B">
        <w:rPr>
          <w:rStyle w:val="Refdenotaalpie"/>
          <w:rFonts w:ascii="Geomanist Light" w:hAnsi="Geomanist Light" w:cs="Arial"/>
          <w:color w:val="000000" w:themeColor="text1"/>
          <w:sz w:val="16"/>
          <w:szCs w:val="16"/>
        </w:rPr>
        <w:footnoteRef/>
      </w:r>
      <w:r w:rsidRPr="0010636B">
        <w:rPr>
          <w:rFonts w:ascii="Geomanist Light" w:eastAsia="Calibri" w:hAnsi="Geomanist Light" w:cs="Arial"/>
          <w:color w:val="000000" w:themeColor="text1"/>
          <w:sz w:val="16"/>
          <w:szCs w:val="16"/>
        </w:rPr>
        <w:t xml:space="preserve"> Colombia Compra Eficiente. Concepto C-002 de 2020: «[...] si una sociedad se crea como sociedad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47D9" w14:textId="77777777" w:rsidR="00993A2A" w:rsidRPr="003F58A1" w:rsidRDefault="00993A2A"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229A228A" wp14:editId="0E2BD34A">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60AECD6A" w14:textId="77777777" w:rsidTr="00B53489">
      <w:tc>
        <w:tcPr>
          <w:tcW w:w="6756" w:type="dxa"/>
        </w:tcPr>
        <w:p w14:paraId="40862DCB" w14:textId="77777777" w:rsidR="00993A2A" w:rsidRPr="006478E3" w:rsidRDefault="00993A2A"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7697960A" w14:textId="77777777" w:rsidR="00993A2A" w:rsidRPr="0057618A" w:rsidRDefault="00993A2A"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306400E9" w14:textId="77777777" w:rsidR="00993A2A" w:rsidRPr="00367110" w:rsidRDefault="00993A2A" w:rsidP="00993A2A">
          <w:pPr>
            <w:jc w:val="right"/>
            <w:rPr>
              <w:rFonts w:eastAsia="Arial Nova" w:cs="Arial Nova"/>
              <w:lang w:eastAsia="es-CO"/>
            </w:rPr>
          </w:pPr>
        </w:p>
      </w:tc>
      <w:tc>
        <w:tcPr>
          <w:tcW w:w="1324" w:type="dxa"/>
        </w:tcPr>
        <w:p w14:paraId="0783A71E" w14:textId="77777777" w:rsidR="00993A2A" w:rsidRPr="00367110" w:rsidRDefault="00993A2A" w:rsidP="00993A2A">
          <w:pPr>
            <w:jc w:val="right"/>
            <w:rPr>
              <w:rFonts w:eastAsia="Arial Nova" w:cs="Arial Nova"/>
              <w:lang w:eastAsia="es-CO"/>
            </w:rPr>
          </w:pPr>
        </w:p>
      </w:tc>
    </w:tr>
  </w:tbl>
  <w:p w14:paraId="2D0B3918" w14:textId="77777777" w:rsidR="00993A2A" w:rsidRPr="00906B3C" w:rsidRDefault="00993A2A"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4255787A" wp14:editId="63FBBBCE">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33782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pt-BR" w:vendorID="64" w:dllVersion="6" w:nlCheck="1" w:checkStyle="0"/>
  <w:activeWritingStyle w:appName="MSWord" w:lang="es-MX" w:vendorID="64" w:dllVersion="6" w:nlCheck="1" w:checkStyle="0"/>
  <w:activeWritingStyle w:appName="MSWord" w:lang="es-ES_tradnl" w:vendorID="64" w:dllVersion="6" w:nlCheck="1" w:checkStyle="1"/>
  <w:activeWritingStyle w:appName="MSWord" w:lang="es-CO" w:vendorID="64" w:dllVersion="6" w:nlCheck="1" w:checkStyle="0"/>
  <w:activeWritingStyle w:appName="MSWord" w:lang="es-MX" w:vendorID="64" w:dllVersion="0" w:nlCheck="1" w:checkStyle="0"/>
  <w:activeWritingStyle w:appName="MSWord" w:lang="es-CO"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6" w:nlCheck="1" w:checkStyle="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929"/>
    <w:rsid w:val="00033B78"/>
    <w:rsid w:val="00037D12"/>
    <w:rsid w:val="00093062"/>
    <w:rsid w:val="000B4E53"/>
    <w:rsid w:val="000E6DE8"/>
    <w:rsid w:val="000E6EC3"/>
    <w:rsid w:val="000E7E56"/>
    <w:rsid w:val="0010636B"/>
    <w:rsid w:val="001212F2"/>
    <w:rsid w:val="00123AEC"/>
    <w:rsid w:val="00144FE1"/>
    <w:rsid w:val="0016430A"/>
    <w:rsid w:val="00170719"/>
    <w:rsid w:val="00192E70"/>
    <w:rsid w:val="001955A1"/>
    <w:rsid w:val="001A6D2D"/>
    <w:rsid w:val="001D3F4A"/>
    <w:rsid w:val="001E4F7D"/>
    <w:rsid w:val="002105A9"/>
    <w:rsid w:val="0022636F"/>
    <w:rsid w:val="002328FE"/>
    <w:rsid w:val="00290391"/>
    <w:rsid w:val="002C6514"/>
    <w:rsid w:val="00304AF4"/>
    <w:rsid w:val="0030643A"/>
    <w:rsid w:val="00310337"/>
    <w:rsid w:val="00347874"/>
    <w:rsid w:val="00370DD4"/>
    <w:rsid w:val="003735A6"/>
    <w:rsid w:val="00381B0F"/>
    <w:rsid w:val="003902B4"/>
    <w:rsid w:val="003C6558"/>
    <w:rsid w:val="003E5433"/>
    <w:rsid w:val="00400E79"/>
    <w:rsid w:val="00406C77"/>
    <w:rsid w:val="004358AB"/>
    <w:rsid w:val="00447167"/>
    <w:rsid w:val="00455C67"/>
    <w:rsid w:val="00461F52"/>
    <w:rsid w:val="00467FF3"/>
    <w:rsid w:val="00474929"/>
    <w:rsid w:val="00496238"/>
    <w:rsid w:val="004A22F8"/>
    <w:rsid w:val="004B1796"/>
    <w:rsid w:val="004B7723"/>
    <w:rsid w:val="004F406A"/>
    <w:rsid w:val="00512A52"/>
    <w:rsid w:val="005449F3"/>
    <w:rsid w:val="00557E14"/>
    <w:rsid w:val="005A3D47"/>
    <w:rsid w:val="005D0BDE"/>
    <w:rsid w:val="005E587A"/>
    <w:rsid w:val="00613EDE"/>
    <w:rsid w:val="00623802"/>
    <w:rsid w:val="00632246"/>
    <w:rsid w:val="00634B64"/>
    <w:rsid w:val="00637CD8"/>
    <w:rsid w:val="00651A7A"/>
    <w:rsid w:val="00653118"/>
    <w:rsid w:val="00653EC5"/>
    <w:rsid w:val="00676F88"/>
    <w:rsid w:val="00686456"/>
    <w:rsid w:val="006C18F0"/>
    <w:rsid w:val="006F1C20"/>
    <w:rsid w:val="00702566"/>
    <w:rsid w:val="00730923"/>
    <w:rsid w:val="00732CE6"/>
    <w:rsid w:val="00771C05"/>
    <w:rsid w:val="0077671B"/>
    <w:rsid w:val="00777192"/>
    <w:rsid w:val="00783598"/>
    <w:rsid w:val="00792005"/>
    <w:rsid w:val="008303FC"/>
    <w:rsid w:val="00850B29"/>
    <w:rsid w:val="00853165"/>
    <w:rsid w:val="008A4716"/>
    <w:rsid w:val="008B2512"/>
    <w:rsid w:val="00917CA4"/>
    <w:rsid w:val="009236A6"/>
    <w:rsid w:val="0092402D"/>
    <w:rsid w:val="00942B80"/>
    <w:rsid w:val="00950D43"/>
    <w:rsid w:val="0095222F"/>
    <w:rsid w:val="009569AA"/>
    <w:rsid w:val="009633F9"/>
    <w:rsid w:val="0096477C"/>
    <w:rsid w:val="00976BAD"/>
    <w:rsid w:val="0098340F"/>
    <w:rsid w:val="00993A2A"/>
    <w:rsid w:val="009C1357"/>
    <w:rsid w:val="00A51F0F"/>
    <w:rsid w:val="00A67571"/>
    <w:rsid w:val="00A80295"/>
    <w:rsid w:val="00AA0300"/>
    <w:rsid w:val="00AB3BE9"/>
    <w:rsid w:val="00AD47DF"/>
    <w:rsid w:val="00AD66E9"/>
    <w:rsid w:val="00AF314E"/>
    <w:rsid w:val="00B05B7C"/>
    <w:rsid w:val="00B90D3B"/>
    <w:rsid w:val="00BB220A"/>
    <w:rsid w:val="00C11303"/>
    <w:rsid w:val="00C760C7"/>
    <w:rsid w:val="00C82630"/>
    <w:rsid w:val="00C8511F"/>
    <w:rsid w:val="00C92742"/>
    <w:rsid w:val="00CA2F97"/>
    <w:rsid w:val="00CE04D9"/>
    <w:rsid w:val="00CE2431"/>
    <w:rsid w:val="00D220B3"/>
    <w:rsid w:val="00D430CC"/>
    <w:rsid w:val="00D61F46"/>
    <w:rsid w:val="00D92B4A"/>
    <w:rsid w:val="00DA0295"/>
    <w:rsid w:val="00DE6F7A"/>
    <w:rsid w:val="00E06E35"/>
    <w:rsid w:val="00E2118A"/>
    <w:rsid w:val="00E53E6A"/>
    <w:rsid w:val="00E601B3"/>
    <w:rsid w:val="00E92FBB"/>
    <w:rsid w:val="00EA3887"/>
    <w:rsid w:val="00EA407F"/>
    <w:rsid w:val="00EC024D"/>
    <w:rsid w:val="00EC1365"/>
    <w:rsid w:val="00ED1C5C"/>
    <w:rsid w:val="00ED2C50"/>
    <w:rsid w:val="00ED6F0E"/>
    <w:rsid w:val="00ED76CF"/>
    <w:rsid w:val="00F11A71"/>
    <w:rsid w:val="00F368DD"/>
    <w:rsid w:val="00F66826"/>
    <w:rsid w:val="00F76E2D"/>
    <w:rsid w:val="00F77B6A"/>
    <w:rsid w:val="00FE25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B0F02"/>
  <w15:chartTrackingRefBased/>
  <w15:docId w15:val="{6BD41FF6-1282-044B-9A5D-706FBACC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929"/>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74929"/>
    <w:pPr>
      <w:tabs>
        <w:tab w:val="center" w:pos="4419"/>
        <w:tab w:val="right" w:pos="8838"/>
      </w:tabs>
    </w:pPr>
  </w:style>
  <w:style w:type="character" w:customStyle="1" w:styleId="PiedepginaCar">
    <w:name w:val="Pie de página Car"/>
    <w:basedOn w:val="Fuentedeprrafopredeter"/>
    <w:link w:val="Piedepgina"/>
    <w:uiPriority w:val="99"/>
    <w:rsid w:val="00474929"/>
    <w:rPr>
      <w:szCs w:val="22"/>
      <w:lang w:val="es-MX"/>
    </w:rPr>
  </w:style>
  <w:style w:type="paragraph" w:styleId="Encabezado">
    <w:name w:val="header"/>
    <w:basedOn w:val="Normal"/>
    <w:link w:val="EncabezadoCar"/>
    <w:uiPriority w:val="99"/>
    <w:unhideWhenUsed/>
    <w:rsid w:val="00474929"/>
    <w:pPr>
      <w:tabs>
        <w:tab w:val="center" w:pos="4252"/>
        <w:tab w:val="right" w:pos="8504"/>
      </w:tabs>
    </w:pPr>
  </w:style>
  <w:style w:type="character" w:customStyle="1" w:styleId="EncabezadoCar">
    <w:name w:val="Encabezado Car"/>
    <w:basedOn w:val="Fuentedeprrafopredeter"/>
    <w:link w:val="Encabezado"/>
    <w:uiPriority w:val="99"/>
    <w:rsid w:val="00474929"/>
    <w:rPr>
      <w:szCs w:val="22"/>
      <w:lang w:val="es-MX"/>
    </w:rPr>
  </w:style>
  <w:style w:type="table" w:styleId="Tablaconcuadrcula">
    <w:name w:val="Table Grid"/>
    <w:basedOn w:val="Tablanormal"/>
    <w:uiPriority w:val="59"/>
    <w:qFormat/>
    <w:rsid w:val="0047492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74929"/>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474929"/>
    <w:pPr>
      <w:jc w:val="both"/>
    </w:pPr>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7492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474929"/>
    <w:rPr>
      <w:sz w:val="20"/>
      <w:szCs w:val="20"/>
    </w:rPr>
  </w:style>
  <w:style w:type="character" w:customStyle="1" w:styleId="TextonotapieCar1">
    <w:name w:val="Texto nota pie Car1"/>
    <w:basedOn w:val="Fuentedeprrafopredeter"/>
    <w:uiPriority w:val="99"/>
    <w:semiHidden/>
    <w:rsid w:val="00474929"/>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74929"/>
    <w:rPr>
      <w:vertAlign w:val="superscript"/>
    </w:rPr>
  </w:style>
  <w:style w:type="paragraph" w:customStyle="1" w:styleId="Appelnotedebasde">
    <w:name w:val="Appel note de bas de..."/>
    <w:basedOn w:val="Normal"/>
    <w:link w:val="Refdenotaalpie"/>
    <w:uiPriority w:val="99"/>
    <w:rsid w:val="00474929"/>
    <w:pPr>
      <w:spacing w:after="160" w:line="240" w:lineRule="exact"/>
    </w:pPr>
    <w:rPr>
      <w:szCs w:val="24"/>
      <w:vertAlign w:val="superscript"/>
      <w:lang w:val="es-CO"/>
    </w:rPr>
  </w:style>
  <w:style w:type="character" w:customStyle="1" w:styleId="NormalWebCar">
    <w:name w:val="Normal (Web) Car"/>
    <w:link w:val="NormalWeb"/>
    <w:uiPriority w:val="99"/>
    <w:locked/>
    <w:rsid w:val="00474929"/>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59"/>
    <w:rsid w:val="00474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474929"/>
    <w:rPr>
      <w:color w:val="F2F2F2"/>
      <w:u w:val="single"/>
    </w:rPr>
  </w:style>
  <w:style w:type="character" w:styleId="Hipervnculo">
    <w:name w:val="Hyperlink"/>
    <w:basedOn w:val="Fuentedeprrafopredeter"/>
    <w:uiPriority w:val="99"/>
    <w:unhideWhenUsed/>
    <w:rsid w:val="00474929"/>
    <w:rPr>
      <w:color w:val="0563C1" w:themeColor="hyperlink"/>
      <w:u w:val="single"/>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74929"/>
    <w:pPr>
      <w:spacing w:after="0" w:line="240" w:lineRule="auto"/>
      <w:ind w:left="720"/>
      <w:contextualSpacing/>
      <w:jc w:val="left"/>
    </w:pPr>
    <w:rPr>
      <w:szCs w:val="24"/>
      <w:lang w:val="es-CO"/>
    </w:rPr>
  </w:style>
  <w:style w:type="paragraph" w:styleId="Revisin">
    <w:name w:val="Revision"/>
    <w:hidden/>
    <w:uiPriority w:val="99"/>
    <w:semiHidden/>
    <w:rsid w:val="00192E70"/>
    <w:rPr>
      <w:szCs w:val="22"/>
      <w:lang w:val="es-MX"/>
    </w:rPr>
  </w:style>
  <w:style w:type="character" w:styleId="Hipervnculovisitado">
    <w:name w:val="FollowedHyperlink"/>
    <w:basedOn w:val="Fuentedeprrafopredeter"/>
    <w:uiPriority w:val="99"/>
    <w:semiHidden/>
    <w:unhideWhenUsed/>
    <w:rsid w:val="00676F88"/>
    <w:rPr>
      <w:color w:val="954F72" w:themeColor="followedHyperlink"/>
      <w:u w:val="single"/>
    </w:rPr>
  </w:style>
  <w:style w:type="character" w:styleId="Refdecomentario">
    <w:name w:val="annotation reference"/>
    <w:basedOn w:val="Fuentedeprrafopredeter"/>
    <w:uiPriority w:val="99"/>
    <w:semiHidden/>
    <w:unhideWhenUsed/>
    <w:rsid w:val="00EC1365"/>
    <w:rPr>
      <w:sz w:val="16"/>
      <w:szCs w:val="16"/>
    </w:rPr>
  </w:style>
  <w:style w:type="paragraph" w:styleId="Textocomentario">
    <w:name w:val="annotation text"/>
    <w:basedOn w:val="Normal"/>
    <w:link w:val="TextocomentarioCar"/>
    <w:uiPriority w:val="99"/>
    <w:unhideWhenUsed/>
    <w:rsid w:val="00EC1365"/>
    <w:pPr>
      <w:spacing w:line="240" w:lineRule="auto"/>
    </w:pPr>
    <w:rPr>
      <w:sz w:val="20"/>
      <w:szCs w:val="20"/>
    </w:rPr>
  </w:style>
  <w:style w:type="character" w:customStyle="1" w:styleId="TextocomentarioCar">
    <w:name w:val="Texto comentario Car"/>
    <w:basedOn w:val="Fuentedeprrafopredeter"/>
    <w:link w:val="Textocomentario"/>
    <w:uiPriority w:val="99"/>
    <w:rsid w:val="00EC136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C1365"/>
    <w:rPr>
      <w:b/>
      <w:bCs/>
    </w:rPr>
  </w:style>
  <w:style w:type="character" w:customStyle="1" w:styleId="AsuntodelcomentarioCar">
    <w:name w:val="Asunto del comentario Car"/>
    <w:basedOn w:val="TextocomentarioCar"/>
    <w:link w:val="Asuntodelcomentario"/>
    <w:uiPriority w:val="99"/>
    <w:semiHidden/>
    <w:rsid w:val="00EC1365"/>
    <w:rPr>
      <w:b/>
      <w:bCs/>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92B4A"/>
  </w:style>
  <w:style w:type="paragraph" w:styleId="Textodeglobo">
    <w:name w:val="Balloon Text"/>
    <w:basedOn w:val="Normal"/>
    <w:link w:val="TextodegloboCar"/>
    <w:uiPriority w:val="99"/>
    <w:semiHidden/>
    <w:unhideWhenUsed/>
    <w:rsid w:val="00F76E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6E2D"/>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7BA494-F7B4-4E98-93F6-8C097993FB81}">
  <ds:schemaRefs>
    <ds:schemaRef ds:uri="http://schemas.microsoft.com/sharepoint/v3/contenttype/forms"/>
  </ds:schemaRefs>
</ds:datastoreItem>
</file>

<file path=customXml/itemProps2.xml><?xml version="1.0" encoding="utf-8"?>
<ds:datastoreItem xmlns:ds="http://schemas.openxmlformats.org/officeDocument/2006/customXml" ds:itemID="{C9FCD42D-79A5-452C-8A2C-3E7A4C23F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C4AA10-80E8-4B79-B11F-013D661D65B3}">
  <ds:schemaRefs>
    <ds:schemaRef ds:uri="http://schemas.openxmlformats.org/officeDocument/2006/bibliography"/>
  </ds:schemaRefs>
</ds:datastoreItem>
</file>

<file path=customXml/itemProps4.xml><?xml version="1.0" encoding="utf-8"?>
<ds:datastoreItem xmlns:ds="http://schemas.openxmlformats.org/officeDocument/2006/customXml" ds:itemID="{465AEC7C-FB7F-4A9F-B2AA-80B446B817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6119</Words>
  <Characters>33659</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Ana Maria Velez Arteaga</cp:lastModifiedBy>
  <cp:revision>7</cp:revision>
  <dcterms:created xsi:type="dcterms:W3CDTF">2023-02-17T16:06:00Z</dcterms:created>
  <dcterms:modified xsi:type="dcterms:W3CDTF">2023-02-17T16:16:00Z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