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EEC97" w14:textId="0ED415CC" w:rsidR="0034177C" w:rsidRPr="007F4406" w:rsidRDefault="0093040E" w:rsidP="72819B7D">
      <w:pPr>
        <w:rPr>
          <w:rFonts w:ascii="Geomanist Light" w:hAnsi="Geomanist Light"/>
          <w:b/>
          <w:bCs/>
          <w:sz w:val="22"/>
        </w:rPr>
      </w:pPr>
      <w:bookmarkStart w:id="0" w:name="_Hlk120639752"/>
      <w:r w:rsidRPr="72819B7D">
        <w:rPr>
          <w:rFonts w:ascii="Geomanist Light" w:hAnsi="Geomanist Light"/>
          <w:b/>
          <w:bCs/>
          <w:sz w:val="22"/>
        </w:rPr>
        <w:t xml:space="preserve">EMPRESAS DE SERIVICIOS PÚBLICOS DOMICILIARIOS – </w:t>
      </w:r>
      <w:r w:rsidRPr="000A7521">
        <w:rPr>
          <w:rFonts w:ascii="Geomanist Light" w:hAnsi="Geomanist Light"/>
          <w:b/>
          <w:bCs/>
          <w:sz w:val="22"/>
        </w:rPr>
        <w:t>Naturaleza jurídica</w:t>
      </w:r>
      <w:r w:rsidRPr="72819B7D">
        <w:rPr>
          <w:rFonts w:ascii="Geomanist Light" w:hAnsi="Geomanist Light"/>
          <w:b/>
          <w:bCs/>
          <w:sz w:val="22"/>
        </w:rPr>
        <w:t xml:space="preserve"> – Régimen contractual</w:t>
      </w:r>
      <w:r w:rsidR="009F59C2" w:rsidRPr="00627A2D">
        <w:rPr>
          <w:rFonts w:ascii="Geomanist Light" w:hAnsi="Geomanist Light" w:cs="Arial"/>
          <w:b/>
          <w:sz w:val="16"/>
          <w:szCs w:val="16"/>
          <w:lang w:val="es-ES_tradnl" w:eastAsia="es-ES"/>
        </w:rPr>
        <w:tab/>
      </w:r>
    </w:p>
    <w:p w14:paraId="0616FE34" w14:textId="77777777" w:rsidR="0093040E" w:rsidRDefault="0093040E" w:rsidP="0093040E">
      <w:pPr>
        <w:jc w:val="both"/>
        <w:rPr>
          <w:rFonts w:ascii="Geomanist Light" w:hAnsi="Geomanist Light"/>
          <w:b/>
          <w:bCs/>
        </w:rPr>
      </w:pPr>
    </w:p>
    <w:p w14:paraId="3B22BDD9" w14:textId="77777777" w:rsidR="0093040E" w:rsidRDefault="0093040E" w:rsidP="0093040E">
      <w:pPr>
        <w:jc w:val="both"/>
        <w:rPr>
          <w:rFonts w:ascii="Geomanist Light" w:hAnsi="Geomanist Light"/>
          <w:sz w:val="20"/>
          <w:szCs w:val="20"/>
        </w:rPr>
      </w:pPr>
      <w:r w:rsidRPr="007012E5">
        <w:rPr>
          <w:rFonts w:ascii="Geomanist Light" w:hAnsi="Geomanist Light"/>
          <w:sz w:val="20"/>
          <w:szCs w:val="20"/>
        </w:rPr>
        <w:t xml:space="preserve">[...] «las empresas de servicios públicos son sociedades por acciones cuyo objeto es la prestación de los servicios públicos </w:t>
      </w:r>
      <w:r>
        <w:rPr>
          <w:rFonts w:ascii="Geomanist Light" w:hAnsi="Geomanist Light"/>
          <w:sz w:val="20"/>
          <w:szCs w:val="20"/>
        </w:rPr>
        <w:t>[…]</w:t>
      </w:r>
      <w:r w:rsidRPr="007012E5">
        <w:rPr>
          <w:rFonts w:ascii="Geomanist Light" w:hAnsi="Geomanist Light"/>
          <w:sz w:val="20"/>
          <w:szCs w:val="20"/>
        </w:rPr>
        <w:t xml:space="preserve">». </w:t>
      </w:r>
      <w:r>
        <w:rPr>
          <w:rFonts w:ascii="Geomanist Light" w:hAnsi="Geomanist Light"/>
          <w:sz w:val="20"/>
          <w:szCs w:val="20"/>
        </w:rPr>
        <w:t>[…]</w:t>
      </w:r>
    </w:p>
    <w:p w14:paraId="3EDA1292" w14:textId="77777777" w:rsidR="0093040E" w:rsidRDefault="0093040E" w:rsidP="0093040E">
      <w:pPr>
        <w:jc w:val="both"/>
        <w:rPr>
          <w:rFonts w:ascii="Geomanist Light" w:hAnsi="Geomanist Light"/>
          <w:sz w:val="20"/>
          <w:szCs w:val="20"/>
        </w:rPr>
      </w:pPr>
      <w:r>
        <w:rPr>
          <w:rFonts w:ascii="Geomanist Light" w:hAnsi="Geomanist Light"/>
          <w:sz w:val="20"/>
          <w:szCs w:val="20"/>
        </w:rPr>
        <w:t>[…]</w:t>
      </w:r>
    </w:p>
    <w:p w14:paraId="4F07325F" w14:textId="77777777" w:rsidR="0093040E" w:rsidRDefault="0093040E" w:rsidP="0093040E">
      <w:pPr>
        <w:jc w:val="both"/>
        <w:rPr>
          <w:rFonts w:ascii="Geomanist Light" w:hAnsi="Geomanist Light"/>
          <w:sz w:val="20"/>
          <w:szCs w:val="20"/>
        </w:rPr>
      </w:pPr>
      <w:r>
        <w:rPr>
          <w:rFonts w:ascii="Geomanist Light" w:hAnsi="Geomanist Light"/>
          <w:sz w:val="20"/>
          <w:szCs w:val="20"/>
        </w:rPr>
        <w:t xml:space="preserve">[…] </w:t>
      </w:r>
      <w:r w:rsidRPr="007012E5">
        <w:rPr>
          <w:rFonts w:ascii="Geomanist Light" w:hAnsi="Geomanist Light"/>
          <w:sz w:val="20"/>
          <w:szCs w:val="20"/>
        </w:rPr>
        <w:t>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w:t>
      </w:r>
    </w:p>
    <w:p w14:paraId="62243D5A" w14:textId="77777777" w:rsidR="0093040E" w:rsidRDefault="0093040E" w:rsidP="0093040E">
      <w:pPr>
        <w:jc w:val="both"/>
        <w:rPr>
          <w:rFonts w:ascii="Geomanist Light" w:hAnsi="Geomanist Light"/>
          <w:sz w:val="20"/>
          <w:szCs w:val="20"/>
        </w:rPr>
      </w:pPr>
    </w:p>
    <w:p w14:paraId="2352938B" w14:textId="22FCEC6F" w:rsidR="0093040E" w:rsidRDefault="0093040E" w:rsidP="0093040E">
      <w:pPr>
        <w:jc w:val="both"/>
        <w:rPr>
          <w:rFonts w:ascii="Geomanist Light" w:hAnsi="Geomanist Light"/>
          <w:sz w:val="20"/>
          <w:szCs w:val="20"/>
        </w:rPr>
      </w:pPr>
      <w:r>
        <w:rPr>
          <w:rFonts w:ascii="Geomanist Light" w:hAnsi="Geomanist Light"/>
          <w:sz w:val="20"/>
          <w:szCs w:val="20"/>
        </w:rPr>
        <w:t>[…</w:t>
      </w:r>
      <w:r w:rsidR="002D7181">
        <w:rPr>
          <w:rFonts w:ascii="Geomanist Light" w:hAnsi="Geomanist Light"/>
          <w:sz w:val="20"/>
          <w:szCs w:val="20"/>
        </w:rPr>
        <w:t xml:space="preserve">] </w:t>
      </w:r>
      <w:r w:rsidRPr="00E369AE">
        <w:rPr>
          <w:rFonts w:ascii="Geomanist Light" w:hAnsi="Geomanist Light"/>
          <w:sz w:val="20"/>
          <w:szCs w:val="20"/>
        </w:rPr>
        <w:t>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públicos domiciliarios, indicando que sus actos se rigen por los principios y reglas aplicables a los particulares</w:t>
      </w:r>
      <w:r>
        <w:rPr>
          <w:rFonts w:ascii="Geomanist Light" w:hAnsi="Geomanist Light"/>
          <w:sz w:val="20"/>
          <w:szCs w:val="20"/>
        </w:rPr>
        <w:t>.</w:t>
      </w:r>
    </w:p>
    <w:p w14:paraId="31F2F9EA" w14:textId="77777777" w:rsidR="0093040E" w:rsidRDefault="0093040E" w:rsidP="0093040E">
      <w:pPr>
        <w:jc w:val="both"/>
        <w:rPr>
          <w:rFonts w:ascii="Geomanist Light" w:hAnsi="Geomanist Light"/>
          <w:sz w:val="20"/>
          <w:szCs w:val="20"/>
        </w:rPr>
      </w:pPr>
    </w:p>
    <w:p w14:paraId="516A453F" w14:textId="5C0730EE" w:rsidR="0093040E" w:rsidRDefault="0093040E" w:rsidP="0093040E">
      <w:pPr>
        <w:jc w:val="both"/>
        <w:rPr>
          <w:rFonts w:ascii="Geomanist Light" w:hAnsi="Geomanist Light"/>
          <w:sz w:val="20"/>
          <w:szCs w:val="20"/>
        </w:rPr>
      </w:pPr>
      <w:r>
        <w:rPr>
          <w:rFonts w:ascii="Geomanist Light" w:hAnsi="Geomanist Light"/>
          <w:sz w:val="20"/>
          <w:szCs w:val="20"/>
        </w:rPr>
        <w:t>[…]</w:t>
      </w:r>
      <w:r w:rsidR="002D7181">
        <w:rPr>
          <w:rFonts w:ascii="Geomanist Light" w:hAnsi="Geomanist Light"/>
          <w:sz w:val="20"/>
          <w:szCs w:val="20"/>
        </w:rPr>
        <w:t xml:space="preserve"> </w:t>
      </w:r>
      <w:r w:rsidRPr="00E369AE">
        <w:rPr>
          <w:rFonts w:ascii="Geomanist Light" w:hAnsi="Geomanist Light"/>
          <w:sz w:val="20"/>
          <w:szCs w:val="20"/>
        </w:rPr>
        <w:t>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–Ley 80 de 1993–. En otras palabras, dichas empresas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w:t>
      </w:r>
    </w:p>
    <w:p w14:paraId="74EF6769" w14:textId="77777777" w:rsidR="0093040E" w:rsidRDefault="0093040E" w:rsidP="0093040E">
      <w:pPr>
        <w:jc w:val="both"/>
        <w:rPr>
          <w:rFonts w:ascii="Geomanist Light" w:hAnsi="Geomanist Light"/>
          <w:sz w:val="20"/>
          <w:szCs w:val="20"/>
        </w:rPr>
      </w:pPr>
    </w:p>
    <w:p w14:paraId="1F5F2C12" w14:textId="77777777" w:rsidR="0093040E" w:rsidRPr="00E369AE" w:rsidRDefault="0093040E" w:rsidP="0093040E">
      <w:pPr>
        <w:jc w:val="both"/>
        <w:rPr>
          <w:rFonts w:ascii="Geomanist Light" w:hAnsi="Geomanist Light"/>
          <w:b/>
          <w:bCs/>
          <w:sz w:val="22"/>
        </w:rPr>
      </w:pPr>
      <w:r w:rsidRPr="00E369AE">
        <w:rPr>
          <w:rFonts w:ascii="Geomanist Light" w:hAnsi="Geomanist Light"/>
          <w:b/>
          <w:bCs/>
          <w:sz w:val="22"/>
        </w:rPr>
        <w:t xml:space="preserve">EMPRESAS DE SERVICIOS PÚBLICOS DOMICILIARIOS – Aplicabilidad Ley 80 de 1993 – Ley 142 de 1994 </w:t>
      </w:r>
    </w:p>
    <w:p w14:paraId="212A6B02" w14:textId="77777777" w:rsidR="0093040E" w:rsidRDefault="0093040E" w:rsidP="0093040E">
      <w:pPr>
        <w:jc w:val="both"/>
        <w:rPr>
          <w:rFonts w:ascii="Geomanist Light" w:hAnsi="Geomanist Light"/>
          <w:b/>
          <w:bCs/>
          <w:sz w:val="20"/>
          <w:szCs w:val="20"/>
        </w:rPr>
      </w:pPr>
    </w:p>
    <w:p w14:paraId="7357F59A" w14:textId="77777777" w:rsidR="0093040E" w:rsidRDefault="0093040E" w:rsidP="0093040E">
      <w:pPr>
        <w:jc w:val="both"/>
        <w:rPr>
          <w:rFonts w:ascii="Geomanist Light" w:hAnsi="Geomanist Light"/>
          <w:sz w:val="20"/>
          <w:szCs w:val="20"/>
        </w:rPr>
      </w:pPr>
      <w:r>
        <w:rPr>
          <w:rFonts w:ascii="Geomanist Light" w:hAnsi="Geomanist Light"/>
          <w:sz w:val="20"/>
          <w:szCs w:val="20"/>
        </w:rPr>
        <w:t xml:space="preserve">[…] </w:t>
      </w:r>
      <w:r w:rsidRPr="00E369AE">
        <w:rPr>
          <w:rFonts w:ascii="Geomanist Light" w:hAnsi="Geomanist Light"/>
          <w:sz w:val="20"/>
          <w:szCs w:val="20"/>
        </w:rPr>
        <w:t>a pesar de que las empresas prestadoras de servicios públicos domiciliarios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Estatuto General de Contratación de la Administración Pública –Ley 80 de 1993–, la Ley 1150 de 2007 y demás normas complementarias, así como en las situaciones en las que la Ley 142 de 1994 u otras leyes especiales lo dispongan.</w:t>
      </w:r>
    </w:p>
    <w:p w14:paraId="107618E6" w14:textId="77777777" w:rsidR="0093040E" w:rsidRDefault="0093040E" w:rsidP="0093040E">
      <w:pPr>
        <w:jc w:val="both"/>
        <w:rPr>
          <w:rFonts w:ascii="Geomanist Light" w:hAnsi="Geomanist Light"/>
          <w:sz w:val="20"/>
          <w:szCs w:val="20"/>
        </w:rPr>
      </w:pPr>
    </w:p>
    <w:p w14:paraId="1DA5DE16" w14:textId="77777777" w:rsidR="0093040E" w:rsidRPr="002C0C93" w:rsidRDefault="0093040E" w:rsidP="0093040E">
      <w:pPr>
        <w:jc w:val="both"/>
        <w:rPr>
          <w:rFonts w:ascii="Geomanist Light" w:hAnsi="Geomanist Light"/>
          <w:b/>
          <w:bCs/>
          <w:sz w:val="22"/>
        </w:rPr>
      </w:pPr>
      <w:r w:rsidRPr="002C0C93">
        <w:rPr>
          <w:rFonts w:ascii="Geomanist Light" w:hAnsi="Geomanist Light"/>
          <w:b/>
          <w:bCs/>
          <w:sz w:val="22"/>
        </w:rPr>
        <w:t xml:space="preserve">PUBLICIDAD </w:t>
      </w:r>
      <w:r w:rsidRPr="00D4466A">
        <w:rPr>
          <w:rFonts w:ascii="Geomanist Light" w:hAnsi="Geomanist Light"/>
          <w:b/>
          <w:bCs/>
          <w:sz w:val="22"/>
        </w:rPr>
        <w:t>SECOP – Entidades exceptuadas</w:t>
      </w:r>
      <w:r w:rsidRPr="002C0C93">
        <w:rPr>
          <w:rFonts w:ascii="Geomanist Light" w:hAnsi="Geomanist Light"/>
          <w:b/>
          <w:bCs/>
          <w:sz w:val="22"/>
        </w:rPr>
        <w:t xml:space="preserve"> – </w:t>
      </w:r>
      <w:r w:rsidRPr="00D855EA">
        <w:rPr>
          <w:rFonts w:ascii="Geomanist Light" w:hAnsi="Geomanist Light"/>
          <w:b/>
          <w:bCs/>
          <w:sz w:val="22"/>
        </w:rPr>
        <w:t>Estatuto general de contratación – Modificación del artículo 53</w:t>
      </w:r>
      <w:r w:rsidRPr="002C0C93">
        <w:rPr>
          <w:rFonts w:ascii="Geomanist Light" w:hAnsi="Geomanist Light"/>
          <w:b/>
          <w:bCs/>
          <w:sz w:val="22"/>
        </w:rPr>
        <w:t xml:space="preserve"> – Ley 2195 de 2022</w:t>
      </w:r>
    </w:p>
    <w:p w14:paraId="7F45C41C" w14:textId="77777777" w:rsidR="0093040E" w:rsidRDefault="0093040E" w:rsidP="0093040E">
      <w:pPr>
        <w:jc w:val="both"/>
        <w:rPr>
          <w:rFonts w:ascii="Geomanist Light" w:hAnsi="Geomanist Light"/>
          <w:b/>
          <w:bCs/>
          <w:sz w:val="20"/>
          <w:szCs w:val="20"/>
        </w:rPr>
      </w:pPr>
    </w:p>
    <w:p w14:paraId="3281695F" w14:textId="647482DF" w:rsidR="0093040E" w:rsidRDefault="0093040E" w:rsidP="0093040E">
      <w:pPr>
        <w:jc w:val="both"/>
        <w:rPr>
          <w:rFonts w:ascii="Geomanist Light" w:hAnsi="Geomanist Light"/>
          <w:sz w:val="20"/>
          <w:szCs w:val="20"/>
        </w:rPr>
      </w:pPr>
      <w:r w:rsidRPr="002C0C93">
        <w:rPr>
          <w:rFonts w:ascii="Geomanist Light" w:hAnsi="Geomanist Light"/>
          <w:sz w:val="20"/>
          <w:szCs w:val="20"/>
        </w:rPr>
        <w:t xml:space="preserve">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w:t>
      </w:r>
      <w:r w:rsidRPr="002C0C93">
        <w:rPr>
          <w:rFonts w:ascii="Geomanist Light" w:hAnsi="Geomanist Light"/>
          <w:sz w:val="20"/>
          <w:szCs w:val="20"/>
        </w:rPr>
        <w:lastRenderedPageBreak/>
        <w:t>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02A639C0" w14:textId="77777777" w:rsidR="0093040E" w:rsidRDefault="0093040E" w:rsidP="0093040E">
      <w:pPr>
        <w:jc w:val="both"/>
        <w:rPr>
          <w:rFonts w:ascii="Geomanist Light" w:hAnsi="Geomanist Light"/>
          <w:sz w:val="20"/>
          <w:szCs w:val="20"/>
        </w:rPr>
      </w:pPr>
      <w:r>
        <w:rPr>
          <w:rFonts w:ascii="Geomanist Light" w:hAnsi="Geomanist Light"/>
          <w:sz w:val="20"/>
          <w:szCs w:val="20"/>
        </w:rPr>
        <w:t>[…]</w:t>
      </w:r>
    </w:p>
    <w:p w14:paraId="3E022D7A" w14:textId="77777777" w:rsidR="0093040E" w:rsidRDefault="0093040E" w:rsidP="0093040E">
      <w:pPr>
        <w:jc w:val="both"/>
        <w:rPr>
          <w:rFonts w:ascii="Geomanist Light" w:hAnsi="Geomanist Light"/>
          <w:sz w:val="20"/>
          <w:szCs w:val="20"/>
        </w:rPr>
      </w:pPr>
      <w:r>
        <w:rPr>
          <w:rFonts w:ascii="Geomanist Light" w:hAnsi="Geomanist Light"/>
          <w:sz w:val="20"/>
          <w:szCs w:val="20"/>
        </w:rPr>
        <w:t xml:space="preserve">[…] </w:t>
      </w:r>
      <w:r w:rsidRPr="002C0C93">
        <w:rPr>
          <w:rFonts w:ascii="Geomanist Light" w:hAnsi="Geomanist Light"/>
          <w:sz w:val="20"/>
          <w:szCs w:val="20"/>
        </w:rPr>
        <w:t>la 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74977A09" w14:textId="77777777" w:rsidR="0093040E" w:rsidRDefault="0093040E" w:rsidP="0093040E">
      <w:pPr>
        <w:jc w:val="both"/>
        <w:rPr>
          <w:rFonts w:ascii="Geomanist Light" w:hAnsi="Geomanist Light"/>
          <w:sz w:val="20"/>
          <w:szCs w:val="20"/>
        </w:rPr>
      </w:pPr>
    </w:p>
    <w:p w14:paraId="72319E82" w14:textId="77777777" w:rsidR="0093040E" w:rsidRPr="002C0C93" w:rsidRDefault="0093040E" w:rsidP="0093040E">
      <w:pPr>
        <w:jc w:val="both"/>
        <w:rPr>
          <w:rFonts w:ascii="Geomanist Light" w:hAnsi="Geomanist Light"/>
          <w:b/>
          <w:bCs/>
          <w:sz w:val="22"/>
        </w:rPr>
      </w:pPr>
      <w:r w:rsidRPr="002C0C93">
        <w:rPr>
          <w:rFonts w:ascii="Geomanist Light" w:hAnsi="Geomanist Light"/>
          <w:b/>
          <w:bCs/>
          <w:sz w:val="22"/>
        </w:rPr>
        <w:t xml:space="preserve">SECOP II – </w:t>
      </w:r>
      <w:r w:rsidRPr="00D4466A">
        <w:rPr>
          <w:rFonts w:ascii="Geomanist Light" w:hAnsi="Geomanist Light"/>
          <w:b/>
          <w:bCs/>
          <w:sz w:val="22"/>
        </w:rPr>
        <w:t>Deber de publicidad</w:t>
      </w:r>
      <w:r w:rsidRPr="002C0C93">
        <w:rPr>
          <w:rFonts w:ascii="Geomanist Light" w:hAnsi="Geomanist Light"/>
          <w:b/>
          <w:bCs/>
          <w:sz w:val="22"/>
        </w:rPr>
        <w:t xml:space="preserve"> – Entidades exceptuadas – Documentos relacionados con la actividad contractual</w:t>
      </w:r>
    </w:p>
    <w:p w14:paraId="749AC926" w14:textId="77777777" w:rsidR="0093040E" w:rsidRDefault="0093040E" w:rsidP="0093040E">
      <w:pPr>
        <w:jc w:val="both"/>
        <w:rPr>
          <w:rFonts w:ascii="Geomanist Light" w:hAnsi="Geomanist Light"/>
          <w:b/>
          <w:bCs/>
          <w:sz w:val="20"/>
          <w:szCs w:val="20"/>
        </w:rPr>
      </w:pPr>
    </w:p>
    <w:p w14:paraId="7123B49B" w14:textId="77777777" w:rsidR="0093040E" w:rsidRDefault="0093040E" w:rsidP="0093040E">
      <w:pPr>
        <w:jc w:val="both"/>
        <w:rPr>
          <w:rFonts w:ascii="Geomanist Light" w:hAnsi="Geomanist Light"/>
          <w:sz w:val="20"/>
          <w:szCs w:val="20"/>
        </w:rPr>
      </w:pPr>
      <w:r>
        <w:rPr>
          <w:rFonts w:ascii="Geomanist Light" w:hAnsi="Geomanist Light"/>
          <w:sz w:val="20"/>
          <w:szCs w:val="20"/>
        </w:rPr>
        <w:t xml:space="preserve">[…] </w:t>
      </w:r>
      <w:r w:rsidRPr="002C0C93">
        <w:rPr>
          <w:rFonts w:ascii="Geomanist Light" w:hAnsi="Geomanist Light"/>
          <w:sz w:val="20"/>
          <w:szCs w:val="20"/>
        </w:rPr>
        <w:t>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01D49D9E" w14:textId="77777777" w:rsidR="0093040E" w:rsidRDefault="0093040E" w:rsidP="0093040E">
      <w:pPr>
        <w:jc w:val="both"/>
        <w:rPr>
          <w:rFonts w:ascii="Geomanist Light" w:hAnsi="Geomanist Light"/>
          <w:sz w:val="20"/>
          <w:szCs w:val="20"/>
        </w:rPr>
      </w:pPr>
    </w:p>
    <w:p w14:paraId="54AF5AE3" w14:textId="77777777" w:rsidR="0093040E" w:rsidRPr="002C0C93" w:rsidRDefault="0093040E" w:rsidP="0093040E">
      <w:pPr>
        <w:jc w:val="both"/>
        <w:rPr>
          <w:rFonts w:ascii="Geomanist Light" w:hAnsi="Geomanist Light"/>
          <w:sz w:val="20"/>
          <w:szCs w:val="20"/>
        </w:rPr>
      </w:pPr>
      <w:r w:rsidRPr="00632F59">
        <w:rPr>
          <w:rFonts w:ascii="Geomanist Light" w:hAnsi="Geomanist Light"/>
          <w:sz w:val="20"/>
          <w:szCs w:val="20"/>
        </w:rPr>
        <w:t>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«no misionales» estén per se excluidos del deber de publicidad.</w:t>
      </w:r>
    </w:p>
    <w:p w14:paraId="43399144" w14:textId="1E027208" w:rsidR="00E669B0" w:rsidRDefault="00E669B0" w:rsidP="00F1108B">
      <w:pPr>
        <w:rPr>
          <w:rFonts w:ascii="Geomanist Light" w:eastAsia="Calibri" w:hAnsi="Geomanist Light" w:cs="Arial"/>
          <w:sz w:val="22"/>
          <w:szCs w:val="20"/>
          <w:lang w:val="es-ES_tradnl"/>
        </w:rPr>
      </w:pPr>
    </w:p>
    <w:p w14:paraId="574793B2" w14:textId="6FFA076D" w:rsidR="0010170A" w:rsidRDefault="0010170A" w:rsidP="00F1108B">
      <w:pPr>
        <w:rPr>
          <w:rFonts w:ascii="Geomanist Light" w:eastAsia="Calibri" w:hAnsi="Geomanist Light" w:cs="Arial"/>
          <w:sz w:val="22"/>
          <w:szCs w:val="20"/>
          <w:lang w:val="es-ES_tradnl"/>
        </w:rPr>
      </w:pPr>
    </w:p>
    <w:p w14:paraId="65FBD2C9" w14:textId="2B8A957A" w:rsidR="0010170A" w:rsidRDefault="00EC7671" w:rsidP="00EC7671">
      <w:pPr>
        <w:jc w:val="right"/>
        <w:rPr>
          <w:rFonts w:ascii="Geomanist Light" w:eastAsia="Calibri" w:hAnsi="Geomanist Light" w:cs="Arial"/>
          <w:sz w:val="22"/>
          <w:szCs w:val="20"/>
          <w:lang w:val="es-ES_tradnl"/>
        </w:rPr>
      </w:pPr>
      <w:r w:rsidRPr="00EC7671">
        <w:rPr>
          <w:rFonts w:ascii="Geomanist Light" w:eastAsia="Calibri" w:hAnsi="Geomanist Light" w:cs="Arial"/>
          <w:noProof/>
          <w:sz w:val="22"/>
          <w:szCs w:val="20"/>
          <w:lang w:val="es-ES_tradnl"/>
        </w:rPr>
        <w:lastRenderedPageBreak/>
        <w:drawing>
          <wp:inline distT="0" distB="0" distL="0" distR="0" wp14:anchorId="7E952615" wp14:editId="4D023405">
            <wp:extent cx="2505425" cy="676369"/>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505425" cy="676369"/>
                    </a:xfrm>
                    <a:prstGeom prst="rect">
                      <a:avLst/>
                    </a:prstGeom>
                  </pic:spPr>
                </pic:pic>
              </a:graphicData>
            </a:graphic>
          </wp:inline>
        </w:drawing>
      </w:r>
    </w:p>
    <w:p w14:paraId="0A130D48" w14:textId="17F131B1" w:rsidR="0010170A" w:rsidRDefault="0010170A" w:rsidP="00F1108B">
      <w:pPr>
        <w:rPr>
          <w:rFonts w:ascii="Geomanist Light" w:eastAsia="Calibri" w:hAnsi="Geomanist Light" w:cs="Arial"/>
          <w:sz w:val="22"/>
          <w:szCs w:val="20"/>
          <w:lang w:val="es-ES_tradnl"/>
        </w:rPr>
      </w:pPr>
    </w:p>
    <w:p w14:paraId="3D217A67" w14:textId="486186E0" w:rsidR="0010170A" w:rsidRDefault="0010170A" w:rsidP="00F1108B">
      <w:pPr>
        <w:rPr>
          <w:rFonts w:ascii="Geomanist Light" w:eastAsia="Calibri" w:hAnsi="Geomanist Light" w:cs="Arial"/>
          <w:sz w:val="22"/>
          <w:szCs w:val="20"/>
          <w:lang w:val="es-ES_tradnl"/>
        </w:rPr>
      </w:pPr>
    </w:p>
    <w:p w14:paraId="608027D3" w14:textId="13C726E6" w:rsidR="0010170A" w:rsidRDefault="0010170A" w:rsidP="00F1108B">
      <w:pPr>
        <w:rPr>
          <w:rFonts w:ascii="Geomanist Light" w:eastAsia="Calibri" w:hAnsi="Geomanist Light" w:cs="Arial"/>
          <w:sz w:val="22"/>
          <w:szCs w:val="20"/>
          <w:lang w:val="es-ES_tradnl"/>
        </w:rPr>
      </w:pPr>
      <w:r>
        <w:rPr>
          <w:rFonts w:ascii="Geomanist Light" w:eastAsia="Calibri" w:hAnsi="Geomanist Light" w:cs="Arial"/>
          <w:sz w:val="22"/>
          <w:szCs w:val="20"/>
          <w:lang w:val="es-ES_tradnl"/>
        </w:rPr>
        <w:t>Bogotá 29 de noviembre de 2022</w:t>
      </w:r>
    </w:p>
    <w:p w14:paraId="0FB19CBD" w14:textId="77777777" w:rsidR="0010170A" w:rsidRPr="007F4406" w:rsidRDefault="0010170A" w:rsidP="00F1108B">
      <w:pPr>
        <w:rPr>
          <w:rFonts w:ascii="Geomanist Light" w:eastAsia="Calibri" w:hAnsi="Geomanist Light" w:cs="Arial"/>
          <w:sz w:val="22"/>
          <w:szCs w:val="20"/>
          <w:lang w:val="es-ES_tradnl"/>
        </w:rPr>
      </w:pPr>
    </w:p>
    <w:p w14:paraId="1AC01C9C" w14:textId="683C1D53" w:rsidR="00F1108B" w:rsidRPr="007F4406" w:rsidRDefault="00701CE7" w:rsidP="00F1108B">
      <w:pPr>
        <w:rPr>
          <w:rFonts w:ascii="Geomanist Light" w:eastAsia="Calibri" w:hAnsi="Geomanist Light" w:cs="Arial"/>
          <w:sz w:val="22"/>
          <w:szCs w:val="20"/>
          <w:lang w:val="es-ES_tradnl"/>
        </w:rPr>
      </w:pPr>
      <w:r w:rsidRPr="007F4406">
        <w:rPr>
          <w:rFonts w:ascii="Geomanist Light" w:eastAsia="Calibri" w:hAnsi="Geomanist Light" w:cs="Arial"/>
          <w:sz w:val="22"/>
          <w:szCs w:val="20"/>
          <w:lang w:val="es-ES_tradnl"/>
        </w:rPr>
        <w:t>Señor</w:t>
      </w:r>
    </w:p>
    <w:p w14:paraId="51A7B291" w14:textId="761FBA86" w:rsidR="00E669B0" w:rsidRPr="007F4406" w:rsidRDefault="0046015C" w:rsidP="00F1108B">
      <w:pPr>
        <w:rPr>
          <w:rFonts w:ascii="Geomanist Light" w:eastAsia="Calibri" w:hAnsi="Geomanist Light" w:cs="Arial"/>
          <w:b/>
          <w:sz w:val="22"/>
          <w:szCs w:val="20"/>
          <w:lang w:val="es-ES_tradnl"/>
        </w:rPr>
      </w:pPr>
      <w:r w:rsidRPr="007F4406">
        <w:rPr>
          <w:rFonts w:ascii="Geomanist Light" w:eastAsia="Calibri" w:hAnsi="Geomanist Light" w:cs="Arial"/>
          <w:b/>
          <w:sz w:val="22"/>
          <w:szCs w:val="20"/>
          <w:lang w:val="es-ES_tradnl"/>
        </w:rPr>
        <w:t>MARIO FERNANDO PÉREZ ROSERO</w:t>
      </w:r>
    </w:p>
    <w:p w14:paraId="7A74EF0E" w14:textId="11275487" w:rsidR="001350C4" w:rsidRPr="007F4406" w:rsidRDefault="0092682C" w:rsidP="00F1108B">
      <w:pPr>
        <w:rPr>
          <w:rFonts w:ascii="Geomanist Light" w:eastAsia="Calibri" w:hAnsi="Geomanist Light" w:cs="Arial"/>
          <w:sz w:val="22"/>
          <w:szCs w:val="20"/>
          <w:lang w:val="es-ES_tradnl"/>
        </w:rPr>
      </w:pPr>
      <w:r w:rsidRPr="007F4406">
        <w:rPr>
          <w:rFonts w:ascii="Geomanist Light" w:hAnsi="Geomanist Light" w:cs="Arial"/>
          <w:noProof/>
          <w:color w:val="000000" w:themeColor="text1"/>
          <w:sz w:val="22"/>
          <w:lang w:val="es-ES_tradnl"/>
        </w:rPr>
        <w:t>Mocoa, Putumayo</w:t>
      </w:r>
    </w:p>
    <w:p w14:paraId="1DE62F59" w14:textId="77777777" w:rsidR="00AF7CE0" w:rsidRPr="007F4406" w:rsidRDefault="00AF7CE0" w:rsidP="00F1108B">
      <w:pPr>
        <w:rPr>
          <w:rFonts w:ascii="Geomanist Light" w:eastAsia="Calibri" w:hAnsi="Geomanist Light" w:cs="Arial"/>
          <w:sz w:val="22"/>
          <w:szCs w:val="20"/>
          <w:lang w:val="es-ES_tradnl"/>
        </w:rPr>
      </w:pPr>
    </w:p>
    <w:p w14:paraId="77A6AEF9" w14:textId="77777777" w:rsidR="001350C4" w:rsidRPr="007F4406" w:rsidRDefault="001350C4" w:rsidP="00F1108B">
      <w:pPr>
        <w:rPr>
          <w:rFonts w:ascii="Geomanist Light" w:eastAsia="Calibri" w:hAnsi="Geomanist Light" w:cs="Arial"/>
          <w:sz w:val="22"/>
          <w:szCs w:val="20"/>
          <w:lang w:val="es-ES_tradnl"/>
        </w:rPr>
      </w:pPr>
    </w:p>
    <w:p w14:paraId="283D6043" w14:textId="212BE232" w:rsidR="00F1108B" w:rsidRPr="007F4406" w:rsidRDefault="00B30910" w:rsidP="00950C81">
      <w:pPr>
        <w:rPr>
          <w:rFonts w:ascii="Geomanist Light" w:eastAsia="Calibri" w:hAnsi="Geomanist Light" w:cs="Arial"/>
          <w:b/>
          <w:sz w:val="22"/>
          <w:lang w:val="es-ES_tradnl"/>
        </w:rPr>
      </w:pPr>
      <w:r w:rsidRPr="007F4406">
        <w:rPr>
          <w:rFonts w:ascii="Geomanist Light" w:eastAsia="Calibri" w:hAnsi="Geomanist Light" w:cs="Arial"/>
          <w:b/>
          <w:sz w:val="22"/>
          <w:lang w:val="es-ES_tradnl"/>
        </w:rPr>
        <w:t xml:space="preserve">                                            </w:t>
      </w:r>
      <w:r w:rsidR="0046015C" w:rsidRPr="007F4406">
        <w:rPr>
          <w:rFonts w:ascii="Geomanist Light" w:eastAsia="Calibri" w:hAnsi="Geomanist Light" w:cs="Arial"/>
          <w:b/>
          <w:sz w:val="22"/>
          <w:lang w:val="es-ES_tradnl"/>
        </w:rPr>
        <w:tab/>
      </w:r>
      <w:r w:rsidR="00F1108B" w:rsidRPr="007F4406">
        <w:rPr>
          <w:rFonts w:ascii="Geomanist Light" w:eastAsia="Calibri" w:hAnsi="Geomanist Light" w:cs="Arial"/>
          <w:b/>
          <w:sz w:val="22"/>
          <w:lang w:val="es-ES_tradnl"/>
        </w:rPr>
        <w:t xml:space="preserve">Concepto </w:t>
      </w:r>
      <w:r w:rsidR="005F280D" w:rsidRPr="007F4406">
        <w:rPr>
          <w:rFonts w:ascii="Geomanist Light" w:eastAsia="Calibri" w:hAnsi="Geomanist Light" w:cs="Arial"/>
          <w:b/>
          <w:sz w:val="22"/>
          <w:lang w:val="es-ES_tradnl"/>
        </w:rPr>
        <w:t>C-821 de 2022</w:t>
      </w:r>
    </w:p>
    <w:p w14:paraId="5AC285F0" w14:textId="77777777" w:rsidR="007E3A08" w:rsidRPr="007F4406" w:rsidRDefault="007E3A08" w:rsidP="00F1108B">
      <w:pPr>
        <w:rPr>
          <w:rFonts w:ascii="Geomanist Light" w:eastAsia="Calibri" w:hAnsi="Geomanist Light"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7F4406" w14:paraId="522C04FC" w14:textId="77777777" w:rsidTr="0034322C">
        <w:tc>
          <w:tcPr>
            <w:tcW w:w="2689" w:type="dxa"/>
            <w:hideMark/>
          </w:tcPr>
          <w:p w14:paraId="5C1F9A7E" w14:textId="77777777" w:rsidR="00F1108B" w:rsidRPr="007F4406" w:rsidRDefault="00F1108B" w:rsidP="0034322C">
            <w:pPr>
              <w:rPr>
                <w:rFonts w:ascii="Geomanist Light" w:eastAsia="Calibri" w:hAnsi="Geomanist Light" w:cs="Arial"/>
                <w:sz w:val="22"/>
                <w:lang w:val="es-ES_tradnl"/>
              </w:rPr>
            </w:pPr>
            <w:r w:rsidRPr="007F4406">
              <w:rPr>
                <w:rFonts w:ascii="Geomanist Light" w:eastAsia="Calibri" w:hAnsi="Geomanist Light" w:cs="Arial"/>
                <w:b/>
                <w:sz w:val="22"/>
                <w:lang w:val="es-ES_tradnl"/>
              </w:rPr>
              <w:t>Temas:</w:t>
            </w:r>
            <w:r w:rsidRPr="007F4406">
              <w:rPr>
                <w:rFonts w:ascii="Geomanist Light" w:eastAsia="Calibri" w:hAnsi="Geomanist Light" w:cs="Arial"/>
                <w:sz w:val="22"/>
                <w:lang w:val="es-ES_tradnl"/>
              </w:rPr>
              <w:t xml:space="preserve">           </w:t>
            </w:r>
          </w:p>
          <w:p w14:paraId="4376ABAA" w14:textId="77777777" w:rsidR="00F1108B" w:rsidRPr="007F4406" w:rsidRDefault="00F1108B" w:rsidP="0034322C">
            <w:pPr>
              <w:rPr>
                <w:rFonts w:ascii="Geomanist Light" w:eastAsia="Calibri" w:hAnsi="Geomanist Light" w:cs="Arial"/>
                <w:sz w:val="22"/>
                <w:lang w:val="es-ES_tradnl"/>
              </w:rPr>
            </w:pPr>
            <w:r w:rsidRPr="007F4406">
              <w:rPr>
                <w:rFonts w:ascii="Geomanist Light" w:eastAsia="Calibri" w:hAnsi="Geomanist Light" w:cs="Arial"/>
                <w:sz w:val="22"/>
                <w:lang w:val="es-ES_tradnl"/>
              </w:rPr>
              <w:t xml:space="preserve">                           </w:t>
            </w:r>
          </w:p>
        </w:tc>
        <w:tc>
          <w:tcPr>
            <w:tcW w:w="6237" w:type="dxa"/>
            <w:hideMark/>
          </w:tcPr>
          <w:p w14:paraId="47869A6F" w14:textId="6DAEED88" w:rsidR="00EB4B26" w:rsidRPr="007F4406" w:rsidRDefault="00EB4B26" w:rsidP="009928B4">
            <w:pPr>
              <w:jc w:val="both"/>
              <w:rPr>
                <w:rFonts w:ascii="Geomanist Light" w:eastAsia="Calibri" w:hAnsi="Geomanist Light" w:cs="Arial"/>
                <w:bCs/>
                <w:color w:val="000000" w:themeColor="text1"/>
                <w:sz w:val="22"/>
                <w:lang w:val="es-ES_tradnl"/>
              </w:rPr>
            </w:pPr>
            <w:r w:rsidRPr="007F4406">
              <w:rPr>
                <w:rFonts w:ascii="Geomanist Light" w:eastAsia="Calibri" w:hAnsi="Geomanist Light" w:cs="Arial"/>
                <w:bCs/>
                <w:color w:val="000000" w:themeColor="text1"/>
                <w:sz w:val="22"/>
                <w:lang w:val="es-ES_tradnl"/>
              </w:rPr>
              <w:t>EMPRESAS DE SERVICIOS PÚBLICOS</w:t>
            </w:r>
            <w:r w:rsidR="007E3A08" w:rsidRPr="007F4406">
              <w:rPr>
                <w:rFonts w:ascii="Geomanist Light" w:eastAsia="Calibri" w:hAnsi="Geomanist Light" w:cs="Arial"/>
                <w:bCs/>
                <w:color w:val="000000" w:themeColor="text1"/>
                <w:sz w:val="22"/>
                <w:lang w:val="es-ES_tradnl"/>
              </w:rPr>
              <w:t xml:space="preserve"> DOMICILIARIOS</w:t>
            </w:r>
            <w:r w:rsidRPr="007F4406">
              <w:rPr>
                <w:rFonts w:ascii="Geomanist Light" w:eastAsia="Calibri" w:hAnsi="Geomanist Light" w:cs="Arial"/>
                <w:bCs/>
                <w:color w:val="000000" w:themeColor="text1"/>
                <w:sz w:val="22"/>
                <w:lang w:val="es-ES_tradnl"/>
              </w:rPr>
              <w:t xml:space="preserve"> – Naturaleza jurídica – Régimen contractual</w:t>
            </w:r>
            <w:r w:rsidR="00E167E7" w:rsidRPr="007F4406">
              <w:rPr>
                <w:rFonts w:ascii="Geomanist Light" w:eastAsia="Calibri" w:hAnsi="Geomanist Light" w:cs="Arial"/>
                <w:bCs/>
                <w:color w:val="000000" w:themeColor="text1"/>
                <w:sz w:val="22"/>
                <w:lang w:val="es-ES_tradnl"/>
              </w:rPr>
              <w:t xml:space="preserve"> </w:t>
            </w:r>
            <w:r w:rsidR="00131538" w:rsidRPr="007F4406">
              <w:rPr>
                <w:rFonts w:ascii="Geomanist Light" w:eastAsia="Calibri" w:hAnsi="Geomanist Light" w:cs="Arial"/>
                <w:bCs/>
                <w:color w:val="000000" w:themeColor="text1"/>
                <w:sz w:val="22"/>
                <w:lang w:val="es-ES_tradnl"/>
              </w:rPr>
              <w:t>/ EMPRESAS DE SERVICIOS PÚBLICOS DOMICILIARIOS –</w:t>
            </w:r>
            <w:r w:rsidR="00E167E7" w:rsidRPr="007F4406">
              <w:rPr>
                <w:rFonts w:ascii="Geomanist Light" w:eastAsia="Calibri" w:hAnsi="Geomanist Light" w:cs="Arial"/>
                <w:bCs/>
                <w:color w:val="000000" w:themeColor="text1"/>
                <w:sz w:val="22"/>
                <w:lang w:val="es-ES_tradnl"/>
              </w:rPr>
              <w:t xml:space="preserve"> Aplicabilidad</w:t>
            </w:r>
            <w:r w:rsidR="00131538" w:rsidRPr="007F4406">
              <w:rPr>
                <w:rFonts w:ascii="Geomanist Light" w:eastAsia="Calibri" w:hAnsi="Geomanist Light" w:cs="Arial"/>
                <w:bCs/>
                <w:color w:val="000000" w:themeColor="text1"/>
                <w:sz w:val="22"/>
                <w:lang w:val="es-ES_tradnl"/>
              </w:rPr>
              <w:t xml:space="preserve"> Estatuto General de Contratación de la Administración Pública </w:t>
            </w:r>
            <w:r w:rsidR="00E167E7" w:rsidRPr="007F4406">
              <w:rPr>
                <w:rFonts w:ascii="Geomanist Light" w:eastAsia="Calibri" w:hAnsi="Geomanist Light" w:cs="Arial"/>
                <w:bCs/>
                <w:color w:val="000000" w:themeColor="text1"/>
                <w:sz w:val="22"/>
                <w:lang w:val="es-ES_tradnl"/>
              </w:rPr>
              <w:t>– Ley 142 de 1994</w:t>
            </w:r>
            <w:r w:rsidR="00961041" w:rsidRPr="007F4406">
              <w:rPr>
                <w:rFonts w:ascii="Geomanist Light" w:eastAsia="Calibri" w:hAnsi="Geomanist Light" w:cs="Arial"/>
                <w:bCs/>
                <w:color w:val="000000" w:themeColor="text1"/>
                <w:sz w:val="22"/>
                <w:lang w:val="es-ES_tradnl"/>
              </w:rPr>
              <w:t xml:space="preserve"> – Ley 689 de 2001 / PUBLICIIDAD SECOP</w:t>
            </w:r>
            <w:r w:rsidR="00CE0B4C" w:rsidRPr="007F4406">
              <w:rPr>
                <w:rFonts w:ascii="Geomanist Light" w:eastAsia="Calibri" w:hAnsi="Geomanist Light" w:cs="Arial"/>
                <w:bCs/>
                <w:color w:val="000000" w:themeColor="text1"/>
                <w:sz w:val="22"/>
                <w:lang w:val="es-ES_tradnl"/>
              </w:rPr>
              <w:t xml:space="preserve"> – Entidades exceptuadas</w:t>
            </w:r>
            <w:r w:rsidR="00E25773" w:rsidRPr="007F4406">
              <w:rPr>
                <w:rFonts w:ascii="Geomanist Light" w:eastAsia="Calibri" w:hAnsi="Geomanist Light" w:cs="Arial"/>
                <w:bCs/>
                <w:color w:val="000000" w:themeColor="text1"/>
                <w:sz w:val="22"/>
                <w:lang w:val="es-ES_tradnl"/>
              </w:rPr>
              <w:t xml:space="preserve"> del Estatuto General de Contratación de la Administración Pública</w:t>
            </w:r>
            <w:r w:rsidR="00332BBA" w:rsidRPr="007F4406">
              <w:rPr>
                <w:rFonts w:ascii="Geomanist Light" w:eastAsia="Calibri" w:hAnsi="Geomanist Light" w:cs="Arial"/>
                <w:bCs/>
                <w:color w:val="000000" w:themeColor="text1"/>
                <w:sz w:val="22"/>
                <w:lang w:val="es-ES_tradnl"/>
              </w:rPr>
              <w:t xml:space="preserve"> – Modificación artículo 53 de la Ley 2195 de 2022 / SECOP II – Deber de publicidad</w:t>
            </w:r>
            <w:r w:rsidR="00401F0E" w:rsidRPr="007F4406">
              <w:rPr>
                <w:rFonts w:ascii="Geomanist Light" w:eastAsia="Calibri" w:hAnsi="Geomanist Light" w:cs="Arial"/>
                <w:bCs/>
                <w:color w:val="000000" w:themeColor="text1"/>
                <w:sz w:val="22"/>
                <w:lang w:val="es-ES_tradnl"/>
              </w:rPr>
              <w:t xml:space="preserve"> – Entidades exceptuadas – Documentos relacionados con la actividad contractual</w:t>
            </w:r>
          </w:p>
          <w:p w14:paraId="05108362" w14:textId="77777777" w:rsidR="00EB4B26" w:rsidRPr="007F4406" w:rsidRDefault="00EB4B26" w:rsidP="009928B4">
            <w:pPr>
              <w:jc w:val="both"/>
              <w:rPr>
                <w:rFonts w:ascii="Geomanist Light" w:eastAsia="Calibri" w:hAnsi="Geomanist Light" w:cs="Arial"/>
                <w:bCs/>
                <w:color w:val="000000" w:themeColor="text1"/>
                <w:sz w:val="22"/>
                <w:lang w:val="es-ES_tradnl"/>
              </w:rPr>
            </w:pPr>
          </w:p>
          <w:p w14:paraId="3AA47512" w14:textId="3F79F191" w:rsidR="00F1108B" w:rsidRPr="007F4406" w:rsidRDefault="00F1108B" w:rsidP="00AF41AE">
            <w:pPr>
              <w:jc w:val="both"/>
              <w:rPr>
                <w:rFonts w:ascii="Geomanist Light" w:eastAsia="Calibri" w:hAnsi="Geomanist Light" w:cs="Arial"/>
                <w:sz w:val="22"/>
              </w:rPr>
            </w:pPr>
          </w:p>
        </w:tc>
      </w:tr>
      <w:tr w:rsidR="00F1108B" w:rsidRPr="007F4406" w14:paraId="7D0D2FDB" w14:textId="77777777" w:rsidTr="007F4406">
        <w:trPr>
          <w:trHeight w:val="239"/>
        </w:trPr>
        <w:tc>
          <w:tcPr>
            <w:tcW w:w="2689" w:type="dxa"/>
          </w:tcPr>
          <w:p w14:paraId="7DC82264" w14:textId="77777777" w:rsidR="00F1108B" w:rsidRPr="007F4406" w:rsidRDefault="00F1108B" w:rsidP="0034322C">
            <w:pPr>
              <w:rPr>
                <w:rFonts w:ascii="Geomanist Light" w:eastAsia="Calibri" w:hAnsi="Geomanist Light" w:cs="Arial"/>
                <w:b/>
                <w:sz w:val="22"/>
                <w:lang w:val="es-ES_tradnl"/>
              </w:rPr>
            </w:pPr>
            <w:r w:rsidRPr="007F4406">
              <w:rPr>
                <w:rFonts w:ascii="Geomanist Light" w:eastAsia="Calibri" w:hAnsi="Geomanist Light" w:cs="Arial"/>
                <w:b/>
                <w:sz w:val="22"/>
                <w:lang w:val="es-ES_tradnl"/>
              </w:rPr>
              <w:t>Radicación:</w:t>
            </w:r>
            <w:r w:rsidRPr="007F4406">
              <w:rPr>
                <w:rFonts w:ascii="Geomanist Light" w:eastAsia="Calibri" w:hAnsi="Geomanist Light" w:cs="Arial"/>
                <w:sz w:val="22"/>
                <w:lang w:val="es-ES_tradnl"/>
              </w:rPr>
              <w:t xml:space="preserve">                              </w:t>
            </w:r>
          </w:p>
        </w:tc>
        <w:tc>
          <w:tcPr>
            <w:tcW w:w="6237" w:type="dxa"/>
          </w:tcPr>
          <w:p w14:paraId="01DC5749" w14:textId="773AEC3E" w:rsidR="00135217" w:rsidRPr="007F4406" w:rsidRDefault="00F1108B" w:rsidP="007F785F">
            <w:pPr>
              <w:jc w:val="both"/>
              <w:rPr>
                <w:rFonts w:ascii="Geomanist Light" w:eastAsia="Calibri" w:hAnsi="Geomanist Light" w:cs="Arial"/>
                <w:sz w:val="22"/>
                <w:lang w:val="es-ES_tradnl"/>
              </w:rPr>
            </w:pPr>
            <w:r w:rsidRPr="007F4406">
              <w:rPr>
                <w:rFonts w:ascii="Geomanist Light" w:eastAsia="Calibri" w:hAnsi="Geomanist Light" w:cs="Arial"/>
                <w:sz w:val="22"/>
                <w:lang w:val="es-ES_tradnl"/>
              </w:rPr>
              <w:t xml:space="preserve">Respuesta a consulta </w:t>
            </w:r>
            <w:r w:rsidR="002A3DD5" w:rsidRPr="007F4406">
              <w:rPr>
                <w:rFonts w:ascii="Geomanist Light" w:eastAsia="Calibri" w:hAnsi="Geomanist Light" w:cs="Arial"/>
                <w:sz w:val="22"/>
                <w:lang w:val="es-ES_tradnl"/>
              </w:rPr>
              <w:t># P20221013010349</w:t>
            </w:r>
            <w:r w:rsidR="002A3DD5" w:rsidRPr="007F4406">
              <w:rPr>
                <w:rFonts w:ascii="Geomanist Light" w:eastAsia="Calibri" w:hAnsi="Geomanist Light" w:cs="Arial"/>
                <w:sz w:val="22"/>
                <w:lang w:val="es-ES_tradnl"/>
              </w:rPr>
              <w:tab/>
            </w:r>
          </w:p>
        </w:tc>
      </w:tr>
    </w:tbl>
    <w:p w14:paraId="7DF1E86E" w14:textId="19DFA1B3" w:rsidR="00F1108B" w:rsidRPr="007F4406" w:rsidRDefault="00F1108B" w:rsidP="007F4406">
      <w:pPr>
        <w:contextualSpacing/>
        <w:jc w:val="both"/>
        <w:rPr>
          <w:rFonts w:ascii="Geomanist Light" w:eastAsia="Calibri" w:hAnsi="Geomanist Light" w:cs="Arial"/>
          <w:sz w:val="22"/>
          <w:lang w:val="es-ES_tradnl"/>
        </w:rPr>
      </w:pPr>
    </w:p>
    <w:p w14:paraId="50079727" w14:textId="77777777" w:rsidR="0046015C" w:rsidRPr="007F4406" w:rsidRDefault="0046015C" w:rsidP="0046015C">
      <w:pPr>
        <w:contextualSpacing/>
        <w:rPr>
          <w:rFonts w:ascii="Geomanist Light" w:eastAsia="Calibri" w:hAnsi="Geomanist Light" w:cs="Arial"/>
          <w:sz w:val="22"/>
          <w:lang w:val="es-ES_tradnl"/>
        </w:rPr>
      </w:pPr>
    </w:p>
    <w:p w14:paraId="45ADAB8A" w14:textId="2AE5E179" w:rsidR="00F1108B" w:rsidRPr="007F4406" w:rsidRDefault="00CA0EEF" w:rsidP="007F4406">
      <w:pPr>
        <w:spacing w:line="276" w:lineRule="auto"/>
        <w:contextualSpacing/>
        <w:rPr>
          <w:rFonts w:ascii="Geomanist Light" w:eastAsia="Calibri" w:hAnsi="Geomanist Light" w:cs="Arial"/>
          <w:sz w:val="22"/>
          <w:lang w:val="es-ES_tradnl"/>
        </w:rPr>
      </w:pPr>
      <w:r w:rsidRPr="007F4406">
        <w:rPr>
          <w:rFonts w:ascii="Geomanist Light" w:eastAsia="Calibri" w:hAnsi="Geomanist Light" w:cs="Arial"/>
          <w:sz w:val="22"/>
          <w:lang w:val="es-ES_tradnl"/>
        </w:rPr>
        <w:t>Estimad</w:t>
      </w:r>
      <w:r w:rsidR="00881451" w:rsidRPr="007F4406">
        <w:rPr>
          <w:rFonts w:ascii="Geomanist Light" w:eastAsia="Calibri" w:hAnsi="Geomanist Light" w:cs="Arial"/>
          <w:sz w:val="22"/>
          <w:lang w:val="es-ES_tradnl"/>
        </w:rPr>
        <w:t>o</w:t>
      </w:r>
      <w:r w:rsidR="00F1108B" w:rsidRPr="007F4406">
        <w:rPr>
          <w:rFonts w:ascii="Geomanist Light" w:eastAsia="Calibri" w:hAnsi="Geomanist Light" w:cs="Arial"/>
          <w:sz w:val="22"/>
          <w:lang w:val="es-ES_tradnl"/>
        </w:rPr>
        <w:t xml:space="preserve"> señor </w:t>
      </w:r>
      <w:r w:rsidR="002023CB" w:rsidRPr="007F4406">
        <w:rPr>
          <w:rFonts w:ascii="Geomanist Light" w:eastAsia="Calibri" w:hAnsi="Geomanist Light" w:cs="Arial"/>
          <w:sz w:val="22"/>
          <w:lang w:val="es-ES_tradnl"/>
        </w:rPr>
        <w:t>Pérez</w:t>
      </w:r>
      <w:r w:rsidR="00B30910" w:rsidRPr="007F4406">
        <w:rPr>
          <w:rFonts w:ascii="Geomanist Light" w:eastAsia="Calibri" w:hAnsi="Geomanist Light" w:cs="Arial"/>
          <w:sz w:val="22"/>
          <w:lang w:val="es-ES_tradnl"/>
        </w:rPr>
        <w:t>:</w:t>
      </w:r>
    </w:p>
    <w:p w14:paraId="10829D8B" w14:textId="77777777" w:rsidR="00DF453C" w:rsidRPr="007F4406" w:rsidRDefault="00DF453C" w:rsidP="007F4406">
      <w:pPr>
        <w:jc w:val="both"/>
        <w:rPr>
          <w:rFonts w:ascii="Geomanist Light" w:eastAsia="Calibri" w:hAnsi="Geomanist Light" w:cs="Arial"/>
          <w:sz w:val="22"/>
          <w:lang w:val="es-ES_tradnl"/>
        </w:rPr>
      </w:pPr>
    </w:p>
    <w:p w14:paraId="329AA852" w14:textId="17EBD88B" w:rsidR="00F1108B" w:rsidRPr="007F4406" w:rsidRDefault="007152FD" w:rsidP="007F4406">
      <w:pPr>
        <w:spacing w:line="276" w:lineRule="auto"/>
        <w:ind w:right="51"/>
        <w:contextualSpacing/>
        <w:jc w:val="both"/>
        <w:rPr>
          <w:rFonts w:ascii="Geomanist Light" w:hAnsi="Geomanist Light" w:cs="Arial"/>
          <w:sz w:val="22"/>
          <w:lang w:val="es-ES_tradnl"/>
        </w:rPr>
      </w:pPr>
      <w:r w:rsidRPr="007F4406">
        <w:rPr>
          <w:rFonts w:ascii="Geomanist Light" w:hAnsi="Geomanist Light" w:cs="Arial"/>
          <w:sz w:val="22"/>
          <w:lang w:val="es-ES_tradnl"/>
        </w:rPr>
        <w:t>En ejercicio de la competencia otorgada por el numeral 8 del artículo 11 y el numeral 5 del artículo 3 del Decreto Ley 4170 de 2011</w:t>
      </w:r>
      <w:r w:rsidRPr="007F4406">
        <w:rPr>
          <w:rFonts w:ascii="Geomanist Light" w:eastAsia="Arial MT" w:hAnsi="Geomanist Light" w:cs="Arial MT"/>
          <w:sz w:val="22"/>
          <w:lang w:val="es-ES"/>
        </w:rPr>
        <w:t>,</w:t>
      </w:r>
      <w:r w:rsidRPr="007F4406">
        <w:rPr>
          <w:rFonts w:ascii="Geomanist Light" w:eastAsia="Arial MT" w:hAnsi="Geomanist Light" w:cs="Arial MT"/>
          <w:spacing w:val="-7"/>
          <w:sz w:val="22"/>
          <w:lang w:val="es-ES"/>
        </w:rPr>
        <w:t xml:space="preserve"> </w:t>
      </w:r>
      <w:r w:rsidR="006D5225" w:rsidRPr="007F4406">
        <w:rPr>
          <w:rFonts w:ascii="Geomanist Light" w:eastAsia="Arial MT" w:hAnsi="Geomanist Light" w:cs="Arial MT"/>
          <w:sz w:val="22"/>
          <w:lang w:val="es-ES"/>
        </w:rPr>
        <w:t>y</w:t>
      </w:r>
      <w:r w:rsidR="006D5225" w:rsidRPr="007F4406">
        <w:rPr>
          <w:rFonts w:ascii="Geomanist Light" w:eastAsia="Arial MT" w:hAnsi="Geomanist Light" w:cs="Arial MT"/>
          <w:spacing w:val="-7"/>
          <w:sz w:val="22"/>
          <w:lang w:val="es-ES"/>
        </w:rPr>
        <w:t xml:space="preserve"> </w:t>
      </w:r>
      <w:r w:rsidR="006D5225" w:rsidRPr="007F4406">
        <w:rPr>
          <w:rFonts w:ascii="Geomanist Light" w:eastAsia="Arial MT" w:hAnsi="Geomanist Light" w:cs="Arial MT"/>
          <w:sz w:val="22"/>
          <w:lang w:val="es-ES"/>
        </w:rPr>
        <w:t>dentro</w:t>
      </w:r>
      <w:r w:rsidR="006D5225" w:rsidRPr="007F4406">
        <w:rPr>
          <w:rFonts w:ascii="Geomanist Light" w:eastAsia="Arial MT" w:hAnsi="Geomanist Light" w:cs="Arial MT"/>
          <w:spacing w:val="-7"/>
          <w:sz w:val="22"/>
          <w:lang w:val="es-ES"/>
        </w:rPr>
        <w:t xml:space="preserve"> </w:t>
      </w:r>
      <w:r w:rsidR="006D5225" w:rsidRPr="007F4406">
        <w:rPr>
          <w:rFonts w:ascii="Geomanist Light" w:eastAsia="Arial MT" w:hAnsi="Geomanist Light" w:cs="Arial MT"/>
          <w:sz w:val="22"/>
          <w:lang w:val="es-ES"/>
        </w:rPr>
        <w:t>de</w:t>
      </w:r>
      <w:r w:rsidR="006D5225" w:rsidRPr="007F4406">
        <w:rPr>
          <w:rFonts w:ascii="Geomanist Light" w:eastAsia="Arial MT" w:hAnsi="Geomanist Light" w:cs="Arial MT"/>
          <w:spacing w:val="-8"/>
          <w:sz w:val="22"/>
          <w:lang w:val="es-ES"/>
        </w:rPr>
        <w:t xml:space="preserve"> </w:t>
      </w:r>
      <w:r w:rsidR="006D5225" w:rsidRPr="007F4406">
        <w:rPr>
          <w:rFonts w:ascii="Geomanist Light" w:eastAsia="Arial MT" w:hAnsi="Geomanist Light" w:cs="Arial MT"/>
          <w:sz w:val="22"/>
          <w:lang w:val="es-ES"/>
        </w:rPr>
        <w:t>los</w:t>
      </w:r>
      <w:r w:rsidR="006D5225" w:rsidRPr="007F4406">
        <w:rPr>
          <w:rFonts w:ascii="Geomanist Light" w:eastAsia="Arial MT" w:hAnsi="Geomanist Light" w:cs="Arial MT"/>
          <w:spacing w:val="-7"/>
          <w:sz w:val="22"/>
          <w:lang w:val="es-ES"/>
        </w:rPr>
        <w:t xml:space="preserve"> </w:t>
      </w:r>
      <w:r w:rsidR="006D5225" w:rsidRPr="007F4406">
        <w:rPr>
          <w:rFonts w:ascii="Geomanist Light" w:eastAsia="Arial MT" w:hAnsi="Geomanist Light" w:cs="Arial MT"/>
          <w:sz w:val="22"/>
          <w:lang w:val="es-ES"/>
        </w:rPr>
        <w:t>términos</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establecidos</w:t>
      </w:r>
      <w:r w:rsidR="006D5225" w:rsidRPr="007F4406">
        <w:rPr>
          <w:rFonts w:ascii="Geomanist Light" w:eastAsia="Arial MT" w:hAnsi="Geomanist Light" w:cs="Arial MT"/>
          <w:spacing w:val="-8"/>
          <w:sz w:val="22"/>
          <w:lang w:val="es-ES"/>
        </w:rPr>
        <w:t xml:space="preserve"> </w:t>
      </w:r>
      <w:r w:rsidR="006D5225" w:rsidRPr="007F4406">
        <w:rPr>
          <w:rFonts w:ascii="Geomanist Light" w:eastAsia="Arial MT" w:hAnsi="Geomanist Light" w:cs="Arial MT"/>
          <w:sz w:val="22"/>
          <w:lang w:val="es-ES"/>
        </w:rPr>
        <w:t>en</w:t>
      </w:r>
      <w:r w:rsidR="006D5225" w:rsidRPr="007F4406">
        <w:rPr>
          <w:rFonts w:ascii="Geomanist Light" w:eastAsia="Arial MT" w:hAnsi="Geomanist Light" w:cs="Arial MT"/>
          <w:spacing w:val="-7"/>
          <w:sz w:val="22"/>
          <w:lang w:val="es-ES"/>
        </w:rPr>
        <w:t xml:space="preserve"> </w:t>
      </w:r>
      <w:r w:rsidR="006D5225" w:rsidRPr="007F4406">
        <w:rPr>
          <w:rFonts w:ascii="Geomanist Light" w:eastAsia="Arial MT" w:hAnsi="Geomanist Light" w:cs="Arial MT"/>
          <w:sz w:val="22"/>
          <w:lang w:val="es-ES"/>
        </w:rPr>
        <w:t>el artículo</w:t>
      </w:r>
      <w:r w:rsidR="006D5225" w:rsidRPr="007F4406">
        <w:rPr>
          <w:rFonts w:ascii="Geomanist Light" w:eastAsia="Arial MT" w:hAnsi="Geomanist Light" w:cs="Arial MT"/>
          <w:spacing w:val="-7"/>
          <w:sz w:val="22"/>
          <w:lang w:val="es-ES"/>
        </w:rPr>
        <w:t xml:space="preserve"> </w:t>
      </w:r>
      <w:r w:rsidR="006D5225" w:rsidRPr="007F4406">
        <w:rPr>
          <w:rFonts w:ascii="Geomanist Light" w:eastAsia="Arial MT" w:hAnsi="Geomanist Light" w:cs="Arial MT"/>
          <w:sz w:val="22"/>
          <w:lang w:val="es-ES"/>
        </w:rPr>
        <w:t>14</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de</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la</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Ley</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1437</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de</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2011,</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modificados</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por</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el</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artículo</w:t>
      </w:r>
      <w:r w:rsidR="006D5225" w:rsidRPr="007F4406">
        <w:rPr>
          <w:rFonts w:ascii="Geomanist Light" w:eastAsia="Arial MT" w:hAnsi="Geomanist Light" w:cs="Arial MT"/>
          <w:spacing w:val="-7"/>
          <w:sz w:val="22"/>
          <w:lang w:val="es-ES"/>
        </w:rPr>
        <w:t xml:space="preserve"> </w:t>
      </w:r>
      <w:r w:rsidR="006D5225" w:rsidRPr="007F4406">
        <w:rPr>
          <w:rFonts w:ascii="Geomanist Light" w:eastAsia="Arial MT" w:hAnsi="Geomanist Light" w:cs="Arial MT"/>
          <w:sz w:val="22"/>
          <w:lang w:val="es-ES"/>
        </w:rPr>
        <w:t>5</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del</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Decreto</w:t>
      </w:r>
      <w:r w:rsidR="006D5225" w:rsidRPr="007F4406">
        <w:rPr>
          <w:rFonts w:ascii="Geomanist Light" w:eastAsia="Arial MT" w:hAnsi="Geomanist Light" w:cs="Arial MT"/>
          <w:spacing w:val="-6"/>
          <w:sz w:val="22"/>
          <w:lang w:val="es-ES"/>
        </w:rPr>
        <w:t xml:space="preserve"> </w:t>
      </w:r>
      <w:r w:rsidR="006D5225" w:rsidRPr="007F4406">
        <w:rPr>
          <w:rFonts w:ascii="Geomanist Light" w:eastAsia="Arial MT" w:hAnsi="Geomanist Light" w:cs="Arial MT"/>
          <w:sz w:val="22"/>
          <w:lang w:val="es-ES"/>
        </w:rPr>
        <w:t>Legislativo 491 del 28 de marzo de 2020,</w:t>
      </w:r>
      <w:r w:rsidRPr="007F4406">
        <w:rPr>
          <w:rFonts w:ascii="Geomanist Light" w:eastAsia="Arial MT" w:hAnsi="Geomanist Light" w:cs="Arial MT"/>
          <w:sz w:val="22"/>
          <w:lang w:val="es-ES"/>
        </w:rPr>
        <w:t xml:space="preserve"> l</w:t>
      </w:r>
      <w:r w:rsidR="00F1108B" w:rsidRPr="007F4406">
        <w:rPr>
          <w:rFonts w:ascii="Geomanist Light" w:hAnsi="Geomanist Light" w:cs="Arial"/>
          <w:sz w:val="22"/>
          <w:lang w:val="es-ES_tradnl"/>
        </w:rPr>
        <w:t xml:space="preserve">a Agencia Nacional de Contratación Pública </w:t>
      </w:r>
      <w:r w:rsidR="00B30910" w:rsidRPr="007F4406">
        <w:rPr>
          <w:rFonts w:ascii="Geomanist Light" w:hAnsi="Geomanist Light" w:cs="Arial"/>
          <w:sz w:val="22"/>
          <w:lang w:val="es-ES_tradnl"/>
        </w:rPr>
        <w:t xml:space="preserve">– </w:t>
      </w:r>
      <w:r w:rsidR="00F1108B" w:rsidRPr="007F4406">
        <w:rPr>
          <w:rFonts w:ascii="Geomanist Light" w:hAnsi="Geomanist Light" w:cs="Arial"/>
          <w:sz w:val="22"/>
          <w:lang w:val="es-ES_tradnl"/>
        </w:rPr>
        <w:t xml:space="preserve">Colombia Compra Eficiente responde </w:t>
      </w:r>
      <w:r w:rsidR="002023CB" w:rsidRPr="007F4406">
        <w:rPr>
          <w:rFonts w:ascii="Geomanist Light" w:hAnsi="Geomanist Light" w:cs="Arial"/>
          <w:sz w:val="22"/>
          <w:lang w:val="es-ES_tradnl"/>
        </w:rPr>
        <w:t>su consulta radicada el 13 de octubre de 2022.</w:t>
      </w:r>
      <w:r w:rsidR="00682E7F" w:rsidRPr="007F4406">
        <w:rPr>
          <w:rFonts w:ascii="Geomanist Light" w:hAnsi="Geomanist Light" w:cs="Arial"/>
          <w:sz w:val="22"/>
          <w:lang w:val="es-ES_tradnl"/>
        </w:rPr>
        <w:t xml:space="preserve"> </w:t>
      </w:r>
    </w:p>
    <w:p w14:paraId="72382DCC" w14:textId="77777777" w:rsidR="00F1108B" w:rsidRPr="007F4406" w:rsidRDefault="00F1108B" w:rsidP="0046015C">
      <w:pPr>
        <w:pStyle w:val="Prrafodelista"/>
        <w:tabs>
          <w:tab w:val="left" w:pos="284"/>
        </w:tabs>
        <w:spacing w:line="276" w:lineRule="auto"/>
        <w:ind w:left="0"/>
        <w:jc w:val="both"/>
        <w:rPr>
          <w:rFonts w:ascii="Geomanist Light" w:hAnsi="Geomanist Light" w:cs="Arial"/>
          <w:sz w:val="22"/>
          <w:lang w:val="es-ES_tradnl"/>
        </w:rPr>
      </w:pPr>
    </w:p>
    <w:p w14:paraId="2C3DAA31" w14:textId="1F53E0F2" w:rsidR="00F1108B" w:rsidRPr="007F4406" w:rsidRDefault="00F1108B" w:rsidP="0046015C">
      <w:pPr>
        <w:pStyle w:val="Prrafodelista"/>
        <w:tabs>
          <w:tab w:val="left" w:pos="284"/>
        </w:tabs>
        <w:spacing w:line="276" w:lineRule="auto"/>
        <w:ind w:left="0"/>
        <w:jc w:val="both"/>
        <w:rPr>
          <w:rFonts w:ascii="Geomanist Light" w:eastAsia="Calibri" w:hAnsi="Geomanist Light" w:cs="Arial"/>
          <w:b/>
          <w:sz w:val="22"/>
          <w:lang w:val="es-ES_tradnl"/>
        </w:rPr>
      </w:pPr>
      <w:r w:rsidRPr="007F4406">
        <w:rPr>
          <w:rFonts w:ascii="Geomanist Light" w:eastAsia="Calibri" w:hAnsi="Geomanist Light" w:cs="Arial"/>
          <w:b/>
          <w:sz w:val="22"/>
          <w:lang w:val="es-ES_tradnl"/>
        </w:rPr>
        <w:t>1.</w:t>
      </w:r>
      <w:r w:rsidRPr="007F4406">
        <w:rPr>
          <w:rFonts w:ascii="Geomanist Light" w:eastAsia="Calibri" w:hAnsi="Geomanist Light" w:cs="Arial"/>
          <w:sz w:val="22"/>
          <w:lang w:val="es-ES_tradnl"/>
        </w:rPr>
        <w:t xml:space="preserve"> </w:t>
      </w:r>
      <w:r w:rsidRPr="007F4406">
        <w:rPr>
          <w:rFonts w:ascii="Geomanist Light" w:eastAsia="Calibri" w:hAnsi="Geomanist Light" w:cs="Arial"/>
          <w:b/>
          <w:sz w:val="22"/>
          <w:lang w:val="es-ES_tradnl"/>
        </w:rPr>
        <w:t xml:space="preserve">Problema planteado </w:t>
      </w:r>
    </w:p>
    <w:p w14:paraId="1052CB86" w14:textId="77777777" w:rsidR="00DF453C" w:rsidRPr="007F4406" w:rsidRDefault="00DF453C" w:rsidP="0046015C">
      <w:pPr>
        <w:pStyle w:val="Prrafodelista"/>
        <w:tabs>
          <w:tab w:val="left" w:pos="284"/>
        </w:tabs>
        <w:spacing w:line="276" w:lineRule="auto"/>
        <w:ind w:left="0"/>
        <w:jc w:val="both"/>
        <w:rPr>
          <w:rFonts w:ascii="Geomanist Light" w:eastAsia="Calibri" w:hAnsi="Geomanist Light" w:cs="Arial"/>
          <w:b/>
          <w:sz w:val="22"/>
          <w:lang w:val="es-ES_tradnl"/>
        </w:rPr>
      </w:pPr>
    </w:p>
    <w:p w14:paraId="0924F2F3" w14:textId="37503417" w:rsidR="00A854AC" w:rsidRPr="007F4406" w:rsidRDefault="007A2597" w:rsidP="00A854AC">
      <w:pPr>
        <w:spacing w:line="276" w:lineRule="auto"/>
        <w:jc w:val="both"/>
        <w:rPr>
          <w:rFonts w:ascii="Geomanist Light" w:hAnsi="Geomanist Light" w:cs="Arial"/>
          <w:color w:val="000000" w:themeColor="text1"/>
          <w:sz w:val="22"/>
          <w:lang w:val="es-ES_tradnl"/>
        </w:rPr>
      </w:pPr>
      <w:r w:rsidRPr="007F4406">
        <w:rPr>
          <w:rFonts w:ascii="Geomanist Light" w:hAnsi="Geomanist Light" w:cs="Arial"/>
          <w:color w:val="000000" w:themeColor="text1"/>
          <w:sz w:val="22"/>
          <w:lang w:val="es-ES_tradnl"/>
        </w:rPr>
        <w:t xml:space="preserve">El peticionario </w:t>
      </w:r>
      <w:r w:rsidR="00C95E1F" w:rsidRPr="007F4406">
        <w:rPr>
          <w:rFonts w:ascii="Geomanist Light" w:hAnsi="Geomanist Light" w:cs="Arial"/>
          <w:color w:val="000000" w:themeColor="text1"/>
          <w:sz w:val="22"/>
          <w:lang w:val="es-ES_tradnl"/>
        </w:rPr>
        <w:t xml:space="preserve">planteó </w:t>
      </w:r>
      <w:r w:rsidR="0040121A" w:rsidRPr="007F4406">
        <w:rPr>
          <w:rFonts w:ascii="Geomanist Light" w:hAnsi="Geomanist Light" w:cs="Arial"/>
          <w:color w:val="000000" w:themeColor="text1"/>
          <w:sz w:val="22"/>
          <w:lang w:val="es-ES_tradnl"/>
        </w:rPr>
        <w:t>interrogantes</w:t>
      </w:r>
      <w:r w:rsidR="00C95E1F" w:rsidRPr="007F4406">
        <w:rPr>
          <w:rFonts w:ascii="Geomanist Light" w:hAnsi="Geomanist Light" w:cs="Arial"/>
          <w:color w:val="000000" w:themeColor="text1"/>
          <w:sz w:val="22"/>
          <w:lang w:val="es-ES_tradnl"/>
        </w:rPr>
        <w:t xml:space="preserve"> </w:t>
      </w:r>
      <w:r w:rsidRPr="007F4406">
        <w:rPr>
          <w:rFonts w:ascii="Geomanist Light" w:hAnsi="Geomanist Light" w:cs="Arial"/>
          <w:color w:val="000000" w:themeColor="text1"/>
          <w:sz w:val="22"/>
          <w:lang w:val="es-ES_tradnl"/>
        </w:rPr>
        <w:t>relacionad</w:t>
      </w:r>
      <w:r w:rsidR="0040121A" w:rsidRPr="007F4406">
        <w:rPr>
          <w:rFonts w:ascii="Geomanist Light" w:hAnsi="Geomanist Light" w:cs="Arial"/>
          <w:color w:val="000000" w:themeColor="text1"/>
          <w:sz w:val="22"/>
          <w:lang w:val="es-ES_tradnl"/>
        </w:rPr>
        <w:t>o</w:t>
      </w:r>
      <w:r w:rsidRPr="007F4406">
        <w:rPr>
          <w:rFonts w:ascii="Geomanist Light" w:hAnsi="Geomanist Light" w:cs="Arial"/>
          <w:color w:val="000000" w:themeColor="text1"/>
          <w:sz w:val="22"/>
          <w:lang w:val="es-ES_tradnl"/>
        </w:rPr>
        <w:t xml:space="preserve">s con </w:t>
      </w:r>
      <w:r w:rsidR="0040121A" w:rsidRPr="007F4406">
        <w:rPr>
          <w:rFonts w:ascii="Geomanist Light" w:hAnsi="Geomanist Light" w:cs="Arial"/>
          <w:color w:val="000000" w:themeColor="text1"/>
          <w:sz w:val="22"/>
          <w:lang w:val="es-ES_tradnl"/>
        </w:rPr>
        <w:t>la obligatoriedad de publicación en el Sistema Electrónico para la Contratación Pública –SECOP</w:t>
      </w:r>
      <w:r w:rsidR="00BE5BF2" w:rsidRPr="007F4406">
        <w:rPr>
          <w:rFonts w:ascii="Geomanist Light" w:hAnsi="Geomanist Light" w:cs="Arial"/>
          <w:color w:val="000000" w:themeColor="text1"/>
          <w:sz w:val="22"/>
          <w:lang w:val="es-ES_tradnl"/>
        </w:rPr>
        <w:t>–</w:t>
      </w:r>
      <w:r w:rsidR="0040121A" w:rsidRPr="007F4406">
        <w:rPr>
          <w:rFonts w:ascii="Geomanist Light" w:hAnsi="Geomanist Light" w:cs="Arial"/>
          <w:color w:val="000000" w:themeColor="text1"/>
          <w:sz w:val="22"/>
          <w:lang w:val="es-ES_tradnl"/>
        </w:rPr>
        <w:t xml:space="preserve"> por parte de las Empresas </w:t>
      </w:r>
      <w:r w:rsidR="0040121A" w:rsidRPr="007F4406">
        <w:rPr>
          <w:rFonts w:ascii="Geomanist Light" w:hAnsi="Geomanist Light" w:cs="Arial"/>
          <w:color w:val="000000" w:themeColor="text1"/>
          <w:sz w:val="22"/>
          <w:lang w:val="es-ES_tradnl"/>
        </w:rPr>
        <w:lastRenderedPageBreak/>
        <w:t>Prestadoras de Servicios Públicos Domiciliarios y</w:t>
      </w:r>
      <w:r w:rsidR="00BE5BF2" w:rsidRPr="007F4406">
        <w:rPr>
          <w:rFonts w:ascii="Geomanist Light" w:hAnsi="Geomanist Light" w:cs="Arial"/>
          <w:color w:val="000000" w:themeColor="text1"/>
          <w:sz w:val="22"/>
          <w:lang w:val="es-ES_tradnl"/>
        </w:rPr>
        <w:t>,</w:t>
      </w:r>
      <w:r w:rsidR="0040121A" w:rsidRPr="007F4406">
        <w:rPr>
          <w:rFonts w:ascii="Geomanist Light" w:hAnsi="Geomanist Light" w:cs="Arial"/>
          <w:color w:val="000000" w:themeColor="text1"/>
          <w:sz w:val="22"/>
          <w:lang w:val="es-ES_tradnl"/>
        </w:rPr>
        <w:t xml:space="preserve"> las circunstancias en las que referidas </w:t>
      </w:r>
      <w:r w:rsidR="0046015C" w:rsidRPr="007F4406">
        <w:rPr>
          <w:rFonts w:ascii="Geomanist Light" w:hAnsi="Geomanist Light" w:cs="Arial"/>
          <w:color w:val="000000" w:themeColor="text1"/>
          <w:sz w:val="22"/>
          <w:lang w:val="es-ES_tradnl"/>
        </w:rPr>
        <w:t xml:space="preserve">empresas </w:t>
      </w:r>
      <w:r w:rsidR="0040121A" w:rsidRPr="007F4406">
        <w:rPr>
          <w:rFonts w:ascii="Geomanist Light" w:hAnsi="Geomanist Light" w:cs="Arial"/>
          <w:color w:val="000000" w:themeColor="text1"/>
          <w:sz w:val="22"/>
          <w:lang w:val="es-ES_tradnl"/>
        </w:rPr>
        <w:t>deban contratar aplicando la Ley 80 de 1993</w:t>
      </w:r>
      <w:r w:rsidR="00F77AB5" w:rsidRPr="007F4406">
        <w:rPr>
          <w:rFonts w:ascii="Geomanist Light" w:hAnsi="Geomanist Light" w:cs="Arial"/>
          <w:color w:val="000000" w:themeColor="text1"/>
          <w:sz w:val="22"/>
          <w:lang w:val="es-ES_tradnl"/>
        </w:rPr>
        <w:t xml:space="preserve"> y sus normas complementarias</w:t>
      </w:r>
      <w:r w:rsidR="0040121A" w:rsidRPr="007F4406">
        <w:rPr>
          <w:rFonts w:ascii="Geomanist Light" w:hAnsi="Geomanist Light" w:cs="Arial"/>
          <w:color w:val="000000" w:themeColor="text1"/>
          <w:sz w:val="22"/>
          <w:lang w:val="es-ES_tradnl"/>
        </w:rPr>
        <w:t>, así:</w:t>
      </w:r>
    </w:p>
    <w:p w14:paraId="4C12ED8E" w14:textId="77777777" w:rsidR="0040121A" w:rsidRPr="007F4406" w:rsidRDefault="0040121A" w:rsidP="00A854AC">
      <w:pPr>
        <w:spacing w:line="276" w:lineRule="auto"/>
        <w:jc w:val="both"/>
        <w:rPr>
          <w:rFonts w:ascii="Geomanist Light" w:eastAsia="Calibri" w:hAnsi="Geomanist Light" w:cs="Arial"/>
          <w:sz w:val="22"/>
          <w:lang w:val="es-ES_tradnl"/>
        </w:rPr>
      </w:pPr>
    </w:p>
    <w:p w14:paraId="14DDD893" w14:textId="73E75B3B" w:rsidR="0040121A" w:rsidRPr="007F4406" w:rsidRDefault="0040121A" w:rsidP="007F4406">
      <w:pPr>
        <w:ind w:left="709" w:right="709"/>
        <w:jc w:val="both"/>
        <w:rPr>
          <w:rFonts w:ascii="Geomanist Light" w:eastAsia="Calibri" w:hAnsi="Geomanist Light" w:cs="Arial"/>
          <w:sz w:val="21"/>
          <w:szCs w:val="21"/>
        </w:rPr>
      </w:pPr>
      <w:bookmarkStart w:id="1" w:name="_Hlk117585473"/>
      <w:r w:rsidRPr="007F4406">
        <w:rPr>
          <w:rFonts w:ascii="Geomanist Light" w:eastAsia="Calibri" w:hAnsi="Geomanist Light" w:cs="Arial"/>
          <w:sz w:val="21"/>
          <w:szCs w:val="21"/>
        </w:rPr>
        <w:t>«Obligación de las Empresas de Servicios Públicos Domiciliarios de cargar la información de su contratación en Secop II, si existe alguna disposición legal que obligue algunos cambios en los manuales de contratación de estas empresas, me gustaría también preguntar, si existe algún tope legal que determine los casos particulares, bajo los cuales estas empresas tengan que celebrar contratos bajo la figura de la licitación de la Ley 80 y sus normas complementarias, o el monto para usar el estatuto de contratación pública, es discrecional de la Junta directiva y su Manual de Contratación</w:t>
      </w:r>
      <w:r w:rsidR="00627A2D" w:rsidRPr="007F4406">
        <w:rPr>
          <w:rFonts w:ascii="Geomanist Light" w:eastAsia="Calibri" w:hAnsi="Geomanist Light" w:cs="Arial"/>
          <w:sz w:val="21"/>
          <w:szCs w:val="21"/>
        </w:rPr>
        <w:t>.</w:t>
      </w:r>
      <w:r w:rsidRPr="007F4406">
        <w:rPr>
          <w:rFonts w:ascii="Geomanist Light" w:eastAsia="Calibri" w:hAnsi="Geomanist Light" w:cs="Arial"/>
          <w:sz w:val="21"/>
          <w:szCs w:val="21"/>
        </w:rPr>
        <w:t>[sic]</w:t>
      </w:r>
      <w:r w:rsidR="00627A2D" w:rsidRPr="007F4406">
        <w:rPr>
          <w:rFonts w:ascii="Geomanist Light" w:eastAsia="Calibri" w:hAnsi="Geomanist Light" w:cs="Arial"/>
          <w:sz w:val="21"/>
          <w:szCs w:val="21"/>
        </w:rPr>
        <w:t>»</w:t>
      </w:r>
    </w:p>
    <w:bookmarkEnd w:id="1"/>
    <w:p w14:paraId="0EE09C22" w14:textId="59D281DE" w:rsidR="007A2597" w:rsidRPr="007F4406" w:rsidRDefault="007A2597" w:rsidP="00A854AC">
      <w:pPr>
        <w:spacing w:line="276" w:lineRule="auto"/>
        <w:jc w:val="both"/>
        <w:rPr>
          <w:rFonts w:ascii="Geomanist Light" w:eastAsia="Calibri" w:hAnsi="Geomanist Light" w:cs="Arial"/>
          <w:sz w:val="22"/>
          <w:lang w:val="es-ES_tradnl"/>
        </w:rPr>
      </w:pPr>
    </w:p>
    <w:p w14:paraId="08FCE370" w14:textId="77777777" w:rsidR="00F1108B" w:rsidRPr="007F4406" w:rsidRDefault="00F1108B" w:rsidP="00E669B0">
      <w:pPr>
        <w:tabs>
          <w:tab w:val="left" w:pos="426"/>
        </w:tabs>
        <w:spacing w:line="276" w:lineRule="auto"/>
        <w:jc w:val="both"/>
        <w:rPr>
          <w:rFonts w:ascii="Geomanist Light" w:eastAsia="Calibri" w:hAnsi="Geomanist Light" w:cs="Arial"/>
          <w:b/>
          <w:sz w:val="22"/>
          <w:lang w:val="es-ES_tradnl"/>
        </w:rPr>
      </w:pPr>
      <w:r w:rsidRPr="007F4406">
        <w:rPr>
          <w:rFonts w:ascii="Geomanist Light" w:eastAsia="Calibri" w:hAnsi="Geomanist Light" w:cs="Arial"/>
          <w:b/>
          <w:sz w:val="22"/>
          <w:lang w:val="es-ES_tradnl"/>
        </w:rPr>
        <w:t>2.</w:t>
      </w:r>
      <w:r w:rsidRPr="007F4406">
        <w:rPr>
          <w:rFonts w:ascii="Geomanist Light" w:eastAsia="Calibri" w:hAnsi="Geomanist Light" w:cs="Arial"/>
          <w:sz w:val="22"/>
          <w:lang w:val="es-ES_tradnl"/>
        </w:rPr>
        <w:t xml:space="preserve"> </w:t>
      </w:r>
      <w:r w:rsidRPr="007F4406">
        <w:rPr>
          <w:rFonts w:ascii="Geomanist Light" w:eastAsia="Calibri" w:hAnsi="Geomanist Light" w:cs="Arial"/>
          <w:b/>
          <w:sz w:val="22"/>
          <w:lang w:val="es-ES_tradnl"/>
        </w:rPr>
        <w:t>Consideraciones</w:t>
      </w:r>
    </w:p>
    <w:p w14:paraId="7929A60D" w14:textId="77777777" w:rsidR="00C46EA9" w:rsidRPr="007F4406" w:rsidRDefault="00C46EA9" w:rsidP="00974C92">
      <w:pPr>
        <w:spacing w:line="276" w:lineRule="auto"/>
        <w:jc w:val="both"/>
        <w:rPr>
          <w:rFonts w:ascii="Geomanist Light" w:hAnsi="Geomanist Light" w:cs="Arial"/>
          <w:color w:val="000000" w:themeColor="text1"/>
          <w:sz w:val="22"/>
          <w:lang w:val="es-ES_tradnl"/>
        </w:rPr>
      </w:pPr>
    </w:p>
    <w:p w14:paraId="63ECCBB1" w14:textId="77777777" w:rsidR="009A69A5" w:rsidRPr="007F4406" w:rsidRDefault="009A69A5" w:rsidP="009A69A5">
      <w:pPr>
        <w:spacing w:line="276" w:lineRule="auto"/>
        <w:jc w:val="both"/>
        <w:rPr>
          <w:rFonts w:ascii="Geomanist Light" w:hAnsi="Geomanist Light" w:cs="Arial"/>
          <w:bCs/>
          <w:sz w:val="22"/>
        </w:rPr>
      </w:pPr>
      <w:r w:rsidRPr="007F4406">
        <w:rPr>
          <w:rFonts w:ascii="Geomanist Light" w:eastAsia="Calibri" w:hAnsi="Geomanist Light" w:cs="Arial"/>
          <w:color w:val="000000" w:themeColor="text1"/>
          <w:sz w:val="22"/>
        </w:rPr>
        <w:t>E</w:t>
      </w:r>
      <w:r w:rsidRPr="007F4406">
        <w:rPr>
          <w:rFonts w:ascii="Geomanist Light" w:hAnsi="Geomanist Light" w:cs="Arial"/>
          <w:bCs/>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E4F2EF4" w14:textId="77777777" w:rsidR="009A69A5" w:rsidRPr="007F4406" w:rsidRDefault="009A69A5" w:rsidP="009A69A5">
      <w:pPr>
        <w:spacing w:before="120" w:line="276" w:lineRule="auto"/>
        <w:ind w:firstLine="708"/>
        <w:jc w:val="both"/>
        <w:rPr>
          <w:rFonts w:ascii="Geomanist Light" w:hAnsi="Geomanist Light" w:cs="Arial"/>
          <w:bCs/>
          <w:sz w:val="22"/>
        </w:rPr>
      </w:pPr>
      <w:r w:rsidRPr="007F4406">
        <w:rPr>
          <w:rFonts w:ascii="Geomanist Light" w:hAnsi="Geomanist Light" w:cs="Arial"/>
          <w:bCs/>
          <w:sz w:val="22"/>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0EC8FE77" w14:textId="666A931B" w:rsidR="009A69A5" w:rsidRPr="007F4406" w:rsidRDefault="009A69A5" w:rsidP="009A69A5">
      <w:pPr>
        <w:spacing w:before="120" w:after="120" w:line="276" w:lineRule="auto"/>
        <w:ind w:firstLine="709"/>
        <w:jc w:val="both"/>
        <w:rPr>
          <w:rFonts w:ascii="Geomanist Light" w:hAnsi="Geomanist Light" w:cs="Arial"/>
          <w:bCs/>
          <w:sz w:val="22"/>
        </w:rPr>
      </w:pPr>
      <w:r w:rsidRPr="007F4406">
        <w:rPr>
          <w:rFonts w:ascii="Geomanist Light" w:hAnsi="Geomanist Light" w:cs="Arial"/>
          <w:bCs/>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F4406">
        <w:rPr>
          <w:rFonts w:ascii="Geomanist Light" w:hAnsi="Geomanist Light" w:cs="Arial"/>
          <w:bCs/>
          <w:sz w:val="22"/>
        </w:rPr>
        <w:footnoteReference w:id="2"/>
      </w:r>
      <w:r w:rsidRPr="007F4406">
        <w:rPr>
          <w:rFonts w:ascii="Geomanist Light" w:hAnsi="Geomanist Light" w:cs="Arial"/>
          <w:bCs/>
          <w:sz w:val="22"/>
        </w:rPr>
        <w:t xml:space="preserve">. Esta competencia de interpretación de normas generales, por definición, no puede extenderse a la resolución </w:t>
      </w:r>
      <w:r w:rsidRPr="007F4406">
        <w:rPr>
          <w:rFonts w:ascii="Geomanist Light" w:hAnsi="Geomanist Light" w:cs="Arial"/>
          <w:bCs/>
          <w:sz w:val="22"/>
        </w:rPr>
        <w:lastRenderedPageBreak/>
        <w:t xml:space="preserve">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w:t>
      </w:r>
    </w:p>
    <w:p w14:paraId="3F2A741E" w14:textId="63635140" w:rsidR="009F12A7" w:rsidRPr="007F4406" w:rsidRDefault="006F4B3D" w:rsidP="009F12A7">
      <w:pPr>
        <w:spacing w:line="276" w:lineRule="auto"/>
        <w:ind w:firstLine="708"/>
        <w:jc w:val="both"/>
        <w:rPr>
          <w:rFonts w:ascii="Geomanist Light" w:hAnsi="Geomanist Light" w:cs="Arial"/>
          <w:bCs/>
          <w:sz w:val="22"/>
        </w:rPr>
      </w:pPr>
      <w:r w:rsidRPr="007F4406">
        <w:rPr>
          <w:rFonts w:ascii="Geomanist Light" w:hAnsi="Geomanist Light" w:cs="Arial"/>
          <w:bCs/>
          <w:sz w:val="22"/>
        </w:rPr>
        <w:t>De conformidad con</w:t>
      </w:r>
      <w:r w:rsidR="009A69A5" w:rsidRPr="007F4406">
        <w:rPr>
          <w:rFonts w:ascii="Geomanist Light" w:hAnsi="Geomanist Light" w:cs="Arial"/>
          <w:bCs/>
          <w:sz w:val="22"/>
        </w:rPr>
        <w:t xml:space="preserve"> lo anterior, la Subdirección </w:t>
      </w:r>
      <w:r w:rsidR="00AA00C6" w:rsidRPr="007F4406">
        <w:rPr>
          <w:rFonts w:ascii="Geomanist Light" w:hAnsi="Geomanist Light" w:cs="Arial"/>
          <w:bCs/>
          <w:sz w:val="22"/>
        </w:rPr>
        <w:t>de Ges</w:t>
      </w:r>
      <w:r w:rsidR="00AF6E05" w:rsidRPr="007F4406">
        <w:rPr>
          <w:rFonts w:ascii="Geomanist Light" w:hAnsi="Geomanist Light" w:cs="Arial"/>
          <w:bCs/>
          <w:sz w:val="22"/>
        </w:rPr>
        <w:t xml:space="preserve">tión Contractual </w:t>
      </w:r>
      <w:r w:rsidR="009A69A5" w:rsidRPr="007F4406">
        <w:rPr>
          <w:rFonts w:ascii="Geomanist Light" w:hAnsi="Geomanist Light" w:cs="Arial"/>
          <w:bCs/>
          <w:sz w:val="22"/>
        </w:rPr>
        <w:t>–dentro de los límites de sus atribuciones– resolverá la consulta conforme a las normas generales en materia de contratación estatal. Con este objetivo se analizarán los siguientes temas:</w:t>
      </w:r>
      <w:r w:rsidR="00DD116A" w:rsidRPr="007F4406">
        <w:rPr>
          <w:rFonts w:ascii="Geomanist Light" w:hAnsi="Geomanist Light" w:cs="Arial"/>
          <w:bCs/>
          <w:sz w:val="22"/>
        </w:rPr>
        <w:t xml:space="preserve"> i</w:t>
      </w:r>
      <w:r w:rsidR="009A69A5" w:rsidRPr="007F4406">
        <w:rPr>
          <w:rFonts w:ascii="Geomanist Light" w:hAnsi="Geomanist Light" w:cs="Arial"/>
          <w:bCs/>
          <w:sz w:val="22"/>
        </w:rPr>
        <w:t xml:space="preserve">) </w:t>
      </w:r>
      <w:r w:rsidR="009F12A7" w:rsidRPr="007F4406">
        <w:rPr>
          <w:rFonts w:ascii="Geomanist Light" w:hAnsi="Geomanist Light" w:cs="Arial"/>
          <w:bCs/>
          <w:sz w:val="22"/>
        </w:rPr>
        <w:t>naturaleza jurídica de las Empresas Prestadoras de Servicios Públicos Domiciliarios; ii)</w:t>
      </w:r>
      <w:r w:rsidR="00C156AB" w:rsidRPr="007F4406">
        <w:rPr>
          <w:rFonts w:ascii="Geomanist Light" w:hAnsi="Geomanist Light" w:cs="Arial"/>
          <w:bCs/>
          <w:sz w:val="22"/>
        </w:rPr>
        <w:t xml:space="preserve"> </w:t>
      </w:r>
      <w:r w:rsidR="009F12A7" w:rsidRPr="007F4406">
        <w:rPr>
          <w:rFonts w:ascii="Geomanist Light" w:hAnsi="Geomanist Light" w:cs="Arial"/>
          <w:bCs/>
          <w:sz w:val="22"/>
        </w:rPr>
        <w:t xml:space="preserve">régimen contractual </w:t>
      </w:r>
      <w:r w:rsidR="00A43B8B" w:rsidRPr="007F4406">
        <w:rPr>
          <w:rFonts w:ascii="Geomanist Light" w:hAnsi="Geomanist Light" w:cs="Arial"/>
          <w:bCs/>
          <w:sz w:val="22"/>
        </w:rPr>
        <w:t>de</w:t>
      </w:r>
      <w:r w:rsidR="009F12A7" w:rsidRPr="007F4406">
        <w:rPr>
          <w:rFonts w:ascii="Geomanist Light" w:hAnsi="Geomanist Light" w:cs="Arial"/>
          <w:bCs/>
          <w:sz w:val="22"/>
        </w:rPr>
        <w:t xml:space="preserve"> las Empresas Prestadoras de Servicios Públicos Domiciliarios</w:t>
      </w:r>
      <w:r w:rsidR="00E06D89" w:rsidRPr="007F4406">
        <w:rPr>
          <w:rFonts w:ascii="Geomanist Light" w:hAnsi="Geomanist Light" w:cs="Arial"/>
          <w:bCs/>
          <w:sz w:val="22"/>
        </w:rPr>
        <w:t>.</w:t>
      </w:r>
      <w:r w:rsidR="00FB6E0B" w:rsidRPr="007F4406">
        <w:rPr>
          <w:rFonts w:ascii="Geomanist Light" w:hAnsi="Geomanist Light" w:cs="Arial"/>
          <w:bCs/>
          <w:sz w:val="22"/>
        </w:rPr>
        <w:t xml:space="preserve"> </w:t>
      </w:r>
      <w:r w:rsidR="00BC533F" w:rsidRPr="007F4406">
        <w:rPr>
          <w:rFonts w:ascii="Geomanist Light" w:hAnsi="Geomanist Light" w:cs="Arial"/>
          <w:bCs/>
          <w:sz w:val="22"/>
        </w:rPr>
        <w:t>Situaciones de aplicabilidad de la Ley 80 de 1993</w:t>
      </w:r>
      <w:r w:rsidR="009F12A7" w:rsidRPr="007F4406">
        <w:rPr>
          <w:rFonts w:ascii="Geomanist Light" w:hAnsi="Geomanist Light" w:cs="Arial"/>
          <w:bCs/>
          <w:sz w:val="22"/>
        </w:rPr>
        <w:t xml:space="preserve">; </w:t>
      </w:r>
      <w:r w:rsidR="00DD116A" w:rsidRPr="007F4406">
        <w:rPr>
          <w:rFonts w:ascii="Geomanist Light" w:hAnsi="Geomanist Light" w:cs="Arial"/>
          <w:bCs/>
          <w:sz w:val="22"/>
        </w:rPr>
        <w:t>iii</w:t>
      </w:r>
      <w:r w:rsidR="009F12A7" w:rsidRPr="007F4406">
        <w:rPr>
          <w:rFonts w:ascii="Geomanist Light" w:hAnsi="Geomanist Light" w:cs="Arial"/>
          <w:bCs/>
          <w:sz w:val="22"/>
        </w:rPr>
        <w:t>) deber de las entidades estatales exceptuadas del Estatuto General de Contratación de la Administración Pública de publicar los documentos relacionados con su actividad contractual en el SECOP II</w:t>
      </w:r>
      <w:r w:rsidR="003C54F0" w:rsidRPr="007F4406">
        <w:rPr>
          <w:rFonts w:ascii="Geomanist Light" w:hAnsi="Geomanist Light" w:cs="Arial"/>
          <w:bCs/>
          <w:sz w:val="22"/>
        </w:rPr>
        <w:t xml:space="preserve"> y; iv) Uso del SECOP II por las entidades exceptuadas del Estatuto General de Contratación de la Administración Pública</w:t>
      </w:r>
      <w:r w:rsidR="009F12A7" w:rsidRPr="007F4406">
        <w:rPr>
          <w:rFonts w:ascii="Geomanist Light" w:hAnsi="Geomanist Light" w:cs="Arial"/>
          <w:bCs/>
          <w:sz w:val="22"/>
        </w:rPr>
        <w:t>.</w:t>
      </w:r>
    </w:p>
    <w:p w14:paraId="240A91B5" w14:textId="63F547AD" w:rsidR="00105A2B" w:rsidRPr="007F4406" w:rsidRDefault="00E0142A" w:rsidP="00113600">
      <w:pPr>
        <w:spacing w:before="120" w:after="120" w:line="276" w:lineRule="auto"/>
        <w:ind w:firstLine="709"/>
        <w:jc w:val="both"/>
        <w:rPr>
          <w:rFonts w:ascii="Geomanist Light" w:hAnsi="Geomanist Light" w:cs="Arial"/>
          <w:bCs/>
          <w:sz w:val="22"/>
        </w:rPr>
      </w:pPr>
      <w:r w:rsidRPr="007F4406">
        <w:rPr>
          <w:rFonts w:ascii="Geomanist Light" w:hAnsi="Geomanist Light" w:cs="Arial"/>
          <w:bCs/>
          <w:sz w:val="22"/>
        </w:rPr>
        <w:t xml:space="preserve">La Agencia Nacional de Contratación Pública – Colombia Compra Eficiente se pronunció sobre </w:t>
      </w:r>
      <w:r w:rsidR="00DD116A" w:rsidRPr="007F4406">
        <w:rPr>
          <w:rFonts w:ascii="Geomanist Light" w:hAnsi="Geomanist Light" w:cs="Arial"/>
          <w:bCs/>
          <w:sz w:val="22"/>
        </w:rPr>
        <w:t>las definiciones para la correcta aplicación e interpretación del régimen de servicios públicos domiciliarios en los conceptos 4201912000004354 –radicado de salida 2201913000006639– del 9 de septiembre de 2019 y 4201913000007243 –radicado de salida 2201913000008999– del 5 de diciembre de 2019 y C-307 de 18 de junio de 2021. Así mismo, se pronunció sobre el régimen contractual de los prestadores de servicios públicos domiciliarios en los Conceptos C-027 del 23 de enero de 2020, C-032 del 19 de febrero de 2020, C-157 del 16 de marzo de 2020, el C-147 del 17 de marzo de 2020, C-168 del 31 de marzo de 2020, C-158 del 3 de abril de 2020, C-227 del 7 de abril de 2020, C-362 del 3 de julio de 2020, C-462 del 24 de julio de 2020, C-718 del 17 de diciembre de 2020, C-053 del 9 de marzo de 2021, C-072 del 16 de marzo de 2021, C-077 del 16 de marzo de 2021, C-218 del 14 de mayo de 2021, C-290 del 15 de junio de 2021</w:t>
      </w:r>
      <w:r w:rsidR="008221F8" w:rsidRPr="007F4406">
        <w:rPr>
          <w:rFonts w:ascii="Geomanist Light" w:hAnsi="Geomanist Light" w:cs="Arial"/>
          <w:bCs/>
          <w:sz w:val="22"/>
        </w:rPr>
        <w:t xml:space="preserve">, C-163 </w:t>
      </w:r>
      <w:r w:rsidR="00EC79B5" w:rsidRPr="007F4406">
        <w:rPr>
          <w:rFonts w:ascii="Geomanist Light" w:hAnsi="Geomanist Light" w:cs="Arial"/>
          <w:bCs/>
          <w:sz w:val="22"/>
        </w:rPr>
        <w:t>del 29 de marzo de 2022</w:t>
      </w:r>
      <w:r w:rsidR="00EC0E37" w:rsidRPr="007F4406">
        <w:rPr>
          <w:rFonts w:ascii="Geomanist Light" w:hAnsi="Geomanist Light" w:cs="Arial"/>
          <w:bCs/>
          <w:sz w:val="22"/>
        </w:rPr>
        <w:t xml:space="preserve"> y</w:t>
      </w:r>
      <w:r w:rsidR="00EC79B5" w:rsidRPr="007F4406">
        <w:rPr>
          <w:rFonts w:ascii="Geomanist Light" w:hAnsi="Geomanist Light" w:cs="Arial"/>
          <w:bCs/>
          <w:sz w:val="22"/>
        </w:rPr>
        <w:t xml:space="preserve"> C-651 de</w:t>
      </w:r>
      <w:r w:rsidR="00AE5DBB" w:rsidRPr="007F4406">
        <w:rPr>
          <w:rFonts w:ascii="Geomanist Light" w:hAnsi="Geomanist Light" w:cs="Arial"/>
          <w:bCs/>
          <w:sz w:val="22"/>
        </w:rPr>
        <w:t>l 07 de octubre de 2022</w:t>
      </w:r>
      <w:r w:rsidR="00DD116A" w:rsidRPr="007F4406">
        <w:rPr>
          <w:rFonts w:ascii="Geomanist Light" w:hAnsi="Geomanist Light" w:cs="Arial"/>
          <w:bCs/>
          <w:sz w:val="22"/>
        </w:rPr>
        <w:t>.</w:t>
      </w:r>
    </w:p>
    <w:p w14:paraId="55A207A0" w14:textId="1D90E41B" w:rsidR="00105A2B" w:rsidRPr="007F4406" w:rsidRDefault="004961B4" w:rsidP="00045FBD">
      <w:pPr>
        <w:spacing w:line="276" w:lineRule="auto"/>
        <w:ind w:firstLine="709"/>
        <w:jc w:val="both"/>
        <w:rPr>
          <w:rFonts w:ascii="Geomanist Light" w:hAnsi="Geomanist Light" w:cs="Arial"/>
          <w:bCs/>
          <w:sz w:val="22"/>
        </w:rPr>
      </w:pPr>
      <w:r w:rsidRPr="007F4406">
        <w:rPr>
          <w:rFonts w:ascii="Geomanist Light" w:hAnsi="Geomanist Light" w:cs="Arial"/>
          <w:bCs/>
          <w:sz w:val="22"/>
        </w:rPr>
        <w:t>Por</w:t>
      </w:r>
      <w:r w:rsidR="004D3364" w:rsidRPr="007F4406">
        <w:rPr>
          <w:rFonts w:ascii="Geomanist Light" w:hAnsi="Geomanist Light" w:cs="Arial"/>
          <w:bCs/>
          <w:sz w:val="22"/>
        </w:rPr>
        <w:t xml:space="preserve"> otro lado, esta entidad se ha pronunciado en di</w:t>
      </w:r>
      <w:r w:rsidR="00105A2B" w:rsidRPr="007F4406">
        <w:rPr>
          <w:rFonts w:ascii="Geomanist Light" w:hAnsi="Geomanist Light" w:cs="Arial"/>
          <w:bCs/>
          <w:sz w:val="22"/>
        </w:rPr>
        <w:t xml:space="preserve">ferentes oportunidades </w:t>
      </w:r>
      <w:r w:rsidR="00502F2A" w:rsidRPr="007F4406">
        <w:rPr>
          <w:rFonts w:ascii="Geomanist Light" w:hAnsi="Geomanist Light" w:cs="Arial"/>
          <w:bCs/>
          <w:sz w:val="22"/>
        </w:rPr>
        <w:t xml:space="preserve">respecto </w:t>
      </w:r>
      <w:r w:rsidRPr="007F4406">
        <w:rPr>
          <w:rFonts w:ascii="Geomanist Light" w:hAnsi="Geomanist Light" w:cs="Arial"/>
          <w:bCs/>
          <w:sz w:val="22"/>
        </w:rPr>
        <w:t>a la aplicación</w:t>
      </w:r>
      <w:r w:rsidR="005E6B85" w:rsidRPr="007F4406">
        <w:rPr>
          <w:rFonts w:ascii="Geomanist Light" w:hAnsi="Geomanist Light" w:cs="Arial"/>
          <w:bCs/>
          <w:sz w:val="22"/>
        </w:rPr>
        <w:t xml:space="preserve"> los principios de publicidad y de acceso a la información pública en la contratación estatal </w:t>
      </w:r>
      <w:r w:rsidRPr="007F4406">
        <w:rPr>
          <w:rFonts w:ascii="Geomanist Light" w:hAnsi="Geomanist Light" w:cs="Arial"/>
          <w:bCs/>
          <w:sz w:val="22"/>
        </w:rPr>
        <w:t xml:space="preserve">sus </w:t>
      </w:r>
      <w:r w:rsidR="005E6B85" w:rsidRPr="007F4406">
        <w:rPr>
          <w:rFonts w:ascii="Geomanist Light" w:hAnsi="Geomanist Light" w:cs="Arial"/>
          <w:bCs/>
          <w:sz w:val="22"/>
        </w:rPr>
        <w:t>fundamentos normativos</w:t>
      </w:r>
      <w:r w:rsidRPr="007F4406">
        <w:rPr>
          <w:rFonts w:ascii="Geomanist Light" w:hAnsi="Geomanist Light" w:cs="Arial"/>
          <w:bCs/>
          <w:sz w:val="22"/>
        </w:rPr>
        <w:t xml:space="preserve"> y</w:t>
      </w:r>
      <w:r w:rsidR="005E6B85" w:rsidRPr="007F4406">
        <w:rPr>
          <w:rFonts w:ascii="Geomanist Light" w:hAnsi="Geomanist Light" w:cs="Arial"/>
          <w:bCs/>
          <w:sz w:val="22"/>
        </w:rPr>
        <w:t xml:space="preserve"> el deber de publicar la documentación contractual en el SECOP, en conceptos como el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w:t>
      </w:r>
      <w:r w:rsidR="005E6B85" w:rsidRPr="007F4406">
        <w:rPr>
          <w:rFonts w:ascii="Geomanist Light" w:hAnsi="Geomanist Light" w:cs="Arial"/>
          <w:bCs/>
          <w:sz w:val="22"/>
        </w:rPr>
        <w:lastRenderedPageBreak/>
        <w:t>de 2022, C-120 del 22 de marzo de 2022, C-124 del 22 de marzo de 2022, C-132 del 28 de marzo de 2022, C-337 del 25 de mayo de 2022, C-348 del 13 de junio de 2022</w:t>
      </w:r>
      <w:r w:rsidR="001346AB" w:rsidRPr="007F4406">
        <w:rPr>
          <w:rFonts w:ascii="Geomanist Light" w:hAnsi="Geomanist Light" w:cs="Arial"/>
          <w:bCs/>
          <w:sz w:val="22"/>
        </w:rPr>
        <w:t xml:space="preserve">, </w:t>
      </w:r>
      <w:r w:rsidR="005E6B85" w:rsidRPr="007F4406">
        <w:rPr>
          <w:rFonts w:ascii="Geomanist Light" w:hAnsi="Geomanist Light" w:cs="Arial"/>
          <w:bCs/>
          <w:sz w:val="22"/>
        </w:rPr>
        <w:t>C-480 del 18 de julio de 2022</w:t>
      </w:r>
      <w:r w:rsidR="001346AB" w:rsidRPr="007F4406">
        <w:rPr>
          <w:rFonts w:ascii="Geomanist Light" w:hAnsi="Geomanist Light" w:cs="Arial"/>
          <w:bCs/>
          <w:sz w:val="22"/>
        </w:rPr>
        <w:t>, C-</w:t>
      </w:r>
      <w:r w:rsidR="00C25D85" w:rsidRPr="007F4406">
        <w:rPr>
          <w:rFonts w:ascii="Geomanist Light" w:hAnsi="Geomanist Light" w:cs="Arial"/>
          <w:bCs/>
          <w:sz w:val="22"/>
        </w:rPr>
        <w:t xml:space="preserve"> 544 del 29 de agosto de 2022. y C-</w:t>
      </w:r>
      <w:r w:rsidR="00DF4BEB" w:rsidRPr="007F4406">
        <w:rPr>
          <w:rFonts w:ascii="Geomanist Light" w:hAnsi="Geomanist Light" w:cs="Arial"/>
          <w:bCs/>
          <w:sz w:val="22"/>
        </w:rPr>
        <w:t>555 del 6 de septiembre de 2022</w:t>
      </w:r>
      <w:r w:rsidR="006E4358" w:rsidRPr="007F4406">
        <w:rPr>
          <w:rFonts w:ascii="Geomanist Light" w:hAnsi="Geomanist Light" w:cs="Arial"/>
          <w:bCs/>
          <w:sz w:val="22"/>
        </w:rPr>
        <w:footnoteReference w:id="3"/>
      </w:r>
      <w:r w:rsidR="005E6B85" w:rsidRPr="007F4406">
        <w:rPr>
          <w:rFonts w:ascii="Geomanist Light" w:hAnsi="Geomanist Light" w:cs="Arial"/>
          <w:bCs/>
          <w:sz w:val="22"/>
        </w:rPr>
        <w:t>.</w:t>
      </w:r>
      <w:r w:rsidR="004D3364" w:rsidRPr="007F4406">
        <w:rPr>
          <w:rFonts w:ascii="Geomanist Light" w:hAnsi="Geomanist Light" w:cs="Arial"/>
          <w:bCs/>
          <w:sz w:val="22"/>
        </w:rPr>
        <w:t xml:space="preserve"> </w:t>
      </w:r>
      <w:r w:rsidR="00105A2B" w:rsidRPr="007F4406">
        <w:rPr>
          <w:rFonts w:ascii="Geomanist Light" w:hAnsi="Geomanist Light" w:cs="Arial"/>
          <w:bCs/>
          <w:sz w:val="22"/>
        </w:rPr>
        <w:t>Las tesis expuestas en los anteriores conceptos se reiteran a continuación y se complementan en lo pertinente</w:t>
      </w:r>
      <w:r w:rsidR="00436135" w:rsidRPr="007F4406">
        <w:rPr>
          <w:rFonts w:ascii="Geomanist Light" w:hAnsi="Geomanist Light" w:cs="Arial"/>
          <w:bCs/>
          <w:sz w:val="22"/>
        </w:rPr>
        <w:t>:</w:t>
      </w:r>
      <w:r w:rsidR="00105A2B" w:rsidRPr="007F4406">
        <w:rPr>
          <w:rFonts w:ascii="Geomanist Light" w:hAnsi="Geomanist Light" w:cs="Arial"/>
          <w:bCs/>
          <w:sz w:val="22"/>
        </w:rPr>
        <w:t xml:space="preserve"> </w:t>
      </w:r>
    </w:p>
    <w:p w14:paraId="031253AC" w14:textId="77777777" w:rsidR="00045FBD" w:rsidRPr="007F4406" w:rsidRDefault="00045FBD" w:rsidP="00045FBD">
      <w:pPr>
        <w:spacing w:line="276" w:lineRule="auto"/>
        <w:contextualSpacing/>
        <w:jc w:val="both"/>
        <w:rPr>
          <w:rFonts w:ascii="Geomanist Light" w:hAnsi="Geomanist Light" w:cs="Arial"/>
          <w:bCs/>
          <w:sz w:val="22"/>
        </w:rPr>
      </w:pPr>
    </w:p>
    <w:p w14:paraId="07B3FA81" w14:textId="4A719949" w:rsidR="00BD2F69" w:rsidRPr="002D7181" w:rsidRDefault="00E0142A" w:rsidP="00B734F7">
      <w:pPr>
        <w:spacing w:line="276" w:lineRule="auto"/>
        <w:contextualSpacing/>
        <w:jc w:val="both"/>
        <w:rPr>
          <w:rFonts w:ascii="Geomanist Light" w:hAnsi="Geomanist Light" w:cs="Arial"/>
          <w:b/>
          <w:sz w:val="22"/>
        </w:rPr>
      </w:pPr>
      <w:r w:rsidRPr="002D7181">
        <w:rPr>
          <w:rFonts w:ascii="Geomanist Light" w:hAnsi="Geomanist Light" w:cs="Arial"/>
          <w:b/>
          <w:sz w:val="22"/>
        </w:rPr>
        <w:t xml:space="preserve">2.1. </w:t>
      </w:r>
      <w:r w:rsidR="00B734F7" w:rsidRPr="002D7181">
        <w:rPr>
          <w:rFonts w:ascii="Geomanist Light" w:hAnsi="Geomanist Light" w:cs="Arial"/>
          <w:b/>
          <w:sz w:val="22"/>
        </w:rPr>
        <w:t>Naturaleza jurídica de las Empresas Prestadoras de Servicios Públicos Domiciliarios</w:t>
      </w:r>
    </w:p>
    <w:p w14:paraId="412B6951" w14:textId="39741C7F" w:rsidR="00B734F7" w:rsidRPr="007F4406" w:rsidRDefault="00B734F7" w:rsidP="00B734F7">
      <w:pPr>
        <w:spacing w:line="276" w:lineRule="auto"/>
        <w:contextualSpacing/>
        <w:jc w:val="both"/>
        <w:rPr>
          <w:rFonts w:ascii="Geomanist Light" w:hAnsi="Geomanist Light" w:cs="Arial"/>
          <w:bCs/>
          <w:sz w:val="22"/>
        </w:rPr>
      </w:pPr>
    </w:p>
    <w:p w14:paraId="6E5E3B99" w14:textId="61780738" w:rsidR="00A80DC2" w:rsidRPr="007F4406" w:rsidRDefault="00A80DC2" w:rsidP="00A80DC2">
      <w:pPr>
        <w:spacing w:line="276" w:lineRule="auto"/>
        <w:contextualSpacing/>
        <w:jc w:val="both"/>
        <w:rPr>
          <w:rFonts w:ascii="Geomanist Light" w:hAnsi="Geomanist Light" w:cs="Arial"/>
          <w:bCs/>
          <w:sz w:val="22"/>
        </w:rPr>
      </w:pPr>
      <w:r w:rsidRPr="007F4406">
        <w:rPr>
          <w:rFonts w:ascii="Geomanist Light" w:hAnsi="Geomanist Light" w:cs="Arial"/>
          <w:bCs/>
          <w:sz w:val="22"/>
        </w:rPr>
        <w:t>El artículo 14 de la Ley 142 de 1994 contiene las definiciones para la correcta aplicación e interpretación del régimen de servicios públicos domiciliarios. Esta norma define la</w:t>
      </w:r>
      <w:r w:rsidR="0017619E" w:rsidRPr="007F4406">
        <w:rPr>
          <w:rFonts w:ascii="Geomanist Light" w:hAnsi="Geomanist Light" w:cs="Arial"/>
          <w:bCs/>
          <w:sz w:val="22"/>
        </w:rPr>
        <w:t>s</w:t>
      </w:r>
      <w:r w:rsidRPr="007F4406">
        <w:rPr>
          <w:rFonts w:ascii="Geomanist Light" w:hAnsi="Geomanist Light" w:cs="Arial"/>
          <w:bCs/>
          <w:sz w:val="22"/>
        </w:rPr>
        <w:t xml:space="preserve"> </w:t>
      </w:r>
      <w:r w:rsidR="0061082C" w:rsidRPr="007F4406">
        <w:rPr>
          <w:rFonts w:ascii="Geomanist Light" w:hAnsi="Geomanist Light" w:cs="Arial"/>
          <w:bCs/>
          <w:sz w:val="22"/>
        </w:rPr>
        <w:t>e</w:t>
      </w:r>
      <w:r w:rsidRPr="007F4406">
        <w:rPr>
          <w:rFonts w:ascii="Geomanist Light" w:hAnsi="Geomanist Light" w:cs="Arial"/>
          <w:bCs/>
          <w:sz w:val="22"/>
        </w:rPr>
        <w:t xml:space="preserve">mpresas de </w:t>
      </w:r>
      <w:r w:rsidR="0061082C" w:rsidRPr="007F4406">
        <w:rPr>
          <w:rFonts w:ascii="Geomanist Light" w:hAnsi="Geomanist Light" w:cs="Arial"/>
          <w:bCs/>
          <w:sz w:val="22"/>
        </w:rPr>
        <w:t>s</w:t>
      </w:r>
      <w:r w:rsidRPr="007F4406">
        <w:rPr>
          <w:rFonts w:ascii="Geomanist Light" w:hAnsi="Geomanist Light" w:cs="Arial"/>
          <w:bCs/>
          <w:sz w:val="22"/>
        </w:rPr>
        <w:t xml:space="preserve">ervicios </w:t>
      </w:r>
      <w:r w:rsidR="0061082C" w:rsidRPr="007F4406">
        <w:rPr>
          <w:rFonts w:ascii="Geomanist Light" w:hAnsi="Geomanist Light" w:cs="Arial"/>
          <w:bCs/>
          <w:sz w:val="22"/>
        </w:rPr>
        <w:t>p</w:t>
      </w:r>
      <w:r w:rsidRPr="007F4406">
        <w:rPr>
          <w:rFonts w:ascii="Geomanist Light" w:hAnsi="Geomanist Light" w:cs="Arial"/>
          <w:bCs/>
          <w:sz w:val="22"/>
        </w:rPr>
        <w:t xml:space="preserve">úblicos </w:t>
      </w:r>
      <w:r w:rsidR="00802197" w:rsidRPr="007F4406">
        <w:rPr>
          <w:rFonts w:ascii="Geomanist Light" w:hAnsi="Geomanist Light" w:cs="Arial"/>
          <w:bCs/>
          <w:sz w:val="22"/>
        </w:rPr>
        <w:t>o</w:t>
      </w:r>
      <w:r w:rsidRPr="007F4406">
        <w:rPr>
          <w:rFonts w:ascii="Geomanist Light" w:hAnsi="Geomanist Light" w:cs="Arial"/>
          <w:bCs/>
          <w:sz w:val="22"/>
        </w:rPr>
        <w:t>ficial, mixta y privada en los siguientes términos:</w:t>
      </w:r>
    </w:p>
    <w:p w14:paraId="30215837" w14:textId="77777777" w:rsidR="00A80DC2" w:rsidRPr="007F4406" w:rsidRDefault="00A80DC2" w:rsidP="00A80DC2">
      <w:pPr>
        <w:spacing w:line="276" w:lineRule="auto"/>
        <w:contextualSpacing/>
        <w:rPr>
          <w:rFonts w:ascii="Geomanist Light" w:hAnsi="Geomanist Light" w:cs="Arial"/>
          <w:bCs/>
          <w:sz w:val="22"/>
        </w:rPr>
      </w:pPr>
    </w:p>
    <w:p w14:paraId="0A4204BC" w14:textId="23DAB0D4" w:rsidR="00A80DC2" w:rsidRPr="007F4406" w:rsidRDefault="004203C0" w:rsidP="007974FF">
      <w:pPr>
        <w:ind w:left="709" w:right="709"/>
        <w:contextualSpacing/>
        <w:jc w:val="both"/>
        <w:rPr>
          <w:rFonts w:ascii="Geomanist Light" w:hAnsi="Geomanist Light" w:cs="Arial"/>
          <w:bCs/>
          <w:sz w:val="22"/>
        </w:rPr>
      </w:pPr>
      <w:r w:rsidRPr="007F4406">
        <w:rPr>
          <w:rFonts w:ascii="Geomanist Light" w:hAnsi="Geomanist Light" w:cs="Arial"/>
          <w:bCs/>
          <w:sz w:val="22"/>
        </w:rPr>
        <w:t>“</w:t>
      </w:r>
      <w:r w:rsidR="00A80DC2" w:rsidRPr="007F4406">
        <w:rPr>
          <w:rFonts w:ascii="Geomanist Light" w:hAnsi="Geomanist Light" w:cs="Arial"/>
          <w:bCs/>
          <w:sz w:val="22"/>
        </w:rPr>
        <w:t>14.5. Empresa de servicios públicos oficial. Es aquella en cuyo capital la Nación, las entidades territoriales, o las entidades descentralizadas de aquella o estas tienen el 100% de los aportes.</w:t>
      </w:r>
    </w:p>
    <w:p w14:paraId="0DFD54BA" w14:textId="77777777" w:rsidR="007974FF" w:rsidRPr="007F4406" w:rsidRDefault="007974FF" w:rsidP="007F4406">
      <w:pPr>
        <w:ind w:left="709" w:right="709"/>
        <w:contextualSpacing/>
        <w:jc w:val="both"/>
        <w:rPr>
          <w:rFonts w:ascii="Geomanist Light" w:hAnsi="Geomanist Light" w:cs="Arial"/>
          <w:bCs/>
          <w:sz w:val="22"/>
        </w:rPr>
      </w:pPr>
    </w:p>
    <w:p w14:paraId="21BC501A" w14:textId="77777777" w:rsidR="00A80DC2" w:rsidRPr="007F4406" w:rsidRDefault="00A80DC2" w:rsidP="007F4406">
      <w:pPr>
        <w:ind w:left="709" w:right="709"/>
        <w:contextualSpacing/>
        <w:jc w:val="both"/>
        <w:rPr>
          <w:rFonts w:ascii="Geomanist Light" w:hAnsi="Geomanist Light" w:cs="Arial"/>
          <w:bCs/>
          <w:sz w:val="22"/>
        </w:rPr>
      </w:pPr>
      <w:r w:rsidRPr="007F4406">
        <w:rPr>
          <w:rFonts w:ascii="Geomanist Light" w:hAnsi="Geomanist Light" w:cs="Arial"/>
          <w:bCs/>
          <w:sz w:val="22"/>
        </w:rPr>
        <w:t>14.6. Empresa de servicios públicos mixta. Es aquella en cuyo capital la Nación, las entidades territoriales, o las entidades descentralizadas de aquella o éstas tienen aportes iguales o superiores al 50%. </w:t>
      </w:r>
    </w:p>
    <w:p w14:paraId="5AA4DA37" w14:textId="77777777" w:rsidR="007974FF" w:rsidRPr="007F4406" w:rsidRDefault="007974FF" w:rsidP="007974FF">
      <w:pPr>
        <w:ind w:left="709" w:right="709"/>
        <w:contextualSpacing/>
        <w:jc w:val="both"/>
        <w:rPr>
          <w:rFonts w:ascii="Geomanist Light" w:hAnsi="Geomanist Light" w:cs="Arial"/>
          <w:bCs/>
          <w:sz w:val="22"/>
        </w:rPr>
      </w:pPr>
    </w:p>
    <w:p w14:paraId="5059CAF0" w14:textId="48C8CAD8" w:rsidR="00A80DC2" w:rsidRPr="007F4406" w:rsidRDefault="00A80DC2" w:rsidP="007F4406">
      <w:pPr>
        <w:ind w:left="709" w:right="709"/>
        <w:contextualSpacing/>
        <w:jc w:val="both"/>
        <w:rPr>
          <w:rFonts w:ascii="Geomanist Light" w:hAnsi="Geomanist Light" w:cs="Arial"/>
          <w:bCs/>
          <w:sz w:val="22"/>
        </w:rPr>
      </w:pPr>
      <w:r w:rsidRPr="007F4406">
        <w:rPr>
          <w:rFonts w:ascii="Geomanist Light" w:hAnsi="Geomanist Light" w:cs="Arial"/>
          <w:bCs/>
          <w:sz w:val="22"/>
        </w:rPr>
        <w:t>14.7. Empresa de servicios públicos privada. Es aquella cuyo capital pertenece mayoritariamente a particulares, o a entidades surgidas de convenios internacionales que deseen someterse íntegramente para estos efectos a las reglas a las que se someten los particulares</w:t>
      </w:r>
      <w:r w:rsidR="004203C0" w:rsidRPr="007F4406">
        <w:rPr>
          <w:rFonts w:ascii="Geomanist Light" w:hAnsi="Geomanist Light" w:cs="Arial"/>
          <w:bCs/>
          <w:sz w:val="22"/>
        </w:rPr>
        <w:t>”</w:t>
      </w:r>
      <w:r w:rsidRPr="007F4406">
        <w:rPr>
          <w:rFonts w:ascii="Geomanist Light" w:hAnsi="Geomanist Light" w:cs="Arial"/>
          <w:bCs/>
          <w:sz w:val="22"/>
        </w:rPr>
        <w:t>. </w:t>
      </w:r>
    </w:p>
    <w:p w14:paraId="1FCB3CB2" w14:textId="77777777" w:rsidR="00A80DC2" w:rsidRPr="007F4406" w:rsidRDefault="00A80DC2" w:rsidP="00A80DC2">
      <w:pPr>
        <w:spacing w:line="259" w:lineRule="auto"/>
        <w:rPr>
          <w:rFonts w:ascii="Geomanist Light" w:hAnsi="Geomanist Light" w:cs="Arial"/>
          <w:bCs/>
          <w:sz w:val="22"/>
        </w:rPr>
      </w:pPr>
    </w:p>
    <w:p w14:paraId="52E43488" w14:textId="407CFDC9" w:rsidR="00A80DC2" w:rsidRPr="007F4406" w:rsidRDefault="00A80DC2" w:rsidP="00A80DC2">
      <w:pPr>
        <w:spacing w:line="276" w:lineRule="auto"/>
        <w:ind w:firstLine="708"/>
        <w:jc w:val="both"/>
        <w:rPr>
          <w:rFonts w:ascii="Geomanist Light" w:hAnsi="Geomanist Light" w:cs="Arial"/>
          <w:bCs/>
          <w:sz w:val="22"/>
        </w:rPr>
      </w:pPr>
      <w:r w:rsidRPr="007F4406">
        <w:rPr>
          <w:rFonts w:ascii="Geomanist Light" w:hAnsi="Geomanist Light" w:cs="Arial"/>
          <w:bCs/>
          <w:sz w:val="22"/>
        </w:rPr>
        <w:t>A su vez, el artículo 17 de</w:t>
      </w:r>
      <w:r w:rsidR="00B51B05" w:rsidRPr="007F4406">
        <w:rPr>
          <w:rFonts w:ascii="Geomanist Light" w:hAnsi="Geomanist Light" w:cs="Arial"/>
          <w:bCs/>
          <w:sz w:val="22"/>
        </w:rPr>
        <w:t xml:space="preserve"> la</w:t>
      </w:r>
      <w:r w:rsidRPr="007F4406">
        <w:rPr>
          <w:rFonts w:ascii="Geomanist Light" w:hAnsi="Geomanist Light" w:cs="Arial"/>
          <w:bCs/>
          <w:sz w:val="22"/>
        </w:rPr>
        <w:t xml:space="preserve"> citada </w:t>
      </w:r>
      <w:r w:rsidR="00045FBD" w:rsidRPr="007F4406">
        <w:rPr>
          <w:rFonts w:ascii="Geomanist Light" w:hAnsi="Geomanist Light" w:cs="Arial"/>
          <w:bCs/>
          <w:sz w:val="22"/>
        </w:rPr>
        <w:t>L</w:t>
      </w:r>
      <w:r w:rsidRPr="007F4406">
        <w:rPr>
          <w:rFonts w:ascii="Geomanist Light" w:hAnsi="Geomanist Light" w:cs="Arial"/>
          <w:bCs/>
          <w:sz w:val="22"/>
        </w:rPr>
        <w:t xml:space="preserve">ey señala que «las empresas de servicios públicos son sociedades por acciones cuyo objeto es la prestación de los servicios públicos de que trata esta ley». De otro </w:t>
      </w:r>
      <w:r w:rsidR="008F403B" w:rsidRPr="007F4406">
        <w:rPr>
          <w:rFonts w:ascii="Geomanist Light" w:hAnsi="Geomanist Light" w:cs="Arial"/>
          <w:bCs/>
          <w:sz w:val="22"/>
        </w:rPr>
        <w:t>lado, la</w:t>
      </w:r>
      <w:r w:rsidRPr="007F4406">
        <w:rPr>
          <w:rFonts w:ascii="Geomanist Light" w:hAnsi="Geomanist Light" w:cs="Arial"/>
          <w:bCs/>
          <w:sz w:val="22"/>
        </w:rPr>
        <w:t xml:space="preserve"> Ley 489 de 1998 determina la integración de la Rama Ejecutiva del Poder Público en el orden nacional, y en </w:t>
      </w:r>
      <w:r w:rsidR="0093232D" w:rsidRPr="007F4406">
        <w:rPr>
          <w:rFonts w:ascii="Geomanist Light" w:hAnsi="Geomanist Light" w:cs="Arial"/>
          <w:bCs/>
          <w:sz w:val="22"/>
        </w:rPr>
        <w:t xml:space="preserve">el artículo 38, numeral 2, </w:t>
      </w:r>
      <w:r w:rsidRPr="007F4406">
        <w:rPr>
          <w:rFonts w:ascii="Geomanist Light" w:hAnsi="Geomanist Light" w:cs="Arial"/>
          <w:bCs/>
          <w:sz w:val="22"/>
        </w:rPr>
        <w:t xml:space="preserve">literal d) señala que las empresas sociales del Estado y las empresas oficiales de servicios públicos domiciliarios pertenecen a las entidades de la Rama Ejecutiva del sector descentralizado por servicios. El artículo 68 </w:t>
      </w:r>
      <w:r w:rsidR="00045FBD" w:rsidRPr="007F4406">
        <w:rPr>
          <w:rFonts w:ascii="Geomanist Light" w:hAnsi="Geomanist Light" w:cs="Arial"/>
          <w:bCs/>
          <w:sz w:val="22"/>
        </w:rPr>
        <w:t>ibídem</w:t>
      </w:r>
      <w:r w:rsidRPr="007F4406">
        <w:rPr>
          <w:rFonts w:ascii="Geomanist Light" w:hAnsi="Geomanist Light" w:cs="Arial"/>
          <w:bCs/>
          <w:sz w:val="22"/>
        </w:rPr>
        <w:t xml:space="preserve">, al </w:t>
      </w:r>
      <w:r w:rsidR="0093232D" w:rsidRPr="007F4406">
        <w:rPr>
          <w:rFonts w:ascii="Geomanist Light" w:hAnsi="Geomanist Light" w:cs="Arial"/>
          <w:bCs/>
          <w:sz w:val="22"/>
        </w:rPr>
        <w:t>en</w:t>
      </w:r>
      <w:r w:rsidRPr="007F4406">
        <w:rPr>
          <w:rFonts w:ascii="Geomanist Light" w:hAnsi="Geomanist Light" w:cs="Arial"/>
          <w:bCs/>
          <w:sz w:val="22"/>
        </w:rPr>
        <w:t xml:space="preserve">listar las entidades descentralizadas del orden nacional, se refirió </w:t>
      </w:r>
      <w:r w:rsidRPr="007F4406">
        <w:rPr>
          <w:rFonts w:ascii="Geomanist Light" w:hAnsi="Geomanist Light" w:cs="Arial"/>
          <w:bCs/>
          <w:sz w:val="22"/>
        </w:rPr>
        <w:lastRenderedPageBreak/>
        <w:t>únicamente a las empresas oficiales de servicios públicos, esto es, aquellas en las que la participación del Estado es del 100%</w:t>
      </w:r>
      <w:r w:rsidRPr="007F4406">
        <w:rPr>
          <w:rFonts w:ascii="Geomanist Light" w:hAnsi="Geomanist Light" w:cs="Arial"/>
          <w:bCs/>
          <w:sz w:val="22"/>
        </w:rPr>
        <w:footnoteReference w:id="4"/>
      </w:r>
    </w:p>
    <w:p w14:paraId="413C1CE5" w14:textId="1820FEE3" w:rsidR="00A80DC2" w:rsidRPr="007F4406" w:rsidRDefault="00A80DC2" w:rsidP="004E496B">
      <w:pPr>
        <w:spacing w:before="120" w:line="276" w:lineRule="auto"/>
        <w:ind w:firstLine="709"/>
        <w:jc w:val="both"/>
        <w:rPr>
          <w:rFonts w:ascii="Geomanist Light" w:hAnsi="Geomanist Light" w:cs="Arial"/>
          <w:bCs/>
          <w:sz w:val="22"/>
        </w:rPr>
      </w:pPr>
      <w:r w:rsidRPr="007F4406">
        <w:rPr>
          <w:rFonts w:ascii="Geomanist Light" w:hAnsi="Geomanist Light" w:cs="Arial"/>
          <w:bCs/>
          <w:sz w:val="22"/>
        </w:rPr>
        <w:t xml:space="preserve">Lo anterior llevó a pensar </w:t>
      </w:r>
      <w:r w:rsidR="0041569B" w:rsidRPr="007F4406">
        <w:rPr>
          <w:rFonts w:ascii="Geomanist Light" w:hAnsi="Geomanist Light" w:cs="Arial"/>
          <w:bCs/>
          <w:sz w:val="22"/>
        </w:rPr>
        <w:t xml:space="preserve">a las entidades y participes del sistema de compras públicas </w:t>
      </w:r>
      <w:r w:rsidRPr="007F4406">
        <w:rPr>
          <w:rFonts w:ascii="Geomanist Light" w:hAnsi="Geomanist Light" w:cs="Arial"/>
          <w:bCs/>
          <w:sz w:val="22"/>
        </w:rPr>
        <w:t>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w:t>
      </w:r>
      <w:r w:rsidR="004203C0" w:rsidRPr="007F4406">
        <w:rPr>
          <w:rFonts w:ascii="Geomanist Light" w:hAnsi="Geomanist Light" w:cs="Arial"/>
          <w:bCs/>
          <w:sz w:val="22"/>
        </w:rPr>
        <w:t>, numeral 2</w:t>
      </w:r>
      <w:r w:rsidRPr="007F4406">
        <w:rPr>
          <w:rFonts w:ascii="Geomanist Light" w:hAnsi="Geomanist Light" w:cs="Arial"/>
          <w:bCs/>
          <w:sz w:val="22"/>
        </w:rPr>
        <w:t xml:space="preserve"> de la Ley 489 de 1998 dice</w:t>
      </w:r>
      <w:r w:rsidR="004203C0" w:rsidRPr="007F4406">
        <w:rPr>
          <w:rFonts w:ascii="Geomanist Light" w:hAnsi="Geomanist Light" w:cs="Arial"/>
          <w:bCs/>
          <w:sz w:val="22"/>
        </w:rPr>
        <w:t xml:space="preserve"> en su literal</w:t>
      </w:r>
      <w:r w:rsidRPr="007F4406">
        <w:rPr>
          <w:rFonts w:ascii="Geomanist Light" w:hAnsi="Geomanist Light" w:cs="Arial"/>
          <w:bCs/>
          <w:sz w:val="22"/>
        </w:rPr>
        <w:t xml:space="preserve"> «g) Las demás entidades administrativas nacionales con personería jurídica que cree, organice o autorice la ley para que formen parte de la Rama Ejecutiva del Poder Público»</w:t>
      </w:r>
    </w:p>
    <w:p w14:paraId="3A2D4F04" w14:textId="44DF006A" w:rsidR="00A80DC2" w:rsidRPr="007F4406" w:rsidRDefault="007974FF" w:rsidP="00A80DC2">
      <w:pPr>
        <w:spacing w:before="120" w:line="276" w:lineRule="auto"/>
        <w:ind w:firstLine="709"/>
        <w:jc w:val="both"/>
        <w:rPr>
          <w:rFonts w:ascii="Geomanist Light" w:hAnsi="Geomanist Light" w:cs="Arial"/>
          <w:bCs/>
          <w:sz w:val="22"/>
        </w:rPr>
      </w:pPr>
      <w:r w:rsidRPr="007F4406">
        <w:rPr>
          <w:rFonts w:ascii="Geomanist Light" w:hAnsi="Geomanist Light" w:cs="Arial"/>
          <w:bCs/>
          <w:sz w:val="22"/>
        </w:rPr>
        <w:t>La Corte</w:t>
      </w:r>
      <w:r w:rsidR="00A80DC2" w:rsidRPr="007F4406">
        <w:rPr>
          <w:rFonts w:ascii="Geomanist Light" w:hAnsi="Geomanist Light" w:cs="Arial"/>
          <w:bCs/>
          <w:sz w:val="22"/>
        </w:rPr>
        <w:t xml:space="preserve"> Constitucional, además de señalar la pertenencia a la Rama Ejecutiv</w:t>
      </w:r>
      <w:r w:rsidR="005F05CE" w:rsidRPr="007F4406">
        <w:rPr>
          <w:rFonts w:ascii="Geomanist Light" w:hAnsi="Geomanist Light" w:cs="Arial"/>
          <w:bCs/>
          <w:sz w:val="22"/>
        </w:rPr>
        <w:t>a</w:t>
      </w:r>
      <w:r w:rsidR="00A80DC2" w:rsidRPr="007F4406">
        <w:rPr>
          <w:rFonts w:ascii="Geomanist Light" w:hAnsi="Geomanist Light" w:cs="Arial"/>
          <w:bCs/>
          <w:sz w:val="22"/>
        </w:rPr>
        <w:t xml:space="preserve"> de las empresas de servicios públicos mixtas y privadas, también sostuvo que se trataba de entidades descentralizadas por servicios, en los términos del artículo 68 de la Ley 489 de 1998:</w:t>
      </w:r>
    </w:p>
    <w:p w14:paraId="773D0D6A" w14:textId="77777777" w:rsidR="00A80DC2" w:rsidRPr="007F4406" w:rsidRDefault="00A80DC2" w:rsidP="007F4406">
      <w:pPr>
        <w:spacing w:line="276" w:lineRule="auto"/>
        <w:contextualSpacing/>
        <w:jc w:val="both"/>
        <w:rPr>
          <w:rFonts w:ascii="Geomanist Light" w:hAnsi="Geomanist Light" w:cs="Arial"/>
          <w:bCs/>
          <w:sz w:val="22"/>
        </w:rPr>
      </w:pPr>
    </w:p>
    <w:p w14:paraId="1FC0A936" w14:textId="4F060464" w:rsidR="00A80DC2" w:rsidRPr="007F4406" w:rsidRDefault="004203C0" w:rsidP="007974FF">
      <w:pPr>
        <w:ind w:left="709" w:right="709"/>
        <w:contextualSpacing/>
        <w:jc w:val="both"/>
        <w:rPr>
          <w:rFonts w:ascii="Geomanist Light" w:hAnsi="Geomanist Light" w:cs="Arial"/>
          <w:bCs/>
          <w:sz w:val="22"/>
        </w:rPr>
      </w:pPr>
      <w:r w:rsidRPr="007F4406">
        <w:rPr>
          <w:rFonts w:ascii="Geomanist Light" w:hAnsi="Geomanist Light" w:cs="Arial"/>
          <w:bCs/>
          <w:sz w:val="22"/>
        </w:rPr>
        <w:t>“</w:t>
      </w:r>
      <w:r w:rsidR="00A80DC2" w:rsidRPr="007F4406">
        <w:rPr>
          <w:rFonts w:ascii="Geomanist Light" w:hAnsi="Geomanist Light" w:cs="Arial"/>
          <w:bCs/>
          <w:sz w:val="22"/>
        </w:rPr>
        <w:t xml:space="preserve">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w:t>
      </w:r>
      <w:r w:rsidR="00BC39A6" w:rsidRPr="007F4406">
        <w:rPr>
          <w:rFonts w:ascii="Geomanist Light" w:hAnsi="Geomanist Light" w:cs="Arial"/>
          <w:bCs/>
          <w:sz w:val="22"/>
        </w:rPr>
        <w:t>vez</w:t>
      </w:r>
      <w:r w:rsidR="00A80DC2" w:rsidRPr="007F4406">
        <w:rPr>
          <w:rFonts w:ascii="Geomanist Light" w:hAnsi="Geomanist Light" w:cs="Arial"/>
          <w:bCs/>
          <w:sz w:val="22"/>
        </w:rPr>
        <w:t xml:space="preserve"> que implica, a su vez, la exclusión de las consecuencias jurídicas derivadas de tal naturaleza jurídica, dispuestas expresamente por la Constitución.</w:t>
      </w:r>
    </w:p>
    <w:p w14:paraId="64F17E2D" w14:textId="77777777" w:rsidR="007974FF" w:rsidRPr="007F4406" w:rsidRDefault="007974FF" w:rsidP="007F4406">
      <w:pPr>
        <w:ind w:left="709" w:right="709"/>
        <w:contextualSpacing/>
        <w:jc w:val="both"/>
        <w:rPr>
          <w:rFonts w:ascii="Geomanist Light" w:hAnsi="Geomanist Light" w:cs="Arial"/>
          <w:bCs/>
          <w:sz w:val="22"/>
        </w:rPr>
      </w:pPr>
    </w:p>
    <w:p w14:paraId="4E812413" w14:textId="42A7DDD0" w:rsidR="00A80DC2" w:rsidRPr="007F4406" w:rsidRDefault="00A80DC2" w:rsidP="007F4406">
      <w:pPr>
        <w:ind w:left="709" w:right="709"/>
        <w:contextualSpacing/>
        <w:jc w:val="both"/>
        <w:rPr>
          <w:rFonts w:ascii="Geomanist Light" w:hAnsi="Geomanist Light" w:cs="Arial"/>
          <w:bCs/>
          <w:sz w:val="22"/>
        </w:rPr>
      </w:pPr>
      <w:r w:rsidRPr="007F4406">
        <w:rPr>
          <w:rFonts w:ascii="Geomanist Light" w:hAnsi="Geomanist Light" w:cs="Arial"/>
          <w:bCs/>
          <w:sz w:val="22"/>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4F5C02C4" w14:textId="77777777" w:rsidR="007974FF" w:rsidRPr="007F4406" w:rsidRDefault="007974FF" w:rsidP="007974FF">
      <w:pPr>
        <w:ind w:left="709" w:right="709"/>
        <w:contextualSpacing/>
        <w:jc w:val="both"/>
        <w:rPr>
          <w:rFonts w:ascii="Geomanist Light" w:hAnsi="Geomanist Light" w:cs="Arial"/>
          <w:bCs/>
          <w:sz w:val="22"/>
        </w:rPr>
      </w:pPr>
    </w:p>
    <w:p w14:paraId="1A84813C" w14:textId="3A1FB3F5" w:rsidR="00A80DC2" w:rsidRPr="007F4406" w:rsidRDefault="00A80DC2" w:rsidP="007974FF">
      <w:pPr>
        <w:ind w:left="709" w:right="709"/>
        <w:contextualSpacing/>
        <w:jc w:val="both"/>
        <w:rPr>
          <w:rFonts w:ascii="Geomanist Light" w:hAnsi="Geomanist Light" w:cs="Arial"/>
          <w:bCs/>
          <w:sz w:val="22"/>
        </w:rPr>
      </w:pPr>
      <w:r w:rsidRPr="007F4406">
        <w:rPr>
          <w:rFonts w:ascii="Geomanist Light" w:hAnsi="Geomanist Light" w:cs="Arial"/>
          <w:bCs/>
          <w:sz w:val="22"/>
        </w:rPr>
        <w:t xml:space="preserve">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w:t>
      </w:r>
      <w:r w:rsidR="004203C0" w:rsidRPr="007F4406">
        <w:rPr>
          <w:rFonts w:ascii="Geomanist Light" w:hAnsi="Geomanist Light" w:cs="Arial"/>
          <w:bCs/>
          <w:sz w:val="22"/>
        </w:rPr>
        <w:t>que,</w:t>
      </w:r>
      <w:r w:rsidRPr="007F4406">
        <w:rPr>
          <w:rFonts w:ascii="Geomanist Light" w:hAnsi="Geomanist Light" w:cs="Arial"/>
          <w:bCs/>
          <w:sz w:val="22"/>
        </w:rPr>
        <w:t xml:space="preserve"> de esta manera, se entienden como parte de la Rama Ejecutiva en su sector descentralizado nacional.</w:t>
      </w:r>
    </w:p>
    <w:p w14:paraId="592490FB" w14:textId="77777777" w:rsidR="007974FF" w:rsidRPr="007F4406" w:rsidRDefault="007974FF" w:rsidP="007F4406">
      <w:pPr>
        <w:ind w:left="709" w:right="709"/>
        <w:contextualSpacing/>
        <w:jc w:val="both"/>
        <w:rPr>
          <w:rFonts w:ascii="Geomanist Light" w:hAnsi="Geomanist Light" w:cs="Arial"/>
          <w:bCs/>
          <w:sz w:val="22"/>
        </w:rPr>
      </w:pPr>
    </w:p>
    <w:p w14:paraId="685E9145" w14:textId="39B6F068" w:rsidR="00A80DC2" w:rsidRPr="007F4406" w:rsidRDefault="00A80DC2" w:rsidP="007F4406">
      <w:pPr>
        <w:ind w:left="709" w:right="709"/>
        <w:contextualSpacing/>
        <w:jc w:val="both"/>
        <w:rPr>
          <w:rFonts w:ascii="Geomanist Light" w:hAnsi="Geomanist Light" w:cs="Arial"/>
          <w:bCs/>
          <w:sz w:val="22"/>
        </w:rPr>
      </w:pPr>
      <w:r w:rsidRPr="007F4406">
        <w:rPr>
          <w:rFonts w:ascii="Geomanist Light" w:hAnsi="Geomanist Light" w:cs="Arial"/>
          <w:bCs/>
          <w:sz w:val="22"/>
        </w:rPr>
        <w:t>Así las cosas, de cara a la constitucionalidad del artículo 38 de la Ley 489 de 1998, y concretamente de la expresión “las empresas oficiales de servicios públicos domiciliarios” contenida en su litera</w:t>
      </w:r>
      <w:r w:rsidR="0092749F" w:rsidRPr="007F4406">
        <w:rPr>
          <w:rFonts w:ascii="Geomanist Light" w:hAnsi="Geomanist Light" w:cs="Arial"/>
          <w:bCs/>
          <w:sz w:val="22"/>
        </w:rPr>
        <w:t>l</w:t>
      </w:r>
      <w:r w:rsidRPr="007F4406">
        <w:rPr>
          <w:rFonts w:ascii="Geomanist Light" w:hAnsi="Geomanist Light" w:cs="Arial"/>
          <w:bCs/>
          <w:sz w:val="22"/>
        </w:rPr>
        <w:t xml:space="preserve"> d), la Corte declarará su exequibiliad, por considerar que dentro del supuesto normativo del literal g) se comprenden las empresas mixtas o privadas de servicios públicos, que de esta manera viene a conformar también la Rama Ejecutiva del poder público.</w:t>
      </w:r>
    </w:p>
    <w:p w14:paraId="185DC789" w14:textId="77777777" w:rsidR="007974FF" w:rsidRPr="007F4406" w:rsidRDefault="007974FF" w:rsidP="007974FF">
      <w:pPr>
        <w:ind w:left="709" w:right="709"/>
        <w:contextualSpacing/>
        <w:jc w:val="both"/>
        <w:rPr>
          <w:rFonts w:ascii="Geomanist Light" w:hAnsi="Geomanist Light" w:cs="Arial"/>
          <w:bCs/>
          <w:sz w:val="22"/>
        </w:rPr>
      </w:pPr>
    </w:p>
    <w:p w14:paraId="0EF7DFEF" w14:textId="4566EB4D" w:rsidR="00A80DC2" w:rsidRPr="007F4406" w:rsidRDefault="00A80DC2" w:rsidP="007F4406">
      <w:pPr>
        <w:ind w:left="709" w:right="709"/>
        <w:contextualSpacing/>
        <w:jc w:val="both"/>
        <w:rPr>
          <w:rFonts w:ascii="Geomanist Light" w:hAnsi="Geomanist Light" w:cs="Arial"/>
          <w:bCs/>
          <w:sz w:val="22"/>
        </w:rPr>
      </w:pPr>
      <w:r w:rsidRPr="007F4406">
        <w:rPr>
          <w:rFonts w:ascii="Geomanist Light" w:hAnsi="Geomanist Light" w:cs="Arial"/>
          <w:bCs/>
          <w:sz w:val="22"/>
        </w:rPr>
        <w:t>[…]</w:t>
      </w:r>
    </w:p>
    <w:p w14:paraId="48A9F7EF" w14:textId="77777777" w:rsidR="007974FF" w:rsidRPr="007F4406" w:rsidRDefault="007974FF" w:rsidP="007974FF">
      <w:pPr>
        <w:ind w:left="709" w:right="709"/>
        <w:contextualSpacing/>
        <w:jc w:val="both"/>
        <w:rPr>
          <w:rFonts w:ascii="Geomanist Light" w:hAnsi="Geomanist Light" w:cs="Arial"/>
          <w:bCs/>
          <w:sz w:val="22"/>
        </w:rPr>
      </w:pPr>
    </w:p>
    <w:p w14:paraId="56567B76" w14:textId="6D47827C" w:rsidR="00A80DC2" w:rsidRPr="007F4406" w:rsidRDefault="00A80DC2" w:rsidP="007F4406">
      <w:pPr>
        <w:ind w:left="709" w:right="709"/>
        <w:contextualSpacing/>
        <w:jc w:val="both"/>
        <w:rPr>
          <w:rFonts w:ascii="Geomanist Light" w:hAnsi="Geomanist Light" w:cs="Arial"/>
          <w:bCs/>
          <w:sz w:val="22"/>
        </w:rPr>
      </w:pPr>
      <w:r w:rsidRPr="007F4406">
        <w:rPr>
          <w:rFonts w:ascii="Geomanist Light" w:hAnsi="Geomanist Light" w:cs="Arial"/>
          <w:bCs/>
          <w:sz w:val="22"/>
        </w:rPr>
        <w:t>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004203C0" w:rsidRPr="007F4406">
        <w:rPr>
          <w:rFonts w:ascii="Geomanist Light" w:hAnsi="Geomanist Light" w:cs="Arial"/>
          <w:bCs/>
          <w:sz w:val="22"/>
        </w:rPr>
        <w:t>”</w:t>
      </w:r>
      <w:r w:rsidRPr="007F4406">
        <w:rPr>
          <w:rFonts w:ascii="Geomanist Light" w:hAnsi="Geomanist Light" w:cs="Arial"/>
          <w:bCs/>
          <w:sz w:val="22"/>
        </w:rPr>
        <w:t>.</w:t>
      </w:r>
      <w:r w:rsidRPr="007F4406">
        <w:rPr>
          <w:rFonts w:ascii="Geomanist Light" w:hAnsi="Geomanist Light" w:cs="Arial"/>
          <w:bCs/>
          <w:sz w:val="22"/>
        </w:rPr>
        <w:footnoteReference w:id="5"/>
      </w:r>
    </w:p>
    <w:p w14:paraId="4ECB3B14" w14:textId="77777777" w:rsidR="00A80DC2" w:rsidRPr="007F4406" w:rsidRDefault="00A80DC2" w:rsidP="007F4406">
      <w:pPr>
        <w:spacing w:line="276" w:lineRule="auto"/>
        <w:contextualSpacing/>
        <w:rPr>
          <w:rFonts w:ascii="Geomanist Light" w:hAnsi="Geomanist Light" w:cs="Arial"/>
          <w:bCs/>
          <w:sz w:val="22"/>
        </w:rPr>
      </w:pPr>
    </w:p>
    <w:p w14:paraId="65A6469B" w14:textId="74762110" w:rsidR="00A80DC2" w:rsidRPr="007F4406" w:rsidRDefault="00A80DC2" w:rsidP="007974FF">
      <w:pPr>
        <w:spacing w:line="276" w:lineRule="auto"/>
        <w:contextualSpacing/>
        <w:jc w:val="both"/>
        <w:rPr>
          <w:rFonts w:ascii="Geomanist Light" w:hAnsi="Geomanist Light" w:cs="Arial"/>
          <w:bCs/>
          <w:sz w:val="22"/>
        </w:rPr>
      </w:pPr>
      <w:r w:rsidRPr="007F4406">
        <w:rPr>
          <w:rFonts w:ascii="Geomanist Light" w:hAnsi="Geomanist Light" w:cs="Arial"/>
          <w:bCs/>
          <w:sz w:val="22"/>
        </w:rPr>
        <w:tab/>
        <w:t>En esta providencia también se hace una aclaración que resulta importante: las empresas prestadoras de servicios públicos, de carácter mixto</w:t>
      </w:r>
      <w:r w:rsidR="0041569B" w:rsidRPr="007F4406">
        <w:rPr>
          <w:rFonts w:ascii="Geomanist Light" w:hAnsi="Geomanist Light" w:cs="Arial"/>
          <w:bCs/>
          <w:sz w:val="22"/>
        </w:rPr>
        <w:t>,</w:t>
      </w:r>
      <w:r w:rsidRPr="007F4406">
        <w:rPr>
          <w:rFonts w:ascii="Geomanist Light" w:hAnsi="Geomanist Light" w:cs="Arial"/>
          <w:bCs/>
          <w:sz w:val="22"/>
        </w:rPr>
        <w:t xml:space="preserve"> no deben ser consideradas como sociedades de economía mixta. La anterior conclusión fue fundamentada sobre la idea del carácter o naturaleza especial que la Constitución le</w:t>
      </w:r>
      <w:r w:rsidR="007974FF" w:rsidRPr="007F4406">
        <w:rPr>
          <w:rFonts w:ascii="Geomanist Light" w:hAnsi="Geomanist Light" w:cs="Arial"/>
          <w:bCs/>
          <w:sz w:val="22"/>
        </w:rPr>
        <w:t>s</w:t>
      </w:r>
      <w:r w:rsidRPr="007F4406">
        <w:rPr>
          <w:rFonts w:ascii="Geomanist Light" w:hAnsi="Geomanist Light" w:cs="Arial"/>
          <w:bCs/>
          <w:sz w:val="22"/>
        </w:rPr>
        <w:t xml:space="preserve"> dio a las </w:t>
      </w:r>
      <w:r w:rsidR="007974FF" w:rsidRPr="007F4406">
        <w:rPr>
          <w:rFonts w:ascii="Geomanist Light" w:hAnsi="Geomanist Light" w:cs="Arial"/>
          <w:bCs/>
          <w:sz w:val="22"/>
        </w:rPr>
        <w:t>empresas de servicios públicos</w:t>
      </w:r>
      <w:r w:rsidRPr="007F4406">
        <w:rPr>
          <w:rFonts w:ascii="Geomanist Light" w:hAnsi="Geomanist Light" w:cs="Arial"/>
          <w:bCs/>
          <w:sz w:val="22"/>
        </w:rPr>
        <w:t>:</w:t>
      </w:r>
    </w:p>
    <w:p w14:paraId="36EF8811" w14:textId="77777777" w:rsidR="00A80DC2" w:rsidRPr="007F4406" w:rsidRDefault="00A80DC2" w:rsidP="007F4406">
      <w:pPr>
        <w:spacing w:line="276" w:lineRule="auto"/>
        <w:contextualSpacing/>
        <w:rPr>
          <w:rFonts w:ascii="Geomanist Light" w:hAnsi="Geomanist Light" w:cs="Arial"/>
          <w:bCs/>
          <w:sz w:val="22"/>
        </w:rPr>
      </w:pPr>
    </w:p>
    <w:p w14:paraId="1E43D343" w14:textId="2700257C" w:rsidR="00A80DC2" w:rsidRPr="007F4406" w:rsidRDefault="004203C0" w:rsidP="00A80DC2">
      <w:pPr>
        <w:ind w:left="709" w:right="709"/>
        <w:contextualSpacing/>
        <w:jc w:val="both"/>
        <w:rPr>
          <w:rFonts w:ascii="Geomanist Light" w:hAnsi="Geomanist Light" w:cs="Arial"/>
          <w:bCs/>
          <w:sz w:val="22"/>
        </w:rPr>
      </w:pPr>
      <w:r w:rsidRPr="007F4406">
        <w:rPr>
          <w:rFonts w:ascii="Geomanist Light" w:hAnsi="Geomanist Light" w:cs="Arial"/>
          <w:bCs/>
          <w:sz w:val="22"/>
        </w:rPr>
        <w:t>“</w:t>
      </w:r>
      <w:r w:rsidR="00A80DC2" w:rsidRPr="007F4406">
        <w:rPr>
          <w:rFonts w:ascii="Geomanist Light" w:hAnsi="Geomanist Light" w:cs="Arial"/>
          <w:bCs/>
          <w:sz w:val="22"/>
        </w:rPr>
        <w:t xml:space="preserve">No obstante, después de haber estudiado los conceptos de sociedad de economía mixta y de empresa de servicios públicos, la Corte estima que la </w:t>
      </w:r>
      <w:r w:rsidR="00A80DC2" w:rsidRPr="007F4406">
        <w:rPr>
          <w:rFonts w:ascii="Geomanist Light" w:hAnsi="Geomanist Light" w:cs="Arial"/>
          <w:bCs/>
          <w:sz w:val="22"/>
        </w:rPr>
        <w:lastRenderedPageBreak/>
        <w:t>naturaleza y el régimen jurídico especial de la prestación de los servicios públicos dispuesto por el constituyente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76448405" w14:textId="77777777" w:rsidR="007974FF" w:rsidRPr="007F4406" w:rsidRDefault="007974FF" w:rsidP="00A80DC2">
      <w:pPr>
        <w:ind w:left="709" w:right="709"/>
        <w:contextualSpacing/>
        <w:jc w:val="both"/>
        <w:rPr>
          <w:rFonts w:ascii="Geomanist Light" w:hAnsi="Geomanist Light" w:cs="Arial"/>
          <w:bCs/>
          <w:sz w:val="22"/>
        </w:rPr>
      </w:pPr>
    </w:p>
    <w:p w14:paraId="2B0C7813" w14:textId="796A18C0" w:rsidR="00A80DC2" w:rsidRPr="007F4406" w:rsidRDefault="00A80DC2" w:rsidP="00A80DC2">
      <w:pPr>
        <w:ind w:left="709" w:right="709"/>
        <w:contextualSpacing/>
        <w:jc w:val="both"/>
        <w:rPr>
          <w:rFonts w:ascii="Geomanist Light" w:hAnsi="Geomanist Light" w:cs="Arial"/>
          <w:bCs/>
          <w:sz w:val="22"/>
        </w:rPr>
      </w:pPr>
      <w:r w:rsidRPr="007F4406">
        <w:rPr>
          <w:rFonts w:ascii="Geomanist Light" w:hAnsi="Geomanist Light" w:cs="Arial"/>
          <w:bCs/>
          <w:sz w:val="22"/>
        </w:rPr>
        <w:t>[…]</w:t>
      </w:r>
    </w:p>
    <w:p w14:paraId="6A98795E" w14:textId="77777777" w:rsidR="007974FF" w:rsidRPr="007F4406" w:rsidRDefault="007974FF" w:rsidP="00A80DC2">
      <w:pPr>
        <w:ind w:left="709" w:right="709"/>
        <w:contextualSpacing/>
        <w:jc w:val="both"/>
        <w:rPr>
          <w:rFonts w:ascii="Geomanist Light" w:hAnsi="Geomanist Light" w:cs="Arial"/>
          <w:bCs/>
          <w:sz w:val="22"/>
        </w:rPr>
      </w:pPr>
    </w:p>
    <w:p w14:paraId="1867365D" w14:textId="43635522" w:rsidR="00A80DC2" w:rsidRPr="007F4406" w:rsidRDefault="00A80DC2" w:rsidP="002B2C97">
      <w:pPr>
        <w:ind w:left="709" w:right="709"/>
        <w:contextualSpacing/>
        <w:jc w:val="both"/>
        <w:rPr>
          <w:rFonts w:ascii="Geomanist Light" w:hAnsi="Geomanist Light" w:cs="Arial"/>
          <w:bCs/>
          <w:sz w:val="22"/>
        </w:rPr>
      </w:pPr>
      <w:r w:rsidRPr="007F4406">
        <w:rPr>
          <w:rFonts w:ascii="Geomanist Light" w:hAnsi="Geomanist Light" w:cs="Arial"/>
          <w:bCs/>
          <w:sz w:val="22"/>
        </w:rPr>
        <w:t>Al parecer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002B2C97" w:rsidRPr="007F4406">
        <w:rPr>
          <w:rFonts w:ascii="Geomanist Light" w:hAnsi="Geomanist Light" w:cs="Arial"/>
          <w:bCs/>
          <w:sz w:val="22"/>
        </w:rPr>
        <w:t>”</w:t>
      </w:r>
      <w:r w:rsidRPr="007F4406">
        <w:rPr>
          <w:rFonts w:ascii="Geomanist Light" w:hAnsi="Geomanist Light" w:cs="Arial"/>
          <w:bCs/>
          <w:sz w:val="22"/>
        </w:rPr>
        <w:t>.</w:t>
      </w:r>
      <w:r w:rsidRPr="007F4406">
        <w:rPr>
          <w:rFonts w:ascii="Geomanist Light" w:hAnsi="Geomanist Light" w:cs="Arial"/>
          <w:bCs/>
          <w:sz w:val="22"/>
        </w:rPr>
        <w:footnoteReference w:id="6"/>
      </w:r>
      <w:r w:rsidRPr="007F4406">
        <w:rPr>
          <w:rFonts w:ascii="Geomanist Light" w:hAnsi="Geomanist Light" w:cs="Arial"/>
          <w:bCs/>
          <w:sz w:val="22"/>
        </w:rPr>
        <w:t xml:space="preserve"> </w:t>
      </w:r>
    </w:p>
    <w:p w14:paraId="4A9D4FDF" w14:textId="77777777" w:rsidR="00A80DC2" w:rsidRPr="007F4406" w:rsidRDefault="00A80DC2" w:rsidP="007F4406">
      <w:pPr>
        <w:spacing w:line="276" w:lineRule="auto"/>
        <w:ind w:left="709" w:right="709"/>
        <w:contextualSpacing/>
        <w:jc w:val="both"/>
        <w:rPr>
          <w:rFonts w:ascii="Geomanist Light" w:hAnsi="Geomanist Light" w:cs="Arial"/>
          <w:bCs/>
          <w:sz w:val="22"/>
        </w:rPr>
      </w:pPr>
    </w:p>
    <w:p w14:paraId="100DFFCC" w14:textId="0A3BAEE6" w:rsidR="00A80DC2" w:rsidRPr="007F4406" w:rsidRDefault="00A80DC2" w:rsidP="007F4406">
      <w:pPr>
        <w:spacing w:line="276" w:lineRule="auto"/>
        <w:ind w:firstLine="709"/>
        <w:jc w:val="both"/>
        <w:rPr>
          <w:rFonts w:ascii="Geomanist Light" w:hAnsi="Geomanist Light" w:cs="Arial"/>
          <w:bCs/>
          <w:sz w:val="22"/>
        </w:rPr>
      </w:pPr>
      <w:r w:rsidRPr="007F4406">
        <w:rPr>
          <w:rFonts w:ascii="Geomanist Light" w:hAnsi="Geomanist Light" w:cs="Arial"/>
          <w:bCs/>
          <w:sz w:val="22"/>
        </w:rPr>
        <w:t xml:space="preserve">Así las cosas, es preciso afirmar que </w:t>
      </w:r>
      <w:r w:rsidR="0041569B" w:rsidRPr="007F4406">
        <w:rPr>
          <w:rFonts w:ascii="Geomanist Light" w:hAnsi="Geomanist Light" w:cs="Arial"/>
          <w:bCs/>
          <w:sz w:val="22"/>
        </w:rPr>
        <w:t xml:space="preserve">las </w:t>
      </w:r>
      <w:r w:rsidRPr="007F4406">
        <w:rPr>
          <w:rFonts w:ascii="Geomanist Light" w:hAnsi="Geomanist Light" w:cs="Arial"/>
          <w:bCs/>
          <w:sz w:val="22"/>
        </w:rPr>
        <w:t>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w:t>
      </w:r>
      <w:r w:rsidR="00CC6B3B" w:rsidRPr="007F4406">
        <w:rPr>
          <w:rFonts w:ascii="Geomanist Light" w:hAnsi="Geomanist Light" w:cs="Arial"/>
          <w:bCs/>
          <w:sz w:val="22"/>
        </w:rPr>
        <w:t xml:space="preserve"> Una vez expuesta la naturaleza jurídica de las empresas prestadoras de servicios públicos domiciliarios, teniendo en cuenta el objeto de la consulta, a continuación</w:t>
      </w:r>
      <w:r w:rsidR="0041569B" w:rsidRPr="007F4406">
        <w:rPr>
          <w:rFonts w:ascii="Geomanist Light" w:hAnsi="Geomanist Light" w:cs="Arial"/>
          <w:bCs/>
          <w:sz w:val="22"/>
        </w:rPr>
        <w:t>,</w:t>
      </w:r>
      <w:r w:rsidR="00CC6B3B" w:rsidRPr="007F4406">
        <w:rPr>
          <w:rFonts w:ascii="Geomanist Light" w:hAnsi="Geomanist Light" w:cs="Arial"/>
          <w:bCs/>
          <w:sz w:val="22"/>
        </w:rPr>
        <w:t xml:space="preserve"> se procede a explicar el régimen contractual que les aplica. </w:t>
      </w:r>
    </w:p>
    <w:p w14:paraId="5FD5F0F7" w14:textId="619C08E2" w:rsidR="00BD2F69" w:rsidRPr="007F4406" w:rsidRDefault="00BD2F69" w:rsidP="00CC6B3B">
      <w:pPr>
        <w:spacing w:line="276" w:lineRule="auto"/>
        <w:contextualSpacing/>
        <w:jc w:val="both"/>
        <w:rPr>
          <w:rFonts w:ascii="Geomanist Light" w:hAnsi="Geomanist Light" w:cs="Arial"/>
          <w:bCs/>
          <w:sz w:val="22"/>
        </w:rPr>
      </w:pPr>
    </w:p>
    <w:p w14:paraId="3A0DBDC3" w14:textId="002685CF" w:rsidR="00D73F44" w:rsidRPr="002D7181" w:rsidRDefault="00AF7C89" w:rsidP="00CC6B3B">
      <w:pPr>
        <w:spacing w:line="276" w:lineRule="auto"/>
        <w:contextualSpacing/>
        <w:jc w:val="both"/>
        <w:rPr>
          <w:rFonts w:ascii="Geomanist Light" w:hAnsi="Geomanist Light" w:cs="Arial"/>
          <w:b/>
          <w:sz w:val="22"/>
        </w:rPr>
      </w:pPr>
      <w:r w:rsidRPr="002D7181">
        <w:rPr>
          <w:rFonts w:ascii="Geomanist Light" w:hAnsi="Geomanist Light" w:cs="Arial"/>
          <w:b/>
          <w:sz w:val="22"/>
        </w:rPr>
        <w:t xml:space="preserve">2.2. Régimen contractual </w:t>
      </w:r>
      <w:r w:rsidR="00A43B8B" w:rsidRPr="002D7181">
        <w:rPr>
          <w:rFonts w:ascii="Geomanist Light" w:hAnsi="Geomanist Light" w:cs="Arial"/>
          <w:b/>
          <w:sz w:val="22"/>
        </w:rPr>
        <w:t>de</w:t>
      </w:r>
      <w:r w:rsidR="00152550" w:rsidRPr="002D7181">
        <w:rPr>
          <w:rFonts w:ascii="Geomanist Light" w:hAnsi="Geomanist Light" w:cs="Arial"/>
          <w:b/>
          <w:sz w:val="22"/>
        </w:rPr>
        <w:t xml:space="preserve"> las empresas prestadoras de servicios públicos domiciliarios</w:t>
      </w:r>
      <w:r w:rsidR="0052061D" w:rsidRPr="002D7181">
        <w:rPr>
          <w:rFonts w:ascii="Geomanist Light" w:hAnsi="Geomanist Light" w:cs="Arial"/>
          <w:b/>
          <w:sz w:val="22"/>
        </w:rPr>
        <w:t xml:space="preserve">. </w:t>
      </w:r>
      <w:r w:rsidR="00A43B8B" w:rsidRPr="002D7181">
        <w:rPr>
          <w:rFonts w:ascii="Geomanist Light" w:hAnsi="Geomanist Light" w:cs="Arial"/>
          <w:b/>
          <w:sz w:val="22"/>
        </w:rPr>
        <w:t>Situaciones de aplicabilidad de la Ley 80 de 1993</w:t>
      </w:r>
    </w:p>
    <w:p w14:paraId="5D35AAE9" w14:textId="6EEA9A90" w:rsidR="00C031E0" w:rsidRPr="007F4406" w:rsidRDefault="00C031E0" w:rsidP="00CC6B3B">
      <w:pPr>
        <w:spacing w:line="276" w:lineRule="auto"/>
        <w:contextualSpacing/>
        <w:jc w:val="both"/>
        <w:rPr>
          <w:rFonts w:ascii="Geomanist Light" w:hAnsi="Geomanist Light" w:cs="Arial"/>
          <w:bCs/>
          <w:sz w:val="22"/>
        </w:rPr>
      </w:pPr>
    </w:p>
    <w:p w14:paraId="4D8AEA68" w14:textId="5ABEAF8B" w:rsidR="00C031E0" w:rsidRPr="007F4406" w:rsidRDefault="00C031E0" w:rsidP="00CC6B3B">
      <w:pPr>
        <w:spacing w:line="276" w:lineRule="auto"/>
        <w:contextualSpacing/>
        <w:jc w:val="both"/>
        <w:rPr>
          <w:rFonts w:ascii="Geomanist Light" w:hAnsi="Geomanist Light" w:cs="Arial"/>
          <w:bCs/>
          <w:sz w:val="22"/>
        </w:rPr>
      </w:pPr>
      <w:r w:rsidRPr="007F4406">
        <w:rPr>
          <w:rFonts w:ascii="Geomanist Light" w:hAnsi="Geomanist Light" w:cs="Arial"/>
          <w:bCs/>
          <w:sz w:val="22"/>
        </w:rPr>
        <w:t xml:space="preserve">La Constitución Política de 1991 incorporó un modelo de liberación para prestar servicios públicos domiciliarios, con arreglo al cual estos pueden ofrecerse en el mercado, en un </w:t>
      </w:r>
      <w:r w:rsidRPr="007F4406">
        <w:rPr>
          <w:rFonts w:ascii="Geomanist Light" w:hAnsi="Geomanist Light" w:cs="Arial"/>
          <w:bCs/>
          <w:sz w:val="22"/>
        </w:rPr>
        <w:lastRenderedPageBreak/>
        <w:t>esquema de libre competencia, directamente por el Estado, por particulares o por comunidades organizadas.</w:t>
      </w:r>
      <w:r w:rsidRPr="007F4406">
        <w:rPr>
          <w:rFonts w:ascii="Geomanist Light" w:hAnsi="Geomanist Light" w:cs="Arial"/>
          <w:bCs/>
          <w:sz w:val="22"/>
        </w:rPr>
        <w:footnoteReference w:id="7"/>
      </w:r>
      <w:r w:rsidRPr="007F4406">
        <w:rPr>
          <w:rFonts w:ascii="Geomanist Light" w:hAnsi="Geomanist Light" w:cs="Arial"/>
          <w:bCs/>
          <w:sz w:val="22"/>
        </w:rPr>
        <w:t xml:space="preserve"> En tal sentido, el artículo 365 de la Constitución dispone lo siguiente:</w:t>
      </w:r>
    </w:p>
    <w:p w14:paraId="654F725E" w14:textId="77777777" w:rsidR="00C031E0" w:rsidRPr="007F4406" w:rsidRDefault="00C031E0" w:rsidP="007F4406">
      <w:pPr>
        <w:spacing w:line="276" w:lineRule="auto"/>
        <w:contextualSpacing/>
        <w:jc w:val="both"/>
        <w:rPr>
          <w:rFonts w:ascii="Geomanist Light" w:hAnsi="Geomanist Light" w:cs="Arial"/>
          <w:bCs/>
          <w:sz w:val="22"/>
        </w:rPr>
      </w:pPr>
    </w:p>
    <w:p w14:paraId="3778489F" w14:textId="7C08368A" w:rsidR="00C031E0" w:rsidRPr="007F4406" w:rsidRDefault="002B2C97" w:rsidP="00CC6B3B">
      <w:pPr>
        <w:ind w:left="709" w:right="709"/>
        <w:contextualSpacing/>
        <w:jc w:val="both"/>
        <w:rPr>
          <w:rFonts w:ascii="Geomanist Light" w:hAnsi="Geomanist Light" w:cs="Arial"/>
          <w:bCs/>
          <w:sz w:val="22"/>
        </w:rPr>
      </w:pPr>
      <w:r w:rsidRPr="007F4406">
        <w:rPr>
          <w:rFonts w:ascii="Geomanist Light" w:hAnsi="Geomanist Light" w:cs="Arial"/>
          <w:bCs/>
          <w:sz w:val="22"/>
        </w:rPr>
        <w:t>“</w:t>
      </w:r>
      <w:r w:rsidR="00C031E0" w:rsidRPr="007F4406">
        <w:rPr>
          <w:rFonts w:ascii="Geomanist Light" w:hAnsi="Geomanist Light" w:cs="Arial"/>
          <w:bCs/>
          <w:sz w:val="22"/>
        </w:rPr>
        <w:t>Los servicios públicos son inherentes a la finalidad social del Estado. Es deber del Estado asegurar su prestación eficiente a todos los habitantes del territorio nacional.</w:t>
      </w:r>
    </w:p>
    <w:p w14:paraId="4E14F304" w14:textId="77777777" w:rsidR="00CA1D32" w:rsidRPr="007F4406" w:rsidRDefault="00CA1D32" w:rsidP="007F4406">
      <w:pPr>
        <w:ind w:left="709" w:right="709"/>
        <w:contextualSpacing/>
        <w:jc w:val="both"/>
        <w:rPr>
          <w:rFonts w:ascii="Geomanist Light" w:hAnsi="Geomanist Light" w:cs="Arial"/>
          <w:bCs/>
          <w:sz w:val="22"/>
        </w:rPr>
      </w:pPr>
    </w:p>
    <w:p w14:paraId="1C86CDBC" w14:textId="1240AADB" w:rsidR="00C031E0" w:rsidRPr="007F4406" w:rsidRDefault="00C031E0" w:rsidP="007F4406">
      <w:pPr>
        <w:ind w:left="709" w:right="709"/>
        <w:contextualSpacing/>
        <w:jc w:val="both"/>
        <w:rPr>
          <w:rFonts w:ascii="Geomanist Light" w:hAnsi="Geomanist Light" w:cs="Arial"/>
          <w:bCs/>
          <w:sz w:val="22"/>
        </w:rPr>
      </w:pPr>
      <w:r w:rsidRPr="007F4406">
        <w:rPr>
          <w:rFonts w:ascii="Geomanist Light" w:hAnsi="Geomanist Light" w:cs="Arial"/>
          <w:bCs/>
          <w:sz w:val="22"/>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r w:rsidR="002B2C97" w:rsidRPr="007F4406">
        <w:rPr>
          <w:rFonts w:ascii="Geomanist Light" w:hAnsi="Geomanist Light" w:cs="Arial"/>
          <w:bCs/>
          <w:sz w:val="22"/>
        </w:rPr>
        <w:t>”</w:t>
      </w:r>
      <w:r w:rsidRPr="007F4406">
        <w:rPr>
          <w:rFonts w:ascii="Geomanist Light" w:hAnsi="Geomanist Light" w:cs="Arial"/>
          <w:bCs/>
          <w:sz w:val="22"/>
        </w:rPr>
        <w:t>.</w:t>
      </w:r>
    </w:p>
    <w:p w14:paraId="7A8F7431" w14:textId="77777777" w:rsidR="00C031E0" w:rsidRPr="007F4406" w:rsidRDefault="00C031E0" w:rsidP="00C031E0">
      <w:pPr>
        <w:ind w:left="709" w:right="709"/>
        <w:jc w:val="both"/>
        <w:rPr>
          <w:rFonts w:ascii="Geomanist Light" w:hAnsi="Geomanist Light" w:cs="Arial"/>
          <w:bCs/>
          <w:sz w:val="22"/>
        </w:rPr>
      </w:pPr>
    </w:p>
    <w:p w14:paraId="6C698644" w14:textId="3A649179" w:rsidR="00C031E0" w:rsidRPr="007F4406" w:rsidRDefault="00C031E0" w:rsidP="00C031E0">
      <w:pPr>
        <w:spacing w:line="276" w:lineRule="auto"/>
        <w:ind w:firstLine="708"/>
        <w:jc w:val="both"/>
        <w:rPr>
          <w:rFonts w:ascii="Geomanist Light" w:hAnsi="Geomanist Light" w:cs="Arial"/>
          <w:bCs/>
          <w:sz w:val="22"/>
        </w:rPr>
      </w:pPr>
      <w:r w:rsidRPr="007F4406">
        <w:rPr>
          <w:rFonts w:ascii="Geomanist Light" w:hAnsi="Geomanist Light" w:cs="Arial"/>
          <w:bCs/>
          <w:sz w:val="22"/>
        </w:rPr>
        <w:t>Con base en este presupuesto constitucional de liberación de los servicios públicos domiciliarios</w:t>
      </w:r>
      <w:r w:rsidR="00A43B8B" w:rsidRPr="007F4406">
        <w:rPr>
          <w:rFonts w:ascii="Geomanist Light" w:hAnsi="Geomanist Light" w:cs="Arial"/>
          <w:bCs/>
          <w:sz w:val="22"/>
        </w:rPr>
        <w:t>,</w:t>
      </w:r>
      <w:r w:rsidRPr="007F4406">
        <w:rPr>
          <w:rFonts w:ascii="Geomanist Light" w:hAnsi="Geomanist Light" w:cs="Arial"/>
          <w:bCs/>
          <w:sz w:val="22"/>
        </w:rPr>
        <w:t xml:space="preserve"> el legislador expidió la Ley 142 de 1994, mediante la cual se establece el régimen de los servicios públicos domiciliarios. El artículo 15 Ibidem enuncia las personas autorizadas para prestar los servicios públicos domiciliarios: i) las empresas de servicios públicos, ii) los productores marginales, iii) los municipios, en ciertos casos, iv) las organizaciones autorizadas </w:t>
      </w:r>
      <w:r w:rsidRPr="007F4406">
        <w:rPr>
          <w:rFonts w:ascii="Geomanist Light" w:hAnsi="Geomanist Light" w:cs="Arial"/>
          <w:bCs/>
          <w:sz w:val="22"/>
        </w:rPr>
        <w:lastRenderedPageBreak/>
        <w:t>y v) las entidades descentralizadas que se encontraran prestándolos y cumplan los requisitos establecidos en la ley</w:t>
      </w:r>
      <w:r w:rsidRPr="007F4406">
        <w:rPr>
          <w:rFonts w:ascii="Geomanist Light" w:hAnsi="Geomanist Light" w:cs="Arial"/>
          <w:bCs/>
          <w:sz w:val="22"/>
        </w:rPr>
        <w:footnoteReference w:id="8"/>
      </w:r>
      <w:r w:rsidR="00A43B8B" w:rsidRPr="007F4406">
        <w:rPr>
          <w:rFonts w:ascii="Geomanist Light" w:hAnsi="Geomanist Light" w:cs="Arial"/>
          <w:bCs/>
          <w:sz w:val="22"/>
        </w:rPr>
        <w:t>.</w:t>
      </w:r>
    </w:p>
    <w:p w14:paraId="2750D252" w14:textId="5361466C" w:rsidR="00C031E0" w:rsidRPr="007F4406" w:rsidRDefault="00C031E0" w:rsidP="00C031E0">
      <w:pPr>
        <w:spacing w:before="120" w:line="276" w:lineRule="auto"/>
        <w:ind w:firstLine="709"/>
        <w:jc w:val="both"/>
        <w:rPr>
          <w:rFonts w:ascii="Geomanist Light" w:hAnsi="Geomanist Light" w:cs="Arial"/>
          <w:bCs/>
          <w:sz w:val="22"/>
        </w:rPr>
      </w:pPr>
      <w:r w:rsidRPr="007F4406">
        <w:rPr>
          <w:rFonts w:ascii="Geomanist Light" w:hAnsi="Geomanist Light" w:cs="Arial"/>
          <w:bCs/>
          <w:sz w:val="22"/>
        </w:rPr>
        <w:t xml:space="preserve">Ahora bien, </w:t>
      </w:r>
      <w:bookmarkStart w:id="2" w:name="_Hlk120622020"/>
      <w:r w:rsidRPr="007F4406">
        <w:rPr>
          <w:rFonts w:ascii="Geomanist Light" w:hAnsi="Geomanist Light" w:cs="Arial"/>
          <w:bCs/>
          <w:sz w:val="22"/>
        </w:rPr>
        <w:t>en lo que atañe específicamente al régimen de contratación, 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públicos domiciliarios, indicando que sus actos se rigen por los principios y reglas aplicables a los particulares</w:t>
      </w:r>
      <w:r w:rsidRPr="007F4406">
        <w:rPr>
          <w:rFonts w:ascii="Geomanist Light" w:hAnsi="Geomanist Light" w:cs="Arial"/>
          <w:bCs/>
          <w:sz w:val="22"/>
        </w:rPr>
        <w:footnoteReference w:id="9"/>
      </w:r>
      <w:r w:rsidR="00A43B8B" w:rsidRPr="007F4406">
        <w:rPr>
          <w:rFonts w:ascii="Geomanist Light" w:hAnsi="Geomanist Light" w:cs="Arial"/>
          <w:bCs/>
          <w:sz w:val="22"/>
        </w:rPr>
        <w:t>.</w:t>
      </w:r>
      <w:bookmarkEnd w:id="2"/>
    </w:p>
    <w:p w14:paraId="62A151C1" w14:textId="2EB1599D" w:rsidR="00C031E0" w:rsidRPr="007F4406" w:rsidRDefault="00C031E0" w:rsidP="00A43B8B">
      <w:pPr>
        <w:spacing w:before="120" w:line="276" w:lineRule="auto"/>
        <w:ind w:firstLine="709"/>
        <w:jc w:val="both"/>
        <w:rPr>
          <w:rFonts w:ascii="Geomanist Light" w:hAnsi="Geomanist Light" w:cs="Arial"/>
          <w:bCs/>
          <w:sz w:val="22"/>
        </w:rPr>
      </w:pPr>
      <w:r w:rsidRPr="007F4406">
        <w:rPr>
          <w:rFonts w:ascii="Geomanist Light" w:hAnsi="Geomanist Light" w:cs="Arial"/>
          <w:bCs/>
          <w:sz w:val="22"/>
        </w:rPr>
        <w:t xml:space="preserve">En consecuencia, </w:t>
      </w:r>
      <w:bookmarkStart w:id="3" w:name="_Hlk120622006"/>
      <w:r w:rsidRPr="007F4406">
        <w:rPr>
          <w:rFonts w:ascii="Geomanist Light" w:hAnsi="Geomanist Light" w:cs="Arial"/>
          <w:bCs/>
          <w:sz w:val="22"/>
        </w:rPr>
        <w:t xml:space="preserve">de la lectura sistemática de las normas referidas puede concluirse que el régimen jurídico que, por regla general, debe aplicarse a la contratación que efectúan las </w:t>
      </w:r>
      <w:r w:rsidR="00605456" w:rsidRPr="007F4406">
        <w:rPr>
          <w:rFonts w:ascii="Geomanist Light" w:hAnsi="Geomanist Light" w:cs="Arial"/>
          <w:bCs/>
          <w:sz w:val="22"/>
        </w:rPr>
        <w:t>e</w:t>
      </w:r>
      <w:r w:rsidRPr="007F4406">
        <w:rPr>
          <w:rFonts w:ascii="Geomanist Light" w:hAnsi="Geomanist Light" w:cs="Arial"/>
          <w:bCs/>
          <w:sz w:val="22"/>
        </w:rPr>
        <w:t xml:space="preserve">mpresas </w:t>
      </w:r>
      <w:r w:rsidR="00605456" w:rsidRPr="007F4406">
        <w:rPr>
          <w:rFonts w:ascii="Geomanist Light" w:hAnsi="Geomanist Light" w:cs="Arial"/>
          <w:bCs/>
          <w:sz w:val="22"/>
        </w:rPr>
        <w:t>p</w:t>
      </w:r>
      <w:r w:rsidRPr="007F4406">
        <w:rPr>
          <w:rFonts w:ascii="Geomanist Light" w:hAnsi="Geomanist Light" w:cs="Arial"/>
          <w:bCs/>
          <w:sz w:val="22"/>
        </w:rPr>
        <w:t xml:space="preserve">restadoras de </w:t>
      </w:r>
      <w:r w:rsidR="00605456" w:rsidRPr="007F4406">
        <w:rPr>
          <w:rFonts w:ascii="Geomanist Light" w:hAnsi="Geomanist Light" w:cs="Arial"/>
          <w:bCs/>
          <w:sz w:val="22"/>
        </w:rPr>
        <w:t>s</w:t>
      </w:r>
      <w:r w:rsidRPr="007F4406">
        <w:rPr>
          <w:rFonts w:ascii="Geomanist Light" w:hAnsi="Geomanist Light" w:cs="Arial"/>
          <w:bCs/>
          <w:sz w:val="22"/>
        </w:rPr>
        <w:t xml:space="preserve">ervicios </w:t>
      </w:r>
      <w:r w:rsidR="00605456" w:rsidRPr="007F4406">
        <w:rPr>
          <w:rFonts w:ascii="Geomanist Light" w:hAnsi="Geomanist Light" w:cs="Arial"/>
          <w:bCs/>
          <w:sz w:val="22"/>
        </w:rPr>
        <w:t>p</w:t>
      </w:r>
      <w:r w:rsidRPr="007F4406">
        <w:rPr>
          <w:rFonts w:ascii="Geomanist Light" w:hAnsi="Geomanist Light" w:cs="Arial"/>
          <w:bCs/>
          <w:sz w:val="22"/>
        </w:rPr>
        <w:t xml:space="preserve">úblicos </w:t>
      </w:r>
      <w:r w:rsidR="00605456" w:rsidRPr="007F4406">
        <w:rPr>
          <w:rFonts w:ascii="Geomanist Light" w:hAnsi="Geomanist Light" w:cs="Arial"/>
          <w:bCs/>
          <w:sz w:val="22"/>
        </w:rPr>
        <w:t>d</w:t>
      </w:r>
      <w:r w:rsidRPr="007F4406">
        <w:rPr>
          <w:rFonts w:ascii="Geomanist Light" w:hAnsi="Geomanist Light" w:cs="Arial"/>
          <w:bCs/>
          <w:sz w:val="22"/>
        </w:rPr>
        <w:t>omiciliarios es el derecho privado y solo</w:t>
      </w:r>
      <w:r w:rsidR="00CA1D32" w:rsidRPr="007F4406">
        <w:rPr>
          <w:rFonts w:ascii="Geomanist Light" w:hAnsi="Geomanist Light" w:cs="Arial"/>
          <w:bCs/>
          <w:sz w:val="22"/>
        </w:rPr>
        <w:t>,</w:t>
      </w:r>
      <w:r w:rsidRPr="007F4406">
        <w:rPr>
          <w:rFonts w:ascii="Geomanist Light" w:hAnsi="Geomanist Light" w:cs="Arial"/>
          <w:bCs/>
          <w:sz w:val="22"/>
        </w:rPr>
        <w:t xml:space="preserve"> excepcionalmente</w:t>
      </w:r>
      <w:r w:rsidR="00CA1D32" w:rsidRPr="007F4406">
        <w:rPr>
          <w:rFonts w:ascii="Geomanist Light" w:hAnsi="Geomanist Light" w:cs="Arial"/>
          <w:bCs/>
          <w:sz w:val="22"/>
        </w:rPr>
        <w:t>,</w:t>
      </w:r>
      <w:r w:rsidRPr="007F4406">
        <w:rPr>
          <w:rFonts w:ascii="Geomanist Light" w:hAnsi="Geomanist Light" w:cs="Arial"/>
          <w:bCs/>
          <w:sz w:val="22"/>
        </w:rPr>
        <w:t xml:space="preserve"> el contenido en el Estatuto General de Contratación de la Administración </w:t>
      </w:r>
      <w:r w:rsidRPr="007F4406">
        <w:rPr>
          <w:rFonts w:ascii="Geomanist Light" w:hAnsi="Geomanist Light" w:cs="Arial"/>
          <w:bCs/>
          <w:sz w:val="22"/>
        </w:rPr>
        <w:lastRenderedPageBreak/>
        <w:t>Pública</w:t>
      </w:r>
      <w:r w:rsidR="00A43B8B" w:rsidRPr="007F4406">
        <w:rPr>
          <w:rFonts w:ascii="Geomanist Light" w:hAnsi="Geomanist Light" w:cs="Arial"/>
          <w:bCs/>
          <w:sz w:val="22"/>
        </w:rPr>
        <w:t xml:space="preserve"> –Ley 80 de 1993–</w:t>
      </w:r>
      <w:r w:rsidRPr="007F4406">
        <w:rPr>
          <w:rFonts w:ascii="Geomanist Light" w:hAnsi="Geomanist Light" w:cs="Arial"/>
          <w:bCs/>
          <w:sz w:val="22"/>
        </w:rPr>
        <w:footnoteReference w:id="10"/>
      </w:r>
      <w:r w:rsidRPr="007F4406">
        <w:rPr>
          <w:rFonts w:ascii="Geomanist Light" w:hAnsi="Geomanist Light" w:cs="Arial"/>
          <w:bCs/>
          <w:sz w:val="22"/>
        </w:rPr>
        <w:t xml:space="preserve">. En otras palabras, </w:t>
      </w:r>
      <w:r w:rsidR="001154D6" w:rsidRPr="007F4406">
        <w:rPr>
          <w:rFonts w:ascii="Geomanist Light" w:hAnsi="Geomanist Light" w:cs="Arial"/>
          <w:bCs/>
          <w:sz w:val="22"/>
        </w:rPr>
        <w:t>dichas</w:t>
      </w:r>
      <w:r w:rsidRPr="007F4406">
        <w:rPr>
          <w:rFonts w:ascii="Geomanist Light" w:hAnsi="Geomanist Light" w:cs="Arial"/>
          <w:bCs/>
          <w:sz w:val="22"/>
        </w:rPr>
        <w:t xml:space="preserve"> empresas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w:t>
      </w:r>
    </w:p>
    <w:bookmarkEnd w:id="3"/>
    <w:p w14:paraId="5CF94932" w14:textId="58B148C7" w:rsidR="002014BC" w:rsidRPr="007F4406" w:rsidRDefault="00C031E0" w:rsidP="00611CF7">
      <w:pPr>
        <w:spacing w:before="120" w:line="276" w:lineRule="auto"/>
        <w:ind w:firstLine="709"/>
        <w:jc w:val="both"/>
        <w:rPr>
          <w:rFonts w:ascii="Geomanist Light" w:hAnsi="Geomanist Light" w:cs="Arial"/>
          <w:bCs/>
          <w:sz w:val="22"/>
        </w:rPr>
      </w:pPr>
      <w:r w:rsidRPr="007F4406">
        <w:rPr>
          <w:rFonts w:ascii="Geomanist Light" w:hAnsi="Geomanist Light" w:cs="Arial"/>
          <w:bCs/>
          <w:sz w:val="22"/>
        </w:rPr>
        <w:t xml:space="preserve">Lo anterior no significa que la actividad contractual de las </w:t>
      </w:r>
      <w:r w:rsidR="00605456" w:rsidRPr="007F4406">
        <w:rPr>
          <w:rFonts w:ascii="Geomanist Light" w:hAnsi="Geomanist Light" w:cs="Arial"/>
          <w:bCs/>
          <w:sz w:val="22"/>
        </w:rPr>
        <w:t>e</w:t>
      </w:r>
      <w:r w:rsidRPr="007F4406">
        <w:rPr>
          <w:rFonts w:ascii="Geomanist Light" w:hAnsi="Geomanist Light" w:cs="Arial"/>
          <w:bCs/>
          <w:sz w:val="22"/>
        </w:rPr>
        <w:t>mpresas prestadoras de servicios públicos domiciliarios se rija por un «derecho privado puro», pues este se encuentra irrigado, entre otras cosas, por los principios de la función administrativa y de la gestión fiscal, previstos en los artículos 209 y 267 de la Constitución, toda vez que así lo dispone el artículo 13 de la Ley 1150 de 2007</w:t>
      </w:r>
      <w:r w:rsidRPr="007F4406">
        <w:rPr>
          <w:rFonts w:ascii="Geomanist Light" w:hAnsi="Geomanist Light" w:cs="Arial"/>
          <w:bCs/>
          <w:sz w:val="22"/>
        </w:rPr>
        <w:footnoteReference w:id="11"/>
      </w:r>
      <w:r w:rsidRPr="007F4406">
        <w:rPr>
          <w:rFonts w:ascii="Geomanist Light" w:hAnsi="Geomanist Light" w:cs="Arial"/>
          <w:bCs/>
          <w:sz w:val="22"/>
        </w:rPr>
        <w:t>.</w:t>
      </w:r>
    </w:p>
    <w:p w14:paraId="437CA64E" w14:textId="044A9B76" w:rsidR="002466FF" w:rsidRPr="007F4406" w:rsidRDefault="00611CF7" w:rsidP="00611CF7">
      <w:pPr>
        <w:spacing w:before="120" w:line="276" w:lineRule="auto"/>
        <w:ind w:firstLine="708"/>
        <w:jc w:val="both"/>
        <w:rPr>
          <w:rFonts w:ascii="Geomanist Light" w:hAnsi="Geomanist Light" w:cs="Arial"/>
          <w:bCs/>
          <w:sz w:val="22"/>
        </w:rPr>
      </w:pPr>
      <w:r w:rsidRPr="007F4406">
        <w:rPr>
          <w:rFonts w:ascii="Geomanist Light" w:hAnsi="Geomanist Light" w:cs="Arial"/>
          <w:bCs/>
          <w:sz w:val="22"/>
        </w:rPr>
        <w:t>Ahora bien, pese a</w:t>
      </w:r>
      <w:r w:rsidR="00D577F5" w:rsidRPr="007F4406">
        <w:rPr>
          <w:rFonts w:ascii="Geomanist Light" w:hAnsi="Geomanist Light" w:cs="Arial"/>
          <w:bCs/>
          <w:sz w:val="22"/>
        </w:rPr>
        <w:t xml:space="preserve"> que el artículo 31 de la Ley 142</w:t>
      </w:r>
      <w:r w:rsidR="00812C90" w:rsidRPr="007F4406">
        <w:rPr>
          <w:rFonts w:ascii="Geomanist Light" w:hAnsi="Geomanist Light" w:cs="Arial"/>
          <w:bCs/>
          <w:sz w:val="22"/>
        </w:rPr>
        <w:t xml:space="preserve"> de 1994, modificado por el artículo 3 de la Ley </w:t>
      </w:r>
      <w:r w:rsidR="00DF2F07" w:rsidRPr="007F4406">
        <w:rPr>
          <w:rFonts w:ascii="Geomanist Light" w:hAnsi="Geomanist Light" w:cs="Arial"/>
          <w:bCs/>
          <w:sz w:val="22"/>
        </w:rPr>
        <w:t>6</w:t>
      </w:r>
      <w:r w:rsidR="00812C90" w:rsidRPr="007F4406">
        <w:rPr>
          <w:rFonts w:ascii="Geomanist Light" w:hAnsi="Geomanist Light" w:cs="Arial"/>
          <w:bCs/>
          <w:sz w:val="22"/>
        </w:rPr>
        <w:t xml:space="preserve">89 de </w:t>
      </w:r>
      <w:r w:rsidR="00DF2F07" w:rsidRPr="007F4406">
        <w:rPr>
          <w:rFonts w:ascii="Geomanist Light" w:hAnsi="Geomanist Light" w:cs="Arial"/>
          <w:bCs/>
          <w:sz w:val="22"/>
        </w:rPr>
        <w:t>2001</w:t>
      </w:r>
      <w:r w:rsidR="00812C90" w:rsidRPr="007F4406">
        <w:rPr>
          <w:rFonts w:ascii="Geomanist Light" w:hAnsi="Geomanist Light" w:cs="Arial"/>
          <w:bCs/>
          <w:sz w:val="22"/>
        </w:rPr>
        <w:t xml:space="preserve">, dispuso que </w:t>
      </w:r>
      <w:r w:rsidR="00433BA4" w:rsidRPr="007F4406">
        <w:rPr>
          <w:rFonts w:ascii="Geomanist Light" w:hAnsi="Geomanist Light" w:cs="Arial"/>
          <w:bCs/>
          <w:sz w:val="22"/>
        </w:rPr>
        <w:t xml:space="preserve">los contratos celebrados </w:t>
      </w:r>
      <w:r w:rsidR="006F40B5" w:rsidRPr="007F4406">
        <w:rPr>
          <w:rFonts w:ascii="Geomanist Light" w:hAnsi="Geomanist Light" w:cs="Arial"/>
          <w:bCs/>
          <w:sz w:val="22"/>
        </w:rPr>
        <w:t xml:space="preserve">por las entidades prestadoras de servicios públicos no se regirían por las disposiciones contenidas en el Estatuto General de Contratación </w:t>
      </w:r>
      <w:r w:rsidR="002466FF" w:rsidRPr="007F4406">
        <w:rPr>
          <w:rFonts w:ascii="Geomanist Light" w:hAnsi="Geomanist Light" w:cs="Arial"/>
          <w:bCs/>
          <w:sz w:val="22"/>
        </w:rPr>
        <w:t>de la Administración Pública</w:t>
      </w:r>
      <w:r w:rsidR="00CA1D32" w:rsidRPr="007F4406">
        <w:rPr>
          <w:rFonts w:ascii="Geomanist Light" w:hAnsi="Geomanist Light" w:cs="Arial"/>
          <w:bCs/>
          <w:sz w:val="22"/>
        </w:rPr>
        <w:t>,</w:t>
      </w:r>
      <w:r w:rsidR="002466FF" w:rsidRPr="007F4406">
        <w:rPr>
          <w:rFonts w:ascii="Geomanist Light" w:hAnsi="Geomanist Light" w:cs="Arial"/>
          <w:bCs/>
          <w:sz w:val="22"/>
        </w:rPr>
        <w:t xml:space="preserve"> dicha norma estab</w:t>
      </w:r>
      <w:r w:rsidR="00D159C4" w:rsidRPr="007F4406">
        <w:rPr>
          <w:rFonts w:ascii="Geomanist Light" w:hAnsi="Geomanist Light" w:cs="Arial"/>
          <w:bCs/>
          <w:sz w:val="22"/>
        </w:rPr>
        <w:t>leció como exce</w:t>
      </w:r>
      <w:r w:rsidR="006B7DB0" w:rsidRPr="007F4406">
        <w:rPr>
          <w:rFonts w:ascii="Geomanist Light" w:hAnsi="Geomanist Light" w:cs="Arial"/>
          <w:bCs/>
          <w:sz w:val="22"/>
        </w:rPr>
        <w:t xml:space="preserve">pción a esta regla general, las situaciones en las que </w:t>
      </w:r>
      <w:r w:rsidR="00854A73" w:rsidRPr="007F4406">
        <w:rPr>
          <w:rFonts w:ascii="Geomanist Light" w:hAnsi="Geomanist Light" w:cs="Arial"/>
          <w:bCs/>
          <w:sz w:val="22"/>
        </w:rPr>
        <w:t>estas entidades deberán aplicar</w:t>
      </w:r>
      <w:r w:rsidR="00915DFD" w:rsidRPr="007F4406">
        <w:rPr>
          <w:rFonts w:ascii="Geomanist Light" w:hAnsi="Geomanist Light" w:cs="Arial"/>
          <w:bCs/>
          <w:sz w:val="22"/>
        </w:rPr>
        <w:t>lo</w:t>
      </w:r>
      <w:r w:rsidR="00106E3C" w:rsidRPr="007F4406">
        <w:rPr>
          <w:rFonts w:ascii="Geomanist Light" w:hAnsi="Geomanist Light" w:cs="Arial"/>
          <w:bCs/>
          <w:sz w:val="22"/>
        </w:rPr>
        <w:t>,</w:t>
      </w:r>
      <w:r w:rsidR="00915DFD" w:rsidRPr="007F4406">
        <w:rPr>
          <w:rFonts w:ascii="Geomanist Light" w:hAnsi="Geomanist Light" w:cs="Arial"/>
          <w:bCs/>
          <w:sz w:val="22"/>
        </w:rPr>
        <w:t xml:space="preserve"> </w:t>
      </w:r>
      <w:r w:rsidR="00106E3C" w:rsidRPr="007F4406">
        <w:rPr>
          <w:rFonts w:ascii="Geomanist Light" w:hAnsi="Geomanist Light" w:cs="Arial"/>
          <w:bCs/>
          <w:sz w:val="22"/>
        </w:rPr>
        <w:t>a</w:t>
      </w:r>
      <w:r w:rsidR="004E3161" w:rsidRPr="007F4406">
        <w:rPr>
          <w:rFonts w:ascii="Geomanist Light" w:hAnsi="Geomanist Light" w:cs="Arial"/>
          <w:bCs/>
          <w:sz w:val="22"/>
        </w:rPr>
        <w:t>sí</w:t>
      </w:r>
      <w:r w:rsidR="00854A73" w:rsidRPr="007F4406">
        <w:rPr>
          <w:rFonts w:ascii="Geomanist Light" w:hAnsi="Geomanist Light" w:cs="Arial"/>
          <w:bCs/>
          <w:sz w:val="22"/>
        </w:rPr>
        <w:t>:</w:t>
      </w:r>
    </w:p>
    <w:p w14:paraId="50B54D50" w14:textId="2DD2BE15" w:rsidR="00854A73" w:rsidRPr="007F4406" w:rsidRDefault="00854A73" w:rsidP="00854A73">
      <w:pPr>
        <w:spacing w:line="276" w:lineRule="auto"/>
        <w:jc w:val="both"/>
        <w:rPr>
          <w:rFonts w:ascii="Geomanist Light" w:hAnsi="Geomanist Light" w:cs="Arial"/>
          <w:bCs/>
          <w:sz w:val="22"/>
        </w:rPr>
      </w:pPr>
    </w:p>
    <w:p w14:paraId="08D2FFED" w14:textId="41C2C191" w:rsidR="00854A73" w:rsidRPr="007F4406" w:rsidRDefault="00854A73" w:rsidP="007F4406">
      <w:pPr>
        <w:ind w:left="709" w:right="709"/>
        <w:jc w:val="both"/>
        <w:rPr>
          <w:rFonts w:ascii="Geomanist Light" w:hAnsi="Geomanist Light" w:cs="Arial"/>
          <w:bCs/>
          <w:sz w:val="22"/>
        </w:rPr>
      </w:pPr>
      <w:r w:rsidRPr="007F4406">
        <w:rPr>
          <w:rFonts w:ascii="Geomanist Light" w:hAnsi="Geomanist Light" w:cs="Arial"/>
          <w:bCs/>
          <w:sz w:val="22"/>
        </w:rPr>
        <w:t>ARTÍCULO 31. RÉGIMEN DE LA CONT</w:t>
      </w:r>
      <w:r w:rsidR="00531BCD" w:rsidRPr="007F4406">
        <w:rPr>
          <w:rFonts w:ascii="Geomanist Light" w:hAnsi="Geomanist Light" w:cs="Arial"/>
          <w:bCs/>
          <w:sz w:val="22"/>
        </w:rPr>
        <w:t>RATACIÓN.</w:t>
      </w:r>
      <w:r w:rsidR="00720F24" w:rsidRPr="007F4406">
        <w:rPr>
          <w:rFonts w:ascii="Geomanist Light" w:hAnsi="Geomanist Light" w:cs="Arial"/>
          <w:bCs/>
          <w:sz w:val="22"/>
        </w:rPr>
        <w:t xml:space="preserve"> </w:t>
      </w:r>
    </w:p>
    <w:p w14:paraId="31B0CBAB" w14:textId="4FD8B762" w:rsidR="004D77C8" w:rsidRPr="007F4406" w:rsidRDefault="00B169C2" w:rsidP="007F4406">
      <w:pPr>
        <w:ind w:left="709" w:right="709"/>
        <w:jc w:val="both"/>
        <w:rPr>
          <w:rFonts w:ascii="Geomanist Light" w:hAnsi="Geomanist Light" w:cs="Arial"/>
          <w:bCs/>
          <w:sz w:val="22"/>
        </w:rPr>
      </w:pPr>
      <w:r w:rsidRPr="007F4406">
        <w:rPr>
          <w:rFonts w:ascii="Geomanist Light" w:hAnsi="Geomanist Light" w:cs="Arial"/>
          <w:bCs/>
          <w:sz w:val="22"/>
        </w:rPr>
        <w:t>[…]</w:t>
      </w:r>
    </w:p>
    <w:p w14:paraId="2C99697F" w14:textId="4C2A6F5C" w:rsidR="004D77C8" w:rsidRPr="007F4406" w:rsidRDefault="004E3256" w:rsidP="007F4406">
      <w:pPr>
        <w:ind w:left="709" w:right="709"/>
        <w:jc w:val="both"/>
        <w:rPr>
          <w:rFonts w:ascii="Geomanist Light" w:hAnsi="Geomanist Light" w:cs="Arial"/>
          <w:bCs/>
          <w:sz w:val="22"/>
        </w:rPr>
      </w:pPr>
      <w:r w:rsidRPr="007F4406">
        <w:rPr>
          <w:rFonts w:ascii="Geomanist Light" w:hAnsi="Geomanist Light" w:cs="Arial"/>
          <w:bCs/>
          <w:sz w:val="22"/>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w:t>
      </w:r>
      <w:r w:rsidRPr="00BC27BF">
        <w:rPr>
          <w:rFonts w:ascii="Geomanist Light" w:hAnsi="Geomanist Light" w:cs="Arial"/>
          <w:b/>
          <w:i/>
          <w:iCs/>
          <w:sz w:val="22"/>
        </w:rPr>
        <w:t>Cuando la inclusión sea forzosa, todo lo relativo a tales cláusulas se regirá, en cuanto sea pertinente, por lo dispuesto en la Ley 80 de 1993,</w:t>
      </w:r>
      <w:r w:rsidRPr="007F4406">
        <w:rPr>
          <w:rFonts w:ascii="Geomanist Light" w:hAnsi="Geomanist Light" w:cs="Arial"/>
          <w:bCs/>
          <w:sz w:val="22"/>
        </w:rPr>
        <w:t xml:space="preserve">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w:t>
      </w:r>
      <w:r w:rsidRPr="007F4406">
        <w:rPr>
          <w:rFonts w:ascii="Geomanist Light" w:hAnsi="Geomanist Light" w:cs="Arial"/>
          <w:bCs/>
          <w:sz w:val="22"/>
        </w:rPr>
        <w:lastRenderedPageBreak/>
        <w:t>la inclusión de las cláusulas excepcionales en los respectivos contratos, transcurrido este término operará el silencio administrativo positivo.</w:t>
      </w:r>
      <w:r w:rsidR="00B169C2" w:rsidRPr="007F4406">
        <w:rPr>
          <w:rFonts w:ascii="Geomanist Light" w:hAnsi="Geomanist Light" w:cs="Arial"/>
          <w:bCs/>
          <w:sz w:val="22"/>
        </w:rPr>
        <w:t xml:space="preserve"> [</w:t>
      </w:r>
      <w:r w:rsidR="00BC27BF">
        <w:rPr>
          <w:rFonts w:ascii="Geomanist Light" w:hAnsi="Geomanist Light" w:cs="Arial"/>
          <w:bCs/>
          <w:sz w:val="22"/>
        </w:rPr>
        <w:t xml:space="preserve">Énfasis </w:t>
      </w:r>
      <w:r w:rsidR="00B169C2" w:rsidRPr="007F4406">
        <w:rPr>
          <w:rFonts w:ascii="Geomanist Light" w:hAnsi="Geomanist Light" w:cs="Arial"/>
          <w:bCs/>
          <w:sz w:val="22"/>
        </w:rPr>
        <w:t>fuera de texto]</w:t>
      </w:r>
    </w:p>
    <w:p w14:paraId="7048C3DE" w14:textId="14839EC8" w:rsidR="00CF6072" w:rsidRPr="007F4406" w:rsidRDefault="00CF6072" w:rsidP="007F4406">
      <w:pPr>
        <w:ind w:left="709" w:right="709"/>
        <w:jc w:val="both"/>
        <w:rPr>
          <w:rFonts w:ascii="Geomanist Light" w:hAnsi="Geomanist Light" w:cs="Arial"/>
          <w:bCs/>
          <w:sz w:val="22"/>
        </w:rPr>
      </w:pPr>
      <w:r w:rsidRPr="007F4406">
        <w:rPr>
          <w:rFonts w:ascii="Geomanist Light" w:hAnsi="Geomanist Light" w:cs="Arial"/>
          <w:bCs/>
          <w:sz w:val="22"/>
        </w:rPr>
        <w:t>[…]</w:t>
      </w:r>
    </w:p>
    <w:p w14:paraId="50A6E602" w14:textId="24C74ACA" w:rsidR="00854A73" w:rsidRPr="007F4406" w:rsidRDefault="00854A73" w:rsidP="00854A73">
      <w:pPr>
        <w:spacing w:line="276" w:lineRule="auto"/>
        <w:jc w:val="both"/>
        <w:rPr>
          <w:rFonts w:ascii="Geomanist Light" w:hAnsi="Geomanist Light" w:cs="Arial"/>
          <w:bCs/>
          <w:sz w:val="22"/>
        </w:rPr>
      </w:pPr>
    </w:p>
    <w:p w14:paraId="20479165" w14:textId="31D7BD90" w:rsidR="003E3686" w:rsidRPr="007F4406" w:rsidRDefault="00076CE8" w:rsidP="007F4406">
      <w:pPr>
        <w:spacing w:after="120" w:line="276" w:lineRule="auto"/>
        <w:ind w:firstLine="709"/>
        <w:jc w:val="both"/>
        <w:rPr>
          <w:rFonts w:ascii="Geomanist Light" w:hAnsi="Geomanist Light" w:cs="Arial"/>
          <w:bCs/>
          <w:sz w:val="22"/>
        </w:rPr>
      </w:pPr>
      <w:r w:rsidRPr="007F4406">
        <w:rPr>
          <w:rFonts w:ascii="Geomanist Light" w:hAnsi="Geomanist Light" w:cs="Arial"/>
          <w:bCs/>
          <w:sz w:val="22"/>
        </w:rPr>
        <w:t>De lo anterior se colige</w:t>
      </w:r>
      <w:r w:rsidR="00F521E6" w:rsidRPr="007F4406">
        <w:rPr>
          <w:rFonts w:ascii="Geomanist Light" w:hAnsi="Geomanist Light" w:cs="Arial"/>
          <w:bCs/>
          <w:sz w:val="22"/>
        </w:rPr>
        <w:t xml:space="preserve">, </w:t>
      </w:r>
      <w:bookmarkStart w:id="4" w:name="_Hlk120625815"/>
      <w:r w:rsidR="00F521E6" w:rsidRPr="007F4406">
        <w:rPr>
          <w:rFonts w:ascii="Geomanist Light" w:hAnsi="Geomanist Light" w:cs="Arial"/>
          <w:bCs/>
          <w:sz w:val="22"/>
        </w:rPr>
        <w:t xml:space="preserve">que </w:t>
      </w:r>
      <w:r w:rsidR="003F2C0A" w:rsidRPr="007F4406">
        <w:rPr>
          <w:rFonts w:ascii="Geomanist Light" w:hAnsi="Geomanist Light" w:cs="Arial"/>
          <w:bCs/>
          <w:sz w:val="22"/>
        </w:rPr>
        <w:t>a pesar de</w:t>
      </w:r>
      <w:r w:rsidR="00F521E6" w:rsidRPr="007F4406">
        <w:rPr>
          <w:rFonts w:ascii="Geomanist Light" w:hAnsi="Geomanist Light" w:cs="Arial"/>
          <w:bCs/>
          <w:sz w:val="22"/>
        </w:rPr>
        <w:t xml:space="preserve"> que las </w:t>
      </w:r>
      <w:r w:rsidR="008A367B" w:rsidRPr="007F4406">
        <w:rPr>
          <w:rFonts w:ascii="Geomanist Light" w:hAnsi="Geomanist Light" w:cs="Arial"/>
          <w:bCs/>
          <w:sz w:val="22"/>
        </w:rPr>
        <w:t>e</w:t>
      </w:r>
      <w:r w:rsidR="00F521E6" w:rsidRPr="007F4406">
        <w:rPr>
          <w:rFonts w:ascii="Geomanist Light" w:hAnsi="Geomanist Light" w:cs="Arial"/>
          <w:bCs/>
          <w:sz w:val="22"/>
        </w:rPr>
        <w:t xml:space="preserve">mpresas </w:t>
      </w:r>
      <w:r w:rsidR="008A367B" w:rsidRPr="007F4406">
        <w:rPr>
          <w:rFonts w:ascii="Geomanist Light" w:hAnsi="Geomanist Light" w:cs="Arial"/>
          <w:bCs/>
          <w:sz w:val="22"/>
        </w:rPr>
        <w:t>p</w:t>
      </w:r>
      <w:r w:rsidR="00F521E6" w:rsidRPr="007F4406">
        <w:rPr>
          <w:rFonts w:ascii="Geomanist Light" w:hAnsi="Geomanist Light" w:cs="Arial"/>
          <w:bCs/>
          <w:sz w:val="22"/>
        </w:rPr>
        <w:t xml:space="preserve">restadoras de </w:t>
      </w:r>
      <w:r w:rsidR="008A367B" w:rsidRPr="007F4406">
        <w:rPr>
          <w:rFonts w:ascii="Geomanist Light" w:hAnsi="Geomanist Light" w:cs="Arial"/>
          <w:bCs/>
          <w:sz w:val="22"/>
        </w:rPr>
        <w:t>s</w:t>
      </w:r>
      <w:r w:rsidR="00F521E6" w:rsidRPr="007F4406">
        <w:rPr>
          <w:rFonts w:ascii="Geomanist Light" w:hAnsi="Geomanist Light" w:cs="Arial"/>
          <w:bCs/>
          <w:sz w:val="22"/>
        </w:rPr>
        <w:t xml:space="preserve">ervicios </w:t>
      </w:r>
      <w:r w:rsidR="008A367B" w:rsidRPr="007F4406">
        <w:rPr>
          <w:rFonts w:ascii="Geomanist Light" w:hAnsi="Geomanist Light" w:cs="Arial"/>
          <w:bCs/>
          <w:sz w:val="22"/>
        </w:rPr>
        <w:t>p</w:t>
      </w:r>
      <w:r w:rsidR="00F521E6" w:rsidRPr="007F4406">
        <w:rPr>
          <w:rFonts w:ascii="Geomanist Light" w:hAnsi="Geomanist Light" w:cs="Arial"/>
          <w:bCs/>
          <w:sz w:val="22"/>
        </w:rPr>
        <w:t xml:space="preserve">úblicos </w:t>
      </w:r>
      <w:r w:rsidR="00DC4ACA" w:rsidRPr="007F4406">
        <w:rPr>
          <w:rFonts w:ascii="Geomanist Light" w:hAnsi="Geomanist Light" w:cs="Arial"/>
          <w:bCs/>
          <w:sz w:val="22"/>
        </w:rPr>
        <w:t xml:space="preserve">domiciliarios </w:t>
      </w:r>
      <w:r w:rsidR="00F521E6" w:rsidRPr="007F4406">
        <w:rPr>
          <w:rFonts w:ascii="Geomanist Light" w:hAnsi="Geomanist Light" w:cs="Arial"/>
          <w:bCs/>
          <w:sz w:val="22"/>
        </w:rPr>
        <w:t>en lo concerniente a sus actividades contractuales</w:t>
      </w:r>
      <w:r w:rsidR="00CA1D32" w:rsidRPr="007F4406">
        <w:rPr>
          <w:rFonts w:ascii="Geomanist Light" w:hAnsi="Geomanist Light" w:cs="Arial"/>
          <w:bCs/>
          <w:sz w:val="22"/>
        </w:rPr>
        <w:t>,</w:t>
      </w:r>
      <w:r w:rsidR="00F521E6" w:rsidRPr="007F4406">
        <w:rPr>
          <w:rFonts w:ascii="Geomanist Light" w:hAnsi="Geomanist Light" w:cs="Arial"/>
          <w:bCs/>
          <w:sz w:val="22"/>
        </w:rPr>
        <w:t xml:space="preserve"> por regla general</w:t>
      </w:r>
      <w:r w:rsidR="00CA1D32" w:rsidRPr="007F4406">
        <w:rPr>
          <w:rFonts w:ascii="Geomanist Light" w:hAnsi="Geomanist Light" w:cs="Arial"/>
          <w:bCs/>
          <w:sz w:val="22"/>
        </w:rPr>
        <w:t>,</w:t>
      </w:r>
      <w:r w:rsidR="00F521E6" w:rsidRPr="007F4406">
        <w:rPr>
          <w:rFonts w:ascii="Geomanist Light" w:hAnsi="Geomanist Light" w:cs="Arial"/>
          <w:bCs/>
          <w:sz w:val="22"/>
        </w:rPr>
        <w:t xml:space="preserve"> </w:t>
      </w:r>
      <w:r w:rsidR="00BC6F6B" w:rsidRPr="007F4406">
        <w:rPr>
          <w:rFonts w:ascii="Geomanist Light" w:hAnsi="Geomanist Light" w:cs="Arial"/>
          <w:bCs/>
          <w:sz w:val="22"/>
        </w:rPr>
        <w:t>se rigen por</w:t>
      </w:r>
      <w:r w:rsidR="00F521E6" w:rsidRPr="007F4406">
        <w:rPr>
          <w:rFonts w:ascii="Geomanist Light" w:hAnsi="Geomanist Light" w:cs="Arial"/>
          <w:bCs/>
          <w:sz w:val="22"/>
        </w:rPr>
        <w:t xml:space="preserve"> lo dispuesto en l</w:t>
      </w:r>
      <w:r w:rsidR="00DC4ACA" w:rsidRPr="007F4406">
        <w:rPr>
          <w:rFonts w:ascii="Geomanist Light" w:hAnsi="Geomanist Light" w:cs="Arial"/>
          <w:bCs/>
          <w:sz w:val="22"/>
        </w:rPr>
        <w:t>as normas de</w:t>
      </w:r>
      <w:r w:rsidR="0088472B" w:rsidRPr="007F4406">
        <w:rPr>
          <w:rFonts w:ascii="Geomanist Light" w:hAnsi="Geomanist Light" w:cs="Arial"/>
          <w:bCs/>
          <w:sz w:val="22"/>
        </w:rPr>
        <w:t>l</w:t>
      </w:r>
      <w:r w:rsidR="00DC4ACA" w:rsidRPr="007F4406">
        <w:rPr>
          <w:rFonts w:ascii="Geomanist Light" w:hAnsi="Geomanist Light" w:cs="Arial"/>
          <w:bCs/>
          <w:sz w:val="22"/>
        </w:rPr>
        <w:t xml:space="preserve"> derecho privado, </w:t>
      </w:r>
      <w:r w:rsidR="006806B3" w:rsidRPr="007F4406">
        <w:rPr>
          <w:rFonts w:ascii="Geomanist Light" w:hAnsi="Geomanist Light" w:cs="Arial"/>
          <w:bCs/>
          <w:sz w:val="22"/>
        </w:rPr>
        <w:t xml:space="preserve">en casos </w:t>
      </w:r>
      <w:r w:rsidR="00FB5AAF" w:rsidRPr="007F4406">
        <w:rPr>
          <w:rFonts w:ascii="Geomanist Light" w:hAnsi="Geomanist Light" w:cs="Arial"/>
          <w:bCs/>
          <w:sz w:val="22"/>
        </w:rPr>
        <w:t>en los que</w:t>
      </w:r>
      <w:r w:rsidR="006806B3" w:rsidRPr="007F4406">
        <w:rPr>
          <w:rFonts w:ascii="Geomanist Light" w:hAnsi="Geomanist Light" w:cs="Arial"/>
          <w:bCs/>
          <w:sz w:val="22"/>
        </w:rPr>
        <w:t xml:space="preserve"> </w:t>
      </w:r>
      <w:r w:rsidR="00FB5AAF" w:rsidRPr="007F4406">
        <w:rPr>
          <w:rFonts w:ascii="Geomanist Light" w:hAnsi="Geomanist Light" w:cs="Arial"/>
          <w:bCs/>
          <w:sz w:val="22"/>
        </w:rPr>
        <w:t>se establezcan</w:t>
      </w:r>
      <w:r w:rsidR="006806B3" w:rsidRPr="007F4406">
        <w:rPr>
          <w:rFonts w:ascii="Geomanist Light" w:hAnsi="Geomanist Light" w:cs="Arial"/>
          <w:bCs/>
          <w:sz w:val="22"/>
        </w:rPr>
        <w:t xml:space="preserve"> cláusulas excepcionales</w:t>
      </w:r>
      <w:r w:rsidR="002A30B9" w:rsidRPr="007F4406">
        <w:rPr>
          <w:rFonts w:ascii="Geomanist Light" w:hAnsi="Geomanist Light" w:cs="Arial"/>
          <w:bCs/>
          <w:sz w:val="22"/>
        </w:rPr>
        <w:t xml:space="preserve"> en sus contratos</w:t>
      </w:r>
      <w:r w:rsidR="00FB5AAF" w:rsidRPr="007F4406">
        <w:rPr>
          <w:rFonts w:ascii="Geomanist Light" w:hAnsi="Geomanist Light" w:cs="Arial"/>
          <w:bCs/>
          <w:sz w:val="22"/>
        </w:rPr>
        <w:t>,</w:t>
      </w:r>
      <w:r w:rsidR="002A30B9" w:rsidRPr="007F4406">
        <w:rPr>
          <w:rFonts w:ascii="Geomanist Light" w:hAnsi="Geomanist Light" w:cs="Arial"/>
          <w:bCs/>
          <w:sz w:val="22"/>
        </w:rPr>
        <w:t xml:space="preserve"> bien sea por mandat</w:t>
      </w:r>
      <w:r w:rsidR="00711666" w:rsidRPr="007F4406">
        <w:rPr>
          <w:rFonts w:ascii="Geomanist Light" w:hAnsi="Geomanist Light" w:cs="Arial"/>
          <w:bCs/>
          <w:sz w:val="22"/>
        </w:rPr>
        <w:t xml:space="preserve">o de las Comisiones de Regulación o por solicitud </w:t>
      </w:r>
      <w:r w:rsidR="00FE1E74" w:rsidRPr="007F4406">
        <w:rPr>
          <w:rFonts w:ascii="Geomanist Light" w:hAnsi="Geomanist Light" w:cs="Arial"/>
          <w:bCs/>
          <w:sz w:val="22"/>
        </w:rPr>
        <w:t>de dichas empresas, deberán someterse a lo dispuesto en el Estatuto General de Contratación de la Administración Pública</w:t>
      </w:r>
      <w:r w:rsidR="002D2A0B" w:rsidRPr="007F4406">
        <w:rPr>
          <w:rFonts w:ascii="Geomanist Light" w:hAnsi="Geomanist Light" w:cs="Arial"/>
          <w:bCs/>
          <w:sz w:val="22"/>
        </w:rPr>
        <w:t xml:space="preserve"> –</w:t>
      </w:r>
      <w:r w:rsidR="00FE1E74" w:rsidRPr="007F4406">
        <w:rPr>
          <w:rFonts w:ascii="Geomanist Light" w:hAnsi="Geomanist Light" w:cs="Arial"/>
          <w:bCs/>
          <w:sz w:val="22"/>
        </w:rPr>
        <w:t>Ley 80 de 1993</w:t>
      </w:r>
      <w:r w:rsidR="002D2A0B" w:rsidRPr="007F4406">
        <w:rPr>
          <w:rFonts w:ascii="Geomanist Light" w:hAnsi="Geomanist Light" w:cs="Arial"/>
          <w:bCs/>
          <w:sz w:val="22"/>
        </w:rPr>
        <w:t>–</w:t>
      </w:r>
      <w:r w:rsidR="00FE1E74" w:rsidRPr="007F4406">
        <w:rPr>
          <w:rFonts w:ascii="Geomanist Light" w:hAnsi="Geomanist Light" w:cs="Arial"/>
          <w:bCs/>
          <w:sz w:val="22"/>
        </w:rPr>
        <w:t>,</w:t>
      </w:r>
      <w:r w:rsidR="002D2A0B" w:rsidRPr="007F4406">
        <w:rPr>
          <w:rFonts w:ascii="Geomanist Light" w:hAnsi="Geomanist Light" w:cs="Arial"/>
          <w:bCs/>
          <w:sz w:val="22"/>
        </w:rPr>
        <w:t xml:space="preserve"> la</w:t>
      </w:r>
      <w:r w:rsidR="00FE1E74" w:rsidRPr="007F4406">
        <w:rPr>
          <w:rFonts w:ascii="Geomanist Light" w:hAnsi="Geomanist Light" w:cs="Arial"/>
          <w:bCs/>
          <w:sz w:val="22"/>
        </w:rPr>
        <w:t xml:space="preserve"> Ley 1150 de </w:t>
      </w:r>
      <w:r w:rsidR="002F4925" w:rsidRPr="007F4406">
        <w:rPr>
          <w:rFonts w:ascii="Geomanist Light" w:hAnsi="Geomanist Light" w:cs="Arial"/>
          <w:bCs/>
          <w:sz w:val="22"/>
        </w:rPr>
        <w:t xml:space="preserve">2007 y </w:t>
      </w:r>
      <w:r w:rsidR="007B7EA0" w:rsidRPr="007F4406">
        <w:rPr>
          <w:rFonts w:ascii="Geomanist Light" w:hAnsi="Geomanist Light" w:cs="Arial"/>
          <w:bCs/>
          <w:sz w:val="22"/>
        </w:rPr>
        <w:t xml:space="preserve">demás </w:t>
      </w:r>
      <w:r w:rsidR="002F4925" w:rsidRPr="007F4406">
        <w:rPr>
          <w:rFonts w:ascii="Geomanist Light" w:hAnsi="Geomanist Light" w:cs="Arial"/>
          <w:bCs/>
          <w:sz w:val="22"/>
        </w:rPr>
        <w:t>normas complementarias</w:t>
      </w:r>
      <w:r w:rsidR="00AD468E" w:rsidRPr="007F4406">
        <w:rPr>
          <w:rFonts w:ascii="Geomanist Light" w:hAnsi="Geomanist Light" w:cs="Arial"/>
          <w:bCs/>
          <w:sz w:val="22"/>
        </w:rPr>
        <w:t xml:space="preserve">, así como en las situaciones en las </w:t>
      </w:r>
      <w:r w:rsidR="002F4925" w:rsidRPr="007F4406">
        <w:rPr>
          <w:rFonts w:ascii="Geomanist Light" w:hAnsi="Geomanist Light" w:cs="Arial"/>
          <w:bCs/>
          <w:sz w:val="22"/>
        </w:rPr>
        <w:t xml:space="preserve">que la Ley 142 de 1994 </w:t>
      </w:r>
      <w:r w:rsidR="00AD468E" w:rsidRPr="007F4406">
        <w:rPr>
          <w:rFonts w:ascii="Geomanist Light" w:hAnsi="Geomanist Light" w:cs="Arial"/>
          <w:bCs/>
          <w:sz w:val="22"/>
        </w:rPr>
        <w:t>u otras leyes especiales lo dispongan.</w:t>
      </w:r>
    </w:p>
    <w:p w14:paraId="6C196656" w14:textId="7C7F72DC" w:rsidR="002014BC" w:rsidRPr="007F4406" w:rsidRDefault="007B7EA0" w:rsidP="0083647A">
      <w:pPr>
        <w:spacing w:before="120" w:line="276" w:lineRule="auto"/>
        <w:ind w:firstLine="709"/>
        <w:contextualSpacing/>
        <w:jc w:val="both"/>
        <w:rPr>
          <w:rFonts w:ascii="Geomanist Light" w:hAnsi="Geomanist Light" w:cs="Arial"/>
          <w:bCs/>
          <w:sz w:val="22"/>
        </w:rPr>
      </w:pPr>
      <w:r w:rsidRPr="007F4406">
        <w:rPr>
          <w:rFonts w:ascii="Geomanist Light" w:hAnsi="Geomanist Light" w:cs="Arial"/>
          <w:bCs/>
          <w:sz w:val="22"/>
        </w:rPr>
        <w:t>En lo que respecta a</w:t>
      </w:r>
      <w:r w:rsidR="002014BC" w:rsidRPr="007F4406">
        <w:rPr>
          <w:rFonts w:ascii="Geomanist Light" w:hAnsi="Geomanist Light" w:cs="Arial"/>
          <w:bCs/>
          <w:sz w:val="22"/>
        </w:rPr>
        <w:t xml:space="preserve"> la existencia de «topes legales» que determinen las circunstancias en las que las empresas prestadoras de servicios públicos domiciliarios deban contratar bajo la modalidad de</w:t>
      </w:r>
      <w:r w:rsidR="00BF4FCC" w:rsidRPr="007F4406">
        <w:rPr>
          <w:rFonts w:ascii="Geomanist Light" w:hAnsi="Geomanist Light" w:cs="Arial"/>
          <w:bCs/>
          <w:sz w:val="22"/>
        </w:rPr>
        <w:t xml:space="preserve"> selección</w:t>
      </w:r>
      <w:r w:rsidR="002014BC" w:rsidRPr="007F4406">
        <w:rPr>
          <w:rFonts w:ascii="Geomanist Light" w:hAnsi="Geomanist Light" w:cs="Arial"/>
          <w:bCs/>
          <w:sz w:val="22"/>
        </w:rPr>
        <w:t xml:space="preserve"> licitación pública,</w:t>
      </w:r>
      <w:r w:rsidR="0083647A" w:rsidRPr="007F4406">
        <w:rPr>
          <w:rFonts w:ascii="Geomanist Light" w:hAnsi="Geomanist Light" w:cs="Arial"/>
          <w:bCs/>
          <w:sz w:val="22"/>
        </w:rPr>
        <w:t xml:space="preserve"> a la cual hace alusión en su consulta,</w:t>
      </w:r>
      <w:r w:rsidR="002014BC" w:rsidRPr="007F4406">
        <w:rPr>
          <w:rFonts w:ascii="Geomanist Light" w:hAnsi="Geomanist Light" w:cs="Arial"/>
          <w:bCs/>
          <w:sz w:val="22"/>
        </w:rPr>
        <w:t xml:space="preserve"> no se observa en la </w:t>
      </w:r>
      <w:r w:rsidRPr="007F4406">
        <w:rPr>
          <w:rFonts w:ascii="Geomanist Light" w:hAnsi="Geomanist Light" w:cs="Arial"/>
          <w:bCs/>
          <w:sz w:val="22"/>
        </w:rPr>
        <w:t>Ley</w:t>
      </w:r>
      <w:r w:rsidR="002014BC" w:rsidRPr="007F4406">
        <w:rPr>
          <w:rFonts w:ascii="Geomanist Light" w:hAnsi="Geomanist Light" w:cs="Arial"/>
          <w:bCs/>
          <w:sz w:val="22"/>
        </w:rPr>
        <w:t xml:space="preserve"> 142 de 1994,</w:t>
      </w:r>
      <w:r w:rsidRPr="007F4406">
        <w:rPr>
          <w:rFonts w:ascii="Geomanist Light" w:hAnsi="Geomanist Light" w:cs="Arial"/>
          <w:bCs/>
          <w:sz w:val="22"/>
        </w:rPr>
        <w:t xml:space="preserve"> Ley</w:t>
      </w:r>
      <w:r w:rsidR="002014BC" w:rsidRPr="007F4406">
        <w:rPr>
          <w:rFonts w:ascii="Geomanist Light" w:hAnsi="Geomanist Light" w:cs="Arial"/>
          <w:bCs/>
          <w:sz w:val="22"/>
        </w:rPr>
        <w:t xml:space="preserve"> 689 de 2001, </w:t>
      </w:r>
      <w:r w:rsidRPr="007F4406">
        <w:rPr>
          <w:rFonts w:ascii="Geomanist Light" w:hAnsi="Geomanist Light" w:cs="Arial"/>
          <w:bCs/>
          <w:sz w:val="22"/>
        </w:rPr>
        <w:t xml:space="preserve">Ley </w:t>
      </w:r>
      <w:r w:rsidR="002014BC" w:rsidRPr="007F4406">
        <w:rPr>
          <w:rFonts w:ascii="Geomanist Light" w:hAnsi="Geomanist Light" w:cs="Arial"/>
          <w:bCs/>
          <w:sz w:val="22"/>
        </w:rPr>
        <w:t>80 de 1993 y</w:t>
      </w:r>
      <w:r w:rsidRPr="007F4406">
        <w:rPr>
          <w:rFonts w:ascii="Geomanist Light" w:hAnsi="Geomanist Light" w:cs="Arial"/>
          <w:bCs/>
          <w:sz w:val="22"/>
        </w:rPr>
        <w:t xml:space="preserve"> Ley</w:t>
      </w:r>
      <w:r w:rsidR="002014BC" w:rsidRPr="007F4406">
        <w:rPr>
          <w:rFonts w:ascii="Geomanist Light" w:hAnsi="Geomanist Light" w:cs="Arial"/>
          <w:bCs/>
          <w:sz w:val="22"/>
        </w:rPr>
        <w:t xml:space="preserve"> 1150 de 2007, disposición que establezca cuantía alguna para que estas entidades regidas por el derecho privado deban adelantar sus contrataciones mediante licitación pública o en aplicación del Estatuto General de Contratación de la Administración Pública</w:t>
      </w:r>
      <w:r w:rsidR="00BF4FCC" w:rsidRPr="007F4406">
        <w:rPr>
          <w:rFonts w:ascii="Geomanist Light" w:hAnsi="Geomanist Light" w:cs="Arial"/>
          <w:bCs/>
          <w:sz w:val="22"/>
        </w:rPr>
        <w:t xml:space="preserve"> –Ley 80 de 1993–</w:t>
      </w:r>
      <w:r w:rsidR="002014BC" w:rsidRPr="007F4406">
        <w:rPr>
          <w:rFonts w:ascii="Geomanist Light" w:hAnsi="Geomanist Light" w:cs="Arial"/>
          <w:bCs/>
          <w:sz w:val="22"/>
        </w:rPr>
        <w:t>.</w:t>
      </w:r>
      <w:r w:rsidR="00BF4FCC" w:rsidRPr="007F4406">
        <w:rPr>
          <w:rFonts w:ascii="Geomanist Light" w:hAnsi="Geomanist Light" w:cs="Arial"/>
          <w:bCs/>
          <w:sz w:val="22"/>
        </w:rPr>
        <w:t xml:space="preserve"> </w:t>
      </w:r>
      <w:r w:rsidR="002014BC" w:rsidRPr="007F4406">
        <w:rPr>
          <w:rFonts w:ascii="Geomanist Light" w:hAnsi="Geomanist Light" w:cs="Arial"/>
          <w:bCs/>
          <w:sz w:val="22"/>
        </w:rPr>
        <w:t xml:space="preserve">Sin embargo, resulta </w:t>
      </w:r>
      <w:r w:rsidR="0083647A" w:rsidRPr="007F4406">
        <w:rPr>
          <w:rFonts w:ascii="Geomanist Light" w:hAnsi="Geomanist Light" w:cs="Arial"/>
          <w:bCs/>
          <w:sz w:val="22"/>
        </w:rPr>
        <w:t>pertinente</w:t>
      </w:r>
      <w:r w:rsidR="002014BC" w:rsidRPr="007F4406">
        <w:rPr>
          <w:rFonts w:ascii="Geomanist Light" w:hAnsi="Geomanist Light" w:cs="Arial"/>
          <w:bCs/>
          <w:sz w:val="22"/>
        </w:rPr>
        <w:t xml:space="preserve"> señalar que la Ley 142 de 1994 en su artículo 35</w:t>
      </w:r>
      <w:bookmarkEnd w:id="4"/>
      <w:r w:rsidR="002014BC" w:rsidRPr="007F4406">
        <w:rPr>
          <w:rFonts w:ascii="Geomanist Light" w:hAnsi="Geomanist Light" w:cs="Arial"/>
          <w:bCs/>
          <w:sz w:val="22"/>
        </w:rPr>
        <w:t xml:space="preserve"> dispuso:</w:t>
      </w:r>
    </w:p>
    <w:p w14:paraId="189CFCDF" w14:textId="77777777" w:rsidR="0083647A" w:rsidRPr="007F4406" w:rsidRDefault="0083647A" w:rsidP="007F4406">
      <w:pPr>
        <w:spacing w:before="120" w:line="276" w:lineRule="auto"/>
        <w:ind w:firstLine="709"/>
        <w:contextualSpacing/>
        <w:jc w:val="both"/>
        <w:rPr>
          <w:rFonts w:ascii="Geomanist Light" w:hAnsi="Geomanist Light" w:cs="Arial"/>
          <w:bCs/>
          <w:sz w:val="22"/>
        </w:rPr>
      </w:pPr>
    </w:p>
    <w:p w14:paraId="0E6FF25E" w14:textId="57E35DA3" w:rsidR="00A03785" w:rsidRPr="007F4406" w:rsidRDefault="00BF4FCC" w:rsidP="007F4406">
      <w:pPr>
        <w:spacing w:line="276" w:lineRule="auto"/>
        <w:ind w:left="709" w:right="709"/>
        <w:jc w:val="both"/>
        <w:rPr>
          <w:rFonts w:ascii="Geomanist Light" w:hAnsi="Geomanist Light" w:cs="Arial"/>
          <w:bCs/>
          <w:sz w:val="22"/>
        </w:rPr>
      </w:pPr>
      <w:r w:rsidRPr="007F4406">
        <w:rPr>
          <w:rFonts w:ascii="Geomanist Light" w:hAnsi="Geomanist Light" w:cs="Arial"/>
          <w:bCs/>
          <w:sz w:val="22"/>
        </w:rPr>
        <w:t xml:space="preserve">ARTÍULO 35. </w:t>
      </w:r>
      <w:r w:rsidR="002014BC" w:rsidRPr="007F4406">
        <w:rPr>
          <w:rFonts w:ascii="Geomanist Light" w:hAnsi="Geomanist Light" w:cs="Arial"/>
          <w:bCs/>
          <w:sz w:val="22"/>
        </w:rPr>
        <w:t>D</w:t>
      </w:r>
      <w:r w:rsidR="00074693" w:rsidRPr="007F4406">
        <w:rPr>
          <w:rFonts w:ascii="Geomanist Light" w:hAnsi="Geomanist Light" w:cs="Arial"/>
          <w:bCs/>
          <w:sz w:val="22"/>
        </w:rPr>
        <w:t>E</w:t>
      </w:r>
      <w:r w:rsidR="002014BC" w:rsidRPr="007F4406">
        <w:rPr>
          <w:rFonts w:ascii="Geomanist Light" w:hAnsi="Geomanist Light" w:cs="Arial"/>
          <w:bCs/>
          <w:sz w:val="22"/>
        </w:rPr>
        <w:t>BER DE BUSCAR ENTRE LO PÚBLICO LAS MEJORES CONDICIONES OBJETIVAS. Las empresas de servicios públicos que tengan posición dominante en un mercado, y cuya principal actividad sea la distribución de bienes o servicios provistos por terceros, tendrán que adquirir el bien o servicio que distribuyan por medio de procedimientos que aseguren posibilidad de concurrencia a los eventuales contratistas, en igualdad de condiciones. En estos casos, y en los de otros contratos de las empresas, las comisiones de regulación podrán exigir, por vía general, que se celebren previa licitación pública, o por medio de otros procedimientos que estimulen la concurrencia de oferentes. [</w:t>
      </w:r>
      <w:r w:rsidR="0083647A" w:rsidRPr="007F4406">
        <w:rPr>
          <w:rFonts w:ascii="Geomanist Light" w:hAnsi="Geomanist Light" w:cs="Arial"/>
          <w:bCs/>
          <w:sz w:val="22"/>
        </w:rPr>
        <w:t>Énfasis</w:t>
      </w:r>
      <w:r w:rsidRPr="007F4406">
        <w:rPr>
          <w:rFonts w:ascii="Geomanist Light" w:hAnsi="Geomanist Light" w:cs="Arial"/>
          <w:bCs/>
          <w:sz w:val="22"/>
        </w:rPr>
        <w:t xml:space="preserve"> </w:t>
      </w:r>
      <w:r w:rsidR="002014BC" w:rsidRPr="007F4406">
        <w:rPr>
          <w:rFonts w:ascii="Geomanist Light" w:hAnsi="Geomanist Light" w:cs="Arial"/>
          <w:bCs/>
          <w:sz w:val="22"/>
        </w:rPr>
        <w:t>fuera de texto]</w:t>
      </w:r>
    </w:p>
    <w:p w14:paraId="1B486516" w14:textId="77777777" w:rsidR="00385AC8" w:rsidRPr="007F4406" w:rsidRDefault="00385AC8" w:rsidP="00385AC8">
      <w:pPr>
        <w:spacing w:line="276" w:lineRule="auto"/>
        <w:ind w:right="709"/>
        <w:jc w:val="both"/>
        <w:rPr>
          <w:rFonts w:ascii="Geomanist Light" w:hAnsi="Geomanist Light" w:cs="Arial"/>
          <w:bCs/>
          <w:sz w:val="22"/>
        </w:rPr>
      </w:pPr>
    </w:p>
    <w:p w14:paraId="24248730" w14:textId="6623CE17" w:rsidR="00E5279C" w:rsidRPr="007F4406" w:rsidRDefault="0083647A" w:rsidP="007F4406">
      <w:pPr>
        <w:spacing w:line="276" w:lineRule="auto"/>
        <w:ind w:firstLine="709"/>
        <w:jc w:val="both"/>
        <w:rPr>
          <w:rFonts w:ascii="Geomanist Light" w:hAnsi="Geomanist Light" w:cs="Arial"/>
          <w:bCs/>
          <w:sz w:val="22"/>
        </w:rPr>
      </w:pPr>
      <w:bookmarkStart w:id="5" w:name="_Hlk120625823"/>
      <w:r w:rsidRPr="007F4406">
        <w:rPr>
          <w:rFonts w:ascii="Geomanist Light" w:hAnsi="Geomanist Light" w:cs="Arial"/>
          <w:bCs/>
          <w:sz w:val="22"/>
        </w:rPr>
        <w:t>Del artículo citado</w:t>
      </w:r>
      <w:r w:rsidR="00E5279C" w:rsidRPr="007F4406">
        <w:rPr>
          <w:rFonts w:ascii="Geomanist Light" w:hAnsi="Geomanist Light" w:cs="Arial"/>
          <w:bCs/>
          <w:sz w:val="22"/>
        </w:rPr>
        <w:t xml:space="preserve">, </w:t>
      </w:r>
      <w:r w:rsidRPr="007F4406">
        <w:rPr>
          <w:rFonts w:ascii="Geomanist Light" w:hAnsi="Geomanist Light" w:cs="Arial"/>
          <w:bCs/>
          <w:sz w:val="22"/>
        </w:rPr>
        <w:t xml:space="preserve">es posible </w:t>
      </w:r>
      <w:r w:rsidR="00E5279C" w:rsidRPr="007F4406">
        <w:rPr>
          <w:rFonts w:ascii="Geomanist Light" w:hAnsi="Geomanist Light" w:cs="Arial"/>
          <w:bCs/>
          <w:sz w:val="22"/>
        </w:rPr>
        <w:t xml:space="preserve">concluir que </w:t>
      </w:r>
      <w:r w:rsidR="009C3341" w:rsidRPr="007F4406">
        <w:rPr>
          <w:rFonts w:ascii="Geomanist Light" w:hAnsi="Geomanist Light" w:cs="Arial"/>
          <w:bCs/>
          <w:sz w:val="22"/>
        </w:rPr>
        <w:t xml:space="preserve">el Legislador </w:t>
      </w:r>
      <w:r w:rsidR="00E5279C" w:rsidRPr="007F4406">
        <w:rPr>
          <w:rFonts w:ascii="Geomanist Light" w:hAnsi="Geomanist Light" w:cs="Arial"/>
          <w:bCs/>
          <w:sz w:val="22"/>
        </w:rPr>
        <w:t xml:space="preserve">determinó una situación particular en la que las empresas de servicios públicos deban adelantar sus procesos de contratación mediante la modalidad de </w:t>
      </w:r>
      <w:r w:rsidR="00BF4FCC" w:rsidRPr="007F4406">
        <w:rPr>
          <w:rFonts w:ascii="Geomanist Light" w:hAnsi="Geomanist Light" w:cs="Arial"/>
          <w:bCs/>
          <w:sz w:val="22"/>
        </w:rPr>
        <w:t xml:space="preserve">selección </w:t>
      </w:r>
      <w:r w:rsidR="00074693" w:rsidRPr="007F4406">
        <w:rPr>
          <w:rFonts w:ascii="Geomanist Light" w:hAnsi="Geomanist Light" w:cs="Arial"/>
          <w:bCs/>
          <w:sz w:val="22"/>
        </w:rPr>
        <w:t>por</w:t>
      </w:r>
      <w:r w:rsidR="00BF4FCC" w:rsidRPr="007F4406">
        <w:rPr>
          <w:rFonts w:ascii="Geomanist Light" w:hAnsi="Geomanist Light" w:cs="Arial"/>
          <w:bCs/>
          <w:sz w:val="22"/>
        </w:rPr>
        <w:t xml:space="preserve"> </w:t>
      </w:r>
      <w:r w:rsidR="00E5279C" w:rsidRPr="007F4406">
        <w:rPr>
          <w:rFonts w:ascii="Geomanist Light" w:hAnsi="Geomanist Light" w:cs="Arial"/>
          <w:bCs/>
          <w:sz w:val="22"/>
        </w:rPr>
        <w:t xml:space="preserve">licitación pública </w:t>
      </w:r>
      <w:r w:rsidR="00256DFE" w:rsidRPr="007F4406">
        <w:rPr>
          <w:rFonts w:ascii="Geomanist Light" w:hAnsi="Geomanist Light" w:cs="Arial"/>
          <w:bCs/>
          <w:sz w:val="22"/>
        </w:rPr>
        <w:t>prevista</w:t>
      </w:r>
      <w:r w:rsidR="00E5279C" w:rsidRPr="007F4406">
        <w:rPr>
          <w:rFonts w:ascii="Geomanist Light" w:hAnsi="Geomanist Light" w:cs="Arial"/>
          <w:bCs/>
          <w:sz w:val="22"/>
        </w:rPr>
        <w:t xml:space="preserve"> en el</w:t>
      </w:r>
      <w:r w:rsidR="00C36558" w:rsidRPr="007F4406">
        <w:rPr>
          <w:rFonts w:ascii="Geomanist Light" w:hAnsi="Geomanist Light" w:cs="Arial"/>
          <w:bCs/>
          <w:sz w:val="22"/>
        </w:rPr>
        <w:t xml:space="preserve"> numeral </w:t>
      </w:r>
      <w:r w:rsidR="00C36558" w:rsidRPr="007F4406">
        <w:rPr>
          <w:rFonts w:ascii="Geomanist Light" w:hAnsi="Geomanist Light" w:cs="Arial"/>
          <w:bCs/>
          <w:sz w:val="22"/>
        </w:rPr>
        <w:lastRenderedPageBreak/>
        <w:t>1 del</w:t>
      </w:r>
      <w:r w:rsidR="00E5279C" w:rsidRPr="007F4406">
        <w:rPr>
          <w:rFonts w:ascii="Geomanist Light" w:hAnsi="Geomanist Light" w:cs="Arial"/>
          <w:bCs/>
          <w:sz w:val="22"/>
        </w:rPr>
        <w:t xml:space="preserve"> artículo 2 de la Ley 1150 de 2007</w:t>
      </w:r>
      <w:r w:rsidR="00256DFE" w:rsidRPr="007F4406">
        <w:rPr>
          <w:rFonts w:ascii="Geomanist Light" w:hAnsi="Geomanist Light" w:cs="Arial"/>
          <w:bCs/>
          <w:sz w:val="22"/>
        </w:rPr>
        <w:t xml:space="preserve"> o a través de cualquier otro procedimiento que estimule la concurrencia de oferentes</w:t>
      </w:r>
      <w:r w:rsidR="00E5279C" w:rsidRPr="007F4406">
        <w:rPr>
          <w:rFonts w:ascii="Geomanist Light" w:hAnsi="Geomanist Light" w:cs="Arial"/>
          <w:bCs/>
          <w:sz w:val="22"/>
        </w:rPr>
        <w:t xml:space="preserve">. </w:t>
      </w:r>
    </w:p>
    <w:bookmarkEnd w:id="5"/>
    <w:p w14:paraId="4E519F98" w14:textId="77777777" w:rsidR="00B017D5" w:rsidRPr="007F4406" w:rsidRDefault="00B017D5" w:rsidP="00DC4ACA">
      <w:pPr>
        <w:spacing w:line="276" w:lineRule="auto"/>
        <w:ind w:firstLine="708"/>
        <w:contextualSpacing/>
        <w:jc w:val="both"/>
        <w:rPr>
          <w:rFonts w:ascii="Geomanist Light" w:hAnsi="Geomanist Light" w:cs="Arial"/>
          <w:bCs/>
          <w:sz w:val="22"/>
        </w:rPr>
      </w:pPr>
    </w:p>
    <w:p w14:paraId="55F0721B" w14:textId="127B2149" w:rsidR="00C031E0" w:rsidRPr="00887E88" w:rsidRDefault="00D55E3D" w:rsidP="00BD2F69">
      <w:pPr>
        <w:spacing w:line="276" w:lineRule="auto"/>
        <w:contextualSpacing/>
        <w:jc w:val="both"/>
        <w:rPr>
          <w:rFonts w:ascii="Geomanist Light" w:hAnsi="Geomanist Light" w:cs="Arial"/>
          <w:b/>
          <w:sz w:val="22"/>
        </w:rPr>
      </w:pPr>
      <w:r w:rsidRPr="00887E88">
        <w:rPr>
          <w:rFonts w:ascii="Geomanist Light" w:hAnsi="Geomanist Light" w:cs="Arial"/>
          <w:b/>
          <w:sz w:val="22"/>
        </w:rPr>
        <w:t xml:space="preserve">2.3. </w:t>
      </w:r>
      <w:r w:rsidR="00256DFE" w:rsidRPr="00887E88">
        <w:rPr>
          <w:rFonts w:ascii="Geomanist Light" w:hAnsi="Geomanist Light" w:cs="Arial"/>
          <w:b/>
          <w:sz w:val="22"/>
        </w:rPr>
        <w:t>Deber de las entidades estatales, exceptuadas del Estatuto General de Contratación de la Administración Pública, de publicar los documentos relacionados con su actividad contractual en el SECOP II. Modificación introducida por el artículo 53 de la Ley 2195 de 2022</w:t>
      </w:r>
    </w:p>
    <w:p w14:paraId="63A16586" w14:textId="6AA1F71A" w:rsidR="00775FB2" w:rsidRPr="007F4406" w:rsidRDefault="00775FB2" w:rsidP="00BD2F69">
      <w:pPr>
        <w:spacing w:line="276" w:lineRule="auto"/>
        <w:contextualSpacing/>
        <w:jc w:val="both"/>
        <w:rPr>
          <w:rFonts w:ascii="Geomanist Light" w:hAnsi="Geomanist Light" w:cs="Arial"/>
          <w:bCs/>
          <w:sz w:val="22"/>
        </w:rPr>
      </w:pPr>
    </w:p>
    <w:p w14:paraId="710E333F" w14:textId="3AB5D498" w:rsidR="005A75AF" w:rsidRPr="007F4406" w:rsidRDefault="005A75AF" w:rsidP="007F4406">
      <w:pPr>
        <w:spacing w:after="120" w:line="276" w:lineRule="auto"/>
        <w:jc w:val="both"/>
        <w:rPr>
          <w:rFonts w:ascii="Geomanist Light" w:hAnsi="Geomanist Light" w:cs="Arial"/>
          <w:bCs/>
          <w:sz w:val="22"/>
        </w:rPr>
      </w:pPr>
      <w:r w:rsidRPr="007F4406">
        <w:rPr>
          <w:rFonts w:ascii="Geomanist Light" w:hAnsi="Geomanist Light" w:cs="Arial"/>
          <w:bCs/>
          <w:sz w:val="22"/>
        </w:rPr>
        <w:t>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7F4406">
        <w:rPr>
          <w:rFonts w:ascii="Geomanist Light" w:hAnsi="Geomanist Light" w:cs="Arial"/>
          <w:bCs/>
          <w:sz w:val="22"/>
        </w:rPr>
        <w:footnoteReference w:id="12"/>
      </w:r>
      <w:r w:rsidRPr="007F4406">
        <w:rPr>
          <w:rFonts w:ascii="Geomanist Light" w:hAnsi="Geomanist Light" w:cs="Arial"/>
          <w:bCs/>
          <w:sz w:val="22"/>
        </w:rPr>
        <w:t xml:space="preserve">. El secreto generalizado en el ejercicio del poder político constituye, por el contrario, una negación de la democracia, porque dificulta la supervisión de las autoridades </w:t>
      </w:r>
      <w:r w:rsidR="00074693" w:rsidRPr="007F4406">
        <w:rPr>
          <w:rFonts w:ascii="Geomanist Light" w:hAnsi="Geomanist Light" w:cs="Arial"/>
          <w:bCs/>
          <w:sz w:val="22"/>
        </w:rPr>
        <w:t>y</w:t>
      </w:r>
      <w:r w:rsidRPr="007F4406">
        <w:rPr>
          <w:rFonts w:ascii="Geomanist Light" w:hAnsi="Geomanist Light" w:cs="Arial"/>
          <w:bCs/>
          <w:sz w:val="22"/>
        </w:rPr>
        <w:t xml:space="preserve"> de la sociedad civil y establece una barrera para la participación ciudadana. </w:t>
      </w:r>
    </w:p>
    <w:p w14:paraId="48D0FA69" w14:textId="77777777" w:rsidR="005A75AF" w:rsidRPr="007F4406" w:rsidRDefault="005A75AF" w:rsidP="005A75AF">
      <w:pPr>
        <w:spacing w:line="276" w:lineRule="auto"/>
        <w:ind w:firstLine="709"/>
        <w:jc w:val="both"/>
        <w:rPr>
          <w:rFonts w:ascii="Geomanist Light" w:hAnsi="Geomanist Light" w:cs="Arial"/>
          <w:bCs/>
          <w:sz w:val="22"/>
        </w:rPr>
      </w:pPr>
      <w:r w:rsidRPr="007F4406">
        <w:rPr>
          <w:rFonts w:ascii="Geomanist Light" w:hAnsi="Geomanist Light" w:cs="Arial"/>
          <w:bCs/>
          <w:sz w:val="22"/>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1423782C" w14:textId="77777777" w:rsidR="005A75AF" w:rsidRPr="007F4406" w:rsidRDefault="005A75AF" w:rsidP="005A75AF">
      <w:pPr>
        <w:spacing w:line="276" w:lineRule="auto"/>
        <w:ind w:firstLine="709"/>
        <w:jc w:val="both"/>
        <w:rPr>
          <w:rFonts w:ascii="Geomanist Light" w:hAnsi="Geomanist Light" w:cs="Arial"/>
          <w:bCs/>
          <w:sz w:val="22"/>
        </w:rPr>
      </w:pPr>
    </w:p>
    <w:p w14:paraId="2FC5E449" w14:textId="77777777" w:rsidR="005A75AF" w:rsidRPr="007F4406" w:rsidRDefault="005A75AF" w:rsidP="005A75AF">
      <w:pPr>
        <w:tabs>
          <w:tab w:val="left" w:pos="3885"/>
        </w:tabs>
        <w:spacing w:line="259" w:lineRule="auto"/>
        <w:ind w:left="709" w:right="709"/>
        <w:jc w:val="both"/>
        <w:rPr>
          <w:rFonts w:ascii="Geomanist Light" w:hAnsi="Geomanist Light" w:cs="Arial"/>
          <w:bCs/>
          <w:sz w:val="22"/>
        </w:rPr>
      </w:pPr>
      <m:oMath>
        <m:r>
          <m:rPr>
            <m:sty m:val="p"/>
          </m:rPr>
          <w:rPr>
            <w:rFonts w:ascii="Cambria Math" w:hAnsi="Cambria Math" w:cs="Arial"/>
            <w:sz w:val="22"/>
          </w:rPr>
          <m:t>«</m:t>
        </m:r>
      </m:oMath>
      <w:r w:rsidRPr="007F4406">
        <w:rPr>
          <w:rFonts w:ascii="Geomanist Light" w:hAnsi="Geomanist Light" w:cs="Arial"/>
          <w:bCs/>
          <w:sz w:val="22"/>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5D3961E" w14:textId="77777777" w:rsidR="005A75AF" w:rsidRPr="007F4406" w:rsidRDefault="005A75AF" w:rsidP="005A75AF">
      <w:pPr>
        <w:tabs>
          <w:tab w:val="left" w:pos="3885"/>
        </w:tabs>
        <w:spacing w:line="259" w:lineRule="auto"/>
        <w:ind w:left="709" w:right="709"/>
        <w:jc w:val="both"/>
        <w:rPr>
          <w:rFonts w:ascii="Geomanist Light" w:hAnsi="Geomanist Light" w:cs="Arial"/>
          <w:bCs/>
          <w:sz w:val="22"/>
        </w:rPr>
      </w:pPr>
    </w:p>
    <w:p w14:paraId="3132CF52" w14:textId="77777777" w:rsidR="005A75AF" w:rsidRPr="007F4406" w:rsidRDefault="005A75AF" w:rsidP="005A75AF">
      <w:pPr>
        <w:tabs>
          <w:tab w:val="left" w:pos="3885"/>
          <w:tab w:val="left" w:pos="8222"/>
        </w:tabs>
        <w:spacing w:line="259" w:lineRule="auto"/>
        <w:ind w:left="709" w:right="709"/>
        <w:jc w:val="both"/>
        <w:rPr>
          <w:rFonts w:ascii="Geomanist Light" w:hAnsi="Geomanist Light" w:cs="Arial"/>
          <w:bCs/>
          <w:sz w:val="22"/>
        </w:rPr>
      </w:pPr>
      <w:r w:rsidRPr="007F4406">
        <w:rPr>
          <w:rFonts w:ascii="Geomanist Light" w:hAnsi="Geomanist Light" w:cs="Arial"/>
          <w:bCs/>
          <w:sz w:val="22"/>
        </w:rPr>
        <w:t xml:space="preserve">La primera de ellas, como el derecho que tienen las personas directamente involucradas, al conocimiento de las actuaciones judiciales y administrativas, la cual se concreta a través de los mecanismos de comunicación y la segunda, </w:t>
      </w:r>
      <w:r w:rsidRPr="007F4406">
        <w:rPr>
          <w:rFonts w:ascii="Geomanist Light" w:hAnsi="Geomanist Light" w:cs="Arial"/>
          <w:bCs/>
          <w:sz w:val="22"/>
        </w:rPr>
        <w:lastRenderedPageBreak/>
        <w:t>como el reconocimiento del derecho que tiene la comunidad de conocer las actuaciones de las autoridades públicas y, a través de ese conocimiento, a exigir que ellas se surtan conforme a la ley</w:t>
      </w:r>
      <w:r w:rsidRPr="007F4406">
        <w:rPr>
          <w:rFonts w:ascii="Geomanist Light" w:hAnsi="Geomanist Light" w:cs="Arial"/>
          <w:bCs/>
          <w:sz w:val="22"/>
        </w:rPr>
        <w:footnoteReference w:id="13"/>
      </w:r>
      <w:r w:rsidRPr="007F4406">
        <w:rPr>
          <w:rFonts w:ascii="Geomanist Light" w:hAnsi="Geomanist Light" w:cs="Arial"/>
          <w:bCs/>
          <w:sz w:val="22"/>
        </w:rPr>
        <w:t>.»</w:t>
      </w:r>
    </w:p>
    <w:p w14:paraId="0348964C" w14:textId="77777777" w:rsidR="00256DFE" w:rsidRPr="007F4406" w:rsidRDefault="00256DFE" w:rsidP="00256DFE">
      <w:pPr>
        <w:spacing w:line="276" w:lineRule="auto"/>
        <w:ind w:firstLine="709"/>
        <w:jc w:val="both"/>
        <w:rPr>
          <w:rFonts w:ascii="Geomanist Light" w:hAnsi="Geomanist Light" w:cs="Arial"/>
          <w:bCs/>
          <w:sz w:val="22"/>
        </w:rPr>
      </w:pPr>
    </w:p>
    <w:p w14:paraId="4210BD18" w14:textId="35865F2E" w:rsidR="005A75AF" w:rsidRPr="007F4406" w:rsidRDefault="005A75AF" w:rsidP="007F4406">
      <w:pPr>
        <w:spacing w:after="120" w:line="276" w:lineRule="auto"/>
        <w:ind w:firstLine="709"/>
        <w:jc w:val="both"/>
        <w:rPr>
          <w:rFonts w:ascii="Geomanist Light" w:hAnsi="Geomanist Light" w:cs="Arial"/>
          <w:bCs/>
          <w:sz w:val="22"/>
        </w:rPr>
      </w:pPr>
      <w:r w:rsidRPr="007F4406">
        <w:rPr>
          <w:rFonts w:ascii="Geomanist Light" w:hAnsi="Geomanist Light" w:cs="Arial"/>
          <w:bCs/>
          <w:sz w:val="22"/>
        </w:rPr>
        <w:t xml:space="preserve">El principio de publicidad impone a las autoridades el deber de dar a conocer sus actos, contratos y decisiones, para que se divulguen y eventualmente se controlen dichas actuaciones. Es por eso que, en </w:t>
      </w:r>
      <w:r w:rsidR="00256DFE" w:rsidRPr="007F4406">
        <w:rPr>
          <w:rFonts w:ascii="Geomanist Light" w:hAnsi="Geomanist Light" w:cs="Arial"/>
          <w:bCs/>
          <w:sz w:val="22"/>
        </w:rPr>
        <w:t xml:space="preserve">materia de </w:t>
      </w:r>
      <w:r w:rsidRPr="007F4406">
        <w:rPr>
          <w:rFonts w:ascii="Geomanist Light" w:hAnsi="Geomanist Light" w:cs="Arial"/>
          <w:bCs/>
          <w:sz w:val="22"/>
        </w:rPr>
        <w:t>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7F4406">
        <w:rPr>
          <w:rFonts w:ascii="Geomanist Light" w:hAnsi="Geomanist Light" w:cs="Arial"/>
          <w:bCs/>
          <w:sz w:val="22"/>
        </w:rPr>
        <w:footnoteReference w:id="14"/>
      </w:r>
      <w:r w:rsidRPr="007F4406">
        <w:rPr>
          <w:rFonts w:ascii="Geomanist Light" w:hAnsi="Geomanist Light" w:cs="Arial"/>
          <w:bCs/>
          <w:sz w:val="22"/>
        </w:rPr>
        <w:t xml:space="preserve">. </w:t>
      </w:r>
    </w:p>
    <w:p w14:paraId="36B4A9D3" w14:textId="7118F96E" w:rsidR="00256DFE" w:rsidRPr="007F4406" w:rsidRDefault="00256DFE" w:rsidP="007F4406">
      <w:pPr>
        <w:pStyle w:val="Textoindependiente"/>
        <w:ind w:firstLine="708"/>
        <w:jc w:val="both"/>
        <w:rPr>
          <w:rFonts w:ascii="Geomanist Light" w:eastAsiaTheme="minorHAnsi" w:hAnsi="Geomanist Light" w:cs="Arial"/>
          <w:bCs/>
          <w:lang w:val="es-MX" w:eastAsia="en-US"/>
        </w:rPr>
      </w:pPr>
      <w:r w:rsidRPr="007F4406">
        <w:rPr>
          <w:rFonts w:ascii="Geomanist Light" w:eastAsiaTheme="minorHAnsi" w:hAnsi="Geomanist Light" w:cs="Arial"/>
          <w:bCs/>
          <w:lang w:val="es-MX" w:eastAsia="en-US"/>
        </w:rPr>
        <w:t>L</w:t>
      </w:r>
      <w:r w:rsidR="005A75AF" w:rsidRPr="007F4406">
        <w:rPr>
          <w:rFonts w:ascii="Geomanist Light" w:eastAsiaTheme="minorHAnsi" w:hAnsi="Geomanist Light" w:cs="Arial"/>
          <w:bCs/>
          <w:lang w:val="es-MX" w:eastAsia="en-US"/>
        </w:rPr>
        <w:t>a Ley 1712 de 2014 –</w:t>
      </w:r>
      <w:r w:rsidRPr="007F4406">
        <w:rPr>
          <w:rFonts w:ascii="Geomanist Light" w:eastAsiaTheme="minorHAnsi" w:hAnsi="Geomanist Light" w:cs="Arial"/>
          <w:bCs/>
          <w:lang w:val="es-MX" w:eastAsia="en-US"/>
        </w:rPr>
        <w:t xml:space="preserve"> Ley de Transparencia y del Derecho de Acceso a la Información Pública Nacional y se dictan otras disposiciones</w:t>
      </w:r>
      <w:r w:rsidRPr="007F4406" w:rsidDel="00256DFE">
        <w:rPr>
          <w:rFonts w:ascii="Geomanist Light" w:eastAsiaTheme="minorHAnsi" w:hAnsi="Geomanist Light" w:cs="Arial"/>
          <w:bCs/>
          <w:lang w:val="es-MX" w:eastAsia="en-US"/>
        </w:rPr>
        <w:t xml:space="preserve"> </w:t>
      </w:r>
      <w:r w:rsidR="005A75AF" w:rsidRPr="007F4406">
        <w:rPr>
          <w:rFonts w:ascii="Geomanist Light" w:eastAsiaTheme="minorHAnsi" w:hAnsi="Geomanist Light" w:cs="Arial"/>
          <w:bCs/>
          <w:lang w:val="es-MX" w:eastAsia="en-US"/>
        </w:rPr>
        <w:t xml:space="preserve">–, identifica como principios que orientan el derecho de acceso a la información pública, el </w:t>
      </w:r>
      <w:r w:rsidRPr="007F4406">
        <w:rPr>
          <w:rFonts w:ascii="Geomanist Light" w:eastAsiaTheme="minorHAnsi" w:hAnsi="Geomanist Light" w:cs="Arial"/>
          <w:bCs/>
          <w:lang w:val="es-MX" w:eastAsia="en-US"/>
        </w:rPr>
        <w:t xml:space="preserve">principio </w:t>
      </w:r>
      <w:r w:rsidR="005A75AF" w:rsidRPr="007F4406">
        <w:rPr>
          <w:rFonts w:ascii="Geomanist Light" w:eastAsiaTheme="minorHAnsi" w:hAnsi="Geomanist Light" w:cs="Arial"/>
          <w:bCs/>
          <w:lang w:val="es-MX" w:eastAsia="en-US"/>
        </w:rPr>
        <w:t xml:space="preserve">de máxima publicidad, </w:t>
      </w:r>
      <w:r w:rsidRPr="007F4406">
        <w:rPr>
          <w:rFonts w:ascii="Geomanist Light" w:eastAsiaTheme="minorHAnsi" w:hAnsi="Geomanist Light" w:cs="Arial"/>
          <w:bCs/>
          <w:lang w:val="es-MX" w:eastAsia="en-US"/>
        </w:rPr>
        <w:t xml:space="preserve">el principio de </w:t>
      </w:r>
      <w:r w:rsidR="005A75AF" w:rsidRPr="007F4406">
        <w:rPr>
          <w:rFonts w:ascii="Geomanist Light" w:eastAsiaTheme="minorHAnsi" w:hAnsi="Geomanist Light" w:cs="Arial"/>
          <w:bCs/>
          <w:lang w:val="es-MX" w:eastAsia="en-US"/>
        </w:rPr>
        <w:t xml:space="preserve">transparencia en la información y </w:t>
      </w:r>
      <w:r w:rsidRPr="007F4406">
        <w:rPr>
          <w:rFonts w:ascii="Geomanist Light" w:eastAsiaTheme="minorHAnsi" w:hAnsi="Geomanist Light" w:cs="Arial"/>
          <w:bCs/>
          <w:lang w:val="es-MX" w:eastAsia="en-US"/>
        </w:rPr>
        <w:t xml:space="preserve">el principio de </w:t>
      </w:r>
      <w:r w:rsidR="005A75AF" w:rsidRPr="007F4406">
        <w:rPr>
          <w:rFonts w:ascii="Geomanist Light" w:eastAsiaTheme="minorHAnsi" w:hAnsi="Geomanist Light" w:cs="Arial"/>
          <w:bCs/>
          <w:lang w:val="es-MX" w:eastAsia="en-US"/>
        </w:rPr>
        <w:t>buena fe. El principio de máxima publicidad establece que «toda información en posesión, bajo control o custodia de un sujeto obligado es pública y no podrá ser reservada o limitada sino por disposición constitucional o legal»</w:t>
      </w:r>
      <w:r w:rsidR="005A75AF" w:rsidRPr="007F4406">
        <w:rPr>
          <w:rFonts w:ascii="Geomanist Light" w:eastAsiaTheme="minorHAnsi" w:hAnsi="Geomanist Light" w:cs="Arial"/>
          <w:bCs/>
          <w:lang w:val="es-MX" w:eastAsia="en-US"/>
        </w:rPr>
        <w:footnoteReference w:id="15"/>
      </w:r>
      <w:r w:rsidR="005A75AF" w:rsidRPr="007F4406">
        <w:rPr>
          <w:rFonts w:ascii="Geomanist Light" w:eastAsiaTheme="minorHAnsi" w:hAnsi="Geomanist Light" w:cs="Arial"/>
          <w:bCs/>
          <w:lang w:val="es-MX" w:eastAsia="en-US"/>
        </w:rPr>
        <w:t xml:space="preserve">. El principio de transparencia en la información alude al deber de los sujetos de </w:t>
      </w:r>
      <w:r w:rsidR="005A75AF" w:rsidRPr="007F4406">
        <w:rPr>
          <w:rFonts w:ascii="Geomanist Light" w:eastAsiaTheme="minorHAnsi" w:hAnsi="Geomanist Light" w:cs="Arial"/>
          <w:bCs/>
          <w:lang w:val="es-MX" w:eastAsia="en-US"/>
        </w:rPr>
        <w:lastRenderedPageBreak/>
        <w:t xml:space="preserve">proporcionar y facilitar el acceso a la misma en los términos más amplios posibles, a través de los medios y procedimientos legales. </w:t>
      </w:r>
      <w:r w:rsidRPr="007F4406">
        <w:rPr>
          <w:rFonts w:ascii="Geomanist Light" w:eastAsiaTheme="minorHAnsi" w:hAnsi="Geomanist Light" w:cs="Arial"/>
          <w:bCs/>
          <w:lang w:val="es-MX" w:eastAsia="en-US"/>
        </w:rPr>
        <w:t>Y el principio de buena fe hace referencia al deber de todo sujeto obligado de cumplir con las obligaciones derivadas del derecho de acceso a la información pública con motivación honesta, leal y desprovista de cualquier intención dolosa o culposa</w:t>
      </w:r>
      <w:r w:rsidRPr="007F4406">
        <w:rPr>
          <w:rFonts w:ascii="Geomanist Light" w:eastAsiaTheme="minorHAnsi" w:hAnsi="Geomanist Light" w:cs="Arial"/>
          <w:bCs/>
          <w:lang w:val="es-MX" w:eastAsia="en-US"/>
        </w:rPr>
        <w:footnoteReference w:id="16"/>
      </w:r>
      <w:r w:rsidRPr="007F4406">
        <w:rPr>
          <w:rFonts w:ascii="Geomanist Light" w:eastAsiaTheme="minorHAnsi" w:hAnsi="Geomanist Light" w:cs="Arial"/>
          <w:bCs/>
          <w:lang w:val="es-MX" w:eastAsia="en-US"/>
        </w:rPr>
        <w:t xml:space="preserve">. </w:t>
      </w:r>
    </w:p>
    <w:p w14:paraId="1A98C08C" w14:textId="77777777" w:rsidR="007C77C7" w:rsidRPr="007F4406" w:rsidRDefault="007C77C7" w:rsidP="007C77C7">
      <w:pPr>
        <w:pStyle w:val="Textoindependiente"/>
        <w:ind w:firstLine="708"/>
        <w:jc w:val="both"/>
        <w:rPr>
          <w:rFonts w:ascii="Geomanist Light" w:eastAsiaTheme="minorHAnsi" w:hAnsi="Geomanist Light" w:cs="Arial"/>
          <w:bCs/>
          <w:lang w:val="es-MX" w:eastAsia="en-US"/>
        </w:rPr>
      </w:pPr>
      <w:r w:rsidRPr="007F4406">
        <w:rPr>
          <w:rFonts w:ascii="Geomanist Light" w:eastAsiaTheme="minorHAnsi" w:hAnsi="Geomanist Light" w:cs="Arial"/>
          <w:bCs/>
          <w:lang w:val="es-MX" w:eastAsia="en-US"/>
        </w:rPr>
        <w:t xml:space="preserve">La citada Ley establece, </w:t>
      </w:r>
      <w:bookmarkStart w:id="6" w:name="_Hlk112225357"/>
      <w:r w:rsidRPr="007F4406">
        <w:rPr>
          <w:rFonts w:ascii="Geomanist Light" w:eastAsiaTheme="minorHAnsi" w:hAnsi="Geomanist Light" w:cs="Arial"/>
          <w:bCs/>
          <w:lang w:val="es-MX" w:eastAsia="en-US"/>
        </w:rPr>
        <w:t>en el literal e) del artículo 9, que los sujetos obligados deben publicar la información relativa a su contratación. El artículo 5 ibidem,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w:t>
      </w:r>
      <w:bookmarkEnd w:id="6"/>
      <w:r w:rsidRPr="007F4406">
        <w:rPr>
          <w:rFonts w:ascii="Geomanist Light" w:eastAsiaTheme="minorHAnsi" w:hAnsi="Geomanist Light" w:cs="Arial"/>
          <w:bCs/>
          <w:lang w:val="es-MX" w:eastAsia="en-US"/>
        </w:rPr>
        <w:footnoteReference w:id="17"/>
      </w:r>
      <w:r w:rsidRPr="007F4406">
        <w:rPr>
          <w:rFonts w:ascii="Geomanist Light" w:eastAsiaTheme="minorHAnsi" w:hAnsi="Geomanist Light" w:cs="Arial"/>
          <w:bCs/>
          <w:lang w:val="es-MX" w:eastAsia="en-US"/>
        </w:rPr>
        <w:t xml:space="preserve">. </w:t>
      </w:r>
    </w:p>
    <w:p w14:paraId="1D286078" w14:textId="7419DEFB" w:rsidR="005A75AF" w:rsidRPr="007F4406" w:rsidRDefault="005A75AF" w:rsidP="005A75AF">
      <w:pPr>
        <w:spacing w:after="120" w:line="276" w:lineRule="auto"/>
        <w:ind w:firstLine="709"/>
        <w:jc w:val="both"/>
        <w:rPr>
          <w:rFonts w:ascii="Geomanist Light" w:hAnsi="Geomanist Light" w:cs="Arial"/>
          <w:bCs/>
          <w:sz w:val="22"/>
        </w:rPr>
      </w:pPr>
      <w:r w:rsidRPr="007F4406">
        <w:rPr>
          <w:rFonts w:ascii="Geomanist Light" w:hAnsi="Geomanist Light" w:cs="Arial"/>
          <w:bCs/>
          <w:sz w:val="22"/>
        </w:rPr>
        <w:t xml:space="preserve">Esta obligación fue desarrollada por el </w:t>
      </w:r>
      <w:r w:rsidR="007C77C7" w:rsidRPr="007F4406">
        <w:rPr>
          <w:rFonts w:ascii="Geomanist Light" w:hAnsi="Geomanist Light" w:cs="Arial"/>
          <w:bCs/>
          <w:sz w:val="22"/>
        </w:rPr>
        <w:t xml:space="preserve">artículo 2.1.1.2.1.7. del </w:t>
      </w:r>
      <w:r w:rsidRPr="007F4406">
        <w:rPr>
          <w:rFonts w:ascii="Geomanist Light" w:hAnsi="Geomanist Light" w:cs="Arial"/>
          <w:bCs/>
          <w:sz w:val="22"/>
        </w:rPr>
        <w:t>Decreto Único Reglamentario 1081 de 2015</w:t>
      </w:r>
      <w:r w:rsidRPr="007F4406">
        <w:rPr>
          <w:rFonts w:ascii="Geomanist Light" w:hAnsi="Geomanist Light" w:cs="Arial"/>
          <w:bCs/>
          <w:sz w:val="22"/>
        </w:rPr>
        <w:footnoteReference w:id="18"/>
      </w:r>
      <w:r w:rsidRPr="007F4406">
        <w:rPr>
          <w:rFonts w:ascii="Geomanist Light" w:hAnsi="Geomanist Light" w:cs="Arial"/>
          <w:bCs/>
          <w:sz w:val="22"/>
        </w:rPr>
        <w:t>, el cual dispuso que la publicación de la información contractual de los sujetos obligados, que contratan con cargo a recursos públicos, debe hacerse en el Sistema Electrónico para la Contratación Pública ─</w:t>
      </w:r>
      <w:r w:rsidRPr="007F4406">
        <w:rPr>
          <w:rFonts w:ascii="Geomanist Light" w:hAnsi="Geomanist Light" w:cs="Arial"/>
          <w:bCs/>
          <w:sz w:val="22"/>
        </w:rPr>
        <w:softHyphen/>
        <w:t xml:space="preserve"> </w:t>
      </w:r>
      <w:r w:rsidRPr="007F4406">
        <w:rPr>
          <w:rFonts w:ascii="Geomanist Light" w:hAnsi="Geomanist Light" w:cs="Arial"/>
          <w:bCs/>
          <w:sz w:val="22"/>
        </w:rPr>
        <w:softHyphen/>
        <w:t>SECOP–</w:t>
      </w:r>
    </w:p>
    <w:p w14:paraId="3109AE3E" w14:textId="32FB6B49" w:rsidR="005A75AF" w:rsidRPr="007F4406" w:rsidRDefault="005A75AF" w:rsidP="005A75AF">
      <w:pPr>
        <w:spacing w:after="120" w:line="276" w:lineRule="auto"/>
        <w:ind w:firstLine="709"/>
        <w:jc w:val="both"/>
        <w:rPr>
          <w:rFonts w:ascii="Geomanist Light" w:hAnsi="Geomanist Light" w:cs="Arial"/>
          <w:bCs/>
          <w:sz w:val="22"/>
        </w:rPr>
      </w:pPr>
      <w:r w:rsidRPr="007F4406">
        <w:rPr>
          <w:rFonts w:ascii="Geomanist Light" w:hAnsi="Geomanist Light" w:cs="Arial"/>
          <w:bCs/>
          <w:sz w:val="22"/>
        </w:rPr>
        <w:t xml:space="preserve">Así mismo, de acuerdo con el literal g) del artículo 11 de la misma Ley, todos los destinatarios de la </w:t>
      </w:r>
      <w:r w:rsidR="007C77C7" w:rsidRPr="007F4406">
        <w:rPr>
          <w:rFonts w:ascii="Geomanist Light" w:hAnsi="Geomanist Light" w:cs="Arial"/>
          <w:bCs/>
          <w:sz w:val="22"/>
        </w:rPr>
        <w:t xml:space="preserve">Ley </w:t>
      </w:r>
      <w:r w:rsidRPr="007F4406">
        <w:rPr>
          <w:rFonts w:ascii="Geomanist Light" w:hAnsi="Geomanist Light" w:cs="Arial"/>
          <w:bCs/>
          <w:sz w:val="22"/>
        </w:rPr>
        <w:t xml:space="preserve">de </w:t>
      </w:r>
      <w:r w:rsidR="007C77C7" w:rsidRPr="007F4406">
        <w:rPr>
          <w:rFonts w:ascii="Geomanist Light" w:hAnsi="Geomanist Light" w:cs="Arial"/>
          <w:bCs/>
          <w:sz w:val="22"/>
        </w:rPr>
        <w:t xml:space="preserve">Transparencia </w:t>
      </w:r>
      <w:r w:rsidRPr="007F4406">
        <w:rPr>
          <w:rFonts w:ascii="Geomanist Light" w:hAnsi="Geomanist Light" w:cs="Arial"/>
          <w:bCs/>
          <w:sz w:val="22"/>
        </w:rPr>
        <w:t xml:space="preserve">deben garantizar la publicidad de «sus </w:t>
      </w:r>
      <w:r w:rsidRPr="007F4406">
        <w:rPr>
          <w:rFonts w:ascii="Geomanist Light" w:hAnsi="Geomanist Light" w:cs="Arial"/>
          <w:bCs/>
          <w:sz w:val="22"/>
        </w:rPr>
        <w:lastRenderedPageBreak/>
        <w:t xml:space="preserve">procedimientos, lineamientos, políticas en materia de adquisiciones y compras, así como todos los datos de adjudicación y ejecución de contratos, incluidos concursos y licitaciones», y esta información también debe estar en el SECOP. </w:t>
      </w:r>
    </w:p>
    <w:p w14:paraId="3038498D" w14:textId="26B78938" w:rsidR="00EE2CEC" w:rsidRPr="007F4406" w:rsidRDefault="00A80CFF" w:rsidP="007F4406">
      <w:pPr>
        <w:spacing w:line="276" w:lineRule="auto"/>
        <w:ind w:firstLine="708"/>
        <w:contextualSpacing/>
        <w:jc w:val="both"/>
        <w:rPr>
          <w:rFonts w:ascii="Geomanist Light" w:hAnsi="Geomanist Light" w:cs="Arial"/>
          <w:bCs/>
          <w:sz w:val="22"/>
        </w:rPr>
      </w:pPr>
      <w:r w:rsidRPr="007F4406">
        <w:rPr>
          <w:rFonts w:ascii="Geomanist Light" w:hAnsi="Geomanist Light" w:cs="Arial"/>
          <w:bCs/>
          <w:sz w:val="22"/>
        </w:rPr>
        <w:t xml:space="preserve">Las anteriores disposiciones normativas fueron complementadas con la expedición de la </w:t>
      </w:r>
      <w:bookmarkStart w:id="7" w:name="_Hlk109111930"/>
      <w:r w:rsidR="00EE2CEC" w:rsidRPr="007F4406">
        <w:rPr>
          <w:rFonts w:ascii="Geomanist Light" w:hAnsi="Geomanist Light" w:cs="Arial"/>
          <w:bCs/>
          <w:sz w:val="22"/>
        </w:rPr>
        <w:t>Ley 2195 de 2022, por medio de la cual se adoptan medidas en materia de transparencia, prevención y lucha contra la corrupción</w:t>
      </w:r>
      <w:r w:rsidRPr="007F4406">
        <w:rPr>
          <w:rFonts w:ascii="Geomanist Light" w:hAnsi="Geomanist Light" w:cs="Arial"/>
          <w:bCs/>
          <w:sz w:val="22"/>
        </w:rPr>
        <w:t>. Según lo</w:t>
      </w:r>
      <w:r w:rsidR="00EE2CEC" w:rsidRPr="007F4406">
        <w:rPr>
          <w:rFonts w:ascii="Geomanist Light" w:hAnsi="Geomanist Light" w:cs="Arial"/>
          <w:bCs/>
          <w:sz w:val="22"/>
        </w:rPr>
        <w:t xml:space="preserve">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w:t>
      </w:r>
      <w:bookmarkEnd w:id="7"/>
      <w:r w:rsidR="00EE2CEC" w:rsidRPr="007F4406">
        <w:rPr>
          <w:rFonts w:ascii="Geomanist Light" w:hAnsi="Geomanist Light" w:cs="Arial"/>
          <w:bCs/>
          <w:sz w:val="22"/>
        </w:rPr>
        <w:t>Al respecto, la norma citada, de manera expresa, señala:</w:t>
      </w:r>
    </w:p>
    <w:p w14:paraId="7A6A7FAF" w14:textId="77777777" w:rsidR="00EE2CEC" w:rsidRPr="007F4406" w:rsidRDefault="00EE2CEC" w:rsidP="00EE2CEC">
      <w:pPr>
        <w:ind w:firstLine="301"/>
        <w:contextualSpacing/>
        <w:rPr>
          <w:rFonts w:ascii="Geomanist Light" w:hAnsi="Geomanist Light" w:cs="Arial"/>
          <w:bCs/>
          <w:sz w:val="22"/>
        </w:rPr>
      </w:pPr>
    </w:p>
    <w:p w14:paraId="62B15821" w14:textId="688DE6B3" w:rsidR="00EE2CEC" w:rsidRPr="007F4406" w:rsidRDefault="00BD0223" w:rsidP="00EE2CEC">
      <w:pPr>
        <w:ind w:left="709" w:right="709"/>
        <w:contextualSpacing/>
        <w:jc w:val="both"/>
        <w:rPr>
          <w:rFonts w:ascii="Geomanist Light" w:hAnsi="Geomanist Light" w:cs="Arial"/>
          <w:bCs/>
          <w:sz w:val="22"/>
        </w:rPr>
      </w:pPr>
      <w:r w:rsidRPr="007F4406">
        <w:rPr>
          <w:rFonts w:ascii="Geomanist Light" w:hAnsi="Geomanist Light" w:cs="Arial"/>
          <w:bCs/>
          <w:sz w:val="22"/>
        </w:rPr>
        <w:t>“</w:t>
      </w:r>
      <w:r w:rsidR="00EE2CEC" w:rsidRPr="007F4406">
        <w:rPr>
          <w:rFonts w:ascii="Geomanist Light" w:hAnsi="Geomanist Light" w:cs="Arial"/>
          <w:bCs/>
          <w:sz w:val="22"/>
        </w:rPr>
        <w:t>Adiciónese los siguientes incisos al artículo 13 de la Ley 1150 de 2007, el cual quedará así:</w:t>
      </w:r>
    </w:p>
    <w:p w14:paraId="488ED80F" w14:textId="77777777" w:rsidR="00EE2CEC" w:rsidRPr="007F4406" w:rsidRDefault="00EE2CEC" w:rsidP="00EE2CEC">
      <w:pPr>
        <w:ind w:left="709" w:right="709"/>
        <w:contextualSpacing/>
        <w:jc w:val="both"/>
        <w:rPr>
          <w:rFonts w:ascii="Geomanist Light" w:hAnsi="Geomanist Light" w:cs="Arial"/>
          <w:bCs/>
          <w:sz w:val="22"/>
        </w:rPr>
      </w:pPr>
    </w:p>
    <w:p w14:paraId="2B038AC5" w14:textId="77777777" w:rsidR="00EE2CEC" w:rsidRPr="007F4406" w:rsidRDefault="00EE2CEC" w:rsidP="00EE2CEC">
      <w:pPr>
        <w:ind w:left="709" w:right="709"/>
        <w:contextualSpacing/>
        <w:jc w:val="both"/>
        <w:rPr>
          <w:rFonts w:ascii="Geomanist Light" w:hAnsi="Geomanist Light" w:cs="Arial"/>
          <w:bCs/>
          <w:sz w:val="22"/>
        </w:rPr>
      </w:pPr>
      <w:r w:rsidRPr="007F4406">
        <w:rPr>
          <w:rFonts w:ascii="Geomanist Light" w:hAnsi="Geomanist Light" w:cs="Arial"/>
          <w:bCs/>
          <w:sz w:val="22"/>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1EF80CE" w14:textId="77777777" w:rsidR="00EE2CEC" w:rsidRPr="007F4406" w:rsidRDefault="00EE2CEC" w:rsidP="00EE2CEC">
      <w:pPr>
        <w:ind w:left="709" w:right="709"/>
        <w:contextualSpacing/>
        <w:jc w:val="both"/>
        <w:rPr>
          <w:rFonts w:ascii="Geomanist Light" w:hAnsi="Geomanist Light" w:cs="Arial"/>
          <w:bCs/>
          <w:sz w:val="22"/>
        </w:rPr>
      </w:pPr>
    </w:p>
    <w:p w14:paraId="1C2D457D" w14:textId="77777777" w:rsidR="00EE2CEC" w:rsidRPr="007F4406" w:rsidRDefault="00EE2CEC" w:rsidP="00EE2CEC">
      <w:pPr>
        <w:ind w:left="709" w:right="709"/>
        <w:contextualSpacing/>
        <w:jc w:val="both"/>
        <w:rPr>
          <w:rFonts w:ascii="Geomanist Light" w:hAnsi="Geomanist Light" w:cs="Arial"/>
          <w:bCs/>
          <w:sz w:val="22"/>
        </w:rPr>
      </w:pPr>
      <w:r w:rsidRPr="007F4406">
        <w:rPr>
          <w:rFonts w:ascii="Geomanist Light" w:hAnsi="Geomanist Light" w:cs="Arial"/>
          <w:bCs/>
          <w:sz w:val="22"/>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w:t>
      </w:r>
      <w:r w:rsidRPr="007F4406">
        <w:rPr>
          <w:rFonts w:ascii="Geomanist Light" w:hAnsi="Geomanist Light" w:cs="Arial"/>
          <w:bCs/>
          <w:sz w:val="22"/>
        </w:rPr>
        <w:lastRenderedPageBreak/>
        <w:t>contratista, contratante, supervisor o interventor, tanto en la etapa precontractual, como en la contractual y la postcontractual.</w:t>
      </w:r>
    </w:p>
    <w:p w14:paraId="0FCFA068" w14:textId="77777777" w:rsidR="00EE2CEC" w:rsidRPr="007F4406" w:rsidRDefault="00EE2CEC" w:rsidP="00EE2CEC">
      <w:pPr>
        <w:ind w:left="709" w:right="709"/>
        <w:contextualSpacing/>
        <w:jc w:val="both"/>
        <w:rPr>
          <w:rFonts w:ascii="Geomanist Light" w:hAnsi="Geomanist Light" w:cs="Arial"/>
          <w:bCs/>
          <w:sz w:val="22"/>
        </w:rPr>
      </w:pPr>
    </w:p>
    <w:p w14:paraId="2B498103" w14:textId="477725A3" w:rsidR="00EE2CEC" w:rsidRPr="007F4406" w:rsidRDefault="00EE2CEC" w:rsidP="00EE2CEC">
      <w:pPr>
        <w:ind w:left="709" w:right="709"/>
        <w:contextualSpacing/>
        <w:jc w:val="both"/>
        <w:rPr>
          <w:rFonts w:ascii="Geomanist Light" w:hAnsi="Geomanist Light" w:cs="Arial"/>
          <w:bCs/>
          <w:sz w:val="22"/>
        </w:rPr>
      </w:pPr>
      <w:r w:rsidRPr="007F4406">
        <w:rPr>
          <w:rFonts w:ascii="Geomanist Light" w:hAnsi="Geomanist Light" w:cs="Arial"/>
          <w:bCs/>
          <w:sz w:val="22"/>
        </w:rPr>
        <w:t>A partir de la entrada en vigencia de la presente Ley, se establecerá un periodo de transición de seis (6) meses, para que las entidades den cumplimiento efectivo a lo aquí establecido</w:t>
      </w:r>
      <w:r w:rsidR="00BD0223" w:rsidRPr="007F4406">
        <w:rPr>
          <w:rFonts w:ascii="Geomanist Light" w:hAnsi="Geomanist Light" w:cs="Arial"/>
          <w:bCs/>
          <w:sz w:val="22"/>
        </w:rPr>
        <w:t>”</w:t>
      </w:r>
      <w:r w:rsidRPr="007F4406">
        <w:rPr>
          <w:rFonts w:ascii="Geomanist Light" w:hAnsi="Geomanist Light" w:cs="Arial"/>
          <w:bCs/>
          <w:sz w:val="22"/>
        </w:rPr>
        <w:t>. [Cursiva fuera de texto].</w:t>
      </w:r>
    </w:p>
    <w:p w14:paraId="3DE711A7" w14:textId="77777777" w:rsidR="00EE2CEC" w:rsidRPr="007F4406" w:rsidRDefault="00EE2CEC" w:rsidP="00EE2CEC">
      <w:pPr>
        <w:ind w:firstLine="709"/>
        <w:contextualSpacing/>
        <w:jc w:val="both"/>
        <w:rPr>
          <w:rFonts w:ascii="Geomanist Light" w:hAnsi="Geomanist Light" w:cs="Arial"/>
          <w:bCs/>
          <w:sz w:val="22"/>
        </w:rPr>
      </w:pPr>
    </w:p>
    <w:p w14:paraId="649D0B08" w14:textId="77777777" w:rsidR="00EE2CEC" w:rsidRPr="007F4406" w:rsidRDefault="00EE2CEC" w:rsidP="00EE2CEC">
      <w:pPr>
        <w:spacing w:after="120" w:line="276" w:lineRule="auto"/>
        <w:ind w:firstLine="709"/>
        <w:jc w:val="both"/>
        <w:rPr>
          <w:rFonts w:ascii="Geomanist Light" w:hAnsi="Geomanist Light" w:cs="Arial"/>
          <w:bCs/>
          <w:sz w:val="22"/>
        </w:rPr>
      </w:pPr>
      <w:r w:rsidRPr="007F4406">
        <w:rPr>
          <w:rFonts w:ascii="Geomanist Light" w:hAnsi="Geomanist Light" w:cs="Arial"/>
          <w:bCs/>
          <w:sz w:val="22"/>
        </w:rPr>
        <w:t>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77BD2A2A" w14:textId="713B0330" w:rsidR="00EE2CEC" w:rsidRPr="007F4406" w:rsidRDefault="00EE2CEC" w:rsidP="00EE2CEC">
      <w:pPr>
        <w:spacing w:before="120" w:after="120" w:line="276" w:lineRule="auto"/>
        <w:ind w:firstLine="709"/>
        <w:jc w:val="both"/>
        <w:rPr>
          <w:rFonts w:ascii="Geomanist Light" w:hAnsi="Geomanist Light" w:cs="Arial"/>
          <w:bCs/>
          <w:sz w:val="22"/>
        </w:rPr>
      </w:pPr>
      <w:bookmarkStart w:id="8" w:name="_Hlk109111956"/>
      <w:r w:rsidRPr="007F4406">
        <w:rPr>
          <w:rFonts w:ascii="Geomanist Light" w:hAnsi="Geomanist Light" w:cs="Arial"/>
          <w:bCs/>
          <w:sz w:val="22"/>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«no misionales» estén per se excluidos del deber de publicidad. </w:t>
      </w:r>
    </w:p>
    <w:bookmarkEnd w:id="8"/>
    <w:p w14:paraId="2F077B8E" w14:textId="6A17F6AB" w:rsidR="00EE2CEC" w:rsidRPr="007F4406" w:rsidRDefault="00FF2C29" w:rsidP="00EE2CEC">
      <w:pPr>
        <w:spacing w:before="120" w:after="120" w:line="276" w:lineRule="auto"/>
        <w:ind w:firstLine="709"/>
        <w:jc w:val="both"/>
        <w:rPr>
          <w:rFonts w:ascii="Geomanist Light" w:hAnsi="Geomanist Light" w:cs="Arial"/>
          <w:bCs/>
          <w:sz w:val="22"/>
        </w:rPr>
      </w:pPr>
      <w:r w:rsidRPr="007F4406">
        <w:rPr>
          <w:rFonts w:ascii="Geomanist Light" w:hAnsi="Geomanist Light" w:cs="Arial"/>
          <w:bCs/>
          <w:sz w:val="22"/>
        </w:rPr>
        <w:t>Así las cosas</w:t>
      </w:r>
      <w:r w:rsidR="00EE2CEC" w:rsidRPr="007F4406">
        <w:rPr>
          <w:rFonts w:ascii="Geomanist Light" w:hAnsi="Geomanist Light" w:cs="Arial"/>
          <w:bCs/>
          <w:sz w:val="22"/>
        </w:rPr>
        <w:t xml:space="preserve">,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301B95EE" w14:textId="77777777" w:rsidR="00FF2C29" w:rsidRPr="007F4406" w:rsidRDefault="00EE2CEC" w:rsidP="00FF2C29">
      <w:pPr>
        <w:spacing w:before="120" w:after="120" w:line="276" w:lineRule="auto"/>
        <w:ind w:firstLine="709"/>
        <w:jc w:val="both"/>
        <w:rPr>
          <w:rFonts w:ascii="Geomanist Light" w:hAnsi="Geomanist Light" w:cs="Arial"/>
          <w:bCs/>
          <w:sz w:val="22"/>
        </w:rPr>
      </w:pPr>
      <w:r w:rsidRPr="007F4406">
        <w:rPr>
          <w:rFonts w:ascii="Geomanist Light" w:hAnsi="Geomanist Light" w:cs="Arial"/>
          <w:bCs/>
          <w:sz w:val="22"/>
        </w:rPr>
        <w:lastRenderedPageBreak/>
        <w:t>Sin perjuicio de lo anterior, vale la pena aclarar que el cumplimiento del deber de publicación de la documentación contractual debe armonizarse con las normas aplicables al tipo de información que estas contienen</w:t>
      </w:r>
      <w:r w:rsidRPr="007F4406">
        <w:rPr>
          <w:rFonts w:ascii="Geomanist Light" w:hAnsi="Geomanist Light" w:cs="Arial"/>
          <w:bCs/>
          <w:sz w:val="22"/>
        </w:rPr>
        <w:footnoteReference w:id="19"/>
      </w:r>
      <w:r w:rsidRPr="007F4406">
        <w:rPr>
          <w:rFonts w:ascii="Geomanist Light" w:hAnsi="Geomanist Light" w:cs="Arial"/>
          <w:bCs/>
          <w:sz w:val="22"/>
        </w:rPr>
        <w:t xml:space="preserve">. </w:t>
      </w:r>
      <w:r w:rsidR="00FF2C29" w:rsidRPr="007F4406">
        <w:rPr>
          <w:rFonts w:ascii="Geomanist Light" w:hAnsi="Geomanist Light" w:cs="Arial"/>
          <w:bCs/>
          <w:sz w:val="22"/>
        </w:rPr>
        <w:t xml:space="preserve">Lo anterior significa que, respecto de datos sensibles, información sometida a reserva o de la cual proceda un tratamiento especial que impida su publicidad, las entidades deberán proceder de conformidad con el tratamiento que impongan tales normas. </w:t>
      </w:r>
    </w:p>
    <w:p w14:paraId="4D1BB873" w14:textId="79AA5272" w:rsidR="00EE2CEC" w:rsidRPr="007F4406" w:rsidRDefault="00FF2C29" w:rsidP="00EE2CEC">
      <w:pPr>
        <w:spacing w:before="120" w:after="120" w:line="276" w:lineRule="auto"/>
        <w:ind w:firstLine="709"/>
        <w:jc w:val="both"/>
        <w:rPr>
          <w:rFonts w:ascii="Geomanist Light" w:hAnsi="Geomanist Light" w:cs="Arial"/>
          <w:bCs/>
          <w:sz w:val="22"/>
        </w:rPr>
      </w:pPr>
      <w:r w:rsidRPr="007F4406">
        <w:rPr>
          <w:rFonts w:ascii="Geomanist Light" w:hAnsi="Geomanist Light" w:cs="Arial"/>
          <w:bCs/>
          <w:sz w:val="22"/>
        </w:rPr>
        <w:t>Ahora bien, teniendo en cuenta la consulta realizada, resulta pertinente señalar que</w:t>
      </w:r>
      <w:r w:rsidR="00EE2CEC" w:rsidRPr="007F4406">
        <w:rPr>
          <w:rFonts w:ascii="Geomanist Light" w:hAnsi="Geomanist Light" w:cs="Arial"/>
          <w:bCs/>
          <w:sz w:val="22"/>
        </w:rPr>
        <w:t xml:space="preserve">, </w:t>
      </w:r>
      <w:r w:rsidR="00E5279C" w:rsidRPr="007F4406">
        <w:rPr>
          <w:rFonts w:ascii="Geomanist Light" w:hAnsi="Geomanist Light" w:cs="Arial"/>
          <w:bCs/>
          <w:sz w:val="22"/>
        </w:rPr>
        <w:t>para q</w:t>
      </w:r>
      <w:r w:rsidR="002418C5" w:rsidRPr="007F4406">
        <w:rPr>
          <w:rFonts w:ascii="Geomanist Light" w:hAnsi="Geomanist Light" w:cs="Arial"/>
          <w:bCs/>
          <w:sz w:val="22"/>
        </w:rPr>
        <w:t xml:space="preserve">ue </w:t>
      </w:r>
      <w:r w:rsidRPr="007F4406">
        <w:rPr>
          <w:rFonts w:ascii="Geomanist Light" w:hAnsi="Geomanist Light" w:cs="Arial"/>
          <w:bCs/>
          <w:sz w:val="22"/>
        </w:rPr>
        <w:t xml:space="preserve">las entidades con regímenes exceptuados </w:t>
      </w:r>
      <w:r w:rsidR="00E5279C" w:rsidRPr="007F4406">
        <w:rPr>
          <w:rFonts w:ascii="Geomanist Light" w:hAnsi="Geomanist Light" w:cs="Arial"/>
          <w:bCs/>
          <w:sz w:val="22"/>
        </w:rPr>
        <w:t>cumplan con el deber de publicidad consagrado en la norma</w:t>
      </w:r>
      <w:r w:rsidRPr="007F4406">
        <w:rPr>
          <w:rFonts w:ascii="Geomanist Light" w:hAnsi="Geomanist Light" w:cs="Arial"/>
          <w:bCs/>
          <w:sz w:val="22"/>
        </w:rPr>
        <w:t xml:space="preserve"> en estudio </w:t>
      </w:r>
      <w:r w:rsidR="00E5279C" w:rsidRPr="007F4406">
        <w:rPr>
          <w:rFonts w:ascii="Geomanist Light" w:hAnsi="Geomanist Light" w:cs="Arial"/>
          <w:bCs/>
          <w:sz w:val="22"/>
        </w:rPr>
        <w:t xml:space="preserve">no </w:t>
      </w:r>
      <w:r w:rsidRPr="007F4406">
        <w:rPr>
          <w:rFonts w:ascii="Geomanist Light" w:hAnsi="Geomanist Light" w:cs="Arial"/>
          <w:bCs/>
          <w:sz w:val="22"/>
        </w:rPr>
        <w:t xml:space="preserve">se </w:t>
      </w:r>
      <w:r w:rsidR="00E5279C" w:rsidRPr="007F4406">
        <w:rPr>
          <w:rFonts w:ascii="Geomanist Light" w:hAnsi="Geomanist Light" w:cs="Arial"/>
          <w:bCs/>
          <w:sz w:val="22"/>
        </w:rPr>
        <w:t>dispuso que</w:t>
      </w:r>
      <w:r w:rsidRPr="007F4406">
        <w:rPr>
          <w:rFonts w:ascii="Geomanist Light" w:hAnsi="Geomanist Light" w:cs="Arial"/>
          <w:bCs/>
          <w:sz w:val="22"/>
        </w:rPr>
        <w:t xml:space="preserve"> las entidades</w:t>
      </w:r>
      <w:r w:rsidR="00E5279C" w:rsidRPr="007F4406">
        <w:rPr>
          <w:rFonts w:ascii="Geomanist Light" w:hAnsi="Geomanist Light" w:cs="Arial"/>
          <w:bCs/>
          <w:sz w:val="22"/>
        </w:rPr>
        <w:t xml:space="preserve"> deban modificar sus manuales de contratación, so pena en aquellos casos en los que estos sean contrarios a la ley. </w:t>
      </w:r>
    </w:p>
    <w:p w14:paraId="77F81C9B" w14:textId="645AC194" w:rsidR="00EE2CEC" w:rsidRPr="007F4406" w:rsidRDefault="00EE2CEC" w:rsidP="00FF2C29">
      <w:pPr>
        <w:spacing w:before="120" w:after="120" w:line="276" w:lineRule="auto"/>
        <w:ind w:firstLine="709"/>
        <w:jc w:val="both"/>
        <w:rPr>
          <w:rFonts w:ascii="Geomanist Light" w:hAnsi="Geomanist Light" w:cs="Arial"/>
          <w:bCs/>
          <w:sz w:val="22"/>
        </w:rPr>
      </w:pPr>
      <w:bookmarkStart w:id="9" w:name="_Hlk109111976"/>
      <w:r w:rsidRPr="007F4406">
        <w:rPr>
          <w:rFonts w:ascii="Geomanist Light" w:hAnsi="Geomanist Light" w:cs="Arial"/>
          <w:bCs/>
          <w:sz w:val="22"/>
        </w:rPr>
        <w:t xml:space="preserve">Finalmente, el inciso final del artículo 53 dispone que «A partir de la entrada en vigencia de la presente Ley, se establecerá un periodo de transición de seis (6) meses, para que las entidades den cumplimiento efectivo a lo aquí establecido».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w:t>
      </w:r>
      <w:r w:rsidRPr="007F4406">
        <w:rPr>
          <w:rFonts w:ascii="Geomanist Light" w:hAnsi="Geomanist Light" w:cs="Arial"/>
          <w:bCs/>
          <w:sz w:val="22"/>
        </w:rPr>
        <w:lastRenderedPageBreak/>
        <w:t>de enero y el 18 de julio de 2022.</w:t>
      </w:r>
      <w:bookmarkEnd w:id="9"/>
      <w:r w:rsidRPr="007F4406">
        <w:rPr>
          <w:rFonts w:ascii="Geomanist Light" w:hAnsi="Geomanist Light" w:cs="Arial"/>
          <w:bCs/>
          <w:sz w:val="22"/>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Pr="007F4406">
        <w:rPr>
          <w:rFonts w:ascii="Geomanist Light" w:hAnsi="Geomanist Light" w:cs="Arial"/>
          <w:bCs/>
          <w:sz w:val="22"/>
        </w:rPr>
        <w:footnoteReference w:id="20"/>
      </w:r>
      <w:r w:rsidRPr="007F4406">
        <w:rPr>
          <w:rFonts w:ascii="Geomanist Light" w:hAnsi="Geomanist Light" w:cs="Arial"/>
          <w:bCs/>
          <w:sz w:val="22"/>
        </w:rPr>
        <w:t xml:space="preserve">. </w:t>
      </w:r>
    </w:p>
    <w:p w14:paraId="6D0B1E2C" w14:textId="0C98E8F1" w:rsidR="003C54F0" w:rsidRPr="007F4406" w:rsidRDefault="003C54F0" w:rsidP="003C54F0">
      <w:pPr>
        <w:spacing w:before="120" w:line="276" w:lineRule="auto"/>
        <w:ind w:firstLine="709"/>
        <w:jc w:val="both"/>
        <w:rPr>
          <w:rFonts w:ascii="Geomanist Light" w:hAnsi="Geomanist Light" w:cs="Arial"/>
          <w:bCs/>
          <w:sz w:val="22"/>
        </w:rPr>
      </w:pPr>
      <w:r w:rsidRPr="007F4406">
        <w:rPr>
          <w:rFonts w:ascii="Geomanist Light" w:hAnsi="Geomanist Light" w:cs="Arial"/>
          <w:bCs/>
          <w:sz w:val="22"/>
        </w:rPr>
        <w:t>Así mismo, es importante mencionar que, 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7F4406">
        <w:rPr>
          <w:rFonts w:ascii="Geomanist Light" w:hAnsi="Geomanist Light" w:cs="Arial"/>
          <w:bCs/>
          <w:sz w:val="22"/>
        </w:rPr>
        <w:footnoteReference w:id="21"/>
      </w:r>
      <w:r w:rsidRPr="007F4406">
        <w:rPr>
          <w:rFonts w:ascii="Geomanist Light" w:hAnsi="Geomanist Light" w:cs="Arial"/>
          <w:bCs/>
          <w:sz w:val="22"/>
        </w:rPr>
        <w:t xml:space="preserve">. </w:t>
      </w:r>
    </w:p>
    <w:p w14:paraId="238857A5" w14:textId="67542141" w:rsidR="00FF2C29" w:rsidRPr="007F4406" w:rsidRDefault="00FF2C29" w:rsidP="00FF2C29">
      <w:pPr>
        <w:spacing w:before="120" w:after="120" w:line="276" w:lineRule="auto"/>
        <w:ind w:firstLine="709"/>
        <w:jc w:val="both"/>
        <w:rPr>
          <w:rFonts w:ascii="Geomanist Light" w:hAnsi="Geomanist Light" w:cs="Arial"/>
          <w:bCs/>
          <w:sz w:val="22"/>
        </w:rPr>
      </w:pPr>
      <w:r w:rsidRPr="007F4406">
        <w:rPr>
          <w:rFonts w:ascii="Geomanist Light" w:hAnsi="Geomanist Light" w:cs="Arial"/>
          <w:bCs/>
          <w:sz w:val="22"/>
        </w:rPr>
        <w:t xml:space="preserve">Ahora bien, de lo expuesto en los considerandos de este concepto, de cara a la consulta planteada acerca de la obligación de las empresas de servicios públicos, se concluye que estas empresas, independientemente de que el régimen contractual que les aplica sea el derecho privado, deben publicar su actividad en el SECOP II o la plataforma transaccional que haga sus veces, de acuerdo con lo establecido en el artículo 53 de la Ley 2195 de 2022. La disposición citada no consagra ninguna excepción respecto a su aplicación, por lo cual todas las entidades que no se encuentran sometidas al Estatuto General de Contratación de la Administración Pública deberán cumplir con el deber de publicación analizado en el presente concepto, sin que sea posible modular sus efectos.   </w:t>
      </w:r>
    </w:p>
    <w:p w14:paraId="40971ADA" w14:textId="72B62AF5" w:rsidR="00FF2C29" w:rsidRPr="007F4406" w:rsidRDefault="00FF2C29" w:rsidP="00FF2C29">
      <w:pPr>
        <w:spacing w:before="120" w:line="276" w:lineRule="auto"/>
        <w:ind w:firstLine="709"/>
        <w:jc w:val="both"/>
        <w:rPr>
          <w:rFonts w:ascii="Geomanist Light" w:hAnsi="Geomanist Light" w:cs="Arial"/>
          <w:bCs/>
          <w:sz w:val="22"/>
        </w:rPr>
      </w:pPr>
      <w:r w:rsidRPr="007F4406">
        <w:rPr>
          <w:rFonts w:ascii="Geomanist Light" w:hAnsi="Geomanist Light" w:cs="Arial"/>
          <w:bCs/>
          <w:sz w:val="22"/>
        </w:rPr>
        <w:t xml:space="preserve">La anterior conclusión se refuerza si se tiene en cuenta que, de conformidad con el literal e) del artículo 9 y el literal g) del artículo 11 de la Ley 1712 de 2014, desarrollados en el artículo 7 del Decreto 103 de 2015 –compilado en el artículo 2.1.1.2.1.7. del Decreto 1081 de 2015–a los cuales se ha hecho mención en el presente concepto, las entidades estatales –incluidas las que se rigen generalmente por el derecho privado en materia contractual–, al ser sujetos </w:t>
      </w:r>
      <w:r w:rsidRPr="007F4406">
        <w:rPr>
          <w:rFonts w:ascii="Geomanist Light" w:hAnsi="Geomanist Light" w:cs="Arial"/>
          <w:bCs/>
          <w:sz w:val="22"/>
        </w:rPr>
        <w:lastRenderedPageBreak/>
        <w:t>obligados a garantizar el derecho de acceso a la información y a los documentos públicos, deben publicar en el SECOP los documentos relacionados con su gestión contractual.</w:t>
      </w:r>
    </w:p>
    <w:p w14:paraId="1391CDB6" w14:textId="77777777" w:rsidR="00FF2C29" w:rsidRPr="00EE6C49" w:rsidRDefault="00FF2C29" w:rsidP="00FF2C29">
      <w:pPr>
        <w:spacing w:line="276" w:lineRule="auto"/>
        <w:contextualSpacing/>
        <w:jc w:val="both"/>
        <w:rPr>
          <w:rFonts w:ascii="Geomanist Light" w:hAnsi="Geomanist Light" w:cs="Arial"/>
          <w:b/>
          <w:sz w:val="22"/>
        </w:rPr>
      </w:pPr>
    </w:p>
    <w:p w14:paraId="04258662" w14:textId="0F8244B0" w:rsidR="00FF2C29" w:rsidRPr="00EE6C49" w:rsidRDefault="00FF2C29" w:rsidP="00FF2C29">
      <w:pPr>
        <w:spacing w:line="276" w:lineRule="auto"/>
        <w:contextualSpacing/>
        <w:jc w:val="both"/>
        <w:rPr>
          <w:rFonts w:ascii="Geomanist Light" w:hAnsi="Geomanist Light" w:cs="Arial"/>
          <w:b/>
          <w:sz w:val="22"/>
        </w:rPr>
      </w:pPr>
      <w:r w:rsidRPr="00EE6C49">
        <w:rPr>
          <w:rFonts w:ascii="Geomanist Light" w:hAnsi="Geomanist Light" w:cs="Arial"/>
          <w:b/>
          <w:sz w:val="22"/>
        </w:rPr>
        <w:t>2.4. Uso del SECOP II por las entidades exceptuadas del Estatuto General de Contratación de la Administración Pública</w:t>
      </w:r>
    </w:p>
    <w:p w14:paraId="2EA11101" w14:textId="77777777" w:rsidR="00FF2C29" w:rsidRPr="007F4406" w:rsidRDefault="00FF2C29" w:rsidP="00FF2C29">
      <w:pPr>
        <w:spacing w:line="276" w:lineRule="auto"/>
        <w:jc w:val="both"/>
        <w:rPr>
          <w:rFonts w:ascii="Geomanist Light" w:hAnsi="Geomanist Light" w:cs="Arial"/>
          <w:bCs/>
          <w:sz w:val="22"/>
        </w:rPr>
      </w:pPr>
    </w:p>
    <w:p w14:paraId="74161E10" w14:textId="77777777" w:rsidR="00FF2C29" w:rsidRPr="007F4406" w:rsidRDefault="00FF2C29" w:rsidP="00FF2C29">
      <w:pPr>
        <w:spacing w:after="120" w:line="276" w:lineRule="auto"/>
        <w:jc w:val="both"/>
        <w:rPr>
          <w:rFonts w:ascii="Geomanist Light" w:hAnsi="Geomanist Light" w:cs="Arial"/>
          <w:bCs/>
          <w:sz w:val="22"/>
        </w:rPr>
      </w:pPr>
      <w:r w:rsidRPr="007F4406">
        <w:rPr>
          <w:rFonts w:ascii="Geomanist Light" w:hAnsi="Geomanist Light" w:cs="Arial"/>
          <w:bCs/>
          <w:sz w:val="22"/>
        </w:rPr>
        <w:t>Con el propósito de garantizar el cumplimiento del mencionado deber de publicidad, la Agencia Nacional de Contratación Pública - Colombia Compra Eficiente, en su calidad de administrador del SECOP, en los términos establecidos en el numeral 8 del artículo 3 del Decreto-Ley 4170</w:t>
      </w:r>
      <w:r w:rsidRPr="007F4406">
        <w:rPr>
          <w:rFonts w:ascii="Geomanist Light" w:hAnsi="Geomanist Light" w:cs="Arial"/>
          <w:bCs/>
          <w:sz w:val="22"/>
        </w:rPr>
        <w:footnoteReference w:id="22"/>
      </w:r>
      <w:r w:rsidRPr="007F4406">
        <w:rPr>
          <w:rFonts w:ascii="Geomanist Light" w:hAnsi="Geomanist Light" w:cs="Arial"/>
          <w:bCs/>
          <w:sz w:val="22"/>
        </w:rPr>
        <w:t>, tiene dispuesto dos módulos para las entidades estatales con régimen especial, los cuales son:</w:t>
      </w:r>
    </w:p>
    <w:p w14:paraId="0F8C4FB1" w14:textId="77777777" w:rsidR="00FF2C29" w:rsidRPr="007F4406" w:rsidRDefault="00FF2C29" w:rsidP="00FF2C29">
      <w:pPr>
        <w:numPr>
          <w:ilvl w:val="0"/>
          <w:numId w:val="10"/>
        </w:numPr>
        <w:spacing w:after="120" w:line="276" w:lineRule="auto"/>
        <w:jc w:val="both"/>
        <w:rPr>
          <w:rFonts w:ascii="Geomanist Light" w:hAnsi="Geomanist Light" w:cs="Arial"/>
          <w:bCs/>
          <w:sz w:val="22"/>
        </w:rPr>
      </w:pPr>
      <w:r w:rsidRPr="007F4406">
        <w:rPr>
          <w:rFonts w:ascii="Geomanist Light" w:hAnsi="Geomanist Light" w:cs="Arial"/>
          <w:bCs/>
          <w:sz w:val="22"/>
        </w:rPr>
        <w:t>Contratación Régimen Especial (con ofertas)</w:t>
      </w:r>
      <w:r w:rsidRPr="007F4406">
        <w:rPr>
          <w:rFonts w:ascii="Geomanist Light" w:hAnsi="Geomanist Light" w:cs="Arial"/>
          <w:bCs/>
          <w:sz w:val="22"/>
        </w:rPr>
        <w:footnoteReference w:id="23"/>
      </w:r>
      <w:r w:rsidRPr="007F4406">
        <w:rPr>
          <w:rFonts w:ascii="Geomanist Light" w:hAnsi="Geomanist Light" w:cs="Arial"/>
          <w:bCs/>
          <w:sz w:val="22"/>
        </w:rPr>
        <w:t xml:space="preserve">: Permite a las entidades gestionar sus procesos competitivos de contratación. Mediante este módulo las entidades pueden adelantar el proceso de contratación de manera transaccional, es decir, que a través de este módulo las entidades estatales pueden estructurar el proceso de contratación, recibir ofertas de los proveedores, generar el contrato de electrónico y realizar la gestión contractual. </w:t>
      </w:r>
    </w:p>
    <w:p w14:paraId="14D9E0CA" w14:textId="77777777" w:rsidR="00FF2C29" w:rsidRPr="007F4406" w:rsidRDefault="00FF2C29" w:rsidP="00FF2C29">
      <w:pPr>
        <w:numPr>
          <w:ilvl w:val="0"/>
          <w:numId w:val="10"/>
        </w:numPr>
        <w:spacing w:after="120" w:line="276" w:lineRule="auto"/>
        <w:jc w:val="both"/>
        <w:rPr>
          <w:rFonts w:ascii="Geomanist Light" w:hAnsi="Geomanist Light" w:cs="Arial"/>
          <w:bCs/>
          <w:sz w:val="22"/>
        </w:rPr>
      </w:pPr>
      <w:r w:rsidRPr="007F4406">
        <w:rPr>
          <w:rFonts w:ascii="Geomanist Light" w:hAnsi="Geomanist Light" w:cs="Arial"/>
          <w:bCs/>
          <w:sz w:val="22"/>
        </w:rPr>
        <w:t>Contratación Régimen Especial (sin ofertas)</w:t>
      </w:r>
      <w:r w:rsidRPr="007F4406">
        <w:rPr>
          <w:rFonts w:ascii="Geomanist Light" w:hAnsi="Geomanist Light" w:cs="Arial"/>
          <w:bCs/>
          <w:sz w:val="22"/>
        </w:rPr>
        <w:footnoteReference w:id="24"/>
      </w:r>
      <w:r w:rsidRPr="007F4406">
        <w:rPr>
          <w:rFonts w:ascii="Geomanist Light" w:hAnsi="Geomanist Light" w:cs="Arial"/>
          <w:bCs/>
          <w:sz w:val="22"/>
        </w:rPr>
        <w:t xml:space="preserve">: Este módulo permite a las entidades gestionar sus procesos de selección directos. Asimismo, este módulo permite estructurar los procesos de contratación, publicar documentos generados por fuera de la plataforma y realizar la gestión contractual en línea. </w:t>
      </w:r>
    </w:p>
    <w:p w14:paraId="059174A9" w14:textId="77777777" w:rsidR="00FF2C29" w:rsidRPr="007F4406" w:rsidRDefault="00FF2C29" w:rsidP="00FF2C29">
      <w:pPr>
        <w:autoSpaceDE w:val="0"/>
        <w:autoSpaceDN w:val="0"/>
        <w:adjustRightInd w:val="0"/>
        <w:spacing w:after="120" w:line="276" w:lineRule="auto"/>
        <w:ind w:firstLine="708"/>
        <w:jc w:val="both"/>
        <w:rPr>
          <w:rFonts w:ascii="Geomanist Light" w:hAnsi="Geomanist Light" w:cs="Arial"/>
          <w:bCs/>
          <w:sz w:val="22"/>
        </w:rPr>
      </w:pPr>
      <w:r w:rsidRPr="007F4406">
        <w:rPr>
          <w:rFonts w:ascii="Geomanist Light" w:hAnsi="Geomanist Light" w:cs="Arial"/>
          <w:bCs/>
          <w:sz w:val="22"/>
        </w:rPr>
        <w:t xml:space="preserve">Ahora bien, </w:t>
      </w:r>
      <w:bookmarkStart w:id="10" w:name="_Hlk109112150"/>
      <w:r w:rsidRPr="007F4406">
        <w:rPr>
          <w:rFonts w:ascii="Geomanist Light" w:hAnsi="Geomanist Light" w:cs="Arial"/>
          <w:bCs/>
          <w:sz w:val="22"/>
        </w:rPr>
        <w:t>dado que el artículo 53 de la Ley 2195 de 2022 no cambió la forma en que se perfeccionan los contratos suscritos por estas entidades exceptuadas, para cumplir con el deber de publicidad que les asiste, estas podrán elegir cualquiera de las siguientes opciones:</w:t>
      </w:r>
    </w:p>
    <w:p w14:paraId="3835319D" w14:textId="77777777" w:rsidR="00FF2C29" w:rsidRPr="007F4406" w:rsidRDefault="00FF2C29" w:rsidP="00FF2C29">
      <w:pPr>
        <w:numPr>
          <w:ilvl w:val="0"/>
          <w:numId w:val="9"/>
        </w:numPr>
        <w:autoSpaceDE w:val="0"/>
        <w:autoSpaceDN w:val="0"/>
        <w:adjustRightInd w:val="0"/>
        <w:spacing w:after="120" w:line="276" w:lineRule="auto"/>
        <w:jc w:val="both"/>
        <w:rPr>
          <w:rFonts w:ascii="Geomanist Light" w:hAnsi="Geomanist Light" w:cs="Arial"/>
          <w:bCs/>
          <w:sz w:val="22"/>
        </w:rPr>
      </w:pPr>
      <w:r w:rsidRPr="007F4406">
        <w:rPr>
          <w:rFonts w:ascii="Geomanist Light" w:hAnsi="Geomanist Light" w:cs="Arial"/>
          <w:bCs/>
          <w:sz w:val="22"/>
        </w:rPr>
        <w:lastRenderedPageBreak/>
        <w:t>Firmar el contrato electrónicamente, es decir, realizar un uso transaccional de la plataforma.</w:t>
      </w:r>
    </w:p>
    <w:p w14:paraId="6BBD330B" w14:textId="77777777" w:rsidR="00FF2C29" w:rsidRPr="007F4406" w:rsidRDefault="00FF2C29" w:rsidP="00FF2C29">
      <w:pPr>
        <w:numPr>
          <w:ilvl w:val="0"/>
          <w:numId w:val="9"/>
        </w:numPr>
        <w:autoSpaceDE w:val="0"/>
        <w:autoSpaceDN w:val="0"/>
        <w:adjustRightInd w:val="0"/>
        <w:spacing w:after="120" w:line="276" w:lineRule="auto"/>
        <w:jc w:val="both"/>
        <w:rPr>
          <w:rFonts w:ascii="Geomanist Light" w:hAnsi="Geomanist Light" w:cs="Arial"/>
          <w:bCs/>
          <w:sz w:val="22"/>
        </w:rPr>
      </w:pPr>
      <w:r w:rsidRPr="007F4406">
        <w:rPr>
          <w:rFonts w:ascii="Geomanist Light" w:hAnsi="Geomanist Light" w:cs="Arial"/>
          <w:bCs/>
          <w:sz w:val="22"/>
        </w:rPr>
        <w:t>Firmar el contrato en físico y publicar los documentos de ejecución en la etapa precontractual del SECOP II, es decir, realizar un uso publicitario de la plataforma.</w:t>
      </w:r>
    </w:p>
    <w:p w14:paraId="545C131F" w14:textId="77777777" w:rsidR="00FF2C29" w:rsidRPr="007F4406" w:rsidRDefault="00FF2C29" w:rsidP="00FF2C29">
      <w:pPr>
        <w:autoSpaceDE w:val="0"/>
        <w:autoSpaceDN w:val="0"/>
        <w:adjustRightInd w:val="0"/>
        <w:spacing w:after="120" w:line="276" w:lineRule="auto"/>
        <w:ind w:firstLine="708"/>
        <w:jc w:val="both"/>
        <w:rPr>
          <w:rFonts w:ascii="Geomanist Light" w:hAnsi="Geomanist Light" w:cs="Arial"/>
          <w:bCs/>
          <w:sz w:val="22"/>
        </w:rPr>
      </w:pPr>
      <w:r w:rsidRPr="007F4406">
        <w:rPr>
          <w:rFonts w:ascii="Geomanist Light" w:hAnsi="Geomanist Light" w:cs="Arial"/>
          <w:bCs/>
          <w:sz w:val="22"/>
        </w:rPr>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w:t>
      </w:r>
    </w:p>
    <w:p w14:paraId="6B567C47" w14:textId="77777777" w:rsidR="00FF2C29" w:rsidRPr="007F4406" w:rsidRDefault="00FF2C29" w:rsidP="007F4406">
      <w:pPr>
        <w:autoSpaceDE w:val="0"/>
        <w:autoSpaceDN w:val="0"/>
        <w:adjustRightInd w:val="0"/>
        <w:spacing w:line="276" w:lineRule="auto"/>
        <w:ind w:firstLine="709"/>
        <w:jc w:val="both"/>
        <w:rPr>
          <w:rFonts w:ascii="Geomanist Light" w:hAnsi="Geomanist Light" w:cs="Arial"/>
          <w:bCs/>
          <w:sz w:val="22"/>
        </w:rPr>
      </w:pPr>
      <w:r w:rsidRPr="007F4406">
        <w:rPr>
          <w:rFonts w:ascii="Geomanist Light" w:hAnsi="Geomanist Light" w:cs="Arial"/>
          <w:bCs/>
          <w:sz w:val="22"/>
        </w:rPr>
        <w:t>En el segundo caso, si decide utilizar el SECOP II como herramienta de publicidad, deberá crear el proceso de contratación en el SECOP II mediante el módulo «Contratación Régimen Especial (sin ofertas)»,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“Finalizar” después de publicar el proceso, en tanto que la plataforma cierra el expediente y no permite la publicación posterior de ningún otro documento.</w:t>
      </w:r>
    </w:p>
    <w:bookmarkEnd w:id="10"/>
    <w:p w14:paraId="67F93496" w14:textId="77777777" w:rsidR="000955B1" w:rsidRPr="007F4406" w:rsidRDefault="000955B1" w:rsidP="00BD2F69">
      <w:pPr>
        <w:spacing w:line="276" w:lineRule="auto"/>
        <w:contextualSpacing/>
        <w:jc w:val="both"/>
        <w:rPr>
          <w:rFonts w:ascii="Geomanist Light" w:hAnsi="Geomanist Light" w:cs="Arial"/>
          <w:bCs/>
          <w:sz w:val="22"/>
        </w:rPr>
      </w:pPr>
    </w:p>
    <w:p w14:paraId="6E4BB750" w14:textId="21586149" w:rsidR="00F1108B" w:rsidRPr="002D7181" w:rsidRDefault="00F1108B" w:rsidP="001F4546">
      <w:pPr>
        <w:pStyle w:val="Prrafodelista"/>
        <w:tabs>
          <w:tab w:val="left" w:pos="284"/>
        </w:tabs>
        <w:spacing w:line="276" w:lineRule="auto"/>
        <w:ind w:left="0"/>
        <w:jc w:val="both"/>
        <w:rPr>
          <w:rFonts w:ascii="Geomanist Light" w:hAnsi="Geomanist Light" w:cs="Arial"/>
          <w:b/>
          <w:sz w:val="22"/>
        </w:rPr>
      </w:pPr>
      <w:r w:rsidRPr="002D7181">
        <w:rPr>
          <w:rFonts w:ascii="Geomanist Light" w:hAnsi="Geomanist Light" w:cs="Arial"/>
          <w:b/>
          <w:sz w:val="22"/>
        </w:rPr>
        <w:t>3. Respuesta</w:t>
      </w:r>
    </w:p>
    <w:p w14:paraId="4760AC28" w14:textId="1E44B02D" w:rsidR="00FC113C" w:rsidRPr="007F4406" w:rsidRDefault="00FC113C">
      <w:pPr>
        <w:tabs>
          <w:tab w:val="left" w:pos="426"/>
        </w:tabs>
        <w:spacing w:line="276" w:lineRule="auto"/>
        <w:ind w:right="709"/>
        <w:contextualSpacing/>
        <w:jc w:val="both"/>
        <w:rPr>
          <w:rFonts w:ascii="Geomanist Light" w:hAnsi="Geomanist Light" w:cs="Arial"/>
          <w:bCs/>
          <w:sz w:val="22"/>
        </w:rPr>
      </w:pPr>
    </w:p>
    <w:p w14:paraId="490AEA61" w14:textId="77777777" w:rsidR="00213DC0" w:rsidRPr="007F4406" w:rsidRDefault="00213DC0" w:rsidP="00213DC0">
      <w:pPr>
        <w:spacing w:line="259" w:lineRule="auto"/>
        <w:ind w:left="709" w:right="709"/>
        <w:contextualSpacing/>
        <w:jc w:val="both"/>
        <w:rPr>
          <w:rFonts w:ascii="Geomanist Light" w:hAnsi="Geomanist Light" w:cs="Arial"/>
          <w:bCs/>
          <w:sz w:val="22"/>
        </w:rPr>
      </w:pPr>
      <w:r w:rsidRPr="007F4406">
        <w:rPr>
          <w:rFonts w:ascii="Geomanist Light" w:hAnsi="Geomanist Light" w:cs="Arial"/>
          <w:bCs/>
          <w:sz w:val="22"/>
        </w:rPr>
        <w:t>«Obligación de las Empresas de Servicios Públicos Domiciliarios de cargar la información de su contratación en Secop II, si existe alguna disposición legal que obligue algunos cambios en los manuales de contratación de estas empresas, me gustaría también preguntar, si existe algún tope legal que determine los casos particulares, bajo los cuales estas empresas tengan que celebrar contratos bajo la figura de la licitación de la Ley 80 y sus normas complementarias, o el monto para usar el estatuto de contratación pública, es discrecional de la Junta directiva y su Manual de Contratación»[sic].</w:t>
      </w:r>
    </w:p>
    <w:p w14:paraId="1C851DE4" w14:textId="09DF96CD" w:rsidR="00871272" w:rsidRPr="007F4406" w:rsidRDefault="00871272" w:rsidP="001360FE">
      <w:pPr>
        <w:spacing w:line="276" w:lineRule="auto"/>
        <w:contextualSpacing/>
        <w:jc w:val="both"/>
        <w:rPr>
          <w:rFonts w:ascii="Geomanist Light" w:hAnsi="Geomanist Light" w:cs="Arial"/>
          <w:bCs/>
          <w:sz w:val="22"/>
        </w:rPr>
      </w:pPr>
    </w:p>
    <w:p w14:paraId="586B41F2" w14:textId="2569015B" w:rsidR="00FF2C29" w:rsidRPr="007F4406" w:rsidRDefault="003C54F0" w:rsidP="007F4406">
      <w:pPr>
        <w:spacing w:after="120" w:line="276" w:lineRule="auto"/>
        <w:jc w:val="both"/>
        <w:rPr>
          <w:rFonts w:ascii="Geomanist Light" w:hAnsi="Geomanist Light" w:cs="Arial"/>
          <w:bCs/>
          <w:sz w:val="22"/>
        </w:rPr>
      </w:pPr>
      <w:r w:rsidRPr="007F4406">
        <w:rPr>
          <w:rFonts w:ascii="Geomanist Light" w:hAnsi="Geomanist Light" w:cs="Arial"/>
          <w:bCs/>
          <w:sz w:val="22"/>
        </w:rPr>
        <w:t>Por un lado, d</w:t>
      </w:r>
      <w:r w:rsidR="005B4DC7" w:rsidRPr="007F4406">
        <w:rPr>
          <w:rFonts w:ascii="Geomanist Light" w:hAnsi="Geomanist Light" w:cs="Arial"/>
          <w:bCs/>
          <w:sz w:val="22"/>
        </w:rPr>
        <w:t>e conformidad con lo expuesto en</w:t>
      </w:r>
      <w:r w:rsidR="004A317E" w:rsidRPr="007F4406">
        <w:rPr>
          <w:rFonts w:ascii="Geomanist Light" w:hAnsi="Geomanist Light" w:cs="Arial"/>
          <w:bCs/>
          <w:sz w:val="22"/>
        </w:rPr>
        <w:t xml:space="preserve"> este concepto</w:t>
      </w:r>
      <w:r w:rsidR="001B0915" w:rsidRPr="007F4406">
        <w:rPr>
          <w:rFonts w:ascii="Geomanist Light" w:hAnsi="Geomanist Light" w:cs="Arial"/>
          <w:bCs/>
          <w:sz w:val="22"/>
        </w:rPr>
        <w:t xml:space="preserve">, </w:t>
      </w:r>
      <w:r w:rsidR="009F58B7" w:rsidRPr="007F4406">
        <w:rPr>
          <w:rFonts w:ascii="Geomanist Light" w:hAnsi="Geomanist Light" w:cs="Arial"/>
          <w:bCs/>
          <w:sz w:val="22"/>
        </w:rPr>
        <w:t xml:space="preserve">el artículo 53 de la Ley 2195 de 2022 hace referencia a la obligación de las entidades exceptuadas de publicar los documentos relacionados con su actividad contractual, la cual define como «[…] los documentos, contratos, actos e información generada por oferentes, contratista, contratante, supervisor o interventor, tanto en la etapa precontractual, como en la contractual y la postcontractual». En ese sentido, la citada disposición establece el deber de publicar toda </w:t>
      </w:r>
      <w:r w:rsidR="009F58B7" w:rsidRPr="007F4406">
        <w:rPr>
          <w:rFonts w:ascii="Geomanist Light" w:hAnsi="Geomanist Light" w:cs="Arial"/>
          <w:bCs/>
          <w:sz w:val="22"/>
        </w:rPr>
        <w:lastRenderedPageBreak/>
        <w:t>aquella información relacionada con el respectivo contrato, sin incluir ninguna excepción relacionada con la naturaleza u objeto contractual</w:t>
      </w:r>
      <w:r w:rsidR="00FF2C29" w:rsidRPr="007F4406">
        <w:rPr>
          <w:rFonts w:ascii="Geomanist Light" w:hAnsi="Geomanist Light" w:cs="Arial"/>
          <w:bCs/>
          <w:sz w:val="22"/>
        </w:rPr>
        <w:t xml:space="preserve">,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 </w:t>
      </w:r>
    </w:p>
    <w:p w14:paraId="25CDC4CC" w14:textId="5F4691C2" w:rsidR="00FF2C29" w:rsidRPr="007F4406" w:rsidRDefault="00FF2C29" w:rsidP="00FF2C29">
      <w:pPr>
        <w:spacing w:line="276" w:lineRule="auto"/>
        <w:ind w:firstLine="708"/>
        <w:jc w:val="both"/>
        <w:rPr>
          <w:rFonts w:ascii="Geomanist Light" w:hAnsi="Geomanist Light" w:cs="Arial"/>
          <w:bCs/>
          <w:sz w:val="22"/>
        </w:rPr>
      </w:pPr>
      <w:r w:rsidRPr="007F4406">
        <w:rPr>
          <w:rFonts w:ascii="Geomanist Light" w:hAnsi="Geomanist Light" w:cs="Arial"/>
          <w:bCs/>
          <w:sz w:val="22"/>
        </w:rPr>
        <w:t xml:space="preserve">Ahora bien, en relación con las empresas prestadoras de servicios públicos domiciliarios debe señalarse que, conforme el artículo 31 y 32 de la Ley 142 de 1994, modificados por la Ley 689 de 2001, el régimen jurídico que, por regla general, debe aplicarse a la contratación que efectúan es el derecho privado y solo excepcionalmente el contenido en el Estatuto General de Contratación de la Administración Pública. En otras palabras, las empresas prestadoras de servicios públicos domiciliarios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la Ley 1150 de 2007 y demás normas complementarias, como es el caso del artículo 53 de la Ley 2195 de 2022, objeto del presente concepto, que modificó el artículo 13 de la Ley 1150 de 2007, el cual consagra los principios de actividad contractual aplicables a las entidades no sujetas al Estatuto General de Contratación de la Administración Pública. </w:t>
      </w:r>
    </w:p>
    <w:p w14:paraId="62037E74" w14:textId="776B959D" w:rsidR="00FF2C29" w:rsidRPr="007F4406" w:rsidRDefault="00FF2C29" w:rsidP="00FF2C29">
      <w:pPr>
        <w:spacing w:before="120" w:after="120" w:line="276" w:lineRule="auto"/>
        <w:ind w:firstLine="709"/>
        <w:jc w:val="both"/>
        <w:rPr>
          <w:rFonts w:ascii="Geomanist Light" w:hAnsi="Geomanist Light" w:cs="Arial"/>
          <w:bCs/>
          <w:sz w:val="22"/>
        </w:rPr>
      </w:pPr>
      <w:r w:rsidRPr="007F4406">
        <w:rPr>
          <w:rFonts w:ascii="Geomanist Light" w:hAnsi="Geomanist Light" w:cs="Arial"/>
          <w:bCs/>
          <w:sz w:val="22"/>
        </w:rPr>
        <w:t>Así las cosas, aunque los contratos que celebren las empresas prestadoras de servicios públicos están excluidos del Estatuto General de Contratación de la Administración Pública, no se rigen exclusivamente por el derecho civil y comercial, pues –conforme al artículo 13 de la Ley 1150 de 2007– se les aplican tanto los principios de la función administrativa y de la gestión fiscal como el régimen de inhabilidades e incompatibilidades, además están sujetas cumplir con el deber de publicar su actividad contractual en los términos analizados, de acuerdo con la modificación introducida por el artículo 53 de la Ley 2195 de 2022 y conforme fue analizado en los acápites 2.</w:t>
      </w:r>
      <w:r w:rsidR="003C54F0" w:rsidRPr="007F4406">
        <w:rPr>
          <w:rFonts w:ascii="Geomanist Light" w:hAnsi="Geomanist Light" w:cs="Arial"/>
          <w:bCs/>
          <w:sz w:val="22"/>
        </w:rPr>
        <w:t>3</w:t>
      </w:r>
      <w:r w:rsidRPr="007F4406">
        <w:rPr>
          <w:rFonts w:ascii="Geomanist Light" w:hAnsi="Geomanist Light" w:cs="Arial"/>
          <w:bCs/>
          <w:sz w:val="22"/>
        </w:rPr>
        <w:t xml:space="preserve"> y 2.</w:t>
      </w:r>
      <w:r w:rsidR="003C54F0" w:rsidRPr="007F4406">
        <w:rPr>
          <w:rFonts w:ascii="Geomanist Light" w:hAnsi="Geomanist Light" w:cs="Arial"/>
          <w:bCs/>
          <w:sz w:val="22"/>
        </w:rPr>
        <w:t>4</w:t>
      </w:r>
      <w:r w:rsidRPr="007F4406">
        <w:rPr>
          <w:rFonts w:ascii="Geomanist Light" w:hAnsi="Geomanist Light" w:cs="Arial"/>
          <w:bCs/>
          <w:sz w:val="22"/>
        </w:rPr>
        <w:t xml:space="preserve">. del presente oficio. </w:t>
      </w:r>
    </w:p>
    <w:p w14:paraId="3B1718C2" w14:textId="77777777" w:rsidR="00FF2C29" w:rsidRPr="007F4406" w:rsidRDefault="00FF2C29" w:rsidP="00FF2C29">
      <w:pPr>
        <w:spacing w:line="276" w:lineRule="auto"/>
        <w:ind w:firstLine="709"/>
        <w:jc w:val="both"/>
        <w:rPr>
          <w:rFonts w:ascii="Geomanist Light" w:hAnsi="Geomanist Light" w:cs="Arial"/>
          <w:bCs/>
          <w:sz w:val="22"/>
        </w:rPr>
      </w:pPr>
      <w:r w:rsidRPr="007F4406">
        <w:rPr>
          <w:rFonts w:ascii="Geomanist Light" w:hAnsi="Geomanist Light" w:cs="Arial"/>
          <w:bCs/>
          <w:sz w:val="22"/>
        </w:rPr>
        <w:t xml:space="preserve">Conviene señalar que la disposición precitada no consagra ninguna excepción respecto a su aplicación, por lo cual todas las entidades que no se encuentran sometidas al Estatuto General de Contratación de la Administración Pública deberán cumplir con el deber de publicación analizado en el presente concepto, sin que sea posible modular sus efectos. Lo anterior se refuerza si se tiene en cuenta que, de conformidad con el literal e) del artículo 9 y el literal g) del artículo 11 de la Ley 1712 de 2014, desarrollados en el artículo 7 del Decreto </w:t>
      </w:r>
      <w:r w:rsidRPr="007F4406">
        <w:rPr>
          <w:rFonts w:ascii="Geomanist Light" w:hAnsi="Geomanist Light" w:cs="Arial"/>
          <w:bCs/>
          <w:sz w:val="22"/>
        </w:rPr>
        <w:lastRenderedPageBreak/>
        <w:t>103 de 2015 –compilado en el artículo 2.1.1.2.1.7. del Decreto 1081 de 2015–, las entidades estatales –incluidas las que se rigen generalmente por el derecho privado en materia contractual–, al ser sujetos obligados a garantizar el derecho de acceso a la información y a los documentos públicos, deben publicar en el SECOP los documentos relacionados con su gestión contractual.</w:t>
      </w:r>
    </w:p>
    <w:p w14:paraId="342261E1" w14:textId="02CE3128" w:rsidR="00A508CE" w:rsidRPr="007F4406" w:rsidRDefault="003C54F0" w:rsidP="000F6871">
      <w:pPr>
        <w:spacing w:before="120" w:after="120" w:line="276" w:lineRule="auto"/>
        <w:ind w:firstLine="708"/>
        <w:jc w:val="both"/>
        <w:rPr>
          <w:rFonts w:ascii="Geomanist Light" w:hAnsi="Geomanist Light" w:cs="Arial"/>
          <w:bCs/>
          <w:sz w:val="22"/>
        </w:rPr>
      </w:pPr>
      <w:r w:rsidRPr="007F4406">
        <w:rPr>
          <w:rFonts w:ascii="Geomanist Light" w:hAnsi="Geomanist Light" w:cs="Arial"/>
          <w:bCs/>
          <w:sz w:val="22"/>
        </w:rPr>
        <w:t>Ahora bien</w:t>
      </w:r>
      <w:r w:rsidR="009F58B7" w:rsidRPr="007F4406">
        <w:rPr>
          <w:rFonts w:ascii="Geomanist Light" w:hAnsi="Geomanist Light" w:cs="Arial"/>
          <w:bCs/>
          <w:sz w:val="22"/>
        </w:rPr>
        <w:t xml:space="preserve">, para que las entidades exceptuadas cumplan con el deber de publicidad consagrado en </w:t>
      </w:r>
      <w:r w:rsidR="00D30EC5" w:rsidRPr="007F4406">
        <w:rPr>
          <w:rFonts w:ascii="Geomanist Light" w:hAnsi="Geomanist Light" w:cs="Arial"/>
          <w:bCs/>
          <w:sz w:val="22"/>
        </w:rPr>
        <w:t>la precitada norma</w:t>
      </w:r>
      <w:r w:rsidR="00E3405C" w:rsidRPr="007F4406">
        <w:rPr>
          <w:rFonts w:ascii="Geomanist Light" w:hAnsi="Geomanist Light" w:cs="Arial"/>
          <w:bCs/>
          <w:sz w:val="22"/>
        </w:rPr>
        <w:t xml:space="preserve">, </w:t>
      </w:r>
      <w:r w:rsidR="00D30EC5" w:rsidRPr="007F4406">
        <w:rPr>
          <w:rFonts w:ascii="Geomanist Light" w:hAnsi="Geomanist Light" w:cs="Arial"/>
          <w:bCs/>
          <w:sz w:val="22"/>
        </w:rPr>
        <w:t>esta</w:t>
      </w:r>
      <w:r w:rsidR="001973D6" w:rsidRPr="007F4406">
        <w:rPr>
          <w:rFonts w:ascii="Geomanist Light" w:hAnsi="Geomanist Light" w:cs="Arial"/>
          <w:bCs/>
          <w:sz w:val="22"/>
        </w:rPr>
        <w:t xml:space="preserve"> no dispuso que deban modificar </w:t>
      </w:r>
      <w:r w:rsidR="006466A2" w:rsidRPr="007F4406">
        <w:rPr>
          <w:rFonts w:ascii="Geomanist Light" w:hAnsi="Geomanist Light" w:cs="Arial"/>
          <w:bCs/>
          <w:sz w:val="22"/>
        </w:rPr>
        <w:t>sus manuales de contratació</w:t>
      </w:r>
      <w:r w:rsidR="000E349F" w:rsidRPr="007F4406">
        <w:rPr>
          <w:rFonts w:ascii="Geomanist Light" w:hAnsi="Geomanist Light" w:cs="Arial"/>
          <w:bCs/>
          <w:sz w:val="22"/>
        </w:rPr>
        <w:t>n,</w:t>
      </w:r>
      <w:r w:rsidR="006466A2" w:rsidRPr="007F4406">
        <w:rPr>
          <w:rFonts w:ascii="Geomanist Light" w:hAnsi="Geomanist Light" w:cs="Arial"/>
          <w:bCs/>
          <w:sz w:val="22"/>
        </w:rPr>
        <w:t xml:space="preserve"> </w:t>
      </w:r>
      <w:r w:rsidR="00C67429" w:rsidRPr="007F4406">
        <w:rPr>
          <w:rFonts w:ascii="Geomanist Light" w:hAnsi="Geomanist Light" w:cs="Arial"/>
          <w:bCs/>
          <w:sz w:val="22"/>
        </w:rPr>
        <w:t>so pena</w:t>
      </w:r>
      <w:r w:rsidR="006466A2" w:rsidRPr="007F4406">
        <w:rPr>
          <w:rFonts w:ascii="Geomanist Light" w:hAnsi="Geomanist Light" w:cs="Arial"/>
          <w:bCs/>
          <w:sz w:val="22"/>
        </w:rPr>
        <w:t xml:space="preserve"> en</w:t>
      </w:r>
      <w:r w:rsidR="00C67429" w:rsidRPr="007F4406">
        <w:rPr>
          <w:rFonts w:ascii="Geomanist Light" w:hAnsi="Geomanist Light" w:cs="Arial"/>
          <w:bCs/>
          <w:sz w:val="22"/>
        </w:rPr>
        <w:t xml:space="preserve"> aquellos casos en los que estos sean contrarios a la ley</w:t>
      </w:r>
    </w:p>
    <w:p w14:paraId="4F56F218" w14:textId="31BD3F47" w:rsidR="003C54F0" w:rsidRPr="007F4406" w:rsidRDefault="003C54F0" w:rsidP="003C54F0">
      <w:pPr>
        <w:spacing w:after="120" w:line="276" w:lineRule="auto"/>
        <w:ind w:firstLine="709"/>
        <w:jc w:val="both"/>
        <w:rPr>
          <w:rFonts w:ascii="Geomanist Light" w:hAnsi="Geomanist Light" w:cs="Arial"/>
          <w:bCs/>
          <w:sz w:val="22"/>
        </w:rPr>
      </w:pPr>
      <w:r w:rsidRPr="007F4406">
        <w:rPr>
          <w:rFonts w:ascii="Geomanist Light" w:hAnsi="Geomanist Light" w:cs="Arial"/>
          <w:bCs/>
          <w:sz w:val="22"/>
        </w:rPr>
        <w:t>Por otro lado,</w:t>
      </w:r>
      <w:r w:rsidR="00E55DDE" w:rsidRPr="007F4406">
        <w:rPr>
          <w:rFonts w:ascii="Geomanist Light" w:hAnsi="Geomanist Light" w:cs="Arial"/>
          <w:bCs/>
          <w:sz w:val="22"/>
        </w:rPr>
        <w:t xml:space="preserve"> </w:t>
      </w:r>
      <w:r w:rsidR="003F40D1" w:rsidRPr="007F4406">
        <w:rPr>
          <w:rFonts w:ascii="Geomanist Light" w:hAnsi="Geomanist Light" w:cs="Arial"/>
          <w:bCs/>
          <w:sz w:val="22"/>
        </w:rPr>
        <w:t xml:space="preserve">el artículo 31 de la Ley 142 de 1994, modificado por el artículo 3 de la Ley 689 de 2001, dispuso que </w:t>
      </w:r>
      <w:r w:rsidRPr="007F4406">
        <w:rPr>
          <w:rFonts w:ascii="Geomanist Light" w:hAnsi="Geomanist Light" w:cs="Arial"/>
          <w:bCs/>
          <w:sz w:val="22"/>
        </w:rPr>
        <w:t>las empresas prestadoras de servicios públicos domiciliarios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Estatuto General de Contratación de la Administración Pública –Ley 80 de 1993–, la Ley 1150 de 2007 y demás normas complementarias, así como en las situaciones en las que la Ley 142 de 1994 u otras leyes especiales lo dispongan.</w:t>
      </w:r>
    </w:p>
    <w:p w14:paraId="0BC43C48" w14:textId="59488DA0" w:rsidR="00736365" w:rsidRPr="007F4406" w:rsidRDefault="003C54F0" w:rsidP="003C54F0">
      <w:pPr>
        <w:spacing w:before="120" w:after="120" w:line="276" w:lineRule="auto"/>
        <w:ind w:firstLine="709"/>
        <w:jc w:val="both"/>
        <w:rPr>
          <w:rFonts w:ascii="Geomanist Light" w:hAnsi="Geomanist Light" w:cs="Arial"/>
          <w:bCs/>
          <w:sz w:val="22"/>
        </w:rPr>
      </w:pPr>
      <w:r w:rsidRPr="007F4406">
        <w:rPr>
          <w:rFonts w:ascii="Geomanist Light" w:hAnsi="Geomanist Light" w:cs="Arial"/>
          <w:bCs/>
          <w:sz w:val="22"/>
        </w:rPr>
        <w:t>R</w:t>
      </w:r>
      <w:r w:rsidR="00F63C49" w:rsidRPr="007F4406">
        <w:rPr>
          <w:rFonts w:ascii="Geomanist Light" w:hAnsi="Geomanist Light" w:cs="Arial"/>
          <w:bCs/>
          <w:sz w:val="22"/>
        </w:rPr>
        <w:t xml:space="preserve">especto de la existencia de «topes legales» que determinen las circunstancias en las que las empresas prestadoras de servicios públicos domiciliarios deban contratar bajo la modalidad de </w:t>
      </w:r>
      <w:r w:rsidR="005B4DC7" w:rsidRPr="007F4406">
        <w:rPr>
          <w:rFonts w:ascii="Geomanist Light" w:hAnsi="Geomanist Light" w:cs="Arial"/>
          <w:bCs/>
          <w:sz w:val="22"/>
        </w:rPr>
        <w:t xml:space="preserve">selección de </w:t>
      </w:r>
      <w:r w:rsidR="00F63C49" w:rsidRPr="007F4406">
        <w:rPr>
          <w:rFonts w:ascii="Geomanist Light" w:hAnsi="Geomanist Light" w:cs="Arial"/>
          <w:bCs/>
          <w:sz w:val="22"/>
        </w:rPr>
        <w:t>licitación pública, no se observa en la</w:t>
      </w:r>
      <w:r w:rsidR="005B4DC7" w:rsidRPr="007F4406">
        <w:rPr>
          <w:rFonts w:ascii="Geomanist Light" w:hAnsi="Geomanist Light" w:cs="Arial"/>
          <w:bCs/>
          <w:sz w:val="22"/>
        </w:rPr>
        <w:t xml:space="preserve"> Ley </w:t>
      </w:r>
      <w:r w:rsidR="00F63C49" w:rsidRPr="007F4406">
        <w:rPr>
          <w:rFonts w:ascii="Geomanist Light" w:hAnsi="Geomanist Light" w:cs="Arial"/>
          <w:bCs/>
          <w:sz w:val="22"/>
        </w:rPr>
        <w:t xml:space="preserve">142 de 1994, </w:t>
      </w:r>
      <w:r w:rsidR="005B4DC7" w:rsidRPr="007F4406">
        <w:rPr>
          <w:rFonts w:ascii="Geomanist Light" w:hAnsi="Geomanist Light" w:cs="Arial"/>
          <w:bCs/>
          <w:sz w:val="22"/>
        </w:rPr>
        <w:t xml:space="preserve">Ley </w:t>
      </w:r>
      <w:r w:rsidR="00F63C49" w:rsidRPr="007F4406">
        <w:rPr>
          <w:rFonts w:ascii="Geomanist Light" w:hAnsi="Geomanist Light" w:cs="Arial"/>
          <w:bCs/>
          <w:sz w:val="22"/>
        </w:rPr>
        <w:t xml:space="preserve">689 de 2001, </w:t>
      </w:r>
      <w:r w:rsidR="005B4DC7" w:rsidRPr="007F4406">
        <w:rPr>
          <w:rFonts w:ascii="Geomanist Light" w:hAnsi="Geomanist Light" w:cs="Arial"/>
          <w:bCs/>
          <w:sz w:val="22"/>
        </w:rPr>
        <w:t xml:space="preserve">Ley </w:t>
      </w:r>
      <w:r w:rsidR="00F63C49" w:rsidRPr="007F4406">
        <w:rPr>
          <w:rFonts w:ascii="Geomanist Light" w:hAnsi="Geomanist Light" w:cs="Arial"/>
          <w:bCs/>
          <w:sz w:val="22"/>
        </w:rPr>
        <w:t xml:space="preserve">80 de 1993 y </w:t>
      </w:r>
      <w:r w:rsidR="005B4DC7" w:rsidRPr="007F4406">
        <w:rPr>
          <w:rFonts w:ascii="Geomanist Light" w:hAnsi="Geomanist Light" w:cs="Arial"/>
          <w:bCs/>
          <w:sz w:val="22"/>
        </w:rPr>
        <w:t xml:space="preserve">Ley </w:t>
      </w:r>
      <w:r w:rsidR="00F63C49" w:rsidRPr="007F4406">
        <w:rPr>
          <w:rFonts w:ascii="Geomanist Light" w:hAnsi="Geomanist Light" w:cs="Arial"/>
          <w:bCs/>
          <w:sz w:val="22"/>
        </w:rPr>
        <w:t>1150 de 2007, disposición que establezca cuantía alguna para que estas entidades regidas por el derecho privado deban adelantar sus contrataciones mediante licitación pública</w:t>
      </w:r>
      <w:r w:rsidR="0065545E" w:rsidRPr="007F4406">
        <w:rPr>
          <w:rFonts w:ascii="Geomanist Light" w:hAnsi="Geomanist Light" w:cs="Arial"/>
          <w:bCs/>
          <w:sz w:val="22"/>
        </w:rPr>
        <w:t xml:space="preserve"> o en aplicación del Estatuto General de Contratación de la Administración Pública</w:t>
      </w:r>
      <w:r w:rsidR="00125BA8" w:rsidRPr="007F4406">
        <w:rPr>
          <w:rFonts w:ascii="Geomanist Light" w:hAnsi="Geomanist Light" w:cs="Arial"/>
          <w:bCs/>
          <w:sz w:val="22"/>
        </w:rPr>
        <w:t xml:space="preserve">. </w:t>
      </w:r>
    </w:p>
    <w:p w14:paraId="78BD73A8" w14:textId="0E800307" w:rsidR="00B167DB" w:rsidRPr="007F4406" w:rsidRDefault="003C54F0" w:rsidP="00125BA8">
      <w:pPr>
        <w:spacing w:after="120" w:line="276" w:lineRule="auto"/>
        <w:ind w:firstLine="709"/>
        <w:jc w:val="both"/>
        <w:rPr>
          <w:rFonts w:ascii="Geomanist Light" w:hAnsi="Geomanist Light" w:cs="Arial"/>
          <w:bCs/>
          <w:sz w:val="22"/>
        </w:rPr>
      </w:pPr>
      <w:r w:rsidRPr="007F4406">
        <w:rPr>
          <w:rFonts w:ascii="Geomanist Light" w:hAnsi="Geomanist Light" w:cs="Arial"/>
          <w:bCs/>
          <w:sz w:val="22"/>
        </w:rPr>
        <w:t>No obstante lo anterior</w:t>
      </w:r>
      <w:r w:rsidR="00B167DB" w:rsidRPr="007F4406">
        <w:rPr>
          <w:rFonts w:ascii="Geomanist Light" w:hAnsi="Geomanist Light" w:cs="Arial"/>
          <w:bCs/>
          <w:sz w:val="22"/>
        </w:rPr>
        <w:t xml:space="preserve">, resulta </w:t>
      </w:r>
      <w:r w:rsidRPr="007F4406">
        <w:rPr>
          <w:rFonts w:ascii="Geomanist Light" w:hAnsi="Geomanist Light" w:cs="Arial"/>
          <w:bCs/>
          <w:sz w:val="22"/>
        </w:rPr>
        <w:t xml:space="preserve">pertinente </w:t>
      </w:r>
      <w:r w:rsidR="00B167DB" w:rsidRPr="007F4406">
        <w:rPr>
          <w:rFonts w:ascii="Geomanist Light" w:hAnsi="Geomanist Light" w:cs="Arial"/>
          <w:bCs/>
          <w:sz w:val="22"/>
        </w:rPr>
        <w:t>señalar que la Ley 142 de 1994 en su artículo 35 dispuso</w:t>
      </w:r>
      <w:r w:rsidR="00C656DB" w:rsidRPr="007F4406">
        <w:rPr>
          <w:rFonts w:ascii="Geomanist Light" w:hAnsi="Geomanist Light" w:cs="Arial"/>
          <w:bCs/>
          <w:sz w:val="22"/>
        </w:rPr>
        <w:t xml:space="preserve"> que: «</w:t>
      </w:r>
      <w:r w:rsidR="00736365" w:rsidRPr="007F4406">
        <w:rPr>
          <w:rFonts w:ascii="Geomanist Light" w:hAnsi="Geomanist Light" w:cs="Arial"/>
          <w:bCs/>
          <w:sz w:val="22"/>
        </w:rPr>
        <w:t>las empresas de servicios públicos que tengan una posición dominante en el mercado, y cuya principal actividad sea la distribución de bienes o servicios provistos por terceros, tendrán que adquirir el bien o servicio que distribuyan por medio de procedimientos que aseguren posibilidad de concurrencia a los eventuales contratistas, en igual de condiciones</w:t>
      </w:r>
      <w:r w:rsidR="00620ED3" w:rsidRPr="007F4406">
        <w:rPr>
          <w:rFonts w:ascii="Geomanist Light" w:hAnsi="Geomanist Light" w:cs="Arial"/>
          <w:bCs/>
          <w:sz w:val="22"/>
        </w:rPr>
        <w:t xml:space="preserve">. </w:t>
      </w:r>
      <w:r w:rsidR="00C656DB" w:rsidRPr="007F4406">
        <w:rPr>
          <w:rFonts w:ascii="Geomanist Light" w:hAnsi="Geomanist Light" w:cs="Arial"/>
          <w:bCs/>
          <w:sz w:val="22"/>
        </w:rPr>
        <w:t>En</w:t>
      </w:r>
      <w:r w:rsidR="00620ED3" w:rsidRPr="007F4406">
        <w:rPr>
          <w:rFonts w:ascii="Geomanist Light" w:hAnsi="Geomanist Light" w:cs="Arial"/>
          <w:bCs/>
          <w:sz w:val="22"/>
        </w:rPr>
        <w:t xml:space="preserve"> estos casos, y en los de otros contratos de las empresas, las comisiones de regulación </w:t>
      </w:r>
      <w:r w:rsidR="001044CB" w:rsidRPr="007F4406">
        <w:rPr>
          <w:rFonts w:ascii="Geomanist Light" w:hAnsi="Geomanist Light" w:cs="Arial"/>
          <w:bCs/>
          <w:sz w:val="22"/>
        </w:rPr>
        <w:t>podrán exigir, por vía general, que se celebren previa licitación pública […].</w:t>
      </w:r>
      <w:r w:rsidR="00167775" w:rsidRPr="007F4406">
        <w:rPr>
          <w:rFonts w:ascii="Geomanist Light" w:hAnsi="Geomanist Light" w:cs="Arial"/>
          <w:bCs/>
          <w:sz w:val="22"/>
        </w:rPr>
        <w:t>»</w:t>
      </w:r>
    </w:p>
    <w:p w14:paraId="679B8C62" w14:textId="0230F536" w:rsidR="00BE3590" w:rsidRPr="007F4406" w:rsidRDefault="00B167DB" w:rsidP="00167775">
      <w:pPr>
        <w:spacing w:line="276" w:lineRule="auto"/>
        <w:jc w:val="both"/>
        <w:rPr>
          <w:rFonts w:ascii="Geomanist Light" w:hAnsi="Geomanist Light" w:cs="Arial"/>
          <w:bCs/>
          <w:sz w:val="22"/>
        </w:rPr>
      </w:pPr>
      <w:r w:rsidRPr="007F4406">
        <w:rPr>
          <w:rFonts w:ascii="Geomanist Light" w:hAnsi="Geomanist Light" w:cs="Arial"/>
          <w:bCs/>
          <w:sz w:val="22"/>
        </w:rPr>
        <w:tab/>
      </w:r>
      <w:r w:rsidR="003C54F0" w:rsidRPr="007F4406">
        <w:rPr>
          <w:rFonts w:ascii="Geomanist Light" w:hAnsi="Geomanist Light" w:cs="Arial"/>
          <w:bCs/>
          <w:sz w:val="22"/>
        </w:rPr>
        <w:t>Del artículo citado</w:t>
      </w:r>
      <w:r w:rsidR="00070964" w:rsidRPr="007F4406">
        <w:rPr>
          <w:rFonts w:ascii="Geomanist Light" w:hAnsi="Geomanist Light" w:cs="Arial"/>
          <w:bCs/>
          <w:sz w:val="22"/>
        </w:rPr>
        <w:t xml:space="preserve">, se concluye que el Legislador determinó una situación particular en la que las empresas de servicios públicos deban adelantar sus procesos de contratación mediante la modalidad de selección de licitación pública dispuesta en el numeral 1 del artículo </w:t>
      </w:r>
      <w:r w:rsidR="00070964" w:rsidRPr="007F4406">
        <w:rPr>
          <w:rFonts w:ascii="Geomanist Light" w:hAnsi="Geomanist Light" w:cs="Arial"/>
          <w:bCs/>
          <w:sz w:val="22"/>
        </w:rPr>
        <w:lastRenderedPageBreak/>
        <w:t>2 de la Ley 1150 de 2007</w:t>
      </w:r>
      <w:r w:rsidR="003C54F0" w:rsidRPr="007F4406">
        <w:rPr>
          <w:rFonts w:ascii="Geomanist Light" w:hAnsi="Geomanist Light" w:cs="Arial"/>
          <w:bCs/>
          <w:sz w:val="22"/>
        </w:rPr>
        <w:t xml:space="preserve"> o a través de cualquier otro procedimiento que estimule la concurrencia de oferentes</w:t>
      </w:r>
      <w:r w:rsidR="00070964" w:rsidRPr="007F4406">
        <w:rPr>
          <w:rFonts w:ascii="Geomanist Light" w:hAnsi="Geomanist Light" w:cs="Arial"/>
          <w:bCs/>
          <w:sz w:val="22"/>
        </w:rPr>
        <w:t xml:space="preserve">. </w:t>
      </w:r>
    </w:p>
    <w:p w14:paraId="00058292" w14:textId="77777777" w:rsidR="003C54F0" w:rsidRPr="007F4406" w:rsidRDefault="003C54F0" w:rsidP="00E80F8D">
      <w:pPr>
        <w:spacing w:line="276" w:lineRule="auto"/>
        <w:jc w:val="both"/>
        <w:rPr>
          <w:rFonts w:ascii="Geomanist Light" w:hAnsi="Geomanist Light" w:cs="Arial"/>
          <w:bCs/>
          <w:sz w:val="22"/>
        </w:rPr>
      </w:pPr>
    </w:p>
    <w:p w14:paraId="7AE9D132" w14:textId="2E3D4825" w:rsidR="001F4546" w:rsidRPr="007F4406" w:rsidRDefault="00F1108B" w:rsidP="00E80F8D">
      <w:pPr>
        <w:spacing w:line="276" w:lineRule="auto"/>
        <w:jc w:val="both"/>
        <w:rPr>
          <w:rFonts w:ascii="Geomanist Light" w:hAnsi="Geomanist Light" w:cs="Arial"/>
          <w:bCs/>
          <w:sz w:val="22"/>
        </w:rPr>
      </w:pPr>
      <w:r w:rsidRPr="007F4406">
        <w:rPr>
          <w:rFonts w:ascii="Geomanist Light" w:hAnsi="Geomanist Light" w:cs="Arial"/>
          <w:bCs/>
          <w:sz w:val="22"/>
        </w:rPr>
        <w:t>Este concepto tiene el alcance previsto en el artículo 28 del Código de Procedimiento Administrativo y de lo Contencioso Administrativo.</w:t>
      </w:r>
    </w:p>
    <w:p w14:paraId="770B636C" w14:textId="2819699C" w:rsidR="001F4546" w:rsidRPr="007F4406" w:rsidRDefault="001F4546" w:rsidP="001F4546">
      <w:pPr>
        <w:pStyle w:val="NormalWeb"/>
        <w:spacing w:before="0" w:beforeAutospacing="0" w:after="0" w:afterAutospacing="0" w:line="276" w:lineRule="auto"/>
        <w:jc w:val="center"/>
        <w:rPr>
          <w:rFonts w:ascii="Geomanist Light" w:eastAsiaTheme="minorHAnsi" w:hAnsi="Geomanist Light" w:cs="Arial"/>
          <w:bCs/>
          <w:sz w:val="22"/>
          <w:szCs w:val="22"/>
          <w:lang w:val="es-MX" w:eastAsia="en-US"/>
        </w:rPr>
      </w:pPr>
    </w:p>
    <w:p w14:paraId="1792AFE2" w14:textId="77777777" w:rsidR="00105A2B" w:rsidRPr="007F4406" w:rsidRDefault="00105A2B" w:rsidP="00105A2B">
      <w:pPr>
        <w:rPr>
          <w:rFonts w:ascii="Geomanist Light" w:hAnsi="Geomanist Light" w:cs="Arial"/>
          <w:bCs/>
          <w:sz w:val="22"/>
        </w:rPr>
      </w:pPr>
      <w:r w:rsidRPr="007F4406">
        <w:rPr>
          <w:rFonts w:ascii="Geomanist Light" w:hAnsi="Geomanist Light" w:cs="Arial"/>
          <w:bCs/>
          <w:sz w:val="22"/>
        </w:rPr>
        <w:t>Atentamente,</w:t>
      </w:r>
    </w:p>
    <w:p w14:paraId="71722EEB" w14:textId="77777777" w:rsidR="00105A2B" w:rsidRPr="007F4406" w:rsidRDefault="00105A2B" w:rsidP="00105A2B">
      <w:pPr>
        <w:rPr>
          <w:rFonts w:ascii="Geomanist Light" w:hAnsi="Geomanist Light" w:cs="Arial"/>
          <w:bCs/>
          <w:sz w:val="22"/>
        </w:rPr>
      </w:pPr>
    </w:p>
    <w:p w14:paraId="447ECFF5" w14:textId="7D77D07E" w:rsidR="00105A2B" w:rsidRPr="007F4406" w:rsidRDefault="0042510D" w:rsidP="00105A2B">
      <w:pPr>
        <w:jc w:val="center"/>
        <w:rPr>
          <w:rFonts w:ascii="Geomanist Light" w:eastAsia="Times New Roman" w:hAnsi="Geomanist Light" w:cs="Arial"/>
          <w:sz w:val="18"/>
          <w:szCs w:val="20"/>
          <w:lang w:val="es-CO" w:eastAsia="es-CO"/>
        </w:rPr>
      </w:pPr>
      <w:r>
        <w:rPr>
          <w:rFonts w:ascii="Arial" w:hAnsi="Arial" w:cs="Arial"/>
          <w:noProof/>
          <w:color w:val="3B3838"/>
          <w:sz w:val="18"/>
          <w:szCs w:val="18"/>
          <w:shd w:val="clear" w:color="auto" w:fill="FFFFFF"/>
          <w:lang w:val="es-ES"/>
        </w:rPr>
        <w:drawing>
          <wp:inline distT="0" distB="0" distL="0" distR="0" wp14:anchorId="31E8D05B" wp14:editId="32185DF3">
            <wp:extent cx="3157220" cy="1207770"/>
            <wp:effectExtent l="0" t="0" r="508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220" cy="1207770"/>
                    </a:xfrm>
                    <a:prstGeom prst="rect">
                      <a:avLst/>
                    </a:prstGeom>
                    <a:noFill/>
                    <a:ln>
                      <a:noFill/>
                    </a:ln>
                  </pic:spPr>
                </pic:pic>
              </a:graphicData>
            </a:graphic>
          </wp:inline>
        </w:drawing>
      </w:r>
      <w:r>
        <w:rPr>
          <w:rFonts w:ascii="Arial" w:hAnsi="Arial" w:cs="Arial"/>
          <w:b/>
          <w:bCs/>
          <w:color w:val="000000"/>
          <w:sz w:val="18"/>
          <w:szCs w:val="18"/>
          <w:shd w:val="clear" w:color="auto" w:fill="FFFFFF"/>
          <w:lang w:val="es-ES"/>
        </w:rPr>
        <w:br/>
      </w:r>
      <w:r w:rsidR="00746F03" w:rsidRPr="007F4406">
        <w:rPr>
          <w:rFonts w:ascii="Geomanist Light" w:hAnsi="Geomanist Light" w:cs="Calibri"/>
          <w:color w:val="000000"/>
          <w:sz w:val="22"/>
          <w:shd w:val="clear" w:color="auto" w:fill="FFFFFF"/>
        </w:rPr>
        <w:br/>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4413"/>
      </w:tblGrid>
      <w:tr w:rsidR="00105A2B" w:rsidRPr="007F4406" w14:paraId="0AA61A8A" w14:textId="77777777" w:rsidTr="003C54F0">
        <w:trPr>
          <w:trHeight w:val="315"/>
        </w:trPr>
        <w:tc>
          <w:tcPr>
            <w:tcW w:w="759" w:type="dxa"/>
            <w:vAlign w:val="center"/>
            <w:hideMark/>
          </w:tcPr>
          <w:p w14:paraId="4FFCCD49" w14:textId="77777777" w:rsidR="00105A2B" w:rsidRPr="007F4406" w:rsidRDefault="00105A2B" w:rsidP="00CF10B6">
            <w:pPr>
              <w:rPr>
                <w:rFonts w:ascii="Geomanist Light" w:hAnsi="Geomanist Light" w:cs="Arial"/>
                <w:sz w:val="16"/>
                <w:szCs w:val="16"/>
                <w:lang w:val="es-CO" w:eastAsia="es-ES"/>
              </w:rPr>
            </w:pPr>
            <w:r w:rsidRPr="007F4406">
              <w:rPr>
                <w:rFonts w:ascii="Geomanist Light" w:hAnsi="Geomanist Light"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305C36D9" w14:textId="77777777" w:rsidR="00105A2B" w:rsidRPr="007F4406" w:rsidRDefault="00105A2B" w:rsidP="00CF10B6">
            <w:pPr>
              <w:rPr>
                <w:rFonts w:ascii="Geomanist Light" w:hAnsi="Geomanist Light" w:cs="Arial"/>
                <w:sz w:val="16"/>
                <w:szCs w:val="16"/>
                <w:lang w:val="es-CO" w:eastAsia="es-ES"/>
              </w:rPr>
            </w:pPr>
          </w:p>
          <w:p w14:paraId="5CB0E7B1" w14:textId="7DFD89F7" w:rsidR="00105A2B" w:rsidRPr="007F4406" w:rsidRDefault="00E80F8D" w:rsidP="00CF10B6">
            <w:pPr>
              <w:rPr>
                <w:rFonts w:ascii="Geomanist Light" w:hAnsi="Geomanist Light" w:cs="Arial"/>
                <w:sz w:val="16"/>
                <w:szCs w:val="16"/>
                <w:lang w:val="es-CO" w:eastAsia="es-ES"/>
              </w:rPr>
            </w:pPr>
            <w:r w:rsidRPr="007F4406">
              <w:rPr>
                <w:rFonts w:ascii="Geomanist Light" w:hAnsi="Geomanist Light" w:cs="Arial"/>
                <w:sz w:val="16"/>
                <w:szCs w:val="16"/>
                <w:lang w:val="es-CO" w:eastAsia="es-ES"/>
              </w:rPr>
              <w:t>Nasly Y</w:t>
            </w:r>
            <w:r w:rsidR="002A49A1" w:rsidRPr="007F4406">
              <w:rPr>
                <w:rFonts w:ascii="Geomanist Light" w:hAnsi="Geomanist Light" w:cs="Arial"/>
                <w:sz w:val="16"/>
                <w:szCs w:val="16"/>
                <w:lang w:val="es-CO" w:eastAsia="es-ES"/>
              </w:rPr>
              <w:t>eana Mosquera Rivas</w:t>
            </w:r>
          </w:p>
          <w:p w14:paraId="09B5485F" w14:textId="78B5B4D0" w:rsidR="00105A2B" w:rsidRPr="007F4406" w:rsidRDefault="002A49A1" w:rsidP="00CF10B6">
            <w:pPr>
              <w:rPr>
                <w:rFonts w:ascii="Geomanist Light" w:hAnsi="Geomanist Light" w:cs="Arial"/>
                <w:sz w:val="16"/>
                <w:szCs w:val="16"/>
                <w:lang w:val="es-CO" w:eastAsia="es-ES"/>
              </w:rPr>
            </w:pPr>
            <w:r w:rsidRPr="007F4406">
              <w:rPr>
                <w:rFonts w:ascii="Geomanist Light" w:hAnsi="Geomanist Light" w:cs="Arial"/>
                <w:sz w:val="16"/>
                <w:szCs w:val="16"/>
                <w:lang w:val="es-CO" w:eastAsia="es-ES"/>
              </w:rPr>
              <w:t>Analista T2</w:t>
            </w:r>
            <w:r w:rsidR="00E65DFE" w:rsidRPr="007F4406">
              <w:rPr>
                <w:rFonts w:ascii="Geomanist Light" w:hAnsi="Geomanist Light" w:cs="Arial"/>
                <w:sz w:val="16"/>
                <w:szCs w:val="16"/>
                <w:lang w:val="es-CO" w:eastAsia="es-ES"/>
              </w:rPr>
              <w:t xml:space="preserve">–06 </w:t>
            </w:r>
            <w:r w:rsidR="00105A2B" w:rsidRPr="007F4406">
              <w:rPr>
                <w:rFonts w:ascii="Geomanist Light" w:hAnsi="Geomanist Light" w:cs="Arial"/>
                <w:sz w:val="16"/>
                <w:szCs w:val="16"/>
                <w:lang w:val="es-CO" w:eastAsia="es-ES"/>
              </w:rPr>
              <w:t>de la Subdirección de Gestión Contractual</w:t>
            </w:r>
          </w:p>
        </w:tc>
      </w:tr>
      <w:tr w:rsidR="003C54F0" w:rsidRPr="007F4406" w14:paraId="3D1149CC" w14:textId="77777777" w:rsidTr="003C54F0">
        <w:trPr>
          <w:trHeight w:val="330"/>
        </w:trPr>
        <w:tc>
          <w:tcPr>
            <w:tcW w:w="759" w:type="dxa"/>
            <w:vAlign w:val="center"/>
            <w:hideMark/>
          </w:tcPr>
          <w:p w14:paraId="2154D230" w14:textId="77777777" w:rsidR="003C54F0" w:rsidRPr="007F4406" w:rsidRDefault="003C54F0" w:rsidP="003C54F0">
            <w:pPr>
              <w:rPr>
                <w:rFonts w:ascii="Geomanist Light" w:hAnsi="Geomanist Light" w:cs="Arial"/>
                <w:sz w:val="16"/>
                <w:szCs w:val="16"/>
                <w:lang w:val="es-CO" w:eastAsia="es-ES"/>
              </w:rPr>
            </w:pPr>
            <w:r w:rsidRPr="007F4406">
              <w:rPr>
                <w:rFonts w:ascii="Geomanist Light" w:hAnsi="Geomanist Light"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161DEE" w14:textId="77777777" w:rsidR="003C54F0" w:rsidRPr="007F4406" w:rsidRDefault="003C54F0" w:rsidP="003C54F0">
            <w:pPr>
              <w:jc w:val="both"/>
              <w:rPr>
                <w:rFonts w:ascii="Geomanist Light" w:hAnsi="Geomanist Light" w:cs="Arial"/>
                <w:sz w:val="16"/>
                <w:szCs w:val="16"/>
                <w:lang w:val="es-CO" w:eastAsia="es-ES"/>
              </w:rPr>
            </w:pPr>
            <w:r w:rsidRPr="007F4406">
              <w:rPr>
                <w:rFonts w:ascii="Geomanist Light" w:hAnsi="Geomanist Light" w:cs="Arial"/>
                <w:sz w:val="16"/>
                <w:szCs w:val="16"/>
                <w:lang w:val="es-CO" w:eastAsia="es-ES"/>
              </w:rPr>
              <w:t xml:space="preserve">Martha Alicia Romero Vargas </w:t>
            </w:r>
          </w:p>
          <w:p w14:paraId="5FD3026F" w14:textId="0AD4C4A5" w:rsidR="003C54F0" w:rsidRPr="007F4406" w:rsidRDefault="003C54F0" w:rsidP="003C54F0">
            <w:pPr>
              <w:rPr>
                <w:rFonts w:ascii="Geomanist Light" w:hAnsi="Geomanist Light" w:cs="Arial"/>
                <w:sz w:val="14"/>
                <w:szCs w:val="14"/>
                <w:lang w:eastAsia="es-ES"/>
              </w:rPr>
            </w:pPr>
            <w:r w:rsidRPr="007F4406">
              <w:rPr>
                <w:rFonts w:ascii="Geomanist Light" w:hAnsi="Geomanist Light" w:cs="Arial"/>
                <w:sz w:val="16"/>
                <w:szCs w:val="16"/>
                <w:lang w:val="es-CO" w:eastAsia="es-ES"/>
              </w:rPr>
              <w:t>Gestor T1-15 Subdirección Contractual</w:t>
            </w:r>
          </w:p>
        </w:tc>
      </w:tr>
      <w:tr w:rsidR="003C54F0" w:rsidRPr="00627A2D" w14:paraId="7B08D7A9" w14:textId="77777777" w:rsidTr="003C54F0">
        <w:trPr>
          <w:trHeight w:val="300"/>
        </w:trPr>
        <w:tc>
          <w:tcPr>
            <w:tcW w:w="759" w:type="dxa"/>
            <w:vAlign w:val="center"/>
            <w:hideMark/>
          </w:tcPr>
          <w:p w14:paraId="5B48D90C" w14:textId="77777777" w:rsidR="003C54F0" w:rsidRPr="007F4406" w:rsidRDefault="003C54F0" w:rsidP="003C54F0">
            <w:pPr>
              <w:rPr>
                <w:rFonts w:ascii="Geomanist Light" w:hAnsi="Geomanist Light" w:cs="Arial"/>
                <w:sz w:val="16"/>
                <w:szCs w:val="16"/>
                <w:lang w:val="es-CO" w:eastAsia="es-ES"/>
              </w:rPr>
            </w:pPr>
            <w:r w:rsidRPr="007F4406">
              <w:rPr>
                <w:rFonts w:ascii="Geomanist Light" w:hAnsi="Geomanist Light"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BB7535" w14:textId="6D943ADC" w:rsidR="003C54F0" w:rsidRPr="007F4406" w:rsidRDefault="003C54F0" w:rsidP="003C54F0">
            <w:pPr>
              <w:rPr>
                <w:rFonts w:ascii="Geomanist Light" w:hAnsi="Geomanist Light" w:cs="Arial"/>
                <w:sz w:val="16"/>
                <w:szCs w:val="16"/>
                <w:lang w:val="es-CO" w:eastAsia="es-ES"/>
              </w:rPr>
            </w:pPr>
            <w:r w:rsidRPr="007F4406">
              <w:rPr>
                <w:rFonts w:ascii="Geomanist Light" w:hAnsi="Geomanist Light" w:cs="Arial"/>
                <w:sz w:val="16"/>
                <w:szCs w:val="16"/>
                <w:lang w:val="es-CO" w:eastAsia="es-ES"/>
              </w:rPr>
              <w:t>Nohelia del Carmen Zawady Palacio</w:t>
            </w:r>
          </w:p>
          <w:p w14:paraId="768C2F8B" w14:textId="237DFF9B" w:rsidR="003C54F0" w:rsidRPr="00627A2D" w:rsidRDefault="003C54F0" w:rsidP="003C54F0">
            <w:pPr>
              <w:rPr>
                <w:rFonts w:ascii="Geomanist Light" w:hAnsi="Geomanist Light" w:cs="Arial"/>
                <w:sz w:val="16"/>
                <w:szCs w:val="16"/>
                <w:lang w:val="es-CO" w:eastAsia="es-ES"/>
              </w:rPr>
            </w:pPr>
            <w:r w:rsidRPr="007F4406">
              <w:rPr>
                <w:rFonts w:ascii="Geomanist Light" w:hAnsi="Geomanist Light" w:cs="Arial"/>
                <w:sz w:val="16"/>
                <w:szCs w:val="16"/>
                <w:lang w:val="es-CO" w:eastAsia="es-ES"/>
              </w:rPr>
              <w:t>Subdirectora de Gestión Contractual ANCP – CCE</w:t>
            </w:r>
          </w:p>
        </w:tc>
      </w:tr>
    </w:tbl>
    <w:p w14:paraId="0AF2149B" w14:textId="34B97487" w:rsidR="001F4546" w:rsidRPr="00627A2D" w:rsidRDefault="001F4546" w:rsidP="001F4546">
      <w:pPr>
        <w:jc w:val="center"/>
        <w:rPr>
          <w:rFonts w:ascii="Geomanist Light" w:hAnsi="Geomanist Light" w:cs="Arial"/>
          <w:sz w:val="18"/>
          <w:szCs w:val="20"/>
          <w:lang w:eastAsia="es-CO"/>
        </w:rPr>
      </w:pPr>
    </w:p>
    <w:p w14:paraId="040D4738" w14:textId="77777777" w:rsidR="001F4546" w:rsidRPr="00627A2D" w:rsidRDefault="001F4546" w:rsidP="001F4546">
      <w:pPr>
        <w:jc w:val="center"/>
        <w:rPr>
          <w:rFonts w:ascii="Geomanist Light" w:hAnsi="Geomanist Light" w:cs="Arial"/>
          <w:sz w:val="18"/>
          <w:szCs w:val="20"/>
          <w:lang w:val="es-ES_tradnl" w:eastAsia="es-CO"/>
        </w:rPr>
      </w:pPr>
    </w:p>
    <w:p w14:paraId="0C71D8B5" w14:textId="77777777" w:rsidR="001F4546" w:rsidRPr="00627A2D" w:rsidRDefault="001F4546" w:rsidP="001F4546">
      <w:pPr>
        <w:jc w:val="center"/>
        <w:rPr>
          <w:rFonts w:ascii="Geomanist Light" w:hAnsi="Geomanist Light" w:cs="Arial"/>
          <w:sz w:val="18"/>
          <w:szCs w:val="20"/>
          <w:lang w:val="es-ES_tradnl" w:eastAsia="es-CO"/>
        </w:rPr>
      </w:pPr>
    </w:p>
    <w:bookmarkEnd w:id="0"/>
    <w:p w14:paraId="1CD9CED7" w14:textId="77777777" w:rsidR="001F4546" w:rsidRPr="00627A2D" w:rsidRDefault="001F4546" w:rsidP="001F4546">
      <w:pPr>
        <w:spacing w:before="120" w:line="276" w:lineRule="auto"/>
        <w:jc w:val="both"/>
        <w:rPr>
          <w:rFonts w:ascii="Geomanist Light" w:hAnsi="Geomanist Light"/>
          <w:lang w:val="es-ES_tradnl"/>
        </w:rPr>
      </w:pPr>
    </w:p>
    <w:sectPr w:rsidR="001F4546" w:rsidRPr="00627A2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50405" w14:textId="77777777" w:rsidR="004D3A68" w:rsidRDefault="004D3A68">
      <w:r>
        <w:separator/>
      </w:r>
    </w:p>
  </w:endnote>
  <w:endnote w:type="continuationSeparator" w:id="0">
    <w:p w14:paraId="0673CD7D" w14:textId="77777777" w:rsidR="004D3A68" w:rsidRDefault="004D3A68">
      <w:r>
        <w:continuationSeparator/>
      </w:r>
    </w:p>
  </w:endnote>
  <w:endnote w:type="continuationNotice" w:id="1">
    <w:p w14:paraId="25157FE7" w14:textId="77777777" w:rsidR="004D3A68" w:rsidRDefault="004D3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01B96C86" w:rsidR="000A47AF" w:rsidRDefault="007E3A08" w:rsidP="00322937">
    <w:pPr>
      <w:pStyle w:val="Piedepgina"/>
      <w:jc w:val="center"/>
      <w:rPr>
        <w:lang w:val="es-ES"/>
      </w:rPr>
    </w:pPr>
    <w:r>
      <w:rPr>
        <w:noProof/>
        <w:lang w:eastAsia="es-CO"/>
      </w:rPr>
      <w:drawing>
        <wp:inline distT="0" distB="0" distL="0" distR="0" wp14:anchorId="418500B5" wp14:editId="6B9FCF4F">
          <wp:extent cx="5612130" cy="871975"/>
          <wp:effectExtent l="0" t="0" r="7620" b="4445"/>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612130" cy="871975"/>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C0FC5" w14:textId="77777777" w:rsidR="004D3A68" w:rsidRDefault="004D3A68">
      <w:r>
        <w:separator/>
      </w:r>
    </w:p>
  </w:footnote>
  <w:footnote w:type="continuationSeparator" w:id="0">
    <w:p w14:paraId="198D5C90" w14:textId="77777777" w:rsidR="004D3A68" w:rsidRDefault="004D3A68">
      <w:r>
        <w:continuationSeparator/>
      </w:r>
    </w:p>
  </w:footnote>
  <w:footnote w:type="continuationNotice" w:id="1">
    <w:p w14:paraId="1E5FBA91" w14:textId="77777777" w:rsidR="004D3A68" w:rsidRDefault="004D3A68"/>
  </w:footnote>
  <w:footnote w:id="2">
    <w:p w14:paraId="2AA8BEF8" w14:textId="77777777" w:rsidR="009A69A5" w:rsidRPr="0046015C" w:rsidRDefault="009A69A5" w:rsidP="00E65DFE">
      <w:pPr>
        <w:pStyle w:val="Textonotapie"/>
        <w:ind w:firstLine="708"/>
        <w:jc w:val="both"/>
        <w:rPr>
          <w:rFonts w:ascii="Geomanist Light" w:hAnsi="Geomanist Light" w:cs="Arial"/>
          <w:color w:val="000000" w:themeColor="text1"/>
          <w:sz w:val="19"/>
          <w:szCs w:val="19"/>
          <w:lang w:val="es-ES"/>
        </w:rPr>
      </w:pPr>
      <w:r w:rsidRPr="0046015C">
        <w:rPr>
          <w:rStyle w:val="Refdenotaalpie"/>
          <w:rFonts w:ascii="Geomanist Light" w:hAnsi="Geomanist Light" w:cs="Arial"/>
          <w:color w:val="000000" w:themeColor="text1"/>
          <w:sz w:val="19"/>
          <w:szCs w:val="19"/>
        </w:rPr>
        <w:footnoteRef/>
      </w:r>
      <w:r w:rsidRPr="0046015C">
        <w:rPr>
          <w:rFonts w:ascii="Geomanist Light" w:hAnsi="Geomanist Light" w:cs="Arial"/>
          <w:color w:val="000000" w:themeColor="text1"/>
          <w:sz w:val="19"/>
          <w:szCs w:val="19"/>
        </w:rPr>
        <w:t xml:space="preserve"> La Agencia Nacional de Contratación Pública </w:t>
      </w:r>
      <w:r w:rsidRPr="0046015C">
        <w:rPr>
          <w:rFonts w:ascii="Courier New" w:hAnsi="Courier New" w:cs="Courier New"/>
          <w:color w:val="000000" w:themeColor="text1"/>
          <w:sz w:val="19"/>
          <w:szCs w:val="19"/>
        </w:rPr>
        <w:t>‒</w:t>
      </w:r>
      <w:r w:rsidRPr="0046015C">
        <w:rPr>
          <w:rFonts w:ascii="Geomanist Light" w:hAnsi="Geomanist Light" w:cs="Arial"/>
          <w:color w:val="000000" w:themeColor="text1"/>
          <w:sz w:val="19"/>
          <w:szCs w:val="19"/>
        </w:rPr>
        <w:t xml:space="preserve"> Colombia Compra Eficiente fue creada por el Decreto Ley 4170 de 2011. Su objetivo es servir como ente rector de la pol</w:t>
      </w:r>
      <w:r w:rsidRPr="0046015C">
        <w:rPr>
          <w:rFonts w:ascii="Geomanist Light" w:hAnsi="Geomanist Light" w:cs="Geomanist Light"/>
          <w:color w:val="000000" w:themeColor="text1"/>
          <w:sz w:val="19"/>
          <w:szCs w:val="19"/>
        </w:rPr>
        <w:t>í</w:t>
      </w:r>
      <w:r w:rsidRPr="0046015C">
        <w:rPr>
          <w:rFonts w:ascii="Geomanist Light" w:hAnsi="Geomanist Light" w:cs="Arial"/>
          <w:color w:val="000000" w:themeColor="text1"/>
          <w:sz w:val="19"/>
          <w:szCs w:val="19"/>
        </w:rPr>
        <w:t>tica de compras y contrataci</w:t>
      </w:r>
      <w:r w:rsidRPr="0046015C">
        <w:rPr>
          <w:rFonts w:ascii="Geomanist Light" w:hAnsi="Geomanist Light" w:cs="Geomanist Light"/>
          <w:color w:val="000000" w:themeColor="text1"/>
          <w:sz w:val="19"/>
          <w:szCs w:val="19"/>
        </w:rPr>
        <w:t>ó</w:t>
      </w:r>
      <w:r w:rsidRPr="0046015C">
        <w:rPr>
          <w:rFonts w:ascii="Geomanist Light" w:hAnsi="Geomanist Light" w:cs="Arial"/>
          <w:color w:val="000000" w:themeColor="text1"/>
          <w:sz w:val="19"/>
          <w:szCs w:val="19"/>
        </w:rPr>
        <w:t xml:space="preserve">n del Estado. Para tales fines, como </w:t>
      </w:r>
      <w:r w:rsidRPr="0046015C">
        <w:rPr>
          <w:rFonts w:ascii="Geomanist Light" w:hAnsi="Geomanist Light" w:cs="Geomanist Light"/>
          <w:color w:val="000000" w:themeColor="text1"/>
          <w:sz w:val="19"/>
          <w:szCs w:val="19"/>
        </w:rPr>
        <w:t>ó</w:t>
      </w:r>
      <w:r w:rsidRPr="0046015C">
        <w:rPr>
          <w:rFonts w:ascii="Geomanist Light" w:hAnsi="Geomanist Light" w:cs="Arial"/>
          <w:color w:val="000000" w:themeColor="text1"/>
          <w:sz w:val="19"/>
          <w:szCs w:val="19"/>
        </w:rPr>
        <w:t>rgano t</w:t>
      </w:r>
      <w:r w:rsidRPr="0046015C">
        <w:rPr>
          <w:rFonts w:ascii="Geomanist Light" w:hAnsi="Geomanist Light" w:cs="Geomanist Light"/>
          <w:color w:val="000000" w:themeColor="text1"/>
          <w:sz w:val="19"/>
          <w:szCs w:val="19"/>
        </w:rPr>
        <w:t>é</w:t>
      </w:r>
      <w:r w:rsidRPr="0046015C">
        <w:rPr>
          <w:rFonts w:ascii="Geomanist Light" w:hAnsi="Geomanist Light" w:cs="Arial"/>
          <w:color w:val="000000" w:themeColor="text1"/>
          <w:sz w:val="19"/>
          <w:szCs w:val="19"/>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46015C">
        <w:rPr>
          <w:rFonts w:ascii="Geomanist Light" w:hAnsi="Geomanist Light" w:cs="Arial"/>
          <w:i/>
          <w:iCs/>
          <w:color w:val="000000" w:themeColor="text1"/>
          <w:sz w:val="19"/>
          <w:szCs w:val="19"/>
        </w:rPr>
        <w:t xml:space="preserve">ibidem </w:t>
      </w:r>
      <w:r w:rsidRPr="0046015C">
        <w:rPr>
          <w:rFonts w:ascii="Geomanist Light" w:hAnsi="Geomanist Light"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74C0AA7E" w14:textId="77777777" w:rsidR="006E4358" w:rsidRPr="00E207F8" w:rsidRDefault="006E4358" w:rsidP="006E4358">
      <w:pPr>
        <w:pStyle w:val="Textonotapie"/>
        <w:ind w:firstLine="708"/>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Los conceptos indicados pueden consultarse en el siguiente enlace: </w:t>
      </w:r>
      <w:hyperlink r:id="rId1" w:history="1">
        <w:r w:rsidRPr="00E207F8">
          <w:rPr>
            <w:rStyle w:val="Hipervnculo"/>
            <w:rFonts w:ascii="Arial" w:hAnsi="Arial" w:cs="Arial"/>
            <w:sz w:val="19"/>
            <w:szCs w:val="19"/>
          </w:rPr>
          <w:t>https://relatoria.colombiacompra.gov.co/busqueda/conceptos</w:t>
        </w:r>
      </w:hyperlink>
      <w:r w:rsidRPr="00E207F8">
        <w:rPr>
          <w:rFonts w:ascii="Arial" w:hAnsi="Arial" w:cs="Arial"/>
          <w:sz w:val="19"/>
          <w:szCs w:val="19"/>
        </w:rPr>
        <w:t>.</w:t>
      </w:r>
    </w:p>
    <w:p w14:paraId="1E5993CB" w14:textId="77777777" w:rsidR="006E4358" w:rsidRPr="00E207F8" w:rsidRDefault="006E4358" w:rsidP="006E4358">
      <w:pPr>
        <w:pStyle w:val="Textonotapie"/>
        <w:ind w:firstLine="708"/>
        <w:contextualSpacing/>
        <w:jc w:val="both"/>
        <w:rPr>
          <w:rFonts w:ascii="Arial" w:hAnsi="Arial" w:cs="Arial"/>
          <w:sz w:val="19"/>
          <w:szCs w:val="19"/>
        </w:rPr>
      </w:pPr>
    </w:p>
  </w:footnote>
  <w:footnote w:id="4">
    <w:p w14:paraId="1795F173" w14:textId="77777777" w:rsidR="00A80DC2" w:rsidRPr="0046015C" w:rsidRDefault="00A80DC2" w:rsidP="00E65DFE">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w:t>
      </w:r>
      <w:r w:rsidRPr="0046015C">
        <w:rPr>
          <w:rFonts w:ascii="Geomanist Light" w:hAnsi="Geomanist Light" w:cs="Arial"/>
          <w:color w:val="000000"/>
          <w:sz w:val="19"/>
          <w:szCs w:val="19"/>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w:t>
      </w:r>
      <w:r w:rsidRPr="0046015C">
        <w:rPr>
          <w:rFonts w:ascii="Calibri" w:hAnsi="Calibri" w:cs="Calibri"/>
          <w:color w:val="000000"/>
          <w:sz w:val="19"/>
          <w:szCs w:val="19"/>
        </w:rPr>
        <w:t> </w:t>
      </w:r>
      <w:r w:rsidRPr="0046015C">
        <w:rPr>
          <w:rFonts w:ascii="Geomanist Light" w:hAnsi="Geomanist Light" w:cs="Arial"/>
          <w:bCs/>
          <w:i/>
          <w:iCs/>
          <w:color w:val="000000"/>
          <w:sz w:val="19"/>
          <w:szCs w:val="19"/>
        </w:rPr>
        <w:t>las empresas oficiales de servicios públicos</w:t>
      </w:r>
      <w:r w:rsidRPr="0046015C">
        <w:rPr>
          <w:rFonts w:ascii="Calibri" w:hAnsi="Calibri" w:cs="Calibri"/>
          <w:color w:val="000000"/>
          <w:sz w:val="19"/>
          <w:szCs w:val="19"/>
        </w:rPr>
        <w:t> </w:t>
      </w:r>
      <w:r w:rsidRPr="0046015C">
        <w:rPr>
          <w:rFonts w:ascii="Geomanist Light" w:hAnsi="Geomanist Light" w:cs="Arial"/>
          <w:color w:val="000000"/>
          <w:sz w:val="19"/>
          <w:szCs w:val="19"/>
        </w:rPr>
        <w:t>y las dem</w:t>
      </w:r>
      <w:r w:rsidRPr="0046015C">
        <w:rPr>
          <w:rFonts w:ascii="Geomanist Light" w:hAnsi="Geomanist Light" w:cs="Geomanist Light"/>
          <w:color w:val="000000"/>
          <w:sz w:val="19"/>
          <w:szCs w:val="19"/>
        </w:rPr>
        <w:t>á</w:t>
      </w:r>
      <w:r w:rsidRPr="0046015C">
        <w:rPr>
          <w:rFonts w:ascii="Geomanist Light" w:hAnsi="Geomanist Light" w:cs="Arial"/>
          <w:color w:val="000000"/>
          <w:sz w:val="19"/>
          <w:szCs w:val="19"/>
        </w:rPr>
        <w:t>s entidades creadas por la ley o con su autorizaci</w:t>
      </w:r>
      <w:r w:rsidRPr="0046015C">
        <w:rPr>
          <w:rFonts w:ascii="Geomanist Light" w:hAnsi="Geomanist Light" w:cs="Geomanist Light"/>
          <w:color w:val="000000"/>
          <w:sz w:val="19"/>
          <w:szCs w:val="19"/>
        </w:rPr>
        <w:t>ó</w:t>
      </w:r>
      <w:r w:rsidRPr="0046015C">
        <w:rPr>
          <w:rFonts w:ascii="Geomanist Light" w:hAnsi="Geomanist Light" w:cs="Arial"/>
          <w:color w:val="000000"/>
          <w:sz w:val="19"/>
          <w:szCs w:val="19"/>
        </w:rPr>
        <w:t>n, cuyo objeto principal sea el ejercicio de funciones administrativas, la prestación de servicios públicos o la realización de actividades.</w:t>
      </w:r>
    </w:p>
  </w:footnote>
  <w:footnote w:id="5">
    <w:p w14:paraId="6E5C9859" w14:textId="77777777" w:rsidR="00A80DC2" w:rsidRPr="0046015C" w:rsidRDefault="00A80DC2" w:rsidP="00E65DFE">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Corte Constitucional. Sentencia C-736 de 2007. M.P. Marco Gerardo Monroy Cabra.</w:t>
      </w:r>
    </w:p>
  </w:footnote>
  <w:footnote w:id="6">
    <w:p w14:paraId="714D8AC9" w14:textId="77777777" w:rsidR="00A80DC2" w:rsidRPr="0046015C" w:rsidRDefault="00A80DC2" w:rsidP="00E65DFE">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Ibid.</w:t>
      </w:r>
    </w:p>
  </w:footnote>
  <w:footnote w:id="7">
    <w:p w14:paraId="692575EF" w14:textId="6295FB93" w:rsidR="00C031E0" w:rsidRPr="0046015C" w:rsidRDefault="00C031E0" w:rsidP="00B02AC1">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Así lo ha reconocido la doctrina en la materia, al afirmar: «El modelo que se adoptó en la Constitución de 1991 para los servicios públicos se caracteriza por la liberalización de su prestación, por</w:t>
      </w:r>
      <w:r w:rsidR="00B02AC1" w:rsidRPr="0046015C">
        <w:rPr>
          <w:rFonts w:ascii="Geomanist Light" w:hAnsi="Geomanist Light" w:cs="Arial"/>
          <w:sz w:val="19"/>
          <w:szCs w:val="19"/>
        </w:rPr>
        <w:t xml:space="preserve"> </w:t>
      </w:r>
      <w:r w:rsidRPr="0046015C">
        <w:rPr>
          <w:rFonts w:ascii="Geomanist Light" w:hAnsi="Geomanist Light" w:cs="Arial"/>
          <w:sz w:val="19"/>
          <w:szCs w:val="19"/>
        </w:rPr>
        <w:t>un fuerte poder del Estado para intervenir en ellos y por la adopción de instituciones para lidiar con los principales problemas que respecto de las tarifas enfrentaron históricamente estos servicios: la interferencia</w:t>
      </w:r>
      <w:r w:rsidR="00B02AC1" w:rsidRPr="0046015C">
        <w:rPr>
          <w:rFonts w:ascii="Geomanist Light" w:hAnsi="Geomanist Light" w:cs="Arial"/>
          <w:sz w:val="19"/>
          <w:szCs w:val="19"/>
        </w:rPr>
        <w:t xml:space="preserve"> </w:t>
      </w:r>
      <w:r w:rsidRPr="0046015C">
        <w:rPr>
          <w:rFonts w:ascii="Geomanist Light" w:hAnsi="Geomanist Light" w:cs="Arial"/>
          <w:sz w:val="19"/>
          <w:szCs w:val="19"/>
        </w:rPr>
        <w:t>política en su fijación y el abuso por parte de los prestadores de su posición cuando no tienen suficiente competencia en sus mercados.</w:t>
      </w:r>
    </w:p>
    <w:p w14:paraId="3701FD1C" w14:textId="44639A0C" w:rsidR="00C031E0" w:rsidRPr="0046015C" w:rsidRDefault="00C031E0" w:rsidP="00B02AC1">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»Como base del modelo de liberalización, la Constitución removió las barreras jurídicas de entrada a la prestación de los servicios públicos y estableció como regla general que ellos “podrán ser</w:t>
      </w:r>
      <w:r w:rsidR="00B02AC1" w:rsidRPr="0046015C">
        <w:rPr>
          <w:rFonts w:ascii="Geomanist Light" w:hAnsi="Geomanist Light" w:cs="Arial"/>
          <w:sz w:val="19"/>
          <w:szCs w:val="19"/>
        </w:rPr>
        <w:t xml:space="preserve"> </w:t>
      </w:r>
      <w:r w:rsidRPr="0046015C">
        <w:rPr>
          <w:rFonts w:ascii="Geomanist Light" w:hAnsi="Geomanist Light" w:cs="Arial"/>
          <w:sz w:val="19"/>
          <w:szCs w:val="19"/>
        </w:rPr>
        <w:t>prestados por el Estado, directa o indirectamente, por comunidades organizadas o por particulares” […].</w:t>
      </w:r>
    </w:p>
    <w:p w14:paraId="0E2824C1" w14:textId="667B596C" w:rsidR="00C031E0" w:rsidRPr="0046015C" w:rsidRDefault="00C031E0" w:rsidP="00B02AC1">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»Al establecer esta libertad de entrada, la Constitución abrió la puerta para romper con el modelo de prestación basado exclusivamente en los monopolios estatales que estuvo vigente por más de</w:t>
      </w:r>
      <w:r w:rsidR="00B02AC1" w:rsidRPr="0046015C">
        <w:rPr>
          <w:rFonts w:ascii="Geomanist Light" w:hAnsi="Geomanist Light" w:cs="Arial"/>
          <w:sz w:val="19"/>
          <w:szCs w:val="19"/>
        </w:rPr>
        <w:t xml:space="preserve"> </w:t>
      </w:r>
      <w:r w:rsidRPr="0046015C">
        <w:rPr>
          <w:rFonts w:ascii="Geomanist Light" w:hAnsi="Geomanist Light" w:cs="Arial"/>
          <w:sz w:val="19"/>
          <w:szCs w:val="19"/>
        </w:rPr>
        <w:t>medio siglo. Y aunque bajo la Constitución de 1991 es posible aún la creación de monopolios de derecho para los servicios públicos, para ello deben cumplirse procedimientos muy exigentes desde el punto de vista</w:t>
      </w:r>
      <w:r w:rsidR="00B02AC1" w:rsidRPr="0046015C">
        <w:rPr>
          <w:rFonts w:ascii="Geomanist Light" w:hAnsi="Geomanist Light" w:cs="Arial"/>
          <w:sz w:val="19"/>
          <w:szCs w:val="19"/>
        </w:rPr>
        <w:t xml:space="preserve"> </w:t>
      </w:r>
      <w:r w:rsidRPr="0046015C">
        <w:rPr>
          <w:rFonts w:ascii="Geomanist Light" w:hAnsi="Geomanist Light" w:cs="Arial"/>
          <w:sz w:val="19"/>
          <w:szCs w:val="19"/>
        </w:rPr>
        <w:t>político y jurídico: debe hacerse mediante una ley de iniciativa gubernamental aprobada por ambas cámaras del Congreso y, en todo caso, puede ocurrir solo mediando indemnización previa y plena» (NÚÑEZ</w:t>
      </w:r>
      <w:r w:rsidR="00B02AC1" w:rsidRPr="0046015C">
        <w:rPr>
          <w:rFonts w:ascii="Geomanist Light" w:hAnsi="Geomanist Light" w:cs="Arial"/>
          <w:sz w:val="19"/>
          <w:szCs w:val="19"/>
        </w:rPr>
        <w:t xml:space="preserve"> </w:t>
      </w:r>
      <w:r w:rsidRPr="0046015C">
        <w:rPr>
          <w:rFonts w:ascii="Geomanist Light" w:hAnsi="Geomanist Light" w:cs="Arial"/>
          <w:sz w:val="19"/>
          <w:szCs w:val="19"/>
        </w:rPr>
        <w:t>FORERO, Felipe. Servicios públicos domiciliarios, telecomunicaciones e infraestructura (instituciones, regulación y competencia). Bogotá: Universidad Externado de Colombia, 2017. p. 43).</w:t>
      </w:r>
    </w:p>
    <w:p w14:paraId="3516BBC2" w14:textId="77777777" w:rsidR="00C031E0" w:rsidRPr="0046015C" w:rsidRDefault="00C031E0" w:rsidP="00E65DFE">
      <w:pPr>
        <w:pStyle w:val="Textonotapie"/>
        <w:ind w:firstLine="708"/>
        <w:jc w:val="both"/>
        <w:rPr>
          <w:rFonts w:ascii="Geomanist Light" w:hAnsi="Geomanist Light" w:cs="Arial"/>
          <w:sz w:val="19"/>
          <w:szCs w:val="19"/>
        </w:rPr>
      </w:pPr>
    </w:p>
  </w:footnote>
  <w:footnote w:id="8">
    <w:p w14:paraId="442DCB6E" w14:textId="77777777" w:rsidR="00C031E0" w:rsidRPr="0046015C" w:rsidRDefault="00C031E0" w:rsidP="00E65DFE">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En efecto, dicho artículo establece: «Pueden prestar los servicios públicos:</w:t>
      </w:r>
    </w:p>
    <w:p w14:paraId="2BE21F84" w14:textId="77777777" w:rsidR="00C031E0" w:rsidRPr="0046015C" w:rsidRDefault="00C031E0" w:rsidP="00E65DFE">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»15.1. Las empresas de servicios públicos.</w:t>
      </w:r>
    </w:p>
    <w:p w14:paraId="52FA6132" w14:textId="4D90F89B" w:rsidR="00C031E0" w:rsidRPr="0046015C" w:rsidRDefault="00C031E0" w:rsidP="00B02AC1">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»15.2. Las personas naturales o jurídicas que produzcan para ellas mismas, o como consecuencia o complemento de su actividad principal, los bienes y servicios propios del objeto de las empresas</w:t>
      </w:r>
      <w:r w:rsidR="00B02AC1" w:rsidRPr="0046015C">
        <w:rPr>
          <w:rFonts w:ascii="Geomanist Light" w:hAnsi="Geomanist Light" w:cs="Arial"/>
          <w:sz w:val="19"/>
          <w:szCs w:val="19"/>
        </w:rPr>
        <w:t xml:space="preserve"> </w:t>
      </w:r>
      <w:r w:rsidRPr="0046015C">
        <w:rPr>
          <w:rFonts w:ascii="Geomanist Light" w:hAnsi="Geomanist Light" w:cs="Arial"/>
          <w:sz w:val="19"/>
          <w:szCs w:val="19"/>
        </w:rPr>
        <w:t>de servicios públicos.</w:t>
      </w:r>
    </w:p>
    <w:p w14:paraId="6A6F9899" w14:textId="77777777" w:rsidR="00C031E0" w:rsidRPr="0046015C" w:rsidRDefault="00C031E0" w:rsidP="00E65DFE">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»15.3. Los municipios cuando asuman en forma directa, a través de su administración central, la prestación de los servicios públicos, conforme a lo dispuesto en esta Ley.</w:t>
      </w:r>
    </w:p>
    <w:p w14:paraId="563E12D4" w14:textId="77777777" w:rsidR="00C031E0" w:rsidRPr="0046015C" w:rsidRDefault="00C031E0" w:rsidP="00E65DFE">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»15.4. Las organizaciones autorizadas conforme a esta Ley para prestar servicios públicos en municipios menores en zonas rurales y en áreas o zonas urbanas específicas.</w:t>
      </w:r>
    </w:p>
    <w:p w14:paraId="2665226A" w14:textId="77777777" w:rsidR="00C031E0" w:rsidRPr="0046015C" w:rsidRDefault="00C031E0" w:rsidP="00E65DFE">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»15.5. Las entidades autorizadas para prestar servicios públicos durante los períodos de transición previstos en esta Ley.</w:t>
      </w:r>
    </w:p>
    <w:p w14:paraId="10E5F65B" w14:textId="77777777" w:rsidR="00C031E0" w:rsidRPr="0046015C" w:rsidRDefault="00C031E0" w:rsidP="00E65DFE">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»15.6. Las entidades descentralizadas de cualquier orden territorial o nacional que al momento de expedirse esta Ley estén prestando cualquiera de los servicios públicos y se ajusten a lo establecido</w:t>
      </w:r>
    </w:p>
    <w:p w14:paraId="6128BD39" w14:textId="77777777" w:rsidR="00C031E0" w:rsidRPr="0046015C" w:rsidRDefault="00C031E0" w:rsidP="00E65DFE">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en el parágrafo del artículo 17»</w:t>
      </w:r>
    </w:p>
    <w:p w14:paraId="72F02E70" w14:textId="77777777" w:rsidR="00C031E0" w:rsidRPr="0046015C" w:rsidRDefault="00C031E0" w:rsidP="00E65DFE">
      <w:pPr>
        <w:pStyle w:val="Textonotapie"/>
        <w:ind w:firstLine="708"/>
        <w:jc w:val="both"/>
        <w:rPr>
          <w:rFonts w:ascii="Geomanist Light" w:hAnsi="Geomanist Light" w:cs="Arial"/>
          <w:sz w:val="19"/>
          <w:szCs w:val="19"/>
        </w:rPr>
      </w:pPr>
    </w:p>
  </w:footnote>
  <w:footnote w:id="9">
    <w:p w14:paraId="408321DF" w14:textId="0BF7BEB0" w:rsidR="00C031E0" w:rsidRPr="0046015C" w:rsidRDefault="00C031E0" w:rsidP="00B02AC1">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Así lo establece la norma: «Salvo en cuanto la Constitución Política o esta Ley dispongan expresamente lo contrario, la constitución, y los actos de todas las empresas de servicios públicos, así</w:t>
      </w:r>
      <w:r w:rsidR="00B02AC1" w:rsidRPr="0046015C">
        <w:rPr>
          <w:rFonts w:ascii="Geomanist Light" w:hAnsi="Geomanist Light" w:cs="Arial"/>
          <w:sz w:val="19"/>
          <w:szCs w:val="19"/>
        </w:rPr>
        <w:t xml:space="preserve"> </w:t>
      </w:r>
      <w:r w:rsidRPr="0046015C">
        <w:rPr>
          <w:rFonts w:ascii="Geomanist Light" w:hAnsi="Geomanist Light" w:cs="Arial"/>
          <w:sz w:val="19"/>
          <w:szCs w:val="19"/>
        </w:rPr>
        <w:t>como los requeridos para la administración y el ejercicio de los derechos de todas las personas que sean socias de ellas, en lo no dispuesto en esta Ley, se regirán exclusivamente por las reglas del derecho privado.</w:t>
      </w:r>
    </w:p>
    <w:p w14:paraId="6F5A85E0" w14:textId="44F28DEA" w:rsidR="00C031E0" w:rsidRPr="0046015C" w:rsidRDefault="00C031E0" w:rsidP="00B02AC1">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»La regla precedente se aplicará, inclusive, a las sociedades en las que las entidades públicas sean parte, sin atender al porcentaje que sus aportes representen dentro del capital social, ni a la</w:t>
      </w:r>
      <w:r w:rsidR="00B02AC1" w:rsidRPr="0046015C">
        <w:rPr>
          <w:rFonts w:ascii="Geomanist Light" w:hAnsi="Geomanist Light" w:cs="Arial"/>
          <w:sz w:val="19"/>
          <w:szCs w:val="19"/>
        </w:rPr>
        <w:t xml:space="preserve"> </w:t>
      </w:r>
      <w:r w:rsidRPr="0046015C">
        <w:rPr>
          <w:rFonts w:ascii="Geomanist Light" w:hAnsi="Geomanist Light" w:cs="Arial"/>
          <w:sz w:val="19"/>
          <w:szCs w:val="19"/>
        </w:rPr>
        <w:t>naturaleza del acto o del derecho que se ejerce.</w:t>
      </w:r>
    </w:p>
    <w:p w14:paraId="5FA98987" w14:textId="203BC7E0" w:rsidR="00C031E0" w:rsidRPr="0046015C" w:rsidRDefault="00C031E0" w:rsidP="00B02AC1">
      <w:pPr>
        <w:pStyle w:val="Textonotapie"/>
        <w:ind w:firstLine="708"/>
        <w:jc w:val="both"/>
        <w:rPr>
          <w:rFonts w:ascii="Geomanist Light" w:hAnsi="Geomanist Light" w:cs="Arial"/>
          <w:sz w:val="19"/>
          <w:szCs w:val="19"/>
        </w:rPr>
      </w:pPr>
      <w:r w:rsidRPr="0046015C">
        <w:rPr>
          <w:rFonts w:ascii="Geomanist Light" w:hAnsi="Geomanist Light" w:cs="Arial"/>
          <w:sz w:val="19"/>
          <w:szCs w:val="19"/>
        </w:rPr>
        <w:t>»Se entiende que la autorización para que una entidad pública haga parte de una empresa de servicios públicos organizada como sociedad por acciones, faculta a su representante legal, de acuerdo</w:t>
      </w:r>
      <w:r w:rsidR="00B02AC1" w:rsidRPr="0046015C">
        <w:rPr>
          <w:rFonts w:ascii="Geomanist Light" w:hAnsi="Geomanist Light" w:cs="Arial"/>
          <w:sz w:val="19"/>
          <w:szCs w:val="19"/>
        </w:rPr>
        <w:t xml:space="preserve"> </w:t>
      </w:r>
      <w:r w:rsidRPr="0046015C">
        <w:rPr>
          <w:rFonts w:ascii="Geomanist Light" w:hAnsi="Geomanist Light" w:cs="Arial"/>
          <w:sz w:val="19"/>
          <w:szCs w:val="19"/>
        </w:rPr>
        <w:t>con los estatutos de la entidad, para realizar respecto de la sociedad, las acciones y los derechos inherentes a ellas [y] todos los actos que la ley y los estatutos permiten a los socios particulares»</w:t>
      </w:r>
    </w:p>
    <w:p w14:paraId="060DF0AA" w14:textId="77777777" w:rsidR="00C031E0" w:rsidRPr="0046015C" w:rsidRDefault="00C031E0" w:rsidP="00E65DFE">
      <w:pPr>
        <w:pStyle w:val="Textonotapie"/>
        <w:ind w:firstLine="708"/>
        <w:jc w:val="both"/>
        <w:rPr>
          <w:rFonts w:ascii="Geomanist Light" w:hAnsi="Geomanist Light" w:cs="Arial"/>
          <w:sz w:val="19"/>
          <w:szCs w:val="19"/>
        </w:rPr>
      </w:pPr>
    </w:p>
  </w:footnote>
  <w:footnote w:id="10">
    <w:p w14:paraId="3DCC3815" w14:textId="2E1AC1C6" w:rsidR="00C031E0" w:rsidRPr="0046015C" w:rsidRDefault="00C031E0" w:rsidP="00B02AC1">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Consejo de Estado. Sección Tercera, Subsección C. Sentencia del 13 de abril de 2011. Exp. 37423. Consejero Ponente: Jaime Orlando Santofimio Gamboa. En similar sentido, puede verse la</w:t>
      </w:r>
      <w:r w:rsidR="00B02AC1" w:rsidRPr="0046015C">
        <w:rPr>
          <w:rFonts w:ascii="Geomanist Light" w:hAnsi="Geomanist Light" w:cs="Arial"/>
          <w:sz w:val="19"/>
          <w:szCs w:val="19"/>
        </w:rPr>
        <w:t xml:space="preserve"> </w:t>
      </w:r>
      <w:r w:rsidRPr="0046015C">
        <w:rPr>
          <w:rFonts w:ascii="Geomanist Light" w:hAnsi="Geomanist Light" w:cs="Arial"/>
          <w:sz w:val="19"/>
          <w:szCs w:val="19"/>
        </w:rPr>
        <w:t>Sentencia del Consejo de Estado. Sección Tercera. Subsección B, del 15 de noviembre de 2011. Exp. 21178. Consejera ponente: Ruth Stella Correa Palacio.</w:t>
      </w:r>
    </w:p>
  </w:footnote>
  <w:footnote w:id="11">
    <w:p w14:paraId="173C16CB" w14:textId="78BAFDA1" w:rsidR="00C031E0" w:rsidRPr="0046015C" w:rsidRDefault="00C031E0" w:rsidP="00B02AC1">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8 Esta norma dispone: «Las entidades estatales que por disposición legal cuenten con un régimen contractual excepcional al del Estatuto General de Contratación de la Administración Pública,</w:t>
      </w:r>
      <w:r w:rsidR="00B02AC1" w:rsidRPr="0046015C">
        <w:rPr>
          <w:rFonts w:ascii="Geomanist Light" w:hAnsi="Geomanist Light" w:cs="Arial"/>
          <w:sz w:val="19"/>
          <w:szCs w:val="19"/>
        </w:rPr>
        <w:t xml:space="preserve"> </w:t>
      </w:r>
      <w:r w:rsidRPr="0046015C">
        <w:rPr>
          <w:rFonts w:ascii="Geomanist Light" w:hAnsi="Geomanist Light" w:cs="Arial"/>
          <w:sz w:val="19"/>
          <w:szCs w:val="19"/>
        </w:rPr>
        <w:t>aplicarán en desarrollo de su actividad contractual, acorde con su régimen legal especial, los principios de la función administrativa y de la gestión fiscal de que tratan los artículos 209 y 267 de la Constitución Política,</w:t>
      </w:r>
      <w:r w:rsidR="00B02AC1" w:rsidRPr="0046015C">
        <w:rPr>
          <w:rFonts w:ascii="Geomanist Light" w:hAnsi="Geomanist Light" w:cs="Arial"/>
          <w:sz w:val="19"/>
          <w:szCs w:val="19"/>
        </w:rPr>
        <w:t xml:space="preserve"> </w:t>
      </w:r>
      <w:r w:rsidRPr="0046015C">
        <w:rPr>
          <w:rFonts w:ascii="Geomanist Light" w:hAnsi="Geomanist Light" w:cs="Arial"/>
          <w:sz w:val="19"/>
          <w:szCs w:val="19"/>
        </w:rPr>
        <w:t>respectivamente según sea el caso y estarán sometidas al régimen de inhabilidades e incompatibilidades previsto legalmente para la contratación estatal»</w:t>
      </w:r>
    </w:p>
  </w:footnote>
  <w:footnote w:id="12">
    <w:p w14:paraId="2FD03E86" w14:textId="77777777" w:rsidR="005A75AF" w:rsidRPr="0046015C" w:rsidRDefault="005A75AF" w:rsidP="00E65DFE">
      <w:pPr>
        <w:pStyle w:val="Textonotapie"/>
        <w:ind w:firstLine="709"/>
        <w:jc w:val="both"/>
        <w:rPr>
          <w:rFonts w:ascii="Geomanist Light" w:hAnsi="Geomanist Light" w:cs="Arial"/>
          <w:sz w:val="19"/>
          <w:szCs w:val="19"/>
        </w:rPr>
      </w:pPr>
    </w:p>
    <w:p w14:paraId="62FB6B4D" w14:textId="77777777" w:rsidR="005A75AF" w:rsidRPr="0046015C" w:rsidRDefault="005A75AF" w:rsidP="00E65DFE">
      <w:pPr>
        <w:pStyle w:val="Textonotapie"/>
        <w:ind w:firstLine="709"/>
        <w:jc w:val="both"/>
        <w:rPr>
          <w:rFonts w:ascii="Geomanist Light" w:hAnsi="Geomanist Light" w:cs="Arial"/>
          <w:sz w:val="19"/>
          <w:szCs w:val="19"/>
          <w:lang w:val="es-ES"/>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w:t>
      </w:r>
      <w:r w:rsidRPr="0046015C">
        <w:rPr>
          <w:rFonts w:ascii="Geomanist Light" w:hAnsi="Geomanist Light" w:cs="Arial"/>
          <w:sz w:val="19"/>
          <w:szCs w:val="19"/>
          <w:lang w:val="es-ES"/>
        </w:rPr>
        <w:t>BOBBIO, Norberto. Democracia y secreto. México: Fondo de Cultura Económica, 2013. p. 27.</w:t>
      </w:r>
    </w:p>
  </w:footnote>
  <w:footnote w:id="13">
    <w:p w14:paraId="625053E5" w14:textId="77777777" w:rsidR="005A75AF" w:rsidRPr="0046015C" w:rsidRDefault="005A75AF" w:rsidP="00E65DFE">
      <w:pPr>
        <w:pStyle w:val="Textonotapie"/>
        <w:ind w:firstLine="709"/>
        <w:jc w:val="both"/>
        <w:rPr>
          <w:rFonts w:ascii="Geomanist Light" w:hAnsi="Geomanist Light" w:cs="Arial"/>
          <w:color w:val="000000"/>
          <w:sz w:val="19"/>
          <w:szCs w:val="19"/>
        </w:rPr>
      </w:pPr>
    </w:p>
    <w:p w14:paraId="3EAF59C0" w14:textId="77777777" w:rsidR="005A75AF" w:rsidRPr="0046015C" w:rsidRDefault="005A75AF" w:rsidP="00E65DFE">
      <w:pPr>
        <w:pStyle w:val="Textonotapie"/>
        <w:ind w:firstLine="709"/>
        <w:jc w:val="both"/>
        <w:rPr>
          <w:rFonts w:ascii="Geomanist Light" w:hAnsi="Geomanist Light" w:cs="Arial"/>
          <w:color w:val="000000"/>
          <w:sz w:val="19"/>
          <w:szCs w:val="19"/>
        </w:rPr>
      </w:pPr>
      <w:r w:rsidRPr="0046015C">
        <w:rPr>
          <w:rStyle w:val="Refdenotaalpie"/>
          <w:rFonts w:ascii="Geomanist Light" w:hAnsi="Geomanist Light" w:cs="Arial"/>
          <w:color w:val="000000"/>
          <w:sz w:val="19"/>
          <w:szCs w:val="19"/>
        </w:rPr>
        <w:footnoteRef/>
      </w:r>
      <w:r w:rsidRPr="0046015C">
        <w:rPr>
          <w:rFonts w:ascii="Geomanist Light" w:hAnsi="Geomanist Light" w:cs="Arial"/>
          <w:color w:val="000000"/>
          <w:sz w:val="19"/>
          <w:szCs w:val="19"/>
        </w:rPr>
        <w:t xml:space="preserve"> Corte Constitucional. Sentencia C- 341 del 4 de junio de 2014. M. P. Mauricio González Cuervo.</w:t>
      </w:r>
    </w:p>
    <w:p w14:paraId="6812E141" w14:textId="77777777" w:rsidR="005A75AF" w:rsidRPr="0046015C" w:rsidRDefault="005A75AF" w:rsidP="00E65DFE">
      <w:pPr>
        <w:pStyle w:val="Textonotapie"/>
        <w:ind w:firstLine="709"/>
        <w:jc w:val="both"/>
        <w:rPr>
          <w:rFonts w:ascii="Geomanist Light" w:hAnsi="Geomanist Light" w:cs="Arial"/>
          <w:color w:val="000000"/>
          <w:sz w:val="19"/>
          <w:szCs w:val="19"/>
        </w:rPr>
      </w:pPr>
    </w:p>
  </w:footnote>
  <w:footnote w:id="14">
    <w:p w14:paraId="375877E5" w14:textId="77777777" w:rsidR="005A75AF" w:rsidRPr="0046015C" w:rsidRDefault="005A75AF" w:rsidP="00E65DFE">
      <w:pPr>
        <w:pStyle w:val="Textonotapie"/>
        <w:ind w:firstLine="709"/>
        <w:jc w:val="both"/>
        <w:rPr>
          <w:rFonts w:ascii="Geomanist Light" w:hAnsi="Geomanist Light" w:cs="Arial"/>
          <w:color w:val="000000"/>
          <w:sz w:val="19"/>
          <w:szCs w:val="19"/>
        </w:rPr>
      </w:pPr>
      <w:r w:rsidRPr="0046015C">
        <w:rPr>
          <w:rStyle w:val="Refdenotaalpie"/>
          <w:rFonts w:ascii="Geomanist Light" w:hAnsi="Geomanist Light" w:cs="Arial"/>
          <w:color w:val="000000"/>
          <w:sz w:val="19"/>
          <w:szCs w:val="19"/>
        </w:rPr>
        <w:footnoteRef/>
      </w:r>
      <w:r w:rsidRPr="0046015C">
        <w:rPr>
          <w:rFonts w:ascii="Geomanist Light" w:hAnsi="Geomanist Light" w:cs="Arial"/>
          <w:color w:val="000000"/>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7FC5AA4" w14:textId="77777777" w:rsidR="005A75AF" w:rsidRPr="0046015C" w:rsidRDefault="005A75AF" w:rsidP="00E65DFE">
      <w:pPr>
        <w:pStyle w:val="Textonotapie"/>
        <w:ind w:firstLine="709"/>
        <w:jc w:val="both"/>
        <w:rPr>
          <w:rFonts w:ascii="Geomanist Light" w:hAnsi="Geomanist Light" w:cs="Arial"/>
          <w:color w:val="000000"/>
          <w:sz w:val="19"/>
          <w:szCs w:val="19"/>
        </w:rPr>
      </w:pPr>
    </w:p>
    <w:p w14:paraId="072E263D" w14:textId="77777777" w:rsidR="005A75AF" w:rsidRPr="0046015C" w:rsidRDefault="005A75AF" w:rsidP="00E65DFE">
      <w:pPr>
        <w:pStyle w:val="Textonotapie"/>
        <w:ind w:firstLine="709"/>
        <w:jc w:val="both"/>
        <w:rPr>
          <w:rFonts w:ascii="Geomanist Light" w:hAnsi="Geomanist Light" w:cs="Arial"/>
          <w:color w:val="000000"/>
          <w:sz w:val="19"/>
          <w:szCs w:val="19"/>
        </w:rPr>
      </w:pPr>
      <w:r w:rsidRPr="0046015C">
        <w:rPr>
          <w:rFonts w:ascii="Geomanist Light" w:hAnsi="Geomanist Light" w:cs="Arial"/>
          <w:color w:val="000000"/>
          <w:sz w:val="19"/>
          <w:szCs w:val="19"/>
        </w:rPr>
        <w:t>»Lo anterior, sin perjuicio de las publicaciones previstas en el numeral 3 del artículo 30 de la Ley 80 de 1993.</w:t>
      </w:r>
    </w:p>
    <w:p w14:paraId="107DB1C7" w14:textId="77777777" w:rsidR="005A75AF" w:rsidRPr="0046015C" w:rsidRDefault="005A75AF" w:rsidP="00E65DFE">
      <w:pPr>
        <w:pStyle w:val="Textonotapie"/>
        <w:ind w:firstLine="709"/>
        <w:jc w:val="both"/>
        <w:rPr>
          <w:rFonts w:ascii="Geomanist Light" w:hAnsi="Geomanist Light" w:cs="Arial"/>
          <w:color w:val="000000"/>
          <w:sz w:val="19"/>
          <w:szCs w:val="19"/>
        </w:rPr>
      </w:pPr>
      <w:r w:rsidRPr="0046015C">
        <w:rPr>
          <w:rFonts w:ascii="Geomanist Light" w:hAnsi="Geomanist Light" w:cs="Arial"/>
          <w:color w:val="000000"/>
          <w:sz w:val="19"/>
          <w:szCs w:val="19"/>
        </w:rPr>
        <w:t xml:space="preserve">»Con el fin de materializar los objetivos a que se refiere el inciso anterior, el Gobierno Nacional desarrollará el Sistema Electrónico para la Contratación Pública, Secop, el cual: </w:t>
      </w:r>
    </w:p>
    <w:p w14:paraId="4119DAF0" w14:textId="77777777" w:rsidR="005A75AF" w:rsidRPr="0046015C" w:rsidRDefault="005A75AF" w:rsidP="00E65DFE">
      <w:pPr>
        <w:pStyle w:val="Textonotapie"/>
        <w:ind w:firstLine="709"/>
        <w:jc w:val="both"/>
        <w:rPr>
          <w:rFonts w:ascii="Geomanist Light" w:hAnsi="Geomanist Light" w:cs="Arial"/>
          <w:color w:val="000000"/>
          <w:sz w:val="19"/>
          <w:szCs w:val="19"/>
        </w:rPr>
      </w:pPr>
      <w:r w:rsidRPr="0046015C">
        <w:rPr>
          <w:rFonts w:ascii="Geomanist Light" w:hAnsi="Geomanist Light" w:cs="Arial"/>
          <w:color w:val="000000"/>
          <w:sz w:val="19"/>
          <w:szCs w:val="19"/>
        </w:rPr>
        <w:t>[…]</w:t>
      </w:r>
    </w:p>
    <w:p w14:paraId="17F0F325" w14:textId="77777777" w:rsidR="005A75AF" w:rsidRPr="0046015C" w:rsidRDefault="005A75AF" w:rsidP="00E65DFE">
      <w:pPr>
        <w:pStyle w:val="Textonotapie"/>
        <w:ind w:firstLine="709"/>
        <w:jc w:val="both"/>
        <w:rPr>
          <w:rFonts w:ascii="Geomanist Light" w:hAnsi="Geomanist Light" w:cs="Arial"/>
          <w:color w:val="000000"/>
          <w:sz w:val="19"/>
          <w:szCs w:val="19"/>
        </w:rPr>
      </w:pPr>
      <w:r w:rsidRPr="0046015C">
        <w:rPr>
          <w:rFonts w:ascii="Geomanist Light" w:hAnsi="Geomanist Light" w:cs="Arial"/>
          <w:color w:val="000000"/>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1AC90A3" w14:textId="77777777" w:rsidR="005A75AF" w:rsidRPr="0046015C" w:rsidRDefault="005A75AF" w:rsidP="00E65DFE">
      <w:pPr>
        <w:pStyle w:val="Textonotapie"/>
        <w:ind w:firstLine="709"/>
        <w:jc w:val="both"/>
        <w:rPr>
          <w:rFonts w:ascii="Geomanist Light" w:hAnsi="Geomanist Light" w:cs="Arial"/>
          <w:color w:val="000000"/>
          <w:sz w:val="19"/>
          <w:szCs w:val="19"/>
        </w:rPr>
      </w:pPr>
    </w:p>
  </w:footnote>
  <w:footnote w:id="15">
    <w:p w14:paraId="2435678D" w14:textId="77777777" w:rsidR="005A75AF" w:rsidRPr="0046015C" w:rsidRDefault="005A75AF" w:rsidP="00E65DFE">
      <w:pPr>
        <w:pStyle w:val="Textonotapie"/>
        <w:ind w:firstLine="709"/>
        <w:jc w:val="both"/>
        <w:rPr>
          <w:rFonts w:ascii="Geomanist Light" w:hAnsi="Geomanist Light" w:cs="Arial"/>
          <w:color w:val="000000"/>
          <w:sz w:val="19"/>
          <w:szCs w:val="19"/>
        </w:rPr>
      </w:pPr>
      <w:r w:rsidRPr="0046015C">
        <w:rPr>
          <w:rStyle w:val="Refdenotaalpie"/>
          <w:rFonts w:ascii="Geomanist Light" w:hAnsi="Geomanist Light" w:cs="Arial"/>
          <w:color w:val="000000"/>
          <w:sz w:val="19"/>
          <w:szCs w:val="19"/>
        </w:rPr>
        <w:footnoteRef/>
      </w:r>
      <w:r w:rsidRPr="0046015C">
        <w:rPr>
          <w:rFonts w:ascii="Geomanist Light" w:hAnsi="Geomanist Light" w:cs="Arial"/>
          <w:color w:val="000000"/>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FD257C0" w14:textId="77777777" w:rsidR="005A75AF" w:rsidRPr="0046015C" w:rsidRDefault="005A75AF" w:rsidP="00E65DFE">
      <w:pPr>
        <w:pStyle w:val="Textonotapie"/>
        <w:ind w:firstLine="709"/>
        <w:jc w:val="both"/>
        <w:rPr>
          <w:rFonts w:ascii="Geomanist Light" w:hAnsi="Geomanist Light" w:cs="Arial"/>
          <w:color w:val="000000"/>
          <w:sz w:val="19"/>
          <w:szCs w:val="19"/>
        </w:rPr>
      </w:pPr>
    </w:p>
  </w:footnote>
  <w:footnote w:id="16">
    <w:p w14:paraId="01390AFE" w14:textId="77777777" w:rsidR="00256DFE" w:rsidRPr="00A51886" w:rsidRDefault="00256DFE" w:rsidP="00256DFE">
      <w:pPr>
        <w:pStyle w:val="Textonotapie"/>
        <w:ind w:firstLine="707"/>
        <w:contextualSpacing/>
        <w:jc w:val="both"/>
        <w:rPr>
          <w:rFonts w:ascii="Arial" w:hAnsi="Arial" w:cs="Arial"/>
          <w:sz w:val="19"/>
          <w:szCs w:val="19"/>
          <w:lang w:val="es-CO"/>
        </w:rPr>
      </w:pPr>
      <w:r w:rsidRPr="00A51886">
        <w:rPr>
          <w:rStyle w:val="Refdenotaalpie"/>
          <w:rFonts w:ascii="Arial" w:hAnsi="Arial" w:cs="Arial"/>
          <w:sz w:val="19"/>
          <w:szCs w:val="19"/>
        </w:rPr>
        <w:footnoteRef/>
      </w:r>
      <w:r w:rsidRPr="00A51886">
        <w:rPr>
          <w:rFonts w:ascii="Arial" w:hAnsi="Arial" w:cs="Arial"/>
          <w:sz w:val="19"/>
          <w:szCs w:val="19"/>
          <w:vertAlign w:val="superscript"/>
        </w:rPr>
        <w:t xml:space="preserve"> </w:t>
      </w:r>
      <w:r w:rsidRPr="00A51886">
        <w:rPr>
          <w:rFonts w:ascii="Arial" w:hAnsi="Arial" w:cs="Arial"/>
          <w:sz w:val="19"/>
          <w:szCs w:val="19"/>
        </w:rPr>
        <w:t xml:space="preserve">Ley 1712 de 2014: «Artículo 3. </w:t>
      </w:r>
      <w:r w:rsidRPr="00A51886">
        <w:rPr>
          <w:rFonts w:ascii="Arial" w:hAnsi="Arial" w:cs="Arial"/>
          <w:sz w:val="19"/>
          <w:szCs w:val="19"/>
          <w:lang w:val="es-CO"/>
        </w:rPr>
        <w:t>Otros principios de la transparencia y acceso a la información pública. </w:t>
      </w:r>
    </w:p>
    <w:p w14:paraId="0467520C" w14:textId="77777777" w:rsidR="00256DFE" w:rsidRPr="00A51886" w:rsidRDefault="00256DFE" w:rsidP="00256DFE">
      <w:pPr>
        <w:pStyle w:val="Textonotapie"/>
        <w:ind w:firstLine="707"/>
        <w:contextualSpacing/>
        <w:jc w:val="both"/>
        <w:rPr>
          <w:rFonts w:ascii="Arial" w:hAnsi="Arial" w:cs="Arial"/>
          <w:sz w:val="19"/>
          <w:szCs w:val="19"/>
          <w:lang w:val="es-ES"/>
        </w:rPr>
      </w:pPr>
      <w:r w:rsidRPr="00A51886">
        <w:rPr>
          <w:rFonts w:ascii="Arial" w:hAnsi="Arial" w:cs="Arial"/>
          <w:sz w:val="19"/>
          <w:szCs w:val="19"/>
          <w:lang w:val="es-ES"/>
        </w:rPr>
        <w:t>[…]</w:t>
      </w:r>
    </w:p>
    <w:p w14:paraId="0AC34A70" w14:textId="77777777" w:rsidR="00256DFE" w:rsidRPr="00A51886" w:rsidRDefault="00256DFE" w:rsidP="00256DFE">
      <w:pPr>
        <w:pStyle w:val="Textonotapie"/>
        <w:ind w:firstLine="707"/>
        <w:contextualSpacing/>
        <w:jc w:val="both"/>
        <w:rPr>
          <w:rFonts w:ascii="Arial" w:hAnsi="Arial" w:cs="Arial"/>
          <w:sz w:val="19"/>
          <w:szCs w:val="19"/>
          <w:lang w:val="es-ES"/>
        </w:rPr>
      </w:pPr>
      <w:r w:rsidRPr="00A51886">
        <w:rPr>
          <w:rStyle w:val="baj"/>
          <w:rFonts w:ascii="Arial" w:hAnsi="Arial" w:cs="Arial"/>
          <w:b/>
          <w:bCs/>
          <w:sz w:val="19"/>
          <w:szCs w:val="19"/>
        </w:rPr>
        <w:t>Principio de buena fe</w:t>
      </w:r>
      <w:r w:rsidRPr="00A51886">
        <w:rPr>
          <w:rFonts w:ascii="Arial" w:hAnsi="Arial" w:cs="Arial"/>
          <w:sz w:val="19"/>
          <w:szCs w:val="19"/>
        </w:rPr>
        <w:t>. En virtud del cual todo sujeto obligado, al cumplir con las obligaciones derivadas del derecho de acceso a la información pública, lo hará con motivación honesta, leal y desprovista de cualquier intención dolosa o culposa.</w:t>
      </w:r>
    </w:p>
  </w:footnote>
  <w:footnote w:id="17">
    <w:p w14:paraId="711F67F7" w14:textId="77777777" w:rsidR="007C77C7" w:rsidRPr="00A51886" w:rsidRDefault="007C77C7" w:rsidP="007C77C7">
      <w:pPr>
        <w:ind w:firstLine="707"/>
        <w:contextualSpacing/>
        <w:jc w:val="both"/>
        <w:rPr>
          <w:rFonts w:ascii="Arial" w:hAnsi="Arial" w:cs="Arial"/>
          <w:sz w:val="19"/>
          <w:szCs w:val="19"/>
        </w:rPr>
      </w:pPr>
    </w:p>
    <w:p w14:paraId="5CE455E8" w14:textId="77777777" w:rsidR="007C77C7" w:rsidRPr="00A51886" w:rsidRDefault="007C77C7" w:rsidP="007C77C7">
      <w:pPr>
        <w:ind w:firstLine="707"/>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Ley 1712 de 2014: «Artículo 5. Ámbito de aplicación. Las disposiciones de esta ley serán aplicables a las siguientes personas en calidad de sujetos obligados:</w:t>
      </w:r>
    </w:p>
    <w:p w14:paraId="3EC083C4" w14:textId="77777777" w:rsidR="007C77C7" w:rsidRPr="00A51886" w:rsidRDefault="007C77C7" w:rsidP="007C77C7">
      <w:pPr>
        <w:ind w:firstLine="707"/>
        <w:contextualSpacing/>
        <w:jc w:val="both"/>
        <w:rPr>
          <w:rFonts w:ascii="Arial" w:hAnsi="Arial" w:cs="Arial"/>
          <w:sz w:val="19"/>
          <w:szCs w:val="19"/>
        </w:rPr>
      </w:pPr>
      <w:r w:rsidRPr="00A51886">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A8BD1E9" w14:textId="77777777" w:rsidR="007C77C7" w:rsidRPr="00A51886" w:rsidRDefault="007C77C7" w:rsidP="007C77C7">
      <w:pPr>
        <w:pStyle w:val="Textonotapie"/>
        <w:contextualSpacing/>
        <w:jc w:val="both"/>
        <w:rPr>
          <w:rFonts w:ascii="Arial" w:hAnsi="Arial" w:cs="Arial"/>
          <w:sz w:val="19"/>
          <w:szCs w:val="19"/>
        </w:rPr>
      </w:pPr>
    </w:p>
  </w:footnote>
  <w:footnote w:id="18">
    <w:p w14:paraId="752C6D7D" w14:textId="77777777" w:rsidR="005A75AF" w:rsidRPr="0046015C" w:rsidRDefault="005A75AF" w:rsidP="00E65DFE">
      <w:pPr>
        <w:pStyle w:val="Textonotapie"/>
        <w:ind w:firstLine="709"/>
        <w:jc w:val="both"/>
        <w:rPr>
          <w:rFonts w:ascii="Geomanist Light" w:hAnsi="Geomanist Light" w:cs="Arial"/>
          <w:color w:val="000000"/>
          <w:sz w:val="19"/>
          <w:szCs w:val="19"/>
        </w:rPr>
      </w:pPr>
      <w:r w:rsidRPr="0046015C">
        <w:rPr>
          <w:rFonts w:ascii="Geomanist Light" w:eastAsia="Times New Roman" w:hAnsi="Geomanist Light" w:cs="Arial"/>
          <w:color w:val="000000"/>
          <w:sz w:val="19"/>
          <w:szCs w:val="19"/>
          <w:vertAlign w:val="superscript"/>
          <w:lang w:val="es-ES" w:eastAsia="es-ES"/>
        </w:rPr>
        <w:footnoteRef/>
      </w:r>
      <w:r w:rsidRPr="0046015C">
        <w:rPr>
          <w:rFonts w:ascii="Geomanist Light" w:eastAsia="Times New Roman" w:hAnsi="Geomanist Light" w:cs="Arial"/>
          <w:color w:val="000000"/>
          <w:sz w:val="19"/>
          <w:szCs w:val="19"/>
          <w:vertAlign w:val="superscript"/>
          <w:lang w:val="es-ES" w:eastAsia="es-ES"/>
        </w:rPr>
        <w:t xml:space="preserve"> </w:t>
      </w:r>
      <w:r w:rsidRPr="0046015C">
        <w:rPr>
          <w:rFonts w:ascii="Geomanist Light" w:eastAsia="Times New Roman" w:hAnsi="Geomanist Light" w:cs="Arial"/>
          <w:color w:val="000000"/>
          <w:sz w:val="19"/>
          <w:szCs w:val="19"/>
          <w:lang w:val="es-ES" w:eastAsia="es-ES"/>
        </w:rPr>
        <w:t>«</w:t>
      </w:r>
      <w:r w:rsidRPr="0046015C">
        <w:rPr>
          <w:rFonts w:ascii="Geomanist Light" w:hAnsi="Geomanist Light" w:cs="Arial"/>
          <w:color w:val="000000"/>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4713CEF" w14:textId="77777777" w:rsidR="005A75AF" w:rsidRPr="0046015C" w:rsidRDefault="005A75AF" w:rsidP="00E65DFE">
      <w:pPr>
        <w:pStyle w:val="Textonotapie"/>
        <w:ind w:firstLine="709"/>
        <w:jc w:val="both"/>
        <w:rPr>
          <w:rFonts w:ascii="Geomanist Light" w:eastAsia="Times New Roman" w:hAnsi="Geomanist Light" w:cs="Arial"/>
          <w:color w:val="000000"/>
          <w:sz w:val="19"/>
          <w:szCs w:val="19"/>
          <w:lang w:val="es-ES" w:eastAsia="es-ES"/>
        </w:rPr>
      </w:pPr>
      <w:r w:rsidRPr="0046015C">
        <w:rPr>
          <w:rFonts w:ascii="Geomanist Light" w:hAnsi="Geomanist Light" w:cs="Arial"/>
          <w:color w:val="000000"/>
          <w:sz w:val="19"/>
          <w:szCs w:val="19"/>
        </w:rPr>
        <w:t>[…].</w:t>
      </w:r>
    </w:p>
    <w:p w14:paraId="473B85A6" w14:textId="77777777" w:rsidR="005A75AF" w:rsidRPr="0046015C" w:rsidRDefault="005A75AF" w:rsidP="00E65DFE">
      <w:pPr>
        <w:pStyle w:val="Textonotapie"/>
        <w:ind w:firstLine="709"/>
        <w:jc w:val="both"/>
        <w:rPr>
          <w:rFonts w:ascii="Geomanist Light" w:eastAsia="Times New Roman" w:hAnsi="Geomanist Light" w:cs="Arial"/>
          <w:color w:val="000000"/>
          <w:sz w:val="19"/>
          <w:szCs w:val="19"/>
          <w:lang w:val="es-ES" w:eastAsia="es-ES"/>
        </w:rPr>
      </w:pPr>
      <w:r w:rsidRPr="0046015C">
        <w:rPr>
          <w:rFonts w:ascii="Geomanist Light" w:eastAsia="Times New Roman" w:hAnsi="Geomanist Light" w:cs="Arial"/>
          <w:color w:val="000000"/>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1830F90" w14:textId="77777777" w:rsidR="005A75AF" w:rsidRPr="0046015C" w:rsidRDefault="005A75AF" w:rsidP="00E65DFE">
      <w:pPr>
        <w:pStyle w:val="Textonotapie"/>
        <w:ind w:firstLine="709"/>
        <w:jc w:val="both"/>
        <w:rPr>
          <w:rFonts w:ascii="Geomanist Light" w:eastAsia="Times New Roman" w:hAnsi="Geomanist Light" w:cs="Arial"/>
          <w:color w:val="000000"/>
          <w:sz w:val="19"/>
          <w:szCs w:val="19"/>
          <w:lang w:val="es-ES" w:eastAsia="es-ES"/>
        </w:rPr>
      </w:pPr>
    </w:p>
  </w:footnote>
  <w:footnote w:id="19">
    <w:p w14:paraId="046E53DC" w14:textId="77777777" w:rsidR="00EE2CEC" w:rsidRPr="0046015C" w:rsidRDefault="00EE2CEC" w:rsidP="00E65DFE">
      <w:pPr>
        <w:pStyle w:val="Textonotapie"/>
        <w:ind w:firstLine="709"/>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14:paraId="1793C19E"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»1. Los relacionados con la defensa o seguridad nacionales.  </w:t>
      </w:r>
    </w:p>
    <w:p w14:paraId="1A7781B3"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»2. Las instrucciones en materia diplomática o sobre negociaciones reservadas.  </w:t>
      </w:r>
    </w:p>
    <w:p w14:paraId="75B76573"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7BBDA2D"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CADAB52"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»5. Los datos referentes a la información financiera y comercial, en los términos de la Ley Estatutaria 1266 de 2008.  </w:t>
      </w:r>
    </w:p>
    <w:p w14:paraId="4D921A64"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»6. Los protegidos por el secreto comercial o industrial, así como los planes estratégicos de las empresas públicas de servicios públicos.  </w:t>
      </w:r>
    </w:p>
    <w:p w14:paraId="790B519B"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»7. Los amparados por el secreto profesional.  </w:t>
      </w:r>
    </w:p>
    <w:p w14:paraId="42469B00"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»8. Los datos genéticos humanos.  </w:t>
      </w:r>
    </w:p>
    <w:p w14:paraId="29B513DC" w14:textId="77777777" w:rsidR="00EE2CEC" w:rsidRPr="0046015C" w:rsidRDefault="00EE2CEC" w:rsidP="00E65DFE">
      <w:pPr>
        <w:pStyle w:val="Textonotapie"/>
        <w:ind w:firstLine="709"/>
        <w:jc w:val="both"/>
        <w:rPr>
          <w:rFonts w:ascii="Geomanist Light" w:hAnsi="Geomanist Light" w:cs="Arial"/>
          <w:sz w:val="19"/>
          <w:szCs w:val="19"/>
        </w:rPr>
      </w:pPr>
      <w:r w:rsidRPr="0046015C">
        <w:rPr>
          <w:rFonts w:ascii="Geomanist Light" w:hAnsi="Geomanist Light"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22C7B5FE" w14:textId="77777777" w:rsidR="00EE2CEC" w:rsidRPr="0046015C" w:rsidRDefault="00EE2CEC" w:rsidP="00E65DFE">
      <w:pPr>
        <w:pStyle w:val="Textonotapie"/>
        <w:ind w:firstLine="709"/>
        <w:jc w:val="both"/>
        <w:rPr>
          <w:rFonts w:ascii="Geomanist Light" w:hAnsi="Geomanist Light" w:cs="Arial"/>
          <w:sz w:val="19"/>
          <w:szCs w:val="19"/>
        </w:rPr>
      </w:pPr>
    </w:p>
  </w:footnote>
  <w:footnote w:id="20">
    <w:p w14:paraId="193E3CB5" w14:textId="77777777" w:rsidR="00B02AC1" w:rsidRPr="0046015C" w:rsidRDefault="00B02AC1" w:rsidP="00E65DFE">
      <w:pPr>
        <w:pStyle w:val="Textonotapie"/>
        <w:ind w:firstLine="708"/>
        <w:jc w:val="both"/>
        <w:rPr>
          <w:rFonts w:ascii="Geomanist Light" w:hAnsi="Geomanist Light" w:cs="Arial"/>
          <w:sz w:val="19"/>
          <w:szCs w:val="19"/>
        </w:rPr>
      </w:pPr>
    </w:p>
    <w:p w14:paraId="761F5807" w14:textId="1F88B3A1" w:rsidR="00EE2CEC" w:rsidRPr="0046015C" w:rsidRDefault="00EE2CEC" w:rsidP="007F4406">
      <w:pPr>
        <w:pStyle w:val="Textonotapie"/>
        <w:ind w:firstLine="708"/>
        <w:jc w:val="both"/>
        <w:rPr>
          <w:rFonts w:ascii="Geomanist Light" w:hAnsi="Geomanist Light" w:cs="Arial"/>
          <w:sz w:val="19"/>
          <w:szCs w:val="19"/>
        </w:rPr>
      </w:pPr>
      <w:r w:rsidRPr="0046015C">
        <w:rPr>
          <w:rStyle w:val="Refdenotaalpie"/>
          <w:rFonts w:ascii="Geomanist Light" w:hAnsi="Geomanist Light" w:cs="Arial"/>
          <w:sz w:val="19"/>
          <w:szCs w:val="19"/>
        </w:rPr>
        <w:footnoteRef/>
      </w:r>
      <w:r w:rsidRPr="0046015C">
        <w:rPr>
          <w:rFonts w:ascii="Geomanist Light" w:hAnsi="Geomanist Light" w:cs="Arial"/>
          <w:sz w:val="19"/>
          <w:szCs w:val="19"/>
        </w:rPr>
        <w:t xml:space="preserve"> </w:t>
      </w:r>
      <w:r w:rsidRPr="0046015C">
        <w:rPr>
          <w:rFonts w:ascii="Geomanist Light" w:eastAsia="Calibri" w:hAnsi="Geomanist Light" w:cs="Arial"/>
          <w:sz w:val="19"/>
          <w:szCs w:val="19"/>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footnote>
  <w:footnote w:id="21">
    <w:p w14:paraId="5E916D2D" w14:textId="77777777" w:rsidR="003C54F0" w:rsidRPr="0046015C" w:rsidRDefault="003C54F0" w:rsidP="003C54F0">
      <w:pPr>
        <w:pStyle w:val="Textonotapie"/>
        <w:ind w:firstLine="709"/>
        <w:jc w:val="both"/>
        <w:rPr>
          <w:rFonts w:ascii="Geomanist Light" w:hAnsi="Geomanist Light" w:cs="Arial"/>
          <w:color w:val="000000"/>
          <w:sz w:val="19"/>
          <w:szCs w:val="19"/>
        </w:rPr>
      </w:pPr>
      <w:r w:rsidRPr="0046015C">
        <w:rPr>
          <w:rStyle w:val="Refdenotaalpie"/>
          <w:rFonts w:ascii="Geomanist Light" w:hAnsi="Geomanist Light" w:cs="Arial"/>
          <w:color w:val="000000"/>
          <w:sz w:val="19"/>
          <w:szCs w:val="19"/>
        </w:rPr>
        <w:footnoteRef/>
      </w:r>
      <w:r w:rsidRPr="0046015C">
        <w:rPr>
          <w:rFonts w:ascii="Geomanist Light" w:hAnsi="Geomanist Light" w:cs="Arial"/>
          <w:color w:val="000000"/>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 del contrato no implica erogación presupuestal».</w:t>
      </w:r>
    </w:p>
    <w:p w14:paraId="0C164678" w14:textId="77777777" w:rsidR="003C54F0" w:rsidRPr="0046015C" w:rsidRDefault="003C54F0" w:rsidP="003C54F0">
      <w:pPr>
        <w:pStyle w:val="Textonotapie"/>
        <w:ind w:firstLine="709"/>
        <w:jc w:val="both"/>
        <w:rPr>
          <w:rFonts w:ascii="Geomanist Light" w:hAnsi="Geomanist Light" w:cs="Arial"/>
          <w:color w:val="000000"/>
          <w:sz w:val="19"/>
          <w:szCs w:val="19"/>
        </w:rPr>
      </w:pPr>
    </w:p>
  </w:footnote>
  <w:footnote w:id="22">
    <w:p w14:paraId="6FEA9ED6" w14:textId="77777777" w:rsidR="00FF2C29" w:rsidRDefault="00FF2C29" w:rsidP="00FF2C29">
      <w:pPr>
        <w:pStyle w:val="Textonotapie"/>
        <w:ind w:firstLine="708"/>
        <w:contextualSpacing/>
        <w:jc w:val="both"/>
        <w:rPr>
          <w:rFonts w:ascii="Arial" w:hAnsi="Arial" w:cs="Arial"/>
          <w:sz w:val="19"/>
          <w:szCs w:val="19"/>
        </w:rPr>
      </w:pPr>
    </w:p>
    <w:p w14:paraId="16DC5914" w14:textId="77777777" w:rsidR="00FF2C29" w:rsidRPr="00A51886" w:rsidRDefault="00FF2C29" w:rsidP="00FF2C29">
      <w:pPr>
        <w:pStyle w:val="Textonotapie"/>
        <w:ind w:firstLine="708"/>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Decreto 4170 de 2011: «Artículo 3. Funciones: La Agencia Nacional de Contratación Pública –Colombia Compra Eficiente– ejercerá las siguientes funciones: [...]</w:t>
      </w:r>
    </w:p>
    <w:p w14:paraId="1E5205F2" w14:textId="77777777" w:rsidR="00FF2C29" w:rsidRPr="00A51886" w:rsidRDefault="00FF2C29" w:rsidP="00FF2C29">
      <w:pPr>
        <w:pStyle w:val="Textonotapie"/>
        <w:ind w:firstLine="708"/>
        <w:contextualSpacing/>
        <w:jc w:val="both"/>
        <w:rPr>
          <w:rFonts w:ascii="Arial" w:hAnsi="Arial" w:cs="Arial"/>
          <w:sz w:val="19"/>
          <w:szCs w:val="19"/>
        </w:rPr>
      </w:pPr>
      <w:r w:rsidRPr="00A51886">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4BBAD8CC" w14:textId="77777777" w:rsidR="00FF2C29" w:rsidRPr="00A51886" w:rsidRDefault="00FF2C29" w:rsidP="00FF2C29">
      <w:pPr>
        <w:pStyle w:val="Textonotapie"/>
        <w:contextualSpacing/>
        <w:jc w:val="both"/>
        <w:rPr>
          <w:rFonts w:ascii="Arial" w:hAnsi="Arial" w:cs="Arial"/>
          <w:sz w:val="19"/>
          <w:szCs w:val="19"/>
          <w:lang w:val="es-ES"/>
        </w:rPr>
      </w:pPr>
    </w:p>
  </w:footnote>
  <w:footnote w:id="23">
    <w:p w14:paraId="5A1BF9AD" w14:textId="77777777" w:rsidR="00FF2C29" w:rsidRPr="00A51886" w:rsidRDefault="00FF2C29" w:rsidP="00FF2C29">
      <w:pPr>
        <w:pStyle w:val="Textonotapie"/>
        <w:ind w:firstLine="708"/>
        <w:contextualSpacing/>
        <w:jc w:val="both"/>
        <w:rPr>
          <w:rStyle w:val="Hipervnculo"/>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En el siguiente link se puede consultar la Guía para gestionar o publicar los procesos de Régimen Especial con oferta en el SECOP II:  </w:t>
      </w:r>
      <w:hyperlink r:id="rId2" w:history="1">
        <w:r w:rsidRPr="00A51886">
          <w:rPr>
            <w:rStyle w:val="Hipervnculo"/>
            <w:rFonts w:ascii="Arial" w:hAnsi="Arial" w:cs="Arial"/>
            <w:sz w:val="19"/>
            <w:szCs w:val="19"/>
          </w:rPr>
          <w:t>https://www.colombiacompra.gov.co/node/23628</w:t>
        </w:r>
      </w:hyperlink>
    </w:p>
    <w:p w14:paraId="7E464D71" w14:textId="77777777" w:rsidR="00FF2C29" w:rsidRPr="00A51886" w:rsidRDefault="00FF2C29" w:rsidP="00FF2C29">
      <w:pPr>
        <w:pStyle w:val="Textonotapie"/>
        <w:ind w:firstLine="708"/>
        <w:contextualSpacing/>
        <w:jc w:val="both"/>
        <w:rPr>
          <w:rFonts w:ascii="Arial" w:hAnsi="Arial" w:cs="Arial"/>
          <w:sz w:val="19"/>
          <w:szCs w:val="19"/>
        </w:rPr>
      </w:pPr>
      <w:r w:rsidRPr="00A51886">
        <w:rPr>
          <w:rFonts w:ascii="Arial" w:hAnsi="Arial" w:cs="Arial"/>
          <w:sz w:val="19"/>
          <w:szCs w:val="19"/>
        </w:rPr>
        <w:t xml:space="preserve"> </w:t>
      </w:r>
    </w:p>
  </w:footnote>
  <w:footnote w:id="24">
    <w:p w14:paraId="6A15E1F5" w14:textId="77777777" w:rsidR="00FF2C29" w:rsidRPr="00A51886" w:rsidRDefault="00FF2C29" w:rsidP="00FF2C29">
      <w:pPr>
        <w:pStyle w:val="Textonotapie"/>
        <w:ind w:firstLine="708"/>
        <w:contextualSpacing/>
        <w:jc w:val="both"/>
        <w:rPr>
          <w:rFonts w:ascii="Arial" w:hAnsi="Arial" w:cs="Arial"/>
          <w:sz w:val="19"/>
          <w:szCs w:val="19"/>
        </w:rPr>
      </w:pPr>
      <w:r w:rsidRPr="00A51886">
        <w:rPr>
          <w:rStyle w:val="Refdenotaalpie"/>
          <w:rFonts w:ascii="Arial" w:hAnsi="Arial" w:cs="Arial"/>
          <w:sz w:val="19"/>
          <w:szCs w:val="19"/>
        </w:rPr>
        <w:footnoteRef/>
      </w:r>
      <w:r w:rsidRPr="00A51886">
        <w:rPr>
          <w:rFonts w:ascii="Arial" w:hAnsi="Arial" w:cs="Arial"/>
          <w:sz w:val="19"/>
          <w:szCs w:val="19"/>
        </w:rPr>
        <w:t xml:space="preserve"> En el siguiente link se puede consultar la Guía para gestionar o publicar los procesos de Régimen Especial sin oferta en el SECOP II:   </w:t>
      </w:r>
      <w:hyperlink r:id="rId3" w:history="1">
        <w:r w:rsidRPr="00A51886">
          <w:rPr>
            <w:rStyle w:val="Hipervnculo"/>
            <w:rFonts w:ascii="Arial" w:hAnsi="Arial" w:cs="Arial"/>
            <w:sz w:val="19"/>
            <w:szCs w:val="19"/>
          </w:rPr>
          <w:t>https://www.colombiacompra.gov.co/node/30741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6A96DFA" w:rsidR="000A47AF" w:rsidRDefault="000A47AF">
    <w:pPr>
      <w:pStyle w:val="Encabezado"/>
    </w:pPr>
  </w:p>
  <w:p w14:paraId="6014477A" w14:textId="5CECF460" w:rsidR="00183D77" w:rsidRDefault="008754C2">
    <w:r>
      <w:rPr>
        <w:noProof/>
        <w:lang w:eastAsia="es-CO"/>
      </w:rPr>
      <w:drawing>
        <wp:anchor distT="0" distB="0" distL="114300" distR="114300" simplePos="0" relativeHeight="251659264" behindDoc="0" locked="0" layoutInCell="1" allowOverlap="1" wp14:anchorId="6CE3738D" wp14:editId="0967EEA8">
          <wp:simplePos x="0" y="0"/>
          <wp:positionH relativeFrom="margin">
            <wp:align>right</wp:align>
          </wp:positionH>
          <wp:positionV relativeFrom="paragraph">
            <wp:posOffset>110193</wp:posOffset>
          </wp:positionV>
          <wp:extent cx="1420507" cy="589741"/>
          <wp:effectExtent l="0" t="0" r="8255" b="1270"/>
          <wp:wrapNone/>
          <wp:docPr id="2" name="Imagen 2"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C6D78FA"/>
    <w:multiLevelType w:val="multilevel"/>
    <w:tmpl w:val="A98AA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807285040">
    <w:abstractNumId w:val="3"/>
  </w:num>
  <w:num w:numId="2" w16cid:durableId="1947928917">
    <w:abstractNumId w:val="2"/>
  </w:num>
  <w:num w:numId="3" w16cid:durableId="1590120529">
    <w:abstractNumId w:val="5"/>
  </w:num>
  <w:num w:numId="4" w16cid:durableId="1511677951">
    <w:abstractNumId w:val="6"/>
  </w:num>
  <w:num w:numId="5" w16cid:durableId="297227469">
    <w:abstractNumId w:val="9"/>
  </w:num>
  <w:num w:numId="6" w16cid:durableId="116806274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0501091">
    <w:abstractNumId w:val="7"/>
  </w:num>
  <w:num w:numId="8" w16cid:durableId="272791538">
    <w:abstractNumId w:val="8"/>
  </w:num>
  <w:num w:numId="9" w16cid:durableId="978462878">
    <w:abstractNumId w:val="4"/>
  </w:num>
  <w:num w:numId="10" w16cid:durableId="1747222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55D9"/>
    <w:rsid w:val="000059D3"/>
    <w:rsid w:val="00005E9C"/>
    <w:rsid w:val="0001035E"/>
    <w:rsid w:val="00016CFF"/>
    <w:rsid w:val="00022E15"/>
    <w:rsid w:val="000279B3"/>
    <w:rsid w:val="00032912"/>
    <w:rsid w:val="00037573"/>
    <w:rsid w:val="00040DEA"/>
    <w:rsid w:val="00041FE7"/>
    <w:rsid w:val="00045246"/>
    <w:rsid w:val="00045FBD"/>
    <w:rsid w:val="000472FF"/>
    <w:rsid w:val="0004752B"/>
    <w:rsid w:val="000529A0"/>
    <w:rsid w:val="00053FCB"/>
    <w:rsid w:val="0005428F"/>
    <w:rsid w:val="0005551F"/>
    <w:rsid w:val="00055A31"/>
    <w:rsid w:val="0005657D"/>
    <w:rsid w:val="000565DF"/>
    <w:rsid w:val="00056BD1"/>
    <w:rsid w:val="0006537A"/>
    <w:rsid w:val="00070540"/>
    <w:rsid w:val="00070964"/>
    <w:rsid w:val="00070ADE"/>
    <w:rsid w:val="000721E4"/>
    <w:rsid w:val="000744B4"/>
    <w:rsid w:val="00074693"/>
    <w:rsid w:val="00076A78"/>
    <w:rsid w:val="00076CE8"/>
    <w:rsid w:val="00080ACD"/>
    <w:rsid w:val="00082FC1"/>
    <w:rsid w:val="00083B04"/>
    <w:rsid w:val="00084B97"/>
    <w:rsid w:val="0008539A"/>
    <w:rsid w:val="000942EB"/>
    <w:rsid w:val="000955B1"/>
    <w:rsid w:val="00095B34"/>
    <w:rsid w:val="0009676A"/>
    <w:rsid w:val="000967FB"/>
    <w:rsid w:val="000A0158"/>
    <w:rsid w:val="000A2092"/>
    <w:rsid w:val="000A23A8"/>
    <w:rsid w:val="000A296C"/>
    <w:rsid w:val="000A3B5A"/>
    <w:rsid w:val="000A3C64"/>
    <w:rsid w:val="000A47AF"/>
    <w:rsid w:val="000A7521"/>
    <w:rsid w:val="000A7C27"/>
    <w:rsid w:val="000B0545"/>
    <w:rsid w:val="000B0FAB"/>
    <w:rsid w:val="000B103F"/>
    <w:rsid w:val="000B419B"/>
    <w:rsid w:val="000B44CC"/>
    <w:rsid w:val="000C0E1F"/>
    <w:rsid w:val="000C122C"/>
    <w:rsid w:val="000C2392"/>
    <w:rsid w:val="000C639D"/>
    <w:rsid w:val="000C75EC"/>
    <w:rsid w:val="000C7EDB"/>
    <w:rsid w:val="000D0ED2"/>
    <w:rsid w:val="000D10ED"/>
    <w:rsid w:val="000D1EBE"/>
    <w:rsid w:val="000D2339"/>
    <w:rsid w:val="000D68EA"/>
    <w:rsid w:val="000D7D13"/>
    <w:rsid w:val="000E004B"/>
    <w:rsid w:val="000E11AD"/>
    <w:rsid w:val="000E23BB"/>
    <w:rsid w:val="000E2BB6"/>
    <w:rsid w:val="000E349F"/>
    <w:rsid w:val="000E3509"/>
    <w:rsid w:val="000F14E8"/>
    <w:rsid w:val="000F2840"/>
    <w:rsid w:val="000F576E"/>
    <w:rsid w:val="000F5896"/>
    <w:rsid w:val="000F6871"/>
    <w:rsid w:val="0010170A"/>
    <w:rsid w:val="001019AF"/>
    <w:rsid w:val="00103915"/>
    <w:rsid w:val="001044CB"/>
    <w:rsid w:val="0010480C"/>
    <w:rsid w:val="001051E5"/>
    <w:rsid w:val="00105A2B"/>
    <w:rsid w:val="00106AB7"/>
    <w:rsid w:val="00106E3C"/>
    <w:rsid w:val="00107323"/>
    <w:rsid w:val="00112405"/>
    <w:rsid w:val="001124A9"/>
    <w:rsid w:val="00113600"/>
    <w:rsid w:val="00113705"/>
    <w:rsid w:val="001154D6"/>
    <w:rsid w:val="00122B23"/>
    <w:rsid w:val="00125BA8"/>
    <w:rsid w:val="00125BED"/>
    <w:rsid w:val="00125C59"/>
    <w:rsid w:val="00125C66"/>
    <w:rsid w:val="001272D8"/>
    <w:rsid w:val="00127AF2"/>
    <w:rsid w:val="00130016"/>
    <w:rsid w:val="00131538"/>
    <w:rsid w:val="00131B94"/>
    <w:rsid w:val="00132B4F"/>
    <w:rsid w:val="001344B8"/>
    <w:rsid w:val="001344EB"/>
    <w:rsid w:val="001346AB"/>
    <w:rsid w:val="001350C4"/>
    <w:rsid w:val="00135217"/>
    <w:rsid w:val="001360FE"/>
    <w:rsid w:val="00136BF7"/>
    <w:rsid w:val="00137E3E"/>
    <w:rsid w:val="00137FFA"/>
    <w:rsid w:val="001402C5"/>
    <w:rsid w:val="00141245"/>
    <w:rsid w:val="0014154F"/>
    <w:rsid w:val="001418A4"/>
    <w:rsid w:val="001434A4"/>
    <w:rsid w:val="001458D4"/>
    <w:rsid w:val="00145CF3"/>
    <w:rsid w:val="00146B80"/>
    <w:rsid w:val="00146DE2"/>
    <w:rsid w:val="00150F04"/>
    <w:rsid w:val="00151978"/>
    <w:rsid w:val="00152550"/>
    <w:rsid w:val="00160401"/>
    <w:rsid w:val="00161B15"/>
    <w:rsid w:val="00161B32"/>
    <w:rsid w:val="0016200B"/>
    <w:rsid w:val="00163A34"/>
    <w:rsid w:val="001640DB"/>
    <w:rsid w:val="00165D90"/>
    <w:rsid w:val="001661D5"/>
    <w:rsid w:val="00167775"/>
    <w:rsid w:val="00167950"/>
    <w:rsid w:val="00170A22"/>
    <w:rsid w:val="001753F7"/>
    <w:rsid w:val="0017619E"/>
    <w:rsid w:val="00177B94"/>
    <w:rsid w:val="00180477"/>
    <w:rsid w:val="001811A6"/>
    <w:rsid w:val="0018165F"/>
    <w:rsid w:val="00182E2B"/>
    <w:rsid w:val="00182F57"/>
    <w:rsid w:val="00183D77"/>
    <w:rsid w:val="0018492C"/>
    <w:rsid w:val="00185773"/>
    <w:rsid w:val="00187333"/>
    <w:rsid w:val="0019065D"/>
    <w:rsid w:val="0019500A"/>
    <w:rsid w:val="00195789"/>
    <w:rsid w:val="00196CBA"/>
    <w:rsid w:val="001973D6"/>
    <w:rsid w:val="001A0E2A"/>
    <w:rsid w:val="001A0F0E"/>
    <w:rsid w:val="001A2ADE"/>
    <w:rsid w:val="001A2DD2"/>
    <w:rsid w:val="001A3EC0"/>
    <w:rsid w:val="001A6135"/>
    <w:rsid w:val="001B0444"/>
    <w:rsid w:val="001B07AA"/>
    <w:rsid w:val="001B0915"/>
    <w:rsid w:val="001B2456"/>
    <w:rsid w:val="001B2A1D"/>
    <w:rsid w:val="001B76A8"/>
    <w:rsid w:val="001C26F2"/>
    <w:rsid w:val="001C3482"/>
    <w:rsid w:val="001C3E5C"/>
    <w:rsid w:val="001C435C"/>
    <w:rsid w:val="001C6D2E"/>
    <w:rsid w:val="001C7A7E"/>
    <w:rsid w:val="001D0350"/>
    <w:rsid w:val="001D6BFF"/>
    <w:rsid w:val="001D6E9F"/>
    <w:rsid w:val="001E2237"/>
    <w:rsid w:val="001E6901"/>
    <w:rsid w:val="001F0E9B"/>
    <w:rsid w:val="001F115F"/>
    <w:rsid w:val="001F2356"/>
    <w:rsid w:val="001F4546"/>
    <w:rsid w:val="001F7547"/>
    <w:rsid w:val="002014BC"/>
    <w:rsid w:val="002023CB"/>
    <w:rsid w:val="00202A9C"/>
    <w:rsid w:val="0020632A"/>
    <w:rsid w:val="0021094E"/>
    <w:rsid w:val="002110EB"/>
    <w:rsid w:val="00211338"/>
    <w:rsid w:val="00211388"/>
    <w:rsid w:val="0021234D"/>
    <w:rsid w:val="00213052"/>
    <w:rsid w:val="00213A1F"/>
    <w:rsid w:val="00213DC0"/>
    <w:rsid w:val="002143A8"/>
    <w:rsid w:val="0021491F"/>
    <w:rsid w:val="00215689"/>
    <w:rsid w:val="002157D0"/>
    <w:rsid w:val="00217A8A"/>
    <w:rsid w:val="00224655"/>
    <w:rsid w:val="002304E7"/>
    <w:rsid w:val="00232F30"/>
    <w:rsid w:val="00233A9C"/>
    <w:rsid w:val="00234B84"/>
    <w:rsid w:val="0024107C"/>
    <w:rsid w:val="002418C5"/>
    <w:rsid w:val="0024217C"/>
    <w:rsid w:val="00244779"/>
    <w:rsid w:val="0024506E"/>
    <w:rsid w:val="00245778"/>
    <w:rsid w:val="002466FF"/>
    <w:rsid w:val="00247712"/>
    <w:rsid w:val="00254960"/>
    <w:rsid w:val="00256DFE"/>
    <w:rsid w:val="0025797C"/>
    <w:rsid w:val="0026164D"/>
    <w:rsid w:val="0026168F"/>
    <w:rsid w:val="00261CA9"/>
    <w:rsid w:val="002634F5"/>
    <w:rsid w:val="00263ECC"/>
    <w:rsid w:val="00270F5A"/>
    <w:rsid w:val="00274738"/>
    <w:rsid w:val="002747D6"/>
    <w:rsid w:val="00274B85"/>
    <w:rsid w:val="00274C3F"/>
    <w:rsid w:val="00274DE5"/>
    <w:rsid w:val="002765EE"/>
    <w:rsid w:val="00276E7D"/>
    <w:rsid w:val="002801FE"/>
    <w:rsid w:val="0028243F"/>
    <w:rsid w:val="00283FB7"/>
    <w:rsid w:val="0028449C"/>
    <w:rsid w:val="002928F0"/>
    <w:rsid w:val="00292DFA"/>
    <w:rsid w:val="00294800"/>
    <w:rsid w:val="002953B2"/>
    <w:rsid w:val="00295A3E"/>
    <w:rsid w:val="002A30B9"/>
    <w:rsid w:val="002A3DD5"/>
    <w:rsid w:val="002A49A1"/>
    <w:rsid w:val="002A712A"/>
    <w:rsid w:val="002B25ED"/>
    <w:rsid w:val="002B2C97"/>
    <w:rsid w:val="002B5152"/>
    <w:rsid w:val="002B6146"/>
    <w:rsid w:val="002C3D17"/>
    <w:rsid w:val="002C496D"/>
    <w:rsid w:val="002C4AFE"/>
    <w:rsid w:val="002C4C0C"/>
    <w:rsid w:val="002C62F3"/>
    <w:rsid w:val="002D0504"/>
    <w:rsid w:val="002D2A0B"/>
    <w:rsid w:val="002D521E"/>
    <w:rsid w:val="002D66CE"/>
    <w:rsid w:val="002D708C"/>
    <w:rsid w:val="002D7181"/>
    <w:rsid w:val="002D7E0C"/>
    <w:rsid w:val="002E214A"/>
    <w:rsid w:val="002E2392"/>
    <w:rsid w:val="002E55ED"/>
    <w:rsid w:val="002F4925"/>
    <w:rsid w:val="002F49AB"/>
    <w:rsid w:val="002F67B3"/>
    <w:rsid w:val="0030235B"/>
    <w:rsid w:val="0030311A"/>
    <w:rsid w:val="003033BA"/>
    <w:rsid w:val="00304741"/>
    <w:rsid w:val="00304B88"/>
    <w:rsid w:val="00305BDF"/>
    <w:rsid w:val="00310967"/>
    <w:rsid w:val="00311B20"/>
    <w:rsid w:val="00312F9D"/>
    <w:rsid w:val="00314D6F"/>
    <w:rsid w:val="00321169"/>
    <w:rsid w:val="00322937"/>
    <w:rsid w:val="003248D6"/>
    <w:rsid w:val="003264C6"/>
    <w:rsid w:val="00327372"/>
    <w:rsid w:val="00327A5C"/>
    <w:rsid w:val="0033092C"/>
    <w:rsid w:val="00331FBE"/>
    <w:rsid w:val="00332769"/>
    <w:rsid w:val="00332A9D"/>
    <w:rsid w:val="00332BBA"/>
    <w:rsid w:val="00332DF0"/>
    <w:rsid w:val="00333786"/>
    <w:rsid w:val="00333B5D"/>
    <w:rsid w:val="00334D06"/>
    <w:rsid w:val="00336729"/>
    <w:rsid w:val="003370E7"/>
    <w:rsid w:val="0034177C"/>
    <w:rsid w:val="0034322C"/>
    <w:rsid w:val="003432C8"/>
    <w:rsid w:val="0034680A"/>
    <w:rsid w:val="00352AB9"/>
    <w:rsid w:val="00352F08"/>
    <w:rsid w:val="00353678"/>
    <w:rsid w:val="00353DD5"/>
    <w:rsid w:val="00355189"/>
    <w:rsid w:val="003604EB"/>
    <w:rsid w:val="00361021"/>
    <w:rsid w:val="00363B8C"/>
    <w:rsid w:val="003640A6"/>
    <w:rsid w:val="003713CB"/>
    <w:rsid w:val="00371889"/>
    <w:rsid w:val="00376ADC"/>
    <w:rsid w:val="003775C1"/>
    <w:rsid w:val="003779D5"/>
    <w:rsid w:val="00382349"/>
    <w:rsid w:val="0038327E"/>
    <w:rsid w:val="00384D95"/>
    <w:rsid w:val="003856A6"/>
    <w:rsid w:val="00385AC8"/>
    <w:rsid w:val="00386456"/>
    <w:rsid w:val="00387D23"/>
    <w:rsid w:val="00391B34"/>
    <w:rsid w:val="003953D2"/>
    <w:rsid w:val="00395A92"/>
    <w:rsid w:val="00396DE4"/>
    <w:rsid w:val="00397FF0"/>
    <w:rsid w:val="003A0878"/>
    <w:rsid w:val="003A137E"/>
    <w:rsid w:val="003A2039"/>
    <w:rsid w:val="003A2109"/>
    <w:rsid w:val="003A5718"/>
    <w:rsid w:val="003A581E"/>
    <w:rsid w:val="003A7441"/>
    <w:rsid w:val="003B09C2"/>
    <w:rsid w:val="003B262B"/>
    <w:rsid w:val="003B2B10"/>
    <w:rsid w:val="003B3E7C"/>
    <w:rsid w:val="003B4C4C"/>
    <w:rsid w:val="003B6C79"/>
    <w:rsid w:val="003B7DC5"/>
    <w:rsid w:val="003C1AF4"/>
    <w:rsid w:val="003C27D7"/>
    <w:rsid w:val="003C54F0"/>
    <w:rsid w:val="003E2DDF"/>
    <w:rsid w:val="003E3686"/>
    <w:rsid w:val="003E3D71"/>
    <w:rsid w:val="003F029D"/>
    <w:rsid w:val="003F14DE"/>
    <w:rsid w:val="003F1DE4"/>
    <w:rsid w:val="003F2C0A"/>
    <w:rsid w:val="003F3B29"/>
    <w:rsid w:val="003F40D1"/>
    <w:rsid w:val="003F68AD"/>
    <w:rsid w:val="003F78F9"/>
    <w:rsid w:val="003F79C4"/>
    <w:rsid w:val="00400E2E"/>
    <w:rsid w:val="0040121A"/>
    <w:rsid w:val="00401F0E"/>
    <w:rsid w:val="00405E73"/>
    <w:rsid w:val="004068B0"/>
    <w:rsid w:val="00406B81"/>
    <w:rsid w:val="00407E41"/>
    <w:rsid w:val="00413FFA"/>
    <w:rsid w:val="0041475D"/>
    <w:rsid w:val="0041569B"/>
    <w:rsid w:val="004178A0"/>
    <w:rsid w:val="004203C0"/>
    <w:rsid w:val="00423F9F"/>
    <w:rsid w:val="0042510D"/>
    <w:rsid w:val="00432813"/>
    <w:rsid w:val="00433A7A"/>
    <w:rsid w:val="00433BA4"/>
    <w:rsid w:val="00434057"/>
    <w:rsid w:val="00434787"/>
    <w:rsid w:val="00435388"/>
    <w:rsid w:val="00435489"/>
    <w:rsid w:val="0043561A"/>
    <w:rsid w:val="00436135"/>
    <w:rsid w:val="004400B2"/>
    <w:rsid w:val="00440BAB"/>
    <w:rsid w:val="004422D6"/>
    <w:rsid w:val="00442F3F"/>
    <w:rsid w:val="00443895"/>
    <w:rsid w:val="00447D96"/>
    <w:rsid w:val="0045255A"/>
    <w:rsid w:val="00452576"/>
    <w:rsid w:val="0045271D"/>
    <w:rsid w:val="00452803"/>
    <w:rsid w:val="00452ED2"/>
    <w:rsid w:val="00454217"/>
    <w:rsid w:val="00455354"/>
    <w:rsid w:val="0045661E"/>
    <w:rsid w:val="00456E03"/>
    <w:rsid w:val="0046015C"/>
    <w:rsid w:val="00460939"/>
    <w:rsid w:val="00461B68"/>
    <w:rsid w:val="00461B96"/>
    <w:rsid w:val="00464030"/>
    <w:rsid w:val="00466520"/>
    <w:rsid w:val="0046677A"/>
    <w:rsid w:val="00470F8A"/>
    <w:rsid w:val="00474C5E"/>
    <w:rsid w:val="004808DE"/>
    <w:rsid w:val="004861B4"/>
    <w:rsid w:val="00486600"/>
    <w:rsid w:val="0049241A"/>
    <w:rsid w:val="004924FC"/>
    <w:rsid w:val="00492B4A"/>
    <w:rsid w:val="00494A1C"/>
    <w:rsid w:val="00495786"/>
    <w:rsid w:val="004961B4"/>
    <w:rsid w:val="004A08D1"/>
    <w:rsid w:val="004A317E"/>
    <w:rsid w:val="004A34D2"/>
    <w:rsid w:val="004A357A"/>
    <w:rsid w:val="004A7FE9"/>
    <w:rsid w:val="004B0CD0"/>
    <w:rsid w:val="004B2369"/>
    <w:rsid w:val="004B602F"/>
    <w:rsid w:val="004C19EE"/>
    <w:rsid w:val="004C22F7"/>
    <w:rsid w:val="004D2249"/>
    <w:rsid w:val="004D245F"/>
    <w:rsid w:val="004D2B31"/>
    <w:rsid w:val="004D3364"/>
    <w:rsid w:val="004D3A68"/>
    <w:rsid w:val="004D77C8"/>
    <w:rsid w:val="004E3161"/>
    <w:rsid w:val="004E3256"/>
    <w:rsid w:val="004E496B"/>
    <w:rsid w:val="004E61D5"/>
    <w:rsid w:val="004F115D"/>
    <w:rsid w:val="004F14A5"/>
    <w:rsid w:val="0050018E"/>
    <w:rsid w:val="00502F2A"/>
    <w:rsid w:val="00504C1F"/>
    <w:rsid w:val="00505308"/>
    <w:rsid w:val="005053B0"/>
    <w:rsid w:val="0051074C"/>
    <w:rsid w:val="00511BCB"/>
    <w:rsid w:val="00511F8C"/>
    <w:rsid w:val="0051229D"/>
    <w:rsid w:val="00512961"/>
    <w:rsid w:val="00512C4F"/>
    <w:rsid w:val="00513AF2"/>
    <w:rsid w:val="00514622"/>
    <w:rsid w:val="00515801"/>
    <w:rsid w:val="0052061D"/>
    <w:rsid w:val="00522C81"/>
    <w:rsid w:val="00523559"/>
    <w:rsid w:val="005245A5"/>
    <w:rsid w:val="00525706"/>
    <w:rsid w:val="005262CF"/>
    <w:rsid w:val="00530F05"/>
    <w:rsid w:val="00530FEA"/>
    <w:rsid w:val="005312DB"/>
    <w:rsid w:val="00531BCD"/>
    <w:rsid w:val="00532762"/>
    <w:rsid w:val="00534245"/>
    <w:rsid w:val="005350AB"/>
    <w:rsid w:val="0054311A"/>
    <w:rsid w:val="0054413A"/>
    <w:rsid w:val="005449E9"/>
    <w:rsid w:val="0054771C"/>
    <w:rsid w:val="005520CA"/>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2A35"/>
    <w:rsid w:val="00582B0B"/>
    <w:rsid w:val="005853D2"/>
    <w:rsid w:val="005868D7"/>
    <w:rsid w:val="00586DD4"/>
    <w:rsid w:val="00594478"/>
    <w:rsid w:val="00594FFF"/>
    <w:rsid w:val="00595ED2"/>
    <w:rsid w:val="005A00D7"/>
    <w:rsid w:val="005A145F"/>
    <w:rsid w:val="005A1976"/>
    <w:rsid w:val="005A35EF"/>
    <w:rsid w:val="005A3F3E"/>
    <w:rsid w:val="005A579F"/>
    <w:rsid w:val="005A58CE"/>
    <w:rsid w:val="005A5A3D"/>
    <w:rsid w:val="005A75AF"/>
    <w:rsid w:val="005B2B61"/>
    <w:rsid w:val="005B3CF3"/>
    <w:rsid w:val="005B4004"/>
    <w:rsid w:val="005B4DC7"/>
    <w:rsid w:val="005B7038"/>
    <w:rsid w:val="005C0652"/>
    <w:rsid w:val="005C117E"/>
    <w:rsid w:val="005C3047"/>
    <w:rsid w:val="005C413C"/>
    <w:rsid w:val="005C5C52"/>
    <w:rsid w:val="005C7F06"/>
    <w:rsid w:val="005D27C3"/>
    <w:rsid w:val="005D2C3E"/>
    <w:rsid w:val="005D51FA"/>
    <w:rsid w:val="005D791B"/>
    <w:rsid w:val="005E1574"/>
    <w:rsid w:val="005E164A"/>
    <w:rsid w:val="005E3472"/>
    <w:rsid w:val="005E5A60"/>
    <w:rsid w:val="005E66BE"/>
    <w:rsid w:val="005E6B85"/>
    <w:rsid w:val="005F05CE"/>
    <w:rsid w:val="005F280D"/>
    <w:rsid w:val="005F2C11"/>
    <w:rsid w:val="005F35A1"/>
    <w:rsid w:val="005F3969"/>
    <w:rsid w:val="005F46FD"/>
    <w:rsid w:val="005F5153"/>
    <w:rsid w:val="005F5F8F"/>
    <w:rsid w:val="005F688C"/>
    <w:rsid w:val="006003F5"/>
    <w:rsid w:val="0060057C"/>
    <w:rsid w:val="006030A3"/>
    <w:rsid w:val="0060361A"/>
    <w:rsid w:val="006043FE"/>
    <w:rsid w:val="00604CF2"/>
    <w:rsid w:val="006051E6"/>
    <w:rsid w:val="00605456"/>
    <w:rsid w:val="006065A2"/>
    <w:rsid w:val="00610326"/>
    <w:rsid w:val="0061082C"/>
    <w:rsid w:val="00611CF7"/>
    <w:rsid w:val="00614817"/>
    <w:rsid w:val="00615D36"/>
    <w:rsid w:val="006167DA"/>
    <w:rsid w:val="00620B93"/>
    <w:rsid w:val="00620DB3"/>
    <w:rsid w:val="00620ED3"/>
    <w:rsid w:val="00621056"/>
    <w:rsid w:val="00622313"/>
    <w:rsid w:val="00623AC2"/>
    <w:rsid w:val="0062633A"/>
    <w:rsid w:val="00627A2D"/>
    <w:rsid w:val="00633834"/>
    <w:rsid w:val="00633DBF"/>
    <w:rsid w:val="00640C1D"/>
    <w:rsid w:val="0064550C"/>
    <w:rsid w:val="006466A2"/>
    <w:rsid w:val="00651506"/>
    <w:rsid w:val="006516B8"/>
    <w:rsid w:val="00653896"/>
    <w:rsid w:val="00655371"/>
    <w:rsid w:val="0065545E"/>
    <w:rsid w:val="00655536"/>
    <w:rsid w:val="006559D1"/>
    <w:rsid w:val="00657809"/>
    <w:rsid w:val="00662BB0"/>
    <w:rsid w:val="00663341"/>
    <w:rsid w:val="0066493E"/>
    <w:rsid w:val="00665E2C"/>
    <w:rsid w:val="006673AF"/>
    <w:rsid w:val="00670B20"/>
    <w:rsid w:val="00671EB6"/>
    <w:rsid w:val="006731B0"/>
    <w:rsid w:val="0067359B"/>
    <w:rsid w:val="006738BC"/>
    <w:rsid w:val="00675DEC"/>
    <w:rsid w:val="00676127"/>
    <w:rsid w:val="006762E1"/>
    <w:rsid w:val="00676428"/>
    <w:rsid w:val="006806B3"/>
    <w:rsid w:val="00681DB8"/>
    <w:rsid w:val="00682E7F"/>
    <w:rsid w:val="00684444"/>
    <w:rsid w:val="00686CED"/>
    <w:rsid w:val="00686E50"/>
    <w:rsid w:val="006908DB"/>
    <w:rsid w:val="00691104"/>
    <w:rsid w:val="00692C8D"/>
    <w:rsid w:val="00694A15"/>
    <w:rsid w:val="00694C36"/>
    <w:rsid w:val="00695F93"/>
    <w:rsid w:val="0069634F"/>
    <w:rsid w:val="00697665"/>
    <w:rsid w:val="00697CA8"/>
    <w:rsid w:val="006A3B6B"/>
    <w:rsid w:val="006A3D49"/>
    <w:rsid w:val="006A57D9"/>
    <w:rsid w:val="006A7CB5"/>
    <w:rsid w:val="006A7FD0"/>
    <w:rsid w:val="006B1B56"/>
    <w:rsid w:val="006B1EC6"/>
    <w:rsid w:val="006B22D4"/>
    <w:rsid w:val="006B46C8"/>
    <w:rsid w:val="006B4C5D"/>
    <w:rsid w:val="006B6746"/>
    <w:rsid w:val="006B6E5D"/>
    <w:rsid w:val="006B7DB0"/>
    <w:rsid w:val="006C0A3F"/>
    <w:rsid w:val="006C405D"/>
    <w:rsid w:val="006C4782"/>
    <w:rsid w:val="006C5724"/>
    <w:rsid w:val="006D5225"/>
    <w:rsid w:val="006D7687"/>
    <w:rsid w:val="006E0572"/>
    <w:rsid w:val="006E2E80"/>
    <w:rsid w:val="006E4358"/>
    <w:rsid w:val="006E552C"/>
    <w:rsid w:val="006F021B"/>
    <w:rsid w:val="006F1275"/>
    <w:rsid w:val="006F17AC"/>
    <w:rsid w:val="006F1872"/>
    <w:rsid w:val="006F1B69"/>
    <w:rsid w:val="006F40B5"/>
    <w:rsid w:val="006F4250"/>
    <w:rsid w:val="006F4B3D"/>
    <w:rsid w:val="00700883"/>
    <w:rsid w:val="00701CE7"/>
    <w:rsid w:val="00705631"/>
    <w:rsid w:val="007057EC"/>
    <w:rsid w:val="0070660C"/>
    <w:rsid w:val="00711159"/>
    <w:rsid w:val="00711666"/>
    <w:rsid w:val="007152FD"/>
    <w:rsid w:val="00715C29"/>
    <w:rsid w:val="00715EAA"/>
    <w:rsid w:val="00717496"/>
    <w:rsid w:val="00720F24"/>
    <w:rsid w:val="00722CE7"/>
    <w:rsid w:val="00723116"/>
    <w:rsid w:val="00723D9F"/>
    <w:rsid w:val="0072427F"/>
    <w:rsid w:val="00725AFD"/>
    <w:rsid w:val="00726E6A"/>
    <w:rsid w:val="00726FD8"/>
    <w:rsid w:val="007279B4"/>
    <w:rsid w:val="00727F71"/>
    <w:rsid w:val="007308EE"/>
    <w:rsid w:val="0073222D"/>
    <w:rsid w:val="007336DF"/>
    <w:rsid w:val="00733B90"/>
    <w:rsid w:val="0073425D"/>
    <w:rsid w:val="00736278"/>
    <w:rsid w:val="00736365"/>
    <w:rsid w:val="00740243"/>
    <w:rsid w:val="00742DD2"/>
    <w:rsid w:val="00743BC8"/>
    <w:rsid w:val="007441A2"/>
    <w:rsid w:val="007441BB"/>
    <w:rsid w:val="007444F8"/>
    <w:rsid w:val="00745035"/>
    <w:rsid w:val="00746A83"/>
    <w:rsid w:val="00746E08"/>
    <w:rsid w:val="00746F03"/>
    <w:rsid w:val="00747259"/>
    <w:rsid w:val="00747C96"/>
    <w:rsid w:val="007502F4"/>
    <w:rsid w:val="0075094E"/>
    <w:rsid w:val="00750B22"/>
    <w:rsid w:val="007522E8"/>
    <w:rsid w:val="00755064"/>
    <w:rsid w:val="00756474"/>
    <w:rsid w:val="0075647A"/>
    <w:rsid w:val="00762011"/>
    <w:rsid w:val="00762ED6"/>
    <w:rsid w:val="007634AD"/>
    <w:rsid w:val="00764A75"/>
    <w:rsid w:val="00773BC8"/>
    <w:rsid w:val="007750D6"/>
    <w:rsid w:val="00775FB2"/>
    <w:rsid w:val="007769DC"/>
    <w:rsid w:val="00776D19"/>
    <w:rsid w:val="00776DF7"/>
    <w:rsid w:val="00780199"/>
    <w:rsid w:val="00780F32"/>
    <w:rsid w:val="0078122E"/>
    <w:rsid w:val="00781CF5"/>
    <w:rsid w:val="00785E45"/>
    <w:rsid w:val="0078601B"/>
    <w:rsid w:val="0078715B"/>
    <w:rsid w:val="007873A0"/>
    <w:rsid w:val="00790037"/>
    <w:rsid w:val="007909AE"/>
    <w:rsid w:val="0079299F"/>
    <w:rsid w:val="0079381F"/>
    <w:rsid w:val="00795647"/>
    <w:rsid w:val="007974FF"/>
    <w:rsid w:val="007A1F35"/>
    <w:rsid w:val="007A242A"/>
    <w:rsid w:val="007A2597"/>
    <w:rsid w:val="007A2F81"/>
    <w:rsid w:val="007A5120"/>
    <w:rsid w:val="007A5354"/>
    <w:rsid w:val="007B0854"/>
    <w:rsid w:val="007B4401"/>
    <w:rsid w:val="007B4DE6"/>
    <w:rsid w:val="007B6EC8"/>
    <w:rsid w:val="007B7EA0"/>
    <w:rsid w:val="007C1BE1"/>
    <w:rsid w:val="007C29FB"/>
    <w:rsid w:val="007C2EB2"/>
    <w:rsid w:val="007C45B8"/>
    <w:rsid w:val="007C77C7"/>
    <w:rsid w:val="007D66E2"/>
    <w:rsid w:val="007E3A08"/>
    <w:rsid w:val="007E4AA9"/>
    <w:rsid w:val="007E4D49"/>
    <w:rsid w:val="007E4E80"/>
    <w:rsid w:val="007F067B"/>
    <w:rsid w:val="007F22A0"/>
    <w:rsid w:val="007F4406"/>
    <w:rsid w:val="007F4CF6"/>
    <w:rsid w:val="007F6023"/>
    <w:rsid w:val="007F6B46"/>
    <w:rsid w:val="007F72CB"/>
    <w:rsid w:val="007F7584"/>
    <w:rsid w:val="007F785F"/>
    <w:rsid w:val="00802197"/>
    <w:rsid w:val="0080431C"/>
    <w:rsid w:val="00811C61"/>
    <w:rsid w:val="00812C90"/>
    <w:rsid w:val="00814737"/>
    <w:rsid w:val="0081678E"/>
    <w:rsid w:val="0081766B"/>
    <w:rsid w:val="008217B7"/>
    <w:rsid w:val="00821815"/>
    <w:rsid w:val="008221F8"/>
    <w:rsid w:val="00824088"/>
    <w:rsid w:val="00825CA9"/>
    <w:rsid w:val="00826122"/>
    <w:rsid w:val="00826FB1"/>
    <w:rsid w:val="00827306"/>
    <w:rsid w:val="008277D3"/>
    <w:rsid w:val="008306B7"/>
    <w:rsid w:val="0083119B"/>
    <w:rsid w:val="00831220"/>
    <w:rsid w:val="00832937"/>
    <w:rsid w:val="00834EBC"/>
    <w:rsid w:val="0083647A"/>
    <w:rsid w:val="00836EAB"/>
    <w:rsid w:val="0083724E"/>
    <w:rsid w:val="00844AFA"/>
    <w:rsid w:val="0085092D"/>
    <w:rsid w:val="00850F79"/>
    <w:rsid w:val="00851DFA"/>
    <w:rsid w:val="00854A73"/>
    <w:rsid w:val="008559FC"/>
    <w:rsid w:val="00857630"/>
    <w:rsid w:val="00857B17"/>
    <w:rsid w:val="00860400"/>
    <w:rsid w:val="00860716"/>
    <w:rsid w:val="0086183C"/>
    <w:rsid w:val="008618BB"/>
    <w:rsid w:val="00861FAA"/>
    <w:rsid w:val="00863624"/>
    <w:rsid w:val="00863ED2"/>
    <w:rsid w:val="0086755D"/>
    <w:rsid w:val="0087039D"/>
    <w:rsid w:val="00870FBE"/>
    <w:rsid w:val="00871272"/>
    <w:rsid w:val="008720B5"/>
    <w:rsid w:val="0087447B"/>
    <w:rsid w:val="0087534A"/>
    <w:rsid w:val="00875485"/>
    <w:rsid w:val="008754C2"/>
    <w:rsid w:val="00881451"/>
    <w:rsid w:val="0088472B"/>
    <w:rsid w:val="00885343"/>
    <w:rsid w:val="00885A16"/>
    <w:rsid w:val="00886323"/>
    <w:rsid w:val="00887E88"/>
    <w:rsid w:val="0089774F"/>
    <w:rsid w:val="008978EB"/>
    <w:rsid w:val="008A07F0"/>
    <w:rsid w:val="008A1491"/>
    <w:rsid w:val="008A2C6A"/>
    <w:rsid w:val="008A367B"/>
    <w:rsid w:val="008A5007"/>
    <w:rsid w:val="008A61D4"/>
    <w:rsid w:val="008A6D4F"/>
    <w:rsid w:val="008A796E"/>
    <w:rsid w:val="008B10A0"/>
    <w:rsid w:val="008B43CA"/>
    <w:rsid w:val="008C11F0"/>
    <w:rsid w:val="008C45BD"/>
    <w:rsid w:val="008C57A8"/>
    <w:rsid w:val="008D185E"/>
    <w:rsid w:val="008D57F7"/>
    <w:rsid w:val="008D69B1"/>
    <w:rsid w:val="008D6B5D"/>
    <w:rsid w:val="008D747C"/>
    <w:rsid w:val="008E1503"/>
    <w:rsid w:val="008E1C15"/>
    <w:rsid w:val="008E6BD0"/>
    <w:rsid w:val="008E6CFF"/>
    <w:rsid w:val="008E7D6E"/>
    <w:rsid w:val="008F2004"/>
    <w:rsid w:val="008F2ADF"/>
    <w:rsid w:val="008F403B"/>
    <w:rsid w:val="008F47E2"/>
    <w:rsid w:val="008F4B5E"/>
    <w:rsid w:val="008F538E"/>
    <w:rsid w:val="00902E5C"/>
    <w:rsid w:val="009047C5"/>
    <w:rsid w:val="009067AB"/>
    <w:rsid w:val="009106F5"/>
    <w:rsid w:val="00913326"/>
    <w:rsid w:val="00915DFD"/>
    <w:rsid w:val="009233DF"/>
    <w:rsid w:val="0092682C"/>
    <w:rsid w:val="00926E92"/>
    <w:rsid w:val="0092749F"/>
    <w:rsid w:val="0092758D"/>
    <w:rsid w:val="0093040E"/>
    <w:rsid w:val="00931F34"/>
    <w:rsid w:val="0093232D"/>
    <w:rsid w:val="00932C29"/>
    <w:rsid w:val="00933333"/>
    <w:rsid w:val="0093417D"/>
    <w:rsid w:val="00937401"/>
    <w:rsid w:val="00942296"/>
    <w:rsid w:val="009422A0"/>
    <w:rsid w:val="009424C4"/>
    <w:rsid w:val="00950C81"/>
    <w:rsid w:val="009528B3"/>
    <w:rsid w:val="0095385A"/>
    <w:rsid w:val="0095402D"/>
    <w:rsid w:val="0095780A"/>
    <w:rsid w:val="00961041"/>
    <w:rsid w:val="00965EEE"/>
    <w:rsid w:val="00966C46"/>
    <w:rsid w:val="00967C61"/>
    <w:rsid w:val="00971412"/>
    <w:rsid w:val="009715D4"/>
    <w:rsid w:val="00973D7A"/>
    <w:rsid w:val="00974C92"/>
    <w:rsid w:val="009773E4"/>
    <w:rsid w:val="00977951"/>
    <w:rsid w:val="009831DD"/>
    <w:rsid w:val="0098427D"/>
    <w:rsid w:val="009865D5"/>
    <w:rsid w:val="009868CC"/>
    <w:rsid w:val="00991BE0"/>
    <w:rsid w:val="00992809"/>
    <w:rsid w:val="009928B4"/>
    <w:rsid w:val="009953AD"/>
    <w:rsid w:val="009A4EE7"/>
    <w:rsid w:val="009A69A5"/>
    <w:rsid w:val="009A6C94"/>
    <w:rsid w:val="009A7808"/>
    <w:rsid w:val="009B0019"/>
    <w:rsid w:val="009B026A"/>
    <w:rsid w:val="009B5038"/>
    <w:rsid w:val="009B56EC"/>
    <w:rsid w:val="009B7B3C"/>
    <w:rsid w:val="009C118E"/>
    <w:rsid w:val="009C1812"/>
    <w:rsid w:val="009C3341"/>
    <w:rsid w:val="009C7EC7"/>
    <w:rsid w:val="009D21EA"/>
    <w:rsid w:val="009D424B"/>
    <w:rsid w:val="009D429E"/>
    <w:rsid w:val="009D45A0"/>
    <w:rsid w:val="009D701E"/>
    <w:rsid w:val="009E02D8"/>
    <w:rsid w:val="009E0326"/>
    <w:rsid w:val="009E0AA0"/>
    <w:rsid w:val="009E2F55"/>
    <w:rsid w:val="009E3DB3"/>
    <w:rsid w:val="009E535E"/>
    <w:rsid w:val="009E61EA"/>
    <w:rsid w:val="009E6BCF"/>
    <w:rsid w:val="009E74F4"/>
    <w:rsid w:val="009E751B"/>
    <w:rsid w:val="009F12A7"/>
    <w:rsid w:val="009F58B7"/>
    <w:rsid w:val="009F59C2"/>
    <w:rsid w:val="009F7299"/>
    <w:rsid w:val="00A0188B"/>
    <w:rsid w:val="00A02186"/>
    <w:rsid w:val="00A021E2"/>
    <w:rsid w:val="00A03785"/>
    <w:rsid w:val="00A041BC"/>
    <w:rsid w:val="00A06E51"/>
    <w:rsid w:val="00A127D2"/>
    <w:rsid w:val="00A13AAC"/>
    <w:rsid w:val="00A13B39"/>
    <w:rsid w:val="00A1403F"/>
    <w:rsid w:val="00A15E6E"/>
    <w:rsid w:val="00A17358"/>
    <w:rsid w:val="00A20264"/>
    <w:rsid w:val="00A2270E"/>
    <w:rsid w:val="00A24287"/>
    <w:rsid w:val="00A24560"/>
    <w:rsid w:val="00A253C3"/>
    <w:rsid w:val="00A26E55"/>
    <w:rsid w:val="00A31B86"/>
    <w:rsid w:val="00A337FB"/>
    <w:rsid w:val="00A34538"/>
    <w:rsid w:val="00A37807"/>
    <w:rsid w:val="00A37FB6"/>
    <w:rsid w:val="00A4039F"/>
    <w:rsid w:val="00A42844"/>
    <w:rsid w:val="00A431FE"/>
    <w:rsid w:val="00A43B8B"/>
    <w:rsid w:val="00A44A44"/>
    <w:rsid w:val="00A45FAA"/>
    <w:rsid w:val="00A46C4C"/>
    <w:rsid w:val="00A501CA"/>
    <w:rsid w:val="00A508CE"/>
    <w:rsid w:val="00A5181E"/>
    <w:rsid w:val="00A53E79"/>
    <w:rsid w:val="00A62C77"/>
    <w:rsid w:val="00A64271"/>
    <w:rsid w:val="00A64A49"/>
    <w:rsid w:val="00A655F2"/>
    <w:rsid w:val="00A668BA"/>
    <w:rsid w:val="00A701EC"/>
    <w:rsid w:val="00A715F6"/>
    <w:rsid w:val="00A8043B"/>
    <w:rsid w:val="00A80CFF"/>
    <w:rsid w:val="00A80DC2"/>
    <w:rsid w:val="00A82AF0"/>
    <w:rsid w:val="00A839EF"/>
    <w:rsid w:val="00A852EB"/>
    <w:rsid w:val="00A854AC"/>
    <w:rsid w:val="00A873C4"/>
    <w:rsid w:val="00A91512"/>
    <w:rsid w:val="00A9477A"/>
    <w:rsid w:val="00A94BF3"/>
    <w:rsid w:val="00A95153"/>
    <w:rsid w:val="00A95D7C"/>
    <w:rsid w:val="00A965EA"/>
    <w:rsid w:val="00A979F2"/>
    <w:rsid w:val="00AA00C6"/>
    <w:rsid w:val="00AA08E7"/>
    <w:rsid w:val="00AA16A5"/>
    <w:rsid w:val="00AA442B"/>
    <w:rsid w:val="00AA5B01"/>
    <w:rsid w:val="00AA669D"/>
    <w:rsid w:val="00AA68E2"/>
    <w:rsid w:val="00AA73E0"/>
    <w:rsid w:val="00AA7416"/>
    <w:rsid w:val="00AA7812"/>
    <w:rsid w:val="00AB2BA0"/>
    <w:rsid w:val="00AB6E2C"/>
    <w:rsid w:val="00AC0D43"/>
    <w:rsid w:val="00AC1E34"/>
    <w:rsid w:val="00AC24AF"/>
    <w:rsid w:val="00AC49DA"/>
    <w:rsid w:val="00AC5350"/>
    <w:rsid w:val="00AC75AB"/>
    <w:rsid w:val="00AC7739"/>
    <w:rsid w:val="00AD3E4D"/>
    <w:rsid w:val="00AD468E"/>
    <w:rsid w:val="00AE24CB"/>
    <w:rsid w:val="00AE491A"/>
    <w:rsid w:val="00AE5DBB"/>
    <w:rsid w:val="00AE68C2"/>
    <w:rsid w:val="00AF26CF"/>
    <w:rsid w:val="00AF3794"/>
    <w:rsid w:val="00AF3F88"/>
    <w:rsid w:val="00AF41AE"/>
    <w:rsid w:val="00AF45AA"/>
    <w:rsid w:val="00AF6E05"/>
    <w:rsid w:val="00AF7C89"/>
    <w:rsid w:val="00AF7CE0"/>
    <w:rsid w:val="00B01474"/>
    <w:rsid w:val="00B017D5"/>
    <w:rsid w:val="00B02849"/>
    <w:rsid w:val="00B02AC1"/>
    <w:rsid w:val="00B04BA9"/>
    <w:rsid w:val="00B05A55"/>
    <w:rsid w:val="00B06595"/>
    <w:rsid w:val="00B06D20"/>
    <w:rsid w:val="00B13EC0"/>
    <w:rsid w:val="00B142B9"/>
    <w:rsid w:val="00B1449F"/>
    <w:rsid w:val="00B15019"/>
    <w:rsid w:val="00B167DB"/>
    <w:rsid w:val="00B169C2"/>
    <w:rsid w:val="00B20A47"/>
    <w:rsid w:val="00B214ED"/>
    <w:rsid w:val="00B22E22"/>
    <w:rsid w:val="00B251C2"/>
    <w:rsid w:val="00B304F8"/>
    <w:rsid w:val="00B30910"/>
    <w:rsid w:val="00B30D48"/>
    <w:rsid w:val="00B324EA"/>
    <w:rsid w:val="00B32714"/>
    <w:rsid w:val="00B3296D"/>
    <w:rsid w:val="00B3622A"/>
    <w:rsid w:val="00B40595"/>
    <w:rsid w:val="00B40A1A"/>
    <w:rsid w:val="00B42225"/>
    <w:rsid w:val="00B4347D"/>
    <w:rsid w:val="00B43F68"/>
    <w:rsid w:val="00B45DF9"/>
    <w:rsid w:val="00B46978"/>
    <w:rsid w:val="00B51B05"/>
    <w:rsid w:val="00B525CB"/>
    <w:rsid w:val="00B530AE"/>
    <w:rsid w:val="00B57782"/>
    <w:rsid w:val="00B60230"/>
    <w:rsid w:val="00B611A7"/>
    <w:rsid w:val="00B63872"/>
    <w:rsid w:val="00B63CB2"/>
    <w:rsid w:val="00B63E7F"/>
    <w:rsid w:val="00B64EDB"/>
    <w:rsid w:val="00B656B3"/>
    <w:rsid w:val="00B65FED"/>
    <w:rsid w:val="00B70328"/>
    <w:rsid w:val="00B709C8"/>
    <w:rsid w:val="00B722C2"/>
    <w:rsid w:val="00B7252A"/>
    <w:rsid w:val="00B730E3"/>
    <w:rsid w:val="00B7315F"/>
    <w:rsid w:val="00B734F7"/>
    <w:rsid w:val="00B74C52"/>
    <w:rsid w:val="00B7534F"/>
    <w:rsid w:val="00B90817"/>
    <w:rsid w:val="00B91B8E"/>
    <w:rsid w:val="00B9230A"/>
    <w:rsid w:val="00B94AEB"/>
    <w:rsid w:val="00B94E29"/>
    <w:rsid w:val="00B97305"/>
    <w:rsid w:val="00BA1382"/>
    <w:rsid w:val="00BA22FC"/>
    <w:rsid w:val="00BA2F25"/>
    <w:rsid w:val="00BA37F9"/>
    <w:rsid w:val="00BA4771"/>
    <w:rsid w:val="00BB6E5C"/>
    <w:rsid w:val="00BC007C"/>
    <w:rsid w:val="00BC1BE3"/>
    <w:rsid w:val="00BC27BF"/>
    <w:rsid w:val="00BC39A6"/>
    <w:rsid w:val="00BC4CB8"/>
    <w:rsid w:val="00BC533F"/>
    <w:rsid w:val="00BC57E0"/>
    <w:rsid w:val="00BC6501"/>
    <w:rsid w:val="00BC6F6B"/>
    <w:rsid w:val="00BC7AC8"/>
    <w:rsid w:val="00BD0223"/>
    <w:rsid w:val="00BD15F7"/>
    <w:rsid w:val="00BD1CEE"/>
    <w:rsid w:val="00BD20A2"/>
    <w:rsid w:val="00BD2B3F"/>
    <w:rsid w:val="00BD2DA0"/>
    <w:rsid w:val="00BD2F69"/>
    <w:rsid w:val="00BD447D"/>
    <w:rsid w:val="00BD546C"/>
    <w:rsid w:val="00BD664D"/>
    <w:rsid w:val="00BD78FE"/>
    <w:rsid w:val="00BE2DB4"/>
    <w:rsid w:val="00BE3565"/>
    <w:rsid w:val="00BE3590"/>
    <w:rsid w:val="00BE4B35"/>
    <w:rsid w:val="00BE5BF2"/>
    <w:rsid w:val="00BF1C81"/>
    <w:rsid w:val="00BF23A3"/>
    <w:rsid w:val="00BF4FCC"/>
    <w:rsid w:val="00BF5980"/>
    <w:rsid w:val="00BF7712"/>
    <w:rsid w:val="00BF7C52"/>
    <w:rsid w:val="00C031E0"/>
    <w:rsid w:val="00C06969"/>
    <w:rsid w:val="00C156AB"/>
    <w:rsid w:val="00C15A13"/>
    <w:rsid w:val="00C165FC"/>
    <w:rsid w:val="00C2118A"/>
    <w:rsid w:val="00C229DD"/>
    <w:rsid w:val="00C258BA"/>
    <w:rsid w:val="00C25D85"/>
    <w:rsid w:val="00C273CC"/>
    <w:rsid w:val="00C27707"/>
    <w:rsid w:val="00C300F1"/>
    <w:rsid w:val="00C30123"/>
    <w:rsid w:val="00C32017"/>
    <w:rsid w:val="00C3264A"/>
    <w:rsid w:val="00C36558"/>
    <w:rsid w:val="00C419E3"/>
    <w:rsid w:val="00C41E6A"/>
    <w:rsid w:val="00C45E00"/>
    <w:rsid w:val="00C46EA9"/>
    <w:rsid w:val="00C47B95"/>
    <w:rsid w:val="00C50CA8"/>
    <w:rsid w:val="00C53AC7"/>
    <w:rsid w:val="00C57033"/>
    <w:rsid w:val="00C610FB"/>
    <w:rsid w:val="00C6224C"/>
    <w:rsid w:val="00C62ECC"/>
    <w:rsid w:val="00C630F3"/>
    <w:rsid w:val="00C63E99"/>
    <w:rsid w:val="00C656DB"/>
    <w:rsid w:val="00C6581D"/>
    <w:rsid w:val="00C67429"/>
    <w:rsid w:val="00C732A4"/>
    <w:rsid w:val="00C737DB"/>
    <w:rsid w:val="00C75532"/>
    <w:rsid w:val="00C768FD"/>
    <w:rsid w:val="00C76E32"/>
    <w:rsid w:val="00C811FF"/>
    <w:rsid w:val="00C86516"/>
    <w:rsid w:val="00C8745B"/>
    <w:rsid w:val="00C90182"/>
    <w:rsid w:val="00C90AC4"/>
    <w:rsid w:val="00C913E3"/>
    <w:rsid w:val="00C91B89"/>
    <w:rsid w:val="00C91F75"/>
    <w:rsid w:val="00C934F1"/>
    <w:rsid w:val="00C93AB7"/>
    <w:rsid w:val="00C93D8C"/>
    <w:rsid w:val="00C95E1F"/>
    <w:rsid w:val="00C967A4"/>
    <w:rsid w:val="00C97D94"/>
    <w:rsid w:val="00CA0EEF"/>
    <w:rsid w:val="00CA1D32"/>
    <w:rsid w:val="00CA383B"/>
    <w:rsid w:val="00CA48A4"/>
    <w:rsid w:val="00CA5E47"/>
    <w:rsid w:val="00CB189A"/>
    <w:rsid w:val="00CB43A0"/>
    <w:rsid w:val="00CB5F4F"/>
    <w:rsid w:val="00CB7A3E"/>
    <w:rsid w:val="00CC00CD"/>
    <w:rsid w:val="00CC11F9"/>
    <w:rsid w:val="00CC315F"/>
    <w:rsid w:val="00CC6B3B"/>
    <w:rsid w:val="00CD1721"/>
    <w:rsid w:val="00CD3FA3"/>
    <w:rsid w:val="00CE0566"/>
    <w:rsid w:val="00CE0B4C"/>
    <w:rsid w:val="00CE2969"/>
    <w:rsid w:val="00CE4D2A"/>
    <w:rsid w:val="00CF428A"/>
    <w:rsid w:val="00CF550D"/>
    <w:rsid w:val="00CF6072"/>
    <w:rsid w:val="00CF7EA6"/>
    <w:rsid w:val="00D01760"/>
    <w:rsid w:val="00D019C5"/>
    <w:rsid w:val="00D01E72"/>
    <w:rsid w:val="00D02451"/>
    <w:rsid w:val="00D0412A"/>
    <w:rsid w:val="00D046A1"/>
    <w:rsid w:val="00D056A5"/>
    <w:rsid w:val="00D10E7C"/>
    <w:rsid w:val="00D13FEB"/>
    <w:rsid w:val="00D150F4"/>
    <w:rsid w:val="00D159C4"/>
    <w:rsid w:val="00D16E39"/>
    <w:rsid w:val="00D17E38"/>
    <w:rsid w:val="00D21BB5"/>
    <w:rsid w:val="00D223B6"/>
    <w:rsid w:val="00D2310C"/>
    <w:rsid w:val="00D24489"/>
    <w:rsid w:val="00D30EC5"/>
    <w:rsid w:val="00D31BE6"/>
    <w:rsid w:val="00D31C6A"/>
    <w:rsid w:val="00D32256"/>
    <w:rsid w:val="00D32352"/>
    <w:rsid w:val="00D330B8"/>
    <w:rsid w:val="00D3532E"/>
    <w:rsid w:val="00D36A58"/>
    <w:rsid w:val="00D41E3A"/>
    <w:rsid w:val="00D44435"/>
    <w:rsid w:val="00D4466A"/>
    <w:rsid w:val="00D45B34"/>
    <w:rsid w:val="00D50F51"/>
    <w:rsid w:val="00D522E5"/>
    <w:rsid w:val="00D547F0"/>
    <w:rsid w:val="00D557A4"/>
    <w:rsid w:val="00D55E3D"/>
    <w:rsid w:val="00D577F5"/>
    <w:rsid w:val="00D57940"/>
    <w:rsid w:val="00D60327"/>
    <w:rsid w:val="00D610F1"/>
    <w:rsid w:val="00D61290"/>
    <w:rsid w:val="00D62E93"/>
    <w:rsid w:val="00D63EFC"/>
    <w:rsid w:val="00D64E0B"/>
    <w:rsid w:val="00D664C9"/>
    <w:rsid w:val="00D67CAB"/>
    <w:rsid w:val="00D72E9D"/>
    <w:rsid w:val="00D73F44"/>
    <w:rsid w:val="00D74158"/>
    <w:rsid w:val="00D75E99"/>
    <w:rsid w:val="00D778A9"/>
    <w:rsid w:val="00D80493"/>
    <w:rsid w:val="00D8054B"/>
    <w:rsid w:val="00D81A9D"/>
    <w:rsid w:val="00D82CE5"/>
    <w:rsid w:val="00D8342C"/>
    <w:rsid w:val="00D84608"/>
    <w:rsid w:val="00D853BF"/>
    <w:rsid w:val="00D855EA"/>
    <w:rsid w:val="00D90460"/>
    <w:rsid w:val="00D92E94"/>
    <w:rsid w:val="00D93726"/>
    <w:rsid w:val="00D96760"/>
    <w:rsid w:val="00D96CAD"/>
    <w:rsid w:val="00D96F24"/>
    <w:rsid w:val="00D974C8"/>
    <w:rsid w:val="00DA5510"/>
    <w:rsid w:val="00DA5AB1"/>
    <w:rsid w:val="00DA71AD"/>
    <w:rsid w:val="00DB1AFF"/>
    <w:rsid w:val="00DB7276"/>
    <w:rsid w:val="00DC126D"/>
    <w:rsid w:val="00DC1944"/>
    <w:rsid w:val="00DC430C"/>
    <w:rsid w:val="00DC4ACA"/>
    <w:rsid w:val="00DC518A"/>
    <w:rsid w:val="00DC62E5"/>
    <w:rsid w:val="00DC7BD2"/>
    <w:rsid w:val="00DD116A"/>
    <w:rsid w:val="00DD5EC6"/>
    <w:rsid w:val="00DD6393"/>
    <w:rsid w:val="00DD7115"/>
    <w:rsid w:val="00DD735D"/>
    <w:rsid w:val="00DE02B7"/>
    <w:rsid w:val="00DE2465"/>
    <w:rsid w:val="00DE2630"/>
    <w:rsid w:val="00DE3119"/>
    <w:rsid w:val="00DE52D6"/>
    <w:rsid w:val="00DE6601"/>
    <w:rsid w:val="00DE76E6"/>
    <w:rsid w:val="00DF236B"/>
    <w:rsid w:val="00DF2F07"/>
    <w:rsid w:val="00DF2F4F"/>
    <w:rsid w:val="00DF4451"/>
    <w:rsid w:val="00DF453C"/>
    <w:rsid w:val="00DF4BEB"/>
    <w:rsid w:val="00DF6A8C"/>
    <w:rsid w:val="00DF7641"/>
    <w:rsid w:val="00E0142A"/>
    <w:rsid w:val="00E04521"/>
    <w:rsid w:val="00E06D89"/>
    <w:rsid w:val="00E06F79"/>
    <w:rsid w:val="00E10845"/>
    <w:rsid w:val="00E109DD"/>
    <w:rsid w:val="00E12707"/>
    <w:rsid w:val="00E13AB8"/>
    <w:rsid w:val="00E167E7"/>
    <w:rsid w:val="00E16A32"/>
    <w:rsid w:val="00E20189"/>
    <w:rsid w:val="00E20C2F"/>
    <w:rsid w:val="00E25773"/>
    <w:rsid w:val="00E25CB3"/>
    <w:rsid w:val="00E267B7"/>
    <w:rsid w:val="00E27359"/>
    <w:rsid w:val="00E324E8"/>
    <w:rsid w:val="00E33B62"/>
    <w:rsid w:val="00E3405C"/>
    <w:rsid w:val="00E356DF"/>
    <w:rsid w:val="00E36CEB"/>
    <w:rsid w:val="00E37F96"/>
    <w:rsid w:val="00E4143A"/>
    <w:rsid w:val="00E43910"/>
    <w:rsid w:val="00E43B20"/>
    <w:rsid w:val="00E506BF"/>
    <w:rsid w:val="00E5279C"/>
    <w:rsid w:val="00E53189"/>
    <w:rsid w:val="00E54EA7"/>
    <w:rsid w:val="00E558C8"/>
    <w:rsid w:val="00E55DDE"/>
    <w:rsid w:val="00E56090"/>
    <w:rsid w:val="00E5641B"/>
    <w:rsid w:val="00E565B9"/>
    <w:rsid w:val="00E57660"/>
    <w:rsid w:val="00E6143E"/>
    <w:rsid w:val="00E63F11"/>
    <w:rsid w:val="00E65DFE"/>
    <w:rsid w:val="00E669B0"/>
    <w:rsid w:val="00E71BD5"/>
    <w:rsid w:val="00E7664E"/>
    <w:rsid w:val="00E779CB"/>
    <w:rsid w:val="00E80F8D"/>
    <w:rsid w:val="00E82D14"/>
    <w:rsid w:val="00E8395B"/>
    <w:rsid w:val="00E8725C"/>
    <w:rsid w:val="00E87DD5"/>
    <w:rsid w:val="00E90220"/>
    <w:rsid w:val="00E91070"/>
    <w:rsid w:val="00E91454"/>
    <w:rsid w:val="00E95100"/>
    <w:rsid w:val="00E9556D"/>
    <w:rsid w:val="00E961A5"/>
    <w:rsid w:val="00E97E0B"/>
    <w:rsid w:val="00EA1767"/>
    <w:rsid w:val="00EA3E75"/>
    <w:rsid w:val="00EA5464"/>
    <w:rsid w:val="00EB436C"/>
    <w:rsid w:val="00EB4B26"/>
    <w:rsid w:val="00EC0E37"/>
    <w:rsid w:val="00EC0E7E"/>
    <w:rsid w:val="00EC164A"/>
    <w:rsid w:val="00EC1910"/>
    <w:rsid w:val="00EC1C19"/>
    <w:rsid w:val="00EC1CE7"/>
    <w:rsid w:val="00EC3C1E"/>
    <w:rsid w:val="00EC50ED"/>
    <w:rsid w:val="00EC7671"/>
    <w:rsid w:val="00EC79B5"/>
    <w:rsid w:val="00ED0ED8"/>
    <w:rsid w:val="00ED4037"/>
    <w:rsid w:val="00ED587F"/>
    <w:rsid w:val="00EE0C5C"/>
    <w:rsid w:val="00EE2CEC"/>
    <w:rsid w:val="00EE55E7"/>
    <w:rsid w:val="00EE59B5"/>
    <w:rsid w:val="00EE5DEE"/>
    <w:rsid w:val="00EE6C49"/>
    <w:rsid w:val="00EF005A"/>
    <w:rsid w:val="00EF17BF"/>
    <w:rsid w:val="00EF4D78"/>
    <w:rsid w:val="00F017F5"/>
    <w:rsid w:val="00F05C1A"/>
    <w:rsid w:val="00F1108B"/>
    <w:rsid w:val="00F12666"/>
    <w:rsid w:val="00F204F9"/>
    <w:rsid w:val="00F20F92"/>
    <w:rsid w:val="00F21C5F"/>
    <w:rsid w:val="00F21D1D"/>
    <w:rsid w:val="00F230E0"/>
    <w:rsid w:val="00F23BE9"/>
    <w:rsid w:val="00F257B4"/>
    <w:rsid w:val="00F25971"/>
    <w:rsid w:val="00F30727"/>
    <w:rsid w:val="00F31A68"/>
    <w:rsid w:val="00F35B82"/>
    <w:rsid w:val="00F36681"/>
    <w:rsid w:val="00F36B35"/>
    <w:rsid w:val="00F40D72"/>
    <w:rsid w:val="00F41E63"/>
    <w:rsid w:val="00F42E49"/>
    <w:rsid w:val="00F44BCC"/>
    <w:rsid w:val="00F463A8"/>
    <w:rsid w:val="00F46FE1"/>
    <w:rsid w:val="00F47F2D"/>
    <w:rsid w:val="00F50E11"/>
    <w:rsid w:val="00F521E6"/>
    <w:rsid w:val="00F55BC8"/>
    <w:rsid w:val="00F55FDD"/>
    <w:rsid w:val="00F562DB"/>
    <w:rsid w:val="00F56584"/>
    <w:rsid w:val="00F574C1"/>
    <w:rsid w:val="00F57729"/>
    <w:rsid w:val="00F57B4F"/>
    <w:rsid w:val="00F57B72"/>
    <w:rsid w:val="00F57C75"/>
    <w:rsid w:val="00F57F91"/>
    <w:rsid w:val="00F6159E"/>
    <w:rsid w:val="00F63C49"/>
    <w:rsid w:val="00F66A55"/>
    <w:rsid w:val="00F715EE"/>
    <w:rsid w:val="00F717AE"/>
    <w:rsid w:val="00F7357E"/>
    <w:rsid w:val="00F7517F"/>
    <w:rsid w:val="00F75D0F"/>
    <w:rsid w:val="00F76963"/>
    <w:rsid w:val="00F7741E"/>
    <w:rsid w:val="00F77AB5"/>
    <w:rsid w:val="00F82312"/>
    <w:rsid w:val="00F84255"/>
    <w:rsid w:val="00F84899"/>
    <w:rsid w:val="00F859F0"/>
    <w:rsid w:val="00F87E29"/>
    <w:rsid w:val="00F90B96"/>
    <w:rsid w:val="00F90F5F"/>
    <w:rsid w:val="00F9249C"/>
    <w:rsid w:val="00F92839"/>
    <w:rsid w:val="00F941F3"/>
    <w:rsid w:val="00F9522F"/>
    <w:rsid w:val="00F979BB"/>
    <w:rsid w:val="00F97D2C"/>
    <w:rsid w:val="00FA050F"/>
    <w:rsid w:val="00FA22FF"/>
    <w:rsid w:val="00FA3CCA"/>
    <w:rsid w:val="00FA4DCC"/>
    <w:rsid w:val="00FA7F5D"/>
    <w:rsid w:val="00FB0E80"/>
    <w:rsid w:val="00FB236D"/>
    <w:rsid w:val="00FB27B7"/>
    <w:rsid w:val="00FB510B"/>
    <w:rsid w:val="00FB5572"/>
    <w:rsid w:val="00FB5AAF"/>
    <w:rsid w:val="00FB656D"/>
    <w:rsid w:val="00FB6738"/>
    <w:rsid w:val="00FB6E0B"/>
    <w:rsid w:val="00FC113C"/>
    <w:rsid w:val="00FC1644"/>
    <w:rsid w:val="00FC18DC"/>
    <w:rsid w:val="00FC1D91"/>
    <w:rsid w:val="00FC32DA"/>
    <w:rsid w:val="00FC7C7B"/>
    <w:rsid w:val="00FD10FB"/>
    <w:rsid w:val="00FD2A74"/>
    <w:rsid w:val="00FE0323"/>
    <w:rsid w:val="00FE06EB"/>
    <w:rsid w:val="00FE141E"/>
    <w:rsid w:val="00FE1E74"/>
    <w:rsid w:val="00FE1E7C"/>
    <w:rsid w:val="00FE2265"/>
    <w:rsid w:val="00FE42ED"/>
    <w:rsid w:val="00FE534C"/>
    <w:rsid w:val="00FE5C5A"/>
    <w:rsid w:val="00FE71C5"/>
    <w:rsid w:val="00FF232F"/>
    <w:rsid w:val="00FF2C29"/>
    <w:rsid w:val="00FF3DE9"/>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 w:val="72819B7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59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fn"/>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table" w:customStyle="1" w:styleId="Tablaconcuadrcula21">
    <w:name w:val="Tabla con cuadrícula21"/>
    <w:basedOn w:val="Tablanormal"/>
    <w:next w:val="Tablaconcuadrcula"/>
    <w:uiPriority w:val="59"/>
    <w:rsid w:val="0010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3"/>
    <w:rsid w:val="00BD2DA0"/>
    <w:rPr>
      <w:sz w:val="24"/>
      <w:lang w:val="es-MX"/>
    </w:rPr>
  </w:style>
  <w:style w:type="character" w:styleId="Mencinsinresolver">
    <w:name w:val="Unresolved Mention"/>
    <w:basedOn w:val="Fuentedeprrafopredeter"/>
    <w:uiPriority w:val="99"/>
    <w:semiHidden/>
    <w:unhideWhenUsed/>
    <w:rsid w:val="008559FC"/>
    <w:rPr>
      <w:color w:val="605E5C"/>
      <w:shd w:val="clear" w:color="auto" w:fill="E1DFDD"/>
    </w:rPr>
  </w:style>
  <w:style w:type="paragraph" w:styleId="Revisin">
    <w:name w:val="Revision"/>
    <w:hidden/>
    <w:uiPriority w:val="99"/>
    <w:semiHidden/>
    <w:rsid w:val="00C95E1F"/>
    <w:pPr>
      <w:spacing w:after="0" w:line="240" w:lineRule="auto"/>
    </w:pPr>
    <w:rPr>
      <w:sz w:val="24"/>
      <w:lang w:val="es-MX"/>
    </w:rPr>
  </w:style>
  <w:style w:type="character" w:customStyle="1" w:styleId="baj">
    <w:name w:val="b_aj"/>
    <w:basedOn w:val="Fuentedeprrafopredeter"/>
    <w:rsid w:val="00256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790173568">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036929064">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6661447">
      <w:bodyDiv w:val="1"/>
      <w:marLeft w:val="0"/>
      <w:marRight w:val="0"/>
      <w:marTop w:val="0"/>
      <w:marBottom w:val="0"/>
      <w:divBdr>
        <w:top w:val="none" w:sz="0" w:space="0" w:color="auto"/>
        <w:left w:val="none" w:sz="0" w:space="0" w:color="auto"/>
        <w:bottom w:val="none" w:sz="0" w:space="0" w:color="auto"/>
        <w:right w:val="none" w:sz="0" w:space="0" w:color="auto"/>
      </w:divBdr>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454862947">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2032031795">
      <w:bodyDiv w:val="1"/>
      <w:marLeft w:val="0"/>
      <w:marRight w:val="0"/>
      <w:marTop w:val="0"/>
      <w:marBottom w:val="0"/>
      <w:divBdr>
        <w:top w:val="none" w:sz="0" w:space="0" w:color="auto"/>
        <w:left w:val="none" w:sz="0" w:space="0" w:color="auto"/>
        <w:bottom w:val="none" w:sz="0" w:space="0" w:color="auto"/>
        <w:right w:val="none" w:sz="0" w:space="0" w:color="auto"/>
      </w:divBdr>
      <w:divsChild>
        <w:div w:id="1378240900">
          <w:marLeft w:val="0"/>
          <w:marRight w:val="0"/>
          <w:marTop w:val="0"/>
          <w:marBottom w:val="0"/>
          <w:divBdr>
            <w:top w:val="none" w:sz="0" w:space="0" w:color="auto"/>
            <w:left w:val="none" w:sz="0" w:space="0" w:color="auto"/>
            <w:bottom w:val="none" w:sz="0" w:space="0" w:color="auto"/>
            <w:right w:val="none" w:sz="0" w:space="0" w:color="auto"/>
          </w:divBdr>
        </w:div>
      </w:divsChild>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node/30741" TargetMode="External"/><Relationship Id="rId2" Type="http://schemas.openxmlformats.org/officeDocument/2006/relationships/hyperlink" Target="https://www.colombiacompra.gov.co/node/23628"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b:Source>
    <b:Tag>RIV</b:Tag>
    <b:SourceType>Book</b:SourceType>
    <b:Guid>{D718C269-4043-427B-AD8C-AB9D73188CB4}</b:Guid>
    <b:Author>
      <b:Author>
        <b:NameList>
          <b:Person>
            <b:Last>RIVERO SÁNCHEZ</b:Last>
            <b:First>Juan</b:First>
            <b:Middle>Marcos</b:Middle>
          </b:Person>
        </b:NameList>
      </b:Author>
    </b:Author>
    <b:Title>Responsabilidad civil</b:Title>
    <b:Year>2001</b:Year>
    <b:City>Bogotá</b:City>
    <b:Publisher>Diké</b:Publisher>
    <b:Volume>Tomo II</b:Volume>
    <b:RefOrder>13</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1FFC75-F8D7-42AB-B8ED-C1E8EB01D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A8DBC7C-CC1F-40A3-9160-E3A6FF348151}">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25</Pages>
  <Words>8362</Words>
  <Characters>45992</Characters>
  <Application>Microsoft Office Word</Application>
  <DocSecurity>0</DocSecurity>
  <Lines>383</Lines>
  <Paragraphs>108</Paragraphs>
  <ScaleCrop>false</ScaleCrop>
  <Company/>
  <LinksUpToDate>false</LinksUpToDate>
  <CharactersWithSpaces>54246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Ana Maria Velez Arteaga</cp:lastModifiedBy>
  <cp:revision>8</cp:revision>
  <cp:lastPrinted>2020-01-30T18:05:00Z</cp:lastPrinted>
  <dcterms:created xsi:type="dcterms:W3CDTF">2023-02-17T16:26:00Z</dcterms:created>
  <dcterms:modified xsi:type="dcterms:W3CDTF">2023-02-17T16:36:00Z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