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987E" w14:textId="77777777" w:rsidR="000D6CD6" w:rsidRPr="0067001B" w:rsidRDefault="000D6CD6" w:rsidP="00CB3758">
      <w:pPr>
        <w:spacing w:after="0" w:line="276" w:lineRule="auto"/>
        <w:rPr>
          <w:rFonts w:ascii="Verdana" w:eastAsia="Times New Roman" w:hAnsi="Verdana" w:cs="Arial"/>
          <w:b/>
          <w:bCs/>
          <w:color w:val="000000"/>
          <w:lang w:val="es-ES" w:eastAsia="es-ES"/>
        </w:rPr>
      </w:pPr>
      <w:r w:rsidRPr="0067001B">
        <w:rPr>
          <w:rFonts w:ascii="Verdana" w:eastAsia="Times New Roman" w:hAnsi="Verdana" w:cs="Arial"/>
          <w:b/>
          <w:bCs/>
          <w:color w:val="000000"/>
          <w:lang w:val="es-ES" w:eastAsia="es-ES"/>
        </w:rPr>
        <w:t>DOCUMENTOS TIPO – Fundamento Normativo –Ley 2022 de 2020</w:t>
      </w:r>
    </w:p>
    <w:p w14:paraId="4AB7E753" w14:textId="77777777" w:rsidR="000D6CD6" w:rsidRPr="0067001B" w:rsidRDefault="000D6CD6" w:rsidP="00CB3758">
      <w:pPr>
        <w:spacing w:after="0" w:line="276" w:lineRule="auto"/>
        <w:rPr>
          <w:rFonts w:ascii="Verdana" w:eastAsia="Times New Roman" w:hAnsi="Verdana" w:cs="Arial"/>
          <w:b/>
          <w:bCs/>
          <w:color w:val="000000"/>
          <w:lang w:val="es-ES" w:eastAsia="es-ES"/>
        </w:rPr>
      </w:pPr>
    </w:p>
    <w:p w14:paraId="0C3234EC" w14:textId="77777777" w:rsidR="000D6CD6" w:rsidRDefault="000D6CD6" w:rsidP="00CB3758">
      <w:pPr>
        <w:spacing w:after="0" w:line="276" w:lineRule="auto"/>
        <w:jc w:val="both"/>
        <w:rPr>
          <w:rFonts w:ascii="Verdana" w:eastAsia="Times New Roman" w:hAnsi="Verdana" w:cs="Arial"/>
          <w:color w:val="000000"/>
          <w:sz w:val="20"/>
          <w:szCs w:val="20"/>
          <w:lang w:val="es-ES"/>
        </w:rPr>
      </w:pPr>
      <w:r w:rsidRPr="0067001B">
        <w:rPr>
          <w:rFonts w:ascii="Verdana" w:eastAsia="Times New Roman" w:hAnsi="Verdana" w:cs="Arial"/>
          <w:color w:val="000000"/>
          <w:sz w:val="20"/>
          <w:szCs w:val="20"/>
          <w:lang w:val="es-ES"/>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7D24E612" w14:textId="77777777" w:rsidR="000D6CD6" w:rsidRPr="00EC389D" w:rsidRDefault="000D6CD6" w:rsidP="00CB3758">
      <w:pPr>
        <w:spacing w:after="0" w:line="276" w:lineRule="auto"/>
        <w:jc w:val="both"/>
        <w:rPr>
          <w:rFonts w:ascii="Verdana" w:eastAsia="Times New Roman" w:hAnsi="Verdana" w:cs="Arial"/>
          <w:color w:val="000000"/>
          <w:sz w:val="20"/>
          <w:szCs w:val="20"/>
          <w:lang w:val="es-ES"/>
        </w:rPr>
      </w:pPr>
    </w:p>
    <w:p w14:paraId="0B9B446B" w14:textId="77777777" w:rsidR="000D6CD6" w:rsidRPr="009C5A97" w:rsidRDefault="000D6CD6" w:rsidP="00CB3758">
      <w:pPr>
        <w:shd w:val="clear" w:color="auto" w:fill="FFFFFF" w:themeFill="background1"/>
        <w:spacing w:after="340" w:line="276" w:lineRule="auto"/>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DOCUMENTOS TIPO – Inalterabilidad – Configuración – Pliego de condiciones – Alcance</w:t>
      </w:r>
    </w:p>
    <w:p w14:paraId="5E9C645B" w14:textId="77777777" w:rsidR="000D6CD6" w:rsidRPr="009C5A97" w:rsidRDefault="000D6CD6" w:rsidP="00CB3758">
      <w:pPr>
        <w:shd w:val="clear" w:color="auto" w:fill="FFFFFF" w:themeFill="background1"/>
        <w:spacing w:after="340" w:line="276" w:lineRule="auto"/>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30C2ECB2" w14:textId="77777777" w:rsidR="000D6CD6" w:rsidRPr="009C5A97" w:rsidRDefault="000D6CD6" w:rsidP="00CB3758">
      <w:pPr>
        <w:spacing w:after="0" w:line="276" w:lineRule="auto"/>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INALTERABILIDAD – Documentos Tipo – Alcance</w:t>
      </w:r>
    </w:p>
    <w:p w14:paraId="40FF493F" w14:textId="77777777" w:rsidR="000D6CD6" w:rsidRPr="009C5A97" w:rsidRDefault="000D6CD6" w:rsidP="00CB3758">
      <w:pPr>
        <w:spacing w:after="0" w:line="276" w:lineRule="auto"/>
        <w:ind w:left="708"/>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 xml:space="preserve"> </w:t>
      </w:r>
    </w:p>
    <w:p w14:paraId="1CA9D4E6" w14:textId="77777777" w:rsidR="000D6CD6" w:rsidRPr="009C5A97" w:rsidRDefault="000D6CD6" w:rsidP="00CB3758">
      <w:pPr>
        <w:spacing w:after="0" w:line="276" w:lineRule="auto"/>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w:t>
      </w:r>
      <w:r w:rsidRPr="009C5A97">
        <w:rPr>
          <w:rFonts w:ascii="Verdana" w:eastAsia="Calibri" w:hAnsi="Verdana" w:cs="Arial"/>
          <w:sz w:val="20"/>
          <w:szCs w:val="20"/>
          <w:lang w:val="es-ES" w:eastAsia="es-ES"/>
        </w:rPr>
        <w:lastRenderedPageBreak/>
        <w:t>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A593B52" w14:textId="77777777" w:rsidR="000D6CD6" w:rsidRDefault="000D6CD6" w:rsidP="00CB3758">
      <w:pPr>
        <w:spacing w:after="0" w:line="276" w:lineRule="auto"/>
        <w:jc w:val="both"/>
        <w:rPr>
          <w:rFonts w:ascii="Verdana" w:eastAsia="Calibri" w:hAnsi="Verdana" w:cs="Arial"/>
          <w:sz w:val="20"/>
          <w:szCs w:val="20"/>
          <w:lang w:val="es-ES" w:eastAsia="es-ES"/>
        </w:rPr>
      </w:pPr>
    </w:p>
    <w:p w14:paraId="0C45825F" w14:textId="77777777" w:rsidR="000D6CD6" w:rsidRPr="00A75D14" w:rsidRDefault="000D6CD6" w:rsidP="00CB3758">
      <w:pPr>
        <w:spacing w:after="0" w:line="276" w:lineRule="auto"/>
        <w:jc w:val="both"/>
        <w:rPr>
          <w:rFonts w:ascii="Verdana" w:hAnsi="Verdana"/>
        </w:rPr>
      </w:pPr>
      <w:r w:rsidRPr="00A75D14">
        <w:rPr>
          <w:rFonts w:ascii="Verdana" w:eastAsia="Calibri" w:hAnsi="Verdana" w:cs="Arial"/>
          <w:b/>
          <w:kern w:val="2"/>
          <w:lang w:val="es-ES_tradnl" w:eastAsia="es-ES_tradnl"/>
          <w14:ligatures w14:val="standardContextual"/>
        </w:rPr>
        <w:t>LEY 2195 DE 2022 – Artículo 56 – Alcance – Excepción</w:t>
      </w:r>
    </w:p>
    <w:p w14:paraId="61A73839" w14:textId="77777777" w:rsidR="000D6CD6" w:rsidRPr="00A75D14" w:rsidRDefault="000D6CD6" w:rsidP="00CB3758">
      <w:pPr>
        <w:tabs>
          <w:tab w:val="left" w:pos="0"/>
        </w:tabs>
        <w:spacing w:after="0" w:line="276" w:lineRule="auto"/>
        <w:jc w:val="both"/>
        <w:rPr>
          <w:rFonts w:ascii="Verdana" w:eastAsia="Calibri" w:hAnsi="Verdana" w:cs="Arial"/>
          <w:b/>
          <w:kern w:val="2"/>
          <w:lang w:val="es-ES_tradnl" w:eastAsia="es-ES_tradnl"/>
          <w14:ligatures w14:val="standardContextual"/>
        </w:rPr>
      </w:pPr>
    </w:p>
    <w:p w14:paraId="6724C802" w14:textId="77777777" w:rsidR="000D6CD6" w:rsidRPr="00A22D0B" w:rsidRDefault="000D6CD6" w:rsidP="00CB3758">
      <w:pPr>
        <w:snapToGrid w:val="0"/>
        <w:spacing w:after="0" w:line="276"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0919E4BF" w14:textId="77777777" w:rsidR="000D6CD6" w:rsidRPr="00A75D14" w:rsidRDefault="000D6CD6" w:rsidP="00CB3758">
      <w:pPr>
        <w:tabs>
          <w:tab w:val="left" w:pos="0"/>
        </w:tabs>
        <w:spacing w:after="0" w:line="276" w:lineRule="auto"/>
        <w:jc w:val="both"/>
        <w:rPr>
          <w:rFonts w:ascii="Verdana" w:eastAsia="Calibri" w:hAnsi="Verdana" w:cs="Arial"/>
          <w:b/>
          <w:kern w:val="2"/>
          <w:sz w:val="21"/>
          <w:szCs w:val="21"/>
          <w:lang w:val="es-ES_tradnl"/>
          <w14:ligatures w14:val="standardContextual"/>
        </w:rPr>
      </w:pPr>
    </w:p>
    <w:p w14:paraId="41693C11" w14:textId="77777777" w:rsidR="000D6CD6" w:rsidRPr="00A75D14" w:rsidRDefault="000D6CD6" w:rsidP="00CB3758">
      <w:pPr>
        <w:tabs>
          <w:tab w:val="left" w:pos="0"/>
        </w:tabs>
        <w:spacing w:after="0" w:line="276" w:lineRule="auto"/>
        <w:jc w:val="both"/>
        <w:rPr>
          <w:rFonts w:ascii="Verdana" w:eastAsia="Calibri" w:hAnsi="Verdana" w:cs="Arial"/>
          <w:b/>
          <w:kern w:val="2"/>
          <w:lang w:val="es-ES_tradnl"/>
          <w14:ligatures w14:val="standardContextual"/>
        </w:rPr>
      </w:pPr>
      <w:r w:rsidRPr="00A75D14">
        <w:rPr>
          <w:rFonts w:ascii="Verdana" w:eastAsia="Calibri" w:hAnsi="Verdana" w:cs="Arial"/>
          <w:b/>
          <w:kern w:val="2"/>
          <w:lang w:val="es-ES_tradnl"/>
          <w14:ligatures w14:val="standardContextual"/>
        </w:rPr>
        <w:t>LEY 2195 DE 2022 – Artículo 56 – Parágrafo – Excepciones – Giro ordinario – Interpretación</w:t>
      </w:r>
    </w:p>
    <w:p w14:paraId="7D32395B" w14:textId="77777777" w:rsidR="000D6CD6" w:rsidRPr="00A75D14" w:rsidRDefault="000D6CD6" w:rsidP="00CB3758">
      <w:pPr>
        <w:tabs>
          <w:tab w:val="left" w:pos="0"/>
        </w:tabs>
        <w:spacing w:after="0" w:line="276" w:lineRule="auto"/>
        <w:jc w:val="both"/>
        <w:rPr>
          <w:rFonts w:ascii="Verdana" w:eastAsia="Calibri" w:hAnsi="Verdana" w:cs="Arial"/>
          <w:bCs/>
          <w:kern w:val="2"/>
          <w:lang w:val="es-ES_tradnl"/>
          <w14:ligatures w14:val="standardContextual"/>
        </w:rPr>
      </w:pPr>
    </w:p>
    <w:p w14:paraId="0ACF4874" w14:textId="77777777" w:rsidR="000D6CD6" w:rsidRPr="00A22D0B" w:rsidRDefault="000D6CD6" w:rsidP="00CB3758">
      <w:pPr>
        <w:snapToGrid w:val="0"/>
        <w:spacing w:after="0" w:line="276"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4D1B4F4D" w14:textId="77777777" w:rsidR="000D6CD6" w:rsidRPr="00A22D0B" w:rsidRDefault="000D6CD6" w:rsidP="00CB3758">
      <w:pPr>
        <w:snapToGrid w:val="0"/>
        <w:spacing w:after="0" w:line="276" w:lineRule="auto"/>
        <w:ind w:left="720"/>
        <w:jc w:val="both"/>
        <w:rPr>
          <w:rFonts w:ascii="Verdana" w:eastAsia="Calibri" w:hAnsi="Verdana" w:cs="Arial"/>
          <w:kern w:val="2"/>
          <w:sz w:val="20"/>
          <w:szCs w:val="20"/>
          <w:lang w:val="es-ES" w:eastAsia="es-ES"/>
          <w14:ligatures w14:val="standardContextual"/>
        </w:rPr>
      </w:pPr>
    </w:p>
    <w:p w14:paraId="2BBE098D" w14:textId="77777777" w:rsidR="000D6CD6" w:rsidRDefault="000D6CD6" w:rsidP="00CB3758">
      <w:pPr>
        <w:tabs>
          <w:tab w:val="left" w:pos="0"/>
        </w:tabs>
        <w:snapToGrid w:val="0"/>
        <w:spacing w:after="0" w:line="276" w:lineRule="auto"/>
        <w:jc w:val="both"/>
        <w:rPr>
          <w:rFonts w:ascii="Verdana" w:eastAsia="Arial" w:hAnsi="Verdana" w:cs="Arial"/>
          <w:kern w:val="2"/>
          <w:sz w:val="20"/>
          <w:szCs w:val="20"/>
          <w:lang w:val="es-ES_tradnl" w:eastAsia="es-ES_tradnl"/>
          <w14:ligatures w14:val="standardContextual"/>
        </w:rPr>
      </w:pPr>
      <w:r w:rsidRPr="00A22D0B">
        <w:rPr>
          <w:rFonts w:ascii="Verdana" w:eastAsia="Calibri" w:hAnsi="Verdana" w:cs="Arial"/>
          <w:bCs/>
          <w:kern w:val="2"/>
          <w:sz w:val="20"/>
          <w:szCs w:val="20"/>
          <w:lang w:val="es-ES_tradnl" w:eastAsia="es-ES_tradnl"/>
          <w14:ligatures w14:val="standardContextual"/>
        </w:rPr>
        <w:t xml:space="preserve">Ahora, es importante tener en cuenta que cuando la norma se refiere a la contratación del </w:t>
      </w:r>
      <w:r w:rsidRPr="00A22D0B">
        <w:rPr>
          <w:rFonts w:ascii="Verdana" w:eastAsia="Calibri" w:hAnsi="Verdana" w:cs="Arial"/>
          <w:bCs/>
          <w:i/>
          <w:iCs/>
          <w:kern w:val="2"/>
          <w:sz w:val="20"/>
          <w:szCs w:val="20"/>
          <w:lang w:val="es-ES_tradnl" w:eastAsia="es-ES_tradnl"/>
          <w14:ligatures w14:val="standardContextual"/>
        </w:rPr>
        <w:t>giro ordinario</w:t>
      </w:r>
      <w:r w:rsidRPr="00A22D0B">
        <w:rPr>
          <w:rFonts w:ascii="Verdana" w:eastAsia="Calibri" w:hAnsi="Verdana" w:cs="Arial"/>
          <w:bCs/>
          <w:kern w:val="2"/>
          <w:sz w:val="20"/>
          <w:szCs w:val="20"/>
          <w:lang w:val="es-ES_tradnl" w:eastAsia="es-ES_tradnl"/>
          <w14:ligatures w14:val="standardContextual"/>
        </w:rPr>
        <w:t xml:space="preserve">, emplea un concepto jurídico indeterminado. </w:t>
      </w:r>
      <w:r w:rsidRPr="00A22D0B">
        <w:rPr>
          <w:rFonts w:ascii="Verdana" w:eastAsia="Arial" w:hAnsi="Verdana" w:cs="Arial"/>
          <w:kern w:val="2"/>
          <w:sz w:val="20"/>
          <w:szCs w:val="20"/>
          <w:lang w:val="es-ES_tradnl" w:eastAsia="es-ES_tradnl"/>
          <w14:ligatures w14:val="standardContextua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w:t>
      </w:r>
      <w:r w:rsidRPr="00A22D0B">
        <w:rPr>
          <w:rFonts w:ascii="Verdana" w:eastAsia="Arial" w:hAnsi="Verdana" w:cs="Arial"/>
          <w:kern w:val="2"/>
          <w:sz w:val="20"/>
          <w:szCs w:val="20"/>
          <w:lang w:val="es-ES_tradnl" w:eastAsia="es-ES_tradnl"/>
          <w14:ligatures w14:val="standardContextual"/>
        </w:rPr>
        <w:lastRenderedPageBreak/>
        <w:t xml:space="preserve">estatales gozan de cierto margen de apreciación en su aplicación, pero deben respetar los límites previstos en las normas de orden público. Por ejemplo, no podrán considerar que cualquier contrato que celebren hace parte del giro ordinario de sus negocios. </w:t>
      </w:r>
    </w:p>
    <w:p w14:paraId="34813220" w14:textId="77777777" w:rsidR="000D6CD6" w:rsidRDefault="000D6CD6" w:rsidP="00CB3758">
      <w:pPr>
        <w:tabs>
          <w:tab w:val="left" w:pos="0"/>
        </w:tabs>
        <w:snapToGrid w:val="0"/>
        <w:spacing w:after="0" w:line="276" w:lineRule="auto"/>
        <w:jc w:val="both"/>
        <w:rPr>
          <w:rFonts w:ascii="Verdana" w:eastAsia="Arial" w:hAnsi="Verdana" w:cs="Arial"/>
          <w:kern w:val="2"/>
          <w:sz w:val="20"/>
          <w:szCs w:val="20"/>
          <w:lang w:val="es-ES_tradnl" w:eastAsia="es-ES_tradnl"/>
          <w14:ligatures w14:val="standardContextual"/>
        </w:rPr>
      </w:pPr>
    </w:p>
    <w:p w14:paraId="5B6CCF8A" w14:textId="77777777" w:rsidR="000D6CD6" w:rsidRPr="00213A2C" w:rsidRDefault="000D6CD6" w:rsidP="00CB3758">
      <w:pPr>
        <w:spacing w:after="0" w:line="276" w:lineRule="auto"/>
        <w:jc w:val="both"/>
        <w:rPr>
          <w:rFonts w:ascii="Verdana" w:eastAsia="Times New Roman" w:hAnsi="Verdana" w:cs="Arial"/>
          <w:b/>
          <w:bCs/>
          <w:sz w:val="20"/>
          <w:szCs w:val="20"/>
          <w:lang w:val="es-ES" w:eastAsia="es-ES"/>
        </w:rPr>
      </w:pPr>
      <w:r w:rsidRPr="00213A2C">
        <w:rPr>
          <w:rFonts w:ascii="Verdana" w:eastAsia="Times New Roman" w:hAnsi="Verdana" w:cs="Arial"/>
          <w:b/>
          <w:bCs/>
          <w:sz w:val="20"/>
          <w:szCs w:val="20"/>
          <w:lang w:val="es-ES" w:eastAsia="es-ES"/>
        </w:rPr>
        <w:t>ENTIDADES CON RÉGIMEN ESPECIAL DE CONTRATACIÓN – Publicación en SECOP – Actividad contractual – Término para publicar – Circular Externa No. 002 de 2024</w:t>
      </w:r>
    </w:p>
    <w:p w14:paraId="7862B9C5" w14:textId="77777777" w:rsidR="000D6CD6" w:rsidRPr="00213A2C" w:rsidRDefault="000D6CD6" w:rsidP="00CB3758">
      <w:pPr>
        <w:spacing w:after="0" w:line="276" w:lineRule="auto"/>
        <w:jc w:val="both"/>
        <w:rPr>
          <w:rFonts w:ascii="Verdana" w:eastAsia="Times New Roman" w:hAnsi="Verdana" w:cs="Arial"/>
          <w:b/>
          <w:bCs/>
          <w:sz w:val="20"/>
          <w:szCs w:val="20"/>
          <w:highlight w:val="yellow"/>
          <w:lang w:val="es-ES_tradnl" w:eastAsia="es-ES_tradnl"/>
        </w:rPr>
      </w:pPr>
    </w:p>
    <w:p w14:paraId="7E7DB632" w14:textId="77777777" w:rsidR="000D6CD6" w:rsidRPr="00213A2C" w:rsidRDefault="000D6CD6" w:rsidP="00CB3758">
      <w:pPr>
        <w:spacing w:after="0" w:line="276" w:lineRule="auto"/>
        <w:jc w:val="both"/>
        <w:rPr>
          <w:rFonts w:ascii="Verdana" w:eastAsia="Times New Roman" w:hAnsi="Verdana" w:cs="Times New Roman"/>
          <w:sz w:val="20"/>
          <w:szCs w:val="20"/>
        </w:rPr>
      </w:pPr>
      <w:r w:rsidRPr="00213A2C">
        <w:rPr>
          <w:rFonts w:ascii="Verdana" w:eastAsia="Times New Roman" w:hAnsi="Verdana" w:cs="Times New Roman"/>
          <w:sz w:val="20"/>
          <w:szCs w:val="20"/>
        </w:rPr>
        <w:t>[…]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p>
    <w:p w14:paraId="37C39147" w14:textId="77777777" w:rsidR="000D6CD6" w:rsidRPr="00213A2C" w:rsidRDefault="000D6CD6" w:rsidP="00CB3758">
      <w:pPr>
        <w:spacing w:after="0" w:line="276" w:lineRule="auto"/>
        <w:rPr>
          <w:rFonts w:ascii="Verdana" w:eastAsia="Times New Roman" w:hAnsi="Verdana" w:cs="Times New Roman"/>
          <w:sz w:val="20"/>
          <w:szCs w:val="20"/>
        </w:rPr>
      </w:pPr>
      <w:r w:rsidRPr="00213A2C">
        <w:rPr>
          <w:rFonts w:ascii="Verdana" w:eastAsia="Times New Roman" w:hAnsi="Verdana" w:cs="Times New Roman"/>
          <w:sz w:val="20"/>
          <w:szCs w:val="20"/>
        </w:rPr>
        <w:t>[…]</w:t>
      </w:r>
    </w:p>
    <w:p w14:paraId="64A92709" w14:textId="77777777" w:rsidR="000D6CD6" w:rsidRPr="00213A2C" w:rsidRDefault="000D6CD6" w:rsidP="00CB3758">
      <w:pPr>
        <w:spacing w:after="0" w:line="276" w:lineRule="auto"/>
        <w:jc w:val="both"/>
        <w:rPr>
          <w:rFonts w:ascii="Verdana" w:eastAsia="Times New Roman" w:hAnsi="Verdana" w:cs="Times New Roman"/>
          <w:sz w:val="20"/>
          <w:szCs w:val="20"/>
        </w:rPr>
      </w:pPr>
      <w:r w:rsidRPr="00213A2C">
        <w:rPr>
          <w:rFonts w:ascii="Verdana" w:eastAsia="Times New Roman" w:hAnsi="Verdana" w:cs="Times New Roman"/>
          <w:sz w:val="20"/>
          <w:szCs w:val="20"/>
        </w:rPr>
        <w:t>[…]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484B60BB" w14:textId="77777777" w:rsidR="000D6CD6" w:rsidRPr="00213A2C" w:rsidRDefault="000D6CD6" w:rsidP="00CB3758">
      <w:pPr>
        <w:spacing w:after="0" w:line="276" w:lineRule="auto"/>
        <w:rPr>
          <w:rFonts w:ascii="Verdana" w:eastAsia="Times New Roman" w:hAnsi="Verdana" w:cs="Times New Roman"/>
          <w:sz w:val="20"/>
          <w:szCs w:val="20"/>
        </w:rPr>
      </w:pPr>
    </w:p>
    <w:p w14:paraId="0ECAC552" w14:textId="77777777" w:rsidR="000D6CD6" w:rsidRPr="00213A2C" w:rsidRDefault="000D6CD6" w:rsidP="00CB3758">
      <w:pPr>
        <w:tabs>
          <w:tab w:val="left" w:pos="0"/>
        </w:tabs>
        <w:snapToGrid w:val="0"/>
        <w:spacing w:after="0" w:line="276" w:lineRule="auto"/>
        <w:jc w:val="both"/>
        <w:rPr>
          <w:rFonts w:ascii="Verdana" w:eastAsia="Arial" w:hAnsi="Verdana" w:cs="Arial"/>
          <w:kern w:val="2"/>
          <w:sz w:val="20"/>
          <w:szCs w:val="20"/>
          <w:lang w:eastAsia="es-ES_tradnl"/>
          <w14:ligatures w14:val="standardContextual"/>
        </w:rPr>
      </w:pPr>
    </w:p>
    <w:p w14:paraId="14009709" w14:textId="77777777" w:rsidR="000D6CD6" w:rsidRPr="00805CF9" w:rsidRDefault="000D6CD6" w:rsidP="00CB3758">
      <w:pPr>
        <w:spacing w:after="0" w:line="276" w:lineRule="auto"/>
        <w:jc w:val="both"/>
        <w:rPr>
          <w:rFonts w:ascii="Verdana" w:eastAsia="Calibri" w:hAnsi="Verdana" w:cs="Arial"/>
          <w:sz w:val="20"/>
          <w:szCs w:val="20"/>
          <w:lang w:val="es-ES_tradnl" w:eastAsia="es-ES"/>
        </w:rPr>
      </w:pPr>
    </w:p>
    <w:p w14:paraId="75AEE93E" w14:textId="77777777" w:rsidR="000D6CD6" w:rsidRDefault="000D6CD6" w:rsidP="00CB3758">
      <w:pPr>
        <w:spacing w:after="0" w:line="276" w:lineRule="auto"/>
        <w:jc w:val="both"/>
        <w:rPr>
          <w:rFonts w:ascii="Verdana" w:eastAsia="Calibri" w:hAnsi="Verdana" w:cs="Arial"/>
          <w:sz w:val="20"/>
          <w:szCs w:val="20"/>
          <w:lang w:val="es-ES" w:eastAsia="es-ES"/>
        </w:rPr>
      </w:pPr>
    </w:p>
    <w:p w14:paraId="5236D979" w14:textId="77777777" w:rsidR="000D6CD6" w:rsidRPr="009C5A97" w:rsidRDefault="000D6CD6" w:rsidP="00CB3758">
      <w:pPr>
        <w:spacing w:after="0" w:line="276" w:lineRule="auto"/>
        <w:jc w:val="both"/>
        <w:rPr>
          <w:rFonts w:ascii="Verdana" w:eastAsia="Calibri" w:hAnsi="Verdana" w:cs="Arial"/>
          <w:sz w:val="20"/>
          <w:szCs w:val="20"/>
          <w:lang w:val="es-ES" w:eastAsia="es-ES"/>
        </w:rPr>
      </w:pPr>
    </w:p>
    <w:p w14:paraId="1D41CACE" w14:textId="77777777" w:rsidR="000D6CD6" w:rsidRDefault="000D6CD6" w:rsidP="00CB3758">
      <w:pPr>
        <w:spacing w:after="0" w:line="276" w:lineRule="auto"/>
        <w:jc w:val="both"/>
        <w:rPr>
          <w:rFonts w:ascii="Verdana" w:eastAsia="Calibri" w:hAnsi="Verdana" w:cs="Arial"/>
          <w:sz w:val="20"/>
          <w:szCs w:val="20"/>
          <w:lang w:val="es-ES" w:eastAsia="es-ES"/>
        </w:rPr>
      </w:pPr>
    </w:p>
    <w:p w14:paraId="000DFE22" w14:textId="77777777" w:rsidR="000D6CD6" w:rsidRDefault="000D6CD6" w:rsidP="00CB3758">
      <w:pPr>
        <w:spacing w:after="0" w:line="276" w:lineRule="auto"/>
        <w:jc w:val="both"/>
        <w:rPr>
          <w:rFonts w:ascii="Verdana" w:eastAsia="Calibri" w:hAnsi="Verdana" w:cs="Arial"/>
          <w:sz w:val="20"/>
          <w:szCs w:val="20"/>
          <w:lang w:val="es-ES" w:eastAsia="es-ES"/>
        </w:rPr>
      </w:pPr>
    </w:p>
    <w:p w14:paraId="33DB01CB" w14:textId="77777777" w:rsidR="000D6CD6" w:rsidRDefault="000D6CD6" w:rsidP="00CB3758">
      <w:pPr>
        <w:spacing w:after="0" w:line="276" w:lineRule="auto"/>
        <w:jc w:val="both"/>
        <w:rPr>
          <w:rFonts w:ascii="Verdana" w:eastAsia="Calibri" w:hAnsi="Verdana" w:cs="Arial"/>
          <w:sz w:val="20"/>
          <w:szCs w:val="20"/>
          <w:lang w:val="es-ES" w:eastAsia="es-ES"/>
        </w:rPr>
      </w:pPr>
    </w:p>
    <w:p w14:paraId="73E09F5D" w14:textId="77777777" w:rsidR="000D6CD6" w:rsidRDefault="000D6CD6" w:rsidP="00CB3758">
      <w:pPr>
        <w:spacing w:after="0" w:line="276" w:lineRule="auto"/>
        <w:jc w:val="both"/>
        <w:rPr>
          <w:rFonts w:ascii="Verdana" w:eastAsia="Calibri" w:hAnsi="Verdana" w:cs="Arial"/>
          <w:sz w:val="20"/>
          <w:szCs w:val="20"/>
          <w:lang w:val="es-ES" w:eastAsia="es-ES"/>
        </w:rPr>
      </w:pPr>
    </w:p>
    <w:p w14:paraId="0B4E995E" w14:textId="77777777" w:rsidR="000D6CD6" w:rsidRDefault="000D6CD6" w:rsidP="00CB3758">
      <w:pPr>
        <w:spacing w:after="0" w:line="276" w:lineRule="auto"/>
        <w:jc w:val="both"/>
        <w:rPr>
          <w:rFonts w:ascii="Verdana" w:eastAsia="Calibri" w:hAnsi="Verdana" w:cs="Arial"/>
          <w:sz w:val="20"/>
          <w:szCs w:val="20"/>
          <w:lang w:val="es-ES" w:eastAsia="es-ES"/>
        </w:rPr>
      </w:pPr>
    </w:p>
    <w:p w14:paraId="615E51E2" w14:textId="77777777" w:rsidR="000D6CD6" w:rsidRDefault="000D6CD6" w:rsidP="00CB3758">
      <w:pPr>
        <w:spacing w:after="0" w:line="276" w:lineRule="auto"/>
        <w:jc w:val="both"/>
        <w:rPr>
          <w:rFonts w:ascii="Verdana" w:eastAsia="Calibri" w:hAnsi="Verdana" w:cs="Arial"/>
          <w:sz w:val="20"/>
          <w:szCs w:val="20"/>
          <w:lang w:val="es-ES" w:eastAsia="es-ES"/>
        </w:rPr>
      </w:pPr>
    </w:p>
    <w:p w14:paraId="526A177F" w14:textId="77777777" w:rsidR="00006705" w:rsidRDefault="00006705" w:rsidP="00CB3758">
      <w:pPr>
        <w:spacing w:after="0" w:line="276" w:lineRule="auto"/>
        <w:rPr>
          <w:rFonts w:ascii="Verdana" w:eastAsia="Calibri" w:hAnsi="Verdana" w:cs="Arial"/>
          <w:sz w:val="20"/>
          <w:szCs w:val="20"/>
          <w:lang w:val="es-ES" w:eastAsia="es-ES"/>
        </w:rPr>
      </w:pPr>
    </w:p>
    <w:p w14:paraId="5DC6C30A" w14:textId="25A552E6" w:rsidR="000D6CD6" w:rsidRPr="00E63C0B" w:rsidRDefault="000D6CD6" w:rsidP="00CB3758">
      <w:pPr>
        <w:spacing w:after="0" w:line="276" w:lineRule="auto"/>
        <w:rPr>
          <w:rFonts w:ascii="Verdana" w:eastAsia="Geomanist Light" w:hAnsi="Verdana" w:cs="Arial"/>
          <w:color w:val="201F1E"/>
          <w:lang w:val="es-MX"/>
        </w:rPr>
      </w:pPr>
      <w:r w:rsidRPr="00E63C0B">
        <w:rPr>
          <w:rFonts w:ascii="Verdana" w:eastAsia="Geomanist Light" w:hAnsi="Verdana" w:cs="Arial"/>
          <w:color w:val="000000" w:themeColor="text1"/>
          <w:lang w:val="es-MX"/>
        </w:rPr>
        <w:lastRenderedPageBreak/>
        <w:t>Bogotá D.C., </w:t>
      </w:r>
      <w:r w:rsidR="009674BD">
        <w:rPr>
          <w:rFonts w:ascii="Verdana" w:eastAsia="Geomanist Light" w:hAnsi="Verdana" w:cs="Arial"/>
          <w:color w:val="201F1E"/>
          <w:lang w:val="es-MX"/>
        </w:rPr>
        <w:t>16 de Diciembre 2024</w:t>
      </w:r>
    </w:p>
    <w:p w14:paraId="2D354C7F" w14:textId="6A658B32" w:rsidR="000D6CD6" w:rsidRPr="00E63C0B" w:rsidRDefault="00006705" w:rsidP="00CB3758">
      <w:pPr>
        <w:spacing w:after="0" w:line="276" w:lineRule="auto"/>
        <w:jc w:val="both"/>
        <w:rPr>
          <w:rFonts w:ascii="Verdana" w:eastAsia="Calibri" w:hAnsi="Verdana" w:cs="Arial"/>
          <w:color w:val="000000"/>
          <w:lang w:val="es-ES"/>
        </w:rPr>
      </w:pPr>
      <w:r w:rsidRPr="003670C9">
        <w:rPr>
          <w:rFonts w:ascii="Verdana" w:eastAsia="Calibri" w:hAnsi="Verdana" w:cs="Arial"/>
          <w:b/>
          <w:noProof/>
          <w:color w:val="000000"/>
          <w:lang w:val="es-ES_tradnl" w:eastAsia="es-ES_tradnl"/>
        </w:rPr>
        <w:drawing>
          <wp:anchor distT="0" distB="0" distL="114300" distR="114300" simplePos="0" relativeHeight="251658240" behindDoc="1" locked="0" layoutInCell="1" allowOverlap="1" wp14:anchorId="3BEFD58E" wp14:editId="5BF37390">
            <wp:simplePos x="0" y="0"/>
            <wp:positionH relativeFrom="column">
              <wp:posOffset>2901315</wp:posOffset>
            </wp:positionH>
            <wp:positionV relativeFrom="paragraph">
              <wp:posOffset>88265</wp:posOffset>
            </wp:positionV>
            <wp:extent cx="3305175" cy="809625"/>
            <wp:effectExtent l="0" t="0" r="9525" b="9525"/>
            <wp:wrapTight wrapText="bothSides">
              <wp:wrapPolygon edited="0">
                <wp:start x="0" y="0"/>
                <wp:lineTo x="0" y="21346"/>
                <wp:lineTo x="21538" y="21346"/>
                <wp:lineTo x="21538" y="0"/>
                <wp:lineTo x="0" y="0"/>
              </wp:wrapPolygon>
            </wp:wrapTight>
            <wp:docPr id="2060658650"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658650"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05175" cy="809625"/>
                    </a:xfrm>
                    <a:prstGeom prst="rect">
                      <a:avLst/>
                    </a:prstGeom>
                  </pic:spPr>
                </pic:pic>
              </a:graphicData>
            </a:graphic>
            <wp14:sizeRelH relativeFrom="margin">
              <wp14:pctWidth>0</wp14:pctWidth>
            </wp14:sizeRelH>
            <wp14:sizeRelV relativeFrom="margin">
              <wp14:pctHeight>0</wp14:pctHeight>
            </wp14:sizeRelV>
          </wp:anchor>
        </w:drawing>
      </w:r>
    </w:p>
    <w:p w14:paraId="70C47342" w14:textId="5F05C8E3" w:rsidR="000D6CD6" w:rsidRDefault="000D6CD6" w:rsidP="00CB3758">
      <w:pPr>
        <w:spacing w:after="0" w:line="276" w:lineRule="auto"/>
        <w:textAlignment w:val="baseline"/>
        <w:rPr>
          <w:rFonts w:ascii="Verdana" w:eastAsia="Calibri" w:hAnsi="Verdana" w:cs="Arial"/>
        </w:rPr>
      </w:pPr>
      <w:r w:rsidRPr="009C5A97">
        <w:rPr>
          <w:rFonts w:ascii="Verdana" w:eastAsia="Calibri" w:hAnsi="Verdana" w:cs="Arial"/>
        </w:rPr>
        <w:t>Señor</w:t>
      </w:r>
    </w:p>
    <w:p w14:paraId="107CC8BC" w14:textId="47C3306B" w:rsidR="008A17A5" w:rsidRPr="00F25647" w:rsidRDefault="008A17A5" w:rsidP="00CB3758">
      <w:pPr>
        <w:spacing w:after="0" w:line="276" w:lineRule="auto"/>
        <w:textAlignment w:val="baseline"/>
        <w:rPr>
          <w:rFonts w:ascii="Verdana" w:eastAsia="Calibri" w:hAnsi="Verdana" w:cs="Arial"/>
          <w:b/>
          <w:bCs/>
        </w:rPr>
      </w:pPr>
      <w:r w:rsidRPr="00F25647">
        <w:rPr>
          <w:rFonts w:ascii="Verdana" w:eastAsia="Calibri" w:hAnsi="Verdana" w:cs="Arial"/>
          <w:b/>
          <w:bCs/>
        </w:rPr>
        <w:t xml:space="preserve">Hover Adriana Prado Otela </w:t>
      </w:r>
    </w:p>
    <w:p w14:paraId="280CCCA6" w14:textId="58E965C5" w:rsidR="00F25647" w:rsidRPr="00F25647" w:rsidRDefault="00F25647" w:rsidP="00CB3758">
      <w:pPr>
        <w:spacing w:after="0" w:line="276" w:lineRule="auto"/>
        <w:rPr>
          <w:rFonts w:ascii="Verdana" w:hAnsi="Verdana"/>
        </w:rPr>
      </w:pPr>
      <w:hyperlink r:id="rId11" w:history="1">
        <w:r w:rsidRPr="00F25647">
          <w:rPr>
            <w:rStyle w:val="Hipervnculo"/>
            <w:rFonts w:ascii="Verdana" w:hAnsi="Verdana"/>
          </w:rPr>
          <w:t>controlinterno@emcorintoesp.com.co</w:t>
        </w:r>
      </w:hyperlink>
    </w:p>
    <w:p w14:paraId="539614AB" w14:textId="7CBC5C61" w:rsidR="008A17A5" w:rsidRPr="00F25647" w:rsidRDefault="008A17A5" w:rsidP="00CB3758">
      <w:pPr>
        <w:spacing w:after="0" w:line="276" w:lineRule="auto"/>
        <w:rPr>
          <w:rFonts w:ascii="Verdana" w:eastAsia="Calibri" w:hAnsi="Verdana" w:cs="Arial"/>
          <w:b/>
          <w:color w:val="000000"/>
          <w:lang w:eastAsia="es-ES_tradnl"/>
        </w:rPr>
      </w:pPr>
      <w:r w:rsidRPr="00F25647">
        <w:rPr>
          <w:rFonts w:ascii="Verdana" w:eastAsia="Calibri" w:hAnsi="Verdana" w:cs="Arial"/>
        </w:rPr>
        <w:t xml:space="preserve">Corinto, Cauca. </w:t>
      </w:r>
    </w:p>
    <w:p w14:paraId="1E9353D2" w14:textId="5A4A2B22" w:rsidR="000D6CD6" w:rsidRDefault="000D6CD6" w:rsidP="00CB3758">
      <w:pPr>
        <w:spacing w:after="0" w:line="276" w:lineRule="auto"/>
        <w:rPr>
          <w:rFonts w:ascii="Verdana" w:eastAsia="Calibri" w:hAnsi="Verdana" w:cs="Arial"/>
          <w:b/>
          <w:color w:val="000000"/>
          <w:lang w:val="es-ES_tradnl" w:eastAsia="es-ES_tradnl"/>
        </w:rPr>
      </w:pPr>
    </w:p>
    <w:p w14:paraId="5769D193" w14:textId="052B1138" w:rsidR="003670C9" w:rsidRPr="00E63C0B" w:rsidRDefault="003670C9" w:rsidP="003670C9">
      <w:pPr>
        <w:spacing w:after="0" w:line="276" w:lineRule="auto"/>
        <w:jc w:val="right"/>
        <w:rPr>
          <w:rFonts w:ascii="Verdana" w:eastAsia="Calibri" w:hAnsi="Verdana" w:cs="Arial"/>
          <w:b/>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21"/>
      </w:tblGrid>
      <w:tr w:rsidR="000D6CD6" w:rsidRPr="009C5A97" w14:paraId="55ED724B" w14:textId="77777777" w:rsidTr="00ED4CCE">
        <w:trPr>
          <w:trHeight w:val="884"/>
        </w:trPr>
        <w:tc>
          <w:tcPr>
            <w:tcW w:w="2410" w:type="dxa"/>
          </w:tcPr>
          <w:p w14:paraId="150351B8" w14:textId="77777777" w:rsidR="000D6CD6" w:rsidRPr="00E63C0B" w:rsidRDefault="000D6CD6" w:rsidP="00CB3758">
            <w:pPr>
              <w:spacing w:line="276" w:lineRule="auto"/>
              <w:jc w:val="both"/>
              <w:rPr>
                <w:rFonts w:ascii="Verdana" w:eastAsia="Calibri" w:hAnsi="Verdana" w:cs="Arial"/>
                <w:b/>
                <w:color w:val="7030A0"/>
                <w:lang w:val="es-ES_tradnl" w:eastAsia="es-ES_tradnl"/>
              </w:rPr>
            </w:pPr>
          </w:p>
        </w:tc>
        <w:tc>
          <w:tcPr>
            <w:tcW w:w="6521" w:type="dxa"/>
          </w:tcPr>
          <w:p w14:paraId="3B62BCB0" w14:textId="5F3A1FE8" w:rsidR="000D6CD6" w:rsidRPr="00C56A6D" w:rsidRDefault="000D6CD6" w:rsidP="00CB3758">
            <w:pPr>
              <w:spacing w:line="276" w:lineRule="auto"/>
              <w:jc w:val="both"/>
              <w:rPr>
                <w:rFonts w:ascii="Verdana" w:eastAsia="Calibri" w:hAnsi="Verdana" w:cs="Arial"/>
                <w:b/>
                <w:lang w:val="es-MX" w:eastAsia="es-ES_tradnl"/>
              </w:rPr>
            </w:pPr>
            <w:r w:rsidRPr="00C56A6D">
              <w:rPr>
                <w:rFonts w:ascii="Verdana" w:eastAsia="Calibri" w:hAnsi="Verdana" w:cs="Arial"/>
                <w:b/>
                <w:lang w:val="es-MX" w:eastAsia="es-ES_tradnl"/>
              </w:rPr>
              <w:t>Concepto C-</w:t>
            </w:r>
            <w:r>
              <w:rPr>
                <w:rFonts w:ascii="Verdana" w:eastAsia="Calibri" w:hAnsi="Verdana" w:cs="Arial"/>
                <w:b/>
                <w:lang w:val="es-MX" w:eastAsia="es-ES_tradnl"/>
              </w:rPr>
              <w:t xml:space="preserve"> </w:t>
            </w:r>
            <w:r w:rsidR="008A17A5">
              <w:rPr>
                <w:rFonts w:ascii="Verdana" w:eastAsia="Calibri" w:hAnsi="Verdana" w:cs="Arial"/>
                <w:b/>
                <w:lang w:val="es-MX" w:eastAsia="es-ES_tradnl"/>
              </w:rPr>
              <w:t>824</w:t>
            </w:r>
            <w:r w:rsidRPr="00C56A6D">
              <w:rPr>
                <w:rFonts w:ascii="Verdana" w:eastAsia="Calibri" w:hAnsi="Verdana" w:cs="Arial"/>
                <w:b/>
                <w:lang w:val="es-MX" w:eastAsia="es-ES_tradnl"/>
              </w:rPr>
              <w:t xml:space="preserve"> de 2024</w:t>
            </w:r>
          </w:p>
        </w:tc>
      </w:tr>
      <w:tr w:rsidR="000D6CD6" w:rsidRPr="009C5A97" w14:paraId="44E4FE8F" w14:textId="77777777" w:rsidTr="00ED4CCE">
        <w:trPr>
          <w:trHeight w:val="884"/>
        </w:trPr>
        <w:tc>
          <w:tcPr>
            <w:tcW w:w="2410" w:type="dxa"/>
          </w:tcPr>
          <w:p w14:paraId="11469698" w14:textId="77777777" w:rsidR="000D6CD6" w:rsidRPr="005A64DD" w:rsidRDefault="000D6CD6" w:rsidP="00CB3758">
            <w:pPr>
              <w:spacing w:line="276" w:lineRule="auto"/>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521" w:type="dxa"/>
          </w:tcPr>
          <w:p w14:paraId="5C0BF58C" w14:textId="1B62F40B" w:rsidR="000D6CD6" w:rsidRPr="00573AD3" w:rsidRDefault="000D6CD6" w:rsidP="00CB3758">
            <w:pPr>
              <w:spacing w:line="276" w:lineRule="auto"/>
              <w:jc w:val="both"/>
              <w:rPr>
                <w:rFonts w:ascii="Verdana" w:eastAsia="Times New Roman" w:hAnsi="Verdana" w:cs="Arial"/>
                <w:lang w:val="es-ES" w:eastAsia="es-ES"/>
              </w:rPr>
            </w:pPr>
            <w:r>
              <w:rPr>
                <w:rFonts w:ascii="Verdana" w:hAnsi="Verdana" w:cs="Arial"/>
                <w:bCs/>
                <w:lang w:eastAsia="es-ES"/>
              </w:rPr>
              <w:t xml:space="preserve">DOCUMENTOS TIPO – Fundamento normativo -Obligatoriedad – Ámbito de aplicación – Entidades sometidas / LEY 2195 DE 2022 – Articulo 56 – Ámbito de aplicación / LEY 2195 DE 2022 – Articulo 56 – Finalidad / LEY 2195 DE 2022 -Aplicación del Estatuto General de Contratación de la Administración Pública / LEY 2195 DE 2022 – Articulo 56 Parágrafo – Excepciones - Giro ordinario- LEY 2195 DE 2022 – </w:t>
            </w:r>
          </w:p>
          <w:p w14:paraId="51D7DBC4" w14:textId="77777777" w:rsidR="000D6CD6" w:rsidRPr="00573AD3" w:rsidRDefault="000D6CD6" w:rsidP="00CB3758">
            <w:pPr>
              <w:spacing w:line="276" w:lineRule="auto"/>
              <w:jc w:val="both"/>
              <w:rPr>
                <w:rFonts w:ascii="Verdana" w:hAnsi="Verdana" w:cs="Arial"/>
                <w:bCs/>
                <w:lang w:val="es-ES" w:eastAsia="es-ES"/>
              </w:rPr>
            </w:pPr>
          </w:p>
          <w:p w14:paraId="6116DB39" w14:textId="77777777" w:rsidR="000D6CD6" w:rsidRPr="009C5A97" w:rsidRDefault="000D6CD6" w:rsidP="00CB3758">
            <w:pPr>
              <w:spacing w:line="276" w:lineRule="auto"/>
              <w:jc w:val="both"/>
              <w:rPr>
                <w:rFonts w:ascii="Verdana" w:eastAsia="Calibri" w:hAnsi="Verdana" w:cs="Arial"/>
                <w:bCs/>
                <w:lang w:val="es-MX" w:eastAsia="es-ES_tradnl"/>
              </w:rPr>
            </w:pPr>
          </w:p>
        </w:tc>
      </w:tr>
      <w:tr w:rsidR="000D6CD6" w:rsidRPr="009C5A97" w14:paraId="3E216B24" w14:textId="77777777" w:rsidTr="00ED4CCE">
        <w:tc>
          <w:tcPr>
            <w:tcW w:w="2410" w:type="dxa"/>
          </w:tcPr>
          <w:p w14:paraId="2006A086" w14:textId="77777777" w:rsidR="000D6CD6" w:rsidRPr="00E63C0B" w:rsidRDefault="000D6CD6" w:rsidP="00CB3758">
            <w:pPr>
              <w:spacing w:line="276" w:lineRule="auto"/>
              <w:jc w:val="both"/>
              <w:rPr>
                <w:rFonts w:ascii="Verdana" w:eastAsia="Calibri" w:hAnsi="Verdana" w:cs="Arial"/>
                <w:b/>
                <w:lang w:val="es-MX" w:eastAsia="es-ES_tradnl"/>
              </w:rPr>
            </w:pPr>
            <w:r w:rsidRPr="00E63C0B">
              <w:rPr>
                <w:rFonts w:ascii="Verdana" w:eastAsia="Calibri" w:hAnsi="Verdana" w:cs="Arial"/>
                <w:b/>
                <w:lang w:val="es-MX" w:eastAsia="es-ES_tradnl"/>
              </w:rPr>
              <w:t>Radicación:</w:t>
            </w:r>
          </w:p>
        </w:tc>
        <w:tc>
          <w:tcPr>
            <w:tcW w:w="6521" w:type="dxa"/>
          </w:tcPr>
          <w:p w14:paraId="3948EFB9" w14:textId="47C583D1" w:rsidR="000D6CD6" w:rsidRPr="009C5A97" w:rsidRDefault="000D6CD6" w:rsidP="00CB3758">
            <w:pPr>
              <w:spacing w:line="276" w:lineRule="auto"/>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sidR="00781CA2" w:rsidRPr="00781CA2">
              <w:rPr>
                <w:rFonts w:ascii="Verdana" w:eastAsia="Calibri" w:hAnsi="Verdana" w:cs="Arial"/>
                <w:bCs/>
                <w:lang w:eastAsia="es-ES_tradnl"/>
              </w:rPr>
              <w:t>P20241106011177</w:t>
            </w:r>
          </w:p>
        </w:tc>
      </w:tr>
    </w:tbl>
    <w:p w14:paraId="2318233D" w14:textId="77777777" w:rsidR="000D6CD6" w:rsidRPr="00E63C0B" w:rsidRDefault="000D6CD6" w:rsidP="00CB3758">
      <w:pPr>
        <w:spacing w:after="0" w:line="276" w:lineRule="auto"/>
        <w:jc w:val="both"/>
        <w:rPr>
          <w:rFonts w:ascii="Verdana" w:eastAsia="Calibri" w:hAnsi="Verdana" w:cs="Arial"/>
          <w:color w:val="000000"/>
          <w:lang w:val="es-ES_tradnl" w:eastAsia="es-ES_tradnl"/>
        </w:rPr>
      </w:pPr>
    </w:p>
    <w:p w14:paraId="700CA8DC" w14:textId="77777777" w:rsidR="000D6CD6" w:rsidRPr="00E63C0B" w:rsidRDefault="000D6CD6" w:rsidP="00CB3758">
      <w:pPr>
        <w:spacing w:after="0" w:line="276" w:lineRule="auto"/>
        <w:jc w:val="both"/>
        <w:rPr>
          <w:rFonts w:ascii="Verdana" w:eastAsia="Calibri" w:hAnsi="Verdana" w:cs="Arial"/>
          <w:color w:val="000000"/>
          <w:lang w:val="es-ES_tradnl" w:eastAsia="es-ES_tradnl"/>
        </w:rPr>
      </w:pPr>
    </w:p>
    <w:p w14:paraId="30B6E7A0" w14:textId="10CC777E" w:rsidR="000D6CD6" w:rsidRDefault="000D6CD6" w:rsidP="00CB3758">
      <w:pPr>
        <w:spacing w:after="0" w:line="276" w:lineRule="auto"/>
        <w:jc w:val="both"/>
        <w:textAlignment w:val="baseline"/>
        <w:rPr>
          <w:rFonts w:ascii="Verdana" w:eastAsia="Calibri" w:hAnsi="Verdana" w:cs="Arial"/>
        </w:rPr>
      </w:pPr>
      <w:r w:rsidRPr="009C5A97">
        <w:rPr>
          <w:rFonts w:ascii="Verdana" w:eastAsia="Calibri" w:hAnsi="Verdana" w:cs="Arial"/>
        </w:rPr>
        <w:t>Estimad</w:t>
      </w:r>
      <w:r>
        <w:rPr>
          <w:rFonts w:ascii="Verdana" w:eastAsia="Calibri" w:hAnsi="Verdana" w:cs="Arial"/>
        </w:rPr>
        <w:t xml:space="preserve">o señor </w:t>
      </w:r>
      <w:r w:rsidR="008A17A5">
        <w:rPr>
          <w:rFonts w:ascii="Verdana" w:eastAsia="Calibri" w:hAnsi="Verdana" w:cs="Arial"/>
        </w:rPr>
        <w:t>Prado</w:t>
      </w:r>
      <w:r>
        <w:rPr>
          <w:rFonts w:ascii="Verdana" w:eastAsia="Calibri" w:hAnsi="Verdana" w:cs="Arial"/>
        </w:rPr>
        <w:t>:</w:t>
      </w:r>
    </w:p>
    <w:p w14:paraId="73E0A795" w14:textId="77777777" w:rsidR="000D6CD6" w:rsidRPr="00E63C0B" w:rsidRDefault="000D6CD6" w:rsidP="00CB3758">
      <w:pPr>
        <w:spacing w:after="0" w:line="276" w:lineRule="auto"/>
        <w:jc w:val="both"/>
        <w:textAlignment w:val="baseline"/>
        <w:rPr>
          <w:rFonts w:ascii="Verdana" w:eastAsia="Calibri" w:hAnsi="Verdana" w:cs="Arial"/>
          <w:color w:val="000000" w:themeColor="text1"/>
          <w:lang w:val="es-ES" w:eastAsia="es-ES"/>
        </w:rPr>
      </w:pPr>
    </w:p>
    <w:p w14:paraId="190C61E4" w14:textId="644B68DC" w:rsidR="008A17A5" w:rsidRDefault="000D6CD6" w:rsidP="00CB3758">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 xml:space="preserve">la Agencia Nacional de Contratación Pública – Colombia Compra Eficiente– responde su solicitud de consulta de fecha </w:t>
      </w:r>
      <w:r w:rsidR="00F6134B">
        <w:rPr>
          <w:rFonts w:ascii="Verdana" w:eastAsia="Calibri" w:hAnsi="Verdana" w:cs="Arial"/>
          <w:lang w:val="es-ES" w:eastAsia="es-ES"/>
        </w:rPr>
        <w:t>6</w:t>
      </w:r>
      <w:r w:rsidR="008A17A5">
        <w:rPr>
          <w:rFonts w:ascii="Verdana" w:eastAsia="Calibri" w:hAnsi="Verdana" w:cs="Arial"/>
          <w:lang w:val="es-ES" w:eastAsia="es-ES"/>
        </w:rPr>
        <w:t xml:space="preserve"> de noviembre </w:t>
      </w:r>
      <w:r w:rsidRPr="009C5A97">
        <w:rPr>
          <w:rFonts w:ascii="Verdana" w:eastAsia="Calibri" w:hAnsi="Verdana" w:cs="Arial"/>
          <w:lang w:val="es-ES" w:eastAsia="es-ES"/>
        </w:rPr>
        <w:t>2024, en la cual manifiesta lo siguiente</w:t>
      </w:r>
      <w:r w:rsidRPr="00C56A6D">
        <w:rPr>
          <w:rFonts w:ascii="Verdana" w:eastAsia="Calibri" w:hAnsi="Verdana" w:cs="Arial"/>
          <w:lang w:val="es-ES" w:eastAsia="es-ES"/>
        </w:rPr>
        <w:t>:</w:t>
      </w:r>
    </w:p>
    <w:p w14:paraId="1D1AB481" w14:textId="77777777" w:rsidR="008A17A5" w:rsidRDefault="008A17A5" w:rsidP="00CB3758">
      <w:pPr>
        <w:spacing w:after="0" w:line="276" w:lineRule="auto"/>
        <w:ind w:right="993"/>
        <w:jc w:val="both"/>
        <w:rPr>
          <w:rFonts w:ascii="Verdana" w:eastAsia="Calibri" w:hAnsi="Verdana" w:cs="Arial"/>
          <w:lang w:val="es-ES" w:eastAsia="es-ES"/>
        </w:rPr>
      </w:pPr>
    </w:p>
    <w:p w14:paraId="0C8A03C1" w14:textId="0310EDD3" w:rsidR="000D6CD6" w:rsidRPr="008A17A5" w:rsidRDefault="008A17A5" w:rsidP="00CB3758">
      <w:pPr>
        <w:tabs>
          <w:tab w:val="left" w:pos="8080"/>
          <w:tab w:val="left" w:pos="8364"/>
        </w:tabs>
        <w:spacing w:after="0" w:line="276" w:lineRule="auto"/>
        <w:ind w:left="851" w:right="993"/>
        <w:jc w:val="both"/>
        <w:rPr>
          <w:rFonts w:ascii="Verdana" w:eastAsia="Calibri" w:hAnsi="Verdana" w:cs="Arial"/>
          <w:sz w:val="20"/>
          <w:szCs w:val="20"/>
          <w:lang w:val="es-ES" w:eastAsia="es-ES"/>
        </w:rPr>
      </w:pPr>
      <w:r w:rsidRPr="008A17A5">
        <w:rPr>
          <w:rFonts w:ascii="Verdana" w:eastAsia="Calibri" w:hAnsi="Verdana" w:cs="Arial"/>
          <w:sz w:val="20"/>
          <w:szCs w:val="20"/>
          <w:lang w:val="es-ES" w:eastAsia="es-ES"/>
        </w:rPr>
        <w:t>“Las Empresas de Servicios Pdblicos que se transformaron en Empresas</w:t>
      </w:r>
      <w:r>
        <w:rPr>
          <w:rFonts w:ascii="Verdana" w:eastAsia="Calibri" w:hAnsi="Verdana" w:cs="Arial"/>
          <w:sz w:val="20"/>
          <w:szCs w:val="20"/>
          <w:lang w:val="es-ES" w:eastAsia="es-ES"/>
        </w:rPr>
        <w:t xml:space="preserve"> </w:t>
      </w:r>
      <w:r w:rsidRPr="008A17A5">
        <w:rPr>
          <w:rFonts w:ascii="Verdana" w:eastAsia="Calibri" w:hAnsi="Verdana" w:cs="Arial"/>
          <w:sz w:val="20"/>
          <w:szCs w:val="20"/>
          <w:lang w:val="es-ES" w:eastAsia="es-ES"/>
        </w:rPr>
        <w:t>lndustriales y Comerciales del Estado de conformidad con lo establecido en los</w:t>
      </w:r>
      <w:r>
        <w:rPr>
          <w:rFonts w:ascii="Verdana" w:eastAsia="Calibri" w:hAnsi="Verdana" w:cs="Arial"/>
          <w:sz w:val="20"/>
          <w:szCs w:val="20"/>
          <w:lang w:val="es-ES" w:eastAsia="es-ES"/>
        </w:rPr>
        <w:t xml:space="preserve"> </w:t>
      </w:r>
      <w:r w:rsidRPr="008A17A5">
        <w:rPr>
          <w:rFonts w:ascii="Verdana" w:eastAsia="Calibri" w:hAnsi="Verdana" w:cs="Arial"/>
          <w:sz w:val="20"/>
          <w:szCs w:val="20"/>
          <w:lang w:val="es-ES" w:eastAsia="es-ES"/>
        </w:rPr>
        <w:t>Articulos 17 y 180 de la Ley 142 de 1994, estan obligadas a aplicar los Documentos Tipo de que trata el Articulo 56° de la Ley 2195 de 2022, teniendo en cuenta que el páragrafo único de dicho artículo exceptua a las Empresas Industriales y Comerciales del Estado?</w:t>
      </w:r>
      <w:r>
        <w:rPr>
          <w:rFonts w:ascii="Verdana" w:eastAsia="Calibri" w:hAnsi="Verdana" w:cs="Arial"/>
          <w:sz w:val="20"/>
          <w:szCs w:val="20"/>
          <w:lang w:val="es-ES" w:eastAsia="es-ES"/>
        </w:rPr>
        <w:t>” [sic]</w:t>
      </w:r>
    </w:p>
    <w:p w14:paraId="567FD68C" w14:textId="77777777" w:rsidR="000D6CD6" w:rsidRPr="00E63C0B" w:rsidRDefault="000D6CD6" w:rsidP="00CB3758">
      <w:pPr>
        <w:spacing w:after="120" w:line="276" w:lineRule="auto"/>
        <w:ind w:firstLine="709"/>
        <w:jc w:val="both"/>
        <w:rPr>
          <w:rFonts w:ascii="Verdana" w:eastAsia="Calibri" w:hAnsi="Verdana" w:cs="Arial"/>
          <w:color w:val="000000"/>
          <w:lang w:val="es-ES" w:eastAsia="es-ES"/>
        </w:rPr>
      </w:pPr>
    </w:p>
    <w:p w14:paraId="01569506" w14:textId="77777777" w:rsidR="000D6CD6" w:rsidRPr="009C5A97" w:rsidRDefault="000D6CD6" w:rsidP="00CB3758">
      <w:pPr>
        <w:spacing w:after="120" w:line="276" w:lineRule="auto"/>
        <w:ind w:firstLine="709"/>
        <w:jc w:val="both"/>
        <w:rPr>
          <w:rFonts w:ascii="Verdana" w:eastAsia="Calibri" w:hAnsi="Verdana" w:cs="Arial"/>
          <w:color w:val="000000"/>
          <w:lang w:val="es-ES_tradnl" w:eastAsia="es-ES_tradnl"/>
        </w:rPr>
      </w:pPr>
      <w:r w:rsidRPr="009C5A9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5A97">
        <w:rPr>
          <w:rFonts w:ascii="Verdana" w:eastAsia="Calibri" w:hAnsi="Verdana" w:cs="Arial"/>
          <w:color w:val="000000"/>
          <w:lang w:val="es-ES_tradnl" w:eastAsia="es-ES_tradnl"/>
        </w:rPr>
        <w:tab/>
      </w:r>
    </w:p>
    <w:p w14:paraId="719FCAB0" w14:textId="77777777" w:rsidR="000D6CD6" w:rsidRPr="009C5A97" w:rsidRDefault="000D6CD6" w:rsidP="00CB3758">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1A2FB508" w14:textId="77777777" w:rsidR="000D6CD6" w:rsidRPr="009C5A97" w:rsidRDefault="000D6CD6" w:rsidP="00CB3758">
      <w:pPr>
        <w:spacing w:after="0" w:line="276" w:lineRule="auto"/>
        <w:ind w:firstLine="709"/>
        <w:jc w:val="both"/>
        <w:rPr>
          <w:rFonts w:ascii="Verdana" w:eastAsia="Calibri" w:hAnsi="Verdana" w:cs="Arial"/>
          <w:color w:val="000000"/>
          <w:lang w:val="es-ES" w:eastAsia="es-ES"/>
        </w:rPr>
      </w:pPr>
    </w:p>
    <w:p w14:paraId="3340B2EC" w14:textId="77777777" w:rsidR="000D6CD6" w:rsidRPr="00C56A6D" w:rsidRDefault="000D6CD6" w:rsidP="00CB3758">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541CD85B" w14:textId="77777777" w:rsidR="000D6CD6" w:rsidRPr="00E63C0B" w:rsidRDefault="000D6CD6" w:rsidP="00CB3758">
      <w:pPr>
        <w:tabs>
          <w:tab w:val="left" w:pos="426"/>
        </w:tabs>
        <w:spacing w:after="0" w:line="276" w:lineRule="auto"/>
        <w:jc w:val="both"/>
        <w:rPr>
          <w:rFonts w:ascii="Verdana" w:eastAsia="Century Gothic" w:hAnsi="Verdana" w:cs="Century Gothic"/>
          <w:lang w:val="es-ES"/>
        </w:rPr>
      </w:pPr>
    </w:p>
    <w:p w14:paraId="62E34FBD" w14:textId="3B7C267F" w:rsidR="000D6CD6" w:rsidRPr="00E63C0B" w:rsidRDefault="007A0F14" w:rsidP="00CB3758">
      <w:pPr>
        <w:spacing w:before="1" w:after="120" w:line="276" w:lineRule="auto"/>
        <w:ind w:right="306"/>
        <w:jc w:val="both"/>
        <w:rPr>
          <w:rFonts w:ascii="Verdana" w:eastAsia="Century Gothic" w:hAnsi="Verdana" w:cs="Century Gothic"/>
        </w:rPr>
      </w:pPr>
      <w:r w:rsidRPr="007A0F14">
        <w:rPr>
          <w:rFonts w:ascii="Verdana" w:eastAsia="Century Gothic" w:hAnsi="Verdana" w:cs="Century Gothic"/>
        </w:rPr>
        <w:t>De acuerdo con el contenido de su solicitud, esta Agencia resolverá los siguientes problemas jurídicos: ¿Las empresas Sociales del Estado están obligadas a utilizar los documentos tipo expedidos por la Agencia Nacional de Contratación Pública – Colombia Compra Eficiente?</w:t>
      </w:r>
    </w:p>
    <w:p w14:paraId="4576F2AE" w14:textId="77777777" w:rsidR="000D6CD6" w:rsidRPr="009C5A97" w:rsidRDefault="000D6CD6" w:rsidP="00CB375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t>Respuesta:</w:t>
      </w:r>
    </w:p>
    <w:p w14:paraId="7F48E210" w14:textId="77777777" w:rsidR="000D6CD6" w:rsidRPr="00E63C0B" w:rsidRDefault="000D6CD6" w:rsidP="00CB3758">
      <w:pPr>
        <w:tabs>
          <w:tab w:val="left" w:pos="142"/>
          <w:tab w:val="left" w:pos="284"/>
        </w:tabs>
        <w:spacing w:after="0" w:line="276" w:lineRule="auto"/>
        <w:jc w:val="both"/>
        <w:rPr>
          <w:rFonts w:ascii="Verdana" w:eastAsia="Century Gothic" w:hAnsi="Verdana" w:cs="Century Gothic"/>
          <w:b/>
          <w:lang w:val="es-ES"/>
        </w:rPr>
      </w:pPr>
    </w:p>
    <w:p w14:paraId="2A156C63" w14:textId="77777777" w:rsidR="000D6CD6" w:rsidRPr="00E63C0B" w:rsidRDefault="000D6CD6" w:rsidP="00CB3758">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6CD6" w:rsidRPr="009C5A97" w14:paraId="428B003D" w14:textId="77777777" w:rsidTr="00ED4CCE">
        <w:tc>
          <w:tcPr>
            <w:tcW w:w="8828" w:type="dxa"/>
          </w:tcPr>
          <w:p w14:paraId="12EBCD16" w14:textId="77777777" w:rsidR="000D6CD6" w:rsidRPr="00A75D14" w:rsidRDefault="000D6CD6" w:rsidP="00CB3758">
            <w:pPr>
              <w:snapToGrid w:val="0"/>
              <w:spacing w:line="276" w:lineRule="auto"/>
              <w:jc w:val="both"/>
              <w:rPr>
                <w:rFonts w:ascii="Verdana" w:eastAsia="Calibri" w:hAnsi="Verdana" w:cs="Arial"/>
                <w:lang w:val="es-ES" w:eastAsia="es-ES"/>
              </w:rPr>
            </w:pPr>
            <w:r w:rsidRPr="00A75D14">
              <w:rPr>
                <w:rFonts w:ascii="Verdana" w:eastAsia="Calibri" w:hAnsi="Verdana" w:cs="Arial"/>
                <w:lang w:val="es-ES" w:eastAsia="es-ES"/>
              </w:rPr>
              <w:t xml:space="preserve">Lo dispuesto en el parágrafo del artículo 56 de la Ley 2195 de 2022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eastAsia="Calibri" w:hAnsi="Verdana" w:cs="Arial"/>
                <w:i/>
                <w:lang w:val="es-ES" w:eastAsia="es-ES"/>
              </w:rPr>
              <w:t xml:space="preserve">giro ordinario </w:t>
            </w:r>
            <w:r w:rsidRPr="00A75D14">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En otras palabras, ninguna entidad cuya naturaleza jurídica coincida con las mencionadas en el parágrafo del artículo </w:t>
            </w:r>
            <w:r w:rsidRPr="00A75D14">
              <w:rPr>
                <w:rFonts w:ascii="Verdana" w:eastAsia="Calibri" w:hAnsi="Verdana" w:cs="Arial"/>
                <w:lang w:val="es-ES" w:eastAsia="es-ES"/>
              </w:rPr>
              <w:lastRenderedPageBreak/>
              <w:t>56, tendrá que someterse de manera obligatoria a los documentos tipo o el E</w:t>
            </w:r>
            <w:r>
              <w:rPr>
                <w:rFonts w:ascii="Verdana" w:eastAsia="Calibri" w:hAnsi="Verdana" w:cs="Arial"/>
                <w:lang w:val="es-ES" w:eastAsia="es-ES"/>
              </w:rPr>
              <w:t xml:space="preserve">statuto </w:t>
            </w:r>
            <w:r w:rsidRPr="00A75D14">
              <w:rPr>
                <w:rFonts w:ascii="Verdana" w:eastAsia="Calibri" w:hAnsi="Verdana" w:cs="Arial"/>
                <w:lang w:val="es-ES" w:eastAsia="es-ES"/>
              </w:rPr>
              <w:t>G</w:t>
            </w:r>
            <w:r>
              <w:rPr>
                <w:rFonts w:ascii="Verdana" w:eastAsia="Calibri" w:hAnsi="Verdana" w:cs="Arial"/>
                <w:lang w:val="es-ES" w:eastAsia="es-ES"/>
              </w:rPr>
              <w:t xml:space="preserve">eneral de </w:t>
            </w:r>
            <w:r w:rsidRPr="00A75D14">
              <w:rPr>
                <w:rFonts w:ascii="Verdana" w:eastAsia="Calibri" w:hAnsi="Verdana" w:cs="Arial"/>
                <w:lang w:val="es-ES" w:eastAsia="es-ES"/>
              </w:rPr>
              <w:t>C</w:t>
            </w:r>
            <w:r>
              <w:rPr>
                <w:rFonts w:ascii="Verdana" w:eastAsia="Calibri" w:hAnsi="Verdana" w:cs="Arial"/>
                <w:lang w:val="es-ES" w:eastAsia="es-ES"/>
              </w:rPr>
              <w:t xml:space="preserve">ontratación de la Administración </w:t>
            </w:r>
            <w:r w:rsidRPr="00A75D14">
              <w:rPr>
                <w:rFonts w:ascii="Verdana" w:eastAsia="Calibri" w:hAnsi="Verdana" w:cs="Arial"/>
                <w:lang w:val="es-ES" w:eastAsia="es-ES"/>
              </w:rPr>
              <w:t>P</w:t>
            </w:r>
            <w:r>
              <w:rPr>
                <w:rFonts w:ascii="Verdana" w:eastAsia="Calibri" w:hAnsi="Verdana" w:cs="Arial"/>
                <w:lang w:val="es-ES" w:eastAsia="es-ES"/>
              </w:rPr>
              <w:t>ública</w:t>
            </w:r>
            <w:r w:rsidRPr="00A75D14">
              <w:rPr>
                <w:rFonts w:ascii="Verdana" w:eastAsia="Calibri" w:hAnsi="Verdana" w:cs="Arial"/>
                <w:lang w:val="es-ES" w:eastAsia="es-ES"/>
              </w:rPr>
              <w:t xml:space="preserve"> para la contratación de obras o servicios asociadas a su </w:t>
            </w:r>
            <w:r w:rsidRPr="00A75D14">
              <w:rPr>
                <w:rFonts w:ascii="Verdana" w:eastAsia="Calibri" w:hAnsi="Verdana" w:cs="Arial"/>
                <w:i/>
                <w:lang w:val="es-ES" w:eastAsia="es-ES"/>
              </w:rPr>
              <w:t>giro ordinario</w:t>
            </w:r>
            <w:r w:rsidRPr="00A75D14">
              <w:rPr>
                <w:rFonts w:ascii="Verdana" w:eastAsia="Calibri" w:hAnsi="Verdana" w:cs="Arial"/>
                <w:lang w:val="es-ES" w:eastAsia="es-ES"/>
              </w:rPr>
              <w:t xml:space="preserve">, a menos que su manual de contratación establezca lo contrario. </w:t>
            </w:r>
          </w:p>
          <w:p w14:paraId="0A23A24A" w14:textId="77777777" w:rsidR="000D6CD6" w:rsidRDefault="000D6CD6" w:rsidP="00CB3758">
            <w:pPr>
              <w:autoSpaceDE w:val="0"/>
              <w:autoSpaceDN w:val="0"/>
              <w:adjustRightInd w:val="0"/>
              <w:spacing w:line="276" w:lineRule="auto"/>
              <w:contextualSpacing/>
              <w:jc w:val="both"/>
              <w:rPr>
                <w:rFonts w:ascii="Verdana" w:eastAsia="Calibri" w:hAnsi="Verdana" w:cs="Arial"/>
                <w:lang w:val="es-ES" w:eastAsia="es-MX"/>
              </w:rPr>
            </w:pPr>
          </w:p>
          <w:p w14:paraId="0D32191D" w14:textId="2B757B57" w:rsidR="007A0F14" w:rsidRDefault="007A0F14" w:rsidP="00CB3758">
            <w:pPr>
              <w:autoSpaceDE w:val="0"/>
              <w:autoSpaceDN w:val="0"/>
              <w:adjustRightInd w:val="0"/>
              <w:spacing w:line="276" w:lineRule="auto"/>
              <w:contextualSpacing/>
              <w:jc w:val="both"/>
              <w:rPr>
                <w:rFonts w:ascii="Verdana" w:eastAsia="Calibri" w:hAnsi="Verdana" w:cs="Arial"/>
                <w:lang w:eastAsia="es-MX"/>
              </w:rPr>
            </w:pPr>
            <w:r w:rsidRPr="007A0F14">
              <w:rPr>
                <w:rFonts w:ascii="Verdana" w:eastAsia="Calibri" w:hAnsi="Verdana" w:cs="Arial"/>
                <w:lang w:eastAsia="es-MX"/>
              </w:rPr>
              <w:t>Por otra parte, es importante señalar que la excepción del parágrafo en comento es de interpretación restrictiva y es clara en establecer cuáles son las entidades exceptuadas de la aplicación del artículo 56 de la Ley 2195 de 2022.</w:t>
            </w:r>
          </w:p>
          <w:p w14:paraId="222C6109" w14:textId="77777777" w:rsidR="00CB3758" w:rsidRDefault="00CB3758" w:rsidP="00CB3758">
            <w:pPr>
              <w:autoSpaceDE w:val="0"/>
              <w:autoSpaceDN w:val="0"/>
              <w:adjustRightInd w:val="0"/>
              <w:spacing w:line="276" w:lineRule="auto"/>
              <w:contextualSpacing/>
              <w:jc w:val="both"/>
              <w:rPr>
                <w:rFonts w:ascii="Verdana" w:eastAsia="Calibri" w:hAnsi="Verdana" w:cs="Arial"/>
                <w:lang w:val="es-ES" w:eastAsia="es-MX"/>
              </w:rPr>
            </w:pPr>
          </w:p>
          <w:p w14:paraId="3173CCF7" w14:textId="7B0F7FDB" w:rsidR="00CB3758" w:rsidRPr="00ED415F" w:rsidRDefault="00CB3758" w:rsidP="00CB3758">
            <w:pPr>
              <w:autoSpaceDE w:val="0"/>
              <w:autoSpaceDN w:val="0"/>
              <w:adjustRightInd w:val="0"/>
              <w:spacing w:line="276" w:lineRule="auto"/>
              <w:contextualSpacing/>
              <w:jc w:val="both"/>
              <w:rPr>
                <w:rFonts w:ascii="Verdana" w:eastAsia="Calibri" w:hAnsi="Verdana" w:cs="Arial"/>
                <w:lang w:val="es-ES" w:eastAsia="es-MX"/>
              </w:rPr>
            </w:pPr>
            <w:r w:rsidRPr="00CB3758">
              <w:rPr>
                <w:rFonts w:ascii="Verdana" w:eastAsia="Calibri" w:hAnsi="Verdana" w:cs="Arial"/>
                <w:b/>
                <w:bCs/>
                <w:lang w:eastAsia="es-MX"/>
              </w:rPr>
              <w:t>La Agencia Nacional de Contratación Pública - Colombia Compra Eficiente</w:t>
            </w:r>
            <w:r w:rsidRPr="00CB3758">
              <w:rPr>
                <w:rFonts w:ascii="Verdana" w:eastAsia="Calibri" w:hAnsi="Verdana" w:cs="Arial"/>
                <w:lang w:eastAsia="es-MX"/>
              </w:rPr>
              <w:t xml:space="preserve"> recomienda a todas las entidades públicas, independientemente de su naturaleza, que gestionan recursos públicos, la aplicación de los </w:t>
            </w:r>
            <w:r w:rsidRPr="00CB3758">
              <w:rPr>
                <w:rFonts w:ascii="Verdana" w:eastAsia="Calibri" w:hAnsi="Verdana" w:cs="Arial"/>
                <w:b/>
                <w:bCs/>
                <w:lang w:eastAsia="es-MX"/>
              </w:rPr>
              <w:t>Documentos Tipo</w:t>
            </w:r>
            <w:r w:rsidRPr="00CB3758">
              <w:rPr>
                <w:rFonts w:ascii="Verdana" w:eastAsia="Calibri" w:hAnsi="Verdana" w:cs="Arial"/>
                <w:lang w:eastAsia="es-MX"/>
              </w:rPr>
              <w:t xml:space="preserve">. Esta recomendación es válida tanto para su uso obligatorio, cuando así lo establezca la normatividad vigente, como para su implementación como una buena práctica. El objetivo es garantizar la </w:t>
            </w:r>
            <w:r w:rsidRPr="00CB3758">
              <w:rPr>
                <w:rFonts w:ascii="Verdana" w:eastAsia="Calibri" w:hAnsi="Verdana" w:cs="Arial"/>
                <w:b/>
                <w:bCs/>
                <w:lang w:eastAsia="es-MX"/>
              </w:rPr>
              <w:t>transparencia</w:t>
            </w:r>
            <w:r w:rsidRPr="00CB3758">
              <w:rPr>
                <w:rFonts w:ascii="Verdana" w:eastAsia="Calibri" w:hAnsi="Verdana" w:cs="Arial"/>
                <w:lang w:eastAsia="es-MX"/>
              </w:rPr>
              <w:t xml:space="preserve"> y promover un proceso de </w:t>
            </w:r>
            <w:r w:rsidRPr="00CB3758">
              <w:rPr>
                <w:rFonts w:ascii="Verdana" w:eastAsia="Calibri" w:hAnsi="Verdana" w:cs="Arial"/>
                <w:b/>
                <w:bCs/>
                <w:lang w:eastAsia="es-MX"/>
              </w:rPr>
              <w:t>selección objetiva</w:t>
            </w:r>
            <w:r w:rsidRPr="00CB3758">
              <w:rPr>
                <w:rFonts w:ascii="Verdana" w:eastAsia="Calibri" w:hAnsi="Verdana" w:cs="Arial"/>
                <w:lang w:eastAsia="es-MX"/>
              </w:rPr>
              <w:t xml:space="preserve"> en la contratación pública, contribuyendo así a mejorar la eficiencia, la competencia y la confianza en el manejo de los recursos del Estado.</w:t>
            </w:r>
          </w:p>
        </w:tc>
      </w:tr>
    </w:tbl>
    <w:p w14:paraId="6994FC33" w14:textId="77777777" w:rsidR="000D6CD6" w:rsidRPr="00E63C0B" w:rsidRDefault="000D6CD6" w:rsidP="00CB3758">
      <w:pPr>
        <w:tabs>
          <w:tab w:val="left" w:pos="142"/>
          <w:tab w:val="left" w:pos="284"/>
        </w:tabs>
        <w:spacing w:after="0" w:line="276" w:lineRule="auto"/>
        <w:jc w:val="both"/>
        <w:rPr>
          <w:rFonts w:ascii="Verdana" w:eastAsia="Century Gothic" w:hAnsi="Verdana" w:cs="Century Gothic"/>
          <w:b/>
          <w:lang w:val="es-ES"/>
        </w:rPr>
      </w:pPr>
    </w:p>
    <w:p w14:paraId="139C1AC7" w14:textId="77777777" w:rsidR="000D6CD6" w:rsidRPr="00C56A6D" w:rsidRDefault="000D6CD6" w:rsidP="00CB3758">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66BC0D7F" w14:textId="77777777" w:rsidR="000D6CD6" w:rsidRPr="00C56A6D" w:rsidRDefault="000D6CD6" w:rsidP="00CB3758">
      <w:pPr>
        <w:spacing w:after="0" w:line="276" w:lineRule="auto"/>
        <w:jc w:val="both"/>
        <w:rPr>
          <w:rFonts w:ascii="Verdana" w:eastAsia="Calibri" w:hAnsi="Verdana" w:cs="Arial"/>
          <w:color w:val="7030A0"/>
          <w:lang w:val="es-ES"/>
        </w:rPr>
      </w:pPr>
    </w:p>
    <w:p w14:paraId="575EACBC" w14:textId="77777777" w:rsidR="000D6CD6" w:rsidRDefault="000D6CD6" w:rsidP="00CB3758">
      <w:pPr>
        <w:spacing w:after="0" w:line="276" w:lineRule="auto"/>
        <w:jc w:val="both"/>
        <w:rPr>
          <w:rFonts w:ascii="Verdana" w:eastAsia="Calibri" w:hAnsi="Verdana" w:cs="Arial"/>
          <w:lang w:val="es-ES"/>
        </w:rPr>
      </w:pPr>
      <w:r w:rsidRPr="009C5A97">
        <w:rPr>
          <w:rFonts w:ascii="Verdana" w:eastAsia="Calibri" w:hAnsi="Verdana" w:cs="Arial"/>
          <w:lang w:val="es-ES"/>
        </w:rPr>
        <w:t xml:space="preserve">Lo anterior se sustenta en las siguientes consideraciones: </w:t>
      </w:r>
    </w:p>
    <w:p w14:paraId="65FBCFC5" w14:textId="77777777" w:rsidR="00881D83" w:rsidRDefault="00881D83" w:rsidP="00CB3758">
      <w:pPr>
        <w:spacing w:after="0" w:line="276" w:lineRule="auto"/>
        <w:jc w:val="both"/>
        <w:rPr>
          <w:rFonts w:ascii="Verdana" w:eastAsia="Calibri" w:hAnsi="Verdana" w:cs="Arial"/>
          <w:lang w:val="es-ES"/>
        </w:rPr>
      </w:pPr>
    </w:p>
    <w:p w14:paraId="4AC4749D" w14:textId="77777777" w:rsidR="00881D83" w:rsidRDefault="00881D83" w:rsidP="00881D83">
      <w:pPr>
        <w:pStyle w:val="Prrafodelista"/>
        <w:numPr>
          <w:ilvl w:val="0"/>
          <w:numId w:val="19"/>
        </w:numPr>
        <w:spacing w:after="0" w:line="276" w:lineRule="auto"/>
        <w:jc w:val="both"/>
        <w:rPr>
          <w:rFonts w:ascii="Verdana" w:eastAsia="Calibri" w:hAnsi="Verdana" w:cs="Arial"/>
        </w:rPr>
      </w:pPr>
      <w:r w:rsidRPr="00881D83">
        <w:rPr>
          <w:rFonts w:ascii="Verdana" w:eastAsia="Calibri" w:hAnsi="Verdana" w:cs="Arial"/>
        </w:rPr>
        <w:t>El texto del artículo 56 de la Ley 2195 de 2022 aprobado por el Congreso de la República en ambas cámaras</w:t>
      </w:r>
      <w:r>
        <w:rPr>
          <w:rStyle w:val="Refdenotaalpie"/>
          <w:rFonts w:ascii="Verdana" w:eastAsia="Times New Roman" w:hAnsi="Verdana" w:cs="Arial"/>
          <w:color w:val="000000"/>
        </w:rPr>
        <w:footnoteReference w:id="2"/>
      </w:r>
      <w:r w:rsidRPr="00881D83">
        <w:rPr>
          <w:rFonts w:ascii="Verdana" w:eastAsia="Calibri" w:hAnsi="Verdana" w:cs="Arial"/>
        </w:rPr>
        <w:t xml:space="preserve">, prescribe una redacción en los siguientes términos: </w:t>
      </w:r>
    </w:p>
    <w:p w14:paraId="3707B374" w14:textId="77777777" w:rsidR="00881D83" w:rsidRDefault="00881D83" w:rsidP="00881D83">
      <w:pPr>
        <w:pStyle w:val="Prrafodelista"/>
        <w:spacing w:after="0" w:line="276" w:lineRule="auto"/>
        <w:jc w:val="both"/>
        <w:rPr>
          <w:rFonts w:ascii="Verdana" w:eastAsia="Calibri" w:hAnsi="Verdana" w:cs="Arial"/>
        </w:rPr>
      </w:pPr>
    </w:p>
    <w:p w14:paraId="39FD412A" w14:textId="77777777" w:rsidR="00881D83" w:rsidRDefault="00881D83" w:rsidP="00881D83">
      <w:pPr>
        <w:pStyle w:val="Prrafodelista"/>
        <w:spacing w:after="0" w:line="276" w:lineRule="auto"/>
        <w:jc w:val="both"/>
        <w:rPr>
          <w:rFonts w:ascii="Verdana" w:eastAsia="Calibri" w:hAnsi="Verdana" w:cs="Arial"/>
          <w:sz w:val="20"/>
          <w:szCs w:val="20"/>
          <w:lang w:val="es-CO"/>
        </w:rPr>
      </w:pPr>
      <w:r w:rsidRPr="00881D83">
        <w:rPr>
          <w:rFonts w:ascii="Verdana" w:eastAsia="Calibri" w:hAnsi="Verdana" w:cs="Arial"/>
          <w:sz w:val="20"/>
          <w:szCs w:val="20"/>
        </w:rPr>
        <w:t>“Artículo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w:t>
      </w:r>
      <w:r>
        <w:rPr>
          <w:rFonts w:ascii="Verdana" w:eastAsia="Calibri" w:hAnsi="Verdana" w:cs="Arial"/>
          <w:sz w:val="20"/>
          <w:szCs w:val="20"/>
        </w:rPr>
        <w:t xml:space="preserve"> </w:t>
      </w:r>
      <w:r w:rsidRPr="00881D83">
        <w:rPr>
          <w:rFonts w:ascii="Verdana" w:eastAsia="Calibri" w:hAnsi="Verdana" w:cs="Arial"/>
          <w:sz w:val="20"/>
          <w:szCs w:val="20"/>
          <w:lang w:val="es-CO"/>
        </w:rPr>
        <w:t xml:space="preserve">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w:t>
      </w:r>
      <w:r w:rsidRPr="00881D83">
        <w:rPr>
          <w:rFonts w:ascii="Verdana" w:eastAsia="Calibri" w:hAnsi="Verdana" w:cs="Arial"/>
          <w:sz w:val="20"/>
          <w:szCs w:val="20"/>
          <w:lang w:val="es-CO"/>
        </w:rPr>
        <w:lastRenderedPageBreak/>
        <w:t xml:space="preserve">conforme al parágrafo 7 del artículo 2 de la Ley 1150 de 2007 o las normas que lo modifiquen o sustituyan. </w:t>
      </w:r>
    </w:p>
    <w:p w14:paraId="4843EBA9" w14:textId="77777777" w:rsidR="00881D83" w:rsidRDefault="00881D83" w:rsidP="00881D83">
      <w:pPr>
        <w:pStyle w:val="Prrafodelista"/>
        <w:spacing w:after="0" w:line="276" w:lineRule="auto"/>
        <w:jc w:val="both"/>
        <w:rPr>
          <w:rFonts w:ascii="Verdana" w:eastAsia="Calibri" w:hAnsi="Verdana" w:cs="Arial"/>
          <w:sz w:val="20"/>
          <w:szCs w:val="20"/>
          <w:lang w:val="es-CO"/>
        </w:rPr>
      </w:pPr>
    </w:p>
    <w:p w14:paraId="57F65CAB" w14:textId="77777777" w:rsidR="00881D83" w:rsidRDefault="00881D83" w:rsidP="00881D83">
      <w:pPr>
        <w:pStyle w:val="Prrafodelista"/>
        <w:spacing w:after="0" w:line="276" w:lineRule="auto"/>
        <w:jc w:val="both"/>
        <w:rPr>
          <w:rFonts w:ascii="Verdana" w:eastAsia="Calibri" w:hAnsi="Verdana" w:cs="Arial"/>
          <w:sz w:val="20"/>
          <w:szCs w:val="20"/>
          <w:lang w:val="es-CO"/>
        </w:rPr>
      </w:pPr>
      <w:r w:rsidRPr="00881D83">
        <w:rPr>
          <w:rFonts w:ascii="Verdana" w:eastAsia="Calibri" w:hAnsi="Verdana" w:cs="Arial"/>
          <w:sz w:val="20"/>
          <w:szCs w:val="20"/>
          <w:lang w:val="es-CO"/>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6140DAD" w14:textId="77777777" w:rsidR="00881D83" w:rsidRDefault="00881D83" w:rsidP="00881D83">
      <w:pPr>
        <w:pStyle w:val="Prrafodelista"/>
        <w:spacing w:after="0" w:line="276" w:lineRule="auto"/>
        <w:jc w:val="both"/>
        <w:rPr>
          <w:rFonts w:ascii="Verdana" w:eastAsia="Calibri" w:hAnsi="Verdana" w:cs="Arial"/>
          <w:sz w:val="20"/>
          <w:szCs w:val="20"/>
          <w:lang w:val="es-CO"/>
        </w:rPr>
      </w:pPr>
    </w:p>
    <w:p w14:paraId="55DCC019" w14:textId="214DF09A" w:rsidR="00881D83" w:rsidRPr="00881D83" w:rsidRDefault="00881D83" w:rsidP="00881D83">
      <w:pPr>
        <w:pStyle w:val="Prrafodelista"/>
        <w:spacing w:after="0" w:line="276" w:lineRule="auto"/>
        <w:jc w:val="both"/>
        <w:rPr>
          <w:rFonts w:ascii="Verdana" w:eastAsia="Calibri" w:hAnsi="Verdana" w:cs="Arial"/>
          <w:sz w:val="20"/>
          <w:szCs w:val="20"/>
        </w:rPr>
      </w:pPr>
      <w:r w:rsidRPr="00881D83">
        <w:rPr>
          <w:rFonts w:ascii="Verdana" w:eastAsia="Calibri" w:hAnsi="Verdana" w:cs="Arial"/>
          <w:sz w:val="20"/>
          <w:szCs w:val="20"/>
          <w:lang w:val="es-CO"/>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66157BD7" w14:textId="77777777" w:rsidR="000D6CD6" w:rsidRPr="009C5A97" w:rsidRDefault="000D6CD6" w:rsidP="00CB3758">
      <w:pPr>
        <w:spacing w:after="0" w:line="276" w:lineRule="auto"/>
        <w:jc w:val="both"/>
        <w:rPr>
          <w:rFonts w:ascii="Verdana" w:eastAsia="Calibri" w:hAnsi="Verdana" w:cs="Arial"/>
          <w:lang w:val="es-ES"/>
        </w:rPr>
      </w:pPr>
    </w:p>
    <w:p w14:paraId="555D49FA" w14:textId="3AE0B323" w:rsidR="00881D83" w:rsidRPr="00881D83" w:rsidRDefault="00881D83" w:rsidP="00CB3758">
      <w:pPr>
        <w:pStyle w:val="Prrafodelista"/>
        <w:numPr>
          <w:ilvl w:val="0"/>
          <w:numId w:val="19"/>
        </w:numPr>
        <w:spacing w:after="0" w:line="276" w:lineRule="auto"/>
        <w:jc w:val="both"/>
        <w:rPr>
          <w:rFonts w:ascii="Verdana" w:eastAsia="Times New Roman" w:hAnsi="Verdana" w:cs="Arial"/>
          <w:color w:val="000000"/>
        </w:rPr>
      </w:pPr>
      <w:r w:rsidRPr="00881D83">
        <w:rPr>
          <w:rFonts w:ascii="Verdana" w:eastAsia="Times New Roman" w:hAnsi="Verdana" w:cs="Arial"/>
          <w:color w:val="000000"/>
          <w:lang w:val="es-CO"/>
        </w:rPr>
        <w:t>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giro ordinario.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giro ordinario. Esto significa que, en la contratación asociada a su giro ordinario, estos tipos de entidades no tendrían que aplicar, de manera obligatoria, los documentos tipo, ni tampoco el EGCAP. En este caso la norma se limita a fomentar la implementación de documentos tipo a modo de buena práctica contractual, en los casos en los que se estime conveniente.</w:t>
      </w:r>
    </w:p>
    <w:p w14:paraId="7357DA93" w14:textId="77777777" w:rsidR="000D6CD6" w:rsidRDefault="000D6CD6" w:rsidP="00CB3758">
      <w:pPr>
        <w:snapToGrid w:val="0"/>
        <w:spacing w:after="0" w:line="276" w:lineRule="auto"/>
        <w:jc w:val="both"/>
        <w:rPr>
          <w:rFonts w:ascii="Verdana" w:eastAsia="Calibri" w:hAnsi="Verdana" w:cs="Arial"/>
          <w:kern w:val="2"/>
          <w:lang w:val="es-ES" w:eastAsia="es-ES"/>
          <w14:ligatures w14:val="standardContextual"/>
        </w:rPr>
      </w:pPr>
    </w:p>
    <w:p w14:paraId="0C692A06" w14:textId="77777777" w:rsidR="000D6CD6" w:rsidRPr="00CB3758" w:rsidRDefault="000D6CD6" w:rsidP="00CB3758">
      <w:pPr>
        <w:pStyle w:val="Prrafodelista"/>
        <w:numPr>
          <w:ilvl w:val="0"/>
          <w:numId w:val="19"/>
        </w:numPr>
        <w:snapToGrid w:val="0"/>
        <w:spacing w:after="0" w:line="276" w:lineRule="auto"/>
        <w:jc w:val="both"/>
        <w:rPr>
          <w:rFonts w:ascii="Verdana" w:eastAsia="Arial" w:hAnsi="Verdana" w:cs="Arial"/>
          <w:kern w:val="2"/>
          <w:lang w:val="es-ES_tradnl" w:eastAsia="es-ES_tradnl"/>
          <w14:ligatures w14:val="standardContextual"/>
        </w:rPr>
      </w:pPr>
      <w:r w:rsidRPr="00CB3758">
        <w:rPr>
          <w:rFonts w:ascii="Verdana" w:eastAsia="Calibri" w:hAnsi="Verdana" w:cs="Arial"/>
          <w:bCs/>
          <w:kern w:val="2"/>
          <w:lang w:val="es-ES_tradnl" w:eastAsia="es-ES_tradnl"/>
          <w14:ligatures w14:val="standardContextual"/>
        </w:rPr>
        <w:t xml:space="preserve">Ahora, es importante tener en cuenta que cuando la norma se refiere a la contratación del </w:t>
      </w:r>
      <w:r w:rsidRPr="00CB3758">
        <w:rPr>
          <w:rFonts w:ascii="Verdana" w:eastAsia="Calibri" w:hAnsi="Verdana" w:cs="Arial"/>
          <w:bCs/>
          <w:i/>
          <w:iCs/>
          <w:kern w:val="2"/>
          <w:lang w:val="es-ES_tradnl" w:eastAsia="es-ES_tradnl"/>
          <w14:ligatures w14:val="standardContextual"/>
        </w:rPr>
        <w:t>giro ordinario</w:t>
      </w:r>
      <w:r w:rsidRPr="00CB3758">
        <w:rPr>
          <w:rFonts w:ascii="Verdana" w:eastAsia="Calibri" w:hAnsi="Verdana" w:cs="Arial"/>
          <w:bCs/>
          <w:kern w:val="2"/>
          <w:lang w:val="es-ES_tradnl" w:eastAsia="es-ES_tradnl"/>
          <w14:ligatures w14:val="standardContextual"/>
        </w:rPr>
        <w:t>, emplea un concepto jurídico indeterminado</w:t>
      </w:r>
      <w:r>
        <w:rPr>
          <w:rStyle w:val="Refdenotaalpie"/>
          <w:rFonts w:ascii="Verdana" w:eastAsia="Calibri" w:hAnsi="Verdana" w:cs="Arial"/>
          <w:bCs/>
          <w:kern w:val="2"/>
          <w:lang w:val="es-ES_tradnl" w:eastAsia="es-ES_tradnl"/>
          <w14:ligatures w14:val="standardContextual"/>
        </w:rPr>
        <w:footnoteReference w:id="3"/>
      </w:r>
      <w:r w:rsidRPr="00CB3758">
        <w:rPr>
          <w:rFonts w:ascii="Verdana" w:eastAsia="Calibri" w:hAnsi="Verdana" w:cs="Arial"/>
          <w:bCs/>
          <w:kern w:val="2"/>
          <w:lang w:val="es-ES_tradnl" w:eastAsia="es-ES_tradnl"/>
          <w14:ligatures w14:val="standardContextual"/>
        </w:rPr>
        <w:t>.</w:t>
      </w:r>
      <w:r w:rsidRPr="00CB3758">
        <w:rPr>
          <w:rFonts w:ascii="Verdana" w:eastAsia="Arial" w:hAnsi="Verdana" w:cs="Arial"/>
          <w:kern w:val="2"/>
          <w:lang w:val="es-ES_tradnl" w:eastAsia="es-ES_tradnl"/>
          <w14:ligatures w14:val="standardContextual"/>
        </w:rPr>
        <w:t xml:space="preserve"> Un concepto adquiere esta denominación en el Derecho cuando se trata de un enunciado que goza de vaguedad y que debe materializarse en cada caso, atendiendo a las técnicas de la interpretación jurídica. De igual forma, se trata de un concepto para cuya concreción las </w:t>
      </w:r>
      <w:r w:rsidRPr="00CB3758">
        <w:rPr>
          <w:rFonts w:ascii="Verdana" w:eastAsia="Arial" w:hAnsi="Verdana" w:cs="Arial"/>
          <w:kern w:val="2"/>
          <w:lang w:val="es-ES_tradnl" w:eastAsia="es-ES_tradnl"/>
          <w14:ligatures w14:val="standardContextual"/>
        </w:rPr>
        <w:lastRenderedPageBreak/>
        <w:t>entidades estatales gozan de cierto margen de apreciación en su aplicación, pero deben respetar los límites previstos en las normas de orden público. Por ejemplo, no podrán considerar que cualquier contrato que celebren hace parte del giro ordinario de sus negocios.</w:t>
      </w:r>
    </w:p>
    <w:p w14:paraId="397DDBF5" w14:textId="77777777" w:rsidR="000D6CD6" w:rsidRDefault="000D6CD6" w:rsidP="00CB3758">
      <w:pPr>
        <w:snapToGrid w:val="0"/>
        <w:spacing w:after="0" w:line="276" w:lineRule="auto"/>
        <w:jc w:val="both"/>
        <w:rPr>
          <w:rFonts w:ascii="Verdana" w:eastAsia="Arial" w:hAnsi="Verdana" w:cs="Arial"/>
          <w:kern w:val="2"/>
          <w:lang w:val="es-ES_tradnl" w:eastAsia="es-ES_tradnl"/>
          <w14:ligatures w14:val="standardContextual"/>
        </w:rPr>
      </w:pPr>
    </w:p>
    <w:p w14:paraId="2C6C0D30" w14:textId="77777777" w:rsidR="000D6CD6" w:rsidRPr="00CB3758" w:rsidRDefault="000D6CD6"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bCs/>
          <w:kern w:val="2"/>
          <w:lang w:val="es-ES_tradnl" w:eastAsia="es-ES_tradnl"/>
          <w14:ligatures w14:val="standardContextua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B3758">
        <w:rPr>
          <w:rFonts w:ascii="Verdana" w:eastAsia="Calibri" w:hAnsi="Verdana" w:cs="Arial"/>
          <w:bCs/>
          <w:i/>
          <w:iCs/>
          <w:kern w:val="2"/>
          <w:lang w:val="es-ES_tradnl" w:eastAsia="es-ES_tradnl"/>
          <w14:ligatures w14:val="standardContextual"/>
        </w:rPr>
        <w:t xml:space="preserve">giro ordinario </w:t>
      </w:r>
      <w:r w:rsidRPr="00CB3758">
        <w:rPr>
          <w:rFonts w:ascii="Verdana" w:eastAsia="Calibri" w:hAnsi="Verdana" w:cs="Arial"/>
          <w:bCs/>
          <w:kern w:val="2"/>
          <w:lang w:val="es-ES_tradnl" w:eastAsia="es-ES_tradnl"/>
          <w14:ligatures w14:val="standardContextual"/>
        </w:rPr>
        <w:t>incluida en la redacción original del parágrafo 1 del artículo 32 de la Ley 80 de 1993</w:t>
      </w:r>
      <w:r>
        <w:rPr>
          <w:rStyle w:val="Refdenotaalpie"/>
          <w:rFonts w:ascii="Verdana" w:eastAsia="Calibri" w:hAnsi="Verdana" w:cs="Arial"/>
          <w:bCs/>
          <w:kern w:val="2"/>
          <w:lang w:val="es-ES_tradnl" w:eastAsia="es-ES_tradnl"/>
          <w14:ligatures w14:val="standardContextual"/>
        </w:rPr>
        <w:footnoteReference w:id="4"/>
      </w:r>
      <w:r w:rsidRPr="00CB3758">
        <w:rPr>
          <w:rFonts w:ascii="Verdana" w:eastAsia="Calibri" w:hAnsi="Verdana" w:cs="Arial"/>
          <w:bCs/>
          <w:kern w:val="2"/>
          <w:lang w:val="es-ES_tradnl" w:eastAsia="es-ES_tradnl"/>
          <w14:ligatures w14:val="standardContextual"/>
        </w:rPr>
        <w:t>, la Sección Tercera manifestó lo siguiente:</w:t>
      </w:r>
    </w:p>
    <w:p w14:paraId="4842B358" w14:textId="77777777" w:rsidR="000D6CD6" w:rsidRPr="00D41F66" w:rsidRDefault="000D6CD6" w:rsidP="00CB3758">
      <w:pPr>
        <w:spacing w:line="276" w:lineRule="auto"/>
        <w:ind w:right="709"/>
        <w:jc w:val="both"/>
        <w:rPr>
          <w:rFonts w:ascii="Verdana" w:hAnsi="Verdana"/>
          <w:lang w:val="es-ES"/>
        </w:rPr>
      </w:pPr>
    </w:p>
    <w:p w14:paraId="41E706B1" w14:textId="77777777" w:rsidR="000D6CD6" w:rsidRPr="00CB3758" w:rsidRDefault="000D6CD6" w:rsidP="00CB3758">
      <w:pPr>
        <w:pStyle w:val="Prrafodelista"/>
        <w:spacing w:line="276" w:lineRule="auto"/>
        <w:ind w:right="709"/>
        <w:jc w:val="both"/>
        <w:rPr>
          <w:rFonts w:ascii="Verdana" w:hAnsi="Verdana"/>
          <w:sz w:val="20"/>
          <w:szCs w:val="20"/>
        </w:rPr>
      </w:pPr>
      <w:r w:rsidRPr="00CB3758">
        <w:rPr>
          <w:rFonts w:ascii="Verdana" w:eastAsia="Times New Roman" w:hAnsi="Verdana" w:cs="Arial"/>
          <w:kern w:val="2"/>
          <w:sz w:val="21"/>
          <w:szCs w:val="21"/>
          <w:lang w:eastAsia="es-ES"/>
          <w14:ligatures w14:val="standardContextua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Style w:val="Refdenotaalpie"/>
          <w:rFonts w:ascii="Verdana" w:eastAsia="Times New Roman" w:hAnsi="Verdana" w:cs="Arial"/>
          <w:kern w:val="2"/>
          <w:sz w:val="21"/>
          <w:szCs w:val="21"/>
          <w:lang w:eastAsia="es-ES"/>
          <w14:ligatures w14:val="standardContextual"/>
        </w:rPr>
        <w:footnoteReference w:id="5"/>
      </w:r>
    </w:p>
    <w:p w14:paraId="56F89854" w14:textId="77777777" w:rsidR="000D6CD6" w:rsidRDefault="000D6CD6" w:rsidP="00CB3758">
      <w:pPr>
        <w:spacing w:line="276" w:lineRule="auto"/>
        <w:ind w:left="709" w:right="709"/>
        <w:jc w:val="both"/>
        <w:rPr>
          <w:rFonts w:ascii="Verdana" w:hAnsi="Verdana"/>
          <w:sz w:val="20"/>
          <w:szCs w:val="20"/>
        </w:rPr>
      </w:pPr>
    </w:p>
    <w:p w14:paraId="19F8BB2A" w14:textId="77777777" w:rsidR="000D6CD6" w:rsidRPr="00CB3758" w:rsidRDefault="000D6CD6" w:rsidP="00CB3758">
      <w:pPr>
        <w:pStyle w:val="Prrafodelista"/>
        <w:numPr>
          <w:ilvl w:val="0"/>
          <w:numId w:val="19"/>
        </w:num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CB3758">
        <w:rPr>
          <w:rFonts w:ascii="Verdana" w:eastAsia="Calibri" w:hAnsi="Verdana" w:cs="Arial"/>
          <w:bCs/>
          <w:kern w:val="2"/>
          <w:lang w:val="es-ES_tradnl" w:eastAsia="es-ES_tradnl"/>
          <w14:ligatures w14:val="standardContextual"/>
        </w:rPr>
        <w:t xml:space="preserve">En el mismo sentido se pronunció el Alto Tribunal de lo Contencioso Administrativo, reiterando las anteriores consideraciones, al expresar que: </w:t>
      </w:r>
    </w:p>
    <w:p w14:paraId="7630FC44" w14:textId="77777777" w:rsidR="000D6CD6" w:rsidRPr="00A75D14" w:rsidRDefault="000D6CD6" w:rsidP="00CB3758">
      <w:pPr>
        <w:tabs>
          <w:tab w:val="left" w:pos="0"/>
        </w:tabs>
        <w:snapToGrid w:val="0"/>
        <w:spacing w:after="0" w:line="276" w:lineRule="auto"/>
        <w:ind w:left="720" w:right="709"/>
        <w:jc w:val="both"/>
        <w:rPr>
          <w:rFonts w:ascii="Verdana" w:eastAsia="Calibri" w:hAnsi="Verdana" w:cs="Arial"/>
          <w:bCs/>
          <w:kern w:val="2"/>
          <w:lang w:val="es-ES_tradnl" w:eastAsia="es-ES_tradnl"/>
          <w14:ligatures w14:val="standardContextual"/>
        </w:rPr>
      </w:pPr>
    </w:p>
    <w:p w14:paraId="504ABDE1" w14:textId="77777777" w:rsidR="000D6CD6" w:rsidRPr="00CB3758" w:rsidRDefault="000D6CD6" w:rsidP="00CB3758">
      <w:pPr>
        <w:pStyle w:val="Prrafodelista"/>
        <w:snapToGrid w:val="0"/>
        <w:spacing w:after="0" w:line="276" w:lineRule="auto"/>
        <w:ind w:left="1440" w:right="709"/>
        <w:jc w:val="both"/>
        <w:rPr>
          <w:rFonts w:ascii="Verdana" w:eastAsia="Calibri" w:hAnsi="Verdana" w:cs="Arial"/>
          <w:kern w:val="2"/>
          <w:sz w:val="21"/>
          <w:szCs w:val="21"/>
          <w:lang w:eastAsia="es-ES"/>
          <w14:ligatures w14:val="standardContextual"/>
        </w:rPr>
      </w:pPr>
      <w:r w:rsidRPr="00CB3758">
        <w:rPr>
          <w:rFonts w:ascii="Verdana" w:eastAsia="Calibri" w:hAnsi="Verdana" w:cs="Arial"/>
          <w:kern w:val="2"/>
          <w:sz w:val="21"/>
          <w:szCs w:val="21"/>
          <w:lang w:eastAsia="es-ES"/>
          <w14:ligatures w14:val="standardContextual"/>
        </w:rPr>
        <w:lastRenderedPageBreak/>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5E634045" w14:textId="77777777" w:rsidR="000D6CD6" w:rsidRPr="00A75D14" w:rsidRDefault="000D6CD6" w:rsidP="00CB3758">
      <w:pPr>
        <w:tabs>
          <w:tab w:val="left" w:pos="0"/>
        </w:tabs>
        <w:snapToGrid w:val="0"/>
        <w:spacing w:after="0" w:line="276" w:lineRule="auto"/>
        <w:ind w:left="720" w:right="709"/>
        <w:jc w:val="both"/>
        <w:rPr>
          <w:rFonts w:ascii="Verdana" w:eastAsia="Calibri" w:hAnsi="Verdana" w:cs="Arial"/>
          <w:bCs/>
          <w:kern w:val="2"/>
          <w:sz w:val="21"/>
          <w:szCs w:val="21"/>
          <w:lang w:val="es-ES_tradnl" w:eastAsia="es-ES_tradnl"/>
          <w14:ligatures w14:val="standardContextual"/>
        </w:rPr>
      </w:pPr>
    </w:p>
    <w:p w14:paraId="20A5879C" w14:textId="77777777" w:rsidR="000D6CD6" w:rsidRPr="00CB3758" w:rsidRDefault="000D6CD6" w:rsidP="00CB3758">
      <w:pPr>
        <w:pStyle w:val="Prrafodelista"/>
        <w:snapToGrid w:val="0"/>
        <w:spacing w:after="0" w:line="276" w:lineRule="auto"/>
        <w:ind w:left="1440" w:right="709"/>
        <w:jc w:val="both"/>
        <w:rPr>
          <w:rFonts w:ascii="Verdana" w:eastAsia="Calibri" w:hAnsi="Verdana" w:cs="Arial"/>
          <w:kern w:val="2"/>
          <w:sz w:val="21"/>
          <w:szCs w:val="21"/>
          <w:lang w:eastAsia="es-ES"/>
          <w14:ligatures w14:val="standardContextual"/>
        </w:rPr>
      </w:pPr>
      <w:r w:rsidRPr="00CB3758">
        <w:rPr>
          <w:rFonts w:ascii="Verdana" w:eastAsia="Calibri" w:hAnsi="Verdana" w:cs="Arial"/>
          <w:kern w:val="2"/>
          <w:sz w:val="21"/>
          <w:szCs w:val="21"/>
          <w:lang w:eastAsia="es-ES"/>
          <w14:ligatures w14:val="standardContextua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09503EC5" w14:textId="77777777" w:rsidR="000D6CD6" w:rsidRPr="00A75D14" w:rsidRDefault="000D6CD6" w:rsidP="00CB3758">
      <w:pPr>
        <w:tabs>
          <w:tab w:val="left" w:pos="0"/>
        </w:tabs>
        <w:snapToGrid w:val="0"/>
        <w:spacing w:after="0" w:line="276" w:lineRule="auto"/>
        <w:ind w:left="720" w:right="709"/>
        <w:jc w:val="both"/>
        <w:rPr>
          <w:rFonts w:ascii="Verdana" w:eastAsia="Calibri" w:hAnsi="Verdana" w:cs="Arial"/>
          <w:bCs/>
          <w:kern w:val="2"/>
          <w:sz w:val="21"/>
          <w:szCs w:val="21"/>
          <w:lang w:val="es-ES_tradnl" w:eastAsia="es-ES_tradnl"/>
          <w14:ligatures w14:val="standardContextual"/>
        </w:rPr>
      </w:pPr>
    </w:p>
    <w:p w14:paraId="6684CFE6" w14:textId="77777777" w:rsidR="000D6CD6" w:rsidRPr="00CB3758" w:rsidRDefault="000D6CD6" w:rsidP="00CB3758">
      <w:pPr>
        <w:pStyle w:val="Prrafodelista"/>
        <w:spacing w:line="276" w:lineRule="auto"/>
        <w:ind w:left="1418" w:right="709"/>
        <w:jc w:val="both"/>
        <w:rPr>
          <w:rFonts w:ascii="Verdana" w:eastAsia="Calibri" w:hAnsi="Verdana" w:cs="Arial"/>
          <w:bCs/>
          <w:kern w:val="2"/>
          <w:sz w:val="21"/>
          <w:szCs w:val="21"/>
          <w:lang w:val="es-ES_tradnl" w:eastAsia="es-ES_tradnl"/>
          <w14:ligatures w14:val="standardContextual"/>
        </w:rPr>
      </w:pPr>
      <w:r w:rsidRPr="00CB3758">
        <w:rPr>
          <w:rFonts w:ascii="Verdana" w:eastAsia="Calibri" w:hAnsi="Verdana" w:cs="Arial"/>
          <w:bCs/>
          <w:kern w:val="2"/>
          <w:sz w:val="21"/>
          <w:szCs w:val="21"/>
          <w:lang w:val="es-ES_tradnl" w:eastAsia="es-ES_tradnl"/>
          <w14:ligatures w14:val="standardContextual"/>
        </w:rPr>
        <w:t xml:space="preserve">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w:t>
      </w:r>
      <w:r w:rsidRPr="00CB3758">
        <w:rPr>
          <w:rFonts w:ascii="Verdana" w:eastAsia="Calibri" w:hAnsi="Verdana" w:cs="Arial"/>
          <w:bCs/>
          <w:kern w:val="2"/>
          <w:sz w:val="21"/>
          <w:szCs w:val="21"/>
          <w:lang w:val="es-ES_tradnl" w:eastAsia="es-ES_tradnl"/>
          <w14:ligatures w14:val="standardContextual"/>
        </w:rPr>
        <w:lastRenderedPageBreak/>
        <w:t>negocios a las EICE, en sus dos categorías de actuación –objeto principal y actividades conexas”</w:t>
      </w:r>
      <w:r>
        <w:rPr>
          <w:rStyle w:val="Refdenotaalpie"/>
          <w:rFonts w:ascii="Verdana" w:eastAsia="Calibri" w:hAnsi="Verdana" w:cs="Arial"/>
          <w:bCs/>
          <w:kern w:val="2"/>
          <w:sz w:val="21"/>
          <w:szCs w:val="21"/>
          <w:lang w:val="es-ES_tradnl" w:eastAsia="es-ES_tradnl"/>
          <w14:ligatures w14:val="standardContextual"/>
        </w:rPr>
        <w:footnoteReference w:id="6"/>
      </w:r>
      <w:r w:rsidRPr="00CB3758">
        <w:rPr>
          <w:rFonts w:ascii="Verdana" w:eastAsia="Calibri" w:hAnsi="Verdana" w:cs="Arial"/>
          <w:bCs/>
          <w:kern w:val="2"/>
          <w:sz w:val="21"/>
          <w:szCs w:val="21"/>
          <w:lang w:val="es-ES_tradnl" w:eastAsia="es-ES_tradnl"/>
          <w14:ligatures w14:val="standardContextual"/>
        </w:rPr>
        <w:t>.</w:t>
      </w:r>
    </w:p>
    <w:p w14:paraId="10289D93" w14:textId="77777777" w:rsidR="000D6CD6" w:rsidRDefault="000D6CD6" w:rsidP="00CB3758">
      <w:pPr>
        <w:spacing w:line="276" w:lineRule="auto"/>
        <w:ind w:left="709" w:right="709"/>
        <w:jc w:val="both"/>
        <w:rPr>
          <w:rFonts w:ascii="Verdana" w:eastAsia="Calibri" w:hAnsi="Verdana" w:cs="Arial"/>
          <w:bCs/>
          <w:kern w:val="2"/>
          <w:sz w:val="21"/>
          <w:szCs w:val="21"/>
          <w:lang w:val="es-ES_tradnl" w:eastAsia="es-ES_tradnl"/>
          <w14:ligatures w14:val="standardContextual"/>
        </w:rPr>
      </w:pPr>
    </w:p>
    <w:p w14:paraId="0131BCEA" w14:textId="77777777" w:rsidR="000D6CD6" w:rsidRDefault="000D6CD6" w:rsidP="00CB3758">
      <w:pPr>
        <w:pStyle w:val="Prrafodelista"/>
        <w:numPr>
          <w:ilvl w:val="0"/>
          <w:numId w:val="19"/>
        </w:numPr>
        <w:spacing w:line="276" w:lineRule="auto"/>
        <w:ind w:right="709"/>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Conforme con lo expresado en estas providencias, el </w:t>
      </w:r>
      <w:r w:rsidRPr="00CB3758">
        <w:rPr>
          <w:rFonts w:ascii="Verdana" w:eastAsia="Calibri" w:hAnsi="Verdana" w:cs="Arial"/>
          <w:i/>
          <w:iCs/>
          <w:kern w:val="2"/>
          <w:lang w:eastAsia="es-ES"/>
          <w14:ligatures w14:val="standardContextual"/>
        </w:rPr>
        <w:t xml:space="preserve">giro ordinario </w:t>
      </w:r>
      <w:r w:rsidRPr="00CB3758">
        <w:rPr>
          <w:rFonts w:ascii="Verdana" w:eastAsia="Calibri" w:hAnsi="Verdana" w:cs="Arial"/>
          <w:kern w:val="2"/>
          <w:lang w:eastAsia="es-ES"/>
          <w14:ligatures w14:val="standardContextua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CB3758">
        <w:rPr>
          <w:rFonts w:ascii="Verdana" w:eastAsia="Times New Roman" w:hAnsi="Verdana" w:cs="Arial"/>
          <w:kern w:val="2"/>
          <w:lang w:eastAsia="es-ES"/>
          <w14:ligatures w14:val="standardContextual"/>
        </w:rPr>
        <w:t>s]e</w:t>
      </w:r>
      <w:r w:rsidRPr="00CB3758">
        <w:rPr>
          <w:rFonts w:ascii="Verdana" w:eastAsia="Calibri" w:hAnsi="Verdana" w:cs="Arial"/>
          <w:kern w:val="2"/>
          <w:lang w:eastAsia="es-ES"/>
          <w14:ligatures w14:val="standardContextua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Pr>
          <w:rStyle w:val="Refdenotaalpie"/>
          <w:rFonts w:ascii="Verdana" w:eastAsia="Calibri" w:hAnsi="Verdana" w:cs="Arial"/>
          <w:kern w:val="2"/>
          <w:lang w:eastAsia="es-ES"/>
          <w14:ligatures w14:val="standardContextual"/>
        </w:rPr>
        <w:footnoteReference w:id="7"/>
      </w:r>
      <w:r w:rsidRPr="00CB3758">
        <w:rPr>
          <w:rFonts w:ascii="Verdana" w:eastAsia="Calibri" w:hAnsi="Verdana" w:cs="Arial"/>
          <w:kern w:val="2"/>
          <w:lang w:eastAsia="es-ES"/>
          <w14:ligatures w14:val="standardContextual"/>
        </w:rPr>
        <w:t>.</w:t>
      </w:r>
    </w:p>
    <w:p w14:paraId="456009F5" w14:textId="77777777" w:rsidR="00CB3758" w:rsidRPr="00CB3758" w:rsidRDefault="00CB3758" w:rsidP="00CB3758">
      <w:pPr>
        <w:pStyle w:val="Prrafodelista"/>
        <w:rPr>
          <w:rFonts w:ascii="Verdana" w:eastAsia="Calibri" w:hAnsi="Verdana" w:cs="Arial"/>
          <w:kern w:val="2"/>
          <w:lang w:eastAsia="es-ES"/>
          <w14:ligatures w14:val="standardContextual"/>
        </w:rPr>
      </w:pPr>
    </w:p>
    <w:p w14:paraId="19C56929" w14:textId="77777777" w:rsidR="00CB3758" w:rsidRPr="00CB3758" w:rsidRDefault="00CB3758" w:rsidP="00CB3758">
      <w:pPr>
        <w:pStyle w:val="Prrafodelista"/>
        <w:spacing w:line="276" w:lineRule="auto"/>
        <w:ind w:right="709"/>
        <w:jc w:val="both"/>
        <w:rPr>
          <w:rFonts w:ascii="Verdana" w:eastAsia="Calibri" w:hAnsi="Verdana" w:cs="Arial"/>
          <w:kern w:val="2"/>
          <w:lang w:eastAsia="es-ES"/>
          <w14:ligatures w14:val="standardContextual"/>
        </w:rPr>
      </w:pPr>
    </w:p>
    <w:p w14:paraId="6C290C6F" w14:textId="77777777" w:rsidR="000D6CD6" w:rsidRPr="00CB3758" w:rsidRDefault="000D6CD6" w:rsidP="00CB3758">
      <w:pPr>
        <w:pStyle w:val="Prrafodelista"/>
        <w:numPr>
          <w:ilvl w:val="0"/>
          <w:numId w:val="19"/>
        </w:num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CB3758">
        <w:rPr>
          <w:rFonts w:ascii="Verdana" w:eastAsia="Calibri" w:hAnsi="Verdana" w:cs="Arial"/>
          <w:bCs/>
          <w:kern w:val="2"/>
          <w:lang w:val="es-ES_tradnl" w:eastAsia="es-ES_tradnl"/>
          <w14:ligatures w14:val="standardContextual"/>
        </w:rPr>
        <w:t xml:space="preserve">De otra parte, la doctrina societaria también se ha encargado de definir el </w:t>
      </w:r>
      <w:r w:rsidRPr="00CB3758">
        <w:rPr>
          <w:rFonts w:ascii="Verdana" w:eastAsia="Calibri" w:hAnsi="Verdana" w:cs="Arial"/>
          <w:bCs/>
          <w:i/>
          <w:iCs/>
          <w:kern w:val="2"/>
          <w:lang w:val="es-ES_tradnl" w:eastAsia="es-ES_tradnl"/>
          <w14:ligatures w14:val="standardContextual"/>
        </w:rPr>
        <w:t>objeto social</w:t>
      </w:r>
      <w:r w:rsidRPr="00CB3758">
        <w:rPr>
          <w:rFonts w:ascii="Verdana" w:eastAsia="Calibri" w:hAnsi="Verdana" w:cs="Arial"/>
          <w:bCs/>
          <w:kern w:val="2"/>
          <w:lang w:val="es-ES_tradnl" w:eastAsia="es-ES_tradnl"/>
          <w14:ligatures w14:val="standardContextual"/>
        </w:rPr>
        <w:t xml:space="preserve">, así como su relación con el concepto de </w:t>
      </w:r>
      <w:r w:rsidRPr="00CB3758">
        <w:rPr>
          <w:rFonts w:ascii="Verdana" w:eastAsia="Calibri" w:hAnsi="Verdana" w:cs="Arial"/>
          <w:bCs/>
          <w:i/>
          <w:iCs/>
          <w:kern w:val="2"/>
          <w:lang w:val="es-ES_tradnl" w:eastAsia="es-ES_tradnl"/>
          <w14:ligatures w14:val="standardContextual"/>
        </w:rPr>
        <w:t>giro ordinario</w:t>
      </w:r>
      <w:r w:rsidRPr="00CB3758">
        <w:rPr>
          <w:rFonts w:ascii="Verdana" w:eastAsia="Calibri" w:hAnsi="Verdana" w:cs="Arial"/>
          <w:bCs/>
          <w:kern w:val="2"/>
          <w:lang w:val="es-ES_tradnl" w:eastAsia="es-ES_tradnl"/>
          <w14:ligatures w14:val="standardContextual"/>
        </w:rPr>
        <w:t>. Al respecto, la Superintendencia de Sociedades, citando doctrina autorizada en la materia, ha señalado:</w:t>
      </w:r>
    </w:p>
    <w:p w14:paraId="7DCEFDB3" w14:textId="77777777" w:rsidR="000D6CD6" w:rsidRDefault="000D6CD6" w:rsidP="00CB3758">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p>
    <w:p w14:paraId="08E7BFAE" w14:textId="77777777" w:rsidR="000D6CD6" w:rsidRDefault="000D6CD6" w:rsidP="00CB3758">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p>
    <w:p w14:paraId="543643D0" w14:textId="77777777" w:rsidR="00A16F5D" w:rsidRDefault="000D6CD6" w:rsidP="00A16F5D">
      <w:pPr>
        <w:pStyle w:val="Prrafodelista"/>
        <w:snapToGrid w:val="0"/>
        <w:spacing w:after="0" w:line="276" w:lineRule="auto"/>
        <w:ind w:left="1440" w:right="709"/>
        <w:jc w:val="both"/>
        <w:rPr>
          <w:rFonts w:ascii="Verdana" w:eastAsia="Times New Roman" w:hAnsi="Verdana" w:cs="Arial"/>
          <w:kern w:val="2"/>
          <w:sz w:val="21"/>
          <w:szCs w:val="21"/>
          <w:lang w:eastAsia="es-ES"/>
          <w14:ligatures w14:val="standardContextual"/>
        </w:rPr>
      </w:pPr>
      <w:r w:rsidRPr="00CB3758">
        <w:rPr>
          <w:rFonts w:ascii="Verdana" w:eastAsia="Times New Roman" w:hAnsi="Verdana" w:cs="Arial"/>
          <w:kern w:val="2"/>
          <w:sz w:val="21"/>
          <w:szCs w:val="21"/>
          <w:lang w:eastAsia="es-ES"/>
          <w14:ligatures w14:val="standardContextua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w:t>
      </w:r>
      <w:r w:rsidRPr="00CB3758">
        <w:rPr>
          <w:rFonts w:ascii="Verdana" w:eastAsia="Times New Roman" w:hAnsi="Verdana" w:cs="Arial"/>
          <w:kern w:val="2"/>
          <w:sz w:val="21"/>
          <w:szCs w:val="21"/>
          <w:lang w:eastAsia="es-ES"/>
          <w14:ligatures w14:val="standardContextual"/>
        </w:rPr>
        <w:lastRenderedPageBreak/>
        <w:t>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4EF362E9" w14:textId="155AAA30" w:rsidR="00A16F5D" w:rsidRPr="00A16F5D" w:rsidRDefault="00A16F5D" w:rsidP="00A16F5D">
      <w:pPr>
        <w:pStyle w:val="Prrafodelista"/>
        <w:snapToGrid w:val="0"/>
        <w:spacing w:after="0" w:line="276" w:lineRule="auto"/>
        <w:ind w:left="1440" w:right="709"/>
        <w:jc w:val="both"/>
        <w:rPr>
          <w:rFonts w:ascii="Verdana" w:eastAsia="Times New Roman" w:hAnsi="Verdana" w:cs="Arial"/>
          <w:kern w:val="2"/>
          <w:sz w:val="21"/>
          <w:szCs w:val="21"/>
          <w:lang w:eastAsia="es-ES"/>
          <w14:ligatures w14:val="standardContextual"/>
        </w:rPr>
      </w:pPr>
      <w:r w:rsidRPr="00A16F5D">
        <w:rPr>
          <w:rFonts w:ascii="Verdana" w:eastAsia="Times New Roman" w:hAnsi="Verdana" w:cs="Arial"/>
          <w:kern w:val="2"/>
          <w:sz w:val="21"/>
          <w:szCs w:val="21"/>
          <w:lang w:val="es-CO" w:eastAsia="es-ES"/>
          <w14:ligatures w14:val="standardContextua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 </w:t>
      </w:r>
      <w:r>
        <w:rPr>
          <w:rStyle w:val="Refdenotaalpie"/>
          <w:rFonts w:ascii="Verdana" w:eastAsia="Calibri" w:hAnsi="Verdana" w:cs="Arial"/>
          <w:kern w:val="2"/>
          <w:lang w:eastAsia="es-ES"/>
          <w14:ligatures w14:val="standardContextual"/>
        </w:rPr>
        <w:footnoteReference w:id="8"/>
      </w:r>
    </w:p>
    <w:p w14:paraId="516DCD0A" w14:textId="77777777" w:rsidR="000D6CD6" w:rsidRPr="00A75D14" w:rsidRDefault="000D6CD6" w:rsidP="00CB3758">
      <w:pPr>
        <w:snapToGrid w:val="0"/>
        <w:spacing w:after="0" w:line="276" w:lineRule="auto"/>
        <w:ind w:left="720" w:right="709"/>
        <w:jc w:val="both"/>
        <w:rPr>
          <w:rFonts w:ascii="Verdana" w:eastAsia="Times New Roman" w:hAnsi="Verdana" w:cs="Arial"/>
          <w:kern w:val="2"/>
          <w:sz w:val="21"/>
          <w:szCs w:val="21"/>
          <w:lang w:val="es-ES" w:eastAsia="es-ES"/>
          <w14:ligatures w14:val="standardContextual"/>
        </w:rPr>
      </w:pPr>
    </w:p>
    <w:p w14:paraId="0353BB0C" w14:textId="77777777" w:rsidR="000D6CD6" w:rsidRPr="00CB3758" w:rsidRDefault="000D6CD6"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De acuerdo con estas consideraciones, no hay una plena equivalencia entre las actividades que hacen parte del desarrollo del </w:t>
      </w:r>
      <w:r w:rsidRPr="00CB3758">
        <w:rPr>
          <w:rFonts w:ascii="Verdana" w:eastAsia="Calibri" w:hAnsi="Verdana" w:cs="Arial"/>
          <w:i/>
          <w:kern w:val="2"/>
          <w:lang w:eastAsia="es-ES"/>
          <w14:ligatures w14:val="standardContextual"/>
        </w:rPr>
        <w:t>objeto social</w:t>
      </w:r>
      <w:r w:rsidRPr="00CB3758">
        <w:rPr>
          <w:rFonts w:ascii="Verdana" w:eastAsia="Calibri" w:hAnsi="Verdana" w:cs="Arial"/>
          <w:kern w:val="2"/>
          <w:lang w:eastAsia="es-ES"/>
          <w14:ligatures w14:val="standardContextual"/>
        </w:rPr>
        <w:t xml:space="preserve"> y las que comprende el </w:t>
      </w:r>
      <w:r w:rsidRPr="00CB3758">
        <w:rPr>
          <w:rFonts w:ascii="Verdana" w:eastAsia="Calibri" w:hAnsi="Verdana" w:cs="Arial"/>
          <w:i/>
          <w:kern w:val="2"/>
          <w:lang w:eastAsia="es-ES"/>
          <w14:ligatures w14:val="standardContextual"/>
        </w:rPr>
        <w:t>giro ordinario</w:t>
      </w:r>
      <w:r w:rsidRPr="00CB3758">
        <w:rPr>
          <w:rFonts w:ascii="Verdana" w:eastAsia="Calibri" w:hAnsi="Verdana" w:cs="Arial"/>
          <w:kern w:val="2"/>
          <w:lang w:eastAsia="es-ES"/>
          <w14:ligatures w14:val="standardContextual"/>
        </w:rPr>
        <w:t xml:space="preserve">, pues, como precisa la Superintendencia de Sociedades, entre lo que designan estas categorías existe una relación de género a especie. </w:t>
      </w:r>
    </w:p>
    <w:p w14:paraId="3E3B68D7" w14:textId="77777777" w:rsidR="000D6CD6" w:rsidRPr="007D52F6" w:rsidRDefault="000D6CD6" w:rsidP="00CB3758">
      <w:pPr>
        <w:tabs>
          <w:tab w:val="left" w:pos="0"/>
        </w:tabs>
        <w:snapToGrid w:val="0"/>
        <w:spacing w:after="0" w:line="276" w:lineRule="auto"/>
        <w:jc w:val="both"/>
        <w:rPr>
          <w:rFonts w:ascii="Verdana" w:eastAsia="Calibri" w:hAnsi="Verdana" w:cs="Arial"/>
          <w:bCs/>
          <w:kern w:val="2"/>
          <w:lang w:val="es-ES" w:eastAsia="es-ES_tradnl"/>
          <w14:ligatures w14:val="standardContextual"/>
        </w:rPr>
      </w:pPr>
    </w:p>
    <w:p w14:paraId="733CC593" w14:textId="77777777" w:rsidR="00E36A6C" w:rsidRDefault="000D6CD6"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En relación con la aplicación de lo dispuesto en el parágrafo del artículo 56 de la Ley 2195 de 2022, conviene aclarar que, a juicio de esta Agencia, la expresión </w:t>
      </w:r>
      <w:r w:rsidRPr="00CB3758">
        <w:rPr>
          <w:rFonts w:ascii="Verdana" w:eastAsia="Calibri" w:hAnsi="Verdana" w:cs="Arial"/>
          <w:i/>
          <w:kern w:val="2"/>
          <w:lang w:eastAsia="es-ES"/>
          <w14:ligatures w14:val="standardContextual"/>
        </w:rPr>
        <w:t xml:space="preserve">giro ordinario </w:t>
      </w:r>
      <w:r w:rsidRPr="00CB3758">
        <w:rPr>
          <w:rFonts w:ascii="Verdana" w:eastAsia="Calibri" w:hAnsi="Verdana" w:cs="Arial"/>
          <w:kern w:val="2"/>
          <w:lang w:eastAsia="es-ES"/>
          <w14:ligatures w14:val="standardContextual"/>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00CB3758">
        <w:rPr>
          <w:rFonts w:ascii="Verdana" w:eastAsia="Calibri" w:hAnsi="Verdana" w:cs="Arial"/>
          <w:i/>
          <w:kern w:val="2"/>
          <w:lang w:eastAsia="es-ES"/>
          <w14:ligatures w14:val="standardContextual"/>
        </w:rPr>
        <w:t>giro ordinario</w:t>
      </w:r>
      <w:r w:rsidRPr="00CB3758">
        <w:rPr>
          <w:rFonts w:ascii="Verdana" w:eastAsia="Calibri" w:hAnsi="Verdana" w:cs="Arial"/>
          <w:kern w:val="2"/>
          <w:lang w:eastAsia="es-ES"/>
          <w14:ligatures w14:val="standardContextual"/>
        </w:rPr>
        <w:t xml:space="preserve"> es un asunto que se debe definir en cada caso concreto por parte de las entidades estatales –analizando lo establecido en sus actos de creación y verificando los negocios habituales u ordinarios que desarrollan–, pues el parágrafo </w:t>
      </w:r>
      <w:r w:rsidRPr="00CB3758">
        <w:rPr>
          <w:rFonts w:ascii="Verdana" w:eastAsia="Calibri" w:hAnsi="Verdana" w:cs="Arial"/>
          <w:kern w:val="2"/>
          <w:lang w:eastAsia="es-ES"/>
          <w14:ligatures w14:val="standardContextual"/>
        </w:rPr>
        <w:lastRenderedPageBreak/>
        <w:t xml:space="preserve">del artículo 56 </w:t>
      </w:r>
      <w:r w:rsidRPr="00CB3758">
        <w:rPr>
          <w:rFonts w:ascii="Verdana" w:eastAsia="Calibri" w:hAnsi="Verdana" w:cs="Arial"/>
          <w:i/>
          <w:kern w:val="2"/>
          <w:lang w:eastAsia="es-ES"/>
          <w14:ligatures w14:val="standardContextual"/>
        </w:rPr>
        <w:t>ejusdem</w:t>
      </w:r>
      <w:r w:rsidRPr="00CB3758">
        <w:rPr>
          <w:rFonts w:ascii="Verdana" w:eastAsia="Calibri" w:hAnsi="Verdana" w:cs="Arial"/>
          <w:kern w:val="2"/>
          <w:lang w:eastAsia="es-ES"/>
          <w14:ligatures w14:val="standardContextual"/>
        </w:rPr>
        <w:t xml:space="preserve"> se limita a enunciar algunos tipos de entidades estatales, las cuales no solo difieren en su naturaleza jurídica, sino también en las actividades que realizan.</w:t>
      </w:r>
    </w:p>
    <w:p w14:paraId="7D747F6D" w14:textId="77777777" w:rsidR="00E36A6C" w:rsidRPr="00E36A6C" w:rsidRDefault="00E36A6C" w:rsidP="00E36A6C">
      <w:pPr>
        <w:pStyle w:val="Prrafodelista"/>
        <w:rPr>
          <w:rFonts w:ascii="Verdana" w:eastAsia="Calibri" w:hAnsi="Verdana" w:cs="Arial"/>
          <w:kern w:val="2"/>
          <w:lang w:eastAsia="es-ES"/>
          <w14:ligatures w14:val="standardContextual"/>
        </w:rPr>
      </w:pPr>
    </w:p>
    <w:p w14:paraId="0831E3C4" w14:textId="0E4B20FA" w:rsidR="000D6CD6" w:rsidRPr="00CB3758" w:rsidRDefault="000D6CD6" w:rsidP="00E36A6C">
      <w:pPr>
        <w:pStyle w:val="Prrafodelista"/>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 </w:t>
      </w:r>
    </w:p>
    <w:p w14:paraId="7CFB90A5" w14:textId="77777777" w:rsidR="000D6CD6" w:rsidRPr="00CB3758" w:rsidRDefault="000D6CD6"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Por otra parte, es importante señalar que la excepción del parágrafo en comento es clara en establecer cuáles son las entidades exceptuadas de la aplicación del artículo 56 de la Ley 2195 de 2022. En ese sentido, la Agencia Nacional de Contratación Pública – Colombia Compra Eficiente, en sede consultiva, no puede establecer si otras entidades como los fondos mixtos se enmarcan en la aludida excepción, toda vez que este es un análisis que deberá realizarse en cada caso concreto, con el fin de i) determinar si la entidad puede catalogarse como una de aquellas definidas en el parágrafo y ii) si el objeto a contratar se enmarca en el concepto de </w:t>
      </w:r>
      <w:r w:rsidRPr="00CB3758">
        <w:rPr>
          <w:rFonts w:ascii="Verdana" w:eastAsia="Calibri" w:hAnsi="Verdana" w:cs="Arial"/>
          <w:i/>
          <w:iCs/>
          <w:kern w:val="2"/>
          <w:lang w:eastAsia="es-ES"/>
          <w14:ligatures w14:val="standardContextual"/>
        </w:rPr>
        <w:t>giro ordinario.</w:t>
      </w:r>
      <w:r w:rsidRPr="00CB3758">
        <w:rPr>
          <w:rFonts w:ascii="Verdana" w:eastAsia="Calibri" w:hAnsi="Verdana" w:cs="Arial"/>
          <w:kern w:val="2"/>
          <w:lang w:eastAsia="es-ES"/>
          <w14:ligatures w14:val="standardContextual"/>
        </w:rPr>
        <w:t xml:space="preserve"> </w:t>
      </w:r>
    </w:p>
    <w:p w14:paraId="59E8FDDB" w14:textId="77777777" w:rsidR="000D6CD6" w:rsidRDefault="000D6CD6" w:rsidP="00CB3758">
      <w:pPr>
        <w:snapToGrid w:val="0"/>
        <w:spacing w:after="0" w:line="276" w:lineRule="auto"/>
        <w:jc w:val="both"/>
        <w:rPr>
          <w:rFonts w:ascii="Verdana" w:eastAsia="Calibri" w:hAnsi="Verdana" w:cs="Arial"/>
          <w:kern w:val="2"/>
          <w:lang w:val="es-ES" w:eastAsia="es-ES"/>
          <w14:ligatures w14:val="standardContextual"/>
        </w:rPr>
      </w:pPr>
    </w:p>
    <w:p w14:paraId="5A5F9465" w14:textId="77777777" w:rsidR="000D6CD6" w:rsidRDefault="000D6CD6"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CB3758">
        <w:rPr>
          <w:rFonts w:ascii="Verdana" w:eastAsia="Calibri" w:hAnsi="Verdana" w:cs="Arial"/>
          <w:kern w:val="2"/>
          <w:lang w:eastAsia="es-ES"/>
          <w14:ligatures w14:val="standardContextua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CB3758">
        <w:rPr>
          <w:rFonts w:ascii="Verdana" w:eastAsia="Calibri" w:hAnsi="Verdana" w:cs="Arial"/>
          <w:i/>
          <w:kern w:val="2"/>
          <w:lang w:eastAsia="es-ES"/>
          <w14:ligatures w14:val="standardContextual"/>
        </w:rPr>
        <w:t xml:space="preserve">giro ordinario </w:t>
      </w:r>
      <w:r w:rsidRPr="00CB3758">
        <w:rPr>
          <w:rFonts w:ascii="Verdana" w:eastAsia="Calibri" w:hAnsi="Verdana" w:cs="Arial"/>
          <w:kern w:val="2"/>
          <w:lang w:eastAsia="es-ES"/>
          <w14:ligatures w14:val="standardContextual"/>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CB3758">
        <w:rPr>
          <w:rFonts w:ascii="Verdana" w:eastAsia="Calibri" w:hAnsi="Verdana" w:cs="Arial"/>
          <w:i/>
          <w:kern w:val="2"/>
          <w:lang w:eastAsia="es-ES"/>
          <w14:ligatures w14:val="standardContextual"/>
        </w:rPr>
        <w:t>su giro ordinario</w:t>
      </w:r>
      <w:r w:rsidRPr="00CB3758">
        <w:rPr>
          <w:rFonts w:ascii="Verdana" w:eastAsia="Calibri" w:hAnsi="Verdana" w:cs="Arial"/>
          <w:kern w:val="2"/>
          <w:lang w:eastAsia="es-ES"/>
          <w14:ligatures w14:val="standardContextua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CB3758">
        <w:rPr>
          <w:rFonts w:ascii="Verdana" w:eastAsia="Calibri" w:hAnsi="Verdana" w:cs="Arial"/>
          <w:i/>
          <w:kern w:val="2"/>
          <w:lang w:eastAsia="es-ES"/>
          <w14:ligatures w14:val="standardContextual"/>
        </w:rPr>
        <w:t>giro ordinario</w:t>
      </w:r>
      <w:r w:rsidRPr="00CB3758">
        <w:rPr>
          <w:rFonts w:ascii="Verdana" w:eastAsia="Calibri" w:hAnsi="Verdana" w:cs="Arial"/>
          <w:kern w:val="2"/>
          <w:lang w:eastAsia="es-ES"/>
          <w14:ligatures w14:val="standardContextual"/>
        </w:rPr>
        <w:t xml:space="preserve">, a menos que su manual de contratación establezca lo contrario. </w:t>
      </w:r>
    </w:p>
    <w:p w14:paraId="7CB43C77" w14:textId="77777777" w:rsidR="00A87684" w:rsidRDefault="00A87684" w:rsidP="00A87684">
      <w:pPr>
        <w:pStyle w:val="Prrafodelista"/>
        <w:snapToGrid w:val="0"/>
        <w:spacing w:after="0" w:line="276" w:lineRule="auto"/>
        <w:jc w:val="both"/>
        <w:rPr>
          <w:rFonts w:ascii="Verdana" w:eastAsia="Calibri" w:hAnsi="Verdana" w:cs="Arial"/>
          <w:kern w:val="2"/>
          <w:lang w:eastAsia="es-ES"/>
          <w14:ligatures w14:val="standardContextual"/>
        </w:rPr>
      </w:pPr>
    </w:p>
    <w:p w14:paraId="6116D03E" w14:textId="5B473546" w:rsidR="00A87684" w:rsidRPr="00CB3758" w:rsidRDefault="00A87684" w:rsidP="00CB3758">
      <w:pPr>
        <w:pStyle w:val="Prrafodelista"/>
        <w:numPr>
          <w:ilvl w:val="0"/>
          <w:numId w:val="19"/>
        </w:numPr>
        <w:snapToGrid w:val="0"/>
        <w:spacing w:after="0" w:line="276" w:lineRule="auto"/>
        <w:jc w:val="both"/>
        <w:rPr>
          <w:rFonts w:ascii="Verdana" w:eastAsia="Calibri" w:hAnsi="Verdana" w:cs="Arial"/>
          <w:kern w:val="2"/>
          <w:lang w:eastAsia="es-ES"/>
          <w14:ligatures w14:val="standardContextual"/>
        </w:rPr>
      </w:pPr>
      <w:r w:rsidRPr="00A87684">
        <w:rPr>
          <w:rFonts w:ascii="Verdana" w:eastAsia="Calibri" w:hAnsi="Verdana" w:cs="Arial"/>
          <w:kern w:val="2"/>
          <w:lang w:val="es-CO" w:eastAsia="es-ES"/>
          <w14:ligatures w14:val="standardContextual"/>
        </w:rPr>
        <w:t>Esta interpretación, a juicio de la Agencia, no solo se desprende de la</w:t>
      </w:r>
      <w:r>
        <w:rPr>
          <w:rFonts w:ascii="Verdana" w:eastAsia="Calibri" w:hAnsi="Verdana" w:cs="Arial"/>
          <w:kern w:val="2"/>
          <w:lang w:val="es-CO" w:eastAsia="es-ES"/>
          <w14:ligatures w14:val="standardContextual"/>
        </w:rPr>
        <w:t xml:space="preserve"> </w:t>
      </w:r>
      <w:r w:rsidRPr="00A87684">
        <w:rPr>
          <w:rFonts w:ascii="Verdana" w:eastAsia="Calibri" w:hAnsi="Verdana" w:cs="Arial"/>
          <w:kern w:val="2"/>
          <w:lang w:val="es-CO" w:eastAsia="es-ES"/>
          <w14:ligatures w14:val="standardContextual"/>
        </w:rPr>
        <w:t xml:space="preserve">literalidad del texto de la norma en comento, sino que además está en </w:t>
      </w:r>
      <w:r w:rsidRPr="00A87684">
        <w:rPr>
          <w:rFonts w:ascii="Verdana" w:eastAsia="Calibri" w:hAnsi="Verdana" w:cs="Arial"/>
          <w:kern w:val="2"/>
          <w:lang w:val="es-CO" w:eastAsia="es-ES"/>
          <w14:ligatures w14:val="standardContextual"/>
        </w:rPr>
        <w:lastRenderedPageBreak/>
        <w:t>armonía con la voluntad del órgano legislativo. Al respecto se estima que, el Legislador, en materia de contratación estatal, goza de un amplio margen de configuración normativa, de conformidad con lo dispuesto en el inciso final del artículo 150 de la Constitución Política</w:t>
      </w:r>
      <w:r>
        <w:rPr>
          <w:rStyle w:val="Refdenotaalpie"/>
          <w:rFonts w:ascii="Verdana" w:eastAsia="Calibri" w:hAnsi="Verdana" w:cs="Arial"/>
          <w:kern w:val="2"/>
          <w:lang w:eastAsia="es-ES"/>
          <w14:ligatures w14:val="standardContextual"/>
        </w:rPr>
        <w:footnoteReference w:id="9"/>
      </w:r>
      <w:r w:rsidRPr="00A87684">
        <w:rPr>
          <w:rFonts w:ascii="Verdana" w:eastAsia="Calibri" w:hAnsi="Verdana" w:cs="Arial"/>
          <w:kern w:val="2"/>
          <w:lang w:val="es-CO" w:eastAsia="es-ES"/>
          <w14:ligatures w14:val="standardContextual"/>
        </w:rPr>
        <w:t>.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giro ordinario.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w:t>
      </w:r>
      <w:r>
        <w:rPr>
          <w:rFonts w:ascii="Verdana" w:eastAsia="Calibri" w:hAnsi="Verdana" w:cs="Arial"/>
          <w:kern w:val="2"/>
          <w:lang w:val="es-CO" w:eastAsia="es-ES"/>
          <w14:ligatures w14:val="standardContextual"/>
        </w:rPr>
        <w:t xml:space="preserve"> </w:t>
      </w:r>
      <w:r w:rsidRPr="00A87684">
        <w:rPr>
          <w:rFonts w:ascii="Verdana" w:eastAsia="Calibri" w:hAnsi="Verdana" w:cs="Arial"/>
          <w:kern w:val="2"/>
          <w:lang w:val="es-CO" w:eastAsia="es-ES"/>
          <w14:ligatures w14:val="standardContextual"/>
        </w:rPr>
        <w:t>restrictiva que no permite su extensión, por vía de la figura de la analogía, a supuestos no contemplados por el ordenamiento”</w:t>
      </w:r>
      <w:r w:rsidRPr="00A87684">
        <w:rPr>
          <w:rStyle w:val="Refdenotaalpie"/>
          <w:rFonts w:ascii="Verdana" w:eastAsia="Calibri" w:hAnsi="Verdana" w:cs="Arial"/>
          <w:kern w:val="2"/>
          <w:lang w:eastAsia="es-ES"/>
          <w14:ligatures w14:val="standardContextual"/>
        </w:rPr>
        <w:t xml:space="preserve"> </w:t>
      </w:r>
      <w:r>
        <w:rPr>
          <w:rStyle w:val="Refdenotaalpie"/>
          <w:rFonts w:ascii="Verdana" w:eastAsia="Calibri" w:hAnsi="Verdana" w:cs="Arial"/>
          <w:kern w:val="2"/>
          <w:lang w:eastAsia="es-ES"/>
          <w14:ligatures w14:val="standardContextual"/>
        </w:rPr>
        <w:footnoteReference w:id="10"/>
      </w:r>
      <w:r w:rsidRPr="00A87684">
        <w:rPr>
          <w:rFonts w:ascii="Verdana" w:eastAsia="Calibri" w:hAnsi="Verdana" w:cs="Arial"/>
          <w:kern w:val="2"/>
          <w:lang w:val="es-CO" w:eastAsia="es-ES"/>
          <w14:ligatures w14:val="standardContextual"/>
        </w:rPr>
        <w:t xml:space="preserve"> .</w:t>
      </w:r>
    </w:p>
    <w:p w14:paraId="1F5930C8" w14:textId="77777777" w:rsidR="000D6CD6" w:rsidRDefault="000D6CD6" w:rsidP="00CB3758">
      <w:pPr>
        <w:widowControl w:val="0"/>
        <w:tabs>
          <w:tab w:val="left" w:pos="993"/>
        </w:tabs>
        <w:autoSpaceDE w:val="0"/>
        <w:autoSpaceDN w:val="0"/>
        <w:spacing w:after="0" w:line="276" w:lineRule="auto"/>
        <w:ind w:right="51"/>
        <w:jc w:val="both"/>
        <w:rPr>
          <w:rFonts w:ascii="Verdana" w:hAnsi="Verdana"/>
          <w:sz w:val="20"/>
          <w:szCs w:val="20"/>
          <w:lang w:val="es-ES"/>
        </w:rPr>
      </w:pPr>
    </w:p>
    <w:p w14:paraId="3BB11BC2" w14:textId="77777777" w:rsidR="000D6CD6" w:rsidRPr="0056666D" w:rsidRDefault="000D6CD6" w:rsidP="00CB3758">
      <w:pPr>
        <w:widowControl w:val="0"/>
        <w:tabs>
          <w:tab w:val="left" w:pos="993"/>
        </w:tabs>
        <w:autoSpaceDE w:val="0"/>
        <w:autoSpaceDN w:val="0"/>
        <w:spacing w:after="0" w:line="276" w:lineRule="auto"/>
        <w:ind w:right="51"/>
        <w:jc w:val="both"/>
        <w:rPr>
          <w:rFonts w:ascii="Verdana" w:eastAsia="Arial" w:hAnsi="Verdana" w:cs="Arial"/>
          <w:lang w:eastAsia="es-ES" w:bidi="es-ES"/>
        </w:rPr>
      </w:pPr>
    </w:p>
    <w:p w14:paraId="1482B6AC" w14:textId="77777777" w:rsidR="000D6CD6" w:rsidRPr="00C56A6D" w:rsidRDefault="000D6CD6" w:rsidP="00CB3758">
      <w:pPr>
        <w:tabs>
          <w:tab w:val="left" w:pos="142"/>
          <w:tab w:val="left" w:pos="284"/>
        </w:tabs>
        <w:spacing w:after="0" w:line="276" w:lineRule="auto"/>
        <w:jc w:val="both"/>
        <w:rPr>
          <w:rFonts w:ascii="Verdana" w:eastAsia="Century Gothic" w:hAnsi="Verdana" w:cs="Century Gothic"/>
          <w:b/>
          <w:lang w:val="es-ES"/>
        </w:rPr>
      </w:pPr>
      <w:r w:rsidRPr="00E63C0B">
        <w:rPr>
          <w:rFonts w:ascii="Verdana" w:eastAsia="Century Gothic" w:hAnsi="Verdana" w:cs="Century Gothic"/>
          <w:b/>
          <w:lang w:val="es-ES"/>
        </w:rPr>
        <w:t xml:space="preserve">4. </w:t>
      </w:r>
      <w:r w:rsidRPr="00C56A6D">
        <w:rPr>
          <w:rFonts w:ascii="Verdana" w:eastAsia="Century Gothic" w:hAnsi="Verdana" w:cs="Century Gothic"/>
          <w:b/>
          <w:lang w:val="es-ES"/>
        </w:rPr>
        <w:t>Referencias normativas, jurisprudenciales y otras fuentes:</w:t>
      </w:r>
    </w:p>
    <w:p w14:paraId="75A6AC1D" w14:textId="77777777" w:rsidR="000D6CD6" w:rsidRPr="00C56A6D" w:rsidRDefault="000D6CD6" w:rsidP="00CB375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6CD6" w:rsidRPr="009C5A97" w14:paraId="0842D8E1" w14:textId="77777777" w:rsidTr="00ED4CCE">
        <w:trPr>
          <w:trHeight w:val="870"/>
        </w:trPr>
        <w:tc>
          <w:tcPr>
            <w:tcW w:w="8647" w:type="dxa"/>
          </w:tcPr>
          <w:p w14:paraId="1625C741" w14:textId="77777777" w:rsidR="000D6CD6" w:rsidRPr="00A75D14" w:rsidRDefault="000D6CD6" w:rsidP="00CB3758">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lastRenderedPageBreak/>
              <w:t>Ley 2195 de 2022, artículo 56.</w:t>
            </w:r>
          </w:p>
          <w:p w14:paraId="4259BFB0" w14:textId="77777777" w:rsidR="000D6CD6" w:rsidRPr="005B50C8" w:rsidRDefault="000D6CD6" w:rsidP="00CB3758">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t>Consejo de Estado. Sección Tercera. Subsección B. Sentencia del 12 de octubre de 2011. Exp. No. 20070. C.P. Danilo Rojas Betancourt.</w:t>
            </w:r>
          </w:p>
          <w:p w14:paraId="081B89D3"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1150 de 2007. Literal c), artículo 3</w:t>
            </w:r>
          </w:p>
          <w:p w14:paraId="238310B0"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Literal e), artículo 9</w:t>
            </w:r>
          </w:p>
          <w:p w14:paraId="7623E9C7"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Artículo 5</w:t>
            </w:r>
          </w:p>
          <w:p w14:paraId="5ACC8030"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Literal g), artículo 11</w:t>
            </w:r>
          </w:p>
          <w:p w14:paraId="725E85E1"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2195 de 2022. Artículo 53</w:t>
            </w:r>
          </w:p>
          <w:p w14:paraId="2F42FDC7"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 xml:space="preserve">Decreto 1081 de 2015. Artículo </w:t>
            </w:r>
            <w:r w:rsidRPr="00AD5123">
              <w:rPr>
                <w:rFonts w:ascii="Verdana" w:eastAsia="Times New Roman" w:hAnsi="Verdana" w:cs="Arial"/>
                <w:color w:val="000000"/>
                <w:shd w:val="clear" w:color="auto" w:fill="FFFFFF"/>
              </w:rPr>
              <w:t>2.1.1.2.1.7</w:t>
            </w:r>
          </w:p>
          <w:p w14:paraId="380E8AA5" w14:textId="77777777" w:rsidR="000D6CD6" w:rsidRPr="00CB5B56"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 xml:space="preserve">Decreto 1082 de 2015. Artículo </w:t>
            </w:r>
            <w:r w:rsidRPr="00AD5123">
              <w:rPr>
                <w:rFonts w:ascii="Verdana" w:eastAsia="Times New Roman" w:hAnsi="Verdana" w:cs="Arial"/>
                <w:color w:val="000000"/>
                <w:shd w:val="clear" w:color="auto" w:fill="FFFFFF"/>
              </w:rPr>
              <w:t>2.2.1.1.1.7.1</w:t>
            </w:r>
          </w:p>
          <w:p w14:paraId="20E99D22" w14:textId="77777777" w:rsidR="000D6CD6" w:rsidRPr="00AD5123" w:rsidRDefault="000D6CD6" w:rsidP="00CB3758">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CB5B56">
              <w:rPr>
                <w:rFonts w:ascii="Verdana" w:eastAsia="Times New Roman" w:hAnsi="Verdana" w:cs="Arial"/>
              </w:rPr>
              <w:t>Circular Externa No. 002 del 23 de agosto de 2024</w:t>
            </w:r>
            <w:r>
              <w:rPr>
                <w:rFonts w:ascii="Verdana" w:eastAsia="Times New Roman" w:hAnsi="Verdana" w:cs="Arial"/>
              </w:rPr>
              <w:t xml:space="preserve">: </w:t>
            </w:r>
            <w:hyperlink r:id="rId12" w:history="1">
              <w:r w:rsidRPr="00112BF8">
                <w:rPr>
                  <w:rStyle w:val="Hipervnculo"/>
                  <w:rFonts w:ascii="Verdana" w:eastAsia="Times New Roman" w:hAnsi="Verdana" w:cs="Arial"/>
                </w:rPr>
                <w:t>doc-20240823-wa0021.pdf (colombiacompra.gov.co)</w:t>
              </w:r>
            </w:hyperlink>
          </w:p>
          <w:p w14:paraId="3D3DD5E0" w14:textId="77777777" w:rsidR="000D6CD6" w:rsidRPr="00C56A6D" w:rsidRDefault="000D6CD6" w:rsidP="00CB3758">
            <w:pPr>
              <w:pStyle w:val="Prrafodelista"/>
              <w:widowControl w:val="0"/>
              <w:autoSpaceDE w:val="0"/>
              <w:autoSpaceDN w:val="0"/>
              <w:spacing w:after="120" w:line="276" w:lineRule="auto"/>
              <w:jc w:val="both"/>
              <w:rPr>
                <w:rFonts w:ascii="Verdana" w:hAnsi="Verdana" w:cs="Arial"/>
              </w:rPr>
            </w:pPr>
          </w:p>
        </w:tc>
      </w:tr>
    </w:tbl>
    <w:p w14:paraId="0786F5CD" w14:textId="77777777" w:rsidR="000D6CD6" w:rsidRPr="00C56A6D" w:rsidRDefault="000D6CD6" w:rsidP="00CB3758">
      <w:pPr>
        <w:tabs>
          <w:tab w:val="left" w:pos="142"/>
          <w:tab w:val="left" w:pos="284"/>
        </w:tabs>
        <w:spacing w:after="0" w:line="276" w:lineRule="auto"/>
        <w:jc w:val="both"/>
        <w:rPr>
          <w:rFonts w:ascii="Verdana" w:eastAsia="Century Gothic" w:hAnsi="Verdana" w:cs="Century Gothic"/>
          <w:b/>
          <w:lang w:val="es-ES"/>
        </w:rPr>
      </w:pPr>
      <w:r w:rsidRPr="00E63C0B">
        <w:rPr>
          <w:rFonts w:ascii="Verdana" w:eastAsia="Century Gothic" w:hAnsi="Verdana" w:cs="Century Gothic"/>
          <w:b/>
          <w:lang w:val="es-ES"/>
        </w:rPr>
        <w:t xml:space="preserve">5. </w:t>
      </w:r>
      <w:r w:rsidRPr="00C56A6D">
        <w:rPr>
          <w:rFonts w:ascii="Verdana" w:eastAsia="Century Gothic" w:hAnsi="Verdana" w:cs="Century Gothic"/>
          <w:b/>
          <w:lang w:val="es-ES"/>
        </w:rPr>
        <w:t>Doctrina de la Agencia Nacional de Contratación Pública:</w:t>
      </w:r>
    </w:p>
    <w:p w14:paraId="5F906694" w14:textId="77777777" w:rsidR="000D6CD6" w:rsidRPr="00C56A6D" w:rsidRDefault="000D6CD6" w:rsidP="00CB3758">
      <w:pPr>
        <w:widowControl w:val="0"/>
        <w:autoSpaceDE w:val="0"/>
        <w:autoSpaceDN w:val="0"/>
        <w:spacing w:after="0" w:line="276" w:lineRule="auto"/>
        <w:jc w:val="both"/>
        <w:rPr>
          <w:rFonts w:ascii="Verdana" w:hAnsi="Verdana" w:cs="Arial"/>
        </w:rPr>
      </w:pPr>
    </w:p>
    <w:p w14:paraId="41BC22F1" w14:textId="77777777" w:rsidR="000D6CD6" w:rsidRDefault="000D6CD6" w:rsidP="00CB3758">
      <w:pPr>
        <w:widowControl w:val="0"/>
        <w:autoSpaceDE w:val="0"/>
        <w:autoSpaceDN w:val="0"/>
        <w:spacing w:after="0" w:line="276" w:lineRule="auto"/>
        <w:jc w:val="both"/>
        <w:rPr>
          <w:rFonts w:ascii="Verdana" w:hAnsi="Verdana" w:cs="Arial"/>
          <w:color w:val="FF0000"/>
          <w:shd w:val="clear" w:color="auto" w:fill="FFFFFF"/>
          <w:lang w:val="es-ES"/>
        </w:rPr>
      </w:pPr>
      <w:r w:rsidRPr="00A75D14">
        <w:rPr>
          <w:rFonts w:ascii="Verdana" w:eastAsia="Calibri" w:hAnsi="Verdana" w:cs="Arial"/>
          <w:shd w:val="clear" w:color="auto" w:fill="FFFFFF"/>
          <w:lang w:val="es-ES"/>
        </w:rPr>
        <w:t>La Agencia Nacional de Contratación Pública – Colombia Compra Eficiente se ha pronunciado sobre</w:t>
      </w:r>
      <w:r>
        <w:rPr>
          <w:rFonts w:ascii="Verdana" w:eastAsia="Calibri" w:hAnsi="Verdana" w:cs="Arial"/>
          <w:shd w:val="clear" w:color="auto" w:fill="FFFFFF"/>
          <w:lang w:val="es-ES"/>
        </w:rPr>
        <w:t xml:space="preserve"> la implementación de los Documentos tipo  en los conceptos </w:t>
      </w:r>
      <w:r w:rsidRPr="00A75D14">
        <w:rPr>
          <w:rFonts w:ascii="Verdana" w:eastAsia="Calibri" w:hAnsi="Verdana" w:cs="Arial"/>
          <w:shd w:val="clear" w:color="auto" w:fill="FFFFFF"/>
          <w:lang w:val="es-ES"/>
        </w:rPr>
        <w:t>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C-055 del 9 de mayo de 2024 y C-079 del 5 de junio de 2024.</w:t>
      </w:r>
      <w:r w:rsidRPr="00C56A6D">
        <w:rPr>
          <w:rFonts w:ascii="Verdana" w:eastAsia="Calibri" w:hAnsi="Verdana" w:cs="Arial"/>
          <w:color w:val="000000"/>
          <w:lang w:val="es-ES"/>
        </w:rPr>
        <w:t xml:space="preserve"> Estos </w:t>
      </w:r>
      <w:r w:rsidRPr="00C56A6D">
        <w:rPr>
          <w:rFonts w:ascii="Verdana" w:hAnsi="Verdana"/>
        </w:rPr>
        <w:t>y otros conceptos se encuentran disponibles para consulta en el Sistema de relatoría de la Agencia, al cual se puede acceder a través del siguiente enlace:</w:t>
      </w:r>
      <w:r w:rsidRPr="00C56A6D">
        <w:rPr>
          <w:rFonts w:ascii="Verdana" w:hAnsi="Verdana" w:cs="Arial"/>
          <w:shd w:val="clear" w:color="auto" w:fill="FFFFFF"/>
          <w:lang w:val="es-ES"/>
        </w:rPr>
        <w:t xml:space="preserve"> </w:t>
      </w:r>
      <w:hyperlink r:id="rId13"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699555F5" w14:textId="77777777" w:rsidR="000D6CD6" w:rsidRPr="00244892" w:rsidRDefault="000D6CD6" w:rsidP="00CB3758">
      <w:pPr>
        <w:widowControl w:val="0"/>
        <w:autoSpaceDE w:val="0"/>
        <w:autoSpaceDN w:val="0"/>
        <w:spacing w:after="0" w:line="276" w:lineRule="auto"/>
        <w:jc w:val="both"/>
        <w:rPr>
          <w:rFonts w:ascii="Verdana" w:hAnsi="Verdana" w:cs="Arial"/>
          <w:color w:val="7030A0"/>
          <w:shd w:val="clear" w:color="auto" w:fill="FFFFFF"/>
          <w:lang w:val="es-ES"/>
        </w:rPr>
      </w:pPr>
    </w:p>
    <w:p w14:paraId="53248AAD" w14:textId="77777777" w:rsidR="00924410" w:rsidRPr="00CE448E" w:rsidRDefault="00924410" w:rsidP="00CB3758">
      <w:pPr>
        <w:spacing w:after="0" w:line="276" w:lineRule="auto"/>
        <w:jc w:val="both"/>
        <w:rPr>
          <w:rFonts w:ascii="Verdana" w:hAnsi="Verdana"/>
        </w:rPr>
      </w:pPr>
    </w:p>
    <w:p w14:paraId="00130932" w14:textId="77777777" w:rsidR="00E36A6C" w:rsidRPr="00942844" w:rsidRDefault="00E36A6C" w:rsidP="00E36A6C">
      <w:pPr>
        <w:widowControl w:val="0"/>
        <w:autoSpaceDE w:val="0"/>
        <w:autoSpaceDN w:val="0"/>
        <w:spacing w:after="0" w:line="276" w:lineRule="auto"/>
        <w:jc w:val="both"/>
        <w:rPr>
          <w:rFonts w:ascii="Verdana" w:eastAsia="Calibri" w:hAnsi="Verdana" w:cs="Arial"/>
          <w:shd w:val="clear" w:color="auto" w:fill="FFFFFF"/>
          <w:lang w:val="es-ES"/>
        </w:rPr>
      </w:pPr>
      <w:r w:rsidRPr="00942844">
        <w:rPr>
          <w:rFonts w:ascii="Verdana" w:hAnsi="Verdana" w:cs="Arial"/>
          <w:shd w:val="clear" w:color="auto" w:fill="FFFFFF"/>
        </w:rPr>
        <w:t xml:space="preserve">También le invitamos a consultar la versión VII  de 2024 , del Boletín de Relatoría </w:t>
      </w:r>
      <w:r w:rsidRPr="00942844">
        <w:rPr>
          <w:rFonts w:ascii="Verdana" w:hAnsi="Verdana" w:cs="Arial"/>
          <w:shd w:val="clear" w:color="auto" w:fill="FFFFFF"/>
        </w:rPr>
        <w:lastRenderedPageBreak/>
        <w:t>de la Subdirección de Gestión Contractual relacionado con las ASOCIACIONES PÚBLICO POPULARES , el cual se puede descargar en la página web de la Agencia: </w:t>
      </w:r>
      <w:hyperlink r:id="rId14" w:tgtFrame="_blank" w:tooltip="Dirección URL original: https://www.colombiacompra.gov.co/sala-de-prensa/boletin-digital. Haga clic o pulse si confía en este vínculo." w:history="1">
        <w:r w:rsidRPr="00942844">
          <w:rPr>
            <w:rStyle w:val="Hipervnculo"/>
            <w:rFonts w:ascii="Verdana" w:hAnsi="Verdana" w:cs="Arial"/>
            <w:shd w:val="clear" w:color="auto" w:fill="FFFFFF"/>
          </w:rPr>
          <w:t>https://www.colombiacompra.gov.co/sala-de-prensa/boletin-digital</w:t>
        </w:r>
      </w:hyperlink>
      <w:r w:rsidRPr="00942844">
        <w:rPr>
          <w:rFonts w:ascii="Verdana" w:hAnsi="Verdana" w:cs="Arial"/>
          <w:shd w:val="clear" w:color="auto" w:fill="FFFFFF"/>
        </w:rPr>
        <w:t>    </w:t>
      </w:r>
    </w:p>
    <w:p w14:paraId="755473A4" w14:textId="77777777" w:rsidR="00E36A6C" w:rsidRPr="00942844" w:rsidRDefault="00E36A6C" w:rsidP="00E36A6C">
      <w:pPr>
        <w:spacing w:after="0" w:line="240" w:lineRule="auto"/>
        <w:jc w:val="both"/>
        <w:rPr>
          <w:rFonts w:ascii="Verdana" w:eastAsia="Calibri" w:hAnsi="Verdana" w:cs="Times New Roman"/>
        </w:rPr>
      </w:pPr>
      <w:r w:rsidRPr="00942844">
        <w:rPr>
          <w:rFonts w:ascii="Verdana" w:eastAsia="Calibri" w:hAnsi="Verdana" w:cs="Times New Roman"/>
        </w:rPr>
        <w:t xml:space="preserve">Por último, los invitamos a seguirnos en las redes sociales, en las cuales se difunde información institucional: </w:t>
      </w:r>
    </w:p>
    <w:p w14:paraId="43E5486D" w14:textId="77777777" w:rsidR="00E36A6C" w:rsidRPr="00942844" w:rsidRDefault="00E36A6C" w:rsidP="00E36A6C">
      <w:pPr>
        <w:spacing w:after="0" w:line="240" w:lineRule="auto"/>
        <w:jc w:val="both"/>
        <w:rPr>
          <w:rFonts w:ascii="Verdana" w:eastAsia="Calibri" w:hAnsi="Verdana" w:cs="Times New Roman"/>
        </w:rPr>
      </w:pPr>
    </w:p>
    <w:p w14:paraId="4E1849CD" w14:textId="77777777" w:rsidR="00E36A6C" w:rsidRPr="00942844" w:rsidRDefault="00E36A6C" w:rsidP="00E36A6C">
      <w:pPr>
        <w:spacing w:after="0" w:line="240" w:lineRule="auto"/>
        <w:jc w:val="both"/>
        <w:rPr>
          <w:rFonts w:ascii="Verdana" w:eastAsia="Calibri" w:hAnsi="Verdana" w:cs="Times New Roman"/>
        </w:rPr>
      </w:pPr>
      <w:r w:rsidRPr="00942844">
        <w:rPr>
          <w:rFonts w:ascii="Verdana" w:eastAsia="Calibri" w:hAnsi="Verdana" w:cs="Times New Roman"/>
        </w:rPr>
        <w:t xml:space="preserve">Twitter: </w:t>
      </w:r>
      <w:r w:rsidRPr="00942844">
        <w:rPr>
          <w:rFonts w:ascii="Verdana" w:eastAsia="Calibri" w:hAnsi="Verdana" w:cs="Times New Roman"/>
          <w:u w:val="single"/>
        </w:rPr>
        <w:t>@colombiacompra</w:t>
      </w:r>
      <w:r w:rsidRPr="00942844">
        <w:rPr>
          <w:rFonts w:ascii="Verdana" w:eastAsia="Calibri" w:hAnsi="Verdana" w:cs="Times New Roman"/>
        </w:rPr>
        <w:t xml:space="preserve"> </w:t>
      </w:r>
    </w:p>
    <w:p w14:paraId="14D40CE6" w14:textId="77777777" w:rsidR="00E36A6C" w:rsidRPr="00942844" w:rsidRDefault="00E36A6C" w:rsidP="00E36A6C">
      <w:pPr>
        <w:spacing w:after="0" w:line="240" w:lineRule="auto"/>
        <w:jc w:val="both"/>
        <w:rPr>
          <w:rFonts w:ascii="Verdana" w:eastAsia="Calibri" w:hAnsi="Verdana" w:cs="Times New Roman"/>
        </w:rPr>
      </w:pPr>
      <w:r w:rsidRPr="00942844">
        <w:rPr>
          <w:rFonts w:ascii="Verdana" w:eastAsia="Calibri" w:hAnsi="Verdana" w:cs="Times New Roman"/>
        </w:rPr>
        <w:t xml:space="preserve">Facebook: </w:t>
      </w:r>
      <w:r w:rsidRPr="00942844">
        <w:rPr>
          <w:rFonts w:ascii="Verdana" w:eastAsia="Calibri" w:hAnsi="Verdana" w:cs="Times New Roman"/>
          <w:u w:val="single"/>
        </w:rPr>
        <w:t>ColombiaCompraEficiente</w:t>
      </w:r>
    </w:p>
    <w:p w14:paraId="25FF9BB6" w14:textId="77777777" w:rsidR="00E36A6C" w:rsidRPr="00942844" w:rsidRDefault="00E36A6C" w:rsidP="00E36A6C">
      <w:pPr>
        <w:spacing w:after="0" w:line="240" w:lineRule="auto"/>
        <w:jc w:val="both"/>
        <w:rPr>
          <w:rFonts w:ascii="Verdana" w:eastAsia="Calibri" w:hAnsi="Verdana" w:cs="Times New Roman"/>
        </w:rPr>
      </w:pPr>
      <w:r w:rsidRPr="00942844">
        <w:rPr>
          <w:rFonts w:ascii="Verdana" w:eastAsia="Calibri" w:hAnsi="Verdana" w:cs="Times New Roman"/>
        </w:rPr>
        <w:t xml:space="preserve">LinkedIn: </w:t>
      </w:r>
      <w:r w:rsidRPr="00942844">
        <w:rPr>
          <w:rFonts w:ascii="Verdana" w:eastAsia="Calibri" w:hAnsi="Verdana" w:cs="Times New Roman"/>
          <w:u w:val="single"/>
        </w:rPr>
        <w:t>Agencia Nacional de Contratación Pública - Colombia Compra Eficiente</w:t>
      </w:r>
      <w:r w:rsidRPr="00942844">
        <w:rPr>
          <w:rFonts w:ascii="Verdana" w:eastAsia="Calibri" w:hAnsi="Verdana" w:cs="Times New Roman"/>
        </w:rPr>
        <w:t xml:space="preserve"> Instagram: </w:t>
      </w:r>
      <w:r w:rsidRPr="00942844">
        <w:rPr>
          <w:rFonts w:ascii="Verdana" w:eastAsia="Calibri" w:hAnsi="Verdana" w:cs="Times New Roman"/>
          <w:u w:val="single"/>
        </w:rPr>
        <w:t>@colombiacompraeficiente_cce</w:t>
      </w:r>
    </w:p>
    <w:p w14:paraId="5A056BE2" w14:textId="77777777" w:rsidR="00E36A6C" w:rsidRPr="00942844" w:rsidRDefault="00E36A6C" w:rsidP="00E36A6C">
      <w:pPr>
        <w:widowControl w:val="0"/>
        <w:autoSpaceDE w:val="0"/>
        <w:autoSpaceDN w:val="0"/>
        <w:spacing w:after="0" w:line="276" w:lineRule="auto"/>
        <w:jc w:val="both"/>
        <w:rPr>
          <w:rFonts w:ascii="Verdana" w:eastAsia="Calibri" w:hAnsi="Verdana" w:cs="Arial"/>
        </w:rPr>
      </w:pPr>
    </w:p>
    <w:p w14:paraId="1D08A3FB" w14:textId="77777777" w:rsidR="00E36A6C" w:rsidRPr="00942844" w:rsidRDefault="00E36A6C" w:rsidP="00E36A6C">
      <w:pPr>
        <w:widowControl w:val="0"/>
        <w:autoSpaceDE w:val="0"/>
        <w:autoSpaceDN w:val="0"/>
        <w:spacing w:after="0" w:line="276" w:lineRule="auto"/>
        <w:jc w:val="both"/>
        <w:rPr>
          <w:rFonts w:ascii="Verdana" w:eastAsia="Calibri" w:hAnsi="Verdana" w:cs="Arial"/>
          <w:lang w:val="es-ES_tradnl"/>
        </w:rPr>
      </w:pPr>
      <w:r w:rsidRPr="00942844">
        <w:rPr>
          <w:rFonts w:ascii="Verdana" w:eastAsia="Calibri" w:hAnsi="Verdana" w:cs="Arial"/>
        </w:rPr>
        <w:t xml:space="preserve">Este concepto tiene el alcance previsto en el artículo 28 del Código de Procedimiento Administrativo y de lo Contencioso Administrativo </w:t>
      </w:r>
      <w:r w:rsidRPr="00942844">
        <w:rPr>
          <w:rFonts w:ascii="Verdana" w:eastAsia="Calibri" w:hAnsi="Verdana" w:cs="Arial"/>
          <w:lang w:val="es-ES_tradnl"/>
        </w:rPr>
        <w:t>y las expresiones aquí utilizadas con mayúscula inicial deben ser entendidas con el significado que les otorga el artículo 2.2.1.1.1.3.1. del Decreto 1082 de 2015.</w:t>
      </w:r>
    </w:p>
    <w:p w14:paraId="08D48E63" w14:textId="77777777" w:rsidR="000D6CD6" w:rsidRPr="00E36A6C" w:rsidRDefault="000D6CD6" w:rsidP="00CB3758">
      <w:pPr>
        <w:widowControl w:val="0"/>
        <w:autoSpaceDE w:val="0"/>
        <w:autoSpaceDN w:val="0"/>
        <w:spacing w:after="0" w:line="276" w:lineRule="auto"/>
        <w:jc w:val="both"/>
        <w:rPr>
          <w:rFonts w:ascii="Verdana" w:hAnsi="Verdana" w:cs="Arial"/>
          <w:lang w:val="es-ES_tradnl"/>
        </w:rPr>
      </w:pPr>
    </w:p>
    <w:p w14:paraId="5D671014" w14:textId="77777777" w:rsidR="000D6CD6" w:rsidRPr="00C56A6D" w:rsidRDefault="000D6CD6" w:rsidP="00CB3758">
      <w:pPr>
        <w:widowControl w:val="0"/>
        <w:autoSpaceDE w:val="0"/>
        <w:autoSpaceDN w:val="0"/>
        <w:spacing w:after="0" w:line="276" w:lineRule="auto"/>
        <w:jc w:val="both"/>
        <w:rPr>
          <w:rFonts w:ascii="Verdana" w:hAnsi="Verdana" w:cs="Arial"/>
        </w:rPr>
      </w:pPr>
    </w:p>
    <w:p w14:paraId="55E0BE3C" w14:textId="77777777" w:rsidR="000D6CD6" w:rsidRPr="00C56A6D" w:rsidRDefault="000D6CD6" w:rsidP="00CB3758">
      <w:pPr>
        <w:spacing w:after="0" w:line="276" w:lineRule="auto"/>
        <w:rPr>
          <w:rFonts w:ascii="Verdana" w:hAnsi="Verdana" w:cs="Arial"/>
          <w:lang w:eastAsia="es-CO"/>
        </w:rPr>
      </w:pPr>
      <w:r w:rsidRPr="00C56A6D">
        <w:rPr>
          <w:rFonts w:ascii="Verdana" w:eastAsia="Times New Roman" w:hAnsi="Verdana" w:cs="Arial"/>
          <w:lang w:eastAsia="es-CO"/>
        </w:rPr>
        <w:t>Atentamente,</w:t>
      </w:r>
      <w:r w:rsidRPr="00C56A6D">
        <w:rPr>
          <w:rFonts w:ascii="Verdana" w:hAnsi="Verdana" w:cs="Arial"/>
          <w:lang w:eastAsia="es-CO"/>
        </w:rPr>
        <w:t xml:space="preserve"> </w:t>
      </w:r>
    </w:p>
    <w:p w14:paraId="29EEDE03" w14:textId="451B832E" w:rsidR="000D6CD6" w:rsidRPr="00C56A6D" w:rsidRDefault="00E72EC1" w:rsidP="00CB3758">
      <w:pPr>
        <w:spacing w:line="276" w:lineRule="auto"/>
        <w:jc w:val="center"/>
        <w:rPr>
          <w:rFonts w:ascii="Verdana" w:hAnsi="Verdana"/>
        </w:rPr>
      </w:pPr>
      <w:r w:rsidRPr="002C3AD6">
        <w:rPr>
          <w:rFonts w:ascii="Century Gothic" w:hAnsi="Century Gothic"/>
          <w:noProof/>
        </w:rPr>
        <w:drawing>
          <wp:inline distT="0" distB="0" distL="0" distR="0" wp14:anchorId="4B845447" wp14:editId="2EA1F61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4BC7E73D" w14:textId="5BE82826" w:rsidR="000D6CD6" w:rsidRPr="00E63C0B" w:rsidRDefault="000D6CD6" w:rsidP="00CB3758">
      <w:pPr>
        <w:spacing w:line="276" w:lineRule="auto"/>
        <w:jc w:val="center"/>
        <w:rPr>
          <w:rFonts w:ascii="Verdana" w:hAnsi="Verdana"/>
          <w:color w:val="000000"/>
          <w:lang w:val="es-ES_tradnl" w:eastAsia="es-CO"/>
        </w:rPr>
      </w:pPr>
    </w:p>
    <w:p w14:paraId="4EFEFA4F" w14:textId="77777777" w:rsidR="000D6CD6" w:rsidRPr="009C5A97" w:rsidRDefault="000D6CD6" w:rsidP="00CB3758">
      <w:pPr>
        <w:spacing w:line="276" w:lineRule="auto"/>
        <w:jc w:val="center"/>
        <w:rPr>
          <w:rFonts w:ascii="Verdana" w:hAnsi="Verdana" w:cs="Arial"/>
          <w:color w:val="000000"/>
          <w:lang w:val="es-ES_tradnl" w:eastAsia="es-CO"/>
        </w:rPr>
      </w:pPr>
    </w:p>
    <w:tbl>
      <w:tblPr>
        <w:tblW w:w="56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4806"/>
      </w:tblGrid>
      <w:tr w:rsidR="000D6CD6" w:rsidRPr="009C5A97" w14:paraId="4951DDF0" w14:textId="77777777" w:rsidTr="00ED4CCE">
        <w:trPr>
          <w:trHeight w:val="319"/>
        </w:trPr>
        <w:tc>
          <w:tcPr>
            <w:tcW w:w="882" w:type="dxa"/>
            <w:tcBorders>
              <w:top w:val="nil"/>
              <w:left w:val="nil"/>
              <w:bottom w:val="nil"/>
              <w:right w:val="nil"/>
            </w:tcBorders>
            <w:vAlign w:val="center"/>
            <w:hideMark/>
          </w:tcPr>
          <w:p w14:paraId="26D578CD" w14:textId="77777777" w:rsidR="000D6CD6" w:rsidRPr="009C5A97" w:rsidRDefault="000D6CD6" w:rsidP="00CB3758">
            <w:pPr>
              <w:spacing w:after="0" w:line="276"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Elaboró: </w:t>
            </w:r>
            <w:r w:rsidRPr="009C5A97">
              <w:rPr>
                <w:rFonts w:ascii="Verdana" w:eastAsia="Times New Roman" w:hAnsi="Verdana" w:cs="Century Gothic"/>
                <w:sz w:val="16"/>
                <w:szCs w:val="16"/>
                <w:lang w:eastAsia="es-CO"/>
              </w:rPr>
              <w:t> </w:t>
            </w:r>
          </w:p>
        </w:tc>
        <w:tc>
          <w:tcPr>
            <w:tcW w:w="4806" w:type="dxa"/>
            <w:tcBorders>
              <w:top w:val="nil"/>
              <w:left w:val="nil"/>
              <w:bottom w:val="dotted" w:sz="6" w:space="0" w:color="7F7F7F" w:themeColor="text1" w:themeTint="80"/>
              <w:right w:val="nil"/>
            </w:tcBorders>
            <w:vAlign w:val="center"/>
            <w:hideMark/>
          </w:tcPr>
          <w:p w14:paraId="66880A9D" w14:textId="36CFF5EF" w:rsidR="000D6CD6" w:rsidRPr="009C5A97" w:rsidRDefault="00F6134B" w:rsidP="00CB3758">
            <w:pPr>
              <w:spacing w:after="0" w:line="276" w:lineRule="auto"/>
              <w:jc w:val="both"/>
              <w:rPr>
                <w:rFonts w:ascii="Verdana" w:eastAsia="Calibri" w:hAnsi="Verdana" w:cs="Arial"/>
                <w:sz w:val="16"/>
                <w:szCs w:val="16"/>
              </w:rPr>
            </w:pPr>
            <w:r>
              <w:rPr>
                <w:rFonts w:ascii="Verdana" w:eastAsia="Calibri" w:hAnsi="Verdana" w:cs="Arial"/>
                <w:sz w:val="16"/>
                <w:szCs w:val="16"/>
              </w:rPr>
              <w:t xml:space="preserve">Diana </w:t>
            </w:r>
            <w:r w:rsidR="00E36A6C">
              <w:rPr>
                <w:rFonts w:ascii="Verdana" w:eastAsia="Calibri" w:hAnsi="Verdana" w:cs="Arial"/>
                <w:sz w:val="16"/>
                <w:szCs w:val="16"/>
              </w:rPr>
              <w:t xml:space="preserve">Carolina Blanco Rodriguez </w:t>
            </w:r>
          </w:p>
          <w:p w14:paraId="0C0C2771" w14:textId="6AD17447" w:rsidR="000D6CD6" w:rsidRPr="009C5A97" w:rsidRDefault="00E36A6C" w:rsidP="00CB3758">
            <w:pPr>
              <w:spacing w:after="0" w:line="276" w:lineRule="auto"/>
              <w:jc w:val="both"/>
              <w:rPr>
                <w:rFonts w:ascii="Verdana" w:eastAsia="Calibri" w:hAnsi="Verdana" w:cs="Arial"/>
                <w:sz w:val="16"/>
                <w:szCs w:val="16"/>
              </w:rPr>
            </w:pPr>
            <w:r>
              <w:rPr>
                <w:rFonts w:ascii="Verdana" w:eastAsia="Calibri" w:hAnsi="Verdana" w:cs="Arial"/>
                <w:sz w:val="16"/>
                <w:szCs w:val="16"/>
              </w:rPr>
              <w:t>Contratista</w:t>
            </w:r>
            <w:r w:rsidR="000D6CD6" w:rsidRPr="009C5A97">
              <w:rPr>
                <w:rFonts w:ascii="Verdana" w:eastAsia="Calibri" w:hAnsi="Verdana" w:cs="Arial"/>
                <w:sz w:val="16"/>
                <w:szCs w:val="16"/>
              </w:rPr>
              <w:t xml:space="preserve"> de la Subdirección de Gestión Contractual</w:t>
            </w:r>
          </w:p>
        </w:tc>
      </w:tr>
      <w:tr w:rsidR="000D6CD6" w:rsidRPr="009C5A97" w14:paraId="2DC6A8B9" w14:textId="77777777" w:rsidTr="00ED4CCE">
        <w:trPr>
          <w:trHeight w:val="319"/>
        </w:trPr>
        <w:tc>
          <w:tcPr>
            <w:tcW w:w="882" w:type="dxa"/>
            <w:tcBorders>
              <w:top w:val="nil"/>
              <w:left w:val="nil"/>
              <w:bottom w:val="nil"/>
              <w:right w:val="nil"/>
            </w:tcBorders>
            <w:vAlign w:val="center"/>
            <w:hideMark/>
          </w:tcPr>
          <w:p w14:paraId="64BC0964" w14:textId="77777777" w:rsidR="000D6CD6" w:rsidRPr="009C5A97" w:rsidRDefault="000D6CD6" w:rsidP="00CB3758">
            <w:pPr>
              <w:spacing w:after="0" w:line="276"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Revisó: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vAlign w:val="center"/>
            <w:hideMark/>
          </w:tcPr>
          <w:p w14:paraId="1CC12CED" w14:textId="24383556" w:rsidR="000D6CD6" w:rsidRPr="009C5A97" w:rsidRDefault="00E36A6C" w:rsidP="00CB3758">
            <w:pPr>
              <w:spacing w:after="0" w:line="276" w:lineRule="auto"/>
              <w:jc w:val="both"/>
              <w:rPr>
                <w:rFonts w:ascii="Verdana" w:eastAsia="Calibri" w:hAnsi="Verdana" w:cs="Arial"/>
                <w:sz w:val="16"/>
                <w:szCs w:val="16"/>
              </w:rPr>
            </w:pPr>
            <w:r>
              <w:rPr>
                <w:rFonts w:ascii="Verdana" w:eastAsia="Calibri" w:hAnsi="Verdana" w:cs="Arial"/>
                <w:sz w:val="16"/>
                <w:szCs w:val="16"/>
              </w:rPr>
              <w:t xml:space="preserve">Adriana López </w:t>
            </w:r>
          </w:p>
          <w:p w14:paraId="39E553A5" w14:textId="77777777" w:rsidR="000D6CD6" w:rsidRPr="009C5A97" w:rsidRDefault="000D6CD6" w:rsidP="00CB3758">
            <w:pPr>
              <w:spacing w:after="0" w:line="276" w:lineRule="auto"/>
              <w:jc w:val="both"/>
              <w:rPr>
                <w:rFonts w:ascii="Verdana" w:eastAsia="Calibri" w:hAnsi="Verdana" w:cs="Arial"/>
                <w:sz w:val="16"/>
                <w:szCs w:val="16"/>
              </w:rPr>
            </w:pPr>
            <w:r>
              <w:rPr>
                <w:rFonts w:ascii="Verdana" w:eastAsia="Calibri" w:hAnsi="Verdana" w:cs="Arial"/>
                <w:sz w:val="16"/>
                <w:szCs w:val="16"/>
              </w:rPr>
              <w:t>Contratista</w:t>
            </w:r>
            <w:r w:rsidRPr="009C5A97">
              <w:rPr>
                <w:rFonts w:ascii="Verdana" w:eastAsia="Calibri" w:hAnsi="Verdana" w:cs="Arial"/>
                <w:sz w:val="16"/>
                <w:szCs w:val="16"/>
              </w:rPr>
              <w:t xml:space="preserve"> de la Subdirección de Gestión Contractual</w:t>
            </w:r>
          </w:p>
        </w:tc>
      </w:tr>
      <w:tr w:rsidR="000D6CD6" w:rsidRPr="009C5A97" w14:paraId="344E8421" w14:textId="77777777" w:rsidTr="00ED4CCE">
        <w:trPr>
          <w:trHeight w:val="304"/>
        </w:trPr>
        <w:tc>
          <w:tcPr>
            <w:tcW w:w="882" w:type="dxa"/>
            <w:tcBorders>
              <w:top w:val="nil"/>
              <w:left w:val="nil"/>
              <w:bottom w:val="nil"/>
              <w:right w:val="nil"/>
            </w:tcBorders>
            <w:vAlign w:val="center"/>
            <w:hideMark/>
          </w:tcPr>
          <w:p w14:paraId="39439B7F" w14:textId="77777777" w:rsidR="000D6CD6" w:rsidRPr="009C5A97" w:rsidRDefault="000D6CD6" w:rsidP="00CB3758">
            <w:pPr>
              <w:spacing w:after="0" w:line="276"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Aprobó: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vAlign w:val="center"/>
            <w:hideMark/>
          </w:tcPr>
          <w:p w14:paraId="71B12C41" w14:textId="77777777" w:rsidR="000D6CD6" w:rsidRPr="009C5A97" w:rsidRDefault="000D6CD6" w:rsidP="00CB3758">
            <w:pPr>
              <w:spacing w:after="0" w:line="276" w:lineRule="auto"/>
              <w:jc w:val="both"/>
              <w:textAlignment w:val="baseline"/>
              <w:rPr>
                <w:rFonts w:ascii="Verdana" w:eastAsia="Calibri" w:hAnsi="Verdana" w:cs="Arial"/>
                <w:sz w:val="16"/>
                <w:szCs w:val="16"/>
              </w:rPr>
            </w:pPr>
            <w:r w:rsidRPr="009C5A97">
              <w:rPr>
                <w:rFonts w:ascii="Verdana" w:eastAsia="Calibri" w:hAnsi="Verdana" w:cs="Arial"/>
                <w:sz w:val="16"/>
                <w:szCs w:val="16"/>
              </w:rPr>
              <w:t>Carolina Quintero Gacharná</w:t>
            </w:r>
          </w:p>
          <w:p w14:paraId="34FBA0A4" w14:textId="77777777" w:rsidR="000D6CD6" w:rsidRPr="009C5A97" w:rsidRDefault="000D6CD6" w:rsidP="00CB3758">
            <w:pPr>
              <w:spacing w:after="0" w:line="276" w:lineRule="auto"/>
              <w:jc w:val="both"/>
              <w:textAlignment w:val="baseline"/>
              <w:rPr>
                <w:rFonts w:ascii="Verdana" w:eastAsia="Calibri" w:hAnsi="Verdana" w:cs="Arial"/>
                <w:sz w:val="16"/>
                <w:szCs w:val="16"/>
              </w:rPr>
            </w:pPr>
            <w:r w:rsidRPr="009C5A97">
              <w:rPr>
                <w:rFonts w:ascii="Verdana" w:eastAsia="Calibri" w:hAnsi="Verdana" w:cs="Arial"/>
                <w:sz w:val="16"/>
                <w:szCs w:val="16"/>
              </w:rPr>
              <w:t>Subdirectora de Gestión Contractual ANCP-CCE </w:t>
            </w:r>
          </w:p>
        </w:tc>
      </w:tr>
    </w:tbl>
    <w:p w14:paraId="432FA394" w14:textId="77777777" w:rsidR="000D6CD6" w:rsidRPr="009C5A97" w:rsidRDefault="000D6CD6" w:rsidP="00CB3758">
      <w:pPr>
        <w:spacing w:after="0" w:line="276" w:lineRule="auto"/>
        <w:rPr>
          <w:rFonts w:ascii="Verdana" w:eastAsia="Times New Roman" w:hAnsi="Verdana" w:cs="Arial"/>
          <w:sz w:val="24"/>
          <w:szCs w:val="24"/>
          <w:lang w:eastAsia="es-ES"/>
        </w:rPr>
      </w:pPr>
    </w:p>
    <w:p w14:paraId="15A34A72" w14:textId="77777777" w:rsidR="000D6CD6" w:rsidRPr="00E63C0B" w:rsidRDefault="000D6CD6" w:rsidP="00CB3758">
      <w:pPr>
        <w:spacing w:line="276" w:lineRule="auto"/>
        <w:rPr>
          <w:rFonts w:ascii="Verdana" w:hAnsi="Verdana"/>
        </w:rPr>
      </w:pPr>
    </w:p>
    <w:p w14:paraId="346BBD8C" w14:textId="77777777" w:rsidR="000D6CD6" w:rsidRPr="0044528D" w:rsidRDefault="000D6CD6" w:rsidP="00CB3758">
      <w:pPr>
        <w:spacing w:after="0" w:line="276" w:lineRule="auto"/>
        <w:rPr>
          <w:rFonts w:ascii="Verdana" w:hAnsi="Verdana"/>
        </w:rPr>
      </w:pPr>
    </w:p>
    <w:p w14:paraId="24537E4D" w14:textId="77777777" w:rsidR="000D6CD6" w:rsidRPr="0044528D" w:rsidRDefault="000D6CD6" w:rsidP="00CB3758">
      <w:pPr>
        <w:spacing w:after="0" w:line="276" w:lineRule="auto"/>
        <w:rPr>
          <w:rFonts w:ascii="Verdana" w:hAnsi="Verdana"/>
        </w:rPr>
      </w:pPr>
    </w:p>
    <w:p w14:paraId="0F293BF4" w14:textId="7BBFAB11" w:rsidR="00127233" w:rsidRPr="00E63C0B" w:rsidRDefault="00127233" w:rsidP="00CB3758">
      <w:pPr>
        <w:spacing w:line="276" w:lineRule="auto"/>
        <w:rPr>
          <w:rFonts w:ascii="Verdana" w:hAnsi="Verdana"/>
        </w:rPr>
      </w:pPr>
    </w:p>
    <w:sectPr w:rsidR="00127233" w:rsidRPr="00E63C0B" w:rsidSect="008A17A5">
      <w:headerReference w:type="default" r:id="rId16"/>
      <w:footerReference w:type="default" r:id="rId17"/>
      <w:pgSz w:w="12240" w:h="15840" w:code="1"/>
      <w:pgMar w:top="1417" w:right="160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23CA" w14:textId="77777777" w:rsidR="00DB6237" w:rsidRDefault="00DB6237" w:rsidP="004A1847">
      <w:pPr>
        <w:spacing w:after="0" w:line="240" w:lineRule="auto"/>
      </w:pPr>
      <w:r>
        <w:separator/>
      </w:r>
    </w:p>
  </w:endnote>
  <w:endnote w:type="continuationSeparator" w:id="0">
    <w:p w14:paraId="09866E7D" w14:textId="77777777" w:rsidR="00DB6237" w:rsidRDefault="00DB6237" w:rsidP="004A1847">
      <w:pPr>
        <w:spacing w:after="0" w:line="240" w:lineRule="auto"/>
      </w:pPr>
      <w:r>
        <w:continuationSeparator/>
      </w:r>
    </w:p>
  </w:endnote>
  <w:endnote w:type="continuationNotice" w:id="1">
    <w:p w14:paraId="69AAC16A" w14:textId="77777777" w:rsidR="00DB6237" w:rsidRDefault="00DB6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A3C6" w14:textId="77777777" w:rsidR="00DB6237" w:rsidRDefault="00DB6237" w:rsidP="004A1847">
      <w:pPr>
        <w:spacing w:after="0" w:line="240" w:lineRule="auto"/>
      </w:pPr>
      <w:r>
        <w:separator/>
      </w:r>
    </w:p>
  </w:footnote>
  <w:footnote w:type="continuationSeparator" w:id="0">
    <w:p w14:paraId="62EFF727" w14:textId="77777777" w:rsidR="00DB6237" w:rsidRDefault="00DB6237" w:rsidP="004A1847">
      <w:pPr>
        <w:spacing w:after="0" w:line="240" w:lineRule="auto"/>
      </w:pPr>
      <w:r>
        <w:continuationSeparator/>
      </w:r>
    </w:p>
  </w:footnote>
  <w:footnote w:type="continuationNotice" w:id="1">
    <w:p w14:paraId="5B159438" w14:textId="77777777" w:rsidR="00DB6237" w:rsidRDefault="00DB6237">
      <w:pPr>
        <w:spacing w:after="0" w:line="240" w:lineRule="auto"/>
      </w:pPr>
    </w:p>
  </w:footnote>
  <w:footnote w:id="2">
    <w:p w14:paraId="185B5958" w14:textId="4FAEF729" w:rsidR="00881D83" w:rsidRPr="005966AF" w:rsidRDefault="00881D83" w:rsidP="00881D83">
      <w:pPr>
        <w:pStyle w:val="Textonotapie"/>
        <w:jc w:val="both"/>
        <w:rPr>
          <w:rFonts w:ascii="Verdana" w:hAnsi="Verdana" w:cs="Arial"/>
          <w:sz w:val="14"/>
          <w:szCs w:val="14"/>
        </w:rPr>
      </w:pPr>
      <w:r>
        <w:rPr>
          <w:rStyle w:val="Refdenotaalpie"/>
        </w:rPr>
        <w:footnoteRef/>
      </w:r>
      <w:r>
        <w:t xml:space="preserve"> </w:t>
      </w:r>
      <w:r w:rsidRPr="00881D83">
        <w:rPr>
          <w:rFonts w:ascii="Verdana" w:hAnsi="Verdana" w:cs="Arial"/>
          <w:sz w:val="14"/>
          <w:szCs w:val="14"/>
          <w:lang w:val="es-CO"/>
        </w:rPr>
        <w:t>CONGRESO DE LA REPÚBLICA. Gacetas legislativas No. 1860 y 1861 de 2021, de Cámara de Representantes y Senado, respectivamente</w:t>
      </w:r>
    </w:p>
    <w:p w14:paraId="037F342D" w14:textId="77777777" w:rsidR="00881D83" w:rsidRPr="00FA05C3" w:rsidRDefault="00881D83" w:rsidP="00881D83">
      <w:pPr>
        <w:pStyle w:val="Textonotapie"/>
      </w:pPr>
    </w:p>
  </w:footnote>
  <w:footnote w:id="3">
    <w:p w14:paraId="7596E14A" w14:textId="77777777" w:rsidR="000D6CD6" w:rsidRPr="00983A2D" w:rsidRDefault="000D6CD6" w:rsidP="000D6CD6">
      <w:pPr>
        <w:pStyle w:val="Textonotapie"/>
        <w:rPr>
          <w:sz w:val="14"/>
          <w:szCs w:val="14"/>
          <w:lang w:val="es-CO"/>
        </w:rPr>
      </w:pPr>
      <w:r>
        <w:rPr>
          <w:rStyle w:val="Refdenotaalpie"/>
        </w:rPr>
        <w:footnoteRef/>
      </w:r>
      <w:r>
        <w:t xml:space="preserve"> </w:t>
      </w:r>
      <w:r w:rsidRPr="00983A2D">
        <w:rPr>
          <w:rFonts w:ascii="Verdana" w:hAnsi="Verdana" w:cs="Arial"/>
          <w:color w:val="000000"/>
          <w:sz w:val="14"/>
          <w:szCs w:val="14"/>
          <w:lang w:val="es-ES"/>
        </w:rPr>
        <w:t>Según García de Enterría, “Estos concepto jurídicos indeterminados, o que se contienen en lo que también se llaman las normas flexibles, son consustanciales a toda la técnica jurídica y no</w:t>
      </w:r>
      <w:r w:rsidRPr="00743AC5">
        <w:rPr>
          <w:rFonts w:ascii="Verdana" w:hAnsi="Verdana" w:cs="Arial"/>
          <w:color w:val="000000"/>
          <w:sz w:val="18"/>
          <w:szCs w:val="18"/>
          <w:lang w:val="es-ES"/>
        </w:rPr>
        <w:t xml:space="preserve"> </w:t>
      </w:r>
      <w:r w:rsidRPr="00983A2D">
        <w:rPr>
          <w:rFonts w:ascii="Verdana" w:hAnsi="Verdana" w:cs="Arial"/>
          <w:color w:val="000000"/>
          <w:sz w:val="14"/>
          <w:szCs w:val="14"/>
          <w:lang w:val="es-ES"/>
        </w:rPr>
        <w:t>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4">
    <w:p w14:paraId="384DBC09" w14:textId="77777777" w:rsidR="000D6CD6" w:rsidRPr="00983A2D" w:rsidRDefault="000D6CD6" w:rsidP="000D6CD6">
      <w:pPr>
        <w:pStyle w:val="Textonotapie"/>
        <w:ind w:firstLine="709"/>
        <w:jc w:val="both"/>
        <w:rPr>
          <w:rFonts w:ascii="Verdana" w:hAnsi="Verdana" w:cs="Arial"/>
          <w:color w:val="000000"/>
          <w:sz w:val="14"/>
          <w:szCs w:val="14"/>
        </w:rPr>
      </w:pPr>
      <w:r>
        <w:rPr>
          <w:rStyle w:val="Refdenotaalpie"/>
        </w:rPr>
        <w:footnoteRef/>
      </w:r>
      <w:r>
        <w:t xml:space="preserve"> </w:t>
      </w:r>
      <w:r w:rsidRPr="00983A2D">
        <w:rPr>
          <w:rFonts w:ascii="Verdana" w:hAnsi="Verdana" w:cs="Arial"/>
          <w:color w:val="000000"/>
          <w:sz w:val="14"/>
          <w:szCs w:val="14"/>
        </w:rPr>
        <w:t xml:space="preserve">La redacción original del parágrafo primero del artículo 32 de la Ley 80 de 1993, incluía la expresión </w:t>
      </w:r>
      <w:r w:rsidRPr="00983A2D">
        <w:rPr>
          <w:rFonts w:ascii="Verdana" w:hAnsi="Verdana" w:cs="Arial"/>
          <w:i/>
          <w:iCs/>
          <w:color w:val="000000"/>
          <w:sz w:val="14"/>
          <w:szCs w:val="14"/>
        </w:rPr>
        <w:t>giro ordinario</w:t>
      </w:r>
      <w:r w:rsidRPr="00983A2D">
        <w:rPr>
          <w:rFonts w:ascii="Verdana" w:hAnsi="Verdana" w:cs="Arial"/>
          <w:color w:val="000000"/>
          <w:sz w:val="14"/>
          <w:szCs w:val="14"/>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983A2D">
        <w:rPr>
          <w:rFonts w:ascii="Verdana" w:hAnsi="Verdana" w:cs="Arial"/>
          <w:i/>
          <w:iCs/>
          <w:color w:val="000000"/>
          <w:sz w:val="14"/>
          <w:szCs w:val="14"/>
        </w:rPr>
        <w:t>al giro ordinario de las actividades propias de su objeto social,</w:t>
      </w:r>
      <w:r w:rsidRPr="00983A2D">
        <w:rPr>
          <w:rFonts w:ascii="Verdana" w:hAnsi="Verdana" w:cs="Arial"/>
          <w:color w:val="000000"/>
          <w:sz w:val="14"/>
          <w:szCs w:val="14"/>
        </w:rPr>
        <w:t xml:space="preserve"> no estarán sujetos a las disposiciones del presente estatuto y se regirán por las disposiciones legales y reglamentarias aplicables a dichas actividades” [Énfasis fuera de texto].</w:t>
      </w:r>
    </w:p>
    <w:p w14:paraId="19336B55" w14:textId="77777777" w:rsidR="000D6CD6" w:rsidRPr="00B36949" w:rsidRDefault="000D6CD6" w:rsidP="000D6CD6">
      <w:pPr>
        <w:pStyle w:val="Textonotapie"/>
      </w:pPr>
    </w:p>
  </w:footnote>
  <w:footnote w:id="5">
    <w:p w14:paraId="64A948FC" w14:textId="77777777" w:rsidR="000D6CD6" w:rsidRPr="00E63C0B" w:rsidRDefault="000D6CD6" w:rsidP="000D6CD6">
      <w:pPr>
        <w:pStyle w:val="Textonotapie"/>
        <w:ind w:firstLine="709"/>
        <w:jc w:val="both"/>
        <w:rPr>
          <w:rFonts w:ascii="Verdana" w:hAnsi="Verdana" w:cs="Arial"/>
          <w:color w:val="000000"/>
          <w:sz w:val="14"/>
          <w:szCs w:val="14"/>
          <w:lang w:val="pt-PT"/>
        </w:rPr>
      </w:pPr>
      <w:r>
        <w:rPr>
          <w:rStyle w:val="Refdenotaalpie"/>
        </w:rPr>
        <w:footnoteRef/>
      </w:r>
      <w:r>
        <w:t xml:space="preserve"> </w:t>
      </w:r>
      <w:r w:rsidRPr="00983A2D">
        <w:rPr>
          <w:rFonts w:ascii="Verdana" w:hAnsi="Verdana" w:cs="Arial"/>
          <w:color w:val="000000"/>
          <w:sz w:val="14"/>
          <w:szCs w:val="14"/>
        </w:rPr>
        <w:t xml:space="preserve">Consejo de Estado. Sección Tercera. Subsección B. Sentencia del 12 de octubre de 2011. </w:t>
      </w:r>
      <w:r w:rsidRPr="00E63C0B">
        <w:rPr>
          <w:rFonts w:ascii="Verdana" w:hAnsi="Verdana" w:cs="Arial"/>
          <w:color w:val="000000"/>
          <w:sz w:val="14"/>
          <w:szCs w:val="14"/>
          <w:lang w:val="pt-PT"/>
        </w:rPr>
        <w:t>Exp. No. 20070. C.P. Danilo Rojas Betancourt.</w:t>
      </w:r>
    </w:p>
    <w:p w14:paraId="4D61D2B9" w14:textId="77777777" w:rsidR="000D6CD6" w:rsidRPr="00E63C0B" w:rsidRDefault="000D6CD6" w:rsidP="000D6CD6">
      <w:pPr>
        <w:pStyle w:val="Textonotapie"/>
        <w:rPr>
          <w:lang w:val="pt-PT"/>
        </w:rPr>
      </w:pPr>
    </w:p>
  </w:footnote>
  <w:footnote w:id="6">
    <w:p w14:paraId="3CDDE19E" w14:textId="77777777" w:rsidR="000D6CD6" w:rsidRPr="00983A2D" w:rsidRDefault="000D6CD6" w:rsidP="000D6CD6">
      <w:pPr>
        <w:spacing w:line="240" w:lineRule="auto"/>
        <w:ind w:firstLine="709"/>
        <w:jc w:val="both"/>
        <w:rPr>
          <w:rFonts w:ascii="Verdana" w:hAnsi="Verdana" w:cs="Arial"/>
          <w:color w:val="000000"/>
          <w:sz w:val="14"/>
          <w:szCs w:val="14"/>
        </w:rPr>
      </w:pPr>
      <w:r>
        <w:rPr>
          <w:rStyle w:val="Refdenotaalpie"/>
        </w:rPr>
        <w:footnoteRef/>
      </w:r>
      <w:r w:rsidRPr="00E63C0B">
        <w:rPr>
          <w:lang w:val="pt-PT"/>
        </w:rPr>
        <w:t xml:space="preserve"> </w:t>
      </w:r>
      <w:r w:rsidRPr="00E63C0B">
        <w:rPr>
          <w:rFonts w:ascii="Verdana" w:hAnsi="Verdana" w:cs="Arial"/>
          <w:color w:val="000000"/>
          <w:sz w:val="14"/>
          <w:szCs w:val="14"/>
          <w:lang w:val="pt-PT"/>
        </w:rPr>
        <w:t xml:space="preserve">Consejo de Estado. </w:t>
      </w:r>
      <w:r w:rsidRPr="00983A2D">
        <w:rPr>
          <w:rFonts w:ascii="Verdana" w:hAnsi="Verdana" w:cs="Arial"/>
          <w:color w:val="000000"/>
          <w:sz w:val="14"/>
          <w:szCs w:val="14"/>
        </w:rPr>
        <w:t>Sección Tercera. Subsección A. Sentencia del 3 de marzo de 2021. Exp. No. 51373. C.P. José Roberto Sáchica Méndez.</w:t>
      </w:r>
    </w:p>
    <w:p w14:paraId="27253F25" w14:textId="77777777" w:rsidR="000D6CD6" w:rsidRPr="000942EA" w:rsidRDefault="000D6CD6" w:rsidP="000D6CD6">
      <w:pPr>
        <w:pStyle w:val="Textonotapie"/>
        <w:rPr>
          <w:lang w:val="es-CO"/>
        </w:rPr>
      </w:pPr>
    </w:p>
  </w:footnote>
  <w:footnote w:id="7">
    <w:p w14:paraId="5AF432A0" w14:textId="77777777" w:rsidR="000D6CD6" w:rsidRPr="007B7F0B" w:rsidRDefault="000D6CD6" w:rsidP="000D6CD6">
      <w:pPr>
        <w:pStyle w:val="Textonotapie"/>
        <w:ind w:firstLine="709"/>
        <w:jc w:val="both"/>
        <w:rPr>
          <w:rFonts w:ascii="Verdana" w:hAnsi="Verdana" w:cs="Arial"/>
          <w:color w:val="000000"/>
          <w:sz w:val="14"/>
          <w:szCs w:val="14"/>
        </w:rPr>
      </w:pPr>
      <w:r>
        <w:rPr>
          <w:rStyle w:val="Refdenotaalpie"/>
        </w:rPr>
        <w:footnoteRef/>
      </w:r>
      <w:r>
        <w:t xml:space="preserve"> </w:t>
      </w:r>
      <w:r w:rsidRPr="007B7F0B">
        <w:rPr>
          <w:rFonts w:ascii="Verdana" w:hAnsi="Verdana" w:cs="Arial"/>
          <w:color w:val="000000"/>
          <w:sz w:val="14"/>
          <w:szCs w:val="14"/>
        </w:rPr>
        <w:t>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65470934" w14:textId="77777777" w:rsidR="000D6CD6" w:rsidRPr="007B7F0B" w:rsidRDefault="000D6CD6" w:rsidP="000D6CD6">
      <w:pPr>
        <w:pStyle w:val="Textonotapie"/>
        <w:ind w:firstLine="709"/>
        <w:jc w:val="both"/>
        <w:rPr>
          <w:rFonts w:ascii="Verdana" w:hAnsi="Verdana" w:cs="Arial"/>
          <w:color w:val="000000"/>
          <w:sz w:val="14"/>
          <w:szCs w:val="14"/>
        </w:rPr>
      </w:pPr>
      <w:r w:rsidRPr="007B7F0B">
        <w:rPr>
          <w:rFonts w:ascii="Verdana" w:hAnsi="Verdana" w:cs="Arial"/>
          <w:color w:val="000000"/>
          <w:sz w:val="14"/>
          <w:szCs w:val="14"/>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p w14:paraId="7138EB00" w14:textId="77777777" w:rsidR="000D6CD6" w:rsidRPr="003B5BA9" w:rsidRDefault="000D6CD6" w:rsidP="000D6CD6">
      <w:pPr>
        <w:pStyle w:val="Textonotapie"/>
        <w:rPr>
          <w:lang w:val="es-CO"/>
        </w:rPr>
      </w:pPr>
    </w:p>
  </w:footnote>
  <w:footnote w:id="8">
    <w:p w14:paraId="4399D56D" w14:textId="77777777" w:rsidR="00A16F5D" w:rsidRPr="00A87684" w:rsidRDefault="00A16F5D" w:rsidP="00A16F5D">
      <w:pPr>
        <w:pStyle w:val="Textonotapie"/>
        <w:ind w:firstLine="709"/>
        <w:jc w:val="both"/>
        <w:rPr>
          <w:color w:val="4472C4" w:themeColor="accent1"/>
          <w:lang w:val="es-CO"/>
        </w:rPr>
      </w:pPr>
      <w:r w:rsidRPr="00A87684">
        <w:rPr>
          <w:rFonts w:ascii="Verdana" w:hAnsi="Verdana" w:cs="Arial"/>
          <w:color w:val="000000"/>
          <w:sz w:val="14"/>
          <w:szCs w:val="14"/>
        </w:rPr>
        <w:footnoteRef/>
      </w:r>
      <w:r w:rsidRPr="00A87684">
        <w:rPr>
          <w:rFonts w:ascii="Verdana" w:hAnsi="Verdana" w:cs="Arial"/>
          <w:color w:val="000000"/>
          <w:sz w:val="14"/>
          <w:szCs w:val="14"/>
        </w:rPr>
        <w:t xml:space="preserve"> Superintendencia de Sociedades. Oficio 220-014111 del 18 de febrero de 2015. Consultado el 4 de junio de 2024 en: </w:t>
      </w:r>
      <w:r w:rsidRPr="00A87684">
        <w:rPr>
          <w:rFonts w:ascii="Verdana" w:hAnsi="Verdana" w:cs="Arial"/>
          <w:color w:val="4472C4" w:themeColor="accent1"/>
          <w:sz w:val="14"/>
          <w:szCs w:val="14"/>
        </w:rPr>
        <w:t>https://www.google.com/url?sa=t&amp;source=web&amp;rct=j&amp;opi=89978449&amp;url=https://www.superso ciedades.gov.co/documents/107391/159040/OFICIO%2B220- 014111%2BDE%2B2015.pdf/eb5e710f-d8b7-df76-125b960ff46a9304%3Ft%3D1670899573061%26download%3Dtrue&amp;ved=2ahUKEwj9kJParMKGAxXu TTABHaENC7wQFnoECBIQAQ&amp;usg=AOvVaw3ndDRzYhuwXRRSLBYPpr25</w:t>
      </w:r>
      <w:r w:rsidRPr="00A87684">
        <w:rPr>
          <w:color w:val="4472C4" w:themeColor="accent1"/>
          <w:lang w:val="es-CO"/>
        </w:rPr>
        <w:t xml:space="preserve"> </w:t>
      </w:r>
    </w:p>
    <w:p w14:paraId="523FB8D2" w14:textId="7F9D8EA3" w:rsidR="00A16F5D" w:rsidRPr="007B7F0B" w:rsidRDefault="00A16F5D" w:rsidP="00A16F5D">
      <w:pPr>
        <w:pStyle w:val="Textonotapie"/>
        <w:ind w:firstLine="709"/>
        <w:jc w:val="both"/>
        <w:rPr>
          <w:rFonts w:ascii="Verdana" w:hAnsi="Verdana" w:cs="Arial"/>
          <w:color w:val="000000"/>
          <w:sz w:val="14"/>
          <w:szCs w:val="14"/>
        </w:rPr>
      </w:pPr>
    </w:p>
    <w:p w14:paraId="71A231C5" w14:textId="77777777" w:rsidR="00A16F5D" w:rsidRPr="003B5BA9" w:rsidRDefault="00A16F5D" w:rsidP="00A16F5D">
      <w:pPr>
        <w:pStyle w:val="Textonotapie"/>
        <w:rPr>
          <w:lang w:val="es-CO"/>
        </w:rPr>
      </w:pPr>
    </w:p>
  </w:footnote>
  <w:footnote w:id="9">
    <w:p w14:paraId="6A46C8A9" w14:textId="77777777" w:rsidR="00A16F5D" w:rsidRPr="007B7F0B" w:rsidRDefault="00A87684" w:rsidP="00A16F5D">
      <w:pPr>
        <w:pStyle w:val="Textonotapie"/>
        <w:ind w:firstLine="709"/>
        <w:jc w:val="both"/>
        <w:rPr>
          <w:rFonts w:ascii="Verdana" w:hAnsi="Verdana" w:cs="Arial"/>
          <w:color w:val="000000"/>
          <w:sz w:val="14"/>
          <w:szCs w:val="14"/>
        </w:rPr>
      </w:pPr>
      <w:r>
        <w:rPr>
          <w:rStyle w:val="Refdenotaalpie"/>
        </w:rPr>
        <w:footnoteRef/>
      </w:r>
      <w:r>
        <w:t xml:space="preserve"> </w:t>
      </w:r>
      <w:r w:rsidR="00A16F5D" w:rsidRPr="00A87684">
        <w:rPr>
          <w:rFonts w:ascii="Verdana" w:hAnsi="Verdana" w:cs="Arial"/>
          <w:color w:val="000000"/>
          <w:sz w:val="14"/>
          <w:szCs w:val="14"/>
        </w:rPr>
        <w:t>Al respecto ha señalado la Corte Constitucional: “En relación con el ámbito de configuración del legislador en materia contractual la jurisprudencia constitucional ha señalado los siguientes criterios: (i)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 (ii)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 (iii)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w:t>
      </w:r>
      <w:r w:rsidR="00A16F5D">
        <w:rPr>
          <w:rFonts w:ascii="Verdana" w:hAnsi="Verdana" w:cs="Arial"/>
          <w:color w:val="000000"/>
          <w:sz w:val="14"/>
          <w:szCs w:val="14"/>
        </w:rPr>
        <w:t xml:space="preserve"> </w:t>
      </w:r>
      <w:r w:rsidR="00A16F5D" w:rsidRPr="0031412D">
        <w:rPr>
          <w:rFonts w:ascii="Verdana" w:hAnsi="Verdana" w:cs="Arial"/>
          <w:color w:val="000000"/>
          <w:sz w:val="14"/>
          <w:szCs w:val="14"/>
          <w:lang w:val="es-CO"/>
        </w:rPr>
        <w:t>contratos y solución de las controversias contractuales, entre otros, todo dentro de los límites de razonabilidad y proporcionalidad y con arreglo a los parámetros constitucionales”. Sentencia C713 del 7 de octubre de 2009. M.P. María Victoria Calle Correa.</w:t>
      </w:r>
    </w:p>
    <w:p w14:paraId="2B660D2B" w14:textId="388CED36" w:rsidR="00A87684" w:rsidRPr="003B5BA9" w:rsidRDefault="00A87684" w:rsidP="00A16F5D">
      <w:pPr>
        <w:pStyle w:val="Textonotapie"/>
        <w:ind w:firstLine="709"/>
        <w:jc w:val="both"/>
        <w:rPr>
          <w:lang w:val="es-CO"/>
        </w:rPr>
      </w:pPr>
    </w:p>
  </w:footnote>
  <w:footnote w:id="10">
    <w:p w14:paraId="14BD5358" w14:textId="6B9D7770" w:rsidR="00A87684" w:rsidRPr="007B7F0B" w:rsidRDefault="00A87684" w:rsidP="00A87684">
      <w:pPr>
        <w:pStyle w:val="Textonotapie"/>
        <w:ind w:firstLine="709"/>
        <w:jc w:val="both"/>
        <w:rPr>
          <w:rFonts w:ascii="Verdana" w:hAnsi="Verdana" w:cs="Arial"/>
          <w:color w:val="000000"/>
          <w:sz w:val="14"/>
          <w:szCs w:val="14"/>
        </w:rPr>
      </w:pPr>
      <w:r w:rsidRPr="00A87684">
        <w:rPr>
          <w:rFonts w:ascii="Verdana" w:hAnsi="Verdana" w:cs="Arial"/>
          <w:color w:val="000000"/>
          <w:sz w:val="14"/>
          <w:szCs w:val="14"/>
        </w:rPr>
        <w:footnoteRef/>
      </w:r>
      <w:r w:rsidR="00A16F5D">
        <w:rPr>
          <w:rFonts w:ascii="Verdana" w:hAnsi="Verdana" w:cs="Arial"/>
          <w:color w:val="000000"/>
          <w:sz w:val="14"/>
          <w:szCs w:val="14"/>
        </w:rPr>
        <w:t xml:space="preserve"> </w:t>
      </w:r>
      <w:r w:rsidR="00A16F5D" w:rsidRPr="00A16F5D">
        <w:rPr>
          <w:rFonts w:ascii="Verdana" w:hAnsi="Verdana" w:cs="Arial"/>
          <w:color w:val="000000"/>
          <w:sz w:val="14"/>
          <w:szCs w:val="14"/>
          <w:lang w:val="es-CO"/>
        </w:rPr>
        <w:t>Consejo de Estado. Sección Tercera. Subsección A. Sentencia del 24 de junio de 2015. Exp. 40.635. Consejero Ponente: Hernán Andrade Rincón (E).</w:t>
      </w:r>
    </w:p>
    <w:p w14:paraId="3E3316BC" w14:textId="77777777" w:rsidR="00A87684" w:rsidRPr="003B5BA9" w:rsidRDefault="00A87684" w:rsidP="00A87684">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93899573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98518109" name="Imagen 99851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mso1B13"/>
      </v:shape>
    </w:pict>
  </w:numPicBullet>
  <w:abstractNum w:abstractNumId="0" w15:restartNumberingAfterBreak="0">
    <w:nsid w:val="01485A45"/>
    <w:multiLevelType w:val="multilevel"/>
    <w:tmpl w:val="94BC895E"/>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590" w:hanging="144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670" w:hanging="1800"/>
      </w:pPr>
      <w:rPr>
        <w:rFonts w:hint="default"/>
      </w:rPr>
    </w:lvl>
    <w:lvl w:ilvl="7">
      <w:start w:val="1"/>
      <w:numFmt w:val="decimal"/>
      <w:isLgl/>
      <w:lvlText w:val="%1.%2.%3.%4.%5.%6.%7.%8"/>
      <w:lvlJc w:val="left"/>
      <w:pPr>
        <w:ind w:left="5390" w:hanging="2160"/>
      </w:pPr>
      <w:rPr>
        <w:rFonts w:hint="default"/>
      </w:rPr>
    </w:lvl>
    <w:lvl w:ilvl="8">
      <w:start w:val="1"/>
      <w:numFmt w:val="decimal"/>
      <w:isLgl/>
      <w:lvlText w:val="%1.%2.%3.%4.%5.%6.%7.%8.%9"/>
      <w:lvlJc w:val="left"/>
      <w:pPr>
        <w:ind w:left="5750" w:hanging="2160"/>
      </w:pPr>
      <w:rPr>
        <w:rFont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7DB2567"/>
    <w:multiLevelType w:val="hybridMultilevel"/>
    <w:tmpl w:val="424AA6F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2"/>
  </w:num>
  <w:num w:numId="13" w16cid:durableId="1512908409">
    <w:abstractNumId w:val="4"/>
  </w:num>
  <w:num w:numId="14" w16cid:durableId="895897244">
    <w:abstractNumId w:val="16"/>
  </w:num>
  <w:num w:numId="15" w16cid:durableId="390349800">
    <w:abstractNumId w:val="12"/>
  </w:num>
  <w:num w:numId="16" w16cid:durableId="341274352">
    <w:abstractNumId w:val="1"/>
  </w:num>
  <w:num w:numId="17" w16cid:durableId="679089576">
    <w:abstractNumId w:val="10"/>
  </w:num>
  <w:num w:numId="18" w16cid:durableId="631398977">
    <w:abstractNumId w:val="0"/>
  </w:num>
  <w:num w:numId="19" w16cid:durableId="266427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05"/>
    <w:rsid w:val="000264C6"/>
    <w:rsid w:val="00061B2A"/>
    <w:rsid w:val="000672DB"/>
    <w:rsid w:val="00082362"/>
    <w:rsid w:val="000A683E"/>
    <w:rsid w:val="000B19B9"/>
    <w:rsid w:val="000D0334"/>
    <w:rsid w:val="000D6CD6"/>
    <w:rsid w:val="000F6486"/>
    <w:rsid w:val="00125105"/>
    <w:rsid w:val="00127233"/>
    <w:rsid w:val="001E4177"/>
    <w:rsid w:val="001F7DC6"/>
    <w:rsid w:val="002421BB"/>
    <w:rsid w:val="00255BCC"/>
    <w:rsid w:val="0025796E"/>
    <w:rsid w:val="002707A2"/>
    <w:rsid w:val="002951A0"/>
    <w:rsid w:val="002962BC"/>
    <w:rsid w:val="002A093D"/>
    <w:rsid w:val="002A0DD0"/>
    <w:rsid w:val="002A49AC"/>
    <w:rsid w:val="002A64FD"/>
    <w:rsid w:val="002C7A84"/>
    <w:rsid w:val="002E4FD9"/>
    <w:rsid w:val="0031412D"/>
    <w:rsid w:val="00322A85"/>
    <w:rsid w:val="00324168"/>
    <w:rsid w:val="003448F4"/>
    <w:rsid w:val="003670C9"/>
    <w:rsid w:val="00374F5E"/>
    <w:rsid w:val="00377E3E"/>
    <w:rsid w:val="00383451"/>
    <w:rsid w:val="003A26D1"/>
    <w:rsid w:val="003A779E"/>
    <w:rsid w:val="003D0F4D"/>
    <w:rsid w:val="003D5B0D"/>
    <w:rsid w:val="003E0499"/>
    <w:rsid w:val="003F3941"/>
    <w:rsid w:val="00406575"/>
    <w:rsid w:val="0042722E"/>
    <w:rsid w:val="0044528D"/>
    <w:rsid w:val="004611CA"/>
    <w:rsid w:val="00470E48"/>
    <w:rsid w:val="004A1847"/>
    <w:rsid w:val="004A305D"/>
    <w:rsid w:val="004B5789"/>
    <w:rsid w:val="004D03C7"/>
    <w:rsid w:val="004F21C4"/>
    <w:rsid w:val="004F685F"/>
    <w:rsid w:val="005029E1"/>
    <w:rsid w:val="005566E8"/>
    <w:rsid w:val="00574867"/>
    <w:rsid w:val="00591460"/>
    <w:rsid w:val="00592628"/>
    <w:rsid w:val="00595B75"/>
    <w:rsid w:val="005C3777"/>
    <w:rsid w:val="005C4F05"/>
    <w:rsid w:val="005C5CDC"/>
    <w:rsid w:val="005D476C"/>
    <w:rsid w:val="00610812"/>
    <w:rsid w:val="006219F8"/>
    <w:rsid w:val="00634D66"/>
    <w:rsid w:val="00650FF7"/>
    <w:rsid w:val="00665D70"/>
    <w:rsid w:val="00671DAC"/>
    <w:rsid w:val="006827D6"/>
    <w:rsid w:val="006900D9"/>
    <w:rsid w:val="006D12F8"/>
    <w:rsid w:val="006F03CE"/>
    <w:rsid w:val="00706C16"/>
    <w:rsid w:val="00756841"/>
    <w:rsid w:val="00760FA9"/>
    <w:rsid w:val="007649AB"/>
    <w:rsid w:val="00766271"/>
    <w:rsid w:val="00771D0C"/>
    <w:rsid w:val="00781CA2"/>
    <w:rsid w:val="007833AC"/>
    <w:rsid w:val="007A0F14"/>
    <w:rsid w:val="007B268C"/>
    <w:rsid w:val="007B7171"/>
    <w:rsid w:val="007C0C0F"/>
    <w:rsid w:val="007C3DC2"/>
    <w:rsid w:val="007E5497"/>
    <w:rsid w:val="007F5CA5"/>
    <w:rsid w:val="00806F5F"/>
    <w:rsid w:val="00820278"/>
    <w:rsid w:val="0082157E"/>
    <w:rsid w:val="00825584"/>
    <w:rsid w:val="00845F99"/>
    <w:rsid w:val="00873E5D"/>
    <w:rsid w:val="00881D83"/>
    <w:rsid w:val="008843B6"/>
    <w:rsid w:val="00891928"/>
    <w:rsid w:val="008A17A5"/>
    <w:rsid w:val="008A3F52"/>
    <w:rsid w:val="008A446D"/>
    <w:rsid w:val="008D180B"/>
    <w:rsid w:val="008E423C"/>
    <w:rsid w:val="008F0EA7"/>
    <w:rsid w:val="00923EEF"/>
    <w:rsid w:val="00924410"/>
    <w:rsid w:val="009356F9"/>
    <w:rsid w:val="009419F9"/>
    <w:rsid w:val="0095685E"/>
    <w:rsid w:val="00961B09"/>
    <w:rsid w:val="00965334"/>
    <w:rsid w:val="009674BD"/>
    <w:rsid w:val="0097093E"/>
    <w:rsid w:val="009934F4"/>
    <w:rsid w:val="009A0DFA"/>
    <w:rsid w:val="009B2D26"/>
    <w:rsid w:val="009C71FA"/>
    <w:rsid w:val="009C72E7"/>
    <w:rsid w:val="009D2583"/>
    <w:rsid w:val="009D3058"/>
    <w:rsid w:val="009F3A13"/>
    <w:rsid w:val="00A061C9"/>
    <w:rsid w:val="00A122D3"/>
    <w:rsid w:val="00A16F5D"/>
    <w:rsid w:val="00A17F13"/>
    <w:rsid w:val="00A20739"/>
    <w:rsid w:val="00A33C78"/>
    <w:rsid w:val="00A87684"/>
    <w:rsid w:val="00AA0E3E"/>
    <w:rsid w:val="00AB0ADB"/>
    <w:rsid w:val="00B01B1A"/>
    <w:rsid w:val="00B2555E"/>
    <w:rsid w:val="00B72CD3"/>
    <w:rsid w:val="00B72FFF"/>
    <w:rsid w:val="00BC3D36"/>
    <w:rsid w:val="00BD7F72"/>
    <w:rsid w:val="00C04FB3"/>
    <w:rsid w:val="00C330EB"/>
    <w:rsid w:val="00C754BE"/>
    <w:rsid w:val="00C76B1C"/>
    <w:rsid w:val="00C82635"/>
    <w:rsid w:val="00CB3758"/>
    <w:rsid w:val="00CB6357"/>
    <w:rsid w:val="00CC1B26"/>
    <w:rsid w:val="00D00257"/>
    <w:rsid w:val="00D423A2"/>
    <w:rsid w:val="00D520D8"/>
    <w:rsid w:val="00D63AC2"/>
    <w:rsid w:val="00D7383B"/>
    <w:rsid w:val="00D74BAA"/>
    <w:rsid w:val="00D91220"/>
    <w:rsid w:val="00DA231B"/>
    <w:rsid w:val="00DA23A0"/>
    <w:rsid w:val="00DB6237"/>
    <w:rsid w:val="00DC39FC"/>
    <w:rsid w:val="00DE21BA"/>
    <w:rsid w:val="00DF5254"/>
    <w:rsid w:val="00E16408"/>
    <w:rsid w:val="00E20894"/>
    <w:rsid w:val="00E245AB"/>
    <w:rsid w:val="00E2764C"/>
    <w:rsid w:val="00E27F2E"/>
    <w:rsid w:val="00E36A6C"/>
    <w:rsid w:val="00E413EA"/>
    <w:rsid w:val="00E50AFE"/>
    <w:rsid w:val="00E63C0B"/>
    <w:rsid w:val="00E72EC1"/>
    <w:rsid w:val="00E75C92"/>
    <w:rsid w:val="00E771DC"/>
    <w:rsid w:val="00E843A2"/>
    <w:rsid w:val="00E8772A"/>
    <w:rsid w:val="00E90F6B"/>
    <w:rsid w:val="00E92C27"/>
    <w:rsid w:val="00EA0E3D"/>
    <w:rsid w:val="00EC38A7"/>
    <w:rsid w:val="00EE1AA8"/>
    <w:rsid w:val="00F25647"/>
    <w:rsid w:val="00F31EDC"/>
    <w:rsid w:val="00F462B3"/>
    <w:rsid w:val="00F5664F"/>
    <w:rsid w:val="00F6134B"/>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D6C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D6CD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circulares/doc-20240823-wa002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olinterno@emcorintoesp.com.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A15B601-BF44-4CDF-B0C8-761975D1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4747</Words>
  <Characters>26114</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11</cp:revision>
  <cp:lastPrinted>2023-01-10T21:18:00Z</cp:lastPrinted>
  <dcterms:created xsi:type="dcterms:W3CDTF">2024-12-04T03:33:00Z</dcterms:created>
  <dcterms:modified xsi:type="dcterms:W3CDTF">2025-10-10T20:27:00Z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