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E147B" w14:textId="77777777" w:rsidR="00D4125A" w:rsidRPr="002D155C" w:rsidRDefault="00D4125A" w:rsidP="00D4125A">
      <w:pPr>
        <w:spacing w:after="0" w:line="240" w:lineRule="auto"/>
        <w:jc w:val="both"/>
        <w:rPr>
          <w:rFonts w:ascii="Verdana" w:eastAsia="Calibri" w:hAnsi="Verdana" w:cs="Arial"/>
          <w:b/>
          <w:bCs/>
          <w:color w:val="000000" w:themeColor="text1"/>
          <w:lang w:eastAsia="es-ES"/>
        </w:rPr>
      </w:pPr>
      <w:bookmarkStart w:id="0" w:name="_Hlk143780582"/>
      <w:r w:rsidRPr="002D155C">
        <w:rPr>
          <w:rFonts w:ascii="Verdana" w:eastAsia="Calibri" w:hAnsi="Verdana" w:cs="Arial"/>
          <w:b/>
          <w:bCs/>
          <w:color w:val="000000" w:themeColor="text1"/>
          <w:lang w:eastAsia="es-ES"/>
        </w:rPr>
        <w:t xml:space="preserve">PRECIO – Estructuración del precio – Elemento del contrato estatal </w:t>
      </w:r>
    </w:p>
    <w:p w14:paraId="63B468B4" w14:textId="77777777" w:rsidR="00D4125A" w:rsidRPr="002D155C" w:rsidRDefault="00D4125A" w:rsidP="00D4125A">
      <w:pPr>
        <w:spacing w:after="0" w:line="240" w:lineRule="auto"/>
        <w:jc w:val="both"/>
        <w:rPr>
          <w:rFonts w:ascii="Verdana" w:eastAsia="Calibri" w:hAnsi="Verdana" w:cs="Arial"/>
          <w:b/>
          <w:bCs/>
          <w:color w:val="000000" w:themeColor="text1"/>
          <w:lang w:eastAsia="es-ES"/>
        </w:rPr>
      </w:pPr>
    </w:p>
    <w:p w14:paraId="1B21C02C" w14:textId="77777777" w:rsidR="00D4125A" w:rsidRPr="002D155C" w:rsidRDefault="00D4125A" w:rsidP="00D4125A">
      <w:pPr>
        <w:spacing w:after="0" w:line="240" w:lineRule="auto"/>
        <w:jc w:val="both"/>
        <w:rPr>
          <w:rFonts w:ascii="Verdana" w:eastAsia="Calibri" w:hAnsi="Verdana" w:cs="Arial"/>
          <w:bCs/>
          <w:color w:val="000000" w:themeColor="text1"/>
          <w:sz w:val="20"/>
          <w:szCs w:val="20"/>
          <w:lang w:eastAsia="es-ES_tradnl"/>
        </w:rPr>
      </w:pPr>
      <w:r w:rsidRPr="002D155C">
        <w:rPr>
          <w:rFonts w:ascii="Verdana" w:eastAsia="Calibri" w:hAnsi="Verdana" w:cs="Arial"/>
          <w:bCs/>
          <w:color w:val="000000" w:themeColor="text1"/>
          <w:sz w:val="20"/>
          <w:szCs w:val="20"/>
          <w:lang w:eastAsia="es-ES_tradnl"/>
        </w:rPr>
        <w:t>Uno de los elementos más comunes en los contratos estatales es el precio,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14:paraId="78D61858" w14:textId="77777777" w:rsidR="00D4125A" w:rsidRPr="002D155C" w:rsidRDefault="00D4125A" w:rsidP="00D4125A">
      <w:pPr>
        <w:spacing w:after="0" w:line="240" w:lineRule="auto"/>
        <w:jc w:val="both"/>
        <w:rPr>
          <w:rFonts w:ascii="Verdana" w:eastAsia="Calibri" w:hAnsi="Verdana" w:cs="Arial"/>
          <w:bCs/>
          <w:color w:val="000000" w:themeColor="text1"/>
          <w:sz w:val="20"/>
          <w:szCs w:val="20"/>
          <w:lang w:eastAsia="es-ES_tradnl"/>
        </w:rPr>
      </w:pPr>
    </w:p>
    <w:p w14:paraId="4870E94B" w14:textId="77777777" w:rsidR="00D4125A" w:rsidRPr="002D155C" w:rsidRDefault="00D4125A" w:rsidP="00D4125A">
      <w:pPr>
        <w:spacing w:after="0" w:line="240" w:lineRule="auto"/>
        <w:jc w:val="both"/>
        <w:rPr>
          <w:rFonts w:ascii="Verdana" w:eastAsia="Calibri" w:hAnsi="Verdana" w:cs="Arial"/>
          <w:bCs/>
          <w:color w:val="000000" w:themeColor="text1"/>
          <w:sz w:val="20"/>
          <w:szCs w:val="20"/>
          <w:lang w:eastAsia="es-ES_tradnl"/>
        </w:rPr>
      </w:pPr>
      <w:r w:rsidRPr="002D155C">
        <w:rPr>
          <w:rFonts w:ascii="Verdana" w:eastAsia="Calibri" w:hAnsi="Verdana" w:cs="Arial"/>
          <w:bCs/>
          <w:color w:val="000000" w:themeColor="text1"/>
          <w:sz w:val="20"/>
          <w:szCs w:val="20"/>
          <w:lang w:eastAsia="es-ES_tradnl"/>
        </w:rPr>
        <w:t xml:space="preserve">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 </w:t>
      </w:r>
    </w:p>
    <w:p w14:paraId="2EB2CFB8" w14:textId="77777777" w:rsidR="00D4125A" w:rsidRPr="002D155C" w:rsidRDefault="00D4125A" w:rsidP="00D4125A">
      <w:pPr>
        <w:spacing w:after="0" w:line="240" w:lineRule="auto"/>
        <w:jc w:val="both"/>
        <w:rPr>
          <w:rFonts w:ascii="Verdana" w:eastAsia="Calibri" w:hAnsi="Verdana" w:cs="Arial"/>
          <w:color w:val="000000" w:themeColor="text1"/>
          <w:lang w:eastAsia="es-ES"/>
        </w:rPr>
      </w:pPr>
    </w:p>
    <w:p w14:paraId="1CD787C8" w14:textId="77777777" w:rsidR="00D4125A" w:rsidRPr="002D155C" w:rsidRDefault="00D4125A" w:rsidP="00D4125A">
      <w:pPr>
        <w:spacing w:after="0" w:line="240" w:lineRule="auto"/>
        <w:jc w:val="both"/>
        <w:rPr>
          <w:rFonts w:ascii="Verdana" w:eastAsia="Calibri" w:hAnsi="Verdana" w:cs="Arial"/>
          <w:b/>
          <w:bCs/>
          <w:color w:val="000000" w:themeColor="text1"/>
          <w:lang w:eastAsia="es-ES"/>
        </w:rPr>
      </w:pPr>
      <w:r w:rsidRPr="002D155C">
        <w:rPr>
          <w:rFonts w:ascii="Verdana" w:eastAsia="Calibri" w:hAnsi="Verdana" w:cs="Arial"/>
          <w:b/>
          <w:bCs/>
          <w:color w:val="000000" w:themeColor="text1"/>
          <w:lang w:eastAsia="es-ES"/>
        </w:rPr>
        <w:t xml:space="preserve">COSTOS DIRECTOS E INDIRECTOS – Finalidad – Ejecución del contrato </w:t>
      </w:r>
    </w:p>
    <w:p w14:paraId="1380D781" w14:textId="77777777" w:rsidR="00D4125A" w:rsidRPr="002D155C" w:rsidRDefault="00D4125A" w:rsidP="00D4125A">
      <w:pPr>
        <w:spacing w:after="0" w:line="240" w:lineRule="auto"/>
        <w:jc w:val="both"/>
        <w:rPr>
          <w:rFonts w:ascii="Verdana" w:eastAsia="Calibri" w:hAnsi="Verdana" w:cs="Arial"/>
          <w:b/>
          <w:bCs/>
          <w:color w:val="000000" w:themeColor="text1"/>
          <w:lang w:eastAsia="es-ES"/>
        </w:rPr>
      </w:pPr>
    </w:p>
    <w:p w14:paraId="50D82D27" w14:textId="77777777" w:rsidR="00D4125A" w:rsidRPr="002D155C" w:rsidRDefault="00D4125A" w:rsidP="00D4125A">
      <w:pPr>
        <w:spacing w:after="0" w:line="240" w:lineRule="auto"/>
        <w:jc w:val="both"/>
        <w:rPr>
          <w:rFonts w:ascii="Verdana" w:eastAsia="Geomanist Light" w:hAnsi="Verdana" w:cs="Arial"/>
          <w:color w:val="000000" w:themeColor="text1"/>
          <w:sz w:val="20"/>
          <w:szCs w:val="20"/>
        </w:rPr>
      </w:pPr>
      <w:r w:rsidRPr="002D155C">
        <w:rPr>
          <w:rFonts w:ascii="Verdana" w:eastAsia="Geomanist Light" w:hAnsi="Verdana" w:cs="Arial"/>
          <w:color w:val="000000" w:themeColor="text1"/>
          <w:sz w:val="20"/>
          <w:szCs w:val="20"/>
        </w:rPr>
        <w:t>Pues bien, en los contratos cuyo precio se estructura a partir del sistema de precios unitarios, ha hecho parte de la práctica de los negocios que el contratante le solicite al potencial contratista que separe en su propuesta los costos directos –es decir, los que están directamente implicados en la ejecución del objeto–, de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costos directos se evidencian en el análisis de precios unitarios –APU–, como la sumatoria de los valores de los ítems según su unidad de medida, los costos indirectos se suelen abreviar en las variables que integran el acrónimo AIU –Administración, Imprevistos y Utilidad–.</w:t>
      </w:r>
    </w:p>
    <w:p w14:paraId="10492157" w14:textId="77777777" w:rsidR="00D4125A" w:rsidRPr="002D155C" w:rsidRDefault="00D4125A" w:rsidP="00D4125A">
      <w:pPr>
        <w:spacing w:after="0" w:line="240" w:lineRule="auto"/>
        <w:rPr>
          <w:rFonts w:ascii="Verdana" w:eastAsia="Geomanist Light" w:hAnsi="Verdana" w:cs="Arial"/>
          <w:color w:val="000000" w:themeColor="text1"/>
          <w:sz w:val="20"/>
          <w:szCs w:val="20"/>
        </w:rPr>
      </w:pPr>
    </w:p>
    <w:p w14:paraId="6090B6DC" w14:textId="77777777" w:rsidR="00D4125A" w:rsidRPr="002D155C" w:rsidRDefault="00D4125A" w:rsidP="00D4125A">
      <w:pPr>
        <w:spacing w:after="0" w:line="240" w:lineRule="auto"/>
        <w:jc w:val="both"/>
        <w:rPr>
          <w:rFonts w:ascii="Verdana" w:eastAsia="Calibri" w:hAnsi="Verdana" w:cs="Arial"/>
          <w:b/>
          <w:bCs/>
          <w:color w:val="000000" w:themeColor="text1"/>
          <w:lang w:eastAsia="es-ES"/>
        </w:rPr>
      </w:pPr>
      <w:r w:rsidRPr="002D155C">
        <w:rPr>
          <w:rFonts w:ascii="Verdana" w:eastAsia="Calibri" w:hAnsi="Verdana" w:cs="Arial"/>
          <w:b/>
          <w:bCs/>
          <w:color w:val="000000" w:themeColor="text1"/>
          <w:lang w:eastAsia="es-ES"/>
        </w:rPr>
        <w:t xml:space="preserve">AIU – Componentes – Límites </w:t>
      </w:r>
    </w:p>
    <w:p w14:paraId="2AC3EEDD" w14:textId="77777777" w:rsidR="00D4125A" w:rsidRPr="002D155C" w:rsidRDefault="00D4125A" w:rsidP="00D4125A">
      <w:pPr>
        <w:spacing w:after="0" w:line="240" w:lineRule="auto"/>
        <w:jc w:val="both"/>
        <w:rPr>
          <w:rFonts w:ascii="Verdana" w:hAnsi="Verdana" w:cs="Arial"/>
          <w:bCs/>
          <w:color w:val="000000" w:themeColor="text1"/>
          <w:sz w:val="20"/>
          <w:szCs w:val="20"/>
          <w:lang w:eastAsia="es-CO"/>
        </w:rPr>
      </w:pPr>
    </w:p>
    <w:p w14:paraId="39AF5F10" w14:textId="77777777" w:rsidR="00D4125A" w:rsidRPr="002D155C" w:rsidRDefault="00D4125A" w:rsidP="00D4125A">
      <w:pPr>
        <w:spacing w:after="0" w:line="240" w:lineRule="auto"/>
        <w:jc w:val="both"/>
        <w:rPr>
          <w:rFonts w:ascii="Verdana" w:hAnsi="Verdana" w:cs="Arial"/>
          <w:color w:val="000000" w:themeColor="text1"/>
          <w:sz w:val="20"/>
          <w:szCs w:val="20"/>
          <w:lang w:eastAsia="es-ES"/>
        </w:rPr>
      </w:pPr>
      <w:r w:rsidRPr="002D155C">
        <w:rPr>
          <w:rFonts w:ascii="Verdana" w:hAnsi="Verdana" w:cs="Arial"/>
          <w:color w:val="000000" w:themeColor="text1"/>
          <w:sz w:val="20"/>
          <w:szCs w:val="20"/>
          <w:lang w:eastAsia="es-ES"/>
        </w:rPr>
        <w:t>De esta manera, usualmente en los contratos cuyo valor se estructura bajo el sistema de precios unitarios y con el desglose del AIU, el precio se paga con base en el valor de los costos directos incrementados por el porcentaje del AIU, forma de pago que pueden incluir las entidades estatales en virtud de la autonomía de la voluntad a que remiten los artículos 13, 32 y 40 del EGCAP. Ahora bien, nada obstaría para que las partes le dieran otros efectos particulares a la forma en que pagan el precio estructurado con AIU. Por ejemplo, podrían incluir cláusulas o reglas bajo las cuales se estableciera que el valor de alguno o de todos los componentes de la Administración o los Imprevistos sólo se pagan si el contratista demuestra que incurrió en algunas situaciones específicas y bajo el monto que este logre demostrar.</w:t>
      </w:r>
    </w:p>
    <w:p w14:paraId="17DECD4B" w14:textId="77777777" w:rsidR="00D4125A" w:rsidRPr="002D155C" w:rsidRDefault="00D4125A" w:rsidP="00D4125A">
      <w:pPr>
        <w:spacing w:after="0" w:line="240" w:lineRule="auto"/>
        <w:jc w:val="both"/>
        <w:rPr>
          <w:rFonts w:ascii="Verdana" w:hAnsi="Verdana" w:cs="Arial"/>
          <w:color w:val="000000" w:themeColor="text1"/>
          <w:sz w:val="20"/>
          <w:szCs w:val="20"/>
          <w:lang w:eastAsia="es-ES"/>
        </w:rPr>
      </w:pPr>
    </w:p>
    <w:p w14:paraId="59767FF9" w14:textId="77777777" w:rsidR="00D4125A" w:rsidRPr="002D155C" w:rsidRDefault="00D4125A" w:rsidP="00D4125A">
      <w:pPr>
        <w:spacing w:after="0" w:line="240" w:lineRule="auto"/>
        <w:jc w:val="both"/>
        <w:rPr>
          <w:rFonts w:ascii="Verdana" w:hAnsi="Verdana" w:cs="Arial"/>
          <w:color w:val="000000" w:themeColor="text1"/>
          <w:sz w:val="20"/>
          <w:szCs w:val="20"/>
          <w:lang w:eastAsia="es-ES"/>
        </w:rPr>
      </w:pPr>
      <w:r w:rsidRPr="002D155C">
        <w:rPr>
          <w:rFonts w:ascii="Verdana" w:hAnsi="Verdana" w:cs="Arial"/>
          <w:color w:val="000000" w:themeColor="text1"/>
          <w:sz w:val="20"/>
          <w:szCs w:val="20"/>
          <w:lang w:eastAsia="es-ES"/>
        </w:rPr>
        <w:lastRenderedPageBreak/>
        <w:t xml:space="preserve">Sin embargo, una regulación como la anterior no es la que suele emplearse en los contratos estatales. Lo usual, que se advierte en la práctica de las Entidades Estatales, es que acuden al AIU con la finalidad de establecer un precio más estable, de manera que el valor del contrato consistirá en lo que resulte de afectar los costos directos por el porcentaje, en principio, invariable del AIU, de manera que al valor de los costos directos se le sume el AIU. </w:t>
      </w:r>
    </w:p>
    <w:p w14:paraId="32186978" w14:textId="77777777" w:rsidR="00D4125A" w:rsidRPr="002D155C" w:rsidRDefault="00D4125A" w:rsidP="00D4125A">
      <w:pPr>
        <w:spacing w:after="0" w:line="240" w:lineRule="auto"/>
        <w:jc w:val="both"/>
        <w:rPr>
          <w:rFonts w:ascii="Verdana" w:hAnsi="Verdana" w:cs="Arial"/>
          <w:color w:val="000000" w:themeColor="text1"/>
          <w:sz w:val="20"/>
          <w:szCs w:val="20"/>
          <w:lang w:eastAsia="es-ES"/>
        </w:rPr>
      </w:pPr>
    </w:p>
    <w:p w14:paraId="6D92FDA7" w14:textId="77777777" w:rsidR="00D4125A" w:rsidRPr="002D155C" w:rsidRDefault="00D4125A" w:rsidP="00D4125A">
      <w:pPr>
        <w:spacing w:after="0" w:line="240" w:lineRule="auto"/>
        <w:jc w:val="both"/>
        <w:rPr>
          <w:rFonts w:ascii="Verdana" w:hAnsi="Verdana" w:cs="Arial"/>
          <w:color w:val="000000" w:themeColor="text1"/>
          <w:sz w:val="20"/>
          <w:szCs w:val="20"/>
          <w:lang w:eastAsia="es-ES"/>
        </w:rPr>
      </w:pPr>
      <w:r w:rsidRPr="002D155C">
        <w:rPr>
          <w:rFonts w:ascii="Verdana" w:hAnsi="Verdana" w:cs="Arial"/>
          <w:color w:val="000000" w:themeColor="text1"/>
          <w:sz w:val="20"/>
          <w:szCs w:val="20"/>
          <w:lang w:eastAsia="es-ES"/>
        </w:rPr>
        <w:t xml:space="preserve">En este sentido, cuando las Entidades Estatales incluyen esta forma de desglosar el precio, en los últimos términos indicados, al realizar el estudio de mercado elaboran un presupuesto estimado del valor de la ejecución del contrato. Dicho presupuesto estimado incluye los costos genéricos indirectos en que incurren los contratistas, entre ellos, los de la Administración y los Imprevistos, para efectos de definir el porcentaje con el que calculan el presupuesto, pese a que el monto de estos componentes varía ostensiblemente de un proponente a otro, pues su valor real depende de circunstancias particulares de los oferentes. </w:t>
      </w:r>
    </w:p>
    <w:p w14:paraId="3B19E070" w14:textId="77777777" w:rsidR="00D4125A" w:rsidRPr="00256BBB" w:rsidRDefault="00D4125A" w:rsidP="00D4125A">
      <w:pPr>
        <w:spacing w:after="0" w:line="240" w:lineRule="auto"/>
        <w:jc w:val="both"/>
        <w:rPr>
          <w:rFonts w:ascii="Verdana" w:hAnsi="Verdana" w:cs="Arial"/>
          <w:color w:val="99CCFF"/>
          <w:sz w:val="20"/>
          <w:szCs w:val="20"/>
          <w:lang w:eastAsia="es-ES"/>
        </w:rPr>
      </w:pPr>
    </w:p>
    <w:p w14:paraId="6AC3EA66" w14:textId="77777777" w:rsidR="00D4125A" w:rsidRPr="0008354C" w:rsidRDefault="00D4125A" w:rsidP="00D4125A">
      <w:pPr>
        <w:spacing w:after="0" w:line="240" w:lineRule="auto"/>
        <w:jc w:val="both"/>
        <w:rPr>
          <w:rFonts w:ascii="Verdana" w:eastAsia="Calibri" w:hAnsi="Verdana" w:cs="Times New Roman"/>
          <w:color w:val="000000" w:themeColor="text1"/>
          <w:sz w:val="20"/>
          <w:szCs w:val="20"/>
          <w:lang w:val="es-ES" w:eastAsia="es-MX"/>
        </w:rPr>
      </w:pPr>
    </w:p>
    <w:p w14:paraId="7904305B" w14:textId="77777777" w:rsidR="00D4125A" w:rsidRPr="0008354C" w:rsidRDefault="00D4125A" w:rsidP="00D4125A">
      <w:pPr>
        <w:spacing w:after="0"/>
        <w:jc w:val="both"/>
        <w:rPr>
          <w:rFonts w:ascii="Verdana" w:eastAsia="Calibri" w:hAnsi="Verdana" w:cs="Times New Roman"/>
          <w:b/>
          <w:bCs/>
          <w:color w:val="000000" w:themeColor="text1"/>
          <w:lang w:val="es-ES" w:eastAsia="es-MX"/>
        </w:rPr>
      </w:pPr>
      <w:r w:rsidRPr="0008354C">
        <w:rPr>
          <w:rFonts w:ascii="Verdana" w:eastAsia="Calibri" w:hAnsi="Verdana" w:cs="Times New Roman"/>
          <w:b/>
          <w:bCs/>
          <w:color w:val="000000" w:themeColor="text1"/>
          <w:lang w:val="es-ES" w:eastAsia="es-MX"/>
        </w:rPr>
        <w:t>CONTRATO DE OBRA PÚBLICA – Aplicación – Bienes inmuebles</w:t>
      </w:r>
    </w:p>
    <w:p w14:paraId="30C00314" w14:textId="77777777" w:rsidR="00D4125A" w:rsidRPr="0008354C" w:rsidRDefault="00D4125A" w:rsidP="00D4125A">
      <w:pPr>
        <w:spacing w:after="0"/>
        <w:jc w:val="both"/>
        <w:rPr>
          <w:rFonts w:ascii="Verdana" w:eastAsia="Calibri" w:hAnsi="Verdana" w:cs="Times New Roman"/>
          <w:b/>
          <w:bCs/>
          <w:color w:val="000000" w:themeColor="text1"/>
          <w:lang w:val="es-ES" w:eastAsia="es-MX"/>
        </w:rPr>
      </w:pPr>
    </w:p>
    <w:p w14:paraId="5142DF05" w14:textId="77777777" w:rsidR="00D4125A" w:rsidRPr="0008354C" w:rsidRDefault="00D4125A" w:rsidP="00D4125A">
      <w:pPr>
        <w:spacing w:after="0"/>
        <w:jc w:val="both"/>
        <w:rPr>
          <w:rFonts w:ascii="Verdana" w:eastAsia="Calibri" w:hAnsi="Verdana" w:cs="Times New Roman"/>
          <w:color w:val="000000" w:themeColor="text1"/>
          <w:sz w:val="20"/>
          <w:szCs w:val="20"/>
          <w:lang w:val="es-ES" w:eastAsia="es-MX"/>
        </w:rPr>
      </w:pPr>
      <w:r w:rsidRPr="0008354C">
        <w:rPr>
          <w:rFonts w:ascii="Verdana" w:eastAsia="Calibri" w:hAnsi="Verdana" w:cs="Times New Roman"/>
          <w:color w:val="000000" w:themeColor="text1"/>
          <w:sz w:val="20"/>
          <w:szCs w:val="20"/>
          <w:lang w:val="es-ES" w:eastAsia="es-MX"/>
        </w:rPr>
        <w:t>(…) el numeral 1 del artículo 32 de la Ley 80 de 1993 opta por un sentido restringido, al disponer que “Son contratos de obra los que celebren las entidades estatales para la construcción, mantenimiento, instalación y, en general, para la realización de cualquier otro trabajo material sobre bienes inmuebles, cualquiera que sea la modalidad de ejecución y pago”, de manera que este tipo de contrato no aplica a los trabajos materiales realizados sobre bienes muebles. Por lo anterior, el legislador adoptó el criterio de la tipificación del contrato de obra pública a actividades realizadas sobre bienes inmuebles, admitiendo, de forma muy amplia, la ejecución de todo trabajo que tenga por objeto crear, construir, conservar o modificar bienes inmuebles, lo cual incluye trabajos de construcción, instalación, conservación, mantenimiento, reparación y demolición de esos mismos.</w:t>
      </w:r>
    </w:p>
    <w:p w14:paraId="0D72AAF8" w14:textId="77777777" w:rsidR="00D4125A" w:rsidRPr="0008354C" w:rsidRDefault="00D4125A" w:rsidP="00D4125A">
      <w:pPr>
        <w:spacing w:after="0"/>
        <w:jc w:val="both"/>
        <w:rPr>
          <w:rFonts w:ascii="Verdana" w:eastAsia="Calibri" w:hAnsi="Verdana" w:cs="Times New Roman"/>
          <w:b/>
          <w:bCs/>
          <w:color w:val="000000" w:themeColor="text1"/>
          <w:lang w:val="es-ES" w:eastAsia="es-MX"/>
        </w:rPr>
      </w:pPr>
    </w:p>
    <w:p w14:paraId="0315B202" w14:textId="77777777" w:rsidR="00D4125A" w:rsidRPr="0008354C" w:rsidRDefault="00D4125A" w:rsidP="00D4125A">
      <w:pPr>
        <w:spacing w:after="0"/>
        <w:jc w:val="both"/>
        <w:rPr>
          <w:rFonts w:ascii="Verdana" w:eastAsia="Calibri" w:hAnsi="Verdana" w:cs="Times New Roman"/>
          <w:b/>
          <w:bCs/>
          <w:color w:val="000000" w:themeColor="text1"/>
          <w:lang w:val="es-ES" w:eastAsia="es-MX"/>
        </w:rPr>
      </w:pPr>
      <w:r w:rsidRPr="0008354C">
        <w:rPr>
          <w:rFonts w:ascii="Verdana" w:eastAsia="Calibri" w:hAnsi="Verdana" w:cs="Times New Roman"/>
          <w:b/>
          <w:bCs/>
          <w:color w:val="000000" w:themeColor="text1"/>
          <w:lang w:val="es-ES" w:eastAsia="es-MX"/>
        </w:rPr>
        <w:t>CONTRATO DE OBRA PÚBLICA – Actividades – Construir – Mantener – Instalar</w:t>
      </w:r>
    </w:p>
    <w:p w14:paraId="725A95E5" w14:textId="77777777" w:rsidR="00D4125A" w:rsidRPr="0008354C" w:rsidRDefault="00D4125A" w:rsidP="00D4125A">
      <w:pPr>
        <w:spacing w:after="0"/>
        <w:jc w:val="both"/>
        <w:rPr>
          <w:rFonts w:ascii="Verdana" w:eastAsia="Calibri" w:hAnsi="Verdana" w:cs="Times New Roman"/>
          <w:b/>
          <w:bCs/>
          <w:color w:val="000000" w:themeColor="text1"/>
          <w:lang w:val="es-ES" w:eastAsia="es-MX"/>
        </w:rPr>
      </w:pPr>
    </w:p>
    <w:p w14:paraId="1835619D" w14:textId="77777777" w:rsidR="00D4125A" w:rsidRPr="0008354C" w:rsidRDefault="00D4125A" w:rsidP="00D4125A">
      <w:pPr>
        <w:spacing w:after="0"/>
        <w:jc w:val="both"/>
        <w:rPr>
          <w:rFonts w:ascii="Verdana" w:eastAsia="Calibri" w:hAnsi="Verdana" w:cs="Times New Roman"/>
          <w:color w:val="000000" w:themeColor="text1"/>
          <w:sz w:val="20"/>
          <w:szCs w:val="20"/>
          <w:lang w:val="es-ES" w:eastAsia="es-MX"/>
        </w:rPr>
      </w:pPr>
      <w:r w:rsidRPr="0008354C">
        <w:rPr>
          <w:rFonts w:ascii="Verdana" w:eastAsia="Calibri" w:hAnsi="Verdana" w:cs="Times New Roman"/>
          <w:color w:val="000000" w:themeColor="text1"/>
          <w:sz w:val="20"/>
          <w:szCs w:val="20"/>
          <w:lang w:val="es-ES" w:eastAsia="es-MX"/>
        </w:rPr>
        <w:t>En la disposición citada, el contrato de obra pública no se limita a la construcción de inmuebles, pues la definición se extiende a las actividades de mantenimiento e instalación, lo cual supone un bien preexistente. Para la Real Academia Española “construir” significa fabricar, erigir, edificar y hacer de nueva planta una cosa; en tanto que “mantener” significa conservar una cosa en su ser, darle vigor y permanencia; y, finalmente, “instalar” es poner o colocar algo en su lugar debido. Igualmente, el concepto se extiende a cualquier trabajo material realizado sobre bienes inmuebles, tales como la reforma y la demolición, entre otros.</w:t>
      </w:r>
    </w:p>
    <w:p w14:paraId="52EE9256" w14:textId="77777777" w:rsidR="00D4125A" w:rsidRPr="00FD6B18" w:rsidRDefault="00D4125A" w:rsidP="00D4125A">
      <w:pPr>
        <w:spacing w:afterLines="120" w:after="288" w:line="276" w:lineRule="auto"/>
        <w:ind w:firstLine="708"/>
        <w:contextualSpacing/>
        <w:jc w:val="both"/>
        <w:rPr>
          <w:rFonts w:ascii="Verdana" w:eastAsia="Calibri" w:hAnsi="Verdana" w:cs="Arial"/>
          <w:bCs/>
          <w:color w:val="99CCFF"/>
          <w:lang w:val="es-ES" w:eastAsia="es-ES"/>
        </w:rPr>
      </w:pPr>
    </w:p>
    <w:p w14:paraId="2570BFF7" w14:textId="77777777" w:rsidR="00D4125A" w:rsidRPr="008512AB" w:rsidRDefault="00D4125A" w:rsidP="00D4125A">
      <w:pPr>
        <w:pStyle w:val="NormalWeb"/>
        <w:shd w:val="clear" w:color="auto" w:fill="FFFFFF"/>
        <w:spacing w:before="0" w:beforeAutospacing="0" w:after="340" w:afterAutospacing="0"/>
        <w:jc w:val="both"/>
        <w:rPr>
          <w:rFonts w:ascii="Verdana" w:hAnsi="Verdana" w:cs="Segoe UI"/>
          <w:color w:val="000000" w:themeColor="text1"/>
          <w:sz w:val="22"/>
          <w:szCs w:val="22"/>
        </w:rPr>
      </w:pPr>
      <w:r w:rsidRPr="008512AB">
        <w:rPr>
          <w:rStyle w:val="Textoennegrita"/>
          <w:rFonts w:ascii="Verdana" w:hAnsi="Verdana" w:cs="Segoe UI"/>
          <w:color w:val="000000" w:themeColor="text1"/>
          <w:sz w:val="22"/>
          <w:szCs w:val="22"/>
        </w:rPr>
        <w:lastRenderedPageBreak/>
        <w:t>A.I.U – Documentos tipo – Infraestructura social – Licitación pública – Numeral 4.1.1 – Alcance – Obligatoriedad</w:t>
      </w:r>
    </w:p>
    <w:p w14:paraId="71812E96" w14:textId="77777777" w:rsidR="00D4125A" w:rsidRPr="008512AB" w:rsidRDefault="00D4125A" w:rsidP="00D4125A">
      <w:pPr>
        <w:pStyle w:val="NormalWeb"/>
        <w:shd w:val="clear" w:color="auto" w:fill="FFFFFF"/>
        <w:spacing w:before="0" w:beforeAutospacing="0" w:after="340" w:afterAutospacing="0"/>
        <w:jc w:val="both"/>
        <w:rPr>
          <w:rFonts w:ascii="Verdana" w:hAnsi="Verdana" w:cs="Segoe UI"/>
          <w:color w:val="000000" w:themeColor="text1"/>
          <w:sz w:val="21"/>
          <w:szCs w:val="21"/>
        </w:rPr>
      </w:pPr>
      <w:r w:rsidRPr="008512AB">
        <w:rPr>
          <w:rFonts w:ascii="Verdana" w:hAnsi="Verdana" w:cs="Segoe UI"/>
          <w:color w:val="000000" w:themeColor="text1"/>
          <w:sz w:val="21"/>
          <w:szCs w:val="21"/>
        </w:rPr>
        <w:t>En los documentos tipo de licitación de obra pública de infraestructura social – versión 2, el numeral 4.1.1 “A.I.U.” establece la obligatoriedad de incluir el A.I.U cuando el proceso de contratación sea por precios unitarios. En este numeral se indica el deber del proponente de calcular todos los gastos en los que incurre para poder remunerar los costos de administración, los imprevistos y la utilidad o beneficio económico que pretende percibir por la ejecución del contrato. La instrucción prevista en el numeral 4.1.1 “AIU” está dada en términos de deber y obligación, por tanto, no existe la posibilidad de modificar el contenido del documento base previsto en el numeral “4.1.1 A.I.U.” siempre y cuando el proceso de contratación sea por precios unitarios. Ahora bien, considerando que ese numeral solo debe incorporarse cuando el proceso de contratación sea por precios unitarios, cuando este no suceda, es claro que la entidad que adelanta el proceso no debe incluirlo.</w:t>
      </w:r>
    </w:p>
    <w:p w14:paraId="03E511C1" w14:textId="77777777" w:rsidR="00D4125A" w:rsidRDefault="00D4125A" w:rsidP="00D4125A">
      <w:pPr>
        <w:spacing w:afterLines="120" w:after="288" w:line="276" w:lineRule="auto"/>
        <w:contextualSpacing/>
        <w:jc w:val="both"/>
        <w:rPr>
          <w:rFonts w:ascii="Verdana" w:eastAsia="Calibri" w:hAnsi="Verdana" w:cs="Arial"/>
          <w:b/>
          <w:bCs/>
          <w:color w:val="99CCFF"/>
          <w:lang w:eastAsia="es-ES"/>
        </w:rPr>
      </w:pPr>
    </w:p>
    <w:p w14:paraId="05E6C3C0" w14:textId="77777777" w:rsidR="00D4125A" w:rsidRDefault="00D4125A" w:rsidP="00D4125A">
      <w:pPr>
        <w:spacing w:afterLines="120" w:after="288" w:line="276" w:lineRule="auto"/>
        <w:contextualSpacing/>
        <w:jc w:val="both"/>
        <w:rPr>
          <w:rFonts w:ascii="Verdana" w:eastAsia="Calibri" w:hAnsi="Verdana" w:cs="Arial"/>
          <w:b/>
          <w:bCs/>
          <w:color w:val="99CCFF"/>
          <w:lang w:eastAsia="es-ES"/>
        </w:rPr>
      </w:pPr>
    </w:p>
    <w:p w14:paraId="00F05DCB" w14:textId="77777777" w:rsidR="00D4125A" w:rsidRDefault="00D4125A" w:rsidP="00D4125A">
      <w:pPr>
        <w:spacing w:afterLines="120" w:after="288" w:line="276" w:lineRule="auto"/>
        <w:contextualSpacing/>
        <w:jc w:val="both"/>
        <w:rPr>
          <w:rFonts w:ascii="Verdana" w:eastAsia="Calibri" w:hAnsi="Verdana" w:cs="Arial"/>
          <w:b/>
          <w:bCs/>
          <w:color w:val="99CCFF"/>
          <w:lang w:eastAsia="es-ES"/>
        </w:rPr>
      </w:pPr>
    </w:p>
    <w:p w14:paraId="204ADB56" w14:textId="77777777" w:rsidR="00D4125A" w:rsidRDefault="00D4125A" w:rsidP="00D4125A">
      <w:pPr>
        <w:spacing w:afterLines="120" w:after="288" w:line="276" w:lineRule="auto"/>
        <w:contextualSpacing/>
        <w:jc w:val="both"/>
        <w:rPr>
          <w:rFonts w:ascii="Verdana" w:eastAsia="Calibri" w:hAnsi="Verdana" w:cs="Arial"/>
          <w:b/>
          <w:bCs/>
          <w:color w:val="99CCFF"/>
          <w:lang w:eastAsia="es-ES"/>
        </w:rPr>
      </w:pPr>
    </w:p>
    <w:p w14:paraId="72CD3A9F" w14:textId="77777777" w:rsidR="00D4125A" w:rsidRDefault="00D4125A" w:rsidP="00D4125A">
      <w:pPr>
        <w:spacing w:afterLines="120" w:after="288" w:line="276" w:lineRule="auto"/>
        <w:contextualSpacing/>
        <w:jc w:val="both"/>
        <w:rPr>
          <w:rFonts w:ascii="Verdana" w:eastAsia="Calibri" w:hAnsi="Verdana" w:cs="Arial"/>
          <w:b/>
          <w:bCs/>
          <w:color w:val="99CCFF"/>
          <w:lang w:eastAsia="es-ES"/>
        </w:rPr>
      </w:pPr>
    </w:p>
    <w:p w14:paraId="464EDCEF" w14:textId="77777777" w:rsidR="00D4125A" w:rsidRDefault="00D4125A" w:rsidP="00D4125A">
      <w:pPr>
        <w:spacing w:afterLines="120" w:after="288" w:line="276" w:lineRule="auto"/>
        <w:contextualSpacing/>
        <w:jc w:val="both"/>
        <w:rPr>
          <w:rFonts w:ascii="Verdana" w:eastAsia="Calibri" w:hAnsi="Verdana" w:cs="Arial"/>
          <w:b/>
          <w:bCs/>
          <w:color w:val="99CCFF"/>
          <w:lang w:eastAsia="es-ES"/>
        </w:rPr>
      </w:pPr>
    </w:p>
    <w:p w14:paraId="5A7EA5F3" w14:textId="77777777" w:rsidR="00D4125A" w:rsidRDefault="00D4125A" w:rsidP="00D4125A">
      <w:pPr>
        <w:spacing w:afterLines="120" w:after="288" w:line="276" w:lineRule="auto"/>
        <w:contextualSpacing/>
        <w:jc w:val="both"/>
        <w:rPr>
          <w:rFonts w:ascii="Verdana" w:eastAsia="Calibri" w:hAnsi="Verdana" w:cs="Arial"/>
          <w:b/>
          <w:bCs/>
          <w:color w:val="99CCFF"/>
          <w:lang w:eastAsia="es-ES"/>
        </w:rPr>
      </w:pPr>
    </w:p>
    <w:p w14:paraId="47B12F0C" w14:textId="77777777" w:rsidR="00D4125A" w:rsidRDefault="00D4125A" w:rsidP="00D4125A">
      <w:pPr>
        <w:spacing w:afterLines="120" w:after="288" w:line="276" w:lineRule="auto"/>
        <w:contextualSpacing/>
        <w:jc w:val="both"/>
        <w:rPr>
          <w:rFonts w:ascii="Verdana" w:eastAsia="Calibri" w:hAnsi="Verdana" w:cs="Arial"/>
          <w:b/>
          <w:bCs/>
          <w:color w:val="99CCFF"/>
          <w:lang w:eastAsia="es-ES"/>
        </w:rPr>
      </w:pPr>
    </w:p>
    <w:p w14:paraId="7366BC0B" w14:textId="77777777" w:rsidR="00D4125A" w:rsidRDefault="00D4125A" w:rsidP="00D4125A">
      <w:pPr>
        <w:spacing w:afterLines="120" w:after="288" w:line="276" w:lineRule="auto"/>
        <w:contextualSpacing/>
        <w:jc w:val="both"/>
        <w:rPr>
          <w:rFonts w:ascii="Verdana" w:eastAsia="Calibri" w:hAnsi="Verdana" w:cs="Arial"/>
          <w:b/>
          <w:bCs/>
          <w:color w:val="99CCFF"/>
          <w:lang w:eastAsia="es-ES"/>
        </w:rPr>
      </w:pPr>
    </w:p>
    <w:p w14:paraId="4748E649" w14:textId="77777777" w:rsidR="00D4125A" w:rsidRDefault="00D4125A" w:rsidP="00D4125A">
      <w:pPr>
        <w:spacing w:afterLines="120" w:after="288" w:line="276" w:lineRule="auto"/>
        <w:contextualSpacing/>
        <w:jc w:val="both"/>
        <w:rPr>
          <w:rFonts w:ascii="Verdana" w:eastAsia="Calibri" w:hAnsi="Verdana" w:cs="Arial"/>
          <w:b/>
          <w:bCs/>
          <w:color w:val="99CCFF"/>
          <w:lang w:eastAsia="es-ES"/>
        </w:rPr>
      </w:pPr>
    </w:p>
    <w:p w14:paraId="52B754C3" w14:textId="77777777" w:rsidR="00D4125A" w:rsidRDefault="00D4125A" w:rsidP="00D4125A">
      <w:pPr>
        <w:spacing w:afterLines="120" w:after="288" w:line="276" w:lineRule="auto"/>
        <w:contextualSpacing/>
        <w:jc w:val="both"/>
        <w:rPr>
          <w:rFonts w:ascii="Verdana" w:eastAsia="Calibri" w:hAnsi="Verdana" w:cs="Arial"/>
          <w:b/>
          <w:bCs/>
          <w:color w:val="99CCFF"/>
          <w:lang w:eastAsia="es-ES"/>
        </w:rPr>
      </w:pPr>
    </w:p>
    <w:p w14:paraId="5E3B994D" w14:textId="77777777" w:rsidR="00D4125A" w:rsidRDefault="00D4125A" w:rsidP="00D4125A">
      <w:pPr>
        <w:spacing w:afterLines="120" w:after="288" w:line="276" w:lineRule="auto"/>
        <w:contextualSpacing/>
        <w:jc w:val="both"/>
        <w:rPr>
          <w:rFonts w:ascii="Verdana" w:eastAsia="Calibri" w:hAnsi="Verdana" w:cs="Arial"/>
          <w:b/>
          <w:bCs/>
          <w:color w:val="99CCFF"/>
          <w:lang w:eastAsia="es-ES"/>
        </w:rPr>
      </w:pPr>
    </w:p>
    <w:p w14:paraId="2F74FE5C" w14:textId="77777777" w:rsidR="00D4125A" w:rsidRDefault="00D4125A" w:rsidP="00D4125A">
      <w:pPr>
        <w:spacing w:afterLines="120" w:after="288" w:line="276" w:lineRule="auto"/>
        <w:contextualSpacing/>
        <w:jc w:val="both"/>
        <w:rPr>
          <w:rFonts w:ascii="Verdana" w:eastAsia="Calibri" w:hAnsi="Verdana" w:cs="Arial"/>
          <w:b/>
          <w:bCs/>
          <w:color w:val="99CCFF"/>
          <w:lang w:eastAsia="es-ES"/>
        </w:rPr>
      </w:pPr>
    </w:p>
    <w:p w14:paraId="364ECBAA" w14:textId="77777777" w:rsidR="00D4125A" w:rsidRPr="00256BBB" w:rsidRDefault="00D4125A" w:rsidP="00D4125A">
      <w:pPr>
        <w:spacing w:afterLines="120" w:after="288" w:line="276" w:lineRule="auto"/>
        <w:contextualSpacing/>
        <w:jc w:val="both"/>
        <w:rPr>
          <w:rFonts w:ascii="Verdana" w:eastAsia="Calibri" w:hAnsi="Verdana" w:cs="Arial"/>
          <w:b/>
          <w:bCs/>
          <w:color w:val="99CCFF"/>
          <w:lang w:eastAsia="es-ES"/>
        </w:rPr>
      </w:pPr>
    </w:p>
    <w:p w14:paraId="07E81419" w14:textId="77777777" w:rsidR="00D4125A" w:rsidRPr="002F7FFD" w:rsidRDefault="00D4125A" w:rsidP="00D4125A">
      <w:pPr>
        <w:spacing w:afterLines="120" w:after="288" w:line="276" w:lineRule="auto"/>
        <w:ind w:firstLine="708"/>
        <w:contextualSpacing/>
        <w:jc w:val="both"/>
        <w:rPr>
          <w:rFonts w:ascii="Verdana" w:eastAsia="Calibri" w:hAnsi="Verdana" w:cs="Arial"/>
          <w:b/>
          <w:bCs/>
          <w:lang w:eastAsia="es-ES"/>
        </w:rPr>
      </w:pPr>
    </w:p>
    <w:p w14:paraId="6D57C6AA" w14:textId="77777777" w:rsidR="00D4125A" w:rsidRPr="002F7FFD" w:rsidRDefault="00D4125A" w:rsidP="00D4125A">
      <w:pPr>
        <w:spacing w:afterLines="120" w:after="288" w:line="276" w:lineRule="auto"/>
        <w:ind w:firstLine="708"/>
        <w:contextualSpacing/>
        <w:jc w:val="both"/>
        <w:rPr>
          <w:rFonts w:ascii="Verdana" w:eastAsia="Calibri" w:hAnsi="Verdana" w:cs="Arial"/>
          <w:b/>
          <w:bCs/>
          <w:lang w:eastAsia="es-ES"/>
        </w:rPr>
      </w:pPr>
    </w:p>
    <w:p w14:paraId="5B6D61D1" w14:textId="77777777" w:rsidR="00D4125A" w:rsidRPr="002F7FFD" w:rsidRDefault="00D4125A" w:rsidP="00D4125A">
      <w:pPr>
        <w:spacing w:afterLines="120" w:after="288" w:line="276" w:lineRule="auto"/>
        <w:ind w:firstLine="708"/>
        <w:contextualSpacing/>
        <w:jc w:val="both"/>
        <w:rPr>
          <w:rFonts w:ascii="Verdana" w:eastAsia="Calibri" w:hAnsi="Verdana" w:cs="Arial"/>
          <w:b/>
          <w:bCs/>
          <w:lang w:eastAsia="es-ES"/>
        </w:rPr>
      </w:pPr>
    </w:p>
    <w:p w14:paraId="0E4E64B9" w14:textId="77777777" w:rsidR="00D4125A" w:rsidRPr="002F7FFD" w:rsidRDefault="00D4125A" w:rsidP="00D4125A">
      <w:pPr>
        <w:spacing w:afterLines="120" w:after="288" w:line="276" w:lineRule="auto"/>
        <w:ind w:firstLine="708"/>
        <w:contextualSpacing/>
        <w:jc w:val="both"/>
        <w:rPr>
          <w:rFonts w:ascii="Verdana" w:eastAsia="Calibri" w:hAnsi="Verdana" w:cs="Arial"/>
          <w:b/>
          <w:bCs/>
          <w:lang w:eastAsia="es-ES"/>
        </w:rPr>
      </w:pPr>
    </w:p>
    <w:p w14:paraId="707ABFDB" w14:textId="77777777" w:rsidR="00D4125A" w:rsidRPr="002F7FFD" w:rsidRDefault="00D4125A" w:rsidP="00D4125A">
      <w:pPr>
        <w:spacing w:afterLines="120" w:after="288" w:line="276" w:lineRule="auto"/>
        <w:ind w:firstLine="708"/>
        <w:contextualSpacing/>
        <w:jc w:val="both"/>
        <w:rPr>
          <w:rFonts w:ascii="Verdana" w:eastAsia="Calibri" w:hAnsi="Verdana" w:cs="Arial"/>
          <w:b/>
          <w:bCs/>
          <w:lang w:eastAsia="es-ES"/>
        </w:rPr>
      </w:pPr>
    </w:p>
    <w:p w14:paraId="301F2CAC" w14:textId="77777777" w:rsidR="00D4125A" w:rsidRPr="002F7FFD" w:rsidRDefault="00D4125A" w:rsidP="00D4125A">
      <w:pPr>
        <w:spacing w:afterLines="120" w:after="288" w:line="276" w:lineRule="auto"/>
        <w:ind w:firstLine="708"/>
        <w:contextualSpacing/>
        <w:jc w:val="both"/>
        <w:rPr>
          <w:rFonts w:ascii="Verdana" w:eastAsia="Calibri" w:hAnsi="Verdana" w:cs="Arial"/>
          <w:b/>
          <w:bCs/>
          <w:lang w:eastAsia="es-ES"/>
        </w:rPr>
      </w:pPr>
    </w:p>
    <w:p w14:paraId="37017C8E" w14:textId="77777777" w:rsidR="00D4125A" w:rsidRPr="002F7FFD" w:rsidRDefault="00D4125A" w:rsidP="00D4125A">
      <w:pPr>
        <w:spacing w:afterLines="120" w:after="288" w:line="276" w:lineRule="auto"/>
        <w:ind w:firstLine="708"/>
        <w:contextualSpacing/>
        <w:jc w:val="both"/>
        <w:rPr>
          <w:rFonts w:ascii="Verdana" w:eastAsia="Calibri" w:hAnsi="Verdana" w:cs="Arial"/>
          <w:b/>
          <w:bCs/>
          <w:lang w:eastAsia="es-ES"/>
        </w:rPr>
      </w:pPr>
    </w:p>
    <w:p w14:paraId="4F1424A8" w14:textId="77777777" w:rsidR="00D4125A" w:rsidRPr="002F7FFD" w:rsidRDefault="00D4125A" w:rsidP="00D4125A">
      <w:pPr>
        <w:spacing w:afterLines="120" w:after="288" w:line="276" w:lineRule="auto"/>
        <w:ind w:firstLine="708"/>
        <w:contextualSpacing/>
        <w:jc w:val="both"/>
        <w:rPr>
          <w:rFonts w:ascii="Verdana" w:eastAsia="Calibri" w:hAnsi="Verdana" w:cs="Arial"/>
          <w:b/>
          <w:bCs/>
          <w:lang w:eastAsia="es-ES"/>
        </w:rPr>
      </w:pPr>
    </w:p>
    <w:p w14:paraId="715A4B3F" w14:textId="24172602" w:rsidR="00D4125A" w:rsidRPr="002F7FFD" w:rsidRDefault="00D4125A" w:rsidP="00D4125A">
      <w:pPr>
        <w:spacing w:after="0"/>
        <w:rPr>
          <w:rFonts w:ascii="Verdana" w:hAnsi="Verdana"/>
        </w:rPr>
      </w:pPr>
      <w:r w:rsidRPr="002F7FFD">
        <w:rPr>
          <w:rFonts w:ascii="Verdana" w:hAnsi="Verdana"/>
        </w:rPr>
        <w:lastRenderedPageBreak/>
        <w:t xml:space="preserve">Bogotá D.C, </w:t>
      </w:r>
      <w:r w:rsidR="00B236B0" w:rsidRPr="00B236B0">
        <w:rPr>
          <w:rFonts w:ascii="Verdana" w:hAnsi="Verdana"/>
        </w:rPr>
        <w:t>30 Junio 2026</w:t>
      </w:r>
    </w:p>
    <w:p w14:paraId="30059F02" w14:textId="0BF3E30F" w:rsidR="00D4125A" w:rsidRPr="00110189" w:rsidRDefault="00B236B0" w:rsidP="00D4125A">
      <w:pPr>
        <w:spacing w:after="0"/>
        <w:rPr>
          <w:rFonts w:ascii="Verdana" w:eastAsia="Calibri" w:hAnsi="Verdana" w:cs="Vrinda"/>
        </w:rPr>
      </w:pPr>
      <w:r w:rsidRPr="00B236B0">
        <w:rPr>
          <w:rFonts w:ascii="Verdana" w:eastAsia="Calibri" w:hAnsi="Verdana" w:cs="Vrinda"/>
        </w:rPr>
        <w:drawing>
          <wp:anchor distT="0" distB="0" distL="114300" distR="114300" simplePos="0" relativeHeight="251658240" behindDoc="0" locked="0" layoutInCell="1" allowOverlap="1" wp14:anchorId="4E08813D" wp14:editId="78EE3847">
            <wp:simplePos x="0" y="0"/>
            <wp:positionH relativeFrom="margin">
              <wp:posOffset>3523107</wp:posOffset>
            </wp:positionH>
            <wp:positionV relativeFrom="margin">
              <wp:posOffset>219456</wp:posOffset>
            </wp:positionV>
            <wp:extent cx="2466975" cy="717550"/>
            <wp:effectExtent l="0" t="0" r="0" b="6350"/>
            <wp:wrapSquare wrapText="bothSides"/>
            <wp:docPr id="1369488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4884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66975" cy="717550"/>
                    </a:xfrm>
                    <a:prstGeom prst="rect">
                      <a:avLst/>
                    </a:prstGeom>
                  </pic:spPr>
                </pic:pic>
              </a:graphicData>
            </a:graphic>
          </wp:anchor>
        </w:drawing>
      </w:r>
      <w:r w:rsidR="00D4125A" w:rsidRPr="00110189">
        <w:rPr>
          <w:rFonts w:ascii="Verdana" w:eastAsia="Calibri" w:hAnsi="Verdana" w:cs="Vrinda"/>
        </w:rPr>
        <w:tab/>
      </w:r>
    </w:p>
    <w:p w14:paraId="62B1D196" w14:textId="54E71F93" w:rsidR="00D4125A" w:rsidRPr="00F21CC4" w:rsidRDefault="00D4125A" w:rsidP="00D4125A">
      <w:pPr>
        <w:spacing w:after="0" w:line="240" w:lineRule="auto"/>
        <w:jc w:val="both"/>
        <w:rPr>
          <w:rFonts w:ascii="Verdana" w:eastAsia="Calibri" w:hAnsi="Verdana" w:cs="Vrinda"/>
          <w:lang w:eastAsia="es-ES"/>
        </w:rPr>
      </w:pPr>
      <w:r w:rsidRPr="00F21CC4">
        <w:rPr>
          <w:rFonts w:ascii="Verdana" w:eastAsia="Calibri" w:hAnsi="Verdana" w:cs="Vrinda"/>
          <w:lang w:eastAsia="es-ES"/>
        </w:rPr>
        <w:t>Señora</w:t>
      </w:r>
    </w:p>
    <w:p w14:paraId="5AC25ABB" w14:textId="529681AA" w:rsidR="00D4125A" w:rsidRDefault="00D4125A" w:rsidP="00D4125A">
      <w:pPr>
        <w:spacing w:after="0" w:line="240" w:lineRule="auto"/>
        <w:jc w:val="both"/>
        <w:rPr>
          <w:rFonts w:ascii="Verdana" w:hAnsi="Verdana"/>
          <w:b/>
          <w:bCs/>
        </w:rPr>
      </w:pPr>
      <w:r w:rsidRPr="006709B7">
        <w:rPr>
          <w:rFonts w:ascii="Verdana" w:hAnsi="Verdana"/>
          <w:b/>
          <w:bCs/>
        </w:rPr>
        <w:t>María Camila Araque Sosa</w:t>
      </w:r>
    </w:p>
    <w:p w14:paraId="6D1F9FB5" w14:textId="77777777" w:rsidR="00D4125A" w:rsidRPr="00F21CC4" w:rsidRDefault="00D4125A" w:rsidP="00D4125A">
      <w:pPr>
        <w:spacing w:after="0" w:line="240" w:lineRule="auto"/>
        <w:jc w:val="both"/>
        <w:rPr>
          <w:rFonts w:ascii="Verdana" w:eastAsia="Times New Roman" w:hAnsi="Verdana" w:cs="Vrinda"/>
          <w:lang w:eastAsia="es-CO"/>
        </w:rPr>
      </w:pPr>
      <w:r w:rsidRPr="00F21CC4">
        <w:rPr>
          <w:rFonts w:ascii="Verdana" w:eastAsia="Times New Roman" w:hAnsi="Verdana" w:cs="Vrinda"/>
          <w:lang w:eastAsia="es-CO"/>
        </w:rPr>
        <w:t>Secretar</w:t>
      </w:r>
      <w:r>
        <w:rPr>
          <w:rFonts w:ascii="Verdana" w:eastAsia="Times New Roman" w:hAnsi="Verdana" w:cs="Vrinda"/>
          <w:lang w:eastAsia="es-CO"/>
        </w:rPr>
        <w:t>í</w:t>
      </w:r>
      <w:r w:rsidRPr="00F21CC4">
        <w:rPr>
          <w:rFonts w:ascii="Verdana" w:eastAsia="Times New Roman" w:hAnsi="Verdana" w:cs="Vrinda"/>
          <w:lang w:eastAsia="es-CO"/>
        </w:rPr>
        <w:t xml:space="preserve">a Distrital </w:t>
      </w:r>
      <w:r>
        <w:rPr>
          <w:rFonts w:ascii="Verdana" w:eastAsia="Times New Roman" w:hAnsi="Verdana" w:cs="Vrinda"/>
          <w:lang w:eastAsia="es-CO"/>
        </w:rPr>
        <w:t>d</w:t>
      </w:r>
      <w:r w:rsidRPr="00F21CC4">
        <w:rPr>
          <w:rFonts w:ascii="Verdana" w:eastAsia="Times New Roman" w:hAnsi="Verdana" w:cs="Vrinda"/>
          <w:lang w:eastAsia="es-CO"/>
        </w:rPr>
        <w:t>e Gobierno</w:t>
      </w:r>
    </w:p>
    <w:p w14:paraId="713ED28B" w14:textId="77777777" w:rsidR="00D4125A" w:rsidRDefault="00D4125A" w:rsidP="00D4125A">
      <w:pPr>
        <w:spacing w:after="0" w:line="240" w:lineRule="auto"/>
        <w:jc w:val="both"/>
        <w:rPr>
          <w:rFonts w:ascii="Verdana" w:eastAsia="Times New Roman" w:hAnsi="Verdana" w:cs="Vrinda"/>
          <w:lang w:eastAsia="es-CO"/>
        </w:rPr>
      </w:pPr>
      <w:hyperlink r:id="rId11" w:history="1">
        <w:r w:rsidRPr="007F2DA8">
          <w:rPr>
            <w:rStyle w:val="Hipervnculo"/>
            <w:rFonts w:ascii="Verdana" w:eastAsia="Times New Roman" w:hAnsi="Verdana" w:cs="Vrinda"/>
            <w:lang w:eastAsia="es-CO"/>
          </w:rPr>
          <w:t>procesosdisciplinarios@gobiernobogota.gov.co</w:t>
        </w:r>
      </w:hyperlink>
    </w:p>
    <w:p w14:paraId="12201F00" w14:textId="77777777" w:rsidR="00D4125A" w:rsidRDefault="00D4125A" w:rsidP="00D4125A">
      <w:pPr>
        <w:spacing w:after="0" w:line="240" w:lineRule="auto"/>
        <w:jc w:val="both"/>
        <w:rPr>
          <w:rFonts w:ascii="Verdana" w:eastAsia="Times New Roman" w:hAnsi="Verdana" w:cs="Vrinda"/>
          <w:lang w:eastAsia="es-CO"/>
        </w:rPr>
      </w:pPr>
      <w:hyperlink r:id="rId12" w:history="1">
        <w:r w:rsidRPr="007F2DA8">
          <w:rPr>
            <w:rStyle w:val="Hipervnculo"/>
            <w:rFonts w:ascii="Verdana" w:eastAsia="Times New Roman" w:hAnsi="Verdana" w:cs="Vrinda"/>
            <w:lang w:eastAsia="es-CO"/>
          </w:rPr>
          <w:t>manuela.tamayo@gobiernobogota.gov.co</w:t>
        </w:r>
      </w:hyperlink>
    </w:p>
    <w:p w14:paraId="75520A41" w14:textId="77777777" w:rsidR="00D4125A" w:rsidRPr="00F21CC4" w:rsidRDefault="00D4125A" w:rsidP="00D4125A">
      <w:pPr>
        <w:spacing w:after="0" w:line="240" w:lineRule="auto"/>
        <w:jc w:val="both"/>
        <w:rPr>
          <w:rFonts w:ascii="Verdana" w:eastAsia="Times New Roman" w:hAnsi="Verdana" w:cs="Vrinda"/>
          <w:lang w:eastAsia="es-CO"/>
        </w:rPr>
      </w:pPr>
      <w:r w:rsidRPr="00F21CC4">
        <w:rPr>
          <w:rFonts w:ascii="Verdana" w:eastAsia="Times New Roman" w:hAnsi="Verdana" w:cs="Vrinda"/>
          <w:lang w:eastAsia="es-CO"/>
        </w:rPr>
        <w:t>Bogotá D.C</w:t>
      </w:r>
    </w:p>
    <w:p w14:paraId="676055D9" w14:textId="77777777" w:rsidR="00D4125A" w:rsidRPr="002F7FFD" w:rsidRDefault="00D4125A" w:rsidP="00D4125A">
      <w:pPr>
        <w:spacing w:after="0" w:line="276" w:lineRule="auto"/>
        <w:rPr>
          <w:rFonts w:ascii="Verdana" w:eastAsia="Calibri" w:hAnsi="Verdana" w:cs="Arial"/>
          <w:b/>
          <w:bCs/>
          <w:color w:val="66CCFF"/>
          <w:lang w:eastAsia="es-ES_tradnl"/>
        </w:rPr>
      </w:pP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61"/>
        <w:gridCol w:w="5972"/>
      </w:tblGrid>
      <w:tr w:rsidR="00D4125A" w:rsidRPr="002F7FFD" w14:paraId="3487B7B7" w14:textId="77777777" w:rsidTr="000C58FA">
        <w:trPr>
          <w:trHeight w:val="750"/>
        </w:trPr>
        <w:tc>
          <w:tcPr>
            <w:tcW w:w="3261" w:type="dxa"/>
          </w:tcPr>
          <w:p w14:paraId="75CA57CC" w14:textId="77777777" w:rsidR="00D4125A" w:rsidRPr="002F7FFD" w:rsidRDefault="00D4125A" w:rsidP="000C58FA">
            <w:pPr>
              <w:spacing w:line="276" w:lineRule="auto"/>
              <w:jc w:val="both"/>
              <w:rPr>
                <w:rFonts w:ascii="Verdana" w:eastAsia="Calibri" w:hAnsi="Verdana" w:cs="Arial"/>
                <w:b/>
                <w:bCs/>
                <w:color w:val="66CCFF"/>
                <w:lang w:eastAsia="es-ES_tradnl"/>
              </w:rPr>
            </w:pPr>
          </w:p>
        </w:tc>
        <w:tc>
          <w:tcPr>
            <w:tcW w:w="5972" w:type="dxa"/>
            <w:hideMark/>
          </w:tcPr>
          <w:p w14:paraId="6E971183" w14:textId="77777777" w:rsidR="00D4125A" w:rsidRPr="002F7FFD" w:rsidRDefault="00D4125A" w:rsidP="000C58FA">
            <w:pPr>
              <w:spacing w:line="276" w:lineRule="auto"/>
              <w:jc w:val="both"/>
              <w:rPr>
                <w:rFonts w:ascii="Verdana" w:eastAsia="Calibri" w:hAnsi="Verdana" w:cs="Arial"/>
                <w:b/>
                <w:bCs/>
                <w:lang w:eastAsia="es-ES"/>
              </w:rPr>
            </w:pPr>
            <w:r w:rsidRPr="002F7FFD">
              <w:rPr>
                <w:rFonts w:ascii="Verdana" w:eastAsia="Calibri" w:hAnsi="Verdana" w:cs="Arial"/>
                <w:b/>
                <w:bCs/>
                <w:lang w:eastAsia="es-ES"/>
              </w:rPr>
              <w:t xml:space="preserve">Concepto C – </w:t>
            </w:r>
            <w:r>
              <w:rPr>
                <w:rFonts w:ascii="Verdana" w:eastAsia="Calibri" w:hAnsi="Verdana" w:cs="Arial"/>
                <w:b/>
                <w:bCs/>
                <w:lang w:eastAsia="es-ES"/>
              </w:rPr>
              <w:t>824</w:t>
            </w:r>
            <w:r w:rsidRPr="002F7FFD">
              <w:rPr>
                <w:rFonts w:ascii="Verdana" w:eastAsia="Calibri" w:hAnsi="Verdana" w:cs="Arial"/>
                <w:b/>
                <w:bCs/>
                <w:lang w:eastAsia="es-ES"/>
              </w:rPr>
              <w:t xml:space="preserve"> de 2026</w:t>
            </w:r>
          </w:p>
        </w:tc>
      </w:tr>
      <w:tr w:rsidR="00D4125A" w:rsidRPr="005B4E42" w14:paraId="6229C900" w14:textId="77777777" w:rsidTr="000C58FA">
        <w:trPr>
          <w:trHeight w:val="999"/>
        </w:trPr>
        <w:tc>
          <w:tcPr>
            <w:tcW w:w="3261" w:type="dxa"/>
            <w:hideMark/>
          </w:tcPr>
          <w:p w14:paraId="559FBB53" w14:textId="77777777" w:rsidR="00D4125A" w:rsidRPr="002F7FFD" w:rsidRDefault="00D4125A" w:rsidP="000C58FA">
            <w:pPr>
              <w:spacing w:line="276" w:lineRule="auto"/>
              <w:jc w:val="both"/>
              <w:rPr>
                <w:rFonts w:ascii="Verdana" w:eastAsia="Calibri" w:hAnsi="Verdana" w:cs="Arial"/>
                <w:color w:val="66CCFF"/>
                <w:lang w:eastAsia="es-ES_tradnl"/>
              </w:rPr>
            </w:pPr>
            <w:r w:rsidRPr="002F7FFD">
              <w:rPr>
                <w:rFonts w:ascii="Verdana" w:eastAsia="Calibri" w:hAnsi="Verdana" w:cs="Arial"/>
                <w:b/>
                <w:lang w:eastAsia="es-ES_tradnl"/>
              </w:rPr>
              <w:t>Temas:</w:t>
            </w:r>
            <w:r w:rsidRPr="002F7FFD">
              <w:rPr>
                <w:rFonts w:ascii="Verdana" w:eastAsia="Calibri" w:hAnsi="Verdana" w:cs="Arial"/>
                <w:lang w:eastAsia="es-ES_tradnl"/>
              </w:rPr>
              <w:t xml:space="preserve">                   </w:t>
            </w:r>
          </w:p>
        </w:tc>
        <w:tc>
          <w:tcPr>
            <w:tcW w:w="5972" w:type="dxa"/>
          </w:tcPr>
          <w:p w14:paraId="6BE242CE" w14:textId="77777777" w:rsidR="00D4125A" w:rsidRPr="005B4E42" w:rsidRDefault="00D4125A" w:rsidP="000C58FA">
            <w:pPr>
              <w:pStyle w:val="NormalWeb"/>
              <w:shd w:val="clear" w:color="auto" w:fill="FFFFFF"/>
              <w:spacing w:before="0" w:beforeAutospacing="0" w:after="340" w:afterAutospacing="0"/>
              <w:jc w:val="both"/>
              <w:rPr>
                <w:rFonts w:ascii="Verdana" w:hAnsi="Verdana" w:cs="Segoe UI"/>
                <w:color w:val="000000" w:themeColor="text1"/>
                <w:sz w:val="22"/>
                <w:szCs w:val="22"/>
              </w:rPr>
            </w:pPr>
            <w:r w:rsidRPr="00B5441E">
              <w:rPr>
                <w:rFonts w:ascii="Verdana" w:eastAsia="Calibri" w:hAnsi="Verdana" w:cs="Arial"/>
                <w:color w:val="000000" w:themeColor="text1"/>
                <w:sz w:val="22"/>
                <w:szCs w:val="22"/>
                <w:lang w:eastAsia="es-ES"/>
              </w:rPr>
              <w:t xml:space="preserve">PRECIO – Estructuración del precio – Elemento del contrato estatal / COSTOS DIRECTOS E INDIRECTOS – Finalidad – Ejecución del contrato / AIU – Componentes – Límites / </w:t>
            </w:r>
            <w:r w:rsidRPr="00B5441E">
              <w:rPr>
                <w:rFonts w:ascii="Verdana" w:eastAsia="Calibri" w:hAnsi="Verdana"/>
                <w:color w:val="000000" w:themeColor="text1"/>
                <w:sz w:val="22"/>
                <w:szCs w:val="22"/>
                <w:lang w:val="es-ES" w:eastAsia="es-MX"/>
              </w:rPr>
              <w:t xml:space="preserve">CONTRATO DE OBRA PÚBLICA – Aplicación – Bienes inmuebles / CONTRATO DE OBRA PÚBLICA – Actividades – Construir – Mantener – Instalar / </w:t>
            </w:r>
            <w:r w:rsidRPr="005B4E42">
              <w:rPr>
                <w:rStyle w:val="Textoennegrita"/>
                <w:rFonts w:ascii="Verdana" w:hAnsi="Verdana" w:cs="Segoe UI"/>
                <w:b w:val="0"/>
                <w:bCs w:val="0"/>
                <w:color w:val="000000" w:themeColor="text1"/>
                <w:sz w:val="22"/>
                <w:szCs w:val="22"/>
              </w:rPr>
              <w:t>A.I.U – Documentos tipo – Infraestructura social – Licitación pública – Numeral 4.1.1 – Alcance – Obligatoriedad.</w:t>
            </w:r>
          </w:p>
        </w:tc>
      </w:tr>
      <w:tr w:rsidR="00D4125A" w:rsidRPr="002F7FFD" w14:paraId="7A47A74A" w14:textId="77777777" w:rsidTr="000C58FA">
        <w:trPr>
          <w:trHeight w:val="597"/>
        </w:trPr>
        <w:tc>
          <w:tcPr>
            <w:tcW w:w="3261" w:type="dxa"/>
            <w:hideMark/>
          </w:tcPr>
          <w:p w14:paraId="7811020D" w14:textId="77777777" w:rsidR="00D4125A" w:rsidRPr="002F7FFD" w:rsidRDefault="00D4125A" w:rsidP="000C58FA">
            <w:pPr>
              <w:spacing w:line="276" w:lineRule="auto"/>
              <w:jc w:val="both"/>
              <w:rPr>
                <w:rFonts w:ascii="Verdana" w:eastAsia="Calibri" w:hAnsi="Verdana" w:cs="Arial"/>
                <w:b/>
                <w:lang w:eastAsia="es-ES_tradnl"/>
              </w:rPr>
            </w:pPr>
            <w:r w:rsidRPr="002F7FFD">
              <w:rPr>
                <w:rFonts w:ascii="Verdana" w:eastAsia="Calibri" w:hAnsi="Verdana" w:cs="Arial"/>
                <w:b/>
                <w:lang w:eastAsia="es-ES_tradnl"/>
              </w:rPr>
              <w:t xml:space="preserve">Radicación:               </w:t>
            </w:r>
          </w:p>
        </w:tc>
        <w:tc>
          <w:tcPr>
            <w:tcW w:w="5972" w:type="dxa"/>
          </w:tcPr>
          <w:p w14:paraId="3F88B2FF" w14:textId="77777777" w:rsidR="00D4125A" w:rsidRPr="002F7FFD" w:rsidRDefault="00D4125A" w:rsidP="000C58FA">
            <w:pPr>
              <w:spacing w:line="276" w:lineRule="auto"/>
              <w:jc w:val="both"/>
              <w:rPr>
                <w:rFonts w:ascii="Verdana" w:eastAsia="Calibri" w:hAnsi="Verdana" w:cs="Arial"/>
                <w:bCs/>
                <w:lang w:eastAsia="es-ES_tradnl"/>
              </w:rPr>
            </w:pPr>
            <w:r w:rsidRPr="002F7FFD">
              <w:rPr>
                <w:rFonts w:ascii="Verdana" w:eastAsia="Calibri" w:hAnsi="Verdana" w:cs="Arial"/>
                <w:bCs/>
                <w:lang w:eastAsia="es-ES_tradnl"/>
              </w:rPr>
              <w:t>Respuesta a consulta con radicado No. </w:t>
            </w:r>
            <w:r w:rsidRPr="000C33EE">
              <w:rPr>
                <w:rFonts w:ascii="Verdana" w:eastAsia="Calibri" w:hAnsi="Verdana" w:cs="Arial"/>
                <w:bCs/>
                <w:lang w:eastAsia="es-ES_tradnl"/>
              </w:rPr>
              <w:t>1_2026_05_15_006575</w:t>
            </w:r>
          </w:p>
        </w:tc>
      </w:tr>
    </w:tbl>
    <w:p w14:paraId="29E9CD1A" w14:textId="77777777" w:rsidR="00D4125A" w:rsidRPr="002F7FFD" w:rsidRDefault="00D4125A" w:rsidP="00D4125A">
      <w:pPr>
        <w:spacing w:after="0" w:line="276" w:lineRule="auto"/>
        <w:jc w:val="both"/>
        <w:rPr>
          <w:rFonts w:ascii="Verdana" w:eastAsia="Calibri" w:hAnsi="Verdana" w:cs="Arial"/>
          <w:bCs/>
          <w:lang w:eastAsia="es-ES_tradnl"/>
        </w:rPr>
      </w:pPr>
    </w:p>
    <w:p w14:paraId="096E24A8" w14:textId="77777777" w:rsidR="00D4125A" w:rsidRPr="002F7FFD" w:rsidRDefault="00D4125A" w:rsidP="00D4125A">
      <w:pPr>
        <w:spacing w:after="0" w:line="276" w:lineRule="auto"/>
        <w:jc w:val="both"/>
        <w:rPr>
          <w:rFonts w:ascii="Verdana" w:eastAsia="Calibri" w:hAnsi="Verdana" w:cs="Arial"/>
          <w:lang w:eastAsia="es-ES"/>
        </w:rPr>
      </w:pPr>
      <w:r w:rsidRPr="002F7FFD">
        <w:rPr>
          <w:rFonts w:ascii="Verdana" w:eastAsia="Calibri" w:hAnsi="Verdana" w:cs="Arial"/>
          <w:lang w:eastAsia="es-ES"/>
        </w:rPr>
        <w:t xml:space="preserve">Estimada señora Galvis: </w:t>
      </w:r>
    </w:p>
    <w:p w14:paraId="6180FC13" w14:textId="77777777" w:rsidR="00D4125A" w:rsidRPr="002F7FFD" w:rsidRDefault="00D4125A" w:rsidP="00D4125A">
      <w:pPr>
        <w:tabs>
          <w:tab w:val="left" w:pos="3768"/>
        </w:tabs>
        <w:spacing w:after="0" w:line="276" w:lineRule="auto"/>
        <w:jc w:val="both"/>
        <w:rPr>
          <w:rFonts w:ascii="Verdana" w:eastAsia="Calibri" w:hAnsi="Verdana" w:cs="Arial"/>
          <w:color w:val="000000" w:themeColor="text1"/>
          <w:lang w:eastAsia="es-ES"/>
        </w:rPr>
      </w:pPr>
      <w:r w:rsidRPr="002F7FFD">
        <w:rPr>
          <w:rFonts w:ascii="Verdana" w:eastAsia="Calibri" w:hAnsi="Verdana" w:cs="Arial"/>
          <w:color w:val="000000" w:themeColor="text1"/>
          <w:lang w:eastAsia="es-ES"/>
        </w:rPr>
        <w:tab/>
      </w:r>
    </w:p>
    <w:p w14:paraId="2C5343D7" w14:textId="77777777" w:rsidR="00D4125A" w:rsidRPr="00D31E9E" w:rsidRDefault="00D4125A" w:rsidP="00D4125A">
      <w:pPr>
        <w:spacing w:after="0" w:line="276" w:lineRule="auto"/>
        <w:jc w:val="both"/>
        <w:rPr>
          <w:rFonts w:ascii="Verdana" w:eastAsia="Calibri" w:hAnsi="Verdana" w:cs="Vrinda"/>
          <w:lang w:val="es-ES" w:eastAsia="es-ES"/>
        </w:rPr>
      </w:pPr>
      <w:r w:rsidRPr="002F7FFD">
        <w:rPr>
          <w:rFonts w:ascii="Verdana" w:eastAsia="Calibri" w:hAnsi="Verdana" w:cs="Arial"/>
          <w:color w:val="000000" w:themeColor="text1"/>
          <w:lang w:eastAsia="es-ES"/>
        </w:rPr>
        <w:t>En ejercicio de la competencia otorgada por los artículos 3, numeral 5º, y 11, numeral 8º, del Decreto Ley 4170 de 2011,</w:t>
      </w:r>
      <w:r w:rsidRPr="002F7FFD">
        <w:rPr>
          <w:rFonts w:ascii="Verdana" w:eastAsia="Arial MT" w:hAnsi="Verdana" w:cs="Arial MT"/>
          <w:lang w:eastAsia="es-ES"/>
        </w:rPr>
        <w:t xml:space="preserve"> </w:t>
      </w:r>
      <w:r w:rsidRPr="002F7FFD">
        <w:rPr>
          <w:rFonts w:ascii="Verdana" w:hAnsi="Verdana" w:cs="Arial"/>
          <w:color w:val="000000" w:themeColor="text1"/>
        </w:rPr>
        <w:t>así como lo establecido</w:t>
      </w:r>
      <w:r w:rsidRPr="002F7FFD">
        <w:rPr>
          <w:rFonts w:ascii="Verdana" w:hAnsi="Verdana" w:cs="Arial"/>
        </w:rPr>
        <w:t xml:space="preserve"> por la </w:t>
      </w:r>
      <w:r w:rsidRPr="002F7FFD">
        <w:rPr>
          <w:rFonts w:ascii="Verdana" w:eastAsia="Calibri" w:hAnsi="Verdana" w:cs="Times New Roman"/>
          <w:bCs/>
        </w:rPr>
        <w:t xml:space="preserve">Resolución 469 de 2025 </w:t>
      </w:r>
      <w:r w:rsidRPr="002F7FFD">
        <w:rPr>
          <w:rFonts w:ascii="Verdana" w:hAnsi="Verdana" w:cs="Arial"/>
          <w:color w:val="000000" w:themeColor="text1"/>
        </w:rPr>
        <w:t>expedida por esta Entidad</w:t>
      </w:r>
      <w:r w:rsidRPr="002F7FFD">
        <w:rPr>
          <w:rFonts w:ascii="Verdana" w:hAnsi="Verdana" w:cs="Arial"/>
        </w:rPr>
        <w:t xml:space="preserve">, </w:t>
      </w:r>
      <w:r w:rsidRPr="002F7FFD">
        <w:rPr>
          <w:rFonts w:ascii="Verdana" w:eastAsia="Calibri" w:hAnsi="Verdana" w:cs="Arial"/>
          <w:color w:val="000000" w:themeColor="text1"/>
          <w:lang w:eastAsia="es-ES"/>
        </w:rPr>
        <w:t xml:space="preserve">la Agencia Nacional de Contratación Pública – Colombia Compra Eficiente responde su solicitud de concepto </w:t>
      </w:r>
      <w:r>
        <w:rPr>
          <w:rFonts w:ascii="Verdana" w:eastAsia="Calibri" w:hAnsi="Verdana" w:cs="Arial"/>
          <w:color w:val="000000" w:themeColor="text1"/>
          <w:lang w:eastAsia="es-ES"/>
        </w:rPr>
        <w:t>de</w:t>
      </w:r>
      <w:r w:rsidRPr="002F7FFD">
        <w:rPr>
          <w:rFonts w:ascii="Verdana" w:eastAsia="Calibri" w:hAnsi="Verdana" w:cs="Arial"/>
          <w:color w:val="000000" w:themeColor="text1"/>
          <w:lang w:eastAsia="es-ES"/>
        </w:rPr>
        <w:t xml:space="preserve">l </w:t>
      </w:r>
      <w:r>
        <w:rPr>
          <w:rFonts w:ascii="Verdana" w:eastAsia="Calibri" w:hAnsi="Verdana" w:cs="Arial"/>
          <w:color w:val="000000" w:themeColor="text1"/>
          <w:lang w:eastAsia="es-ES"/>
        </w:rPr>
        <w:t xml:space="preserve">15 de mayo </w:t>
      </w:r>
      <w:r w:rsidRPr="002F7FFD">
        <w:rPr>
          <w:rFonts w:ascii="Verdana" w:eastAsia="Calibri" w:hAnsi="Verdana" w:cs="Arial"/>
          <w:color w:val="000000" w:themeColor="text1"/>
          <w:lang w:eastAsia="es-ES"/>
        </w:rPr>
        <w:t>de 2026</w:t>
      </w:r>
      <w:r w:rsidRPr="002F7FFD">
        <w:rPr>
          <w:rFonts w:ascii="Verdana" w:eastAsia="Calibri" w:hAnsi="Verdana" w:cs="Arial"/>
          <w:lang w:eastAsia="es-ES"/>
        </w:rPr>
        <w:t xml:space="preserve"> </w:t>
      </w:r>
      <w:bookmarkStart w:id="1" w:name="_Hlk95313578"/>
      <w:r w:rsidRPr="00D31E9E">
        <w:rPr>
          <w:rFonts w:ascii="Verdana" w:eastAsia="Calibri" w:hAnsi="Verdana" w:cs="Vrinda"/>
          <w:lang w:val="es-ES" w:eastAsia="es-ES"/>
        </w:rPr>
        <w:t xml:space="preserve">identificada el radicado </w:t>
      </w:r>
      <w:r w:rsidRPr="00D31E9E">
        <w:rPr>
          <w:rFonts w:ascii="Verdana" w:eastAsia="Aptos" w:hAnsi="Verdana" w:cs="Times New Roman"/>
          <w:kern w:val="2"/>
          <w14:ligatures w14:val="standardContextual"/>
        </w:rPr>
        <w:t>202616</w:t>
      </w:r>
      <w:r>
        <w:rPr>
          <w:rFonts w:ascii="Verdana" w:eastAsia="Aptos" w:hAnsi="Verdana" w:cs="Times New Roman"/>
          <w:kern w:val="2"/>
          <w14:ligatures w14:val="standardContextual"/>
        </w:rPr>
        <w:t>10231081</w:t>
      </w:r>
      <w:r w:rsidRPr="00D31E9E">
        <w:rPr>
          <w:rFonts w:ascii="Verdana" w:eastAsia="Calibri" w:hAnsi="Verdana" w:cs="Vrinda"/>
          <w:lang w:val="es-ES" w:eastAsia="es-ES"/>
        </w:rPr>
        <w:t>. En dicha petición usted manifiesta lo siguiente:</w:t>
      </w:r>
    </w:p>
    <w:p w14:paraId="115E47E7" w14:textId="77777777" w:rsidR="00D4125A" w:rsidRPr="002F7FFD" w:rsidRDefault="00D4125A" w:rsidP="00D4125A">
      <w:pPr>
        <w:spacing w:after="0" w:line="276" w:lineRule="auto"/>
        <w:jc w:val="both"/>
        <w:rPr>
          <w:rFonts w:ascii="Verdana" w:eastAsia="Calibri" w:hAnsi="Verdana" w:cs="Arial"/>
          <w:i/>
          <w:iCs/>
          <w:lang w:eastAsia="es-ES"/>
        </w:rPr>
      </w:pPr>
    </w:p>
    <w:p w14:paraId="68F9369E" w14:textId="77777777" w:rsidR="00D4125A" w:rsidRPr="002F7FFD" w:rsidRDefault="00D4125A" w:rsidP="00D4125A">
      <w:pPr>
        <w:spacing w:after="0" w:line="240" w:lineRule="auto"/>
        <w:ind w:left="709" w:right="618"/>
        <w:jc w:val="both"/>
        <w:rPr>
          <w:rFonts w:ascii="Verdana" w:hAnsi="Verdana" w:cs="Arial"/>
          <w:sz w:val="20"/>
          <w:szCs w:val="20"/>
        </w:rPr>
      </w:pPr>
      <w:r w:rsidRPr="002F7FFD">
        <w:rPr>
          <w:rFonts w:ascii="Verdana" w:eastAsia="Arial" w:hAnsi="Verdana" w:cs="Arial"/>
          <w:i/>
          <w:color w:val="000000"/>
          <w:sz w:val="20"/>
          <w:szCs w:val="20"/>
        </w:rPr>
        <w:t>“</w:t>
      </w:r>
      <w:bookmarkEnd w:id="1"/>
      <w:r w:rsidRPr="002F7FFD">
        <w:rPr>
          <w:rFonts w:ascii="Verdana" w:hAnsi="Verdana" w:cs="Arial"/>
          <w:sz w:val="20"/>
          <w:szCs w:val="20"/>
        </w:rPr>
        <w:t>(…)</w:t>
      </w:r>
    </w:p>
    <w:p w14:paraId="3BB1331A" w14:textId="77777777" w:rsidR="00D4125A" w:rsidRPr="002F7FFD" w:rsidRDefault="00D4125A" w:rsidP="00D4125A">
      <w:pPr>
        <w:spacing w:after="0" w:line="240" w:lineRule="auto"/>
        <w:ind w:left="709" w:right="618"/>
        <w:jc w:val="both"/>
        <w:rPr>
          <w:rFonts w:ascii="Verdana" w:hAnsi="Verdana" w:cs="Arial"/>
          <w:sz w:val="20"/>
          <w:szCs w:val="20"/>
        </w:rPr>
      </w:pPr>
    </w:p>
    <w:p w14:paraId="18022EE9" w14:textId="77777777" w:rsidR="00D4125A" w:rsidRDefault="00D4125A" w:rsidP="00D4125A">
      <w:pPr>
        <w:spacing w:after="0" w:line="240" w:lineRule="auto"/>
        <w:ind w:left="709" w:right="618"/>
        <w:jc w:val="both"/>
        <w:rPr>
          <w:rFonts w:ascii="Verdana" w:hAnsi="Verdana" w:cs="Arial"/>
          <w:sz w:val="20"/>
          <w:szCs w:val="20"/>
        </w:rPr>
      </w:pPr>
      <w:r w:rsidRPr="00C20072">
        <w:rPr>
          <w:rFonts w:ascii="Verdana" w:hAnsi="Verdana" w:cs="Arial"/>
          <w:sz w:val="20"/>
          <w:szCs w:val="20"/>
        </w:rPr>
        <w:t>A su vez, decreto la siguiente prueba:</w:t>
      </w:r>
    </w:p>
    <w:p w14:paraId="26CE588B" w14:textId="77777777" w:rsidR="00D4125A" w:rsidRPr="00C20072" w:rsidRDefault="00D4125A" w:rsidP="00D4125A">
      <w:pPr>
        <w:spacing w:after="0" w:line="240" w:lineRule="auto"/>
        <w:ind w:left="709" w:right="618"/>
        <w:jc w:val="both"/>
        <w:rPr>
          <w:rFonts w:ascii="Verdana" w:hAnsi="Verdana" w:cs="Arial"/>
          <w:sz w:val="20"/>
          <w:szCs w:val="20"/>
        </w:rPr>
      </w:pPr>
    </w:p>
    <w:p w14:paraId="5527934D" w14:textId="77777777" w:rsidR="00D4125A" w:rsidRPr="00C20072" w:rsidRDefault="00D4125A" w:rsidP="00D4125A">
      <w:pPr>
        <w:spacing w:after="0" w:line="240" w:lineRule="auto"/>
        <w:ind w:left="709" w:right="618"/>
        <w:jc w:val="both"/>
        <w:rPr>
          <w:rFonts w:ascii="Verdana" w:hAnsi="Verdana" w:cs="Arial"/>
          <w:sz w:val="20"/>
          <w:szCs w:val="20"/>
        </w:rPr>
      </w:pPr>
      <w:r w:rsidRPr="00C20072">
        <w:rPr>
          <w:rFonts w:ascii="Verdana" w:hAnsi="Verdana" w:cs="Arial"/>
          <w:sz w:val="20"/>
          <w:szCs w:val="20"/>
        </w:rPr>
        <w:t xml:space="preserve">1. En contratos de obra pública relacionados con mantenimiento estructural o intervenciones locativas en edificaciones administrativas existentes, ¿es </w:t>
      </w:r>
      <w:r w:rsidRPr="00C20072">
        <w:rPr>
          <w:rFonts w:ascii="Verdana" w:hAnsi="Verdana" w:cs="Arial"/>
          <w:sz w:val="20"/>
          <w:szCs w:val="20"/>
        </w:rPr>
        <w:lastRenderedPageBreak/>
        <w:t>obligatorio incluir el componente de Administración, Imprevistos y Utilidad (AIU) como rubro independiente dentro del presupuesto oficial, o puede estar incorporado dentro de los precios unitarios, siempre que se encuentre debidamente soportado en los estudios previos?,</w:t>
      </w:r>
    </w:p>
    <w:p w14:paraId="6A4AE3C3" w14:textId="77777777" w:rsidR="00D4125A" w:rsidRPr="002F7FFD" w:rsidRDefault="00D4125A" w:rsidP="00D4125A">
      <w:pPr>
        <w:spacing w:after="0" w:line="240" w:lineRule="auto"/>
        <w:ind w:left="709" w:right="618"/>
        <w:jc w:val="both"/>
        <w:rPr>
          <w:rFonts w:ascii="Verdana" w:hAnsi="Verdana" w:cs="Arial"/>
          <w:sz w:val="20"/>
          <w:szCs w:val="20"/>
        </w:rPr>
      </w:pPr>
      <w:r w:rsidRPr="00C20072">
        <w:rPr>
          <w:rFonts w:ascii="Verdana" w:hAnsi="Verdana" w:cs="Arial"/>
          <w:sz w:val="20"/>
          <w:szCs w:val="20"/>
        </w:rPr>
        <w:t xml:space="preserve">2. En caso afirmativo informar </w:t>
      </w:r>
      <w:proofErr w:type="spellStart"/>
      <w:r w:rsidRPr="00C20072">
        <w:rPr>
          <w:rFonts w:ascii="Verdana" w:hAnsi="Verdana" w:cs="Arial"/>
          <w:sz w:val="20"/>
          <w:szCs w:val="20"/>
        </w:rPr>
        <w:t>și</w:t>
      </w:r>
      <w:proofErr w:type="spellEnd"/>
      <w:r w:rsidRPr="00C20072">
        <w:rPr>
          <w:rFonts w:ascii="Verdana" w:hAnsi="Verdana" w:cs="Arial"/>
          <w:sz w:val="20"/>
          <w:szCs w:val="20"/>
        </w:rPr>
        <w:t xml:space="preserve"> existen excepciones a la norma?</w:t>
      </w:r>
      <w:r w:rsidRPr="002F7FFD">
        <w:rPr>
          <w:rFonts w:ascii="Verdana" w:hAnsi="Verdana" w:cs="Arial"/>
          <w:sz w:val="20"/>
          <w:szCs w:val="20"/>
        </w:rPr>
        <w:t>”</w:t>
      </w:r>
    </w:p>
    <w:p w14:paraId="5610942B" w14:textId="77777777" w:rsidR="00D4125A" w:rsidRPr="00B5441E" w:rsidRDefault="00D4125A" w:rsidP="00D4125A">
      <w:pPr>
        <w:spacing w:after="0" w:line="240" w:lineRule="auto"/>
        <w:ind w:left="709" w:right="709"/>
        <w:jc w:val="both"/>
        <w:rPr>
          <w:rFonts w:ascii="Verdana" w:hAnsi="Verdana"/>
        </w:rPr>
      </w:pPr>
    </w:p>
    <w:p w14:paraId="551117C7" w14:textId="77777777" w:rsidR="00D4125A" w:rsidRPr="002F7FFD" w:rsidRDefault="00D4125A" w:rsidP="00D4125A">
      <w:pPr>
        <w:spacing w:after="120" w:line="276" w:lineRule="auto"/>
        <w:ind w:firstLine="709"/>
        <w:jc w:val="both"/>
        <w:rPr>
          <w:rFonts w:ascii="Verdana" w:eastAsia="Calibri" w:hAnsi="Verdana" w:cs="Arial"/>
          <w:color w:val="000000"/>
          <w:lang w:eastAsia="es-ES"/>
        </w:rPr>
      </w:pPr>
      <w:r w:rsidRPr="002F7FFD">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F7FFD">
        <w:rPr>
          <w:rFonts w:ascii="Verdana" w:eastAsia="Calibri" w:hAnsi="Verdana" w:cs="Arial"/>
          <w:color w:val="000000"/>
          <w:szCs w:val="24"/>
          <w:lang w:eastAsia="es-ES_tradnl"/>
        </w:rPr>
        <w:tab/>
      </w:r>
    </w:p>
    <w:p w14:paraId="0BCA0530" w14:textId="77777777" w:rsidR="00D4125A" w:rsidRPr="002F7FFD" w:rsidRDefault="00D4125A" w:rsidP="00D4125A">
      <w:pPr>
        <w:spacing w:after="120" w:line="276" w:lineRule="auto"/>
        <w:ind w:firstLine="709"/>
        <w:jc w:val="both"/>
        <w:rPr>
          <w:rFonts w:ascii="Verdana" w:eastAsia="Calibri" w:hAnsi="Verdana" w:cs="Arial"/>
          <w:color w:val="000000"/>
          <w:lang w:eastAsia="es-ES"/>
        </w:rPr>
      </w:pPr>
      <w:r w:rsidRPr="002F7FFD">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2F7FFD">
        <w:rPr>
          <w:rFonts w:ascii="Verdana" w:eastAsia="Calibri" w:hAnsi="Verdana" w:cs="Arial"/>
          <w:color w:val="7030A0"/>
          <w:lang w:eastAsia="es-ES"/>
        </w:rPr>
        <w:t xml:space="preserve"> </w:t>
      </w:r>
      <w:r w:rsidRPr="002F7FFD">
        <w:rPr>
          <w:rFonts w:ascii="Verdana" w:eastAsia="Calibri" w:hAnsi="Verdana" w:cs="Arial"/>
          <w:color w:val="000000"/>
          <w:lang w:eastAsia="es-ES"/>
        </w:rPr>
        <w:t>problemas</w:t>
      </w:r>
      <w:r w:rsidRPr="002F7FFD">
        <w:rPr>
          <w:rFonts w:ascii="Verdana" w:eastAsia="Calibri" w:hAnsi="Verdana" w:cs="Arial"/>
          <w:color w:val="7030A0"/>
          <w:lang w:eastAsia="es-ES"/>
        </w:rPr>
        <w:t xml:space="preserve"> </w:t>
      </w:r>
      <w:r w:rsidRPr="002F7FFD">
        <w:rPr>
          <w:rFonts w:ascii="Verdana" w:eastAsia="Calibri" w:hAnsi="Verdana" w:cs="Arial"/>
          <w:color w:val="000000"/>
          <w:lang w:eastAsia="es-ES"/>
        </w:rPr>
        <w:t>jurídicos</w:t>
      </w:r>
      <w:r w:rsidRPr="002F7FFD">
        <w:rPr>
          <w:rFonts w:ascii="Verdana" w:eastAsia="Calibri" w:hAnsi="Verdana" w:cs="Arial"/>
          <w:color w:val="7030A0"/>
          <w:lang w:eastAsia="es-ES"/>
        </w:rPr>
        <w:t xml:space="preserve"> </w:t>
      </w:r>
      <w:r w:rsidRPr="002F7FFD">
        <w:rPr>
          <w:rFonts w:ascii="Verdana" w:eastAsia="Calibri" w:hAnsi="Verdana" w:cs="Arial"/>
          <w:color w:val="000000"/>
          <w:lang w:eastAsia="es-ES"/>
        </w:rPr>
        <w:t xml:space="preserve">de su consulta.  </w:t>
      </w:r>
    </w:p>
    <w:p w14:paraId="6035B862" w14:textId="77777777" w:rsidR="00D4125A" w:rsidRPr="002F7FFD" w:rsidRDefault="00D4125A" w:rsidP="00D4125A">
      <w:pPr>
        <w:spacing w:after="0" w:line="276" w:lineRule="auto"/>
        <w:jc w:val="both"/>
        <w:rPr>
          <w:rFonts w:ascii="Verdana" w:eastAsia="Calibri" w:hAnsi="Verdana" w:cs="Arial"/>
          <w:color w:val="000000"/>
          <w:lang w:eastAsia="es-ES"/>
        </w:rPr>
      </w:pPr>
    </w:p>
    <w:p w14:paraId="07EF7F6A" w14:textId="77777777" w:rsidR="00D4125A" w:rsidRPr="002F7FFD" w:rsidRDefault="00D4125A" w:rsidP="00D4125A">
      <w:pPr>
        <w:numPr>
          <w:ilvl w:val="0"/>
          <w:numId w:val="17"/>
        </w:numPr>
        <w:tabs>
          <w:tab w:val="left" w:pos="142"/>
          <w:tab w:val="left" w:pos="284"/>
        </w:tabs>
        <w:spacing w:after="0" w:line="276" w:lineRule="auto"/>
        <w:ind w:left="1068"/>
        <w:jc w:val="both"/>
        <w:rPr>
          <w:rFonts w:ascii="Verdana" w:eastAsia="Century Gothic" w:hAnsi="Verdana" w:cs="Century Gothic"/>
          <w:b/>
          <w:bCs/>
        </w:rPr>
      </w:pPr>
      <w:r w:rsidRPr="002F7FFD">
        <w:rPr>
          <w:rFonts w:ascii="Verdana" w:eastAsia="Century Gothic" w:hAnsi="Verdana" w:cs="Century Gothic"/>
          <w:b/>
          <w:bCs/>
        </w:rPr>
        <w:t>Problemas planteados:</w:t>
      </w:r>
    </w:p>
    <w:p w14:paraId="09F7C9FF" w14:textId="77777777" w:rsidR="00D4125A" w:rsidRPr="002F7FFD" w:rsidRDefault="00D4125A" w:rsidP="00D4125A">
      <w:pPr>
        <w:tabs>
          <w:tab w:val="left" w:pos="426"/>
        </w:tabs>
        <w:spacing w:after="0" w:line="276" w:lineRule="auto"/>
        <w:jc w:val="both"/>
        <w:rPr>
          <w:rFonts w:ascii="Verdana" w:eastAsia="Century Gothic" w:hAnsi="Verdana" w:cs="Century Gothic"/>
        </w:rPr>
      </w:pPr>
    </w:p>
    <w:p w14:paraId="020CEFDE" w14:textId="737811A5" w:rsidR="00D4125A" w:rsidRPr="00910F86" w:rsidRDefault="00D4125A" w:rsidP="00D4125A">
      <w:pPr>
        <w:spacing w:after="0" w:line="276" w:lineRule="auto"/>
        <w:jc w:val="both"/>
        <w:rPr>
          <w:rFonts w:ascii="Verdana" w:eastAsia="Century Gothic" w:hAnsi="Verdana" w:cs="Century Gothic"/>
        </w:rPr>
      </w:pPr>
      <w:r w:rsidRPr="002F7FFD">
        <w:rPr>
          <w:rFonts w:ascii="Verdana" w:eastAsia="Century Gothic" w:hAnsi="Verdana" w:cs="Century Gothic"/>
        </w:rPr>
        <w:t>De acuerdo con el contenido de su solicitud, esta Agencia resolverá los siguientes problemas jurídicos:</w:t>
      </w:r>
      <w:r>
        <w:rPr>
          <w:rFonts w:ascii="Verdana" w:eastAsia="Century Gothic" w:hAnsi="Verdana" w:cs="Century Gothic"/>
        </w:rPr>
        <w:t xml:space="preserve"> </w:t>
      </w:r>
      <w:r w:rsidRPr="001900F5">
        <w:rPr>
          <w:rFonts w:ascii="Verdana" w:eastAsia="Century Gothic" w:hAnsi="Verdana" w:cs="Century Gothic"/>
        </w:rPr>
        <w:t>¿En los contratos de obra pública que tienen por objeto el mantenimiento estructural o la realización de intervenciones locativas en edificaciones administrativas existentes, la entidad estatal está obligada a incorporar el componente de Administración, Imprevistos y Utilidad (AIU) como un rubro independiente dentro del presupuesto oficial, o puede incluirlo dentro de los precios unitarios</w:t>
      </w:r>
      <w:r>
        <w:rPr>
          <w:rFonts w:ascii="Verdana" w:eastAsia="Century Gothic" w:hAnsi="Verdana" w:cs="Century Gothic"/>
        </w:rPr>
        <w:t>?</w:t>
      </w:r>
    </w:p>
    <w:p w14:paraId="455ABBEA" w14:textId="77777777" w:rsidR="00D4125A" w:rsidRPr="002F7FFD" w:rsidRDefault="00D4125A" w:rsidP="00D4125A">
      <w:pPr>
        <w:spacing w:after="0" w:line="276" w:lineRule="auto"/>
        <w:jc w:val="both"/>
        <w:rPr>
          <w:rFonts w:ascii="Verdana" w:eastAsia="Century Gothic" w:hAnsi="Verdana" w:cs="Century Gothic"/>
        </w:rPr>
      </w:pPr>
    </w:p>
    <w:p w14:paraId="44E7D68D" w14:textId="77777777" w:rsidR="00D4125A" w:rsidRPr="008B3C63" w:rsidRDefault="00D4125A" w:rsidP="00D4125A">
      <w:pPr>
        <w:numPr>
          <w:ilvl w:val="0"/>
          <w:numId w:val="17"/>
        </w:numPr>
        <w:tabs>
          <w:tab w:val="left" w:pos="142"/>
          <w:tab w:val="left" w:pos="284"/>
        </w:tabs>
        <w:spacing w:after="0" w:line="276" w:lineRule="auto"/>
        <w:ind w:left="1068"/>
        <w:jc w:val="both"/>
        <w:rPr>
          <w:rFonts w:ascii="Verdana" w:eastAsia="Century Gothic" w:hAnsi="Verdana" w:cs="Century Gothic"/>
          <w:b/>
          <w:bCs/>
          <w:color w:val="000000" w:themeColor="text1"/>
        </w:rPr>
      </w:pPr>
      <w:r w:rsidRPr="008B3C63">
        <w:rPr>
          <w:rFonts w:ascii="Verdana" w:eastAsia="Century Gothic" w:hAnsi="Verdana" w:cs="Century Gothic"/>
          <w:b/>
          <w:bCs/>
          <w:color w:val="000000" w:themeColor="text1"/>
        </w:rPr>
        <w:t>Respuestas:</w:t>
      </w:r>
    </w:p>
    <w:p w14:paraId="0D1EC833" w14:textId="77777777" w:rsidR="00D4125A" w:rsidRPr="0038727B" w:rsidRDefault="00D4125A" w:rsidP="00D4125A">
      <w:pPr>
        <w:tabs>
          <w:tab w:val="left" w:pos="142"/>
          <w:tab w:val="left" w:pos="284"/>
        </w:tabs>
        <w:spacing w:after="0" w:line="276" w:lineRule="auto"/>
        <w:jc w:val="both"/>
        <w:rPr>
          <w:rFonts w:ascii="Verdana" w:eastAsia="Century Gothic" w:hAnsi="Verdana" w:cs="Century Gothic"/>
          <w:b/>
          <w:bCs/>
          <w:color w:val="00B0F0"/>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4125A" w:rsidRPr="0038727B" w14:paraId="1CD48D13" w14:textId="77777777" w:rsidTr="000C58FA">
        <w:trPr>
          <w:trHeight w:val="977"/>
          <w:jc w:val="center"/>
        </w:trPr>
        <w:tc>
          <w:tcPr>
            <w:tcW w:w="8828" w:type="dxa"/>
          </w:tcPr>
          <w:p w14:paraId="5D3B2FA0" w14:textId="77777777" w:rsidR="00274D46" w:rsidRPr="00A0389A" w:rsidRDefault="00274D46" w:rsidP="008F1A92">
            <w:pPr>
              <w:spacing w:after="120" w:line="276" w:lineRule="auto"/>
              <w:jc w:val="both"/>
              <w:rPr>
                <w:rFonts w:ascii="Verdana" w:hAnsi="Verdana" w:cs="Arial"/>
                <w:lang w:eastAsia="es-ES"/>
              </w:rPr>
            </w:pPr>
            <w:bookmarkStart w:id="2" w:name="_Hlk171694685"/>
            <w:r w:rsidRPr="00A0389A">
              <w:rPr>
                <w:rFonts w:ascii="Verdana" w:hAnsi="Verdana" w:cs="Arial"/>
                <w:lang w:eastAsia="es-ES"/>
              </w:rPr>
              <w:lastRenderedPageBreak/>
              <w:t xml:space="preserve">La metodología de estipulación del precio a través de la utilización de las variables AIU, como forma de calcular los costos indirectos, no tiene una regulación expresa en el Estatuto General de Contratación de la Administración Pública, en el Decreto 1082 de 2015 o en disposiciones normativas complementarias. Lo que existe es una competencia para las entidades estatales, reconocida en el artículo 40 de la Ley 80 de 1993, en los siguientes términos: “En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 Por tanto, </w:t>
            </w:r>
            <w:bookmarkStart w:id="3" w:name="_Hlk191158215"/>
            <w:r w:rsidRPr="00A0389A">
              <w:rPr>
                <w:rFonts w:ascii="Verdana" w:hAnsi="Verdana" w:cs="Arial"/>
                <w:lang w:eastAsia="es-ES"/>
              </w:rPr>
              <w:t>el AIU, como metodología de pacto del precio que proviene de la costumbre mercantil, se puede utilizar en principio en cualquier tipología contractual, aunque lo más común es que se use en los contratos de tracto sucesivo, especialmente en los que se distinguen los precios unitarios.</w:t>
            </w:r>
          </w:p>
          <w:p w14:paraId="429EF61A" w14:textId="5CCAFF95" w:rsidR="00274D46" w:rsidRPr="00A0389A" w:rsidRDefault="00455D2C" w:rsidP="00B5441E">
            <w:pPr>
              <w:spacing w:after="120" w:line="276" w:lineRule="auto"/>
              <w:ind w:firstLine="709"/>
              <w:jc w:val="both"/>
              <w:rPr>
                <w:rFonts w:ascii="Verdana" w:hAnsi="Verdana" w:cs="Arial"/>
                <w:lang w:eastAsia="es-ES"/>
              </w:rPr>
            </w:pPr>
            <w:r>
              <w:rPr>
                <w:rFonts w:ascii="Verdana" w:hAnsi="Verdana" w:cs="Arial"/>
                <w:lang w:eastAsia="es-ES"/>
              </w:rPr>
              <w:t>Ahora bien, l</w:t>
            </w:r>
            <w:r w:rsidR="00274D46" w:rsidRPr="00A0389A">
              <w:rPr>
                <w:rFonts w:ascii="Verdana" w:hAnsi="Verdana" w:cs="Arial"/>
                <w:lang w:eastAsia="es-ES"/>
              </w:rPr>
              <w:t>a determinación de este sistema de estipulación del valor debe ser el resultado de los estudios previos y</w:t>
            </w:r>
            <w:r w:rsidR="00BA043A">
              <w:rPr>
                <w:rFonts w:ascii="Verdana" w:hAnsi="Verdana" w:cs="Arial"/>
                <w:lang w:eastAsia="es-ES"/>
              </w:rPr>
              <w:t>,</w:t>
            </w:r>
            <w:r w:rsidR="00274D46" w:rsidRPr="00A0389A">
              <w:rPr>
                <w:rFonts w:ascii="Verdana" w:hAnsi="Verdana" w:cs="Arial"/>
                <w:lang w:eastAsia="es-ES"/>
              </w:rPr>
              <w:t xml:space="preserve"> especialmente</w:t>
            </w:r>
            <w:r w:rsidR="00BA043A">
              <w:rPr>
                <w:rFonts w:ascii="Verdana" w:hAnsi="Verdana" w:cs="Arial"/>
                <w:lang w:eastAsia="es-ES"/>
              </w:rPr>
              <w:t>,</w:t>
            </w:r>
            <w:r w:rsidR="00274D46" w:rsidRPr="00A0389A">
              <w:rPr>
                <w:rFonts w:ascii="Verdana" w:hAnsi="Verdana" w:cs="Arial"/>
                <w:lang w:eastAsia="es-ES"/>
              </w:rPr>
              <w:t xml:space="preserve"> del análisis del sector. Solo a partir de tales estudios la entidad estatal podrá concluir si es oportuno y conveniente establecer que el precio del contrato y, por tanto, la propuesta del oferente se deberá establecer distinguiendo los costos directos respecto de los costos indirectos; estos últimos representados en el AIU.</w:t>
            </w:r>
          </w:p>
          <w:p w14:paraId="67540947" w14:textId="4DCDC404" w:rsidR="00274D46" w:rsidRPr="00A0389A" w:rsidRDefault="00274D46" w:rsidP="00B5441E">
            <w:pPr>
              <w:spacing w:after="120" w:line="276" w:lineRule="auto"/>
              <w:ind w:firstLine="709"/>
              <w:jc w:val="both"/>
              <w:rPr>
                <w:rFonts w:ascii="Verdana" w:hAnsi="Verdana" w:cs="Arial"/>
                <w:lang w:eastAsia="es-ES"/>
              </w:rPr>
            </w:pPr>
            <w:r w:rsidRPr="00A0389A">
              <w:rPr>
                <w:rFonts w:ascii="Verdana" w:hAnsi="Verdana" w:cs="Arial"/>
                <w:lang w:eastAsia="es-ES"/>
              </w:rPr>
              <w:t xml:space="preserve">En consecuencia, no hay </w:t>
            </w:r>
            <w:r w:rsidRPr="00010756">
              <w:rPr>
                <w:rFonts w:ascii="Verdana" w:hAnsi="Verdana" w:cs="Arial"/>
                <w:i/>
                <w:lang w:eastAsia="es-ES"/>
              </w:rPr>
              <w:t>a priori</w:t>
            </w:r>
            <w:r w:rsidRPr="00A0389A">
              <w:rPr>
                <w:rFonts w:ascii="Verdana" w:hAnsi="Verdana" w:cs="Arial"/>
                <w:lang w:eastAsia="es-ES"/>
              </w:rPr>
              <w:t xml:space="preserve"> tipologías contractuales en las que la ley o el reglamento establezcan que se debe utilizar el AIU, así como tampoco hay una determinación única y específica de la forma en la que el AIU debe ser establecido, ya que tal decisión obedece a lo que resulte más conveniente a la entidad estatal, en cumplimiento del principio de planeación.</w:t>
            </w:r>
          </w:p>
          <w:p w14:paraId="1DF4CDB9" w14:textId="48E1919B" w:rsidR="00274D46" w:rsidRPr="00A0389A" w:rsidRDefault="00274D46" w:rsidP="00B5441E">
            <w:pPr>
              <w:snapToGrid w:val="0"/>
              <w:spacing w:after="120" w:line="276" w:lineRule="auto"/>
              <w:ind w:firstLine="709"/>
              <w:jc w:val="both"/>
              <w:rPr>
                <w:rFonts w:ascii="Verdana" w:hAnsi="Verdana" w:cs="Arial"/>
                <w:lang w:eastAsia="es-ES"/>
              </w:rPr>
            </w:pPr>
            <w:r w:rsidRPr="00A0389A">
              <w:rPr>
                <w:rFonts w:ascii="Verdana" w:hAnsi="Verdana" w:cs="Arial"/>
                <w:bCs/>
                <w:szCs w:val="24"/>
                <w:lang w:val="es-ES_tradnl" w:eastAsia="es-ES_tradnl"/>
              </w:rPr>
              <w:t xml:space="preserve">En este contexto, si </w:t>
            </w:r>
            <w:r w:rsidRPr="00A0389A">
              <w:rPr>
                <w:rFonts w:ascii="Verdana" w:hAnsi="Verdana" w:cs="Arial"/>
                <w:lang w:eastAsia="es-ES"/>
              </w:rPr>
              <w:t xml:space="preserve">con base en los estudios del sector la entidad estatal estableció la necesidad de estructurar el valor bajo el sistema de precios unitarios y con el desglose del AIU, el precio se debería pagar con base en el valor de los costos directos incrementados por el porcentaje del AIU, en relación con todas las actividades calculadas bajo este sistema. </w:t>
            </w:r>
          </w:p>
          <w:p w14:paraId="5384FF62" w14:textId="77777777" w:rsidR="00274D46" w:rsidRPr="00A0389A" w:rsidRDefault="00274D46" w:rsidP="00B5441E">
            <w:pPr>
              <w:snapToGrid w:val="0"/>
              <w:spacing w:after="120" w:line="276" w:lineRule="auto"/>
              <w:ind w:firstLine="709"/>
              <w:jc w:val="both"/>
              <w:rPr>
                <w:rFonts w:ascii="Verdana" w:hAnsi="Verdana" w:cs="Arial"/>
                <w:bCs/>
                <w:szCs w:val="24"/>
                <w:lang w:val="es-ES_tradnl" w:eastAsia="es-ES_tradnl"/>
              </w:rPr>
            </w:pPr>
            <w:r w:rsidRPr="00A0389A">
              <w:rPr>
                <w:rFonts w:ascii="Verdana" w:hAnsi="Verdana" w:cs="Arial"/>
                <w:lang w:eastAsia="es-ES"/>
              </w:rPr>
              <w:t xml:space="preserve">Ahora bien, </w:t>
            </w:r>
            <w:r w:rsidRPr="00A0389A">
              <w:rPr>
                <w:rFonts w:ascii="Verdana" w:hAnsi="Verdana" w:cs="Arial"/>
                <w:bCs/>
                <w:szCs w:val="24"/>
                <w:lang w:val="es-ES_tradnl" w:eastAsia="es-ES_tradnl"/>
              </w:rPr>
              <w:t xml:space="preserve">nada obstaría para que las partes le dieran otros efectos particulares a la forma en que pagan el precio estructurado con AIU. Por ejemplo, podrían incluir cláusulas o reglas bajo las cuales se estableciera que el valor de alguno o de todos los componentes de la </w:t>
            </w:r>
            <w:r w:rsidRPr="00A0389A">
              <w:rPr>
                <w:rFonts w:ascii="Verdana" w:hAnsi="Verdana" w:cs="Arial"/>
                <w:bCs/>
                <w:i/>
                <w:iCs/>
                <w:szCs w:val="24"/>
                <w:lang w:val="es-ES_tradnl" w:eastAsia="es-ES_tradnl"/>
              </w:rPr>
              <w:t>Administración</w:t>
            </w:r>
            <w:r w:rsidRPr="00A0389A">
              <w:rPr>
                <w:rFonts w:ascii="Verdana" w:hAnsi="Verdana" w:cs="Arial"/>
                <w:bCs/>
                <w:szCs w:val="24"/>
                <w:lang w:val="es-ES_tradnl" w:eastAsia="es-ES_tradnl"/>
              </w:rPr>
              <w:t xml:space="preserve"> o los </w:t>
            </w:r>
            <w:r w:rsidRPr="00A0389A">
              <w:rPr>
                <w:rFonts w:ascii="Verdana" w:hAnsi="Verdana" w:cs="Arial"/>
                <w:bCs/>
                <w:i/>
                <w:iCs/>
                <w:szCs w:val="24"/>
                <w:lang w:val="es-ES_tradnl" w:eastAsia="es-ES_tradnl"/>
              </w:rPr>
              <w:lastRenderedPageBreak/>
              <w:t>Imprevistos</w:t>
            </w:r>
            <w:r w:rsidRPr="00A0389A">
              <w:rPr>
                <w:rFonts w:ascii="Verdana" w:hAnsi="Verdana" w:cs="Arial"/>
                <w:bCs/>
                <w:szCs w:val="24"/>
                <w:lang w:val="es-ES_tradnl" w:eastAsia="es-ES_tradnl"/>
              </w:rPr>
              <w:t xml:space="preserve"> sólo se pagan si el contratista demuestra que incurrió en algunas situaciones específicas y bajo el monto que este logre demostrar.</w:t>
            </w:r>
          </w:p>
          <w:p w14:paraId="30462FE3" w14:textId="331ABFBD" w:rsidR="00274D46" w:rsidRPr="00A0389A" w:rsidRDefault="00274D46" w:rsidP="00B5441E">
            <w:pPr>
              <w:snapToGrid w:val="0"/>
              <w:spacing w:after="120" w:line="276" w:lineRule="auto"/>
              <w:ind w:firstLine="709"/>
              <w:jc w:val="both"/>
              <w:rPr>
                <w:rFonts w:ascii="Verdana" w:hAnsi="Verdana" w:cs="Arial"/>
                <w:lang w:eastAsia="es-ES"/>
              </w:rPr>
            </w:pPr>
            <w:r w:rsidRPr="00A0389A">
              <w:rPr>
                <w:rFonts w:ascii="Verdana" w:hAnsi="Verdana" w:cs="Arial"/>
                <w:lang w:eastAsia="es-ES"/>
              </w:rPr>
              <w:t xml:space="preserve">Sin embargo, en la práctica de las </w:t>
            </w:r>
            <w:r w:rsidR="00B15E14" w:rsidRPr="00A0389A">
              <w:rPr>
                <w:rFonts w:ascii="Verdana" w:hAnsi="Verdana" w:cs="Arial"/>
                <w:lang w:eastAsia="es-ES"/>
              </w:rPr>
              <w:t xml:space="preserve">entidades estatales </w:t>
            </w:r>
            <w:r w:rsidRPr="00A0389A">
              <w:rPr>
                <w:rFonts w:ascii="Verdana" w:hAnsi="Verdana" w:cs="Arial"/>
                <w:lang w:eastAsia="es-ES"/>
              </w:rPr>
              <w:t xml:space="preserve">se estima un AIU con la finalidad de establecer un precio más estable. Así las cosas, las partes asumen los riesgos inherentes a esta forma de pactar el precio, entendiendo aceptados los </w:t>
            </w:r>
            <w:proofErr w:type="spellStart"/>
            <w:r w:rsidRPr="00A0389A">
              <w:rPr>
                <w:rFonts w:ascii="Verdana" w:hAnsi="Verdana" w:cs="Arial"/>
                <w:lang w:eastAsia="es-ES"/>
              </w:rPr>
              <w:t>áleas</w:t>
            </w:r>
            <w:proofErr w:type="spellEnd"/>
            <w:r w:rsidRPr="00A0389A">
              <w:rPr>
                <w:rFonts w:ascii="Verdana" w:hAnsi="Verdana" w:cs="Arial"/>
                <w:lang w:eastAsia="es-ES"/>
              </w:rPr>
              <w:t xml:space="preserve"> normales que se presenten en la ejecución del contrato, de manera que, aunque el contratista incurra en mayores costos de los ítems incluidos en la </w:t>
            </w:r>
            <w:r w:rsidRPr="00A0389A">
              <w:rPr>
                <w:rFonts w:ascii="Verdana" w:hAnsi="Verdana" w:cs="Arial"/>
                <w:i/>
                <w:iCs/>
                <w:lang w:eastAsia="es-ES"/>
              </w:rPr>
              <w:t xml:space="preserve">Administración </w:t>
            </w:r>
            <w:r w:rsidRPr="00A0389A">
              <w:rPr>
                <w:rFonts w:ascii="Verdana" w:hAnsi="Verdana" w:cs="Arial"/>
                <w:lang w:eastAsia="es-ES"/>
              </w:rPr>
              <w:t xml:space="preserve">o en más gastos de </w:t>
            </w:r>
            <w:r w:rsidRPr="00A0389A">
              <w:rPr>
                <w:rFonts w:ascii="Verdana" w:hAnsi="Verdana" w:cs="Arial"/>
                <w:i/>
                <w:iCs/>
                <w:lang w:eastAsia="es-ES"/>
              </w:rPr>
              <w:t>Imprevistos</w:t>
            </w:r>
            <w:r w:rsidRPr="00A0389A">
              <w:rPr>
                <w:rFonts w:ascii="Verdana" w:hAnsi="Verdana" w:cs="Arial"/>
                <w:lang w:eastAsia="es-ES"/>
              </w:rPr>
              <w:t xml:space="preserve"> al presentar su oferta, o que estos disminuyan, aparezcan algunos nuevos o desaparezcan algunos de ellos, el valor se mantenga invariable.</w:t>
            </w:r>
          </w:p>
          <w:bookmarkEnd w:id="3"/>
          <w:p w14:paraId="70F3125C" w14:textId="0FFF2D5C" w:rsidR="00D4125A" w:rsidRPr="00D426B8" w:rsidRDefault="009E7CFE" w:rsidP="00B5441E">
            <w:pPr>
              <w:spacing w:after="120" w:line="276" w:lineRule="auto"/>
              <w:ind w:firstLine="709"/>
              <w:jc w:val="both"/>
              <w:rPr>
                <w:rFonts w:ascii="Verdana" w:hAnsi="Verdana" w:cs="Arial"/>
                <w:color w:val="000000" w:themeColor="text1"/>
                <w:lang w:eastAsia="es-ES"/>
              </w:rPr>
            </w:pPr>
            <w:r>
              <w:rPr>
                <w:rFonts w:ascii="Verdana" w:hAnsi="Verdana" w:cs="Arial"/>
                <w:color w:val="000000" w:themeColor="text1"/>
                <w:lang w:eastAsia="es-ES"/>
              </w:rPr>
              <w:t>En este punto es importante hacer el análisis respecto a l</w:t>
            </w:r>
            <w:r w:rsidR="00D4125A" w:rsidRPr="009B7931">
              <w:rPr>
                <w:rFonts w:ascii="Verdana" w:hAnsi="Verdana" w:cs="Arial"/>
                <w:color w:val="000000" w:themeColor="text1"/>
                <w:lang w:eastAsia="es-ES"/>
              </w:rPr>
              <w:t xml:space="preserve">a incorporación del componente de Administración, Imprevistos y Utilidad (AIU) como un rubro independiente dentro del presupuesto oficial en los contratos de obra pública cuyo objeto consiste en el mantenimiento estructural o la realización de intervenciones locativas en edificaciones administrativas </w:t>
            </w:r>
            <w:r w:rsidR="00B00BA7">
              <w:rPr>
                <w:rFonts w:ascii="Verdana" w:hAnsi="Verdana" w:cs="Arial"/>
                <w:color w:val="000000" w:themeColor="text1"/>
                <w:lang w:eastAsia="es-ES"/>
              </w:rPr>
              <w:t>en</w:t>
            </w:r>
            <w:r w:rsidR="00D4125A" w:rsidRPr="009B7931">
              <w:rPr>
                <w:rFonts w:ascii="Verdana" w:hAnsi="Verdana" w:cs="Arial"/>
                <w:color w:val="000000" w:themeColor="text1"/>
                <w:lang w:eastAsia="es-ES"/>
              </w:rPr>
              <w:t xml:space="preserve"> los Documentos Tipo</w:t>
            </w:r>
            <w:r w:rsidR="00B00BA7">
              <w:rPr>
                <w:rFonts w:ascii="Verdana" w:hAnsi="Verdana" w:cs="Arial"/>
                <w:color w:val="000000" w:themeColor="text1"/>
                <w:lang w:eastAsia="es-ES"/>
              </w:rPr>
              <w:t xml:space="preserve">. </w:t>
            </w:r>
            <w:r w:rsidR="004F75DD">
              <w:rPr>
                <w:rFonts w:ascii="Verdana" w:hAnsi="Verdana" w:cs="Arial"/>
                <w:color w:val="000000" w:themeColor="text1"/>
                <w:lang w:eastAsia="es-ES"/>
              </w:rPr>
              <w:t xml:space="preserve">Para tales efectos, lo primero es determinar si a un determinado contrato le aplica Documentos Tipo o no. </w:t>
            </w:r>
          </w:p>
          <w:p w14:paraId="3814385A" w14:textId="70BE434D" w:rsidR="00D4125A" w:rsidRPr="00DE373E" w:rsidRDefault="00D4125A" w:rsidP="00B5441E">
            <w:pPr>
              <w:spacing w:after="120" w:line="276" w:lineRule="auto"/>
              <w:ind w:firstLine="709"/>
              <w:jc w:val="both"/>
              <w:rPr>
                <w:rFonts w:ascii="Verdana" w:hAnsi="Verdana" w:cs="Arial"/>
                <w:color w:val="000000" w:themeColor="text1"/>
                <w:lang w:val="es-ES" w:eastAsia="es-ES"/>
              </w:rPr>
            </w:pPr>
            <w:r w:rsidRPr="00DE373E">
              <w:rPr>
                <w:rFonts w:ascii="Verdana" w:hAnsi="Verdana" w:cs="Arial"/>
                <w:color w:val="000000" w:themeColor="text1"/>
                <w:lang w:val="es-ES" w:eastAsia="es-ES"/>
              </w:rPr>
              <w:t>En efecto, el hecho de que un contrato tenga por objeto la ejecución de trabajos materiales sobre bienes inmuebles permite calificarlo, en principio, como un contrato de obra pública en los términos del numeral 1 del artículo 32 de la Ley 80 de 1993. No obstante, esta sola circunstancia no determina que el proceso de contratación deba sujetarse automáticamente a los Documentos Tipo expedidos por la Agencia Nacional de Contratación Pública – Colombia Compra Eficiente.</w:t>
            </w:r>
          </w:p>
          <w:p w14:paraId="7AC2A1F1" w14:textId="77777777" w:rsidR="00D4125A" w:rsidRDefault="00D4125A" w:rsidP="00B5441E">
            <w:pPr>
              <w:spacing w:after="120" w:line="276" w:lineRule="auto"/>
              <w:ind w:firstLine="709"/>
              <w:jc w:val="both"/>
              <w:rPr>
                <w:rFonts w:ascii="Verdana" w:hAnsi="Verdana" w:cs="Arial"/>
                <w:color w:val="000000" w:themeColor="text1"/>
                <w:lang w:val="es-ES" w:eastAsia="es-ES"/>
              </w:rPr>
            </w:pPr>
            <w:r w:rsidRPr="00DE373E">
              <w:rPr>
                <w:rFonts w:ascii="Verdana" w:hAnsi="Verdana" w:cs="Arial"/>
                <w:color w:val="000000" w:themeColor="text1"/>
                <w:lang w:val="es-ES" w:eastAsia="es-ES"/>
              </w:rPr>
              <w:t>Para que dichos documentos resulten obligatorios, la entidad deberá establecer, durante la etapa de planeación, si el objeto contractual corresponde materialmente a alguna de las actividades previstas en la Matriz 1 – Experiencia del Sector Institucional y si el proceso se adelanta mediante alguna de las modalidades de selección respecto de las cuales fueron adoptados los Documentos Tipo. En otras palabras, la aplicación de los Documentos Tipo no depende de la denominación asignada al contrato, sino de la verificación material de que las actividades objeto del proceso se subsumen en las tipologías de infraestructura estandarizadas por las resoluciones expedidas por esta Agencia.</w:t>
            </w:r>
          </w:p>
          <w:p w14:paraId="17CBA52C" w14:textId="77777777" w:rsidR="00D4125A" w:rsidRPr="003C082F" w:rsidRDefault="00D4125A" w:rsidP="00B5441E">
            <w:pPr>
              <w:spacing w:after="120" w:line="276" w:lineRule="auto"/>
              <w:ind w:firstLine="709"/>
              <w:jc w:val="both"/>
              <w:rPr>
                <w:rFonts w:ascii="Verdana" w:hAnsi="Verdana" w:cs="Arial"/>
                <w:color w:val="000000" w:themeColor="text1"/>
                <w:lang w:val="es-ES" w:eastAsia="es-ES"/>
              </w:rPr>
            </w:pPr>
            <w:r w:rsidRPr="003C082F">
              <w:rPr>
                <w:rFonts w:ascii="Verdana" w:hAnsi="Verdana" w:cs="Arial"/>
                <w:color w:val="000000" w:themeColor="text1"/>
                <w:lang w:val="es-ES" w:eastAsia="es-ES"/>
              </w:rPr>
              <w:lastRenderedPageBreak/>
              <w:t>Una vez establecido que el proceso contractual se encuentra comprendido dentro del ámbito de aplicación de los Documentos Tipo, la entidad estatal está obligada a incorporarlos en su integridad, respetando el principio de inalterabilidad previsto en el artículo 1 de la Ley 2022 de 2020 y desarrollado en las resoluciones que los adoptan. Ello implica que la entidad únicamente podrá diligenciar o modificar aquellos aspectos expresamente habilitados por los propios Documentos Tipo, sin alterar las reglas que estos establecen como obligatorias.</w:t>
            </w:r>
          </w:p>
          <w:p w14:paraId="7A8C3DCE" w14:textId="77777777" w:rsidR="00D4125A" w:rsidRPr="00DE373E" w:rsidRDefault="00D4125A" w:rsidP="00B5441E">
            <w:pPr>
              <w:spacing w:after="120" w:line="276" w:lineRule="auto"/>
              <w:ind w:firstLine="709"/>
              <w:jc w:val="both"/>
              <w:rPr>
                <w:rFonts w:ascii="Verdana" w:hAnsi="Verdana" w:cs="Arial"/>
                <w:color w:val="000000" w:themeColor="text1"/>
                <w:lang w:val="es-ES" w:eastAsia="es-ES"/>
              </w:rPr>
            </w:pPr>
            <w:r w:rsidRPr="00EF5BF8">
              <w:rPr>
                <w:rFonts w:ascii="Verdana" w:hAnsi="Verdana" w:cs="Arial"/>
                <w:color w:val="000000" w:themeColor="text1"/>
                <w:lang w:eastAsia="es-ES"/>
              </w:rPr>
              <w:t>En este contexto, el numeral 4.1 del Documento Base de los Documentos Tipo de Licitación de Obra Pública de Infraestructura Social – versión 2 reconoce a la entidad un margen de configuración para definir la forma de pago del contrato. Así, podrá estructurar el proceso mediante precio global, llave en mano, precios unitarios, administración delegada, reembolso de gastos o cualquier otra modalidad que resulte adecuada para satisfacer la necesidad pública, siempre que dicha decisión se encuentre debidamente soportada en los estudios y documentos previos, sea consistente con la naturaleza del objeto contractual y guarde correspondencia con el Anexo Técnico y el Formulario del Presupuesto Oficial.</w:t>
            </w:r>
          </w:p>
          <w:p w14:paraId="712C0A35" w14:textId="77777777" w:rsidR="00D4125A" w:rsidRPr="00D41858" w:rsidRDefault="00D4125A" w:rsidP="00B5441E">
            <w:pPr>
              <w:spacing w:after="120" w:line="276" w:lineRule="auto"/>
              <w:ind w:firstLine="709"/>
              <w:jc w:val="both"/>
              <w:rPr>
                <w:rFonts w:ascii="Verdana" w:hAnsi="Verdana" w:cs="Arial"/>
                <w:color w:val="000000" w:themeColor="text1"/>
                <w:lang w:val="es-ES" w:eastAsia="es-ES"/>
              </w:rPr>
            </w:pPr>
            <w:r w:rsidRPr="0080117D">
              <w:rPr>
                <w:rFonts w:ascii="Verdana" w:hAnsi="Verdana" w:cs="Arial"/>
                <w:color w:val="000000" w:themeColor="text1"/>
                <w:lang w:val="es-ES" w:eastAsia="es-ES"/>
              </w:rPr>
              <w:t>S</w:t>
            </w:r>
            <w:r w:rsidRPr="00D41858">
              <w:rPr>
                <w:rFonts w:ascii="Verdana" w:hAnsi="Verdana" w:cs="Arial"/>
                <w:color w:val="000000" w:themeColor="text1"/>
                <w:lang w:val="es-ES" w:eastAsia="es-ES"/>
              </w:rPr>
              <w:t>in embargo, la facultad de seleccionar la modalidad de pago no significa que la entidad pueda modificar libremente las reglas de estructuración económica previstas en los Documentos Tipo para cada modalidad. Por el contrario, una vez elegida la modalidad de precios unitarios, la entidad debe observar íntegramente las instrucciones contenidas en el Documento Base y en el Formulario 1 – Formulario del Presupuesto Oficial.</w:t>
            </w:r>
          </w:p>
          <w:p w14:paraId="4190958E" w14:textId="77777777" w:rsidR="00D4125A" w:rsidRPr="00D41858" w:rsidRDefault="00D4125A" w:rsidP="00B5441E">
            <w:pPr>
              <w:spacing w:after="120" w:line="276" w:lineRule="auto"/>
              <w:ind w:firstLine="709"/>
              <w:jc w:val="both"/>
              <w:rPr>
                <w:rFonts w:ascii="Verdana" w:hAnsi="Verdana" w:cs="Arial"/>
                <w:color w:val="000000" w:themeColor="text1"/>
                <w:lang w:val="es-ES" w:eastAsia="es-ES"/>
              </w:rPr>
            </w:pPr>
            <w:r w:rsidRPr="00D41858">
              <w:rPr>
                <w:rFonts w:ascii="Verdana" w:hAnsi="Verdana" w:cs="Arial"/>
                <w:color w:val="000000" w:themeColor="text1"/>
                <w:lang w:val="es-ES" w:eastAsia="es-ES"/>
              </w:rPr>
              <w:t>En particular, el numeral 4.1.1 "A.I.U." establece expresamente que, cuando el proceso de contratación se estructure bajo el sistema de precios unitarios, el proponente deberá calcular los gastos correspondientes a la Administración, los Imprevistos y la Utilidad. A su vez, el Formulario 1 dispone que deberán diligenciarse de manera expresa los porcentajes correspondientes a cada uno de estos componentes y el porcentaje total del AIU. Tales instrucciones no constituyen simples recomendaciones o criterios orientadores, sino disposiciones obligatorias cuyo contenido no puede ser alterado por la entidad contratante, precisamente porque hacen parte del contenido estandarizado de los Documentos Tipo.</w:t>
            </w:r>
          </w:p>
          <w:p w14:paraId="62C63DA1" w14:textId="77777777" w:rsidR="00D4125A" w:rsidRPr="00D41858" w:rsidRDefault="00D4125A" w:rsidP="00B5441E">
            <w:pPr>
              <w:spacing w:after="120" w:line="276" w:lineRule="auto"/>
              <w:ind w:firstLine="709"/>
              <w:jc w:val="both"/>
              <w:rPr>
                <w:rFonts w:ascii="Verdana" w:hAnsi="Verdana" w:cs="Arial"/>
                <w:color w:val="000000" w:themeColor="text1"/>
                <w:lang w:val="es-ES" w:eastAsia="es-ES"/>
              </w:rPr>
            </w:pPr>
            <w:r w:rsidRPr="00D41858">
              <w:rPr>
                <w:rFonts w:ascii="Verdana" w:hAnsi="Verdana" w:cs="Arial"/>
                <w:color w:val="000000" w:themeColor="text1"/>
                <w:lang w:val="es-ES" w:eastAsia="es-ES"/>
              </w:rPr>
              <w:lastRenderedPageBreak/>
              <w:t>En consecuencia, cuando el proceso de contratación esté sometido a los Documentos Tipo y el presupuesto oficial se estructure mediante el sistema de precios unitarios, la entidad estatal no podrá optar por incorporar el AIU de manera implícita dentro de los análisis de precios unitarios ni absorberlo dentro del valor de cada ítem presupuestal, pues ello desconocería la estructura económica prevista en el Documento Base y en el Formulario del Presupuesto Oficial. En este supuesto, el AIU debe aparecer discriminado mediante los porcentajes correspondientes a la Administración, los Imprevistos y la Utilidad, de conformidad con las instrucciones obligatorias contenidas en los Documentos Tipo.</w:t>
            </w:r>
          </w:p>
          <w:p w14:paraId="6A37298B" w14:textId="5AD7DE39" w:rsidR="00D4125A" w:rsidRPr="00D41858" w:rsidRDefault="00D4125A" w:rsidP="00B5441E">
            <w:pPr>
              <w:spacing w:after="120" w:line="276" w:lineRule="auto"/>
              <w:ind w:firstLine="709"/>
              <w:jc w:val="both"/>
              <w:rPr>
                <w:rFonts w:ascii="Verdana" w:hAnsi="Verdana" w:cs="Arial"/>
                <w:color w:val="000000" w:themeColor="text1"/>
                <w:lang w:val="es-ES" w:eastAsia="es-ES"/>
              </w:rPr>
            </w:pPr>
            <w:r w:rsidRPr="00D41858">
              <w:rPr>
                <w:rFonts w:ascii="Verdana" w:hAnsi="Verdana" w:cs="Arial"/>
                <w:color w:val="000000" w:themeColor="text1"/>
                <w:lang w:val="es-ES" w:eastAsia="es-ES"/>
              </w:rPr>
              <w:t xml:space="preserve">Lo anterior no significa que el ordenamiento jurídico imponga, con carácter general, que todo contrato de obra pública deba estructurarse bajo un esquema en el que el AIU aparezca discriminado como un rubro independiente. Como se </w:t>
            </w:r>
            <w:r w:rsidR="00D73B09">
              <w:rPr>
                <w:rFonts w:ascii="Verdana" w:hAnsi="Verdana" w:cs="Arial"/>
                <w:color w:val="000000" w:themeColor="text1"/>
                <w:lang w:val="es-ES" w:eastAsia="es-ES"/>
              </w:rPr>
              <w:t>expondrá</w:t>
            </w:r>
            <w:r w:rsidRPr="00D41858">
              <w:rPr>
                <w:rFonts w:ascii="Verdana" w:hAnsi="Verdana" w:cs="Arial"/>
                <w:color w:val="000000" w:themeColor="text1"/>
                <w:lang w:val="es-ES" w:eastAsia="es-ES"/>
              </w:rPr>
              <w:t xml:space="preserve"> en el presente concepto, ni la Ley 80 de 1993, ni la Ley 1150 de 2007, ni el Decreto 1082 de 2015 regulan una metodología única para la estructuración del precio de los contratos de obra pública. Incluso, la jurisprudencia de la Sección Tercera del Consejo de Estado y la Sala de Consulta y Servicio Civil han reconocido que el AIU puede presentarse discriminado como un porcentaje independiente o incorporado dentro del valor de los precios unitarios, dependiendo de la forma en que las partes hayan estructurado el precio del contrato y de las reglas que rijan el respectivo proceso contractual.</w:t>
            </w:r>
          </w:p>
          <w:p w14:paraId="6141B474" w14:textId="77777777" w:rsidR="00D4125A" w:rsidRPr="00D41858" w:rsidRDefault="00D4125A" w:rsidP="00B5441E">
            <w:pPr>
              <w:spacing w:after="120" w:line="276" w:lineRule="auto"/>
              <w:ind w:firstLine="709"/>
              <w:jc w:val="both"/>
              <w:rPr>
                <w:rFonts w:ascii="Verdana" w:hAnsi="Verdana" w:cs="Arial"/>
                <w:color w:val="000000" w:themeColor="text1"/>
                <w:lang w:val="es-ES" w:eastAsia="es-ES"/>
              </w:rPr>
            </w:pPr>
            <w:r w:rsidRPr="00D41858">
              <w:rPr>
                <w:rFonts w:ascii="Verdana" w:hAnsi="Verdana" w:cs="Arial"/>
                <w:color w:val="000000" w:themeColor="text1"/>
                <w:lang w:val="es-ES" w:eastAsia="es-ES"/>
              </w:rPr>
              <w:t>Por ello, fuera del ámbito de aplicación de los Documentos Tipo, o cuando el proceso no se estructure mediante el sistema de precios unitarios, corresponde a la entidad estatal, en ejercicio de su deber de planeación y de la autonomía que le reconoce el Estatuto General de Contratación de la Administración Pública para configurar la estructura económica del contrato, definir la metodología de formación del precio que resulte más adecuada para satisfacer la necesidad pública. En estos eventos, el AIU podrá formar parte de la estructura económica del contrato conforme al esquema de remuneración adoptado, siempre que dicha decisión se encuentre suficientemente justificada en los estudios previos y garantice el cumplimiento de los principios de planeación, economía, transparencia y responsabilidad.</w:t>
            </w:r>
          </w:p>
          <w:p w14:paraId="30B4A2C1" w14:textId="77777777" w:rsidR="00D4125A" w:rsidRPr="00AA2822" w:rsidRDefault="00D4125A" w:rsidP="00B5441E">
            <w:pPr>
              <w:spacing w:after="120" w:line="276" w:lineRule="auto"/>
              <w:ind w:firstLine="709"/>
              <w:jc w:val="both"/>
              <w:rPr>
                <w:rFonts w:ascii="Verdana" w:hAnsi="Verdana" w:cs="Arial"/>
                <w:color w:val="000000" w:themeColor="text1"/>
                <w:lang w:val="es-ES" w:eastAsia="es-ES"/>
              </w:rPr>
            </w:pPr>
            <w:r w:rsidRPr="00D41858">
              <w:rPr>
                <w:rFonts w:ascii="Verdana" w:hAnsi="Verdana" w:cs="Arial"/>
                <w:color w:val="000000" w:themeColor="text1"/>
                <w:lang w:val="es-ES" w:eastAsia="es-ES"/>
              </w:rPr>
              <w:t xml:space="preserve">En síntesis, la entidad estatal únicamente estará obligada a incorporar el componente de Administración, Imprevistos y Utilidad (AIU) como un rubro </w:t>
            </w:r>
            <w:r w:rsidRPr="00D41858">
              <w:rPr>
                <w:rFonts w:ascii="Verdana" w:hAnsi="Verdana" w:cs="Arial"/>
                <w:color w:val="000000" w:themeColor="text1"/>
                <w:lang w:val="es-ES" w:eastAsia="es-ES"/>
              </w:rPr>
              <w:lastRenderedPageBreak/>
              <w:t>expresamente discriminado dentro del presupuesto oficial cuando, además de resultar aplicables los Documentos Tipo del Sector Institucional, el proceso de contratación haya sido estructurado mediante el sistema de precios unitarios, pues en ese evento el Documento Base y el Formulario 1 imponen dicha obligación y la entidad no puede apartarse de ella. En los demás eventos, será la entidad, con fundamento en el análisis técnico, económico y jurídico realizado durante la etapa de planeación, la que defina la forma de estructurar el precio del contrato, sin perjuicio de que el AIU pueda encontrarse incorporado dentro del valor de los precios unitarios o de la modalidad de remuneración que resulte procedente conforme al régimen jurídico aplicable.</w:t>
            </w:r>
          </w:p>
        </w:tc>
      </w:tr>
    </w:tbl>
    <w:p w14:paraId="2134C5E8" w14:textId="77777777" w:rsidR="00D4125A" w:rsidRPr="002F7FFD" w:rsidRDefault="00D4125A" w:rsidP="00D4125A">
      <w:pPr>
        <w:tabs>
          <w:tab w:val="left" w:pos="142"/>
          <w:tab w:val="left" w:pos="284"/>
        </w:tabs>
        <w:spacing w:after="0" w:line="276" w:lineRule="auto"/>
        <w:jc w:val="both"/>
        <w:rPr>
          <w:rFonts w:ascii="Verdana" w:eastAsia="Century Gothic" w:hAnsi="Verdana" w:cs="Century Gothic"/>
          <w:b/>
          <w:bCs/>
        </w:rPr>
      </w:pPr>
    </w:p>
    <w:bookmarkEnd w:id="2"/>
    <w:p w14:paraId="00990B02" w14:textId="77777777" w:rsidR="00D4125A" w:rsidRPr="002F7FFD" w:rsidRDefault="00D4125A" w:rsidP="00D4125A">
      <w:pPr>
        <w:numPr>
          <w:ilvl w:val="0"/>
          <w:numId w:val="17"/>
        </w:numPr>
        <w:tabs>
          <w:tab w:val="left" w:pos="142"/>
          <w:tab w:val="left" w:pos="284"/>
        </w:tabs>
        <w:spacing w:after="0" w:line="276" w:lineRule="auto"/>
        <w:ind w:left="1068"/>
        <w:jc w:val="both"/>
        <w:rPr>
          <w:rFonts w:ascii="Verdana" w:eastAsia="Century Gothic" w:hAnsi="Verdana" w:cs="Century Gothic"/>
          <w:b/>
          <w:bCs/>
        </w:rPr>
      </w:pPr>
      <w:r w:rsidRPr="002F7FFD">
        <w:rPr>
          <w:rFonts w:ascii="Verdana" w:eastAsia="Century Gothic" w:hAnsi="Verdana" w:cs="Century Gothic"/>
          <w:b/>
          <w:bCs/>
        </w:rPr>
        <w:t>Razones de las respuestas:</w:t>
      </w:r>
    </w:p>
    <w:p w14:paraId="0A480846" w14:textId="77777777" w:rsidR="00D4125A" w:rsidRPr="002F7FFD" w:rsidRDefault="00D4125A" w:rsidP="00D4125A">
      <w:pPr>
        <w:spacing w:after="0" w:line="276" w:lineRule="auto"/>
        <w:jc w:val="both"/>
        <w:rPr>
          <w:rFonts w:ascii="Verdana" w:eastAsia="Calibri" w:hAnsi="Verdana" w:cs="Arial"/>
          <w:color w:val="7030A0"/>
        </w:rPr>
      </w:pPr>
    </w:p>
    <w:p w14:paraId="08720FEB" w14:textId="77777777" w:rsidR="00D4125A" w:rsidRPr="002F7FFD" w:rsidRDefault="00D4125A" w:rsidP="00D4125A">
      <w:pPr>
        <w:spacing w:after="0" w:line="276" w:lineRule="auto"/>
        <w:jc w:val="both"/>
        <w:rPr>
          <w:rFonts w:ascii="Verdana" w:eastAsia="Calibri" w:hAnsi="Verdana" w:cs="Arial"/>
        </w:rPr>
      </w:pPr>
      <w:r w:rsidRPr="002F7FFD">
        <w:rPr>
          <w:rFonts w:ascii="Verdana" w:eastAsia="Calibri" w:hAnsi="Verdana" w:cs="Arial"/>
        </w:rPr>
        <w:t>Lo anterior se sustenta en las siguientes consideraciones:</w:t>
      </w:r>
    </w:p>
    <w:p w14:paraId="1AD968FA" w14:textId="77777777" w:rsidR="00D4125A" w:rsidRPr="002F7FFD" w:rsidRDefault="00D4125A" w:rsidP="00D4125A">
      <w:pPr>
        <w:spacing w:after="0" w:line="276" w:lineRule="auto"/>
        <w:jc w:val="both"/>
        <w:rPr>
          <w:rFonts w:ascii="Verdana" w:eastAsia="Calibri" w:hAnsi="Verdana" w:cs="Arial"/>
        </w:rPr>
      </w:pPr>
    </w:p>
    <w:p w14:paraId="219CFC4D" w14:textId="77777777" w:rsidR="00D4125A" w:rsidRPr="002F7FFD" w:rsidRDefault="00D4125A" w:rsidP="00D4125A">
      <w:pPr>
        <w:spacing w:after="0" w:line="276" w:lineRule="auto"/>
        <w:jc w:val="both"/>
        <w:rPr>
          <w:rFonts w:ascii="Verdana" w:hAnsi="Verdana" w:cs="Arial"/>
          <w:bCs/>
          <w:szCs w:val="24"/>
          <w:lang w:eastAsia="es-ES_tradnl"/>
        </w:rPr>
      </w:pPr>
      <w:r>
        <w:rPr>
          <w:rFonts w:ascii="Verdana" w:hAnsi="Verdana" w:cs="Arial"/>
          <w:bCs/>
          <w:szCs w:val="24"/>
          <w:lang w:eastAsia="es-ES_tradnl"/>
        </w:rPr>
        <w:t xml:space="preserve">I). </w:t>
      </w:r>
      <w:r w:rsidRPr="002F7FFD">
        <w:rPr>
          <w:rFonts w:ascii="Verdana" w:hAnsi="Verdana" w:cs="Arial"/>
          <w:bCs/>
          <w:szCs w:val="24"/>
          <w:lang w:eastAsia="es-ES_tradnl"/>
        </w:rPr>
        <w:t xml:space="preserve"> Como es sabido, uno de los elementos más comunes en los contratos estatales es el precio,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14:paraId="1E87DE05" w14:textId="77777777" w:rsidR="00D4125A" w:rsidRPr="002F7FFD" w:rsidRDefault="00D4125A" w:rsidP="00D4125A">
      <w:pPr>
        <w:spacing w:before="120" w:after="0" w:line="276" w:lineRule="auto"/>
        <w:ind w:firstLine="709"/>
        <w:jc w:val="both"/>
        <w:rPr>
          <w:rFonts w:ascii="Verdana" w:hAnsi="Verdana" w:cs="Arial"/>
          <w:lang w:eastAsia="es-ES"/>
        </w:rPr>
      </w:pPr>
      <w:r w:rsidRPr="002F7FFD">
        <w:rPr>
          <w:rFonts w:ascii="Verdana" w:hAnsi="Verdana" w:cs="Arial"/>
          <w:lang w:eastAsia="es-ES"/>
        </w:rPr>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sidRPr="002F7FFD">
        <w:rPr>
          <w:rFonts w:ascii="Verdana" w:hAnsi="Verdana" w:cs="Arial"/>
          <w:vertAlign w:val="superscript"/>
          <w:lang w:eastAsia="es-ES"/>
        </w:rPr>
        <w:footnoteReference w:id="2"/>
      </w:r>
      <w:r w:rsidRPr="002F7FFD">
        <w:rPr>
          <w:rFonts w:ascii="Verdana" w:hAnsi="Verdana" w:cs="Arial"/>
          <w:lang w:eastAsia="es-ES"/>
        </w:rPr>
        <w:t xml:space="preserve">. No hay, pues, una sola </w:t>
      </w:r>
      <w:r w:rsidRPr="002F7FFD">
        <w:rPr>
          <w:rFonts w:ascii="Verdana" w:hAnsi="Verdana" w:cs="Arial"/>
          <w:lang w:eastAsia="es-ES"/>
        </w:rPr>
        <w:lastRenderedPageBreak/>
        <w:t xml:space="preserve">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2F7FFD">
        <w:rPr>
          <w:rFonts w:ascii="Verdana" w:hAnsi="Verdana" w:cs="Arial"/>
          <w:lang w:eastAsia="es-ES"/>
        </w:rPr>
        <w:t>ii</w:t>
      </w:r>
      <w:proofErr w:type="spellEnd"/>
      <w:r w:rsidRPr="002F7FFD">
        <w:rPr>
          <w:rFonts w:ascii="Verdana" w:hAnsi="Verdana" w:cs="Arial"/>
          <w:lang w:eastAsia="es-ES"/>
        </w:rPr>
        <w:t xml:space="preserve">) el precio global –que equivale al monto total, sin discriminar unidades–, y </w:t>
      </w:r>
      <w:proofErr w:type="spellStart"/>
      <w:r w:rsidRPr="002F7FFD">
        <w:rPr>
          <w:rFonts w:ascii="Verdana" w:hAnsi="Verdana" w:cs="Arial"/>
          <w:lang w:eastAsia="es-ES"/>
        </w:rPr>
        <w:t>iii</w:t>
      </w:r>
      <w:proofErr w:type="spellEnd"/>
      <w:r w:rsidRPr="002F7FFD">
        <w:rPr>
          <w:rFonts w:ascii="Verdana" w:hAnsi="Verdana" w:cs="Arial"/>
          <w:lang w:eastAsia="es-ES"/>
        </w:rPr>
        <w:t>) la administración delegada de recursos –en la que se distinguen los costos de inversión de los honorarios del administrador–.</w:t>
      </w:r>
    </w:p>
    <w:p w14:paraId="5D5D1EF3" w14:textId="77777777" w:rsidR="00D4125A" w:rsidRPr="002F7FFD" w:rsidRDefault="00D4125A" w:rsidP="00D4125A">
      <w:pPr>
        <w:spacing w:before="120" w:after="0" w:line="276" w:lineRule="auto"/>
        <w:ind w:firstLine="709"/>
        <w:jc w:val="both"/>
        <w:rPr>
          <w:rFonts w:ascii="Verdana" w:hAnsi="Verdana" w:cs="Arial"/>
          <w:lang w:eastAsia="es-ES"/>
        </w:rPr>
      </w:pPr>
      <w:r w:rsidRPr="00333551">
        <w:rPr>
          <w:rFonts w:ascii="Verdana" w:hAnsi="Verdana" w:cs="Arial"/>
          <w:lang w:eastAsia="es-ES"/>
        </w:rPr>
        <w:t xml:space="preserve">Pues bien, en los contratos cuyo precio se estructura a partir del sistema de precios unitarios, ha hecho parte de la práctica de los negocios que el contratante le solicite al potencial contratista que separe en su propuesta los </w:t>
      </w:r>
      <w:r w:rsidRPr="00333551">
        <w:rPr>
          <w:rFonts w:ascii="Verdana" w:hAnsi="Verdana" w:cs="Arial"/>
          <w:i/>
          <w:iCs/>
          <w:lang w:eastAsia="es-ES"/>
        </w:rPr>
        <w:t>costos directos</w:t>
      </w:r>
      <w:r w:rsidRPr="00333551">
        <w:rPr>
          <w:rFonts w:ascii="Verdana" w:hAnsi="Verdana" w:cs="Arial"/>
          <w:lang w:eastAsia="es-ES"/>
        </w:rPr>
        <w:t xml:space="preserve"> –es decir, los que están directamente implicados en la ejecución del objeto–, de los </w:t>
      </w:r>
      <w:r w:rsidRPr="00333551">
        <w:rPr>
          <w:rFonts w:ascii="Verdana" w:hAnsi="Verdana" w:cs="Arial"/>
          <w:i/>
          <w:iCs/>
          <w:lang w:eastAsia="es-ES"/>
        </w:rPr>
        <w:t>costos indirectos</w:t>
      </w:r>
      <w:r w:rsidRPr="00333551">
        <w:rPr>
          <w:rFonts w:ascii="Verdana" w:hAnsi="Verdana" w:cs="Arial"/>
          <w:lang w:eastAsia="es-ES"/>
        </w:rPr>
        <w:t xml:space="preserve">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w:t>
      </w:r>
      <w:r w:rsidRPr="00333551">
        <w:rPr>
          <w:rFonts w:ascii="Verdana" w:hAnsi="Verdana" w:cs="Arial"/>
          <w:i/>
          <w:iCs/>
          <w:lang w:eastAsia="es-ES"/>
        </w:rPr>
        <w:t>costos directos</w:t>
      </w:r>
      <w:r w:rsidRPr="00333551">
        <w:rPr>
          <w:rFonts w:ascii="Verdana" w:hAnsi="Verdana" w:cs="Arial"/>
          <w:lang w:eastAsia="es-ES"/>
        </w:rPr>
        <w:t xml:space="preserve"> se evidencian en el análisis de precios unitarios –APU–, como la sumatoria de los valores de los </w:t>
      </w:r>
      <w:r w:rsidRPr="00333551">
        <w:rPr>
          <w:rFonts w:ascii="Verdana" w:hAnsi="Verdana" w:cs="Arial"/>
          <w:i/>
          <w:iCs/>
          <w:lang w:eastAsia="es-ES"/>
        </w:rPr>
        <w:t>ítems</w:t>
      </w:r>
      <w:r w:rsidRPr="00333551">
        <w:rPr>
          <w:rFonts w:ascii="Verdana" w:hAnsi="Verdana" w:cs="Arial"/>
          <w:lang w:eastAsia="es-ES"/>
        </w:rPr>
        <w:t xml:space="preserve"> según su unidad de medida, los </w:t>
      </w:r>
      <w:r w:rsidRPr="00333551">
        <w:rPr>
          <w:rFonts w:ascii="Verdana" w:hAnsi="Verdana" w:cs="Arial"/>
          <w:i/>
          <w:iCs/>
          <w:lang w:eastAsia="es-ES"/>
        </w:rPr>
        <w:t>costos indirectos</w:t>
      </w:r>
      <w:r w:rsidRPr="00333551">
        <w:rPr>
          <w:rFonts w:ascii="Verdana" w:hAnsi="Verdana" w:cs="Arial"/>
          <w:lang w:eastAsia="es-ES"/>
        </w:rPr>
        <w:t xml:space="preserve"> se suelen abreviar en las variables que integran el acrónimo AIU –Administración, Imprevistos y Utilidad–.</w:t>
      </w:r>
      <w:r w:rsidRPr="002F7FFD">
        <w:rPr>
          <w:rFonts w:ascii="Verdana" w:hAnsi="Verdana" w:cs="Arial"/>
          <w:lang w:eastAsia="es-ES"/>
        </w:rPr>
        <w:t xml:space="preserve"> </w:t>
      </w:r>
    </w:p>
    <w:p w14:paraId="58792A27" w14:textId="77777777" w:rsidR="00D4125A" w:rsidRPr="002F7FFD" w:rsidRDefault="00D4125A" w:rsidP="00D4125A">
      <w:pPr>
        <w:spacing w:before="120" w:after="0" w:line="276" w:lineRule="auto"/>
        <w:ind w:firstLine="709"/>
        <w:jc w:val="both"/>
        <w:rPr>
          <w:rFonts w:ascii="Verdana" w:hAnsi="Verdana" w:cs="Arial"/>
          <w:bCs/>
          <w:szCs w:val="24"/>
          <w:lang w:eastAsia="es-ES_tradnl"/>
        </w:rPr>
      </w:pPr>
      <w:r w:rsidRPr="002F7FFD">
        <w:rPr>
          <w:rFonts w:ascii="Verdana" w:hAnsi="Verdana" w:cs="Arial"/>
          <w:bCs/>
          <w:szCs w:val="24"/>
          <w:lang w:eastAsia="es-ES_tradnl"/>
        </w:rPr>
        <w:t xml:space="preserve">La jurisprudencia ha señalado que “[…] en la conformación de dichos precios unitarios, se tienen en cuenta todos los gastos que se requieren para realizar la unidad de medida respectiva –el metro lineal, el metro cúbico, el metro cuadrado, etc.-. Y lo que comúnmente se denomina análisis de precios </w:t>
      </w:r>
      <w:r w:rsidRPr="002F7FFD">
        <w:rPr>
          <w:rFonts w:ascii="Verdana" w:hAnsi="Verdana" w:cs="Arial"/>
          <w:bCs/>
          <w:szCs w:val="24"/>
          <w:lang w:eastAsia="es-ES_tradnl"/>
        </w:rPr>
        <w:lastRenderedPageBreak/>
        <w:t>unitarios, corresponde a la descomposición de los mismos para determinar los costos que los conforman: la maquinaria que se utilizará, calculando el valor por el tiempo que se requiera; la mano de obra, teniendo en cuenta el costo hora-hombre, y cuántas personas se requieren para la ejecución de esa unidad de medida; la cantidad de los materiales necesarios, etc.”</w:t>
      </w:r>
      <w:r w:rsidRPr="002F7FFD">
        <w:rPr>
          <w:rFonts w:ascii="Verdana" w:hAnsi="Verdana" w:cs="Arial"/>
          <w:bCs/>
          <w:szCs w:val="24"/>
          <w:vertAlign w:val="superscript"/>
          <w:lang w:eastAsia="es-ES_tradnl"/>
        </w:rPr>
        <w:footnoteReference w:id="3"/>
      </w:r>
      <w:r w:rsidRPr="002F7FFD">
        <w:rPr>
          <w:rFonts w:ascii="Verdana" w:hAnsi="Verdana" w:cs="Arial"/>
          <w:bCs/>
          <w:szCs w:val="24"/>
          <w:lang w:eastAsia="es-ES_tradnl"/>
        </w:rPr>
        <w:t>. En concordancia, la doctrina explica que en la estructuración de los precios unitarios se tendrán en cuenta todos los costos directos necesarios para la ejecución del objeto contractual que se multiplicará por al AIU, lo que determina el valor unitario:</w:t>
      </w:r>
    </w:p>
    <w:p w14:paraId="3B53028B" w14:textId="77777777" w:rsidR="00D4125A" w:rsidRPr="002F7FFD" w:rsidRDefault="00D4125A" w:rsidP="00D4125A">
      <w:pPr>
        <w:spacing w:after="0" w:line="276" w:lineRule="auto"/>
        <w:ind w:firstLine="709"/>
        <w:jc w:val="both"/>
        <w:rPr>
          <w:rFonts w:ascii="Verdana" w:hAnsi="Verdana" w:cs="Arial"/>
          <w:bCs/>
          <w:sz w:val="20"/>
          <w:szCs w:val="20"/>
          <w:lang w:eastAsia="es-ES_tradnl"/>
        </w:rPr>
      </w:pPr>
    </w:p>
    <w:p w14:paraId="7A95694E" w14:textId="77777777" w:rsidR="00D4125A" w:rsidRPr="002F7FFD" w:rsidRDefault="00D4125A" w:rsidP="00D4125A">
      <w:pPr>
        <w:tabs>
          <w:tab w:val="left" w:pos="709"/>
        </w:tabs>
        <w:spacing w:after="120" w:line="240" w:lineRule="auto"/>
        <w:ind w:left="709" w:right="709"/>
        <w:jc w:val="both"/>
        <w:rPr>
          <w:rFonts w:ascii="Verdana" w:hAnsi="Verdana" w:cs="Arial"/>
          <w:sz w:val="20"/>
          <w:szCs w:val="20"/>
          <w:lang w:eastAsia="es-ES"/>
        </w:rPr>
      </w:pPr>
      <w:r w:rsidRPr="002F7FFD">
        <w:rPr>
          <w:rFonts w:ascii="Verdana" w:hAnsi="Verdana" w:cs="Arial"/>
          <w:sz w:val="20"/>
          <w:szCs w:val="20"/>
          <w:lang w:eastAsia="es-ES"/>
        </w:rPr>
        <w:t>“Cada uno de los valores unitarios resultan de un análisis de los componentes requeridos para su elaboración, estudio que se denomina comúnmente ‘análisis de precios unitarios’. Así, se examinará, por ejemplo, que para la construcción de un metro cuadrado de muro se requieren 50 ladrillos, que tienen un valor de $50.000; 15 kilos de cemento, que tienen un valor de $5.000; 30 kilos de arena, que tienen un valor de $500; 5 litros de agua, que tienen un valor de 100, y la mano de obra que tiene un valor de $5.000. La sumatoria de cada uno de estos insumos básicos arroja el costo directo que debe cancelar el contratista para la construcción de un metro de muro.</w:t>
      </w:r>
    </w:p>
    <w:p w14:paraId="50F5DB3B" w14:textId="77777777" w:rsidR="00D4125A" w:rsidRPr="002F7FFD" w:rsidRDefault="00D4125A" w:rsidP="00D4125A">
      <w:pPr>
        <w:tabs>
          <w:tab w:val="left" w:pos="709"/>
        </w:tabs>
        <w:spacing w:after="0" w:line="240" w:lineRule="auto"/>
        <w:ind w:left="709" w:right="709"/>
        <w:jc w:val="both"/>
        <w:rPr>
          <w:rFonts w:ascii="Verdana" w:hAnsi="Verdana" w:cs="Arial"/>
          <w:sz w:val="20"/>
          <w:szCs w:val="20"/>
          <w:lang w:eastAsia="es-ES_tradnl"/>
        </w:rPr>
      </w:pPr>
      <w:r w:rsidRPr="002F7FFD">
        <w:rPr>
          <w:rFonts w:ascii="Verdana" w:hAnsi="Verdana" w:cs="Arial"/>
          <w:sz w:val="20"/>
          <w:szCs w:val="20"/>
          <w:lang w:eastAsia="es-ES_tradnl"/>
        </w:rPr>
        <w:t>El costo directo se multiplica por el AIU, es decir, por los gastos de administración, que incluye los gastos de personal que dirige la obra; los gastos de imprevistos, que pretende cubrir imprevistos y la utilidad. El resultado de la multiplicación anterior determina el valor unitario que deberá cancelar la entidad estatal. Dentro del valor unitario, entonces, están incorporados la totalidad de los gastos en los que incurre el contratista y la utilidad que espera recibir”</w:t>
      </w:r>
      <w:r w:rsidRPr="002F7FFD">
        <w:rPr>
          <w:rFonts w:ascii="Verdana" w:hAnsi="Verdana" w:cs="Arial"/>
          <w:sz w:val="20"/>
          <w:szCs w:val="20"/>
          <w:vertAlign w:val="superscript"/>
          <w:lang w:eastAsia="es-ES_tradnl"/>
        </w:rPr>
        <w:footnoteReference w:id="4"/>
      </w:r>
      <w:r w:rsidRPr="002F7FFD">
        <w:rPr>
          <w:rFonts w:ascii="Verdana" w:hAnsi="Verdana" w:cs="Arial"/>
          <w:sz w:val="20"/>
          <w:szCs w:val="20"/>
          <w:lang w:eastAsia="es-ES_tradnl"/>
        </w:rPr>
        <w:t xml:space="preserve">. </w:t>
      </w:r>
    </w:p>
    <w:p w14:paraId="02E8570E" w14:textId="77777777" w:rsidR="00D4125A" w:rsidRPr="002F7FFD" w:rsidRDefault="00D4125A" w:rsidP="00D4125A">
      <w:pPr>
        <w:tabs>
          <w:tab w:val="left" w:pos="709"/>
        </w:tabs>
        <w:spacing w:after="0" w:line="276" w:lineRule="auto"/>
        <w:ind w:left="709" w:right="760"/>
        <w:jc w:val="both"/>
        <w:rPr>
          <w:rFonts w:ascii="Verdana" w:hAnsi="Verdana" w:cs="Arial"/>
          <w:szCs w:val="24"/>
          <w:lang w:eastAsia="es-ES_tradnl"/>
        </w:rPr>
      </w:pPr>
    </w:p>
    <w:p w14:paraId="266067CA" w14:textId="77777777" w:rsidR="00D4125A" w:rsidRPr="002F7FFD" w:rsidRDefault="00D4125A" w:rsidP="00D4125A">
      <w:pPr>
        <w:spacing w:after="0" w:line="276" w:lineRule="auto"/>
        <w:ind w:firstLine="709"/>
        <w:jc w:val="both"/>
        <w:rPr>
          <w:rFonts w:ascii="Verdana" w:hAnsi="Verdana" w:cs="Arial"/>
          <w:szCs w:val="24"/>
          <w:lang w:eastAsia="es-ES_tradnl"/>
        </w:rPr>
      </w:pPr>
      <w:r w:rsidRPr="002F7FFD">
        <w:rPr>
          <w:rFonts w:ascii="Verdana" w:hAnsi="Verdana" w:cs="Arial"/>
          <w:szCs w:val="24"/>
          <w:lang w:eastAsia="es-ES_tradnl"/>
        </w:rPr>
        <w:t xml:space="preserve">Por su parte, de acuerdo con la Sección Tercera del Consejo de Estado, el AIU, concepto de común utilización en los contratos de tracto sucesivo –entre ellos, los contratos de obra– no cuenta con una definición normativa, pero hay elementos que permiten precisar su alcance, así: </w:t>
      </w:r>
    </w:p>
    <w:p w14:paraId="5B7A7099" w14:textId="77777777" w:rsidR="00D4125A" w:rsidRPr="002F7FFD" w:rsidRDefault="00D4125A" w:rsidP="00D4125A">
      <w:pPr>
        <w:spacing w:after="0" w:line="276" w:lineRule="auto"/>
        <w:ind w:firstLine="709"/>
        <w:jc w:val="both"/>
        <w:rPr>
          <w:rFonts w:ascii="Verdana" w:hAnsi="Verdana" w:cs="Arial"/>
          <w:szCs w:val="24"/>
          <w:lang w:eastAsia="es-ES_tradnl"/>
        </w:rPr>
      </w:pPr>
    </w:p>
    <w:p w14:paraId="033E819E" w14:textId="77777777" w:rsidR="00D4125A" w:rsidRPr="002F7FFD" w:rsidRDefault="00D4125A" w:rsidP="00D4125A">
      <w:pPr>
        <w:tabs>
          <w:tab w:val="left" w:pos="709"/>
        </w:tabs>
        <w:spacing w:after="120" w:line="240" w:lineRule="auto"/>
        <w:ind w:left="709" w:right="709"/>
        <w:jc w:val="both"/>
        <w:rPr>
          <w:rFonts w:ascii="Verdana" w:hAnsi="Verdana" w:cs="Arial"/>
          <w:sz w:val="20"/>
          <w:szCs w:val="20"/>
          <w:lang w:eastAsia="es-ES_tradnl"/>
        </w:rPr>
      </w:pPr>
      <w:r w:rsidRPr="002F7FFD">
        <w:rPr>
          <w:rFonts w:ascii="Verdana" w:hAnsi="Verdana" w:cs="Arial"/>
          <w:sz w:val="20"/>
          <w:szCs w:val="20"/>
          <w:lang w:eastAsia="es-ES_tradnl"/>
        </w:rPr>
        <w:t xml:space="preserve">“[…] el AIU propuesto para el contrato, corresponde a: </w:t>
      </w:r>
    </w:p>
    <w:p w14:paraId="0FFF2A52" w14:textId="77777777" w:rsidR="00D4125A" w:rsidRPr="002F7FFD" w:rsidRDefault="00D4125A" w:rsidP="00D4125A">
      <w:pPr>
        <w:tabs>
          <w:tab w:val="left" w:pos="709"/>
        </w:tabs>
        <w:spacing w:after="120" w:line="240" w:lineRule="auto"/>
        <w:ind w:left="709" w:right="709"/>
        <w:jc w:val="both"/>
        <w:rPr>
          <w:rFonts w:ascii="Verdana" w:hAnsi="Verdana" w:cs="Arial"/>
          <w:sz w:val="20"/>
          <w:szCs w:val="20"/>
          <w:lang w:eastAsia="es-ES_tradnl"/>
        </w:rPr>
      </w:pPr>
      <w:r w:rsidRPr="002F7FFD">
        <w:rPr>
          <w:rFonts w:ascii="Verdana" w:hAnsi="Verdana" w:cs="Arial"/>
          <w:sz w:val="20"/>
          <w:szCs w:val="20"/>
          <w:lang w:eastAsia="es-ES_tradnl"/>
        </w:rPr>
        <w:t xml:space="preserve">i) los costos de administración o costos indirectos para la operación del contrato, tales como los gastos de disponibilidad de la organización del contratista, esto es: A; </w:t>
      </w:r>
    </w:p>
    <w:p w14:paraId="4B074DCE" w14:textId="77777777" w:rsidR="00D4125A" w:rsidRPr="002F7FFD" w:rsidRDefault="00D4125A" w:rsidP="00D4125A">
      <w:pPr>
        <w:tabs>
          <w:tab w:val="left" w:pos="709"/>
        </w:tabs>
        <w:spacing w:after="120" w:line="240" w:lineRule="auto"/>
        <w:ind w:left="709" w:right="709"/>
        <w:jc w:val="both"/>
        <w:rPr>
          <w:rFonts w:ascii="Verdana" w:hAnsi="Verdana" w:cs="Arial"/>
          <w:sz w:val="20"/>
          <w:szCs w:val="20"/>
          <w:lang w:eastAsia="es-ES"/>
        </w:rPr>
      </w:pPr>
      <w:proofErr w:type="spellStart"/>
      <w:r w:rsidRPr="002F7FFD">
        <w:rPr>
          <w:rFonts w:ascii="Verdana" w:hAnsi="Verdana" w:cs="Arial"/>
          <w:sz w:val="20"/>
          <w:szCs w:val="20"/>
          <w:lang w:eastAsia="es-ES"/>
        </w:rPr>
        <w:lastRenderedPageBreak/>
        <w:t>ii</w:t>
      </w:r>
      <w:proofErr w:type="spellEnd"/>
      <w:r w:rsidRPr="002F7FFD">
        <w:rPr>
          <w:rFonts w:ascii="Verdana" w:hAnsi="Verdana" w:cs="Arial"/>
          <w:sz w:val="20"/>
          <w:szCs w:val="20"/>
          <w:lang w:eastAsia="es-ES"/>
        </w:rPr>
        <w:t xml:space="preserve">) los imprevistos, que es el porcentaje destinado a cubrir los gastos con los que no se contaba y que se presenten durante la ejecución del contrato, esto es, el </w:t>
      </w:r>
      <w:proofErr w:type="spellStart"/>
      <w:r w:rsidRPr="002F7FFD">
        <w:rPr>
          <w:rFonts w:ascii="Verdana" w:hAnsi="Verdana" w:cs="Arial"/>
          <w:sz w:val="20"/>
          <w:szCs w:val="20"/>
          <w:lang w:eastAsia="es-ES"/>
        </w:rPr>
        <w:t>álea</w:t>
      </w:r>
      <w:proofErr w:type="spellEnd"/>
      <w:r w:rsidRPr="002F7FFD">
        <w:rPr>
          <w:rFonts w:ascii="Verdana" w:hAnsi="Verdana" w:cs="Arial"/>
          <w:sz w:val="20"/>
          <w:szCs w:val="20"/>
          <w:lang w:eastAsia="es-ES"/>
        </w:rPr>
        <w:t xml:space="preserve"> normal del contrato: I; </w:t>
      </w:r>
    </w:p>
    <w:p w14:paraId="7240A349" w14:textId="77777777" w:rsidR="00D4125A" w:rsidRPr="002F7FFD" w:rsidRDefault="00D4125A" w:rsidP="00D4125A">
      <w:pPr>
        <w:tabs>
          <w:tab w:val="left" w:pos="709"/>
        </w:tabs>
        <w:spacing w:after="120" w:line="240" w:lineRule="auto"/>
        <w:ind w:left="709" w:right="709"/>
        <w:jc w:val="both"/>
        <w:rPr>
          <w:rFonts w:ascii="Verdana" w:hAnsi="Verdana" w:cs="Arial"/>
          <w:sz w:val="20"/>
          <w:szCs w:val="20"/>
          <w:lang w:eastAsia="es-ES"/>
        </w:rPr>
      </w:pPr>
      <w:proofErr w:type="spellStart"/>
      <w:r w:rsidRPr="002F7FFD">
        <w:rPr>
          <w:rFonts w:ascii="Verdana" w:hAnsi="Verdana" w:cs="Arial"/>
          <w:sz w:val="20"/>
          <w:szCs w:val="20"/>
          <w:lang w:eastAsia="es-ES"/>
        </w:rPr>
        <w:t>iii</w:t>
      </w:r>
      <w:proofErr w:type="spellEnd"/>
      <w:r w:rsidRPr="002F7FFD">
        <w:rPr>
          <w:rFonts w:ascii="Verdana" w:hAnsi="Verdana" w:cs="Arial"/>
          <w:sz w:val="20"/>
          <w:szCs w:val="20"/>
          <w:lang w:eastAsia="es-ES"/>
        </w:rPr>
        <w:t xml:space="preserve">) la utilidad o el beneficio económico que pretende percibir el contratista por la ejecución del contrato, esto es: U. </w:t>
      </w:r>
    </w:p>
    <w:p w14:paraId="34C5245A" w14:textId="77777777" w:rsidR="00D4125A" w:rsidRPr="002F7FFD" w:rsidRDefault="00D4125A" w:rsidP="00D4125A">
      <w:pPr>
        <w:tabs>
          <w:tab w:val="left" w:pos="709"/>
        </w:tabs>
        <w:spacing w:after="0" w:line="240" w:lineRule="auto"/>
        <w:ind w:left="709" w:right="709"/>
        <w:jc w:val="both"/>
        <w:rPr>
          <w:rFonts w:ascii="Verdana" w:hAnsi="Verdana" w:cs="Arial"/>
          <w:sz w:val="20"/>
          <w:szCs w:val="20"/>
          <w:lang w:eastAsia="es-ES_tradnl"/>
        </w:rPr>
      </w:pPr>
      <w:r w:rsidRPr="002F7FFD">
        <w:rPr>
          <w:rFonts w:ascii="Verdana" w:hAnsi="Verdana" w:cs="Arial"/>
          <w:sz w:val="20"/>
          <w:szCs w:val="20"/>
          <w:lang w:eastAsia="es-ES_tradnl"/>
        </w:rPr>
        <w:t>Ahora, teniendo en cuenta que no existe ninguna reglamentación que establezca porcentajes mínimos o máximos para determinar el A.I.U., cada empresa o comerciante de acuerdo con su infraestructura, experiencia, las condiciones del mercado, la naturaleza del contrato a celebrar, entre otros factores, establece su estructura de costos conforme a la cual se compromete a ejecutar cabalmente un contrato en el caso de que le sea adjudicado”</w:t>
      </w:r>
      <w:r w:rsidRPr="002F7FFD">
        <w:rPr>
          <w:rFonts w:ascii="Verdana" w:hAnsi="Verdana" w:cs="Arial"/>
          <w:sz w:val="20"/>
          <w:szCs w:val="20"/>
          <w:vertAlign w:val="superscript"/>
          <w:lang w:eastAsia="es-ES_tradnl"/>
        </w:rPr>
        <w:footnoteReference w:id="5"/>
      </w:r>
      <w:r w:rsidRPr="002F7FFD">
        <w:rPr>
          <w:rFonts w:ascii="Verdana" w:hAnsi="Verdana" w:cs="Arial"/>
          <w:sz w:val="20"/>
          <w:szCs w:val="20"/>
          <w:lang w:eastAsia="es-ES_tradnl"/>
        </w:rPr>
        <w:t>.</w:t>
      </w:r>
    </w:p>
    <w:p w14:paraId="0A105BB4" w14:textId="77777777" w:rsidR="00D4125A" w:rsidRPr="002F7FFD" w:rsidRDefault="00D4125A" w:rsidP="00D4125A">
      <w:pPr>
        <w:tabs>
          <w:tab w:val="left" w:pos="709"/>
        </w:tabs>
        <w:spacing w:after="0" w:line="276" w:lineRule="auto"/>
        <w:ind w:left="709" w:right="760"/>
        <w:jc w:val="both"/>
        <w:rPr>
          <w:rFonts w:ascii="Verdana" w:hAnsi="Verdana" w:cs="Arial"/>
          <w:szCs w:val="24"/>
          <w:lang w:eastAsia="es-ES_tradnl"/>
        </w:rPr>
      </w:pPr>
    </w:p>
    <w:p w14:paraId="309AB50D" w14:textId="77777777" w:rsidR="00D4125A" w:rsidRPr="002F7FFD" w:rsidRDefault="00D4125A" w:rsidP="00D4125A">
      <w:pPr>
        <w:spacing w:after="120" w:line="276" w:lineRule="auto"/>
        <w:ind w:firstLine="709"/>
        <w:jc w:val="both"/>
        <w:rPr>
          <w:rFonts w:ascii="Verdana" w:hAnsi="Verdana" w:cs="Arial"/>
          <w:lang w:eastAsia="es-ES"/>
        </w:rPr>
      </w:pPr>
      <w:r w:rsidRPr="002F7FFD">
        <w:rPr>
          <w:rFonts w:ascii="Verdana" w:hAnsi="Verdana" w:cs="Arial"/>
          <w:lang w:eastAsia="es-ES"/>
        </w:rPr>
        <w:t>A su turno, la Sala de Consulta y Servicio Civil del Consejo de Estado sostuvo en concepto del 5 de septiembre de 2018</w:t>
      </w:r>
      <w:r w:rsidRPr="002F7FFD">
        <w:rPr>
          <w:rFonts w:ascii="Verdana" w:hAnsi="Verdana" w:cs="Arial"/>
          <w:vertAlign w:val="superscript"/>
          <w:lang w:eastAsia="es-ES"/>
        </w:rPr>
        <w:footnoteReference w:id="6"/>
      </w:r>
      <w:r w:rsidRPr="002F7FFD">
        <w:rPr>
          <w:rFonts w:ascii="Verdana" w:hAnsi="Verdana" w:cs="Arial"/>
          <w:lang w:eastAsia="es-ES"/>
        </w:rPr>
        <w:t xml:space="preserve"> que “el concepto del A.I.U. comprende la Administración (costos indirectos), imprevistos y utilidades, y en algunos contratos este valor aparece cuantificado en forma independiente al valor de la obra y como un porcentaje de la misma, sin perjuicio que en otros contratos este valor no aparezca discriminado y se incorpore en el valor de los precios unitarios”</w:t>
      </w:r>
      <w:r w:rsidRPr="002F7FFD">
        <w:rPr>
          <w:rFonts w:ascii="Verdana" w:hAnsi="Verdana" w:cs="Arial"/>
          <w:vertAlign w:val="superscript"/>
          <w:lang w:eastAsia="es-ES"/>
        </w:rPr>
        <w:footnoteReference w:id="7"/>
      </w:r>
      <w:r w:rsidRPr="002F7FFD">
        <w:rPr>
          <w:rFonts w:ascii="Verdana" w:hAnsi="Verdana" w:cs="Arial"/>
          <w:lang w:eastAsia="es-ES"/>
        </w:rPr>
        <w:t xml:space="preserve">. </w:t>
      </w:r>
    </w:p>
    <w:p w14:paraId="3A207117" w14:textId="77777777" w:rsidR="00D4125A" w:rsidRPr="002F7FFD" w:rsidRDefault="00D4125A" w:rsidP="00D4125A">
      <w:pPr>
        <w:spacing w:after="120" w:line="276" w:lineRule="auto"/>
        <w:ind w:firstLine="709"/>
        <w:jc w:val="both"/>
        <w:rPr>
          <w:rFonts w:ascii="Verdana" w:hAnsi="Verdana" w:cs="Arial"/>
          <w:bCs/>
          <w:szCs w:val="24"/>
          <w:lang w:eastAsia="es-ES_tradnl"/>
        </w:rPr>
      </w:pPr>
      <w:r w:rsidRPr="002F7FFD">
        <w:rPr>
          <w:rFonts w:ascii="Verdana" w:hAnsi="Verdana" w:cs="Arial"/>
          <w:bCs/>
          <w:szCs w:val="24"/>
          <w:lang w:eastAsia="es-ES_tradnl"/>
        </w:rPr>
        <w:t xml:space="preserve">Así pues, ni el sistema de precios unitarios –como metodología de estipulación del valor contractual–, </w:t>
      </w:r>
      <w:r w:rsidRPr="002F7FFD">
        <w:rPr>
          <w:rFonts w:ascii="Verdana" w:hAnsi="Verdana" w:cs="Arial"/>
          <w:lang w:eastAsia="es-ES"/>
        </w:rPr>
        <w:t>ni el concepto de costos directos e indirectos</w:t>
      </w:r>
      <w:r w:rsidRPr="002F7FFD">
        <w:rPr>
          <w:rFonts w:ascii="Verdana" w:hAnsi="Verdana" w:cs="Arial"/>
          <w:bCs/>
          <w:szCs w:val="24"/>
          <w:lang w:eastAsia="es-ES_tradnl"/>
        </w:rPr>
        <w:t>, ni mucho menos la forma de calcularlo –es decir, su porcentaje–, son aspectos regulados en el conjunto de las disposiciones legales y reglamentarias que integran la normativa contractual del Estado: “La justificación de esta manera de cotizar el precio procede, incluso, de la formación universitaria que reciben los ingenieros, a quienes les enseñan esta metodología para elaborar las ofertas. En fin, lo que se quiere indicar con estos comentarios es que la necesidad de presentar una propuesta desglosando en forma intensa su precio no procede de la ley, ni del reglamento, sino de la costumbre, […]”</w:t>
      </w:r>
      <w:r w:rsidRPr="002F7FFD">
        <w:rPr>
          <w:rFonts w:ascii="Verdana" w:hAnsi="Verdana" w:cs="Arial"/>
          <w:bCs/>
          <w:szCs w:val="24"/>
          <w:vertAlign w:val="superscript"/>
          <w:lang w:eastAsia="es-ES_tradnl"/>
        </w:rPr>
        <w:footnoteReference w:id="8"/>
      </w:r>
      <w:r w:rsidRPr="002F7FFD">
        <w:rPr>
          <w:rFonts w:ascii="Verdana" w:hAnsi="Verdana" w:cs="Arial"/>
          <w:bCs/>
          <w:szCs w:val="24"/>
          <w:lang w:eastAsia="es-ES_tradnl"/>
        </w:rPr>
        <w:t xml:space="preserve">. De otro lado, quien define </w:t>
      </w:r>
      <w:r w:rsidRPr="002F7FFD">
        <w:rPr>
          <w:rFonts w:ascii="Verdana" w:hAnsi="Verdana" w:cs="Arial"/>
          <w:bCs/>
          <w:szCs w:val="24"/>
          <w:lang w:eastAsia="es-ES_tradnl"/>
        </w:rPr>
        <w:lastRenderedPageBreak/>
        <w:t xml:space="preserve">el valor de cada </w:t>
      </w:r>
      <w:r w:rsidRPr="002F7FFD">
        <w:rPr>
          <w:rFonts w:ascii="Verdana" w:hAnsi="Verdana" w:cs="Arial"/>
          <w:bCs/>
          <w:i/>
          <w:iCs/>
          <w:szCs w:val="24"/>
          <w:lang w:eastAsia="es-ES_tradnl"/>
        </w:rPr>
        <w:t>letra</w:t>
      </w:r>
      <w:r w:rsidRPr="002F7FFD">
        <w:rPr>
          <w:rFonts w:ascii="Verdana" w:hAnsi="Verdana" w:cs="Arial"/>
          <w:bCs/>
          <w:szCs w:val="24"/>
          <w:lang w:eastAsia="es-ES_tradnl"/>
        </w:rPr>
        <w:t xml:space="preserve"> –AIU– es el proponente, pues goza de libertad empresarial para hacerlo en la elaboración de su oferta</w:t>
      </w:r>
      <w:r w:rsidRPr="002F7FFD">
        <w:rPr>
          <w:rFonts w:ascii="Verdana" w:hAnsi="Verdana" w:cs="Arial"/>
          <w:bCs/>
          <w:szCs w:val="24"/>
          <w:vertAlign w:val="superscript"/>
          <w:lang w:eastAsia="es-ES_tradnl"/>
        </w:rPr>
        <w:footnoteReference w:id="9"/>
      </w:r>
      <w:r w:rsidRPr="002F7FFD">
        <w:rPr>
          <w:rFonts w:ascii="Verdana" w:hAnsi="Verdana" w:cs="Arial"/>
          <w:bCs/>
          <w:szCs w:val="24"/>
          <w:lang w:eastAsia="es-ES_tradnl"/>
        </w:rPr>
        <w:t>.</w:t>
      </w:r>
    </w:p>
    <w:p w14:paraId="099F5022" w14:textId="77777777" w:rsidR="00D4125A" w:rsidRPr="002F7FFD" w:rsidRDefault="00D4125A" w:rsidP="00D4125A">
      <w:pPr>
        <w:snapToGrid w:val="0"/>
        <w:spacing w:after="120" w:line="276" w:lineRule="auto"/>
        <w:ind w:firstLine="743"/>
        <w:jc w:val="both"/>
        <w:rPr>
          <w:rFonts w:ascii="Verdana" w:hAnsi="Verdana" w:cs="Arial"/>
          <w:bCs/>
          <w:szCs w:val="24"/>
          <w:lang w:eastAsia="es-ES_tradnl"/>
        </w:rPr>
      </w:pPr>
      <w:r w:rsidRPr="002F7FFD">
        <w:rPr>
          <w:rFonts w:ascii="Verdana" w:hAnsi="Verdana" w:cs="Arial"/>
          <w:lang w:eastAsia="es-ES"/>
        </w:rPr>
        <w:t xml:space="preserve">De esta manera, usualmente en los contratos cuyo valor se estructura bajo el sistema de precios unitarios y con el desglose del AIU, el precio se paga con base en el valor de los costos directos incrementados por el porcentaje del AIU, forma de pago que pueden incluir las entidades estatales en virtud de la autonomía de la voluntad a que remiten los artículos 13, 32 y 40 del EGCAP. Ahora bien, nada </w:t>
      </w:r>
      <w:r w:rsidRPr="002F7FFD">
        <w:rPr>
          <w:rFonts w:ascii="Verdana" w:hAnsi="Verdana" w:cs="Arial"/>
          <w:bCs/>
          <w:szCs w:val="24"/>
          <w:lang w:eastAsia="es-ES_tradnl"/>
        </w:rPr>
        <w:t xml:space="preserve">obstaría para que las partes le dieran otros efectos particulares a la forma en que pagan el precio estructurado con AIU. Por ejemplo, podrían incluir cláusulas o reglas bajo las cuales se estableciera que el valor de alguno o de todos los componentes de la </w:t>
      </w:r>
      <w:r w:rsidRPr="002F7FFD">
        <w:rPr>
          <w:rFonts w:ascii="Verdana" w:hAnsi="Verdana" w:cs="Arial"/>
          <w:bCs/>
          <w:i/>
          <w:iCs/>
          <w:szCs w:val="24"/>
          <w:lang w:eastAsia="es-ES_tradnl"/>
        </w:rPr>
        <w:t>Administración</w:t>
      </w:r>
      <w:r w:rsidRPr="002F7FFD">
        <w:rPr>
          <w:rFonts w:ascii="Verdana" w:hAnsi="Verdana" w:cs="Arial"/>
          <w:bCs/>
          <w:szCs w:val="24"/>
          <w:lang w:eastAsia="es-ES_tradnl"/>
        </w:rPr>
        <w:t xml:space="preserve"> o los </w:t>
      </w:r>
      <w:r w:rsidRPr="002F7FFD">
        <w:rPr>
          <w:rFonts w:ascii="Verdana" w:hAnsi="Verdana" w:cs="Arial"/>
          <w:bCs/>
          <w:i/>
          <w:iCs/>
          <w:szCs w:val="24"/>
          <w:lang w:eastAsia="es-ES_tradnl"/>
        </w:rPr>
        <w:t>Imprevistos</w:t>
      </w:r>
      <w:r w:rsidRPr="002F7FFD">
        <w:rPr>
          <w:rFonts w:ascii="Verdana" w:hAnsi="Verdana" w:cs="Arial"/>
          <w:bCs/>
          <w:szCs w:val="24"/>
          <w:lang w:eastAsia="es-ES_tradnl"/>
        </w:rPr>
        <w:t xml:space="preserve"> sólo se pagan si el contratista demuestra que incurrió en algunas situaciones específicas y bajo el monto que este logre demostrar.</w:t>
      </w:r>
    </w:p>
    <w:p w14:paraId="3FD1D47C" w14:textId="77777777" w:rsidR="00D4125A" w:rsidRPr="002F7FFD" w:rsidRDefault="00D4125A" w:rsidP="00D4125A">
      <w:pPr>
        <w:snapToGrid w:val="0"/>
        <w:spacing w:after="120" w:line="276" w:lineRule="auto"/>
        <w:ind w:firstLine="601"/>
        <w:jc w:val="both"/>
        <w:rPr>
          <w:rFonts w:ascii="Verdana" w:hAnsi="Verdana" w:cs="Arial"/>
          <w:lang w:eastAsia="es-ES"/>
        </w:rPr>
      </w:pPr>
      <w:r w:rsidRPr="002F7FFD">
        <w:rPr>
          <w:rFonts w:ascii="Verdana" w:hAnsi="Verdana" w:cs="Arial"/>
          <w:lang w:eastAsia="es-ES"/>
        </w:rPr>
        <w:t xml:space="preserve">Sin embargo, una regulación como la anterior no es la que suele emplearse en los contratos estatales. Lo usual, que se advierte en la práctica de las Entidades Estatales, es que acuden al AIU con la finalidad de establecer un precio más estable, de manera que el valor del contrato consistirá en lo que resulte de afectar los costos directos por el porcentaje, en principio, invariable del AIU, de manera que al valor de los costos directos se le sume el AIU. </w:t>
      </w:r>
    </w:p>
    <w:p w14:paraId="6FD1725C" w14:textId="77777777" w:rsidR="00D4125A" w:rsidRPr="002F7FFD" w:rsidRDefault="00D4125A" w:rsidP="00D4125A">
      <w:pPr>
        <w:snapToGrid w:val="0"/>
        <w:spacing w:after="120" w:line="276" w:lineRule="auto"/>
        <w:ind w:firstLine="601"/>
        <w:jc w:val="both"/>
        <w:rPr>
          <w:rFonts w:ascii="Verdana" w:eastAsia="Calibri" w:hAnsi="Verdana" w:cs="Arial"/>
          <w:bCs/>
          <w:szCs w:val="24"/>
          <w:lang w:eastAsia="es-ES_tradnl"/>
        </w:rPr>
      </w:pPr>
      <w:r w:rsidRPr="002F7FFD">
        <w:rPr>
          <w:rFonts w:ascii="Verdana" w:eastAsia="Calibri" w:hAnsi="Verdana" w:cs="Arial"/>
          <w:bCs/>
          <w:szCs w:val="24"/>
          <w:lang w:eastAsia="es-ES_tradnl"/>
        </w:rPr>
        <w:t xml:space="preserve">En este sentido, cuando las Entidades Estatales incluyen esta forma de desglosar el precio, en los últimos términos indicados, al realizar el estudio de mercado elaboran un presupuesto estimado del valor de la ejecución del contrato. Dicho presupuesto estimado incluye los costos genéricos </w:t>
      </w:r>
      <w:r w:rsidRPr="002F7FFD">
        <w:rPr>
          <w:rFonts w:ascii="Verdana" w:eastAsia="Calibri" w:hAnsi="Verdana" w:cs="Arial"/>
          <w:bCs/>
          <w:i/>
          <w:iCs/>
          <w:szCs w:val="24"/>
          <w:lang w:eastAsia="es-ES_tradnl"/>
        </w:rPr>
        <w:t xml:space="preserve">indirectos </w:t>
      </w:r>
      <w:r w:rsidRPr="002F7FFD">
        <w:rPr>
          <w:rFonts w:ascii="Verdana" w:eastAsia="Calibri" w:hAnsi="Verdana" w:cs="Arial"/>
          <w:bCs/>
          <w:szCs w:val="24"/>
          <w:lang w:eastAsia="es-ES_tradnl"/>
        </w:rPr>
        <w:t xml:space="preserve">en que incurren los contratistas, entre ellos, los de la </w:t>
      </w:r>
      <w:r w:rsidRPr="002F7FFD">
        <w:rPr>
          <w:rFonts w:ascii="Verdana" w:eastAsia="Calibri" w:hAnsi="Verdana" w:cs="Arial"/>
          <w:bCs/>
          <w:i/>
          <w:iCs/>
          <w:szCs w:val="24"/>
          <w:lang w:eastAsia="es-ES_tradnl"/>
        </w:rPr>
        <w:t xml:space="preserve">Administración </w:t>
      </w:r>
      <w:r w:rsidRPr="002F7FFD">
        <w:rPr>
          <w:rFonts w:ascii="Verdana" w:eastAsia="Calibri" w:hAnsi="Verdana" w:cs="Arial"/>
          <w:lang w:eastAsia="es-ES"/>
        </w:rPr>
        <w:t>y lo</w:t>
      </w:r>
      <w:r w:rsidRPr="002F7FFD">
        <w:rPr>
          <w:rFonts w:ascii="Verdana" w:eastAsia="Calibri" w:hAnsi="Verdana" w:cs="Arial"/>
          <w:i/>
          <w:iCs/>
          <w:lang w:eastAsia="es-ES"/>
        </w:rPr>
        <w:t>s Imprevistos</w:t>
      </w:r>
      <w:r w:rsidRPr="002F7FFD">
        <w:rPr>
          <w:rFonts w:ascii="Verdana" w:eastAsia="Calibri" w:hAnsi="Verdana" w:cs="Arial"/>
          <w:bCs/>
          <w:szCs w:val="24"/>
          <w:lang w:eastAsia="es-ES_tradnl"/>
        </w:rPr>
        <w:t>, para efectos de definir el porcentaje con el que calculan el presupuesto, pese a que el monto de estos componentes varía ostensiblemente de un proponente a otro, pues su valor real depende de circunstancias particulares de los oferentes</w:t>
      </w:r>
      <w:r w:rsidRPr="002F7FFD">
        <w:rPr>
          <w:rFonts w:ascii="Verdana" w:eastAsia="Calibri" w:hAnsi="Verdana" w:cs="Times New Roman"/>
          <w:vertAlign w:val="superscript"/>
          <w:lang w:eastAsia="es-ES_tradnl"/>
        </w:rPr>
        <w:footnoteReference w:id="10"/>
      </w:r>
      <w:r w:rsidRPr="002F7FFD">
        <w:rPr>
          <w:rFonts w:ascii="Verdana" w:eastAsia="Calibri" w:hAnsi="Verdana" w:cs="Arial"/>
          <w:bCs/>
          <w:szCs w:val="24"/>
          <w:lang w:eastAsia="es-ES_tradnl"/>
        </w:rPr>
        <w:t xml:space="preserve">. </w:t>
      </w:r>
    </w:p>
    <w:p w14:paraId="511D210B" w14:textId="77777777" w:rsidR="00D4125A" w:rsidRPr="002F7FFD" w:rsidRDefault="00D4125A" w:rsidP="00D4125A">
      <w:pPr>
        <w:snapToGrid w:val="0"/>
        <w:spacing w:after="120" w:line="276" w:lineRule="auto"/>
        <w:ind w:firstLine="601"/>
        <w:jc w:val="both"/>
        <w:rPr>
          <w:rFonts w:ascii="Verdana" w:eastAsia="Calibri" w:hAnsi="Verdana" w:cs="Arial"/>
          <w:bCs/>
          <w:szCs w:val="24"/>
          <w:lang w:eastAsia="es-ES_tradnl"/>
        </w:rPr>
      </w:pPr>
      <w:r w:rsidRPr="002F7FFD">
        <w:rPr>
          <w:rFonts w:ascii="Verdana" w:eastAsia="Calibri" w:hAnsi="Verdana" w:cs="Arial"/>
          <w:lang w:eastAsia="es-ES"/>
        </w:rPr>
        <w:lastRenderedPageBreak/>
        <w:t xml:space="preserve">Así las cosas, las partes asumen los riesgos inherentes a esta forma de pactar el precio, entendiendo aceptados los aleas normales que se presenten en la ejecución del contrato, de manera que, aunque el contratista incurra en mayores costos de los ítems incluidos en la </w:t>
      </w:r>
      <w:r w:rsidRPr="002F7FFD">
        <w:rPr>
          <w:rFonts w:ascii="Verdana" w:eastAsia="Calibri" w:hAnsi="Verdana" w:cs="Arial"/>
          <w:i/>
          <w:iCs/>
          <w:lang w:eastAsia="es-ES"/>
        </w:rPr>
        <w:t>Administración</w:t>
      </w:r>
      <w:r w:rsidRPr="002F7FFD">
        <w:rPr>
          <w:rFonts w:ascii="Verdana" w:eastAsia="Calibri" w:hAnsi="Verdana" w:cs="Arial"/>
          <w:lang w:eastAsia="es-ES"/>
        </w:rPr>
        <w:t xml:space="preserve"> o en más gastos de </w:t>
      </w:r>
      <w:r w:rsidRPr="002F7FFD">
        <w:rPr>
          <w:rFonts w:ascii="Verdana" w:eastAsia="Calibri" w:hAnsi="Verdana" w:cs="Arial"/>
          <w:i/>
          <w:iCs/>
          <w:lang w:eastAsia="es-ES"/>
        </w:rPr>
        <w:t>Imprevistos</w:t>
      </w:r>
      <w:r w:rsidRPr="002F7FFD">
        <w:rPr>
          <w:rFonts w:ascii="Verdana" w:eastAsia="Calibri" w:hAnsi="Verdana" w:cs="Arial"/>
          <w:lang w:eastAsia="es-ES"/>
        </w:rPr>
        <w:t xml:space="preserve"> al presentar su oferta, o que estos disminuyan, aparezcan algunos nuevos o desaparezcan algunos de ellos, el valor se mantenga invariable.</w:t>
      </w:r>
    </w:p>
    <w:p w14:paraId="658972F1" w14:textId="77777777" w:rsidR="00D4125A" w:rsidRPr="002F7FFD" w:rsidRDefault="00D4125A" w:rsidP="00D4125A">
      <w:pPr>
        <w:snapToGrid w:val="0"/>
        <w:spacing w:after="120" w:line="276" w:lineRule="auto"/>
        <w:ind w:firstLine="601"/>
        <w:jc w:val="both"/>
        <w:rPr>
          <w:rFonts w:ascii="Verdana" w:eastAsia="Calibri" w:hAnsi="Verdana" w:cs="Arial"/>
          <w:lang w:eastAsia="es-ES"/>
        </w:rPr>
      </w:pPr>
      <w:r w:rsidRPr="002F7FFD">
        <w:rPr>
          <w:rFonts w:ascii="Verdana" w:eastAsia="Calibri" w:hAnsi="Verdana" w:cs="Arial"/>
          <w:lang w:eastAsia="es-ES"/>
        </w:rPr>
        <w:t xml:space="preserve">De manera que las entidades calculan un valor estimado que, a su vez, sirve de guía para que los proponentes formulen sus ofertas, pero bajo la premisa de que pagarán un porcentaje fijo incluido por los interesados en sus propuestas, dado lo variable que resulta este valor, y lo complejo y gravoso de realizar un seguimiento minucioso a los costos en que incurren los contratistas por este componente en particular. Además, que estos podrían ser mayores a los inicialmente pactados con el contratista, de manera que la fijación de un porcentaje fijo y estable también puede resultar favorable a la entidad estatal, pues su contraparte no le podrá exigir un monto superior, bajo el argumento de que incurrió en costos o gastos adicionales asociados al componente </w:t>
      </w:r>
      <w:r w:rsidRPr="002F7FFD">
        <w:rPr>
          <w:rFonts w:ascii="Verdana" w:eastAsia="Calibri" w:hAnsi="Verdana" w:cs="Arial"/>
          <w:i/>
          <w:iCs/>
          <w:lang w:eastAsia="es-ES"/>
        </w:rPr>
        <w:t>Administración</w:t>
      </w:r>
      <w:r w:rsidRPr="002F7FFD">
        <w:rPr>
          <w:rFonts w:ascii="Verdana" w:eastAsia="Calibri" w:hAnsi="Verdana" w:cs="Arial"/>
          <w:lang w:eastAsia="es-ES"/>
        </w:rPr>
        <w:t xml:space="preserve"> o de </w:t>
      </w:r>
      <w:r w:rsidRPr="002F7FFD">
        <w:rPr>
          <w:rFonts w:ascii="Verdana" w:eastAsia="Calibri" w:hAnsi="Verdana" w:cs="Arial"/>
          <w:i/>
          <w:iCs/>
          <w:lang w:eastAsia="es-ES"/>
        </w:rPr>
        <w:t>Imprevistos</w:t>
      </w:r>
      <w:r w:rsidRPr="002F7FFD">
        <w:rPr>
          <w:rFonts w:ascii="Verdana" w:eastAsia="Calibri" w:hAnsi="Verdana" w:cs="Times New Roman"/>
          <w:vertAlign w:val="superscript"/>
          <w:lang w:eastAsia="es-ES"/>
        </w:rPr>
        <w:footnoteReference w:id="11"/>
      </w:r>
      <w:r w:rsidRPr="002F7FFD">
        <w:rPr>
          <w:rFonts w:ascii="Verdana" w:eastAsia="Calibri" w:hAnsi="Verdana" w:cs="Arial"/>
          <w:lang w:eastAsia="es-ES"/>
        </w:rPr>
        <w:t>.</w:t>
      </w:r>
    </w:p>
    <w:p w14:paraId="650B807C" w14:textId="77777777" w:rsidR="00D4125A" w:rsidRPr="002F7FFD" w:rsidRDefault="00D4125A" w:rsidP="00D4125A">
      <w:pPr>
        <w:spacing w:before="120" w:after="0" w:line="276" w:lineRule="auto"/>
        <w:ind w:firstLine="709"/>
        <w:jc w:val="both"/>
        <w:rPr>
          <w:rFonts w:ascii="Verdana" w:hAnsi="Verdana" w:cs="Arial"/>
          <w:lang w:eastAsia="es-ES"/>
        </w:rPr>
      </w:pPr>
      <w:r w:rsidRPr="002F7FFD">
        <w:rPr>
          <w:rFonts w:ascii="Verdana" w:hAnsi="Verdana" w:cs="Arial"/>
          <w:lang w:eastAsia="es-ES"/>
        </w:rPr>
        <w:t>Frente a los costos que suelen incluirse en la Administración –A–, la jurisprudencia, a partir de la práctica de las entidades estatales, ha señalado que: “Los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w:t>
      </w:r>
      <w:r w:rsidRPr="002F7FFD">
        <w:rPr>
          <w:rFonts w:ascii="Verdana" w:hAnsi="Verdana" w:cs="Arial"/>
          <w:vertAlign w:val="superscript"/>
          <w:lang w:eastAsia="es-ES"/>
        </w:rPr>
        <w:footnoteReference w:id="12"/>
      </w:r>
      <w:r w:rsidRPr="002F7FFD">
        <w:rPr>
          <w:rFonts w:ascii="Verdana" w:hAnsi="Verdana" w:cs="Arial"/>
          <w:lang w:eastAsia="es-ES"/>
        </w:rPr>
        <w:t xml:space="preserve">”. En términos similares, pero más precisos, la doctrina, recogiendo la casuística de los contratos estatales, señala de forma más pormenorizada los gastos que se asocian a la –A–, donde se incluyen importantes costos indirectos en que se incurre en la ejecución: </w:t>
      </w:r>
    </w:p>
    <w:p w14:paraId="054CF555" w14:textId="77777777" w:rsidR="00D4125A" w:rsidRPr="002F7FFD" w:rsidRDefault="00D4125A" w:rsidP="00D4125A">
      <w:pPr>
        <w:spacing w:after="0" w:line="276" w:lineRule="auto"/>
        <w:jc w:val="both"/>
        <w:rPr>
          <w:rFonts w:ascii="Verdana" w:hAnsi="Verdana" w:cs="Arial"/>
          <w:bCs/>
          <w:szCs w:val="24"/>
          <w:lang w:eastAsia="es-ES_tradnl"/>
        </w:rPr>
      </w:pPr>
    </w:p>
    <w:p w14:paraId="746C8103" w14:textId="77777777" w:rsidR="00D4125A" w:rsidRPr="002F7FFD" w:rsidRDefault="00D4125A" w:rsidP="00D4125A">
      <w:pPr>
        <w:spacing w:after="0" w:line="240" w:lineRule="auto"/>
        <w:ind w:left="709" w:right="709"/>
        <w:jc w:val="both"/>
        <w:rPr>
          <w:rFonts w:ascii="Verdana" w:hAnsi="Verdana" w:cs="Arial"/>
          <w:sz w:val="20"/>
          <w:szCs w:val="20"/>
          <w:lang w:eastAsia="es-ES"/>
        </w:rPr>
      </w:pPr>
      <w:r w:rsidRPr="002F7FFD">
        <w:rPr>
          <w:rFonts w:ascii="Verdana" w:hAnsi="Verdana" w:cs="Arial"/>
          <w:sz w:val="20"/>
          <w:szCs w:val="20"/>
          <w:lang w:eastAsia="es-ES"/>
        </w:rPr>
        <w:lastRenderedPageBreak/>
        <w:t xml:space="preserve">Para entender mejor el tema conviene especificar que si los gastos que hacen parte de la A se encuentran: i) el pago de salarios y prestaciones sociales del personal profesional y especializado necesario para ejecutar la obra –es el caso del Director de obra, los arquitectos, ingenieros y contadores, eventualmente abogados u otros; pero no se incluyen los obreros–, </w:t>
      </w:r>
      <w:proofErr w:type="spellStart"/>
      <w:r w:rsidRPr="002F7FFD">
        <w:rPr>
          <w:rFonts w:ascii="Verdana" w:hAnsi="Verdana" w:cs="Arial"/>
          <w:sz w:val="20"/>
          <w:szCs w:val="20"/>
          <w:lang w:eastAsia="es-ES"/>
        </w:rPr>
        <w:t>ii</w:t>
      </w:r>
      <w:proofErr w:type="spellEnd"/>
      <w:r w:rsidRPr="002F7FFD">
        <w:rPr>
          <w:rFonts w:ascii="Verdana" w:hAnsi="Verdana" w:cs="Arial"/>
          <w:sz w:val="20"/>
          <w:szCs w:val="20"/>
          <w:lang w:eastAsia="es-ES"/>
        </w:rPr>
        <w:t xml:space="preserve">) pago de salarios y prestaciones sociales del personal logístico y de apoyo no dedicado directamente con la ejecución del contrato –por ejemplo: las secretarias de la empresa, el servicio de cafetería en mensajero, la vigilancia, los seguros, etc.– sin los que la empresa no puede funcionar; </w:t>
      </w:r>
      <w:proofErr w:type="spellStart"/>
      <w:r w:rsidRPr="002F7FFD">
        <w:rPr>
          <w:rFonts w:ascii="Verdana" w:hAnsi="Verdana" w:cs="Arial"/>
          <w:sz w:val="20"/>
          <w:szCs w:val="20"/>
          <w:lang w:eastAsia="es-ES"/>
        </w:rPr>
        <w:t>iii</w:t>
      </w:r>
      <w:proofErr w:type="spellEnd"/>
      <w:r w:rsidRPr="002F7FFD">
        <w:rPr>
          <w:rFonts w:ascii="Verdana" w:hAnsi="Verdana" w:cs="Arial"/>
          <w:sz w:val="20"/>
          <w:szCs w:val="20"/>
          <w:lang w:eastAsia="es-ES"/>
        </w:rPr>
        <w:t xml:space="preserve">) pago de arrendamiento de las instalaciones necesarias para el funcionamiento de la empresa –oficinas </w:t>
      </w:r>
      <w:r w:rsidRPr="002F7FFD">
        <w:rPr>
          <w:rFonts w:ascii="Verdana" w:hAnsi="Verdana" w:cs="Arial"/>
          <w:i/>
          <w:sz w:val="20"/>
          <w:szCs w:val="20"/>
          <w:lang w:eastAsia="es-ES"/>
        </w:rPr>
        <w:t xml:space="preserve">y campamento de la obra–; </w:t>
      </w:r>
      <w:proofErr w:type="spellStart"/>
      <w:r w:rsidRPr="002F7FFD">
        <w:rPr>
          <w:rFonts w:ascii="Verdana" w:hAnsi="Verdana" w:cs="Arial"/>
          <w:sz w:val="20"/>
          <w:szCs w:val="20"/>
          <w:lang w:eastAsia="es-ES"/>
        </w:rPr>
        <w:t>iv</w:t>
      </w:r>
      <w:proofErr w:type="spellEnd"/>
      <w:r w:rsidRPr="002F7FFD">
        <w:rPr>
          <w:rFonts w:ascii="Verdana" w:hAnsi="Verdana" w:cs="Arial"/>
          <w:sz w:val="20"/>
          <w:szCs w:val="20"/>
          <w:lang w:eastAsia="es-ES"/>
        </w:rPr>
        <w:t xml:space="preserve">) </w:t>
      </w:r>
      <w:r w:rsidRPr="002F7FFD">
        <w:rPr>
          <w:rFonts w:ascii="Verdana" w:hAnsi="Verdana" w:cs="Arial"/>
          <w:i/>
          <w:sz w:val="20"/>
          <w:szCs w:val="20"/>
          <w:lang w:eastAsia="es-ES"/>
        </w:rPr>
        <w:t>pago de impuestos y gravámenes en general que afectan la actividad o el contrato</w:t>
      </w:r>
      <w:r w:rsidRPr="002F7FFD">
        <w:rPr>
          <w:rFonts w:ascii="Verdana" w:hAnsi="Verdana" w:cs="Arial"/>
          <w:sz w:val="20"/>
          <w:szCs w:val="20"/>
          <w:lang w:eastAsia="es-ES"/>
        </w:rPr>
        <w:t xml:space="preserve">; v) valor de las fotocopias, papelería en general y equipos de oficina, vi) transporte terrestre, tiquetes aéreos y arrendamiento de vehículos –distintos de la maquinaria que se emplea en la obra–, </w:t>
      </w:r>
      <w:proofErr w:type="spellStart"/>
      <w:r w:rsidRPr="002F7FFD">
        <w:rPr>
          <w:rFonts w:ascii="Verdana" w:hAnsi="Verdana" w:cs="Arial"/>
          <w:sz w:val="20"/>
          <w:szCs w:val="20"/>
          <w:lang w:eastAsia="es-ES"/>
        </w:rPr>
        <w:t>vii</w:t>
      </w:r>
      <w:proofErr w:type="spellEnd"/>
      <w:r w:rsidRPr="002F7FFD">
        <w:rPr>
          <w:rFonts w:ascii="Verdana" w:hAnsi="Verdana" w:cs="Arial"/>
          <w:sz w:val="20"/>
          <w:szCs w:val="20"/>
          <w:lang w:eastAsia="es-ES"/>
        </w:rPr>
        <w:t xml:space="preserve">) pólizas del contrato, </w:t>
      </w:r>
      <w:proofErr w:type="spellStart"/>
      <w:r w:rsidRPr="002F7FFD">
        <w:rPr>
          <w:rFonts w:ascii="Verdana" w:hAnsi="Verdana" w:cs="Arial"/>
          <w:sz w:val="20"/>
          <w:szCs w:val="20"/>
          <w:lang w:eastAsia="es-ES"/>
        </w:rPr>
        <w:t>viii</w:t>
      </w:r>
      <w:proofErr w:type="spellEnd"/>
      <w:r w:rsidRPr="002F7FFD">
        <w:rPr>
          <w:rFonts w:ascii="Verdana" w:hAnsi="Verdana" w:cs="Arial"/>
          <w:sz w:val="20"/>
          <w:szCs w:val="20"/>
          <w:lang w:eastAsia="es-ES"/>
        </w:rPr>
        <w:t xml:space="preserve">) pago de servicios públicos y otras comunicaciones –como el servicio celular– y </w:t>
      </w:r>
      <w:proofErr w:type="spellStart"/>
      <w:r w:rsidRPr="002F7FFD">
        <w:rPr>
          <w:rFonts w:ascii="Verdana" w:hAnsi="Verdana" w:cs="Arial"/>
          <w:sz w:val="20"/>
          <w:szCs w:val="20"/>
          <w:lang w:eastAsia="es-ES"/>
        </w:rPr>
        <w:t>ix</w:t>
      </w:r>
      <w:proofErr w:type="spellEnd"/>
      <w:r w:rsidRPr="002F7FFD">
        <w:rPr>
          <w:rFonts w:ascii="Verdana" w:hAnsi="Verdana" w:cs="Arial"/>
          <w:sz w:val="20"/>
          <w:szCs w:val="20"/>
          <w:lang w:eastAsia="es-ES"/>
        </w:rPr>
        <w:t>) gastos en que se incurra para realizar ensayos de laboratorio</w:t>
      </w:r>
      <w:r w:rsidRPr="002F7FFD">
        <w:rPr>
          <w:rFonts w:ascii="Verdana" w:hAnsi="Verdana" w:cs="Arial"/>
          <w:sz w:val="20"/>
          <w:szCs w:val="20"/>
          <w:vertAlign w:val="superscript"/>
          <w:lang w:eastAsia="es-ES"/>
        </w:rPr>
        <w:footnoteReference w:id="13"/>
      </w:r>
      <w:r w:rsidRPr="002F7FFD">
        <w:rPr>
          <w:rFonts w:ascii="Verdana" w:hAnsi="Verdana" w:cs="Arial"/>
          <w:sz w:val="20"/>
          <w:szCs w:val="20"/>
          <w:lang w:eastAsia="es-ES"/>
        </w:rPr>
        <w:t xml:space="preserve"> (Énfasis por fuera de texto)</w:t>
      </w:r>
    </w:p>
    <w:p w14:paraId="019E46B5" w14:textId="77777777" w:rsidR="00D4125A" w:rsidRPr="002F7FFD" w:rsidRDefault="00D4125A" w:rsidP="00D4125A">
      <w:pPr>
        <w:spacing w:after="0" w:line="240" w:lineRule="auto"/>
        <w:ind w:left="709" w:right="709"/>
        <w:jc w:val="both"/>
        <w:rPr>
          <w:rFonts w:ascii="Verdana" w:hAnsi="Verdana" w:cs="Arial"/>
          <w:bCs/>
          <w:lang w:eastAsia="es-ES_tradnl"/>
        </w:rPr>
      </w:pPr>
    </w:p>
    <w:p w14:paraId="300B2F8C" w14:textId="77777777" w:rsidR="00D4125A" w:rsidRPr="002F7FFD" w:rsidRDefault="00D4125A" w:rsidP="00D4125A">
      <w:pPr>
        <w:spacing w:line="276" w:lineRule="auto"/>
        <w:jc w:val="both"/>
        <w:rPr>
          <w:rFonts w:ascii="Verdana" w:hAnsi="Verdana" w:cs="Arial"/>
        </w:rPr>
      </w:pPr>
      <w:r w:rsidRPr="002F7FFD">
        <w:rPr>
          <w:rFonts w:ascii="Verdana" w:hAnsi="Verdana" w:cs="Arial"/>
        </w:rPr>
        <w:tab/>
      </w:r>
      <w:r w:rsidRPr="002F7FFD">
        <w:rPr>
          <w:rFonts w:ascii="Verdana" w:hAnsi="Verdana" w:cs="Arial"/>
          <w:bCs/>
        </w:rPr>
        <w:t xml:space="preserve">Asimismo, frente al porcentaje que se determina en el componente A, la doctrina expresa: </w:t>
      </w:r>
      <w:r w:rsidRPr="002F7FFD">
        <w:rPr>
          <w:rFonts w:ascii="Verdana" w:hAnsi="Verdana" w:cs="Arial"/>
        </w:rPr>
        <w:t xml:space="preserve"> </w:t>
      </w:r>
    </w:p>
    <w:p w14:paraId="382BE4A1" w14:textId="77777777" w:rsidR="00D4125A" w:rsidRPr="002F7FFD" w:rsidRDefault="00D4125A" w:rsidP="00D4125A">
      <w:pPr>
        <w:spacing w:after="0" w:line="240" w:lineRule="auto"/>
        <w:ind w:left="709" w:right="709"/>
        <w:jc w:val="both"/>
        <w:rPr>
          <w:rFonts w:ascii="Verdana" w:hAnsi="Verdana" w:cs="Arial"/>
          <w:sz w:val="20"/>
          <w:szCs w:val="20"/>
        </w:rPr>
      </w:pPr>
      <w:r w:rsidRPr="002F7FFD">
        <w:rPr>
          <w:rFonts w:ascii="Verdana" w:hAnsi="Verdana" w:cs="Arial"/>
          <w:sz w:val="20"/>
          <w:szCs w:val="20"/>
        </w:rPr>
        <w:t xml:space="preserve">Este porcentaje del valor del contrato también lo determina cada oferente–contratista con libertad, pues a él incumbe establecer cuánto ascienden sus gastos de administración, y si al final resultan superiores no puede exigir de la entidad, por esa sola circunstancia, un reembolso, porque para ella se trataba de un dato indicativo sobre la manera como se halla el valor total de la obra, de ninguna manera determinante de la forma como se paga cada actividad. A la inversa sucede lo mismo, si el gasto es inferior al presupuestado la entidad no puede pagar menos de lo pactado, sino los precios unitarios acordados por la </w:t>
      </w:r>
      <w:r w:rsidRPr="002F7FFD">
        <w:rPr>
          <w:rFonts w:ascii="Verdana" w:hAnsi="Verdana" w:cs="Arial"/>
          <w:i/>
          <w:sz w:val="20"/>
          <w:szCs w:val="20"/>
        </w:rPr>
        <w:t>A</w:t>
      </w:r>
      <w:r w:rsidRPr="002F7FFD">
        <w:rPr>
          <w:rFonts w:ascii="Verdana" w:hAnsi="Verdana" w:cs="Arial"/>
          <w:sz w:val="20"/>
          <w:szCs w:val="20"/>
        </w:rPr>
        <w:t xml:space="preserve"> –y dicho sea de paso, también por la </w:t>
      </w:r>
      <w:r w:rsidRPr="002F7FFD">
        <w:rPr>
          <w:rFonts w:ascii="Verdana" w:hAnsi="Verdana" w:cs="Arial"/>
          <w:i/>
          <w:sz w:val="20"/>
          <w:szCs w:val="20"/>
        </w:rPr>
        <w:t>I</w:t>
      </w:r>
      <w:r w:rsidRPr="002F7FFD">
        <w:rPr>
          <w:rFonts w:ascii="Verdana" w:hAnsi="Verdana" w:cs="Arial"/>
          <w:sz w:val="20"/>
          <w:szCs w:val="20"/>
        </w:rPr>
        <w:t xml:space="preserve"> y la </w:t>
      </w:r>
      <w:r w:rsidRPr="002F7FFD">
        <w:rPr>
          <w:rFonts w:ascii="Verdana" w:hAnsi="Verdana" w:cs="Arial"/>
          <w:i/>
          <w:sz w:val="20"/>
          <w:szCs w:val="20"/>
        </w:rPr>
        <w:t>U</w:t>
      </w:r>
      <w:r w:rsidRPr="002F7FFD">
        <w:rPr>
          <w:rFonts w:ascii="Verdana" w:hAnsi="Verdana" w:cs="Arial"/>
          <w:sz w:val="20"/>
          <w:szCs w:val="20"/>
        </w:rPr>
        <w:t>–</w:t>
      </w:r>
      <w:r w:rsidRPr="002F7FFD">
        <w:rPr>
          <w:rFonts w:ascii="Verdana" w:hAnsi="Verdana" w:cs="Arial"/>
          <w:sz w:val="20"/>
          <w:szCs w:val="20"/>
          <w:vertAlign w:val="superscript"/>
        </w:rPr>
        <w:footnoteReference w:id="14"/>
      </w:r>
      <w:r w:rsidRPr="002F7FFD">
        <w:rPr>
          <w:rFonts w:ascii="Verdana" w:hAnsi="Verdana" w:cs="Arial"/>
          <w:sz w:val="20"/>
          <w:szCs w:val="20"/>
        </w:rPr>
        <w:t xml:space="preserve">. </w:t>
      </w:r>
    </w:p>
    <w:p w14:paraId="06EEC082" w14:textId="77777777" w:rsidR="00D4125A" w:rsidRPr="002F7FFD" w:rsidRDefault="00D4125A" w:rsidP="00D4125A">
      <w:pPr>
        <w:spacing w:after="0" w:line="276" w:lineRule="auto"/>
        <w:ind w:left="709" w:right="709"/>
        <w:jc w:val="both"/>
        <w:rPr>
          <w:rFonts w:ascii="Verdana" w:hAnsi="Verdana" w:cs="Arial"/>
          <w:sz w:val="20"/>
          <w:szCs w:val="20"/>
        </w:rPr>
      </w:pPr>
    </w:p>
    <w:p w14:paraId="105BE617" w14:textId="77777777" w:rsidR="00D4125A" w:rsidRPr="002F7FFD" w:rsidRDefault="00D4125A" w:rsidP="00D4125A">
      <w:pPr>
        <w:spacing w:after="120" w:line="276" w:lineRule="auto"/>
        <w:ind w:firstLine="709"/>
        <w:jc w:val="both"/>
        <w:rPr>
          <w:rFonts w:ascii="Verdana" w:hAnsi="Verdana" w:cs="Arial"/>
        </w:rPr>
      </w:pPr>
      <w:r w:rsidRPr="002F7FFD">
        <w:rPr>
          <w:rFonts w:ascii="Verdana" w:hAnsi="Verdana" w:cs="Arial"/>
        </w:rPr>
        <w:t>Tal es la forma usual como se pacta el precio en los contratos estatales cuyo valor se define con base en la metodología del AIU. Lo anterior, sin perjuicio de que las partes en el contrato establezcan las cláusulas que a bien tengan, pues se trata de un aspecto en que la autonomía de la voluntad de que gozan las entidades estatales –y sus contratistas– despliega importantes efectos, por tratarse de un aspecto que no regula de forma específica el EGCAP.</w:t>
      </w:r>
    </w:p>
    <w:p w14:paraId="3096AFF0" w14:textId="77777777" w:rsidR="00D4125A" w:rsidRPr="002F7FFD" w:rsidRDefault="00D4125A" w:rsidP="00D4125A">
      <w:pPr>
        <w:spacing w:after="120" w:line="276" w:lineRule="auto"/>
        <w:ind w:firstLine="743"/>
        <w:jc w:val="both"/>
        <w:rPr>
          <w:rFonts w:ascii="Verdana" w:eastAsia="Calibri" w:hAnsi="Verdana" w:cs="Arial"/>
          <w:iCs/>
          <w:lang w:eastAsia="es-ES"/>
        </w:rPr>
      </w:pPr>
      <w:r w:rsidRPr="002F7FFD">
        <w:rPr>
          <w:rFonts w:ascii="Verdana" w:eastAsia="Calibri" w:hAnsi="Verdana" w:cs="Arial"/>
          <w:iCs/>
          <w:lang w:eastAsia="es-ES"/>
        </w:rPr>
        <w:lastRenderedPageBreak/>
        <w:t xml:space="preserve">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En tal perspectiva, cuentan con discrecionalidad para establecer en el pliego de condiciones o en su documento equivalente, así como en el contrato, el sistema de precios que más se ajuste el objeto a contratar </w:t>
      </w:r>
    </w:p>
    <w:p w14:paraId="1FE84AC7" w14:textId="77777777" w:rsidR="00D4125A" w:rsidRPr="002F7FFD" w:rsidRDefault="00D4125A" w:rsidP="00D4125A">
      <w:pPr>
        <w:spacing w:after="120" w:line="276" w:lineRule="auto"/>
        <w:ind w:firstLine="743"/>
        <w:jc w:val="both"/>
        <w:rPr>
          <w:rFonts w:ascii="Verdana" w:hAnsi="Verdana" w:cs="Arial"/>
          <w:lang w:eastAsia="es-ES"/>
        </w:rPr>
      </w:pPr>
      <w:r w:rsidRPr="002F7FFD">
        <w:rPr>
          <w:rFonts w:ascii="Verdana" w:eastAsia="Calibri" w:hAnsi="Verdana" w:cs="Arial"/>
          <w:iCs/>
        </w:rPr>
        <w:t xml:space="preserve">Conforme a lo expuesto, las entidades estatales pueden incluir en el valor de sus contratos los costos directos e indirectos- </w:t>
      </w:r>
      <w:proofErr w:type="spellStart"/>
      <w:r w:rsidRPr="002F7FFD">
        <w:rPr>
          <w:rFonts w:ascii="Verdana" w:eastAsia="Calibri" w:hAnsi="Verdana" w:cs="Arial"/>
          <w:i/>
          <w:iCs/>
        </w:rPr>
        <w:t>overhead</w:t>
      </w:r>
      <w:proofErr w:type="spellEnd"/>
      <w:r w:rsidRPr="002F7FFD">
        <w:rPr>
          <w:rFonts w:ascii="Verdana" w:eastAsia="Calibri" w:hAnsi="Verdana" w:cs="Arial"/>
          <w:i/>
          <w:iCs/>
        </w:rPr>
        <w:t>-,</w:t>
      </w:r>
      <w:r w:rsidRPr="002F7FFD">
        <w:rPr>
          <w:rFonts w:ascii="Verdana" w:eastAsia="Calibri" w:hAnsi="Verdana" w:cs="Arial"/>
          <w:iCs/>
        </w:rPr>
        <w:t xml:space="preserve"> asociados al precio de la ejecución del contrato, lo que indica que se trata de un elemento vinculado al cálculo de la remuneración o pago en favor de los contratistas del estado, que se incluye, como ya se expresó, con la finalidad de generar estabilidad en dicho precio, tanto favor del contratista, como de la entidad contratante. Cuando los costos indirectos -</w:t>
      </w:r>
      <w:proofErr w:type="spellStart"/>
      <w:r w:rsidRPr="002F7FFD">
        <w:rPr>
          <w:rFonts w:ascii="Verdana" w:eastAsia="Calibri" w:hAnsi="Verdana" w:cs="Arial"/>
          <w:i/>
        </w:rPr>
        <w:t>overhead</w:t>
      </w:r>
      <w:proofErr w:type="spellEnd"/>
      <w:r w:rsidRPr="002F7FFD">
        <w:rPr>
          <w:rFonts w:ascii="Verdana" w:eastAsia="Calibri" w:hAnsi="Verdana" w:cs="Arial"/>
          <w:i/>
        </w:rPr>
        <w:t>-</w:t>
      </w:r>
      <w:r w:rsidRPr="002F7FFD">
        <w:rPr>
          <w:rFonts w:ascii="Verdana" w:eastAsia="Calibri" w:hAnsi="Verdana" w:cs="Arial"/>
          <w:iCs/>
        </w:rPr>
        <w:t xml:space="preserve"> han sido expresamente contemplados dentro de la estructura económica del contrato, ya sea en los estudios previos, en la propuesta del contratista o en las cláusulas contractuales, estos resultan obligatorios y su reconocimiento y pago debe efectuarse en los términos y condiciones pactados. En tal medida, la entidad contratante no puede desconocer o excluir unilateralmente dichos costos una vez incorporados al precio, salvo que exista una modificación válida del contrato o una causa legal que justifique su ajuste.</w:t>
      </w:r>
    </w:p>
    <w:p w14:paraId="2D897DCD" w14:textId="77777777" w:rsidR="00D4125A" w:rsidRDefault="00D4125A" w:rsidP="00D4125A">
      <w:pPr>
        <w:spacing w:after="120" w:line="276" w:lineRule="auto"/>
        <w:jc w:val="both"/>
        <w:rPr>
          <w:rFonts w:ascii="Verdana" w:eastAsia="Times New Roman" w:hAnsi="Verdana" w:cs="Arial"/>
          <w:iCs/>
          <w:lang w:val="es-ES" w:eastAsia="es-ES_tradnl"/>
        </w:rPr>
      </w:pPr>
      <w:r>
        <w:rPr>
          <w:rFonts w:ascii="Verdana" w:eastAsia="Times New Roman" w:hAnsi="Verdana" w:cs="Arial"/>
          <w:iCs/>
          <w:lang w:eastAsia="es-ES_tradnl"/>
        </w:rPr>
        <w:t xml:space="preserve">II). </w:t>
      </w:r>
      <w:r w:rsidRPr="00D65069">
        <w:rPr>
          <w:rFonts w:ascii="Verdana" w:eastAsia="Times New Roman" w:hAnsi="Verdana" w:cs="Arial"/>
          <w:iCs/>
          <w:lang w:val="es-ES" w:eastAsia="es-ES_tradnl"/>
        </w:rPr>
        <w:t>En relación con el objeto contractual planteado en la consulta, referido a los contratos de obra pública cuyo objeto consiste en el mantenimiento estructural o la ejecución de intervenciones locativas en edificaciones administrativas, resulta pertinente señalar que para este tipo de procesos existen Documentos Tipo adoptados por la Agencia Nacional de Contratación Pública – Colombia Compra Eficiente. Sin embargo, la sola naturaleza del contrato como obra pública no determina, por sí misma, la obligatoriedad de su aplicación, pues es necesario verificar si el objeto contractual y la modalidad de selección se encuentran comprendidos dentro del ámbito de aplicación de las resoluciones que los adoptan.</w:t>
      </w:r>
    </w:p>
    <w:p w14:paraId="0EABDC38" w14:textId="77777777" w:rsidR="00D4125A" w:rsidRDefault="00D4125A" w:rsidP="00D4125A">
      <w:pPr>
        <w:spacing w:after="120" w:line="276" w:lineRule="auto"/>
        <w:ind w:firstLine="708"/>
        <w:jc w:val="both"/>
        <w:rPr>
          <w:rFonts w:ascii="Verdana" w:eastAsia="Times New Roman" w:hAnsi="Verdana" w:cs="Arial"/>
          <w:iCs/>
          <w:lang w:val="es-ES" w:eastAsia="es-ES_tradnl"/>
        </w:rPr>
      </w:pPr>
      <w:r w:rsidRPr="00D65069">
        <w:rPr>
          <w:rFonts w:ascii="Verdana" w:eastAsia="Times New Roman" w:hAnsi="Verdana" w:cs="Arial"/>
          <w:iCs/>
          <w:lang w:val="es-ES" w:eastAsia="es-ES_tradnl"/>
        </w:rPr>
        <w:t xml:space="preserve">En efecto, el artículo 1 de la Ley 2022 de 2020 otorgó a la Agencia Nacional de Contratación Pública – Colombia Compra Eficiente la competencia para adoptar los Documentos Tipo de obligatorio cumplimiento para las </w:t>
      </w:r>
      <w:r w:rsidRPr="00D65069">
        <w:rPr>
          <w:rFonts w:ascii="Verdana" w:eastAsia="Times New Roman" w:hAnsi="Verdana" w:cs="Arial"/>
          <w:iCs/>
          <w:lang w:val="es-ES" w:eastAsia="es-ES_tradnl"/>
        </w:rPr>
        <w:lastRenderedPageBreak/>
        <w:t>entidades sometidas al Estatuto General de Contratación de la Administración Pública. En ejercicio de dicha competencia, la Agencia expidió, entre otras, las Resoluciones 539, 540 y 541 de 2025, mediante las cuales adoptó los Documentos Tipo para la contratación de obra pública de infraestructura social, así como las Resoluciones 952 y 953 de 2025 para la contratación de consultoría e interventoría.</w:t>
      </w:r>
    </w:p>
    <w:p w14:paraId="722C1367" w14:textId="77777777" w:rsidR="00D4125A" w:rsidRPr="00D65069" w:rsidRDefault="00D4125A" w:rsidP="00D4125A">
      <w:pPr>
        <w:spacing w:after="120" w:line="276" w:lineRule="auto"/>
        <w:ind w:firstLine="708"/>
        <w:jc w:val="both"/>
        <w:rPr>
          <w:rFonts w:ascii="Verdana" w:eastAsia="Times New Roman" w:hAnsi="Verdana" w:cs="Arial"/>
          <w:iCs/>
          <w:lang w:val="es-ES" w:eastAsia="es-ES_tradnl"/>
        </w:rPr>
      </w:pPr>
      <w:r w:rsidRPr="00D65069">
        <w:rPr>
          <w:rFonts w:ascii="Verdana" w:eastAsia="Times New Roman" w:hAnsi="Verdana" w:cs="Arial"/>
          <w:iCs/>
          <w:lang w:val="es-ES" w:eastAsia="es-ES_tradnl"/>
        </w:rPr>
        <w:t>De conformidad con estas resoluciones, la obligatoriedad de los Documentos Tipo depende de que el objeto contractual y la modalidad de selección se encuentren dentro de su ámbito de aplicación. Para ello, las entidades deben verificar si el proyecto corresponde a alguno de los sectores de infraestructura estandarizados, para lo cual resulta determinante la revisión de la Matriz de Experiencia y del Anexo de Glosario que hacen parte de los respectivos Documentos Tipo.</w:t>
      </w:r>
    </w:p>
    <w:p w14:paraId="1FF14610" w14:textId="77777777" w:rsidR="00D4125A" w:rsidRPr="0010023F" w:rsidRDefault="00D4125A" w:rsidP="00D4125A">
      <w:pPr>
        <w:widowControl w:val="0"/>
        <w:autoSpaceDE w:val="0"/>
        <w:autoSpaceDN w:val="0"/>
        <w:spacing w:after="120" w:line="276" w:lineRule="auto"/>
        <w:ind w:firstLine="708"/>
        <w:jc w:val="both"/>
        <w:rPr>
          <w:rFonts w:ascii="Verdana" w:eastAsia="Calibri" w:hAnsi="Verdana" w:cs="Times New Roman"/>
          <w:lang w:val="es-ES" w:eastAsia="es-MX"/>
        </w:rPr>
      </w:pPr>
      <w:r w:rsidRPr="0010023F">
        <w:rPr>
          <w:rFonts w:ascii="Verdana" w:eastAsia="Calibri" w:hAnsi="Verdana" w:cs="Times New Roman"/>
          <w:lang w:val="es-ES" w:eastAsia="es-MX"/>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0619A005" w14:textId="77777777" w:rsidR="00D4125A" w:rsidRDefault="00D4125A" w:rsidP="00D4125A">
      <w:pPr>
        <w:widowControl w:val="0"/>
        <w:autoSpaceDE w:val="0"/>
        <w:autoSpaceDN w:val="0"/>
        <w:spacing w:after="0" w:line="276" w:lineRule="auto"/>
        <w:ind w:firstLine="708"/>
        <w:jc w:val="both"/>
        <w:rPr>
          <w:rFonts w:ascii="Verdana" w:eastAsia="Calibri" w:hAnsi="Verdana" w:cs="Times New Roman"/>
          <w:lang w:val="es-ES" w:eastAsia="es-MX"/>
        </w:rPr>
      </w:pPr>
      <w:r w:rsidRPr="0010023F">
        <w:rPr>
          <w:rFonts w:ascii="Verdana" w:eastAsia="Calibri" w:hAnsi="Verdana" w:cs="Times New Roman"/>
          <w:lang w:val="es-ES" w:eastAsia="es-MX"/>
        </w:rPr>
        <w:t>De esta manera, para saber a qué actividades deben aplicarse los Documentos Tipo de licitación de obra pública de infraestructura social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201C88E1" w14:textId="77777777" w:rsidR="00D4125A" w:rsidRPr="00B04FC6" w:rsidRDefault="00D4125A" w:rsidP="00D4125A">
      <w:pPr>
        <w:widowControl w:val="0"/>
        <w:autoSpaceDE w:val="0"/>
        <w:autoSpaceDN w:val="0"/>
        <w:spacing w:after="0" w:line="276" w:lineRule="auto"/>
        <w:ind w:firstLine="708"/>
        <w:jc w:val="both"/>
        <w:rPr>
          <w:rFonts w:ascii="Verdana" w:eastAsia="Calibri" w:hAnsi="Verdana" w:cs="Times New Roman"/>
          <w:lang w:val="es-ES" w:eastAsia="es-MX"/>
        </w:rPr>
      </w:pPr>
    </w:p>
    <w:p w14:paraId="01BBE7E6" w14:textId="77777777" w:rsidR="00D4125A" w:rsidRPr="00EC5368" w:rsidRDefault="00D4125A" w:rsidP="00D4125A">
      <w:pPr>
        <w:widowControl w:val="0"/>
        <w:autoSpaceDE w:val="0"/>
        <w:autoSpaceDN w:val="0"/>
        <w:spacing w:line="276" w:lineRule="auto"/>
        <w:jc w:val="both"/>
        <w:rPr>
          <w:rFonts w:ascii="Verdana" w:eastAsia="Calibri" w:hAnsi="Verdana" w:cs="Arial"/>
          <w:color w:val="000000"/>
          <w:lang w:val="es-ES_tradnl" w:eastAsia="es-ES" w:bidi="es-ES"/>
        </w:rPr>
      </w:pPr>
      <w:r w:rsidRPr="00C75248">
        <w:rPr>
          <w:rFonts w:ascii="Verdana" w:eastAsia="Calibri" w:hAnsi="Verdana" w:cs="Times New Roman"/>
          <w:color w:val="000000" w:themeColor="text1"/>
          <w:lang w:val="es-ES" w:eastAsia="es-MX"/>
        </w:rPr>
        <w:t>II).  E</w:t>
      </w:r>
      <w:r>
        <w:rPr>
          <w:rFonts w:ascii="Verdana" w:eastAsia="Calibri" w:hAnsi="Verdana" w:cs="Times New Roman"/>
          <w:color w:val="000000" w:themeColor="text1"/>
          <w:lang w:val="es-ES" w:eastAsia="es-MX"/>
        </w:rPr>
        <w:t xml:space="preserve">s </w:t>
      </w:r>
      <w:r w:rsidRPr="00C75248">
        <w:rPr>
          <w:rFonts w:ascii="Verdana" w:eastAsia="Calibri" w:hAnsi="Verdana" w:cs="Times New Roman"/>
          <w:color w:val="000000" w:themeColor="text1"/>
          <w:lang w:val="es-ES" w:eastAsia="es-MX"/>
        </w:rPr>
        <w:t xml:space="preserve">pertinente </w:t>
      </w:r>
      <w:r>
        <w:rPr>
          <w:rFonts w:ascii="Verdana" w:eastAsia="Calibri" w:hAnsi="Verdana" w:cs="Times New Roman"/>
          <w:color w:val="000000" w:themeColor="text1"/>
          <w:lang w:val="es-ES" w:eastAsia="es-MX"/>
        </w:rPr>
        <w:t>precisar</w:t>
      </w:r>
      <w:r>
        <w:rPr>
          <w:rFonts w:ascii="Verdana" w:hAnsi="Verdana" w:cstheme="minorHAnsi"/>
        </w:rPr>
        <w:t xml:space="preserve"> que la</w:t>
      </w:r>
      <w:r w:rsidRPr="00EC5368">
        <w:rPr>
          <w:rFonts w:ascii="Verdana" w:eastAsia="Calibri" w:hAnsi="Verdana" w:cs="Arial"/>
          <w:color w:val="000000"/>
          <w:lang w:val="es-ES_tradnl" w:eastAsia="es-ES" w:bidi="es-ES"/>
        </w:rPr>
        <w:t xml:space="preserve"> obra pública es una tipología de los contratos estatales, entendidos estos últimos como los actos jurídicos generadores de obligaciones que han sido celebrados por alguna de las entidades estatales enlistadas en el artículo 2 de la Ley 80 de 1993.  Lo anterior resulta de especial relevancia, en la medida en que dicho tipo contractual se diferencia de la </w:t>
      </w:r>
      <w:r w:rsidRPr="00EC5368">
        <w:rPr>
          <w:rFonts w:ascii="Verdana" w:eastAsia="Calibri" w:hAnsi="Verdana" w:cs="Arial"/>
          <w:color w:val="000000"/>
          <w:lang w:val="es-ES_tradnl" w:eastAsia="es-ES" w:bidi="es-ES"/>
        </w:rPr>
        <w:lastRenderedPageBreak/>
        <w:t xml:space="preserve">definición y regulación prevista en el derecho privado para el contrato de confección de obra material regulado en el Código Civil.   </w:t>
      </w:r>
    </w:p>
    <w:p w14:paraId="20BC12F6" w14:textId="77777777" w:rsidR="00D4125A" w:rsidRPr="00EC5368" w:rsidRDefault="00D4125A" w:rsidP="00D4125A">
      <w:pPr>
        <w:widowControl w:val="0"/>
        <w:autoSpaceDE w:val="0"/>
        <w:autoSpaceDN w:val="0"/>
        <w:spacing w:before="120" w:after="0" w:line="276" w:lineRule="auto"/>
        <w:ind w:firstLine="708"/>
        <w:jc w:val="both"/>
        <w:rPr>
          <w:rFonts w:ascii="Verdana" w:eastAsia="Calibri" w:hAnsi="Verdana" w:cs="Arial"/>
          <w:color w:val="000000"/>
          <w:lang w:val="es-ES" w:eastAsia="es-ES" w:bidi="es-ES"/>
        </w:rPr>
      </w:pPr>
      <w:r w:rsidRPr="418CF8A0">
        <w:rPr>
          <w:rFonts w:ascii="Verdana" w:eastAsia="Calibri" w:hAnsi="Verdana" w:cs="Arial"/>
          <w:color w:val="000000" w:themeColor="text1"/>
          <w:lang w:val="es-ES" w:eastAsia="es-ES" w:bidi="es-ES"/>
        </w:rPr>
        <w:t xml:space="preserve">En efecto, </w:t>
      </w:r>
      <w:bookmarkStart w:id="4" w:name="_Hlk81432298"/>
      <w:r w:rsidRPr="418CF8A0">
        <w:rPr>
          <w:rFonts w:ascii="Verdana" w:eastAsia="Calibri" w:hAnsi="Verdana" w:cs="Arial"/>
          <w:color w:val="000000" w:themeColor="text1"/>
          <w:lang w:val="es-ES" w:eastAsia="es-ES" w:bidi="es-ES"/>
        </w:rPr>
        <w:t xml:space="preserve">en el derecho privado brilla por la ausencia una definición del contrato de obra. El artículo 2053 del Código Civil lo tipifica como una de las clases de arrendamiento, y establece reglas para diferenciarlo de la compraventa, para lo cual dispone que “Si al artífice suministra la materia para la confección de una obra material, el contrato es de venta; pero no se perfecciona sino por la aprobación del que ordenó la obra”. Por el contrario, “Si la materia es suministrada por la persona que encargó la obra, el contrato es de arrendamiento”; pero “Si la materia principal es suministrada por el que ha ordenado la obra, poniendo el artífice lo demás, el contrato es de arrendamiento; en el caso contrario, de venta”. En todo caso, en la medida en que los artículos 2060 y 2061 del Código disponen reglas especiales para los contratos de construcción y de arquitectura, es claro que la realización de trabajos materiales recae tanto sobre bienes muebles como inmuebles. </w:t>
      </w:r>
      <w:bookmarkEnd w:id="4"/>
      <w:r w:rsidRPr="418CF8A0">
        <w:rPr>
          <w:rFonts w:ascii="Verdana" w:eastAsia="Calibri" w:hAnsi="Verdana" w:cs="Arial"/>
          <w:color w:val="000000" w:themeColor="text1"/>
          <w:lang w:val="es-ES" w:eastAsia="es-ES" w:bidi="es-ES"/>
        </w:rPr>
        <w:t>Así, la doctrina considera que:</w:t>
      </w:r>
    </w:p>
    <w:p w14:paraId="6A3027E1" w14:textId="77777777" w:rsidR="00D4125A" w:rsidRPr="00EC5368" w:rsidRDefault="00D4125A" w:rsidP="00D4125A">
      <w:pPr>
        <w:widowControl w:val="0"/>
        <w:autoSpaceDE w:val="0"/>
        <w:autoSpaceDN w:val="0"/>
        <w:spacing w:after="0" w:line="276" w:lineRule="auto"/>
        <w:ind w:firstLine="708"/>
        <w:jc w:val="both"/>
        <w:rPr>
          <w:rFonts w:ascii="Verdana" w:eastAsia="Calibri" w:hAnsi="Verdana" w:cs="Arial"/>
          <w:color w:val="000000"/>
          <w:lang w:val="es-ES_tradnl" w:eastAsia="es-ES" w:bidi="es-ES"/>
        </w:rPr>
      </w:pPr>
    </w:p>
    <w:p w14:paraId="5476E2A4" w14:textId="77777777" w:rsidR="00D4125A" w:rsidRPr="00EC5368" w:rsidRDefault="00D4125A" w:rsidP="00D4125A">
      <w:pPr>
        <w:widowControl w:val="0"/>
        <w:autoSpaceDE w:val="0"/>
        <w:autoSpaceDN w:val="0"/>
        <w:spacing w:after="120" w:line="240" w:lineRule="auto"/>
        <w:ind w:left="709" w:right="709"/>
        <w:jc w:val="both"/>
        <w:rPr>
          <w:rFonts w:ascii="Verdana" w:eastAsia="Calibri" w:hAnsi="Verdana" w:cs="Arial"/>
          <w:color w:val="000000"/>
          <w:sz w:val="21"/>
          <w:szCs w:val="21"/>
          <w:lang w:val="es-ES_tradnl" w:eastAsia="es-ES" w:bidi="es-ES"/>
        </w:rPr>
      </w:pPr>
      <w:r w:rsidRPr="00EC5368">
        <w:rPr>
          <w:rFonts w:ascii="Verdana" w:eastAsia="Calibri" w:hAnsi="Verdana" w:cs="Arial"/>
          <w:color w:val="000000"/>
          <w:sz w:val="21"/>
          <w:szCs w:val="21"/>
          <w:lang w:val="es-ES_tradnl" w:eastAsia="es-ES" w:bidi="es-ES"/>
        </w:rPr>
        <w:t>“Puede definirse el arrendamiento de obra o contrato de confección de obra material como aquél por el cual una persona llamada artífice, se obliga, mediante cierto precio, a ejecutar una obra material. Los elementos de este contrato, fuera del consentimiento indispensable en todo contrato, son la ejecución de la obra y el precio.</w:t>
      </w:r>
    </w:p>
    <w:p w14:paraId="6FE189BD" w14:textId="77777777" w:rsidR="00D4125A" w:rsidRPr="00EC5368" w:rsidRDefault="00D4125A" w:rsidP="00D4125A">
      <w:pPr>
        <w:widowControl w:val="0"/>
        <w:autoSpaceDE w:val="0"/>
        <w:autoSpaceDN w:val="0"/>
        <w:spacing w:before="120" w:after="0" w:line="240" w:lineRule="auto"/>
        <w:ind w:left="709" w:right="709"/>
        <w:jc w:val="both"/>
        <w:rPr>
          <w:rFonts w:ascii="Verdana" w:eastAsia="Calibri" w:hAnsi="Verdana" w:cs="Arial"/>
          <w:color w:val="000000"/>
          <w:sz w:val="21"/>
          <w:szCs w:val="21"/>
          <w:lang w:val="es-ES_tradnl" w:eastAsia="es-ES" w:bidi="es-ES"/>
        </w:rPr>
      </w:pPr>
      <w:r w:rsidRPr="00EC5368">
        <w:rPr>
          <w:rFonts w:ascii="Verdana" w:eastAsia="Calibri" w:hAnsi="Verdana" w:cs="Arial"/>
          <w:color w:val="000000"/>
          <w:sz w:val="21"/>
          <w:szCs w:val="21"/>
          <w:lang w:val="es-ES_tradnl" w:eastAsia="es-ES" w:bidi="es-ES"/>
        </w:rPr>
        <w:t>Así como en el arrendamiento de cosas, el arrendador es obligado a suministrar el goce de la cosa, en el arrendamiento de obras es obligado a la ejecución de una obra material; mediante este contrato, el arrendador va a poner su trabajo al servicio de otro para transformar una sustancia en una obra nueva, que puede ser mueble o inmueble; cabe dentro de este contrato los más variados trabajos: el del sastre, del carpintero, del arquitecto, del ingeniero, etc. Lo que caracteriza entonces este contrato es que se haga una obra nueva con una sustancia mediante la transformación de ella por el trabajo del hombre”</w:t>
      </w:r>
      <w:r w:rsidRPr="00EC5368">
        <w:rPr>
          <w:rFonts w:ascii="Verdana" w:eastAsia="Calibri" w:hAnsi="Verdana" w:cs="Arial"/>
          <w:color w:val="000000"/>
          <w:sz w:val="21"/>
          <w:szCs w:val="21"/>
          <w:vertAlign w:val="superscript"/>
          <w:lang w:val="es-ES_tradnl" w:eastAsia="es-ES" w:bidi="es-ES"/>
        </w:rPr>
        <w:footnoteReference w:id="15"/>
      </w:r>
      <w:r w:rsidRPr="00EC5368">
        <w:rPr>
          <w:rFonts w:ascii="Verdana" w:eastAsia="Calibri" w:hAnsi="Verdana" w:cs="Arial"/>
          <w:color w:val="000000"/>
          <w:sz w:val="21"/>
          <w:szCs w:val="21"/>
          <w:lang w:val="es-ES_tradnl" w:eastAsia="es-ES" w:bidi="es-ES"/>
        </w:rPr>
        <w:t xml:space="preserve">.  </w:t>
      </w:r>
    </w:p>
    <w:p w14:paraId="3A6E0189" w14:textId="77777777" w:rsidR="00D4125A" w:rsidRPr="00EC5368" w:rsidRDefault="00D4125A" w:rsidP="00D4125A">
      <w:pPr>
        <w:widowControl w:val="0"/>
        <w:autoSpaceDE w:val="0"/>
        <w:autoSpaceDN w:val="0"/>
        <w:spacing w:after="0" w:line="276" w:lineRule="auto"/>
        <w:ind w:left="709" w:right="709"/>
        <w:jc w:val="both"/>
        <w:rPr>
          <w:rFonts w:ascii="Verdana" w:eastAsia="Calibri" w:hAnsi="Verdana" w:cs="Arial"/>
          <w:color w:val="000000"/>
          <w:lang w:val="es-ES_tradnl" w:eastAsia="es-ES" w:bidi="es-ES"/>
        </w:rPr>
      </w:pPr>
      <w:r w:rsidRPr="00EC5368">
        <w:rPr>
          <w:rFonts w:ascii="Verdana" w:eastAsia="Calibri" w:hAnsi="Verdana" w:cs="Arial"/>
          <w:color w:val="000000"/>
          <w:sz w:val="21"/>
          <w:szCs w:val="21"/>
          <w:lang w:val="es-ES_tradnl" w:eastAsia="es-ES" w:bidi="es-ES"/>
        </w:rPr>
        <w:t xml:space="preserve">    </w:t>
      </w:r>
    </w:p>
    <w:p w14:paraId="293DB193" w14:textId="77777777" w:rsidR="00D4125A" w:rsidRDefault="00D4125A" w:rsidP="00D4125A">
      <w:pPr>
        <w:widowControl w:val="0"/>
        <w:autoSpaceDE w:val="0"/>
        <w:autoSpaceDN w:val="0"/>
        <w:spacing w:after="120" w:line="276" w:lineRule="auto"/>
        <w:ind w:firstLine="709"/>
        <w:jc w:val="both"/>
        <w:rPr>
          <w:rFonts w:ascii="Verdana" w:eastAsia="Calibri" w:hAnsi="Verdana" w:cs="Arial"/>
          <w:color w:val="000000"/>
          <w:lang w:val="es-ES_tradnl" w:eastAsia="es-ES" w:bidi="es-ES"/>
        </w:rPr>
      </w:pPr>
      <w:bookmarkStart w:id="5" w:name="_Hlk35420344"/>
      <w:r w:rsidRPr="00EC5368">
        <w:rPr>
          <w:rFonts w:ascii="Verdana" w:eastAsia="Calibri" w:hAnsi="Verdana" w:cs="Arial"/>
          <w:color w:val="000000"/>
          <w:lang w:val="es-ES_tradnl" w:eastAsia="es-ES" w:bidi="es-ES"/>
        </w:rPr>
        <w:t xml:space="preserve">En </w:t>
      </w:r>
      <w:r w:rsidRPr="00EC5368">
        <w:rPr>
          <w:rFonts w:ascii="Verdana" w:eastAsia="Calibri" w:hAnsi="Verdana" w:cs="Arial"/>
          <w:i/>
          <w:iCs/>
          <w:color w:val="000000"/>
          <w:lang w:val="es-ES_tradnl" w:eastAsia="es-ES" w:bidi="es-ES"/>
        </w:rPr>
        <w:t>sentido amplio</w:t>
      </w:r>
      <w:r w:rsidRPr="00EC5368">
        <w:rPr>
          <w:rFonts w:ascii="Verdana" w:eastAsia="Calibri" w:hAnsi="Verdana" w:cs="Arial"/>
          <w:color w:val="000000"/>
          <w:lang w:val="es-ES_tradnl" w:eastAsia="es-ES" w:bidi="es-ES"/>
        </w:rPr>
        <w:t xml:space="preserve">, dado que la “obra” es un bien que crea la actividad humana, el hecho de que sea “pública” significa que es todo trabajo material en cuya creación o realización interviene el Estado. No obstante, </w:t>
      </w:r>
      <w:bookmarkStart w:id="6" w:name="_Hlk81428563"/>
      <w:r w:rsidRPr="00EC5368">
        <w:rPr>
          <w:rFonts w:ascii="Verdana" w:eastAsia="Calibri" w:hAnsi="Verdana" w:cs="Arial"/>
          <w:color w:val="000000"/>
          <w:lang w:val="es-ES_tradnl" w:eastAsia="es-ES" w:bidi="es-ES"/>
        </w:rPr>
        <w:t xml:space="preserve">el numeral 1 del </w:t>
      </w:r>
      <w:r w:rsidRPr="00EC5368">
        <w:rPr>
          <w:rFonts w:ascii="Verdana" w:eastAsia="Calibri" w:hAnsi="Verdana" w:cs="Arial"/>
          <w:color w:val="000000"/>
          <w:lang w:val="es-ES_tradnl" w:eastAsia="es-ES" w:bidi="es-ES"/>
        </w:rPr>
        <w:lastRenderedPageBreak/>
        <w:t xml:space="preserve">artículo 32 de la Ley 80 de 1993 opta por un </w:t>
      </w:r>
      <w:r w:rsidRPr="00EC5368">
        <w:rPr>
          <w:rFonts w:ascii="Verdana" w:eastAsia="Calibri" w:hAnsi="Verdana" w:cs="Arial"/>
          <w:i/>
          <w:iCs/>
          <w:color w:val="000000"/>
          <w:lang w:val="es-ES_tradnl" w:eastAsia="es-ES" w:bidi="es-ES"/>
        </w:rPr>
        <w:t>sentido restringido</w:t>
      </w:r>
      <w:r w:rsidRPr="00EC5368">
        <w:rPr>
          <w:rFonts w:ascii="Verdana" w:eastAsia="Calibri" w:hAnsi="Verdana" w:cs="Arial"/>
          <w:color w:val="000000"/>
          <w:lang w:val="es-ES_tradnl" w:eastAsia="es-ES" w:bidi="es-ES"/>
        </w:rPr>
        <w:t xml:space="preserve">, al disponer que “Son contratos de obra los que celebren las entidades estatales para la </w:t>
      </w:r>
      <w:bookmarkStart w:id="7" w:name="_Hlk171668266"/>
      <w:r w:rsidRPr="00EC5368">
        <w:rPr>
          <w:rFonts w:ascii="Verdana" w:eastAsia="Calibri" w:hAnsi="Verdana" w:cs="Arial"/>
          <w:color w:val="000000"/>
          <w:lang w:val="es-ES_tradnl" w:eastAsia="es-ES" w:bidi="es-ES"/>
        </w:rPr>
        <w:t>construcción, mantenimiento, instalación</w:t>
      </w:r>
      <w:bookmarkEnd w:id="7"/>
      <w:r w:rsidRPr="00EC5368">
        <w:rPr>
          <w:rFonts w:ascii="Verdana" w:eastAsia="Calibri" w:hAnsi="Verdana" w:cs="Arial"/>
          <w:color w:val="000000"/>
          <w:lang w:val="es-ES_tradnl" w:eastAsia="es-ES" w:bidi="es-ES"/>
        </w:rPr>
        <w:t xml:space="preserve"> y, en general, para la realización de cualquier otro trabajo material sobre bienes inmuebles, </w:t>
      </w:r>
      <w:bookmarkStart w:id="8" w:name="_Hlk171667437"/>
      <w:r w:rsidRPr="00EC5368">
        <w:rPr>
          <w:rFonts w:ascii="Verdana" w:eastAsia="Calibri" w:hAnsi="Verdana" w:cs="Arial"/>
          <w:color w:val="000000"/>
          <w:lang w:val="es-ES_tradnl" w:eastAsia="es-ES" w:bidi="es-ES"/>
        </w:rPr>
        <w:t>cualquiera que sea la modalidad de ejecución y pago</w:t>
      </w:r>
      <w:bookmarkEnd w:id="8"/>
      <w:r w:rsidRPr="00EC5368">
        <w:rPr>
          <w:rFonts w:ascii="Verdana" w:eastAsia="Calibri" w:hAnsi="Verdana" w:cs="Arial"/>
          <w:color w:val="000000"/>
          <w:lang w:val="es-ES_tradnl" w:eastAsia="es-ES" w:bidi="es-ES"/>
        </w:rPr>
        <w:t>”, de manera que este tipo de contrato no aplica a los trabajos materiales realizados sobre bienes muebles</w:t>
      </w:r>
      <w:r w:rsidRPr="00EC5368">
        <w:rPr>
          <w:rStyle w:val="Refdenotaalpie"/>
          <w:rFonts w:ascii="Verdana" w:eastAsia="Calibri" w:hAnsi="Verdana" w:cs="Arial"/>
          <w:color w:val="000000"/>
          <w:lang w:val="es-ES_tradnl" w:eastAsia="es-ES" w:bidi="es-ES"/>
        </w:rPr>
        <w:footnoteReference w:id="16"/>
      </w:r>
      <w:r w:rsidRPr="00EC5368">
        <w:rPr>
          <w:rFonts w:ascii="Verdana" w:eastAsia="Calibri" w:hAnsi="Verdana" w:cs="Arial"/>
          <w:color w:val="000000"/>
          <w:lang w:val="es-ES_tradnl" w:eastAsia="es-ES" w:bidi="es-ES"/>
        </w:rPr>
        <w:t xml:space="preserve">. </w:t>
      </w:r>
    </w:p>
    <w:p w14:paraId="3ED20ED9" w14:textId="77777777" w:rsidR="00D4125A" w:rsidRPr="00EC5368" w:rsidRDefault="00D4125A" w:rsidP="00D4125A">
      <w:pPr>
        <w:widowControl w:val="0"/>
        <w:autoSpaceDE w:val="0"/>
        <w:autoSpaceDN w:val="0"/>
        <w:spacing w:after="0" w:line="276" w:lineRule="auto"/>
        <w:ind w:firstLine="708"/>
        <w:jc w:val="both"/>
        <w:rPr>
          <w:rFonts w:ascii="Verdana" w:eastAsia="Calibri" w:hAnsi="Verdana" w:cs="Arial"/>
          <w:color w:val="000000"/>
          <w:lang w:val="es-ES_tradnl" w:eastAsia="es-ES" w:bidi="es-ES"/>
        </w:rPr>
      </w:pPr>
      <w:r w:rsidRPr="00EC5368">
        <w:rPr>
          <w:rFonts w:ascii="Verdana" w:eastAsia="Calibri" w:hAnsi="Verdana" w:cs="Arial"/>
          <w:color w:val="000000"/>
          <w:lang w:val="es-ES_tradnl" w:eastAsia="es-ES" w:bidi="es-ES"/>
        </w:rPr>
        <w:t>Por lo anterior, el legislador adoptó el criterio de la tipificación del contrato de obra pública a actividades realizadas sobre bienes inmuebles, admitiendo, de forma muy amplia, la ejecución de todo trabajo que tenga por objeto crear, construir, conservar o modificar bienes inmuebles, lo cual incluye trabajos de construcción, instalación, conservación, mantenimiento, reparación y demolición de esos mismos</w:t>
      </w:r>
      <w:bookmarkEnd w:id="5"/>
      <w:bookmarkEnd w:id="6"/>
      <w:r w:rsidRPr="00EC5368">
        <w:rPr>
          <w:rFonts w:ascii="Verdana" w:eastAsia="Calibri" w:hAnsi="Verdana" w:cs="Arial"/>
          <w:color w:val="000000"/>
          <w:vertAlign w:val="superscript"/>
          <w:lang w:val="es-ES_tradnl" w:eastAsia="es-ES" w:bidi="es-ES"/>
        </w:rPr>
        <w:footnoteReference w:id="17"/>
      </w:r>
      <w:r w:rsidRPr="00EC5368">
        <w:rPr>
          <w:rFonts w:ascii="Verdana" w:eastAsia="Calibri" w:hAnsi="Verdana" w:cs="Arial"/>
          <w:color w:val="000000"/>
          <w:lang w:val="es-ES_tradnl" w:eastAsia="es-ES" w:bidi="es-ES"/>
        </w:rPr>
        <w:t>. De esta manera:</w:t>
      </w:r>
    </w:p>
    <w:p w14:paraId="1B906863" w14:textId="77777777" w:rsidR="00D4125A" w:rsidRPr="00EC5368" w:rsidRDefault="00D4125A" w:rsidP="00D4125A">
      <w:pPr>
        <w:widowControl w:val="0"/>
        <w:autoSpaceDE w:val="0"/>
        <w:autoSpaceDN w:val="0"/>
        <w:spacing w:after="0" w:line="276" w:lineRule="auto"/>
        <w:ind w:firstLine="709"/>
        <w:jc w:val="both"/>
        <w:rPr>
          <w:rFonts w:ascii="Verdana" w:eastAsia="Calibri" w:hAnsi="Verdana" w:cs="Arial"/>
          <w:color w:val="000000"/>
          <w:lang w:val="es-ES_tradnl" w:eastAsia="es-ES" w:bidi="es-ES"/>
        </w:rPr>
      </w:pPr>
    </w:p>
    <w:p w14:paraId="0E01515E" w14:textId="77777777" w:rsidR="00D4125A" w:rsidRPr="00EC5368" w:rsidRDefault="00D4125A" w:rsidP="00D4125A">
      <w:pPr>
        <w:widowControl w:val="0"/>
        <w:autoSpaceDE w:val="0"/>
        <w:autoSpaceDN w:val="0"/>
        <w:spacing w:line="240" w:lineRule="auto"/>
        <w:ind w:left="709" w:right="709"/>
        <w:jc w:val="both"/>
        <w:rPr>
          <w:rFonts w:ascii="Verdana" w:eastAsia="Calibri" w:hAnsi="Verdana" w:cs="Arial"/>
          <w:color w:val="000000"/>
          <w:sz w:val="21"/>
          <w:szCs w:val="21"/>
          <w:lang w:val="es-ES_tradnl" w:eastAsia="es-ES" w:bidi="es-ES"/>
        </w:rPr>
      </w:pPr>
      <w:r w:rsidRPr="00EC5368">
        <w:rPr>
          <w:rFonts w:ascii="Verdana" w:eastAsia="Calibri" w:hAnsi="Verdana" w:cs="Arial"/>
          <w:color w:val="000000"/>
          <w:sz w:val="21"/>
          <w:szCs w:val="21"/>
          <w:lang w:val="es-ES_tradnl" w:eastAsia="es-ES" w:bidi="es-ES"/>
        </w:rPr>
        <w:t xml:space="preserve">“[…] el legislador limitó la naturaleza de los contratos de obra a las actividades de trabajos materiales exclusivamente sobre bienes inmuebles, independientemente de su modalidad de ejecución y pago. De esta forma, acogió la posición de una parte de la doctrina y del derecho comparado, que vinculan la tipificación del contrato de obra a aquellas actividades realizadas sobre bienes inmuebles. </w:t>
      </w:r>
    </w:p>
    <w:p w14:paraId="639B4DDA" w14:textId="77777777" w:rsidR="00D4125A" w:rsidRPr="00EC5368" w:rsidRDefault="00D4125A" w:rsidP="00D4125A">
      <w:pPr>
        <w:widowControl w:val="0"/>
        <w:autoSpaceDE w:val="0"/>
        <w:autoSpaceDN w:val="0"/>
        <w:spacing w:before="120" w:after="0" w:line="240" w:lineRule="auto"/>
        <w:ind w:left="709" w:right="709"/>
        <w:jc w:val="both"/>
        <w:rPr>
          <w:rFonts w:ascii="Verdana" w:eastAsia="Calibri" w:hAnsi="Verdana" w:cs="Arial"/>
          <w:color w:val="000000"/>
          <w:sz w:val="21"/>
          <w:szCs w:val="21"/>
          <w:lang w:val="es-ES_tradnl" w:eastAsia="es-ES" w:bidi="es-ES"/>
        </w:rPr>
      </w:pPr>
      <w:r w:rsidRPr="00EC5368">
        <w:rPr>
          <w:rFonts w:ascii="Verdana" w:eastAsia="Calibri" w:hAnsi="Verdana" w:cs="Arial"/>
          <w:color w:val="000000"/>
          <w:sz w:val="21"/>
          <w:szCs w:val="21"/>
          <w:lang w:val="es-ES_tradnl" w:eastAsia="es-ES" w:bidi="es-ES"/>
        </w:rPr>
        <w:t>La ejecución de obras sobre otro tipo de bienes, no estarán regulados por el contrato estatal de obra y podrán corresponder a una prestación de servicios general, o a cualquier otra modalidad típica o atípica, nominada o innominada que pueda celebrarse entre la entidad estatal y un contratista, en los términos de la autonomía de la voluntad de las partes, de acuerdo con lo previsto en los artículos 32 y 40 de la ley 80 de 1993”</w:t>
      </w:r>
      <w:r w:rsidRPr="00EC5368">
        <w:rPr>
          <w:rFonts w:ascii="Verdana" w:eastAsia="Calibri" w:hAnsi="Verdana" w:cs="Arial"/>
          <w:color w:val="000000"/>
          <w:sz w:val="21"/>
          <w:szCs w:val="21"/>
          <w:vertAlign w:val="superscript"/>
          <w:lang w:val="es-ES_tradnl" w:eastAsia="es-ES" w:bidi="es-ES"/>
        </w:rPr>
        <w:footnoteReference w:id="18"/>
      </w:r>
      <w:r w:rsidRPr="00EC5368">
        <w:rPr>
          <w:rFonts w:ascii="Verdana" w:eastAsia="Calibri" w:hAnsi="Verdana" w:cs="Arial"/>
          <w:color w:val="000000"/>
          <w:sz w:val="21"/>
          <w:szCs w:val="21"/>
          <w:lang w:val="es-ES_tradnl" w:eastAsia="es-ES" w:bidi="es-ES"/>
        </w:rPr>
        <w:t>.</w:t>
      </w:r>
    </w:p>
    <w:p w14:paraId="580681B4" w14:textId="77777777" w:rsidR="00D4125A" w:rsidRPr="00EC5368" w:rsidRDefault="00D4125A" w:rsidP="00D4125A">
      <w:pPr>
        <w:widowControl w:val="0"/>
        <w:autoSpaceDE w:val="0"/>
        <w:autoSpaceDN w:val="0"/>
        <w:spacing w:after="0" w:line="276" w:lineRule="auto"/>
        <w:ind w:left="709" w:right="709"/>
        <w:jc w:val="both"/>
        <w:rPr>
          <w:rFonts w:ascii="Verdana" w:eastAsia="Calibri" w:hAnsi="Verdana" w:cs="Arial"/>
          <w:color w:val="000000"/>
          <w:lang w:val="es-ES_tradnl" w:eastAsia="es-ES" w:bidi="es-ES"/>
        </w:rPr>
      </w:pPr>
    </w:p>
    <w:p w14:paraId="0CAACA9C" w14:textId="77777777" w:rsidR="00D4125A" w:rsidRDefault="00D4125A" w:rsidP="00D4125A">
      <w:pPr>
        <w:widowControl w:val="0"/>
        <w:autoSpaceDE w:val="0"/>
        <w:autoSpaceDN w:val="0"/>
        <w:spacing w:after="120" w:line="276" w:lineRule="auto"/>
        <w:ind w:firstLine="709"/>
        <w:jc w:val="both"/>
        <w:rPr>
          <w:rFonts w:ascii="Verdana" w:eastAsia="Calibri" w:hAnsi="Verdana" w:cs="Arial"/>
          <w:color w:val="000000"/>
          <w:lang w:val="es-ES_tradnl" w:eastAsia="es-ES" w:bidi="es-ES"/>
        </w:rPr>
      </w:pPr>
      <w:r w:rsidRPr="00EC5368">
        <w:rPr>
          <w:rFonts w:ascii="Verdana" w:eastAsia="Calibri" w:hAnsi="Verdana" w:cs="Arial"/>
          <w:color w:val="000000"/>
          <w:lang w:val="es-ES_tradnl" w:eastAsia="es-ES" w:bidi="es-ES"/>
        </w:rPr>
        <w:t xml:space="preserve">En la disposición citada, el contrato de obra pública no se limita a la construcción de inmuebles, pues la definición se extiende a las actividades de mantenimiento e instalación, lo cual supone un bien preexistente. Para la Real Academia Española “construir” significa fabricar, erigir, edificar y hacer de nueva </w:t>
      </w:r>
      <w:r w:rsidRPr="00EC5368">
        <w:rPr>
          <w:rFonts w:ascii="Verdana" w:eastAsia="Calibri" w:hAnsi="Verdana" w:cs="Arial"/>
          <w:color w:val="000000"/>
          <w:lang w:val="es-ES_tradnl" w:eastAsia="es-ES" w:bidi="es-ES"/>
        </w:rPr>
        <w:lastRenderedPageBreak/>
        <w:t>planta una cosa; en tanto que “mantener” significa conservar una cosa en su ser, darle vigor y permanencia; y, finalmente, “instalar” es poner o colocar algo en su lugar debido. Igualmente, el concepto se extiende a cualquier trabajo material realizado sobre bienes inmuebles, tales como la reforma y la demolición.</w:t>
      </w:r>
    </w:p>
    <w:p w14:paraId="0F2B6B96" w14:textId="77777777" w:rsidR="00D4125A" w:rsidRPr="00B54C0B" w:rsidRDefault="00D4125A" w:rsidP="00D4125A">
      <w:pPr>
        <w:widowControl w:val="0"/>
        <w:autoSpaceDE w:val="0"/>
        <w:autoSpaceDN w:val="0"/>
        <w:spacing w:after="0" w:line="276" w:lineRule="auto"/>
        <w:ind w:firstLine="708"/>
        <w:jc w:val="both"/>
        <w:rPr>
          <w:rFonts w:ascii="Verdana" w:eastAsia="Calibri" w:hAnsi="Verdana" w:cs="Arial"/>
          <w:color w:val="000000"/>
          <w:lang w:val="es-ES" w:eastAsia="es-ES" w:bidi="es-ES"/>
        </w:rPr>
      </w:pPr>
      <w:r w:rsidRPr="418CF8A0">
        <w:rPr>
          <w:rFonts w:ascii="Verdana" w:eastAsia="Calibri" w:hAnsi="Verdana" w:cs="Arial"/>
          <w:color w:val="000000" w:themeColor="text1"/>
          <w:lang w:val="es-ES" w:eastAsia="es-ES" w:bidi="es-ES"/>
        </w:rPr>
        <w:t xml:space="preserve">En consecuencia, como la obra pública existe con independencia de la modalidad de ejecución o de pago, sea que el objeto se ejecute a través de administración delegada o por administración de recursos, ambas categorías pertenecen a la tipología contractual del numeral 1 del artículo 32 de la Ley 80 de 1993. Es decir, al margen de la nominación asignada por las partes, cualquier negocio jurídico que implique un trabajo material sobre bienes inmuebles a favor de una entidad pública, tiene la naturaleza jurídica de una obra pública. Como este contrato tiene carácter bilateral y oneroso, en los términos del inciso primero del artículo 41 del EGCAP, las obligaciones básicas dependen del acuerdo sobre el inmueble objeto de construcción, mantenimiento, instalación, reforma o demolición, por un lado, y la remuneración del contratista de acuerdo con la forma de ejecución, por el otro. </w:t>
      </w:r>
    </w:p>
    <w:p w14:paraId="0FCB13B7" w14:textId="77777777" w:rsidR="00D4125A" w:rsidRDefault="00D4125A" w:rsidP="00D4125A">
      <w:pPr>
        <w:spacing w:after="120" w:line="276" w:lineRule="auto"/>
        <w:jc w:val="both"/>
        <w:rPr>
          <w:rFonts w:ascii="Verdana" w:eastAsia="Calibri" w:hAnsi="Verdana" w:cs="Times New Roman"/>
          <w:color w:val="000000" w:themeColor="text1"/>
          <w:lang w:val="es-ES" w:eastAsia="es-MX"/>
        </w:rPr>
      </w:pPr>
    </w:p>
    <w:p w14:paraId="7CC00C1F" w14:textId="77777777" w:rsidR="00D4125A" w:rsidRPr="0034022B" w:rsidRDefault="00D4125A" w:rsidP="00D4125A">
      <w:pPr>
        <w:spacing w:after="120" w:line="276" w:lineRule="auto"/>
        <w:jc w:val="both"/>
        <w:rPr>
          <w:rFonts w:ascii="Verdana" w:eastAsia="Calibri" w:hAnsi="Verdana" w:cs="Times New Roman"/>
          <w:color w:val="000000" w:themeColor="text1"/>
          <w:lang w:val="es-ES" w:eastAsia="es-MX"/>
        </w:rPr>
      </w:pPr>
      <w:r>
        <w:rPr>
          <w:rFonts w:ascii="Verdana" w:eastAsia="Calibri" w:hAnsi="Verdana" w:cs="Times New Roman"/>
          <w:color w:val="000000" w:themeColor="text1"/>
          <w:lang w:val="es-ES" w:eastAsia="es-MX"/>
        </w:rPr>
        <w:t xml:space="preserve">III). </w:t>
      </w:r>
      <w:r w:rsidRPr="00070FDD">
        <w:rPr>
          <w:rFonts w:ascii="Verdana" w:eastAsia="Calibri" w:hAnsi="Verdana" w:cs="Times New Roman"/>
          <w:color w:val="000000" w:themeColor="text1"/>
          <w:lang w:val="es-ES" w:eastAsia="es-MX"/>
        </w:rPr>
        <w:t>Teniendo en</w:t>
      </w:r>
      <w:r>
        <w:rPr>
          <w:rFonts w:ascii="Verdana" w:eastAsia="Calibri" w:hAnsi="Verdana" w:cs="Times New Roman"/>
          <w:color w:val="000000" w:themeColor="text1"/>
          <w:lang w:val="es-ES" w:eastAsia="es-MX"/>
        </w:rPr>
        <w:t xml:space="preserve"> consideración lo anterior</w:t>
      </w:r>
      <w:r w:rsidRPr="00070FDD">
        <w:rPr>
          <w:rFonts w:ascii="Verdana" w:eastAsia="Calibri" w:hAnsi="Verdana" w:cs="Times New Roman"/>
          <w:color w:val="000000" w:themeColor="text1"/>
          <w:lang w:val="es-ES" w:eastAsia="es-MX"/>
        </w:rPr>
        <w:t>, resulta pertinente precisar que los artículos</w:t>
      </w:r>
      <w:r>
        <w:rPr>
          <w:rFonts w:ascii="Verdana" w:eastAsia="Calibri" w:hAnsi="Verdana" w:cs="Times New Roman"/>
          <w:color w:val="000000" w:themeColor="text1"/>
          <w:lang w:val="es-ES" w:eastAsia="es-MX"/>
        </w:rPr>
        <w:t xml:space="preserve"> 17, 18 y 19 de la Resolución 539 de </w:t>
      </w:r>
      <w:proofErr w:type="gramStart"/>
      <w:r>
        <w:rPr>
          <w:rFonts w:ascii="Verdana" w:eastAsia="Calibri" w:hAnsi="Verdana" w:cs="Times New Roman"/>
          <w:color w:val="000000" w:themeColor="text1"/>
          <w:lang w:val="es-ES" w:eastAsia="es-MX"/>
        </w:rPr>
        <w:t>2025</w:t>
      </w:r>
      <w:r w:rsidRPr="00542DBB">
        <w:rPr>
          <w:rFonts w:ascii="Verdana" w:eastAsia="Calibri" w:hAnsi="Verdana" w:cs="Times New Roman"/>
          <w:color w:val="000000" w:themeColor="text1"/>
          <w:lang w:val="es-ES" w:eastAsia="es-MX"/>
        </w:rPr>
        <w:t>,  16</w:t>
      </w:r>
      <w:proofErr w:type="gramEnd"/>
      <w:r w:rsidRPr="00542DBB">
        <w:rPr>
          <w:rFonts w:ascii="Verdana" w:eastAsia="Calibri" w:hAnsi="Verdana" w:cs="Times New Roman"/>
          <w:color w:val="000000" w:themeColor="text1"/>
          <w:lang w:val="es-ES" w:eastAsia="es-MX"/>
        </w:rPr>
        <w:t>, 17 y 18 de la</w:t>
      </w:r>
      <w:r>
        <w:rPr>
          <w:rFonts w:ascii="Verdana" w:eastAsia="Calibri" w:hAnsi="Verdana" w:cs="Times New Roman"/>
          <w:color w:val="000000" w:themeColor="text1"/>
          <w:lang w:val="es-ES" w:eastAsia="es-MX"/>
        </w:rPr>
        <w:t>s</w:t>
      </w:r>
      <w:r w:rsidRPr="00542DBB">
        <w:rPr>
          <w:rFonts w:ascii="Verdana" w:eastAsia="Calibri" w:hAnsi="Verdana" w:cs="Times New Roman"/>
          <w:color w:val="000000" w:themeColor="text1"/>
          <w:lang w:val="es-ES" w:eastAsia="es-MX"/>
        </w:rPr>
        <w:t xml:space="preserve"> </w:t>
      </w:r>
      <w:r w:rsidRPr="008E45AD">
        <w:rPr>
          <w:rFonts w:ascii="Verdana" w:eastAsia="Calibri" w:hAnsi="Verdana" w:cs="Times New Roman"/>
          <w:color w:val="000000" w:themeColor="text1"/>
          <w:lang w:val="es-ES" w:eastAsia="es-MX"/>
        </w:rPr>
        <w:t>Resoluciones 540, 541, 952 y 953 de 2025</w:t>
      </w:r>
      <w:r>
        <w:rPr>
          <w:rFonts w:ascii="Verdana" w:eastAsia="Calibri" w:hAnsi="Verdana" w:cs="Times New Roman"/>
          <w:color w:val="000000" w:themeColor="text1"/>
          <w:lang w:val="es-ES" w:eastAsia="es-MX"/>
        </w:rPr>
        <w:t>,</w:t>
      </w:r>
      <w:r w:rsidRPr="00070FDD">
        <w:rPr>
          <w:rFonts w:ascii="Verdana" w:eastAsia="Calibri" w:hAnsi="Verdana" w:cs="Times New Roman"/>
          <w:color w:val="000000" w:themeColor="text1"/>
          <w:lang w:val="es-ES" w:eastAsia="es-MX"/>
        </w:rPr>
        <w:t xml:space="preserve"> adoptan los Documentos Tipo complementarios para los procesos de contratación de infraestructura social correspondientes al Sector Institucional</w:t>
      </w:r>
      <w:r w:rsidRPr="00070FDD">
        <w:rPr>
          <w:rFonts w:ascii="Verdana" w:eastAsia="Calibri" w:hAnsi="Verdana" w:cs="Times New Roman"/>
          <w:color w:val="000000" w:themeColor="text1"/>
          <w:kern w:val="2"/>
          <w:lang w:val="es-ES"/>
          <w14:ligatures w14:val="standardContextual"/>
        </w:rPr>
        <w:t xml:space="preserve">, estos documentos aplican a los procesos contractuales que correspondan a las actividades definidas en la Matriz 1 – Experiencia del Sector institucional. </w:t>
      </w:r>
    </w:p>
    <w:p w14:paraId="6E9E0DC0" w14:textId="77777777" w:rsidR="00D4125A" w:rsidRDefault="00D4125A" w:rsidP="00D4125A">
      <w:pPr>
        <w:spacing w:after="120" w:line="276" w:lineRule="auto"/>
        <w:ind w:firstLine="708"/>
        <w:jc w:val="both"/>
        <w:rPr>
          <w:rFonts w:ascii="Verdana" w:eastAsia="Calibri" w:hAnsi="Verdana" w:cs="Times New Roman"/>
          <w:color w:val="000000" w:themeColor="text1"/>
          <w:kern w:val="2"/>
          <w14:ligatures w14:val="standardContextual"/>
        </w:rPr>
      </w:pPr>
      <w:r w:rsidRPr="000E5873">
        <w:rPr>
          <w:rFonts w:ascii="Verdana" w:eastAsia="Calibri" w:hAnsi="Verdana" w:cs="Times New Roman"/>
          <w:color w:val="000000" w:themeColor="text1"/>
          <w:kern w:val="2"/>
          <w14:ligatures w14:val="standardContextual"/>
        </w:rPr>
        <w:t xml:space="preserve">En los Documentos Tipo complementarios del sector institucional, aplicables a las modalidades de licitación pública, selección abreviada de menor cuantía y mínima cuantía, se establece en la Matriz 1 – Experiencia del sector institucional (versión 1 del 21 de agosto de 2025), un conjunto de actividades que, atendiendo al objeto de la presente petición, resultan relevantes para su análisis. </w:t>
      </w:r>
      <w:r w:rsidRPr="006F2DA0">
        <w:rPr>
          <w:rFonts w:ascii="Verdana" w:eastAsia="Calibri" w:hAnsi="Verdana" w:cs="Times New Roman"/>
          <w:color w:val="000000" w:themeColor="text1"/>
          <w:kern w:val="2"/>
          <w14:ligatures w14:val="standardContextual"/>
        </w:rPr>
        <w:t xml:space="preserve">En particular, se encuentran las actividad 2.2. del capítulo 2. Obras en proyectos de infraestructura institucional de servicio público, referidas a </w:t>
      </w:r>
      <w:proofErr w:type="spellStart"/>
      <w:r w:rsidRPr="006F2DA0">
        <w:rPr>
          <w:rFonts w:ascii="Verdana" w:eastAsia="Calibri" w:hAnsi="Verdana" w:cs="Times New Roman"/>
          <w:color w:val="000000" w:themeColor="text1"/>
          <w:kern w:val="2"/>
          <w14:ligatures w14:val="standardContextual"/>
        </w:rPr>
        <w:t>oyectos</w:t>
      </w:r>
      <w:proofErr w:type="spellEnd"/>
      <w:r w:rsidRPr="006F2DA0">
        <w:rPr>
          <w:rFonts w:ascii="Verdana" w:eastAsia="Calibri" w:hAnsi="Verdana" w:cs="Times New Roman"/>
          <w:color w:val="000000" w:themeColor="text1"/>
          <w:kern w:val="2"/>
          <w14:ligatures w14:val="standardContextual"/>
        </w:rPr>
        <w:t xml:space="preserve"> de adecuación y/o conservación y/o intervención y/o instalación y/o mantenimiento y/o mejoramiento y/o modificación u optimización y/o rehabilitación y/o remodelación y/o reposición y/o reparación locativa y/o </w:t>
      </w:r>
      <w:r w:rsidRPr="006F2DA0">
        <w:rPr>
          <w:rFonts w:ascii="Verdana" w:eastAsia="Calibri" w:hAnsi="Verdana" w:cs="Times New Roman"/>
          <w:color w:val="000000" w:themeColor="text1"/>
          <w:kern w:val="2"/>
          <w14:ligatures w14:val="standardContextual"/>
        </w:rPr>
        <w:lastRenderedPageBreak/>
        <w:t>restauración y/o restitución y/o terminación de infraestructura de servicio público</w:t>
      </w:r>
      <w:r>
        <w:rPr>
          <w:rFonts w:ascii="Verdana" w:eastAsia="Calibri" w:hAnsi="Verdana" w:cs="Times New Roman"/>
          <w:color w:val="000000" w:themeColor="text1"/>
          <w:kern w:val="2"/>
          <w14:ligatures w14:val="standardContextual"/>
        </w:rPr>
        <w:t>.</w:t>
      </w:r>
    </w:p>
    <w:p w14:paraId="40826EC5" w14:textId="77777777" w:rsidR="00D4125A" w:rsidRPr="00FE66BB" w:rsidRDefault="00D4125A" w:rsidP="00D4125A">
      <w:pPr>
        <w:spacing w:after="120" w:line="276" w:lineRule="auto"/>
        <w:ind w:firstLine="708"/>
        <w:jc w:val="both"/>
        <w:rPr>
          <w:rFonts w:ascii="Verdana" w:eastAsia="Times New Roman" w:hAnsi="Verdana" w:cs="Aptos"/>
          <w:kern w:val="2"/>
          <w:lang w:eastAsia="es-MX"/>
          <w14:ligatures w14:val="standardContextual"/>
        </w:rPr>
      </w:pPr>
      <w:r w:rsidRPr="00FE66BB">
        <w:rPr>
          <w:rFonts w:ascii="Verdana" w:eastAsia="Times New Roman" w:hAnsi="Verdana" w:cs="Aptos"/>
          <w:kern w:val="2"/>
          <w:lang w:eastAsia="es-MX"/>
          <w14:ligatures w14:val="standardContextual"/>
        </w:rPr>
        <w:t>Para interpretar el alcance del tipo de infraestructura de servicio público, se debe tener en cuenta la nota general 1 de la Matriz 1– Experiencia del Sector Institucional, en las distintas modalidades de los documentos tipo adoptados por esta Agencia. En esta se indica que “(l)as definiciones contenidas en esta Matriz deben enmarcarse en la normativa vigente en la materia, así como en la NSR 10 o aquellas que los modifiquen, adicionen o sustituyan, así como a las definiciones contenidas en el "Anexo - Glosario del Sector Social””.</w:t>
      </w:r>
    </w:p>
    <w:p w14:paraId="66E04452" w14:textId="77777777" w:rsidR="00D4125A" w:rsidRPr="00FE66BB" w:rsidRDefault="00D4125A" w:rsidP="00D4125A">
      <w:pPr>
        <w:spacing w:after="120" w:line="276" w:lineRule="auto"/>
        <w:ind w:firstLine="708"/>
        <w:jc w:val="both"/>
        <w:rPr>
          <w:rFonts w:ascii="Verdana" w:eastAsia="Times New Roman" w:hAnsi="Verdana" w:cs="Aptos"/>
          <w:kern w:val="2"/>
          <w:lang w:eastAsia="es-MX"/>
          <w14:ligatures w14:val="standardContextual"/>
        </w:rPr>
      </w:pPr>
      <w:r w:rsidRPr="00FE66BB">
        <w:rPr>
          <w:rFonts w:ascii="Verdana" w:eastAsia="Times New Roman" w:hAnsi="Verdana" w:cs="Aptos"/>
          <w:kern w:val="2"/>
          <w:lang w:eastAsia="es-MX"/>
          <w14:ligatures w14:val="standardContextual"/>
        </w:rPr>
        <w:t>La nota general 1 contenida en la Matriz 1 – Experiencia de los Documentos Tipo indicados, es congruente con el numeral 1.10 del documento base que dispone que “[p]ara los fines de este Pliego de Condiciones, a menos que expresamente se estipule de otra manera, los términos deben entenderse de acuerdo con la definición contenida en el artículo 2.2.1.1.1.3.1 del Decreto 1082 de 2015, el glosario aplicable a la obra pública de infraestructura social y demás normas, decretos reglamentarios y legislación aplicable en la materia”.</w:t>
      </w:r>
    </w:p>
    <w:p w14:paraId="44A9E5F0" w14:textId="77777777" w:rsidR="00D4125A" w:rsidRPr="00FE66BB" w:rsidRDefault="00D4125A" w:rsidP="00D4125A">
      <w:pPr>
        <w:spacing w:after="120" w:line="276" w:lineRule="auto"/>
        <w:ind w:firstLine="708"/>
        <w:jc w:val="both"/>
        <w:rPr>
          <w:rFonts w:ascii="Verdana" w:eastAsia="Calibri" w:hAnsi="Verdana" w:cs="Arial"/>
          <w:color w:val="0D0D0D"/>
          <w:lang w:eastAsia="es-MX"/>
        </w:rPr>
      </w:pPr>
      <w:r w:rsidRPr="00FE66BB">
        <w:rPr>
          <w:rFonts w:ascii="Verdana" w:eastAsia="Calibri" w:hAnsi="Verdana" w:cs="Arial"/>
          <w:lang w:val="es-ES_tradnl" w:eastAsia="es-MX"/>
        </w:rPr>
        <w:t xml:space="preserve">Ahora bien, como se precisó las actividades señaladas recaen sobre </w:t>
      </w:r>
      <w:r w:rsidRPr="00FE66BB">
        <w:rPr>
          <w:rFonts w:ascii="Verdana" w:eastAsia="Times New Roman" w:hAnsi="Verdana" w:cs="Calibri"/>
          <w:lang w:eastAsia="es-MX"/>
        </w:rPr>
        <w:t xml:space="preserve">obras en proyectos de infraestructura institucional de servicio público. De esta forma, para determinar qué abarca este tipo de infraestructura, debe indicarse que, de conformidad con la norma </w:t>
      </w:r>
      <w:r w:rsidRPr="00FE66BB">
        <w:rPr>
          <w:rFonts w:ascii="Verdana" w:eastAsia="Calibri" w:hAnsi="Verdana" w:cs="Arial"/>
          <w:color w:val="0D0D0D"/>
          <w:lang w:eastAsia="es-MX"/>
        </w:rPr>
        <w:t>NSR-10 en el Subgrupo de Ocupación Institucional de Servicio Público (I-5) “se clasifican las edificaciones o espacios destinados a funciones administrativas y prestación de servicios públicos necesarios para el buen funcionamiento de las ciudades”</w:t>
      </w:r>
      <w:r w:rsidRPr="00FE66BB">
        <w:rPr>
          <w:rFonts w:ascii="Verdana" w:eastAsia="Calibri" w:hAnsi="Verdana" w:cs="Arial"/>
          <w:color w:val="0D0D0D"/>
          <w:vertAlign w:val="superscript"/>
          <w:lang w:eastAsia="es-MX"/>
        </w:rPr>
        <w:footnoteReference w:id="19"/>
      </w:r>
      <w:r w:rsidRPr="00FE66BB">
        <w:rPr>
          <w:rFonts w:ascii="Verdana" w:eastAsia="Calibri" w:hAnsi="Verdana" w:cs="Arial"/>
          <w:color w:val="0D0D0D"/>
          <w:lang w:eastAsia="es-MX"/>
        </w:rPr>
        <w:t>. Entre las edificaciones o espacios que pertenecen a este Subgrupo se encuentran las siguientes: “Centros de comunicación o administrativos o administrativos de servicios municipales, distritales o gubernamentales, juzgados y otros similares”</w:t>
      </w:r>
      <w:r w:rsidRPr="00FE66BB">
        <w:rPr>
          <w:rFonts w:ascii="Verdana" w:eastAsia="Calibri" w:hAnsi="Verdana" w:cs="Arial"/>
          <w:color w:val="0D0D0D"/>
          <w:vertAlign w:val="superscript"/>
          <w:lang w:eastAsia="es-MX"/>
        </w:rPr>
        <w:footnoteReference w:id="20"/>
      </w:r>
      <w:r w:rsidRPr="00FE66BB">
        <w:rPr>
          <w:rFonts w:ascii="Verdana" w:eastAsia="Calibri" w:hAnsi="Verdana" w:cs="Arial"/>
          <w:color w:val="0D0D0D"/>
          <w:lang w:eastAsia="es-MX"/>
        </w:rPr>
        <w:t>.</w:t>
      </w:r>
    </w:p>
    <w:p w14:paraId="44E71475" w14:textId="77777777" w:rsidR="00D4125A" w:rsidRPr="006F2DA0" w:rsidRDefault="00D4125A" w:rsidP="00D4125A">
      <w:pPr>
        <w:spacing w:after="120" w:line="276" w:lineRule="auto"/>
        <w:ind w:firstLine="708"/>
        <w:jc w:val="both"/>
        <w:rPr>
          <w:rFonts w:ascii="Verdana" w:eastAsia="Calibri" w:hAnsi="Verdana" w:cs="Times New Roman"/>
          <w:color w:val="000000" w:themeColor="text1"/>
          <w:kern w:val="2"/>
          <w14:ligatures w14:val="standardContextual"/>
        </w:rPr>
      </w:pPr>
      <w:r w:rsidRPr="00FE66BB">
        <w:rPr>
          <w:rFonts w:ascii="Verdana" w:eastAsia="Calibri" w:hAnsi="Verdana" w:cs="Arial"/>
          <w:color w:val="0D0D0D"/>
          <w:lang w:eastAsia="es-MX"/>
        </w:rPr>
        <w:t xml:space="preserve">En este sentido, el Subgrupo de Ocupación Institucional de Servicio Público corresponde a una categoría de clasificación establecida por la NSR-10 que agrupa a aquellas edificaciones o espacios destinados al ejercicio de funciones administrativas y a la prestación de servicios públicos esenciales para el adecuado funcionamiento de las ciudades. Este subgrupo comprende centros </w:t>
      </w:r>
      <w:r w:rsidRPr="00FE66BB">
        <w:rPr>
          <w:rFonts w:ascii="Verdana" w:eastAsia="Calibri" w:hAnsi="Verdana" w:cs="Arial"/>
          <w:color w:val="0D0D0D"/>
          <w:lang w:eastAsia="es-MX"/>
        </w:rPr>
        <w:lastRenderedPageBreak/>
        <w:t>de comunicación, administrativos y sedes de servicios en distintos niveles, juzgados y otros similares. La expresión “Otros similares” evidencia que la enumeración no es taxativa, sino enunciativa, por lo incluye todas aquellas edificaciones que por su naturaleza y finalidad, están orientadas a la prestación de servicios públicos y al desarrollo de funciones institucionales del Estado</w:t>
      </w:r>
    </w:p>
    <w:p w14:paraId="7008B866" w14:textId="77777777" w:rsidR="00D4125A" w:rsidRPr="00DB2731" w:rsidRDefault="00D4125A" w:rsidP="00D4125A">
      <w:pPr>
        <w:spacing w:after="120" w:line="276" w:lineRule="auto"/>
        <w:jc w:val="both"/>
        <w:rPr>
          <w:rFonts w:ascii="Verdana" w:hAnsi="Verdana" w:cstheme="minorHAnsi"/>
          <w:lang w:val="es-ES"/>
        </w:rPr>
      </w:pPr>
      <w:r>
        <w:rPr>
          <w:rFonts w:ascii="Verdana" w:hAnsi="Verdana" w:cstheme="minorHAnsi"/>
          <w:lang w:val="es-ES"/>
        </w:rPr>
        <w:t xml:space="preserve">IV). </w:t>
      </w:r>
      <w:r w:rsidRPr="00DB2731">
        <w:rPr>
          <w:rFonts w:ascii="Verdana" w:hAnsi="Verdana" w:cstheme="minorHAnsi"/>
          <w:lang w:val="es-ES"/>
        </w:rPr>
        <w:t>Ahora bien, una vez establecido que las actividades objeto de consulta pueden recaer sobre edificaciones pertenecientes al Subgrupo de Ocupación Institucional de Servicio Público (I-5) y, por ende, corresponder a proyectos de infraestructura institucional, resulta pertinente precisar las consecuencias jurídicas que ello implica en materia de aplicación de los Documentos Tipo.</w:t>
      </w:r>
    </w:p>
    <w:p w14:paraId="1997107A" w14:textId="77777777" w:rsidR="00D4125A" w:rsidRPr="00DB2731" w:rsidRDefault="00D4125A" w:rsidP="00D4125A">
      <w:pPr>
        <w:spacing w:after="120" w:line="276" w:lineRule="auto"/>
        <w:ind w:firstLine="709"/>
        <w:jc w:val="both"/>
        <w:rPr>
          <w:rFonts w:ascii="Verdana" w:hAnsi="Verdana" w:cstheme="minorHAnsi"/>
          <w:lang w:val="es-ES"/>
        </w:rPr>
      </w:pPr>
      <w:r w:rsidRPr="00DB2731">
        <w:rPr>
          <w:rFonts w:ascii="Verdana" w:hAnsi="Verdana" w:cstheme="minorHAnsi"/>
          <w:lang w:val="es-ES"/>
        </w:rPr>
        <w:t>En efecto, si del análisis del objeto contractual, de la modalidad de selección y de la Matriz de Experiencia se concluye que el proceso se encuentra comprendido dentro del ámbito de aplicación de los Documentos Tipo del sector de infraestructura social – sector institucional, la entidad estatal deberá incorporarlos respetando su carácter obligatorio y el principio de inalterabilidad, pudiendo modificar únicamente aquellos aspectos respecto de los cuales el propio documento autoriza su adaptación.</w:t>
      </w:r>
    </w:p>
    <w:p w14:paraId="535FCFB1" w14:textId="77777777" w:rsidR="00D4125A" w:rsidRPr="00DB2731" w:rsidRDefault="00D4125A" w:rsidP="00D4125A">
      <w:pPr>
        <w:spacing w:after="120" w:line="276" w:lineRule="auto"/>
        <w:ind w:firstLine="709"/>
        <w:jc w:val="both"/>
        <w:rPr>
          <w:rFonts w:ascii="Verdana" w:hAnsi="Verdana" w:cstheme="minorHAnsi"/>
          <w:lang w:val="es-ES"/>
        </w:rPr>
      </w:pPr>
      <w:r w:rsidRPr="00DB2731">
        <w:rPr>
          <w:rFonts w:ascii="Verdana" w:hAnsi="Verdana" w:cstheme="minorHAnsi"/>
          <w:lang w:val="es-ES"/>
        </w:rPr>
        <w:t>En este contexto, durante la etapa de planeación y como resultado del estudio del sector y del análisis de riesgos, la entidad deberá definir las condiciones necesarias para garantizar la adecuada ejecución del contrato, tales como las especificaciones técnicas, el alcance, la forma de pago y los demás aspectos propios del proceso de contratación. Estas definiciones deberán realizarse dentro de los márgenes de flexibilidad previstos en los Documentos Tipo y sin alterar aquellas disposiciones cuyo contenido es obligatorio.</w:t>
      </w:r>
    </w:p>
    <w:p w14:paraId="1DAF9C0F" w14:textId="77777777" w:rsidR="00D4125A" w:rsidRPr="00346274" w:rsidRDefault="00D4125A" w:rsidP="00D4125A">
      <w:pPr>
        <w:spacing w:after="0" w:line="276" w:lineRule="auto"/>
        <w:ind w:firstLine="708"/>
        <w:jc w:val="both"/>
        <w:rPr>
          <w:rFonts w:ascii="Verdana" w:eastAsia="Calibri" w:hAnsi="Verdana" w:cs="Arial"/>
          <w:kern w:val="2"/>
          <w:lang w:val="es-ES_tradnl"/>
          <w14:ligatures w14:val="standardContextual"/>
        </w:rPr>
      </w:pPr>
      <w:r w:rsidRPr="00346274">
        <w:rPr>
          <w:rFonts w:ascii="Verdana" w:eastAsia="Calibri" w:hAnsi="Verdana" w:cs="Arial"/>
          <w:lang w:eastAsia="es-MX"/>
        </w:rPr>
        <w:t xml:space="preserve">El numeral 4.1 del Documento </w:t>
      </w:r>
      <w:r w:rsidRPr="00346274">
        <w:rPr>
          <w:rFonts w:ascii="Verdana" w:eastAsia="Calibri" w:hAnsi="Verdana" w:cs="Arial"/>
          <w:kern w:val="2"/>
          <w:lang w:val="es-ES_tradnl"/>
          <w14:ligatures w14:val="standardContextual"/>
        </w:rPr>
        <w:t>base de los documentos tipo de licitación de obra pública de infraestructura social – versión 2 establece lo siguiente en relación con la oferta económica:</w:t>
      </w:r>
    </w:p>
    <w:p w14:paraId="7502AE5B" w14:textId="77777777" w:rsidR="00D4125A" w:rsidRPr="00D426B8" w:rsidRDefault="00D4125A" w:rsidP="00D4125A">
      <w:pPr>
        <w:spacing w:after="0" w:line="276" w:lineRule="auto"/>
        <w:jc w:val="both"/>
        <w:rPr>
          <w:rFonts w:ascii="Verdana" w:eastAsia="Calibri" w:hAnsi="Verdana" w:cs="Arial"/>
          <w:kern w:val="2"/>
          <w:sz w:val="24"/>
          <w:szCs w:val="24"/>
          <w:lang w:val="es-ES_tradnl"/>
          <w14:ligatures w14:val="standardContextual"/>
        </w:rPr>
      </w:pPr>
    </w:p>
    <w:p w14:paraId="02E7E122" w14:textId="77777777" w:rsidR="00D4125A" w:rsidRPr="00346274" w:rsidRDefault="00D4125A" w:rsidP="00D4125A">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346274">
        <w:rPr>
          <w:rFonts w:ascii="Verdana" w:eastAsia="Arial" w:hAnsi="Verdana" w:cs="Arial"/>
          <w:kern w:val="2"/>
          <w:sz w:val="21"/>
          <w:szCs w:val="21"/>
          <w:lang w:val="es-MX"/>
          <w14:ligatures w14:val="standardContextual"/>
        </w:rPr>
        <w:t>“[</w:t>
      </w:r>
      <w:r w:rsidRPr="00346274">
        <w:rPr>
          <w:rFonts w:ascii="Verdana" w:eastAsia="Arial" w:hAnsi="Verdana" w:cs="Arial"/>
          <w:kern w:val="2"/>
          <w:sz w:val="21"/>
          <w:szCs w:val="21"/>
          <w:highlight w:val="lightGray"/>
          <w:lang w:val="es-MX"/>
          <w14:ligatures w14:val="standardContextual"/>
        </w:rPr>
        <w:t>La Entidad debe indicar si la forma de pago es por precio global, llave en mano, precios unitarios, administración delegada, reembolso de gastos o la que determine.</w:t>
      </w:r>
      <w:r w:rsidRPr="00346274">
        <w:rPr>
          <w:rFonts w:ascii="Verdana" w:eastAsia="Aptos" w:hAnsi="Verdana" w:cs="Times New Roman"/>
          <w:kern w:val="2"/>
          <w:sz w:val="21"/>
          <w:szCs w:val="21"/>
          <w:highlight w:val="lightGray"/>
          <w:lang w:val="es-MX"/>
          <w14:ligatures w14:val="standardContextual"/>
        </w:rPr>
        <w:t xml:space="preserve"> El Anexo 1 – Anexo Técnico y el Formulario 1– Formulario de </w:t>
      </w:r>
      <w:r w:rsidRPr="00346274">
        <w:rPr>
          <w:rFonts w:ascii="Verdana" w:eastAsia="Aptos" w:hAnsi="Verdana" w:cs="Times New Roman"/>
          <w:kern w:val="2"/>
          <w:sz w:val="20"/>
          <w:szCs w:val="20"/>
          <w:highlight w:val="lightGray"/>
          <w14:ligatures w14:val="standardContextual"/>
        </w:rPr>
        <w:t>Presupuesto Oficial debe ser concordante con la modalidad de pago seleccionada]</w:t>
      </w:r>
    </w:p>
    <w:p w14:paraId="14B4836F" w14:textId="77777777" w:rsidR="00D4125A" w:rsidRPr="00346274" w:rsidRDefault="00D4125A" w:rsidP="00D4125A">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346274">
        <w:rPr>
          <w:rFonts w:ascii="Verdana" w:eastAsia="Aptos" w:hAnsi="Verdana" w:cs="Times New Roman"/>
          <w:kern w:val="2"/>
          <w:sz w:val="20"/>
          <w:szCs w:val="20"/>
          <w:highlight w:val="lightGray"/>
          <w14:ligatures w14:val="standardContextual"/>
        </w:rPr>
        <w:t xml:space="preserve">[Cuando el presupuesto del Proceso de Contratación es estructurado por Precios Unitarios, la </w:t>
      </w:r>
      <w:r w:rsidRPr="00346274" w:rsidDel="1355DA3D">
        <w:rPr>
          <w:rFonts w:ascii="Verdana" w:eastAsia="Aptos" w:hAnsi="Verdana" w:cs="Times New Roman"/>
          <w:kern w:val="2"/>
          <w:sz w:val="20"/>
          <w:szCs w:val="20"/>
          <w:highlight w:val="lightGray"/>
          <w14:ligatures w14:val="standardContextual"/>
        </w:rPr>
        <w:t>E</w:t>
      </w:r>
      <w:r w:rsidRPr="00346274">
        <w:rPr>
          <w:rFonts w:ascii="Verdana" w:eastAsia="Aptos" w:hAnsi="Verdana" w:cs="Times New Roman"/>
          <w:kern w:val="2"/>
          <w:sz w:val="20"/>
          <w:szCs w:val="20"/>
          <w:highlight w:val="lightGray"/>
          <w14:ligatures w14:val="standardContextual"/>
        </w:rPr>
        <w:t>ntidad debe aplicar las notas señaladas en el Formulario 1 – Formulario de Presupuesto oficial.]</w:t>
      </w:r>
    </w:p>
    <w:p w14:paraId="6C230800" w14:textId="77777777" w:rsidR="00D4125A" w:rsidRPr="00346274" w:rsidRDefault="00D4125A" w:rsidP="00D4125A">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346274">
        <w:rPr>
          <w:rFonts w:ascii="Verdana" w:eastAsia="Aptos" w:hAnsi="Verdana" w:cs="Times New Roman"/>
          <w:kern w:val="2"/>
          <w:sz w:val="20"/>
          <w:szCs w:val="20"/>
          <w14:ligatures w14:val="standardContextual"/>
        </w:rPr>
        <w:lastRenderedPageBreak/>
        <w:t>Para calificar este factor se tendrá en cuenta el valor total indicado en la propuesta económica o el obtenido de la corrección aritmética. La propuesta económica deberá ser allegada en el Sobre No. 2.</w:t>
      </w:r>
    </w:p>
    <w:p w14:paraId="16F6CE34" w14:textId="77777777" w:rsidR="00D4125A" w:rsidRPr="00346274" w:rsidRDefault="00D4125A" w:rsidP="00D4125A">
      <w:pPr>
        <w:shd w:val="clear" w:color="auto" w:fill="FFFFFF"/>
        <w:spacing w:after="120" w:line="240" w:lineRule="auto"/>
        <w:ind w:left="709" w:right="709"/>
        <w:jc w:val="both"/>
        <w:rPr>
          <w:rFonts w:ascii="Verdana" w:eastAsia="Aptos" w:hAnsi="Verdana" w:cs="Times New Roman"/>
          <w:kern w:val="2"/>
          <w:sz w:val="20"/>
          <w:szCs w:val="20"/>
          <w:highlight w:val="lightGray"/>
          <w14:ligatures w14:val="standardContextual"/>
        </w:rPr>
      </w:pPr>
      <w:r w:rsidRPr="00346274">
        <w:rPr>
          <w:rFonts w:ascii="Verdana" w:eastAsia="Aptos" w:hAnsi="Verdana" w:cs="Times New Roman"/>
          <w:kern w:val="2"/>
          <w:sz w:val="20"/>
          <w:szCs w:val="20"/>
          <w:highlight w:val="lightGray"/>
          <w14:ligatures w14:val="standardContextual"/>
        </w:rPr>
        <w:t xml:space="preserve">[La </w:t>
      </w:r>
      <w:r w:rsidRPr="00346274" w:rsidDel="57F4FB36">
        <w:rPr>
          <w:rFonts w:ascii="Verdana" w:eastAsia="Aptos" w:hAnsi="Verdana" w:cs="Times New Roman"/>
          <w:kern w:val="2"/>
          <w:sz w:val="20"/>
          <w:szCs w:val="20"/>
          <w:highlight w:val="lightGray"/>
          <w14:ligatures w14:val="standardContextual"/>
        </w:rPr>
        <w:t>E</w:t>
      </w:r>
      <w:r w:rsidRPr="00346274">
        <w:rPr>
          <w:rFonts w:ascii="Verdana" w:eastAsia="Aptos" w:hAnsi="Verdana" w:cs="Times New Roman"/>
          <w:kern w:val="2"/>
          <w:sz w:val="20"/>
          <w:szCs w:val="20"/>
          <w:highlight w:val="lightGray"/>
          <w14:ligatures w14:val="standardContextual"/>
        </w:rPr>
        <w:t xml:space="preserve">ntidad debe configurar el </w:t>
      </w:r>
      <w:r w:rsidRPr="00346274" w:rsidDel="57F4FB36">
        <w:rPr>
          <w:rFonts w:ascii="Verdana" w:eastAsia="Aptos" w:hAnsi="Verdana" w:cs="Times New Roman"/>
          <w:kern w:val="2"/>
          <w:sz w:val="20"/>
          <w:szCs w:val="20"/>
          <w:highlight w:val="lightGray"/>
          <w14:ligatures w14:val="standardContextual"/>
        </w:rPr>
        <w:t>F</w:t>
      </w:r>
      <w:r w:rsidRPr="00346274">
        <w:rPr>
          <w:rFonts w:ascii="Verdana" w:eastAsia="Aptos" w:hAnsi="Verdana" w:cs="Times New Roman"/>
          <w:kern w:val="2"/>
          <w:sz w:val="20"/>
          <w:szCs w:val="20"/>
          <w:highlight w:val="lightGray"/>
          <w14:ligatures w14:val="standardContextual"/>
        </w:rPr>
        <w:t xml:space="preserve">ormato de oferta económica que se encuentra en el Formulario 1 – Formulario de Presupuesto Oficial, para que sea diligenciado por los </w:t>
      </w:r>
      <w:r w:rsidRPr="00346274" w:rsidDel="57F4FB36">
        <w:rPr>
          <w:rFonts w:ascii="Verdana" w:eastAsia="Aptos" w:hAnsi="Verdana" w:cs="Times New Roman"/>
          <w:kern w:val="2"/>
          <w:sz w:val="20"/>
          <w:szCs w:val="20"/>
          <w:highlight w:val="lightGray"/>
          <w14:ligatures w14:val="standardContextual"/>
        </w:rPr>
        <w:t>P</w:t>
      </w:r>
      <w:r w:rsidRPr="00346274">
        <w:rPr>
          <w:rFonts w:ascii="Verdana" w:eastAsia="Aptos" w:hAnsi="Verdana" w:cs="Times New Roman"/>
          <w:kern w:val="2"/>
          <w:sz w:val="20"/>
          <w:szCs w:val="20"/>
          <w:highlight w:val="lightGray"/>
          <w14:ligatures w14:val="standardContextual"/>
        </w:rPr>
        <w:t xml:space="preserve">roponentes. </w:t>
      </w:r>
    </w:p>
    <w:p w14:paraId="15517171" w14:textId="77777777" w:rsidR="00D4125A" w:rsidRPr="00346274" w:rsidRDefault="00D4125A" w:rsidP="00D4125A">
      <w:pPr>
        <w:shd w:val="clear" w:color="auto" w:fill="FFFFFF"/>
        <w:spacing w:after="120" w:line="240" w:lineRule="auto"/>
        <w:ind w:left="709" w:right="709"/>
        <w:jc w:val="both"/>
        <w:rPr>
          <w:rFonts w:ascii="Verdana" w:eastAsia="Aptos" w:hAnsi="Verdana" w:cs="Times New Roman"/>
          <w:kern w:val="2"/>
          <w:sz w:val="21"/>
          <w:szCs w:val="21"/>
          <w:lang w:val="es-MX"/>
          <w14:ligatures w14:val="standardContextual"/>
        </w:rPr>
      </w:pPr>
      <w:r w:rsidRPr="00346274">
        <w:rPr>
          <w:rFonts w:ascii="Verdana" w:eastAsia="Aptos" w:hAnsi="Verdana" w:cs="Times New Roman"/>
          <w:kern w:val="2"/>
          <w:sz w:val="20"/>
          <w:szCs w:val="20"/>
          <w:highlight w:val="lightGray"/>
          <w14:ligatures w14:val="standardContextual"/>
        </w:rPr>
        <w:t xml:space="preserve">[La </w:t>
      </w:r>
      <w:r w:rsidRPr="00346274" w:rsidDel="00DD3F5A">
        <w:rPr>
          <w:rFonts w:ascii="Verdana" w:eastAsia="Aptos" w:hAnsi="Verdana" w:cs="Times New Roman"/>
          <w:kern w:val="2"/>
          <w:sz w:val="20"/>
          <w:szCs w:val="20"/>
          <w:highlight w:val="lightGray"/>
          <w14:ligatures w14:val="standardContextual"/>
        </w:rPr>
        <w:t>E</w:t>
      </w:r>
      <w:r w:rsidRPr="00346274">
        <w:rPr>
          <w:rFonts w:ascii="Verdana" w:eastAsia="Aptos" w:hAnsi="Verdana" w:cs="Times New Roman"/>
          <w:kern w:val="2"/>
          <w:sz w:val="20"/>
          <w:szCs w:val="20"/>
          <w:highlight w:val="lightGray"/>
          <w14:ligatures w14:val="standardContextual"/>
        </w:rPr>
        <w:t>ntidad debe incluir el Formulario</w:t>
      </w:r>
      <w:r w:rsidRPr="00346274">
        <w:rPr>
          <w:rFonts w:ascii="Verdana" w:eastAsia="Aptos" w:hAnsi="Verdana" w:cs="Times New Roman"/>
          <w:kern w:val="2"/>
          <w:sz w:val="21"/>
          <w:szCs w:val="21"/>
          <w:highlight w:val="lightGray"/>
          <w:lang w:val="es-MX"/>
          <w14:ligatures w14:val="standardContextual"/>
        </w:rPr>
        <w:t xml:space="preserve"> 1 – Formulario de Presupuesto Oficial y la oferta económica en formato Excel. En ningún caso la Entidad podrá incluir causales de rechazo o reglas que diferentes a las establecidas en el presente documento]</w:t>
      </w:r>
      <w:r w:rsidRPr="00346274">
        <w:rPr>
          <w:rFonts w:ascii="Verdana" w:eastAsia="Aptos" w:hAnsi="Verdana" w:cs="Times New Roman"/>
          <w:kern w:val="2"/>
          <w:sz w:val="21"/>
          <w:szCs w:val="21"/>
          <w:lang w:val="es-MX"/>
          <w14:ligatures w14:val="standardContextual"/>
        </w:rPr>
        <w:t xml:space="preserve"> </w:t>
      </w:r>
    </w:p>
    <w:p w14:paraId="7079B9A4" w14:textId="77777777" w:rsidR="00D4125A" w:rsidRPr="00346274" w:rsidRDefault="00D4125A" w:rsidP="00D4125A">
      <w:pPr>
        <w:shd w:val="clear" w:color="auto" w:fill="FFFFFF"/>
        <w:spacing w:after="0" w:line="240" w:lineRule="auto"/>
        <w:ind w:left="709" w:right="709"/>
        <w:jc w:val="both"/>
        <w:rPr>
          <w:rFonts w:ascii="Verdana" w:eastAsia="Aptos" w:hAnsi="Verdana" w:cs="Times New Roman"/>
          <w:kern w:val="2"/>
          <w:sz w:val="21"/>
          <w:szCs w:val="21"/>
          <w:lang w:val="es-MX"/>
          <w14:ligatures w14:val="standardContextual"/>
        </w:rPr>
      </w:pPr>
      <w:r w:rsidRPr="00346274">
        <w:rPr>
          <w:rFonts w:ascii="Verdana" w:eastAsia="Aptos" w:hAnsi="Verdana" w:cs="Times New Roman"/>
          <w:kern w:val="2"/>
          <w:sz w:val="21"/>
          <w:szCs w:val="21"/>
          <w:lang w:val="es-MX"/>
          <w14:ligatures w14:val="standardContextual"/>
        </w:rPr>
        <w:t xml:space="preserve">(…)”. </w:t>
      </w:r>
    </w:p>
    <w:p w14:paraId="08D3AE42" w14:textId="77777777" w:rsidR="00D4125A" w:rsidRPr="00346274" w:rsidRDefault="00D4125A" w:rsidP="00D4125A">
      <w:pPr>
        <w:shd w:val="clear" w:color="auto" w:fill="FFFFFF"/>
        <w:spacing w:after="0" w:line="240" w:lineRule="auto"/>
        <w:ind w:left="709" w:right="709"/>
        <w:jc w:val="both"/>
        <w:rPr>
          <w:rFonts w:ascii="Verdana" w:eastAsia="Aptos" w:hAnsi="Verdana" w:cs="Times New Roman"/>
          <w:kern w:val="2"/>
          <w:sz w:val="21"/>
          <w:szCs w:val="21"/>
          <w:lang w:val="es-MX"/>
          <w14:ligatures w14:val="standardContextual"/>
        </w:rPr>
      </w:pPr>
    </w:p>
    <w:p w14:paraId="3BD0E02F" w14:textId="77777777" w:rsidR="00D4125A" w:rsidRPr="00346274" w:rsidRDefault="00D4125A" w:rsidP="00D4125A">
      <w:pPr>
        <w:spacing w:before="120" w:after="120" w:line="276" w:lineRule="auto"/>
        <w:jc w:val="both"/>
        <w:rPr>
          <w:rFonts w:ascii="Verdana" w:eastAsia="Calibri" w:hAnsi="Verdana" w:cs="Arial"/>
          <w:bCs/>
          <w:color w:val="000000"/>
          <w:lang w:eastAsia="es-MX"/>
        </w:rPr>
      </w:pPr>
      <w:r w:rsidRPr="00D426B8">
        <w:rPr>
          <w:rFonts w:ascii="Verdana" w:eastAsia="Calibri" w:hAnsi="Verdana" w:cs="Arial"/>
          <w:kern w:val="2"/>
          <w:sz w:val="24"/>
          <w:szCs w:val="24"/>
          <w:lang w:val="es-MX"/>
          <w14:ligatures w14:val="standardContextual"/>
        </w:rPr>
        <w:tab/>
      </w:r>
      <w:r w:rsidRPr="00346274">
        <w:rPr>
          <w:rFonts w:ascii="Verdana" w:eastAsia="Calibri" w:hAnsi="Verdana" w:cs="Arial"/>
          <w:kern w:val="2"/>
          <w:lang w:val="es-ES_tradnl"/>
          <w14:ligatures w14:val="standardContextual"/>
        </w:rPr>
        <w:t>Los párrafos que están en corchetes son notas aclaratorias o instrucciones para la entidad contratante, que deben ser seguidas sin vulnerar el carácter obligatorio y la regla</w:t>
      </w:r>
      <w:r w:rsidRPr="00D426B8">
        <w:rPr>
          <w:rFonts w:ascii="Verdana" w:eastAsia="Calibri" w:hAnsi="Verdana" w:cs="Arial"/>
          <w:kern w:val="2"/>
          <w:sz w:val="24"/>
          <w:szCs w:val="24"/>
          <w:lang w:val="es-ES_tradnl"/>
          <w14:ligatures w14:val="standardContextual"/>
        </w:rPr>
        <w:t xml:space="preserve"> </w:t>
      </w:r>
      <w:r w:rsidRPr="00346274">
        <w:rPr>
          <w:rFonts w:ascii="Verdana" w:eastAsia="Calibri" w:hAnsi="Verdana" w:cs="Arial"/>
          <w:kern w:val="2"/>
          <w:lang w:val="es-ES_tradnl"/>
          <w14:ligatures w14:val="standardContextual"/>
        </w:rPr>
        <w:t xml:space="preserve">de inalterabilidad de los documentos tipo. En específico, el primer inciso del numeral 4.1 dispone que la entidad debe establecer si la forma de pago corresponde a precio global, llave en mano, precios unitarios, administración delegada, reembolso de gastos o la que determine. Así, el documento base, en relación con la forma de pago, contempla diversas alternativas que pueden ser adoptadas por la entidad; no obstante, estas no tienen carácter taxativo, en la medida en que se prevé expresamente la posibilidad </w:t>
      </w:r>
      <w:r w:rsidRPr="00346274">
        <w:rPr>
          <w:rFonts w:ascii="Verdana" w:eastAsia="Calibri" w:hAnsi="Verdana" w:cs="Arial"/>
          <w:bCs/>
          <w:color w:val="000000"/>
          <w:lang w:eastAsia="es-MX"/>
        </w:rPr>
        <w:t xml:space="preserve">de que la entidad defina una modalidad distinta bajo la expresión “o la que determine”. </w:t>
      </w:r>
    </w:p>
    <w:p w14:paraId="57354C7B" w14:textId="77777777" w:rsidR="00D4125A" w:rsidRPr="00346274" w:rsidRDefault="00D4125A" w:rsidP="00D4125A">
      <w:pPr>
        <w:spacing w:before="120" w:after="120" w:line="276" w:lineRule="auto"/>
        <w:ind w:firstLine="708"/>
        <w:jc w:val="both"/>
        <w:rPr>
          <w:rFonts w:ascii="Verdana" w:eastAsia="Calibri" w:hAnsi="Verdana" w:cs="Arial"/>
          <w:kern w:val="2"/>
          <w:lang w:val="es-ES_tradnl"/>
          <w14:ligatures w14:val="standardContextual"/>
        </w:rPr>
      </w:pPr>
      <w:r w:rsidRPr="00346274">
        <w:rPr>
          <w:rFonts w:ascii="Verdana" w:eastAsia="Calibri" w:hAnsi="Verdana" w:cs="Arial"/>
          <w:bCs/>
          <w:color w:val="000000"/>
          <w:lang w:eastAsia="es-MX"/>
        </w:rPr>
        <w:t>En todo</w:t>
      </w:r>
      <w:r w:rsidRPr="00346274">
        <w:rPr>
          <w:rFonts w:ascii="Verdana" w:eastAsia="Calibri" w:hAnsi="Verdana" w:cs="Arial"/>
          <w:kern w:val="2"/>
          <w:lang w:val="es-ES_tradnl"/>
          <w14:ligatures w14:val="standardContextual"/>
        </w:rPr>
        <w:t xml:space="preserve"> caso, la opción que se adopte deberá estar debidamente justificada en los estudios y documentos previos, guardar coherencia con la naturaleza y alcance del objeto contractual y asegurar la debida correspondencia con el Anexo 1 – Anexo Técnico y el Formulario 1 – Formulario de Presupuesto Oficial, en cumplimiento de los principios de planeación, transparencia y responsabilidad que rigen la contratación estatal. </w:t>
      </w:r>
    </w:p>
    <w:p w14:paraId="32C3E99E" w14:textId="77777777" w:rsidR="00D4125A" w:rsidRPr="0010521B" w:rsidRDefault="00D4125A" w:rsidP="00D4125A">
      <w:pPr>
        <w:spacing w:after="120" w:line="276" w:lineRule="auto"/>
        <w:ind w:firstLine="708"/>
        <w:jc w:val="both"/>
        <w:rPr>
          <w:rFonts w:ascii="Verdana" w:eastAsia="Calibri" w:hAnsi="Verdana" w:cs="Arial"/>
          <w:bCs/>
          <w:color w:val="000000"/>
          <w:shd w:val="clear" w:color="auto" w:fill="FFFFFF"/>
          <w:lang w:val="es-ES_tradnl"/>
        </w:rPr>
      </w:pPr>
      <w:r w:rsidRPr="00346274">
        <w:rPr>
          <w:rFonts w:ascii="Verdana" w:eastAsia="Calibri" w:hAnsi="Verdana" w:cs="Arial"/>
          <w:lang w:val="es-ES"/>
        </w:rPr>
        <w:t xml:space="preserve">En los documentos tipo de licitación de obra pública de infraestructura social – versión 2, el numeral 4.1.1 “A.I.U.” establece la obligatoriedad de incluir el A.I.U cuando el proceso de contratación sea por precios unitarios. En este numeral se indica el deber del proponente de calcular todos los gastos en los que incurre para poder remunerar los costos de administración, los imprevistos y la utilidad o beneficio económico que pretende percibir por la ejecución del contrato. La instrucción prevista en el numeral 4.1.1 “AIU” está dada en términos </w:t>
      </w:r>
      <w:r w:rsidRPr="00346274">
        <w:rPr>
          <w:rFonts w:ascii="Verdana" w:eastAsia="Calibri" w:hAnsi="Verdana" w:cs="Arial"/>
          <w:lang w:val="es-ES"/>
        </w:rPr>
        <w:lastRenderedPageBreak/>
        <w:t>de deber y obligación, por tanto, no existe la posibilidad de modificar el contenido del documento base previsto en el numeral “4.1.1 A.I.U.” siempre y cuando el proceso de contratación sea por precios unitarios</w:t>
      </w:r>
      <w:bookmarkStart w:id="9" w:name="_Hlk62829022"/>
      <w:r w:rsidRPr="00346274">
        <w:rPr>
          <w:rFonts w:ascii="Verdana" w:eastAsia="Calibri" w:hAnsi="Verdana" w:cs="Arial"/>
          <w:lang w:val="es-ES"/>
        </w:rPr>
        <w:t xml:space="preserve">. Ahora bien, considerando que ese numeral solo debe incorporarse cuando el proceso de contratación sea por precios unitarios, cuando este no suceda, es claro que la </w:t>
      </w:r>
      <w:r w:rsidRPr="0010521B">
        <w:rPr>
          <w:rFonts w:ascii="Verdana" w:eastAsia="Calibri" w:hAnsi="Verdana" w:cs="Arial"/>
          <w:lang w:val="es-ES"/>
        </w:rPr>
        <w:t xml:space="preserve">entidad que adelanta el proceso no debe incluirlo. </w:t>
      </w:r>
    </w:p>
    <w:bookmarkEnd w:id="9"/>
    <w:p w14:paraId="20E6318F" w14:textId="77777777" w:rsidR="00D4125A" w:rsidRPr="0010521B" w:rsidRDefault="00D4125A" w:rsidP="00D4125A">
      <w:pPr>
        <w:spacing w:before="120" w:after="120" w:line="276" w:lineRule="auto"/>
        <w:ind w:firstLine="708"/>
        <w:jc w:val="both"/>
        <w:rPr>
          <w:rFonts w:ascii="Verdana" w:eastAsia="Arial" w:hAnsi="Verdana" w:cs="Arial"/>
          <w:lang w:val="es-ES" w:eastAsia="es-ES" w:bidi="es-ES"/>
        </w:rPr>
      </w:pPr>
      <w:r w:rsidRPr="0010521B">
        <w:rPr>
          <w:rFonts w:ascii="Verdana" w:eastAsia="Calibri" w:hAnsi="Verdana" w:cs="Arial"/>
          <w:bCs/>
          <w:lang w:val="es-ES_tradnl"/>
        </w:rPr>
        <w:t xml:space="preserve">Por su parte, en </w:t>
      </w:r>
      <w:r w:rsidRPr="0010521B">
        <w:rPr>
          <w:rFonts w:ascii="Verdana" w:eastAsia="Calibri" w:hAnsi="Verdana" w:cs="Arial"/>
          <w:iCs/>
          <w:color w:val="000000"/>
          <w:lang w:val="es-ES"/>
        </w:rPr>
        <w:t>el “Formulario 1 – Formulario del Presupuesto Oficial</w:t>
      </w:r>
      <w:bookmarkStart w:id="10" w:name="_Hlk210138186"/>
      <w:r w:rsidRPr="0010521B">
        <w:rPr>
          <w:rFonts w:ascii="Verdana" w:eastAsia="Calibri" w:hAnsi="Verdana" w:cs="Arial"/>
          <w:iCs/>
          <w:color w:val="000000"/>
          <w:lang w:val="es-ES"/>
        </w:rPr>
        <w:t>”</w:t>
      </w:r>
      <w:r w:rsidRPr="0010521B">
        <w:rPr>
          <w:rFonts w:ascii="Verdana" w:eastAsia="Arial" w:hAnsi="Verdana" w:cs="Arial"/>
          <w:lang w:val="es-ES" w:eastAsia="es-ES" w:bidi="es-ES"/>
        </w:rPr>
        <w:t xml:space="preserve">, de los documentos tipo de licitación de obra pública de infraestructura social – versión 2, se señala que en los procesos de contratación estructurados por precios unitarios aplican las notas 1, 2 y 3 de dicho formato y, por tanto, se diligencian las casillas de “Descripción”, “Porcentaje” de la Administración, Imprevistos, Utilidad y total del A.I.U resaltados en color amarillo. En otras palabras, las entidades estatales incluirán de manera obligatoria el porcentaje de la: i) administración, </w:t>
      </w:r>
      <w:proofErr w:type="spellStart"/>
      <w:r w:rsidRPr="0010521B">
        <w:rPr>
          <w:rFonts w:ascii="Verdana" w:eastAsia="Arial" w:hAnsi="Verdana" w:cs="Arial"/>
          <w:lang w:val="es-ES" w:eastAsia="es-ES" w:bidi="es-ES"/>
        </w:rPr>
        <w:t>ii</w:t>
      </w:r>
      <w:proofErr w:type="spellEnd"/>
      <w:r w:rsidRPr="0010521B">
        <w:rPr>
          <w:rFonts w:ascii="Verdana" w:eastAsia="Arial" w:hAnsi="Verdana" w:cs="Arial"/>
          <w:lang w:val="es-ES" w:eastAsia="es-ES" w:bidi="es-ES"/>
        </w:rPr>
        <w:t xml:space="preserve">) imprevistos y </w:t>
      </w:r>
      <w:proofErr w:type="spellStart"/>
      <w:r w:rsidRPr="0010521B">
        <w:rPr>
          <w:rFonts w:ascii="Verdana" w:eastAsia="Arial" w:hAnsi="Verdana" w:cs="Arial"/>
          <w:lang w:val="es-ES" w:eastAsia="es-ES" w:bidi="es-ES"/>
        </w:rPr>
        <w:t>iii</w:t>
      </w:r>
      <w:proofErr w:type="spellEnd"/>
      <w:r w:rsidRPr="0010521B">
        <w:rPr>
          <w:rFonts w:ascii="Verdana" w:eastAsia="Arial" w:hAnsi="Verdana" w:cs="Arial"/>
          <w:lang w:val="es-ES" w:eastAsia="es-ES" w:bidi="es-ES"/>
        </w:rPr>
        <w:t>) utilidad, cuando el proceso de contratación sea por precios unitarios.</w:t>
      </w:r>
    </w:p>
    <w:bookmarkEnd w:id="10"/>
    <w:p w14:paraId="3A0808A7" w14:textId="77777777" w:rsidR="00D4125A" w:rsidRPr="0010521B" w:rsidRDefault="00D4125A" w:rsidP="00D4125A">
      <w:pPr>
        <w:widowControl w:val="0"/>
        <w:autoSpaceDE w:val="0"/>
        <w:autoSpaceDN w:val="0"/>
        <w:spacing w:after="0" w:line="276" w:lineRule="auto"/>
        <w:ind w:firstLine="709"/>
        <w:jc w:val="both"/>
        <w:rPr>
          <w:rFonts w:ascii="Verdana" w:eastAsia="Arial" w:hAnsi="Verdana" w:cs="Arial"/>
          <w:lang w:val="es-ES" w:eastAsia="es-ES" w:bidi="es-ES"/>
        </w:rPr>
      </w:pPr>
      <w:r w:rsidRPr="0010521B">
        <w:rPr>
          <w:rFonts w:ascii="Verdana" w:eastAsia="Arial" w:hAnsi="Verdana" w:cs="Arial"/>
          <w:lang w:val="es-ES" w:eastAsia="es-ES" w:bidi="es-ES"/>
        </w:rPr>
        <w:t xml:space="preserve">De esta forma, para efectos de la aplicación de los documentos tipo de licitación de obra pública de infraestructura de social – versión 2, las entidades estatales incluirán de manera obligatoria en el Formulario 1 – Formulario del presupuesto oficial el porcentaje del A.I.U, cuando el proceso de contratación sea por precios unitarios. No obstante, dicha obligación no implica si el proceso de contratación no se estructura bajo esta modalidad. </w:t>
      </w:r>
    </w:p>
    <w:p w14:paraId="6140B001" w14:textId="77777777" w:rsidR="00D4125A" w:rsidRPr="0010521B" w:rsidRDefault="00D4125A" w:rsidP="00D4125A">
      <w:pPr>
        <w:spacing w:after="0" w:line="276" w:lineRule="auto"/>
        <w:jc w:val="both"/>
        <w:rPr>
          <w:rFonts w:ascii="Verdana" w:eastAsia="Calibri" w:hAnsi="Verdana" w:cs="Arial"/>
          <w:bCs/>
          <w:color w:val="000000"/>
          <w:kern w:val="2"/>
          <w14:ligatures w14:val="standardContextual"/>
        </w:rPr>
      </w:pPr>
    </w:p>
    <w:p w14:paraId="09ACFF31" w14:textId="77777777" w:rsidR="00D4125A" w:rsidRPr="0010521B" w:rsidRDefault="00D4125A" w:rsidP="00D4125A">
      <w:pPr>
        <w:spacing w:after="120" w:line="276" w:lineRule="auto"/>
        <w:jc w:val="both"/>
        <w:rPr>
          <w:rFonts w:ascii="Verdana" w:eastAsia="Calibri" w:hAnsi="Verdana" w:cs="Arial"/>
          <w:lang w:eastAsia="es-ES_tradnl"/>
        </w:rPr>
      </w:pPr>
      <w:r w:rsidRPr="0010521B">
        <w:rPr>
          <w:rFonts w:ascii="Verdana" w:eastAsia="Calibri" w:hAnsi="Verdana" w:cs="Arial"/>
          <w:bCs/>
          <w:color w:val="000000"/>
          <w:kern w:val="2"/>
          <w14:ligatures w14:val="standardContextual"/>
        </w:rPr>
        <w:t>V)</w:t>
      </w:r>
      <w:r w:rsidRPr="0010521B">
        <w:rPr>
          <w:rFonts w:ascii="Verdana" w:eastAsia="Calibri" w:hAnsi="Verdana" w:cs="Arial"/>
          <w:lang w:eastAsia="es-ES_tradnl"/>
        </w:rPr>
        <w:t xml:space="preserve">. </w:t>
      </w:r>
      <w:r w:rsidRPr="0010521B">
        <w:rPr>
          <w:rFonts w:ascii="Verdana" w:eastAsia="Calibri" w:hAnsi="Verdana" w:cs="Arial"/>
          <w:color w:val="000000" w:themeColor="text1"/>
          <w:shd w:val="clear" w:color="auto" w:fill="FFFFFF"/>
        </w:rPr>
        <w:t>Finalmente, resulta necesario señalar que la aplicabilidad de los Documentos Tipo depende de que el objeto del proceso de selección se subsuma en alguna de las actividades previstas en la Matriz 1 – Experiencia del documento tipo aplicable, que para este caso corresponde al sector institucional.</w:t>
      </w:r>
    </w:p>
    <w:p w14:paraId="4CC6B2B2" w14:textId="77777777" w:rsidR="00D4125A" w:rsidRPr="0010521B" w:rsidRDefault="00D4125A" w:rsidP="00D4125A">
      <w:pPr>
        <w:spacing w:after="120" w:line="276" w:lineRule="auto"/>
        <w:ind w:firstLine="709"/>
        <w:jc w:val="both"/>
        <w:rPr>
          <w:rFonts w:ascii="Verdana" w:eastAsia="Calibri" w:hAnsi="Verdana" w:cs="Arial"/>
          <w:color w:val="000000" w:themeColor="text1"/>
          <w:shd w:val="clear" w:color="auto" w:fill="FFFFFF"/>
        </w:rPr>
      </w:pPr>
      <w:r w:rsidRPr="0010521B">
        <w:rPr>
          <w:rFonts w:ascii="Verdana" w:eastAsia="Calibri" w:hAnsi="Verdana" w:cs="Arial"/>
          <w:color w:val="000000" w:themeColor="text1"/>
          <w:shd w:val="clear" w:color="auto" w:fill="FFFFFF"/>
        </w:rPr>
        <w:t>Para establecer si un objeto contractual se encuentra cobijado por los Documentos Tipo, la entidad debe verificar si este se enmarca en los tipos de infraestructura, en la modalidad de selección correspondiente y en las actividades estandarizadas en la respectiva matriz de experiencia. En esa medida, la aplicación de un documento tipo solo será obligatoria cuando se determine que el objeto contractual y la modalidad de selección se encuentran dentro del ámbito de aplicación definido en las resoluciones expedidas por esta Agencia.</w:t>
      </w:r>
    </w:p>
    <w:p w14:paraId="7DC243D5" w14:textId="77777777" w:rsidR="00D4125A" w:rsidRPr="0010521B" w:rsidRDefault="00D4125A" w:rsidP="00D4125A">
      <w:pPr>
        <w:spacing w:after="120" w:line="276" w:lineRule="auto"/>
        <w:ind w:firstLine="709"/>
        <w:jc w:val="both"/>
        <w:rPr>
          <w:rFonts w:ascii="Verdana" w:eastAsia="Calibri" w:hAnsi="Verdana" w:cs="Arial"/>
          <w:color w:val="000000" w:themeColor="text1"/>
          <w:shd w:val="clear" w:color="auto" w:fill="FFFFFF"/>
        </w:rPr>
      </w:pPr>
      <w:r w:rsidRPr="0010521B">
        <w:rPr>
          <w:rFonts w:ascii="Verdana" w:eastAsia="Calibri" w:hAnsi="Verdana" w:cs="Arial"/>
          <w:color w:val="000000" w:themeColor="text1"/>
          <w:shd w:val="clear" w:color="auto" w:fill="FFFFFF"/>
        </w:rPr>
        <w:lastRenderedPageBreak/>
        <w:t xml:space="preserve">En conclusión, la determinación sobre la aplicabilidad de los Documentos Tipo del Sector Institucional no depende exclusivamente de la denominación que la entidad asigne al objeto contractual, sino del análisis material de su alcance, y de su correspondencia con las actividades previstas en la Matriz 1 – Experiencia, es decir que este objeto se encaje o enmarque en alguna de las actividades previstas en dicha matriz. </w:t>
      </w:r>
    </w:p>
    <w:p w14:paraId="20B1352C" w14:textId="77777777" w:rsidR="00D4125A" w:rsidRPr="0010521B" w:rsidRDefault="00D4125A" w:rsidP="00D4125A">
      <w:pPr>
        <w:spacing w:after="120" w:line="276" w:lineRule="auto"/>
        <w:ind w:firstLine="709"/>
        <w:jc w:val="both"/>
        <w:rPr>
          <w:rFonts w:ascii="Verdana" w:eastAsia="Calibri" w:hAnsi="Verdana" w:cs="Arial"/>
          <w:color w:val="000000" w:themeColor="text1"/>
          <w:shd w:val="clear" w:color="auto" w:fill="FFFFFF"/>
        </w:rPr>
      </w:pPr>
      <w:r w:rsidRPr="0010521B">
        <w:rPr>
          <w:rFonts w:ascii="Verdana" w:eastAsia="Calibri" w:hAnsi="Verdana" w:cs="Arial"/>
          <w:color w:val="000000" w:themeColor="text1"/>
          <w:shd w:val="clear" w:color="auto" w:fill="FFFFFF"/>
        </w:rPr>
        <w:t>En ese sentido, cuando el objeto contractual comprenda trabajos de suministro e instalación o que contengan intervenciones de mantenimiento que recaigan sobre bienes inmuebles —incluidos aquellos por adhesión o por destinación— y se subsuman en las actividades definidas en dicha matriz, la entidad deberá sujetarse a los Documentos Tipo expedidos por esta Agencia. Por el contrario, cuando se trate exclusivamente del suministro de bienes o de elementos o equipos que no comporten intervenciones materiales sobre inmuebles, corresponderá a la entidad, en ejercicio de su deber de planeación, determinar el régimen contractual aplicable con fundamento en el alcance técnico, los estudios previos y las características concretas de la necesidad a satisfacer.</w:t>
      </w:r>
    </w:p>
    <w:p w14:paraId="495196F3" w14:textId="77777777" w:rsidR="00D4125A" w:rsidRPr="0010521B" w:rsidRDefault="00D4125A" w:rsidP="00D4125A">
      <w:pPr>
        <w:spacing w:after="120" w:line="276" w:lineRule="auto"/>
        <w:jc w:val="both"/>
        <w:rPr>
          <w:rFonts w:ascii="Verdana" w:eastAsia="Aptos" w:hAnsi="Verdana" w:cs="Times New Roman"/>
          <w:kern w:val="2"/>
          <w14:ligatures w14:val="standardContextual"/>
        </w:rPr>
      </w:pPr>
      <w:r w:rsidRPr="0010521B">
        <w:rPr>
          <w:rFonts w:ascii="Verdana" w:eastAsia="Calibri" w:hAnsi="Verdana" w:cs="Arial"/>
          <w:color w:val="000000" w:themeColor="text1"/>
          <w:shd w:val="clear" w:color="auto" w:fill="FFFFFF"/>
          <w:lang w:val="es-ES"/>
        </w:rPr>
        <w:t xml:space="preserve">VI). </w:t>
      </w:r>
      <w:r w:rsidRPr="0010521B">
        <w:rPr>
          <w:rFonts w:ascii="Verdana" w:eastAsia="Calibri" w:hAnsi="Verdana" w:cs="Arial"/>
          <w:bCs/>
          <w:color w:val="000000"/>
          <w:kern w:val="2"/>
          <w14:ligatures w14:val="standardContextual"/>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A18CA6F" w14:textId="77777777" w:rsidR="00D4125A" w:rsidRPr="0010521B" w:rsidRDefault="00D4125A" w:rsidP="00D4125A">
      <w:pPr>
        <w:spacing w:after="0" w:line="276" w:lineRule="auto"/>
        <w:ind w:firstLine="708"/>
        <w:jc w:val="both"/>
        <w:rPr>
          <w:rFonts w:ascii="Verdana" w:eastAsia="Calibri" w:hAnsi="Verdana" w:cs="Arial"/>
          <w:bCs/>
          <w:color w:val="000000"/>
          <w:kern w:val="2"/>
          <w14:ligatures w14:val="standardContextual"/>
        </w:rPr>
      </w:pPr>
      <w:r w:rsidRPr="0010521B">
        <w:rPr>
          <w:rFonts w:ascii="Verdana" w:eastAsia="Calibri" w:hAnsi="Verdana" w:cs="Arial"/>
          <w:bCs/>
          <w:color w:val="000000"/>
          <w:kern w:val="2"/>
          <w14:ligatures w14:val="standardContextual"/>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w:t>
      </w:r>
      <w:r w:rsidRPr="0010521B">
        <w:rPr>
          <w:rFonts w:ascii="Verdana" w:eastAsia="Calibri" w:hAnsi="Verdana" w:cs="Arial"/>
          <w:bCs/>
          <w:color w:val="000000"/>
          <w:kern w:val="2"/>
          <w14:ligatures w14:val="standardContextual"/>
        </w:rPr>
        <w:lastRenderedPageBreak/>
        <w:t xml:space="preserve">gestión contractual, sin que sea atribución de Colombia Compra Eficiente validar sus actuaciones. </w:t>
      </w:r>
    </w:p>
    <w:p w14:paraId="041ADC38" w14:textId="77777777" w:rsidR="00D4125A" w:rsidRPr="005C2320" w:rsidRDefault="00D4125A" w:rsidP="00D4125A">
      <w:pPr>
        <w:spacing w:after="120" w:line="276" w:lineRule="auto"/>
        <w:ind w:right="49"/>
        <w:jc w:val="both"/>
        <w:rPr>
          <w:rFonts w:ascii="Verdana" w:eastAsia="Calibri" w:hAnsi="Verdana" w:cs="Arial"/>
          <w:color w:val="01AEFC"/>
          <w:sz w:val="20"/>
          <w:szCs w:val="20"/>
          <w:shd w:val="clear" w:color="auto" w:fill="FFFFFF"/>
          <w:lang w:val="es-ES"/>
        </w:rPr>
      </w:pPr>
    </w:p>
    <w:p w14:paraId="157F064C" w14:textId="77777777" w:rsidR="00D4125A" w:rsidRPr="00DB2731" w:rsidRDefault="00D4125A" w:rsidP="00D4125A">
      <w:pPr>
        <w:spacing w:after="120" w:line="276" w:lineRule="auto"/>
        <w:ind w:firstLine="709"/>
        <w:jc w:val="both"/>
        <w:rPr>
          <w:rFonts w:ascii="Verdana" w:hAnsi="Verdana" w:cstheme="minorHAnsi"/>
          <w:lang w:val="es-ES"/>
        </w:rPr>
      </w:pPr>
    </w:p>
    <w:p w14:paraId="45213CB1" w14:textId="77777777" w:rsidR="00D4125A" w:rsidRDefault="00D4125A" w:rsidP="00D4125A">
      <w:pPr>
        <w:spacing w:after="120" w:line="276" w:lineRule="auto"/>
        <w:ind w:firstLine="709"/>
        <w:jc w:val="both"/>
        <w:rPr>
          <w:rFonts w:ascii="Verdana" w:hAnsi="Verdana" w:cstheme="minorHAnsi"/>
        </w:rPr>
      </w:pPr>
    </w:p>
    <w:p w14:paraId="27223D26" w14:textId="77777777" w:rsidR="00D4125A" w:rsidRDefault="00D4125A" w:rsidP="00D4125A">
      <w:pPr>
        <w:spacing w:after="120" w:line="276" w:lineRule="auto"/>
        <w:jc w:val="both"/>
        <w:rPr>
          <w:rFonts w:ascii="Verdana" w:eastAsia="Times New Roman" w:hAnsi="Verdana" w:cs="Arial"/>
          <w:iCs/>
          <w:lang w:eastAsia="es-ES_tradnl"/>
        </w:rPr>
      </w:pPr>
    </w:p>
    <w:p w14:paraId="6790B564" w14:textId="77777777" w:rsidR="00D4125A" w:rsidRPr="002F7FFD" w:rsidRDefault="00D4125A" w:rsidP="00D4125A">
      <w:pPr>
        <w:spacing w:after="120" w:line="276" w:lineRule="auto"/>
        <w:ind w:firstLine="709"/>
        <w:jc w:val="both"/>
        <w:rPr>
          <w:rFonts w:ascii="Verdana" w:hAnsi="Verdana" w:cs="Arial"/>
          <w:lang w:eastAsia="es-ES"/>
        </w:rPr>
      </w:pPr>
      <w:r w:rsidRPr="002F7FFD">
        <w:rPr>
          <w:rFonts w:ascii="Verdana" w:hAnsi="Verdana" w:cs="Arial"/>
          <w:lang w:eastAsia="es-ES"/>
        </w:rPr>
        <w:t>Al margen de la explicación precedente debe advertirse que el análisis requerido para resolver problemas específicos en torno al AIU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58BAE52" w14:textId="77777777" w:rsidR="00D4125A" w:rsidRPr="002F7FFD" w:rsidRDefault="00D4125A" w:rsidP="00D4125A">
      <w:pPr>
        <w:widowControl w:val="0"/>
        <w:autoSpaceDE w:val="0"/>
        <w:autoSpaceDN w:val="0"/>
        <w:spacing w:after="0" w:line="276" w:lineRule="auto"/>
        <w:jc w:val="both"/>
        <w:rPr>
          <w:rFonts w:ascii="Verdana" w:eastAsia="Arial" w:hAnsi="Verdana" w:cs="Arial"/>
        </w:rPr>
      </w:pPr>
    </w:p>
    <w:p w14:paraId="4AAB5655" w14:textId="77777777" w:rsidR="00D4125A" w:rsidRPr="002F7FFD" w:rsidRDefault="00D4125A" w:rsidP="00D4125A">
      <w:pPr>
        <w:numPr>
          <w:ilvl w:val="0"/>
          <w:numId w:val="17"/>
        </w:numPr>
        <w:tabs>
          <w:tab w:val="left" w:pos="142"/>
          <w:tab w:val="left" w:pos="284"/>
        </w:tabs>
        <w:spacing w:after="0" w:line="276" w:lineRule="auto"/>
        <w:ind w:left="1068"/>
        <w:jc w:val="both"/>
        <w:rPr>
          <w:rFonts w:ascii="Verdana" w:eastAsia="Century Gothic" w:hAnsi="Verdana" w:cs="Century Gothic"/>
          <w:b/>
          <w:bCs/>
        </w:rPr>
      </w:pPr>
      <w:r w:rsidRPr="002F7FFD">
        <w:rPr>
          <w:rFonts w:ascii="Verdana" w:eastAsia="Century Gothic" w:hAnsi="Verdana" w:cs="Century Gothic"/>
          <w:b/>
          <w:bCs/>
        </w:rPr>
        <w:t>Referencias normativas y jurisprudenciales:</w:t>
      </w:r>
    </w:p>
    <w:p w14:paraId="2A1BCCDA" w14:textId="77777777" w:rsidR="00D4125A" w:rsidRPr="002F7FFD" w:rsidRDefault="00D4125A" w:rsidP="00D4125A">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4125A" w:rsidRPr="002F7FFD" w14:paraId="2A7071FD" w14:textId="77777777" w:rsidTr="000C58FA">
        <w:trPr>
          <w:trHeight w:val="410"/>
          <w:jc w:val="center"/>
        </w:trPr>
        <w:tc>
          <w:tcPr>
            <w:tcW w:w="8647" w:type="dxa"/>
          </w:tcPr>
          <w:p w14:paraId="078E9619" w14:textId="77777777" w:rsidR="00D4125A" w:rsidRPr="002F7FFD" w:rsidRDefault="00D4125A" w:rsidP="000C58FA">
            <w:pPr>
              <w:numPr>
                <w:ilvl w:val="0"/>
                <w:numId w:val="16"/>
              </w:numPr>
              <w:ind w:left="318" w:hanging="284"/>
              <w:contextualSpacing/>
              <w:jc w:val="both"/>
              <w:rPr>
                <w:rFonts w:ascii="Verdana" w:hAnsi="Verdana" w:cs="Arial"/>
              </w:rPr>
            </w:pPr>
            <w:r w:rsidRPr="002F7FFD">
              <w:rPr>
                <w:rFonts w:ascii="Verdana" w:hAnsi="Verdana" w:cs="Arial"/>
              </w:rPr>
              <w:t>Ley 80 de 1993, artículos 13, 32 y 40.</w:t>
            </w:r>
          </w:p>
          <w:p w14:paraId="0420FAD4" w14:textId="77777777" w:rsidR="00D4125A" w:rsidRPr="002F7FFD" w:rsidRDefault="00D4125A" w:rsidP="000C58FA">
            <w:pPr>
              <w:ind w:left="318"/>
              <w:contextualSpacing/>
              <w:jc w:val="both"/>
              <w:rPr>
                <w:rFonts w:ascii="Verdana" w:hAnsi="Verdana" w:cs="Arial"/>
              </w:rPr>
            </w:pPr>
          </w:p>
          <w:p w14:paraId="00433DE8" w14:textId="77777777" w:rsidR="00D4125A" w:rsidRPr="002F7FFD" w:rsidRDefault="00D4125A" w:rsidP="000C58FA">
            <w:pPr>
              <w:numPr>
                <w:ilvl w:val="0"/>
                <w:numId w:val="16"/>
              </w:numPr>
              <w:ind w:left="318" w:hanging="284"/>
              <w:contextualSpacing/>
              <w:jc w:val="both"/>
              <w:rPr>
                <w:rFonts w:ascii="Verdana" w:hAnsi="Verdana" w:cs="Arial"/>
              </w:rPr>
            </w:pPr>
            <w:r w:rsidRPr="002F7FFD">
              <w:rPr>
                <w:rFonts w:ascii="Verdana" w:hAnsi="Verdana" w:cs="Arial"/>
              </w:rPr>
              <w:t xml:space="preserve">Consejo de Estado. Sección Tercera. Subsección B. Sentencia del 29 de febrero de 2012. </w:t>
            </w:r>
            <w:proofErr w:type="spellStart"/>
            <w:r w:rsidRPr="002F7FFD">
              <w:rPr>
                <w:rFonts w:ascii="Verdana" w:hAnsi="Verdana" w:cs="Arial"/>
              </w:rPr>
              <w:t>Exp</w:t>
            </w:r>
            <w:proofErr w:type="spellEnd"/>
            <w:r w:rsidRPr="002F7FFD">
              <w:rPr>
                <w:rFonts w:ascii="Verdana" w:hAnsi="Verdana" w:cs="Arial"/>
              </w:rPr>
              <w:t xml:space="preserve">. 16371, C.P. Danilo Rojas </w:t>
            </w:r>
            <w:proofErr w:type="spellStart"/>
            <w:r w:rsidRPr="002F7FFD">
              <w:rPr>
                <w:rFonts w:ascii="Verdana" w:hAnsi="Verdana" w:cs="Arial"/>
              </w:rPr>
              <w:t>Betancourth</w:t>
            </w:r>
            <w:proofErr w:type="spellEnd"/>
            <w:r w:rsidRPr="002F7FFD">
              <w:rPr>
                <w:rFonts w:ascii="Verdana" w:hAnsi="Verdana" w:cs="Arial"/>
              </w:rPr>
              <w:t>.</w:t>
            </w:r>
          </w:p>
          <w:p w14:paraId="2EAAAB2C" w14:textId="77777777" w:rsidR="00D4125A" w:rsidRPr="002F7FFD" w:rsidRDefault="00D4125A" w:rsidP="000C58FA">
            <w:pPr>
              <w:contextualSpacing/>
              <w:jc w:val="both"/>
              <w:rPr>
                <w:rFonts w:ascii="Verdana" w:hAnsi="Verdana" w:cs="Arial"/>
              </w:rPr>
            </w:pPr>
          </w:p>
          <w:p w14:paraId="6475922C" w14:textId="77777777" w:rsidR="00D4125A" w:rsidRPr="002F7FFD" w:rsidRDefault="00D4125A" w:rsidP="000C58FA">
            <w:pPr>
              <w:numPr>
                <w:ilvl w:val="0"/>
                <w:numId w:val="16"/>
              </w:numPr>
              <w:ind w:left="318" w:hanging="284"/>
              <w:contextualSpacing/>
              <w:jc w:val="both"/>
              <w:rPr>
                <w:rFonts w:ascii="Verdana" w:hAnsi="Verdana" w:cs="Arial"/>
              </w:rPr>
            </w:pPr>
            <w:r w:rsidRPr="002F7FFD">
              <w:rPr>
                <w:rFonts w:ascii="Verdana" w:hAnsi="Verdana" w:cs="Arial"/>
              </w:rPr>
              <w:t xml:space="preserve">Consejo de Estado. Sección Tercera. Subsección B. Sentencia del 14 de octubre de 2011. </w:t>
            </w:r>
            <w:proofErr w:type="spellStart"/>
            <w:r w:rsidRPr="002F7FFD">
              <w:rPr>
                <w:rFonts w:ascii="Verdana" w:hAnsi="Verdana" w:cs="Arial"/>
              </w:rPr>
              <w:t>Exp</w:t>
            </w:r>
            <w:proofErr w:type="spellEnd"/>
            <w:r w:rsidRPr="002F7FFD">
              <w:rPr>
                <w:rFonts w:ascii="Verdana" w:hAnsi="Verdana" w:cs="Arial"/>
              </w:rPr>
              <w:t>. 20811, C.P. Ruth Stella Correa Palacio.</w:t>
            </w:r>
          </w:p>
          <w:p w14:paraId="0D758C63" w14:textId="77777777" w:rsidR="00D4125A" w:rsidRPr="002F7FFD" w:rsidRDefault="00D4125A" w:rsidP="000C58FA">
            <w:pPr>
              <w:contextualSpacing/>
              <w:jc w:val="both"/>
              <w:rPr>
                <w:rFonts w:ascii="Verdana" w:hAnsi="Verdana" w:cs="Arial"/>
              </w:rPr>
            </w:pPr>
          </w:p>
          <w:p w14:paraId="719762BE" w14:textId="77777777" w:rsidR="00D4125A" w:rsidRPr="002F7FFD" w:rsidRDefault="00D4125A" w:rsidP="000C58FA">
            <w:pPr>
              <w:numPr>
                <w:ilvl w:val="0"/>
                <w:numId w:val="16"/>
              </w:numPr>
              <w:ind w:left="318" w:hanging="284"/>
              <w:contextualSpacing/>
              <w:jc w:val="both"/>
              <w:rPr>
                <w:rFonts w:ascii="Verdana" w:hAnsi="Verdana" w:cs="Arial"/>
              </w:rPr>
            </w:pPr>
            <w:r w:rsidRPr="002F7FFD">
              <w:rPr>
                <w:rFonts w:ascii="Verdana" w:hAnsi="Verdana" w:cs="Arial"/>
              </w:rPr>
              <w:t>Consejo de Estado. Sala de Consulta y Servicio Civil. Concepto del 5 de septiembre de 2018, radicado No. 11001-03-06-000-2018-00124-00, C.P. Édgar González López</w:t>
            </w:r>
          </w:p>
          <w:p w14:paraId="57B3F661" w14:textId="77777777" w:rsidR="00D4125A" w:rsidRPr="002F7FFD" w:rsidRDefault="00D4125A" w:rsidP="000C58FA">
            <w:pPr>
              <w:ind w:left="720"/>
              <w:contextualSpacing/>
              <w:rPr>
                <w:rFonts w:ascii="Verdana" w:hAnsi="Verdana" w:cs="Arial"/>
              </w:rPr>
            </w:pPr>
          </w:p>
          <w:p w14:paraId="2DFFBB89" w14:textId="77777777" w:rsidR="00D4125A" w:rsidRPr="002F7FFD" w:rsidRDefault="00D4125A" w:rsidP="000C58FA">
            <w:pPr>
              <w:numPr>
                <w:ilvl w:val="0"/>
                <w:numId w:val="16"/>
              </w:numPr>
              <w:ind w:left="318" w:hanging="284"/>
              <w:contextualSpacing/>
              <w:jc w:val="both"/>
              <w:rPr>
                <w:rFonts w:ascii="Verdana" w:hAnsi="Verdana" w:cs="Arial"/>
              </w:rPr>
            </w:pPr>
            <w:r w:rsidRPr="002F7FFD">
              <w:rPr>
                <w:rFonts w:ascii="Verdana" w:eastAsia="Calibri" w:hAnsi="Verdana" w:cs="Arial"/>
                <w:lang w:eastAsia="es-ES_tradnl"/>
              </w:rPr>
              <w:t>Consejo de Estado. Sección Tercera. Consejero Ponente: Ramiro Saavedra Becerra. Sentencia del 28 de agosto de 2003. Radicado: 17.554</w:t>
            </w:r>
          </w:p>
          <w:p w14:paraId="46CA3782" w14:textId="77777777" w:rsidR="00D4125A" w:rsidRPr="002F7FFD" w:rsidRDefault="00D4125A" w:rsidP="000C58FA">
            <w:pPr>
              <w:pStyle w:val="Prrafodelista"/>
              <w:rPr>
                <w:rFonts w:ascii="Verdana" w:hAnsi="Verdana" w:cs="Arial"/>
                <w:lang w:val="es-CO"/>
              </w:rPr>
            </w:pPr>
          </w:p>
          <w:p w14:paraId="56C04DAB" w14:textId="77777777" w:rsidR="00D4125A" w:rsidRPr="002F7FFD" w:rsidRDefault="00D4125A" w:rsidP="000C58FA">
            <w:pPr>
              <w:contextualSpacing/>
              <w:jc w:val="both"/>
              <w:rPr>
                <w:rFonts w:ascii="Verdana" w:hAnsi="Verdana" w:cs="Arial"/>
              </w:rPr>
            </w:pPr>
          </w:p>
        </w:tc>
      </w:tr>
    </w:tbl>
    <w:p w14:paraId="36D1BAB9" w14:textId="77777777" w:rsidR="00D4125A" w:rsidRPr="002F7FFD" w:rsidRDefault="00D4125A" w:rsidP="00D4125A">
      <w:pPr>
        <w:widowControl w:val="0"/>
        <w:autoSpaceDE w:val="0"/>
        <w:autoSpaceDN w:val="0"/>
        <w:spacing w:after="0" w:line="276" w:lineRule="auto"/>
        <w:jc w:val="both"/>
        <w:rPr>
          <w:rFonts w:ascii="Verdana" w:hAnsi="Verdana" w:cs="Arial"/>
        </w:rPr>
      </w:pPr>
    </w:p>
    <w:p w14:paraId="26F50D72" w14:textId="77777777" w:rsidR="00D4125A" w:rsidRPr="002F7FFD" w:rsidRDefault="00D4125A" w:rsidP="00D4125A">
      <w:pPr>
        <w:numPr>
          <w:ilvl w:val="0"/>
          <w:numId w:val="17"/>
        </w:numPr>
        <w:tabs>
          <w:tab w:val="left" w:pos="142"/>
          <w:tab w:val="left" w:pos="284"/>
        </w:tabs>
        <w:spacing w:after="0" w:line="276" w:lineRule="auto"/>
        <w:ind w:left="1068"/>
        <w:jc w:val="both"/>
        <w:rPr>
          <w:rFonts w:ascii="Verdana" w:eastAsia="Century Gothic" w:hAnsi="Verdana" w:cs="Century Gothic"/>
          <w:b/>
          <w:bCs/>
        </w:rPr>
      </w:pPr>
      <w:r w:rsidRPr="002F7FFD">
        <w:rPr>
          <w:rFonts w:ascii="Verdana" w:eastAsia="Century Gothic" w:hAnsi="Verdana" w:cs="Century Gothic"/>
          <w:b/>
          <w:bCs/>
        </w:rPr>
        <w:t>Doctrina de la Agencia Nacional de Contratación Pública:</w:t>
      </w:r>
    </w:p>
    <w:p w14:paraId="221197C5" w14:textId="77777777" w:rsidR="00D4125A" w:rsidRPr="002F7FFD" w:rsidRDefault="00D4125A" w:rsidP="00D4125A">
      <w:pPr>
        <w:widowControl w:val="0"/>
        <w:autoSpaceDE w:val="0"/>
        <w:autoSpaceDN w:val="0"/>
        <w:spacing w:after="0" w:line="276" w:lineRule="auto"/>
        <w:jc w:val="both"/>
        <w:rPr>
          <w:rFonts w:ascii="Verdana" w:hAnsi="Verdana" w:cs="Arial"/>
        </w:rPr>
      </w:pPr>
    </w:p>
    <w:p w14:paraId="17F833BD" w14:textId="77777777" w:rsidR="00D4125A" w:rsidRDefault="00D4125A" w:rsidP="00D4125A">
      <w:pPr>
        <w:widowControl w:val="0"/>
        <w:autoSpaceDE w:val="0"/>
        <w:autoSpaceDN w:val="0"/>
        <w:spacing w:after="120" w:line="276" w:lineRule="auto"/>
        <w:jc w:val="both"/>
        <w:rPr>
          <w:rFonts w:ascii="Verdana" w:eastAsia="Calibri" w:hAnsi="Verdana" w:cs="Arial"/>
          <w:color w:val="000000" w:themeColor="text1"/>
          <w:lang w:eastAsia="es-ES_tradnl"/>
        </w:rPr>
      </w:pPr>
      <w:r w:rsidRPr="002F7FFD">
        <w:rPr>
          <w:rFonts w:ascii="Verdana" w:hAnsi="Verdana" w:cs="Arial"/>
          <w:shd w:val="clear" w:color="auto" w:fill="FFFFFF"/>
        </w:rPr>
        <w:t>La Agencia Nacional de Contratación Pública – Colombia Compra Eficiente se ha pronunciado en varias ocasiones sobre el AIU en los Conceptos 4201714000005136 del 14 de noviembre de 2017; 4201714000006401 del 23 de noviembre de 2017; 4201813000004155 del 9 de mayo de 2018; 4201814000008069 del 27 de septiembre de 2018; 4201814000007383 del 18 de octubre de 2018; 4201814000008069 del 13 de noviembre de 2018; 4201912000004214 del 26 de junio de 2019; 4201912000006455 y 4201912000006463 del 19 de septiembre de 2019; 4201912000007375 del 28 de octubre de 2019; 4201912000007092 del 29 de noviembre de 2019; 4202012000000093, C–037 del 28 de enero de 2020, 4202012000000664 del 30 de enero de 2020, C-191 del 16 de marzo de 2020, C-211 del 8 de abril de 2020, C-714 del 9 de diciembre de 2020, C-059 del 10 de marzo de 2021, C-613 del 6 de octubre de 2022, C-716 de 15 de noviembre de 2022, C-802 de 23 de noviembre de 2022, C-854 del 9 de diciembre de 2022, C-914 del 27 de diciembre de 2022, C-361 de septiembre de 2023, C-401 del 27 de septiembre de 2023, C-455 del 18 de septiembre de 2024, C-065 del 27 de febrero de 2025, C-248 del 3 de abril de 2025</w:t>
      </w:r>
      <w:r>
        <w:rPr>
          <w:rFonts w:ascii="Verdana" w:hAnsi="Verdana" w:cs="Arial"/>
          <w:shd w:val="clear" w:color="auto" w:fill="FFFFFF"/>
        </w:rPr>
        <w:t>,</w:t>
      </w:r>
      <w:r w:rsidRPr="002F7FFD">
        <w:rPr>
          <w:rFonts w:ascii="Verdana" w:hAnsi="Verdana" w:cs="Arial"/>
          <w:shd w:val="clear" w:color="auto" w:fill="FFFFFF"/>
        </w:rPr>
        <w:t xml:space="preserve"> C-311 del 17 de marzo de 2026</w:t>
      </w:r>
      <w:r>
        <w:rPr>
          <w:rFonts w:ascii="Verdana" w:hAnsi="Verdana" w:cs="Arial"/>
          <w:shd w:val="clear" w:color="auto" w:fill="FFFFFF"/>
        </w:rPr>
        <w:t xml:space="preserve"> y C-711 del 18 de junio de 2026</w:t>
      </w:r>
      <w:r w:rsidRPr="002F7FFD">
        <w:rPr>
          <w:rFonts w:ascii="Verdana" w:eastAsia="Calibri" w:hAnsi="Verdana" w:cs="Arial"/>
          <w:color w:val="000000" w:themeColor="text1"/>
          <w:lang w:eastAsia="es-ES_tradnl"/>
        </w:rPr>
        <w:t>.</w:t>
      </w:r>
    </w:p>
    <w:p w14:paraId="27E5A4F7" w14:textId="0544203E" w:rsidR="00D4125A" w:rsidRDefault="00D4125A" w:rsidP="00D4125A">
      <w:pPr>
        <w:widowControl w:val="0"/>
        <w:autoSpaceDE w:val="0"/>
        <w:autoSpaceDN w:val="0"/>
        <w:spacing w:after="120" w:line="276" w:lineRule="auto"/>
        <w:jc w:val="both"/>
        <w:rPr>
          <w:rFonts w:ascii="Verdana" w:eastAsia="Calibri" w:hAnsi="Verdana" w:cs="Arial"/>
          <w:color w:val="000000" w:themeColor="text1"/>
          <w:lang w:eastAsia="es-ES_tradnl"/>
        </w:rPr>
      </w:pPr>
      <w:r>
        <w:rPr>
          <w:rFonts w:ascii="Verdana" w:eastAsia="Calibri" w:hAnsi="Verdana" w:cs="Arial"/>
          <w:shd w:val="clear" w:color="auto" w:fill="FFFFFF"/>
          <w:lang w:val="es-ES" w:eastAsia="es-MX"/>
        </w:rPr>
        <w:t>En relación con</w:t>
      </w:r>
      <w:r w:rsidR="009F4DE1">
        <w:rPr>
          <w:rFonts w:ascii="Verdana" w:eastAsia="Calibri" w:hAnsi="Verdana" w:cs="Arial"/>
          <w:shd w:val="clear" w:color="auto" w:fill="FFFFFF"/>
          <w:lang w:val="es-ES" w:eastAsia="es-MX"/>
        </w:rPr>
        <w:t xml:space="preserve"> </w:t>
      </w:r>
      <w:r w:rsidRPr="00C15B51">
        <w:rPr>
          <w:rFonts w:ascii="Verdana" w:eastAsia="Calibri" w:hAnsi="Verdana" w:cs="Arial"/>
          <w:shd w:val="clear" w:color="auto" w:fill="FFFFFF"/>
          <w:lang w:val="es-ES" w:eastAsia="es-MX"/>
        </w:rPr>
        <w:t xml:space="preserve">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2024,C-636 del 1 de noviembre de 2024, C-777 del 9 de diciembre de 2024, C-971 del 21 de enero de 2025, C-1813 del 31 de diciembre de 2025, C-182 del 19 de marzo de 2026, C-246 del 12 de marzo de 2026, C-258 del 19 de marzo de 2026, C-385 del </w:t>
      </w:r>
      <w:r w:rsidRPr="00C15B51">
        <w:rPr>
          <w:rFonts w:ascii="Verdana" w:eastAsia="Aptos" w:hAnsi="Verdana" w:cs="Times New Roman"/>
          <w:kern w:val="2"/>
          <w14:ligatures w14:val="standardContextual"/>
        </w:rPr>
        <w:t>15 de abril del 2025</w:t>
      </w:r>
      <w:r>
        <w:rPr>
          <w:rFonts w:ascii="Verdana" w:eastAsia="Aptos" w:hAnsi="Verdana" w:cs="Times New Roman"/>
          <w:kern w:val="2"/>
          <w14:ligatures w14:val="standardContextual"/>
        </w:rPr>
        <w:t>, C-453 del 04 de mayo de 2025, C-452 del 04 de mayo de 2025,</w:t>
      </w:r>
      <w:r w:rsidRPr="00227488">
        <w:rPr>
          <w:rFonts w:ascii="Verdana" w:eastAsia="Calibri" w:hAnsi="Verdana" w:cs="Arial"/>
          <w:lang w:val="es-ES" w:eastAsia="es-ES"/>
        </w:rPr>
        <w:t xml:space="preserve"> C–771 del </w:t>
      </w:r>
      <w:r w:rsidRPr="00227488">
        <w:rPr>
          <w:rFonts w:ascii="Verdana" w:hAnsi="Verdana"/>
        </w:rPr>
        <w:t>18 Junio 2026</w:t>
      </w:r>
      <w:r w:rsidRPr="00227488">
        <w:rPr>
          <w:rFonts w:ascii="Verdana" w:eastAsia="Calibri" w:hAnsi="Verdana" w:cs="Arial"/>
          <w:lang w:val="es-ES" w:eastAsia="es-ES"/>
        </w:rPr>
        <w:t xml:space="preserve"> 2026</w:t>
      </w:r>
      <w:r>
        <w:rPr>
          <w:rFonts w:ascii="Verdana" w:eastAsia="Calibri" w:hAnsi="Verdana" w:cs="Arial"/>
          <w:lang w:val="es-ES" w:eastAsia="es-ES"/>
        </w:rPr>
        <w:t>,</w:t>
      </w:r>
      <w:r w:rsidRPr="00227488">
        <w:rPr>
          <w:rFonts w:ascii="Verdana" w:eastAsia="Aptos" w:hAnsi="Verdana" w:cs="Times New Roman"/>
          <w:kern w:val="2"/>
          <w14:ligatures w14:val="standardContextual"/>
        </w:rPr>
        <w:t xml:space="preserve"> </w:t>
      </w:r>
      <w:r w:rsidRPr="00227488">
        <w:rPr>
          <w:rFonts w:ascii="Verdana" w:eastAsia="Calibri" w:hAnsi="Verdana" w:cs="Arial"/>
          <w:shd w:val="clear" w:color="auto" w:fill="FFFFFF"/>
          <w:lang w:val="es-ES" w:eastAsia="es-MX"/>
        </w:rPr>
        <w:t>entre otros.</w:t>
      </w:r>
    </w:p>
    <w:p w14:paraId="2FF66043" w14:textId="77777777" w:rsidR="00D4125A" w:rsidRPr="002F7FFD" w:rsidRDefault="00D4125A" w:rsidP="00D4125A">
      <w:pPr>
        <w:widowControl w:val="0"/>
        <w:autoSpaceDE w:val="0"/>
        <w:autoSpaceDN w:val="0"/>
        <w:spacing w:after="120" w:line="276" w:lineRule="auto"/>
        <w:jc w:val="both"/>
        <w:rPr>
          <w:rFonts w:ascii="Verdana" w:eastAsia="Calibri" w:hAnsi="Verdana" w:cs="Arial"/>
          <w:color w:val="000000" w:themeColor="text1"/>
          <w:lang w:eastAsia="es-ES_tradnl"/>
        </w:rPr>
      </w:pPr>
      <w:r w:rsidRPr="002F7FFD">
        <w:rPr>
          <w:rFonts w:ascii="Verdana" w:eastAsia="Calibri" w:hAnsi="Verdana" w:cs="Arial"/>
          <w:color w:val="000000" w:themeColor="text1"/>
          <w:lang w:eastAsia="es-ES_tradnl"/>
        </w:rPr>
        <w:t xml:space="preserve"> </w:t>
      </w:r>
      <w:r w:rsidRPr="002F7FFD">
        <w:rPr>
          <w:rFonts w:ascii="Verdana" w:hAnsi="Verdana" w:cs="Arial"/>
          <w:shd w:val="clear" w:color="auto" w:fill="FFFFFF"/>
        </w:rPr>
        <w:t>Es</w:t>
      </w:r>
      <w:r w:rsidRPr="002F7FFD">
        <w:rPr>
          <w:rFonts w:ascii="Verdana" w:hAnsi="Verdana"/>
        </w:rPr>
        <w:t>tos conceptos se encuentran disponibles para consulta en el Sistema de relatoría de la Agencia, al cual se puede acceder a través del siguiente enlace:</w:t>
      </w:r>
      <w:r w:rsidRPr="002F7FFD">
        <w:rPr>
          <w:rFonts w:ascii="Verdana" w:hAnsi="Verdana" w:cs="Arial"/>
          <w:shd w:val="clear" w:color="auto" w:fill="FFFFFF"/>
        </w:rPr>
        <w:t xml:space="preserve"> </w:t>
      </w:r>
      <w:hyperlink r:id="rId13" w:history="1">
        <w:r w:rsidRPr="002F7FFD">
          <w:rPr>
            <w:rFonts w:ascii="Verdana" w:hAnsi="Verdana" w:cs="Arial"/>
            <w:color w:val="0563C1" w:themeColor="hyperlink"/>
            <w:u w:val="single"/>
            <w:shd w:val="clear" w:color="auto" w:fill="FFFFFF"/>
          </w:rPr>
          <w:t>https://relatoria.colombiacompra.gov.co/busqueda/conceptos</w:t>
        </w:r>
      </w:hyperlink>
      <w:r w:rsidRPr="002F7FFD">
        <w:rPr>
          <w:rFonts w:ascii="Verdana" w:hAnsi="Verdana" w:cs="Arial"/>
          <w:shd w:val="clear" w:color="auto" w:fill="FFFFFF"/>
        </w:rPr>
        <w:t>.</w:t>
      </w:r>
      <w:r w:rsidRPr="002F7FFD">
        <w:rPr>
          <w:rFonts w:ascii="Verdana" w:hAnsi="Verdana" w:cs="Arial"/>
          <w:color w:val="FF0000"/>
          <w:shd w:val="clear" w:color="auto" w:fill="FFFFFF"/>
        </w:rPr>
        <w:t xml:space="preserve"> </w:t>
      </w:r>
      <w:r w:rsidRPr="002F7FFD">
        <w:rPr>
          <w:rFonts w:ascii="Verdana" w:hAnsi="Verdana" w:cs="Arial"/>
          <w:color w:val="000000" w:themeColor="text1"/>
          <w:shd w:val="clear" w:color="auto" w:fill="FFFFFF"/>
        </w:rPr>
        <w:t>  </w:t>
      </w:r>
    </w:p>
    <w:p w14:paraId="19D7BD96" w14:textId="77777777" w:rsidR="00D4125A" w:rsidRPr="002F7FFD" w:rsidRDefault="00D4125A" w:rsidP="00D4125A">
      <w:pPr>
        <w:jc w:val="both"/>
        <w:rPr>
          <w:rFonts w:ascii="Verdana" w:hAnsi="Verdana"/>
        </w:rPr>
      </w:pPr>
      <w:r w:rsidRPr="002F7FFD">
        <w:rPr>
          <w:rFonts w:ascii="Verdana" w:hAnsi="Verdana"/>
        </w:rPr>
        <w:lastRenderedPageBreak/>
        <w:t xml:space="preserve">La sostenibilidad no es una opción, es una obligación. Por ello, la Agencia Nacional de Contratación Pública –Colombia Compra Eficiente– te invita a realizar el </w:t>
      </w:r>
      <w:r w:rsidRPr="002F7FFD">
        <w:rPr>
          <w:rFonts w:ascii="Verdana" w:hAnsi="Verdana"/>
          <w:b/>
          <w:bCs/>
        </w:rPr>
        <w:t>Curso de Contratación Pública Sostenible y Socialmente Responsable</w:t>
      </w:r>
      <w:r w:rsidRPr="002F7FFD">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2F7FFD">
        <w:rPr>
          <w:rFonts w:ascii="Verdana" w:hAnsi="Verdana"/>
        </w:rPr>
        <w:br/>
      </w:r>
      <w:hyperlink r:id="rId14" w:tgtFrame="_new" w:history="1">
        <w:r w:rsidRPr="002F7FFD">
          <w:rPr>
            <w:rFonts w:ascii="Verdana" w:hAnsi="Verdana"/>
            <w:color w:val="0000FF"/>
            <w:u w:val="single"/>
          </w:rPr>
          <w:t>https://formacionvirtual.colombiacompra.gov.co/mod/page/view.php?id=3718</w:t>
        </w:r>
      </w:hyperlink>
    </w:p>
    <w:p w14:paraId="0490F5C4" w14:textId="77777777" w:rsidR="00D4125A" w:rsidRPr="002F7FFD" w:rsidRDefault="00D4125A" w:rsidP="00D4125A">
      <w:pPr>
        <w:jc w:val="both"/>
        <w:rPr>
          <w:rFonts w:ascii="Verdana" w:hAnsi="Verdana"/>
        </w:rPr>
      </w:pPr>
      <w:r w:rsidRPr="002F7FFD">
        <w:rPr>
          <w:rFonts w:ascii="Verdana" w:hAnsi="Verdana"/>
        </w:rPr>
        <w:t xml:space="preserve">De otro lado, te contamos que esta Agencia ha da un paso decisivo en la estandarización y modernización del </w:t>
      </w:r>
      <w:r w:rsidRPr="002F7FFD">
        <w:rPr>
          <w:rFonts w:ascii="Verdana" w:hAnsi="Verdana"/>
          <w:b/>
          <w:bCs/>
        </w:rPr>
        <w:t>sector  social</w:t>
      </w:r>
      <w:r w:rsidRPr="002F7FFD">
        <w:rPr>
          <w:rFonts w:ascii="Verdana" w:hAnsi="Verdana"/>
        </w:rPr>
        <w:t xml:space="preserve"> con la expedición de las </w:t>
      </w:r>
      <w:r w:rsidRPr="002F7FFD">
        <w:rPr>
          <w:rFonts w:ascii="Verdana" w:hAnsi="Verdana"/>
          <w:b/>
          <w:bCs/>
        </w:rPr>
        <w:t>Resoluciones 539, 540, 541, 952 y 953 de 2025</w:t>
      </w:r>
      <w:r w:rsidRPr="002F7FFD">
        <w:rPr>
          <w:rFonts w:ascii="Verdana" w:hAnsi="Verdana"/>
        </w:rPr>
        <w:t xml:space="preserve">, </w:t>
      </w:r>
      <w:r w:rsidRPr="002F7FFD">
        <w:rPr>
          <w:rFonts w:ascii="Verdana" w:hAnsi="Verdana"/>
          <w:b/>
          <w:bCs/>
        </w:rPr>
        <w:t>mediante las cuales adoptó Documentos Tipo</w:t>
      </w:r>
      <w:r w:rsidRPr="002F7FFD">
        <w:rPr>
          <w:rFonts w:ascii="Verdana" w:hAnsi="Verdana"/>
        </w:rPr>
        <w:t xml:space="preserve"> para las modalidades de selección de</w:t>
      </w:r>
      <w:r w:rsidRPr="002F7FFD">
        <w:rPr>
          <w:rFonts w:ascii="Verdana" w:hAnsi="Verdana"/>
          <w:b/>
          <w:bCs/>
        </w:rPr>
        <w:t xml:space="preserve"> licitación pública (versión 2), selección abreviada de menor cuantía, mínima cuantía, consultoría e interventoría</w:t>
      </w:r>
      <w:r w:rsidRPr="002F7FFD">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2F7FFD">
          <w:rPr>
            <w:rFonts w:ascii="Verdana" w:hAnsi="Verdana"/>
            <w:color w:val="0000FF"/>
            <w:u w:val="single"/>
          </w:rPr>
          <w:t>https://www.colombiacompra.gov.co/normativa-y-relatoria/documentos-tipo</w:t>
        </w:r>
      </w:hyperlink>
    </w:p>
    <w:p w14:paraId="4831249D" w14:textId="77777777" w:rsidR="00D4125A" w:rsidRPr="002F7FFD" w:rsidRDefault="00D4125A" w:rsidP="00D4125A">
      <w:pPr>
        <w:jc w:val="both"/>
        <w:rPr>
          <w:rFonts w:ascii="Verdana" w:hAnsi="Verdana"/>
          <w:color w:val="000000"/>
        </w:rPr>
      </w:pPr>
      <w:r w:rsidRPr="002F7FFD">
        <w:rPr>
          <w:rFonts w:ascii="Verdana" w:hAnsi="Verdana"/>
        </w:rPr>
        <w:t xml:space="preserve">Si quieres conocer más sobre la aplicación de Documentos Tipo puedes consultar la última versión de la </w:t>
      </w:r>
      <w:r w:rsidRPr="002F7FFD">
        <w:rPr>
          <w:rFonts w:ascii="Verdana" w:hAnsi="Verdana"/>
          <w:b/>
          <w:bCs/>
        </w:rPr>
        <w:t>Guía para la comprensión e implementación de los Documentos Tipo de obra pública de infraestructura de transporte</w:t>
      </w:r>
      <w:r w:rsidRPr="002F7FFD">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2F7FFD">
        <w:rPr>
          <w:rFonts w:ascii="Verdana" w:hAnsi="Verdana"/>
        </w:rPr>
        <w:br/>
      </w:r>
      <w:hyperlink r:id="rId16" w:tgtFrame="_new" w:history="1">
        <w:r w:rsidRPr="002F7FFD">
          <w:rPr>
            <w:rFonts w:ascii="Verdana" w:hAnsi="Verdana"/>
            <w:color w:val="0000FF"/>
            <w:u w:val="single"/>
          </w:rPr>
          <w:t>https://www.colombiacompra.gov.co/archivos/manual/guia-para-la-comprension-e-implementacion-de-los-documentos-tipo-de-obra-publica-de-infraestructura-de-transporte-bajo-las-diferentes-modalidades-de-contratacion-vigentes</w:t>
        </w:r>
      </w:hyperlink>
    </w:p>
    <w:p w14:paraId="20566EA8" w14:textId="77777777" w:rsidR="00D4125A" w:rsidRPr="002F7FFD" w:rsidRDefault="00D4125A" w:rsidP="00D4125A">
      <w:pPr>
        <w:spacing w:after="0"/>
        <w:jc w:val="both"/>
        <w:rPr>
          <w:rFonts w:ascii="Verdana" w:hAnsi="Verdana"/>
        </w:rPr>
      </w:pPr>
      <w:r w:rsidRPr="002F7FFD">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2EDFF1C8" w14:textId="77777777" w:rsidR="00D4125A" w:rsidRPr="002F7FFD" w:rsidRDefault="00D4125A" w:rsidP="00D4125A">
      <w:pPr>
        <w:spacing w:after="0"/>
        <w:jc w:val="both"/>
        <w:rPr>
          <w:rFonts w:ascii="Verdana" w:hAnsi="Verdana"/>
        </w:rPr>
      </w:pPr>
    </w:p>
    <w:p w14:paraId="604B5BD2" w14:textId="77777777" w:rsidR="00D4125A" w:rsidRPr="002F7FFD" w:rsidRDefault="00D4125A" w:rsidP="00D4125A">
      <w:pPr>
        <w:numPr>
          <w:ilvl w:val="0"/>
          <w:numId w:val="15"/>
        </w:numPr>
        <w:spacing w:after="0" w:line="240" w:lineRule="auto"/>
        <w:contextualSpacing/>
        <w:jc w:val="both"/>
        <w:rPr>
          <w:rFonts w:ascii="Verdana" w:eastAsia="Verdana" w:hAnsi="Verdana" w:cs="Verdana"/>
          <w:color w:val="4472C4" w:themeColor="accent1"/>
          <w:u w:val="single"/>
        </w:rPr>
      </w:pPr>
      <w:r w:rsidRPr="002F7FFD">
        <w:rPr>
          <w:rFonts w:ascii="Verdana" w:eastAsia="Verdana" w:hAnsi="Verdana" w:cs="Verdana"/>
        </w:rPr>
        <w:lastRenderedPageBreak/>
        <w:t xml:space="preserve">Línea nacional gratuita o servicio a la ciudadanía (Mesa de servicio): </w:t>
      </w:r>
      <w:r w:rsidRPr="002F7FFD">
        <w:rPr>
          <w:rFonts w:ascii="Verdana" w:hAnsi="Verdana"/>
          <w:color w:val="0000FF"/>
          <w:u w:val="single"/>
        </w:rPr>
        <w:t>01800 0520808</w:t>
      </w:r>
    </w:p>
    <w:p w14:paraId="460E8325" w14:textId="77777777" w:rsidR="00D4125A" w:rsidRPr="002F7FFD" w:rsidRDefault="00D4125A" w:rsidP="00D4125A">
      <w:pPr>
        <w:numPr>
          <w:ilvl w:val="0"/>
          <w:numId w:val="15"/>
        </w:numPr>
        <w:spacing w:after="0" w:line="256" w:lineRule="auto"/>
        <w:contextualSpacing/>
        <w:rPr>
          <w:rFonts w:ascii="Verdana" w:eastAsia="Verdana" w:hAnsi="Verdana" w:cs="Verdana"/>
          <w:color w:val="4472C4" w:themeColor="accent1"/>
          <w:u w:val="single"/>
        </w:rPr>
      </w:pPr>
      <w:r w:rsidRPr="002F7FFD">
        <w:rPr>
          <w:rFonts w:ascii="Verdana" w:eastAsia="Verdana" w:hAnsi="Verdana" w:cs="Verdana"/>
        </w:rPr>
        <w:t>Línea en Bogotá (Mesa de servicio):</w:t>
      </w:r>
      <w:r w:rsidRPr="002F7FFD">
        <w:rPr>
          <w:rFonts w:ascii="Verdana" w:hAnsi="Verdana"/>
          <w:color w:val="0000FF"/>
          <w:u w:val="single"/>
        </w:rPr>
        <w:t>+57 601 7456788</w:t>
      </w:r>
    </w:p>
    <w:p w14:paraId="35CA05F2" w14:textId="77777777" w:rsidR="00D4125A" w:rsidRPr="002F7FFD" w:rsidRDefault="00D4125A" w:rsidP="00D4125A">
      <w:pPr>
        <w:numPr>
          <w:ilvl w:val="0"/>
          <w:numId w:val="15"/>
        </w:numPr>
        <w:spacing w:after="0" w:line="256" w:lineRule="auto"/>
        <w:contextualSpacing/>
        <w:rPr>
          <w:rFonts w:ascii="Verdana" w:eastAsia="Verdana" w:hAnsi="Verdana" w:cs="Verdana"/>
          <w:color w:val="0000FF"/>
          <w:u w:val="single"/>
        </w:rPr>
      </w:pPr>
      <w:r w:rsidRPr="002F7FFD">
        <w:rPr>
          <w:rFonts w:ascii="Verdana" w:eastAsia="Verdana" w:hAnsi="Verdana" w:cs="Verdana"/>
        </w:rPr>
        <w:t xml:space="preserve">Correo de radicación de correspondencia: </w:t>
      </w:r>
      <w:hyperlink r:id="rId17" w:history="1">
        <w:r w:rsidRPr="002F7FFD">
          <w:rPr>
            <w:rFonts w:ascii="Verdana" w:eastAsia="Verdana" w:hAnsi="Verdana" w:cs="Verdana"/>
            <w:color w:val="0000FF"/>
            <w:u w:val="single"/>
          </w:rPr>
          <w:t>ventanilladeradicacion@colombiacompra.gov.co</w:t>
        </w:r>
      </w:hyperlink>
    </w:p>
    <w:p w14:paraId="2252F726" w14:textId="77777777" w:rsidR="00D4125A" w:rsidRPr="002F7FFD" w:rsidRDefault="00D4125A" w:rsidP="00D4125A">
      <w:pPr>
        <w:numPr>
          <w:ilvl w:val="0"/>
          <w:numId w:val="15"/>
        </w:numPr>
        <w:spacing w:after="0" w:line="256" w:lineRule="auto"/>
        <w:contextualSpacing/>
        <w:rPr>
          <w:rFonts w:ascii="Verdana" w:eastAsia="Verdana" w:hAnsi="Verdana" w:cs="Verdana"/>
          <w:color w:val="0000FF"/>
          <w:u w:val="single"/>
        </w:rPr>
      </w:pPr>
      <w:r w:rsidRPr="002F7FFD">
        <w:rPr>
          <w:rFonts w:ascii="Verdana" w:eastAsia="Verdana" w:hAnsi="Verdana" w:cs="Verdana"/>
        </w:rPr>
        <w:t xml:space="preserve">Formulario web para PQRSD: </w:t>
      </w:r>
      <w:hyperlink r:id="rId18" w:history="1">
        <w:r w:rsidRPr="002F7FFD">
          <w:rPr>
            <w:rFonts w:ascii="Verdana" w:eastAsia="Verdana" w:hAnsi="Verdana" w:cs="Verdana"/>
            <w:color w:val="0000FF"/>
            <w:u w:val="single"/>
          </w:rPr>
          <w:t>https://www.colombiacompra.gov.co/pqrsd/informacion-importante-antes-de-formular-una-pqrsd</w:t>
        </w:r>
      </w:hyperlink>
    </w:p>
    <w:p w14:paraId="63E0254C" w14:textId="77777777" w:rsidR="00D4125A" w:rsidRPr="002F7FFD" w:rsidRDefault="00D4125A" w:rsidP="00D4125A">
      <w:pPr>
        <w:spacing w:after="0" w:line="240" w:lineRule="auto"/>
        <w:ind w:left="720"/>
        <w:jc w:val="both"/>
        <w:rPr>
          <w:rFonts w:ascii="Verdana" w:hAnsi="Verdana"/>
        </w:rPr>
      </w:pPr>
    </w:p>
    <w:p w14:paraId="2903D32A" w14:textId="77777777" w:rsidR="00D4125A" w:rsidRPr="002F7FFD" w:rsidRDefault="00D4125A" w:rsidP="00D4125A">
      <w:pPr>
        <w:spacing w:after="0" w:line="240" w:lineRule="auto"/>
        <w:rPr>
          <w:rFonts w:ascii="Verdana" w:hAnsi="Verdana"/>
        </w:rPr>
      </w:pPr>
      <w:r w:rsidRPr="002F7FFD">
        <w:rPr>
          <w:rFonts w:ascii="Verdana" w:hAnsi="Verdana"/>
        </w:rPr>
        <w:t>Evalúa el servicio que ofrece la Agencia por el canal de atención de PQRSD en el siguiente enlace :</w:t>
      </w:r>
      <w:hyperlink r:id="rId19" w:tgtFrame="_blank" w:tooltip="https://forms.office.com/r/pphywvs2sz" w:history="1">
        <w:r w:rsidRPr="002F7FFD">
          <w:rPr>
            <w:rFonts w:ascii="Verdana" w:hAnsi="Verdana"/>
            <w:color w:val="0000FF"/>
            <w:u w:val="single"/>
          </w:rPr>
          <w:t>https://forms.office.com/r/pPHyWVs2SZ</w:t>
        </w:r>
      </w:hyperlink>
      <w:r w:rsidRPr="002F7FFD">
        <w:rPr>
          <w:rFonts w:ascii="Verdana" w:hAnsi="Verdana"/>
        </w:rPr>
        <w:t xml:space="preserve"> .¡Ayúdanos a mejorar porque el compromiso es de todos!</w:t>
      </w:r>
    </w:p>
    <w:p w14:paraId="12C8C415" w14:textId="77777777" w:rsidR="00D4125A" w:rsidRPr="002F7FFD" w:rsidRDefault="00D4125A" w:rsidP="00D4125A">
      <w:pPr>
        <w:spacing w:after="0" w:line="240" w:lineRule="auto"/>
        <w:rPr>
          <w:rFonts w:ascii="Verdana" w:hAnsi="Verdana"/>
        </w:rPr>
      </w:pPr>
    </w:p>
    <w:p w14:paraId="3B171A98" w14:textId="77777777" w:rsidR="00D4125A" w:rsidRPr="002F7FFD" w:rsidRDefault="00D4125A" w:rsidP="00D4125A">
      <w:pPr>
        <w:spacing w:after="0" w:line="240" w:lineRule="auto"/>
        <w:jc w:val="both"/>
        <w:rPr>
          <w:rFonts w:ascii="Verdana" w:hAnsi="Verdana"/>
        </w:rPr>
      </w:pPr>
      <w:r w:rsidRPr="002F7FFD">
        <w:rPr>
          <w:rFonts w:ascii="Verdana" w:hAnsi="Verdana"/>
        </w:rPr>
        <w:t xml:space="preserve">Por último, lo invitamos a seguirnos en las redes sociales en las cuales se difunde información institucional: </w:t>
      </w:r>
    </w:p>
    <w:p w14:paraId="0063FF35" w14:textId="77777777" w:rsidR="00D4125A" w:rsidRPr="002F7FFD" w:rsidRDefault="00D4125A" w:rsidP="00D4125A">
      <w:pPr>
        <w:spacing w:after="0" w:line="240" w:lineRule="auto"/>
        <w:jc w:val="both"/>
        <w:rPr>
          <w:rFonts w:ascii="Verdana" w:hAnsi="Verdana"/>
        </w:rPr>
      </w:pPr>
    </w:p>
    <w:p w14:paraId="17423A65" w14:textId="77777777" w:rsidR="00D4125A" w:rsidRPr="002F7FFD" w:rsidRDefault="00D4125A" w:rsidP="00D4125A">
      <w:pPr>
        <w:spacing w:after="0" w:line="240" w:lineRule="auto"/>
        <w:jc w:val="both"/>
        <w:rPr>
          <w:rFonts w:ascii="Verdana" w:hAnsi="Verdana"/>
        </w:rPr>
      </w:pPr>
      <w:r w:rsidRPr="002F7FFD">
        <w:rPr>
          <w:rFonts w:ascii="Verdana" w:hAnsi="Verdana"/>
        </w:rPr>
        <w:t xml:space="preserve">Twitter: </w:t>
      </w:r>
      <w:r w:rsidRPr="002F7FFD">
        <w:rPr>
          <w:rFonts w:ascii="Verdana" w:hAnsi="Verdana"/>
          <w:color w:val="0000FF"/>
          <w:u w:val="single"/>
        </w:rPr>
        <w:t>@colombiacompra</w:t>
      </w:r>
      <w:r w:rsidRPr="002F7FFD">
        <w:rPr>
          <w:rFonts w:ascii="Verdana" w:hAnsi="Verdana"/>
        </w:rPr>
        <w:t xml:space="preserve"> </w:t>
      </w:r>
    </w:p>
    <w:p w14:paraId="62C6F9A0" w14:textId="77777777" w:rsidR="00D4125A" w:rsidRPr="002F7FFD" w:rsidRDefault="00D4125A" w:rsidP="00D4125A">
      <w:pPr>
        <w:spacing w:after="0" w:line="240" w:lineRule="auto"/>
        <w:jc w:val="both"/>
        <w:rPr>
          <w:rFonts w:ascii="Verdana" w:hAnsi="Verdana"/>
        </w:rPr>
      </w:pPr>
      <w:r w:rsidRPr="002F7FFD">
        <w:rPr>
          <w:rFonts w:ascii="Verdana" w:hAnsi="Verdana"/>
        </w:rPr>
        <w:t xml:space="preserve">Facebook: </w:t>
      </w:r>
      <w:r w:rsidRPr="002F7FFD">
        <w:rPr>
          <w:rFonts w:ascii="Verdana" w:hAnsi="Verdana"/>
          <w:color w:val="0000FF"/>
          <w:u w:val="single"/>
        </w:rPr>
        <w:t>ColombiaCompraEficiente</w:t>
      </w:r>
    </w:p>
    <w:p w14:paraId="06635B88" w14:textId="77777777" w:rsidR="00D4125A" w:rsidRPr="002F7FFD" w:rsidRDefault="00D4125A" w:rsidP="00D4125A">
      <w:pPr>
        <w:spacing w:after="0" w:line="240" w:lineRule="auto"/>
        <w:jc w:val="both"/>
        <w:rPr>
          <w:rFonts w:ascii="Verdana" w:hAnsi="Verdana"/>
        </w:rPr>
      </w:pPr>
      <w:r w:rsidRPr="002F7FFD">
        <w:rPr>
          <w:rFonts w:ascii="Verdana" w:hAnsi="Verdana"/>
        </w:rPr>
        <w:t xml:space="preserve">LinkedIn: </w:t>
      </w:r>
      <w:r w:rsidRPr="002F7FFD">
        <w:rPr>
          <w:rFonts w:ascii="Verdana" w:hAnsi="Verdana"/>
          <w:color w:val="0000FF"/>
          <w:u w:val="single"/>
        </w:rPr>
        <w:t>Agencia Nacional de Contratación Pública - Colombia Compra Eficiente</w:t>
      </w:r>
      <w:r w:rsidRPr="002F7FFD">
        <w:rPr>
          <w:rFonts w:ascii="Verdana" w:hAnsi="Verdana"/>
        </w:rPr>
        <w:t xml:space="preserve"> Instagram: </w:t>
      </w:r>
      <w:r w:rsidRPr="002F7FFD">
        <w:rPr>
          <w:rFonts w:ascii="Verdana" w:hAnsi="Verdana"/>
          <w:color w:val="0000FF"/>
          <w:u w:val="single"/>
        </w:rPr>
        <w:t>@colombiacompraeficiente_cce</w:t>
      </w:r>
    </w:p>
    <w:p w14:paraId="2CBB2562" w14:textId="77777777" w:rsidR="00D4125A" w:rsidRPr="002F7FFD" w:rsidRDefault="00D4125A" w:rsidP="00D4125A">
      <w:pPr>
        <w:widowControl w:val="0"/>
        <w:autoSpaceDE w:val="0"/>
        <w:autoSpaceDN w:val="0"/>
        <w:spacing w:after="0" w:line="276" w:lineRule="auto"/>
        <w:jc w:val="both"/>
        <w:rPr>
          <w:rFonts w:ascii="Verdana" w:hAnsi="Verdana" w:cs="Arial"/>
        </w:rPr>
      </w:pPr>
    </w:p>
    <w:p w14:paraId="2295E430" w14:textId="77777777" w:rsidR="00D4125A" w:rsidRPr="002F7FFD" w:rsidRDefault="00D4125A" w:rsidP="00D4125A">
      <w:pPr>
        <w:widowControl w:val="0"/>
        <w:autoSpaceDE w:val="0"/>
        <w:autoSpaceDN w:val="0"/>
        <w:spacing w:after="0" w:line="276" w:lineRule="auto"/>
        <w:jc w:val="both"/>
        <w:rPr>
          <w:rFonts w:ascii="Verdana" w:hAnsi="Verdana" w:cs="Arial"/>
        </w:rPr>
      </w:pPr>
      <w:r w:rsidRPr="002F7FFD">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B5FD921" w14:textId="695256B1" w:rsidR="00D4125A" w:rsidRPr="002F7FFD" w:rsidRDefault="00D4125A" w:rsidP="00D4125A">
      <w:pPr>
        <w:widowControl w:val="0"/>
        <w:autoSpaceDE w:val="0"/>
        <w:autoSpaceDN w:val="0"/>
        <w:spacing w:after="0" w:line="276" w:lineRule="auto"/>
        <w:jc w:val="both"/>
        <w:rPr>
          <w:rFonts w:ascii="Verdana" w:hAnsi="Verdana" w:cs="Arial"/>
        </w:rPr>
      </w:pPr>
    </w:p>
    <w:p w14:paraId="5719C312" w14:textId="16D4B346" w:rsidR="00D4125A" w:rsidRPr="002F7FFD" w:rsidRDefault="00B236B0" w:rsidP="00D4125A">
      <w:pPr>
        <w:spacing w:after="0" w:line="276" w:lineRule="auto"/>
        <w:rPr>
          <w:rFonts w:ascii="Verdana" w:hAnsi="Verdana" w:cs="Arial"/>
          <w:lang w:eastAsia="es-CO"/>
        </w:rPr>
      </w:pPr>
      <w:r w:rsidRPr="002C3AD6">
        <w:rPr>
          <w:rFonts w:ascii="Century Gothic" w:hAnsi="Century Gothic"/>
          <w:noProof/>
        </w:rPr>
        <w:drawing>
          <wp:anchor distT="0" distB="0" distL="114300" distR="114300" simplePos="0" relativeHeight="251660288" behindDoc="0" locked="0" layoutInCell="1" allowOverlap="1" wp14:anchorId="259DB637" wp14:editId="1D71587D">
            <wp:simplePos x="0" y="0"/>
            <wp:positionH relativeFrom="column">
              <wp:posOffset>1236345</wp:posOffset>
            </wp:positionH>
            <wp:positionV relativeFrom="paragraph">
              <wp:posOffset>91762</wp:posOffset>
            </wp:positionV>
            <wp:extent cx="3552190" cy="1318260"/>
            <wp:effectExtent l="0" t="0" r="3810" b="2540"/>
            <wp:wrapSquare wrapText="bothSides"/>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extLst>
                        <a:ext uri="{28A0092B-C50C-407E-A947-70E740481C1C}">
                          <a14:useLocalDpi xmlns:a14="http://schemas.microsoft.com/office/drawing/2010/main" val="0"/>
                        </a:ext>
                      </a:extLst>
                    </a:blip>
                    <a:stretch>
                      <a:fillRect/>
                    </a:stretch>
                  </pic:blipFill>
                  <pic:spPr>
                    <a:xfrm>
                      <a:off x="0" y="0"/>
                      <a:ext cx="3552190" cy="1318260"/>
                    </a:xfrm>
                    <a:prstGeom prst="rect">
                      <a:avLst/>
                    </a:prstGeom>
                  </pic:spPr>
                </pic:pic>
              </a:graphicData>
            </a:graphic>
            <wp14:sizeRelH relativeFrom="page">
              <wp14:pctWidth>0</wp14:pctWidth>
            </wp14:sizeRelH>
            <wp14:sizeRelV relativeFrom="page">
              <wp14:pctHeight>0</wp14:pctHeight>
            </wp14:sizeRelV>
          </wp:anchor>
        </w:drawing>
      </w:r>
      <w:r w:rsidR="00D4125A" w:rsidRPr="002F7FFD">
        <w:rPr>
          <w:rFonts w:ascii="Verdana" w:eastAsia="Times New Roman" w:hAnsi="Verdana" w:cs="Arial"/>
          <w:lang w:eastAsia="es-CO"/>
        </w:rPr>
        <w:t>Atentamente,</w:t>
      </w:r>
      <w:r w:rsidR="00D4125A" w:rsidRPr="002F7FFD">
        <w:rPr>
          <w:rFonts w:ascii="Verdana" w:hAnsi="Verdana" w:cs="Arial"/>
          <w:lang w:eastAsia="es-CO"/>
        </w:rPr>
        <w:t xml:space="preserve"> </w:t>
      </w:r>
    </w:p>
    <w:p w14:paraId="125D5B97" w14:textId="19BBE678" w:rsidR="00D4125A" w:rsidRDefault="00D4125A" w:rsidP="00D4125A">
      <w:pPr>
        <w:tabs>
          <w:tab w:val="left" w:pos="1320"/>
        </w:tabs>
        <w:jc w:val="center"/>
        <w:rPr>
          <w:rFonts w:ascii="Verdana" w:hAnsi="Verdana"/>
        </w:rPr>
      </w:pPr>
    </w:p>
    <w:p w14:paraId="4674F891" w14:textId="77777777" w:rsidR="00B236B0" w:rsidRDefault="00B236B0" w:rsidP="00D4125A">
      <w:pPr>
        <w:tabs>
          <w:tab w:val="left" w:pos="1320"/>
        </w:tabs>
        <w:jc w:val="center"/>
        <w:rPr>
          <w:rFonts w:ascii="Verdana" w:hAnsi="Verdana"/>
        </w:rPr>
      </w:pPr>
    </w:p>
    <w:p w14:paraId="38D980E0" w14:textId="77777777" w:rsidR="00B236B0" w:rsidRDefault="00B236B0" w:rsidP="00D4125A">
      <w:pPr>
        <w:tabs>
          <w:tab w:val="left" w:pos="1320"/>
        </w:tabs>
        <w:jc w:val="center"/>
        <w:rPr>
          <w:rFonts w:ascii="Verdana" w:hAnsi="Verdana"/>
        </w:rPr>
      </w:pPr>
    </w:p>
    <w:p w14:paraId="482D783A" w14:textId="77777777" w:rsidR="00B236B0" w:rsidRPr="00D426B8" w:rsidRDefault="00B236B0" w:rsidP="00B236B0">
      <w:pPr>
        <w:tabs>
          <w:tab w:val="left" w:pos="1320"/>
        </w:tabs>
        <w:rPr>
          <w:rFonts w:ascii="Verdana" w:hAnsi="Verdana"/>
        </w:rPr>
      </w:pPr>
    </w:p>
    <w:tbl>
      <w:tblPr>
        <w:tblStyle w:val="Tablaconcuadrcula"/>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85"/>
        <w:gridCol w:w="5925"/>
      </w:tblGrid>
      <w:tr w:rsidR="00D4125A" w:rsidRPr="002F7FFD" w14:paraId="34D6F984" w14:textId="77777777" w:rsidTr="000C58FA">
        <w:trPr>
          <w:trHeight w:val="315"/>
        </w:trPr>
        <w:tc>
          <w:tcPr>
            <w:tcW w:w="1185" w:type="dxa"/>
            <w:tcBorders>
              <w:top w:val="nil"/>
              <w:left w:val="nil"/>
              <w:bottom w:val="nil"/>
              <w:right w:val="nil"/>
            </w:tcBorders>
            <w:tcMar>
              <w:left w:w="105" w:type="dxa"/>
              <w:right w:w="105" w:type="dxa"/>
            </w:tcMar>
            <w:vAlign w:val="center"/>
          </w:tcPr>
          <w:p w14:paraId="228F5F5D" w14:textId="6E50217E" w:rsidR="00D4125A" w:rsidRPr="002F7FFD" w:rsidRDefault="00D4125A" w:rsidP="000C58FA">
            <w:pPr>
              <w:rPr>
                <w:rFonts w:ascii="Verdana" w:eastAsia="Verdana" w:hAnsi="Verdana" w:cs="Verdana"/>
                <w:sz w:val="16"/>
                <w:szCs w:val="16"/>
              </w:rPr>
            </w:pPr>
            <w:r w:rsidRPr="002F7FFD">
              <w:rPr>
                <w:rFonts w:ascii="Verdana" w:eastAsia="Verdana" w:hAnsi="Verdana" w:cs="Verdana"/>
                <w:sz w:val="16"/>
                <w:szCs w:val="16"/>
              </w:rPr>
              <w:t>Elabor</w:t>
            </w:r>
            <w:r w:rsidR="00B5441E">
              <w:rPr>
                <w:rFonts w:ascii="Verdana" w:eastAsia="Verdana" w:hAnsi="Verdana" w:cs="Verdana"/>
                <w:sz w:val="16"/>
                <w:szCs w:val="16"/>
              </w:rPr>
              <w:t>ó</w:t>
            </w:r>
            <w:r w:rsidRPr="002F7FFD">
              <w:rPr>
                <w:rFonts w:ascii="Verdana" w:eastAsia="Verdana" w:hAnsi="Verdana" w:cs="Verdana"/>
                <w:sz w:val="16"/>
                <w:szCs w:val="16"/>
              </w:rPr>
              <w:t>:</w:t>
            </w:r>
          </w:p>
        </w:tc>
        <w:tc>
          <w:tcPr>
            <w:tcW w:w="5925" w:type="dxa"/>
            <w:tcBorders>
              <w:top w:val="nil"/>
              <w:left w:val="nil"/>
              <w:bottom w:val="dotted" w:sz="4" w:space="0" w:color="7F7F7F" w:themeColor="text1" w:themeTint="80"/>
              <w:right w:val="nil"/>
            </w:tcBorders>
            <w:tcMar>
              <w:left w:w="105" w:type="dxa"/>
              <w:right w:w="105" w:type="dxa"/>
            </w:tcMar>
            <w:vAlign w:val="center"/>
          </w:tcPr>
          <w:p w14:paraId="714A2C67" w14:textId="77777777" w:rsidR="00D4125A" w:rsidRPr="002F7FFD" w:rsidRDefault="00D4125A" w:rsidP="000C58FA">
            <w:pPr>
              <w:rPr>
                <w:rFonts w:ascii="Verdana" w:eastAsia="Times New Roman" w:hAnsi="Verdana" w:cs="Segoe UI"/>
                <w:color w:val="000000" w:themeColor="text1"/>
                <w:sz w:val="16"/>
                <w:szCs w:val="16"/>
                <w:lang w:eastAsia="es-ES"/>
              </w:rPr>
            </w:pPr>
            <w:r w:rsidRPr="002F7FFD">
              <w:rPr>
                <w:rFonts w:ascii="Verdana" w:eastAsia="Arial" w:hAnsi="Verdana" w:cs="Arial"/>
                <w:color w:val="000000" w:themeColor="text1"/>
                <w:sz w:val="16"/>
                <w:szCs w:val="16"/>
              </w:rPr>
              <w:t>Denis Andrea Cárdenas Hernández</w:t>
            </w:r>
          </w:p>
          <w:p w14:paraId="45965F68" w14:textId="77777777" w:rsidR="00D4125A" w:rsidRPr="002F7FFD" w:rsidRDefault="00D4125A" w:rsidP="000C58FA">
            <w:pPr>
              <w:rPr>
                <w:rFonts w:ascii="Verdana" w:eastAsia="Arial" w:hAnsi="Verdana" w:cs="Arial"/>
                <w:color w:val="000000" w:themeColor="text1"/>
                <w:sz w:val="16"/>
                <w:szCs w:val="16"/>
              </w:rPr>
            </w:pPr>
            <w:r w:rsidRPr="002F7FFD">
              <w:rPr>
                <w:rFonts w:ascii="Verdana" w:eastAsia="Arial" w:hAnsi="Verdana" w:cs="Arial"/>
                <w:color w:val="000000" w:themeColor="text1"/>
                <w:sz w:val="16"/>
                <w:szCs w:val="16"/>
              </w:rPr>
              <w:t>Analista T2-01 de la Subdirección de Gestión Contractual</w:t>
            </w:r>
          </w:p>
        </w:tc>
      </w:tr>
      <w:tr w:rsidR="00D4125A" w:rsidRPr="002F7FFD" w14:paraId="2C9BC175" w14:textId="77777777" w:rsidTr="000C58FA">
        <w:trPr>
          <w:trHeight w:val="315"/>
        </w:trPr>
        <w:tc>
          <w:tcPr>
            <w:tcW w:w="1185" w:type="dxa"/>
            <w:tcBorders>
              <w:top w:val="nil"/>
              <w:left w:val="nil"/>
              <w:bottom w:val="nil"/>
              <w:right w:val="nil"/>
            </w:tcBorders>
            <w:tcMar>
              <w:left w:w="105" w:type="dxa"/>
              <w:right w:w="105" w:type="dxa"/>
            </w:tcMar>
            <w:vAlign w:val="center"/>
          </w:tcPr>
          <w:p w14:paraId="362F0389" w14:textId="77777777" w:rsidR="00D4125A" w:rsidRPr="002F7FFD" w:rsidRDefault="00D4125A" w:rsidP="000C58FA">
            <w:pPr>
              <w:rPr>
                <w:rFonts w:ascii="Verdana" w:eastAsia="Verdana" w:hAnsi="Verdana" w:cs="Verdana"/>
                <w:sz w:val="16"/>
                <w:szCs w:val="16"/>
              </w:rPr>
            </w:pPr>
            <w:r w:rsidRPr="002F7FFD">
              <w:rPr>
                <w:rFonts w:ascii="Verdana" w:eastAsia="Verdana" w:hAnsi="Verdana" w:cs="Verdana"/>
                <w:sz w:val="16"/>
                <w:szCs w:val="16"/>
              </w:rPr>
              <w:t>Revisó: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44A77CA8" w14:textId="77777777" w:rsidR="00D4125A" w:rsidRPr="002F7FFD" w:rsidRDefault="00D4125A" w:rsidP="000C58FA">
            <w:pPr>
              <w:rPr>
                <w:rFonts w:ascii="Verdana" w:eastAsia="Verdana" w:hAnsi="Verdana" w:cs="Verdana"/>
                <w:sz w:val="16"/>
                <w:szCs w:val="16"/>
              </w:rPr>
            </w:pPr>
            <w:r>
              <w:rPr>
                <w:rFonts w:ascii="Verdana" w:eastAsia="Verdana" w:hAnsi="Verdana" w:cs="Verdana"/>
                <w:sz w:val="16"/>
                <w:szCs w:val="16"/>
              </w:rPr>
              <w:t>Diana Lucia Saavedra Castañeda</w:t>
            </w:r>
          </w:p>
          <w:p w14:paraId="6866035C" w14:textId="77777777" w:rsidR="00D4125A" w:rsidRPr="002F7FFD" w:rsidRDefault="00D4125A" w:rsidP="000C58FA">
            <w:pPr>
              <w:rPr>
                <w:rFonts w:ascii="Verdana" w:eastAsia="Verdana" w:hAnsi="Verdana" w:cs="Verdana"/>
                <w:sz w:val="16"/>
                <w:szCs w:val="16"/>
              </w:rPr>
            </w:pPr>
            <w:r w:rsidRPr="002F7FFD">
              <w:rPr>
                <w:rFonts w:ascii="Verdana" w:eastAsia="Verdana" w:hAnsi="Verdana" w:cs="Verdana"/>
                <w:sz w:val="16"/>
                <w:szCs w:val="16"/>
              </w:rPr>
              <w:t>Contratista de la Subdirección de Gestión Contractual</w:t>
            </w:r>
          </w:p>
        </w:tc>
      </w:tr>
      <w:tr w:rsidR="00D4125A" w:rsidRPr="002F7FFD" w14:paraId="619BF7C4" w14:textId="77777777" w:rsidTr="000C58FA">
        <w:trPr>
          <w:trHeight w:val="300"/>
        </w:trPr>
        <w:tc>
          <w:tcPr>
            <w:tcW w:w="1185" w:type="dxa"/>
            <w:tcBorders>
              <w:top w:val="nil"/>
              <w:left w:val="nil"/>
              <w:bottom w:val="nil"/>
              <w:right w:val="nil"/>
            </w:tcBorders>
            <w:tcMar>
              <w:left w:w="105" w:type="dxa"/>
              <w:right w:w="105" w:type="dxa"/>
            </w:tcMar>
            <w:vAlign w:val="center"/>
          </w:tcPr>
          <w:p w14:paraId="6E596198" w14:textId="77777777" w:rsidR="00D4125A" w:rsidRPr="002F7FFD" w:rsidRDefault="00D4125A" w:rsidP="000C58FA">
            <w:pPr>
              <w:rPr>
                <w:rFonts w:ascii="Verdana" w:eastAsia="Verdana" w:hAnsi="Verdana" w:cs="Verdana"/>
                <w:sz w:val="16"/>
                <w:szCs w:val="16"/>
              </w:rPr>
            </w:pPr>
            <w:r w:rsidRPr="002F7FFD">
              <w:rPr>
                <w:rFonts w:ascii="Verdana" w:eastAsia="Verdana" w:hAnsi="Verdana" w:cs="Verdana"/>
                <w:sz w:val="16"/>
                <w:szCs w:val="16"/>
              </w:rPr>
              <w:t>Aprobó: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7601F7FB" w14:textId="77777777" w:rsidR="00D4125A" w:rsidRPr="002F7FFD" w:rsidRDefault="00D4125A" w:rsidP="000C58FA">
            <w:pPr>
              <w:rPr>
                <w:rFonts w:ascii="Verdana" w:eastAsia="Verdana" w:hAnsi="Verdana" w:cs="Verdana"/>
                <w:sz w:val="16"/>
                <w:szCs w:val="16"/>
              </w:rPr>
            </w:pPr>
            <w:r w:rsidRPr="002F7FFD">
              <w:rPr>
                <w:rFonts w:ascii="Verdana" w:eastAsia="Verdana" w:hAnsi="Verdana" w:cs="Verdana"/>
                <w:sz w:val="16"/>
                <w:szCs w:val="16"/>
              </w:rPr>
              <w:t xml:space="preserve">Carolina Quintero </w:t>
            </w:r>
            <w:proofErr w:type="spellStart"/>
            <w:r w:rsidRPr="002F7FFD">
              <w:rPr>
                <w:rFonts w:ascii="Verdana" w:eastAsia="Verdana" w:hAnsi="Verdana" w:cs="Verdana"/>
                <w:sz w:val="16"/>
                <w:szCs w:val="16"/>
              </w:rPr>
              <w:t>Gacharná</w:t>
            </w:r>
            <w:proofErr w:type="spellEnd"/>
          </w:p>
          <w:p w14:paraId="44934A73" w14:textId="77777777" w:rsidR="00D4125A" w:rsidRPr="002F7FFD" w:rsidRDefault="00D4125A" w:rsidP="000C58FA">
            <w:pPr>
              <w:rPr>
                <w:rFonts w:ascii="Verdana" w:eastAsia="Verdana" w:hAnsi="Verdana" w:cs="Verdana"/>
                <w:sz w:val="16"/>
                <w:szCs w:val="16"/>
              </w:rPr>
            </w:pPr>
            <w:r w:rsidRPr="002F7FFD">
              <w:rPr>
                <w:rFonts w:ascii="Verdana" w:eastAsia="Verdana" w:hAnsi="Verdana" w:cs="Verdana"/>
                <w:sz w:val="16"/>
                <w:szCs w:val="16"/>
              </w:rPr>
              <w:t>Subdirectora de Gestión Contractual ANCP – CCE</w:t>
            </w:r>
          </w:p>
        </w:tc>
      </w:tr>
      <w:bookmarkEnd w:id="0"/>
    </w:tbl>
    <w:p w14:paraId="1D7F2218" w14:textId="16619A3E" w:rsidR="00D4125A" w:rsidRPr="000E2B93" w:rsidRDefault="00D4125A" w:rsidP="00B236B0">
      <w:pPr>
        <w:spacing w:after="0" w:line="240" w:lineRule="auto"/>
        <w:textAlignment w:val="baseline"/>
        <w:rPr>
          <w:rFonts w:ascii="Verdana" w:eastAsia="Verdana" w:hAnsi="Verdana" w:cs="Verdana"/>
          <w:lang w:eastAsia="es-CO"/>
        </w:rPr>
      </w:pPr>
    </w:p>
    <w:sectPr w:rsidR="00D4125A" w:rsidRPr="000E2B93"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FF184" w14:textId="77777777" w:rsidR="00202751" w:rsidRDefault="00202751" w:rsidP="004A1847">
      <w:pPr>
        <w:spacing w:after="0" w:line="240" w:lineRule="auto"/>
      </w:pPr>
      <w:r>
        <w:separator/>
      </w:r>
    </w:p>
  </w:endnote>
  <w:endnote w:type="continuationSeparator" w:id="0">
    <w:p w14:paraId="73A20704" w14:textId="77777777" w:rsidR="00202751" w:rsidRDefault="00202751" w:rsidP="004A1847">
      <w:pPr>
        <w:spacing w:after="0" w:line="240" w:lineRule="auto"/>
      </w:pPr>
      <w:r>
        <w:continuationSeparator/>
      </w:r>
    </w:p>
  </w:endnote>
  <w:endnote w:type="continuationNotice" w:id="1">
    <w:p w14:paraId="1551BCAA" w14:textId="77777777" w:rsidR="00202751" w:rsidRDefault="002027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Vrinda">
    <w:panose1 w:val="020B0502040204020203"/>
    <w:charset w:val="00"/>
    <w:family w:val="swiss"/>
    <w:pitch w:val="variable"/>
    <w:sig w:usb0="00010003" w:usb1="00000000" w:usb2="00000000" w:usb3="00000000" w:csb0="00000001" w:csb1="00000000"/>
  </w:font>
  <w:font w:name="Arial MT">
    <w:altName w:val="Arial"/>
    <w:panose1 w:val="020B0604020202020204"/>
    <w:charset w:val="01"/>
    <w:family w:val="swiss"/>
    <w:pitch w:val="variable"/>
  </w:font>
  <w:font w:name="Aptos">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AAE42" w14:textId="77777777" w:rsidR="00202751" w:rsidRDefault="00202751" w:rsidP="004A1847">
      <w:pPr>
        <w:spacing w:after="0" w:line="240" w:lineRule="auto"/>
      </w:pPr>
      <w:r>
        <w:separator/>
      </w:r>
    </w:p>
  </w:footnote>
  <w:footnote w:type="continuationSeparator" w:id="0">
    <w:p w14:paraId="4734E811" w14:textId="77777777" w:rsidR="00202751" w:rsidRDefault="00202751" w:rsidP="004A1847">
      <w:pPr>
        <w:spacing w:after="0" w:line="240" w:lineRule="auto"/>
      </w:pPr>
      <w:r>
        <w:continuationSeparator/>
      </w:r>
    </w:p>
  </w:footnote>
  <w:footnote w:type="continuationNotice" w:id="1">
    <w:p w14:paraId="4A5EECD2" w14:textId="77777777" w:rsidR="00202751" w:rsidRDefault="00202751">
      <w:pPr>
        <w:spacing w:after="0" w:line="240" w:lineRule="auto"/>
      </w:pPr>
    </w:p>
  </w:footnote>
  <w:footnote w:id="2">
    <w:p w14:paraId="52B69A63" w14:textId="77777777" w:rsidR="00D4125A" w:rsidRPr="002F7FFD" w:rsidRDefault="00D4125A" w:rsidP="00D4125A">
      <w:pPr>
        <w:pStyle w:val="Textonotapie"/>
        <w:ind w:firstLine="709"/>
        <w:jc w:val="both"/>
        <w:rPr>
          <w:rFonts w:ascii="Verdana" w:eastAsia="Calibri" w:hAnsi="Verdana" w:cs="Arial"/>
          <w:sz w:val="16"/>
          <w:szCs w:val="16"/>
          <w:lang w:val="es-CO" w:eastAsia="es-ES_tradnl"/>
        </w:rPr>
      </w:pPr>
      <w:r w:rsidRPr="002F7FFD">
        <w:rPr>
          <w:rStyle w:val="Refdenotaalpie"/>
          <w:rFonts w:ascii="Verdana" w:hAnsi="Verdana" w:cs="Arial"/>
          <w:sz w:val="16"/>
          <w:szCs w:val="16"/>
          <w:lang w:val="es-CO"/>
        </w:rPr>
        <w:footnoteRef/>
      </w:r>
      <w:r w:rsidRPr="002F7FFD">
        <w:rPr>
          <w:rFonts w:ascii="Verdana" w:hAnsi="Verdana" w:cs="Arial"/>
          <w:sz w:val="16"/>
          <w:szCs w:val="16"/>
          <w:lang w:val="es-CO"/>
        </w:rPr>
        <w:t xml:space="preserve"> </w:t>
      </w:r>
      <w:r w:rsidRPr="002F7FFD">
        <w:rPr>
          <w:rFonts w:ascii="Verdana" w:eastAsia="Calibri" w:hAnsi="Verdana" w:cs="Arial"/>
          <w:sz w:val="16"/>
          <w:szCs w:val="16"/>
          <w:lang w:val="es-CO" w:eastAsia="es-ES_tradnl"/>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424DA5C6" w14:textId="77777777" w:rsidR="00D4125A" w:rsidRPr="002F7FFD" w:rsidRDefault="00D4125A" w:rsidP="00D4125A">
      <w:pPr>
        <w:pStyle w:val="Textonotapie"/>
        <w:ind w:firstLine="709"/>
        <w:jc w:val="both"/>
        <w:rPr>
          <w:rFonts w:ascii="Verdana" w:hAnsi="Verdana" w:cs="Arial"/>
          <w:sz w:val="16"/>
          <w:szCs w:val="16"/>
          <w:lang w:val="es-CO"/>
        </w:rPr>
      </w:pPr>
      <w:r w:rsidRPr="002F7FFD">
        <w:rPr>
          <w:rFonts w:ascii="Verdana" w:eastAsia="Calibri" w:hAnsi="Verdana" w:cs="Arial"/>
          <w:sz w:val="16"/>
          <w:szCs w:val="16"/>
          <w:lang w:val="es-CO" w:eastAsia="es-ES_tradnl"/>
        </w:rPr>
        <w:t>Sin embargo, en otros negocios, como la obra pública, la concesión y la consultoría, el Estado está acostumbrado a que se desglosen intensamente los costos, exigiendo no sólo el precio total sino una distinción entre los costos directos y los costos indirectos.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ítems que componen el contrato–. Los costos indirectos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3">
    <w:p w14:paraId="37DD86A8" w14:textId="77777777" w:rsidR="00D4125A" w:rsidRPr="002F7FFD" w:rsidRDefault="00D4125A" w:rsidP="00D4125A">
      <w:pPr>
        <w:pStyle w:val="Textonotapie"/>
        <w:ind w:firstLine="708"/>
        <w:jc w:val="both"/>
        <w:rPr>
          <w:rFonts w:ascii="Verdana" w:hAnsi="Verdana" w:cs="Arial"/>
          <w:sz w:val="16"/>
          <w:szCs w:val="16"/>
          <w:lang w:val="es-CO"/>
        </w:rPr>
      </w:pPr>
      <w:r w:rsidRPr="002F7FFD">
        <w:rPr>
          <w:rStyle w:val="Refdenotaalpie"/>
          <w:rFonts w:ascii="Verdana" w:hAnsi="Verdana" w:cs="Arial"/>
          <w:sz w:val="16"/>
          <w:szCs w:val="16"/>
          <w:lang w:val="es-CO"/>
        </w:rPr>
        <w:footnoteRef/>
      </w:r>
      <w:r w:rsidRPr="002F7FFD">
        <w:rPr>
          <w:rFonts w:ascii="Verdana" w:hAnsi="Verdana" w:cs="Arial"/>
          <w:sz w:val="16"/>
          <w:szCs w:val="16"/>
          <w:lang w:val="es-CO"/>
        </w:rPr>
        <w:t xml:space="preserve"> </w:t>
      </w:r>
      <w:r w:rsidRPr="002F7FFD">
        <w:rPr>
          <w:rFonts w:ascii="Verdana" w:eastAsia="Calibri" w:hAnsi="Verdana" w:cs="Arial"/>
          <w:sz w:val="16"/>
          <w:szCs w:val="16"/>
          <w:lang w:val="es-CO" w:eastAsia="es-ES_tradnl"/>
        </w:rPr>
        <w:t>CONSEJO DE ESTADO. Sección Tercera. Subsección B. Sentencia del 29 de febrero de 2012. Exp. 16371, C.P. Danilo Rojas Betancourth.</w:t>
      </w:r>
    </w:p>
  </w:footnote>
  <w:footnote w:id="4">
    <w:p w14:paraId="488399D2" w14:textId="77777777" w:rsidR="00D4125A" w:rsidRPr="002F7FFD" w:rsidRDefault="00D4125A" w:rsidP="00D4125A">
      <w:pPr>
        <w:pStyle w:val="Textonotapie"/>
        <w:ind w:firstLine="709"/>
        <w:jc w:val="both"/>
        <w:rPr>
          <w:rFonts w:ascii="Verdana" w:hAnsi="Verdana" w:cs="Arial"/>
          <w:sz w:val="16"/>
          <w:szCs w:val="16"/>
          <w:lang w:val="es-CO"/>
        </w:rPr>
      </w:pPr>
      <w:r w:rsidRPr="002F7FFD">
        <w:rPr>
          <w:rStyle w:val="Refdenotaalpie"/>
          <w:rFonts w:ascii="Verdana" w:hAnsi="Verdana" w:cs="Arial"/>
          <w:sz w:val="16"/>
          <w:szCs w:val="16"/>
          <w:lang w:val="es-CO"/>
        </w:rPr>
        <w:footnoteRef/>
      </w:r>
      <w:r w:rsidRPr="002F7FFD">
        <w:rPr>
          <w:rFonts w:ascii="Verdana" w:hAnsi="Verdana" w:cs="Arial"/>
          <w:sz w:val="16"/>
          <w:szCs w:val="16"/>
          <w:lang w:val="es-CO"/>
        </w:rPr>
        <w:t xml:space="preserve"> </w:t>
      </w:r>
      <w:r w:rsidRPr="002F7FFD">
        <w:rPr>
          <w:rFonts w:ascii="Verdana" w:eastAsia="Calibri" w:hAnsi="Verdana" w:cs="Arial"/>
          <w:sz w:val="16"/>
          <w:szCs w:val="16"/>
          <w:lang w:val="es-CO" w:eastAsia="es-ES_tradnl"/>
        </w:rPr>
        <w:t>PINO RICCI, Jorge. El régimen jurídico de los contratos estatales. Universidad Externado de Colombia. Bogotá, 2005. pp. 416.</w:t>
      </w:r>
    </w:p>
  </w:footnote>
  <w:footnote w:id="5">
    <w:p w14:paraId="7BB0EF5E" w14:textId="77777777" w:rsidR="00D4125A" w:rsidRPr="002F7FFD" w:rsidRDefault="00D4125A" w:rsidP="00D4125A">
      <w:pPr>
        <w:pStyle w:val="Textonotapie"/>
        <w:ind w:firstLine="708"/>
        <w:jc w:val="both"/>
        <w:rPr>
          <w:rFonts w:ascii="Verdana" w:hAnsi="Verdana" w:cs="Arial"/>
          <w:sz w:val="16"/>
          <w:szCs w:val="16"/>
          <w:lang w:val="es-CO"/>
        </w:rPr>
      </w:pPr>
      <w:r w:rsidRPr="002F7FFD">
        <w:rPr>
          <w:rStyle w:val="Refdenotaalpie"/>
          <w:rFonts w:ascii="Verdana" w:hAnsi="Verdana" w:cs="Arial"/>
          <w:sz w:val="16"/>
          <w:szCs w:val="16"/>
          <w:lang w:val="es-CO"/>
        </w:rPr>
        <w:footnoteRef/>
      </w:r>
      <w:r w:rsidRPr="002F7FFD">
        <w:rPr>
          <w:rFonts w:ascii="Verdana" w:hAnsi="Verdana" w:cs="Arial"/>
          <w:sz w:val="16"/>
          <w:szCs w:val="16"/>
          <w:lang w:val="es-CO"/>
        </w:rPr>
        <w:t xml:space="preserve"> </w:t>
      </w:r>
      <w:r w:rsidRPr="002F7FFD">
        <w:rPr>
          <w:rFonts w:ascii="Verdana" w:eastAsia="Calibri" w:hAnsi="Verdana" w:cs="Arial"/>
          <w:sz w:val="16"/>
          <w:szCs w:val="16"/>
          <w:lang w:val="es-CO" w:eastAsia="es-ES_tradnl"/>
        </w:rPr>
        <w:t>CONSEJO DE ESTADO. Sección Tercera. Subsección B. Sentencia del 14 de octubre de 2011. Exp. 20811, C.P. Ruth Stella Correa Palacio.</w:t>
      </w:r>
    </w:p>
  </w:footnote>
  <w:footnote w:id="6">
    <w:p w14:paraId="4DDBE06F" w14:textId="77777777" w:rsidR="00D4125A" w:rsidRPr="002F7FFD" w:rsidRDefault="00D4125A" w:rsidP="00D4125A">
      <w:pPr>
        <w:pStyle w:val="Textonotapie"/>
        <w:ind w:firstLine="708"/>
        <w:jc w:val="both"/>
        <w:rPr>
          <w:rFonts w:ascii="Verdana" w:hAnsi="Verdana" w:cs="Arial"/>
          <w:sz w:val="16"/>
          <w:szCs w:val="16"/>
          <w:lang w:val="es-CO"/>
        </w:rPr>
      </w:pPr>
      <w:r w:rsidRPr="002F7FFD">
        <w:rPr>
          <w:rStyle w:val="Refdenotaalpie"/>
          <w:rFonts w:ascii="Verdana" w:hAnsi="Verdana" w:cs="Arial"/>
          <w:sz w:val="16"/>
          <w:szCs w:val="16"/>
          <w:lang w:val="es-CO"/>
        </w:rPr>
        <w:footnoteRef/>
      </w:r>
      <w:r w:rsidRPr="002F7FFD">
        <w:rPr>
          <w:rFonts w:ascii="Verdana" w:hAnsi="Verdana" w:cs="Arial"/>
          <w:sz w:val="16"/>
          <w:szCs w:val="16"/>
          <w:lang w:val="es-CO"/>
        </w:rPr>
        <w:t xml:space="preserve"> </w:t>
      </w:r>
      <w:r w:rsidRPr="002F7FFD">
        <w:rPr>
          <w:rFonts w:ascii="Verdana" w:eastAsia="Calibri" w:hAnsi="Verdana" w:cs="Arial"/>
          <w:sz w:val="16"/>
          <w:szCs w:val="16"/>
          <w:lang w:val="es-CO" w:eastAsia="es-ES_tradnl"/>
        </w:rPr>
        <w:t>CONSEJO DE ESTADO. Sala de Consulta y Servicio Civil. Concepto del 5 de septiembre de 2018, radicado No. 11001-03-06-000-2018-00124-00 C.P. Édgar González López.</w:t>
      </w:r>
    </w:p>
  </w:footnote>
  <w:footnote w:id="7">
    <w:p w14:paraId="073DE2C3" w14:textId="77777777" w:rsidR="00D4125A" w:rsidRPr="002F7FFD" w:rsidRDefault="00D4125A" w:rsidP="00D4125A">
      <w:pPr>
        <w:pStyle w:val="Textonotapie"/>
        <w:ind w:firstLine="708"/>
        <w:jc w:val="both"/>
        <w:rPr>
          <w:rFonts w:ascii="Verdana" w:hAnsi="Verdana" w:cs="Arial"/>
          <w:sz w:val="16"/>
          <w:szCs w:val="16"/>
          <w:lang w:val="es-CO"/>
        </w:rPr>
      </w:pPr>
      <w:r w:rsidRPr="002F7FFD">
        <w:rPr>
          <w:rStyle w:val="Refdenotaalpie"/>
          <w:rFonts w:ascii="Verdana" w:hAnsi="Verdana" w:cs="Arial"/>
          <w:sz w:val="16"/>
          <w:szCs w:val="16"/>
          <w:lang w:val="es-CO"/>
        </w:rPr>
        <w:footnoteRef/>
      </w:r>
      <w:r w:rsidRPr="002F7FFD">
        <w:rPr>
          <w:rFonts w:ascii="Verdana" w:hAnsi="Verdana" w:cs="Arial"/>
          <w:sz w:val="16"/>
          <w:szCs w:val="16"/>
          <w:lang w:val="es-CO"/>
        </w:rPr>
        <w:t xml:space="preserve"> </w:t>
      </w:r>
      <w:r w:rsidRPr="002F7FFD">
        <w:rPr>
          <w:rFonts w:ascii="Verdana" w:eastAsia="Calibri" w:hAnsi="Verdana" w:cs="Arial"/>
          <w:sz w:val="16"/>
          <w:szCs w:val="16"/>
          <w:lang w:val="es-CO" w:eastAsia="es-ES_tradnl"/>
        </w:rPr>
        <w:t>“[…] la utilidad es el beneficio económico que pretende percibir el contratista por la ejecución del contrato y por costos de administración se han tenido como tales los que constituyen costos indirectos para la operación del contrato, tales como los gastos de disponibilidad de la organización del contratista; el porcentaje para imprevistos, como su nombre lo indica, está destinado a cubrir los gastos con los que no se contaba y que se presenten durante la ejecución del contrato” (Consejo de Estado. Sección Tercera. Consejero Ponente: Ramiro Saavedra Becerra. Sentencia del 28 de agosto de 2003. Radicado: 17.554).</w:t>
      </w:r>
      <w:r w:rsidRPr="002F7FFD">
        <w:rPr>
          <w:rFonts w:ascii="Verdana" w:hAnsi="Verdana" w:cs="Arial"/>
          <w:sz w:val="16"/>
          <w:szCs w:val="16"/>
          <w:lang w:val="es-CO"/>
        </w:rPr>
        <w:t xml:space="preserve"> </w:t>
      </w:r>
    </w:p>
  </w:footnote>
  <w:footnote w:id="8">
    <w:p w14:paraId="6C30FD8C" w14:textId="77777777" w:rsidR="00D4125A" w:rsidRPr="002F7FFD" w:rsidRDefault="00D4125A" w:rsidP="00D4125A">
      <w:pPr>
        <w:pStyle w:val="Textonotapie"/>
        <w:ind w:firstLine="709"/>
        <w:jc w:val="both"/>
        <w:rPr>
          <w:rFonts w:ascii="Verdana" w:eastAsia="Calibri" w:hAnsi="Verdana" w:cs="Arial"/>
          <w:sz w:val="16"/>
          <w:szCs w:val="16"/>
          <w:lang w:val="es-CO" w:eastAsia="es-ES_tradnl"/>
        </w:rPr>
      </w:pPr>
      <w:r w:rsidRPr="002F7FFD">
        <w:rPr>
          <w:rStyle w:val="Refdenotaalpie"/>
          <w:rFonts w:ascii="Verdana" w:hAnsi="Verdana" w:cs="Arial"/>
          <w:sz w:val="16"/>
          <w:szCs w:val="16"/>
          <w:lang w:val="es-CO"/>
        </w:rPr>
        <w:footnoteRef/>
      </w:r>
      <w:r w:rsidRPr="002F7FFD">
        <w:rPr>
          <w:rFonts w:ascii="Verdana" w:hAnsi="Verdana" w:cs="Arial"/>
          <w:sz w:val="16"/>
          <w:szCs w:val="16"/>
          <w:lang w:val="es-CO"/>
        </w:rPr>
        <w:t xml:space="preserve"> </w:t>
      </w:r>
      <w:r w:rsidRPr="002F7FFD">
        <w:rPr>
          <w:rFonts w:ascii="Verdana" w:eastAsia="Calibri" w:hAnsi="Verdana" w:cs="Arial"/>
          <w:sz w:val="16"/>
          <w:szCs w:val="16"/>
          <w:lang w:val="es-CO" w:eastAsia="es-ES_tradnl"/>
        </w:rPr>
        <w:t>MARÍN, Op. Cit., pp. 64-65.</w:t>
      </w:r>
    </w:p>
  </w:footnote>
  <w:footnote w:id="9">
    <w:p w14:paraId="2E7BD23B" w14:textId="77777777" w:rsidR="00D4125A" w:rsidRPr="002F7FFD" w:rsidRDefault="00D4125A" w:rsidP="00D4125A">
      <w:pPr>
        <w:pStyle w:val="Textonotapie"/>
        <w:ind w:firstLine="709"/>
        <w:jc w:val="both"/>
        <w:rPr>
          <w:rFonts w:ascii="Verdana" w:hAnsi="Verdana" w:cs="Arial"/>
          <w:sz w:val="16"/>
          <w:szCs w:val="16"/>
          <w:lang w:val="es-CO"/>
        </w:rPr>
      </w:pPr>
      <w:r w:rsidRPr="002F7FFD">
        <w:rPr>
          <w:rStyle w:val="Refdenotaalpie"/>
          <w:rFonts w:ascii="Verdana" w:hAnsi="Verdana" w:cs="Arial"/>
          <w:sz w:val="16"/>
          <w:szCs w:val="16"/>
          <w:lang w:val="es-CO"/>
        </w:rPr>
        <w:footnoteRef/>
      </w:r>
      <w:r w:rsidRPr="002F7FFD">
        <w:rPr>
          <w:rFonts w:ascii="Verdana" w:hAnsi="Verdana" w:cs="Arial"/>
          <w:sz w:val="16"/>
          <w:szCs w:val="16"/>
          <w:lang w:val="es-CO"/>
        </w:rPr>
        <w:t xml:space="preserve"> </w:t>
      </w:r>
      <w:r w:rsidRPr="002F7FFD">
        <w:rPr>
          <w:rFonts w:ascii="Verdana" w:eastAsia="Calibri" w:hAnsi="Verdana" w:cs="Arial"/>
          <w:sz w:val="16"/>
          <w:szCs w:val="16"/>
          <w:lang w:val="es-CO" w:eastAsia="es-ES_tradnl"/>
        </w:rPr>
        <w:t>Ibíd., p. 66.</w:t>
      </w:r>
    </w:p>
  </w:footnote>
  <w:footnote w:id="10">
    <w:p w14:paraId="5F3CEA56" w14:textId="77777777" w:rsidR="00D4125A" w:rsidRPr="002F7FFD" w:rsidRDefault="00D4125A" w:rsidP="00D4125A">
      <w:pPr>
        <w:pStyle w:val="Textonotapie"/>
        <w:ind w:firstLine="708"/>
        <w:jc w:val="both"/>
        <w:rPr>
          <w:rFonts w:ascii="Verdana" w:eastAsia="Calibri" w:hAnsi="Verdana" w:cs="Arial"/>
          <w:sz w:val="16"/>
          <w:szCs w:val="16"/>
          <w:lang w:val="es-CO" w:eastAsia="es-ES_tradnl"/>
        </w:rPr>
      </w:pPr>
      <w:r w:rsidRPr="002F7FFD">
        <w:rPr>
          <w:rStyle w:val="Refdenotaalpie"/>
          <w:rFonts w:ascii="Verdana" w:hAnsi="Verdana" w:cs="Arial"/>
          <w:sz w:val="16"/>
          <w:szCs w:val="16"/>
          <w:lang w:val="es-CO"/>
        </w:rPr>
        <w:footnoteRef/>
      </w:r>
      <w:r w:rsidRPr="002F7FFD">
        <w:rPr>
          <w:rFonts w:ascii="Verdana" w:hAnsi="Verdana" w:cs="Arial"/>
          <w:sz w:val="16"/>
          <w:szCs w:val="16"/>
          <w:lang w:val="es-CO"/>
        </w:rPr>
        <w:t xml:space="preserve"> </w:t>
      </w:r>
      <w:r w:rsidRPr="002F7FFD">
        <w:rPr>
          <w:rFonts w:ascii="Verdana" w:eastAsia="Calibri" w:hAnsi="Verdana" w:cs="Arial"/>
          <w:sz w:val="16"/>
          <w:szCs w:val="16"/>
          <w:lang w:val="es-CO" w:eastAsia="es-ES_tradnl"/>
        </w:rPr>
        <w:t>“Que el porcentaje sea superior o inferior, o que para una empresa sea mayor o menor que para otra, depende de muchas razones, por ejemplo: del personal que se requiera en la obra –unas empresas emplean más o menos que otras–; de la magnitud del trabajo; de las cargas administrativas que cada empresa tienen –pensionados, convenciones colectivas y otros; del tamaño de la misma –mientras más grande es la A tiende a ser mayor; del costo de los campamentos; del transporte del personal; del sitio de las obras –si la empresa tiene un domicilio en el lugar del trabajo su A tiende a ser menor, y si se encuentra en otra ciudad tiende a subir, por ejemplo porque el salario de los ingenieros se incrementa por los viáticos–”. (Ibíd, p. 76)</w:t>
      </w:r>
    </w:p>
  </w:footnote>
  <w:footnote w:id="11">
    <w:p w14:paraId="3EF6DB54" w14:textId="77777777" w:rsidR="00D4125A" w:rsidRPr="002F7FFD" w:rsidRDefault="00D4125A" w:rsidP="00D4125A">
      <w:pPr>
        <w:pStyle w:val="Textonotapie"/>
        <w:ind w:firstLine="708"/>
        <w:jc w:val="both"/>
        <w:rPr>
          <w:rFonts w:ascii="Verdana" w:hAnsi="Verdana" w:cs="Arial"/>
          <w:sz w:val="16"/>
          <w:szCs w:val="16"/>
          <w:lang w:val="es-CO"/>
        </w:rPr>
      </w:pPr>
      <w:r w:rsidRPr="002F7FFD">
        <w:rPr>
          <w:rStyle w:val="Refdenotaalpie"/>
          <w:rFonts w:ascii="Verdana" w:hAnsi="Verdana" w:cs="Arial"/>
          <w:sz w:val="16"/>
          <w:szCs w:val="16"/>
          <w:lang w:val="es-CO"/>
        </w:rPr>
        <w:footnoteRef/>
      </w:r>
      <w:r w:rsidRPr="002F7FFD">
        <w:rPr>
          <w:rFonts w:ascii="Verdana" w:hAnsi="Verdana" w:cs="Arial"/>
          <w:sz w:val="16"/>
          <w:szCs w:val="16"/>
          <w:lang w:val="es-CO"/>
        </w:rPr>
        <w:t xml:space="preserve"> </w:t>
      </w:r>
      <w:r w:rsidRPr="002F7FFD">
        <w:rPr>
          <w:rFonts w:ascii="Verdana" w:eastAsia="Calibri" w:hAnsi="Verdana" w:cs="Arial"/>
          <w:sz w:val="16"/>
          <w:szCs w:val="16"/>
          <w:lang w:val="es-CO" w:eastAsia="es-ES_tradnl"/>
        </w:rPr>
        <w:t>Lo anterior, sin perjuicio de las fórmulas de reajuste que se establezcan en el contrato y lo establecido en el artículo 27 de la Ley 80 de 1993. En tal sentido, en los casos de desequilibrio económico, porque los costos indirectos en los que incurre el contratista exceden el alea normal, es decir, le causan una afectación grave de su economía, podría exigirle a la entidad que le pague más de lo que se estipuló en la A o en la I, siendo esta una circunstancia extraordinaria.</w:t>
      </w:r>
    </w:p>
  </w:footnote>
  <w:footnote w:id="12">
    <w:p w14:paraId="1F49098C" w14:textId="77777777" w:rsidR="00D4125A" w:rsidRPr="002F7FFD" w:rsidRDefault="00D4125A" w:rsidP="00D4125A">
      <w:pPr>
        <w:pStyle w:val="Textonotapie"/>
        <w:ind w:firstLine="709"/>
        <w:jc w:val="both"/>
        <w:rPr>
          <w:lang w:val="es-CO"/>
        </w:rPr>
      </w:pPr>
      <w:r w:rsidRPr="002F7FFD">
        <w:rPr>
          <w:rStyle w:val="Refdenotaalpie"/>
          <w:lang w:val="es-CO"/>
        </w:rPr>
        <w:footnoteRef/>
      </w:r>
      <w:r w:rsidRPr="002F7FFD">
        <w:rPr>
          <w:lang w:val="es-CO"/>
        </w:rPr>
        <w:t xml:space="preserve"> </w:t>
      </w:r>
      <w:r w:rsidRPr="002F7FFD">
        <w:rPr>
          <w:rFonts w:ascii="Verdana" w:hAnsi="Verdana" w:cs="Arial"/>
          <w:sz w:val="16"/>
          <w:szCs w:val="16"/>
          <w:lang w:val="es-CO"/>
        </w:rPr>
        <w:t>Consejo de Estado. Sala de Consulta y Servicio Civil. Concepto del 5 de septiembre de 2018, radicado No. 11001-03-06-000-2018-00124-00, C.P. Édgar González López</w:t>
      </w:r>
    </w:p>
  </w:footnote>
  <w:footnote w:id="13">
    <w:p w14:paraId="2BF87B74" w14:textId="2D92BAC4" w:rsidR="00D4125A" w:rsidRPr="002F7FFD" w:rsidRDefault="00D4125A" w:rsidP="00D4125A">
      <w:pPr>
        <w:pStyle w:val="Textonotapie"/>
        <w:ind w:firstLine="708"/>
        <w:jc w:val="both"/>
        <w:rPr>
          <w:rFonts w:ascii="Verdana" w:hAnsi="Verdana" w:cs="Arial"/>
          <w:sz w:val="16"/>
          <w:szCs w:val="16"/>
          <w:lang w:val="es-CO"/>
        </w:rPr>
      </w:pPr>
      <w:r w:rsidRPr="002F7FFD">
        <w:rPr>
          <w:rStyle w:val="Refdenotaalpie"/>
          <w:rFonts w:ascii="Verdana" w:hAnsi="Verdana" w:cs="Arial"/>
          <w:sz w:val="16"/>
          <w:szCs w:val="16"/>
          <w:lang w:val="es-CO"/>
        </w:rPr>
        <w:footnoteRef/>
      </w:r>
      <w:r w:rsidRPr="002F7FFD">
        <w:rPr>
          <w:rFonts w:ascii="Verdana" w:hAnsi="Verdana" w:cs="Arial"/>
          <w:sz w:val="16"/>
          <w:szCs w:val="16"/>
          <w:lang w:val="es-CO"/>
        </w:rPr>
        <w:t xml:space="preserve"> </w:t>
      </w:r>
      <w:r w:rsidRPr="002F7FFD">
        <w:rPr>
          <w:rFonts w:ascii="Verdana" w:eastAsia="Calibri" w:hAnsi="Verdana" w:cs="Arial"/>
          <w:sz w:val="16"/>
          <w:szCs w:val="16"/>
          <w:lang w:val="es-CO" w:eastAsia="es-ES_tradnl"/>
        </w:rPr>
        <w:t>Ibíd, p. 77.</w:t>
      </w:r>
      <w:r w:rsidRPr="002F7FFD">
        <w:rPr>
          <w:rFonts w:ascii="Verdana" w:hAnsi="Verdana" w:cs="Arial"/>
          <w:sz w:val="16"/>
          <w:szCs w:val="16"/>
          <w:lang w:val="es-CO"/>
        </w:rPr>
        <w:t xml:space="preserve"> </w:t>
      </w:r>
    </w:p>
  </w:footnote>
  <w:footnote w:id="14">
    <w:p w14:paraId="76A4EBF3" w14:textId="77777777" w:rsidR="00D4125A" w:rsidRPr="002F7FFD" w:rsidRDefault="00D4125A" w:rsidP="00D4125A">
      <w:pPr>
        <w:pStyle w:val="Textonotapie"/>
        <w:ind w:firstLine="709"/>
        <w:rPr>
          <w:lang w:val="es-CO"/>
        </w:rPr>
      </w:pPr>
      <w:r w:rsidRPr="002F7FFD">
        <w:rPr>
          <w:rStyle w:val="Refdenotaalpie"/>
          <w:lang w:val="es-CO"/>
        </w:rPr>
        <w:footnoteRef/>
      </w:r>
      <w:r w:rsidRPr="002F7FFD">
        <w:rPr>
          <w:lang w:val="es-CO"/>
        </w:rPr>
        <w:t xml:space="preserve"> </w:t>
      </w:r>
      <w:r w:rsidRPr="002F7FFD">
        <w:rPr>
          <w:rFonts w:ascii="Verdana" w:eastAsia="Calibri" w:hAnsi="Verdana" w:cs="Arial"/>
          <w:sz w:val="16"/>
          <w:szCs w:val="16"/>
          <w:lang w:val="es-CO" w:eastAsia="es-ES_tradnl"/>
        </w:rPr>
        <w:t>Ibíd, p. 77.</w:t>
      </w:r>
    </w:p>
  </w:footnote>
  <w:footnote w:id="15">
    <w:p w14:paraId="2FFCCF2D" w14:textId="77777777" w:rsidR="00D4125A" w:rsidRPr="00B324A4" w:rsidRDefault="00D4125A" w:rsidP="00D4125A">
      <w:pPr>
        <w:pStyle w:val="Textonotapie"/>
        <w:ind w:firstLine="709"/>
        <w:jc w:val="both"/>
        <w:rPr>
          <w:rFonts w:ascii="Verdana" w:hAnsi="Verdana" w:cs="Arial"/>
          <w:color w:val="000000"/>
          <w:sz w:val="16"/>
          <w:szCs w:val="16"/>
        </w:rPr>
      </w:pPr>
      <w:r w:rsidRPr="00B324A4">
        <w:rPr>
          <w:rStyle w:val="Refdenotaalpie"/>
          <w:rFonts w:ascii="Verdana" w:hAnsi="Verdana" w:cs="Arial"/>
          <w:color w:val="000000"/>
          <w:sz w:val="16"/>
          <w:szCs w:val="16"/>
        </w:rPr>
        <w:footnoteRef/>
      </w:r>
      <w:r w:rsidRPr="00B324A4">
        <w:rPr>
          <w:rFonts w:ascii="Verdana" w:hAnsi="Verdana" w:cs="Arial"/>
          <w:color w:val="000000"/>
          <w:sz w:val="16"/>
          <w:szCs w:val="16"/>
        </w:rPr>
        <w:t xml:space="preserve"> ALESSANDRI RODRÍGUEZ, Arturo. De los contratos. Santiago de Chile: Editorial Jurídica EDIAR-CONOCSUR LTDA, 1988. p. 182. </w:t>
      </w:r>
    </w:p>
  </w:footnote>
  <w:footnote w:id="16">
    <w:p w14:paraId="1ABDDD03" w14:textId="59282F0D" w:rsidR="00D4125A" w:rsidRPr="00B324A4" w:rsidRDefault="00D4125A" w:rsidP="00D4125A">
      <w:pPr>
        <w:pStyle w:val="Textonotapie"/>
        <w:ind w:firstLine="708"/>
        <w:jc w:val="both"/>
        <w:rPr>
          <w:rFonts w:ascii="Verdana" w:hAnsi="Verdana" w:cs="Arial"/>
          <w:sz w:val="16"/>
          <w:szCs w:val="16"/>
          <w:lang w:val="es-ES_tradnl"/>
        </w:rPr>
      </w:pPr>
      <w:r w:rsidRPr="00B324A4">
        <w:rPr>
          <w:rStyle w:val="Refdenotaalpie"/>
          <w:rFonts w:ascii="Verdana" w:hAnsi="Verdana" w:cs="Arial"/>
          <w:sz w:val="16"/>
          <w:szCs w:val="16"/>
        </w:rPr>
        <w:footnoteRef/>
      </w:r>
      <w:r w:rsidRPr="00B324A4">
        <w:rPr>
          <w:rFonts w:ascii="Verdana" w:hAnsi="Verdana" w:cs="Arial"/>
          <w:sz w:val="16"/>
          <w:szCs w:val="16"/>
        </w:rPr>
        <w:t xml:space="preserve"> </w:t>
      </w:r>
      <w:r w:rsidRPr="00B324A4">
        <w:rPr>
          <w:rFonts w:ascii="Verdana" w:hAnsi="Verdana" w:cs="Arial"/>
          <w:sz w:val="16"/>
          <w:szCs w:val="16"/>
          <w:lang w:val="es-ES_tradnl"/>
        </w:rPr>
        <w:t xml:space="preserve">Respecto a la referencia a los bienes inmuebles, debe considerarse la definición de los artículos 656 y 658 del Código Civil, que incluye en esa categoría tanto a los inmuebles por adhesión como por destinación. De esta manera, la referencia contenida en el numeral 1 del artículo 32 la Ley 80 de 1993 a inmuebles debe entenderse que se extiende a los inmuebles anteriormente mencionados, razón por la cual la tipicidad del contrato de obra incluye cualquier clase de trabajo sobre inmuebles por adhesión o por destinación. </w:t>
      </w:r>
    </w:p>
  </w:footnote>
  <w:footnote w:id="17">
    <w:p w14:paraId="72B1895C" w14:textId="3AD1B586" w:rsidR="00D4125A" w:rsidRPr="00B324A4" w:rsidRDefault="00D4125A" w:rsidP="00D4125A">
      <w:pPr>
        <w:pStyle w:val="Textonotapie"/>
        <w:ind w:firstLine="709"/>
        <w:jc w:val="both"/>
        <w:rPr>
          <w:rFonts w:ascii="Verdana" w:hAnsi="Verdana" w:cs="Arial"/>
          <w:color w:val="000000"/>
          <w:sz w:val="16"/>
          <w:szCs w:val="16"/>
        </w:rPr>
      </w:pPr>
      <w:r w:rsidRPr="00B324A4">
        <w:rPr>
          <w:rStyle w:val="Refdenotaalpie"/>
          <w:rFonts w:ascii="Verdana" w:hAnsi="Verdana" w:cs="Arial"/>
          <w:color w:val="000000"/>
          <w:sz w:val="16"/>
          <w:szCs w:val="16"/>
        </w:rPr>
        <w:footnoteRef/>
      </w:r>
      <w:r w:rsidRPr="00B324A4">
        <w:rPr>
          <w:rFonts w:ascii="Verdana" w:hAnsi="Verdana" w:cs="Arial"/>
          <w:color w:val="000000"/>
          <w:sz w:val="16"/>
          <w:szCs w:val="16"/>
        </w:rPr>
        <w:t xml:space="preserve"> OSPINA MENA, Jesús Marino. Régimen de la Contratación Estatal. Un salto a la contratación liquida. Bogotá: Dike, 2020. p. 168.</w:t>
      </w:r>
    </w:p>
  </w:footnote>
  <w:footnote w:id="18">
    <w:p w14:paraId="1FEF8423" w14:textId="77777777" w:rsidR="00D4125A" w:rsidRPr="00B324A4" w:rsidRDefault="00D4125A" w:rsidP="00D4125A">
      <w:pPr>
        <w:pStyle w:val="Textonotapie"/>
        <w:ind w:firstLine="709"/>
        <w:jc w:val="both"/>
        <w:rPr>
          <w:rFonts w:ascii="Verdana" w:hAnsi="Verdana" w:cs="Arial"/>
          <w:color w:val="000000"/>
          <w:sz w:val="16"/>
          <w:szCs w:val="16"/>
        </w:rPr>
      </w:pPr>
      <w:r w:rsidRPr="00B324A4">
        <w:rPr>
          <w:rStyle w:val="Refdenotaalpie"/>
          <w:rFonts w:ascii="Verdana" w:hAnsi="Verdana" w:cs="Arial"/>
          <w:color w:val="000000"/>
          <w:sz w:val="16"/>
          <w:szCs w:val="16"/>
        </w:rPr>
        <w:footnoteRef/>
      </w:r>
      <w:r w:rsidRPr="00B324A4">
        <w:rPr>
          <w:rFonts w:ascii="Verdana" w:hAnsi="Verdana" w:cs="Arial"/>
          <w:color w:val="000000"/>
          <w:sz w:val="16"/>
          <w:szCs w:val="16"/>
        </w:rPr>
        <w:t xml:space="preserve"> CONSEJO DE ESTADO. Sala de Consulta y Servicio Civil. Concepto del 5 de septiembre de 2018. Rad. 2.386. C.P. Edgar González López.</w:t>
      </w:r>
    </w:p>
  </w:footnote>
  <w:footnote w:id="19">
    <w:p w14:paraId="42ACFF5E" w14:textId="77777777" w:rsidR="00D4125A" w:rsidRPr="00332C8A" w:rsidRDefault="00D4125A" w:rsidP="00D4125A">
      <w:pPr>
        <w:pStyle w:val="Textonotapie"/>
        <w:ind w:firstLine="708"/>
        <w:jc w:val="both"/>
        <w:rPr>
          <w:rFonts w:ascii="Verdana" w:hAnsi="Verdana"/>
          <w:sz w:val="18"/>
          <w:szCs w:val="18"/>
        </w:rPr>
      </w:pPr>
      <w:r w:rsidRPr="00332C8A">
        <w:rPr>
          <w:rStyle w:val="Refdenotaalpie"/>
          <w:rFonts w:ascii="Verdana" w:hAnsi="Verdana"/>
          <w:sz w:val="18"/>
          <w:szCs w:val="18"/>
        </w:rPr>
        <w:footnoteRef/>
      </w:r>
      <w:r w:rsidRPr="00332C8A">
        <w:rPr>
          <w:rFonts w:ascii="Verdana" w:hAnsi="Verdana"/>
          <w:sz w:val="18"/>
          <w:szCs w:val="18"/>
        </w:rPr>
        <w:t xml:space="preserve"> Reglamento Colombiano de Construcción Sismo Resistente NSR-10</w:t>
      </w:r>
    </w:p>
    <w:p w14:paraId="01CD8C06" w14:textId="77777777" w:rsidR="00D4125A" w:rsidRPr="00332C8A" w:rsidRDefault="00D4125A" w:rsidP="00D4125A">
      <w:pPr>
        <w:pStyle w:val="Textonotapie"/>
        <w:ind w:firstLine="708"/>
        <w:jc w:val="both"/>
        <w:rPr>
          <w:rFonts w:ascii="Verdana" w:hAnsi="Verdana"/>
          <w:sz w:val="18"/>
          <w:szCs w:val="18"/>
          <w:lang w:val="es-ES_tradnl"/>
        </w:rPr>
      </w:pPr>
    </w:p>
  </w:footnote>
  <w:footnote w:id="20">
    <w:p w14:paraId="4581719C" w14:textId="77777777" w:rsidR="00D4125A" w:rsidRPr="00332C8A" w:rsidRDefault="00D4125A" w:rsidP="00D4125A">
      <w:pPr>
        <w:pStyle w:val="Textonotapie"/>
        <w:ind w:firstLine="708"/>
        <w:jc w:val="both"/>
        <w:rPr>
          <w:rFonts w:ascii="Verdana" w:hAnsi="Verdana"/>
          <w:sz w:val="18"/>
          <w:szCs w:val="18"/>
          <w:lang w:val="es-ES_tradnl"/>
        </w:rPr>
      </w:pPr>
      <w:r w:rsidRPr="00332C8A">
        <w:rPr>
          <w:rStyle w:val="Refdenotaalpie"/>
          <w:rFonts w:ascii="Verdana" w:hAnsi="Verdana"/>
          <w:sz w:val="18"/>
          <w:szCs w:val="18"/>
        </w:rPr>
        <w:footnoteRef/>
      </w:r>
      <w:r w:rsidRPr="00332C8A">
        <w:rPr>
          <w:rFonts w:ascii="Verdana" w:hAnsi="Verdana"/>
          <w:sz w:val="18"/>
          <w:szCs w:val="18"/>
        </w:rPr>
        <w:t xml:space="preserve"> </w:t>
      </w:r>
      <w:r w:rsidRPr="00332C8A">
        <w:rPr>
          <w:rFonts w:ascii="Verdana" w:hAnsi="Verdana"/>
          <w:sz w:val="18"/>
          <w:szCs w:val="18"/>
          <w:lang w:val="es-ES_tradnl"/>
        </w:rPr>
        <w:t xml:space="preserve">Ibidem </w:t>
      </w:r>
    </w:p>
    <w:p w14:paraId="11F046B1" w14:textId="77777777" w:rsidR="00D4125A" w:rsidRPr="00332C8A" w:rsidRDefault="00D4125A" w:rsidP="00D4125A">
      <w:pPr>
        <w:pStyle w:val="Textonotapie"/>
        <w:ind w:firstLine="708"/>
        <w:jc w:val="both"/>
        <w:rPr>
          <w:rFonts w:ascii="Verdana" w:hAnsi="Verdana"/>
          <w:sz w:val="18"/>
          <w:szCs w:val="18"/>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42" type="#_x0000_t75" style="width:7.1pt;height:7.1pt" o:bullet="t">
        <v:imagedata r:id="rId1" o:title="mso1B13"/>
      </v:shape>
    </w:pict>
  </w:numPicBullet>
  <w:abstractNum w:abstractNumId="0" w15:restartNumberingAfterBreak="0">
    <w:nsid w:val="01C06310"/>
    <w:multiLevelType w:val="multilevel"/>
    <w:tmpl w:val="9B2EAF2E"/>
    <w:lvl w:ilvl="0">
      <w:start w:val="1"/>
      <w:numFmt w:val="decimal"/>
      <w:lvlText w:val="%1."/>
      <w:lvlJc w:val="left"/>
      <w:pPr>
        <w:ind w:left="360" w:hanging="360"/>
      </w:pPr>
      <w:rPr>
        <w:b/>
        <w:color w:val="auto"/>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EE8E77B4"/>
    <w:lvl w:ilvl="0" w:tplc="C1D210D2">
      <w:start w:val="1"/>
      <w:numFmt w:val="bullet"/>
      <w:lvlText w:val=""/>
      <w:lvlJc w:val="left"/>
      <w:pPr>
        <w:ind w:left="720" w:hanging="360"/>
      </w:pPr>
      <w:rPr>
        <w:rFonts w:ascii="Symbol" w:hAnsi="Symbol" w:hint="default"/>
        <w:color w:val="auto"/>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827985604">
    <w:abstractNumId w:val="9"/>
  </w:num>
  <w:num w:numId="17" w16cid:durableId="341274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2654"/>
    <w:rsid w:val="00016F78"/>
    <w:rsid w:val="00046945"/>
    <w:rsid w:val="00061B2A"/>
    <w:rsid w:val="00082362"/>
    <w:rsid w:val="000A683E"/>
    <w:rsid w:val="000B19B9"/>
    <w:rsid w:val="000C737A"/>
    <w:rsid w:val="000D0334"/>
    <w:rsid w:val="000D5DA7"/>
    <w:rsid w:val="000F6486"/>
    <w:rsid w:val="00116940"/>
    <w:rsid w:val="00125105"/>
    <w:rsid w:val="00127233"/>
    <w:rsid w:val="0015699B"/>
    <w:rsid w:val="001A33BF"/>
    <w:rsid w:val="001D50FB"/>
    <w:rsid w:val="001E4177"/>
    <w:rsid w:val="001F0B24"/>
    <w:rsid w:val="001F7DC6"/>
    <w:rsid w:val="00202751"/>
    <w:rsid w:val="0022400B"/>
    <w:rsid w:val="002421BB"/>
    <w:rsid w:val="002475BD"/>
    <w:rsid w:val="0025796E"/>
    <w:rsid w:val="002707A2"/>
    <w:rsid w:val="00274D46"/>
    <w:rsid w:val="002951A0"/>
    <w:rsid w:val="002962BC"/>
    <w:rsid w:val="002A093D"/>
    <w:rsid w:val="002A0DD0"/>
    <w:rsid w:val="002A49AC"/>
    <w:rsid w:val="002A64FD"/>
    <w:rsid w:val="002C7A84"/>
    <w:rsid w:val="002E2BF8"/>
    <w:rsid w:val="002E4FD9"/>
    <w:rsid w:val="0030657A"/>
    <w:rsid w:val="00322A85"/>
    <w:rsid w:val="00324168"/>
    <w:rsid w:val="00330834"/>
    <w:rsid w:val="00331AF2"/>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55D2C"/>
    <w:rsid w:val="00456880"/>
    <w:rsid w:val="00466E39"/>
    <w:rsid w:val="00470DF7"/>
    <w:rsid w:val="004A1847"/>
    <w:rsid w:val="004A305D"/>
    <w:rsid w:val="004F21C4"/>
    <w:rsid w:val="004F685F"/>
    <w:rsid w:val="004F75DD"/>
    <w:rsid w:val="005014F9"/>
    <w:rsid w:val="00533D45"/>
    <w:rsid w:val="005566E8"/>
    <w:rsid w:val="00561516"/>
    <w:rsid w:val="00574867"/>
    <w:rsid w:val="00591460"/>
    <w:rsid w:val="005A65E0"/>
    <w:rsid w:val="005C3777"/>
    <w:rsid w:val="005C5CDC"/>
    <w:rsid w:val="005D476C"/>
    <w:rsid w:val="005F14C8"/>
    <w:rsid w:val="00610D7B"/>
    <w:rsid w:val="006200BF"/>
    <w:rsid w:val="006219F8"/>
    <w:rsid w:val="006302F7"/>
    <w:rsid w:val="00646B9F"/>
    <w:rsid w:val="00665D70"/>
    <w:rsid w:val="006900D9"/>
    <w:rsid w:val="00706C16"/>
    <w:rsid w:val="007340C3"/>
    <w:rsid w:val="0075235A"/>
    <w:rsid w:val="00756841"/>
    <w:rsid w:val="007649AB"/>
    <w:rsid w:val="00771D0C"/>
    <w:rsid w:val="007721A4"/>
    <w:rsid w:val="007833AC"/>
    <w:rsid w:val="007A4428"/>
    <w:rsid w:val="007B268C"/>
    <w:rsid w:val="007B7171"/>
    <w:rsid w:val="007C0C0F"/>
    <w:rsid w:val="007C3DC2"/>
    <w:rsid w:val="007E5497"/>
    <w:rsid w:val="00806F5F"/>
    <w:rsid w:val="0081093C"/>
    <w:rsid w:val="00820278"/>
    <w:rsid w:val="008258C9"/>
    <w:rsid w:val="00844AE9"/>
    <w:rsid w:val="0086483C"/>
    <w:rsid w:val="00867F95"/>
    <w:rsid w:val="008843B6"/>
    <w:rsid w:val="00891928"/>
    <w:rsid w:val="008A446D"/>
    <w:rsid w:val="008B25F1"/>
    <w:rsid w:val="008B3C63"/>
    <w:rsid w:val="008D180B"/>
    <w:rsid w:val="008D5AEF"/>
    <w:rsid w:val="008F0EA7"/>
    <w:rsid w:val="008F1A92"/>
    <w:rsid w:val="00923EEF"/>
    <w:rsid w:val="009419F9"/>
    <w:rsid w:val="0095685E"/>
    <w:rsid w:val="00961B09"/>
    <w:rsid w:val="00965334"/>
    <w:rsid w:val="0097093E"/>
    <w:rsid w:val="009A0DFA"/>
    <w:rsid w:val="009A1C6F"/>
    <w:rsid w:val="009B2D26"/>
    <w:rsid w:val="009C71FA"/>
    <w:rsid w:val="009C72E7"/>
    <w:rsid w:val="009C7F7E"/>
    <w:rsid w:val="009D3058"/>
    <w:rsid w:val="009E7CFE"/>
    <w:rsid w:val="009F3A13"/>
    <w:rsid w:val="009F4DE1"/>
    <w:rsid w:val="00A122D3"/>
    <w:rsid w:val="00A14468"/>
    <w:rsid w:val="00A17F13"/>
    <w:rsid w:val="00A20739"/>
    <w:rsid w:val="00A23AF9"/>
    <w:rsid w:val="00A33C78"/>
    <w:rsid w:val="00AB0ADB"/>
    <w:rsid w:val="00AD4E63"/>
    <w:rsid w:val="00B00BA7"/>
    <w:rsid w:val="00B00C0E"/>
    <w:rsid w:val="00B01B1A"/>
    <w:rsid w:val="00B0381D"/>
    <w:rsid w:val="00B15E14"/>
    <w:rsid w:val="00B236B0"/>
    <w:rsid w:val="00B44A47"/>
    <w:rsid w:val="00B5441E"/>
    <w:rsid w:val="00B72CD3"/>
    <w:rsid w:val="00B72FFF"/>
    <w:rsid w:val="00BA043A"/>
    <w:rsid w:val="00BC3D36"/>
    <w:rsid w:val="00BD54A6"/>
    <w:rsid w:val="00BD7F72"/>
    <w:rsid w:val="00BF7425"/>
    <w:rsid w:val="00C04FB3"/>
    <w:rsid w:val="00C11D8B"/>
    <w:rsid w:val="00C15139"/>
    <w:rsid w:val="00C330EB"/>
    <w:rsid w:val="00C407FA"/>
    <w:rsid w:val="00C50D69"/>
    <w:rsid w:val="00C5365C"/>
    <w:rsid w:val="00C754BE"/>
    <w:rsid w:val="00C76B1C"/>
    <w:rsid w:val="00C925AC"/>
    <w:rsid w:val="00CB6357"/>
    <w:rsid w:val="00CC1B26"/>
    <w:rsid w:val="00CC7ECC"/>
    <w:rsid w:val="00CF1BFC"/>
    <w:rsid w:val="00D25200"/>
    <w:rsid w:val="00D33824"/>
    <w:rsid w:val="00D361FD"/>
    <w:rsid w:val="00D4125A"/>
    <w:rsid w:val="00D423A2"/>
    <w:rsid w:val="00D426B8"/>
    <w:rsid w:val="00D44E26"/>
    <w:rsid w:val="00D520D8"/>
    <w:rsid w:val="00D63AC2"/>
    <w:rsid w:val="00D7383B"/>
    <w:rsid w:val="00D73B09"/>
    <w:rsid w:val="00D7465A"/>
    <w:rsid w:val="00D7788A"/>
    <w:rsid w:val="00D854BC"/>
    <w:rsid w:val="00DA231B"/>
    <w:rsid w:val="00DB7ABC"/>
    <w:rsid w:val="00DC39FC"/>
    <w:rsid w:val="00DF5254"/>
    <w:rsid w:val="00E02524"/>
    <w:rsid w:val="00E118A8"/>
    <w:rsid w:val="00E1430E"/>
    <w:rsid w:val="00E16408"/>
    <w:rsid w:val="00E20894"/>
    <w:rsid w:val="00E245AB"/>
    <w:rsid w:val="00E2764C"/>
    <w:rsid w:val="00E27F2E"/>
    <w:rsid w:val="00E35A23"/>
    <w:rsid w:val="00E50AFE"/>
    <w:rsid w:val="00E57963"/>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95212"/>
    <w:rsid w:val="00FA22C0"/>
    <w:rsid w:val="00FA47C0"/>
    <w:rsid w:val="00FB5DD1"/>
    <w:rsid w:val="00FC2B5D"/>
    <w:rsid w:val="00FD767F"/>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D41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D4125A"/>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4125A"/>
    <w:rPr>
      <w:rFonts w:ascii="Geomanist Light" w:hAnsi="Geomanist Light"/>
      <w:lang w:val="es-ES"/>
    </w:rPr>
  </w:style>
  <w:style w:type="character" w:styleId="Textoennegrita">
    <w:name w:val="Strong"/>
    <w:basedOn w:val="Fuentedeprrafopredeter"/>
    <w:uiPriority w:val="22"/>
    <w:qFormat/>
    <w:rsid w:val="00D4125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mailto:manuela.tamayo@gobiernobogota.gov.co"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ocesosdisciplinarios@gobiernobogota.gov.co"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forms.office.com/r/pPHyWVs2S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8F6DBD5-2679-40EF-802F-EE50B38180A5}"/>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30</Pages>
  <Words>10417</Words>
  <Characters>57295</Characters>
  <Application>Microsoft Office Word</Application>
  <DocSecurity>0</DocSecurity>
  <Lines>477</Lines>
  <Paragraphs>135</Paragraphs>
  <ScaleCrop>false</ScaleCrop>
  <Company/>
  <LinksUpToDate>false</LinksUpToDate>
  <CharactersWithSpaces>67577</CharactersWithSpaces>
  <SharedDoc>false</SharedDoc>
  <HLinks>
    <vt:vector size="54" baseType="variant">
      <vt:variant>
        <vt:i4>4456513</vt:i4>
      </vt:variant>
      <vt:variant>
        <vt:i4>24</vt:i4>
      </vt:variant>
      <vt:variant>
        <vt:i4>0</vt:i4>
      </vt:variant>
      <vt:variant>
        <vt:i4>5</vt:i4>
      </vt:variant>
      <vt:variant>
        <vt:lpwstr>https://forms.office.com/r/pPHyWVs2SZ</vt:lpwstr>
      </vt:variant>
      <vt:variant>
        <vt:lpwstr/>
      </vt:variant>
      <vt:variant>
        <vt:i4>3407926</vt:i4>
      </vt:variant>
      <vt:variant>
        <vt:i4>21</vt:i4>
      </vt:variant>
      <vt:variant>
        <vt:i4>0</vt:i4>
      </vt:variant>
      <vt:variant>
        <vt:i4>5</vt:i4>
      </vt:variant>
      <vt:variant>
        <vt:lpwstr>https://www.colombiacompra.gov.co/pqrsd/informacion-importante-antes-de-formular-una-pqrsd</vt:lpwstr>
      </vt:variant>
      <vt:variant>
        <vt:lpwstr/>
      </vt:variant>
      <vt:variant>
        <vt:i4>4980779</vt:i4>
      </vt:variant>
      <vt:variant>
        <vt:i4>18</vt:i4>
      </vt:variant>
      <vt:variant>
        <vt:i4>0</vt:i4>
      </vt:variant>
      <vt:variant>
        <vt:i4>5</vt:i4>
      </vt:variant>
      <vt:variant>
        <vt:lpwstr>mailto:ventanilladeradicacion@colombiacompra.gov.co</vt:lpwstr>
      </vt:variant>
      <vt:variant>
        <vt:lpwstr/>
      </vt:variant>
      <vt:variant>
        <vt:i4>5505101</vt:i4>
      </vt:variant>
      <vt:variant>
        <vt:i4>15</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12</vt:i4>
      </vt:variant>
      <vt:variant>
        <vt:i4>0</vt:i4>
      </vt:variant>
      <vt:variant>
        <vt:i4>5</vt:i4>
      </vt:variant>
      <vt:variant>
        <vt:lpwstr>https://www.colombiacompra.gov.co/normativa-y-relatoria/documentos-tipo</vt:lpwstr>
      </vt:variant>
      <vt:variant>
        <vt:lpwstr/>
      </vt:variant>
      <vt:variant>
        <vt:i4>65544</vt:i4>
      </vt:variant>
      <vt:variant>
        <vt:i4>9</vt:i4>
      </vt:variant>
      <vt:variant>
        <vt:i4>0</vt:i4>
      </vt:variant>
      <vt:variant>
        <vt:i4>5</vt:i4>
      </vt:variant>
      <vt:variant>
        <vt:lpwstr>https://formacionvirtual.colombiacompra.gov.co/mod/page/view.php?id=3718</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5046371</vt:i4>
      </vt:variant>
      <vt:variant>
        <vt:i4>3</vt:i4>
      </vt:variant>
      <vt:variant>
        <vt:i4>0</vt:i4>
      </vt:variant>
      <vt:variant>
        <vt:i4>5</vt:i4>
      </vt:variant>
      <vt:variant>
        <vt:lpwstr>mailto:manuela.tamayo@gobiernobogota.gov.co</vt:lpwstr>
      </vt:variant>
      <vt:variant>
        <vt:lpwstr/>
      </vt:variant>
      <vt:variant>
        <vt:i4>6160419</vt:i4>
      </vt:variant>
      <vt:variant>
        <vt:i4>0</vt:i4>
      </vt:variant>
      <vt:variant>
        <vt:i4>0</vt:i4>
      </vt:variant>
      <vt:variant>
        <vt:i4>5</vt:i4>
      </vt:variant>
      <vt:variant>
        <vt:lpwstr>mailto:procesosdisciplinarios@gobiernobogota.gov.co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Denis Andrea Cárdenas Hernández</cp:lastModifiedBy>
  <cp:revision>3</cp:revision>
  <cp:lastPrinted>2023-01-10T21:18:00Z</cp:lastPrinted>
  <dcterms:created xsi:type="dcterms:W3CDTF">2026-07-02T13:54:00Z</dcterms:created>
  <dcterms:modified xsi:type="dcterms:W3CDTF">2026-07-02T14:00:00Z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