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A945F" w14:textId="77777777" w:rsidR="009D33DF" w:rsidRPr="00902EAF" w:rsidRDefault="009D33DF" w:rsidP="009D33DF">
      <w:pPr>
        <w:tabs>
          <w:tab w:val="left" w:pos="426"/>
        </w:tabs>
        <w:spacing w:after="0" w:line="240" w:lineRule="auto"/>
        <w:jc w:val="both"/>
        <w:rPr>
          <w:rFonts w:ascii="Verdana" w:hAnsi="Verdana" w:cs="Arial"/>
          <w:bCs/>
          <w:sz w:val="20"/>
          <w:szCs w:val="20"/>
          <w:lang w:eastAsia="es-CO"/>
        </w:rPr>
      </w:pPr>
    </w:p>
    <w:p w14:paraId="098AED50" w14:textId="77777777" w:rsidR="009D33DF" w:rsidRPr="00AF1555" w:rsidRDefault="009D33DF" w:rsidP="009D33DF">
      <w:pPr>
        <w:tabs>
          <w:tab w:val="left" w:pos="426"/>
        </w:tabs>
        <w:spacing w:after="0" w:line="240" w:lineRule="auto"/>
        <w:jc w:val="both"/>
        <w:rPr>
          <w:rFonts w:ascii="Verdana" w:hAnsi="Verdana" w:cs="Arial"/>
          <w:b/>
          <w:lang w:eastAsia="es-CO"/>
        </w:rPr>
      </w:pPr>
      <w:r>
        <w:rPr>
          <w:rFonts w:ascii="Verdana" w:hAnsi="Verdana" w:cs="Arial"/>
          <w:b/>
          <w:lang w:eastAsia="es-CO"/>
        </w:rPr>
        <w:t>CONTRATO ESTATAL – Entidades sometidas al EGCAP</w:t>
      </w:r>
      <w:r w:rsidRPr="00607390">
        <w:rPr>
          <w:rFonts w:ascii="Verdana" w:hAnsi="Verdana" w:cs="Arial"/>
          <w:b/>
          <w:lang w:eastAsia="es-CO"/>
        </w:rPr>
        <w:t xml:space="preserve"> – </w:t>
      </w:r>
      <w:r>
        <w:rPr>
          <w:rFonts w:ascii="Verdana" w:hAnsi="Verdana" w:cs="Arial"/>
          <w:b/>
          <w:lang w:eastAsia="es-CO"/>
        </w:rPr>
        <w:t xml:space="preserve">Régimen mixto </w:t>
      </w:r>
      <w:r w:rsidRPr="00607390">
        <w:rPr>
          <w:rFonts w:ascii="Verdana" w:hAnsi="Verdana" w:cs="Arial"/>
          <w:b/>
          <w:lang w:eastAsia="es-CO"/>
        </w:rPr>
        <w:t>–</w:t>
      </w:r>
      <w:r>
        <w:rPr>
          <w:rFonts w:ascii="Verdana" w:hAnsi="Verdana" w:cs="Arial"/>
          <w:b/>
          <w:lang w:eastAsia="es-CO"/>
        </w:rPr>
        <w:t xml:space="preserve"> Derecho público y privado </w:t>
      </w:r>
      <w:r w:rsidRPr="00607390">
        <w:rPr>
          <w:rFonts w:ascii="Verdana" w:hAnsi="Verdana" w:cs="Arial"/>
          <w:b/>
          <w:lang w:eastAsia="es-CO"/>
        </w:rPr>
        <w:t xml:space="preserve"> </w:t>
      </w:r>
    </w:p>
    <w:p w14:paraId="31BEBFA6" w14:textId="77777777" w:rsidR="009D33DF" w:rsidRPr="00AF1555" w:rsidRDefault="009D33DF" w:rsidP="009D33DF">
      <w:pPr>
        <w:tabs>
          <w:tab w:val="left" w:pos="426"/>
        </w:tabs>
        <w:spacing w:after="0" w:line="240" w:lineRule="auto"/>
        <w:jc w:val="both"/>
        <w:rPr>
          <w:rFonts w:ascii="Verdana" w:hAnsi="Verdana" w:cs="Arial"/>
          <w:b/>
          <w:sz w:val="20"/>
          <w:szCs w:val="20"/>
          <w:lang w:eastAsia="es-CO"/>
        </w:rPr>
      </w:pPr>
    </w:p>
    <w:p w14:paraId="7DCB15DF" w14:textId="77777777" w:rsidR="009D33DF" w:rsidRPr="00705C5F" w:rsidRDefault="009D33DF" w:rsidP="009D33DF">
      <w:pPr>
        <w:spacing w:after="0" w:line="240" w:lineRule="auto"/>
        <w:jc w:val="both"/>
        <w:rPr>
          <w:rFonts w:ascii="Verdana" w:hAnsi="Verdana" w:cs="Arial"/>
          <w:bCs/>
          <w:sz w:val="20"/>
          <w:szCs w:val="20"/>
          <w:lang w:eastAsia="es-CO"/>
        </w:rPr>
      </w:pPr>
      <w:r>
        <w:rPr>
          <w:rFonts w:ascii="Verdana" w:hAnsi="Verdana" w:cs="Arial"/>
          <w:bCs/>
          <w:sz w:val="20"/>
          <w:szCs w:val="20"/>
          <w:lang w:eastAsia="es-CO"/>
        </w:rPr>
        <w:t>L</w:t>
      </w:r>
      <w:r w:rsidRPr="00705C5F">
        <w:rPr>
          <w:rFonts w:ascii="Verdana" w:hAnsi="Verdana" w:cs="Arial"/>
          <w:bCs/>
          <w:sz w:val="20"/>
          <w:szCs w:val="20"/>
          <w:lang w:eastAsia="es-CO"/>
        </w:rPr>
        <w:t>os contratos de las entidades sometidas al Estatuto General de Contratación se rigen generalmente por el derecho privado y excepcionalmente por el derecho público, pues las normas civiles y comerciales son el derecho común de los contratos estatales</w:t>
      </w:r>
      <w:r w:rsidRPr="00863481">
        <w:rPr>
          <w:rFonts w:ascii="Verdana" w:hAnsi="Verdana" w:cs="Arial"/>
          <w:bCs/>
          <w:sz w:val="20"/>
          <w:szCs w:val="20"/>
          <w:lang w:eastAsia="es-CO"/>
        </w:rPr>
        <w:t xml:space="preserve">. </w:t>
      </w:r>
      <w:r w:rsidRPr="00705C5F">
        <w:rPr>
          <w:rFonts w:ascii="Verdana" w:hAnsi="Verdana" w:cs="Arial"/>
          <w:bCs/>
          <w:sz w:val="20"/>
          <w:szCs w:val="20"/>
          <w:lang w:eastAsia="es-CO"/>
        </w:rPr>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p>
    <w:p w14:paraId="731312A8" w14:textId="77777777" w:rsidR="009D33DF" w:rsidRPr="00B53D4E" w:rsidRDefault="009D33DF" w:rsidP="009D33DF">
      <w:pPr>
        <w:spacing w:after="0" w:line="240" w:lineRule="auto"/>
        <w:jc w:val="both"/>
        <w:rPr>
          <w:rFonts w:ascii="Verdana" w:eastAsia="Calibri" w:hAnsi="Verdana" w:cs="Arial"/>
          <w:sz w:val="20"/>
          <w:szCs w:val="20"/>
        </w:rPr>
      </w:pPr>
    </w:p>
    <w:p w14:paraId="3DBFA09B" w14:textId="77777777" w:rsidR="009D33DF" w:rsidRPr="00B53D4E" w:rsidRDefault="009D33DF" w:rsidP="009D33DF">
      <w:pPr>
        <w:spacing w:after="0" w:line="240" w:lineRule="auto"/>
        <w:jc w:val="both"/>
        <w:rPr>
          <w:rFonts w:ascii="Verdana" w:eastAsia="Calibri" w:hAnsi="Verdana" w:cs="Arial"/>
          <w:b/>
          <w:bCs/>
        </w:rPr>
      </w:pPr>
      <w:r>
        <w:rPr>
          <w:rFonts w:ascii="Verdana" w:eastAsia="Calibri" w:hAnsi="Verdana" w:cs="Arial"/>
          <w:b/>
          <w:bCs/>
        </w:rPr>
        <w:t>RÉGIMEN PRESUPUESTAL</w:t>
      </w:r>
      <w:r w:rsidRPr="00B53D4E">
        <w:rPr>
          <w:rFonts w:ascii="Verdana" w:eastAsia="Calibri" w:hAnsi="Verdana" w:cs="Arial"/>
          <w:b/>
          <w:bCs/>
        </w:rPr>
        <w:t xml:space="preserve"> – </w:t>
      </w:r>
      <w:r>
        <w:rPr>
          <w:rFonts w:ascii="Verdana" w:eastAsia="Calibri" w:hAnsi="Verdana" w:cs="Arial"/>
          <w:b/>
          <w:bCs/>
        </w:rPr>
        <w:t xml:space="preserve">Sistema de compras públicas – Conexión </w:t>
      </w:r>
      <w:r w:rsidRPr="00B53D4E">
        <w:rPr>
          <w:rFonts w:ascii="Verdana" w:eastAsia="Calibri" w:hAnsi="Verdana" w:cs="Arial"/>
          <w:b/>
          <w:bCs/>
        </w:rPr>
        <w:t xml:space="preserve"> </w:t>
      </w:r>
    </w:p>
    <w:p w14:paraId="7B813199" w14:textId="77777777" w:rsidR="009D33DF" w:rsidRPr="00B53D4E" w:rsidRDefault="009D33DF" w:rsidP="009D33DF">
      <w:pPr>
        <w:spacing w:after="0" w:line="240" w:lineRule="auto"/>
        <w:jc w:val="both"/>
        <w:rPr>
          <w:rFonts w:ascii="Verdana" w:eastAsia="Calibri" w:hAnsi="Verdana" w:cs="Arial"/>
          <w:sz w:val="20"/>
          <w:szCs w:val="20"/>
        </w:rPr>
      </w:pPr>
    </w:p>
    <w:p w14:paraId="2658ABE0" w14:textId="77777777" w:rsidR="009D33DF" w:rsidRPr="00705C5F" w:rsidRDefault="009D33DF" w:rsidP="009D33DF">
      <w:pPr>
        <w:spacing w:after="0" w:line="240" w:lineRule="auto"/>
        <w:jc w:val="both"/>
        <w:rPr>
          <w:rFonts w:ascii="Verdana" w:eastAsia="Calibri" w:hAnsi="Verdana" w:cs="Arial"/>
          <w:sz w:val="20"/>
          <w:szCs w:val="20"/>
        </w:rPr>
      </w:pPr>
      <w:r w:rsidRPr="00705C5F">
        <w:rPr>
          <w:rFonts w:ascii="Verdana" w:eastAsia="Calibri" w:hAnsi="Verdana" w:cs="Arial"/>
          <w:sz w:val="20"/>
          <w:szCs w:val="20"/>
        </w:rPr>
        <w:t xml:space="preserve">Además de la normativa mencionada, las entidades estatales deben sujetarse a las normas presupuestales, ya que los contratos estatales son una de la principales fuentes de ejecución de recursos públicos. Respecto al principio de economía, los numerales 6, 13 y 14 del artículo 25 del Estatuto General de Contratación de la Administración Pública disponen que las entidades estatales sólo iniciarán procesos contractuales si cuentan con respaldo presupuestal suficiente, incluyendo reservas para las cláusulas de actualización de precios y los imprevistos derivados de retrasos en pagos o la revisión de precios por alteración de las condiciones iniciales del negocio jurídico. Asimismo, el inciso segundo del artículo 41 </w:t>
      </w:r>
      <w:r w:rsidRPr="00705C5F">
        <w:rPr>
          <w:rFonts w:ascii="Verdana" w:eastAsia="Calibri" w:hAnsi="Verdana" w:cs="Arial"/>
          <w:i/>
          <w:iCs/>
          <w:sz w:val="20"/>
          <w:szCs w:val="20"/>
        </w:rPr>
        <w:t>ibidem</w:t>
      </w:r>
      <w:r w:rsidRPr="00705C5F">
        <w:rPr>
          <w:rFonts w:ascii="Verdana" w:eastAsia="Calibri" w:hAnsi="Verdana" w:cs="Arial"/>
          <w:sz w:val="20"/>
          <w:szCs w:val="20"/>
        </w:rPr>
        <w:t xml:space="preserve"> –modificado por el artículo 23 de la Ley 1150 de 2007– eleva el registro presupuestal a requisito de ejecución de los contratos.</w:t>
      </w:r>
      <w:r>
        <w:rPr>
          <w:rFonts w:ascii="Verdana" w:eastAsia="Calibri" w:hAnsi="Verdana" w:cs="Arial"/>
          <w:sz w:val="20"/>
          <w:szCs w:val="20"/>
        </w:rPr>
        <w:t xml:space="preserve"> </w:t>
      </w:r>
      <w:r w:rsidRPr="00705C5F">
        <w:rPr>
          <w:rFonts w:ascii="Verdana" w:eastAsia="Calibri" w:hAnsi="Verdana" w:cs="Arial"/>
          <w:sz w:val="20"/>
          <w:szCs w:val="20"/>
        </w:rPr>
        <w:t>Como explica la doctrina, tanto en la fase preparatoria como en la de formalización, las normas del sistema de compras públicas exigen el cumplimiento de la legalidad presupuestaría</w:t>
      </w:r>
      <w:r w:rsidRPr="00B53D4E">
        <w:rPr>
          <w:rFonts w:ascii="Verdana" w:eastAsia="Calibri" w:hAnsi="Verdana" w:cs="Arial"/>
          <w:sz w:val="20"/>
          <w:szCs w:val="20"/>
        </w:rPr>
        <w:t>.</w:t>
      </w:r>
    </w:p>
    <w:p w14:paraId="32C67C6E" w14:textId="77777777" w:rsidR="009D33DF" w:rsidRPr="00B53D4E" w:rsidRDefault="009D33DF" w:rsidP="009D33DF">
      <w:pPr>
        <w:spacing w:after="0" w:line="240" w:lineRule="auto"/>
        <w:jc w:val="both"/>
        <w:rPr>
          <w:rFonts w:ascii="Verdana" w:eastAsia="Calibri" w:hAnsi="Verdana" w:cs="Arial"/>
          <w:color w:val="000000" w:themeColor="text1"/>
          <w:sz w:val="20"/>
          <w:szCs w:val="20"/>
        </w:rPr>
      </w:pPr>
    </w:p>
    <w:p w14:paraId="03A04974" w14:textId="77777777" w:rsidR="009D33DF" w:rsidRPr="00B53D4E" w:rsidRDefault="009D33DF" w:rsidP="009D33DF">
      <w:pPr>
        <w:pStyle w:val="s16"/>
        <w:spacing w:before="0" w:beforeAutospacing="0" w:after="0" w:afterAutospacing="0"/>
        <w:jc w:val="both"/>
        <w:rPr>
          <w:rFonts w:ascii="Verdana" w:hAnsi="Verdana" w:cs="Arial"/>
          <w:b/>
          <w:bCs/>
          <w:color w:val="000000"/>
          <w:sz w:val="22"/>
          <w:szCs w:val="22"/>
        </w:rPr>
      </w:pPr>
      <w:r>
        <w:rPr>
          <w:rStyle w:val="s15"/>
          <w:rFonts w:ascii="Verdana" w:hAnsi="Verdana" w:cs="Arial"/>
          <w:b/>
          <w:bCs/>
          <w:color w:val="000000"/>
          <w:sz w:val="22"/>
          <w:szCs w:val="22"/>
        </w:rPr>
        <w:t>LEY DE APROPIACIONES</w:t>
      </w:r>
      <w:r w:rsidRPr="00B53D4E">
        <w:rPr>
          <w:rStyle w:val="s15"/>
          <w:rFonts w:ascii="Verdana" w:hAnsi="Verdana" w:cs="Arial"/>
          <w:b/>
          <w:bCs/>
          <w:color w:val="000000"/>
          <w:sz w:val="22"/>
          <w:szCs w:val="22"/>
        </w:rPr>
        <w:t xml:space="preserve"> – </w:t>
      </w:r>
      <w:r>
        <w:rPr>
          <w:rStyle w:val="s15"/>
          <w:rFonts w:ascii="Verdana" w:hAnsi="Verdana" w:cs="Arial"/>
          <w:b/>
          <w:bCs/>
          <w:color w:val="000000"/>
          <w:sz w:val="22"/>
          <w:szCs w:val="22"/>
        </w:rPr>
        <w:t>Gastos de funcionamiento e inversión – Alcance</w:t>
      </w:r>
    </w:p>
    <w:p w14:paraId="372E912D" w14:textId="77777777" w:rsidR="009D33DF" w:rsidRPr="00B53D4E" w:rsidRDefault="009D33DF" w:rsidP="009D33DF">
      <w:pPr>
        <w:pStyle w:val="s17"/>
        <w:spacing w:before="0" w:beforeAutospacing="0" w:after="0" w:afterAutospacing="0"/>
        <w:jc w:val="both"/>
        <w:rPr>
          <w:rFonts w:ascii="Verdana" w:hAnsi="Verdana" w:cs="Arial"/>
          <w:color w:val="000000"/>
          <w:sz w:val="20"/>
          <w:szCs w:val="20"/>
        </w:rPr>
      </w:pPr>
      <w:r w:rsidRPr="00B53D4E">
        <w:rPr>
          <w:rFonts w:ascii="Verdana" w:hAnsi="Verdana" w:cs="Arial"/>
          <w:color w:val="000000"/>
          <w:sz w:val="20"/>
          <w:szCs w:val="20"/>
        </w:rPr>
        <w:t> </w:t>
      </w:r>
    </w:p>
    <w:p w14:paraId="1084415E" w14:textId="77777777" w:rsidR="009D33DF" w:rsidRDefault="009D33DF" w:rsidP="009D33DF">
      <w:pPr>
        <w:pStyle w:val="s17"/>
        <w:spacing w:before="0" w:beforeAutospacing="0" w:after="0" w:afterAutospacing="0"/>
        <w:jc w:val="both"/>
        <w:rPr>
          <w:rStyle w:val="s18"/>
          <w:rFonts w:ascii="Verdana" w:hAnsi="Verdana" w:cs="Arial"/>
          <w:color w:val="000000"/>
          <w:sz w:val="20"/>
          <w:szCs w:val="20"/>
        </w:rPr>
      </w:pPr>
      <w:r>
        <w:rPr>
          <w:rFonts w:ascii="Verdana" w:hAnsi="Verdana" w:cs="Arial"/>
          <w:color w:val="000000"/>
          <w:sz w:val="20"/>
          <w:szCs w:val="20"/>
          <w:lang w:val="es-ES"/>
        </w:rPr>
        <w:t>Conforme al EOP, e</w:t>
      </w:r>
      <w:r w:rsidRPr="00705C5F">
        <w:rPr>
          <w:rFonts w:ascii="Verdana" w:hAnsi="Verdana" w:cs="Arial"/>
          <w:color w:val="000000"/>
          <w:sz w:val="20"/>
          <w:szCs w:val="20"/>
          <w:lang w:val="es-ES"/>
        </w:rPr>
        <w:t xml:space="preserve">l Presupuesto de Gastos o Ley de Apropiaciones hace parte del Presupuesto General de la Nación –art. 11, </w:t>
      </w:r>
      <w:proofErr w:type="spellStart"/>
      <w:r w:rsidRPr="00705C5F">
        <w:rPr>
          <w:rFonts w:ascii="Verdana" w:hAnsi="Verdana" w:cs="Arial"/>
          <w:color w:val="000000"/>
          <w:sz w:val="20"/>
          <w:szCs w:val="20"/>
          <w:lang w:val="es-ES"/>
        </w:rPr>
        <w:t>lit.</w:t>
      </w:r>
      <w:proofErr w:type="spellEnd"/>
      <w:r w:rsidRPr="00705C5F">
        <w:rPr>
          <w:rFonts w:ascii="Verdana" w:hAnsi="Verdana" w:cs="Arial"/>
          <w:color w:val="000000"/>
          <w:sz w:val="20"/>
          <w:szCs w:val="20"/>
          <w:lang w:val="es-ES"/>
        </w:rPr>
        <w:t xml:space="preserve"> b)–, el cual contiene los gastos de funcionamiento, del servicio de la deuda pública y los gastos de inversión –art. 36–</w:t>
      </w:r>
      <w:r>
        <w:rPr>
          <w:rFonts w:ascii="Verdana" w:hAnsi="Verdana" w:cs="Arial"/>
          <w:color w:val="000000"/>
          <w:sz w:val="20"/>
          <w:szCs w:val="20"/>
          <w:lang w:val="es-ES"/>
        </w:rPr>
        <w:t xml:space="preserve">. </w:t>
      </w:r>
      <w:r>
        <w:rPr>
          <w:rFonts w:ascii="Verdana" w:hAnsi="Verdana" w:cs="Arial"/>
          <w:color w:val="000000"/>
          <w:sz w:val="20"/>
          <w:szCs w:val="20"/>
        </w:rPr>
        <w:t>E</w:t>
      </w:r>
      <w:r w:rsidRPr="00705C5F">
        <w:rPr>
          <w:rFonts w:ascii="Verdana" w:hAnsi="Verdana" w:cs="Arial"/>
          <w:color w:val="000000"/>
          <w:sz w:val="20"/>
          <w:szCs w:val="20"/>
        </w:rPr>
        <w:t>l artículo 35 del Decreto 1621 de 2024, “Por el cual se liquida el Presupuesto General de la Nación para la vigencia fiscal de 2025 se detallan las apropiaciones y se clasifican y definen los gastos”,</w:t>
      </w:r>
      <w:r>
        <w:rPr>
          <w:rFonts w:ascii="Verdana" w:hAnsi="Verdana" w:cs="Arial"/>
          <w:color w:val="000000"/>
          <w:sz w:val="20"/>
          <w:szCs w:val="20"/>
        </w:rPr>
        <w:t xml:space="preserve"> define dichos conceptos. </w:t>
      </w:r>
      <w:r w:rsidRPr="00705C5F">
        <w:rPr>
          <w:rFonts w:ascii="Verdana" w:hAnsi="Verdana" w:cs="Arial"/>
          <w:color w:val="000000"/>
          <w:sz w:val="20"/>
          <w:szCs w:val="20"/>
        </w:rPr>
        <w:t>En palabras de la Sala de Consulta y Servicio Civil del Consejo de Estado, “[…] mientras que los gastos de funcionamiento retribuyen bienes de consumo o prestaciones de servicios, los gastos de inversión retribuyen bienes de capital y, por consiguiente, contribuyen a aumentar el capital del sector público de la economía”</w:t>
      </w:r>
      <w:r>
        <w:rPr>
          <w:rFonts w:ascii="Verdana" w:hAnsi="Verdana" w:cs="Arial"/>
          <w:color w:val="000000"/>
          <w:sz w:val="20"/>
          <w:szCs w:val="20"/>
        </w:rPr>
        <w:t>.</w:t>
      </w:r>
      <w:r w:rsidRPr="00977908">
        <w:rPr>
          <w:rStyle w:val="s18"/>
          <w:rFonts w:ascii="Verdana" w:hAnsi="Verdana" w:cs="Arial"/>
          <w:color w:val="000000"/>
          <w:sz w:val="20"/>
          <w:szCs w:val="20"/>
        </w:rPr>
        <w:t xml:space="preserve"> </w:t>
      </w:r>
    </w:p>
    <w:p w14:paraId="3CCC7AB5" w14:textId="77777777" w:rsidR="009D33DF" w:rsidRPr="00B53D4E" w:rsidRDefault="009D33DF" w:rsidP="009D33DF">
      <w:pPr>
        <w:spacing w:after="0" w:line="240" w:lineRule="auto"/>
        <w:jc w:val="both"/>
        <w:rPr>
          <w:rFonts w:ascii="Verdana" w:eastAsia="Calibri" w:hAnsi="Verdana" w:cs="Arial"/>
          <w:color w:val="000000" w:themeColor="text1"/>
          <w:sz w:val="20"/>
          <w:szCs w:val="20"/>
        </w:rPr>
      </w:pPr>
    </w:p>
    <w:p w14:paraId="0B8C3724" w14:textId="77777777" w:rsidR="009D33DF" w:rsidRPr="00B53D4E" w:rsidRDefault="009D33DF" w:rsidP="009D33DF">
      <w:pPr>
        <w:pStyle w:val="s16"/>
        <w:spacing w:before="0" w:beforeAutospacing="0" w:after="0" w:afterAutospacing="0"/>
        <w:jc w:val="both"/>
        <w:rPr>
          <w:rFonts w:ascii="Verdana" w:hAnsi="Verdana" w:cs="Arial"/>
          <w:b/>
          <w:bCs/>
          <w:color w:val="000000"/>
          <w:sz w:val="22"/>
          <w:szCs w:val="22"/>
        </w:rPr>
      </w:pPr>
      <w:r>
        <w:rPr>
          <w:rStyle w:val="s15"/>
          <w:rFonts w:ascii="Verdana" w:hAnsi="Verdana" w:cs="Arial"/>
          <w:b/>
          <w:bCs/>
          <w:color w:val="000000"/>
          <w:sz w:val="22"/>
          <w:szCs w:val="22"/>
        </w:rPr>
        <w:lastRenderedPageBreak/>
        <w:t>FUENTES DE FINANCIACIÓN</w:t>
      </w:r>
      <w:r w:rsidRPr="00B53D4E">
        <w:rPr>
          <w:rStyle w:val="s15"/>
          <w:rFonts w:ascii="Verdana" w:hAnsi="Verdana" w:cs="Arial"/>
          <w:b/>
          <w:bCs/>
          <w:color w:val="000000"/>
          <w:sz w:val="22"/>
          <w:szCs w:val="22"/>
        </w:rPr>
        <w:t xml:space="preserve"> – </w:t>
      </w:r>
      <w:r>
        <w:rPr>
          <w:rStyle w:val="s15"/>
          <w:rFonts w:ascii="Verdana" w:hAnsi="Verdana" w:cs="Arial"/>
          <w:b/>
          <w:bCs/>
          <w:color w:val="000000"/>
          <w:sz w:val="22"/>
          <w:szCs w:val="22"/>
        </w:rPr>
        <w:t>Contrato estatal – Gastos de funcionamiento e inversión – Coexistencia – Manejo presupuestal y contractual</w:t>
      </w:r>
    </w:p>
    <w:p w14:paraId="1D2C1B33" w14:textId="77777777" w:rsidR="009D33DF" w:rsidRPr="00B53D4E" w:rsidRDefault="009D33DF" w:rsidP="009D33DF">
      <w:pPr>
        <w:pStyle w:val="s17"/>
        <w:spacing w:before="0" w:beforeAutospacing="0" w:after="0" w:afterAutospacing="0"/>
        <w:jc w:val="both"/>
        <w:rPr>
          <w:rFonts w:ascii="Verdana" w:hAnsi="Verdana" w:cs="Arial"/>
          <w:color w:val="000000"/>
          <w:sz w:val="20"/>
          <w:szCs w:val="20"/>
        </w:rPr>
      </w:pPr>
      <w:r w:rsidRPr="00B53D4E">
        <w:rPr>
          <w:rFonts w:ascii="Verdana" w:hAnsi="Verdana" w:cs="Arial"/>
          <w:color w:val="000000"/>
          <w:sz w:val="20"/>
          <w:szCs w:val="20"/>
        </w:rPr>
        <w:t> </w:t>
      </w:r>
    </w:p>
    <w:p w14:paraId="401C3311" w14:textId="77777777" w:rsidR="009D33DF" w:rsidRDefault="009D33DF" w:rsidP="009D33DF">
      <w:pPr>
        <w:spacing w:after="0" w:line="240" w:lineRule="auto"/>
        <w:jc w:val="both"/>
        <w:rPr>
          <w:rFonts w:ascii="Verdana" w:eastAsia="Times New Roman" w:hAnsi="Verdana" w:cs="Arial"/>
          <w:color w:val="000000"/>
          <w:sz w:val="20"/>
          <w:szCs w:val="20"/>
          <w:lang w:eastAsia="es-MX"/>
        </w:rPr>
      </w:pPr>
      <w:r>
        <w:rPr>
          <w:rFonts w:ascii="Verdana" w:eastAsia="Times New Roman" w:hAnsi="Verdana" w:cs="Arial"/>
          <w:color w:val="000000"/>
          <w:sz w:val="20"/>
          <w:szCs w:val="20"/>
          <w:lang w:eastAsia="es-MX"/>
        </w:rPr>
        <w:t>I</w:t>
      </w:r>
      <w:r w:rsidRPr="00705C5F">
        <w:rPr>
          <w:rFonts w:ascii="Verdana" w:eastAsia="Times New Roman" w:hAnsi="Verdana" w:cs="Arial"/>
          <w:color w:val="000000"/>
          <w:sz w:val="20"/>
          <w:szCs w:val="20"/>
          <w:lang w:eastAsia="es-MX"/>
        </w:rPr>
        <w:t xml:space="preserve">ndependientemente de la tipología contractual, las normas de la Ley 80 de 1993 no imponen que un determinado negocio deba financiarse con recursos de funcionamiento o de inversión. El principio de legalidad sólo demanda que el desembolso tenga respaldo presupuestal y que éste se aplique conforme a las partidas previamente previstas por el legislador, especialmente, cuando la Ley de Apropiaciones es una </w:t>
      </w:r>
      <w:r w:rsidRPr="00705C5F">
        <w:rPr>
          <w:rFonts w:ascii="Verdana" w:eastAsia="Times New Roman" w:hAnsi="Verdana" w:cs="Arial"/>
          <w:i/>
          <w:iCs/>
          <w:color w:val="000000"/>
          <w:sz w:val="20"/>
          <w:szCs w:val="20"/>
          <w:lang w:eastAsia="es-MX"/>
        </w:rPr>
        <w:t>autorización de gastos</w:t>
      </w:r>
      <w:r w:rsidRPr="00705C5F">
        <w:rPr>
          <w:rFonts w:ascii="Verdana" w:eastAsia="Times New Roman" w:hAnsi="Verdana" w:cs="Arial"/>
          <w:color w:val="000000"/>
          <w:sz w:val="20"/>
          <w:szCs w:val="20"/>
          <w:lang w:eastAsia="es-MX"/>
        </w:rPr>
        <w:t>.</w:t>
      </w:r>
      <w:r>
        <w:rPr>
          <w:rFonts w:ascii="Verdana" w:eastAsia="Times New Roman" w:hAnsi="Verdana" w:cs="Arial"/>
          <w:color w:val="000000"/>
          <w:sz w:val="20"/>
          <w:szCs w:val="20"/>
          <w:lang w:eastAsia="es-MX"/>
        </w:rPr>
        <w:t xml:space="preserve"> </w:t>
      </w:r>
    </w:p>
    <w:p w14:paraId="14DFEE37" w14:textId="77777777" w:rsidR="009D33DF" w:rsidRDefault="009D33DF" w:rsidP="009D33DF">
      <w:pPr>
        <w:spacing w:after="0" w:line="240" w:lineRule="auto"/>
        <w:jc w:val="both"/>
        <w:rPr>
          <w:rFonts w:ascii="Verdana" w:eastAsia="Times New Roman" w:hAnsi="Verdana" w:cs="Arial"/>
          <w:color w:val="000000"/>
          <w:sz w:val="20"/>
          <w:szCs w:val="20"/>
          <w:lang w:eastAsia="es-MX"/>
        </w:rPr>
      </w:pPr>
      <w:r w:rsidRPr="006A3FAA">
        <w:rPr>
          <w:rFonts w:ascii="Verdana" w:eastAsia="Times New Roman" w:hAnsi="Verdana" w:cs="Arial"/>
          <w:color w:val="000000"/>
          <w:sz w:val="20"/>
          <w:szCs w:val="20"/>
          <w:lang w:eastAsia="es-MX"/>
        </w:rPr>
        <w:t xml:space="preserve">Por ello, en el marco de las definiciones del artículo 35 del Decreto 1621 de 2024, no se observa la restricción alguna para que en un mismo contrato se ejecuten gastos de funcionamiento e inversión. </w:t>
      </w:r>
    </w:p>
    <w:p w14:paraId="6DC2820E" w14:textId="77777777" w:rsidR="009D33DF" w:rsidRDefault="009D33DF" w:rsidP="009D33DF">
      <w:pPr>
        <w:spacing w:after="0" w:line="240" w:lineRule="auto"/>
        <w:jc w:val="both"/>
        <w:rPr>
          <w:rFonts w:ascii="Verdana" w:eastAsia="Times New Roman" w:hAnsi="Verdana" w:cs="Arial"/>
          <w:color w:val="000000"/>
          <w:sz w:val="20"/>
          <w:szCs w:val="20"/>
          <w:lang w:eastAsia="es-MX"/>
        </w:rPr>
      </w:pPr>
    </w:p>
    <w:p w14:paraId="5A043744" w14:textId="77777777" w:rsidR="009D33DF" w:rsidRPr="006A3FAA" w:rsidRDefault="009D33DF" w:rsidP="009D33DF">
      <w:pPr>
        <w:spacing w:after="0" w:line="240" w:lineRule="auto"/>
        <w:jc w:val="both"/>
        <w:rPr>
          <w:rFonts w:ascii="Verdana" w:eastAsia="Times New Roman" w:hAnsi="Verdana" w:cs="Arial"/>
          <w:color w:val="000000"/>
          <w:sz w:val="20"/>
          <w:szCs w:val="20"/>
          <w:lang w:eastAsia="es-MX"/>
        </w:rPr>
      </w:pPr>
      <w:r w:rsidRPr="006A3FAA">
        <w:rPr>
          <w:rFonts w:ascii="Verdana" w:eastAsia="Times New Roman" w:hAnsi="Verdana" w:cs="Arial"/>
          <w:color w:val="000000"/>
          <w:sz w:val="20"/>
          <w:szCs w:val="20"/>
          <w:lang w:eastAsia="es-MX"/>
        </w:rPr>
        <w:t xml:space="preserve">Respecto al </w:t>
      </w:r>
      <w:r w:rsidRPr="006A3FAA">
        <w:rPr>
          <w:rFonts w:ascii="Verdana" w:eastAsia="Times New Roman" w:hAnsi="Verdana" w:cs="Arial"/>
          <w:i/>
          <w:iCs/>
          <w:color w:val="000000"/>
          <w:sz w:val="20"/>
          <w:szCs w:val="20"/>
          <w:lang w:eastAsia="es-MX"/>
        </w:rPr>
        <w:t>manejo presupuestal</w:t>
      </w:r>
      <w:r w:rsidRPr="006A3FAA">
        <w:rPr>
          <w:rFonts w:ascii="Verdana" w:eastAsia="Times New Roman" w:hAnsi="Verdana" w:cs="Arial"/>
          <w:color w:val="000000"/>
          <w:sz w:val="20"/>
          <w:szCs w:val="20"/>
          <w:lang w:eastAsia="es-MX"/>
        </w:rPr>
        <w:t xml:space="preserve"> para la expedición de </w:t>
      </w:r>
      <w:proofErr w:type="spellStart"/>
      <w:r w:rsidRPr="006A3FAA">
        <w:rPr>
          <w:rFonts w:ascii="Verdana" w:eastAsia="Times New Roman" w:hAnsi="Verdana" w:cs="Arial"/>
          <w:color w:val="000000"/>
          <w:sz w:val="20"/>
          <w:szCs w:val="20"/>
          <w:lang w:eastAsia="es-MX"/>
        </w:rPr>
        <w:t>CDP’s</w:t>
      </w:r>
      <w:proofErr w:type="spellEnd"/>
      <w:r w:rsidRPr="006A3FAA">
        <w:rPr>
          <w:rFonts w:ascii="Verdana" w:eastAsia="Times New Roman" w:hAnsi="Verdana" w:cs="Arial"/>
          <w:color w:val="000000"/>
          <w:sz w:val="20"/>
          <w:szCs w:val="20"/>
          <w:lang w:eastAsia="es-MX"/>
        </w:rPr>
        <w:t xml:space="preserve"> y la administración del PAC debe atenderse, respectivamente, a la directrices que establezca tanto el Ministerio de Hacienda y Crédito Público como el Departamento Nacional de Planeación. No obstante, en lo relativo al </w:t>
      </w:r>
      <w:r w:rsidRPr="006A3FAA">
        <w:rPr>
          <w:rFonts w:ascii="Verdana" w:eastAsia="Times New Roman" w:hAnsi="Verdana" w:cs="Arial"/>
          <w:i/>
          <w:iCs/>
          <w:color w:val="000000"/>
          <w:sz w:val="20"/>
          <w:szCs w:val="20"/>
          <w:lang w:eastAsia="es-MX"/>
        </w:rPr>
        <w:t>manejo contractual</w:t>
      </w:r>
      <w:r w:rsidRPr="006A3FAA">
        <w:rPr>
          <w:rFonts w:ascii="Verdana" w:eastAsia="Times New Roman" w:hAnsi="Verdana" w:cs="Arial"/>
          <w:color w:val="000000"/>
          <w:sz w:val="20"/>
          <w:szCs w:val="20"/>
          <w:lang w:eastAsia="es-MX"/>
        </w:rPr>
        <w:t>, las entidades deben definir en los documentos del proceso lo relativo a la justificación de las fuentes de los recursos para efectos de trazabilidad, así como los productos esperados en atención a los rubros empleados para financiar los contratos. El manejo en los dos (2) ámbitos mencionados se realizará con las restricciones que imponga el principio de legalidad sobre la ejecución del gasto público, de acuerdo a la orientación de los órganos competentes.</w:t>
      </w:r>
    </w:p>
    <w:p w14:paraId="6EC8FFFF" w14:textId="77777777" w:rsidR="009D33DF" w:rsidRPr="00B53D4E" w:rsidRDefault="009D33DF" w:rsidP="009D33DF">
      <w:pPr>
        <w:spacing w:after="0" w:line="240" w:lineRule="auto"/>
        <w:jc w:val="both"/>
        <w:rPr>
          <w:rFonts w:ascii="Verdana" w:eastAsia="Calibri" w:hAnsi="Verdana" w:cs="Arial"/>
          <w:color w:val="000000" w:themeColor="text1"/>
          <w:sz w:val="20"/>
          <w:szCs w:val="20"/>
        </w:rPr>
      </w:pPr>
    </w:p>
    <w:p w14:paraId="3011C0BD" w14:textId="77777777" w:rsidR="009D33DF" w:rsidRPr="00B53D4E" w:rsidRDefault="009D33DF" w:rsidP="009D33DF">
      <w:pPr>
        <w:pStyle w:val="s16"/>
        <w:spacing w:before="0" w:beforeAutospacing="0" w:after="0" w:afterAutospacing="0"/>
        <w:jc w:val="both"/>
        <w:rPr>
          <w:rFonts w:ascii="Verdana" w:hAnsi="Verdana" w:cs="Arial"/>
          <w:b/>
          <w:bCs/>
          <w:color w:val="000000"/>
          <w:sz w:val="22"/>
          <w:szCs w:val="22"/>
        </w:rPr>
      </w:pPr>
      <w:r>
        <w:rPr>
          <w:rStyle w:val="s15"/>
          <w:rFonts w:ascii="Verdana" w:hAnsi="Verdana" w:cs="Arial"/>
          <w:b/>
          <w:bCs/>
          <w:color w:val="000000"/>
          <w:sz w:val="22"/>
          <w:szCs w:val="22"/>
        </w:rPr>
        <w:t>PLAN ANUAL DE ADQUISICIONES</w:t>
      </w:r>
      <w:r w:rsidRPr="00B53D4E">
        <w:rPr>
          <w:rStyle w:val="s15"/>
          <w:rFonts w:ascii="Verdana" w:hAnsi="Verdana" w:cs="Arial"/>
          <w:b/>
          <w:bCs/>
          <w:color w:val="000000"/>
          <w:sz w:val="22"/>
          <w:szCs w:val="22"/>
        </w:rPr>
        <w:t xml:space="preserve"> – </w:t>
      </w:r>
      <w:r>
        <w:rPr>
          <w:rStyle w:val="s15"/>
          <w:rFonts w:ascii="Verdana" w:hAnsi="Verdana" w:cs="Arial"/>
          <w:b/>
          <w:bCs/>
          <w:color w:val="000000"/>
          <w:sz w:val="22"/>
          <w:szCs w:val="22"/>
        </w:rPr>
        <w:t>Tipo de recursos – Desglose</w:t>
      </w:r>
    </w:p>
    <w:p w14:paraId="341BEA1A" w14:textId="77777777" w:rsidR="009D33DF" w:rsidRPr="00B53D4E" w:rsidRDefault="009D33DF" w:rsidP="009D33DF">
      <w:pPr>
        <w:pStyle w:val="s17"/>
        <w:spacing w:before="0" w:beforeAutospacing="0" w:after="0" w:afterAutospacing="0"/>
        <w:jc w:val="both"/>
        <w:rPr>
          <w:rFonts w:ascii="Verdana" w:hAnsi="Verdana" w:cs="Arial"/>
          <w:color w:val="000000"/>
          <w:sz w:val="20"/>
          <w:szCs w:val="20"/>
        </w:rPr>
      </w:pPr>
      <w:r w:rsidRPr="00B53D4E">
        <w:rPr>
          <w:rFonts w:ascii="Verdana" w:hAnsi="Verdana" w:cs="Arial"/>
          <w:color w:val="000000"/>
          <w:sz w:val="20"/>
          <w:szCs w:val="20"/>
        </w:rPr>
        <w:t> </w:t>
      </w:r>
    </w:p>
    <w:p w14:paraId="2DF0C050" w14:textId="77777777" w:rsidR="009D33DF" w:rsidRPr="006A3FAA" w:rsidRDefault="009D33DF" w:rsidP="009D33DF">
      <w:pPr>
        <w:spacing w:after="0" w:line="240" w:lineRule="auto"/>
        <w:jc w:val="both"/>
        <w:rPr>
          <w:rFonts w:ascii="Verdana" w:eastAsia="Times New Roman" w:hAnsi="Verdana" w:cs="Arial"/>
          <w:color w:val="000000"/>
          <w:sz w:val="20"/>
          <w:szCs w:val="20"/>
          <w:lang w:eastAsia="es-MX"/>
        </w:rPr>
      </w:pPr>
      <w:r>
        <w:rPr>
          <w:rFonts w:ascii="Verdana" w:eastAsia="Times New Roman" w:hAnsi="Verdana" w:cs="Arial"/>
          <w:color w:val="000000"/>
          <w:sz w:val="20"/>
          <w:szCs w:val="20"/>
          <w:lang w:eastAsia="es-MX"/>
        </w:rPr>
        <w:t>D</w:t>
      </w:r>
      <w:r w:rsidRPr="006A3FAA">
        <w:rPr>
          <w:rFonts w:ascii="Verdana" w:eastAsia="Times New Roman" w:hAnsi="Verdana" w:cs="Arial"/>
          <w:color w:val="000000"/>
          <w:sz w:val="20"/>
          <w:szCs w:val="20"/>
          <w:lang w:eastAsia="es-MX"/>
        </w:rPr>
        <w:t xml:space="preserve">el artículo 2.2.1.1.1.4.1 del Decreto 1082 de 2015 se infiere </w:t>
      </w:r>
      <w:r w:rsidRPr="006A3FAA">
        <w:rPr>
          <w:rFonts w:ascii="Verdana" w:eastAsia="Times New Roman" w:hAnsi="Verdana" w:cs="Arial"/>
          <w:color w:val="000000"/>
          <w:sz w:val="20"/>
          <w:szCs w:val="20"/>
          <w:lang w:val="es-ES" w:eastAsia="es-MX"/>
        </w:rPr>
        <w:t xml:space="preserve">la naturaleza estimativa del plan anual de adquisiciones, pues contiene los siguientes aspectos: i) la necesidad; </w:t>
      </w:r>
      <w:proofErr w:type="spellStart"/>
      <w:r w:rsidRPr="006A3FAA">
        <w:rPr>
          <w:rFonts w:ascii="Verdana" w:eastAsia="Times New Roman" w:hAnsi="Verdana" w:cs="Arial"/>
          <w:color w:val="000000"/>
          <w:sz w:val="20"/>
          <w:szCs w:val="20"/>
          <w:lang w:val="es-ES" w:eastAsia="es-MX"/>
        </w:rPr>
        <w:t>ii</w:t>
      </w:r>
      <w:proofErr w:type="spellEnd"/>
      <w:r w:rsidRPr="006A3FAA">
        <w:rPr>
          <w:rFonts w:ascii="Verdana" w:eastAsia="Times New Roman" w:hAnsi="Verdana" w:cs="Arial"/>
          <w:color w:val="000000"/>
          <w:sz w:val="20"/>
          <w:szCs w:val="20"/>
          <w:lang w:val="es-ES" w:eastAsia="es-MX"/>
        </w:rPr>
        <w:t xml:space="preserve">) la identificación en el clasificador si la entidad conoce el bien, obra o servicio que satisface la necesidad; </w:t>
      </w:r>
      <w:proofErr w:type="spellStart"/>
      <w:r w:rsidRPr="006A3FAA">
        <w:rPr>
          <w:rFonts w:ascii="Verdana" w:eastAsia="Times New Roman" w:hAnsi="Verdana" w:cs="Arial"/>
          <w:color w:val="000000"/>
          <w:sz w:val="20"/>
          <w:szCs w:val="20"/>
          <w:lang w:val="es-ES" w:eastAsia="es-MX"/>
        </w:rPr>
        <w:t>iii</w:t>
      </w:r>
      <w:proofErr w:type="spellEnd"/>
      <w:r w:rsidRPr="006A3FAA">
        <w:rPr>
          <w:rFonts w:ascii="Verdana" w:eastAsia="Times New Roman" w:hAnsi="Verdana" w:cs="Arial"/>
          <w:color w:val="000000"/>
          <w:sz w:val="20"/>
          <w:szCs w:val="20"/>
          <w:lang w:val="es-ES" w:eastAsia="es-MX"/>
        </w:rPr>
        <w:t xml:space="preserve">) el valor estimado del contrato; </w:t>
      </w:r>
      <w:proofErr w:type="spellStart"/>
      <w:r w:rsidRPr="006A3FAA">
        <w:rPr>
          <w:rFonts w:ascii="Verdana" w:eastAsia="Times New Roman" w:hAnsi="Verdana" w:cs="Arial"/>
          <w:color w:val="000000"/>
          <w:sz w:val="20"/>
          <w:szCs w:val="20"/>
          <w:lang w:val="es-ES" w:eastAsia="es-MX"/>
        </w:rPr>
        <w:t>iv</w:t>
      </w:r>
      <w:proofErr w:type="spellEnd"/>
      <w:r w:rsidRPr="006A3FAA">
        <w:rPr>
          <w:rFonts w:ascii="Verdana" w:eastAsia="Times New Roman" w:hAnsi="Verdana" w:cs="Arial"/>
          <w:color w:val="000000"/>
          <w:sz w:val="20"/>
          <w:szCs w:val="20"/>
          <w:lang w:val="es-ES" w:eastAsia="es-MX"/>
        </w:rPr>
        <w:t xml:space="preserve">) </w:t>
      </w:r>
      <w:r w:rsidRPr="006A3FAA">
        <w:rPr>
          <w:rFonts w:ascii="Verdana" w:eastAsia="Times New Roman" w:hAnsi="Verdana" w:cs="Arial"/>
          <w:i/>
          <w:iCs/>
          <w:color w:val="000000"/>
          <w:sz w:val="20"/>
          <w:szCs w:val="20"/>
          <w:lang w:val="es-ES" w:eastAsia="es-MX"/>
        </w:rPr>
        <w:t>el tipo de recursos con cargo a los cuales la entidad pagará el bien, obra o servicio</w:t>
      </w:r>
      <w:r w:rsidRPr="006A3FAA">
        <w:rPr>
          <w:rFonts w:ascii="Verdana" w:eastAsia="Times New Roman" w:hAnsi="Verdana" w:cs="Arial"/>
          <w:color w:val="000000"/>
          <w:sz w:val="20"/>
          <w:szCs w:val="20"/>
          <w:lang w:val="es-ES" w:eastAsia="es-MX"/>
        </w:rPr>
        <w:t>; v) la modalidad de selección del contratista y vi) la fecha aproximada en la cual la entidad indicará el procedimiento de selección. En consecuencia, de acuerdo con los bienes, obras o servicios que la entidad pretenda adquirir, establecerá el tipo de recursos con cargo a los cuales se realiza el pago y desglosará la parte que corresponde a los gastos de funcionamiento y de inversión.</w:t>
      </w:r>
    </w:p>
    <w:p w14:paraId="72451309" w14:textId="77777777" w:rsidR="009D33DF" w:rsidRPr="009D33DF" w:rsidRDefault="009D33DF" w:rsidP="00CF33AC">
      <w:pPr>
        <w:spacing w:after="0" w:line="240" w:lineRule="auto"/>
        <w:rPr>
          <w:rFonts w:ascii="Verdana" w:eastAsia="Geomanist Light" w:hAnsi="Verdana" w:cs="Arial"/>
          <w:color w:val="000000" w:themeColor="text1"/>
        </w:rPr>
      </w:pPr>
    </w:p>
    <w:p w14:paraId="729DB862" w14:textId="77777777" w:rsidR="009D33DF" w:rsidRDefault="009D33DF" w:rsidP="00CF33AC">
      <w:pPr>
        <w:spacing w:after="0" w:line="240" w:lineRule="auto"/>
        <w:rPr>
          <w:rFonts w:ascii="Verdana" w:eastAsia="Geomanist Light" w:hAnsi="Verdana" w:cs="Arial"/>
          <w:color w:val="000000" w:themeColor="text1"/>
          <w:lang w:val="es-MX"/>
        </w:rPr>
      </w:pPr>
    </w:p>
    <w:p w14:paraId="465AA196" w14:textId="77777777" w:rsidR="009D33DF" w:rsidRDefault="009D33DF" w:rsidP="00CF33AC">
      <w:pPr>
        <w:spacing w:after="0" w:line="240" w:lineRule="auto"/>
        <w:rPr>
          <w:rFonts w:ascii="Verdana" w:eastAsia="Geomanist Light" w:hAnsi="Verdana" w:cs="Arial"/>
          <w:color w:val="000000" w:themeColor="text1"/>
          <w:lang w:val="es-MX"/>
        </w:rPr>
      </w:pPr>
    </w:p>
    <w:p w14:paraId="47E7AEDB" w14:textId="77777777" w:rsidR="009D33DF" w:rsidRDefault="009D33DF" w:rsidP="00CF33AC">
      <w:pPr>
        <w:spacing w:after="0" w:line="240" w:lineRule="auto"/>
        <w:rPr>
          <w:rFonts w:ascii="Verdana" w:eastAsia="Geomanist Light" w:hAnsi="Verdana" w:cs="Arial"/>
          <w:color w:val="000000" w:themeColor="text1"/>
          <w:lang w:val="es-MX"/>
        </w:rPr>
      </w:pPr>
    </w:p>
    <w:p w14:paraId="125C2FC9" w14:textId="77777777" w:rsidR="009D33DF" w:rsidRDefault="009D33DF" w:rsidP="00CF33AC">
      <w:pPr>
        <w:spacing w:after="0" w:line="240" w:lineRule="auto"/>
        <w:rPr>
          <w:rFonts w:ascii="Verdana" w:eastAsia="Geomanist Light" w:hAnsi="Verdana" w:cs="Arial"/>
          <w:color w:val="000000" w:themeColor="text1"/>
          <w:lang w:val="es-MX"/>
        </w:rPr>
      </w:pPr>
    </w:p>
    <w:p w14:paraId="5EC00CE0" w14:textId="77777777" w:rsidR="009D33DF" w:rsidRDefault="009D33DF" w:rsidP="00CF33AC">
      <w:pPr>
        <w:spacing w:after="0" w:line="240" w:lineRule="auto"/>
        <w:rPr>
          <w:rFonts w:ascii="Verdana" w:eastAsia="Geomanist Light" w:hAnsi="Verdana" w:cs="Arial"/>
          <w:color w:val="000000" w:themeColor="text1"/>
          <w:lang w:val="es-MX"/>
        </w:rPr>
      </w:pPr>
    </w:p>
    <w:p w14:paraId="0489EBD7" w14:textId="77777777" w:rsidR="009D33DF" w:rsidRDefault="009D33DF" w:rsidP="00CF33AC">
      <w:pPr>
        <w:spacing w:after="0" w:line="240" w:lineRule="auto"/>
        <w:rPr>
          <w:rFonts w:ascii="Verdana" w:eastAsia="Geomanist Light" w:hAnsi="Verdana" w:cs="Arial"/>
          <w:color w:val="000000" w:themeColor="text1"/>
          <w:lang w:val="es-MX"/>
        </w:rPr>
      </w:pPr>
    </w:p>
    <w:p w14:paraId="5DB48113" w14:textId="77777777" w:rsidR="009D33DF" w:rsidRDefault="009D33DF" w:rsidP="00CF33AC">
      <w:pPr>
        <w:spacing w:after="0" w:line="240" w:lineRule="auto"/>
        <w:rPr>
          <w:rFonts w:ascii="Verdana" w:eastAsia="Geomanist Light" w:hAnsi="Verdana" w:cs="Arial"/>
          <w:color w:val="000000" w:themeColor="text1"/>
          <w:lang w:val="es-MX"/>
        </w:rPr>
      </w:pPr>
    </w:p>
    <w:p w14:paraId="5B8F630E" w14:textId="77777777" w:rsidR="009D33DF" w:rsidRDefault="009D33DF" w:rsidP="00CF33AC">
      <w:pPr>
        <w:spacing w:after="0" w:line="240" w:lineRule="auto"/>
        <w:rPr>
          <w:rFonts w:ascii="Verdana" w:eastAsia="Geomanist Light" w:hAnsi="Verdana" w:cs="Arial"/>
          <w:color w:val="000000" w:themeColor="text1"/>
          <w:lang w:val="es-MX"/>
        </w:rPr>
      </w:pPr>
    </w:p>
    <w:p w14:paraId="43670415" w14:textId="77777777" w:rsidR="009D33DF" w:rsidRDefault="009D33DF" w:rsidP="00CF33AC">
      <w:pPr>
        <w:spacing w:after="0" w:line="240" w:lineRule="auto"/>
        <w:rPr>
          <w:rFonts w:ascii="Verdana" w:eastAsia="Geomanist Light" w:hAnsi="Verdana" w:cs="Arial"/>
          <w:color w:val="000000" w:themeColor="text1"/>
          <w:lang w:val="es-MX"/>
        </w:rPr>
      </w:pPr>
    </w:p>
    <w:p w14:paraId="6CA02BC7" w14:textId="26D7E488" w:rsidR="00CF33AC" w:rsidRPr="00593A5F" w:rsidRDefault="00CF33AC" w:rsidP="00CF33AC">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F23EDA" w:rsidRPr="00F23EDA">
        <w:rPr>
          <w:rFonts w:ascii="Verdana" w:eastAsia="Geomanist Light" w:hAnsi="Verdana" w:cs="Arial"/>
          <w:color w:val="000000" w:themeColor="text1"/>
          <w:lang w:val="es-MX"/>
        </w:rPr>
        <w:t>09 de Julio de 2025</w:t>
      </w:r>
    </w:p>
    <w:p w14:paraId="57BC52C6" w14:textId="77777777" w:rsidR="00CF33AC" w:rsidRDefault="00CF33AC" w:rsidP="00CF33AC">
      <w:pPr>
        <w:spacing w:after="0" w:line="240" w:lineRule="auto"/>
        <w:jc w:val="both"/>
        <w:rPr>
          <w:rFonts w:ascii="Verdana" w:eastAsia="Calibri" w:hAnsi="Verdana" w:cs="Arial"/>
          <w:color w:val="000000"/>
          <w:lang w:val="es-ES"/>
        </w:rPr>
      </w:pPr>
    </w:p>
    <w:p w14:paraId="6EC05BE8" w14:textId="7468C9F5" w:rsidR="00CF33AC" w:rsidRDefault="00F23EDA" w:rsidP="00F23EDA">
      <w:pPr>
        <w:spacing w:after="0" w:line="240" w:lineRule="auto"/>
        <w:jc w:val="right"/>
        <w:rPr>
          <w:rFonts w:ascii="Verdana" w:eastAsia="Calibri" w:hAnsi="Verdana" w:cs="Arial"/>
          <w:color w:val="000000"/>
          <w:lang w:val="es-ES"/>
        </w:rPr>
      </w:pPr>
      <w:r w:rsidRPr="00F23EDA">
        <w:rPr>
          <w:rFonts w:ascii="Verdana" w:eastAsia="Calibri" w:hAnsi="Verdana" w:cs="Arial"/>
          <w:noProof/>
          <w:color w:val="000000"/>
          <w:lang w:val="es-ES"/>
        </w:rPr>
        <w:drawing>
          <wp:inline distT="0" distB="0" distL="0" distR="0" wp14:anchorId="7318B9CE" wp14:editId="169D1324">
            <wp:extent cx="2400300" cy="622300"/>
            <wp:effectExtent l="0" t="0" r="0" b="0"/>
            <wp:docPr id="13223152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315254" name=""/>
                    <pic:cNvPicPr/>
                  </pic:nvPicPr>
                  <pic:blipFill>
                    <a:blip r:embed="rId10"/>
                    <a:stretch>
                      <a:fillRect/>
                    </a:stretch>
                  </pic:blipFill>
                  <pic:spPr>
                    <a:xfrm>
                      <a:off x="0" y="0"/>
                      <a:ext cx="2400300" cy="622300"/>
                    </a:xfrm>
                    <a:prstGeom prst="rect">
                      <a:avLst/>
                    </a:prstGeom>
                  </pic:spPr>
                </pic:pic>
              </a:graphicData>
            </a:graphic>
          </wp:inline>
        </w:drawing>
      </w:r>
    </w:p>
    <w:p w14:paraId="2AE23AF5" w14:textId="77777777" w:rsidR="00F23EDA" w:rsidRPr="00593A5F" w:rsidRDefault="00F23EDA" w:rsidP="00CF33AC">
      <w:pPr>
        <w:spacing w:after="0" w:line="240" w:lineRule="auto"/>
        <w:jc w:val="both"/>
        <w:rPr>
          <w:rFonts w:ascii="Verdana" w:eastAsia="Calibri" w:hAnsi="Verdana" w:cs="Arial"/>
          <w:color w:val="000000"/>
          <w:lang w:val="es-ES"/>
        </w:rPr>
      </w:pPr>
    </w:p>
    <w:p w14:paraId="6492B549" w14:textId="77777777" w:rsidR="00CF33AC" w:rsidRPr="00B96799" w:rsidRDefault="00CF33AC" w:rsidP="00CF33AC">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6B41A1D6" w14:textId="77777777" w:rsidR="00CF33AC" w:rsidRPr="0085423D" w:rsidRDefault="00CF33AC" w:rsidP="00CF33AC">
      <w:pPr>
        <w:spacing w:after="0" w:line="240" w:lineRule="auto"/>
        <w:rPr>
          <w:rFonts w:ascii="Verdana" w:eastAsia="Calibri" w:hAnsi="Verdana" w:cs="Arial"/>
          <w:b/>
          <w:lang w:val="es-ES_tradnl" w:eastAsia="es-ES_tradnl"/>
        </w:rPr>
      </w:pPr>
      <w:bookmarkStart w:id="0" w:name="OLE_LINK1"/>
      <w:r w:rsidRPr="00402CEA">
        <w:rPr>
          <w:rFonts w:ascii="Verdana" w:eastAsia="Calibri" w:hAnsi="Verdana" w:cs="Arial"/>
          <w:b/>
          <w:lang w:val="es-ES_tradnl" w:eastAsia="es-ES_tradnl"/>
        </w:rPr>
        <w:t>Ana Margarita Araujo Ariza</w:t>
      </w:r>
      <w:r>
        <w:rPr>
          <w:rFonts w:ascii="Verdana" w:eastAsia="Calibri" w:hAnsi="Verdana" w:cs="Arial"/>
          <w:b/>
          <w:lang w:val="es-ES_tradnl" w:eastAsia="es-ES_tradnl"/>
        </w:rPr>
        <w:t xml:space="preserve"> </w:t>
      </w:r>
    </w:p>
    <w:bookmarkEnd w:id="0"/>
    <w:p w14:paraId="4FEA734C" w14:textId="77777777" w:rsidR="00CF33AC" w:rsidRPr="00882414" w:rsidRDefault="00CF33AC" w:rsidP="00CF33AC">
      <w:pPr>
        <w:spacing w:after="0" w:line="240" w:lineRule="auto"/>
        <w:rPr>
          <w:rFonts w:ascii="Verdana" w:eastAsia="Calibri" w:hAnsi="Verdana" w:cs="Arial"/>
          <w:lang w:val="es-ES" w:eastAsia="es-ES"/>
        </w:rPr>
      </w:pPr>
      <w:r>
        <w:fldChar w:fldCharType="begin"/>
      </w:r>
      <w:r>
        <w:instrText>HYPERLINK "mailto:ana.araujo@defensajuridica.gov.co"</w:instrText>
      </w:r>
      <w:r>
        <w:fldChar w:fldCharType="separate"/>
      </w:r>
      <w:r w:rsidRPr="001B1026">
        <w:rPr>
          <w:rStyle w:val="Hipervnculo"/>
          <w:rFonts w:ascii="Verdana" w:hAnsi="Verdana"/>
        </w:rPr>
        <w:t>ana.araujo@defensajuridica.gov.co</w:t>
      </w:r>
      <w:r>
        <w:fldChar w:fldCharType="end"/>
      </w:r>
      <w:r>
        <w:rPr>
          <w:rFonts w:ascii="Verdana" w:hAnsi="Verdana"/>
        </w:rPr>
        <w:t xml:space="preserve"> </w:t>
      </w:r>
      <w:r w:rsidRPr="00882414">
        <w:rPr>
          <w:rFonts w:ascii="Verdana" w:hAnsi="Verdana"/>
        </w:rPr>
        <w:t xml:space="preserve">           </w:t>
      </w:r>
      <w:r w:rsidRPr="00882414">
        <w:rPr>
          <w:rFonts w:ascii="Verdana" w:eastAsia="Calibri" w:hAnsi="Verdana" w:cs="Arial"/>
          <w:lang w:val="es-ES" w:eastAsia="es-ES"/>
        </w:rPr>
        <w:t xml:space="preserve">    </w:t>
      </w:r>
    </w:p>
    <w:p w14:paraId="7055FB4E" w14:textId="77777777" w:rsidR="00CF33AC" w:rsidRDefault="00CF33AC" w:rsidP="00CF33AC">
      <w:pPr>
        <w:spacing w:after="0" w:line="240" w:lineRule="auto"/>
        <w:rPr>
          <w:rFonts w:ascii="Verdana" w:eastAsia="Calibri" w:hAnsi="Verdana" w:cs="Arial"/>
          <w:lang w:val="es-ES" w:eastAsia="es-ES"/>
        </w:rPr>
      </w:pPr>
      <w:r w:rsidRPr="001F5E1C">
        <w:rPr>
          <w:rFonts w:ascii="Verdana" w:eastAsia="Calibri" w:hAnsi="Verdana" w:cs="Arial"/>
          <w:lang w:val="es-ES" w:eastAsia="es-ES"/>
        </w:rPr>
        <w:t>Bogotá D.C.</w:t>
      </w:r>
      <w:r>
        <w:rPr>
          <w:rFonts w:ascii="Verdana" w:eastAsia="Calibri" w:hAnsi="Verdana" w:cs="Arial"/>
          <w:lang w:val="es-ES" w:eastAsia="es-ES"/>
        </w:rPr>
        <w:t xml:space="preserve"> </w:t>
      </w:r>
    </w:p>
    <w:p w14:paraId="2D96D13A" w14:textId="77777777" w:rsidR="00CF33AC" w:rsidRPr="00593A5F" w:rsidRDefault="00CF33AC" w:rsidP="00CF33AC">
      <w:pPr>
        <w:spacing w:after="0" w:line="240" w:lineRule="auto"/>
        <w:rPr>
          <w:rFonts w:ascii="Verdana" w:eastAsia="Calibri" w:hAnsi="Verdana" w:cs="Arial"/>
          <w:b/>
          <w:bCs/>
          <w:color w:val="000000"/>
          <w:lang w:val="es-ES_tradnl" w:eastAsia="es-ES_tradnl"/>
        </w:rPr>
      </w:pPr>
    </w:p>
    <w:p w14:paraId="0DE57B82" w14:textId="77777777" w:rsidR="00CF33AC" w:rsidRPr="00593A5F" w:rsidRDefault="00CF33AC" w:rsidP="00CF33A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F33AC" w:rsidRPr="00593A5F" w14:paraId="40B0A4E2" w14:textId="77777777" w:rsidTr="002C6260">
        <w:trPr>
          <w:trHeight w:val="884"/>
        </w:trPr>
        <w:tc>
          <w:tcPr>
            <w:tcW w:w="2689" w:type="dxa"/>
          </w:tcPr>
          <w:p w14:paraId="37BFF11C" w14:textId="77777777" w:rsidR="00CF33AC" w:rsidRPr="00C00976" w:rsidRDefault="00CF33AC" w:rsidP="002C6260">
            <w:pPr>
              <w:jc w:val="both"/>
              <w:rPr>
                <w:rFonts w:ascii="Verdana" w:eastAsia="Calibri" w:hAnsi="Verdana" w:cs="Arial"/>
                <w:b/>
                <w:bCs/>
                <w:color w:val="7030A0"/>
                <w:lang w:val="es-ES_tradnl" w:eastAsia="es-ES_tradnl"/>
              </w:rPr>
            </w:pPr>
          </w:p>
        </w:tc>
        <w:tc>
          <w:tcPr>
            <w:tcW w:w="6100" w:type="dxa"/>
          </w:tcPr>
          <w:p w14:paraId="59919291" w14:textId="77777777" w:rsidR="00CF33AC" w:rsidRPr="00C00976" w:rsidRDefault="00CF33AC" w:rsidP="002C6260">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826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CF33AC" w:rsidRPr="00593A5F" w14:paraId="263456E8" w14:textId="77777777" w:rsidTr="002C6260">
        <w:trPr>
          <w:trHeight w:val="884"/>
        </w:trPr>
        <w:tc>
          <w:tcPr>
            <w:tcW w:w="2689" w:type="dxa"/>
          </w:tcPr>
          <w:p w14:paraId="53B254A2" w14:textId="77777777" w:rsidR="00CF33AC" w:rsidRPr="00593A5F" w:rsidRDefault="00CF33AC" w:rsidP="002C6260">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B659F38" w14:textId="77777777" w:rsidR="00CF33AC" w:rsidRPr="00A11406" w:rsidRDefault="00CF33AC" w:rsidP="002C6260">
            <w:pPr>
              <w:spacing w:line="276" w:lineRule="auto"/>
              <w:jc w:val="both"/>
              <w:rPr>
                <w:rFonts w:ascii="Verdana" w:eastAsia="Calibri" w:hAnsi="Verdana" w:cs="Arial"/>
                <w:lang w:val="es-ES" w:eastAsia="es-ES"/>
              </w:rPr>
            </w:pPr>
            <w:r w:rsidRPr="007F330A">
              <w:rPr>
                <w:rFonts w:ascii="Verdana" w:eastAsia="Calibri" w:hAnsi="Verdana" w:cs="Arial"/>
                <w:lang w:val="es-ES" w:eastAsia="es-ES"/>
              </w:rPr>
              <w:t>CONTRATO ESTATAL – Entidades sometidas al EGCAP – Régimen mixto – Derecho público y privado</w:t>
            </w:r>
            <w:r>
              <w:rPr>
                <w:rFonts w:ascii="Verdana" w:eastAsia="Calibri" w:hAnsi="Verdana" w:cs="Arial"/>
                <w:lang w:val="es-ES" w:eastAsia="es-ES"/>
              </w:rPr>
              <w:t xml:space="preserve"> / </w:t>
            </w:r>
            <w:r w:rsidRPr="007F330A">
              <w:rPr>
                <w:rFonts w:ascii="Verdana" w:eastAsia="Calibri" w:hAnsi="Verdana" w:cs="Arial"/>
                <w:lang w:val="es-ES" w:eastAsia="es-ES"/>
              </w:rPr>
              <w:t>RÉGIMEN PRESUPUESTAL – Sistema de compras públicas – Conexión</w:t>
            </w:r>
            <w:r>
              <w:rPr>
                <w:rFonts w:ascii="Verdana" w:eastAsia="Calibri" w:hAnsi="Verdana" w:cs="Arial"/>
                <w:lang w:val="es-ES" w:eastAsia="es-ES"/>
              </w:rPr>
              <w:t xml:space="preserve"> / </w:t>
            </w:r>
            <w:r w:rsidRPr="007F330A">
              <w:rPr>
                <w:rFonts w:ascii="Verdana" w:eastAsia="Calibri" w:hAnsi="Verdana" w:cs="Arial"/>
                <w:lang w:val="es-ES" w:eastAsia="es-ES"/>
              </w:rPr>
              <w:t>LEY DE APROPIACIONES – Gastos de funcionamiento e inversión – Alcance</w:t>
            </w:r>
            <w:r>
              <w:rPr>
                <w:rFonts w:ascii="Verdana" w:eastAsia="Calibri" w:hAnsi="Verdana" w:cs="Arial"/>
                <w:lang w:val="es-ES" w:eastAsia="es-ES"/>
              </w:rPr>
              <w:t xml:space="preserve"> / </w:t>
            </w:r>
            <w:r w:rsidRPr="007F330A">
              <w:rPr>
                <w:rFonts w:ascii="Verdana" w:eastAsia="Calibri" w:hAnsi="Verdana" w:cs="Arial"/>
                <w:lang w:val="es-ES" w:eastAsia="es-ES"/>
              </w:rPr>
              <w:t>FUENTES DE FINANCIACIÓN – Contrato estatal – Gastos de funcionamiento e inversión – Coexistencia – Manejo presupuestal y contractual</w:t>
            </w:r>
            <w:r>
              <w:rPr>
                <w:rFonts w:ascii="Verdana" w:eastAsia="Calibri" w:hAnsi="Verdana" w:cs="Arial"/>
                <w:lang w:val="es-ES" w:eastAsia="es-ES"/>
              </w:rPr>
              <w:t xml:space="preserve"> / </w:t>
            </w:r>
            <w:r w:rsidRPr="007F330A">
              <w:rPr>
                <w:rFonts w:ascii="Verdana" w:eastAsia="Calibri" w:hAnsi="Verdana" w:cs="Arial"/>
                <w:lang w:val="es-ES" w:eastAsia="es-ES"/>
              </w:rPr>
              <w:t>PLAN ANUAL DE ADQUISICIONES – Tipo de recursos – Desglose</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049A156B" w14:textId="77777777" w:rsidR="00CF33AC" w:rsidRPr="00593A5F" w:rsidRDefault="00CF33AC" w:rsidP="002C6260">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CF33AC" w:rsidRPr="008E6AD9" w14:paraId="7ED8A4E6" w14:textId="77777777" w:rsidTr="002C6260">
        <w:tc>
          <w:tcPr>
            <w:tcW w:w="2689" w:type="dxa"/>
          </w:tcPr>
          <w:p w14:paraId="40F6BC20" w14:textId="77777777" w:rsidR="00CF33AC" w:rsidRPr="008E6AD9" w:rsidRDefault="00CF33AC" w:rsidP="002C6260">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549BFA28" w14:textId="77777777" w:rsidR="00CF33AC" w:rsidRPr="00B92340" w:rsidRDefault="00CF33AC" w:rsidP="002C6260">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las </w:t>
            </w:r>
            <w:r w:rsidRPr="008E6AD9">
              <w:rPr>
                <w:rFonts w:ascii="Verdana" w:eastAsia="Calibri" w:hAnsi="Verdana" w:cs="Arial"/>
                <w:lang w:val="es-ES_tradnl" w:eastAsia="es-ES_tradnl"/>
              </w:rPr>
              <w:t>consulta</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 No.</w:t>
            </w:r>
            <w:r>
              <w:rPr>
                <w:rFonts w:ascii="Verdana" w:eastAsia="Calibri" w:hAnsi="Verdana" w:cs="Arial"/>
                <w:lang w:val="es-ES_tradnl" w:eastAsia="es-ES_tradnl"/>
              </w:rPr>
              <w:t xml:space="preserve"> </w:t>
            </w:r>
            <w:r w:rsidRPr="008E6809">
              <w:rPr>
                <w:rFonts w:ascii="Verdana" w:eastAsia="Calibri" w:hAnsi="Verdana" w:cs="Arial"/>
                <w:lang w:val="es-ES_tradnl" w:eastAsia="es-ES_tradnl"/>
              </w:rPr>
              <w:t>1_2025_06_20_006237</w:t>
            </w:r>
            <w:r>
              <w:rPr>
                <w:rFonts w:ascii="Verdana" w:eastAsia="Calibri" w:hAnsi="Verdana" w:cs="Arial"/>
                <w:lang w:val="es-ES_tradnl" w:eastAsia="es-ES_tradnl"/>
              </w:rPr>
              <w:t xml:space="preserve">, </w:t>
            </w:r>
            <w:r w:rsidRPr="008E6809">
              <w:rPr>
                <w:rFonts w:ascii="Verdana" w:eastAsia="Calibri" w:hAnsi="Verdana" w:cs="Arial"/>
                <w:lang w:val="es-ES_tradnl" w:eastAsia="es-ES_tradnl"/>
              </w:rPr>
              <w:t xml:space="preserve">1_2025_06_20_006240 </w:t>
            </w:r>
            <w:r>
              <w:rPr>
                <w:rFonts w:ascii="Verdana" w:eastAsia="Calibri" w:hAnsi="Verdana" w:cs="Arial"/>
                <w:lang w:val="es-ES_tradnl" w:eastAsia="es-ES_tradnl"/>
              </w:rPr>
              <w:t xml:space="preserve">y </w:t>
            </w:r>
            <w:r w:rsidRPr="008E6809">
              <w:rPr>
                <w:rFonts w:ascii="Verdana" w:eastAsia="Calibri" w:hAnsi="Verdana" w:cs="Arial"/>
                <w:lang w:val="es-ES_tradnl" w:eastAsia="es-ES_tradnl"/>
              </w:rPr>
              <w:t>1_2025_06_20_006241</w:t>
            </w:r>
            <w:r w:rsidRPr="0085423D">
              <w:rPr>
                <w:rFonts w:ascii="Verdana" w:eastAsia="Calibri" w:hAnsi="Verdana" w:cs="Arial"/>
                <w:lang w:val="es-ES_tradnl" w:eastAsia="es-ES_tradnl"/>
              </w:rPr>
              <w:t xml:space="preserve"> </w:t>
            </w:r>
            <w:r>
              <w:rPr>
                <w:rFonts w:ascii="Verdana" w:eastAsia="Calibri" w:hAnsi="Verdana" w:cs="Arial"/>
                <w:lang w:val="es-ES_tradnl" w:eastAsia="es-ES_tradnl"/>
              </w:rPr>
              <w:t>–Acumuladas–</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583AF9A0" w14:textId="77777777" w:rsidR="00CF33AC" w:rsidRPr="00593A5F" w:rsidRDefault="00CF33AC" w:rsidP="00CF33AC">
      <w:pPr>
        <w:spacing w:after="0" w:line="240" w:lineRule="auto"/>
        <w:jc w:val="both"/>
        <w:rPr>
          <w:rFonts w:ascii="Verdana" w:eastAsia="Calibri" w:hAnsi="Verdana" w:cs="Arial"/>
          <w:color w:val="000000"/>
          <w:lang w:val="es-ES_tradnl" w:eastAsia="es-ES_tradnl"/>
        </w:rPr>
      </w:pPr>
    </w:p>
    <w:p w14:paraId="69874285" w14:textId="77777777" w:rsidR="00CF33AC" w:rsidRPr="00593A5F" w:rsidRDefault="00CF33AC" w:rsidP="00CF33AC">
      <w:pPr>
        <w:spacing w:after="0" w:line="240" w:lineRule="auto"/>
        <w:jc w:val="both"/>
        <w:rPr>
          <w:rFonts w:ascii="Verdana" w:eastAsia="Calibri" w:hAnsi="Verdana" w:cs="Arial"/>
          <w:color w:val="000000"/>
          <w:lang w:val="es-ES_tradnl" w:eastAsia="es-ES_tradnl"/>
        </w:rPr>
      </w:pPr>
    </w:p>
    <w:p w14:paraId="050FC887" w14:textId="77777777" w:rsidR="00CF33AC" w:rsidRPr="008E6AD9" w:rsidRDefault="00CF33AC" w:rsidP="00CF33AC">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882414">
        <w:rPr>
          <w:rFonts w:ascii="Verdana" w:eastAsia="Calibri" w:hAnsi="Verdana" w:cs="Arial"/>
          <w:lang w:val="es-ES" w:eastAsia="es-ES"/>
        </w:rPr>
        <w:t>Araujo Ariza</w:t>
      </w:r>
      <w:r w:rsidRPr="008E6AD9">
        <w:rPr>
          <w:rFonts w:ascii="Verdana" w:eastAsia="Calibri" w:hAnsi="Verdana" w:cs="Arial"/>
          <w:lang w:val="es-ES" w:eastAsia="es-ES"/>
        </w:rPr>
        <w:t xml:space="preserve">: </w:t>
      </w:r>
    </w:p>
    <w:p w14:paraId="498C9F36" w14:textId="77777777" w:rsidR="00CF33AC" w:rsidRDefault="00CF33AC" w:rsidP="00CF33A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2C4AEFD" w14:textId="77777777" w:rsidR="00CF33AC" w:rsidRPr="00593A5F" w:rsidRDefault="00CF33AC" w:rsidP="00CF33AC">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20 de junio de 2025, en las que manifiesta que</w:t>
      </w:r>
      <w:r w:rsidRPr="008E6AD9">
        <w:rPr>
          <w:rFonts w:ascii="Verdana" w:eastAsia="Calibri" w:hAnsi="Verdana" w:cs="Arial"/>
          <w:lang w:val="es-ES" w:eastAsia="es-ES"/>
        </w:rPr>
        <w:t xml:space="preserve">: </w:t>
      </w:r>
    </w:p>
    <w:p w14:paraId="3E79E79E" w14:textId="77777777" w:rsidR="00CF33AC" w:rsidRPr="00272A7B" w:rsidRDefault="00CF33AC" w:rsidP="00CF33AC">
      <w:pPr>
        <w:pStyle w:val="Prrafodelista"/>
        <w:tabs>
          <w:tab w:val="left" w:pos="142"/>
          <w:tab w:val="left" w:pos="284"/>
        </w:tabs>
        <w:spacing w:after="0" w:line="276" w:lineRule="auto"/>
        <w:ind w:left="0"/>
        <w:jc w:val="both"/>
        <w:rPr>
          <w:rFonts w:ascii="Verdana" w:eastAsia="Century Gothic" w:hAnsi="Verdana" w:cs="Century Gothic"/>
          <w:b/>
          <w:bCs/>
        </w:rPr>
      </w:pPr>
    </w:p>
    <w:p w14:paraId="65B76BB7" w14:textId="77777777" w:rsidR="00CF33AC" w:rsidRPr="00102E0B" w:rsidRDefault="00CF33AC" w:rsidP="00CF33AC">
      <w:pPr>
        <w:spacing w:after="120" w:line="240" w:lineRule="auto"/>
        <w:ind w:left="709" w:right="709"/>
        <w:jc w:val="both"/>
        <w:rPr>
          <w:rFonts w:ascii="Verdana" w:eastAsia="Century Gothic" w:hAnsi="Verdana" w:cs="Century Gothic"/>
          <w:sz w:val="21"/>
          <w:szCs w:val="21"/>
          <w:lang w:val="es-ES"/>
        </w:rPr>
      </w:pPr>
      <w:bookmarkStart w:id="1" w:name="_Hlk95313578"/>
      <w:r w:rsidRPr="006E7258">
        <w:rPr>
          <w:rFonts w:ascii="Verdana" w:eastAsia="Century Gothic" w:hAnsi="Verdana" w:cs="Century Gothic"/>
          <w:sz w:val="21"/>
          <w:szCs w:val="21"/>
          <w:lang w:val="es-ES"/>
        </w:rPr>
        <w:lastRenderedPageBreak/>
        <w:t>“</w:t>
      </w:r>
      <w:bookmarkEnd w:id="1"/>
      <w:r w:rsidRPr="00102E0B">
        <w:rPr>
          <w:rFonts w:ascii="Verdana" w:eastAsia="Century Gothic" w:hAnsi="Verdana" w:cs="Century Gothic"/>
          <w:sz w:val="21"/>
          <w:szCs w:val="21"/>
          <w:lang w:val="es-ES"/>
        </w:rPr>
        <w:t>La Agencia Nacional de Defensa Jurídica del Estado se encuentra adelantando procesos de planeación</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y</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estructuración</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contractual</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para</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la</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ejecución</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actividades</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misionales orientadas al cumplimiento del Plan de Acción Institucional y el Plan Nacional de Desarrollo. En</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este</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contexto,</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han</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surgido</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interrogantes</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relacionados</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con</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la</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viabilidad</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102E0B">
        <w:rPr>
          <w:rFonts w:ascii="Verdana" w:eastAsia="Century Gothic" w:hAnsi="Verdana" w:cs="Century Gothic"/>
          <w:sz w:val="21"/>
          <w:szCs w:val="21"/>
          <w:lang w:val="es-ES"/>
        </w:rPr>
        <w:t>utilizar recursos de funcionamiento e inversión en un mismo contrato.</w:t>
      </w:r>
    </w:p>
    <w:p w14:paraId="48AC4B15" w14:textId="77777777" w:rsidR="00CF33AC" w:rsidRDefault="00CF33AC" w:rsidP="00CF33AC">
      <w:pPr>
        <w:spacing w:after="120" w:line="240" w:lineRule="auto"/>
        <w:ind w:left="709" w:right="709"/>
        <w:jc w:val="both"/>
        <w:rPr>
          <w:rFonts w:ascii="Verdana" w:eastAsia="Century Gothic" w:hAnsi="Verdana" w:cs="Century Gothic"/>
          <w:sz w:val="21"/>
          <w:szCs w:val="21"/>
          <w:lang w:val="es-ES"/>
        </w:rPr>
      </w:pPr>
      <w:r w:rsidRPr="00102E0B">
        <w:rPr>
          <w:rFonts w:ascii="Verdana" w:eastAsia="Century Gothic" w:hAnsi="Verdana" w:cs="Century Gothic"/>
          <w:sz w:val="21"/>
          <w:szCs w:val="21"/>
          <w:lang w:val="es-ES"/>
        </w:rPr>
        <w:t>Teniendo en cuenta las funciones de Colombia Compra Eficiente como ente rector del Sistema de Compras y Contratación Pública, respetuosamente solicitamos su orientación técnica frente a los siguientes aspectos:</w:t>
      </w:r>
    </w:p>
    <w:p w14:paraId="14C94B49" w14:textId="77777777" w:rsidR="00CF33AC" w:rsidRDefault="00CF33AC" w:rsidP="00CF33AC">
      <w:pPr>
        <w:pStyle w:val="Prrafodelista"/>
        <w:numPr>
          <w:ilvl w:val="0"/>
          <w:numId w:val="18"/>
        </w:numPr>
        <w:spacing w:after="120" w:line="240" w:lineRule="auto"/>
        <w:ind w:left="993" w:right="709" w:hanging="284"/>
        <w:jc w:val="both"/>
        <w:rPr>
          <w:rFonts w:ascii="Verdana" w:eastAsia="Century Gothic" w:hAnsi="Verdana" w:cs="Century Gothic"/>
          <w:sz w:val="21"/>
          <w:szCs w:val="21"/>
        </w:rPr>
      </w:pPr>
      <w:r w:rsidRPr="007602D1">
        <w:rPr>
          <w:rFonts w:ascii="Verdana" w:eastAsia="Century Gothic" w:hAnsi="Verdana" w:cs="Century Gothic"/>
          <w:sz w:val="21"/>
          <w:szCs w:val="21"/>
        </w:rPr>
        <w:t>¿Desde el punto de vista del régimen de contratación estatal es jurídicamente viable estructurar un único contrato con financiación proveniente de ambas fuentes: funcionamiento e inversión?</w:t>
      </w:r>
    </w:p>
    <w:p w14:paraId="0959DD28" w14:textId="77777777" w:rsidR="00CF33AC" w:rsidRPr="00017FF1" w:rsidRDefault="00CF33AC" w:rsidP="00CF33AC">
      <w:pPr>
        <w:pStyle w:val="Prrafodelista"/>
        <w:spacing w:after="120" w:line="240" w:lineRule="auto"/>
        <w:ind w:left="993" w:right="709"/>
        <w:jc w:val="both"/>
        <w:rPr>
          <w:rFonts w:ascii="Verdana" w:eastAsia="Century Gothic" w:hAnsi="Verdana" w:cs="Century Gothic"/>
          <w:sz w:val="12"/>
          <w:szCs w:val="12"/>
        </w:rPr>
      </w:pPr>
    </w:p>
    <w:p w14:paraId="5785EC65" w14:textId="77777777" w:rsidR="00CF33AC" w:rsidRDefault="00CF33AC" w:rsidP="00CF33AC">
      <w:pPr>
        <w:pStyle w:val="Prrafodelista"/>
        <w:numPr>
          <w:ilvl w:val="0"/>
          <w:numId w:val="18"/>
        </w:numPr>
        <w:spacing w:after="0" w:line="240" w:lineRule="auto"/>
        <w:ind w:left="993" w:right="709" w:hanging="284"/>
        <w:jc w:val="both"/>
        <w:rPr>
          <w:rFonts w:ascii="Verdana" w:eastAsia="Century Gothic" w:hAnsi="Verdana" w:cs="Century Gothic"/>
          <w:sz w:val="21"/>
          <w:szCs w:val="21"/>
        </w:rPr>
      </w:pPr>
      <w:r w:rsidRPr="007602D1">
        <w:rPr>
          <w:rFonts w:ascii="Verdana" w:eastAsia="Century Gothic" w:hAnsi="Verdana" w:cs="Century Gothic"/>
          <w:sz w:val="21"/>
          <w:szCs w:val="21"/>
        </w:rPr>
        <w:t>En caso afirmativo, ¿qué precauciones deben adoptarse en los estudios previos y en la estructuración contractual para garantizar la adecuada trazabilidad y legalidad del gasto según la fuente?</w:t>
      </w:r>
    </w:p>
    <w:p w14:paraId="47CAC69E" w14:textId="77777777" w:rsidR="00CF33AC" w:rsidRPr="00017FF1" w:rsidRDefault="00CF33AC" w:rsidP="00CF33AC">
      <w:pPr>
        <w:spacing w:after="0" w:line="240" w:lineRule="auto"/>
        <w:ind w:left="709" w:right="709"/>
        <w:jc w:val="both"/>
        <w:rPr>
          <w:rFonts w:ascii="Verdana" w:eastAsia="Century Gothic" w:hAnsi="Verdana" w:cs="Century Gothic"/>
          <w:sz w:val="12"/>
          <w:szCs w:val="12"/>
        </w:rPr>
      </w:pPr>
    </w:p>
    <w:p w14:paraId="493272C4" w14:textId="77777777" w:rsidR="00CF33AC" w:rsidRDefault="00CF33AC" w:rsidP="00CF33AC">
      <w:pPr>
        <w:pStyle w:val="Prrafodelista"/>
        <w:numPr>
          <w:ilvl w:val="0"/>
          <w:numId w:val="18"/>
        </w:numPr>
        <w:spacing w:after="0" w:line="240" w:lineRule="auto"/>
        <w:ind w:left="993" w:right="709" w:hanging="284"/>
        <w:jc w:val="both"/>
        <w:rPr>
          <w:rFonts w:ascii="Verdana" w:eastAsia="Century Gothic" w:hAnsi="Verdana" w:cs="Century Gothic"/>
          <w:sz w:val="21"/>
          <w:szCs w:val="21"/>
        </w:rPr>
      </w:pPr>
      <w:r w:rsidRPr="007602D1">
        <w:rPr>
          <w:rFonts w:ascii="Verdana" w:eastAsia="Century Gothic" w:hAnsi="Verdana" w:cs="Century Gothic"/>
          <w:sz w:val="21"/>
          <w:szCs w:val="21"/>
        </w:rPr>
        <w:t>¿Qué buenas prácticas recomienda Colombia Compra Eficiente para este tipo de contratación con doble fuente, especialmente en lo relacionado con la segmentación del objeto, la justificación de la fuente, y el cumplimiento de los principios y normas presupuestales?</w:t>
      </w:r>
    </w:p>
    <w:p w14:paraId="2F699B1A" w14:textId="77777777" w:rsidR="00CF33AC" w:rsidRPr="00017FF1" w:rsidRDefault="00CF33AC" w:rsidP="00CF33AC">
      <w:pPr>
        <w:spacing w:after="0" w:line="240" w:lineRule="auto"/>
        <w:ind w:left="708" w:right="709"/>
        <w:jc w:val="both"/>
        <w:rPr>
          <w:rFonts w:ascii="Verdana" w:eastAsia="Century Gothic" w:hAnsi="Verdana" w:cs="Century Gothic"/>
          <w:sz w:val="12"/>
          <w:szCs w:val="12"/>
        </w:rPr>
      </w:pPr>
    </w:p>
    <w:p w14:paraId="016FFC61" w14:textId="77777777" w:rsidR="00CF33AC" w:rsidRDefault="00CF33AC" w:rsidP="00CF33AC">
      <w:pPr>
        <w:pStyle w:val="Prrafodelista"/>
        <w:numPr>
          <w:ilvl w:val="0"/>
          <w:numId w:val="18"/>
        </w:numPr>
        <w:spacing w:after="0" w:line="240" w:lineRule="auto"/>
        <w:ind w:left="993" w:right="709" w:hanging="284"/>
        <w:jc w:val="both"/>
        <w:rPr>
          <w:rFonts w:ascii="Verdana" w:eastAsia="Century Gothic" w:hAnsi="Verdana" w:cs="Century Gothic"/>
          <w:sz w:val="21"/>
          <w:szCs w:val="21"/>
        </w:rPr>
      </w:pPr>
      <w:r w:rsidRPr="007602D1">
        <w:rPr>
          <w:rFonts w:ascii="Verdana" w:eastAsia="Century Gothic" w:hAnsi="Verdana" w:cs="Century Gothic"/>
          <w:sz w:val="21"/>
          <w:szCs w:val="21"/>
        </w:rPr>
        <w:t>¿Es posible que, bajo un único objeto contractual, se estructuren entregables diferenciados por fuente, sin desnaturalizar el contrato, y cuáles serían los lineamientos recomendados para tal efecto?</w:t>
      </w:r>
    </w:p>
    <w:p w14:paraId="4031D71A" w14:textId="77777777" w:rsidR="00CF33AC" w:rsidRPr="00017FF1" w:rsidRDefault="00CF33AC" w:rsidP="00CF33AC">
      <w:pPr>
        <w:spacing w:after="0" w:line="240" w:lineRule="auto"/>
        <w:ind w:left="708" w:right="709"/>
        <w:jc w:val="both"/>
        <w:rPr>
          <w:rFonts w:ascii="Verdana" w:eastAsia="Century Gothic" w:hAnsi="Verdana" w:cs="Century Gothic"/>
          <w:sz w:val="12"/>
          <w:szCs w:val="12"/>
        </w:rPr>
      </w:pPr>
    </w:p>
    <w:p w14:paraId="5315CD52" w14:textId="77777777" w:rsidR="00CF33AC" w:rsidRPr="007602D1" w:rsidRDefault="00CF33AC" w:rsidP="00CF33AC">
      <w:pPr>
        <w:pStyle w:val="Prrafodelista"/>
        <w:numPr>
          <w:ilvl w:val="0"/>
          <w:numId w:val="18"/>
        </w:numPr>
        <w:spacing w:after="0" w:line="240" w:lineRule="auto"/>
        <w:ind w:left="993" w:right="709" w:hanging="284"/>
        <w:jc w:val="both"/>
        <w:rPr>
          <w:rFonts w:ascii="Verdana" w:eastAsia="Century Gothic" w:hAnsi="Verdana" w:cs="Century Gothic"/>
          <w:sz w:val="21"/>
          <w:szCs w:val="21"/>
        </w:rPr>
      </w:pPr>
      <w:r w:rsidRPr="007602D1">
        <w:rPr>
          <w:rFonts w:ascii="Verdana" w:eastAsia="Century Gothic" w:hAnsi="Verdana" w:cs="Century Gothic"/>
          <w:sz w:val="21"/>
          <w:szCs w:val="21"/>
        </w:rPr>
        <w:t>Desde la perspectiva del Plan Anual de Adquisiciones (PAA), ¿cuál es la forma correcta de programar un proceso contractual que contempla recursos de funcionamiento e inversión en un solo contrato? ¿Debe registrarse como un solo proceso con doble fuente, o deben reportarse como procesos separados para cada fuente? ¿Qué recomendaciones existen para garantizar la trazabilidad en la programación, expedición de CDP y control del PAC, sin incurrir en fraccionamiento del gasto ni vulneración del principio de planeación y demás principios legales?”.</w:t>
      </w:r>
    </w:p>
    <w:p w14:paraId="0672B608" w14:textId="77777777" w:rsidR="00CF33AC" w:rsidRPr="008E6AD9" w:rsidRDefault="00CF33AC" w:rsidP="00CF33AC">
      <w:pPr>
        <w:pStyle w:val="Prrafodelista"/>
        <w:tabs>
          <w:tab w:val="left" w:pos="142"/>
          <w:tab w:val="left" w:pos="284"/>
        </w:tabs>
        <w:spacing w:after="0" w:line="276" w:lineRule="auto"/>
        <w:ind w:left="0"/>
        <w:jc w:val="both"/>
        <w:rPr>
          <w:rFonts w:ascii="Verdana" w:eastAsia="Century Gothic" w:hAnsi="Verdana" w:cs="Century Gothic"/>
          <w:b/>
          <w:bCs/>
        </w:rPr>
      </w:pPr>
    </w:p>
    <w:p w14:paraId="79BE1251" w14:textId="77777777" w:rsidR="00CF33AC" w:rsidRPr="00A652FF" w:rsidRDefault="00CF33AC" w:rsidP="00CF33AC">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w:t>
      </w:r>
      <w:r w:rsidRPr="00593A5F">
        <w:rPr>
          <w:rFonts w:ascii="Verdana" w:eastAsia="Calibri" w:hAnsi="Verdana" w:cs="Arial"/>
          <w:color w:val="000000"/>
          <w:lang w:val="es-ES" w:eastAsia="es-ES"/>
        </w:rPr>
        <w:lastRenderedPageBreak/>
        <w:t xml:space="preserve">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BD19D39" w14:textId="77777777" w:rsidR="00CF33AC" w:rsidRDefault="00CF33AC" w:rsidP="00CF33AC">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0389477D" w14:textId="77777777" w:rsidR="00CF33AC" w:rsidRPr="00593A5F" w:rsidRDefault="00CF33AC" w:rsidP="00CF33AC">
      <w:pPr>
        <w:spacing w:after="0" w:line="276" w:lineRule="auto"/>
        <w:ind w:firstLine="709"/>
        <w:jc w:val="both"/>
        <w:rPr>
          <w:rFonts w:ascii="Verdana" w:eastAsia="Calibri" w:hAnsi="Verdana" w:cs="Arial"/>
          <w:color w:val="000000"/>
          <w:lang w:val="es-ES" w:eastAsia="es-ES"/>
        </w:rPr>
      </w:pPr>
    </w:p>
    <w:p w14:paraId="4488273B" w14:textId="77777777" w:rsidR="00CF33AC" w:rsidRPr="00593A5F" w:rsidRDefault="00CF33AC" w:rsidP="00CF33A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655CB57" w14:textId="77777777" w:rsidR="00CF33AC" w:rsidRPr="00593A5F" w:rsidRDefault="00CF33AC" w:rsidP="00CF33AC">
      <w:pPr>
        <w:tabs>
          <w:tab w:val="left" w:pos="426"/>
        </w:tabs>
        <w:spacing w:after="0" w:line="276" w:lineRule="auto"/>
        <w:jc w:val="both"/>
        <w:rPr>
          <w:rFonts w:ascii="Verdana" w:eastAsia="Century Gothic" w:hAnsi="Verdana" w:cs="Century Gothic"/>
          <w:lang w:val="es-ES"/>
        </w:rPr>
      </w:pPr>
    </w:p>
    <w:p w14:paraId="14669855" w14:textId="77777777" w:rsidR="00CF33AC" w:rsidRPr="00593A5F" w:rsidRDefault="00CF33AC" w:rsidP="00CF33AC">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w:t>
      </w:r>
      <w:r w:rsidRPr="00A34BF9">
        <w:rPr>
          <w:rFonts w:ascii="Verdana" w:eastAsia="Century Gothic" w:hAnsi="Verdana" w:cs="Century Gothic"/>
        </w:rPr>
        <w:t>existen restricci</w:t>
      </w:r>
      <w:r>
        <w:rPr>
          <w:rFonts w:ascii="Verdana" w:eastAsia="Century Gothic" w:hAnsi="Verdana" w:cs="Century Gothic"/>
        </w:rPr>
        <w:t>ones</w:t>
      </w:r>
      <w:r w:rsidRPr="00A34BF9">
        <w:rPr>
          <w:rFonts w:ascii="Verdana" w:eastAsia="Century Gothic" w:hAnsi="Verdana" w:cs="Century Gothic"/>
        </w:rPr>
        <w:t xml:space="preserve"> para que en un mismo contrato se ejecuten gastos de funcionamiento e inversión</w:t>
      </w:r>
      <w:r>
        <w:rPr>
          <w:rFonts w:ascii="Verdana" w:eastAsia="Century Gothic" w:hAnsi="Verdana" w:cs="Century Gothic"/>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3EEEB28C" w14:textId="77777777" w:rsidR="00CF33AC" w:rsidRPr="004B140F" w:rsidRDefault="00CF33AC" w:rsidP="00CF33AC">
      <w:pPr>
        <w:spacing w:after="0" w:line="276" w:lineRule="auto"/>
        <w:jc w:val="both"/>
        <w:rPr>
          <w:rFonts w:ascii="Verdana" w:eastAsia="Calibri" w:hAnsi="Verdana" w:cs="Arial"/>
          <w:color w:val="7030A0"/>
        </w:rPr>
      </w:pPr>
    </w:p>
    <w:p w14:paraId="66446B24" w14:textId="77777777" w:rsidR="00CF33AC" w:rsidRPr="00593A5F" w:rsidRDefault="00CF33AC" w:rsidP="00CF33A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9CF2C73" w14:textId="77777777" w:rsidR="00CF33AC" w:rsidRPr="00593A5F" w:rsidRDefault="00CF33AC" w:rsidP="00CF33A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F33AC" w:rsidRPr="00593A5F" w14:paraId="5E2C8228" w14:textId="77777777" w:rsidTr="002C6260">
        <w:trPr>
          <w:jc w:val="center"/>
        </w:trPr>
        <w:tc>
          <w:tcPr>
            <w:tcW w:w="8828" w:type="dxa"/>
            <w:shd w:val="clear" w:color="auto" w:fill="auto"/>
          </w:tcPr>
          <w:p w14:paraId="4BE938F4" w14:textId="77777777" w:rsidR="00CF33AC" w:rsidRPr="00A34BF9" w:rsidRDefault="00CF33AC" w:rsidP="002C6260">
            <w:pPr>
              <w:spacing w:after="120" w:line="276" w:lineRule="auto"/>
              <w:ind w:right="51"/>
              <w:jc w:val="both"/>
              <w:rPr>
                <w:rFonts w:ascii="Verdana" w:eastAsia="Calibri" w:hAnsi="Verdana" w:cs="Arial"/>
                <w:color w:val="000000" w:themeColor="text1"/>
              </w:rPr>
            </w:pPr>
            <w:bookmarkStart w:id="2" w:name="_Hlk171694685"/>
            <w:r>
              <w:rPr>
                <w:rFonts w:ascii="Verdana" w:eastAsia="Calibri" w:hAnsi="Verdana" w:cs="Arial"/>
                <w:bCs/>
                <w:color w:val="000000" w:themeColor="text1"/>
              </w:rPr>
              <w:t>Conforme a la interpretación general de las normas del sistema de compras públicas,</w:t>
            </w:r>
            <w:r>
              <w:rPr>
                <w:rFonts w:ascii="Verdana" w:eastAsia="Calibri" w:hAnsi="Verdana" w:cs="Arial"/>
                <w:color w:val="000000" w:themeColor="text1"/>
              </w:rPr>
              <w:t xml:space="preserve"> i</w:t>
            </w:r>
            <w:r w:rsidRPr="00A34BF9">
              <w:rPr>
                <w:rFonts w:ascii="Verdana" w:eastAsia="Calibri" w:hAnsi="Verdana" w:cs="Arial"/>
                <w:color w:val="000000" w:themeColor="text1"/>
              </w:rPr>
              <w:t xml:space="preserve">ndependientemente de la tipología contractual, las normas de la Ley 80 de 1993 no imponen que un determinado negocio deba financiarse con recursos de funcionamiento o de inversión. El principio de legalidad sólo demanda que el desembolso tenga respaldo presupuestal y que éste se aplique conforme a las partidas previamente previstas por el legislador, especialmente, cuando la Ley de Apropiaciones es una </w:t>
            </w:r>
            <w:r w:rsidRPr="00A34BF9">
              <w:rPr>
                <w:rFonts w:ascii="Verdana" w:eastAsia="Calibri" w:hAnsi="Verdana" w:cs="Arial"/>
                <w:i/>
                <w:iCs/>
                <w:color w:val="000000" w:themeColor="text1"/>
              </w:rPr>
              <w:t>autorización de gastos</w:t>
            </w:r>
            <w:r>
              <w:rPr>
                <w:rFonts w:ascii="Verdana" w:eastAsia="Calibri" w:hAnsi="Verdana" w:cs="Arial"/>
                <w:color w:val="000000" w:themeColor="text1"/>
              </w:rPr>
              <w:t>.</w:t>
            </w:r>
          </w:p>
          <w:p w14:paraId="4D3AC82C" w14:textId="77777777" w:rsidR="00CF33AC" w:rsidRDefault="00CF33AC" w:rsidP="002C6260">
            <w:pPr>
              <w:spacing w:after="120" w:line="276" w:lineRule="auto"/>
              <w:ind w:right="51" w:firstLine="737"/>
              <w:jc w:val="both"/>
              <w:rPr>
                <w:rFonts w:ascii="Verdana" w:hAnsi="Verdana" w:cs="Arial"/>
              </w:rPr>
            </w:pPr>
            <w:r>
              <w:rPr>
                <w:rFonts w:ascii="Verdana" w:hAnsi="Verdana" w:cs="Arial"/>
              </w:rPr>
              <w:t xml:space="preserve">De acuerdo con el artículo 17 del Decreto Ley 111 de 1996, el principio de programación integral dispone que la Ley de Apropiaciones “[…] </w:t>
            </w:r>
            <w:r w:rsidRPr="00A43378">
              <w:rPr>
                <w:rFonts w:ascii="Verdana" w:hAnsi="Verdana" w:cs="Arial"/>
              </w:rPr>
              <w:t xml:space="preserve">deberá contemplar </w:t>
            </w:r>
            <w:r w:rsidRPr="00A43378">
              <w:rPr>
                <w:rFonts w:ascii="Verdana" w:hAnsi="Verdana" w:cs="Arial"/>
                <w:i/>
                <w:iCs/>
              </w:rPr>
              <w:t>simultáneamente</w:t>
            </w:r>
            <w:r w:rsidRPr="00A43378">
              <w:rPr>
                <w:rFonts w:ascii="Verdana" w:hAnsi="Verdana" w:cs="Arial"/>
              </w:rPr>
              <w:t xml:space="preserve"> los gastos de inversión y de funcionamiento</w:t>
            </w:r>
            <w:r>
              <w:rPr>
                <w:rFonts w:ascii="Verdana" w:hAnsi="Verdana" w:cs="Arial"/>
              </w:rPr>
              <w:t xml:space="preserve"> […]” (Énfasis fuera de texto). </w:t>
            </w:r>
            <w:r w:rsidRPr="00A34BF9">
              <w:rPr>
                <w:rFonts w:ascii="Verdana" w:hAnsi="Verdana" w:cs="Arial"/>
              </w:rPr>
              <w:t>Esto significa que, ante los “gastos de inversión”, es necesario presupuestar los “gastos de funcionamiento” necesarios para la operatividad de los primeros.</w:t>
            </w:r>
          </w:p>
          <w:p w14:paraId="631E3086" w14:textId="77777777" w:rsidR="00CF33AC" w:rsidRDefault="00CF33AC" w:rsidP="002C6260">
            <w:pPr>
              <w:spacing w:after="120" w:line="276" w:lineRule="auto"/>
              <w:ind w:right="51" w:firstLine="737"/>
              <w:jc w:val="both"/>
              <w:rPr>
                <w:rFonts w:ascii="Verdana" w:eastAsia="Calibri" w:hAnsi="Verdana" w:cs="Arial"/>
                <w:color w:val="000000" w:themeColor="text1"/>
              </w:rPr>
            </w:pPr>
            <w:r w:rsidRPr="00A34BF9">
              <w:rPr>
                <w:rFonts w:ascii="Verdana" w:eastAsia="Calibri" w:hAnsi="Verdana" w:cs="Arial"/>
                <w:color w:val="000000" w:themeColor="text1"/>
              </w:rPr>
              <w:t xml:space="preserve">Por ello, en el marco de las definiciones del artículo 35 del Decreto 1621 de 2024, no se observa la restricción alguna para que en un mismo contrato se ejecuten gastos de funcionamiento e inversión. Respecto al </w:t>
            </w:r>
            <w:r w:rsidRPr="00A34BF9">
              <w:rPr>
                <w:rFonts w:ascii="Verdana" w:eastAsia="Calibri" w:hAnsi="Verdana" w:cs="Arial"/>
                <w:i/>
                <w:iCs/>
                <w:color w:val="000000" w:themeColor="text1"/>
              </w:rPr>
              <w:t xml:space="preserve">manejo </w:t>
            </w:r>
            <w:r w:rsidRPr="00A34BF9">
              <w:rPr>
                <w:rFonts w:ascii="Verdana" w:eastAsia="Calibri" w:hAnsi="Verdana" w:cs="Arial"/>
                <w:i/>
                <w:iCs/>
                <w:color w:val="000000" w:themeColor="text1"/>
              </w:rPr>
              <w:lastRenderedPageBreak/>
              <w:t>presupuestal</w:t>
            </w:r>
            <w:r w:rsidRPr="00A34BF9">
              <w:rPr>
                <w:rFonts w:ascii="Verdana" w:eastAsia="Calibri" w:hAnsi="Verdana" w:cs="Arial"/>
                <w:color w:val="000000" w:themeColor="text1"/>
              </w:rPr>
              <w:t xml:space="preserve"> para la expedición de </w:t>
            </w:r>
            <w:proofErr w:type="spellStart"/>
            <w:r w:rsidRPr="00A34BF9">
              <w:rPr>
                <w:rFonts w:ascii="Verdana" w:eastAsia="Calibri" w:hAnsi="Verdana" w:cs="Arial"/>
                <w:color w:val="000000" w:themeColor="text1"/>
              </w:rPr>
              <w:t>CDP’s</w:t>
            </w:r>
            <w:proofErr w:type="spellEnd"/>
            <w:r w:rsidRPr="00A34BF9">
              <w:rPr>
                <w:rFonts w:ascii="Verdana" w:eastAsia="Calibri" w:hAnsi="Verdana" w:cs="Arial"/>
                <w:color w:val="000000" w:themeColor="text1"/>
              </w:rPr>
              <w:t xml:space="preserve"> y la administración del PAC debe atenderse, respectivamente, a la directrices que establezca tanto el Ministerio de Hacienda y Crédito Público como el Departamento Nacional de Planeación. No obstante, en lo relativo al </w:t>
            </w:r>
            <w:r w:rsidRPr="00A34BF9">
              <w:rPr>
                <w:rFonts w:ascii="Verdana" w:eastAsia="Calibri" w:hAnsi="Verdana" w:cs="Arial"/>
                <w:i/>
                <w:iCs/>
                <w:color w:val="000000" w:themeColor="text1"/>
              </w:rPr>
              <w:t>manejo contractual</w:t>
            </w:r>
            <w:r w:rsidRPr="00A34BF9">
              <w:rPr>
                <w:rFonts w:ascii="Verdana" w:eastAsia="Calibri" w:hAnsi="Verdana" w:cs="Arial"/>
                <w:color w:val="000000" w:themeColor="text1"/>
              </w:rPr>
              <w:t>, las entidades deben definir en los documentos del proceso lo relativo a la justificación de las fuentes de los recursos para efectos de trazabilidad, así como los productos esperados en atención a los rubros empleados para financiar los contratos. El manejo en los dos (2) ámbitos mencionados se realizará con las restricciones que imponga el principio de legalidad sobre la ejecución del gasto público, de acuerdo a la orientación de los órganos competentes.</w:t>
            </w:r>
          </w:p>
          <w:p w14:paraId="18387E24" w14:textId="77777777" w:rsidR="00CF33AC" w:rsidRPr="009B1432" w:rsidRDefault="00CF33AC" w:rsidP="002C6260">
            <w:pPr>
              <w:spacing w:after="120" w:line="276" w:lineRule="auto"/>
              <w:ind w:right="51" w:firstLine="737"/>
              <w:jc w:val="both"/>
              <w:rPr>
                <w:rFonts w:ascii="Verdana" w:eastAsia="Calibri" w:hAnsi="Verdana" w:cs="Arial"/>
                <w:color w:val="000000" w:themeColor="text1"/>
              </w:rPr>
            </w:pPr>
            <w:r>
              <w:rPr>
                <w:rFonts w:ascii="Verdana" w:eastAsia="Calibri" w:hAnsi="Verdana" w:cs="Arial"/>
                <w:color w:val="000000" w:themeColor="text1"/>
              </w:rPr>
              <w:t xml:space="preserve">Por lo demás, del </w:t>
            </w:r>
            <w:r>
              <w:rPr>
                <w:rFonts w:ascii="Verdana" w:hAnsi="Verdana" w:cs="Arial"/>
              </w:rPr>
              <w:t xml:space="preserve">artículo </w:t>
            </w:r>
            <w:r w:rsidRPr="008C2598">
              <w:rPr>
                <w:rFonts w:ascii="Verdana" w:hAnsi="Verdana" w:cs="Arial"/>
              </w:rPr>
              <w:t>2.2.1.1.1.4.1</w:t>
            </w:r>
            <w:r>
              <w:rPr>
                <w:rFonts w:ascii="Verdana" w:hAnsi="Verdana" w:cs="Arial"/>
              </w:rPr>
              <w:t xml:space="preserve"> del Decreto 1082 de 2015 se infiere </w:t>
            </w:r>
            <w:r w:rsidRPr="00A34BF9">
              <w:rPr>
                <w:rFonts w:ascii="Verdana" w:hAnsi="Verdana" w:cs="Arial"/>
                <w:lang w:val="es-ES"/>
              </w:rPr>
              <w:t xml:space="preserve">la naturaleza estimativa del </w:t>
            </w:r>
            <w:r>
              <w:rPr>
                <w:rFonts w:ascii="Verdana" w:hAnsi="Verdana" w:cs="Arial"/>
                <w:lang w:val="es-ES"/>
              </w:rPr>
              <w:t>plan anual de adquisiciones</w:t>
            </w:r>
            <w:r w:rsidRPr="00A34BF9">
              <w:rPr>
                <w:rFonts w:ascii="Verdana" w:hAnsi="Verdana" w:cs="Arial"/>
                <w:lang w:val="es-ES"/>
              </w:rPr>
              <w:t xml:space="preserve">, pues contiene los siguientes aspectos: i) la necesidad; </w:t>
            </w:r>
            <w:proofErr w:type="spellStart"/>
            <w:r w:rsidRPr="00A34BF9">
              <w:rPr>
                <w:rFonts w:ascii="Verdana" w:hAnsi="Verdana" w:cs="Arial"/>
                <w:lang w:val="es-ES"/>
              </w:rPr>
              <w:t>ii</w:t>
            </w:r>
            <w:proofErr w:type="spellEnd"/>
            <w:r w:rsidRPr="00A34BF9">
              <w:rPr>
                <w:rFonts w:ascii="Verdana" w:hAnsi="Verdana" w:cs="Arial"/>
                <w:lang w:val="es-ES"/>
              </w:rPr>
              <w:t xml:space="preserve">) la identificación en el clasificador si la entidad conoce el bien, obra o servicio que satisface la necesidad; </w:t>
            </w:r>
            <w:proofErr w:type="spellStart"/>
            <w:r w:rsidRPr="00A34BF9">
              <w:rPr>
                <w:rFonts w:ascii="Verdana" w:hAnsi="Verdana" w:cs="Arial"/>
                <w:lang w:val="es-ES"/>
              </w:rPr>
              <w:t>iii</w:t>
            </w:r>
            <w:proofErr w:type="spellEnd"/>
            <w:r w:rsidRPr="00A34BF9">
              <w:rPr>
                <w:rFonts w:ascii="Verdana" w:hAnsi="Verdana" w:cs="Arial"/>
                <w:lang w:val="es-ES"/>
              </w:rPr>
              <w:t xml:space="preserve">) el valor estimado del contrato; </w:t>
            </w:r>
            <w:proofErr w:type="spellStart"/>
            <w:r w:rsidRPr="00A34BF9">
              <w:rPr>
                <w:rFonts w:ascii="Verdana" w:hAnsi="Verdana" w:cs="Arial"/>
                <w:lang w:val="es-ES"/>
              </w:rPr>
              <w:t>iv</w:t>
            </w:r>
            <w:proofErr w:type="spellEnd"/>
            <w:r w:rsidRPr="00A34BF9">
              <w:rPr>
                <w:rFonts w:ascii="Verdana" w:hAnsi="Verdana" w:cs="Arial"/>
                <w:lang w:val="es-ES"/>
              </w:rPr>
              <w:t xml:space="preserve">) </w:t>
            </w:r>
            <w:r w:rsidRPr="00A34BF9">
              <w:rPr>
                <w:rFonts w:ascii="Verdana" w:hAnsi="Verdana" w:cs="Arial"/>
                <w:i/>
                <w:iCs/>
                <w:lang w:val="es-ES"/>
              </w:rPr>
              <w:t>el tipo de recursos con cargo a los cuales la entidad pagará el bien, obra o servicio</w:t>
            </w:r>
            <w:r w:rsidRPr="00A34BF9">
              <w:rPr>
                <w:rFonts w:ascii="Verdana" w:hAnsi="Verdana" w:cs="Arial"/>
                <w:lang w:val="es-ES"/>
              </w:rPr>
              <w:t>; v) la modalidad de selección del contratista y vi) la fecha aproximada en la cual la entidad indicará el procedimiento de selección</w:t>
            </w:r>
            <w:r>
              <w:rPr>
                <w:rFonts w:ascii="Verdana" w:hAnsi="Verdana" w:cs="Arial"/>
                <w:lang w:val="es-ES"/>
              </w:rPr>
              <w:t>. En consecuencia</w:t>
            </w:r>
            <w:r w:rsidRPr="00D5797E">
              <w:rPr>
                <w:rFonts w:ascii="Verdana" w:hAnsi="Verdana" w:cs="Arial"/>
                <w:lang w:val="es-ES"/>
              </w:rPr>
              <w:t xml:space="preserve">, </w:t>
            </w:r>
            <w:r>
              <w:rPr>
                <w:rFonts w:ascii="Verdana" w:hAnsi="Verdana" w:cs="Arial"/>
                <w:lang w:val="es-ES"/>
              </w:rPr>
              <w:t>de acuerdo con</w:t>
            </w:r>
            <w:r w:rsidRPr="00D5797E">
              <w:rPr>
                <w:rFonts w:ascii="Verdana" w:hAnsi="Verdana" w:cs="Arial"/>
                <w:lang w:val="es-ES"/>
              </w:rPr>
              <w:t xml:space="preserve"> los bienes, obras o servicios que la entidad pretenda adquirir, establecerá el tipo de recursos con cargo a los cuales se realiza el pago y desglosará la parte que corresponde a los gastos de funcionamiento y de inversión.</w:t>
            </w:r>
          </w:p>
          <w:p w14:paraId="4A4BEF6A" w14:textId="77777777" w:rsidR="00CF33AC" w:rsidRPr="001941FD" w:rsidRDefault="00CF33AC" w:rsidP="002C6260">
            <w:pPr>
              <w:spacing w:line="276" w:lineRule="auto"/>
              <w:ind w:firstLine="709"/>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6C8A31C3" w14:textId="77777777" w:rsidR="00CF33AC" w:rsidRPr="00593A5F" w:rsidRDefault="00CF33AC" w:rsidP="00CF33AC">
      <w:pPr>
        <w:tabs>
          <w:tab w:val="left" w:pos="142"/>
          <w:tab w:val="left" w:pos="284"/>
        </w:tabs>
        <w:spacing w:after="0" w:line="276" w:lineRule="auto"/>
        <w:jc w:val="both"/>
        <w:rPr>
          <w:rFonts w:ascii="Verdana" w:eastAsia="Century Gothic" w:hAnsi="Verdana" w:cs="Century Gothic"/>
          <w:b/>
          <w:bCs/>
          <w:lang w:val="es-ES"/>
        </w:rPr>
      </w:pPr>
    </w:p>
    <w:bookmarkEnd w:id="2"/>
    <w:p w14:paraId="0CA40200" w14:textId="77777777" w:rsidR="00CF33AC" w:rsidRPr="00593A5F" w:rsidRDefault="00CF33AC" w:rsidP="00CF33A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AED6CBB" w14:textId="77777777" w:rsidR="00CF33AC" w:rsidRPr="00593A5F" w:rsidRDefault="00CF33AC" w:rsidP="00CF33AC">
      <w:pPr>
        <w:spacing w:after="0" w:line="276" w:lineRule="auto"/>
        <w:jc w:val="both"/>
        <w:rPr>
          <w:rFonts w:ascii="Verdana" w:eastAsia="Calibri" w:hAnsi="Verdana" w:cs="Arial"/>
          <w:color w:val="7030A0"/>
          <w:lang w:val="es-ES"/>
        </w:rPr>
      </w:pPr>
    </w:p>
    <w:p w14:paraId="5170F449" w14:textId="77777777" w:rsidR="00CF33AC" w:rsidRDefault="00CF33AC" w:rsidP="00CF33AC">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55870C1" w14:textId="77777777" w:rsidR="00CF33AC" w:rsidRPr="00415608" w:rsidRDefault="00CF33AC" w:rsidP="00CF33AC">
      <w:pPr>
        <w:spacing w:after="0" w:line="276" w:lineRule="auto"/>
        <w:jc w:val="both"/>
        <w:rPr>
          <w:rFonts w:ascii="Verdana" w:eastAsia="Calibri" w:hAnsi="Verdana" w:cs="Arial"/>
          <w:lang w:val="es-ES"/>
        </w:rPr>
      </w:pPr>
    </w:p>
    <w:p w14:paraId="5CEA8CF4" w14:textId="77777777" w:rsidR="00CF33AC" w:rsidRPr="00666B6A" w:rsidRDefault="00CF33AC" w:rsidP="00CF33AC">
      <w:pPr>
        <w:spacing w:after="120" w:line="276" w:lineRule="auto"/>
        <w:jc w:val="both"/>
        <w:rPr>
          <w:rFonts w:ascii="Verdana" w:hAnsi="Verdana" w:cs="Arial"/>
        </w:rPr>
      </w:pPr>
      <w:r>
        <w:rPr>
          <w:rFonts w:ascii="Verdana" w:eastAsia="Calibri" w:hAnsi="Verdana" w:cs="Arial"/>
        </w:rPr>
        <w:lastRenderedPageBreak/>
        <w:t xml:space="preserve">i. </w:t>
      </w:r>
      <w:r w:rsidRPr="00666B6A">
        <w:rPr>
          <w:rFonts w:ascii="Verdana" w:eastAsia="Calibri" w:hAnsi="Verdana" w:cs="Arial"/>
          <w:lang w:val="es-ES"/>
        </w:rPr>
        <w:t xml:space="preserve">Tratándose de las entidades sometidas a la Ley 80 de 1993,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666B6A">
        <w:rPr>
          <w:rFonts w:ascii="Verdana" w:hAnsi="Verdana" w:cs="Arial"/>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2D2E5B9C" w14:textId="77777777" w:rsidR="00CF33AC" w:rsidRPr="00666B6A" w:rsidRDefault="00CF33AC" w:rsidP="00CF33AC">
      <w:pPr>
        <w:spacing w:after="120" w:line="276" w:lineRule="auto"/>
        <w:ind w:firstLine="709"/>
        <w:jc w:val="both"/>
        <w:rPr>
          <w:rFonts w:ascii="Verdana" w:hAnsi="Verdana" w:cs="Arial"/>
        </w:rPr>
      </w:pPr>
      <w:r w:rsidRPr="00666B6A">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667D49E2" w14:textId="77777777" w:rsidR="00CF33AC" w:rsidRPr="00666B6A" w:rsidRDefault="00CF33AC" w:rsidP="00CF33AC">
      <w:pPr>
        <w:spacing w:after="0" w:line="276" w:lineRule="auto"/>
        <w:ind w:firstLine="708"/>
        <w:jc w:val="both"/>
        <w:rPr>
          <w:rFonts w:ascii="Verdana" w:hAnsi="Verdana" w:cs="Arial"/>
        </w:rPr>
      </w:pPr>
      <w:r w:rsidRPr="00666B6A">
        <w:rPr>
          <w:rFonts w:ascii="Verdana" w:hAnsi="Verdana" w:cs="Arial"/>
        </w:rPr>
        <w:t>De esta manera, los contratos de las entidades sometidas al Estatuto General de Contratación se rigen generalmente por el derecho privado y excepcionalmente por el derecho público, pues las normas civiles y comerciales son el derecho común de los contratos estatales</w:t>
      </w:r>
      <w:r w:rsidRPr="00666B6A">
        <w:rPr>
          <w:rStyle w:val="Refdenotaalpie"/>
          <w:rFonts w:ascii="Verdana" w:hAnsi="Verdana" w:cs="Arial"/>
        </w:rPr>
        <w:footnoteReference w:id="1"/>
      </w:r>
      <w:r w:rsidRPr="00666B6A">
        <w:rPr>
          <w:rFonts w:ascii="Verdana" w:hAnsi="Verdana" w:cs="Arial"/>
        </w:rPr>
        <w:t>. Para la doctrina, la mixtura del régimen contractual:</w:t>
      </w:r>
    </w:p>
    <w:p w14:paraId="6F88579D" w14:textId="77777777" w:rsidR="00CF33AC" w:rsidRPr="00666B6A" w:rsidRDefault="00CF33AC" w:rsidP="00CF33AC">
      <w:pPr>
        <w:spacing w:after="0" w:line="276" w:lineRule="auto"/>
        <w:ind w:firstLine="709"/>
        <w:jc w:val="both"/>
        <w:rPr>
          <w:rFonts w:ascii="Verdana" w:hAnsi="Verdana" w:cs="Arial"/>
        </w:rPr>
      </w:pPr>
    </w:p>
    <w:p w14:paraId="5C960D2E" w14:textId="77777777" w:rsidR="00CF33AC" w:rsidRPr="00CB68C5" w:rsidRDefault="00CF33AC" w:rsidP="00CF33AC">
      <w:pPr>
        <w:spacing w:after="0" w:line="240" w:lineRule="auto"/>
        <w:ind w:left="709" w:right="709"/>
        <w:jc w:val="both"/>
        <w:rPr>
          <w:rFonts w:ascii="Verdana" w:hAnsi="Verdana" w:cs="Arial"/>
          <w:sz w:val="21"/>
          <w:szCs w:val="21"/>
        </w:rPr>
      </w:pPr>
      <w:r w:rsidRPr="00CB68C5">
        <w:rPr>
          <w:rFonts w:ascii="Verdana" w:hAnsi="Verdana" w:cs="Arial"/>
          <w:sz w:val="21"/>
          <w:szCs w:val="21"/>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0384942D" w14:textId="77777777" w:rsidR="00CF33AC" w:rsidRPr="00CB68C5" w:rsidRDefault="00CF33AC" w:rsidP="00CF33AC">
      <w:pPr>
        <w:spacing w:after="0" w:line="240" w:lineRule="auto"/>
        <w:ind w:right="709"/>
        <w:jc w:val="both"/>
        <w:rPr>
          <w:rFonts w:ascii="Verdana" w:hAnsi="Verdana" w:cs="Arial"/>
          <w:sz w:val="12"/>
          <w:szCs w:val="12"/>
        </w:rPr>
      </w:pPr>
      <w:r w:rsidRPr="00CB68C5">
        <w:rPr>
          <w:rFonts w:ascii="Verdana" w:hAnsi="Verdana" w:cs="Arial"/>
          <w:sz w:val="21"/>
          <w:szCs w:val="21"/>
        </w:rPr>
        <w:tab/>
      </w:r>
    </w:p>
    <w:p w14:paraId="10353C7F" w14:textId="77777777" w:rsidR="00CF33AC" w:rsidRPr="00CB68C5" w:rsidRDefault="00CF33AC" w:rsidP="00CF33AC">
      <w:pPr>
        <w:spacing w:after="0" w:line="240" w:lineRule="auto"/>
        <w:ind w:left="709" w:right="709"/>
        <w:jc w:val="both"/>
        <w:rPr>
          <w:rFonts w:ascii="Verdana" w:hAnsi="Verdana" w:cs="Arial"/>
          <w:sz w:val="21"/>
          <w:szCs w:val="21"/>
        </w:rPr>
      </w:pPr>
      <w:r w:rsidRPr="00CB68C5">
        <w:rPr>
          <w:rFonts w:ascii="Verdana" w:hAnsi="Verdana" w:cs="Arial"/>
          <w:sz w:val="21"/>
          <w:szCs w:val="21"/>
        </w:rPr>
        <w:t xml:space="preserve">En otras palabras, extremos como los indicados no son ni de derecho público ni de derecho privado, sino, simplemente, de derecho propio, </w:t>
      </w:r>
      <w:r w:rsidRPr="00CB68C5">
        <w:rPr>
          <w:rFonts w:ascii="Verdana" w:hAnsi="Verdana" w:cs="Arial"/>
          <w:sz w:val="21"/>
          <w:szCs w:val="21"/>
        </w:rPr>
        <w:lastRenderedPageBreak/>
        <w:t>aplicables a toda relación contractual, con prescindencia de la naturaleza de los sujetos involucrados en la misma”</w:t>
      </w:r>
      <w:r w:rsidRPr="00CB68C5">
        <w:rPr>
          <w:rStyle w:val="Refdenotaalpie"/>
          <w:rFonts w:ascii="Verdana" w:hAnsi="Verdana" w:cs="Arial"/>
          <w:sz w:val="21"/>
          <w:szCs w:val="21"/>
        </w:rPr>
        <w:footnoteReference w:id="2"/>
      </w:r>
      <w:r w:rsidRPr="00CB68C5">
        <w:rPr>
          <w:rFonts w:ascii="Verdana" w:hAnsi="Verdana" w:cs="Arial"/>
          <w:sz w:val="21"/>
          <w:szCs w:val="21"/>
        </w:rPr>
        <w:t xml:space="preserve">. </w:t>
      </w:r>
    </w:p>
    <w:p w14:paraId="655E85D0" w14:textId="77777777" w:rsidR="00CF33AC" w:rsidRPr="00666B6A" w:rsidRDefault="00CF33AC" w:rsidP="00CF33AC">
      <w:pPr>
        <w:spacing w:after="0" w:line="276" w:lineRule="auto"/>
        <w:ind w:left="709" w:right="709"/>
        <w:jc w:val="both"/>
        <w:rPr>
          <w:rFonts w:ascii="Verdana" w:hAnsi="Verdana" w:cs="Arial"/>
        </w:rPr>
      </w:pPr>
      <w:r w:rsidRPr="00666B6A">
        <w:rPr>
          <w:rFonts w:ascii="Verdana" w:hAnsi="Verdana" w:cs="Arial"/>
        </w:rPr>
        <w:t xml:space="preserve"> </w:t>
      </w:r>
    </w:p>
    <w:p w14:paraId="764066CF" w14:textId="77777777" w:rsidR="00CF33AC" w:rsidRDefault="00CF33AC" w:rsidP="00CF33AC">
      <w:pPr>
        <w:spacing w:after="0" w:line="276" w:lineRule="auto"/>
        <w:jc w:val="both"/>
        <w:rPr>
          <w:rFonts w:ascii="Verdana" w:hAnsi="Verdana" w:cs="Arial"/>
        </w:rPr>
      </w:pPr>
      <w:r w:rsidRPr="00666B6A">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p>
    <w:p w14:paraId="1FB502C5" w14:textId="77777777" w:rsidR="00CF33AC" w:rsidRDefault="00CF33AC" w:rsidP="00CF33AC">
      <w:pPr>
        <w:spacing w:after="0" w:line="276" w:lineRule="auto"/>
        <w:jc w:val="both"/>
        <w:rPr>
          <w:rFonts w:ascii="Verdana" w:hAnsi="Verdana" w:cs="Arial"/>
        </w:rPr>
      </w:pPr>
    </w:p>
    <w:p w14:paraId="7E3804DF" w14:textId="77777777" w:rsidR="00CF33AC" w:rsidRDefault="00CF33AC" w:rsidP="00CF33AC">
      <w:pPr>
        <w:spacing w:after="120" w:line="276" w:lineRule="auto"/>
        <w:jc w:val="both"/>
        <w:rPr>
          <w:rFonts w:ascii="Verdana" w:hAnsi="Verdana" w:cs="Arial"/>
        </w:rPr>
      </w:pPr>
      <w:proofErr w:type="spellStart"/>
      <w:r>
        <w:rPr>
          <w:rFonts w:ascii="Verdana" w:hAnsi="Verdana" w:cs="Arial"/>
        </w:rPr>
        <w:t>ii</w:t>
      </w:r>
      <w:proofErr w:type="spellEnd"/>
      <w:r>
        <w:rPr>
          <w:rFonts w:ascii="Verdana" w:hAnsi="Verdana" w:cs="Arial"/>
        </w:rPr>
        <w:t>. Además de la normativa mencionada en el acápite anterior,</w:t>
      </w:r>
      <w:r w:rsidRPr="00B06BEF">
        <w:rPr>
          <w:rFonts w:ascii="Verdana" w:hAnsi="Verdana" w:cs="Arial"/>
        </w:rPr>
        <w:t xml:space="preserve"> las entidades estatales deben sujetarse </w:t>
      </w:r>
      <w:r>
        <w:rPr>
          <w:rFonts w:ascii="Verdana" w:hAnsi="Verdana" w:cs="Arial"/>
        </w:rPr>
        <w:t>a las normas presupuestales</w:t>
      </w:r>
      <w:r w:rsidRPr="00B06BEF">
        <w:rPr>
          <w:rFonts w:ascii="Verdana" w:hAnsi="Verdana" w:cs="Arial"/>
        </w:rPr>
        <w:t>,</w:t>
      </w:r>
      <w:r>
        <w:rPr>
          <w:rFonts w:ascii="Verdana" w:hAnsi="Verdana" w:cs="Arial"/>
        </w:rPr>
        <w:t xml:space="preserve"> ya que los contratos estatales son una de la principales fuentes de ejecución de recursos públicos. Respecto al principio de economía, los numerales 6, 13 y 14 del artículo 25 del Estatuto General de Contratación de la Administración Pública disponen que las </w:t>
      </w:r>
      <w:r w:rsidRPr="00220FAE">
        <w:rPr>
          <w:rFonts w:ascii="Verdana" w:hAnsi="Verdana" w:cs="Arial"/>
        </w:rPr>
        <w:t>entidades estatales s</w:t>
      </w:r>
      <w:r>
        <w:rPr>
          <w:rFonts w:ascii="Verdana" w:hAnsi="Verdana" w:cs="Arial"/>
        </w:rPr>
        <w:t>ólo</w:t>
      </w:r>
      <w:r w:rsidRPr="00220FAE">
        <w:rPr>
          <w:rFonts w:ascii="Verdana" w:hAnsi="Verdana" w:cs="Arial"/>
        </w:rPr>
        <w:t xml:space="preserve"> iniciar</w:t>
      </w:r>
      <w:r>
        <w:rPr>
          <w:rFonts w:ascii="Verdana" w:hAnsi="Verdana" w:cs="Arial"/>
        </w:rPr>
        <w:t>án</w:t>
      </w:r>
      <w:r w:rsidRPr="00220FAE">
        <w:rPr>
          <w:rFonts w:ascii="Verdana" w:hAnsi="Verdana" w:cs="Arial"/>
        </w:rPr>
        <w:t xml:space="preserve"> procesos contractuales si cuentan con respaldo presupuestal suficiente, incluyendo reservas </w:t>
      </w:r>
      <w:r>
        <w:rPr>
          <w:rFonts w:ascii="Verdana" w:hAnsi="Verdana" w:cs="Arial"/>
        </w:rPr>
        <w:t>para las cláusulas de actualización de precios</w:t>
      </w:r>
      <w:r w:rsidRPr="00220FAE">
        <w:rPr>
          <w:rFonts w:ascii="Verdana" w:hAnsi="Verdana" w:cs="Arial"/>
        </w:rPr>
        <w:t xml:space="preserve"> y </w:t>
      </w:r>
      <w:r>
        <w:rPr>
          <w:rFonts w:ascii="Verdana" w:hAnsi="Verdana" w:cs="Arial"/>
        </w:rPr>
        <w:t>los</w:t>
      </w:r>
      <w:r w:rsidRPr="00220FAE">
        <w:rPr>
          <w:rFonts w:ascii="Verdana" w:hAnsi="Verdana" w:cs="Arial"/>
        </w:rPr>
        <w:t xml:space="preserve"> imprevistos derivados de retrasos en pagos o </w:t>
      </w:r>
      <w:r>
        <w:rPr>
          <w:rFonts w:ascii="Verdana" w:hAnsi="Verdana" w:cs="Arial"/>
        </w:rPr>
        <w:t xml:space="preserve">la revisión de precios por alteración de las condiciones iniciales del negocio jurídico. Asimismo, el inciso segundo del artículo 41 </w:t>
      </w:r>
      <w:r w:rsidRPr="00DA3842">
        <w:rPr>
          <w:rFonts w:ascii="Verdana" w:hAnsi="Verdana" w:cs="Arial"/>
          <w:i/>
          <w:iCs/>
        </w:rPr>
        <w:t>ibidem</w:t>
      </w:r>
      <w:r>
        <w:rPr>
          <w:rFonts w:ascii="Verdana" w:hAnsi="Verdana" w:cs="Arial"/>
        </w:rPr>
        <w:t xml:space="preserve"> –modificado por el artículo 23 de la Ley 1150 de 2007– eleva el registro presupuestal a requisito de ejecución de los contratos. </w:t>
      </w:r>
    </w:p>
    <w:p w14:paraId="461FDFE3" w14:textId="77777777" w:rsidR="00CF33AC" w:rsidRDefault="00CF33AC" w:rsidP="00CF33AC">
      <w:pPr>
        <w:spacing w:after="120" w:line="276" w:lineRule="auto"/>
        <w:ind w:firstLine="708"/>
        <w:jc w:val="both"/>
        <w:rPr>
          <w:rFonts w:ascii="Verdana" w:hAnsi="Verdana" w:cs="Arial"/>
        </w:rPr>
      </w:pPr>
      <w:r>
        <w:rPr>
          <w:rFonts w:ascii="Verdana" w:hAnsi="Verdana" w:cs="Arial"/>
        </w:rPr>
        <w:t>Como explica la doctrina, tanto en la fase preparatoria como en la de formalización, las normas del sistema de compras públicas exigen el cumplimiento de la legalidad presupuestaría</w:t>
      </w:r>
      <w:r>
        <w:rPr>
          <w:rStyle w:val="Refdenotaalpie"/>
          <w:rFonts w:ascii="Verdana" w:hAnsi="Verdana" w:cs="Arial"/>
        </w:rPr>
        <w:footnoteReference w:id="3"/>
      </w:r>
      <w:r>
        <w:rPr>
          <w:rFonts w:ascii="Verdana" w:hAnsi="Verdana" w:cs="Arial"/>
        </w:rPr>
        <w:t>. Si bien el inciso primero del artículo 41 de la Ley 80 de 1993 dispone que “</w:t>
      </w:r>
      <w:r w:rsidRPr="00F03A24">
        <w:rPr>
          <w:rFonts w:ascii="Verdana" w:hAnsi="Verdana" w:cs="Arial"/>
        </w:rPr>
        <w:t xml:space="preserve">Los contratos del Estado se perfeccionan cuando se logre acuerdo sobre el objeto y la contraprestación y </w:t>
      </w:r>
      <w:r w:rsidRPr="00F03A24">
        <w:rPr>
          <w:rFonts w:ascii="Verdana" w:hAnsi="Verdana" w:cs="Arial"/>
        </w:rPr>
        <w:lastRenderedPageBreak/>
        <w:t>éste se eleve a escrit</w:t>
      </w:r>
      <w:r>
        <w:rPr>
          <w:rFonts w:ascii="Verdana" w:hAnsi="Verdana" w:cs="Arial"/>
        </w:rPr>
        <w:t xml:space="preserve">o”, ello no es obstáculo para la existencia de contratos a título gratuito como los de donación o comodato, casos donde los negocios suscritos no tienen precio y, por tanto, tampoco requieren gestión presupuestal. </w:t>
      </w:r>
    </w:p>
    <w:p w14:paraId="4FDCF17D" w14:textId="77777777" w:rsidR="00CF33AC" w:rsidRDefault="00CF33AC" w:rsidP="00CF33AC">
      <w:pPr>
        <w:spacing w:after="120" w:line="276" w:lineRule="auto"/>
        <w:ind w:firstLine="708"/>
        <w:jc w:val="both"/>
        <w:rPr>
          <w:rFonts w:ascii="Verdana" w:hAnsi="Verdana" w:cs="Arial"/>
        </w:rPr>
      </w:pPr>
      <w:r>
        <w:rPr>
          <w:rFonts w:ascii="Verdana" w:hAnsi="Verdana" w:cs="Arial"/>
        </w:rPr>
        <w:t xml:space="preserve">Algo similar sucede con aquellos </w:t>
      </w:r>
      <w:r w:rsidRPr="005C530C">
        <w:rPr>
          <w:rFonts w:ascii="Verdana" w:hAnsi="Verdana" w:cs="Arial"/>
        </w:rPr>
        <w:t>en aquellos contratos estatales que sean financiados</w:t>
      </w:r>
      <w:r>
        <w:rPr>
          <w:rFonts w:ascii="Verdana" w:hAnsi="Verdana" w:cs="Arial"/>
        </w:rPr>
        <w:t xml:space="preserve"> </w:t>
      </w:r>
      <w:r w:rsidRPr="005C530C">
        <w:rPr>
          <w:rFonts w:ascii="Verdana" w:hAnsi="Verdana" w:cs="Arial"/>
        </w:rPr>
        <w:t xml:space="preserve">con </w:t>
      </w:r>
      <w:r>
        <w:rPr>
          <w:rFonts w:ascii="Verdana" w:hAnsi="Verdana" w:cs="Arial"/>
        </w:rPr>
        <w:t>dineros</w:t>
      </w:r>
      <w:r w:rsidRPr="005C530C">
        <w:rPr>
          <w:rFonts w:ascii="Verdana" w:hAnsi="Verdana" w:cs="Arial"/>
        </w:rPr>
        <w:t xml:space="preserve"> </w:t>
      </w:r>
      <w:r>
        <w:rPr>
          <w:rFonts w:ascii="Verdana" w:hAnsi="Verdana" w:cs="Arial"/>
        </w:rPr>
        <w:t>de</w:t>
      </w:r>
      <w:r w:rsidRPr="005C530C">
        <w:rPr>
          <w:rFonts w:ascii="Verdana" w:hAnsi="Verdana" w:cs="Arial"/>
        </w:rPr>
        <w:t xml:space="preserve"> </w:t>
      </w:r>
      <w:r>
        <w:rPr>
          <w:rFonts w:ascii="Verdana" w:hAnsi="Verdana" w:cs="Arial"/>
        </w:rPr>
        <w:t>patrimonios autónomos</w:t>
      </w:r>
      <w:r w:rsidRPr="005C530C">
        <w:rPr>
          <w:rFonts w:ascii="Verdana" w:hAnsi="Verdana" w:cs="Arial"/>
        </w:rPr>
        <w:t xml:space="preserve"> </w:t>
      </w:r>
      <w:r>
        <w:rPr>
          <w:rFonts w:ascii="Verdana" w:hAnsi="Verdana" w:cs="Arial"/>
        </w:rPr>
        <w:t>constituidos</w:t>
      </w:r>
      <w:r w:rsidRPr="005C530C">
        <w:rPr>
          <w:rFonts w:ascii="Verdana" w:hAnsi="Verdana" w:cs="Arial"/>
        </w:rPr>
        <w:t xml:space="preserve"> para la</w:t>
      </w:r>
      <w:r>
        <w:rPr>
          <w:rFonts w:ascii="Verdana" w:hAnsi="Verdana" w:cs="Arial"/>
        </w:rPr>
        <w:t xml:space="preserve"> </w:t>
      </w:r>
      <w:r w:rsidRPr="005C530C">
        <w:rPr>
          <w:rFonts w:ascii="Verdana" w:hAnsi="Verdana" w:cs="Arial"/>
        </w:rPr>
        <w:t>administración de los recursos</w:t>
      </w:r>
      <w:r>
        <w:rPr>
          <w:rFonts w:ascii="Verdana" w:hAnsi="Verdana" w:cs="Arial"/>
        </w:rPr>
        <w:t>: “</w:t>
      </w:r>
      <w:r w:rsidRPr="005C530C">
        <w:rPr>
          <w:rFonts w:ascii="Verdana" w:hAnsi="Verdana" w:cs="Arial"/>
        </w:rPr>
        <w:t>Un ejemplo típico, se encuentra en los contratos estatales de concesión, con los</w:t>
      </w:r>
      <w:r>
        <w:rPr>
          <w:rFonts w:ascii="Verdana" w:hAnsi="Verdana" w:cs="Arial"/>
        </w:rPr>
        <w:t xml:space="preserve"> </w:t>
      </w:r>
      <w:r w:rsidRPr="005C530C">
        <w:rPr>
          <w:rFonts w:ascii="Verdana" w:hAnsi="Verdana" w:cs="Arial"/>
        </w:rPr>
        <w:t>asesores jurídicos externos o interventores, pues dichos profesionales, pese a</w:t>
      </w:r>
      <w:r>
        <w:rPr>
          <w:rFonts w:ascii="Verdana" w:hAnsi="Verdana" w:cs="Arial"/>
        </w:rPr>
        <w:t xml:space="preserve"> </w:t>
      </w:r>
      <w:r w:rsidRPr="005C530C">
        <w:rPr>
          <w:rFonts w:ascii="Verdana" w:hAnsi="Verdana" w:cs="Arial"/>
        </w:rPr>
        <w:t>que celebran el contrato con la entidad estatal, sus servicios son pagados por la</w:t>
      </w:r>
      <w:r>
        <w:rPr>
          <w:rFonts w:ascii="Verdana" w:hAnsi="Verdana" w:cs="Arial"/>
        </w:rPr>
        <w:t xml:space="preserve"> </w:t>
      </w:r>
      <w:r w:rsidRPr="005C530C">
        <w:rPr>
          <w:rFonts w:ascii="Verdana" w:hAnsi="Verdana" w:cs="Arial"/>
        </w:rPr>
        <w:t>fiducia mercantil de la respectiva concesión a las que le prestan sus servicios.</w:t>
      </w:r>
      <w:r>
        <w:rPr>
          <w:rFonts w:ascii="Verdana" w:hAnsi="Verdana" w:cs="Arial"/>
        </w:rPr>
        <w:t xml:space="preserve"> </w:t>
      </w:r>
      <w:r w:rsidRPr="00E013DC">
        <w:rPr>
          <w:rFonts w:ascii="Verdana" w:hAnsi="Verdana" w:cs="Arial"/>
          <w:i/>
          <w:iCs/>
        </w:rPr>
        <w:t>En esos casos, antes de celebrar el contrato estatal, se pide la certificación de disponibilidad de recursos a la fiducia</w:t>
      </w:r>
      <w:r>
        <w:rPr>
          <w:rFonts w:ascii="Verdana" w:hAnsi="Verdana" w:cs="Arial"/>
        </w:rPr>
        <w:t>”</w:t>
      </w:r>
      <w:r>
        <w:rPr>
          <w:rStyle w:val="Refdenotaalpie"/>
          <w:rFonts w:ascii="Verdana" w:hAnsi="Verdana" w:cs="Arial"/>
        </w:rPr>
        <w:footnoteReference w:id="4"/>
      </w:r>
      <w:r>
        <w:rPr>
          <w:rFonts w:ascii="Verdana" w:hAnsi="Verdana" w:cs="Arial"/>
        </w:rPr>
        <w:t xml:space="preserve"> (Énfasis fuera de texto)</w:t>
      </w:r>
      <w:r w:rsidRPr="005C530C">
        <w:rPr>
          <w:rFonts w:ascii="Verdana" w:hAnsi="Verdana" w:cs="Arial"/>
        </w:rPr>
        <w:t>.</w:t>
      </w:r>
      <w:r>
        <w:rPr>
          <w:rFonts w:ascii="Verdana" w:hAnsi="Verdana" w:cs="Arial"/>
        </w:rPr>
        <w:t xml:space="preserve"> </w:t>
      </w:r>
    </w:p>
    <w:p w14:paraId="6A292312" w14:textId="77777777" w:rsidR="00CF33AC" w:rsidRDefault="00CF33AC" w:rsidP="00CF33AC">
      <w:pPr>
        <w:spacing w:after="0" w:line="276" w:lineRule="auto"/>
        <w:ind w:firstLine="708"/>
        <w:jc w:val="both"/>
        <w:rPr>
          <w:rFonts w:ascii="Verdana" w:hAnsi="Verdana" w:cs="Arial"/>
          <w:lang w:val="es-ES"/>
        </w:rPr>
      </w:pPr>
      <w:r>
        <w:rPr>
          <w:rFonts w:ascii="Verdana" w:hAnsi="Verdana" w:cs="Arial"/>
        </w:rPr>
        <w:t xml:space="preserve">De acuerdo con el </w:t>
      </w:r>
      <w:r w:rsidRPr="00B839BF">
        <w:rPr>
          <w:rFonts w:ascii="Verdana" w:hAnsi="Verdana" w:cs="Arial"/>
        </w:rPr>
        <w:t xml:space="preserve">artículo 116 de la Ley 1955 de 2019, </w:t>
      </w:r>
      <w:r w:rsidRPr="00C65FCF">
        <w:rPr>
          <w:rFonts w:ascii="Verdana" w:hAnsi="Verdana" w:cs="Arial"/>
        </w:rPr>
        <w:t>modificatorio del</w:t>
      </w:r>
      <w:r w:rsidRPr="00B839BF">
        <w:rPr>
          <w:rFonts w:ascii="Verdana" w:hAnsi="Verdana" w:cs="Arial"/>
        </w:rPr>
        <w:t xml:space="preserve"> artículo 19 de la Ley 1882 de 2018,</w:t>
      </w:r>
      <w:r>
        <w:rPr>
          <w:rFonts w:ascii="Verdana" w:hAnsi="Verdana" w:cs="Arial"/>
        </w:rPr>
        <w:t xml:space="preserve"> la ANCP – CCE ha planteado algo similar en el Concepto C-150 del 6 de marzo de 2025 respecto a</w:t>
      </w:r>
      <w:r w:rsidRPr="00266FE6">
        <w:rPr>
          <w:rFonts w:ascii="Verdana" w:hAnsi="Verdana" w:cs="Arial"/>
        </w:rPr>
        <w:t xml:space="preserve"> los procesos de selección que tengan por objeto la evaluación de los proyectos de APP de iniciativa privada presentados en la etapa de </w:t>
      </w:r>
      <w:r w:rsidRPr="00266FE6">
        <w:rPr>
          <w:rFonts w:ascii="Verdana" w:hAnsi="Verdana" w:cs="Arial"/>
          <w:i/>
          <w:iCs/>
        </w:rPr>
        <w:t>factibilidad</w:t>
      </w:r>
      <w:r>
        <w:rPr>
          <w:rStyle w:val="Refdenotaalpie"/>
          <w:rFonts w:ascii="Verdana" w:hAnsi="Verdana" w:cs="Arial"/>
          <w:i/>
          <w:iCs/>
        </w:rPr>
        <w:footnoteReference w:id="5"/>
      </w:r>
      <w:r>
        <w:rPr>
          <w:rFonts w:ascii="Verdana" w:hAnsi="Verdana" w:cs="Arial"/>
        </w:rPr>
        <w:t xml:space="preserve">. Para la Corte Constitucional, </w:t>
      </w:r>
      <w:r w:rsidRPr="00DD3224">
        <w:rPr>
          <w:rFonts w:ascii="Verdana" w:hAnsi="Verdana" w:cs="Arial"/>
          <w:lang w:val="es-ES"/>
        </w:rPr>
        <w:t>“</w:t>
      </w:r>
      <w:r w:rsidRPr="00DD3224">
        <w:rPr>
          <w:rFonts w:ascii="Verdana" w:hAnsi="Verdana" w:cs="Arial"/>
          <w:i/>
          <w:lang w:val="es-ES"/>
        </w:rPr>
        <w:t xml:space="preserve">Una interpretación razonable los preceptos sobre los proyectos de APP de iniciativa </w:t>
      </w:r>
      <w:r w:rsidRPr="00DD3224">
        <w:rPr>
          <w:rFonts w:ascii="Verdana" w:hAnsi="Verdana" w:cs="Arial"/>
          <w:i/>
          <w:lang w:val="es-ES"/>
        </w:rPr>
        <w:lastRenderedPageBreak/>
        <w:t>privada lleva a concluir que el diseño normativo de la figura no pretende convertir recursos privados en públicos y, menos aún, hacerlos parte del patrimonio estatal</w:t>
      </w:r>
      <w:r w:rsidRPr="00DD3224">
        <w:rPr>
          <w:rFonts w:ascii="Verdana" w:hAnsi="Verdana" w:cs="Arial"/>
          <w:lang w:val="es-ES"/>
        </w:rPr>
        <w:t>. Efectivamente, los objetivos del patrimonio autónomo son mucho más precisos y circunscritos a la etapa precontractual en la que, de hecho, también opera la transferencia de riesgos. Por tal razón, el originador es quien aporta el valor de los costos de la evaluación, de tal manera que no se comprometen los escasos recursos públicos”</w:t>
      </w:r>
      <w:r>
        <w:rPr>
          <w:rStyle w:val="Refdenotaalpie"/>
          <w:rFonts w:ascii="Verdana" w:hAnsi="Verdana" w:cs="Arial"/>
          <w:lang w:val="es-ES"/>
        </w:rPr>
        <w:footnoteReference w:id="6"/>
      </w:r>
      <w:r w:rsidRPr="00DD3224">
        <w:rPr>
          <w:rFonts w:ascii="Verdana" w:hAnsi="Verdana" w:cs="Arial"/>
          <w:lang w:val="es-ES"/>
        </w:rPr>
        <w:t xml:space="preserve"> (Énfasis fuera de texto)</w:t>
      </w:r>
      <w:r>
        <w:rPr>
          <w:rFonts w:ascii="Verdana" w:hAnsi="Verdana" w:cs="Arial"/>
          <w:lang w:val="es-ES"/>
        </w:rPr>
        <w:t>.</w:t>
      </w:r>
    </w:p>
    <w:p w14:paraId="47336180" w14:textId="77777777" w:rsidR="00CF33AC" w:rsidRDefault="00CF33AC" w:rsidP="00CF33AC">
      <w:pPr>
        <w:spacing w:after="0" w:line="276" w:lineRule="auto"/>
        <w:ind w:firstLine="708"/>
        <w:jc w:val="both"/>
        <w:rPr>
          <w:rFonts w:ascii="Verdana" w:hAnsi="Verdana" w:cs="Arial"/>
          <w:lang w:val="es-ES"/>
        </w:rPr>
      </w:pPr>
    </w:p>
    <w:p w14:paraId="19303DEC" w14:textId="77777777" w:rsidR="00CF33AC" w:rsidRDefault="00CF33AC" w:rsidP="00CF33AC">
      <w:pPr>
        <w:spacing w:after="0" w:line="276" w:lineRule="auto"/>
        <w:jc w:val="both"/>
        <w:rPr>
          <w:rFonts w:ascii="Verdana" w:hAnsi="Verdana" w:cs="Arial"/>
        </w:rPr>
      </w:pPr>
      <w:proofErr w:type="spellStart"/>
      <w:r>
        <w:rPr>
          <w:rFonts w:ascii="Verdana" w:hAnsi="Verdana" w:cs="Arial"/>
          <w:lang w:val="es-ES"/>
        </w:rPr>
        <w:t>iii</w:t>
      </w:r>
      <w:proofErr w:type="spellEnd"/>
      <w:r>
        <w:rPr>
          <w:rFonts w:ascii="Verdana" w:hAnsi="Verdana" w:cs="Arial"/>
          <w:lang w:val="es-ES"/>
        </w:rPr>
        <w:t xml:space="preserve">. Por ello, en los contratos que requieran erogación presupuestal debe atenderse el Decreto Ley 111 de 1996. </w:t>
      </w:r>
      <w:r w:rsidRPr="00A1068A">
        <w:rPr>
          <w:rFonts w:ascii="Verdana" w:hAnsi="Verdana" w:cs="Arial"/>
          <w:i/>
          <w:iCs/>
          <w:lang w:val="es-ES"/>
        </w:rPr>
        <w:t>Por un lado</w:t>
      </w:r>
      <w:r>
        <w:rPr>
          <w:rFonts w:ascii="Verdana" w:hAnsi="Verdana" w:cs="Arial"/>
          <w:lang w:val="es-ES"/>
        </w:rPr>
        <w:t xml:space="preserve">, el </w:t>
      </w:r>
      <w:r w:rsidRPr="00DE4491">
        <w:rPr>
          <w:rFonts w:ascii="Verdana" w:hAnsi="Verdana" w:cs="Arial"/>
          <w:lang w:val="es-ES"/>
        </w:rPr>
        <w:t>Presupuesto de Gastos o Ley de Apropiaciones</w:t>
      </w:r>
      <w:r>
        <w:rPr>
          <w:rFonts w:ascii="Verdana" w:hAnsi="Verdana" w:cs="Arial"/>
          <w:lang w:val="es-ES"/>
        </w:rPr>
        <w:t xml:space="preserve"> hace parte del </w:t>
      </w:r>
      <w:r w:rsidRPr="00DE4491">
        <w:rPr>
          <w:rFonts w:ascii="Verdana" w:hAnsi="Verdana" w:cs="Arial"/>
          <w:lang w:val="es-ES"/>
        </w:rPr>
        <w:t>Presupuesto General de la Nación</w:t>
      </w:r>
      <w:r>
        <w:rPr>
          <w:rFonts w:ascii="Verdana" w:hAnsi="Verdana" w:cs="Arial"/>
          <w:lang w:val="es-ES"/>
        </w:rPr>
        <w:t xml:space="preserve"> –art. 11, </w:t>
      </w:r>
      <w:proofErr w:type="spellStart"/>
      <w:r>
        <w:rPr>
          <w:rFonts w:ascii="Verdana" w:hAnsi="Verdana" w:cs="Arial"/>
          <w:lang w:val="es-ES"/>
        </w:rPr>
        <w:t>lit.</w:t>
      </w:r>
      <w:proofErr w:type="spellEnd"/>
      <w:r>
        <w:rPr>
          <w:rFonts w:ascii="Verdana" w:hAnsi="Verdana" w:cs="Arial"/>
          <w:lang w:val="es-ES"/>
        </w:rPr>
        <w:t xml:space="preserve"> b)–, el cual contiene </w:t>
      </w:r>
      <w:r w:rsidRPr="00DE4491">
        <w:rPr>
          <w:rFonts w:ascii="Verdana" w:hAnsi="Verdana" w:cs="Arial"/>
          <w:lang w:val="es-ES"/>
        </w:rPr>
        <w:t>los gastos de funcionamiento, del servicio de la deuda pública y los gastos de inversión</w:t>
      </w:r>
      <w:r>
        <w:rPr>
          <w:rFonts w:ascii="Verdana" w:hAnsi="Verdana" w:cs="Arial"/>
          <w:lang w:val="es-ES"/>
        </w:rPr>
        <w:t xml:space="preserve"> –art. 36–. </w:t>
      </w:r>
      <w:r w:rsidRPr="00A1068A">
        <w:rPr>
          <w:rFonts w:ascii="Verdana" w:hAnsi="Verdana" w:cs="Arial"/>
          <w:i/>
          <w:iCs/>
          <w:lang w:val="es-ES"/>
        </w:rPr>
        <w:t>Además</w:t>
      </w:r>
      <w:r>
        <w:rPr>
          <w:rFonts w:ascii="Verdana" w:hAnsi="Verdana" w:cs="Arial"/>
          <w:lang w:val="es-ES"/>
        </w:rPr>
        <w:t xml:space="preserve">, el </w:t>
      </w:r>
      <w:r w:rsidRPr="004A5EB3">
        <w:rPr>
          <w:rFonts w:ascii="Verdana" w:hAnsi="Verdana" w:cs="Arial"/>
          <w:lang w:val="es-ES"/>
        </w:rPr>
        <w:t>principio de programación integral</w:t>
      </w:r>
      <w:r>
        <w:rPr>
          <w:rFonts w:ascii="Verdana" w:hAnsi="Verdana" w:cs="Arial"/>
          <w:lang w:val="es-ES"/>
        </w:rPr>
        <w:t xml:space="preserve"> exige que “</w:t>
      </w:r>
      <w:r w:rsidRPr="00C051EA">
        <w:rPr>
          <w:rFonts w:ascii="Verdana" w:hAnsi="Verdana" w:cs="Arial"/>
          <w:lang w:val="es-ES"/>
        </w:rPr>
        <w:t>Todo programa presupuestal deberá contemplar simultáneamente los gastos de inversión y de funcionamiento que las exigencias técnicas y administrativas demanden como necesarios para su ejecución y operación, de conformidad con los procedimientos y normas legales vigentes</w:t>
      </w:r>
      <w:r>
        <w:rPr>
          <w:rFonts w:ascii="Verdana" w:hAnsi="Verdana" w:cs="Arial"/>
          <w:lang w:val="es-ES"/>
        </w:rPr>
        <w:t>” –art. 17, inc. 1–</w:t>
      </w:r>
      <w:r w:rsidRPr="00C051EA">
        <w:rPr>
          <w:rFonts w:ascii="Verdana" w:hAnsi="Verdana" w:cs="Arial"/>
          <w:lang w:val="es-ES"/>
        </w:rPr>
        <w:t>.</w:t>
      </w:r>
      <w:r w:rsidRPr="00266FE6">
        <w:rPr>
          <w:rFonts w:ascii="Verdana" w:hAnsi="Verdana" w:cs="Arial"/>
        </w:rPr>
        <w:t> </w:t>
      </w:r>
      <w:r w:rsidRPr="00A1068A">
        <w:rPr>
          <w:rFonts w:ascii="Verdana" w:hAnsi="Verdana" w:cs="Arial"/>
          <w:i/>
          <w:iCs/>
        </w:rPr>
        <w:t>Finalmente</w:t>
      </w:r>
      <w:r>
        <w:rPr>
          <w:rFonts w:ascii="Verdana" w:hAnsi="Verdana" w:cs="Arial"/>
        </w:rPr>
        <w:t>, el artículo 35 del Decreto 1621 de 2024, “P</w:t>
      </w:r>
      <w:r w:rsidRPr="00A1068A">
        <w:rPr>
          <w:rFonts w:ascii="Verdana" w:hAnsi="Verdana" w:cs="Arial"/>
        </w:rPr>
        <w:t>or el cual se liquida el Presupuesto General de la Nación para la vigencia fiscal de 2025 se detallan las apropiaciones y se clasifican y definen los gastos</w:t>
      </w:r>
      <w:r>
        <w:rPr>
          <w:rFonts w:ascii="Verdana" w:hAnsi="Verdana" w:cs="Arial"/>
        </w:rPr>
        <w:t>”, dispone que:</w:t>
      </w:r>
    </w:p>
    <w:p w14:paraId="6AC45914" w14:textId="77777777" w:rsidR="00CF33AC" w:rsidRDefault="00CF33AC" w:rsidP="00CF33AC">
      <w:pPr>
        <w:spacing w:after="0" w:line="276" w:lineRule="auto"/>
        <w:jc w:val="both"/>
        <w:rPr>
          <w:rFonts w:ascii="Verdana" w:hAnsi="Verdana" w:cs="Arial"/>
        </w:rPr>
      </w:pPr>
    </w:p>
    <w:p w14:paraId="099A4603" w14:textId="77777777" w:rsidR="00CF33AC" w:rsidRPr="004A5EB3" w:rsidRDefault="00CF33AC" w:rsidP="00CF33AC">
      <w:pPr>
        <w:spacing w:after="120" w:line="240" w:lineRule="auto"/>
        <w:ind w:left="709" w:right="709"/>
        <w:jc w:val="both"/>
        <w:rPr>
          <w:rFonts w:ascii="Verdana" w:hAnsi="Verdana" w:cs="Arial"/>
          <w:sz w:val="21"/>
          <w:szCs w:val="21"/>
        </w:rPr>
      </w:pPr>
      <w:r w:rsidRPr="004A5EB3">
        <w:rPr>
          <w:rFonts w:ascii="Verdana" w:hAnsi="Verdana" w:cs="Arial"/>
          <w:sz w:val="21"/>
          <w:szCs w:val="21"/>
        </w:rPr>
        <w:t>“Los gastos incluidos en el presupuesto para la vigencia fiscal 2025 se definen de la siguiente forma: </w:t>
      </w:r>
    </w:p>
    <w:p w14:paraId="7E7C8A39" w14:textId="77777777" w:rsidR="00CF33AC" w:rsidRPr="004A5EB3" w:rsidRDefault="00CF33AC" w:rsidP="00CF33AC">
      <w:pPr>
        <w:spacing w:after="120" w:line="240" w:lineRule="auto"/>
        <w:ind w:left="709" w:right="709"/>
        <w:jc w:val="both"/>
        <w:rPr>
          <w:rFonts w:ascii="Verdana" w:hAnsi="Verdana" w:cs="Arial"/>
          <w:sz w:val="21"/>
          <w:szCs w:val="21"/>
        </w:rPr>
      </w:pPr>
      <w:r w:rsidRPr="004A5EB3">
        <w:rPr>
          <w:rFonts w:ascii="Verdana" w:hAnsi="Verdana" w:cs="Arial"/>
          <w:b/>
          <w:bCs/>
          <w:sz w:val="21"/>
          <w:szCs w:val="21"/>
        </w:rPr>
        <w:t>A. FUNCIONAMIENTO </w:t>
      </w:r>
    </w:p>
    <w:p w14:paraId="0ACFA233" w14:textId="77777777" w:rsidR="00CF33AC" w:rsidRPr="004A5EB3" w:rsidRDefault="00CF33AC" w:rsidP="00CF33AC">
      <w:pPr>
        <w:spacing w:after="120" w:line="240" w:lineRule="auto"/>
        <w:ind w:left="709" w:right="709"/>
        <w:jc w:val="both"/>
        <w:rPr>
          <w:rFonts w:ascii="Verdana" w:hAnsi="Verdana" w:cs="Arial"/>
          <w:sz w:val="21"/>
          <w:szCs w:val="21"/>
        </w:rPr>
      </w:pPr>
      <w:r w:rsidRPr="004A5EB3">
        <w:rPr>
          <w:rFonts w:ascii="Verdana" w:hAnsi="Verdana" w:cs="Arial"/>
          <w:sz w:val="21"/>
          <w:szCs w:val="21"/>
        </w:rPr>
        <w:t>Son aquellos gastos que tienen por objeto atender las necesidades de los órganos para cumplir a cabalidad con las funciones asignadas en la Constitución Política y la Ley. </w:t>
      </w:r>
    </w:p>
    <w:p w14:paraId="5A8E2ACF" w14:textId="77777777" w:rsidR="00CF33AC" w:rsidRPr="004A5EB3" w:rsidRDefault="00CF33AC" w:rsidP="00CF33AC">
      <w:pPr>
        <w:spacing w:after="120" w:line="240" w:lineRule="auto"/>
        <w:ind w:left="709" w:right="709"/>
        <w:jc w:val="both"/>
        <w:rPr>
          <w:rFonts w:ascii="Verdana" w:hAnsi="Verdana" w:cs="Arial"/>
          <w:sz w:val="21"/>
          <w:szCs w:val="21"/>
        </w:rPr>
      </w:pPr>
      <w:r w:rsidRPr="004A5EB3">
        <w:rPr>
          <w:rFonts w:ascii="Verdana" w:hAnsi="Verdana" w:cs="Arial"/>
          <w:sz w:val="21"/>
          <w:szCs w:val="21"/>
        </w:rPr>
        <w:t>[…]</w:t>
      </w:r>
    </w:p>
    <w:p w14:paraId="1B0D2E74" w14:textId="77777777" w:rsidR="00CF33AC" w:rsidRPr="004A5EB3" w:rsidRDefault="00CF33AC" w:rsidP="00CF33AC">
      <w:pPr>
        <w:spacing w:after="120" w:line="240" w:lineRule="auto"/>
        <w:ind w:left="709" w:right="709"/>
        <w:jc w:val="both"/>
        <w:rPr>
          <w:rFonts w:ascii="Verdana" w:hAnsi="Verdana" w:cs="Arial"/>
          <w:sz w:val="21"/>
          <w:szCs w:val="21"/>
        </w:rPr>
      </w:pPr>
      <w:r w:rsidRPr="004A5EB3">
        <w:rPr>
          <w:rFonts w:ascii="Verdana" w:hAnsi="Verdana" w:cs="Arial"/>
          <w:b/>
          <w:bCs/>
          <w:sz w:val="21"/>
          <w:szCs w:val="21"/>
        </w:rPr>
        <w:t>02 ADQUISICIÓN DE BIENES Y SERVICIOS </w:t>
      </w:r>
    </w:p>
    <w:p w14:paraId="63BBD727" w14:textId="77777777" w:rsidR="00CF33AC" w:rsidRPr="004A5EB3" w:rsidRDefault="00CF33AC" w:rsidP="00CF33AC">
      <w:pPr>
        <w:spacing w:after="120" w:line="240" w:lineRule="auto"/>
        <w:ind w:left="709" w:right="709"/>
        <w:jc w:val="both"/>
        <w:rPr>
          <w:rFonts w:ascii="Verdana" w:hAnsi="Verdana" w:cs="Arial"/>
          <w:sz w:val="21"/>
          <w:szCs w:val="21"/>
        </w:rPr>
      </w:pPr>
      <w:r w:rsidRPr="004A5EB3">
        <w:rPr>
          <w:rFonts w:ascii="Verdana" w:hAnsi="Verdana" w:cs="Arial"/>
          <w:sz w:val="21"/>
          <w:szCs w:val="21"/>
        </w:rPr>
        <w:t>Son los gastos asociados a la compra de bienes y a la contratación de servicios, suministrados por personas naturales o jurídicas, que son necesarios para el cumplimiento de las funciones asignadas por la Constitución Política y la ley al órgano del PGN.</w:t>
      </w:r>
    </w:p>
    <w:p w14:paraId="3839EA28" w14:textId="77777777" w:rsidR="00CF33AC" w:rsidRPr="004A5EB3" w:rsidRDefault="00CF33AC" w:rsidP="00CF33AC">
      <w:pPr>
        <w:spacing w:after="120" w:line="240" w:lineRule="auto"/>
        <w:ind w:left="709" w:right="709"/>
        <w:jc w:val="both"/>
        <w:rPr>
          <w:rFonts w:ascii="Verdana" w:hAnsi="Verdana" w:cs="Arial"/>
          <w:sz w:val="21"/>
          <w:szCs w:val="21"/>
        </w:rPr>
      </w:pPr>
      <w:r w:rsidRPr="004A5EB3">
        <w:rPr>
          <w:rFonts w:ascii="Verdana" w:hAnsi="Verdana" w:cs="Arial"/>
          <w:sz w:val="21"/>
          <w:szCs w:val="21"/>
        </w:rPr>
        <w:t xml:space="preserve">[…] </w:t>
      </w:r>
    </w:p>
    <w:p w14:paraId="20D8C518" w14:textId="77777777" w:rsidR="00CF33AC" w:rsidRPr="004A5EB3" w:rsidRDefault="00CF33AC" w:rsidP="00CF33AC">
      <w:pPr>
        <w:spacing w:after="120" w:line="240" w:lineRule="auto"/>
        <w:ind w:left="709" w:right="709"/>
        <w:jc w:val="both"/>
        <w:rPr>
          <w:rFonts w:ascii="Verdana" w:hAnsi="Verdana" w:cs="Arial"/>
          <w:sz w:val="21"/>
          <w:szCs w:val="21"/>
        </w:rPr>
      </w:pPr>
      <w:r w:rsidRPr="004A5EB3">
        <w:rPr>
          <w:rFonts w:ascii="Verdana" w:hAnsi="Verdana" w:cs="Arial"/>
          <w:b/>
          <w:bCs/>
          <w:sz w:val="21"/>
          <w:szCs w:val="21"/>
        </w:rPr>
        <w:t>C. INVERSIÓN </w:t>
      </w:r>
    </w:p>
    <w:p w14:paraId="370DE4EA" w14:textId="77777777" w:rsidR="00CF33AC" w:rsidRPr="004A5EB3" w:rsidRDefault="00CF33AC" w:rsidP="00CF33AC">
      <w:pPr>
        <w:spacing w:after="120" w:line="240" w:lineRule="auto"/>
        <w:ind w:left="709" w:right="709"/>
        <w:jc w:val="both"/>
        <w:rPr>
          <w:rFonts w:ascii="Verdana" w:hAnsi="Verdana" w:cs="Arial"/>
          <w:sz w:val="21"/>
          <w:szCs w:val="21"/>
        </w:rPr>
      </w:pPr>
      <w:r w:rsidRPr="004A5EB3">
        <w:rPr>
          <w:rFonts w:ascii="Verdana" w:hAnsi="Verdana" w:cs="Arial"/>
          <w:sz w:val="21"/>
          <w:szCs w:val="21"/>
        </w:rPr>
        <w:lastRenderedPageBreak/>
        <w:t>Son aquellas erogaciones susceptibles de causar réditos o de ser de algún modo económicamente productivas, o que tengan cuerpo de bienes de utilización perdurable, llamados también de capital por oposición a los de funcionamiento que se hayan destinado por lo común a extinguirse con su empleo. Asimismo, aquellos gastos destinados a crear infraestructura social. </w:t>
      </w:r>
    </w:p>
    <w:p w14:paraId="2B13AB84" w14:textId="77777777" w:rsidR="00CF33AC" w:rsidRPr="004A5EB3" w:rsidRDefault="00CF33AC" w:rsidP="00CF33AC">
      <w:pPr>
        <w:spacing w:after="120" w:line="240" w:lineRule="auto"/>
        <w:ind w:left="709" w:right="709"/>
        <w:jc w:val="both"/>
        <w:rPr>
          <w:rFonts w:ascii="Verdana" w:hAnsi="Verdana" w:cs="Arial"/>
          <w:sz w:val="21"/>
          <w:szCs w:val="21"/>
        </w:rPr>
      </w:pPr>
      <w:r w:rsidRPr="004A5EB3">
        <w:rPr>
          <w:rFonts w:ascii="Verdana" w:hAnsi="Verdana" w:cs="Arial"/>
          <w:sz w:val="21"/>
          <w:szCs w:val="21"/>
        </w:rPr>
        <w:t>La característica fundamental de este gasto debe ser que su asignación permita acrecentar la capacidad de producción y productividad en el campo de la estructura física, económica y social. </w:t>
      </w:r>
    </w:p>
    <w:p w14:paraId="2CA7BDDF" w14:textId="77777777" w:rsidR="00CF33AC" w:rsidRPr="004A5EB3" w:rsidRDefault="00CF33AC" w:rsidP="00CF33AC">
      <w:pPr>
        <w:spacing w:after="120" w:line="240" w:lineRule="auto"/>
        <w:ind w:left="709" w:right="709"/>
        <w:jc w:val="both"/>
        <w:rPr>
          <w:rFonts w:ascii="Verdana" w:hAnsi="Verdana" w:cs="Arial"/>
          <w:sz w:val="21"/>
          <w:szCs w:val="21"/>
        </w:rPr>
      </w:pPr>
      <w:r w:rsidRPr="004A5EB3">
        <w:rPr>
          <w:rFonts w:ascii="Verdana" w:hAnsi="Verdana" w:cs="Arial"/>
          <w:sz w:val="21"/>
          <w:szCs w:val="21"/>
        </w:rPr>
        <w:t>Las inversiones que estén financiadas con recursos del crédito externo, para poder ejecutarse, deberán tener el recurso incorporado en el Presupuesto, tener aprobación de la Dirección General de Crédito Público y Tesoro Nacional y someterse a los procedimientos de contratación administrativa. </w:t>
      </w:r>
    </w:p>
    <w:p w14:paraId="3A2BE276" w14:textId="77777777" w:rsidR="00CF33AC" w:rsidRPr="004A5EB3" w:rsidRDefault="00CF33AC" w:rsidP="00CF33AC">
      <w:pPr>
        <w:spacing w:after="0" w:line="240" w:lineRule="auto"/>
        <w:ind w:left="709" w:right="709"/>
        <w:jc w:val="both"/>
        <w:rPr>
          <w:rFonts w:ascii="Verdana" w:hAnsi="Verdana" w:cs="Arial"/>
          <w:sz w:val="21"/>
          <w:szCs w:val="21"/>
        </w:rPr>
      </w:pPr>
      <w:r w:rsidRPr="004A5EB3">
        <w:rPr>
          <w:rFonts w:ascii="Verdana" w:hAnsi="Verdana" w:cs="Arial"/>
          <w:sz w:val="21"/>
          <w:szCs w:val="21"/>
        </w:rPr>
        <w:t>Al momento de la obligación</w:t>
      </w:r>
      <w:r>
        <w:rPr>
          <w:rFonts w:ascii="Verdana" w:hAnsi="Verdana" w:cs="Arial"/>
          <w:sz w:val="21"/>
          <w:szCs w:val="21"/>
        </w:rPr>
        <w:t>,</w:t>
      </w:r>
      <w:r w:rsidRPr="004A5EB3">
        <w:rPr>
          <w:rFonts w:ascii="Verdana" w:hAnsi="Verdana" w:cs="Arial"/>
          <w:sz w:val="21"/>
          <w:szCs w:val="21"/>
        </w:rPr>
        <w:t xml:space="preserve"> los gastos de inversión se desagregarán al máximo nivel del Clasificador por Objeto de gasto del Catálogo de Clasificación presupuestal establecido por la Dirección General del Presupuesto Público Nacional, al igual que los gastos de funcionamiento”.</w:t>
      </w:r>
      <w:r>
        <w:rPr>
          <w:rFonts w:ascii="Verdana" w:hAnsi="Verdana" w:cs="Arial"/>
          <w:sz w:val="21"/>
          <w:szCs w:val="21"/>
        </w:rPr>
        <w:t xml:space="preserve"> (Énfasis dentro del texto)</w:t>
      </w:r>
    </w:p>
    <w:p w14:paraId="409BA986" w14:textId="77777777" w:rsidR="00CF33AC" w:rsidRDefault="00CF33AC" w:rsidP="00CF33AC">
      <w:pPr>
        <w:spacing w:after="0" w:line="276" w:lineRule="auto"/>
        <w:jc w:val="both"/>
        <w:rPr>
          <w:rFonts w:ascii="Verdana" w:hAnsi="Verdana" w:cs="Arial"/>
        </w:rPr>
      </w:pPr>
    </w:p>
    <w:p w14:paraId="2EC35FA9" w14:textId="77777777" w:rsidR="00CF33AC" w:rsidRDefault="00CF33AC" w:rsidP="00CF33AC">
      <w:pPr>
        <w:spacing w:after="0" w:line="276" w:lineRule="auto"/>
        <w:jc w:val="both"/>
        <w:rPr>
          <w:rFonts w:ascii="Verdana" w:hAnsi="Verdana" w:cs="Arial"/>
        </w:rPr>
      </w:pPr>
      <w:r>
        <w:rPr>
          <w:rFonts w:ascii="Verdana" w:hAnsi="Verdana" w:cs="Arial"/>
        </w:rPr>
        <w:tab/>
        <w:t xml:space="preserve">De esta manera, la adquisición de bienes y servicios hace parte de los “gastos de inversión”, el cual se diferencia de los “gastos de funcionamiento” conforme a la norma citada. En palabras de la Sala de Consulta y Servicio Civil del Consejo de Estado, “[…] </w:t>
      </w:r>
      <w:r w:rsidRPr="005E7526">
        <w:rPr>
          <w:rFonts w:ascii="Verdana" w:hAnsi="Verdana" w:cs="Arial"/>
        </w:rPr>
        <w:t>mientras que los gastos de funcionamiento retribuyen bienes de consumo o prestaciones de servicios, los gastos de inversión retribuyen bienes de capital y, por consiguiente, contribuyen a aumentar el capital del sector público de la economía</w:t>
      </w:r>
      <w:r>
        <w:rPr>
          <w:rFonts w:ascii="Verdana" w:hAnsi="Verdana" w:cs="Arial"/>
        </w:rPr>
        <w:t>”</w:t>
      </w:r>
      <w:r>
        <w:rPr>
          <w:rStyle w:val="Refdenotaalpie"/>
          <w:rFonts w:ascii="Verdana" w:hAnsi="Verdana" w:cs="Arial"/>
        </w:rPr>
        <w:footnoteReference w:id="7"/>
      </w:r>
      <w:r>
        <w:rPr>
          <w:rFonts w:ascii="Verdana" w:hAnsi="Verdana" w:cs="Arial"/>
        </w:rPr>
        <w:t xml:space="preserve">. </w:t>
      </w:r>
    </w:p>
    <w:p w14:paraId="1839920A" w14:textId="77777777" w:rsidR="00CF33AC" w:rsidRDefault="00CF33AC" w:rsidP="00CF33AC">
      <w:pPr>
        <w:spacing w:after="0" w:line="276" w:lineRule="auto"/>
        <w:jc w:val="both"/>
        <w:rPr>
          <w:rFonts w:ascii="Verdana" w:hAnsi="Verdana" w:cs="Arial"/>
        </w:rPr>
      </w:pPr>
    </w:p>
    <w:p w14:paraId="73A45396" w14:textId="77777777" w:rsidR="00CF33AC" w:rsidRDefault="00CF33AC" w:rsidP="00CF33AC">
      <w:pPr>
        <w:spacing w:after="120" w:line="276" w:lineRule="auto"/>
        <w:jc w:val="both"/>
        <w:rPr>
          <w:rFonts w:ascii="Verdana" w:hAnsi="Verdana" w:cs="Arial"/>
        </w:rPr>
      </w:pPr>
      <w:proofErr w:type="spellStart"/>
      <w:r>
        <w:rPr>
          <w:rFonts w:ascii="Verdana" w:hAnsi="Verdana" w:cs="Arial"/>
        </w:rPr>
        <w:t>iv</w:t>
      </w:r>
      <w:proofErr w:type="spellEnd"/>
      <w:r>
        <w:rPr>
          <w:rFonts w:ascii="Verdana" w:hAnsi="Verdana" w:cs="Arial"/>
        </w:rPr>
        <w:t xml:space="preserve">. Independientemente de la tipología contractual, las normas de la Ley 80 de 1993 no imponen que un determinado negocio deba financiarse con recursos de funcionamiento o de inversión. El principio de legalidad sólo demanda que el desembolso tenga respaldo presupuestal y que éste se aplique conforme a las partidas previamente previstas por el legislador, especialmente, cuando la Ley de Apropiaciones es una </w:t>
      </w:r>
      <w:r w:rsidRPr="00D701E1">
        <w:rPr>
          <w:rFonts w:ascii="Verdana" w:hAnsi="Verdana" w:cs="Arial"/>
          <w:i/>
          <w:iCs/>
        </w:rPr>
        <w:t>autorización de gastos</w:t>
      </w:r>
      <w:r>
        <w:rPr>
          <w:rStyle w:val="Refdenotaalpie"/>
          <w:rFonts w:ascii="Verdana" w:hAnsi="Verdana" w:cs="Arial"/>
        </w:rPr>
        <w:footnoteReference w:id="8"/>
      </w:r>
      <w:r>
        <w:rPr>
          <w:rFonts w:ascii="Verdana" w:hAnsi="Verdana" w:cs="Arial"/>
        </w:rPr>
        <w:t xml:space="preserve">. Por ello, en torno a los </w:t>
      </w:r>
      <w:r>
        <w:rPr>
          <w:rFonts w:ascii="Verdana" w:hAnsi="Verdana" w:cs="Arial"/>
        </w:rPr>
        <w:lastRenderedPageBreak/>
        <w:t xml:space="preserve">contratos de prestación de servicios profesionales y de apoyo a la gestión, la ANCP – CCE ha sostenido que el artículo 32.3 del EGCAP “[…] </w:t>
      </w:r>
      <w:r w:rsidRPr="0036356D">
        <w:rPr>
          <w:rFonts w:ascii="Verdana" w:hAnsi="Verdana" w:cs="Arial"/>
        </w:rPr>
        <w:t>no realiza distinción alguna entre el tipo de recursos presupuestales, para efectos de justificar la imposibilidad de desarrollar con la planta de personal las actividades relacionadas con la administración o el funcionamiento de la entidad</w:t>
      </w:r>
      <w:r>
        <w:rPr>
          <w:rFonts w:ascii="Verdana" w:hAnsi="Verdana" w:cs="Arial"/>
        </w:rPr>
        <w:t>”</w:t>
      </w:r>
      <w:r>
        <w:rPr>
          <w:rStyle w:val="Refdenotaalpie"/>
          <w:rFonts w:ascii="Verdana" w:hAnsi="Verdana" w:cs="Arial"/>
        </w:rPr>
        <w:footnoteReference w:id="9"/>
      </w:r>
      <w:r w:rsidRPr="0036356D">
        <w:rPr>
          <w:rFonts w:ascii="Verdana" w:hAnsi="Verdana" w:cs="Arial"/>
        </w:rPr>
        <w:t>.</w:t>
      </w:r>
      <w:r>
        <w:rPr>
          <w:rFonts w:ascii="Verdana" w:hAnsi="Verdana" w:cs="Arial"/>
        </w:rPr>
        <w:t xml:space="preserve"> Dicha consideración se extiende a los demás tipos de contratos tanto los del Estatuto General de Contratación como los previstos en el derecho civil y comercial.</w:t>
      </w:r>
    </w:p>
    <w:p w14:paraId="0227860D" w14:textId="77777777" w:rsidR="00CF33AC" w:rsidRDefault="00CF33AC" w:rsidP="00CF33AC">
      <w:pPr>
        <w:spacing w:after="120" w:line="276" w:lineRule="auto"/>
        <w:jc w:val="both"/>
        <w:rPr>
          <w:rFonts w:ascii="Verdana" w:hAnsi="Verdana" w:cs="Arial"/>
        </w:rPr>
      </w:pPr>
      <w:r>
        <w:rPr>
          <w:rFonts w:ascii="Verdana" w:hAnsi="Verdana" w:cs="Arial"/>
        </w:rPr>
        <w:tab/>
        <w:t xml:space="preserve">Es más, de acuerdo con el artículo 17 del Decreto Ley 111 de 1996, el principio de programación integral dispone que la Ley de Apropiaciones “[…] </w:t>
      </w:r>
      <w:r w:rsidRPr="00A43378">
        <w:rPr>
          <w:rFonts w:ascii="Verdana" w:hAnsi="Verdana" w:cs="Arial"/>
        </w:rPr>
        <w:t xml:space="preserve">deberá contemplar </w:t>
      </w:r>
      <w:r w:rsidRPr="00A43378">
        <w:rPr>
          <w:rFonts w:ascii="Verdana" w:hAnsi="Verdana" w:cs="Arial"/>
          <w:i/>
          <w:iCs/>
        </w:rPr>
        <w:t>simultáneamente</w:t>
      </w:r>
      <w:r w:rsidRPr="00A43378">
        <w:rPr>
          <w:rFonts w:ascii="Verdana" w:hAnsi="Verdana" w:cs="Arial"/>
        </w:rPr>
        <w:t xml:space="preserve"> los gastos de inversión y de funcionamiento</w:t>
      </w:r>
      <w:r>
        <w:rPr>
          <w:rFonts w:ascii="Verdana" w:hAnsi="Verdana" w:cs="Arial"/>
        </w:rPr>
        <w:t xml:space="preserve"> […]” (Énfasis fuera de texto). No en vano, la doctrina considera que “</w:t>
      </w:r>
      <w:r w:rsidRPr="00934BA9">
        <w:rPr>
          <w:rFonts w:ascii="Verdana" w:hAnsi="Verdana" w:cs="Arial"/>
        </w:rPr>
        <w:t>A veces se cae en el espejismo -que conduce al despilfarro- de creer</w:t>
      </w:r>
      <w:r>
        <w:rPr>
          <w:rFonts w:ascii="Verdana" w:hAnsi="Verdana" w:cs="Arial"/>
        </w:rPr>
        <w:t xml:space="preserve"> </w:t>
      </w:r>
      <w:r w:rsidRPr="00934BA9">
        <w:rPr>
          <w:rFonts w:ascii="Verdana" w:hAnsi="Verdana" w:cs="Arial"/>
        </w:rPr>
        <w:t>que con solo construir edificios se asegura la buena presencia del Estado.</w:t>
      </w:r>
      <w:r>
        <w:rPr>
          <w:rFonts w:ascii="Verdana" w:hAnsi="Verdana" w:cs="Arial"/>
        </w:rPr>
        <w:t xml:space="preserve"> </w:t>
      </w:r>
      <w:r w:rsidRPr="00934BA9">
        <w:rPr>
          <w:rFonts w:ascii="Verdana" w:hAnsi="Verdana" w:cs="Arial"/>
        </w:rPr>
        <w:t>Pero esto</w:t>
      </w:r>
      <w:r>
        <w:rPr>
          <w:rFonts w:ascii="Verdana" w:hAnsi="Verdana" w:cs="Arial"/>
        </w:rPr>
        <w:t xml:space="preserve"> […]</w:t>
      </w:r>
      <w:r w:rsidRPr="00934BA9">
        <w:rPr>
          <w:rFonts w:ascii="Verdana" w:hAnsi="Verdana" w:cs="Arial"/>
        </w:rPr>
        <w:t xml:space="preserve"> es equivocado. </w:t>
      </w:r>
      <w:r w:rsidRPr="00934BA9">
        <w:rPr>
          <w:rFonts w:ascii="Verdana" w:hAnsi="Verdana" w:cs="Arial"/>
          <w:i/>
          <w:iCs/>
        </w:rPr>
        <w:t>La construcción de una escuela, o de un puesto de sanidad, si no se prevé oportunamente el recurso humano que habrá de gestionarlo, es una inversión inútil</w:t>
      </w:r>
      <w:r>
        <w:rPr>
          <w:rFonts w:ascii="Verdana" w:hAnsi="Verdana" w:cs="Arial"/>
        </w:rPr>
        <w:t>”</w:t>
      </w:r>
      <w:r>
        <w:rPr>
          <w:rStyle w:val="Refdenotaalpie"/>
          <w:rFonts w:ascii="Verdana" w:hAnsi="Verdana" w:cs="Arial"/>
        </w:rPr>
        <w:footnoteReference w:id="10"/>
      </w:r>
      <w:r>
        <w:rPr>
          <w:rFonts w:ascii="Verdana" w:hAnsi="Verdana" w:cs="Arial"/>
        </w:rPr>
        <w:t xml:space="preserve"> (Énfasis fuera de texto)</w:t>
      </w:r>
      <w:r w:rsidRPr="00934BA9">
        <w:rPr>
          <w:rFonts w:ascii="Verdana" w:hAnsi="Verdana" w:cs="Arial"/>
        </w:rPr>
        <w:t>.</w:t>
      </w:r>
      <w:r>
        <w:rPr>
          <w:rFonts w:ascii="Verdana" w:hAnsi="Verdana" w:cs="Arial"/>
        </w:rPr>
        <w:t xml:space="preserve"> Esto significa que, ante los “gastos de inversión”, es necesario presupuestar los “gastos de funcionamiento” necesarios para la operatividad de los primeros. </w:t>
      </w:r>
    </w:p>
    <w:p w14:paraId="414E4B0F" w14:textId="77777777" w:rsidR="00CF33AC" w:rsidRDefault="00CF33AC" w:rsidP="00CF33AC">
      <w:pPr>
        <w:spacing w:after="0" w:line="276" w:lineRule="auto"/>
        <w:jc w:val="both"/>
        <w:rPr>
          <w:rFonts w:ascii="Verdana" w:hAnsi="Verdana" w:cs="Arial"/>
        </w:rPr>
      </w:pPr>
      <w:r>
        <w:rPr>
          <w:rFonts w:ascii="Verdana" w:hAnsi="Verdana" w:cs="Arial"/>
        </w:rPr>
        <w:tab/>
        <w:t>Por ello, en el marco de las definiciones d</w:t>
      </w:r>
      <w:r w:rsidRPr="00B462EE">
        <w:rPr>
          <w:rFonts w:ascii="Verdana" w:hAnsi="Verdana" w:cs="Arial"/>
        </w:rPr>
        <w:t>el artículo 35 del Decreto 1621 de 2024</w:t>
      </w:r>
      <w:r>
        <w:rPr>
          <w:rFonts w:ascii="Verdana" w:hAnsi="Verdana" w:cs="Arial"/>
        </w:rPr>
        <w:t xml:space="preserve">, no se observa la restricción alguna para que en un mismo contrato se ejecuten gastos de funcionamiento e inversión. Respecto al </w:t>
      </w:r>
      <w:r w:rsidRPr="00356AEE">
        <w:rPr>
          <w:rFonts w:ascii="Verdana" w:hAnsi="Verdana" w:cs="Arial"/>
          <w:i/>
          <w:iCs/>
        </w:rPr>
        <w:t>manejo presupuestal</w:t>
      </w:r>
      <w:r>
        <w:rPr>
          <w:rFonts w:ascii="Verdana" w:hAnsi="Verdana" w:cs="Arial"/>
        </w:rPr>
        <w:t xml:space="preserve"> para la expedición de </w:t>
      </w:r>
      <w:proofErr w:type="spellStart"/>
      <w:r>
        <w:rPr>
          <w:rFonts w:ascii="Verdana" w:hAnsi="Verdana" w:cs="Arial"/>
        </w:rPr>
        <w:t>CDP’s</w:t>
      </w:r>
      <w:proofErr w:type="spellEnd"/>
      <w:r>
        <w:rPr>
          <w:rFonts w:ascii="Verdana" w:hAnsi="Verdana" w:cs="Arial"/>
        </w:rPr>
        <w:t xml:space="preserve"> y la administración del PAC debe atenderse, respectivamente, a la directrices que establezca tanto el Ministerio de Hacienda y Crédito Público como el Departamento Nacional de Planeación</w:t>
      </w:r>
      <w:r>
        <w:rPr>
          <w:rStyle w:val="Refdenotaalpie"/>
          <w:rFonts w:ascii="Verdana" w:hAnsi="Verdana" w:cs="Arial"/>
        </w:rPr>
        <w:footnoteReference w:id="11"/>
      </w:r>
      <w:r>
        <w:rPr>
          <w:rFonts w:ascii="Verdana" w:hAnsi="Verdana" w:cs="Arial"/>
        </w:rPr>
        <w:t xml:space="preserve">. No obstante, en lo relativo al </w:t>
      </w:r>
      <w:r w:rsidRPr="00356AEE">
        <w:rPr>
          <w:rFonts w:ascii="Verdana" w:hAnsi="Verdana" w:cs="Arial"/>
          <w:i/>
          <w:iCs/>
        </w:rPr>
        <w:t>manejo contractual</w:t>
      </w:r>
      <w:r>
        <w:rPr>
          <w:rFonts w:ascii="Verdana" w:hAnsi="Verdana" w:cs="Arial"/>
        </w:rPr>
        <w:t xml:space="preserve">, las entidades deben definir en los documentos del proceso lo relativo a la justificación de las fuentes de los recursos para efectos de trazabilidad, así como los productos esperados en atención a los rubros empleados para financiar los contratos. El manejo en los dos (2) ámbitos mencionados se realizará con las restricciones que imponga el </w:t>
      </w:r>
      <w:r>
        <w:rPr>
          <w:rFonts w:ascii="Verdana" w:hAnsi="Verdana" w:cs="Arial"/>
        </w:rPr>
        <w:lastRenderedPageBreak/>
        <w:t>principio de legalidad sobre la ejecución del gasto público, de acuerdo a la orientación de los órganos competentes.</w:t>
      </w:r>
    </w:p>
    <w:p w14:paraId="73A249FA" w14:textId="77777777" w:rsidR="00CF33AC" w:rsidRDefault="00CF33AC" w:rsidP="00CF33AC">
      <w:pPr>
        <w:spacing w:after="0" w:line="276" w:lineRule="auto"/>
        <w:jc w:val="both"/>
        <w:rPr>
          <w:rFonts w:ascii="Verdana" w:hAnsi="Verdana" w:cs="Arial"/>
        </w:rPr>
      </w:pPr>
    </w:p>
    <w:p w14:paraId="33FCF043" w14:textId="77777777" w:rsidR="00CF33AC" w:rsidRPr="008C2598" w:rsidRDefault="00CF33AC" w:rsidP="00CF33AC">
      <w:pPr>
        <w:spacing w:after="120" w:line="276" w:lineRule="auto"/>
        <w:jc w:val="both"/>
        <w:rPr>
          <w:rFonts w:ascii="Verdana" w:hAnsi="Verdana" w:cs="Arial"/>
          <w:lang w:val="es-ES"/>
        </w:rPr>
      </w:pPr>
      <w:r>
        <w:rPr>
          <w:rFonts w:ascii="Verdana" w:hAnsi="Verdana" w:cs="Arial"/>
        </w:rPr>
        <w:t xml:space="preserve">v. Por lo demás, la distinción entre gastos de funcionamiento y de inversión es jurídicamente relevante para la elaboración del plan anual de adquisiciones. El artículo </w:t>
      </w:r>
      <w:r w:rsidRPr="008C2598">
        <w:rPr>
          <w:rFonts w:ascii="Verdana" w:hAnsi="Verdana" w:cs="Arial"/>
        </w:rPr>
        <w:t>2.2.1.1.1.4.1</w:t>
      </w:r>
      <w:r>
        <w:rPr>
          <w:rFonts w:ascii="Verdana" w:hAnsi="Verdana" w:cs="Arial"/>
        </w:rPr>
        <w:t xml:space="preserve"> del Decreto 1082 de 2015 </w:t>
      </w:r>
      <w:r w:rsidRPr="008C2598">
        <w:rPr>
          <w:rFonts w:ascii="Verdana" w:hAnsi="Verdana" w:cs="Arial"/>
          <w:lang w:val="es-ES"/>
        </w:rPr>
        <w:t xml:space="preserve">establece </w:t>
      </w:r>
      <w:r>
        <w:rPr>
          <w:rFonts w:ascii="Verdana" w:hAnsi="Verdana" w:cs="Arial"/>
          <w:lang w:val="es-ES"/>
        </w:rPr>
        <w:t>que dicho plan</w:t>
      </w:r>
      <w:r w:rsidRPr="008C2598">
        <w:rPr>
          <w:rFonts w:ascii="Verdana" w:hAnsi="Verdana" w:cs="Arial"/>
          <w:lang w:val="es-ES"/>
        </w:rPr>
        <w:t xml:space="preserve"> </w:t>
      </w:r>
      <w:r>
        <w:rPr>
          <w:rFonts w:ascii="Verdana" w:hAnsi="Verdana" w:cs="Arial"/>
          <w:lang w:val="es-ES"/>
        </w:rPr>
        <w:t>“</w:t>
      </w:r>
      <w:r w:rsidRPr="008C2598">
        <w:rPr>
          <w:rFonts w:ascii="Verdana" w:hAnsi="Verdana" w:cs="Arial"/>
          <w:lang w:val="es-ES"/>
        </w:rPr>
        <w:t xml:space="preserve">debe contener la lista de bienes, obras y servicios que pretenden adquirir durante el año”. El aparte trascrito permite inferir que se trata de un documento estimativo, pues contiene un listado de bienes, obras o servicios que, producto del ejercicio de planeación de la entidad, </w:t>
      </w:r>
      <w:r>
        <w:rPr>
          <w:rFonts w:ascii="Verdana" w:hAnsi="Verdana" w:cs="Arial"/>
          <w:lang w:val="es-ES"/>
        </w:rPr>
        <w:t>é</w:t>
      </w:r>
      <w:r w:rsidRPr="008C2598">
        <w:rPr>
          <w:rFonts w:ascii="Verdana" w:hAnsi="Verdana" w:cs="Arial"/>
          <w:lang w:val="es-ES"/>
        </w:rPr>
        <w:t xml:space="preserve">sta pretende adquirir dentro de la vigencia correspondiente. Esta redacción advierte la naturaleza estimativa del documento, pues contiene los siguientes aspectos: i) la necesidad; </w:t>
      </w:r>
      <w:proofErr w:type="spellStart"/>
      <w:r w:rsidRPr="008C2598">
        <w:rPr>
          <w:rFonts w:ascii="Verdana" w:hAnsi="Verdana" w:cs="Arial"/>
          <w:lang w:val="es-ES"/>
        </w:rPr>
        <w:t>ii</w:t>
      </w:r>
      <w:proofErr w:type="spellEnd"/>
      <w:r w:rsidRPr="008C2598">
        <w:rPr>
          <w:rFonts w:ascii="Verdana" w:hAnsi="Verdana" w:cs="Arial"/>
          <w:lang w:val="es-ES"/>
        </w:rPr>
        <w:t xml:space="preserve">) la identificación en el clasificador si la entidad conoce el bien, obra o servicio que satisface la necesidad; </w:t>
      </w:r>
      <w:proofErr w:type="spellStart"/>
      <w:r w:rsidRPr="008C2598">
        <w:rPr>
          <w:rFonts w:ascii="Verdana" w:hAnsi="Verdana" w:cs="Arial"/>
          <w:lang w:val="es-ES"/>
        </w:rPr>
        <w:t>iii</w:t>
      </w:r>
      <w:proofErr w:type="spellEnd"/>
      <w:r w:rsidRPr="008C2598">
        <w:rPr>
          <w:rFonts w:ascii="Verdana" w:hAnsi="Verdana" w:cs="Arial"/>
          <w:lang w:val="es-ES"/>
        </w:rPr>
        <w:t xml:space="preserve">) el valor estimado del contrato; </w:t>
      </w:r>
      <w:proofErr w:type="spellStart"/>
      <w:r w:rsidRPr="008C2598">
        <w:rPr>
          <w:rFonts w:ascii="Verdana" w:hAnsi="Verdana" w:cs="Arial"/>
          <w:lang w:val="es-ES"/>
        </w:rPr>
        <w:t>iv</w:t>
      </w:r>
      <w:proofErr w:type="spellEnd"/>
      <w:r w:rsidRPr="008C2598">
        <w:rPr>
          <w:rFonts w:ascii="Verdana" w:hAnsi="Verdana" w:cs="Arial"/>
          <w:lang w:val="es-ES"/>
        </w:rPr>
        <w:t xml:space="preserve">) </w:t>
      </w:r>
      <w:r w:rsidRPr="008C2598">
        <w:rPr>
          <w:rFonts w:ascii="Verdana" w:hAnsi="Verdana" w:cs="Arial"/>
          <w:i/>
          <w:iCs/>
          <w:lang w:val="es-ES"/>
        </w:rPr>
        <w:t>el tipo de recursos con cargo a los cuales la entidad pagará el bien, obra o servicio</w:t>
      </w:r>
      <w:r w:rsidRPr="008C2598">
        <w:rPr>
          <w:rFonts w:ascii="Verdana" w:hAnsi="Verdana" w:cs="Arial"/>
          <w:lang w:val="es-ES"/>
        </w:rPr>
        <w:t>; v) la modalidad de selección del contratista y vi) la fecha aproximada en la cual la entidad indicará el procedimiento de selección</w:t>
      </w:r>
      <w:r w:rsidRPr="008C2598">
        <w:rPr>
          <w:rStyle w:val="Refdenotaalpie"/>
          <w:rFonts w:ascii="Verdana" w:eastAsia="Calibri" w:hAnsi="Verdana" w:cs="Arial"/>
          <w:lang w:val="es-ES"/>
        </w:rPr>
        <w:footnoteReference w:id="12"/>
      </w:r>
      <w:r w:rsidRPr="008C2598">
        <w:rPr>
          <w:rFonts w:ascii="Verdana" w:hAnsi="Verdana" w:cs="Arial"/>
          <w:lang w:val="es-ES"/>
        </w:rPr>
        <w:t xml:space="preserve">. </w:t>
      </w:r>
    </w:p>
    <w:p w14:paraId="0999F829" w14:textId="77777777" w:rsidR="00CF33AC" w:rsidRDefault="00CF33AC" w:rsidP="00CF33AC">
      <w:pPr>
        <w:spacing w:after="120" w:line="276" w:lineRule="auto"/>
        <w:jc w:val="both"/>
        <w:rPr>
          <w:rFonts w:ascii="Verdana" w:hAnsi="Verdana" w:cs="Arial"/>
          <w:lang w:val="es-ES"/>
        </w:rPr>
      </w:pPr>
      <w:r>
        <w:rPr>
          <w:rFonts w:ascii="Verdana" w:hAnsi="Verdana" w:cs="Arial"/>
        </w:rPr>
        <w:tab/>
      </w:r>
      <w:r w:rsidRPr="008C2598">
        <w:rPr>
          <w:rFonts w:ascii="Verdana" w:hAnsi="Verdana" w:cs="Arial"/>
          <w:lang w:val="es-ES"/>
        </w:rPr>
        <w:t xml:space="preserve">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w:t>
      </w:r>
      <w:r w:rsidRPr="008C2598">
        <w:rPr>
          <w:rFonts w:ascii="Verdana" w:hAnsi="Verdana" w:cs="Arial"/>
          <w:bCs/>
          <w:lang w:val="es-ES"/>
        </w:rPr>
        <w:t>–</w:t>
      </w:r>
      <w:r w:rsidRPr="008C2598">
        <w:rPr>
          <w:rFonts w:ascii="Verdana" w:hAnsi="Verdana" w:cs="Arial"/>
          <w:b/>
          <w:lang w:val="es-ES"/>
        </w:rPr>
        <w:t xml:space="preserve"> </w:t>
      </w:r>
      <w:r w:rsidRPr="008C2598">
        <w:rPr>
          <w:rFonts w:ascii="Verdana" w:hAnsi="Verdana" w:cs="Arial"/>
          <w:lang w:val="es-ES"/>
        </w:rPr>
        <w:t>Colombia Compra Eficiente en la guía sobre el tema, donde precisó, como una de sus finalidades, “servir como referente inicial para evaluar la ejecución de presupuesto y pronosticar la demanda de bienes y servicios de la entidad durante el año referido del plan”</w:t>
      </w:r>
      <w:r w:rsidRPr="008C2598">
        <w:rPr>
          <w:rFonts w:ascii="Verdana" w:hAnsi="Verdana" w:cs="Arial"/>
          <w:vertAlign w:val="superscript"/>
        </w:rPr>
        <w:footnoteReference w:id="13"/>
      </w:r>
      <w:r w:rsidRPr="008C2598">
        <w:rPr>
          <w:rFonts w:ascii="Verdana" w:hAnsi="Verdana" w:cs="Arial"/>
          <w:lang w:val="es-ES"/>
        </w:rPr>
        <w:t xml:space="preserve">. </w:t>
      </w:r>
    </w:p>
    <w:p w14:paraId="72D1EABF" w14:textId="77777777" w:rsidR="00CF33AC" w:rsidRDefault="00CF33AC" w:rsidP="00CF33AC">
      <w:pPr>
        <w:spacing w:after="0" w:line="276" w:lineRule="auto"/>
        <w:jc w:val="both"/>
        <w:rPr>
          <w:rFonts w:ascii="Verdana" w:hAnsi="Verdana" w:cs="Arial"/>
        </w:rPr>
      </w:pPr>
      <w:r>
        <w:rPr>
          <w:rFonts w:ascii="Verdana" w:hAnsi="Verdana" w:cs="Arial"/>
          <w:lang w:val="es-ES"/>
        </w:rPr>
        <w:tab/>
      </w:r>
      <w:r w:rsidRPr="008C2598">
        <w:rPr>
          <w:rFonts w:ascii="Verdana" w:hAnsi="Verdana" w:cs="Arial"/>
          <w:lang w:val="es-ES"/>
        </w:rPr>
        <w:t xml:space="preserve">Así las cosas, la obligación de incluir información en el plan se fundamenta en que se trate de la adquisición de bienes, obras o servicios por parte de la </w:t>
      </w:r>
      <w:r w:rsidRPr="008C2598">
        <w:rPr>
          <w:rFonts w:ascii="Verdana" w:hAnsi="Verdana" w:cs="Arial"/>
          <w:lang w:val="es-ES"/>
        </w:rPr>
        <w:lastRenderedPageBreak/>
        <w:t>entidad, y no se encuentra condicionada por la naturaleza de la información complementaria –modalidad de contratación, valor, forma de pago,</w:t>
      </w:r>
      <w:r>
        <w:rPr>
          <w:rFonts w:ascii="Verdana" w:hAnsi="Verdana" w:cs="Arial"/>
          <w:lang w:val="es-ES"/>
        </w:rPr>
        <w:t xml:space="preserve"> tipo de recursos,</w:t>
      </w:r>
      <w:r w:rsidRPr="008C2598">
        <w:rPr>
          <w:rFonts w:ascii="Verdana" w:hAnsi="Verdana" w:cs="Arial"/>
          <w:lang w:val="es-ES"/>
        </w:rPr>
        <w:t> etc.–</w:t>
      </w:r>
      <w:r w:rsidRPr="008C2598">
        <w:rPr>
          <w:rFonts w:ascii="Verdana" w:hAnsi="Verdana" w:cs="Arial"/>
          <w:b/>
          <w:bCs/>
          <w:lang w:val="es-ES"/>
        </w:rPr>
        <w:t> </w:t>
      </w:r>
      <w:r w:rsidRPr="008C2598">
        <w:rPr>
          <w:rFonts w:ascii="Verdana" w:hAnsi="Verdana" w:cs="Arial"/>
          <w:lang w:val="es-ES"/>
        </w:rPr>
        <w:t>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w:t>
      </w:r>
      <w:r>
        <w:rPr>
          <w:rFonts w:ascii="Verdana" w:hAnsi="Verdana" w:cs="Arial"/>
          <w:lang w:val="es-ES"/>
        </w:rPr>
        <w:t xml:space="preserve">Por tanto, en función de los bienes, obras o servicios que la entidad pretenda adquirir, establecerá </w:t>
      </w:r>
      <w:r w:rsidRPr="00917728">
        <w:rPr>
          <w:rFonts w:ascii="Verdana" w:hAnsi="Verdana" w:cs="Arial"/>
          <w:lang w:val="es-ES"/>
        </w:rPr>
        <w:t xml:space="preserve">el tipo de recursos con cargo a los cuales </w:t>
      </w:r>
      <w:r>
        <w:rPr>
          <w:rFonts w:ascii="Verdana" w:hAnsi="Verdana" w:cs="Arial"/>
          <w:lang w:val="es-ES"/>
        </w:rPr>
        <w:t>se realiza el pago y desglosará la parte que corresponde a los gastos de funcionamiento y de inversión.</w:t>
      </w:r>
    </w:p>
    <w:p w14:paraId="7A27A7E1" w14:textId="77777777" w:rsidR="00CF33AC" w:rsidRPr="00E853DE" w:rsidRDefault="00CF33AC" w:rsidP="00CF33AC">
      <w:pPr>
        <w:spacing w:after="0" w:line="276" w:lineRule="auto"/>
        <w:jc w:val="both"/>
        <w:rPr>
          <w:rFonts w:ascii="Verdana" w:eastAsia="Calibri" w:hAnsi="Verdana" w:cs="Arial"/>
          <w:bCs/>
          <w:color w:val="000000" w:themeColor="text1"/>
        </w:rPr>
      </w:pPr>
    </w:p>
    <w:p w14:paraId="5E6064BD" w14:textId="77777777" w:rsidR="00CF33AC" w:rsidRDefault="00CF33AC" w:rsidP="00CF33AC">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vi.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3058632" w14:textId="77777777" w:rsidR="00CF33AC" w:rsidRPr="00185EE9" w:rsidRDefault="00CF33AC" w:rsidP="00CF33AC">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75F9F657" w14:textId="77777777" w:rsidR="00CF33AC" w:rsidRPr="00182C89" w:rsidRDefault="00CF33AC" w:rsidP="00CF33AC">
      <w:pPr>
        <w:tabs>
          <w:tab w:val="left" w:pos="709"/>
        </w:tabs>
        <w:spacing w:after="0" w:line="276" w:lineRule="auto"/>
        <w:jc w:val="both"/>
        <w:rPr>
          <w:rFonts w:ascii="Verdana" w:eastAsia="Calibri" w:hAnsi="Verdana" w:cs="Arial"/>
          <w:color w:val="000000" w:themeColor="text1"/>
        </w:rPr>
      </w:pPr>
    </w:p>
    <w:p w14:paraId="116C6111" w14:textId="77777777" w:rsidR="00CF33AC" w:rsidRPr="00593A5F" w:rsidRDefault="00CF33AC" w:rsidP="00CF33A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05D48D97" w14:textId="77777777" w:rsidR="00CF33AC" w:rsidRPr="00593A5F" w:rsidRDefault="00CF33AC" w:rsidP="00CF33A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F33AC" w:rsidRPr="002407CE" w14:paraId="61F26755" w14:textId="77777777" w:rsidTr="002C6260">
        <w:trPr>
          <w:trHeight w:val="870"/>
          <w:jc w:val="center"/>
        </w:trPr>
        <w:tc>
          <w:tcPr>
            <w:tcW w:w="8647" w:type="dxa"/>
          </w:tcPr>
          <w:p w14:paraId="4648871D" w14:textId="77777777" w:rsidR="00CF33AC" w:rsidRDefault="00CF33AC" w:rsidP="002C626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13, 25, 32, 40 y 41.</w:t>
            </w:r>
          </w:p>
          <w:p w14:paraId="67743248" w14:textId="77777777" w:rsidR="00CF33AC" w:rsidRDefault="00CF33AC" w:rsidP="002C626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1955 de 2019, artículo 116.</w:t>
            </w:r>
          </w:p>
          <w:p w14:paraId="6FB9F0AF" w14:textId="77777777" w:rsidR="00CF33AC" w:rsidRDefault="00CF33AC" w:rsidP="002C626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Decreto Ley 111 de 1996, artículos 11, 17 y 36.</w:t>
            </w:r>
          </w:p>
          <w:p w14:paraId="4B53656E" w14:textId="77777777" w:rsidR="00CF33AC" w:rsidRDefault="00CF33AC" w:rsidP="002C626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1082 de 2015, artículo </w:t>
            </w:r>
            <w:r w:rsidRPr="00E75945">
              <w:rPr>
                <w:rFonts w:ascii="Verdana" w:hAnsi="Verdana" w:cs="Arial"/>
              </w:rPr>
              <w:t>2.2.1.1.1.4.1</w:t>
            </w:r>
            <w:r>
              <w:rPr>
                <w:rFonts w:ascii="Verdana" w:hAnsi="Verdana" w:cs="Arial"/>
              </w:rPr>
              <w:t>.</w:t>
            </w:r>
          </w:p>
          <w:p w14:paraId="5967108A" w14:textId="77777777" w:rsidR="00CF33AC" w:rsidRPr="00FF09AA" w:rsidRDefault="00CF33AC" w:rsidP="002C6260">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rPr>
              <w:t>Decreto 1621 de 2024, artículo 35.</w:t>
            </w:r>
          </w:p>
        </w:tc>
      </w:tr>
    </w:tbl>
    <w:p w14:paraId="2B73029E" w14:textId="77777777" w:rsidR="00CF33AC" w:rsidRPr="002407CE" w:rsidRDefault="00CF33AC" w:rsidP="00CF33AC">
      <w:pPr>
        <w:widowControl w:val="0"/>
        <w:autoSpaceDE w:val="0"/>
        <w:autoSpaceDN w:val="0"/>
        <w:spacing w:after="0" w:line="276" w:lineRule="auto"/>
        <w:jc w:val="both"/>
        <w:rPr>
          <w:rFonts w:ascii="Verdana" w:hAnsi="Verdana" w:cs="Arial"/>
        </w:rPr>
      </w:pPr>
    </w:p>
    <w:p w14:paraId="76383FF6" w14:textId="77777777" w:rsidR="00CF33AC" w:rsidRPr="00593A5F" w:rsidRDefault="00CF33AC" w:rsidP="00CF33A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6FAB507" w14:textId="77777777" w:rsidR="00CF33AC" w:rsidRPr="00593A5F" w:rsidRDefault="00CF33AC" w:rsidP="00CF33AC">
      <w:pPr>
        <w:widowControl w:val="0"/>
        <w:autoSpaceDE w:val="0"/>
        <w:autoSpaceDN w:val="0"/>
        <w:spacing w:after="0" w:line="276" w:lineRule="auto"/>
        <w:jc w:val="both"/>
        <w:rPr>
          <w:rFonts w:ascii="Verdana" w:hAnsi="Verdana" w:cs="Arial"/>
        </w:rPr>
      </w:pPr>
    </w:p>
    <w:p w14:paraId="3AFFC6B4" w14:textId="77777777" w:rsidR="00CF33AC" w:rsidRPr="007E4299" w:rsidRDefault="00CF33AC" w:rsidP="00CF33AC">
      <w:pPr>
        <w:widowControl w:val="0"/>
        <w:autoSpaceDE w:val="0"/>
        <w:autoSpaceDN w:val="0"/>
        <w:spacing w:after="0" w:line="276" w:lineRule="auto"/>
        <w:jc w:val="both"/>
        <w:rPr>
          <w:rStyle w:val="normaltextrun"/>
          <w:rFonts w:ascii="Verdana" w:hAnsi="Verdana"/>
        </w:rPr>
      </w:pPr>
      <w:r w:rsidRPr="00465044">
        <w:rPr>
          <w:rFonts w:ascii="Verdana" w:hAnsi="Verdana" w:cs="Arial"/>
          <w:shd w:val="clear" w:color="auto" w:fill="FFFFFF"/>
        </w:rPr>
        <w:t xml:space="preserve">Esta Subdirección se ha pronunciado sobre </w:t>
      </w:r>
      <w:r>
        <w:rPr>
          <w:rFonts w:ascii="Verdana" w:hAnsi="Verdana" w:cs="Arial"/>
          <w:shd w:val="clear" w:color="auto" w:fill="FFFFFF"/>
        </w:rPr>
        <w:t xml:space="preserve">los gastos de funcionamiento e inversión para efectos de los contratos de prestación de servicios profesionales y de apoyo a la gestión en el Concepto C-019 del 21 de febrero de 2022. Asimismo, </w:t>
      </w:r>
      <w:r w:rsidRPr="00A34BF9">
        <w:rPr>
          <w:rFonts w:ascii="Verdana" w:hAnsi="Verdana" w:cs="Arial"/>
          <w:shd w:val="clear" w:color="auto" w:fill="FFFFFF"/>
        </w:rPr>
        <w:t>, en los Conceptos C-048 del 24 de febrero de 2020, C-106 del 20 de marzo de 2020, C-109 del 25 de marzo de 2020, C-167 del 30 de marzo de 2020, C-177 del 31 de marzo de 2020, C-232 del 24 de junio de 2022, C-237 del 24 de abril 2020, C-266 del 21 de mayo 2020, C-310 del 20 de mayo de 2020, C-329 del 16 de junio de 2020, C-331 del 25 de junio de 2020, C-336 del 2 de junio de 2020, CU-348 del 3 de julio de 2020, C-366 del 16 de julio de 2020, CU-367 del 23 de julio de 2020, C-428 del 7 de julio de 2020, C-433 del 24 de julio de 2020, C-467 del 31 de julio de 2020, C-474 del 24 de julio de 2020, C-521 del 11 de agosto de 2020, C-543 del 19 de agosto de 2020, C-575 del 27 de agosto de 2020, C-638 del 14 de octubre de 2020, C-648 del 27 de octubre de 2020, C-686 del 1° de diciembre de 2020, C-084 del 28 de abril de 2021, C-131 del 6 de abril de 2021, C-257 del 3 de junio de 2021, C-258 del 3 de junio de 2021, C-345 del 13 de julio de 2021, C-376 del 26 de julio de 2021, C-489 del 13 de septiembre de 2021, C-603 del 2 de noviembre de 2021, C-630 del 9 de noviembre de 2021, C-637 del 7 de diciembre de 2021, C-709 del 13 de diciembre de 2022, C-733 del 13 de diciembre de 2022, C-744 del 4 de febrero de 2022, C-760 del 8 de febrero de 2022, C-026 del 18 de febrero de 2022, C-027 del 25 de febrero de 2022, C-047 del 4 de marzo de 2022, C-087 del 17 de marzo de 2023, C-408 del 23 de junio de 2022, C-622 del 28 de septiembre de 2022, C-652 del 7 de octubre de 2022, C-754 del 10 de noviembre de 2022, C-763 del 15 de noviembre de 2022, C-889 del 28 de diciembre de 2022 y C-062 del 18 de abril de 2023, analizó el régimen jurídico del plan anual de adquisiciones</w:t>
      </w:r>
      <w:r>
        <w:rPr>
          <w:rFonts w:ascii="Verdana" w:hAnsi="Verdana"/>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0176B638" w14:textId="77777777" w:rsidR="00CF33AC" w:rsidRPr="00096788" w:rsidRDefault="00CF33AC" w:rsidP="00CF33AC">
      <w:pPr>
        <w:widowControl w:val="0"/>
        <w:autoSpaceDE w:val="0"/>
        <w:autoSpaceDN w:val="0"/>
        <w:spacing w:after="0" w:line="276" w:lineRule="auto"/>
        <w:jc w:val="both"/>
        <w:rPr>
          <w:rFonts w:ascii="Verdana" w:hAnsi="Verdana" w:cs="Arial"/>
          <w:color w:val="000000" w:themeColor="text1"/>
          <w:shd w:val="clear" w:color="auto" w:fill="FFFFFF"/>
        </w:rPr>
      </w:pPr>
    </w:p>
    <w:p w14:paraId="4239391E" w14:textId="77777777" w:rsidR="00CF33AC" w:rsidRPr="001205D1" w:rsidRDefault="00CF33AC" w:rsidP="00CF33AC">
      <w:pPr>
        <w:shd w:val="clear" w:color="auto" w:fill="FFFFFF"/>
        <w:spacing w:after="0" w:line="276" w:lineRule="auto"/>
        <w:jc w:val="both"/>
        <w:rPr>
          <w:rFonts w:ascii="Verdana" w:hAnsi="Verdana"/>
          <w:color w:val="467886"/>
          <w:u w:val="single"/>
        </w:rPr>
      </w:pPr>
      <w:r w:rsidRPr="00B83C56">
        <w:rPr>
          <w:rFonts w:ascii="Verdana" w:hAnsi="Verdana"/>
          <w:color w:val="000000"/>
        </w:rPr>
        <w:lastRenderedPageBreak/>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28510546" w14:textId="77777777" w:rsidR="00CF33AC" w:rsidRPr="009C4035" w:rsidRDefault="00CF33AC" w:rsidP="00CF33AC">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47441769" w14:textId="77777777" w:rsidR="00CF33AC" w:rsidRPr="00593A5F" w:rsidRDefault="00CF33AC" w:rsidP="00CF33A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A42EDD7" w14:textId="77777777" w:rsidR="00CF33AC" w:rsidRPr="00593A5F" w:rsidRDefault="00CF33AC" w:rsidP="00CF33AC">
      <w:pPr>
        <w:widowControl w:val="0"/>
        <w:autoSpaceDE w:val="0"/>
        <w:autoSpaceDN w:val="0"/>
        <w:spacing w:after="0" w:line="276" w:lineRule="auto"/>
        <w:jc w:val="both"/>
        <w:rPr>
          <w:rFonts w:ascii="Verdana" w:hAnsi="Verdana" w:cs="Arial"/>
        </w:rPr>
      </w:pPr>
    </w:p>
    <w:p w14:paraId="14AB0AA7" w14:textId="77777777" w:rsidR="00CF33AC" w:rsidRPr="00593A5F" w:rsidRDefault="00CF33AC" w:rsidP="00CF33A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62EA976" w14:textId="647A9F27" w:rsidR="00B5496B" w:rsidRPr="006C71AC" w:rsidRDefault="00FD297F" w:rsidP="00FD297F">
      <w:pPr>
        <w:spacing w:after="0" w:line="240" w:lineRule="auto"/>
        <w:jc w:val="center"/>
        <w:rPr>
          <w:rFonts w:ascii="Verdana" w:hAnsi="Verdana" w:cs="Arial"/>
          <w:lang w:eastAsia="es-CO"/>
        </w:rPr>
      </w:pPr>
      <w:r w:rsidRPr="00FD297F">
        <w:rPr>
          <w:rFonts w:ascii="Verdana" w:hAnsi="Verdana" w:cs="Arial"/>
          <w:lang w:eastAsia="es-CO"/>
        </w:rPr>
        <w:drawing>
          <wp:inline distT="0" distB="0" distL="0" distR="0" wp14:anchorId="4F387CE0" wp14:editId="451B71D2">
            <wp:extent cx="4241800" cy="1778000"/>
            <wp:effectExtent l="0" t="0" r="0" b="0"/>
            <wp:docPr id="6657475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47510" name=""/>
                    <pic:cNvPicPr/>
                  </pic:nvPicPr>
                  <pic:blipFill>
                    <a:blip r:embed="rId13"/>
                    <a:stretch>
                      <a:fillRect/>
                    </a:stretch>
                  </pic:blipFill>
                  <pic:spPr>
                    <a:xfrm>
                      <a:off x="0" y="0"/>
                      <a:ext cx="4241800" cy="1778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F33AC" w:rsidRPr="00593A5F" w14:paraId="73670683" w14:textId="77777777" w:rsidTr="002C6260">
        <w:trPr>
          <w:trHeight w:val="315"/>
        </w:trPr>
        <w:tc>
          <w:tcPr>
            <w:tcW w:w="893" w:type="dxa"/>
            <w:vAlign w:val="center"/>
            <w:hideMark/>
          </w:tcPr>
          <w:p w14:paraId="0AEFA802" w14:textId="77777777" w:rsidR="00CF33AC" w:rsidRPr="003751C7" w:rsidRDefault="00CF33AC" w:rsidP="002C626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70D1AF0" w14:textId="77777777" w:rsidR="00CF33AC" w:rsidRPr="00254A7A" w:rsidRDefault="00CF33AC" w:rsidP="002C6260">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CCF2FBC" w14:textId="77777777" w:rsidR="00CF33AC" w:rsidRPr="00254A7A" w:rsidRDefault="00CF33AC" w:rsidP="002C6260">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CF33AC" w:rsidRPr="00593A5F" w14:paraId="2302022E" w14:textId="77777777" w:rsidTr="002C6260">
        <w:trPr>
          <w:trHeight w:val="330"/>
        </w:trPr>
        <w:tc>
          <w:tcPr>
            <w:tcW w:w="893" w:type="dxa"/>
            <w:vAlign w:val="center"/>
            <w:hideMark/>
          </w:tcPr>
          <w:p w14:paraId="5271D590" w14:textId="77777777" w:rsidR="00CF33AC" w:rsidRPr="003751C7" w:rsidRDefault="00CF33AC" w:rsidP="002C626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41AC675" w14:textId="77777777" w:rsidR="00CF33AC" w:rsidRPr="001B6B73" w:rsidRDefault="00CF33AC" w:rsidP="002C6260">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423C6BD8" w14:textId="77777777" w:rsidR="00CF33AC" w:rsidRPr="00254A7A" w:rsidRDefault="00CF33AC" w:rsidP="002C6260">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CF33AC" w:rsidRPr="00593A5F" w14:paraId="389CE123" w14:textId="77777777" w:rsidTr="002C6260">
        <w:trPr>
          <w:trHeight w:val="300"/>
        </w:trPr>
        <w:tc>
          <w:tcPr>
            <w:tcW w:w="893" w:type="dxa"/>
            <w:vAlign w:val="center"/>
          </w:tcPr>
          <w:p w14:paraId="1F1A67D8" w14:textId="77777777" w:rsidR="00CF33AC" w:rsidRPr="003751C7" w:rsidRDefault="00CF33AC" w:rsidP="002C626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30E87BC" w14:textId="5642FE49" w:rsidR="00CF33AC" w:rsidRPr="00B5496B" w:rsidRDefault="00B5496B" w:rsidP="002C6260">
            <w:pPr>
              <w:contextualSpacing/>
              <w:rPr>
                <w:rFonts w:ascii="Verdana" w:eastAsia="Calibri" w:hAnsi="Verdana" w:cs="Arial"/>
                <w:sz w:val="16"/>
                <w:szCs w:val="16"/>
                <w:lang w:val="es-ES_tradnl" w:eastAsia="es-ES"/>
              </w:rPr>
            </w:pPr>
            <w:r w:rsidRPr="00B5496B">
              <w:rPr>
                <w:rFonts w:ascii="Verdana" w:eastAsia="Calibri" w:hAnsi="Verdana" w:cs="Arial"/>
                <w:sz w:val="16"/>
                <w:szCs w:val="16"/>
                <w:lang w:val="es-ES_tradnl" w:eastAsia="es-ES"/>
              </w:rPr>
              <w:t>Ana María T</w:t>
            </w:r>
            <w:r>
              <w:rPr>
                <w:rFonts w:ascii="Verdana" w:eastAsia="Calibri" w:hAnsi="Verdana" w:cs="Arial"/>
                <w:sz w:val="16"/>
                <w:szCs w:val="16"/>
                <w:lang w:val="es-ES_tradnl" w:eastAsia="es-ES"/>
              </w:rPr>
              <w:t xml:space="preserve">olosa </w:t>
            </w:r>
            <w:r w:rsidR="00FD63D8">
              <w:rPr>
                <w:rFonts w:ascii="Verdana" w:eastAsia="Calibri" w:hAnsi="Verdana" w:cs="Arial"/>
                <w:sz w:val="16"/>
                <w:szCs w:val="16"/>
                <w:lang w:val="es-ES_tradnl" w:eastAsia="es-ES"/>
              </w:rPr>
              <w:t>Rico</w:t>
            </w:r>
          </w:p>
          <w:p w14:paraId="6F7A0EF6" w14:textId="60C15FA9" w:rsidR="00CF33AC" w:rsidRPr="003751C7" w:rsidRDefault="00CF33AC" w:rsidP="002C6260">
            <w:pPr>
              <w:contextualSpacing/>
              <w:rPr>
                <w:rFonts w:ascii="Verdana" w:eastAsia="Calibri" w:hAnsi="Verdana" w:cs="Arial"/>
                <w:sz w:val="16"/>
                <w:szCs w:val="16"/>
                <w:lang w:val="pt-BR" w:eastAsia="es-ES"/>
              </w:rPr>
            </w:pPr>
            <w:r w:rsidRPr="00B5496B">
              <w:rPr>
                <w:rFonts w:ascii="Verdana" w:eastAsia="Calibri" w:hAnsi="Verdana" w:cs="Arial"/>
                <w:sz w:val="16"/>
                <w:szCs w:val="16"/>
                <w:lang w:val="es-ES_tradnl" w:eastAsia="es-ES"/>
              </w:rPr>
              <w:t>Subdirectora de Gestión Contractual</w:t>
            </w:r>
            <w:r w:rsidRPr="003751C7">
              <w:rPr>
                <w:rFonts w:ascii="Verdana" w:eastAsia="Calibri" w:hAnsi="Verdana" w:cs="Arial"/>
                <w:sz w:val="16"/>
                <w:szCs w:val="16"/>
                <w:lang w:val="pt-BR" w:eastAsia="es-ES"/>
              </w:rPr>
              <w:t xml:space="preserve"> </w:t>
            </w:r>
            <w:r w:rsidR="00FD63D8">
              <w:rPr>
                <w:rFonts w:ascii="Verdana" w:eastAsia="Calibri" w:hAnsi="Verdana" w:cs="Arial"/>
                <w:sz w:val="16"/>
                <w:szCs w:val="16"/>
                <w:lang w:val="pt-BR" w:eastAsia="es-ES"/>
              </w:rPr>
              <w:t xml:space="preserve">(E) </w:t>
            </w:r>
          </w:p>
        </w:tc>
      </w:tr>
    </w:tbl>
    <w:p w14:paraId="7575D999" w14:textId="77777777" w:rsidR="00CF33AC" w:rsidRPr="00543BFE" w:rsidRDefault="00CF33AC" w:rsidP="00CF33AC"/>
    <w:p w14:paraId="4529B346" w14:textId="77777777" w:rsidR="00CF33AC" w:rsidRPr="00543BFE" w:rsidRDefault="00CF33AC" w:rsidP="00CF33AC"/>
    <w:p w14:paraId="3900974D" w14:textId="77777777" w:rsidR="003D5B0D" w:rsidRPr="00396329" w:rsidRDefault="003D5B0D" w:rsidP="00396329"/>
    <w:sectPr w:rsidR="003D5B0D" w:rsidRPr="00396329"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D52EB" w14:textId="77777777" w:rsidR="003327E0" w:rsidRDefault="003327E0" w:rsidP="004A1847">
      <w:pPr>
        <w:spacing w:after="0" w:line="240" w:lineRule="auto"/>
      </w:pPr>
      <w:r>
        <w:separator/>
      </w:r>
    </w:p>
  </w:endnote>
  <w:endnote w:type="continuationSeparator" w:id="0">
    <w:p w14:paraId="67CFF5C2" w14:textId="77777777" w:rsidR="003327E0" w:rsidRDefault="003327E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25BB9" w14:textId="77777777" w:rsidR="003327E0" w:rsidRDefault="003327E0" w:rsidP="004A1847">
      <w:pPr>
        <w:spacing w:after="0" w:line="240" w:lineRule="auto"/>
      </w:pPr>
      <w:r>
        <w:separator/>
      </w:r>
    </w:p>
  </w:footnote>
  <w:footnote w:type="continuationSeparator" w:id="0">
    <w:p w14:paraId="4660F01B" w14:textId="77777777" w:rsidR="003327E0" w:rsidRDefault="003327E0" w:rsidP="004A1847">
      <w:pPr>
        <w:spacing w:after="0" w:line="240" w:lineRule="auto"/>
      </w:pPr>
      <w:r>
        <w:continuationSeparator/>
      </w:r>
    </w:p>
  </w:footnote>
  <w:footnote w:id="1">
    <w:p w14:paraId="1D21378E" w14:textId="77777777" w:rsidR="00CF33AC" w:rsidRPr="0031671B" w:rsidRDefault="00CF33AC" w:rsidP="00CF33AC">
      <w:pPr>
        <w:pStyle w:val="Textonotapie"/>
        <w:ind w:firstLine="708"/>
        <w:jc w:val="both"/>
        <w:rPr>
          <w:rFonts w:ascii="Verdana" w:hAnsi="Verdana" w:cs="Arial"/>
          <w:sz w:val="16"/>
          <w:szCs w:val="16"/>
          <w:lang w:val="es-ES"/>
        </w:rPr>
      </w:pPr>
      <w:r w:rsidRPr="0031671B">
        <w:rPr>
          <w:rStyle w:val="Refdenotaalpie"/>
          <w:rFonts w:ascii="Verdana" w:hAnsi="Verdana" w:cs="Arial"/>
          <w:sz w:val="16"/>
          <w:szCs w:val="16"/>
        </w:rPr>
        <w:footnoteRef/>
      </w:r>
      <w:r w:rsidRPr="0031671B">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2">
    <w:p w14:paraId="1E5D0E6A" w14:textId="77777777" w:rsidR="00CF33AC" w:rsidRPr="0031671B" w:rsidRDefault="00CF33AC" w:rsidP="00CF33AC">
      <w:pPr>
        <w:pStyle w:val="Textonotapie"/>
        <w:ind w:firstLine="708"/>
        <w:jc w:val="both"/>
        <w:rPr>
          <w:rFonts w:ascii="Verdana" w:hAnsi="Verdana" w:cs="Arial"/>
          <w:sz w:val="16"/>
          <w:szCs w:val="16"/>
          <w:lang w:val="es-ES"/>
        </w:rPr>
      </w:pPr>
      <w:r w:rsidRPr="0031671B">
        <w:rPr>
          <w:rStyle w:val="Refdenotaalpie"/>
          <w:rFonts w:ascii="Verdana" w:hAnsi="Verdana" w:cs="Arial"/>
          <w:sz w:val="16"/>
          <w:szCs w:val="16"/>
        </w:rPr>
        <w:footnoteRef/>
      </w:r>
      <w:r w:rsidRPr="0031671B">
        <w:rPr>
          <w:rFonts w:ascii="Verdana" w:hAnsi="Verdana" w:cs="Arial"/>
          <w:sz w:val="16"/>
          <w:szCs w:val="16"/>
        </w:rPr>
        <w:t xml:space="preserve"> BETANCUR JARAMILLO, Carlos. Derecho procesal administrativo. Octava edición. Medellín: Señal Editora, 2013. p. 627. </w:t>
      </w:r>
    </w:p>
  </w:footnote>
  <w:footnote w:id="3">
    <w:p w14:paraId="72FECB73" w14:textId="77777777" w:rsidR="00CF33AC" w:rsidRPr="009A7C93" w:rsidRDefault="00CF33AC" w:rsidP="00CF33AC">
      <w:pPr>
        <w:pStyle w:val="Textonotapie"/>
        <w:ind w:firstLine="708"/>
        <w:jc w:val="both"/>
        <w:rPr>
          <w:rFonts w:ascii="Verdana" w:hAnsi="Verdana"/>
          <w:sz w:val="16"/>
          <w:szCs w:val="16"/>
        </w:rPr>
      </w:pPr>
      <w:r w:rsidRPr="009A7C93">
        <w:rPr>
          <w:rStyle w:val="Refdenotaalpie"/>
          <w:rFonts w:ascii="Verdana" w:hAnsi="Verdana"/>
          <w:sz w:val="16"/>
          <w:szCs w:val="16"/>
        </w:rPr>
        <w:footnoteRef/>
      </w:r>
      <w:r w:rsidRPr="009A7C93">
        <w:rPr>
          <w:rFonts w:ascii="Verdana" w:hAnsi="Verdana"/>
          <w:sz w:val="16"/>
          <w:szCs w:val="16"/>
        </w:rPr>
        <w:t xml:space="preserve"> </w:t>
      </w:r>
      <w:r>
        <w:rPr>
          <w:rFonts w:ascii="Verdana" w:hAnsi="Verdana"/>
          <w:sz w:val="16"/>
          <w:szCs w:val="16"/>
        </w:rPr>
        <w:t>PALOMAR OLMEDO, Alberto y LOZADA GONZÁLEZ, Herminio. El procedimiento administrativo y la gestión presupuestaria y su control. Madrid: Dykinson, 1995. p. 131. Por lo demás, dichos autores sostinen que “</w:t>
      </w:r>
      <w:r w:rsidRPr="009A7C93">
        <w:rPr>
          <w:rFonts w:ascii="Verdana" w:hAnsi="Verdana"/>
          <w:sz w:val="16"/>
          <w:szCs w:val="16"/>
        </w:rPr>
        <w:t>Desde esta consideración y como resumen podría indicarse que en el</w:t>
      </w:r>
      <w:r>
        <w:rPr>
          <w:rFonts w:ascii="Verdana" w:hAnsi="Verdana"/>
          <w:sz w:val="16"/>
          <w:szCs w:val="16"/>
        </w:rPr>
        <w:t xml:space="preserve"> </w:t>
      </w:r>
      <w:r w:rsidRPr="009A7C93">
        <w:rPr>
          <w:rFonts w:ascii="Verdana" w:hAnsi="Verdana"/>
          <w:sz w:val="16"/>
          <w:szCs w:val="16"/>
        </w:rPr>
        <w:t>procedimiento contractual de derecho público regulado en la Ley de Contratos del Estado se produce una interacción absoluta, de forma que los</w:t>
      </w:r>
      <w:r>
        <w:rPr>
          <w:rFonts w:ascii="Verdana" w:hAnsi="Verdana"/>
          <w:sz w:val="16"/>
          <w:szCs w:val="16"/>
        </w:rPr>
        <w:t xml:space="preserve"> </w:t>
      </w:r>
      <w:r w:rsidRPr="009A7C93">
        <w:rPr>
          <w:rFonts w:ascii="Verdana" w:hAnsi="Verdana"/>
          <w:sz w:val="16"/>
          <w:szCs w:val="16"/>
        </w:rPr>
        <w:t>requisitos generales derivados de la ejecución presupuestaría forman parte indisoluble del propio procedimiento de contratación. Esta interacción,</w:t>
      </w:r>
      <w:r>
        <w:rPr>
          <w:rFonts w:ascii="Verdana" w:hAnsi="Verdana"/>
          <w:sz w:val="16"/>
          <w:szCs w:val="16"/>
        </w:rPr>
        <w:t xml:space="preserve"> </w:t>
      </w:r>
      <w:r w:rsidRPr="009A7C93">
        <w:rPr>
          <w:rFonts w:ascii="Verdana" w:hAnsi="Verdana"/>
          <w:sz w:val="16"/>
          <w:szCs w:val="16"/>
        </w:rPr>
        <w:t>en la mayor parte de los supuestos está expresamente reconocida en las propias normas de contratación</w:t>
      </w:r>
      <w:r>
        <w:rPr>
          <w:rFonts w:ascii="Verdana" w:hAnsi="Verdana"/>
          <w:sz w:val="16"/>
          <w:szCs w:val="16"/>
        </w:rPr>
        <w:t>” (</w:t>
      </w:r>
      <w:r w:rsidRPr="009A7C93">
        <w:rPr>
          <w:rFonts w:ascii="Verdana" w:hAnsi="Verdana"/>
          <w:i/>
          <w:iCs/>
          <w:sz w:val="16"/>
          <w:szCs w:val="16"/>
        </w:rPr>
        <w:t>Ibidem</w:t>
      </w:r>
      <w:r>
        <w:rPr>
          <w:rFonts w:ascii="Verdana" w:hAnsi="Verdana"/>
          <w:sz w:val="16"/>
          <w:szCs w:val="16"/>
        </w:rPr>
        <w:t xml:space="preserve">, p. 132). </w:t>
      </w:r>
    </w:p>
  </w:footnote>
  <w:footnote w:id="4">
    <w:p w14:paraId="33CFFDE7" w14:textId="77777777" w:rsidR="00CF33AC" w:rsidRPr="005C530C" w:rsidRDefault="00CF33AC" w:rsidP="00CF33AC">
      <w:pPr>
        <w:pStyle w:val="Textonotapie"/>
        <w:ind w:firstLine="708"/>
        <w:jc w:val="both"/>
        <w:rPr>
          <w:rFonts w:ascii="Verdana" w:hAnsi="Verdana"/>
          <w:sz w:val="16"/>
          <w:szCs w:val="16"/>
        </w:rPr>
      </w:pPr>
      <w:r w:rsidRPr="005C530C">
        <w:rPr>
          <w:rStyle w:val="Refdenotaalpie"/>
          <w:rFonts w:ascii="Verdana" w:hAnsi="Verdana"/>
          <w:sz w:val="16"/>
          <w:szCs w:val="16"/>
        </w:rPr>
        <w:footnoteRef/>
      </w:r>
      <w:r w:rsidRPr="005C530C">
        <w:rPr>
          <w:rFonts w:ascii="Verdana" w:hAnsi="Verdana"/>
          <w:sz w:val="16"/>
          <w:szCs w:val="16"/>
        </w:rPr>
        <w:t xml:space="preserve"> RODRÍGUEZ TAMAYO</w:t>
      </w:r>
      <w:r>
        <w:rPr>
          <w:rFonts w:ascii="Verdana" w:hAnsi="Verdana"/>
          <w:sz w:val="16"/>
          <w:szCs w:val="16"/>
        </w:rPr>
        <w:t xml:space="preserve">, Mauricio Fernando. </w:t>
      </w:r>
      <w:r w:rsidRPr="005C530C">
        <w:rPr>
          <w:rFonts w:ascii="Verdana" w:hAnsi="Verdana"/>
          <w:sz w:val="16"/>
          <w:szCs w:val="16"/>
        </w:rPr>
        <w:t>Los requisitos de perfeccionamiento</w:t>
      </w:r>
      <w:r>
        <w:rPr>
          <w:rFonts w:ascii="Verdana" w:hAnsi="Verdana"/>
          <w:sz w:val="16"/>
          <w:szCs w:val="16"/>
        </w:rPr>
        <w:t xml:space="preserve"> </w:t>
      </w:r>
      <w:r w:rsidRPr="005C530C">
        <w:rPr>
          <w:rFonts w:ascii="Verdana" w:hAnsi="Verdana"/>
          <w:sz w:val="16"/>
          <w:szCs w:val="16"/>
        </w:rPr>
        <w:t>y ejecución del contrato estatal: no sólo una muestra de la autonomia del derecho</w:t>
      </w:r>
      <w:r>
        <w:rPr>
          <w:rFonts w:ascii="Verdana" w:hAnsi="Verdana"/>
          <w:sz w:val="16"/>
          <w:szCs w:val="16"/>
        </w:rPr>
        <w:t xml:space="preserve"> </w:t>
      </w:r>
      <w:r w:rsidRPr="005C530C">
        <w:rPr>
          <w:rFonts w:ascii="Verdana" w:hAnsi="Verdana"/>
          <w:sz w:val="16"/>
          <w:szCs w:val="16"/>
        </w:rPr>
        <w:t>contractual publico sino del desarrollo</w:t>
      </w:r>
      <w:r>
        <w:rPr>
          <w:rFonts w:ascii="Verdana" w:hAnsi="Verdana"/>
          <w:sz w:val="16"/>
          <w:szCs w:val="16"/>
        </w:rPr>
        <w:t xml:space="preserve"> </w:t>
      </w:r>
      <w:r w:rsidRPr="005C530C">
        <w:rPr>
          <w:rFonts w:ascii="Verdana" w:hAnsi="Verdana"/>
          <w:sz w:val="16"/>
          <w:szCs w:val="16"/>
        </w:rPr>
        <w:t>de los principios de la función administrativa</w:t>
      </w:r>
      <w:r>
        <w:rPr>
          <w:rFonts w:ascii="Verdana" w:hAnsi="Verdana"/>
          <w:sz w:val="16"/>
          <w:szCs w:val="16"/>
        </w:rPr>
        <w:t>. En: Contratos estatales. Tomo II. Bogotá: Editorial Jurídica Ibañez – Facultad de Jurispruedencia de la Universidad del Rosario, 2022. p. 868.</w:t>
      </w:r>
    </w:p>
  </w:footnote>
  <w:footnote w:id="5">
    <w:p w14:paraId="4D4C5BD0" w14:textId="77777777" w:rsidR="00CF33AC" w:rsidRPr="00DD3224" w:rsidRDefault="00CF33AC" w:rsidP="00CF33AC">
      <w:pPr>
        <w:pStyle w:val="Textonotapie"/>
        <w:ind w:firstLine="708"/>
        <w:jc w:val="both"/>
        <w:rPr>
          <w:rFonts w:ascii="Verdana" w:hAnsi="Verdana"/>
          <w:sz w:val="16"/>
          <w:szCs w:val="16"/>
        </w:rPr>
      </w:pPr>
      <w:r w:rsidRPr="00DD3224">
        <w:rPr>
          <w:rStyle w:val="Refdenotaalpie"/>
          <w:rFonts w:ascii="Verdana" w:hAnsi="Verdana"/>
          <w:sz w:val="16"/>
          <w:szCs w:val="16"/>
        </w:rPr>
        <w:footnoteRef/>
      </w:r>
      <w:r w:rsidRPr="00DD3224">
        <w:rPr>
          <w:rFonts w:ascii="Verdana" w:hAnsi="Verdana"/>
          <w:sz w:val="16"/>
          <w:szCs w:val="16"/>
        </w:rPr>
        <w:t xml:space="preserve"> La norma dispone que “Los originadores de proyectos de Asociación Pública Privada de Iniciativa privada, asumirán por su propia cuenta y riesgo, el costo estimado de su revisión y/o evaluación en la etapa de factibilidad.</w:t>
      </w:r>
    </w:p>
    <w:p w14:paraId="056B0CB0" w14:textId="77777777" w:rsidR="00CF33AC" w:rsidRPr="00DD3224" w:rsidRDefault="00CF33AC" w:rsidP="00CF33AC">
      <w:pPr>
        <w:pStyle w:val="Textonotapie"/>
        <w:ind w:firstLine="708"/>
        <w:jc w:val="both"/>
        <w:rPr>
          <w:rFonts w:ascii="Verdana" w:hAnsi="Verdana"/>
          <w:sz w:val="16"/>
          <w:szCs w:val="16"/>
        </w:rPr>
      </w:pPr>
      <w:r w:rsidRPr="00DD3224">
        <w:rPr>
          <w:rFonts w:ascii="Verdana" w:hAnsi="Verdana"/>
          <w:sz w:val="16"/>
          <w:szCs w:val="16"/>
        </w:rPr>
        <w:t>Para el efecto, el originador deberá aportar, según corresponda:</w:t>
      </w:r>
    </w:p>
    <w:p w14:paraId="76D27268" w14:textId="77777777" w:rsidR="00CF33AC" w:rsidRPr="00DD3224" w:rsidRDefault="00CF33AC" w:rsidP="00CF33AC">
      <w:pPr>
        <w:pStyle w:val="Textonotapie"/>
        <w:ind w:firstLine="708"/>
        <w:jc w:val="both"/>
        <w:rPr>
          <w:rFonts w:ascii="Verdana" w:hAnsi="Verdana"/>
          <w:sz w:val="16"/>
          <w:szCs w:val="16"/>
        </w:rPr>
      </w:pPr>
      <w:r w:rsidRPr="00DD3224">
        <w:rPr>
          <w:rFonts w:ascii="Verdana" w:hAnsi="Verdana"/>
          <w:sz w:val="16"/>
          <w:szCs w:val="16"/>
        </w:rPr>
        <w:t>a) El equivalente a 500 SMLMV en caso de proyectos cuyo presupuesto estimado de inversión sea inferior a 400.000 SMLMV, calculado en precios constantes al momento en que la entidad pública competente una vez finalizada la etapa de prefactibilidad manifiesta que el proyecto es de su interés, o</w:t>
      </w:r>
    </w:p>
    <w:p w14:paraId="027C0203" w14:textId="77777777" w:rsidR="00CF33AC" w:rsidRPr="00DD3224" w:rsidRDefault="00CF33AC" w:rsidP="00CF33AC">
      <w:pPr>
        <w:pStyle w:val="Textonotapie"/>
        <w:ind w:firstLine="708"/>
        <w:jc w:val="both"/>
        <w:rPr>
          <w:rFonts w:ascii="Verdana" w:hAnsi="Verdana"/>
          <w:sz w:val="16"/>
          <w:szCs w:val="16"/>
        </w:rPr>
      </w:pPr>
      <w:r w:rsidRPr="00DD3224">
        <w:rPr>
          <w:rFonts w:ascii="Verdana" w:hAnsi="Verdana"/>
          <w:sz w:val="16"/>
          <w:szCs w:val="16"/>
        </w:rPr>
        <w:t>b) El equivalente al 0,1% del presupuesto estimado de Inversión para proyectos cuyo presupuesto estimado de inversión sea igual o superior a 400.000 smlmv, calculado en precios constantes al momento en que la entidad pública competente una vez finalizada la etapa de prefactibilidad manifiesta que el proyecto es de su interés.</w:t>
      </w:r>
    </w:p>
    <w:p w14:paraId="6A65D4BA" w14:textId="77777777" w:rsidR="00CF33AC" w:rsidRPr="00DD3224" w:rsidRDefault="00CF33AC" w:rsidP="00CF33AC">
      <w:pPr>
        <w:pStyle w:val="Textonotapie"/>
        <w:ind w:firstLine="708"/>
        <w:jc w:val="both"/>
        <w:rPr>
          <w:rFonts w:ascii="Verdana" w:hAnsi="Verdana"/>
          <w:i/>
          <w:iCs/>
          <w:sz w:val="16"/>
          <w:szCs w:val="16"/>
        </w:rPr>
      </w:pPr>
      <w:r w:rsidRPr="00DD3224">
        <w:rPr>
          <w:rFonts w:ascii="Verdana" w:hAnsi="Verdana"/>
          <w:i/>
          <w:iCs/>
          <w:sz w:val="16"/>
          <w:szCs w:val="16"/>
        </w:rPr>
        <w:t>La administración y manejo de los recursos aportados por el originador destinados a la revisión y/o evaluación del proyecto en etapa de factibilidad se realizará a través de un patrimonio autónomo que constituirá el originador. Los costos que genere la administración de dicho patrimonio autónomo deberán ser cubiertos por el originador de la iniciativa privada.</w:t>
      </w:r>
    </w:p>
    <w:p w14:paraId="5F9EC0C8" w14:textId="77777777" w:rsidR="00CF33AC" w:rsidRPr="00DD3224" w:rsidRDefault="00CF33AC" w:rsidP="00CF33AC">
      <w:pPr>
        <w:pStyle w:val="Textonotapie"/>
        <w:ind w:firstLine="708"/>
        <w:jc w:val="both"/>
        <w:rPr>
          <w:rFonts w:ascii="Verdana" w:hAnsi="Verdana"/>
          <w:sz w:val="16"/>
          <w:szCs w:val="16"/>
        </w:rPr>
      </w:pPr>
      <w:r w:rsidRPr="00DD3224">
        <w:rPr>
          <w:rFonts w:ascii="Verdana" w:hAnsi="Verdana"/>
          <w:sz w:val="16"/>
          <w:szCs w:val="16"/>
        </w:rPr>
        <w:t>La entidad estatal encargada de la revisión y/o evaluación del proyecto será la beneficiaria del patrimonio autónomo y la encargada de autorizar la celebración de los contratos requeridos para el efecto, así como autorizar los pagos a que hubiere lugar en desarrollo de los mismos.</w:t>
      </w:r>
    </w:p>
    <w:p w14:paraId="6856A7FF" w14:textId="77777777" w:rsidR="00CF33AC" w:rsidRPr="00DD3224" w:rsidRDefault="00CF33AC" w:rsidP="00CF33AC">
      <w:pPr>
        <w:pStyle w:val="Textonotapie"/>
        <w:ind w:firstLine="708"/>
        <w:jc w:val="both"/>
        <w:rPr>
          <w:rFonts w:ascii="Verdana" w:hAnsi="Verdana"/>
          <w:sz w:val="16"/>
          <w:szCs w:val="16"/>
        </w:rPr>
      </w:pPr>
      <w:r w:rsidRPr="00DD3224">
        <w:rPr>
          <w:rFonts w:ascii="Verdana" w:hAnsi="Verdana"/>
          <w:sz w:val="16"/>
          <w:szCs w:val="16"/>
        </w:rPr>
        <w:t>El costo estimado de la evaluación del proyecto en la etapa de factibilidad deberá girarse al patrimonio autónomo en el plazo establecido por la entidad al momento de pronunciarse sobre el mismo una vez finalizada la etapa de prefactibilidad. En caso de que el originador no consigne el valor de la evaluación del proyecto la entidad estatal no adelantará su respectiva evaluación.</w:t>
      </w:r>
    </w:p>
    <w:p w14:paraId="5F77DEB1" w14:textId="77777777" w:rsidR="00CF33AC" w:rsidRPr="00DD3224" w:rsidRDefault="00CF33AC" w:rsidP="00CF33AC">
      <w:pPr>
        <w:pStyle w:val="Textonotapie"/>
        <w:ind w:firstLine="708"/>
        <w:jc w:val="both"/>
        <w:rPr>
          <w:rFonts w:ascii="Verdana" w:hAnsi="Verdana"/>
          <w:sz w:val="16"/>
          <w:szCs w:val="16"/>
          <w:lang w:val="es-CO"/>
        </w:rPr>
      </w:pPr>
      <w:r w:rsidRPr="00DD3224">
        <w:rPr>
          <w:rFonts w:ascii="Verdana" w:hAnsi="Verdana"/>
          <w:sz w:val="16"/>
          <w:szCs w:val="16"/>
        </w:rPr>
        <w:t>Finalizada la evaluación del proyecto, se procederá a la liquidación del patrimonio autónomo”</w:t>
      </w:r>
      <w:r>
        <w:rPr>
          <w:rFonts w:ascii="Verdana" w:hAnsi="Verdana"/>
          <w:sz w:val="16"/>
          <w:szCs w:val="16"/>
        </w:rPr>
        <w:t xml:space="preserve"> (Énfasis fuera de texto)</w:t>
      </w:r>
      <w:r w:rsidRPr="00DD3224">
        <w:rPr>
          <w:rFonts w:ascii="Verdana" w:hAnsi="Verdana"/>
          <w:sz w:val="16"/>
          <w:szCs w:val="16"/>
        </w:rPr>
        <w:t>.</w:t>
      </w:r>
    </w:p>
  </w:footnote>
  <w:footnote w:id="6">
    <w:p w14:paraId="14A70C36" w14:textId="77777777" w:rsidR="00CF33AC" w:rsidRPr="00B043A8" w:rsidRDefault="00CF33AC" w:rsidP="00CF33AC">
      <w:pPr>
        <w:pStyle w:val="Textonotapie"/>
        <w:ind w:firstLine="708"/>
        <w:jc w:val="both"/>
        <w:rPr>
          <w:rFonts w:ascii="Verdana" w:hAnsi="Verdana"/>
          <w:sz w:val="16"/>
          <w:szCs w:val="16"/>
          <w:lang w:val="es-CO"/>
        </w:rPr>
      </w:pPr>
      <w:r w:rsidRPr="00B043A8">
        <w:rPr>
          <w:rStyle w:val="Refdenotaalpie"/>
          <w:rFonts w:ascii="Verdana" w:hAnsi="Verdana"/>
          <w:sz w:val="16"/>
          <w:szCs w:val="16"/>
        </w:rPr>
        <w:footnoteRef/>
      </w:r>
      <w:r w:rsidRPr="00B043A8">
        <w:rPr>
          <w:rFonts w:ascii="Verdana" w:hAnsi="Verdana"/>
          <w:sz w:val="16"/>
          <w:szCs w:val="16"/>
        </w:rPr>
        <w:t xml:space="preserve"> </w:t>
      </w:r>
      <w:r>
        <w:rPr>
          <w:rFonts w:ascii="Verdana" w:hAnsi="Verdana"/>
          <w:sz w:val="16"/>
          <w:szCs w:val="16"/>
        </w:rPr>
        <w:t>CORTE CONSTITUCIONAL. Sentencia C-</w:t>
      </w:r>
      <w:r w:rsidRPr="00B043A8">
        <w:rPr>
          <w:rFonts w:ascii="Verdana" w:hAnsi="Verdana"/>
          <w:sz w:val="16"/>
          <w:szCs w:val="16"/>
        </w:rPr>
        <w:t>269 de 2021</w:t>
      </w:r>
      <w:r>
        <w:rPr>
          <w:rFonts w:ascii="Verdana" w:hAnsi="Verdana"/>
          <w:sz w:val="16"/>
          <w:szCs w:val="16"/>
        </w:rPr>
        <w:t>. M.P.</w:t>
      </w:r>
      <w:r w:rsidRPr="00B043A8">
        <w:rPr>
          <w:rFonts w:ascii="Verdana" w:hAnsi="Verdana"/>
          <w:sz w:val="16"/>
          <w:szCs w:val="16"/>
        </w:rPr>
        <w:t xml:space="preserve"> Gloria Stella Ortiz Delgado</w:t>
      </w:r>
      <w:r>
        <w:rPr>
          <w:rFonts w:ascii="Verdana" w:hAnsi="Verdana"/>
          <w:sz w:val="16"/>
          <w:szCs w:val="16"/>
        </w:rPr>
        <w:t>.</w:t>
      </w:r>
    </w:p>
  </w:footnote>
  <w:footnote w:id="7">
    <w:p w14:paraId="678C3A46" w14:textId="77777777" w:rsidR="00CF33AC" w:rsidRPr="005E7526" w:rsidRDefault="00CF33AC" w:rsidP="00CF33AC">
      <w:pPr>
        <w:pStyle w:val="Textonotapie"/>
        <w:ind w:firstLine="708"/>
        <w:jc w:val="both"/>
        <w:rPr>
          <w:rFonts w:ascii="Verdana" w:hAnsi="Verdana"/>
          <w:sz w:val="16"/>
          <w:szCs w:val="16"/>
          <w:lang w:val="es-CO"/>
        </w:rPr>
      </w:pPr>
      <w:r w:rsidRPr="005E7526">
        <w:rPr>
          <w:rStyle w:val="Refdenotaalpie"/>
          <w:rFonts w:ascii="Verdana" w:hAnsi="Verdana"/>
          <w:sz w:val="16"/>
          <w:szCs w:val="16"/>
        </w:rPr>
        <w:footnoteRef/>
      </w:r>
      <w:r w:rsidRPr="005E7526">
        <w:rPr>
          <w:rFonts w:ascii="Verdana" w:hAnsi="Verdana"/>
          <w:sz w:val="16"/>
          <w:szCs w:val="16"/>
        </w:rPr>
        <w:t xml:space="preserve"> </w:t>
      </w:r>
      <w:r>
        <w:rPr>
          <w:rFonts w:ascii="Verdana" w:hAnsi="Verdana"/>
          <w:sz w:val="16"/>
          <w:szCs w:val="16"/>
        </w:rPr>
        <w:t xml:space="preserve">CONSEJO DE ESTADO. Sala de Consulta y Servicio Civil. Concepto 20 de febrero de 2014. Rad. </w:t>
      </w:r>
      <w:r w:rsidRPr="005E7526">
        <w:rPr>
          <w:rFonts w:ascii="Verdana" w:hAnsi="Verdana"/>
          <w:sz w:val="16"/>
          <w:szCs w:val="16"/>
        </w:rPr>
        <w:t>1001-03-06-000-2013-00419-00</w:t>
      </w:r>
      <w:r>
        <w:rPr>
          <w:rFonts w:ascii="Verdana" w:hAnsi="Verdana"/>
          <w:sz w:val="16"/>
          <w:szCs w:val="16"/>
        </w:rPr>
        <w:t>. C.P. Á</w:t>
      </w:r>
      <w:r w:rsidRPr="005E7526">
        <w:rPr>
          <w:rFonts w:ascii="Verdana" w:hAnsi="Verdana"/>
          <w:sz w:val="16"/>
          <w:szCs w:val="16"/>
        </w:rPr>
        <w:t>lvaro Nam</w:t>
      </w:r>
      <w:r>
        <w:rPr>
          <w:rFonts w:ascii="Verdana" w:hAnsi="Verdana"/>
          <w:sz w:val="16"/>
          <w:szCs w:val="16"/>
        </w:rPr>
        <w:t>é</w:t>
      </w:r>
      <w:r w:rsidRPr="005E7526">
        <w:rPr>
          <w:rFonts w:ascii="Verdana" w:hAnsi="Verdana"/>
          <w:sz w:val="16"/>
          <w:szCs w:val="16"/>
        </w:rPr>
        <w:t>n Vargas</w:t>
      </w:r>
      <w:r>
        <w:rPr>
          <w:rFonts w:ascii="Verdana" w:hAnsi="Verdana"/>
          <w:sz w:val="16"/>
          <w:szCs w:val="16"/>
        </w:rPr>
        <w:t>.</w:t>
      </w:r>
    </w:p>
  </w:footnote>
  <w:footnote w:id="8">
    <w:p w14:paraId="09A47449" w14:textId="77777777" w:rsidR="00CF33AC" w:rsidRPr="006C721F" w:rsidRDefault="00CF33AC" w:rsidP="00CF33AC">
      <w:pPr>
        <w:pStyle w:val="Textonotapie"/>
        <w:ind w:firstLine="708"/>
        <w:jc w:val="both"/>
        <w:rPr>
          <w:rFonts w:ascii="Verdana" w:hAnsi="Verdana"/>
          <w:sz w:val="16"/>
          <w:szCs w:val="16"/>
        </w:rPr>
      </w:pPr>
      <w:r w:rsidRPr="006C721F">
        <w:rPr>
          <w:rStyle w:val="Refdenotaalpie"/>
          <w:rFonts w:ascii="Verdana" w:hAnsi="Verdana"/>
          <w:sz w:val="16"/>
          <w:szCs w:val="16"/>
        </w:rPr>
        <w:footnoteRef/>
      </w:r>
      <w:r w:rsidRPr="006C721F">
        <w:rPr>
          <w:rFonts w:ascii="Verdana" w:hAnsi="Verdana"/>
          <w:sz w:val="16"/>
          <w:szCs w:val="16"/>
        </w:rPr>
        <w:t xml:space="preserve"> </w:t>
      </w:r>
      <w:r>
        <w:rPr>
          <w:rFonts w:ascii="Verdana" w:hAnsi="Verdana"/>
          <w:sz w:val="16"/>
          <w:szCs w:val="16"/>
        </w:rPr>
        <w:t xml:space="preserve">Para Dromi, “[…] el </w:t>
      </w:r>
      <w:r w:rsidRPr="006C721F">
        <w:rPr>
          <w:rFonts w:ascii="Verdana" w:hAnsi="Verdana"/>
          <w:sz w:val="16"/>
          <w:szCs w:val="16"/>
        </w:rPr>
        <w:t>presupuesto es un acto de autorización de gastos, en cuanto limita jurídicamente la ejecución del mismo en un triple sentido:</w:t>
      </w:r>
    </w:p>
    <w:p w14:paraId="050DDABB" w14:textId="77777777" w:rsidR="00CF33AC" w:rsidRPr="006C721F" w:rsidRDefault="00CF33AC" w:rsidP="00CF33AC">
      <w:pPr>
        <w:pStyle w:val="Textonotapie"/>
        <w:ind w:firstLine="708"/>
        <w:jc w:val="both"/>
        <w:rPr>
          <w:rFonts w:ascii="Verdana" w:hAnsi="Verdana"/>
          <w:sz w:val="16"/>
          <w:szCs w:val="16"/>
        </w:rPr>
      </w:pPr>
      <w:r w:rsidRPr="006C721F">
        <w:rPr>
          <w:rFonts w:ascii="Verdana" w:hAnsi="Verdana"/>
          <w:sz w:val="16"/>
          <w:szCs w:val="16"/>
        </w:rPr>
        <w:t xml:space="preserve">a) </w:t>
      </w:r>
      <w:r w:rsidRPr="006C721F">
        <w:rPr>
          <w:rFonts w:ascii="Verdana" w:hAnsi="Verdana"/>
          <w:i/>
          <w:iCs/>
          <w:sz w:val="16"/>
          <w:szCs w:val="16"/>
        </w:rPr>
        <w:t>Temporal</w:t>
      </w:r>
      <w:r w:rsidRPr="006C721F">
        <w:rPr>
          <w:rFonts w:ascii="Verdana" w:hAnsi="Verdana"/>
          <w:sz w:val="16"/>
          <w:szCs w:val="16"/>
        </w:rPr>
        <w:t>, pues las obligaciones deben satisfacerse dentro de un determinado período. La</w:t>
      </w:r>
      <w:r>
        <w:rPr>
          <w:rFonts w:ascii="Verdana" w:hAnsi="Verdana"/>
          <w:sz w:val="16"/>
          <w:szCs w:val="16"/>
        </w:rPr>
        <w:t xml:space="preserve"> </w:t>
      </w:r>
      <w:r w:rsidRPr="006C721F">
        <w:rPr>
          <w:rFonts w:ascii="Verdana" w:hAnsi="Verdana"/>
          <w:sz w:val="16"/>
          <w:szCs w:val="16"/>
        </w:rPr>
        <w:t>periodicidad es en nuestro país de un año y se lo</w:t>
      </w:r>
      <w:r>
        <w:rPr>
          <w:rFonts w:ascii="Verdana" w:hAnsi="Verdana"/>
          <w:sz w:val="16"/>
          <w:szCs w:val="16"/>
        </w:rPr>
        <w:t xml:space="preserve"> </w:t>
      </w:r>
      <w:r w:rsidRPr="006C721F">
        <w:rPr>
          <w:rFonts w:ascii="Verdana" w:hAnsi="Verdana"/>
          <w:sz w:val="16"/>
          <w:szCs w:val="16"/>
        </w:rPr>
        <w:t>denomina ‘año financiero o ejercicio financiero</w:t>
      </w:r>
      <w:r>
        <w:rPr>
          <w:rFonts w:ascii="Verdana" w:hAnsi="Verdana"/>
          <w:sz w:val="16"/>
          <w:szCs w:val="16"/>
        </w:rPr>
        <w:t>’.</w:t>
      </w:r>
    </w:p>
    <w:p w14:paraId="7F8CF2F9" w14:textId="77777777" w:rsidR="00CF33AC" w:rsidRPr="006C721F" w:rsidRDefault="00CF33AC" w:rsidP="00CF33AC">
      <w:pPr>
        <w:pStyle w:val="Textonotapie"/>
        <w:ind w:firstLine="708"/>
        <w:jc w:val="both"/>
        <w:rPr>
          <w:rFonts w:ascii="Verdana" w:hAnsi="Verdana"/>
          <w:sz w:val="16"/>
          <w:szCs w:val="16"/>
        </w:rPr>
      </w:pPr>
      <w:r w:rsidRPr="006C721F">
        <w:rPr>
          <w:rFonts w:ascii="Verdana" w:hAnsi="Verdana"/>
          <w:sz w:val="16"/>
          <w:szCs w:val="16"/>
        </w:rPr>
        <w:t xml:space="preserve">b ) </w:t>
      </w:r>
      <w:r w:rsidRPr="006C721F">
        <w:rPr>
          <w:rFonts w:ascii="Verdana" w:hAnsi="Verdana"/>
          <w:i/>
          <w:iCs/>
          <w:sz w:val="16"/>
          <w:szCs w:val="16"/>
        </w:rPr>
        <w:t>Cualitativo</w:t>
      </w:r>
      <w:r w:rsidRPr="006C721F">
        <w:rPr>
          <w:rFonts w:ascii="Verdana" w:hAnsi="Verdana"/>
          <w:sz w:val="16"/>
          <w:szCs w:val="16"/>
        </w:rPr>
        <w:t>, pues marca el principio de la</w:t>
      </w:r>
      <w:r>
        <w:rPr>
          <w:rFonts w:ascii="Verdana" w:hAnsi="Verdana"/>
          <w:sz w:val="16"/>
          <w:szCs w:val="16"/>
        </w:rPr>
        <w:t xml:space="preserve"> </w:t>
      </w:r>
      <w:r w:rsidRPr="006C721F">
        <w:rPr>
          <w:rFonts w:ascii="Verdana" w:hAnsi="Verdana"/>
          <w:sz w:val="16"/>
          <w:szCs w:val="16"/>
        </w:rPr>
        <w:t>especificación o de la especialidad, indicándole a</w:t>
      </w:r>
      <w:r>
        <w:rPr>
          <w:rFonts w:ascii="Verdana" w:hAnsi="Verdana"/>
          <w:sz w:val="16"/>
          <w:szCs w:val="16"/>
        </w:rPr>
        <w:t xml:space="preserve"> </w:t>
      </w:r>
      <w:r w:rsidRPr="006C721F">
        <w:rPr>
          <w:rFonts w:ascii="Verdana" w:hAnsi="Verdana"/>
          <w:sz w:val="16"/>
          <w:szCs w:val="16"/>
        </w:rPr>
        <w:t>la Administración de manera clara y categórica</w:t>
      </w:r>
      <w:r>
        <w:rPr>
          <w:rFonts w:ascii="Verdana" w:hAnsi="Verdana"/>
          <w:sz w:val="16"/>
          <w:szCs w:val="16"/>
        </w:rPr>
        <w:t xml:space="preserve"> </w:t>
      </w:r>
      <w:r w:rsidRPr="006C721F">
        <w:rPr>
          <w:rFonts w:ascii="Verdana" w:hAnsi="Verdana"/>
          <w:sz w:val="16"/>
          <w:szCs w:val="16"/>
        </w:rPr>
        <w:t>qué es lo que puede gastar.</w:t>
      </w:r>
    </w:p>
    <w:p w14:paraId="5D523FC1" w14:textId="77777777" w:rsidR="00CF33AC" w:rsidRPr="006C721F" w:rsidRDefault="00CF33AC" w:rsidP="00CF33AC">
      <w:pPr>
        <w:pStyle w:val="Textonotapie"/>
        <w:ind w:firstLine="708"/>
        <w:jc w:val="both"/>
        <w:rPr>
          <w:rFonts w:ascii="Verdana" w:hAnsi="Verdana"/>
          <w:sz w:val="16"/>
          <w:szCs w:val="16"/>
        </w:rPr>
      </w:pPr>
      <w:r w:rsidRPr="006C721F">
        <w:rPr>
          <w:rFonts w:ascii="Verdana" w:hAnsi="Verdana"/>
          <w:sz w:val="16"/>
          <w:szCs w:val="16"/>
        </w:rPr>
        <w:t xml:space="preserve">c) </w:t>
      </w:r>
      <w:r w:rsidRPr="006C721F">
        <w:rPr>
          <w:rFonts w:ascii="Verdana" w:hAnsi="Verdana"/>
          <w:i/>
          <w:iCs/>
          <w:sz w:val="16"/>
          <w:szCs w:val="16"/>
        </w:rPr>
        <w:t>Cuantitativo</w:t>
      </w:r>
      <w:r w:rsidRPr="006C721F">
        <w:rPr>
          <w:rFonts w:ascii="Verdana" w:hAnsi="Verdana"/>
          <w:sz w:val="16"/>
          <w:szCs w:val="16"/>
        </w:rPr>
        <w:t xml:space="preserve">, por cuanto las cifras consignadas constituyen el </w:t>
      </w:r>
      <w:r>
        <w:rPr>
          <w:rFonts w:ascii="Verdana" w:hAnsi="Verdana"/>
          <w:sz w:val="16"/>
          <w:szCs w:val="16"/>
        </w:rPr>
        <w:t>‘</w:t>
      </w:r>
      <w:r w:rsidRPr="006C721F">
        <w:rPr>
          <w:rFonts w:ascii="Verdana" w:hAnsi="Verdana"/>
          <w:sz w:val="16"/>
          <w:szCs w:val="16"/>
        </w:rPr>
        <w:t>máximo</w:t>
      </w:r>
      <w:r>
        <w:rPr>
          <w:rFonts w:ascii="Verdana" w:hAnsi="Verdana"/>
          <w:sz w:val="16"/>
          <w:szCs w:val="16"/>
        </w:rPr>
        <w:t>’</w:t>
      </w:r>
      <w:r w:rsidRPr="006C721F">
        <w:rPr>
          <w:rFonts w:ascii="Verdana" w:hAnsi="Verdana"/>
          <w:sz w:val="16"/>
          <w:szCs w:val="16"/>
        </w:rPr>
        <w:t xml:space="preserve"> que la Administración puede gastar</w:t>
      </w:r>
      <w:r>
        <w:rPr>
          <w:rFonts w:ascii="Verdana" w:hAnsi="Verdana"/>
          <w:sz w:val="16"/>
          <w:szCs w:val="16"/>
        </w:rPr>
        <w:t>” (Cfr. DROMI, Roberto</w:t>
      </w:r>
      <w:r w:rsidRPr="006C721F">
        <w:rPr>
          <w:rFonts w:ascii="Verdana" w:hAnsi="Verdana"/>
          <w:sz w:val="16"/>
          <w:szCs w:val="16"/>
        </w:rPr>
        <w:t>.</w:t>
      </w:r>
      <w:r>
        <w:rPr>
          <w:rFonts w:ascii="Verdana" w:hAnsi="Verdana"/>
          <w:sz w:val="16"/>
          <w:szCs w:val="16"/>
        </w:rPr>
        <w:t xml:space="preserve"> Presupuesto y cuenta de inversión. Buenos Aires: Astrea, 1988. p. 49).</w:t>
      </w:r>
    </w:p>
  </w:footnote>
  <w:footnote w:id="9">
    <w:p w14:paraId="3764AE59" w14:textId="77777777" w:rsidR="00CF33AC" w:rsidRPr="0036356D" w:rsidRDefault="00CF33AC" w:rsidP="00CF33AC">
      <w:pPr>
        <w:pStyle w:val="Textonotapie"/>
        <w:ind w:firstLine="708"/>
        <w:jc w:val="both"/>
        <w:rPr>
          <w:rFonts w:ascii="Verdana" w:hAnsi="Verdana"/>
          <w:sz w:val="16"/>
          <w:szCs w:val="16"/>
          <w:lang w:val="es-CO"/>
        </w:rPr>
      </w:pPr>
      <w:r w:rsidRPr="0036356D">
        <w:rPr>
          <w:rStyle w:val="Refdenotaalpie"/>
          <w:rFonts w:ascii="Verdana" w:hAnsi="Verdana"/>
          <w:sz w:val="16"/>
          <w:szCs w:val="16"/>
        </w:rPr>
        <w:footnoteRef/>
      </w:r>
      <w:r w:rsidRPr="0036356D">
        <w:rPr>
          <w:rFonts w:ascii="Verdana" w:hAnsi="Verdana"/>
          <w:sz w:val="16"/>
          <w:szCs w:val="16"/>
        </w:rPr>
        <w:t xml:space="preserve"> </w:t>
      </w:r>
      <w:r>
        <w:rPr>
          <w:rFonts w:ascii="Verdana" w:hAnsi="Verdana"/>
          <w:sz w:val="16"/>
          <w:szCs w:val="16"/>
        </w:rPr>
        <w:t xml:space="preserve">AGENCIA NACIONAL DE CONTRATACIÓN PÚBLICA – COLOMBIA COMPRA EFICIENTE. Oficio </w:t>
      </w:r>
      <w:r w:rsidRPr="0036356D">
        <w:rPr>
          <w:rFonts w:ascii="Verdana" w:hAnsi="Verdana"/>
          <w:sz w:val="16"/>
          <w:szCs w:val="16"/>
        </w:rPr>
        <w:t>RS20240510007014</w:t>
      </w:r>
      <w:r>
        <w:rPr>
          <w:rFonts w:ascii="Verdana" w:hAnsi="Verdana"/>
          <w:sz w:val="16"/>
          <w:szCs w:val="16"/>
        </w:rPr>
        <w:t xml:space="preserve"> del 10 de mayo de 2024.</w:t>
      </w:r>
    </w:p>
  </w:footnote>
  <w:footnote w:id="10">
    <w:p w14:paraId="2C816101" w14:textId="77777777" w:rsidR="00CF33AC" w:rsidRPr="00356AEE" w:rsidRDefault="00CF33AC" w:rsidP="00CF33AC">
      <w:pPr>
        <w:pStyle w:val="Textonotapie"/>
        <w:ind w:firstLine="708"/>
        <w:jc w:val="both"/>
        <w:rPr>
          <w:rFonts w:ascii="Verdana" w:hAnsi="Verdana"/>
          <w:sz w:val="16"/>
          <w:szCs w:val="16"/>
          <w:lang w:val="es-CO"/>
        </w:rPr>
      </w:pPr>
      <w:r w:rsidRPr="00356AEE">
        <w:rPr>
          <w:rStyle w:val="Refdenotaalpie"/>
          <w:rFonts w:ascii="Verdana" w:hAnsi="Verdana"/>
          <w:sz w:val="16"/>
          <w:szCs w:val="16"/>
        </w:rPr>
        <w:footnoteRef/>
      </w:r>
      <w:r w:rsidRPr="00356AEE">
        <w:rPr>
          <w:rFonts w:ascii="Verdana" w:hAnsi="Verdana"/>
          <w:sz w:val="16"/>
          <w:szCs w:val="16"/>
        </w:rPr>
        <w:t xml:space="preserve"> </w:t>
      </w:r>
      <w:r>
        <w:rPr>
          <w:rFonts w:ascii="Verdana" w:hAnsi="Verdana"/>
          <w:sz w:val="16"/>
          <w:szCs w:val="16"/>
        </w:rPr>
        <w:t>RESTREPO, Juan Camilo. Derecho presupuestal colombiano. Segunda edición. Bogotá: Legis, 2014. p. 224.</w:t>
      </w:r>
    </w:p>
  </w:footnote>
  <w:footnote w:id="11">
    <w:p w14:paraId="7A732094" w14:textId="77777777" w:rsidR="00CF33AC" w:rsidRPr="00356AEE" w:rsidRDefault="00CF33AC" w:rsidP="00CF33AC">
      <w:pPr>
        <w:pStyle w:val="Textonotapie"/>
        <w:ind w:firstLine="708"/>
        <w:jc w:val="both"/>
        <w:rPr>
          <w:rFonts w:ascii="Verdana" w:hAnsi="Verdana"/>
          <w:sz w:val="16"/>
          <w:szCs w:val="16"/>
          <w:lang w:val="es-CO"/>
        </w:rPr>
      </w:pPr>
      <w:r w:rsidRPr="00356AEE">
        <w:rPr>
          <w:rStyle w:val="Refdenotaalpie"/>
          <w:rFonts w:ascii="Verdana" w:hAnsi="Verdana"/>
          <w:sz w:val="16"/>
          <w:szCs w:val="16"/>
        </w:rPr>
        <w:footnoteRef/>
      </w:r>
      <w:r w:rsidRPr="00356AEE">
        <w:rPr>
          <w:rFonts w:ascii="Verdana" w:hAnsi="Verdana"/>
          <w:sz w:val="16"/>
          <w:szCs w:val="16"/>
        </w:rPr>
        <w:t xml:space="preserve"> </w:t>
      </w:r>
      <w:r>
        <w:rPr>
          <w:rFonts w:ascii="Verdana" w:hAnsi="Verdana"/>
          <w:sz w:val="16"/>
          <w:szCs w:val="16"/>
        </w:rPr>
        <w:t>RESTREPO, Juan Camilo. Hacienda pública. Decimosegunda edición. Bogotá: Universidad Externado de Colombia, 2024. p. 496.</w:t>
      </w:r>
    </w:p>
  </w:footnote>
  <w:footnote w:id="12">
    <w:p w14:paraId="2DB5B6F7" w14:textId="77777777" w:rsidR="00CF33AC" w:rsidRPr="008C2598" w:rsidRDefault="00CF33AC" w:rsidP="00CF33AC">
      <w:pPr>
        <w:pStyle w:val="Textonotapie"/>
        <w:ind w:firstLine="708"/>
        <w:jc w:val="both"/>
        <w:rPr>
          <w:rFonts w:ascii="Verdana" w:hAnsi="Verdana" w:cs="Arial"/>
          <w:sz w:val="16"/>
          <w:szCs w:val="16"/>
        </w:rPr>
      </w:pPr>
      <w:r w:rsidRPr="008C2598">
        <w:rPr>
          <w:rStyle w:val="Refdenotaalpie"/>
          <w:rFonts w:ascii="Verdana" w:hAnsi="Verdana" w:cs="Arial"/>
          <w:sz w:val="16"/>
          <w:szCs w:val="16"/>
        </w:rPr>
        <w:footnoteRef/>
      </w:r>
      <w:r w:rsidRPr="008C2598">
        <w:rPr>
          <w:rFonts w:ascii="Verdana" w:hAnsi="Verdana" w:cs="Arial"/>
          <w:sz w:val="16"/>
          <w:szCs w:val="16"/>
        </w:rPr>
        <w:t xml:space="preserve"> Decreto 1082 de 2015: “Artículo 2.2.1.1.1.4.1. </w:t>
      </w:r>
      <w:bookmarkStart w:id="3" w:name="_Hlk127183777"/>
      <w:r w:rsidRPr="008C2598">
        <w:rPr>
          <w:rFonts w:ascii="Verdana" w:hAnsi="Verdana" w:cs="Arial"/>
          <w:sz w:val="16"/>
          <w:szCs w:val="16"/>
        </w:rPr>
        <w:t>Modificado por el </w:t>
      </w:r>
      <w:bookmarkEnd w:id="3"/>
      <w:r w:rsidRPr="008C2598">
        <w:rPr>
          <w:rFonts w:ascii="Verdana" w:hAnsi="Verdana" w:cs="Arial"/>
          <w:sz w:val="16"/>
          <w:szCs w:val="16"/>
        </w:rPr>
        <w:t>Decreto 142 de 2023, artículo 2º. Plan Anual de Adquisiciones.</w:t>
      </w:r>
      <w:r w:rsidRPr="008C2598">
        <w:rPr>
          <w:rFonts w:ascii="Verdana" w:hAnsi="Verdana" w:cs="Arial"/>
          <w:b/>
          <w:bCs/>
          <w:sz w:val="16"/>
          <w:szCs w:val="16"/>
        </w:rPr>
        <w:t> </w:t>
      </w:r>
      <w:r w:rsidRPr="008C2598">
        <w:rPr>
          <w:rFonts w:ascii="Verdana" w:hAnsi="Verdana" w:cs="Arial"/>
          <w:sz w:val="16"/>
          <w:szCs w:val="16"/>
        </w:rPr>
        <w:t>Las entidades estatales deben elaborar un Plan Anual de Adquisiciones, el cual debe contener la lista de bienes, obras y servicios que pretenden adquirir durante el año. En el Plan Anual de Adquisiciones, la Entidad Estatal debe señalar como mínimo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p w14:paraId="2F38FC78" w14:textId="77777777" w:rsidR="00CF33AC" w:rsidRPr="008C2598" w:rsidRDefault="00CF33AC" w:rsidP="00CF33AC">
      <w:pPr>
        <w:pStyle w:val="Textonotapie"/>
        <w:ind w:firstLine="708"/>
        <w:jc w:val="both"/>
        <w:rPr>
          <w:rFonts w:ascii="Verdana" w:hAnsi="Verdana" w:cs="Arial"/>
          <w:sz w:val="16"/>
          <w:szCs w:val="16"/>
        </w:rPr>
      </w:pPr>
      <w:r w:rsidRPr="008C2598">
        <w:rPr>
          <w:rFonts w:ascii="Verdana" w:hAnsi="Verdana" w:cs="Arial"/>
          <w:sz w:val="16"/>
          <w:szCs w:val="16"/>
        </w:rPr>
        <w:t>[…]”.</w:t>
      </w:r>
    </w:p>
  </w:footnote>
  <w:footnote w:id="13">
    <w:p w14:paraId="383A6029" w14:textId="77777777" w:rsidR="00CF33AC" w:rsidRPr="008C2598" w:rsidRDefault="00CF33AC" w:rsidP="00CF33AC">
      <w:pPr>
        <w:pStyle w:val="Textonotapie"/>
        <w:ind w:firstLine="708"/>
        <w:jc w:val="both"/>
        <w:rPr>
          <w:rFonts w:ascii="Verdana" w:hAnsi="Verdana" w:cs="Arial"/>
          <w:sz w:val="16"/>
          <w:szCs w:val="16"/>
          <w:lang w:val="es-CO"/>
        </w:rPr>
      </w:pPr>
      <w:r w:rsidRPr="008C2598">
        <w:rPr>
          <w:rStyle w:val="Refdenotaalpie"/>
          <w:rFonts w:ascii="Verdana" w:hAnsi="Verdana" w:cs="Arial"/>
          <w:sz w:val="16"/>
          <w:szCs w:val="16"/>
        </w:rPr>
        <w:footnoteRef/>
      </w:r>
      <w:r w:rsidRPr="008C2598">
        <w:rPr>
          <w:rFonts w:ascii="Verdana" w:eastAsia="Calibri" w:hAnsi="Verdana" w:cs="Arial"/>
          <w:sz w:val="16"/>
          <w:szCs w:val="16"/>
        </w:rPr>
        <w:t xml:space="preserve"> Agencia Nacional de Contratación Pública </w:t>
      </w:r>
      <w:r w:rsidRPr="008C2598">
        <w:rPr>
          <w:rFonts w:ascii="Verdana" w:eastAsia="Calibri" w:hAnsi="Verdana" w:cs="Arial"/>
          <w:b/>
          <w:sz w:val="16"/>
          <w:szCs w:val="16"/>
        </w:rPr>
        <w:t>―</w:t>
      </w:r>
      <w:r w:rsidRPr="008C2598">
        <w:rPr>
          <w:rFonts w:ascii="Verdana" w:eastAsia="Calibri" w:hAnsi="Verdana" w:cs="Arial"/>
          <w:sz w:val="16"/>
          <w:szCs w:val="16"/>
        </w:rPr>
        <w:t>Colombia Compra Eficiente</w:t>
      </w:r>
      <w:r w:rsidRPr="008C2598">
        <w:rPr>
          <w:rFonts w:ascii="Verdana" w:hAnsi="Verdana" w:cs="Arial"/>
          <w:sz w:val="16"/>
          <w:szCs w:val="16"/>
          <w:lang w:val="es-CO"/>
        </w:rPr>
        <w:t xml:space="preserve"> Guía para elaborar el plan anual de adquisiciones. Página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3" type="#_x0000_t75" style="width:11.7pt;height:11.7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2563A3A"/>
    <w:multiLevelType w:val="hybridMultilevel"/>
    <w:tmpl w:val="1220A56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30140246">
    <w:abstractNumId w:val="0"/>
  </w:num>
  <w:num w:numId="17" w16cid:durableId="679089576">
    <w:abstractNumId w:val="9"/>
  </w:num>
  <w:num w:numId="18" w16cid:durableId="19392949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327E0"/>
    <w:rsid w:val="003448F4"/>
    <w:rsid w:val="00374F5E"/>
    <w:rsid w:val="00377E3E"/>
    <w:rsid w:val="00396329"/>
    <w:rsid w:val="003A547B"/>
    <w:rsid w:val="003A779E"/>
    <w:rsid w:val="003B1FE3"/>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5E237C"/>
    <w:rsid w:val="006219F8"/>
    <w:rsid w:val="00665D70"/>
    <w:rsid w:val="006900D9"/>
    <w:rsid w:val="006C71AC"/>
    <w:rsid w:val="00706C16"/>
    <w:rsid w:val="00756841"/>
    <w:rsid w:val="007649AB"/>
    <w:rsid w:val="00771D0C"/>
    <w:rsid w:val="007833AC"/>
    <w:rsid w:val="007B268C"/>
    <w:rsid w:val="007B7171"/>
    <w:rsid w:val="007C0C0F"/>
    <w:rsid w:val="007C3DC2"/>
    <w:rsid w:val="007E5497"/>
    <w:rsid w:val="00806F5F"/>
    <w:rsid w:val="00820278"/>
    <w:rsid w:val="008468DA"/>
    <w:rsid w:val="00867F95"/>
    <w:rsid w:val="008843B6"/>
    <w:rsid w:val="00891928"/>
    <w:rsid w:val="008A446D"/>
    <w:rsid w:val="008D180B"/>
    <w:rsid w:val="008E5E5D"/>
    <w:rsid w:val="008F0EA7"/>
    <w:rsid w:val="00923EEF"/>
    <w:rsid w:val="009419F9"/>
    <w:rsid w:val="0095685E"/>
    <w:rsid w:val="00961B09"/>
    <w:rsid w:val="00965334"/>
    <w:rsid w:val="009667E3"/>
    <w:rsid w:val="0097093E"/>
    <w:rsid w:val="00986AC5"/>
    <w:rsid w:val="009A0DFA"/>
    <w:rsid w:val="009B2D26"/>
    <w:rsid w:val="009C71FA"/>
    <w:rsid w:val="009C72E7"/>
    <w:rsid w:val="009D3058"/>
    <w:rsid w:val="009D33DF"/>
    <w:rsid w:val="009D65BF"/>
    <w:rsid w:val="009F3A13"/>
    <w:rsid w:val="00A122D3"/>
    <w:rsid w:val="00A17F13"/>
    <w:rsid w:val="00A20739"/>
    <w:rsid w:val="00A33C78"/>
    <w:rsid w:val="00AB0ADB"/>
    <w:rsid w:val="00B01B1A"/>
    <w:rsid w:val="00B5496B"/>
    <w:rsid w:val="00B66319"/>
    <w:rsid w:val="00B72CD3"/>
    <w:rsid w:val="00B72FFF"/>
    <w:rsid w:val="00BC3D36"/>
    <w:rsid w:val="00BD7F72"/>
    <w:rsid w:val="00BF5EE8"/>
    <w:rsid w:val="00C04FB3"/>
    <w:rsid w:val="00C330EB"/>
    <w:rsid w:val="00C41061"/>
    <w:rsid w:val="00C754BE"/>
    <w:rsid w:val="00C76B1C"/>
    <w:rsid w:val="00CB6357"/>
    <w:rsid w:val="00CC1B26"/>
    <w:rsid w:val="00CF33AC"/>
    <w:rsid w:val="00D07314"/>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23EDA"/>
    <w:rsid w:val="00F24C69"/>
    <w:rsid w:val="00F31EDC"/>
    <w:rsid w:val="00F462B3"/>
    <w:rsid w:val="00F5664F"/>
    <w:rsid w:val="00F666C4"/>
    <w:rsid w:val="00F76AFC"/>
    <w:rsid w:val="00FA47C0"/>
    <w:rsid w:val="00FB5DD1"/>
    <w:rsid w:val="00FC2B5D"/>
    <w:rsid w:val="00FD297F"/>
    <w:rsid w:val="00FD63D8"/>
    <w:rsid w:val="00FF1449"/>
    <w:rsid w:val="00FF483B"/>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F33A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F33AC"/>
    <w:rPr>
      <w:rFonts w:ascii="Geomanist Light" w:hAnsi="Geomanist Light"/>
      <w:lang w:val="es-ES"/>
    </w:rPr>
  </w:style>
  <w:style w:type="character" w:customStyle="1" w:styleId="s15">
    <w:name w:val="s15"/>
    <w:basedOn w:val="Fuentedeprrafopredeter"/>
    <w:rsid w:val="00CF33AC"/>
  </w:style>
  <w:style w:type="character" w:customStyle="1" w:styleId="apple-converted-space">
    <w:name w:val="apple-converted-space"/>
    <w:basedOn w:val="Fuentedeprrafopredeter"/>
    <w:rsid w:val="00CF33AC"/>
  </w:style>
  <w:style w:type="paragraph" w:customStyle="1" w:styleId="s16">
    <w:name w:val="s16"/>
    <w:basedOn w:val="Normal"/>
    <w:rsid w:val="00CF33AC"/>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CF33A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CF33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592fe157-d5c2-474d-aeb4-2e8e8fcba8d3"/>
    <ds:schemaRef ds:uri="8ae15d26-076e-464e-81a7-6f76a0fb3917"/>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34637D6-2698-456D-9761-6ED90B611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5332</Words>
  <Characters>29331</Characters>
  <Application>Microsoft Office Word</Application>
  <DocSecurity>0</DocSecurity>
  <Lines>244</Lines>
  <Paragraphs>69</Paragraphs>
  <ScaleCrop>false</ScaleCrop>
  <Company/>
  <LinksUpToDate>false</LinksUpToDate>
  <CharactersWithSpaces>34594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2023-01-10T21:18:00Z</cp:lastPrinted>
  <dcterms:created xsi:type="dcterms:W3CDTF">2025-07-08T19:39:00Z</dcterms:created>
  <dcterms:modified xsi:type="dcterms:W3CDTF">2025-07-09T21:24:00Z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