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04248" w14:textId="77777777" w:rsidR="00E37D25" w:rsidRDefault="00E37D25" w:rsidP="00E37D25">
      <w:pPr>
        <w:spacing w:after="0" w:line="240" w:lineRule="auto"/>
        <w:jc w:val="both"/>
        <w:rPr>
          <w:rFonts w:ascii="Verdana" w:eastAsia="Calibri" w:hAnsi="Verdana" w:cs="Arial"/>
          <w:b/>
          <w:bCs/>
          <w:color w:val="000000"/>
          <w:kern w:val="2"/>
          <w14:ligatures w14:val="standardContextual"/>
        </w:rPr>
      </w:pPr>
      <w:bookmarkStart w:id="0" w:name="_Hlk189391789"/>
    </w:p>
    <w:p w14:paraId="4AFBA09E" w14:textId="77777777" w:rsidR="00E37D25" w:rsidRPr="006A09D6" w:rsidRDefault="00E37D25" w:rsidP="00E37D25">
      <w:pPr>
        <w:spacing w:after="0" w:line="240" w:lineRule="auto"/>
        <w:jc w:val="both"/>
        <w:rPr>
          <w:rFonts w:ascii="Verdana" w:eastAsia="Calibri" w:hAnsi="Verdana" w:cs="Arial"/>
          <w:b/>
          <w:bCs/>
          <w:color w:val="000000"/>
          <w:kern w:val="2"/>
          <w14:ligatures w14:val="standardContextual"/>
        </w:rPr>
      </w:pPr>
      <w:r w:rsidRPr="006A09D6">
        <w:rPr>
          <w:rFonts w:ascii="Verdana" w:eastAsia="Calibri" w:hAnsi="Verdana" w:cs="Arial"/>
          <w:b/>
          <w:bCs/>
          <w:color w:val="000000"/>
          <w:kern w:val="2"/>
          <w14:ligatures w14:val="standardContextual"/>
        </w:rPr>
        <w:t xml:space="preserve">INHABILIDADES E INCOMPATIBILIDADES </w:t>
      </w:r>
      <w:r w:rsidRPr="006A09D6">
        <w:rPr>
          <w:rFonts w:ascii="Verdana" w:eastAsia="Calibri" w:hAnsi="Verdana" w:cs="Arial"/>
          <w:b/>
          <w:color w:val="000000"/>
          <w:kern w:val="2"/>
          <w14:ligatures w14:val="standardContextual"/>
        </w:rPr>
        <w:t>–</w:t>
      </w:r>
      <w:r w:rsidRPr="006A09D6">
        <w:rPr>
          <w:rFonts w:ascii="Verdana" w:eastAsia="Calibri" w:hAnsi="Verdana" w:cs="Arial"/>
          <w:b/>
          <w:bCs/>
          <w:color w:val="000000"/>
          <w:kern w:val="2"/>
          <w14:ligatures w14:val="standardContextual"/>
        </w:rPr>
        <w:t xml:space="preserve"> Concepto </w:t>
      </w:r>
    </w:p>
    <w:p w14:paraId="324DACC9" w14:textId="77777777" w:rsidR="00E37D25" w:rsidRPr="006A09D6" w:rsidRDefault="00E37D25" w:rsidP="00E37D25">
      <w:pPr>
        <w:spacing w:after="0" w:line="240" w:lineRule="auto"/>
        <w:jc w:val="both"/>
        <w:rPr>
          <w:rFonts w:ascii="Verdana" w:eastAsia="Calibri" w:hAnsi="Verdana" w:cs="Arial"/>
          <w:b/>
          <w:bCs/>
          <w:color w:val="000000"/>
          <w:kern w:val="2"/>
          <w14:ligatures w14:val="standardContextual"/>
        </w:rPr>
      </w:pPr>
    </w:p>
    <w:p w14:paraId="68EA5742" w14:textId="77777777" w:rsidR="00E37D25" w:rsidRDefault="00E37D25" w:rsidP="00E37D25">
      <w:pPr>
        <w:spacing w:after="0" w:line="240" w:lineRule="auto"/>
        <w:jc w:val="both"/>
        <w:rPr>
          <w:rFonts w:ascii="Verdana" w:eastAsia="Calibri" w:hAnsi="Verdana" w:cs="Arial"/>
          <w:color w:val="000000"/>
          <w:kern w:val="2"/>
          <w:sz w:val="20"/>
          <w:szCs w:val="20"/>
          <w14:ligatures w14:val="standardContextual"/>
        </w:rPr>
      </w:pPr>
      <w:r w:rsidRPr="006A09D6">
        <w:rPr>
          <w:rFonts w:ascii="Verdana" w:eastAsia="Calibri" w:hAnsi="Verdana" w:cs="Arial"/>
          <w:color w:val="000000"/>
          <w:kern w:val="2"/>
          <w:sz w:val="20"/>
          <w:szCs w:val="20"/>
          <w14:ligatures w14:val="standardContextual"/>
        </w:rPr>
        <w:t xml:space="preserve">Las </w:t>
      </w:r>
      <w:r w:rsidRPr="006A09D6">
        <w:rPr>
          <w:rFonts w:ascii="Verdana" w:eastAsia="Calibri" w:hAnsi="Verdana" w:cs="Arial"/>
          <w:i/>
          <w:iCs/>
          <w:color w:val="000000"/>
          <w:kern w:val="2"/>
          <w:sz w:val="20"/>
          <w:szCs w:val="20"/>
          <w14:ligatures w14:val="standardContextual"/>
        </w:rPr>
        <w:t>inhabilidades</w:t>
      </w:r>
      <w:r w:rsidRPr="006A09D6">
        <w:rPr>
          <w:rFonts w:ascii="Verdana" w:eastAsia="Calibri" w:hAnsi="Verdana" w:cs="Arial"/>
          <w:color w:val="000000"/>
          <w:kern w:val="2"/>
          <w:sz w:val="20"/>
          <w:szCs w:val="20"/>
          <w14:ligatures w14:val="standardContextual"/>
        </w:rPr>
        <w:t xml:space="preserve"> son prohibiciones para concurrir a los procedimientos de selección y para contratar con el Estado, que se derivan de:  i) la existencia de comportamientos reprochables o sanciones anteriormente impuestas, </w:t>
      </w:r>
      <w:proofErr w:type="spellStart"/>
      <w:r w:rsidRPr="006A09D6">
        <w:rPr>
          <w:rFonts w:ascii="Verdana" w:eastAsia="Calibri" w:hAnsi="Verdana" w:cs="Arial"/>
          <w:color w:val="000000"/>
          <w:kern w:val="2"/>
          <w:sz w:val="20"/>
          <w:szCs w:val="20"/>
          <w14:ligatures w14:val="standardContextual"/>
        </w:rPr>
        <w:t>ii</w:t>
      </w:r>
      <w:proofErr w:type="spellEnd"/>
      <w:r w:rsidRPr="006A09D6">
        <w:rPr>
          <w:rFonts w:ascii="Verdana" w:eastAsia="Calibri" w:hAnsi="Verdana" w:cs="Arial"/>
          <w:color w:val="000000"/>
          <w:kern w:val="2"/>
          <w:sz w:val="20"/>
          <w:szCs w:val="20"/>
          <w14:ligatures w14:val="standardContextual"/>
        </w:rPr>
        <w:t xml:space="preserve">) vínculos personales relativos al parentesco o al estado civil o </w:t>
      </w:r>
      <w:proofErr w:type="spellStart"/>
      <w:r w:rsidRPr="006A09D6">
        <w:rPr>
          <w:rFonts w:ascii="Verdana" w:eastAsia="Calibri" w:hAnsi="Verdana" w:cs="Arial"/>
          <w:color w:val="000000"/>
          <w:kern w:val="2"/>
          <w:sz w:val="20"/>
          <w:szCs w:val="20"/>
          <w14:ligatures w14:val="standardContextual"/>
        </w:rPr>
        <w:t>iii</w:t>
      </w:r>
      <w:proofErr w:type="spellEnd"/>
      <w:r w:rsidRPr="006A09D6">
        <w:rPr>
          <w:rFonts w:ascii="Verdana" w:eastAsia="Calibri" w:hAnsi="Verdana" w:cs="Arial"/>
          <w:color w:val="000000"/>
          <w:kern w:val="2"/>
          <w:sz w:val="20"/>
          <w:szCs w:val="20"/>
          <w14:ligatures w14:val="standardContextual"/>
        </w:rPr>
        <w:t xml:space="preserve">) una actividad u oficio que se desempeñó en el pasado. De otro lado, las </w:t>
      </w:r>
      <w:r w:rsidRPr="006A09D6">
        <w:rPr>
          <w:rFonts w:ascii="Verdana" w:eastAsia="Calibri" w:hAnsi="Verdana" w:cs="Arial"/>
          <w:i/>
          <w:iCs/>
          <w:color w:val="000000"/>
          <w:kern w:val="2"/>
          <w:sz w:val="20"/>
          <w:szCs w:val="20"/>
          <w14:ligatures w14:val="standardContextual"/>
        </w:rPr>
        <w:t>incompatibilidades</w:t>
      </w:r>
      <w:r w:rsidRPr="006A09D6">
        <w:rPr>
          <w:rFonts w:ascii="Verdana" w:eastAsia="Calibri" w:hAnsi="Verdana" w:cs="Arial"/>
          <w:color w:val="000000"/>
          <w:kern w:val="2"/>
          <w:sz w:val="20"/>
          <w:szCs w:val="20"/>
          <w14:ligatures w14:val="standardContextua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012280AE" w14:textId="77777777" w:rsidR="00E37D25" w:rsidRPr="006A09D6" w:rsidRDefault="00E37D25" w:rsidP="00E37D25">
      <w:pPr>
        <w:spacing w:after="0" w:line="240" w:lineRule="auto"/>
        <w:jc w:val="both"/>
        <w:rPr>
          <w:rFonts w:ascii="Verdana" w:eastAsia="Calibri" w:hAnsi="Verdana" w:cs="Arial"/>
          <w:color w:val="000000"/>
          <w:kern w:val="2"/>
          <w:sz w:val="20"/>
          <w:szCs w:val="20"/>
          <w14:ligatures w14:val="standardContextual"/>
        </w:rPr>
      </w:pPr>
    </w:p>
    <w:p w14:paraId="23AF56CC" w14:textId="77777777" w:rsidR="00E37D25" w:rsidRDefault="00E37D25" w:rsidP="00E37D25">
      <w:pPr>
        <w:spacing w:after="0" w:line="240" w:lineRule="auto"/>
        <w:jc w:val="both"/>
        <w:rPr>
          <w:rFonts w:ascii="Verdana" w:eastAsia="Calibri" w:hAnsi="Verdana" w:cs="Arial"/>
          <w:b/>
          <w:bCs/>
          <w:color w:val="000000"/>
          <w:kern w:val="2"/>
          <w14:ligatures w14:val="standardContextual"/>
        </w:rPr>
      </w:pPr>
      <w:r w:rsidRPr="005926DB">
        <w:rPr>
          <w:rFonts w:ascii="Verdana" w:eastAsia="Calibri" w:hAnsi="Verdana" w:cs="Arial"/>
          <w:b/>
          <w:bCs/>
          <w:color w:val="000000"/>
          <w:kern w:val="2"/>
          <w14:ligatures w14:val="standardContextual"/>
        </w:rPr>
        <w:t>INHABILIDADES – Clasificación – Sanción – Proceso sancionatorio – Requisito – Condiciones personales</w:t>
      </w:r>
      <w:r>
        <w:rPr>
          <w:rFonts w:ascii="Verdana" w:eastAsia="Calibri" w:hAnsi="Verdana" w:cs="Arial"/>
          <w:b/>
          <w:bCs/>
          <w:color w:val="000000"/>
          <w:kern w:val="2"/>
          <w14:ligatures w14:val="standardContextual"/>
        </w:rPr>
        <w:t xml:space="preserve"> </w:t>
      </w:r>
    </w:p>
    <w:p w14:paraId="18A1A3CF" w14:textId="77777777" w:rsidR="00E37D25" w:rsidRPr="00E62283" w:rsidRDefault="00E37D25" w:rsidP="00E37D25">
      <w:pPr>
        <w:spacing w:after="0" w:line="240" w:lineRule="auto"/>
        <w:jc w:val="both"/>
        <w:rPr>
          <w:rFonts w:ascii="Verdana" w:eastAsia="Calibri" w:hAnsi="Verdana" w:cs="Arial"/>
          <w:b/>
          <w:bCs/>
          <w:color w:val="000000"/>
          <w:kern w:val="2"/>
          <w14:ligatures w14:val="standardContextual"/>
        </w:rPr>
      </w:pPr>
    </w:p>
    <w:p w14:paraId="0C15F70F" w14:textId="77777777" w:rsidR="00E37D25" w:rsidRPr="00E62283" w:rsidRDefault="00E37D25" w:rsidP="00E37D25">
      <w:pPr>
        <w:spacing w:after="0" w:line="240" w:lineRule="auto"/>
        <w:jc w:val="both"/>
        <w:rPr>
          <w:rFonts w:ascii="Verdana" w:eastAsia="Calibri" w:hAnsi="Verdana" w:cs="Arial"/>
          <w:color w:val="000000"/>
          <w:kern w:val="2"/>
          <w:sz w:val="20"/>
          <w:szCs w:val="20"/>
          <w14:ligatures w14:val="standardContextual"/>
        </w:rPr>
      </w:pPr>
      <w:r w:rsidRPr="002C1006">
        <w:rPr>
          <w:rFonts w:ascii="Verdana" w:eastAsia="Calibri" w:hAnsi="Verdana" w:cs="Arial"/>
          <w:color w:val="000000"/>
          <w:kern w:val="2"/>
          <w:sz w:val="20"/>
          <w:szCs w:val="20"/>
          <w14:ligatures w14:val="standardContextual"/>
        </w:rPr>
        <w:t xml:space="preserve">Conviene también distinguir las fuentes de las inhabilidades, las cuales han sido clasificadas en dos (2) grupos: i) inhabilidades-sanción y </w:t>
      </w:r>
      <w:proofErr w:type="spellStart"/>
      <w:r w:rsidRPr="002C1006">
        <w:rPr>
          <w:rFonts w:ascii="Verdana" w:eastAsia="Calibri" w:hAnsi="Verdana" w:cs="Arial"/>
          <w:color w:val="000000"/>
          <w:kern w:val="2"/>
          <w:sz w:val="20"/>
          <w:szCs w:val="20"/>
          <w14:ligatures w14:val="standardContextual"/>
        </w:rPr>
        <w:t>ii</w:t>
      </w:r>
      <w:proofErr w:type="spellEnd"/>
      <w:r w:rsidRPr="002C1006">
        <w:rPr>
          <w:rFonts w:ascii="Verdana" w:eastAsia="Calibri" w:hAnsi="Verdana" w:cs="Arial"/>
          <w:color w:val="000000"/>
          <w:kern w:val="2"/>
          <w:sz w:val="20"/>
          <w:szCs w:val="20"/>
          <w14:ligatures w14:val="standardContextual"/>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8459BA">
        <w:rPr>
          <w:rFonts w:ascii="Verdana" w:eastAsia="Calibri" w:hAnsi="Verdana" w:cs="Arial"/>
          <w:color w:val="000000"/>
          <w:kern w:val="2"/>
          <w:sz w:val="20"/>
          <w:szCs w:val="20"/>
          <w14:ligatures w14:val="standardContextual"/>
        </w:rPr>
        <w:t>.</w:t>
      </w:r>
    </w:p>
    <w:p w14:paraId="41B3B4C8" w14:textId="77777777" w:rsidR="00E37D25" w:rsidRPr="00E62283" w:rsidRDefault="00E37D25" w:rsidP="00E37D25">
      <w:pPr>
        <w:spacing w:after="0" w:line="240" w:lineRule="auto"/>
        <w:jc w:val="both"/>
        <w:rPr>
          <w:rFonts w:ascii="Verdana" w:eastAsia="Calibri" w:hAnsi="Verdana" w:cs="Arial"/>
          <w:color w:val="000000"/>
          <w:kern w:val="2"/>
          <w:sz w:val="20"/>
          <w:szCs w:val="20"/>
          <w14:ligatures w14:val="standardContextual"/>
        </w:rPr>
      </w:pPr>
    </w:p>
    <w:p w14:paraId="262B32F0" w14:textId="77777777" w:rsidR="00E37D25" w:rsidRDefault="00E37D25" w:rsidP="00E37D25">
      <w:pPr>
        <w:spacing w:after="0" w:line="240" w:lineRule="auto"/>
        <w:jc w:val="both"/>
        <w:rPr>
          <w:rFonts w:ascii="Verdana" w:eastAsia="Calibri" w:hAnsi="Verdana" w:cs="Arial"/>
          <w:b/>
          <w:bCs/>
          <w:color w:val="000000"/>
          <w:kern w:val="2"/>
          <w14:ligatures w14:val="standardContextual"/>
        </w:rPr>
      </w:pPr>
      <w:r w:rsidRPr="005C023B">
        <w:rPr>
          <w:rFonts w:ascii="Verdana" w:eastAsia="Calibri" w:hAnsi="Verdana" w:cs="Arial"/>
          <w:b/>
          <w:bCs/>
          <w:color w:val="000000"/>
          <w:kern w:val="2"/>
          <w14:ligatures w14:val="standardContextual"/>
        </w:rPr>
        <w:t>INHABILIDADES – Taxatividad – Principio de legalidad – Interpretación restrictiva</w:t>
      </w:r>
    </w:p>
    <w:p w14:paraId="624DEDEA" w14:textId="77777777" w:rsidR="00E37D25" w:rsidRPr="005C023B" w:rsidRDefault="00E37D25" w:rsidP="00E37D25">
      <w:pPr>
        <w:spacing w:after="0" w:line="240" w:lineRule="auto"/>
        <w:jc w:val="both"/>
        <w:rPr>
          <w:rFonts w:ascii="Verdana" w:eastAsia="Calibri" w:hAnsi="Verdana" w:cs="Arial"/>
          <w:b/>
          <w:bCs/>
          <w:color w:val="000000"/>
          <w:kern w:val="2"/>
          <w:lang w:val="es-ES"/>
          <w14:ligatures w14:val="standardContextual"/>
        </w:rPr>
      </w:pPr>
    </w:p>
    <w:p w14:paraId="62AD03D8" w14:textId="77777777" w:rsidR="00E37D25" w:rsidRPr="00A90EBB" w:rsidRDefault="00E37D25" w:rsidP="00E37D25">
      <w:pPr>
        <w:spacing w:after="0" w:line="240" w:lineRule="auto"/>
        <w:jc w:val="both"/>
        <w:rPr>
          <w:rFonts w:ascii="Verdana" w:eastAsia="Calibri" w:hAnsi="Verdana" w:cs="Arial"/>
          <w:color w:val="000000"/>
          <w:kern w:val="2"/>
          <w:sz w:val="20"/>
          <w:szCs w:val="20"/>
          <w14:ligatures w14:val="standardContextual"/>
        </w:rPr>
      </w:pPr>
      <w:r w:rsidRPr="005C023B">
        <w:rPr>
          <w:rFonts w:ascii="Verdana" w:eastAsia="Calibri" w:hAnsi="Verdana" w:cs="Arial"/>
          <w:color w:val="000000"/>
          <w:kern w:val="2"/>
          <w:sz w:val="20"/>
          <w:szCs w:val="20"/>
          <w14:ligatures w14:val="standardContextua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22796D82" w14:textId="77777777" w:rsidR="00E37D25" w:rsidRDefault="00E37D25" w:rsidP="00E37D25">
      <w:pPr>
        <w:spacing w:after="0" w:line="240" w:lineRule="auto"/>
        <w:jc w:val="both"/>
        <w:rPr>
          <w:rFonts w:ascii="Verdana" w:eastAsia="Calibri" w:hAnsi="Verdana" w:cs="Arial"/>
          <w:b/>
          <w:color w:val="000000"/>
          <w:kern w:val="2"/>
          <w14:ligatures w14:val="standardContextual"/>
        </w:rPr>
      </w:pPr>
    </w:p>
    <w:p w14:paraId="276AC741" w14:textId="77777777" w:rsidR="00E37D25" w:rsidRDefault="00E37D25" w:rsidP="00E37D25">
      <w:pPr>
        <w:spacing w:after="0" w:line="240" w:lineRule="auto"/>
        <w:jc w:val="both"/>
        <w:rPr>
          <w:rFonts w:ascii="Verdana" w:eastAsia="Calibri" w:hAnsi="Verdana" w:cs="Arial"/>
          <w:b/>
          <w:bCs/>
          <w:color w:val="000000"/>
          <w:kern w:val="2"/>
          <w14:ligatures w14:val="standardContextual"/>
        </w:rPr>
      </w:pPr>
      <w:r w:rsidRPr="00952ECE">
        <w:rPr>
          <w:rFonts w:ascii="Verdana" w:eastAsia="Calibri" w:hAnsi="Verdana" w:cs="Arial"/>
          <w:b/>
          <w:bCs/>
          <w:color w:val="000000"/>
          <w:kern w:val="2"/>
          <w14:ligatures w14:val="standardContextual"/>
        </w:rPr>
        <w:t>REPRESENTANTES LEGALES DE PERSONAS JURÍDICAS – Condenados o Sancionados – No Extiende Efectos Inhabilidad Artículo 8, numeral 1, literal d)</w:t>
      </w:r>
    </w:p>
    <w:p w14:paraId="466AD6D7" w14:textId="77777777" w:rsidR="00E37D25" w:rsidRDefault="00E37D25" w:rsidP="00E37D25">
      <w:pPr>
        <w:spacing w:after="0" w:line="240" w:lineRule="auto"/>
        <w:jc w:val="both"/>
        <w:rPr>
          <w:rFonts w:ascii="Verdana" w:eastAsia="Calibri" w:hAnsi="Verdana" w:cs="Arial"/>
          <w:b/>
          <w:bCs/>
          <w:color w:val="000000"/>
          <w:kern w:val="2"/>
          <w14:ligatures w14:val="standardContextual"/>
        </w:rPr>
      </w:pPr>
    </w:p>
    <w:p w14:paraId="0BC0C1DD" w14:textId="77777777" w:rsidR="00E37D25" w:rsidRDefault="00E37D25" w:rsidP="00E37D25">
      <w:pPr>
        <w:spacing w:after="0" w:line="240" w:lineRule="auto"/>
        <w:jc w:val="both"/>
        <w:rPr>
          <w:rFonts w:ascii="Verdana" w:eastAsia="Calibri" w:hAnsi="Verdana" w:cs="Arial"/>
          <w:color w:val="000000"/>
          <w:kern w:val="2"/>
          <w:sz w:val="20"/>
          <w:szCs w:val="20"/>
          <w14:ligatures w14:val="standardContextual"/>
        </w:rPr>
      </w:pPr>
      <w:r w:rsidRPr="00F02212">
        <w:rPr>
          <w:rFonts w:ascii="Verdana" w:eastAsia="Calibri" w:hAnsi="Verdana" w:cs="Arial"/>
          <w:color w:val="000000"/>
          <w:kern w:val="2"/>
          <w:sz w:val="20"/>
          <w:szCs w:val="20"/>
          <w14:ligatures w14:val="standardContextual"/>
        </w:rPr>
        <w:t xml:space="preserve">De acuerdo con lo establecido en el literal d) del numeral 1 del artículo 8 de la Ley 80 de 1993, las personas naturales a las que se les haya impuesto una pena accesoria de interdicción de derechos y funciones públicas, al igual que las que hayan sido sancionados disciplinariamente con destitución, están incursas en la referida causal de inhabilidad, por lo que no pueden contratar con entidades estatales. De esta manera, una vez en firme la providencia que dispone la pena o sanción, la inhabilidad comienza </w:t>
      </w:r>
      <w:r w:rsidRPr="00F02212">
        <w:rPr>
          <w:rFonts w:ascii="Verdana" w:eastAsia="Calibri" w:hAnsi="Verdana" w:cs="Arial"/>
          <w:color w:val="000000"/>
          <w:kern w:val="2"/>
          <w:sz w:val="20"/>
          <w:szCs w:val="20"/>
          <w14:ligatures w14:val="standardContextual"/>
        </w:rPr>
        <w:lastRenderedPageBreak/>
        <w:t xml:space="preserve">a surtir sus efectos restringiendo de ese momento en adelante la posibilidad de suscribir nuevos contratos o participar en procesos de contratación.  </w:t>
      </w:r>
    </w:p>
    <w:p w14:paraId="7CD9E0E5" w14:textId="77777777" w:rsidR="00E37D25" w:rsidRPr="00F02212" w:rsidRDefault="00E37D25" w:rsidP="00E37D25">
      <w:pPr>
        <w:spacing w:after="0" w:line="240" w:lineRule="auto"/>
        <w:jc w:val="both"/>
        <w:rPr>
          <w:rFonts w:ascii="Verdana" w:eastAsia="Calibri" w:hAnsi="Verdana" w:cs="Arial"/>
          <w:color w:val="000000"/>
          <w:kern w:val="2"/>
          <w:sz w:val="20"/>
          <w:szCs w:val="20"/>
          <w14:ligatures w14:val="standardContextual"/>
        </w:rPr>
      </w:pPr>
    </w:p>
    <w:p w14:paraId="4D95B870" w14:textId="77777777" w:rsidR="00E37D25" w:rsidRDefault="00E37D25" w:rsidP="00E37D25">
      <w:pPr>
        <w:spacing w:after="0" w:line="240" w:lineRule="auto"/>
        <w:jc w:val="both"/>
        <w:rPr>
          <w:rFonts w:ascii="Verdana" w:eastAsia="Calibri" w:hAnsi="Verdana" w:cs="Arial"/>
          <w:color w:val="000000"/>
          <w:kern w:val="2"/>
          <w:sz w:val="20"/>
          <w:szCs w:val="20"/>
          <w14:ligatures w14:val="standardContextual"/>
        </w:rPr>
      </w:pPr>
      <w:r>
        <w:rPr>
          <w:rFonts w:ascii="Verdana" w:eastAsia="Calibri" w:hAnsi="Verdana" w:cs="Arial"/>
          <w:color w:val="000000"/>
          <w:kern w:val="2"/>
          <w:sz w:val="20"/>
          <w:szCs w:val="20"/>
          <w14:ligatures w14:val="standardContextual"/>
        </w:rPr>
        <w:t>[…]</w:t>
      </w:r>
    </w:p>
    <w:p w14:paraId="03D17549" w14:textId="77777777" w:rsidR="00E37D25" w:rsidRPr="00F02212" w:rsidRDefault="00E37D25" w:rsidP="00E37D25">
      <w:pPr>
        <w:spacing w:after="0" w:line="240" w:lineRule="auto"/>
        <w:jc w:val="both"/>
        <w:rPr>
          <w:rFonts w:ascii="Verdana" w:eastAsia="Calibri" w:hAnsi="Verdana" w:cs="Arial"/>
          <w:color w:val="000000"/>
          <w:kern w:val="2"/>
          <w:sz w:val="20"/>
          <w:szCs w:val="20"/>
          <w14:ligatures w14:val="standardContextual"/>
        </w:rPr>
      </w:pPr>
    </w:p>
    <w:p w14:paraId="158D27C5" w14:textId="77777777" w:rsidR="00E37D25" w:rsidRDefault="00E37D25" w:rsidP="00E37D25">
      <w:pPr>
        <w:spacing w:after="0" w:line="240" w:lineRule="auto"/>
        <w:jc w:val="both"/>
        <w:rPr>
          <w:rFonts w:ascii="Verdana" w:eastAsia="Calibri" w:hAnsi="Verdana" w:cs="Arial"/>
          <w:color w:val="000000"/>
          <w:kern w:val="2"/>
          <w:sz w:val="20"/>
          <w:szCs w:val="20"/>
          <w14:ligatures w14:val="standardContextual"/>
        </w:rPr>
      </w:pPr>
      <w:r w:rsidRPr="00F02212">
        <w:rPr>
          <w:rFonts w:ascii="Verdana" w:eastAsia="Calibri" w:hAnsi="Verdana" w:cs="Arial"/>
          <w:color w:val="000000"/>
          <w:kern w:val="2"/>
          <w:sz w:val="20"/>
          <w:szCs w:val="20"/>
          <w14:ligatures w14:val="standardContextual"/>
        </w:rPr>
        <w:t>No obstante, en la consulta que se resuelve se plantea la inquietud sobre si, de conformidad con el régimen de inhabilidades e incompatibilidades previsto en el Estatuto General de Contratación de la Administración Pública, se configura dicha causal cuando personas jurídicas —particularmente organizaciones no gubernamentales y entidades sin ánimo de lucro— pretendan participar en procesos de selección pública y su representante legal, en calidad de gerente o presidente de la organización, es una persona natural sancionada con destitución e inhabilidad en el marco de un proceso disciplinario. En ese contexto, y con base en las consideraciones propuestas, se advierte que la causal del literal d), numeral 1 del artículo 8 de la Ley 80 de 1993 restringe y limita la capacidad jurídica exclusivamente de la persona natural condenada a la pena accesoria de interdicción de derechos y funciones públicas y a aquellas que fueron sancionadas disciplinariamente con destitución, sin que se pueda entender que sus efectos se extienden a las personas jurídicas en las cuales sobre su representante legal recaigan dichas sanciones y condenas.</w:t>
      </w:r>
    </w:p>
    <w:p w14:paraId="633B7786" w14:textId="77777777" w:rsidR="00E37D25" w:rsidRPr="00F02212" w:rsidRDefault="00E37D25" w:rsidP="00E37D25">
      <w:pPr>
        <w:spacing w:after="0" w:line="240" w:lineRule="auto"/>
        <w:jc w:val="both"/>
        <w:rPr>
          <w:rFonts w:ascii="Verdana" w:eastAsia="Calibri" w:hAnsi="Verdana" w:cs="Arial"/>
          <w:color w:val="000000"/>
          <w:kern w:val="2"/>
          <w:sz w:val="20"/>
          <w:szCs w:val="20"/>
          <w14:ligatures w14:val="standardContextual"/>
        </w:rPr>
      </w:pPr>
    </w:p>
    <w:p w14:paraId="7B652A0A" w14:textId="77777777" w:rsidR="00E37D25" w:rsidRDefault="00E37D25" w:rsidP="00E37D25">
      <w:pPr>
        <w:spacing w:after="0" w:line="240" w:lineRule="auto"/>
        <w:jc w:val="both"/>
        <w:rPr>
          <w:rFonts w:ascii="Verdana" w:eastAsia="Calibri" w:hAnsi="Verdana" w:cs="Arial"/>
          <w:color w:val="000000"/>
          <w:kern w:val="2"/>
          <w:sz w:val="20"/>
          <w:szCs w:val="20"/>
          <w14:ligatures w14:val="standardContextual"/>
        </w:rPr>
      </w:pPr>
      <w:r w:rsidRPr="00F02212">
        <w:rPr>
          <w:rFonts w:ascii="Verdana" w:eastAsia="Calibri" w:hAnsi="Verdana" w:cs="Arial"/>
          <w:color w:val="000000"/>
          <w:kern w:val="2"/>
          <w:sz w:val="20"/>
          <w:szCs w:val="20"/>
          <w14:ligatures w14:val="standardContextual"/>
        </w:rPr>
        <w:t>En otras palabras, verificado el régimen de inhabilidades e incompatibilidades contenido en la Ley 80 de 1993, no se identifica alguna causal que limite la capacidad jurídica de aquellas personas jurídicas —sean organizaciones no gubernamentales o sean entidades sin ánimo de lucro— que pretendan contratar con el Estado, y su representante legal hubiese sido condenado o sancionado mediante sentencia judicial de naturaleza penal o administrativa. Sobre todo, cuando en la exposición de las consideraciones del presente concepto se puso de presente la exigencia en cabeza del operador jurídico de observar el principio de interpretación restrictiva del régimen de inhabilidades e incompatibilidades vigentes en Colombia, que consiste en que consiste en que tales disposiciones deben interpretarse de forma estricta, literal y restringida, sin extender su alcance más allá de lo que expresamente dispone la norma.</w:t>
      </w:r>
    </w:p>
    <w:p w14:paraId="730AC415" w14:textId="77777777" w:rsidR="00E37D25" w:rsidRPr="00F02212" w:rsidRDefault="00E37D25" w:rsidP="00E37D25">
      <w:pPr>
        <w:spacing w:after="0" w:line="240" w:lineRule="auto"/>
        <w:jc w:val="both"/>
        <w:rPr>
          <w:rFonts w:ascii="Verdana" w:eastAsia="Calibri" w:hAnsi="Verdana" w:cs="Arial"/>
          <w:color w:val="000000"/>
          <w:kern w:val="2"/>
          <w:sz w:val="20"/>
          <w:szCs w:val="20"/>
          <w14:ligatures w14:val="standardContextual"/>
        </w:rPr>
      </w:pPr>
    </w:p>
    <w:p w14:paraId="7F113C9B" w14:textId="77777777" w:rsidR="00E37D25" w:rsidRDefault="00E37D25" w:rsidP="00E37D25">
      <w:pPr>
        <w:spacing w:after="0" w:line="240" w:lineRule="auto"/>
        <w:jc w:val="both"/>
        <w:rPr>
          <w:rFonts w:ascii="Verdana" w:eastAsia="Calibri" w:hAnsi="Verdana" w:cs="Arial"/>
          <w:color w:val="000000"/>
          <w:kern w:val="2"/>
          <w:sz w:val="20"/>
          <w:szCs w:val="20"/>
          <w14:ligatures w14:val="standardContextual"/>
        </w:rPr>
      </w:pPr>
      <w:r w:rsidRPr="00F02212">
        <w:rPr>
          <w:rFonts w:ascii="Verdana" w:eastAsia="Calibri" w:hAnsi="Verdana" w:cs="Arial"/>
          <w:color w:val="000000"/>
          <w:kern w:val="2"/>
          <w:sz w:val="20"/>
          <w:szCs w:val="20"/>
          <w14:ligatures w14:val="standardContextual"/>
        </w:rPr>
        <w:t>Dicho esto, al no admitirse analogías ni interpretaciones extensivas, no se puede aplicar por semejanza tal limitación a las personas jurídicas que ostenten representantes legales condenados o sancionados, dado que dicha situación no se encuentra expresamente en la disposición estudiada, en procura de salvaguardar la seguridad jurídica y el principio de legalidad en materia de contratación pública.</w:t>
      </w:r>
    </w:p>
    <w:p w14:paraId="534F0490" w14:textId="77777777" w:rsidR="00E37D25" w:rsidRPr="00F02212" w:rsidRDefault="00E37D25" w:rsidP="00E37D25">
      <w:pPr>
        <w:spacing w:after="0" w:line="240" w:lineRule="auto"/>
        <w:jc w:val="both"/>
        <w:rPr>
          <w:rFonts w:ascii="Verdana" w:eastAsia="Calibri" w:hAnsi="Verdana" w:cs="Arial"/>
          <w:color w:val="000000"/>
          <w:kern w:val="2"/>
          <w:sz w:val="20"/>
          <w:szCs w:val="20"/>
          <w14:ligatures w14:val="standardContextual"/>
        </w:rPr>
      </w:pPr>
    </w:p>
    <w:p w14:paraId="196EE4B4" w14:textId="77777777" w:rsidR="00E37D25" w:rsidRPr="00F02212" w:rsidRDefault="00E37D25" w:rsidP="00E37D25">
      <w:pPr>
        <w:spacing w:after="0" w:line="240" w:lineRule="auto"/>
        <w:jc w:val="both"/>
        <w:rPr>
          <w:rFonts w:ascii="Verdana" w:eastAsia="Calibri" w:hAnsi="Verdana" w:cs="Arial"/>
          <w:color w:val="000000"/>
          <w:kern w:val="2"/>
          <w:sz w:val="20"/>
          <w:szCs w:val="20"/>
          <w14:ligatures w14:val="standardContextual"/>
        </w:rPr>
      </w:pPr>
      <w:r w:rsidRPr="00F02212">
        <w:rPr>
          <w:rFonts w:ascii="Verdana" w:eastAsia="Calibri" w:hAnsi="Verdana" w:cs="Arial"/>
          <w:color w:val="000000"/>
          <w:kern w:val="2"/>
          <w:sz w:val="20"/>
          <w:szCs w:val="20"/>
          <w14:ligatures w14:val="standardContextual"/>
        </w:rPr>
        <w:t>En síntesis, al no encontrarse una norma expresa que extienda la inhabilidad disciplinaria del representante legal a la persona jurídica (ONG o entidad sin ánimo de lucro), no es jurídicamente viable restringir su participación en procesos de selección ni su capacidad para contratar con el Estado. Cualquier interpretación que busque imponer esa restricción, violaría los principios de legalidad, debido proceso y seguridad jurídica.</w:t>
      </w:r>
    </w:p>
    <w:p w14:paraId="4E487F71" w14:textId="77777777" w:rsidR="00E37D25" w:rsidRPr="00F02212" w:rsidRDefault="00E37D25" w:rsidP="00E37D25">
      <w:pPr>
        <w:spacing w:after="0" w:line="240" w:lineRule="auto"/>
        <w:jc w:val="both"/>
        <w:rPr>
          <w:rFonts w:ascii="Verdana" w:eastAsia="Calibri" w:hAnsi="Verdana" w:cs="Arial"/>
          <w:color w:val="000000"/>
          <w:kern w:val="2"/>
          <w:sz w:val="20"/>
          <w:szCs w:val="20"/>
          <w14:ligatures w14:val="standardContextual"/>
        </w:rPr>
      </w:pPr>
    </w:p>
    <w:p w14:paraId="4E4DF8C7" w14:textId="77777777" w:rsidR="00E37D25" w:rsidRDefault="00E37D25" w:rsidP="00E37D25">
      <w:pPr>
        <w:spacing w:after="0" w:line="240" w:lineRule="auto"/>
        <w:jc w:val="both"/>
        <w:rPr>
          <w:rFonts w:ascii="Verdana" w:eastAsia="Calibri" w:hAnsi="Verdana" w:cs="Arial"/>
          <w:b/>
          <w:color w:val="000000"/>
          <w:kern w:val="2"/>
          <w14:ligatures w14:val="standardContextual"/>
        </w:rPr>
      </w:pPr>
    </w:p>
    <w:p w14:paraId="204DC542" w14:textId="77777777" w:rsidR="00E37D25" w:rsidRDefault="00E37D25" w:rsidP="00E37D25">
      <w:pPr>
        <w:spacing w:after="0" w:line="240" w:lineRule="auto"/>
        <w:jc w:val="both"/>
        <w:rPr>
          <w:rFonts w:ascii="Verdana" w:eastAsia="Calibri" w:hAnsi="Verdana" w:cs="Arial"/>
          <w:b/>
          <w:color w:val="000000"/>
          <w:kern w:val="2"/>
          <w14:ligatures w14:val="standardContextual"/>
        </w:rPr>
      </w:pPr>
    </w:p>
    <w:p w14:paraId="62953C15" w14:textId="77777777" w:rsidR="00E37D25" w:rsidRDefault="00E37D25" w:rsidP="00E37D25">
      <w:pPr>
        <w:spacing w:after="0" w:line="240" w:lineRule="auto"/>
        <w:jc w:val="both"/>
        <w:rPr>
          <w:rFonts w:ascii="Verdana" w:eastAsia="Calibri" w:hAnsi="Verdana" w:cs="Arial"/>
          <w:b/>
          <w:color w:val="000000"/>
          <w:kern w:val="2"/>
          <w14:ligatures w14:val="standardContextual"/>
        </w:rPr>
      </w:pPr>
    </w:p>
    <w:p w14:paraId="122ED9EF" w14:textId="77777777" w:rsidR="00E37D25" w:rsidRDefault="00E37D25" w:rsidP="00E37D25">
      <w:pPr>
        <w:spacing w:after="0" w:line="240" w:lineRule="auto"/>
        <w:jc w:val="both"/>
        <w:rPr>
          <w:rFonts w:ascii="Verdana" w:eastAsia="Calibri" w:hAnsi="Verdana" w:cs="Arial"/>
          <w:b/>
          <w:color w:val="000000"/>
          <w:kern w:val="2"/>
          <w14:ligatures w14:val="standardContextual"/>
        </w:rPr>
      </w:pPr>
    </w:p>
    <w:p w14:paraId="7267BAFD" w14:textId="090CDA2F" w:rsidR="00E37D25" w:rsidRPr="00DE628D" w:rsidRDefault="00E37D25" w:rsidP="00E37D25">
      <w:pPr>
        <w:spacing w:after="0" w:line="240" w:lineRule="auto"/>
        <w:rPr>
          <w:rFonts w:ascii="Verdana" w:eastAsia="Times New Roman" w:hAnsi="Verdana" w:cs="Arial"/>
          <w:lang w:val="pt-BR" w:eastAsia="es-ES_tradnl"/>
        </w:rPr>
      </w:pPr>
      <w:r w:rsidRPr="00DE628D">
        <w:rPr>
          <w:rFonts w:ascii="Verdana" w:eastAsia="Times New Roman" w:hAnsi="Verdana" w:cs="Arial"/>
          <w:lang w:val="pt-BR" w:eastAsia="es-ES_tradnl"/>
        </w:rPr>
        <w:lastRenderedPageBreak/>
        <w:t>Bogotá D.C., </w:t>
      </w:r>
      <w:r w:rsidR="00DE628D" w:rsidRPr="00DE628D">
        <w:rPr>
          <w:rFonts w:ascii="Verdana" w:eastAsia="Times New Roman" w:hAnsi="Verdana" w:cs="Arial"/>
          <w:lang w:val="pt-BR" w:eastAsia="es-ES_tradnl"/>
        </w:rPr>
        <w:t>05</w:t>
      </w:r>
      <w:r w:rsidRPr="00DE628D">
        <w:rPr>
          <w:rFonts w:ascii="Verdana" w:eastAsia="Times New Roman" w:hAnsi="Verdana" w:cs="Arial"/>
          <w:lang w:val="pt-BR" w:eastAsia="es-ES_tradnl"/>
        </w:rPr>
        <w:t xml:space="preserve"> de </w:t>
      </w:r>
      <w:r w:rsidR="00DE628D" w:rsidRPr="00DE628D">
        <w:rPr>
          <w:rFonts w:ascii="Verdana" w:eastAsia="Times New Roman" w:hAnsi="Verdana" w:cs="Arial"/>
          <w:lang w:val="pt-BR" w:eastAsia="es-ES_tradnl"/>
        </w:rPr>
        <w:t>agosto</w:t>
      </w:r>
      <w:r w:rsidRPr="00DE628D">
        <w:rPr>
          <w:rFonts w:ascii="Verdana" w:eastAsia="Times New Roman" w:hAnsi="Verdana" w:cs="Arial"/>
          <w:lang w:val="pt-BR" w:eastAsia="es-ES_tradnl"/>
        </w:rPr>
        <w:t xml:space="preserve"> de </w:t>
      </w:r>
      <w:r w:rsidR="00DE628D" w:rsidRPr="00DE628D">
        <w:rPr>
          <w:rFonts w:ascii="Verdana" w:eastAsia="Times New Roman" w:hAnsi="Verdana" w:cs="Arial"/>
          <w:lang w:val="pt-BR" w:eastAsia="es-ES_tradnl"/>
        </w:rPr>
        <w:t>2025</w:t>
      </w:r>
      <w:r w:rsidRPr="00DE628D">
        <w:rPr>
          <w:rFonts w:ascii="Verdana" w:eastAsia="Times New Roman" w:hAnsi="Verdana" w:cs="Arial"/>
          <w:lang w:val="pt-BR" w:eastAsia="es-ES_tradnl"/>
        </w:rPr>
        <w:t> </w:t>
      </w:r>
    </w:p>
    <w:p w14:paraId="107D6C15" w14:textId="77777777" w:rsidR="00E37D25" w:rsidRPr="00DE628D" w:rsidRDefault="00E37D25" w:rsidP="00E37D25">
      <w:pPr>
        <w:spacing w:after="0" w:line="240" w:lineRule="auto"/>
        <w:jc w:val="right"/>
        <w:rPr>
          <w:rFonts w:ascii="Verdana" w:eastAsia="Times New Roman" w:hAnsi="Verdana" w:cs="Arial"/>
          <w:lang w:val="pt-BR" w:eastAsia="es-ES_tradnl"/>
        </w:rPr>
      </w:pPr>
    </w:p>
    <w:p w14:paraId="5B3F0048" w14:textId="753DA9B6" w:rsidR="00DE628D" w:rsidRPr="006A09D6" w:rsidRDefault="00DE628D" w:rsidP="00DE628D">
      <w:pPr>
        <w:spacing w:after="0" w:line="240" w:lineRule="auto"/>
        <w:jc w:val="right"/>
        <w:rPr>
          <w:rFonts w:ascii="Verdana" w:eastAsia="Times New Roman" w:hAnsi="Verdana" w:cs="Arial"/>
          <w:lang w:eastAsia="es-ES_tradnl"/>
        </w:rPr>
      </w:pPr>
      <w:r w:rsidRPr="00DE628D">
        <w:rPr>
          <w:rFonts w:ascii="Verdana" w:eastAsia="Times New Roman" w:hAnsi="Verdana" w:cs="Arial"/>
          <w:lang w:eastAsia="es-ES_tradnl"/>
        </w:rPr>
        <w:drawing>
          <wp:inline distT="0" distB="0" distL="0" distR="0" wp14:anchorId="59A49D62" wp14:editId="69EE916B">
            <wp:extent cx="4093670" cy="1052830"/>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95549" cy="1053313"/>
                    </a:xfrm>
                    <a:prstGeom prst="rect">
                      <a:avLst/>
                    </a:prstGeom>
                  </pic:spPr>
                </pic:pic>
              </a:graphicData>
            </a:graphic>
          </wp:inline>
        </w:drawing>
      </w:r>
    </w:p>
    <w:p w14:paraId="36A811F5" w14:textId="77777777" w:rsidR="00E37D25" w:rsidRPr="006A09D6" w:rsidRDefault="00E37D25" w:rsidP="00E37D25">
      <w:pPr>
        <w:spacing w:after="0" w:line="240" w:lineRule="auto"/>
        <w:jc w:val="both"/>
        <w:rPr>
          <w:rFonts w:ascii="Verdana" w:eastAsia="Calibri" w:hAnsi="Verdana" w:cs="Arial"/>
          <w:lang w:eastAsia="es-ES_tradnl"/>
        </w:rPr>
      </w:pPr>
      <w:r w:rsidRPr="006A09D6">
        <w:rPr>
          <w:rFonts w:ascii="Verdana" w:eastAsia="Calibri" w:hAnsi="Verdana" w:cs="Arial"/>
          <w:lang w:eastAsia="es-ES_tradnl"/>
        </w:rPr>
        <w:t>Señor</w:t>
      </w:r>
    </w:p>
    <w:p w14:paraId="68C5C3E9" w14:textId="77777777" w:rsidR="00E37D25" w:rsidRPr="00D30B23" w:rsidRDefault="00E37D25" w:rsidP="00E37D25">
      <w:pPr>
        <w:spacing w:after="0" w:line="240" w:lineRule="auto"/>
        <w:rPr>
          <w:rFonts w:ascii="Verdana" w:eastAsia="Calibri" w:hAnsi="Verdana" w:cs="Arial"/>
          <w:b/>
          <w:bCs/>
          <w:lang w:eastAsia="es-ES_tradnl"/>
        </w:rPr>
      </w:pPr>
      <w:r w:rsidRPr="00D30B23">
        <w:rPr>
          <w:rFonts w:ascii="Verdana" w:eastAsia="Calibri" w:hAnsi="Verdana" w:cs="Arial"/>
          <w:b/>
          <w:bCs/>
          <w:lang w:eastAsia="es-ES_tradnl"/>
        </w:rPr>
        <w:t>Jonathan Andrés Chávez Romero</w:t>
      </w:r>
    </w:p>
    <w:p w14:paraId="05F9AEAB" w14:textId="77777777" w:rsidR="00E37D25" w:rsidRPr="00D30B23" w:rsidRDefault="00BB3391" w:rsidP="00E37D25">
      <w:pPr>
        <w:spacing w:after="0" w:line="240" w:lineRule="auto"/>
        <w:rPr>
          <w:rFonts w:ascii="Verdana" w:hAnsi="Verdana"/>
        </w:rPr>
      </w:pPr>
      <w:hyperlink r:id="rId8" w:history="1">
        <w:r w:rsidR="00E37D25" w:rsidRPr="00D30B23">
          <w:rPr>
            <w:rStyle w:val="Hipervnculo"/>
            <w:rFonts w:ascii="Verdana" w:hAnsi="Verdana"/>
          </w:rPr>
          <w:t>jefaturapublicos@derechoypropiedad.com</w:t>
        </w:r>
      </w:hyperlink>
      <w:r w:rsidR="00E37D25" w:rsidRPr="00D30B23">
        <w:rPr>
          <w:rFonts w:ascii="Verdana" w:hAnsi="Verdana"/>
        </w:rPr>
        <w:t xml:space="preserve">   </w:t>
      </w:r>
    </w:p>
    <w:p w14:paraId="56AE949C" w14:textId="77777777" w:rsidR="00E37D25" w:rsidRPr="006A09D6" w:rsidRDefault="00E37D25" w:rsidP="00E37D25">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0288113F" w14:textId="77777777" w:rsidR="00E37D25" w:rsidRPr="006A09D6" w:rsidRDefault="00E37D25" w:rsidP="00E37D25">
      <w:pPr>
        <w:spacing w:after="0" w:line="240" w:lineRule="auto"/>
        <w:rPr>
          <w:rFonts w:ascii="Verdana" w:eastAsia="Calibri" w:hAnsi="Verdana" w:cs="Arial"/>
          <w:lang w:eastAsia="es-ES_tradnl"/>
        </w:rPr>
      </w:pPr>
    </w:p>
    <w:p w14:paraId="390A58EE" w14:textId="77777777" w:rsidR="00E37D25" w:rsidRPr="006A09D6" w:rsidRDefault="00E37D25" w:rsidP="00E37D25">
      <w:pPr>
        <w:spacing w:after="0" w:line="240" w:lineRule="auto"/>
        <w:ind w:left="2694"/>
        <w:rPr>
          <w:rFonts w:ascii="Verdana" w:eastAsia="Calibri" w:hAnsi="Verdana" w:cs="Arial"/>
          <w:b/>
          <w:bCs/>
          <w:lang w:eastAsia="es-ES_tradnl"/>
        </w:rPr>
      </w:pPr>
      <w:r w:rsidRPr="006A09D6">
        <w:rPr>
          <w:rFonts w:ascii="Verdana" w:eastAsia="Calibri" w:hAnsi="Verdana" w:cs="Arial"/>
          <w:b/>
          <w:bCs/>
          <w:lang w:eastAsia="es-ES_tradnl"/>
        </w:rPr>
        <w:t>Concepto C-</w:t>
      </w:r>
      <w:r>
        <w:rPr>
          <w:rFonts w:ascii="Verdana" w:eastAsia="Calibri" w:hAnsi="Verdana" w:cs="Arial"/>
          <w:b/>
          <w:bCs/>
          <w:lang w:eastAsia="es-ES_tradnl"/>
        </w:rPr>
        <w:t>827</w:t>
      </w:r>
      <w:r w:rsidRPr="006A09D6">
        <w:rPr>
          <w:rFonts w:ascii="Verdana" w:eastAsia="Calibri" w:hAnsi="Verdana" w:cs="Arial"/>
          <w:b/>
          <w:bCs/>
          <w:lang w:eastAsia="es-ES_tradnl"/>
        </w:rPr>
        <w:t xml:space="preserve"> de 202</w:t>
      </w:r>
      <w:r>
        <w:rPr>
          <w:rFonts w:ascii="Verdana" w:eastAsia="Calibri" w:hAnsi="Verdana" w:cs="Arial"/>
          <w:b/>
          <w:bCs/>
          <w:lang w:eastAsia="es-ES_tradnl"/>
        </w:rPr>
        <w:t>5</w:t>
      </w:r>
    </w:p>
    <w:p w14:paraId="5D028165" w14:textId="77777777" w:rsidR="00E37D25" w:rsidRPr="006A09D6" w:rsidRDefault="00E37D25" w:rsidP="00E37D25">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37D25" w:rsidRPr="006A09D6" w14:paraId="46831B53" w14:textId="77777777" w:rsidTr="003B652A">
        <w:trPr>
          <w:trHeight w:val="1434"/>
          <w:jc w:val="right"/>
        </w:trPr>
        <w:tc>
          <w:tcPr>
            <w:tcW w:w="1838" w:type="dxa"/>
          </w:tcPr>
          <w:p w14:paraId="442AF5DA" w14:textId="77777777" w:rsidR="00E37D25" w:rsidRPr="006A09D6" w:rsidRDefault="00E37D25" w:rsidP="003B652A">
            <w:pPr>
              <w:jc w:val="center"/>
              <w:rPr>
                <w:rFonts w:ascii="Verdana" w:eastAsia="Calibri" w:hAnsi="Verdana" w:cs="Arial"/>
                <w:lang w:eastAsia="es-ES_tradnl"/>
              </w:rPr>
            </w:pPr>
            <w:r w:rsidRPr="006A09D6">
              <w:rPr>
                <w:rFonts w:ascii="Verdana" w:eastAsia="Calibri" w:hAnsi="Verdana" w:cs="Arial"/>
                <w:b/>
                <w:lang w:eastAsia="es-ES_tradnl"/>
              </w:rPr>
              <w:t>Temas:</w:t>
            </w:r>
          </w:p>
        </w:tc>
        <w:tc>
          <w:tcPr>
            <w:tcW w:w="6237" w:type="dxa"/>
          </w:tcPr>
          <w:p w14:paraId="3F269731" w14:textId="77777777" w:rsidR="00E37D25" w:rsidRPr="006A09D6" w:rsidRDefault="00E37D25" w:rsidP="003B652A">
            <w:pPr>
              <w:jc w:val="both"/>
              <w:rPr>
                <w:rFonts w:ascii="Verdana" w:eastAsia="Times New Roman" w:hAnsi="Verdana" w:cs="Arial"/>
                <w:lang w:eastAsia="es-ES_tradnl"/>
              </w:rPr>
            </w:pPr>
            <w:r w:rsidRPr="00E31955">
              <w:rPr>
                <w:rFonts w:ascii="Verdana" w:eastAsia="Times New Roman" w:hAnsi="Verdana" w:cs="Arial"/>
                <w:lang w:eastAsia="es-ES_tradnl"/>
              </w:rPr>
              <w:t xml:space="preserve">INHABILIDADES E INCOMPATIBILIDADES – Concepto </w:t>
            </w:r>
            <w:r>
              <w:rPr>
                <w:rFonts w:ascii="Verdana" w:eastAsia="Times New Roman" w:hAnsi="Verdana" w:cs="Arial"/>
                <w:lang w:eastAsia="es-ES_tradnl"/>
              </w:rPr>
              <w:t xml:space="preserve">/ </w:t>
            </w:r>
            <w:r w:rsidRPr="00522ADC">
              <w:rPr>
                <w:rFonts w:ascii="Verdana" w:eastAsia="Times New Roman" w:hAnsi="Verdana" w:cs="Arial"/>
                <w:lang w:eastAsia="es-ES_tradnl"/>
              </w:rPr>
              <w:t xml:space="preserve">INHABILIDADES – Clasificación – Sanción – Proceso sancionatorio – Requisito – Condiciones personales </w:t>
            </w:r>
            <w:r>
              <w:rPr>
                <w:rFonts w:ascii="Verdana" w:eastAsia="Times New Roman" w:hAnsi="Verdana" w:cs="Arial"/>
                <w:lang w:eastAsia="es-ES_tradnl"/>
              </w:rPr>
              <w:t xml:space="preserve">/ </w:t>
            </w:r>
            <w:r w:rsidRPr="00392800">
              <w:rPr>
                <w:rFonts w:ascii="Verdana" w:eastAsia="Times New Roman" w:hAnsi="Verdana" w:cs="Arial"/>
                <w:lang w:eastAsia="es-ES_tradnl"/>
              </w:rPr>
              <w:t>INHABILIDADES – Taxatividad – Principio de legalidad – Interpretación restrictiva</w:t>
            </w:r>
            <w:r>
              <w:rPr>
                <w:rFonts w:ascii="Verdana" w:eastAsia="Times New Roman" w:hAnsi="Verdana" w:cs="Arial"/>
                <w:lang w:eastAsia="es-ES_tradnl"/>
              </w:rPr>
              <w:t xml:space="preserve"> / REPRESENTANTES LEGALES DE PERSONAS JURÍDICAS – Condenados o Sancionados – No Extiende Efectos Inhabilidad Artículo 8, numeral 1, literal d) – </w:t>
            </w:r>
            <w:r w:rsidRPr="006D7C7D">
              <w:rPr>
                <w:rFonts w:ascii="Verdana" w:eastAsia="Times New Roman" w:hAnsi="Verdana" w:cs="Arial"/>
                <w:lang w:eastAsia="es-ES_tradnl"/>
              </w:rPr>
              <w:t>INHABILIDAD SOBREVINIENTES</w:t>
            </w:r>
          </w:p>
        </w:tc>
      </w:tr>
      <w:tr w:rsidR="00E37D25" w:rsidRPr="006A09D6" w14:paraId="3A36028C" w14:textId="77777777" w:rsidTr="003B652A">
        <w:trPr>
          <w:jc w:val="right"/>
        </w:trPr>
        <w:tc>
          <w:tcPr>
            <w:tcW w:w="1838" w:type="dxa"/>
          </w:tcPr>
          <w:p w14:paraId="2EBC27E7" w14:textId="77777777" w:rsidR="00E37D25" w:rsidRPr="006A09D6" w:rsidRDefault="00E37D25" w:rsidP="003B652A">
            <w:pPr>
              <w:jc w:val="center"/>
              <w:rPr>
                <w:rFonts w:ascii="Verdana" w:eastAsia="Calibri" w:hAnsi="Verdana" w:cs="Arial"/>
                <w:b/>
                <w:lang w:eastAsia="es-ES_tradnl"/>
              </w:rPr>
            </w:pPr>
            <w:r w:rsidRPr="006A09D6">
              <w:rPr>
                <w:rFonts w:ascii="Verdana" w:eastAsia="Calibri" w:hAnsi="Verdana" w:cs="Arial"/>
                <w:b/>
                <w:lang w:eastAsia="es-ES_tradnl"/>
              </w:rPr>
              <w:t>Radicación:</w:t>
            </w:r>
          </w:p>
        </w:tc>
        <w:tc>
          <w:tcPr>
            <w:tcW w:w="6237" w:type="dxa"/>
          </w:tcPr>
          <w:p w14:paraId="0353A037" w14:textId="77777777" w:rsidR="00E37D25" w:rsidRPr="006A09D6" w:rsidRDefault="00E37D25" w:rsidP="003B652A">
            <w:pPr>
              <w:jc w:val="both"/>
              <w:rPr>
                <w:rFonts w:ascii="Verdana" w:eastAsia="Calibri" w:hAnsi="Verdana" w:cs="Arial"/>
                <w:lang w:eastAsia="es-ES_tradnl"/>
              </w:rPr>
            </w:pPr>
            <w:r w:rsidRPr="006A09D6">
              <w:rPr>
                <w:rFonts w:ascii="Verdana" w:eastAsia="Calibri" w:hAnsi="Verdana" w:cs="Arial"/>
                <w:lang w:eastAsia="es-ES_tradnl"/>
              </w:rPr>
              <w:t xml:space="preserve">Respuesta a consulta radicado No. </w:t>
            </w:r>
            <w:r w:rsidRPr="00F1002B">
              <w:rPr>
                <w:rFonts w:ascii="Verdana" w:eastAsia="Times New Roman" w:hAnsi="Verdana" w:cs="Arial"/>
                <w:lang w:eastAsia="es-ES_tradnl"/>
              </w:rPr>
              <w:t>1_2025_06_24_006268</w:t>
            </w:r>
          </w:p>
        </w:tc>
      </w:tr>
    </w:tbl>
    <w:p w14:paraId="450C80EA" w14:textId="77777777" w:rsidR="00E37D25" w:rsidRPr="006A09D6" w:rsidRDefault="00E37D25" w:rsidP="00E37D25">
      <w:pPr>
        <w:spacing w:after="0" w:line="240" w:lineRule="auto"/>
        <w:jc w:val="both"/>
        <w:rPr>
          <w:rFonts w:ascii="Verdana" w:eastAsia="Calibri" w:hAnsi="Verdana" w:cs="Arial"/>
          <w:lang w:eastAsia="es-ES_tradnl"/>
        </w:rPr>
      </w:pPr>
    </w:p>
    <w:p w14:paraId="0BBA6980" w14:textId="77777777" w:rsidR="00E37D25" w:rsidRPr="006A09D6" w:rsidRDefault="00E37D25" w:rsidP="00E37D25">
      <w:pPr>
        <w:spacing w:after="0" w:line="276" w:lineRule="auto"/>
        <w:contextualSpacing/>
        <w:jc w:val="both"/>
        <w:rPr>
          <w:rFonts w:ascii="Verdana" w:eastAsia="Calibri" w:hAnsi="Verdana" w:cs="Arial"/>
          <w:bCs/>
          <w:lang w:eastAsia="es-ES_tradnl"/>
        </w:rPr>
      </w:pPr>
      <w:r w:rsidRPr="006A09D6">
        <w:rPr>
          <w:rFonts w:ascii="Verdana" w:eastAsia="Calibri" w:hAnsi="Verdana" w:cs="Arial"/>
          <w:lang w:eastAsia="es-ES_tradnl"/>
        </w:rPr>
        <w:t xml:space="preserve">Estimado señor </w:t>
      </w:r>
      <w:r>
        <w:rPr>
          <w:rFonts w:ascii="Verdana" w:eastAsia="Calibri" w:hAnsi="Verdana" w:cs="Arial"/>
          <w:lang w:eastAsia="es-ES_tradnl"/>
        </w:rPr>
        <w:t>Chávez Romero</w:t>
      </w:r>
      <w:r w:rsidRPr="006A09D6">
        <w:rPr>
          <w:rFonts w:ascii="Verdana" w:eastAsia="Calibri" w:hAnsi="Verdana" w:cs="Arial"/>
          <w:bCs/>
          <w:lang w:eastAsia="es-ES_tradnl"/>
        </w:rPr>
        <w:t xml:space="preserve">, </w:t>
      </w:r>
    </w:p>
    <w:p w14:paraId="096E1AD6" w14:textId="77777777" w:rsidR="00E37D25" w:rsidRPr="006A09D6" w:rsidRDefault="00E37D25" w:rsidP="00E37D25">
      <w:pPr>
        <w:spacing w:after="0" w:line="276" w:lineRule="auto"/>
        <w:contextualSpacing/>
        <w:jc w:val="both"/>
        <w:rPr>
          <w:rFonts w:ascii="Verdana" w:eastAsia="Calibri" w:hAnsi="Verdana" w:cs="Arial"/>
          <w:lang w:eastAsia="es-ES_tradnl"/>
        </w:rPr>
      </w:pPr>
    </w:p>
    <w:p w14:paraId="60083438" w14:textId="77777777" w:rsidR="00E37D25" w:rsidRPr="006A09D6" w:rsidRDefault="00E37D25" w:rsidP="00E37D25">
      <w:pPr>
        <w:spacing w:after="0" w:line="276" w:lineRule="auto"/>
        <w:jc w:val="both"/>
        <w:rPr>
          <w:rFonts w:ascii="Verdana" w:eastAsia="Calibri" w:hAnsi="Verdana" w:cs="Arial"/>
          <w:lang w:eastAsia="es-ES_tradnl"/>
        </w:rPr>
      </w:pPr>
      <w:r w:rsidRPr="006A09D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consulta </w:t>
      </w:r>
      <w:r>
        <w:rPr>
          <w:rFonts w:ascii="Verdana" w:eastAsia="Calibri" w:hAnsi="Verdana" w:cs="Arial"/>
          <w:lang w:eastAsia="es-ES_tradnl"/>
        </w:rPr>
        <w:t>del</w:t>
      </w:r>
      <w:r w:rsidRPr="006A09D6">
        <w:rPr>
          <w:rFonts w:ascii="Verdana" w:eastAsia="Calibri" w:hAnsi="Verdana" w:cs="Arial"/>
          <w:lang w:eastAsia="es-ES_tradnl"/>
        </w:rPr>
        <w:t xml:space="preserve"> </w:t>
      </w:r>
      <w:r>
        <w:rPr>
          <w:rFonts w:ascii="Verdana" w:eastAsia="Calibri" w:hAnsi="Verdana" w:cs="Arial"/>
          <w:lang w:eastAsia="es-ES_tradnl"/>
        </w:rPr>
        <w:t>14</w:t>
      </w:r>
      <w:r w:rsidRPr="006A09D6">
        <w:rPr>
          <w:rFonts w:ascii="Verdana" w:eastAsia="Calibri" w:hAnsi="Verdana" w:cs="Arial"/>
          <w:lang w:eastAsia="es-ES_tradnl"/>
        </w:rPr>
        <w:t xml:space="preserve"> de </w:t>
      </w:r>
      <w:r>
        <w:rPr>
          <w:rFonts w:ascii="Verdana" w:eastAsia="Calibri" w:hAnsi="Verdana" w:cs="Arial"/>
          <w:lang w:eastAsia="es-ES_tradnl"/>
        </w:rPr>
        <w:t>mayo</w:t>
      </w:r>
      <w:r w:rsidRPr="006A09D6">
        <w:rPr>
          <w:rFonts w:ascii="Verdana" w:eastAsia="Calibri" w:hAnsi="Verdana" w:cs="Arial"/>
          <w:lang w:eastAsia="es-ES_tradnl"/>
        </w:rPr>
        <w:t xml:space="preserve"> de 2025 </w:t>
      </w:r>
      <w:r>
        <w:rPr>
          <w:rFonts w:ascii="Verdana" w:eastAsia="Calibri" w:hAnsi="Verdana" w:cs="Arial"/>
          <w:lang w:eastAsia="es-ES_tradnl"/>
        </w:rPr>
        <w:t xml:space="preserve">radicada </w:t>
      </w:r>
      <w:r w:rsidRPr="006A09D6">
        <w:rPr>
          <w:rFonts w:ascii="Verdana" w:eastAsia="Calibri" w:hAnsi="Verdana" w:cs="Arial"/>
          <w:lang w:eastAsia="es-ES_tradnl"/>
        </w:rPr>
        <w:t xml:space="preserve">ante </w:t>
      </w:r>
      <w:r>
        <w:rPr>
          <w:rFonts w:ascii="Verdana" w:eastAsia="Calibri" w:hAnsi="Verdana" w:cs="Arial"/>
          <w:lang w:eastAsia="es-ES_tradnl"/>
        </w:rPr>
        <w:t>el Departamento Administrativo de la Función Pública – DAFP</w:t>
      </w:r>
      <w:r w:rsidRPr="006A09D6">
        <w:rPr>
          <w:rFonts w:ascii="Verdana" w:eastAsia="Calibri" w:hAnsi="Verdana" w:cs="Arial"/>
          <w:lang w:eastAsia="es-ES_tradnl"/>
        </w:rPr>
        <w:t xml:space="preserve">, remitida por esta el </w:t>
      </w:r>
      <w:r>
        <w:rPr>
          <w:rFonts w:ascii="Verdana" w:eastAsia="Calibri" w:hAnsi="Verdana" w:cs="Arial"/>
          <w:lang w:eastAsia="es-ES_tradnl"/>
        </w:rPr>
        <w:t>20</w:t>
      </w:r>
      <w:r w:rsidRPr="006A09D6">
        <w:rPr>
          <w:rFonts w:ascii="Verdana" w:eastAsia="Calibri" w:hAnsi="Verdana" w:cs="Arial"/>
          <w:lang w:eastAsia="es-ES_tradnl"/>
        </w:rPr>
        <w:t xml:space="preserve"> de </w:t>
      </w:r>
      <w:r>
        <w:rPr>
          <w:rFonts w:ascii="Verdana" w:eastAsia="Calibri" w:hAnsi="Verdana" w:cs="Arial"/>
          <w:lang w:eastAsia="es-ES_tradnl"/>
        </w:rPr>
        <w:t>junio</w:t>
      </w:r>
      <w:r w:rsidRPr="006A09D6">
        <w:rPr>
          <w:rFonts w:ascii="Verdana" w:eastAsia="Calibri" w:hAnsi="Verdana" w:cs="Arial"/>
          <w:lang w:eastAsia="es-ES_tradnl"/>
        </w:rPr>
        <w:t xml:space="preserve"> de 2025 con número de radicado </w:t>
      </w:r>
      <w:r w:rsidRPr="008D489F">
        <w:rPr>
          <w:rFonts w:ascii="Verdana" w:eastAsia="Calibri" w:hAnsi="Verdana" w:cs="Arial"/>
          <w:lang w:eastAsia="es-ES_tradnl"/>
        </w:rPr>
        <w:t>20256000297411</w:t>
      </w:r>
      <w:r w:rsidRPr="006A09D6">
        <w:rPr>
          <w:rFonts w:ascii="Verdana" w:eastAsia="Calibri" w:hAnsi="Verdana" w:cs="Arial"/>
          <w:lang w:eastAsia="es-ES_tradnl"/>
        </w:rPr>
        <w:t xml:space="preserve">, consulta </w:t>
      </w:r>
      <w:r>
        <w:rPr>
          <w:rFonts w:ascii="Verdana" w:eastAsia="Calibri" w:hAnsi="Verdana" w:cs="Arial"/>
          <w:lang w:eastAsia="es-ES_tradnl"/>
        </w:rPr>
        <w:t>formulada</w:t>
      </w:r>
      <w:r w:rsidRPr="006A09D6">
        <w:rPr>
          <w:rFonts w:ascii="Verdana" w:eastAsia="Calibri" w:hAnsi="Verdana" w:cs="Arial"/>
          <w:lang w:eastAsia="es-ES_tradnl"/>
        </w:rPr>
        <w:t xml:space="preserve"> en los siguientes términos:</w:t>
      </w:r>
    </w:p>
    <w:p w14:paraId="35C83631" w14:textId="77777777" w:rsidR="00E37D25" w:rsidRPr="006A09D6" w:rsidRDefault="00E37D25" w:rsidP="00E37D25">
      <w:pPr>
        <w:spacing w:after="0" w:line="276" w:lineRule="auto"/>
        <w:jc w:val="both"/>
        <w:rPr>
          <w:rFonts w:ascii="Verdana" w:eastAsia="Calibri" w:hAnsi="Verdana" w:cs="Arial"/>
          <w:lang w:eastAsia="es-ES_tradnl"/>
        </w:rPr>
      </w:pPr>
    </w:p>
    <w:p w14:paraId="5CD3B437" w14:textId="77777777" w:rsidR="00E37D25" w:rsidRDefault="00E37D25" w:rsidP="00E37D25">
      <w:pPr>
        <w:spacing w:after="120" w:line="240" w:lineRule="auto"/>
        <w:ind w:left="709" w:right="709"/>
        <w:jc w:val="both"/>
        <w:rPr>
          <w:rFonts w:ascii="Verdana" w:eastAsia="Times New Roman" w:hAnsi="Verdana" w:cs="Arial"/>
          <w:iCs/>
          <w:sz w:val="20"/>
          <w:szCs w:val="20"/>
          <w:lang w:eastAsia="es-ES_tradnl"/>
        </w:rPr>
      </w:pPr>
      <w:r w:rsidRPr="006A09D6">
        <w:rPr>
          <w:rFonts w:ascii="Verdana" w:eastAsia="Times New Roman" w:hAnsi="Verdana" w:cs="Arial"/>
          <w:iCs/>
          <w:sz w:val="20"/>
          <w:szCs w:val="20"/>
          <w:lang w:eastAsia="es-ES_tradnl"/>
        </w:rPr>
        <w:t>“</w:t>
      </w:r>
      <w:r>
        <w:rPr>
          <w:rFonts w:ascii="Verdana" w:eastAsia="Times New Roman" w:hAnsi="Verdana" w:cs="Arial"/>
          <w:iCs/>
          <w:sz w:val="20"/>
          <w:szCs w:val="20"/>
          <w:lang w:eastAsia="es-ES_tradnl"/>
        </w:rPr>
        <w:t xml:space="preserve">[…] </w:t>
      </w:r>
      <w:r w:rsidRPr="008D489F">
        <w:rPr>
          <w:rFonts w:ascii="Verdana" w:eastAsia="Times New Roman" w:hAnsi="Verdana" w:cs="Arial"/>
          <w:iCs/>
          <w:sz w:val="20"/>
          <w:szCs w:val="20"/>
          <w:lang w:eastAsia="es-ES_tradnl"/>
        </w:rPr>
        <w:t xml:space="preserve">¿UNA PERSONA NATURAL QUE SE ENCUENTRA ACTUALMENTE SANCIONADO CON DESTITUCIÓN E INHABILIDAD POR UN PERIODO DETERMINADO CON OCASIÓN A UN PROCESO DISCIPLINARIO COMO FUNCIONARIO PÚBLICO, </w:t>
      </w:r>
      <w:proofErr w:type="gramStart"/>
      <w:r w:rsidRPr="008D489F">
        <w:rPr>
          <w:rFonts w:ascii="Verdana" w:eastAsia="Times New Roman" w:hAnsi="Verdana" w:cs="Arial"/>
          <w:iCs/>
          <w:sz w:val="20"/>
          <w:szCs w:val="20"/>
          <w:lang w:eastAsia="es-ES_tradnl"/>
        </w:rPr>
        <w:t>PUEDE CONTRATAR CON EL ESTADO CUANDO ESTE FUNGE COMO REPRESENTANTE LEGAL, GERENTE O PRESIDENTE DE UNA ONG O UNA ENTIDAD SIN ANIMO DE LUCRO?</w:t>
      </w:r>
      <w:proofErr w:type="gramEnd"/>
      <w:r w:rsidRPr="008D489F">
        <w:rPr>
          <w:rFonts w:ascii="Verdana" w:eastAsia="Times New Roman" w:hAnsi="Verdana" w:cs="Arial"/>
          <w:iCs/>
          <w:sz w:val="20"/>
          <w:szCs w:val="20"/>
          <w:lang w:eastAsia="es-ES_tradnl"/>
        </w:rPr>
        <w:t xml:space="preserve"> </w:t>
      </w:r>
    </w:p>
    <w:p w14:paraId="40B58795" w14:textId="77777777" w:rsidR="00E37D25" w:rsidRDefault="00E37D25" w:rsidP="00E37D25">
      <w:pPr>
        <w:spacing w:after="120" w:line="240" w:lineRule="auto"/>
        <w:ind w:left="709" w:right="709"/>
        <w:jc w:val="both"/>
        <w:rPr>
          <w:rFonts w:ascii="Verdana" w:eastAsia="Times New Roman" w:hAnsi="Verdana" w:cs="Arial"/>
          <w:iCs/>
          <w:sz w:val="20"/>
          <w:szCs w:val="20"/>
          <w:lang w:eastAsia="es-ES_tradnl"/>
        </w:rPr>
      </w:pPr>
      <w:r w:rsidRPr="008D489F">
        <w:rPr>
          <w:rFonts w:ascii="Verdana" w:eastAsia="Times New Roman" w:hAnsi="Verdana" w:cs="Arial"/>
          <w:iCs/>
          <w:sz w:val="20"/>
          <w:szCs w:val="20"/>
          <w:lang w:eastAsia="es-ES_tradnl"/>
        </w:rPr>
        <w:lastRenderedPageBreak/>
        <w:t xml:space="preserve">CONFORME RESPUESTA ANTERIOR </w:t>
      </w:r>
    </w:p>
    <w:p w14:paraId="0F1F44A9" w14:textId="77777777" w:rsidR="00E37D25" w:rsidRPr="006A09D6" w:rsidRDefault="00E37D25" w:rsidP="00E37D25">
      <w:pPr>
        <w:spacing w:after="120" w:line="240" w:lineRule="auto"/>
        <w:ind w:left="709" w:right="709"/>
        <w:jc w:val="both"/>
        <w:rPr>
          <w:rFonts w:ascii="Verdana" w:eastAsia="Times New Roman" w:hAnsi="Verdana" w:cs="Arial"/>
          <w:i/>
          <w:sz w:val="20"/>
          <w:szCs w:val="20"/>
          <w:lang w:eastAsia="es-ES_tradnl"/>
        </w:rPr>
      </w:pPr>
      <w:r w:rsidRPr="008D489F">
        <w:rPr>
          <w:rFonts w:ascii="Verdana" w:eastAsia="Times New Roman" w:hAnsi="Verdana" w:cs="Arial"/>
          <w:iCs/>
          <w:sz w:val="20"/>
          <w:szCs w:val="20"/>
          <w:lang w:eastAsia="es-ES_tradnl"/>
        </w:rPr>
        <w:t>¿ES SUSCEPTIBLE DE ALGUN MEDIO JUDICIAL SI SE OBSERVA QUE EL REPRESENTANTE LEGAL DE UNA ONG O UNA ENTIDAD SIN ANIMO DE LUCRO QUE SE ENCUENTRA SANCIONADO CON OCASIÓN A UN PROCESO DISCIPINARIO CON DESTITUCIÓN E INHABILIDAD POR UN TIEMPO DETERMINADO SEA ACREEDOR DE UN CONTRATO CON EL ESTADO?</w:t>
      </w:r>
      <w:r w:rsidRPr="006A09D6">
        <w:rPr>
          <w:rFonts w:ascii="Verdana" w:eastAsia="Times New Roman" w:hAnsi="Verdana" w:cs="Arial"/>
          <w:iCs/>
          <w:sz w:val="20"/>
          <w:szCs w:val="20"/>
          <w:lang w:eastAsia="es-ES_tradnl"/>
        </w:rPr>
        <w:t>” [SIC].</w:t>
      </w:r>
    </w:p>
    <w:p w14:paraId="3D99BF97" w14:textId="77777777" w:rsidR="00E37D25" w:rsidRPr="006A09D6" w:rsidRDefault="00E37D25" w:rsidP="00E37D25">
      <w:pPr>
        <w:spacing w:after="0" w:line="240" w:lineRule="auto"/>
        <w:ind w:left="709" w:right="709"/>
        <w:jc w:val="both"/>
        <w:rPr>
          <w:rFonts w:ascii="Verdana" w:eastAsia="Times New Roman" w:hAnsi="Verdana" w:cs="Arial"/>
          <w:i/>
          <w:lang w:eastAsia="es-ES_tradnl"/>
        </w:rPr>
      </w:pPr>
    </w:p>
    <w:p w14:paraId="4E57E689" w14:textId="77777777" w:rsidR="00E37D25" w:rsidRPr="006A09D6" w:rsidRDefault="00E37D25" w:rsidP="00E37D25">
      <w:pPr>
        <w:spacing w:after="120" w:line="276" w:lineRule="auto"/>
        <w:ind w:firstLine="709"/>
        <w:jc w:val="both"/>
        <w:rPr>
          <w:rFonts w:ascii="Verdana" w:eastAsia="Calibri" w:hAnsi="Verdana" w:cs="Arial"/>
          <w:color w:val="000000"/>
          <w:szCs w:val="24"/>
          <w:lang w:eastAsia="es-ES_tradnl"/>
        </w:rPr>
      </w:pPr>
      <w:r w:rsidRPr="006A09D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A09D6">
        <w:rPr>
          <w:rFonts w:ascii="Verdana" w:eastAsia="Calibri" w:hAnsi="Verdana" w:cs="Arial"/>
          <w:color w:val="000000"/>
          <w:szCs w:val="24"/>
          <w:lang w:eastAsia="es-ES_tradnl"/>
        </w:rPr>
        <w:tab/>
      </w:r>
    </w:p>
    <w:p w14:paraId="1D33F814" w14:textId="77777777" w:rsidR="00E37D25" w:rsidRPr="006A09D6" w:rsidRDefault="00E37D25" w:rsidP="00E37D25">
      <w:pPr>
        <w:spacing w:after="0" w:line="276" w:lineRule="auto"/>
        <w:ind w:firstLine="709"/>
        <w:jc w:val="both"/>
        <w:rPr>
          <w:rFonts w:ascii="Verdana" w:eastAsia="Calibri" w:hAnsi="Verdana" w:cs="Arial"/>
          <w:lang w:eastAsia="es-ES"/>
        </w:rPr>
      </w:pPr>
      <w:r w:rsidRPr="006A09D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6DC0D6BA" w14:textId="77777777" w:rsidR="00E37D25" w:rsidRPr="006A09D6" w:rsidRDefault="00E37D25" w:rsidP="00E37D25">
      <w:pPr>
        <w:spacing w:after="0" w:line="276" w:lineRule="auto"/>
        <w:contextualSpacing/>
        <w:jc w:val="both"/>
        <w:rPr>
          <w:rFonts w:ascii="Verdana" w:eastAsia="Times New Roman" w:hAnsi="Verdana" w:cs="Arial"/>
          <w:szCs w:val="24"/>
          <w:lang w:eastAsia="es-ES_tradnl"/>
        </w:rPr>
      </w:pPr>
    </w:p>
    <w:p w14:paraId="19FA9801" w14:textId="77777777" w:rsidR="00E37D25" w:rsidRPr="006A09D6" w:rsidRDefault="00E37D25" w:rsidP="00E37D25">
      <w:pPr>
        <w:tabs>
          <w:tab w:val="left" w:pos="0"/>
          <w:tab w:val="left" w:pos="284"/>
        </w:tabs>
        <w:spacing w:after="0" w:line="276" w:lineRule="auto"/>
        <w:contextualSpacing/>
        <w:jc w:val="both"/>
        <w:rPr>
          <w:rFonts w:ascii="Verdana" w:eastAsia="Calibri" w:hAnsi="Verdana" w:cs="Arial"/>
          <w:b/>
        </w:rPr>
      </w:pPr>
      <w:r w:rsidRPr="006A09D6">
        <w:rPr>
          <w:rFonts w:ascii="Verdana" w:eastAsia="Calibri" w:hAnsi="Verdana" w:cs="Arial"/>
          <w:b/>
        </w:rPr>
        <w:t>1. Problema planteado:</w:t>
      </w:r>
    </w:p>
    <w:p w14:paraId="3DA630B6" w14:textId="77777777" w:rsidR="00E37D25" w:rsidRPr="006A09D6" w:rsidRDefault="00E37D25" w:rsidP="00E37D25">
      <w:pPr>
        <w:tabs>
          <w:tab w:val="left" w:pos="0"/>
          <w:tab w:val="left" w:pos="284"/>
        </w:tabs>
        <w:spacing w:after="0" w:line="276" w:lineRule="auto"/>
        <w:contextualSpacing/>
        <w:jc w:val="both"/>
        <w:rPr>
          <w:rFonts w:ascii="Verdana" w:eastAsia="Calibri" w:hAnsi="Verdana" w:cs="Arial"/>
          <w:b/>
        </w:rPr>
      </w:pPr>
    </w:p>
    <w:p w14:paraId="2BA7817F" w14:textId="77777777" w:rsidR="00E37D25" w:rsidRPr="006A09D6" w:rsidRDefault="00E37D25" w:rsidP="00E37D25">
      <w:pPr>
        <w:spacing w:after="0" w:line="276" w:lineRule="auto"/>
        <w:jc w:val="both"/>
        <w:rPr>
          <w:rFonts w:ascii="Verdana" w:hAnsi="Verdana"/>
        </w:rPr>
      </w:pPr>
      <w:r w:rsidRPr="006A09D6">
        <w:rPr>
          <w:rFonts w:ascii="Verdana" w:hAnsi="Verdana"/>
        </w:rPr>
        <w:t xml:space="preserve">De acuerdo con el contenido de su solicitud, esta Agencia resolverá el interrogante: </w:t>
      </w:r>
    </w:p>
    <w:p w14:paraId="541FB4A2" w14:textId="77777777" w:rsidR="00E37D25" w:rsidRPr="006A09D6" w:rsidRDefault="00E37D25" w:rsidP="00E37D25">
      <w:pPr>
        <w:spacing w:after="0" w:line="276" w:lineRule="auto"/>
        <w:jc w:val="both"/>
        <w:rPr>
          <w:rFonts w:ascii="Verdana" w:hAnsi="Verdana"/>
        </w:rPr>
      </w:pPr>
    </w:p>
    <w:p w14:paraId="5F61A056" w14:textId="77777777" w:rsidR="00E37D25" w:rsidRDefault="00E37D25" w:rsidP="00E37D25">
      <w:pPr>
        <w:spacing w:after="0" w:line="276" w:lineRule="auto"/>
        <w:jc w:val="both"/>
        <w:rPr>
          <w:rFonts w:ascii="Verdana" w:hAnsi="Verdana"/>
        </w:rPr>
      </w:pPr>
      <w:r w:rsidRPr="006A09D6">
        <w:rPr>
          <w:rFonts w:ascii="Verdana" w:hAnsi="Verdana"/>
        </w:rPr>
        <w:t xml:space="preserve">1. </w:t>
      </w:r>
      <w:r w:rsidRPr="00970A0C">
        <w:rPr>
          <w:rFonts w:ascii="Verdana" w:hAnsi="Verdana"/>
        </w:rPr>
        <w:t xml:space="preserve">De conformidad con el régimen de inhabilidades e incompatibilidades previsto en el Estatuto General de Contratación de la Administración Pública, </w:t>
      </w:r>
      <w:r>
        <w:rPr>
          <w:rFonts w:ascii="Verdana" w:hAnsi="Verdana"/>
        </w:rPr>
        <w:t>¿</w:t>
      </w:r>
      <w:r w:rsidRPr="00970A0C">
        <w:rPr>
          <w:rFonts w:ascii="Verdana" w:hAnsi="Verdana"/>
        </w:rPr>
        <w:t xml:space="preserve">se configura alguna de las causales aplicables </w:t>
      </w:r>
      <w:r>
        <w:rPr>
          <w:rFonts w:ascii="Verdana" w:hAnsi="Verdana"/>
        </w:rPr>
        <w:t>cuando</w:t>
      </w:r>
      <w:r w:rsidRPr="00970A0C">
        <w:rPr>
          <w:rFonts w:ascii="Verdana" w:hAnsi="Verdana"/>
        </w:rPr>
        <w:t xml:space="preserve"> personas jurídicas —particularmente organizaciones no gubernamentales y entidades sin ánimo de lucro— </w:t>
      </w:r>
      <w:r>
        <w:rPr>
          <w:rFonts w:ascii="Verdana" w:hAnsi="Verdana"/>
        </w:rPr>
        <w:t xml:space="preserve">pretendan participar en procesos de selección pública y </w:t>
      </w:r>
      <w:r w:rsidRPr="00970A0C">
        <w:rPr>
          <w:rFonts w:ascii="Verdana" w:hAnsi="Verdana"/>
        </w:rPr>
        <w:t>su representante legal</w:t>
      </w:r>
      <w:r>
        <w:rPr>
          <w:rFonts w:ascii="Verdana" w:hAnsi="Verdana"/>
        </w:rPr>
        <w:t>, en calidad de gerente o presidente de la organización,</w:t>
      </w:r>
      <w:r w:rsidRPr="00970A0C">
        <w:rPr>
          <w:rFonts w:ascii="Verdana" w:hAnsi="Verdana"/>
        </w:rPr>
        <w:t xml:space="preserve"> es una persona natural sancionada con destitución e inhabilidad en el marco de un proceso disciplinario?</w:t>
      </w:r>
    </w:p>
    <w:p w14:paraId="3F50FC40" w14:textId="77777777" w:rsidR="00E37D25" w:rsidRPr="006A09D6" w:rsidRDefault="00E37D25" w:rsidP="00E37D25">
      <w:pPr>
        <w:spacing w:after="0" w:line="276" w:lineRule="auto"/>
        <w:jc w:val="both"/>
        <w:rPr>
          <w:rFonts w:ascii="Verdana" w:eastAsia="Calibri" w:hAnsi="Verdana" w:cs="Arial"/>
          <w:lang w:eastAsia="es-ES_tradnl"/>
        </w:rPr>
      </w:pPr>
    </w:p>
    <w:p w14:paraId="20EA0A81" w14:textId="77777777" w:rsidR="00E37D25" w:rsidRPr="006A09D6" w:rsidRDefault="00E37D25" w:rsidP="00E37D25">
      <w:pPr>
        <w:tabs>
          <w:tab w:val="left" w:pos="142"/>
          <w:tab w:val="left" w:pos="284"/>
        </w:tabs>
        <w:spacing w:after="0" w:line="276" w:lineRule="auto"/>
        <w:jc w:val="both"/>
        <w:rPr>
          <w:rFonts w:ascii="Verdana" w:eastAsia="Century Gothic" w:hAnsi="Verdana" w:cs="Century Gothic"/>
          <w:b/>
          <w:bCs/>
        </w:rPr>
      </w:pPr>
      <w:r w:rsidRPr="006A09D6">
        <w:rPr>
          <w:rFonts w:ascii="Verdana" w:eastAsia="Century Gothic" w:hAnsi="Verdana" w:cs="Century Gothic"/>
          <w:b/>
          <w:bCs/>
        </w:rPr>
        <w:t>2. Respuesta:</w:t>
      </w:r>
    </w:p>
    <w:p w14:paraId="4DA1B5E1" w14:textId="77777777" w:rsidR="00E37D25" w:rsidRPr="006A09D6" w:rsidRDefault="00E37D25" w:rsidP="00E37D2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37D25" w:rsidRPr="006A09D6" w14:paraId="176DEA1D" w14:textId="77777777" w:rsidTr="003B652A">
        <w:tc>
          <w:tcPr>
            <w:tcW w:w="8828" w:type="dxa"/>
          </w:tcPr>
          <w:p w14:paraId="4FCB495C" w14:textId="77777777" w:rsidR="00E37D25" w:rsidRDefault="00E37D25" w:rsidP="003B652A">
            <w:pPr>
              <w:spacing w:after="120" w:line="276" w:lineRule="auto"/>
              <w:ind w:right="49"/>
              <w:jc w:val="both"/>
              <w:rPr>
                <w:rFonts w:ascii="Verdana" w:eastAsia="Times New Roman" w:hAnsi="Verdana" w:cs="Arial"/>
                <w:lang w:eastAsia="es-MX"/>
              </w:rPr>
            </w:pPr>
            <w:r>
              <w:rPr>
                <w:rFonts w:ascii="Verdana" w:eastAsia="Times New Roman" w:hAnsi="Verdana" w:cs="Arial"/>
                <w:lang w:eastAsia="es-MX"/>
              </w:rPr>
              <w:t>D</w:t>
            </w:r>
            <w:r w:rsidRPr="002A6C2C">
              <w:rPr>
                <w:rFonts w:ascii="Verdana" w:eastAsia="Times New Roman" w:hAnsi="Verdana" w:cs="Arial"/>
                <w:lang w:eastAsia="es-MX"/>
              </w:rPr>
              <w:t xml:space="preserve">e acuerdo con lo establecido en el literal d) del numeral 1 del artículo 8 de la Ley 80 de 1993, las personas naturales a las que se les haya impuesto una pena accesoria de interdicción de derechos y funciones públicas, al igual que las que hayan sido sancionados disciplinariamente con destitución, </w:t>
            </w:r>
            <w:r w:rsidRPr="002A6C2C">
              <w:rPr>
                <w:rFonts w:ascii="Verdana" w:hAnsi="Verdana" w:cs="Arial"/>
              </w:rPr>
              <w:t xml:space="preserve">están incursas en la referida causal de inhabilidad, por lo que no pueden contratar con entidades estatales. De esta manera, </w:t>
            </w:r>
            <w:r w:rsidRPr="002A6C2C">
              <w:rPr>
                <w:rFonts w:ascii="Verdana" w:eastAsia="Times New Roman" w:hAnsi="Verdana" w:cs="Arial"/>
                <w:lang w:eastAsia="es-MX"/>
              </w:rPr>
              <w:t xml:space="preserve">una vez en firme la providencia que dispone la pena o sanción, la inhabilidad comienza a surtir sus efectos restringiendo de ese momento en adelante la posibilidad de suscribir nuevos contratos o participar en procesos de contratación.  </w:t>
            </w:r>
          </w:p>
          <w:p w14:paraId="44CA3958" w14:textId="77777777" w:rsidR="00E37D25" w:rsidRPr="00B71F3D" w:rsidRDefault="00E37D25" w:rsidP="003B652A">
            <w:pPr>
              <w:spacing w:after="120" w:line="276" w:lineRule="auto"/>
              <w:ind w:right="49" w:firstLine="709"/>
              <w:jc w:val="both"/>
              <w:rPr>
                <w:rFonts w:ascii="Verdana" w:eastAsia="Times New Roman" w:hAnsi="Verdana" w:cs="Arial"/>
                <w:lang w:val="es-ES" w:eastAsia="es-MX"/>
              </w:rPr>
            </w:pPr>
            <w:r w:rsidRPr="00B71F3D">
              <w:rPr>
                <w:rFonts w:ascii="Verdana" w:eastAsia="Times New Roman" w:hAnsi="Verdana" w:cs="Arial"/>
                <w:lang w:val="es-ES" w:eastAsia="es-MX"/>
              </w:rPr>
              <w:t>Del mismo modo, según la normativa aplicable</w:t>
            </w:r>
            <w:r>
              <w:rPr>
                <w:rFonts w:ascii="Verdana" w:eastAsia="Times New Roman" w:hAnsi="Verdana" w:cs="Arial"/>
                <w:lang w:val="es-ES" w:eastAsia="es-MX"/>
              </w:rPr>
              <w:t xml:space="preserve">, </w:t>
            </w:r>
            <w:r w:rsidRPr="00B71F3D">
              <w:rPr>
                <w:rFonts w:ascii="Verdana" w:eastAsia="Times New Roman" w:hAnsi="Verdana" w:cs="Arial"/>
                <w:lang w:val="es-ES" w:eastAsia="es-MX"/>
              </w:rPr>
              <w:t>el contratista estatal persona natural que se encuentre ejecutando un contrato con una entidad estatal y sea condenado mediante sentencia judicial a la pena accesoria de interdicción de derechos y funciones públicas estará incurso en una  inhabilidad sobreviniente y, por tanto, según lo previsto en el artículo 9 de la Ley 80 de 1993, deberá ceder el contrato, si la entidad estatal lo autoriza por escrito o, en caso contrario, tendrá que renunciar a la ejecución del contrato.</w:t>
            </w:r>
          </w:p>
          <w:p w14:paraId="1D06C687" w14:textId="77777777" w:rsidR="00E37D25" w:rsidRDefault="00E37D25" w:rsidP="003B652A">
            <w:pPr>
              <w:spacing w:after="120" w:line="276" w:lineRule="auto"/>
              <w:ind w:right="49" w:firstLine="709"/>
              <w:jc w:val="both"/>
              <w:rPr>
                <w:rFonts w:ascii="Verdana" w:eastAsia="Times New Roman" w:hAnsi="Verdana" w:cs="Arial"/>
                <w:lang w:eastAsia="es-MX"/>
              </w:rPr>
            </w:pPr>
            <w:r>
              <w:rPr>
                <w:rFonts w:ascii="Verdana" w:eastAsia="Times New Roman" w:hAnsi="Verdana" w:cs="Arial"/>
                <w:lang w:eastAsia="es-MX"/>
              </w:rPr>
              <w:t>No obstante, en la presente consulta se plantea la inquietud sobre si, d</w:t>
            </w:r>
            <w:r w:rsidRPr="00601567">
              <w:rPr>
                <w:rFonts w:ascii="Verdana" w:eastAsia="Times New Roman" w:hAnsi="Verdana" w:cs="Arial"/>
                <w:lang w:eastAsia="es-MX"/>
              </w:rPr>
              <w:t xml:space="preserve">e conformidad con el régimen de inhabilidades e incompatibilidades previsto en el Estatuto General de Contratación de la Administración Pública, se configura </w:t>
            </w:r>
            <w:r>
              <w:rPr>
                <w:rFonts w:ascii="Verdana" w:eastAsia="Times New Roman" w:hAnsi="Verdana" w:cs="Arial"/>
                <w:lang w:eastAsia="es-MX"/>
              </w:rPr>
              <w:t>dicha causal</w:t>
            </w:r>
            <w:r w:rsidRPr="00601567">
              <w:rPr>
                <w:rFonts w:ascii="Verdana" w:eastAsia="Times New Roman" w:hAnsi="Verdana" w:cs="Arial"/>
                <w:lang w:eastAsia="es-MX"/>
              </w:rPr>
              <w:t xml:space="preserve"> cuando personas jurídicas —particularmente organizaciones no gubernamentales y entidades sin ánimo de lucro— pretendan participar en procesos de selección pública y su representante legal, en calidad de gerente o presidente de la organización, es una persona natural sancionada con destitución e inhabilidad en el marco de un proceso disciplinario</w:t>
            </w:r>
            <w:r>
              <w:rPr>
                <w:rFonts w:ascii="Verdana" w:eastAsia="Times New Roman" w:hAnsi="Verdana" w:cs="Arial"/>
                <w:lang w:eastAsia="es-MX"/>
              </w:rPr>
              <w:t>. En ese contexto, y con base en las consideraciones propuestas, se advierte que la causal del literal d), numeral 1 del artículo 8 de la Ley 80 de 1993 restringe y limita la capacidad jurídica exclusivamente de la persona natural condenada a la pena accesoria de interdicción de derechos y funciones públicas y a aquellas que fueron sancionadas disciplinariamente con destitución, sin que se pueda entender que sus efectos se extienden a las personas jurídicas en las cuales sobre su representante legal recaigan dichas sanciones y condenas.</w:t>
            </w:r>
          </w:p>
          <w:p w14:paraId="27FAEF8D" w14:textId="77777777" w:rsidR="00E37D25" w:rsidRDefault="00E37D25" w:rsidP="003B652A">
            <w:pPr>
              <w:spacing w:after="120" w:line="276" w:lineRule="auto"/>
              <w:ind w:right="49" w:firstLine="709"/>
              <w:jc w:val="both"/>
              <w:rPr>
                <w:rFonts w:ascii="Verdana" w:eastAsia="Arial MT" w:hAnsi="Verdana" w:cs="Arial"/>
                <w:lang w:eastAsia="es-ES" w:bidi="es-ES"/>
              </w:rPr>
            </w:pPr>
            <w:r w:rsidRPr="5DB390B7">
              <w:rPr>
                <w:rFonts w:ascii="Verdana" w:eastAsia="Arial MT" w:hAnsi="Verdana" w:cs="Arial"/>
                <w:lang w:eastAsia="es-ES" w:bidi="es-ES"/>
              </w:rPr>
              <w:t xml:space="preserve">En otras palabras, verificado el régimen de inhabilidades e incompatibilidades contenido en la Ley 80 de 1993, no se identifica alguna </w:t>
            </w:r>
            <w:r w:rsidRPr="5DB390B7">
              <w:rPr>
                <w:rFonts w:ascii="Verdana" w:eastAsia="Arial MT" w:hAnsi="Verdana" w:cs="Arial"/>
                <w:lang w:eastAsia="es-ES" w:bidi="es-ES"/>
              </w:rPr>
              <w:lastRenderedPageBreak/>
              <w:t xml:space="preserve">causal que limite la capacidad jurídica de aquellas personas jurídicas </w:t>
            </w:r>
            <w:r w:rsidRPr="5DB390B7">
              <w:rPr>
                <w:rFonts w:ascii="Verdana" w:eastAsia="Times New Roman" w:hAnsi="Verdana" w:cs="Arial"/>
                <w:lang w:eastAsia="es-MX"/>
              </w:rPr>
              <w:t xml:space="preserve">—sean organizaciones no gubernamentales o sean entidades sin ánimo de lucro— </w:t>
            </w:r>
            <w:r w:rsidRPr="5DB390B7">
              <w:rPr>
                <w:rFonts w:ascii="Verdana" w:eastAsia="Arial MT" w:hAnsi="Verdana" w:cs="Arial"/>
                <w:lang w:eastAsia="es-ES" w:bidi="es-ES"/>
              </w:rPr>
              <w:t>que pretendan contratar con el Estado, y su representante legal hubiere sido condenado o sancionado mediante sentencia judicial de naturaleza penal o administrativa. Sobre todo, cuando en la exposición de las consideraciones del presente concepto se puso de presente la exigencia en cabeza del operador jurídico de observar el principio de interpretación restrictiva del régimen de inhabilidades e incompatibilidades vigentes en Colombia, que consiste en que tales disposiciones deben interpretarse de forma estricta, literal y restringida, sin extender su alcance más allá de lo que expresamente dispone la norma.</w:t>
            </w:r>
          </w:p>
          <w:p w14:paraId="60C4CB23" w14:textId="77777777" w:rsidR="00E37D25" w:rsidRDefault="00E37D25" w:rsidP="003B652A">
            <w:pPr>
              <w:spacing w:after="120" w:line="276" w:lineRule="auto"/>
              <w:ind w:right="49" w:firstLine="709"/>
              <w:jc w:val="both"/>
              <w:rPr>
                <w:rFonts w:ascii="Verdana" w:eastAsia="Arial MT" w:hAnsi="Verdana" w:cs="Arial"/>
                <w:lang w:eastAsia="es-ES" w:bidi="es-ES"/>
              </w:rPr>
            </w:pPr>
            <w:r>
              <w:rPr>
                <w:rFonts w:ascii="Verdana" w:eastAsia="Arial MT" w:hAnsi="Verdana" w:cs="Arial"/>
                <w:lang w:eastAsia="es-ES" w:bidi="es-ES"/>
              </w:rPr>
              <w:t>Dicho esto, al no admitirse analogías ni interpretaciones extensivas, no se puede aplicar por semejanza tal limitación a las personas jurídicas que ostenten representantes legales condenados o sancionados, dado que dicha situación no se encuentra expresamente en la disposición estudiada, en procura de salvaguardar la seguridad jurídica y el principio de legalidad en materia de contratación pública.</w:t>
            </w:r>
          </w:p>
          <w:p w14:paraId="78B1F286" w14:textId="77777777" w:rsidR="00E37D25" w:rsidRDefault="00E37D25" w:rsidP="003B652A">
            <w:pPr>
              <w:spacing w:after="120" w:line="276" w:lineRule="auto"/>
              <w:ind w:right="49" w:firstLine="709"/>
              <w:jc w:val="both"/>
              <w:rPr>
                <w:rFonts w:ascii="Verdana" w:eastAsia="Arial MT" w:hAnsi="Verdana" w:cs="Arial"/>
                <w:lang w:eastAsia="es-ES" w:bidi="es-ES"/>
              </w:rPr>
            </w:pPr>
            <w:r w:rsidRPr="5DB390B7">
              <w:rPr>
                <w:rFonts w:ascii="Verdana" w:eastAsia="Arial MT" w:hAnsi="Verdana" w:cs="Arial"/>
                <w:lang w:eastAsia="es-ES" w:bidi="es-ES"/>
              </w:rPr>
              <w:t>En síntesis, al no encontrarse una norma expresa que extienda la inhabilidad disciplinaria del representante legal a la persona jurídica (ONG o entidad sin ánimo de lucro), no es jurídicamente viable restringir su participación en procesos de selección ni su capacidad para contratar con el Estado. Cualquier interpretación que busque imponer esa restricción, violaría los principios de legalidad, debido proceso y seguridad jurídica.</w:t>
            </w:r>
          </w:p>
          <w:p w14:paraId="5DB205B3" w14:textId="77777777" w:rsidR="00E37D25" w:rsidRPr="003B652A" w:rsidRDefault="00E37D25" w:rsidP="003B652A">
            <w:pPr>
              <w:spacing w:after="120" w:line="276" w:lineRule="auto"/>
              <w:ind w:right="49" w:firstLine="709"/>
              <w:jc w:val="both"/>
              <w:rPr>
                <w:rFonts w:ascii="Verdana" w:eastAsia="Times New Roman" w:hAnsi="Verdana" w:cs="Arial"/>
                <w:lang w:eastAsia="es-MX"/>
              </w:rPr>
            </w:pPr>
            <w:r w:rsidRPr="003B652A">
              <w:rPr>
                <w:rFonts w:ascii="Verdana" w:eastAsia="Times New Roman" w:hAnsi="Verdana" w:cs="Arial"/>
                <w:lang w:eastAsia="es-MX"/>
              </w:rPr>
              <w:t>Por último, de lo expuesto en el presente concepto jurídico, se recomienda a las personas jurídicas interesadas en participar en procesos de contratación con entidades estatales que, en cumplimiento del principio de debida diligencia, adelanten una verificación previa de los antecedentes disciplinarios, fiscales y penales de sus representantes legales, miembros de junta directiva o quienes ejerzan funciones de dirección y administración.</w:t>
            </w:r>
          </w:p>
          <w:p w14:paraId="11918A28" w14:textId="77777777" w:rsidR="00E37D25" w:rsidRPr="006A09D6" w:rsidRDefault="00E37D25" w:rsidP="003B652A">
            <w:pPr>
              <w:spacing w:after="120" w:line="276" w:lineRule="auto"/>
              <w:ind w:right="49" w:firstLine="709"/>
              <w:jc w:val="both"/>
              <w:rPr>
                <w:rFonts w:ascii="Verdana" w:eastAsia="Arial MT" w:hAnsi="Verdana" w:cs="Arial"/>
                <w:lang w:eastAsia="es-ES" w:bidi="es-ES"/>
              </w:rPr>
            </w:pPr>
            <w:r w:rsidRPr="003B652A">
              <w:rPr>
                <w:rFonts w:ascii="Verdana" w:eastAsia="Times New Roman" w:hAnsi="Verdana" w:cs="Arial"/>
                <w:lang w:eastAsia="es-MX"/>
              </w:rPr>
              <w:t>Esta revisión preventiva contribuye a mitigar riesgos jurídicos y reputacionales, facilita la toma de decisiones informadas y promueve buenas prácticas en el marco de la contratación pública. Aunque no toda sanción a una persona natural implica automáticamente una inhabilidad para la persona jurídica, la identificación oportuna de situaciones que puedan generar cuestionamientos o controversias puede fortalecer la transparencia, la legalidad y la confianza en la gestión contractual.</w:t>
            </w:r>
          </w:p>
        </w:tc>
      </w:tr>
    </w:tbl>
    <w:p w14:paraId="6EBB1C3F" w14:textId="77777777" w:rsidR="00E37D25" w:rsidRPr="006A09D6" w:rsidRDefault="00E37D25" w:rsidP="00E37D25">
      <w:pPr>
        <w:spacing w:after="0" w:line="276" w:lineRule="auto"/>
        <w:contextualSpacing/>
        <w:jc w:val="both"/>
        <w:rPr>
          <w:rFonts w:ascii="Verdana" w:eastAsia="Times New Roman" w:hAnsi="Verdana" w:cs="Arial"/>
          <w:lang w:eastAsia="es-ES_tradnl"/>
        </w:rPr>
      </w:pPr>
    </w:p>
    <w:p w14:paraId="1B378231" w14:textId="77777777" w:rsidR="00E37D25" w:rsidRPr="006A09D6" w:rsidRDefault="00E37D25" w:rsidP="00E37D2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6A09D6">
        <w:rPr>
          <w:rFonts w:ascii="Verdana" w:eastAsia="Century Gothic" w:hAnsi="Verdana" w:cs="Century Gothic"/>
          <w:b/>
          <w:bCs/>
        </w:rPr>
        <w:t>3. Razones de la respuesta:</w:t>
      </w:r>
    </w:p>
    <w:p w14:paraId="3B8A5B75" w14:textId="77777777" w:rsidR="00E37D25" w:rsidRPr="006A09D6" w:rsidRDefault="00E37D25" w:rsidP="00E37D25">
      <w:pPr>
        <w:spacing w:after="0" w:line="276" w:lineRule="auto"/>
        <w:jc w:val="both"/>
        <w:rPr>
          <w:rFonts w:ascii="Verdana" w:eastAsia="Calibri" w:hAnsi="Verdana" w:cs="Arial"/>
          <w:color w:val="7030A0"/>
        </w:rPr>
      </w:pPr>
    </w:p>
    <w:p w14:paraId="45E3602F" w14:textId="77777777" w:rsidR="00E37D25" w:rsidRPr="006A09D6" w:rsidRDefault="00E37D25" w:rsidP="00E37D25">
      <w:pPr>
        <w:spacing w:after="0" w:line="276" w:lineRule="auto"/>
        <w:jc w:val="both"/>
        <w:rPr>
          <w:rFonts w:ascii="Verdana" w:eastAsia="Calibri" w:hAnsi="Verdana" w:cs="Arial"/>
        </w:rPr>
      </w:pPr>
      <w:r w:rsidRPr="006A09D6">
        <w:rPr>
          <w:rFonts w:ascii="Verdana" w:eastAsia="Calibri" w:hAnsi="Verdana" w:cs="Arial"/>
        </w:rPr>
        <w:t xml:space="preserve">Lo anterior se sustenta en las siguientes consideraciones: </w:t>
      </w:r>
    </w:p>
    <w:p w14:paraId="3EEDCC42" w14:textId="77777777" w:rsidR="00E37D25" w:rsidRPr="006A09D6" w:rsidRDefault="00E37D25" w:rsidP="00E37D25">
      <w:pPr>
        <w:spacing w:after="0" w:line="276" w:lineRule="auto"/>
        <w:jc w:val="both"/>
        <w:rPr>
          <w:rFonts w:ascii="Verdana" w:eastAsia="Calibri" w:hAnsi="Verdana" w:cs="Arial"/>
        </w:rPr>
      </w:pPr>
    </w:p>
    <w:p w14:paraId="43C1CA01" w14:textId="77777777" w:rsidR="00E37D25" w:rsidRPr="006A09D6" w:rsidRDefault="00E37D25" w:rsidP="00E37D25">
      <w:pPr>
        <w:widowControl w:val="0"/>
        <w:autoSpaceDE w:val="0"/>
        <w:autoSpaceDN w:val="0"/>
        <w:spacing w:after="0" w:line="276" w:lineRule="auto"/>
        <w:ind w:right="68"/>
        <w:jc w:val="both"/>
        <w:rPr>
          <w:rFonts w:ascii="Verdana" w:eastAsia="Arial MT" w:hAnsi="Verdana" w:cs="Arial"/>
          <w:u w:val="single"/>
        </w:rPr>
      </w:pPr>
      <w:r w:rsidRPr="006A09D6">
        <w:rPr>
          <w:rFonts w:ascii="Verdana" w:eastAsia="Arial MT" w:hAnsi="Verdana" w:cs="Arial"/>
        </w:rPr>
        <w:t>El régimen de inhabilidades e incompatibilidades en la contratación pública</w:t>
      </w:r>
      <w:r w:rsidRPr="006A09D6">
        <w:rPr>
          <w:rFonts w:ascii="Verdana" w:eastAsia="Arial MT" w:hAnsi="Verdana" w:cs="Arial"/>
          <w:spacing w:val="1"/>
        </w:rPr>
        <w:t xml:space="preserve"> </w:t>
      </w:r>
      <w:r w:rsidRPr="006A09D6">
        <w:rPr>
          <w:rFonts w:ascii="Verdana" w:eastAsia="Arial MT" w:hAnsi="Verdana" w:cs="Arial"/>
        </w:rPr>
        <w:t xml:space="preserve">responde al propósito de asegurar que la actividad de adquisición y provisión de </w:t>
      </w:r>
      <w:r w:rsidRPr="006A09D6">
        <w:rPr>
          <w:rFonts w:ascii="Verdana" w:eastAsia="Arial MT" w:hAnsi="Verdana" w:cs="Arial"/>
          <w:spacing w:val="1"/>
        </w:rPr>
        <w:t>bienes</w:t>
      </w:r>
      <w:r w:rsidRPr="006A09D6">
        <w:rPr>
          <w:rFonts w:ascii="Verdana" w:eastAsia="Arial MT" w:hAnsi="Verdana" w:cs="Arial"/>
        </w:rPr>
        <w:t xml:space="preserve"> y servicios por parte de las entidades estatales se efectúe cumpliendo con los</w:t>
      </w:r>
      <w:r w:rsidRPr="006A09D6">
        <w:rPr>
          <w:rFonts w:ascii="Verdana" w:eastAsia="Arial MT" w:hAnsi="Verdana" w:cs="Arial"/>
          <w:spacing w:val="1"/>
        </w:rPr>
        <w:t xml:space="preserve"> </w:t>
      </w:r>
      <w:r w:rsidRPr="006A09D6">
        <w:rPr>
          <w:rFonts w:ascii="Verdana" w:eastAsia="Arial MT" w:hAnsi="Verdana" w:cs="Arial"/>
        </w:rPr>
        <w:t>principios</w:t>
      </w:r>
      <w:r w:rsidRPr="006A09D6">
        <w:rPr>
          <w:rFonts w:ascii="Verdana" w:eastAsia="Arial MT" w:hAnsi="Verdana" w:cs="Arial"/>
          <w:spacing w:val="-11"/>
        </w:rPr>
        <w:t xml:space="preserve"> </w:t>
      </w:r>
      <w:r w:rsidRPr="006A09D6">
        <w:rPr>
          <w:rFonts w:ascii="Verdana" w:eastAsia="Arial MT" w:hAnsi="Verdana" w:cs="Arial"/>
        </w:rPr>
        <w:t>de</w:t>
      </w:r>
      <w:r w:rsidRPr="006A09D6">
        <w:rPr>
          <w:rFonts w:ascii="Verdana" w:eastAsia="Arial MT" w:hAnsi="Verdana" w:cs="Arial"/>
          <w:spacing w:val="-11"/>
        </w:rPr>
        <w:t xml:space="preserve"> </w:t>
      </w:r>
      <w:r w:rsidRPr="006A09D6">
        <w:rPr>
          <w:rFonts w:ascii="Verdana" w:eastAsia="Arial MT" w:hAnsi="Verdana" w:cs="Arial"/>
        </w:rPr>
        <w:t>la</w:t>
      </w:r>
      <w:r w:rsidRPr="006A09D6">
        <w:rPr>
          <w:rFonts w:ascii="Verdana" w:eastAsia="Arial MT" w:hAnsi="Verdana" w:cs="Arial"/>
          <w:spacing w:val="-11"/>
        </w:rPr>
        <w:t xml:space="preserve"> </w:t>
      </w:r>
      <w:r w:rsidRPr="006A09D6">
        <w:rPr>
          <w:rFonts w:ascii="Verdana" w:eastAsia="Arial MT" w:hAnsi="Verdana" w:cs="Arial"/>
        </w:rPr>
        <w:t>función</w:t>
      </w:r>
      <w:r w:rsidRPr="006A09D6">
        <w:rPr>
          <w:rFonts w:ascii="Verdana" w:eastAsia="Arial MT" w:hAnsi="Verdana" w:cs="Arial"/>
          <w:spacing w:val="-10"/>
        </w:rPr>
        <w:t xml:space="preserve"> </w:t>
      </w:r>
      <w:r w:rsidRPr="006A09D6">
        <w:rPr>
          <w:rFonts w:ascii="Verdana" w:eastAsia="Arial MT" w:hAnsi="Verdana" w:cs="Arial"/>
        </w:rPr>
        <w:t>administrativa</w:t>
      </w:r>
      <w:r w:rsidRPr="006A09D6">
        <w:rPr>
          <w:rFonts w:ascii="Verdana" w:eastAsia="Arial MT" w:hAnsi="Verdana" w:cs="Arial"/>
          <w:spacing w:val="-11"/>
        </w:rPr>
        <w:t xml:space="preserve"> </w:t>
      </w:r>
      <w:r w:rsidRPr="006A09D6">
        <w:rPr>
          <w:rFonts w:ascii="Verdana" w:eastAsia="Arial MT" w:hAnsi="Verdana" w:cs="Arial"/>
        </w:rPr>
        <w:t>y</w:t>
      </w:r>
      <w:r w:rsidRPr="006A09D6">
        <w:rPr>
          <w:rFonts w:ascii="Verdana" w:eastAsia="Arial MT" w:hAnsi="Verdana" w:cs="Arial"/>
          <w:spacing w:val="-10"/>
        </w:rPr>
        <w:t xml:space="preserve"> </w:t>
      </w:r>
      <w:r w:rsidRPr="006A09D6">
        <w:rPr>
          <w:rFonts w:ascii="Verdana" w:eastAsia="Arial MT" w:hAnsi="Verdana" w:cs="Arial"/>
        </w:rPr>
        <w:t>de</w:t>
      </w:r>
      <w:r w:rsidRPr="006A09D6">
        <w:rPr>
          <w:rFonts w:ascii="Verdana" w:eastAsia="Arial MT" w:hAnsi="Verdana" w:cs="Arial"/>
          <w:spacing w:val="-11"/>
        </w:rPr>
        <w:t xml:space="preserve"> </w:t>
      </w:r>
      <w:r w:rsidRPr="006A09D6">
        <w:rPr>
          <w:rFonts w:ascii="Verdana" w:eastAsia="Arial MT" w:hAnsi="Verdana" w:cs="Arial"/>
        </w:rPr>
        <w:t>la</w:t>
      </w:r>
      <w:r w:rsidRPr="006A09D6">
        <w:rPr>
          <w:rFonts w:ascii="Verdana" w:eastAsia="Arial MT" w:hAnsi="Verdana" w:cs="Arial"/>
          <w:spacing w:val="-11"/>
        </w:rPr>
        <w:t xml:space="preserve"> </w:t>
      </w:r>
      <w:r w:rsidRPr="006A09D6">
        <w:rPr>
          <w:rFonts w:ascii="Verdana" w:eastAsia="Arial MT" w:hAnsi="Verdana" w:cs="Arial"/>
        </w:rPr>
        <w:t>gestión</w:t>
      </w:r>
      <w:r w:rsidRPr="006A09D6">
        <w:rPr>
          <w:rFonts w:ascii="Verdana" w:eastAsia="Arial MT" w:hAnsi="Verdana" w:cs="Arial"/>
          <w:spacing w:val="-11"/>
        </w:rPr>
        <w:t xml:space="preserve"> </w:t>
      </w:r>
      <w:r w:rsidRPr="006A09D6">
        <w:rPr>
          <w:rFonts w:ascii="Verdana" w:eastAsia="Arial MT" w:hAnsi="Verdana" w:cs="Arial"/>
        </w:rPr>
        <w:t>fiscal,</w:t>
      </w:r>
      <w:r w:rsidRPr="006A09D6">
        <w:rPr>
          <w:rFonts w:ascii="Verdana" w:eastAsia="Arial MT" w:hAnsi="Verdana" w:cs="Arial"/>
          <w:spacing w:val="-10"/>
        </w:rPr>
        <w:t xml:space="preserve"> </w:t>
      </w:r>
      <w:r w:rsidRPr="006A09D6">
        <w:rPr>
          <w:rFonts w:ascii="Verdana" w:eastAsia="Arial MT" w:hAnsi="Verdana" w:cs="Arial"/>
        </w:rPr>
        <w:t>especialmente</w:t>
      </w:r>
      <w:r w:rsidRPr="006A09D6">
        <w:rPr>
          <w:rFonts w:ascii="Verdana" w:eastAsia="Arial MT" w:hAnsi="Verdana" w:cs="Arial"/>
          <w:spacing w:val="-11"/>
        </w:rPr>
        <w:t xml:space="preserve"> </w:t>
      </w:r>
      <w:r w:rsidRPr="006A09D6">
        <w:rPr>
          <w:rFonts w:ascii="Verdana" w:eastAsia="Arial MT" w:hAnsi="Verdana" w:cs="Arial"/>
        </w:rPr>
        <w:t>con</w:t>
      </w:r>
      <w:r w:rsidRPr="006A09D6">
        <w:rPr>
          <w:rFonts w:ascii="Verdana" w:eastAsia="Arial MT" w:hAnsi="Verdana" w:cs="Arial"/>
          <w:spacing w:val="-11"/>
        </w:rPr>
        <w:t xml:space="preserve"> </w:t>
      </w:r>
      <w:r w:rsidRPr="006A09D6">
        <w:rPr>
          <w:rFonts w:ascii="Verdana" w:eastAsia="Arial MT" w:hAnsi="Verdana" w:cs="Arial"/>
        </w:rPr>
        <w:t>probidad</w:t>
      </w:r>
      <w:r w:rsidRPr="006A09D6">
        <w:rPr>
          <w:rFonts w:ascii="Verdana" w:eastAsia="Arial MT" w:hAnsi="Verdana" w:cs="Arial"/>
          <w:spacing w:val="1"/>
        </w:rPr>
        <w:t xml:space="preserve"> </w:t>
      </w:r>
      <w:r w:rsidRPr="006A09D6">
        <w:rPr>
          <w:rFonts w:ascii="Verdana" w:eastAsia="Arial MT" w:hAnsi="Verdana" w:cs="Arial"/>
        </w:rPr>
        <w:t>y</w:t>
      </w:r>
      <w:r w:rsidRPr="006A09D6">
        <w:rPr>
          <w:rFonts w:ascii="Verdana" w:eastAsia="Arial MT" w:hAnsi="Verdana" w:cs="Arial"/>
          <w:spacing w:val="1"/>
        </w:rPr>
        <w:t xml:space="preserve"> </w:t>
      </w:r>
      <w:r w:rsidRPr="006A09D6">
        <w:rPr>
          <w:rFonts w:ascii="Verdana" w:eastAsia="Arial MT" w:hAnsi="Verdana" w:cs="Arial"/>
        </w:rPr>
        <w:t>transparencia.</w:t>
      </w:r>
      <w:r w:rsidRPr="006A09D6">
        <w:rPr>
          <w:rFonts w:ascii="Verdana" w:eastAsia="Arial MT" w:hAnsi="Verdana" w:cs="Arial"/>
          <w:spacing w:val="1"/>
        </w:rPr>
        <w:t xml:space="preserve"> </w:t>
      </w:r>
      <w:r w:rsidRPr="006A09D6">
        <w:rPr>
          <w:rFonts w:ascii="Verdana" w:eastAsia="Arial MT" w:hAnsi="Verdana" w:cs="Arial"/>
        </w:rPr>
        <w:t>Por</w:t>
      </w:r>
      <w:r w:rsidRPr="006A09D6">
        <w:rPr>
          <w:rFonts w:ascii="Verdana" w:eastAsia="Arial MT" w:hAnsi="Verdana" w:cs="Arial"/>
          <w:spacing w:val="1"/>
        </w:rPr>
        <w:t xml:space="preserve"> </w:t>
      </w:r>
      <w:r w:rsidRPr="006A09D6">
        <w:rPr>
          <w:rFonts w:ascii="Verdana" w:eastAsia="Arial MT" w:hAnsi="Verdana" w:cs="Arial"/>
        </w:rPr>
        <w:t>ello,</w:t>
      </w:r>
      <w:r w:rsidRPr="006A09D6">
        <w:rPr>
          <w:rFonts w:ascii="Verdana" w:eastAsia="Arial MT" w:hAnsi="Verdana" w:cs="Arial"/>
          <w:spacing w:val="1"/>
        </w:rPr>
        <w:t xml:space="preserve"> </w:t>
      </w:r>
      <w:r w:rsidRPr="006A09D6">
        <w:rPr>
          <w:rFonts w:ascii="Verdana" w:eastAsia="Arial MT" w:hAnsi="Verdana" w:cs="Arial"/>
        </w:rPr>
        <w:t>como</w:t>
      </w:r>
      <w:r w:rsidRPr="006A09D6">
        <w:rPr>
          <w:rFonts w:ascii="Verdana" w:eastAsia="Arial MT" w:hAnsi="Verdana" w:cs="Arial"/>
          <w:spacing w:val="1"/>
        </w:rPr>
        <w:t xml:space="preserve"> </w:t>
      </w:r>
      <w:r w:rsidRPr="006A09D6">
        <w:rPr>
          <w:rFonts w:ascii="Verdana" w:eastAsia="Arial MT" w:hAnsi="Verdana" w:cs="Arial"/>
        </w:rPr>
        <w:t>lo</w:t>
      </w:r>
      <w:r w:rsidRPr="006A09D6">
        <w:rPr>
          <w:rFonts w:ascii="Verdana" w:eastAsia="Arial MT" w:hAnsi="Verdana" w:cs="Arial"/>
          <w:spacing w:val="1"/>
        </w:rPr>
        <w:t xml:space="preserve"> </w:t>
      </w:r>
      <w:r w:rsidRPr="006A09D6">
        <w:rPr>
          <w:rFonts w:ascii="Verdana" w:eastAsia="Arial MT" w:hAnsi="Verdana" w:cs="Arial"/>
        </w:rPr>
        <w:t>ha</w:t>
      </w:r>
      <w:r w:rsidRPr="006A09D6">
        <w:rPr>
          <w:rFonts w:ascii="Verdana" w:eastAsia="Arial MT" w:hAnsi="Verdana" w:cs="Arial"/>
          <w:spacing w:val="1"/>
        </w:rPr>
        <w:t xml:space="preserve"> </w:t>
      </w:r>
      <w:r w:rsidRPr="006A09D6">
        <w:rPr>
          <w:rFonts w:ascii="Verdana" w:eastAsia="Arial MT" w:hAnsi="Verdana" w:cs="Arial"/>
        </w:rPr>
        <w:t>destacado</w:t>
      </w:r>
      <w:r w:rsidRPr="006A09D6">
        <w:rPr>
          <w:rFonts w:ascii="Verdana" w:eastAsia="Arial MT" w:hAnsi="Verdana" w:cs="Arial"/>
          <w:spacing w:val="1"/>
        </w:rPr>
        <w:t xml:space="preserve"> </w:t>
      </w:r>
      <w:r w:rsidRPr="006A09D6">
        <w:rPr>
          <w:rFonts w:ascii="Verdana" w:eastAsia="Arial MT" w:hAnsi="Verdana" w:cs="Arial"/>
        </w:rPr>
        <w:t>la</w:t>
      </w:r>
      <w:r w:rsidRPr="006A09D6">
        <w:rPr>
          <w:rFonts w:ascii="Verdana" w:eastAsia="Arial MT" w:hAnsi="Verdana" w:cs="Arial"/>
          <w:spacing w:val="1"/>
        </w:rPr>
        <w:t xml:space="preserve"> </w:t>
      </w:r>
      <w:r w:rsidRPr="006A09D6">
        <w:rPr>
          <w:rFonts w:ascii="Verdana" w:eastAsia="Arial MT" w:hAnsi="Verdana" w:cs="Arial"/>
        </w:rPr>
        <w:t>doctrina,</w:t>
      </w:r>
      <w:r w:rsidRPr="006A09D6">
        <w:rPr>
          <w:rFonts w:ascii="Verdana" w:eastAsia="Arial MT" w:hAnsi="Verdana" w:cs="Arial"/>
          <w:spacing w:val="1"/>
        </w:rPr>
        <w:t xml:space="preserve"> </w:t>
      </w:r>
      <w:r w:rsidRPr="006A09D6">
        <w:rPr>
          <w:rFonts w:ascii="Verdana" w:eastAsia="Arial MT" w:hAnsi="Verdana" w:cs="Arial"/>
        </w:rPr>
        <w:t>las</w:t>
      </w:r>
      <w:r w:rsidRPr="006A09D6">
        <w:rPr>
          <w:rFonts w:ascii="Verdana" w:eastAsia="Arial MT" w:hAnsi="Verdana" w:cs="Arial"/>
          <w:spacing w:val="1"/>
        </w:rPr>
        <w:t xml:space="preserve"> </w:t>
      </w:r>
      <w:r w:rsidRPr="006A09D6">
        <w:rPr>
          <w:rFonts w:ascii="Verdana" w:eastAsia="Arial MT" w:hAnsi="Verdana" w:cs="Arial"/>
        </w:rPr>
        <w:t>inhabilidades</w:t>
      </w:r>
      <w:r w:rsidRPr="006A09D6">
        <w:rPr>
          <w:rFonts w:ascii="Verdana" w:eastAsia="Arial MT" w:hAnsi="Verdana" w:cs="Arial"/>
          <w:spacing w:val="1"/>
        </w:rPr>
        <w:t xml:space="preserve"> </w:t>
      </w:r>
      <w:r w:rsidRPr="006A09D6">
        <w:rPr>
          <w:rFonts w:ascii="Verdana" w:eastAsia="Arial MT" w:hAnsi="Verdana" w:cs="Arial"/>
        </w:rPr>
        <w:t>e</w:t>
      </w:r>
      <w:r w:rsidRPr="006A09D6">
        <w:rPr>
          <w:rFonts w:ascii="Verdana" w:eastAsia="Arial MT" w:hAnsi="Verdana" w:cs="Arial"/>
          <w:spacing w:val="1"/>
        </w:rPr>
        <w:t xml:space="preserve"> </w:t>
      </w:r>
      <w:r w:rsidRPr="006A09D6">
        <w:rPr>
          <w:rFonts w:ascii="Verdana" w:eastAsia="Arial MT" w:hAnsi="Verdana" w:cs="Arial"/>
        </w:rPr>
        <w:t>incompatibilidades se han convertido en herramientas en la lucha contra la corrupción,</w:t>
      </w:r>
      <w:r w:rsidRPr="006A09D6">
        <w:rPr>
          <w:rFonts w:ascii="Verdana" w:eastAsia="Arial MT" w:hAnsi="Verdana" w:cs="Arial"/>
          <w:spacing w:val="1"/>
        </w:rPr>
        <w:t xml:space="preserve"> </w:t>
      </w:r>
      <w:r w:rsidRPr="006A09D6">
        <w:rPr>
          <w:rFonts w:ascii="Verdana" w:eastAsia="Arial MT" w:hAnsi="Verdana" w:cs="Arial"/>
        </w:rPr>
        <w:t>adoptando</w:t>
      </w:r>
      <w:r w:rsidRPr="006A09D6">
        <w:rPr>
          <w:rFonts w:ascii="Verdana" w:eastAsia="Arial MT" w:hAnsi="Verdana" w:cs="Arial"/>
          <w:spacing w:val="-14"/>
        </w:rPr>
        <w:t xml:space="preserve"> </w:t>
      </w:r>
      <w:r w:rsidRPr="006A09D6">
        <w:rPr>
          <w:rFonts w:ascii="Verdana" w:eastAsia="Arial MT" w:hAnsi="Verdana" w:cs="Arial"/>
        </w:rPr>
        <w:t>paulatinamente</w:t>
      </w:r>
      <w:r w:rsidRPr="006A09D6">
        <w:rPr>
          <w:rFonts w:ascii="Verdana" w:eastAsia="Arial MT" w:hAnsi="Verdana" w:cs="Arial"/>
          <w:spacing w:val="-14"/>
        </w:rPr>
        <w:t xml:space="preserve"> </w:t>
      </w:r>
      <w:r w:rsidRPr="006A09D6">
        <w:rPr>
          <w:rFonts w:ascii="Verdana" w:eastAsia="Arial MT" w:hAnsi="Verdana" w:cs="Arial"/>
        </w:rPr>
        <w:t>un</w:t>
      </w:r>
      <w:r w:rsidRPr="006A09D6">
        <w:rPr>
          <w:rFonts w:ascii="Verdana" w:eastAsia="Arial MT" w:hAnsi="Verdana" w:cs="Arial"/>
          <w:spacing w:val="-14"/>
        </w:rPr>
        <w:t xml:space="preserve"> </w:t>
      </w:r>
      <w:r w:rsidRPr="006A09D6">
        <w:rPr>
          <w:rFonts w:ascii="Verdana" w:eastAsia="Arial MT" w:hAnsi="Verdana" w:cs="Arial"/>
        </w:rPr>
        <w:t>carácter</w:t>
      </w:r>
      <w:r w:rsidRPr="006A09D6">
        <w:rPr>
          <w:rFonts w:ascii="Verdana" w:eastAsia="Arial MT" w:hAnsi="Verdana" w:cs="Arial"/>
          <w:spacing w:val="-15"/>
        </w:rPr>
        <w:t xml:space="preserve"> </w:t>
      </w:r>
      <w:r w:rsidRPr="006A09D6">
        <w:rPr>
          <w:rFonts w:ascii="Verdana" w:eastAsia="Arial MT" w:hAnsi="Verdana" w:cs="Arial"/>
        </w:rPr>
        <w:t>sancionatorio</w:t>
      </w:r>
      <w:r w:rsidRPr="006A09D6">
        <w:rPr>
          <w:rFonts w:ascii="Verdana" w:eastAsia="Arial MT" w:hAnsi="Verdana" w:cs="Arial"/>
          <w:spacing w:val="-14"/>
        </w:rPr>
        <w:t xml:space="preserve"> </w:t>
      </w:r>
      <w:r w:rsidRPr="006A09D6">
        <w:rPr>
          <w:rFonts w:ascii="Verdana" w:eastAsia="Arial MT" w:hAnsi="Verdana" w:cs="Arial"/>
        </w:rPr>
        <w:t>o</w:t>
      </w:r>
      <w:r w:rsidRPr="006A09D6">
        <w:rPr>
          <w:rFonts w:ascii="Verdana" w:eastAsia="Arial MT" w:hAnsi="Verdana" w:cs="Arial"/>
          <w:spacing w:val="-15"/>
        </w:rPr>
        <w:t xml:space="preserve"> </w:t>
      </w:r>
      <w:r w:rsidRPr="006A09D6">
        <w:rPr>
          <w:rFonts w:ascii="Verdana" w:eastAsia="Arial MT" w:hAnsi="Verdana" w:cs="Arial"/>
        </w:rPr>
        <w:t>“</w:t>
      </w:r>
      <w:proofErr w:type="spellStart"/>
      <w:r w:rsidRPr="00D30B23">
        <w:rPr>
          <w:rFonts w:ascii="Verdana" w:eastAsia="Arial MT" w:hAnsi="Verdana" w:cs="Arial"/>
          <w:i/>
          <w:iCs/>
        </w:rPr>
        <w:t>neopunitivo</w:t>
      </w:r>
      <w:proofErr w:type="spellEnd"/>
      <w:r w:rsidRPr="006A09D6">
        <w:rPr>
          <w:rFonts w:ascii="Verdana" w:eastAsia="Arial MT" w:hAnsi="Verdana" w:cs="Arial"/>
        </w:rPr>
        <w:t>”</w:t>
      </w:r>
      <w:r w:rsidRPr="006A09D6">
        <w:rPr>
          <w:rFonts w:ascii="Verdana" w:hAnsi="Verdana"/>
          <w:vertAlign w:val="superscript"/>
        </w:rPr>
        <w:footnoteReference w:id="1"/>
      </w:r>
      <w:r w:rsidRPr="006A09D6">
        <w:rPr>
          <w:rFonts w:ascii="Verdana" w:eastAsia="Arial MT" w:hAnsi="Verdana" w:cs="Arial"/>
        </w:rPr>
        <w:t>.</w:t>
      </w:r>
      <w:r w:rsidRPr="006A09D6">
        <w:rPr>
          <w:rFonts w:ascii="Verdana" w:eastAsia="Arial MT" w:hAnsi="Verdana" w:cs="Arial"/>
          <w:spacing w:val="-14"/>
        </w:rPr>
        <w:t xml:space="preserve"> </w:t>
      </w:r>
      <w:r w:rsidRPr="006A09D6">
        <w:rPr>
          <w:rFonts w:ascii="Verdana" w:eastAsia="Arial MT" w:hAnsi="Verdana" w:cs="Arial"/>
        </w:rPr>
        <w:t>Si</w:t>
      </w:r>
      <w:r w:rsidRPr="006A09D6">
        <w:rPr>
          <w:rFonts w:ascii="Verdana" w:eastAsia="Arial MT" w:hAnsi="Verdana" w:cs="Arial"/>
          <w:spacing w:val="-14"/>
        </w:rPr>
        <w:t xml:space="preserve"> </w:t>
      </w:r>
      <w:r w:rsidRPr="006A09D6">
        <w:rPr>
          <w:rFonts w:ascii="Verdana" w:eastAsia="Arial MT" w:hAnsi="Verdana" w:cs="Arial"/>
        </w:rPr>
        <w:t>bien</w:t>
      </w:r>
      <w:r w:rsidRPr="006A09D6">
        <w:rPr>
          <w:rFonts w:ascii="Verdana" w:eastAsia="Arial MT" w:hAnsi="Verdana" w:cs="Arial"/>
          <w:spacing w:val="-14"/>
        </w:rPr>
        <w:t xml:space="preserve"> </w:t>
      </w:r>
      <w:r w:rsidRPr="006A09D6">
        <w:rPr>
          <w:rFonts w:ascii="Verdana" w:eastAsia="Arial MT" w:hAnsi="Verdana" w:cs="Arial"/>
        </w:rPr>
        <w:t>no</w:t>
      </w:r>
      <w:r w:rsidRPr="006A09D6">
        <w:rPr>
          <w:rFonts w:ascii="Verdana" w:eastAsia="Arial MT" w:hAnsi="Verdana" w:cs="Arial"/>
          <w:spacing w:val="-14"/>
        </w:rPr>
        <w:t xml:space="preserve"> </w:t>
      </w:r>
      <w:r w:rsidRPr="006A09D6">
        <w:rPr>
          <w:rFonts w:ascii="Verdana" w:eastAsia="Arial MT" w:hAnsi="Verdana" w:cs="Arial"/>
        </w:rPr>
        <w:t>todas las causales de inhabilidad y de incompatibilidad son consecuencia de una medida de</w:t>
      </w:r>
      <w:r w:rsidRPr="006A09D6">
        <w:rPr>
          <w:rFonts w:ascii="Verdana" w:eastAsia="Arial MT" w:hAnsi="Verdana" w:cs="Arial"/>
          <w:spacing w:val="1"/>
        </w:rPr>
        <w:t xml:space="preserve"> </w:t>
      </w:r>
      <w:r w:rsidRPr="006A09D6">
        <w:rPr>
          <w:rFonts w:ascii="Verdana" w:eastAsia="Arial MT" w:hAnsi="Verdana" w:cs="Arial"/>
        </w:rPr>
        <w:t>reproche,</w:t>
      </w:r>
      <w:r w:rsidRPr="006A09D6">
        <w:rPr>
          <w:rFonts w:ascii="Verdana" w:eastAsia="Arial MT" w:hAnsi="Verdana" w:cs="Arial"/>
          <w:spacing w:val="2"/>
        </w:rPr>
        <w:t xml:space="preserve"> </w:t>
      </w:r>
      <w:r w:rsidRPr="006A09D6">
        <w:rPr>
          <w:rFonts w:ascii="Verdana" w:eastAsia="Arial MT" w:hAnsi="Verdana" w:cs="Arial"/>
        </w:rPr>
        <w:t>ni</w:t>
      </w:r>
      <w:r w:rsidRPr="006A09D6">
        <w:rPr>
          <w:rFonts w:ascii="Verdana" w:eastAsia="Arial MT" w:hAnsi="Verdana" w:cs="Arial"/>
          <w:spacing w:val="3"/>
        </w:rPr>
        <w:t xml:space="preserve"> </w:t>
      </w:r>
      <w:r w:rsidRPr="006A09D6">
        <w:rPr>
          <w:rFonts w:ascii="Verdana" w:eastAsia="Arial MT" w:hAnsi="Verdana" w:cs="Arial"/>
        </w:rPr>
        <w:t>de</w:t>
      </w:r>
      <w:r w:rsidRPr="006A09D6">
        <w:rPr>
          <w:rFonts w:ascii="Verdana" w:eastAsia="Arial MT" w:hAnsi="Verdana" w:cs="Arial"/>
          <w:spacing w:val="2"/>
        </w:rPr>
        <w:t xml:space="preserve"> </w:t>
      </w:r>
      <w:r w:rsidRPr="006A09D6">
        <w:rPr>
          <w:rFonts w:ascii="Verdana" w:eastAsia="Arial MT" w:hAnsi="Verdana" w:cs="Arial"/>
        </w:rPr>
        <w:t>una</w:t>
      </w:r>
      <w:r w:rsidRPr="006A09D6">
        <w:rPr>
          <w:rFonts w:ascii="Verdana" w:eastAsia="Arial MT" w:hAnsi="Verdana" w:cs="Arial"/>
          <w:spacing w:val="3"/>
        </w:rPr>
        <w:t xml:space="preserve"> </w:t>
      </w:r>
      <w:r w:rsidRPr="006A09D6">
        <w:rPr>
          <w:rFonts w:ascii="Verdana" w:eastAsia="Arial MT" w:hAnsi="Verdana" w:cs="Arial"/>
        </w:rPr>
        <w:t>sanción</w:t>
      </w:r>
      <w:r w:rsidRPr="006A09D6">
        <w:rPr>
          <w:rFonts w:ascii="Verdana" w:eastAsia="Arial MT" w:hAnsi="Verdana" w:cs="Arial"/>
          <w:spacing w:val="2"/>
        </w:rPr>
        <w:t xml:space="preserve"> </w:t>
      </w:r>
      <w:r w:rsidRPr="006A09D6">
        <w:rPr>
          <w:rFonts w:ascii="Verdana" w:eastAsia="Arial MT" w:hAnsi="Verdana" w:cs="Arial"/>
        </w:rPr>
        <w:t>previa,</w:t>
      </w:r>
      <w:r w:rsidRPr="006A09D6">
        <w:rPr>
          <w:rFonts w:ascii="Verdana" w:eastAsia="Arial MT" w:hAnsi="Verdana" w:cs="Arial"/>
          <w:spacing w:val="3"/>
        </w:rPr>
        <w:t xml:space="preserve"> </w:t>
      </w:r>
      <w:r w:rsidRPr="006A09D6">
        <w:rPr>
          <w:rFonts w:ascii="Verdana" w:eastAsia="Arial MT" w:hAnsi="Verdana" w:cs="Arial"/>
        </w:rPr>
        <w:t>es</w:t>
      </w:r>
      <w:r w:rsidRPr="006A09D6">
        <w:rPr>
          <w:rFonts w:ascii="Verdana" w:eastAsia="Arial MT" w:hAnsi="Verdana" w:cs="Arial"/>
          <w:spacing w:val="3"/>
        </w:rPr>
        <w:t xml:space="preserve"> </w:t>
      </w:r>
      <w:r w:rsidRPr="006A09D6">
        <w:rPr>
          <w:rFonts w:ascii="Verdana" w:eastAsia="Arial MT" w:hAnsi="Verdana" w:cs="Arial"/>
        </w:rPr>
        <w:t>indiscutible</w:t>
      </w:r>
      <w:r w:rsidRPr="006A09D6">
        <w:rPr>
          <w:rFonts w:ascii="Verdana" w:eastAsia="Arial MT" w:hAnsi="Verdana" w:cs="Arial"/>
          <w:spacing w:val="2"/>
        </w:rPr>
        <w:t xml:space="preserve"> </w:t>
      </w:r>
      <w:r w:rsidRPr="006A09D6">
        <w:rPr>
          <w:rFonts w:ascii="Verdana" w:eastAsia="Arial MT" w:hAnsi="Verdana" w:cs="Arial"/>
        </w:rPr>
        <w:t>que</w:t>
      </w:r>
      <w:r w:rsidRPr="006A09D6">
        <w:rPr>
          <w:rFonts w:ascii="Verdana" w:eastAsia="Arial MT" w:hAnsi="Verdana" w:cs="Arial"/>
          <w:spacing w:val="3"/>
        </w:rPr>
        <w:t xml:space="preserve"> </w:t>
      </w:r>
      <w:r w:rsidRPr="006A09D6">
        <w:rPr>
          <w:rFonts w:ascii="Verdana" w:eastAsia="Arial MT" w:hAnsi="Verdana" w:cs="Arial"/>
        </w:rPr>
        <w:t>en</w:t>
      </w:r>
      <w:r w:rsidRPr="006A09D6">
        <w:rPr>
          <w:rFonts w:ascii="Verdana" w:eastAsia="Arial MT" w:hAnsi="Verdana" w:cs="Arial"/>
          <w:spacing w:val="3"/>
        </w:rPr>
        <w:t xml:space="preserve"> </w:t>
      </w:r>
      <w:r w:rsidRPr="006A09D6">
        <w:rPr>
          <w:rFonts w:ascii="Verdana" w:eastAsia="Arial MT" w:hAnsi="Verdana" w:cs="Arial"/>
        </w:rPr>
        <w:t>los</w:t>
      </w:r>
      <w:r w:rsidRPr="006A09D6">
        <w:rPr>
          <w:rFonts w:ascii="Verdana" w:eastAsia="Arial MT" w:hAnsi="Verdana" w:cs="Arial"/>
          <w:spacing w:val="2"/>
        </w:rPr>
        <w:t xml:space="preserve"> </w:t>
      </w:r>
      <w:r w:rsidRPr="006A09D6">
        <w:rPr>
          <w:rFonts w:ascii="Verdana" w:eastAsia="Arial MT" w:hAnsi="Verdana" w:cs="Arial"/>
        </w:rPr>
        <w:t>años más recientes los lamentables hechos de corrupción han generado como respuesta</w:t>
      </w:r>
      <w:r w:rsidRPr="006A09D6">
        <w:rPr>
          <w:rFonts w:ascii="Verdana" w:eastAsia="Arial MT" w:hAnsi="Verdana" w:cs="Arial"/>
          <w:spacing w:val="1"/>
        </w:rPr>
        <w:t xml:space="preserve"> </w:t>
      </w:r>
      <w:r w:rsidRPr="006A09D6">
        <w:rPr>
          <w:rFonts w:ascii="Verdana" w:eastAsia="Arial MT" w:hAnsi="Verdana" w:cs="Arial"/>
        </w:rPr>
        <w:t>del legislador, un incremento de las restricciones a la capacidad contractual, dirigidas a</w:t>
      </w:r>
      <w:r w:rsidRPr="006A09D6">
        <w:rPr>
          <w:rFonts w:ascii="Verdana" w:eastAsia="Arial MT" w:hAnsi="Verdana" w:cs="Arial"/>
          <w:spacing w:val="-59"/>
        </w:rPr>
        <w:t xml:space="preserve"> </w:t>
      </w:r>
      <w:r w:rsidRPr="006A09D6">
        <w:rPr>
          <w:rFonts w:ascii="Verdana" w:eastAsia="Arial MT" w:hAnsi="Verdana" w:cs="Arial"/>
        </w:rPr>
        <w:t>prevenir</w:t>
      </w:r>
      <w:r w:rsidRPr="006A09D6">
        <w:rPr>
          <w:rFonts w:ascii="Verdana" w:eastAsia="Arial MT" w:hAnsi="Verdana" w:cs="Arial"/>
          <w:spacing w:val="-2"/>
        </w:rPr>
        <w:t xml:space="preserve"> </w:t>
      </w:r>
      <w:r w:rsidRPr="006A09D6">
        <w:rPr>
          <w:rFonts w:ascii="Verdana" w:eastAsia="Arial MT" w:hAnsi="Verdana" w:cs="Arial"/>
        </w:rPr>
        <w:t>este</w:t>
      </w:r>
      <w:r w:rsidRPr="006A09D6">
        <w:rPr>
          <w:rFonts w:ascii="Verdana" w:eastAsia="Arial MT" w:hAnsi="Verdana" w:cs="Arial"/>
          <w:spacing w:val="-1"/>
        </w:rPr>
        <w:t xml:space="preserve"> </w:t>
      </w:r>
      <w:r w:rsidRPr="006A09D6">
        <w:rPr>
          <w:rFonts w:ascii="Verdana" w:eastAsia="Arial MT" w:hAnsi="Verdana" w:cs="Arial"/>
        </w:rPr>
        <w:t>tipo</w:t>
      </w:r>
      <w:r w:rsidRPr="006A09D6">
        <w:rPr>
          <w:rFonts w:ascii="Verdana" w:eastAsia="Arial MT" w:hAnsi="Verdana" w:cs="Arial"/>
          <w:spacing w:val="-2"/>
        </w:rPr>
        <w:t xml:space="preserve"> </w:t>
      </w:r>
      <w:r w:rsidRPr="006A09D6">
        <w:rPr>
          <w:rFonts w:ascii="Verdana" w:eastAsia="Arial MT" w:hAnsi="Verdana" w:cs="Arial"/>
        </w:rPr>
        <w:t>de</w:t>
      </w:r>
      <w:r w:rsidRPr="006A09D6">
        <w:rPr>
          <w:rFonts w:ascii="Verdana" w:eastAsia="Arial MT" w:hAnsi="Verdana" w:cs="Arial"/>
          <w:spacing w:val="-1"/>
        </w:rPr>
        <w:t xml:space="preserve"> </w:t>
      </w:r>
      <w:r w:rsidRPr="006A09D6">
        <w:rPr>
          <w:rFonts w:ascii="Verdana" w:eastAsia="Arial MT" w:hAnsi="Verdana" w:cs="Arial"/>
        </w:rPr>
        <w:t>situaciones</w:t>
      </w:r>
      <w:r w:rsidRPr="006A09D6">
        <w:rPr>
          <w:rFonts w:ascii="Verdana" w:eastAsia="Arial MT" w:hAnsi="Verdana" w:cs="Arial"/>
          <w:spacing w:val="-1"/>
        </w:rPr>
        <w:t xml:space="preserve"> </w:t>
      </w:r>
      <w:r w:rsidRPr="006A09D6">
        <w:rPr>
          <w:rFonts w:ascii="Verdana" w:eastAsia="Arial MT" w:hAnsi="Verdana" w:cs="Arial"/>
        </w:rPr>
        <w:t>o</w:t>
      </w:r>
      <w:r w:rsidRPr="006A09D6">
        <w:rPr>
          <w:rFonts w:ascii="Verdana" w:eastAsia="Arial MT" w:hAnsi="Verdana" w:cs="Arial"/>
          <w:spacing w:val="-2"/>
        </w:rPr>
        <w:t xml:space="preserve"> </w:t>
      </w:r>
      <w:r w:rsidRPr="006A09D6">
        <w:rPr>
          <w:rFonts w:ascii="Verdana" w:eastAsia="Arial MT" w:hAnsi="Verdana" w:cs="Arial"/>
        </w:rPr>
        <w:t>a</w:t>
      </w:r>
      <w:r w:rsidRPr="006A09D6">
        <w:rPr>
          <w:rFonts w:ascii="Verdana" w:eastAsia="Arial MT" w:hAnsi="Verdana" w:cs="Arial"/>
          <w:spacing w:val="-1"/>
        </w:rPr>
        <w:t xml:space="preserve"> </w:t>
      </w:r>
      <w:r w:rsidRPr="006A09D6">
        <w:rPr>
          <w:rFonts w:ascii="Verdana" w:eastAsia="Arial MT" w:hAnsi="Verdana" w:cs="Arial"/>
        </w:rPr>
        <w:t>sancionar</w:t>
      </w:r>
      <w:r w:rsidRPr="006A09D6">
        <w:rPr>
          <w:rFonts w:ascii="Verdana" w:eastAsia="Arial MT" w:hAnsi="Verdana" w:cs="Arial"/>
          <w:spacing w:val="-1"/>
        </w:rPr>
        <w:t xml:space="preserve"> </w:t>
      </w:r>
      <w:r w:rsidRPr="006A09D6">
        <w:rPr>
          <w:rFonts w:ascii="Verdana" w:eastAsia="Arial MT" w:hAnsi="Verdana" w:cs="Arial"/>
        </w:rPr>
        <w:t>tales</w:t>
      </w:r>
      <w:r w:rsidRPr="006A09D6">
        <w:rPr>
          <w:rFonts w:ascii="Verdana" w:eastAsia="Arial MT" w:hAnsi="Verdana" w:cs="Arial"/>
          <w:spacing w:val="-2"/>
        </w:rPr>
        <w:t xml:space="preserve"> </w:t>
      </w:r>
      <w:r w:rsidRPr="006A09D6">
        <w:rPr>
          <w:rFonts w:ascii="Verdana" w:eastAsia="Arial MT" w:hAnsi="Verdana" w:cs="Arial"/>
        </w:rPr>
        <w:t>conductas.</w:t>
      </w:r>
    </w:p>
    <w:p w14:paraId="7C6F73E2" w14:textId="77777777" w:rsidR="00E37D25" w:rsidRPr="006A09D6" w:rsidRDefault="00E37D25" w:rsidP="00E37D25">
      <w:pPr>
        <w:widowControl w:val="0"/>
        <w:autoSpaceDE w:val="0"/>
        <w:autoSpaceDN w:val="0"/>
        <w:spacing w:before="120" w:after="0" w:line="276" w:lineRule="auto"/>
        <w:ind w:firstLine="708"/>
        <w:jc w:val="both"/>
        <w:rPr>
          <w:rFonts w:ascii="Verdana" w:eastAsia="Arial MT" w:hAnsi="Verdana" w:cs="Arial"/>
        </w:rPr>
      </w:pPr>
      <w:r w:rsidRPr="006A09D6">
        <w:rPr>
          <w:rFonts w:ascii="Verdana" w:eastAsia="Arial MT" w:hAnsi="Verdana" w:cs="Arial"/>
        </w:rPr>
        <w:t>Ahora bien, las inhabilidades e incompatibilidades, al ser</w:t>
      </w:r>
      <w:r w:rsidRPr="006A09D6">
        <w:rPr>
          <w:rFonts w:ascii="Verdana" w:eastAsia="Arial MT" w:hAnsi="Verdana" w:cs="Arial"/>
          <w:spacing w:val="1"/>
        </w:rPr>
        <w:t xml:space="preserve"> </w:t>
      </w:r>
      <w:r w:rsidRPr="006A09D6">
        <w:rPr>
          <w:rFonts w:ascii="Verdana" w:eastAsia="Arial MT" w:hAnsi="Verdana" w:cs="Arial"/>
        </w:rPr>
        <w:t>restricciones o límites especiales a la capacidad para presentar ofertas y celebrar</w:t>
      </w:r>
      <w:r w:rsidRPr="006A09D6">
        <w:rPr>
          <w:rFonts w:ascii="Verdana" w:eastAsia="Arial MT" w:hAnsi="Verdana" w:cs="Arial"/>
          <w:spacing w:val="1"/>
        </w:rPr>
        <w:t xml:space="preserve"> </w:t>
      </w:r>
      <w:r w:rsidRPr="006A09D6">
        <w:rPr>
          <w:rFonts w:ascii="Verdana" w:eastAsia="Arial MT" w:hAnsi="Verdana" w:cs="Arial"/>
        </w:rPr>
        <w:t>contratos</w:t>
      </w:r>
      <w:r w:rsidRPr="006A09D6">
        <w:rPr>
          <w:rFonts w:ascii="Verdana" w:eastAsia="Arial MT" w:hAnsi="Verdana" w:cs="Arial"/>
          <w:spacing w:val="-12"/>
        </w:rPr>
        <w:t xml:space="preserve"> </w:t>
      </w:r>
      <w:r w:rsidRPr="006A09D6">
        <w:rPr>
          <w:rFonts w:ascii="Verdana" w:eastAsia="Arial MT" w:hAnsi="Verdana" w:cs="Arial"/>
        </w:rPr>
        <w:t>estatales,</w:t>
      </w:r>
      <w:r w:rsidRPr="006A09D6">
        <w:rPr>
          <w:rFonts w:ascii="Verdana" w:eastAsia="Arial MT" w:hAnsi="Verdana" w:cs="Arial"/>
          <w:spacing w:val="-12"/>
        </w:rPr>
        <w:t xml:space="preserve"> </w:t>
      </w:r>
      <w:r w:rsidRPr="006A09D6">
        <w:rPr>
          <w:rFonts w:ascii="Verdana" w:eastAsia="Arial MT" w:hAnsi="Verdana" w:cs="Arial"/>
        </w:rPr>
        <w:t>solo</w:t>
      </w:r>
      <w:r w:rsidRPr="006A09D6">
        <w:rPr>
          <w:rFonts w:ascii="Verdana" w:eastAsia="Arial MT" w:hAnsi="Verdana" w:cs="Arial"/>
          <w:spacing w:val="-12"/>
        </w:rPr>
        <w:t xml:space="preserve"> </w:t>
      </w:r>
      <w:r w:rsidRPr="006A09D6">
        <w:rPr>
          <w:rFonts w:ascii="Verdana" w:eastAsia="Arial MT" w:hAnsi="Verdana" w:cs="Arial"/>
        </w:rPr>
        <w:t>pueden</w:t>
      </w:r>
      <w:r w:rsidRPr="006A09D6">
        <w:rPr>
          <w:rFonts w:ascii="Verdana" w:eastAsia="Arial MT" w:hAnsi="Verdana" w:cs="Arial"/>
          <w:spacing w:val="-11"/>
        </w:rPr>
        <w:t xml:space="preserve"> </w:t>
      </w:r>
      <w:r w:rsidRPr="006A09D6">
        <w:rPr>
          <w:rFonts w:ascii="Verdana" w:eastAsia="Arial MT" w:hAnsi="Verdana" w:cs="Arial"/>
        </w:rPr>
        <w:t>tipificarse</w:t>
      </w:r>
      <w:r w:rsidRPr="006A09D6">
        <w:rPr>
          <w:rFonts w:ascii="Verdana" w:eastAsia="Arial MT" w:hAnsi="Verdana" w:cs="Arial"/>
          <w:spacing w:val="-10"/>
        </w:rPr>
        <w:t xml:space="preserve"> </w:t>
      </w:r>
      <w:r w:rsidRPr="006A09D6">
        <w:rPr>
          <w:rFonts w:ascii="Verdana" w:eastAsia="Arial MT" w:hAnsi="Verdana" w:cs="Arial"/>
        </w:rPr>
        <w:t>en</w:t>
      </w:r>
      <w:r w:rsidRPr="006A09D6">
        <w:rPr>
          <w:rFonts w:ascii="Verdana" w:eastAsia="Arial MT" w:hAnsi="Verdana" w:cs="Arial"/>
          <w:spacing w:val="-12"/>
        </w:rPr>
        <w:t xml:space="preserve"> </w:t>
      </w:r>
      <w:r w:rsidRPr="006A09D6">
        <w:rPr>
          <w:rFonts w:ascii="Verdana" w:eastAsia="Arial MT" w:hAnsi="Verdana" w:cs="Arial"/>
        </w:rPr>
        <w:t>la</w:t>
      </w:r>
      <w:r w:rsidRPr="006A09D6">
        <w:rPr>
          <w:rFonts w:ascii="Verdana" w:eastAsia="Arial MT" w:hAnsi="Verdana" w:cs="Arial"/>
          <w:spacing w:val="-12"/>
        </w:rPr>
        <w:t xml:space="preserve"> </w:t>
      </w:r>
      <w:r w:rsidRPr="006A09D6">
        <w:rPr>
          <w:rFonts w:ascii="Verdana" w:eastAsia="Arial MT" w:hAnsi="Verdana" w:cs="Arial"/>
        </w:rPr>
        <w:t>ley</w:t>
      </w:r>
      <w:r w:rsidRPr="006A09D6">
        <w:rPr>
          <w:rFonts w:ascii="Verdana" w:eastAsia="Arial MT" w:hAnsi="Verdana" w:cs="Arial"/>
          <w:spacing w:val="-12"/>
        </w:rPr>
        <w:t xml:space="preserve"> </w:t>
      </w:r>
      <w:r w:rsidRPr="006A09D6">
        <w:rPr>
          <w:rFonts w:ascii="Verdana" w:eastAsia="Arial MT" w:hAnsi="Verdana" w:cs="Arial"/>
        </w:rPr>
        <w:t xml:space="preserve">y su interpretación debe ser </w:t>
      </w:r>
      <w:r w:rsidRPr="006A09D6">
        <w:rPr>
          <w:rFonts w:ascii="Verdana" w:eastAsia="Arial MT" w:hAnsi="Verdana" w:cs="Arial"/>
          <w:i/>
        </w:rPr>
        <w:t>restrictiva</w:t>
      </w:r>
      <w:r w:rsidRPr="006A09D6">
        <w:rPr>
          <w:i/>
          <w:vertAlign w:val="superscript"/>
        </w:rPr>
        <w:footnoteReference w:id="2"/>
      </w:r>
      <w:r w:rsidRPr="006A09D6">
        <w:rPr>
          <w:rFonts w:ascii="Verdana" w:eastAsia="Arial MT" w:hAnsi="Verdana" w:cs="Arial"/>
        </w:rPr>
        <w:t>. De admitirse una interpretación</w:t>
      </w:r>
      <w:r w:rsidRPr="006A09D6">
        <w:rPr>
          <w:rFonts w:ascii="Verdana" w:eastAsia="Arial MT" w:hAnsi="Verdana" w:cs="Arial"/>
          <w:spacing w:val="1"/>
        </w:rPr>
        <w:t xml:space="preserve"> </w:t>
      </w:r>
      <w:r w:rsidRPr="006A09D6">
        <w:rPr>
          <w:rFonts w:ascii="Verdana" w:eastAsia="Arial MT" w:hAnsi="Verdana" w:cs="Arial"/>
        </w:rPr>
        <w:t>extensiva,</w:t>
      </w:r>
      <w:r w:rsidRPr="006A09D6">
        <w:rPr>
          <w:rFonts w:ascii="Verdana" w:eastAsia="Arial MT" w:hAnsi="Verdana" w:cs="Arial"/>
          <w:spacing w:val="1"/>
        </w:rPr>
        <w:t xml:space="preserve"> </w:t>
      </w:r>
      <w:r w:rsidRPr="006A09D6">
        <w:rPr>
          <w:rFonts w:ascii="Verdana" w:eastAsia="Arial MT" w:hAnsi="Verdana" w:cs="Arial"/>
        </w:rPr>
        <w:t>tales</w:t>
      </w:r>
      <w:r w:rsidRPr="006A09D6">
        <w:rPr>
          <w:rFonts w:ascii="Verdana" w:eastAsia="Arial MT" w:hAnsi="Verdana" w:cs="Arial"/>
          <w:spacing w:val="1"/>
        </w:rPr>
        <w:t xml:space="preserve"> </w:t>
      </w:r>
      <w:r w:rsidRPr="006A09D6">
        <w:rPr>
          <w:rFonts w:ascii="Verdana" w:eastAsia="Arial MT" w:hAnsi="Verdana" w:cs="Arial"/>
        </w:rPr>
        <w:t>enunciados</w:t>
      </w:r>
      <w:r w:rsidRPr="006A09D6">
        <w:rPr>
          <w:rFonts w:ascii="Verdana" w:eastAsia="Arial MT" w:hAnsi="Verdana" w:cs="Arial"/>
          <w:spacing w:val="1"/>
        </w:rPr>
        <w:t xml:space="preserve"> </w:t>
      </w:r>
      <w:r w:rsidRPr="006A09D6">
        <w:rPr>
          <w:rFonts w:ascii="Verdana" w:eastAsia="Arial MT" w:hAnsi="Verdana" w:cs="Arial"/>
        </w:rPr>
        <w:t>normativos</w:t>
      </w:r>
      <w:r w:rsidRPr="006A09D6">
        <w:rPr>
          <w:rFonts w:ascii="Verdana" w:eastAsia="Arial MT" w:hAnsi="Verdana" w:cs="Arial"/>
          <w:spacing w:val="1"/>
        </w:rPr>
        <w:t xml:space="preserve"> </w:t>
      </w:r>
      <w:r w:rsidRPr="006A09D6">
        <w:rPr>
          <w:rFonts w:ascii="Verdana" w:eastAsia="Arial MT" w:hAnsi="Verdana" w:cs="Arial"/>
        </w:rPr>
        <w:t>podrían</w:t>
      </w:r>
      <w:r w:rsidRPr="006A09D6">
        <w:rPr>
          <w:rFonts w:ascii="Verdana" w:eastAsia="Arial MT" w:hAnsi="Verdana" w:cs="Arial"/>
          <w:spacing w:val="1"/>
        </w:rPr>
        <w:t xml:space="preserve"> </w:t>
      </w:r>
      <w:r w:rsidRPr="006A09D6">
        <w:rPr>
          <w:rFonts w:ascii="Verdana" w:eastAsia="Arial MT" w:hAnsi="Verdana" w:cs="Arial"/>
        </w:rPr>
        <w:t>contemplar</w:t>
      </w:r>
      <w:r w:rsidRPr="006A09D6">
        <w:rPr>
          <w:rFonts w:ascii="Verdana" w:eastAsia="Arial MT" w:hAnsi="Verdana" w:cs="Arial"/>
          <w:spacing w:val="1"/>
        </w:rPr>
        <w:t xml:space="preserve"> </w:t>
      </w:r>
      <w:r w:rsidRPr="006A09D6">
        <w:rPr>
          <w:rFonts w:ascii="Verdana" w:eastAsia="Arial MT" w:hAnsi="Verdana" w:cs="Arial"/>
        </w:rPr>
        <w:t>múltiples</w:t>
      </w:r>
      <w:r w:rsidRPr="006A09D6">
        <w:rPr>
          <w:rFonts w:ascii="Verdana" w:eastAsia="Arial MT" w:hAnsi="Verdana" w:cs="Arial"/>
          <w:spacing w:val="1"/>
        </w:rPr>
        <w:t xml:space="preserve"> </w:t>
      </w:r>
      <w:r w:rsidRPr="006A09D6">
        <w:rPr>
          <w:rFonts w:ascii="Verdana" w:eastAsia="Arial MT" w:hAnsi="Verdana" w:cs="Arial"/>
        </w:rPr>
        <w:t>supuestos</w:t>
      </w:r>
      <w:r w:rsidRPr="006A09D6">
        <w:rPr>
          <w:rFonts w:ascii="Verdana" w:eastAsia="Arial MT" w:hAnsi="Verdana" w:cs="Arial"/>
          <w:spacing w:val="1"/>
        </w:rPr>
        <w:t xml:space="preserve"> </w:t>
      </w:r>
      <w:r w:rsidRPr="006A09D6">
        <w:rPr>
          <w:rFonts w:ascii="Verdana" w:eastAsia="Arial MT" w:hAnsi="Verdana" w:cs="Arial"/>
        </w:rPr>
        <w:t>indeterminados,</w:t>
      </w:r>
      <w:r w:rsidRPr="006A09D6">
        <w:rPr>
          <w:rFonts w:ascii="Verdana" w:eastAsia="Arial MT" w:hAnsi="Verdana" w:cs="Arial"/>
          <w:spacing w:val="-4"/>
        </w:rPr>
        <w:t xml:space="preserve"> </w:t>
      </w:r>
      <w:r w:rsidRPr="006A09D6">
        <w:rPr>
          <w:rFonts w:ascii="Verdana" w:eastAsia="Arial MT" w:hAnsi="Verdana" w:cs="Arial"/>
        </w:rPr>
        <w:t>adquiriendo</w:t>
      </w:r>
      <w:r w:rsidRPr="006A09D6">
        <w:rPr>
          <w:rFonts w:ascii="Verdana" w:eastAsia="Arial MT" w:hAnsi="Verdana" w:cs="Arial"/>
          <w:spacing w:val="-4"/>
        </w:rPr>
        <w:t xml:space="preserve"> </w:t>
      </w:r>
      <w:r w:rsidRPr="006A09D6">
        <w:rPr>
          <w:rFonts w:ascii="Verdana" w:eastAsia="Arial MT" w:hAnsi="Verdana" w:cs="Arial"/>
        </w:rPr>
        <w:t>un</w:t>
      </w:r>
      <w:r w:rsidRPr="006A09D6">
        <w:rPr>
          <w:rFonts w:ascii="Verdana" w:eastAsia="Arial MT" w:hAnsi="Verdana" w:cs="Arial"/>
          <w:spacing w:val="-4"/>
        </w:rPr>
        <w:t xml:space="preserve"> </w:t>
      </w:r>
      <w:r w:rsidRPr="006A09D6">
        <w:rPr>
          <w:rFonts w:ascii="Verdana" w:eastAsia="Arial MT" w:hAnsi="Verdana" w:cs="Arial"/>
        </w:rPr>
        <w:t>cariz</w:t>
      </w:r>
      <w:r w:rsidRPr="006A09D6">
        <w:rPr>
          <w:rFonts w:ascii="Verdana" w:eastAsia="Arial MT" w:hAnsi="Verdana" w:cs="Arial"/>
          <w:spacing w:val="-4"/>
        </w:rPr>
        <w:t xml:space="preserve"> </w:t>
      </w:r>
      <w:r w:rsidRPr="006A09D6">
        <w:rPr>
          <w:rFonts w:ascii="Verdana" w:eastAsia="Arial MT" w:hAnsi="Verdana" w:cs="Arial"/>
        </w:rPr>
        <w:t>subjetivo,</w:t>
      </w:r>
      <w:r w:rsidRPr="006A09D6">
        <w:rPr>
          <w:rFonts w:ascii="Verdana" w:eastAsia="Arial MT" w:hAnsi="Verdana" w:cs="Arial"/>
          <w:spacing w:val="-3"/>
        </w:rPr>
        <w:t xml:space="preserve"> </w:t>
      </w:r>
      <w:r w:rsidRPr="006A09D6">
        <w:rPr>
          <w:rFonts w:ascii="Verdana" w:eastAsia="Arial MT" w:hAnsi="Verdana" w:cs="Arial"/>
        </w:rPr>
        <w:t>según</w:t>
      </w:r>
      <w:r w:rsidRPr="006A09D6">
        <w:rPr>
          <w:rFonts w:ascii="Verdana" w:eastAsia="Arial MT" w:hAnsi="Verdana" w:cs="Arial"/>
          <w:spacing w:val="-4"/>
        </w:rPr>
        <w:t xml:space="preserve"> </w:t>
      </w:r>
      <w:r w:rsidRPr="006A09D6">
        <w:rPr>
          <w:rFonts w:ascii="Verdana" w:eastAsia="Arial MT" w:hAnsi="Verdana" w:cs="Arial"/>
        </w:rPr>
        <w:t>el</w:t>
      </w:r>
      <w:r w:rsidRPr="006A09D6">
        <w:rPr>
          <w:rFonts w:ascii="Verdana" w:eastAsia="Arial MT" w:hAnsi="Verdana" w:cs="Arial"/>
          <w:spacing w:val="-4"/>
        </w:rPr>
        <w:t xml:space="preserve"> </w:t>
      </w:r>
      <w:r w:rsidRPr="006A09D6">
        <w:rPr>
          <w:rFonts w:ascii="Verdana" w:eastAsia="Arial MT" w:hAnsi="Verdana" w:cs="Arial"/>
        </w:rPr>
        <w:t>parecer</w:t>
      </w:r>
      <w:r w:rsidRPr="006A09D6">
        <w:rPr>
          <w:rFonts w:ascii="Verdana" w:eastAsia="Arial MT" w:hAnsi="Verdana" w:cs="Arial"/>
          <w:spacing w:val="-4"/>
        </w:rPr>
        <w:t xml:space="preserve"> </w:t>
      </w:r>
      <w:r w:rsidRPr="006A09D6">
        <w:rPr>
          <w:rFonts w:ascii="Verdana" w:eastAsia="Arial MT" w:hAnsi="Verdana" w:cs="Arial"/>
        </w:rPr>
        <w:t>o</w:t>
      </w:r>
      <w:r w:rsidRPr="006A09D6">
        <w:rPr>
          <w:rFonts w:ascii="Verdana" w:eastAsia="Arial MT" w:hAnsi="Verdana" w:cs="Arial"/>
          <w:spacing w:val="-3"/>
        </w:rPr>
        <w:t xml:space="preserve"> </w:t>
      </w:r>
      <w:r w:rsidRPr="006A09D6">
        <w:rPr>
          <w:rFonts w:ascii="Verdana" w:eastAsia="Arial MT" w:hAnsi="Verdana" w:cs="Arial"/>
        </w:rPr>
        <w:t>el</w:t>
      </w:r>
      <w:r w:rsidRPr="006A09D6">
        <w:rPr>
          <w:rFonts w:ascii="Verdana" w:eastAsia="Arial MT" w:hAnsi="Verdana" w:cs="Arial"/>
          <w:spacing w:val="-4"/>
        </w:rPr>
        <w:t xml:space="preserve"> </w:t>
      </w:r>
      <w:r w:rsidRPr="006A09D6">
        <w:rPr>
          <w:rFonts w:ascii="Verdana" w:eastAsia="Arial MT" w:hAnsi="Verdana" w:cs="Arial"/>
        </w:rPr>
        <w:t>sentido</w:t>
      </w:r>
      <w:r w:rsidRPr="006A09D6">
        <w:rPr>
          <w:rFonts w:ascii="Verdana" w:eastAsia="Arial MT" w:hAnsi="Verdana" w:cs="Arial"/>
          <w:spacing w:val="-4"/>
        </w:rPr>
        <w:t xml:space="preserve"> </w:t>
      </w:r>
      <w:r w:rsidRPr="006A09D6">
        <w:rPr>
          <w:rFonts w:ascii="Verdana" w:eastAsia="Arial MT" w:hAnsi="Verdana" w:cs="Arial"/>
        </w:rPr>
        <w:t>común</w:t>
      </w:r>
      <w:r w:rsidRPr="006A09D6">
        <w:rPr>
          <w:rFonts w:ascii="Verdana" w:eastAsia="Arial MT" w:hAnsi="Verdana" w:cs="Arial"/>
          <w:spacing w:val="-4"/>
        </w:rPr>
        <w:t xml:space="preserve"> </w:t>
      </w:r>
      <w:r w:rsidRPr="006A09D6">
        <w:rPr>
          <w:rFonts w:ascii="Verdana" w:eastAsia="Arial MT" w:hAnsi="Verdana" w:cs="Arial"/>
        </w:rPr>
        <w:t>de los operadores jurídicos, poniendo en riesgo principios como la igualdad, el debido</w:t>
      </w:r>
      <w:r w:rsidRPr="006A09D6">
        <w:rPr>
          <w:rFonts w:ascii="Verdana" w:eastAsia="Arial MT" w:hAnsi="Verdana" w:cs="Arial"/>
          <w:spacing w:val="1"/>
        </w:rPr>
        <w:t xml:space="preserve"> </w:t>
      </w:r>
      <w:r w:rsidRPr="006A09D6">
        <w:rPr>
          <w:rFonts w:ascii="Verdana" w:eastAsia="Arial MT" w:hAnsi="Verdana" w:cs="Arial"/>
        </w:rPr>
        <w:t>proceso, la libre concurrencia y el ejercicio de la profesión u oficio. Tal ha sido la postura al interior de la jurisprudencia, tanto de la Corte Constitucional como de la Sección</w:t>
      </w:r>
      <w:r w:rsidRPr="006A09D6">
        <w:rPr>
          <w:rFonts w:ascii="Verdana" w:eastAsia="Arial MT" w:hAnsi="Verdana" w:cs="Arial"/>
          <w:spacing w:val="1"/>
        </w:rPr>
        <w:t xml:space="preserve"> </w:t>
      </w:r>
      <w:r w:rsidRPr="006A09D6">
        <w:rPr>
          <w:rFonts w:ascii="Verdana" w:eastAsia="Arial MT" w:hAnsi="Verdana" w:cs="Arial"/>
        </w:rPr>
        <w:t>Tercera</w:t>
      </w:r>
      <w:r w:rsidRPr="006A09D6">
        <w:rPr>
          <w:rFonts w:ascii="Verdana" w:eastAsia="Arial MT" w:hAnsi="Verdana" w:cs="Arial"/>
          <w:spacing w:val="-2"/>
        </w:rPr>
        <w:t xml:space="preserve"> </w:t>
      </w:r>
      <w:r w:rsidRPr="006A09D6">
        <w:rPr>
          <w:rFonts w:ascii="Verdana" w:eastAsia="Arial MT" w:hAnsi="Verdana" w:cs="Arial"/>
        </w:rPr>
        <w:t>del</w:t>
      </w:r>
      <w:r w:rsidRPr="006A09D6">
        <w:rPr>
          <w:rFonts w:ascii="Verdana" w:eastAsia="Arial MT" w:hAnsi="Verdana" w:cs="Arial"/>
          <w:spacing w:val="-1"/>
        </w:rPr>
        <w:t xml:space="preserve"> </w:t>
      </w:r>
      <w:r w:rsidRPr="006A09D6">
        <w:rPr>
          <w:rFonts w:ascii="Verdana" w:eastAsia="Arial MT" w:hAnsi="Verdana" w:cs="Arial"/>
        </w:rPr>
        <w:t>Consejo</w:t>
      </w:r>
      <w:r w:rsidRPr="006A09D6">
        <w:rPr>
          <w:rFonts w:ascii="Verdana" w:eastAsia="Arial MT" w:hAnsi="Verdana" w:cs="Arial"/>
          <w:spacing w:val="-1"/>
        </w:rPr>
        <w:t xml:space="preserve"> </w:t>
      </w:r>
      <w:r w:rsidRPr="006A09D6">
        <w:rPr>
          <w:rFonts w:ascii="Verdana" w:eastAsia="Arial MT" w:hAnsi="Verdana" w:cs="Arial"/>
        </w:rPr>
        <w:t>de</w:t>
      </w:r>
      <w:r w:rsidRPr="006A09D6">
        <w:rPr>
          <w:rFonts w:ascii="Verdana" w:eastAsia="Arial MT" w:hAnsi="Verdana" w:cs="Arial"/>
          <w:spacing w:val="-1"/>
        </w:rPr>
        <w:t xml:space="preserve"> </w:t>
      </w:r>
      <w:r w:rsidRPr="006A09D6">
        <w:rPr>
          <w:rFonts w:ascii="Verdana" w:eastAsia="Arial MT" w:hAnsi="Verdana" w:cs="Arial"/>
        </w:rPr>
        <w:t>Estado.</w:t>
      </w:r>
    </w:p>
    <w:p w14:paraId="5ABD980A" w14:textId="77777777" w:rsidR="00E37D25" w:rsidRDefault="00E37D25" w:rsidP="00E37D25">
      <w:pPr>
        <w:widowControl w:val="0"/>
        <w:autoSpaceDE w:val="0"/>
        <w:autoSpaceDN w:val="0"/>
        <w:spacing w:before="120" w:after="0" w:line="276" w:lineRule="auto"/>
        <w:ind w:firstLine="708"/>
        <w:jc w:val="both"/>
        <w:rPr>
          <w:rFonts w:ascii="Verdana" w:eastAsia="Arial MT" w:hAnsi="Verdana" w:cs="Arial"/>
        </w:rPr>
      </w:pPr>
      <w:r w:rsidRPr="006A09D6">
        <w:rPr>
          <w:rFonts w:ascii="Verdana" w:eastAsia="Arial MT" w:hAnsi="Verdana" w:cs="Arial"/>
        </w:rPr>
        <w:t>En</w:t>
      </w:r>
      <w:r w:rsidRPr="006A09D6">
        <w:rPr>
          <w:rFonts w:ascii="Verdana" w:eastAsia="Arial MT" w:hAnsi="Verdana" w:cs="Arial"/>
          <w:spacing w:val="-11"/>
        </w:rPr>
        <w:t xml:space="preserve"> </w:t>
      </w:r>
      <w:r w:rsidRPr="006A09D6">
        <w:rPr>
          <w:rFonts w:ascii="Verdana" w:eastAsia="Arial MT" w:hAnsi="Verdana" w:cs="Arial"/>
        </w:rPr>
        <w:t>efecto,</w:t>
      </w:r>
      <w:r w:rsidRPr="006A09D6">
        <w:rPr>
          <w:rFonts w:ascii="Verdana" w:eastAsia="Arial MT" w:hAnsi="Verdana" w:cs="Arial"/>
          <w:spacing w:val="-10"/>
        </w:rPr>
        <w:t xml:space="preserve"> </w:t>
      </w:r>
      <w:r w:rsidRPr="006A09D6">
        <w:rPr>
          <w:rFonts w:ascii="Verdana" w:eastAsia="Arial MT" w:hAnsi="Verdana" w:cs="Arial"/>
        </w:rPr>
        <w:t>el</w:t>
      </w:r>
      <w:r w:rsidRPr="006A09D6">
        <w:rPr>
          <w:rFonts w:ascii="Verdana" w:eastAsia="Arial MT" w:hAnsi="Verdana" w:cs="Arial"/>
          <w:spacing w:val="-10"/>
        </w:rPr>
        <w:t xml:space="preserve"> </w:t>
      </w:r>
      <w:r w:rsidRPr="006A09D6">
        <w:rPr>
          <w:rFonts w:ascii="Verdana" w:eastAsia="Arial MT" w:hAnsi="Verdana" w:cs="Arial"/>
        </w:rPr>
        <w:t>máximo</w:t>
      </w:r>
      <w:r w:rsidRPr="006A09D6">
        <w:rPr>
          <w:rFonts w:ascii="Verdana" w:eastAsia="Arial MT" w:hAnsi="Verdana" w:cs="Arial"/>
          <w:spacing w:val="-10"/>
        </w:rPr>
        <w:t xml:space="preserve"> </w:t>
      </w:r>
      <w:r w:rsidRPr="006A09D6">
        <w:rPr>
          <w:rFonts w:ascii="Verdana" w:eastAsia="Arial MT" w:hAnsi="Verdana" w:cs="Arial"/>
        </w:rPr>
        <w:t>tribunal</w:t>
      </w:r>
      <w:r w:rsidRPr="006A09D6">
        <w:rPr>
          <w:rFonts w:ascii="Verdana" w:eastAsia="Arial MT" w:hAnsi="Verdana" w:cs="Arial"/>
          <w:spacing w:val="-9"/>
        </w:rPr>
        <w:t xml:space="preserve"> </w:t>
      </w:r>
      <w:r w:rsidRPr="006A09D6">
        <w:rPr>
          <w:rFonts w:ascii="Verdana" w:eastAsia="Arial MT" w:hAnsi="Verdana" w:cs="Arial"/>
        </w:rPr>
        <w:t xml:space="preserve">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w:t>
      </w:r>
      <w:r w:rsidRPr="006A09D6">
        <w:rPr>
          <w:rFonts w:ascii="Verdana" w:eastAsia="Arial MT" w:hAnsi="Verdana" w:cs="Arial"/>
        </w:rPr>
        <w:lastRenderedPageBreak/>
        <w:t>extensiva para ampliar el alcance de las causales legalmente fijadas”</w:t>
      </w:r>
      <w:r w:rsidRPr="006A09D6">
        <w:rPr>
          <w:rFonts w:ascii="Verdana" w:eastAsia="Arial MT" w:hAnsi="Verdana" w:cs="Arial"/>
          <w:vertAlign w:val="superscript"/>
        </w:rPr>
        <w:footnoteReference w:id="3"/>
      </w:r>
      <w:r w:rsidRPr="006A09D6">
        <w:rPr>
          <w:rFonts w:ascii="Verdana" w:eastAsia="Arial MT" w:hAnsi="Verdana" w:cs="Arial"/>
        </w:rPr>
        <w:t xml:space="preserve">. </w:t>
      </w:r>
    </w:p>
    <w:p w14:paraId="367EAA0D" w14:textId="77777777" w:rsidR="00E37D25" w:rsidRPr="006A09D6" w:rsidRDefault="00E37D25" w:rsidP="00E37D25">
      <w:pPr>
        <w:widowControl w:val="0"/>
        <w:autoSpaceDE w:val="0"/>
        <w:autoSpaceDN w:val="0"/>
        <w:spacing w:before="120" w:after="0" w:line="276" w:lineRule="auto"/>
        <w:ind w:firstLine="708"/>
        <w:jc w:val="both"/>
        <w:rPr>
          <w:rFonts w:ascii="Verdana" w:eastAsia="Arial MT" w:hAnsi="Verdana" w:cs="Arial"/>
        </w:rPr>
      </w:pPr>
      <w:r w:rsidRPr="006A09D6">
        <w:rPr>
          <w:rFonts w:ascii="Verdana" w:eastAsia="Arial MT" w:hAnsi="Verdana" w:cs="Arial"/>
        </w:rPr>
        <w:t>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A09D6">
        <w:rPr>
          <w:rFonts w:ascii="Verdana" w:eastAsia="Arial MT" w:hAnsi="Verdana" w:cs="Arial"/>
          <w:vertAlign w:val="superscript"/>
        </w:rPr>
        <w:footnoteReference w:id="4"/>
      </w:r>
      <w:r w:rsidRPr="006A09D6">
        <w:rPr>
          <w:rFonts w:ascii="Verdana" w:eastAsia="Arial MT" w:hAnsi="Verdana" w:cs="Arial"/>
        </w:rPr>
        <w:t>. En tal sentido, la Sección Tercera ha señalado que:</w:t>
      </w:r>
    </w:p>
    <w:p w14:paraId="344E7636" w14:textId="77777777" w:rsidR="00E37D25" w:rsidRPr="006A09D6" w:rsidRDefault="00E37D25" w:rsidP="00E37D25">
      <w:pPr>
        <w:widowControl w:val="0"/>
        <w:autoSpaceDE w:val="0"/>
        <w:autoSpaceDN w:val="0"/>
        <w:spacing w:after="0" w:line="276" w:lineRule="auto"/>
        <w:ind w:firstLine="708"/>
        <w:jc w:val="both"/>
        <w:rPr>
          <w:rFonts w:ascii="Verdana" w:eastAsia="Arial MT" w:hAnsi="Verdana" w:cs="Arial"/>
          <w:sz w:val="25"/>
        </w:rPr>
      </w:pPr>
    </w:p>
    <w:p w14:paraId="4119C604" w14:textId="77777777" w:rsidR="00E37D25" w:rsidRPr="006A09D6" w:rsidRDefault="00E37D25" w:rsidP="00E37D25">
      <w:pPr>
        <w:widowControl w:val="0"/>
        <w:autoSpaceDE w:val="0"/>
        <w:autoSpaceDN w:val="0"/>
        <w:spacing w:after="0" w:line="240" w:lineRule="auto"/>
        <w:ind w:left="709" w:right="709"/>
        <w:jc w:val="both"/>
        <w:rPr>
          <w:rFonts w:ascii="Verdana" w:eastAsia="Calibri" w:hAnsi="Verdana" w:cs="Arial"/>
          <w:sz w:val="20"/>
          <w:szCs w:val="20"/>
        </w:rPr>
      </w:pPr>
      <w:r w:rsidRPr="006A09D6">
        <w:rPr>
          <w:rFonts w:ascii="Verdana" w:eastAsia="Arial MT" w:hAnsi="Verdana" w:cs="Arial"/>
          <w:sz w:val="20"/>
          <w:szCs w:val="20"/>
        </w:rPr>
        <w:t>“[…]</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conformidad</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con</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la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jurisprudencia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uniforme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y</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reiterada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esta</w:t>
      </w:r>
      <w:r w:rsidRPr="006A09D6">
        <w:rPr>
          <w:rFonts w:ascii="Verdana" w:eastAsia="Arial MT" w:hAnsi="Verdana" w:cs="Arial"/>
          <w:spacing w:val="-56"/>
          <w:sz w:val="20"/>
          <w:szCs w:val="20"/>
        </w:rPr>
        <w:t xml:space="preserve"> </w:t>
      </w:r>
      <w:r w:rsidRPr="006A09D6">
        <w:rPr>
          <w:rFonts w:ascii="Verdana" w:eastAsia="Arial MT" w:hAnsi="Verdana" w:cs="Arial"/>
          <w:sz w:val="20"/>
          <w:szCs w:val="20"/>
        </w:rPr>
        <w:t>Corporación, la aplicación de las normas que contemplan inhabilidades 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incompatibilidades,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como</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en</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general</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todas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aquellas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que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comportan</w:t>
      </w:r>
      <w:r w:rsidRPr="006A09D6">
        <w:rPr>
          <w:rFonts w:ascii="Verdana" w:eastAsia="Arial MT" w:hAnsi="Verdana" w:cs="Arial"/>
          <w:spacing w:val="-56"/>
          <w:sz w:val="20"/>
          <w:szCs w:val="20"/>
        </w:rPr>
        <w:t xml:space="preserve"> </w:t>
      </w:r>
      <w:r w:rsidRPr="006A09D6">
        <w:rPr>
          <w:rFonts w:ascii="Verdana" w:eastAsia="Arial MT" w:hAnsi="Verdana" w:cs="Arial"/>
          <w:sz w:val="20"/>
          <w:szCs w:val="20"/>
        </w:rPr>
        <w:t>prohibiciones</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o</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limitaciones,</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deben</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responder</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a</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una</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interpretación</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 xml:space="preserve">restrictiva </w:t>
      </w:r>
      <w:r w:rsidRPr="006A09D6">
        <w:rPr>
          <w:rFonts w:ascii="Verdana" w:eastAsia="Calibri" w:hAnsi="Verdana" w:cs="Arial"/>
          <w:sz w:val="20"/>
          <w:szCs w:val="20"/>
        </w:rPr>
        <w:t>que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no</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permite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su</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extensión,</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por</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vía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de</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la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figura</w:t>
      </w:r>
      <w:r w:rsidRPr="006A09D6">
        <w:rPr>
          <w:rFonts w:ascii="Verdana" w:eastAsia="Calibri" w:hAnsi="Verdana" w:cs="Arial"/>
          <w:spacing w:val="-4"/>
          <w:sz w:val="20"/>
          <w:szCs w:val="20"/>
        </w:rPr>
        <w:t xml:space="preserve"> </w:t>
      </w:r>
      <w:r w:rsidRPr="006A09D6">
        <w:rPr>
          <w:rFonts w:ascii="Verdana" w:eastAsia="Calibri" w:hAnsi="Verdana" w:cs="Arial"/>
          <w:sz w:val="20"/>
          <w:szCs w:val="20"/>
        </w:rPr>
        <w:t>de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la</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analogía,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a</w:t>
      </w:r>
      <w:r w:rsidRPr="006A09D6">
        <w:rPr>
          <w:rFonts w:ascii="Verdana" w:eastAsia="Calibri" w:hAnsi="Verdana" w:cs="Arial"/>
          <w:spacing w:val="-5"/>
          <w:sz w:val="20"/>
          <w:szCs w:val="20"/>
        </w:rPr>
        <w:t xml:space="preserve"> </w:t>
      </w:r>
      <w:r w:rsidRPr="006A09D6">
        <w:rPr>
          <w:rFonts w:ascii="Verdana" w:eastAsia="Arial MT" w:hAnsi="Verdana" w:cs="Arial"/>
          <w:sz w:val="20"/>
          <w:szCs w:val="20"/>
        </w:rPr>
        <w:t>supuestos no contemplados</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por</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el</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ordenamiento”</w:t>
      </w:r>
      <w:r w:rsidRPr="006A09D6">
        <w:rPr>
          <w:rFonts w:ascii="Verdana" w:eastAsia="Calibri" w:hAnsi="Verdana" w:cs="Arial"/>
          <w:sz w:val="20"/>
          <w:szCs w:val="20"/>
          <w:vertAlign w:val="superscript"/>
        </w:rPr>
        <w:footnoteReference w:id="5"/>
      </w:r>
      <w:r w:rsidRPr="006A09D6">
        <w:rPr>
          <w:rFonts w:ascii="Verdana" w:eastAsia="Calibri" w:hAnsi="Verdana" w:cs="Arial"/>
          <w:sz w:val="20"/>
          <w:szCs w:val="20"/>
        </w:rPr>
        <w:t>.</w:t>
      </w:r>
    </w:p>
    <w:p w14:paraId="14CE5D79" w14:textId="77777777" w:rsidR="00E37D25" w:rsidRPr="006A09D6" w:rsidRDefault="00E37D25" w:rsidP="00E37D25">
      <w:pPr>
        <w:widowControl w:val="0"/>
        <w:autoSpaceDE w:val="0"/>
        <w:autoSpaceDN w:val="0"/>
        <w:spacing w:after="0" w:line="240" w:lineRule="auto"/>
        <w:ind w:left="709" w:right="709"/>
        <w:jc w:val="both"/>
        <w:rPr>
          <w:rFonts w:ascii="Verdana" w:eastAsia="Arial MT" w:hAnsi="Verdana" w:cs="Arial"/>
          <w:sz w:val="21"/>
        </w:rPr>
      </w:pPr>
    </w:p>
    <w:p w14:paraId="4BE4B283" w14:textId="77777777" w:rsidR="00E37D25" w:rsidRPr="006A09D6" w:rsidRDefault="00E37D25" w:rsidP="00E37D25">
      <w:pPr>
        <w:widowControl w:val="0"/>
        <w:autoSpaceDE w:val="0"/>
        <w:autoSpaceDN w:val="0"/>
        <w:spacing w:after="0" w:line="240" w:lineRule="auto"/>
        <w:ind w:right="709" w:firstLine="708"/>
        <w:jc w:val="both"/>
        <w:rPr>
          <w:rFonts w:ascii="Verdana" w:eastAsia="Arial MT" w:hAnsi="Verdana" w:cs="Arial"/>
        </w:rPr>
      </w:pPr>
      <w:r w:rsidRPr="006A09D6">
        <w:rPr>
          <w:rFonts w:ascii="Verdana" w:eastAsia="Arial MT" w:hAnsi="Verdana" w:cs="Arial"/>
        </w:rPr>
        <w:t>En el mismo sentido ha expuesto que:</w:t>
      </w:r>
    </w:p>
    <w:p w14:paraId="1FA13757" w14:textId="77777777" w:rsidR="00E37D25" w:rsidRPr="006A09D6" w:rsidRDefault="00E37D25" w:rsidP="00E37D25">
      <w:pPr>
        <w:widowControl w:val="0"/>
        <w:autoSpaceDE w:val="0"/>
        <w:autoSpaceDN w:val="0"/>
        <w:spacing w:after="0" w:line="240" w:lineRule="auto"/>
        <w:ind w:right="709"/>
        <w:jc w:val="both"/>
        <w:rPr>
          <w:rFonts w:ascii="Verdana" w:eastAsia="Arial MT" w:hAnsi="Verdana" w:cs="Arial"/>
        </w:rPr>
      </w:pPr>
    </w:p>
    <w:p w14:paraId="06D4BFBA" w14:textId="77777777" w:rsidR="00E37D25" w:rsidRPr="006A09D6" w:rsidRDefault="00E37D25" w:rsidP="00E37D25">
      <w:pPr>
        <w:widowControl w:val="0"/>
        <w:autoSpaceDE w:val="0"/>
        <w:autoSpaceDN w:val="0"/>
        <w:spacing w:after="0" w:line="240" w:lineRule="auto"/>
        <w:ind w:left="709" w:right="709"/>
        <w:jc w:val="both"/>
        <w:rPr>
          <w:rFonts w:ascii="Verdana" w:eastAsia="Arial MT" w:hAnsi="Verdana" w:cs="Arial"/>
          <w:sz w:val="20"/>
          <w:szCs w:val="20"/>
        </w:rPr>
      </w:pPr>
      <w:r w:rsidRPr="006A09D6">
        <w:rPr>
          <w:rFonts w:ascii="Verdana" w:eastAsia="Arial MT" w:hAnsi="Verdana" w:cs="Arial"/>
          <w:sz w:val="20"/>
          <w:szCs w:val="20"/>
        </w:rPr>
        <w:t xml:space="preserve">“[…] la aplicación de estos preceptos exige una interpretación restrictiva, dado que según el principio hermenéutico pro </w:t>
      </w:r>
      <w:proofErr w:type="spellStart"/>
      <w:r w:rsidRPr="006A09D6">
        <w:rPr>
          <w:rFonts w:ascii="Verdana" w:eastAsia="Arial MT" w:hAnsi="Verdana" w:cs="Arial"/>
          <w:sz w:val="20"/>
          <w:szCs w:val="20"/>
        </w:rPr>
        <w:t>libertate</w:t>
      </w:r>
      <w:proofErr w:type="spellEnd"/>
      <w:r w:rsidRPr="006A09D6">
        <w:rPr>
          <w:rFonts w:ascii="Verdana" w:eastAsia="Arial MT" w:hAnsi="Verdana" w:cs="Arial"/>
          <w:sz w:val="20"/>
          <w:szCs w:val="20"/>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6A09D6">
        <w:rPr>
          <w:rFonts w:ascii="Verdana" w:eastAsia="Arial MT" w:hAnsi="Verdana" w:cs="Arial"/>
          <w:sz w:val="20"/>
          <w:szCs w:val="20"/>
          <w:vertAlign w:val="superscript"/>
        </w:rPr>
        <w:footnoteReference w:id="6"/>
      </w:r>
      <w:r w:rsidRPr="006A09D6">
        <w:rPr>
          <w:rFonts w:ascii="Verdana" w:eastAsia="Arial MT" w:hAnsi="Verdana" w:cs="Arial"/>
          <w:sz w:val="20"/>
          <w:szCs w:val="20"/>
        </w:rPr>
        <w:t>.</w:t>
      </w:r>
    </w:p>
    <w:p w14:paraId="2ACC021C" w14:textId="77777777" w:rsidR="00E37D25" w:rsidRPr="006A09D6" w:rsidRDefault="00E37D25" w:rsidP="00E37D25">
      <w:pPr>
        <w:widowControl w:val="0"/>
        <w:autoSpaceDE w:val="0"/>
        <w:autoSpaceDN w:val="0"/>
        <w:spacing w:after="0" w:line="240" w:lineRule="auto"/>
        <w:ind w:left="810" w:right="1243"/>
        <w:jc w:val="both"/>
        <w:rPr>
          <w:rFonts w:ascii="Verdana" w:eastAsia="Arial MT" w:hAnsi="Verdana" w:cs="Arial"/>
          <w:sz w:val="20"/>
        </w:rPr>
      </w:pPr>
    </w:p>
    <w:p w14:paraId="6F79C735" w14:textId="77777777" w:rsidR="00E37D25" w:rsidRPr="006A09D6" w:rsidRDefault="00E37D25" w:rsidP="00E37D25">
      <w:pPr>
        <w:widowControl w:val="0"/>
        <w:autoSpaceDE w:val="0"/>
        <w:autoSpaceDN w:val="0"/>
        <w:spacing w:after="120" w:line="276" w:lineRule="auto"/>
        <w:ind w:firstLine="708"/>
        <w:jc w:val="both"/>
        <w:rPr>
          <w:rFonts w:ascii="Verdana" w:eastAsia="Arial" w:hAnsi="Verdana" w:cs="Arial"/>
          <w:color w:val="333333"/>
          <w:shd w:val="clear" w:color="auto" w:fill="FFFFFF"/>
          <w:lang w:eastAsia="es-ES" w:bidi="es-ES"/>
        </w:rPr>
      </w:pPr>
      <w:r w:rsidRPr="006A09D6">
        <w:rPr>
          <w:rFonts w:ascii="Verdana" w:eastAsia="Arial MT" w:hAnsi="Verdana" w:cs="Arial"/>
          <w:lang w:eastAsia="es-ES" w:bidi="es-ES"/>
        </w:rPr>
        <w:t xml:space="preserve">De igual forma, </w:t>
      </w:r>
      <w:r w:rsidRPr="006A09D6">
        <w:rPr>
          <w:rFonts w:ascii="Verdana" w:eastAsia="Arial" w:hAnsi="Verdana" w:cs="Arial"/>
          <w:lang w:eastAsia="es-ES" w:bidi="es-ES"/>
        </w:rPr>
        <w:t>la Corte Constitucional en jurisprudencia</w:t>
      </w:r>
      <w:r w:rsidRPr="006A09D6">
        <w:rPr>
          <w:vertAlign w:val="superscript"/>
          <w:lang w:eastAsia="es-ES" w:bidi="es-ES"/>
        </w:rPr>
        <w:footnoteReference w:id="7"/>
      </w:r>
      <w:r w:rsidRPr="006A09D6">
        <w:rPr>
          <w:rFonts w:ascii="Verdana" w:eastAsia="Arial" w:hAnsi="Verdana" w:cs="Arial"/>
          <w:lang w:eastAsia="es-ES" w:bidi="es-ES"/>
        </w:rPr>
        <w:t xml:space="preserve"> citada a su vez por el Consejo de Estado</w:t>
      </w:r>
      <w:r w:rsidRPr="006A09D6">
        <w:rPr>
          <w:vertAlign w:val="superscript"/>
          <w:lang w:eastAsia="es-ES" w:bidi="es-ES"/>
        </w:rPr>
        <w:footnoteReference w:id="8"/>
      </w:r>
      <w:r w:rsidRPr="006A09D6">
        <w:rPr>
          <w:rFonts w:ascii="Verdana" w:eastAsia="Arial" w:hAnsi="Verdana" w:cs="Arial"/>
          <w:lang w:eastAsia="es-ES" w:bidi="es-ES"/>
        </w:rPr>
        <w:t xml:space="preserve">, se ha referido al régimen general de inhabilidades e </w:t>
      </w:r>
      <w:r w:rsidRPr="006A09D6">
        <w:rPr>
          <w:rFonts w:ascii="Verdana" w:eastAsia="Arial" w:hAnsi="Verdana" w:cs="Arial"/>
          <w:lang w:eastAsia="es-ES" w:bidi="es-ES"/>
        </w:rPr>
        <w:lastRenderedPageBreak/>
        <w:t>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w:t>
      </w:r>
      <w:r w:rsidRPr="006A09D6">
        <w:rPr>
          <w:rFonts w:ascii="Verdana" w:eastAsia="Arial" w:hAnsi="Verdana" w:cs="Arial"/>
          <w:i/>
          <w:lang w:eastAsia="es-ES" w:bidi="es-ES"/>
        </w:rPr>
        <w:t xml:space="preserve">, </w:t>
      </w:r>
      <w:r w:rsidRPr="006A09D6">
        <w:rPr>
          <w:rFonts w:ascii="Verdana" w:eastAsia="Arial MT" w:hAnsi="Verdana" w:cs="Arial"/>
          <w:i/>
          <w:lang w:eastAsia="es-ES" w:bidi="es-ES"/>
        </w:rPr>
        <w:t>“[…]</w:t>
      </w:r>
      <w:r w:rsidRPr="00CB0E2B">
        <w:rPr>
          <w:rFonts w:ascii="Verdana" w:eastAsia="Arial MT" w:hAnsi="Verdana" w:cs="Arial"/>
          <w:i/>
          <w:color w:val="000000" w:themeColor="text1"/>
          <w:lang w:eastAsia="es-ES" w:bidi="es-ES"/>
        </w:rPr>
        <w:t xml:space="preserve"> l</w:t>
      </w:r>
      <w:r w:rsidRPr="00CB0E2B">
        <w:rPr>
          <w:rFonts w:ascii="Verdana" w:eastAsia="Arial" w:hAnsi="Verdana" w:cs="Arial"/>
          <w:i/>
          <w:color w:val="000000" w:themeColor="text1"/>
          <w:shd w:val="clear" w:color="auto" w:fill="FFFFFF"/>
          <w:lang w:eastAsia="es-ES" w:bidi="es-ES"/>
        </w:rPr>
        <w:t>a inhabilidad no es una pena sino una garantía de que el comportamiento anterior no afectará el desempeño de la función o cargo, de protección del interés general y de la idoneidad, probidad y moralidad del aspirante</w:t>
      </w:r>
      <w:r w:rsidRPr="006A09D6">
        <w:rPr>
          <w:rFonts w:ascii="Verdana" w:eastAsia="Arial MT" w:hAnsi="Verdana" w:cs="Arial"/>
          <w:i/>
          <w:lang w:eastAsia="es-ES" w:bidi="es-ES"/>
        </w:rPr>
        <w:t>”</w:t>
      </w:r>
      <w:r w:rsidRPr="006A09D6">
        <w:rPr>
          <w:rFonts w:ascii="Verdana" w:eastAsia="Arial" w:hAnsi="Verdana" w:cs="Arial"/>
          <w:color w:val="333333"/>
          <w:shd w:val="clear" w:color="auto" w:fill="FFFFFF"/>
          <w:vertAlign w:val="superscript"/>
          <w:lang w:eastAsia="es-ES" w:bidi="es-ES"/>
        </w:rPr>
        <w:t>12</w:t>
      </w:r>
      <w:r w:rsidRPr="006A09D6">
        <w:rPr>
          <w:rFonts w:ascii="Verdana" w:eastAsia="Arial" w:hAnsi="Verdana" w:cs="Arial"/>
          <w:color w:val="333333"/>
          <w:shd w:val="clear" w:color="auto" w:fill="FFFFFF"/>
          <w:lang w:eastAsia="es-ES" w:bidi="es-ES"/>
        </w:rPr>
        <w:t xml:space="preserve">; </w:t>
      </w:r>
      <w:r w:rsidRPr="00CB0E2B">
        <w:rPr>
          <w:rFonts w:ascii="Verdana" w:eastAsia="Arial" w:hAnsi="Verdana" w:cs="Arial"/>
          <w:color w:val="000000" w:themeColor="text1"/>
          <w:shd w:val="clear" w:color="auto" w:fill="FFFFFF"/>
          <w:lang w:eastAsia="es-ES" w:bidi="es-ES"/>
        </w:rPr>
        <w:t>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r w:rsidRPr="006A09D6">
        <w:rPr>
          <w:rFonts w:ascii="Verdana" w:eastAsia="Arial" w:hAnsi="Verdana" w:cs="Arial"/>
          <w:color w:val="333333"/>
          <w:shd w:val="clear" w:color="auto" w:fill="FFFFFF"/>
          <w:lang w:eastAsia="es-ES" w:bidi="es-ES"/>
        </w:rPr>
        <w:t>.</w:t>
      </w:r>
    </w:p>
    <w:p w14:paraId="2DDC30B2" w14:textId="77777777" w:rsidR="00E37D25" w:rsidRPr="006A09D6" w:rsidRDefault="00E37D25" w:rsidP="00E37D25">
      <w:pPr>
        <w:spacing w:after="0" w:line="276" w:lineRule="auto"/>
        <w:ind w:firstLine="708"/>
        <w:jc w:val="both"/>
        <w:rPr>
          <w:rFonts w:ascii="Verdana" w:eastAsia="Calibri" w:hAnsi="Verdana" w:cs="Arial"/>
          <w:color w:val="000000"/>
          <w:szCs w:val="24"/>
        </w:rPr>
      </w:pPr>
      <w:r w:rsidRPr="006A09D6">
        <w:rPr>
          <w:rFonts w:ascii="Verdana" w:eastAsia="Arial" w:hAnsi="Verdana" w:cs="Arial"/>
          <w:color w:val="000000"/>
        </w:rPr>
        <w:t xml:space="preserve">Como se aprecia, el principio </w:t>
      </w:r>
      <w:r w:rsidRPr="006A09D6">
        <w:rPr>
          <w:rFonts w:ascii="Verdana" w:eastAsia="Arial" w:hAnsi="Verdana" w:cs="Arial"/>
          <w:i/>
          <w:color w:val="000000"/>
        </w:rPr>
        <w:t xml:space="preserve">pro </w:t>
      </w:r>
      <w:proofErr w:type="spellStart"/>
      <w:r w:rsidRPr="006A09D6">
        <w:rPr>
          <w:rFonts w:ascii="Verdana" w:eastAsia="Arial" w:hAnsi="Verdana" w:cs="Arial"/>
          <w:i/>
          <w:color w:val="000000"/>
        </w:rPr>
        <w:t>libertate</w:t>
      </w:r>
      <w:proofErr w:type="spellEnd"/>
      <w:r w:rsidRPr="006A09D6">
        <w:rPr>
          <w:rFonts w:ascii="Verdana" w:eastAsia="Arial" w:hAnsi="Verdana" w:cs="Arial"/>
          <w:color w:val="000000"/>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A09D6">
        <w:rPr>
          <w:rFonts w:ascii="Verdana" w:eastAsia="Calibri" w:hAnsi="Verdana" w:cs="Arial"/>
          <w:color w:val="000000"/>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7344DAA1" w14:textId="77777777" w:rsidR="00E37D25" w:rsidRPr="006A09D6" w:rsidRDefault="00E37D25" w:rsidP="00E37D25">
      <w:pPr>
        <w:tabs>
          <w:tab w:val="left" w:pos="1532"/>
        </w:tabs>
        <w:spacing w:after="0" w:line="276" w:lineRule="auto"/>
        <w:jc w:val="both"/>
        <w:rPr>
          <w:rFonts w:ascii="Verdana" w:eastAsia="Calibri" w:hAnsi="Verdana" w:cs="Arial"/>
          <w:color w:val="000000"/>
        </w:rPr>
      </w:pPr>
      <w:r w:rsidRPr="006A09D6">
        <w:rPr>
          <w:rFonts w:ascii="Verdana" w:eastAsia="Calibri" w:hAnsi="Verdana" w:cs="Arial"/>
          <w:color w:val="000000"/>
          <w:sz w:val="24"/>
        </w:rPr>
        <w:tab/>
      </w:r>
    </w:p>
    <w:p w14:paraId="338434A5" w14:textId="77777777" w:rsidR="00E37D25" w:rsidRPr="006A09D6" w:rsidRDefault="00E37D25" w:rsidP="00E37D25">
      <w:pPr>
        <w:spacing w:after="0" w:line="240" w:lineRule="auto"/>
        <w:ind w:left="709" w:right="709"/>
        <w:jc w:val="both"/>
        <w:rPr>
          <w:rFonts w:ascii="Verdana" w:eastAsia="Calibri" w:hAnsi="Verdana" w:cs="Arial"/>
          <w:color w:val="000000"/>
          <w:sz w:val="20"/>
          <w:szCs w:val="20"/>
        </w:rPr>
      </w:pPr>
      <w:r w:rsidRPr="006A09D6">
        <w:rPr>
          <w:rFonts w:ascii="Verdana" w:eastAsia="Calibri" w:hAnsi="Verdana" w:cs="Arial"/>
          <w:color w:val="000000"/>
          <w:sz w:val="20"/>
          <w:szCs w:val="20"/>
        </w:rPr>
        <w:t xml:space="preserve">“[…] 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6A09D6">
        <w:rPr>
          <w:rFonts w:ascii="Verdana" w:eastAsia="Calibri" w:hAnsi="Verdana" w:cs="Arial"/>
          <w:color w:val="000000"/>
          <w:sz w:val="20"/>
          <w:szCs w:val="20"/>
        </w:rPr>
        <w:t>libertate</w:t>
      </w:r>
      <w:proofErr w:type="spellEnd"/>
      <w:r w:rsidRPr="006A09D6">
        <w:rPr>
          <w:rFonts w:ascii="Verdana" w:eastAsia="Calibri" w:hAnsi="Verdana" w:cs="Arial"/>
          <w:color w:val="000000"/>
          <w:sz w:val="20"/>
          <w:szCs w:val="20"/>
        </w:rPr>
        <w:t xml:space="preserve">, sino el de legalidad, el que ordena que la función pública debe someterse estrictamente a lo que disponga la Constitución y la ley (CP art. 6). </w:t>
      </w:r>
    </w:p>
    <w:p w14:paraId="71E475FB" w14:textId="77777777" w:rsidR="00E37D25" w:rsidRPr="006A09D6" w:rsidRDefault="00E37D25" w:rsidP="00E37D25">
      <w:pPr>
        <w:spacing w:after="0" w:line="240" w:lineRule="auto"/>
        <w:ind w:left="709" w:right="709"/>
        <w:jc w:val="both"/>
        <w:rPr>
          <w:rFonts w:ascii="Verdana" w:eastAsia="Calibri" w:hAnsi="Verdana" w:cs="Arial"/>
          <w:color w:val="000000"/>
          <w:sz w:val="20"/>
          <w:szCs w:val="20"/>
        </w:rPr>
      </w:pPr>
      <w:r w:rsidRPr="006A09D6">
        <w:rPr>
          <w:rFonts w:ascii="Verdana" w:eastAsia="Calibri" w:hAnsi="Verdana" w:cs="Arial"/>
          <w:color w:val="000000"/>
          <w:sz w:val="20"/>
          <w:szCs w:val="20"/>
        </w:rPr>
        <w:t>[…]</w:t>
      </w:r>
    </w:p>
    <w:p w14:paraId="648F086E" w14:textId="77777777" w:rsidR="00E37D25" w:rsidRPr="006A09D6" w:rsidRDefault="00E37D25" w:rsidP="00E37D25">
      <w:pPr>
        <w:spacing w:after="0" w:line="240" w:lineRule="auto"/>
        <w:ind w:left="709" w:right="709"/>
        <w:jc w:val="both"/>
        <w:rPr>
          <w:rFonts w:ascii="Verdana" w:eastAsia="Calibri" w:hAnsi="Verdana" w:cs="Arial"/>
          <w:color w:val="000000"/>
          <w:sz w:val="20"/>
          <w:szCs w:val="20"/>
        </w:rPr>
      </w:pPr>
      <w:r w:rsidRPr="006A09D6">
        <w:rPr>
          <w:rFonts w:ascii="Verdana" w:eastAsia="Calibri" w:hAnsi="Verdana" w:cs="Arial"/>
          <w:color w:val="000000"/>
          <w:sz w:val="20"/>
          <w:szCs w:val="20"/>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6A09D6">
        <w:rPr>
          <w:rFonts w:ascii="Verdana" w:eastAsia="Calibri" w:hAnsi="Verdana" w:cs="Arial"/>
          <w:color w:val="000000"/>
          <w:sz w:val="20"/>
          <w:szCs w:val="20"/>
          <w:vertAlign w:val="superscript"/>
        </w:rPr>
        <w:footnoteReference w:id="9"/>
      </w:r>
      <w:r w:rsidRPr="006A09D6">
        <w:rPr>
          <w:rFonts w:ascii="Verdana" w:eastAsia="Calibri" w:hAnsi="Verdana" w:cs="Arial"/>
          <w:color w:val="000000"/>
          <w:sz w:val="20"/>
          <w:szCs w:val="20"/>
        </w:rPr>
        <w:t>.</w:t>
      </w:r>
    </w:p>
    <w:p w14:paraId="5E4353AD" w14:textId="77777777" w:rsidR="00E37D25" w:rsidRPr="006A09D6" w:rsidRDefault="00E37D25" w:rsidP="00E37D25">
      <w:pPr>
        <w:widowControl w:val="0"/>
        <w:autoSpaceDE w:val="0"/>
        <w:autoSpaceDN w:val="0"/>
        <w:spacing w:after="0" w:line="240" w:lineRule="auto"/>
        <w:ind w:left="1049" w:rightChars="709" w:right="1560" w:firstLine="709"/>
        <w:jc w:val="both"/>
        <w:rPr>
          <w:rFonts w:ascii="Verdana" w:eastAsia="Arial" w:hAnsi="Verdana" w:cs="Arial"/>
          <w:color w:val="333333"/>
          <w:shd w:val="clear" w:color="auto" w:fill="FFFFFF"/>
          <w:lang w:eastAsia="es-ES" w:bidi="es-ES"/>
        </w:rPr>
      </w:pPr>
    </w:p>
    <w:p w14:paraId="57EE0D61" w14:textId="77777777" w:rsidR="00E37D25" w:rsidRDefault="00E37D25" w:rsidP="00E37D25">
      <w:pPr>
        <w:widowControl w:val="0"/>
        <w:autoSpaceDE w:val="0"/>
        <w:autoSpaceDN w:val="0"/>
        <w:spacing w:after="120" w:line="276" w:lineRule="auto"/>
        <w:ind w:firstLine="709"/>
        <w:jc w:val="both"/>
        <w:rPr>
          <w:rFonts w:ascii="Verdana" w:eastAsia="Arial MT" w:hAnsi="Verdana" w:cs="Arial"/>
          <w:lang w:eastAsia="es-ES" w:bidi="es-ES"/>
        </w:rPr>
      </w:pPr>
      <w:r w:rsidRPr="006A09D6">
        <w:rPr>
          <w:rFonts w:ascii="Verdana" w:eastAsia="Arial MT" w:hAnsi="Verdana" w:cs="Arial"/>
          <w:lang w:eastAsia="es-ES" w:bidi="es-ES"/>
        </w:rPr>
        <w:t>En suma, el régimen de inhabilidades e incompatibilidades se origina en la prerrogativa legislativa, obedece al principio de legalidad y su interpretación es restrictiva, como quiera que su aplicación implica limitaciones para el acceso a cargos o ejercicio de funciones públicas y para participar en procesos de contratación pública adelantados por las entidades estatales, según sea el caso.</w:t>
      </w:r>
    </w:p>
    <w:p w14:paraId="628433E7" w14:textId="77777777" w:rsidR="00E37D25" w:rsidRPr="00C43511" w:rsidRDefault="00E37D25" w:rsidP="00E37D25">
      <w:pPr>
        <w:pStyle w:val="Sinespaciado"/>
        <w:spacing w:after="120" w:line="276" w:lineRule="auto"/>
        <w:ind w:firstLine="708"/>
        <w:jc w:val="both"/>
        <w:rPr>
          <w:rFonts w:ascii="Verdana" w:hAnsi="Verdana" w:cs="Arial"/>
          <w:sz w:val="22"/>
          <w:lang w:val="es-ES"/>
        </w:rPr>
      </w:pPr>
      <w:r>
        <w:rPr>
          <w:rFonts w:ascii="Verdana" w:hAnsi="Verdana" w:cs="Arial"/>
          <w:sz w:val="22"/>
          <w:lang w:val="es-ES"/>
        </w:rPr>
        <w:t>Por otro lado, l</w:t>
      </w:r>
      <w:r w:rsidRPr="00C43511">
        <w:rPr>
          <w:rFonts w:ascii="Verdana" w:hAnsi="Verdana" w:cs="Arial"/>
          <w:sz w:val="22"/>
          <w:lang w:val="es-ES"/>
        </w:rPr>
        <w:t xml:space="preserve">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04C813D1" w14:textId="77777777" w:rsidR="00E37D25" w:rsidRPr="00C43511" w:rsidRDefault="00E37D25" w:rsidP="00E37D25">
      <w:pPr>
        <w:pStyle w:val="Sinespaciado"/>
        <w:spacing w:before="120" w:after="120" w:line="276" w:lineRule="auto"/>
        <w:ind w:firstLine="708"/>
        <w:jc w:val="both"/>
        <w:rPr>
          <w:rFonts w:ascii="Verdana" w:hAnsi="Verdana" w:cs="Arial"/>
          <w:sz w:val="22"/>
          <w:lang w:val="es-ES"/>
        </w:rPr>
      </w:pPr>
      <w:r>
        <w:rPr>
          <w:rFonts w:ascii="Verdana" w:hAnsi="Verdana" w:cs="Arial"/>
          <w:sz w:val="22"/>
          <w:lang w:val="es-ES"/>
        </w:rPr>
        <w:t>De manera que e</w:t>
      </w:r>
      <w:r w:rsidRPr="00C43511">
        <w:rPr>
          <w:rFonts w:ascii="Verdana" w:hAnsi="Verdana" w:cs="Arial"/>
          <w:sz w:val="22"/>
          <w:lang w:val="es-ES"/>
        </w:rPr>
        <w:t xml:space="preserv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w:t>
      </w:r>
      <w:r>
        <w:rPr>
          <w:rFonts w:ascii="Verdana" w:hAnsi="Verdana" w:cs="Arial"/>
          <w:sz w:val="22"/>
          <w:lang w:val="es-ES"/>
        </w:rPr>
        <w:t>“</w:t>
      </w:r>
      <w:r w:rsidRPr="00C43511">
        <w:rPr>
          <w:rFonts w:ascii="Verdana" w:hAnsi="Verdana" w:cs="Arial"/>
          <w:sz w:val="22"/>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Pr>
          <w:rFonts w:ascii="Verdana" w:hAnsi="Verdana" w:cs="Arial"/>
          <w:sz w:val="22"/>
          <w:lang w:val="es-ES"/>
        </w:rPr>
        <w:t>”</w:t>
      </w:r>
      <w:r w:rsidRPr="00C43511">
        <w:rPr>
          <w:rFonts w:ascii="Verdana" w:hAnsi="Verdana" w:cs="Arial"/>
          <w:sz w:val="22"/>
          <w:vertAlign w:val="superscript"/>
          <w:lang w:val="es-ES"/>
        </w:rPr>
        <w:footnoteReference w:id="10"/>
      </w:r>
      <w:r w:rsidRPr="00C43511">
        <w:rPr>
          <w:rFonts w:ascii="Verdana" w:hAnsi="Verdana" w:cs="Arial"/>
          <w:sz w:val="22"/>
          <w:lang w:val="es-ES"/>
        </w:rPr>
        <w:t xml:space="preserve">. </w:t>
      </w:r>
    </w:p>
    <w:p w14:paraId="0AACE5D0" w14:textId="77777777" w:rsidR="00E37D25" w:rsidRPr="00C43511" w:rsidRDefault="00E37D25" w:rsidP="00E37D25">
      <w:pPr>
        <w:pStyle w:val="Sinespaciado"/>
        <w:spacing w:before="120" w:line="276" w:lineRule="auto"/>
        <w:ind w:firstLine="709"/>
        <w:jc w:val="both"/>
        <w:rPr>
          <w:rFonts w:ascii="Verdana" w:hAnsi="Verdana" w:cs="Arial"/>
          <w:sz w:val="22"/>
          <w:lang w:val="es-ES"/>
        </w:rPr>
      </w:pPr>
      <w:r w:rsidRPr="00C43511">
        <w:rPr>
          <w:rFonts w:ascii="Verdana" w:hAnsi="Verdana" w:cs="Arial"/>
          <w:sz w:val="22"/>
          <w:lang w:val="es-ES"/>
        </w:rPr>
        <w:t xml:space="preserve">Las limitaciones que afectan la capacidad jurídica para contratar desarrollan los principios de la función administrativa consagrados en el artículo 209 de la Constitución Política, con especial énfasis la moralidad administrativa. Así lo ha entendido el Consejo de Estado, quien se ha pronunciado al respecto en los siguientes términos: </w:t>
      </w:r>
    </w:p>
    <w:p w14:paraId="25F90879" w14:textId="77777777" w:rsidR="00E37D25" w:rsidRPr="00C43511" w:rsidRDefault="00E37D25" w:rsidP="00E37D25">
      <w:pPr>
        <w:pStyle w:val="Sinespaciado"/>
        <w:spacing w:line="276" w:lineRule="auto"/>
        <w:jc w:val="both"/>
        <w:rPr>
          <w:rFonts w:ascii="Verdana" w:hAnsi="Verdana" w:cs="Arial"/>
          <w:sz w:val="22"/>
          <w:lang w:val="es-ES"/>
        </w:rPr>
      </w:pPr>
    </w:p>
    <w:p w14:paraId="5DC6CE5D" w14:textId="77777777" w:rsidR="00E37D25" w:rsidRPr="00C43511" w:rsidRDefault="00E37D25" w:rsidP="00E37D25">
      <w:pPr>
        <w:pStyle w:val="NormalWeb"/>
        <w:shd w:val="clear" w:color="auto" w:fill="FFFFFF"/>
        <w:spacing w:before="0" w:beforeAutospacing="0" w:after="120" w:afterAutospacing="0"/>
        <w:ind w:left="709" w:right="709"/>
        <w:jc w:val="both"/>
        <w:rPr>
          <w:rFonts w:ascii="Verdana" w:eastAsiaTheme="minorHAnsi" w:hAnsi="Verdana" w:cs="Arial"/>
          <w:sz w:val="21"/>
          <w:szCs w:val="21"/>
          <w:lang w:val="es-ES" w:eastAsia="en-US"/>
        </w:rPr>
      </w:pPr>
      <w:r>
        <w:rPr>
          <w:rFonts w:ascii="Verdana" w:hAnsi="Verdana" w:cs="Arial"/>
          <w:sz w:val="21"/>
          <w:szCs w:val="21"/>
        </w:rPr>
        <w:t>“</w:t>
      </w:r>
      <w:r w:rsidRPr="00C43511">
        <w:rPr>
          <w:rFonts w:ascii="Verdana" w:eastAsiaTheme="minorHAnsi" w:hAnsi="Verdana"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2EE7BFC5" w14:textId="77777777" w:rsidR="00E37D25" w:rsidRPr="00C43511" w:rsidRDefault="00E37D25" w:rsidP="00E37D25">
      <w:pPr>
        <w:pStyle w:val="NormalWeb"/>
        <w:shd w:val="clear" w:color="auto" w:fill="FFFFFF"/>
        <w:spacing w:before="0" w:beforeAutospacing="0" w:after="0" w:afterAutospacing="0"/>
        <w:ind w:left="709" w:right="709"/>
        <w:jc w:val="both"/>
        <w:rPr>
          <w:rFonts w:ascii="Verdana" w:eastAsiaTheme="minorHAnsi" w:hAnsi="Verdana" w:cs="Arial"/>
          <w:sz w:val="21"/>
          <w:szCs w:val="21"/>
          <w:lang w:val="es-ES" w:eastAsia="en-US"/>
        </w:rPr>
      </w:pPr>
      <w:r w:rsidRPr="00C43511">
        <w:rPr>
          <w:rFonts w:ascii="Verdana" w:eastAsiaTheme="minorHAnsi" w:hAnsi="Verdana" w:cs="Arial"/>
          <w:sz w:val="21"/>
          <w:szCs w:val="21"/>
          <w:lang w:val="es-ES" w:eastAsia="en-US"/>
        </w:rPr>
        <w:lastRenderedPageBreak/>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Pr>
          <w:rFonts w:ascii="Verdana" w:eastAsiaTheme="minorHAnsi" w:hAnsi="Verdana" w:cs="Arial"/>
          <w:sz w:val="21"/>
          <w:szCs w:val="21"/>
          <w:lang w:val="es-ES" w:eastAsia="en-US"/>
        </w:rPr>
        <w:t>.”</w:t>
      </w:r>
      <w:r w:rsidRPr="00C43511">
        <w:rPr>
          <w:rStyle w:val="Refdenotaalpie"/>
          <w:rFonts w:ascii="Verdana" w:eastAsiaTheme="minorHAnsi" w:hAnsi="Verdana" w:cs="Arial"/>
          <w:sz w:val="21"/>
          <w:szCs w:val="21"/>
          <w:lang w:val="es-ES" w:eastAsia="en-US"/>
        </w:rPr>
        <w:footnoteReference w:id="11"/>
      </w:r>
      <w:r w:rsidRPr="00C43511">
        <w:rPr>
          <w:rFonts w:ascii="Verdana" w:eastAsiaTheme="minorHAnsi" w:hAnsi="Verdana" w:cs="Arial"/>
          <w:sz w:val="21"/>
          <w:szCs w:val="21"/>
          <w:lang w:val="es-ES" w:eastAsia="en-US"/>
        </w:rPr>
        <w:t xml:space="preserve"> </w:t>
      </w:r>
    </w:p>
    <w:p w14:paraId="0BB4B752" w14:textId="77777777" w:rsidR="00E37D25" w:rsidRPr="00C43511" w:rsidRDefault="00E37D25" w:rsidP="00E37D25">
      <w:pPr>
        <w:pStyle w:val="Sinespaciado"/>
        <w:spacing w:line="276" w:lineRule="auto"/>
        <w:jc w:val="both"/>
        <w:rPr>
          <w:rFonts w:ascii="Verdana" w:hAnsi="Verdana" w:cs="Arial"/>
          <w:sz w:val="22"/>
          <w:lang w:val="es-ES"/>
        </w:rPr>
      </w:pPr>
    </w:p>
    <w:p w14:paraId="2EE97498" w14:textId="77777777" w:rsidR="00E37D25" w:rsidRPr="00C43511" w:rsidRDefault="00E37D25" w:rsidP="00E37D25">
      <w:pPr>
        <w:pStyle w:val="Sinespaciado"/>
        <w:spacing w:line="276" w:lineRule="auto"/>
        <w:ind w:firstLine="709"/>
        <w:jc w:val="both"/>
        <w:rPr>
          <w:rFonts w:ascii="Verdana" w:hAnsi="Verdana" w:cs="Arial"/>
          <w:sz w:val="22"/>
          <w:lang w:val="es-ES"/>
        </w:rPr>
      </w:pPr>
      <w:r w:rsidRPr="00C43511">
        <w:rPr>
          <w:rFonts w:ascii="Verdana" w:hAnsi="Verdana" w:cs="Arial"/>
          <w:sz w:val="22"/>
          <w:lang w:val="es-ES"/>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4D2AC0B6" w14:textId="77777777" w:rsidR="00E37D25" w:rsidRDefault="00E37D25" w:rsidP="00E37D25">
      <w:pPr>
        <w:spacing w:after="0"/>
        <w:ind w:left="709" w:right="709"/>
        <w:jc w:val="both"/>
        <w:rPr>
          <w:rFonts w:ascii="Verdana" w:hAnsi="Verdana" w:cs="Arial"/>
          <w:sz w:val="21"/>
          <w:szCs w:val="21"/>
        </w:rPr>
      </w:pPr>
    </w:p>
    <w:p w14:paraId="7C2FE99E" w14:textId="77777777" w:rsidR="00E37D25" w:rsidRPr="00C43511" w:rsidRDefault="00E37D25" w:rsidP="00E37D25">
      <w:pPr>
        <w:spacing w:after="120"/>
        <w:ind w:left="709" w:right="709"/>
        <w:jc w:val="both"/>
        <w:rPr>
          <w:rFonts w:ascii="Verdana" w:hAnsi="Verdana" w:cs="Arial"/>
          <w:sz w:val="21"/>
          <w:szCs w:val="21"/>
          <w:lang w:val="es-ES"/>
        </w:rPr>
      </w:pPr>
      <w:r>
        <w:rPr>
          <w:rFonts w:ascii="Verdana" w:hAnsi="Verdana" w:cs="Arial"/>
          <w:sz w:val="21"/>
          <w:szCs w:val="21"/>
        </w:rPr>
        <w:t>“</w:t>
      </w:r>
      <w:r w:rsidRPr="00C43511">
        <w:rPr>
          <w:rFonts w:ascii="Verdana" w:hAnsi="Verdana" w:cs="Arial"/>
          <w:sz w:val="21"/>
          <w:szCs w:val="21"/>
          <w:lang w:val="es-ES"/>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w:t>
      </w:r>
      <w:r>
        <w:rPr>
          <w:rFonts w:ascii="Verdana" w:hAnsi="Verdana" w:cs="Arial"/>
          <w:sz w:val="21"/>
          <w:szCs w:val="21"/>
          <w:lang w:val="es-ES"/>
        </w:rPr>
        <w:t>[</w:t>
      </w:r>
      <w:r w:rsidRPr="00C43511">
        <w:rPr>
          <w:rFonts w:ascii="Verdana" w:hAnsi="Verdana" w:cs="Arial"/>
          <w:sz w:val="21"/>
          <w:szCs w:val="21"/>
          <w:lang w:val="es-ES"/>
        </w:rPr>
        <w:t>ley 80 de 1993, art. 44</w:t>
      </w:r>
      <w:r>
        <w:rPr>
          <w:rFonts w:ascii="Verdana" w:hAnsi="Verdana" w:cs="Arial"/>
          <w:sz w:val="21"/>
          <w:szCs w:val="21"/>
          <w:lang w:val="es-ES"/>
        </w:rPr>
        <w:t>]</w:t>
      </w:r>
      <w:r w:rsidRPr="00C43511">
        <w:rPr>
          <w:rFonts w:ascii="Verdana" w:hAnsi="Verdana" w:cs="Arial"/>
          <w:sz w:val="21"/>
          <w:szCs w:val="21"/>
          <w:lang w:val="es-ES"/>
        </w:rPr>
        <w:t>.</w:t>
      </w:r>
    </w:p>
    <w:p w14:paraId="55225AFE" w14:textId="77777777" w:rsidR="00E37D25" w:rsidRDefault="00E37D25" w:rsidP="00E37D25">
      <w:pPr>
        <w:spacing w:after="0"/>
        <w:ind w:left="709" w:right="709"/>
        <w:jc w:val="both"/>
        <w:rPr>
          <w:rFonts w:ascii="Verdana" w:hAnsi="Verdana" w:cs="Arial"/>
          <w:sz w:val="21"/>
          <w:szCs w:val="21"/>
        </w:rPr>
      </w:pPr>
      <w:r w:rsidRPr="00C43511">
        <w:rPr>
          <w:rFonts w:ascii="Verdana" w:hAnsi="Verdana" w:cs="Arial"/>
          <w:sz w:val="21"/>
          <w:szCs w:val="21"/>
          <w:lang w:val="es-ES"/>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w:t>
      </w:r>
      <w:r w:rsidRPr="00C43511">
        <w:rPr>
          <w:rFonts w:ascii="Verdana" w:hAnsi="Verdana" w:cs="Arial"/>
          <w:sz w:val="21"/>
          <w:szCs w:val="21"/>
          <w:lang w:val="es-ES"/>
        </w:rPr>
        <w:lastRenderedPageBreak/>
        <w:t>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Pr>
          <w:rFonts w:ascii="Verdana" w:hAnsi="Verdana" w:cs="Arial"/>
          <w:sz w:val="21"/>
          <w:szCs w:val="21"/>
        </w:rPr>
        <w:t>”</w:t>
      </w:r>
      <w:r w:rsidRPr="00C43511">
        <w:rPr>
          <w:rStyle w:val="Refdenotaalpie"/>
          <w:rFonts w:ascii="Verdana" w:hAnsi="Verdana" w:cs="Arial"/>
          <w:sz w:val="21"/>
          <w:szCs w:val="21"/>
          <w:lang w:val="es-ES"/>
        </w:rPr>
        <w:footnoteReference w:id="12"/>
      </w:r>
    </w:p>
    <w:p w14:paraId="2209A136" w14:textId="77777777" w:rsidR="00E37D25" w:rsidRPr="00C43511" w:rsidRDefault="00E37D25" w:rsidP="00E37D25">
      <w:pPr>
        <w:spacing w:after="0"/>
        <w:ind w:left="709" w:right="709"/>
        <w:jc w:val="both"/>
        <w:rPr>
          <w:rFonts w:ascii="Verdana" w:eastAsia="Times New Roman" w:hAnsi="Verdana" w:cs="Arial"/>
          <w:shd w:val="clear" w:color="auto" w:fill="FFFFFF"/>
          <w:lang w:val="es-ES" w:eastAsia="es-ES_tradnl"/>
        </w:rPr>
      </w:pPr>
    </w:p>
    <w:p w14:paraId="667A4D69" w14:textId="77777777" w:rsidR="00E37D25" w:rsidRPr="00C43511" w:rsidRDefault="00E37D25" w:rsidP="00E37D25">
      <w:pPr>
        <w:spacing w:after="0" w:line="276" w:lineRule="auto"/>
        <w:ind w:firstLine="709"/>
        <w:jc w:val="both"/>
        <w:rPr>
          <w:rFonts w:ascii="Verdana" w:hAnsi="Verdana" w:cs="Arial"/>
          <w:lang w:val="es-ES"/>
        </w:rPr>
      </w:pPr>
      <w:r w:rsidRPr="00C43511">
        <w:rPr>
          <w:rFonts w:ascii="Verdana" w:hAnsi="Verdana" w:cs="Arial"/>
          <w:lang w:val="es-ES"/>
        </w:rPr>
        <w:t>Además, la Corte Constitucional ha explicado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de conformidad con el artículo 150 de la Constitución Política, y que en esta materia rige el principio de legalidad:</w:t>
      </w:r>
    </w:p>
    <w:p w14:paraId="7CF8A934" w14:textId="77777777" w:rsidR="00E37D25" w:rsidRPr="00C43511" w:rsidRDefault="00E37D25" w:rsidP="00E37D25">
      <w:pPr>
        <w:pStyle w:val="Sinespaciado"/>
        <w:tabs>
          <w:tab w:val="left" w:pos="1532"/>
        </w:tabs>
        <w:spacing w:line="276" w:lineRule="auto"/>
        <w:jc w:val="both"/>
        <w:rPr>
          <w:rFonts w:ascii="Verdana" w:hAnsi="Verdana" w:cs="Arial"/>
          <w:sz w:val="22"/>
          <w:lang w:val="es-ES"/>
        </w:rPr>
      </w:pPr>
    </w:p>
    <w:p w14:paraId="6A803DF4" w14:textId="77777777" w:rsidR="00E37D25" w:rsidRPr="00C43511" w:rsidRDefault="00E37D25" w:rsidP="00E37D25">
      <w:pPr>
        <w:spacing w:after="120"/>
        <w:ind w:left="709" w:right="709"/>
        <w:jc w:val="both"/>
        <w:rPr>
          <w:rFonts w:ascii="Verdana" w:hAnsi="Verdana" w:cs="Arial"/>
          <w:sz w:val="21"/>
          <w:szCs w:val="21"/>
          <w:lang w:val="es-ES"/>
        </w:rPr>
      </w:pPr>
      <w:r>
        <w:rPr>
          <w:rFonts w:ascii="Verdana" w:hAnsi="Verdana" w:cs="Arial"/>
          <w:sz w:val="21"/>
          <w:szCs w:val="21"/>
        </w:rPr>
        <w:t>“</w:t>
      </w:r>
      <w:r w:rsidRPr="00C43511">
        <w:rPr>
          <w:rFonts w:ascii="Verdana" w:hAnsi="Verdana" w:cs="Arial"/>
          <w:sz w:val="21"/>
          <w:szCs w:val="21"/>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C43511">
        <w:rPr>
          <w:rFonts w:ascii="Verdana" w:hAnsi="Verdana" w:cs="Arial"/>
          <w:sz w:val="21"/>
          <w:szCs w:val="21"/>
          <w:lang w:val="es-ES"/>
        </w:rPr>
        <w:t>libertate</w:t>
      </w:r>
      <w:proofErr w:type="spellEnd"/>
      <w:r w:rsidRPr="00C43511">
        <w:rPr>
          <w:rFonts w:ascii="Verdana" w:hAnsi="Verdana" w:cs="Arial"/>
          <w:sz w:val="21"/>
          <w:szCs w:val="21"/>
          <w:lang w:val="es-ES"/>
        </w:rPr>
        <w:t xml:space="preserve">, sino el de legalidad, el que ordena que la función pública debe someterse estrictamente a lo que disponga la Constitución y la ley (CP art. 6). </w:t>
      </w:r>
    </w:p>
    <w:p w14:paraId="54D5A277" w14:textId="77777777" w:rsidR="00E37D25" w:rsidRPr="00C43511" w:rsidRDefault="00E37D25" w:rsidP="00E37D25">
      <w:pPr>
        <w:spacing w:after="120"/>
        <w:ind w:left="709" w:right="709"/>
        <w:jc w:val="both"/>
        <w:rPr>
          <w:rFonts w:ascii="Verdana" w:hAnsi="Verdana" w:cs="Arial"/>
          <w:sz w:val="21"/>
          <w:szCs w:val="21"/>
          <w:lang w:val="es-ES"/>
        </w:rPr>
      </w:pPr>
      <w:r w:rsidRPr="00C43511">
        <w:rPr>
          <w:rFonts w:ascii="Verdana" w:hAnsi="Verdana" w:cs="Arial"/>
          <w:sz w:val="21"/>
          <w:szCs w:val="21"/>
          <w:lang w:val="es-ES"/>
        </w:rPr>
        <w:t xml:space="preserve">[…] </w:t>
      </w:r>
    </w:p>
    <w:p w14:paraId="22C68D7E" w14:textId="77777777" w:rsidR="00E37D25" w:rsidRPr="00C43511" w:rsidRDefault="00E37D25" w:rsidP="00E37D25">
      <w:pPr>
        <w:spacing w:after="0"/>
        <w:ind w:left="709" w:right="709"/>
        <w:jc w:val="both"/>
        <w:rPr>
          <w:rFonts w:ascii="Verdana" w:hAnsi="Verdana" w:cs="Arial"/>
          <w:sz w:val="21"/>
          <w:szCs w:val="21"/>
          <w:lang w:val="es-ES"/>
        </w:rPr>
      </w:pPr>
      <w:r w:rsidRPr="00C43511">
        <w:rPr>
          <w:rFonts w:ascii="Verdana" w:hAnsi="Verdana" w:cs="Arial"/>
          <w:sz w:val="21"/>
          <w:szCs w:val="21"/>
          <w:lang w:val="es-ES"/>
        </w:rPr>
        <w:t xml:space="preserve">Se comprende con facilidad que el régimen de inhabilidades e </w:t>
      </w:r>
      <w:proofErr w:type="gramStart"/>
      <w:r w:rsidRPr="00C43511">
        <w:rPr>
          <w:rFonts w:ascii="Verdana" w:hAnsi="Verdana" w:cs="Arial"/>
          <w:sz w:val="21"/>
          <w:szCs w:val="21"/>
          <w:lang w:val="es-ES"/>
        </w:rPr>
        <w:t>incompatibilidades,</w:t>
      </w:r>
      <w:proofErr w:type="gramEnd"/>
      <w:r w:rsidRPr="00C43511">
        <w:rPr>
          <w:rFonts w:ascii="Verdana" w:hAnsi="Verdana" w:cs="Arial"/>
          <w:sz w:val="21"/>
          <w:szCs w:val="21"/>
          <w:lang w:val="es-ES"/>
        </w:rPr>
        <w:t xml:space="preserve"> corresponde a una materia de normal y obligada inclusión en un estatuto contractual. El legislador, a quien se ha confiado expedir el indicado estatuto, tiene, pues, competencia para establecerlo (CP art. 150).</w:t>
      </w:r>
      <w:r w:rsidRPr="00C43511">
        <w:rPr>
          <w:rStyle w:val="Refdenotaalpie"/>
          <w:rFonts w:ascii="Verdana" w:hAnsi="Verdana" w:cs="Arial"/>
          <w:sz w:val="21"/>
          <w:szCs w:val="21"/>
          <w:lang w:val="es-ES"/>
        </w:rPr>
        <w:footnoteReference w:id="13"/>
      </w:r>
    </w:p>
    <w:p w14:paraId="362EE195" w14:textId="77777777" w:rsidR="00E37D25" w:rsidRPr="00C43511" w:rsidRDefault="00E37D25" w:rsidP="00E37D25">
      <w:pPr>
        <w:spacing w:after="0"/>
        <w:ind w:left="709" w:right="709"/>
        <w:rPr>
          <w:rFonts w:ascii="Verdana" w:eastAsia="Times New Roman" w:hAnsi="Verdana" w:cs="Arial"/>
          <w:shd w:val="clear" w:color="auto" w:fill="FFFFFF"/>
          <w:lang w:val="es-ES" w:eastAsia="es-ES_tradnl"/>
        </w:rPr>
      </w:pPr>
    </w:p>
    <w:p w14:paraId="3F90DD8E" w14:textId="77777777" w:rsidR="00E37D25" w:rsidRPr="00C43511" w:rsidRDefault="00E37D25" w:rsidP="00E37D25">
      <w:pPr>
        <w:spacing w:after="120" w:line="276" w:lineRule="auto"/>
        <w:ind w:firstLine="709"/>
        <w:jc w:val="both"/>
        <w:rPr>
          <w:rFonts w:ascii="Verdana" w:hAnsi="Verdana" w:cs="Arial"/>
          <w:lang w:val="es-ES"/>
        </w:rPr>
      </w:pPr>
      <w:r w:rsidRPr="00C43511">
        <w:rPr>
          <w:rFonts w:ascii="Verdana" w:hAnsi="Verdana" w:cs="Arial"/>
          <w:lang w:val="es-ES"/>
        </w:rPr>
        <w:t xml:space="preserve">Conviene también distinguir las fuentes de las inhabilidades, las cuales han sido clasificadas en dos (2) grupos: i) inhabilidades-sanción y </w:t>
      </w:r>
      <w:proofErr w:type="spellStart"/>
      <w:r w:rsidRPr="00C43511">
        <w:rPr>
          <w:rFonts w:ascii="Verdana" w:hAnsi="Verdana" w:cs="Arial"/>
          <w:lang w:val="es-ES"/>
        </w:rPr>
        <w:t>ii</w:t>
      </w:r>
      <w:proofErr w:type="spellEnd"/>
      <w:r w:rsidRPr="00C43511">
        <w:rPr>
          <w:rFonts w:ascii="Verdana" w:hAnsi="Verdana" w:cs="Arial"/>
          <w:lang w:val="es-ES"/>
        </w:rPr>
        <w:t xml:space="preserve">) inhabilidades-requisito. En el primer grupo se encuentran las inhabilidades que surgen como consecuencia de un proceso sancionatorio, en los ámbitos penal, disciplinario, contravencional o de pérdida de investidura. En el segundo grupo </w:t>
      </w:r>
      <w:r w:rsidRPr="00C43511">
        <w:rPr>
          <w:rFonts w:ascii="Verdana" w:hAnsi="Verdana" w:cs="Arial"/>
          <w:lang w:val="es-ES"/>
        </w:rPr>
        <w:lastRenderedPageBreak/>
        <w:t>están aquellas que no devienen de un proceso sancionatorio, sino de condiciones propias de la persona y garantizan la moralidad, la imparcialidad, la eficacia y la transparencia</w:t>
      </w:r>
      <w:r w:rsidRPr="00C43511">
        <w:rPr>
          <w:rStyle w:val="Refdenotaalpie"/>
          <w:rFonts w:ascii="Verdana" w:hAnsi="Verdana" w:cs="Arial"/>
          <w:lang w:val="es-ES"/>
        </w:rPr>
        <w:footnoteReference w:id="14"/>
      </w:r>
      <w:r w:rsidRPr="00C43511">
        <w:rPr>
          <w:rFonts w:ascii="Verdana" w:hAnsi="Verdana" w:cs="Arial"/>
          <w:lang w:val="es-ES"/>
        </w:rPr>
        <w:t xml:space="preserve">. </w:t>
      </w:r>
    </w:p>
    <w:p w14:paraId="339074EA" w14:textId="77777777" w:rsidR="00E37D25" w:rsidRPr="00C43511" w:rsidRDefault="00E37D25" w:rsidP="00E37D25">
      <w:pPr>
        <w:spacing w:before="120" w:after="120" w:line="276" w:lineRule="auto"/>
        <w:ind w:firstLine="708"/>
        <w:jc w:val="both"/>
        <w:rPr>
          <w:rFonts w:ascii="Verdana" w:eastAsia="Arial MT" w:hAnsi="Verdana" w:cs="Arial"/>
          <w:lang w:val="es-ES" w:eastAsia="es-ES" w:bidi="es-ES"/>
        </w:rPr>
      </w:pPr>
      <w:r w:rsidRPr="00C43511">
        <w:rPr>
          <w:rFonts w:ascii="Verdana" w:hAnsi="Verdana" w:cs="Arial"/>
          <w:lang w:val="es-ES"/>
        </w:rPr>
        <w:t>A manera de ejemplo, en materia contractual, los literales c), d) y j) del numeral 1 del artículo 8 de la Ley 80 de 1993</w:t>
      </w:r>
      <w:r w:rsidRPr="00C43511">
        <w:rPr>
          <w:rFonts w:ascii="Verdana" w:hAnsi="Verdana" w:cs="Arial"/>
          <w:vertAlign w:val="superscript"/>
          <w:lang w:val="es-ES"/>
        </w:rPr>
        <w:footnoteReference w:id="15"/>
      </w:r>
      <w:r w:rsidRPr="00C43511">
        <w:rPr>
          <w:rFonts w:ascii="Verdana" w:hAnsi="Verdana" w:cs="Arial"/>
          <w:lang w:val="es-ES"/>
        </w:rPr>
        <w:t xml:space="preserve"> establecen inhabilidades-sanción, </w:t>
      </w:r>
      <w:r w:rsidRPr="00C43511">
        <w:rPr>
          <w:rFonts w:ascii="Verdana" w:hAnsi="Verdana" w:cs="Arial"/>
          <w:lang w:val="es-ES"/>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47E2172A" w14:textId="77777777" w:rsidR="00E37D25" w:rsidRPr="002A6C2C" w:rsidRDefault="00E37D25" w:rsidP="00E37D25">
      <w:pPr>
        <w:widowControl w:val="0"/>
        <w:autoSpaceDE w:val="0"/>
        <w:autoSpaceDN w:val="0"/>
        <w:spacing w:after="120" w:line="276" w:lineRule="auto"/>
        <w:ind w:firstLine="709"/>
        <w:jc w:val="both"/>
        <w:rPr>
          <w:rFonts w:ascii="Verdana" w:hAnsi="Verdana" w:cs="Arial"/>
          <w:color w:val="000000"/>
        </w:rPr>
      </w:pPr>
      <w:r w:rsidRPr="002A6C2C">
        <w:rPr>
          <w:rFonts w:ascii="Verdana" w:hAnsi="Verdana" w:cs="Arial"/>
          <w:lang w:val="es-ES"/>
        </w:rPr>
        <w:t xml:space="preserve">Ahora bien, </w:t>
      </w:r>
      <w:r>
        <w:rPr>
          <w:rFonts w:ascii="Verdana" w:hAnsi="Verdana" w:cs="Arial"/>
          <w:lang w:val="es-ES"/>
        </w:rPr>
        <w:t>para resolver el objeto de la consulta, resulta pertinente estudiar los supuestos de hecho desarrollados para l</w:t>
      </w:r>
      <w:r w:rsidRPr="002A6C2C">
        <w:rPr>
          <w:rFonts w:ascii="Verdana" w:hAnsi="Verdana" w:cs="Arial"/>
          <w:lang w:val="es-ES"/>
        </w:rPr>
        <w:t xml:space="preserve">a inhabilidad prevista en el literal d) del numeral 1 del artículo 8 de la Ley 80 de 1993, de cuyo texto indica que son inhábiles para contratar: </w:t>
      </w:r>
      <w:r>
        <w:rPr>
          <w:rFonts w:ascii="Verdana" w:hAnsi="Verdana" w:cs="Arial"/>
          <w:lang w:val="es-ES"/>
        </w:rPr>
        <w:t>“</w:t>
      </w:r>
      <w:r w:rsidRPr="00377627">
        <w:rPr>
          <w:rFonts w:ascii="Verdana" w:hAnsi="Verdana" w:cs="Arial"/>
          <w:i/>
          <w:iCs/>
          <w:color w:val="000000"/>
        </w:rPr>
        <w:t>Quienes en sentencia judicial hayan sido condenados a la pena accesoria de interdicción de derechos y funciones públicas y quienes hayan sido sancionados disciplinariamente con destitución</w:t>
      </w:r>
      <w:r>
        <w:rPr>
          <w:rFonts w:ascii="Verdana" w:hAnsi="Verdana" w:cs="Arial"/>
          <w:color w:val="000000"/>
        </w:rPr>
        <w:t>”</w:t>
      </w:r>
      <w:r w:rsidRPr="002A6C2C">
        <w:rPr>
          <w:rFonts w:ascii="Verdana" w:hAnsi="Verdana" w:cs="Arial"/>
          <w:color w:val="000000"/>
        </w:rPr>
        <w:t xml:space="preserve">. En efecto, se trata de una inhabilidad sanción, puesto que se configura en atención a unos supuestos de hecho que implican la expedición de providencias judiciales o administrativas en contra de personas a quienes, por la connotación de las conductas que se les reprochan, el Estatuto General de Contratación de la Administración Pública ha restringido su capacidad para suscribir y ejecutar contratos estatales. </w:t>
      </w:r>
    </w:p>
    <w:p w14:paraId="479F7E26" w14:textId="77777777" w:rsidR="00E37D25" w:rsidRPr="002A6C2C" w:rsidRDefault="00E37D25" w:rsidP="00E37D25">
      <w:pPr>
        <w:spacing w:after="120" w:line="276" w:lineRule="auto"/>
        <w:jc w:val="both"/>
        <w:rPr>
          <w:rFonts w:ascii="Verdana" w:hAnsi="Verdana" w:cs="Arial"/>
        </w:rPr>
      </w:pPr>
      <w:r w:rsidRPr="002A6C2C">
        <w:rPr>
          <w:rFonts w:ascii="Verdana" w:hAnsi="Verdana" w:cs="Arial"/>
          <w:lang w:val="es-ES"/>
        </w:rPr>
        <w:tab/>
        <w:t xml:space="preserve">La inhabilitación para el ejercicio de funciones públicas es una pena contemplada en el Código Penal que se impone de manera accesoria, en virtud de la cual se </w:t>
      </w:r>
      <w:r>
        <w:rPr>
          <w:rFonts w:ascii="Verdana" w:hAnsi="Verdana" w:cs="Arial"/>
          <w:lang w:val="es-ES"/>
        </w:rPr>
        <w:t>“</w:t>
      </w:r>
      <w:r w:rsidRPr="002A6C2C">
        <w:rPr>
          <w:rFonts w:ascii="Verdana" w:hAnsi="Verdana" w:cs="Arial"/>
          <w:lang w:val="es-ES"/>
        </w:rPr>
        <w:t>[…] priva al penado de la facultad de elegir y ser elegido, del ejercicio de cualquier otro derecho político, función pública, dignidades y honores que confieren las entidades oficiales</w:t>
      </w:r>
      <w:r>
        <w:rPr>
          <w:rFonts w:ascii="Verdana" w:hAnsi="Verdana" w:cs="Arial"/>
          <w:lang w:val="es-ES"/>
        </w:rPr>
        <w:t>”</w:t>
      </w:r>
      <w:r w:rsidRPr="002A6C2C">
        <w:rPr>
          <w:rStyle w:val="Refdenotaalpie"/>
          <w:rFonts w:ascii="Verdana" w:hAnsi="Verdana" w:cs="Arial"/>
          <w:lang w:val="es-ES"/>
        </w:rPr>
        <w:footnoteReference w:id="16"/>
      </w:r>
      <w:r w:rsidRPr="002A6C2C">
        <w:rPr>
          <w:rFonts w:ascii="Verdana" w:hAnsi="Verdana" w:cs="Arial"/>
          <w:lang w:val="es-ES"/>
        </w:rPr>
        <w:t xml:space="preserve">. Por su parte, en el ámbito disciplinario, </w:t>
      </w:r>
      <w:r w:rsidRPr="002A6C2C">
        <w:rPr>
          <w:rFonts w:ascii="Verdana" w:hAnsi="Verdana" w:cs="Arial"/>
          <w:lang w:val="es-ES"/>
        </w:rPr>
        <w:lastRenderedPageBreak/>
        <w:t xml:space="preserve">la sanción de </w:t>
      </w:r>
      <w:r>
        <w:rPr>
          <w:rFonts w:ascii="Verdana" w:hAnsi="Verdana" w:cs="Arial"/>
          <w:lang w:val="es-ES"/>
        </w:rPr>
        <w:t>“</w:t>
      </w:r>
      <w:r w:rsidRPr="002A6C2C">
        <w:rPr>
          <w:rFonts w:ascii="Verdana" w:hAnsi="Verdana" w:cs="Arial"/>
          <w:lang w:val="es-ES"/>
        </w:rPr>
        <w:t>destitución e inhabilidad general</w:t>
      </w:r>
      <w:r>
        <w:rPr>
          <w:rFonts w:ascii="Verdana" w:hAnsi="Verdana" w:cs="Arial"/>
          <w:lang w:val="es-ES"/>
        </w:rPr>
        <w:t>”</w:t>
      </w:r>
      <w:r w:rsidRPr="002A6C2C">
        <w:rPr>
          <w:rFonts w:ascii="Verdana" w:hAnsi="Verdana" w:cs="Arial"/>
          <w:lang w:val="es-ES"/>
        </w:rPr>
        <w:t xml:space="preserve"> implica: </w:t>
      </w:r>
      <w:r w:rsidRPr="002A6C2C">
        <w:rPr>
          <w:rFonts w:ascii="Verdana" w:hAnsi="Verdana" w:cs="Arial"/>
        </w:rPr>
        <w:t>la terminación de la relación del servidor público o del particular con la administración –sin que importe que sea de libre nombramiento y remoción, de carrera o elección–, o la desvinculación del cargo, en los casos previstos en la Constitución Política y la ley; o la terminación del contrato de trabajo, y, en cualquier caso, la imposibilidad de ejercer la función pública en cualquier cargo o función, por el termino señalado en el fallo</w:t>
      </w:r>
      <w:r w:rsidRPr="002A6C2C">
        <w:rPr>
          <w:rStyle w:val="Refdenotaalpie"/>
          <w:rFonts w:ascii="Verdana" w:hAnsi="Verdana" w:cs="Arial"/>
        </w:rPr>
        <w:footnoteReference w:id="17"/>
      </w:r>
      <w:r w:rsidRPr="002A6C2C">
        <w:rPr>
          <w:rFonts w:ascii="Verdana" w:hAnsi="Verdana" w:cs="Arial"/>
        </w:rPr>
        <w:t xml:space="preserve">.  </w:t>
      </w:r>
    </w:p>
    <w:p w14:paraId="4CB7541E" w14:textId="77777777" w:rsidR="00E37D25" w:rsidRPr="002A6C2C" w:rsidRDefault="00E37D25" w:rsidP="00E37D25">
      <w:pPr>
        <w:spacing w:after="0" w:line="276" w:lineRule="auto"/>
        <w:ind w:firstLine="708"/>
        <w:jc w:val="both"/>
        <w:rPr>
          <w:rFonts w:ascii="Verdana" w:hAnsi="Verdana" w:cs="Arial"/>
        </w:rPr>
      </w:pPr>
      <w:r w:rsidRPr="002A6C2C">
        <w:rPr>
          <w:rFonts w:ascii="Verdana" w:hAnsi="Verdana" w:cs="Arial"/>
          <w:lang w:val="es-ES"/>
        </w:rPr>
        <w:t xml:space="preserve"> De acuerdo con lo anterior, las penas judiciales y disciplinarias referidas en el supuesto de hecho de la inhabilidad tipificada en literal d) del numeral 1 del artículo 8 de la Ley 80 de 1993, de por sí suponen la imposibilidad para el penado de ejercer cargos y funciones públicas lo que</w:t>
      </w:r>
      <w:r>
        <w:rPr>
          <w:rFonts w:ascii="Verdana" w:hAnsi="Verdana" w:cs="Arial"/>
          <w:lang w:val="es-ES"/>
        </w:rPr>
        <w:t>,</w:t>
      </w:r>
      <w:r w:rsidRPr="002A6C2C">
        <w:rPr>
          <w:rFonts w:ascii="Verdana" w:hAnsi="Verdana" w:cs="Arial"/>
          <w:lang w:val="es-ES"/>
        </w:rPr>
        <w:t xml:space="preserve"> en virtud de su conexidad con los fines </w:t>
      </w:r>
      <w:r>
        <w:rPr>
          <w:rFonts w:ascii="Verdana" w:hAnsi="Verdana" w:cs="Arial"/>
          <w:lang w:val="es-ES"/>
        </w:rPr>
        <w:t>de la</w:t>
      </w:r>
      <w:r w:rsidRPr="002A6C2C">
        <w:rPr>
          <w:rFonts w:ascii="Verdana" w:hAnsi="Verdana" w:cs="Arial"/>
          <w:lang w:val="es-ES"/>
        </w:rPr>
        <w:t xml:space="preserve"> contrat</w:t>
      </w:r>
      <w:r>
        <w:rPr>
          <w:rFonts w:ascii="Verdana" w:hAnsi="Verdana" w:cs="Arial"/>
          <w:lang w:val="es-ES"/>
        </w:rPr>
        <w:t>ación</w:t>
      </w:r>
      <w:r w:rsidRPr="002A6C2C">
        <w:rPr>
          <w:rFonts w:ascii="Verdana" w:hAnsi="Verdana" w:cs="Arial"/>
          <w:lang w:val="es-ES"/>
        </w:rPr>
        <w:t xml:space="preserve"> estatal, deviene en una restricción a la posibilidad fungir como colaborador de la administración pública. </w:t>
      </w:r>
      <w:r w:rsidRPr="002A6C2C">
        <w:rPr>
          <w:rFonts w:ascii="Verdana" w:hAnsi="Verdana" w:cs="Arial"/>
        </w:rPr>
        <w:t xml:space="preserve">Sobre la constitucionalidad de esta norma se pronunció la Corte Constitucional manifestando lo siguiente:  </w:t>
      </w:r>
    </w:p>
    <w:p w14:paraId="3022D459" w14:textId="77777777" w:rsidR="00E37D25" w:rsidRPr="002A6C2C" w:rsidRDefault="00E37D25" w:rsidP="00E37D25">
      <w:pPr>
        <w:pStyle w:val="NormalWeb"/>
        <w:spacing w:before="0" w:beforeAutospacing="0" w:after="0" w:afterAutospacing="0"/>
        <w:ind w:left="709" w:right="709"/>
        <w:jc w:val="both"/>
        <w:rPr>
          <w:rFonts w:ascii="Verdana" w:hAnsi="Verdana" w:cs="Arial"/>
          <w:sz w:val="21"/>
          <w:szCs w:val="21"/>
        </w:rPr>
      </w:pPr>
    </w:p>
    <w:p w14:paraId="43391ED1" w14:textId="77777777" w:rsidR="00E37D25" w:rsidRPr="002A6C2C" w:rsidRDefault="00E37D25" w:rsidP="00E37D25">
      <w:pPr>
        <w:pStyle w:val="NormalWeb"/>
        <w:spacing w:before="0" w:beforeAutospacing="0" w:after="0" w:afterAutospacing="0"/>
        <w:ind w:left="709" w:right="709"/>
        <w:jc w:val="both"/>
        <w:rPr>
          <w:rFonts w:ascii="Verdana" w:hAnsi="Verdana" w:cs="Arial"/>
          <w:color w:val="000000" w:themeColor="text1"/>
          <w:sz w:val="21"/>
          <w:szCs w:val="21"/>
        </w:rPr>
      </w:pPr>
      <w:r w:rsidRPr="002A6C2C">
        <w:rPr>
          <w:rFonts w:ascii="Verdana" w:hAnsi="Verdana" w:cs="Arial"/>
          <w:color w:val="000000" w:themeColor="text1"/>
          <w:sz w:val="21"/>
          <w:szCs w:val="21"/>
        </w:rPr>
        <w:t>Estima la Corte, que la inhabilidad señalada en el literal d) del ordinal 1o. del artículo </w:t>
      </w:r>
      <w:hyperlink r:id="rId9" w:anchor="8" w:history="1">
        <w:r w:rsidRPr="002A6C2C">
          <w:rPr>
            <w:rFonts w:ascii="Verdana" w:hAnsi="Verdana"/>
          </w:rPr>
          <w:t>8</w:t>
        </w:r>
      </w:hyperlink>
      <w:r w:rsidRPr="002A6C2C">
        <w:rPr>
          <w:rFonts w:ascii="Verdana" w:hAnsi="Verdana" w:cs="Arial"/>
          <w:color w:val="000000" w:themeColor="text1"/>
          <w:sz w:val="21"/>
          <w:szCs w:val="21"/>
        </w:rPr>
        <w:t>o, de la Ley 80, aunque tiene como fuente u origen o fundamento la pena accesoria de interdicción de derechos y funciones públicas, no constituye una nueva pena. En efecto:</w:t>
      </w:r>
    </w:p>
    <w:p w14:paraId="01601285" w14:textId="77777777" w:rsidR="00E37D25" w:rsidRPr="002A6C2C" w:rsidRDefault="00E37D25" w:rsidP="00E37D25">
      <w:pPr>
        <w:pStyle w:val="NormalWeb"/>
        <w:spacing w:before="0" w:beforeAutospacing="0" w:after="0" w:afterAutospacing="0"/>
        <w:ind w:left="709" w:right="709"/>
        <w:jc w:val="both"/>
        <w:rPr>
          <w:rFonts w:ascii="Verdana" w:hAnsi="Verdana" w:cs="Arial"/>
          <w:color w:val="000000" w:themeColor="text1"/>
          <w:sz w:val="21"/>
          <w:szCs w:val="21"/>
        </w:rPr>
      </w:pPr>
    </w:p>
    <w:p w14:paraId="5DB31C95" w14:textId="77777777" w:rsidR="00E37D25" w:rsidRPr="002A6C2C" w:rsidRDefault="00E37D25" w:rsidP="00E37D25">
      <w:pPr>
        <w:ind w:left="709" w:right="709"/>
        <w:jc w:val="both"/>
        <w:rPr>
          <w:rFonts w:ascii="Verdana" w:eastAsia="Times New Roman" w:hAnsi="Verdana" w:cs="Arial"/>
          <w:color w:val="000000" w:themeColor="text1"/>
          <w:sz w:val="21"/>
          <w:szCs w:val="21"/>
          <w:lang w:eastAsia="es-MX"/>
        </w:rPr>
      </w:pPr>
      <w:r w:rsidRPr="002A6C2C">
        <w:rPr>
          <w:rFonts w:ascii="Verdana" w:eastAsia="Times New Roman" w:hAnsi="Verdana" w:cs="Arial"/>
          <w:color w:val="000000" w:themeColor="text1"/>
          <w:sz w:val="21"/>
          <w:szCs w:val="21"/>
          <w:lang w:eastAsia="es-MX"/>
        </w:rPr>
        <w:t>Las penas principales y accesorias, por infracción de las normas penales hacen parte de un sistema normativo contenido en el Código Penal. Tal ha sido la tradición jurídica. Pero, además, las inhabilidades e incompatibilidades que, como se ha visto, obedecen a finalidades diferentes de interés público, asociadas al logro de la imparcialidad, la eficacia, la eficiencia y la moralidad en las operaciones contractuales, no pueden identificarse ni asimilarse a las penas que se imponen por la comisión de un ilícito, con los fines, entre otros, de retribuir a la sociedad el perjuicio causado por la conducta que afecta un bien jurídico superior o fundamental para ésta. </w:t>
      </w:r>
    </w:p>
    <w:p w14:paraId="3B5C56AC" w14:textId="77777777" w:rsidR="00E37D25" w:rsidRPr="002A6C2C" w:rsidRDefault="00E37D25" w:rsidP="00E37D25">
      <w:pPr>
        <w:ind w:left="709" w:right="709"/>
        <w:jc w:val="both"/>
        <w:rPr>
          <w:rFonts w:ascii="Verdana" w:eastAsia="Times New Roman" w:hAnsi="Verdana" w:cs="Arial"/>
          <w:color w:val="000000" w:themeColor="text1"/>
          <w:sz w:val="21"/>
          <w:szCs w:val="21"/>
          <w:lang w:eastAsia="es-MX"/>
        </w:rPr>
      </w:pPr>
      <w:r w:rsidRPr="002A6C2C">
        <w:rPr>
          <w:rFonts w:ascii="Verdana" w:eastAsia="Times New Roman" w:hAnsi="Verdana" w:cs="Arial"/>
          <w:color w:val="000000" w:themeColor="text1"/>
          <w:sz w:val="21"/>
          <w:szCs w:val="21"/>
          <w:lang w:eastAsia="es-MX"/>
        </w:rPr>
        <w:lastRenderedPageBreak/>
        <w:t>Las inhabilidades e incompatibilidades, según los criterios antes expuestos, constituyen prohibiciones que restringen la capacidad y la libertad de un contratista para acceder a la contratación, pero no consagran una modalidad adicional de sanción penal a las previstas en el Código de la materia. </w:t>
      </w:r>
    </w:p>
    <w:p w14:paraId="6075E1EB" w14:textId="77777777" w:rsidR="00E37D25" w:rsidRPr="002A6C2C" w:rsidRDefault="00E37D25" w:rsidP="00E37D25">
      <w:pPr>
        <w:ind w:left="709" w:right="709"/>
        <w:jc w:val="both"/>
        <w:rPr>
          <w:rFonts w:ascii="Verdana" w:eastAsia="Times New Roman" w:hAnsi="Verdana" w:cs="Arial"/>
          <w:color w:val="000000" w:themeColor="text1"/>
          <w:sz w:val="21"/>
          <w:szCs w:val="21"/>
          <w:lang w:eastAsia="es-MX"/>
        </w:rPr>
      </w:pPr>
      <w:r w:rsidRPr="002A6C2C">
        <w:rPr>
          <w:rFonts w:ascii="Verdana" w:eastAsia="Times New Roman" w:hAnsi="Verdana" w:cs="Arial"/>
          <w:color w:val="000000" w:themeColor="text1"/>
          <w:sz w:val="21"/>
          <w:szCs w:val="21"/>
          <w:lang w:eastAsia="es-MX"/>
        </w:rPr>
        <w:t xml:space="preserve">Cuando se juzga un ilícito no se tienen en cuenta las condiciones o calidades del sujeto imputado para acceder a la contratación pública, sino la antijuricidad del hecho imputado su culpabilidad y la consiguiente responsabilidad, condiciones y calidades que necesariamente se valoran en las operaciones contractuales que realiza el Estado. Por consiguiente, resultan perfectamente diferenciables las sanciones penales de las inhabilidades e incompatibilidades y, en tal virtud, no puede considerarse que la inhabilidad establecida en la ley de contratación implique la existencia de un juzgamiento y de una doble sanción por un mismo hecho. Es más, cuando en un contratista concurre una causal de inhabilidad o incompatibilidad, simplemente se le priva o se le prohíbe el acceso a la contratación, pero no se le juzga penalmente por un hecho ilícito, ni mucho menos se lo sanciona. </w:t>
      </w:r>
    </w:p>
    <w:p w14:paraId="2568E19E" w14:textId="77777777" w:rsidR="00E37D25" w:rsidRDefault="00E37D25" w:rsidP="00E37D25">
      <w:pPr>
        <w:spacing w:after="0"/>
        <w:ind w:left="709" w:right="709"/>
        <w:jc w:val="both"/>
        <w:rPr>
          <w:rFonts w:ascii="Verdana" w:eastAsia="Times New Roman" w:hAnsi="Verdana" w:cs="Arial"/>
          <w:color w:val="000000" w:themeColor="text1"/>
          <w:sz w:val="21"/>
          <w:szCs w:val="21"/>
          <w:lang w:eastAsia="es-MX"/>
        </w:rPr>
      </w:pPr>
      <w:r w:rsidRPr="002A6C2C">
        <w:rPr>
          <w:rFonts w:ascii="Verdana" w:eastAsia="Times New Roman" w:hAnsi="Verdana" w:cs="Arial"/>
          <w:color w:val="000000" w:themeColor="text1"/>
          <w:sz w:val="21"/>
          <w:szCs w:val="21"/>
          <w:lang w:eastAsia="es-MX"/>
        </w:rPr>
        <w:t xml:space="preserve">[L]a inhabilidad consagrada, se juzga necesaria, conducente y proporcionada a la finalidad que la misma persigue, </w:t>
      </w:r>
      <w:r w:rsidRPr="002A6C2C">
        <w:rPr>
          <w:rFonts w:ascii="Verdana" w:eastAsia="Times New Roman" w:hAnsi="Verdana" w:cs="Arial"/>
          <w:i/>
          <w:iCs/>
          <w:color w:val="000000" w:themeColor="text1"/>
          <w:sz w:val="21"/>
          <w:szCs w:val="21"/>
          <w:lang w:eastAsia="es-MX"/>
        </w:rPr>
        <w:t>cual es de que no accedan a la contratación, en forma temporal, como colaboradores en la consecución de los fines propios del contrato, quienes hayan cometido delitos que conlleven la pena accesoria de interdicción de derechos y funciones públicas, porque de alguna manera la celebración y ejecución de contratos comporta el desarrollo de actividades anejas al ejercicio de dichas funciones</w:t>
      </w:r>
      <w:r w:rsidRPr="005B34FF">
        <w:rPr>
          <w:rFonts w:ascii="Verdana" w:eastAsia="Times New Roman" w:hAnsi="Verdana" w:cs="Arial"/>
          <w:color w:val="000000" w:themeColor="text1"/>
          <w:sz w:val="21"/>
          <w:szCs w:val="21"/>
          <w:lang w:eastAsia="es-MX"/>
        </w:rPr>
        <w:t>.</w:t>
      </w:r>
      <w:r w:rsidRPr="002A6C2C">
        <w:rPr>
          <w:rFonts w:ascii="Verdana" w:eastAsia="Times New Roman" w:hAnsi="Verdana" w:cs="Arial"/>
          <w:i/>
          <w:iCs/>
          <w:color w:val="000000" w:themeColor="text1"/>
          <w:sz w:val="21"/>
          <w:szCs w:val="21"/>
          <w:lang w:eastAsia="es-MX"/>
        </w:rPr>
        <w:t xml:space="preserve"> </w:t>
      </w:r>
      <w:r w:rsidRPr="002A6C2C">
        <w:rPr>
          <w:rFonts w:ascii="Verdana" w:eastAsia="Times New Roman" w:hAnsi="Verdana" w:cs="Arial"/>
          <w:color w:val="000000" w:themeColor="text1"/>
          <w:sz w:val="21"/>
          <w:szCs w:val="21"/>
          <w:lang w:eastAsia="es-MX"/>
        </w:rPr>
        <w:t xml:space="preserve"> </w:t>
      </w:r>
      <w:r>
        <w:rPr>
          <w:rFonts w:ascii="Verdana" w:eastAsia="Times New Roman" w:hAnsi="Verdana" w:cs="Arial"/>
          <w:color w:val="000000" w:themeColor="text1"/>
          <w:sz w:val="21"/>
          <w:szCs w:val="21"/>
          <w:lang w:eastAsia="es-MX"/>
        </w:rPr>
        <w:t>[</w:t>
      </w:r>
      <w:r w:rsidRPr="002A6C2C">
        <w:rPr>
          <w:rFonts w:ascii="Verdana" w:eastAsia="Times New Roman" w:hAnsi="Verdana" w:cs="Arial"/>
          <w:color w:val="000000" w:themeColor="text1"/>
          <w:sz w:val="21"/>
          <w:szCs w:val="21"/>
          <w:lang w:eastAsia="es-MX"/>
        </w:rPr>
        <w:t>Cursivas fuera de texto</w:t>
      </w:r>
      <w:r>
        <w:rPr>
          <w:rFonts w:ascii="Verdana" w:eastAsia="Times New Roman" w:hAnsi="Verdana" w:cs="Arial"/>
          <w:color w:val="000000" w:themeColor="text1"/>
          <w:sz w:val="21"/>
          <w:szCs w:val="21"/>
          <w:lang w:eastAsia="es-MX"/>
        </w:rPr>
        <w:t>]</w:t>
      </w:r>
      <w:r w:rsidRPr="002A6C2C">
        <w:rPr>
          <w:rFonts w:ascii="Verdana" w:eastAsia="Times New Roman" w:hAnsi="Verdana" w:cs="Arial"/>
          <w:color w:val="000000" w:themeColor="text1"/>
          <w:sz w:val="21"/>
          <w:szCs w:val="21"/>
          <w:lang w:eastAsia="es-MX"/>
        </w:rPr>
        <w:t>.</w:t>
      </w:r>
      <w:r w:rsidRPr="002A6C2C">
        <w:rPr>
          <w:rStyle w:val="Refdenotaalpie"/>
          <w:rFonts w:ascii="Verdana" w:eastAsia="Times New Roman" w:hAnsi="Verdana" w:cs="Arial"/>
          <w:color w:val="000000" w:themeColor="text1"/>
          <w:sz w:val="21"/>
          <w:szCs w:val="21"/>
          <w:lang w:eastAsia="es-MX"/>
        </w:rPr>
        <w:footnoteReference w:id="18"/>
      </w:r>
    </w:p>
    <w:p w14:paraId="43A43DCB" w14:textId="77777777" w:rsidR="00E37D25" w:rsidRPr="002A6C2C" w:rsidRDefault="00E37D25" w:rsidP="00E37D25">
      <w:pPr>
        <w:spacing w:after="0"/>
        <w:ind w:left="709" w:right="709"/>
        <w:jc w:val="both"/>
        <w:rPr>
          <w:rFonts w:ascii="Verdana" w:eastAsia="Times New Roman" w:hAnsi="Verdana" w:cs="Arial"/>
          <w:color w:val="000000" w:themeColor="text1"/>
          <w:sz w:val="21"/>
          <w:szCs w:val="21"/>
          <w:lang w:eastAsia="es-MX"/>
        </w:rPr>
      </w:pPr>
    </w:p>
    <w:p w14:paraId="0EE374F5" w14:textId="77777777" w:rsidR="00E37D25" w:rsidRDefault="00E37D25" w:rsidP="00E37D25">
      <w:pPr>
        <w:spacing w:after="120" w:line="276" w:lineRule="auto"/>
        <w:ind w:right="49" w:firstLine="709"/>
        <w:jc w:val="both"/>
        <w:rPr>
          <w:rFonts w:ascii="Verdana" w:eastAsia="Times New Roman" w:hAnsi="Verdana" w:cs="Arial"/>
          <w:lang w:eastAsia="es-MX"/>
        </w:rPr>
      </w:pPr>
      <w:r w:rsidRPr="002A6C2C">
        <w:rPr>
          <w:rFonts w:ascii="Verdana" w:eastAsia="Times New Roman" w:hAnsi="Verdana" w:cs="Arial"/>
          <w:lang w:eastAsia="es-MX"/>
        </w:rPr>
        <w:t xml:space="preserve">De lo anterior se podría concluir que, de acuerdo con lo establecido en el literal d) del numeral 1 del artículo 8 de la Ley 80 de 1993, las personas naturales a las que se les haya impuesto una pena accesoria de interdicción de derechos y funciones públicas, al igual que las que hayan sido sancionados disciplinariamente con destitución, </w:t>
      </w:r>
      <w:r w:rsidRPr="002A6C2C">
        <w:rPr>
          <w:rFonts w:ascii="Verdana" w:hAnsi="Verdana" w:cs="Arial"/>
        </w:rPr>
        <w:t xml:space="preserve">están incursas en la referida causal de inhabilidad, por lo que no pueden contratar con entidades estatales. De esta manera, </w:t>
      </w:r>
      <w:r w:rsidRPr="002A6C2C">
        <w:rPr>
          <w:rFonts w:ascii="Verdana" w:eastAsia="Times New Roman" w:hAnsi="Verdana" w:cs="Arial"/>
          <w:lang w:eastAsia="es-MX"/>
        </w:rPr>
        <w:t xml:space="preserve">una vez en firme la providencia que dispone la pena o sanción, la inhabilidad comienza a surtir sus efectos restringiendo de ese momento en </w:t>
      </w:r>
      <w:r w:rsidRPr="002A6C2C">
        <w:rPr>
          <w:rFonts w:ascii="Verdana" w:eastAsia="Times New Roman" w:hAnsi="Verdana" w:cs="Arial"/>
          <w:lang w:eastAsia="es-MX"/>
        </w:rPr>
        <w:lastRenderedPageBreak/>
        <w:t xml:space="preserve">adelante la posibilidad de suscribir nuevos contratos o participar en procesos de contratación.  </w:t>
      </w:r>
    </w:p>
    <w:p w14:paraId="470A972C" w14:textId="77777777" w:rsidR="00E37D25" w:rsidRDefault="00E37D25" w:rsidP="00E37D25">
      <w:pPr>
        <w:spacing w:after="120" w:line="276" w:lineRule="auto"/>
        <w:ind w:right="49" w:firstLine="709"/>
        <w:jc w:val="both"/>
        <w:rPr>
          <w:rFonts w:ascii="Verdana" w:eastAsia="Times New Roman" w:hAnsi="Verdana" w:cs="Arial"/>
          <w:lang w:eastAsia="es-MX"/>
        </w:rPr>
      </w:pPr>
      <w:r>
        <w:rPr>
          <w:rFonts w:ascii="Verdana" w:eastAsia="Times New Roman" w:hAnsi="Verdana" w:cs="Arial"/>
          <w:lang w:eastAsia="es-MX"/>
        </w:rPr>
        <w:t>No obstante, en la consulta que se resuelve se plantea la inquietud sobre si, d</w:t>
      </w:r>
      <w:r w:rsidRPr="00601567">
        <w:rPr>
          <w:rFonts w:ascii="Verdana" w:eastAsia="Times New Roman" w:hAnsi="Verdana" w:cs="Arial"/>
          <w:lang w:eastAsia="es-MX"/>
        </w:rPr>
        <w:t xml:space="preserve">e conformidad con el régimen de inhabilidades e incompatibilidades previsto en el Estatuto General de Contratación de la Administración Pública, se configura </w:t>
      </w:r>
      <w:r>
        <w:rPr>
          <w:rFonts w:ascii="Verdana" w:eastAsia="Times New Roman" w:hAnsi="Verdana" w:cs="Arial"/>
          <w:lang w:eastAsia="es-MX"/>
        </w:rPr>
        <w:t>dicha causal</w:t>
      </w:r>
      <w:r w:rsidRPr="00601567">
        <w:rPr>
          <w:rFonts w:ascii="Verdana" w:eastAsia="Times New Roman" w:hAnsi="Verdana" w:cs="Arial"/>
          <w:lang w:eastAsia="es-MX"/>
        </w:rPr>
        <w:t xml:space="preserve"> cuando personas jurídicas —particularmente organizaciones no gubernamentales y entidades sin ánimo de lucro— pretendan participar en procesos de selección pública y su representante legal, en calidad de gerente o presidente de la organización es una persona natural sancionada con destitución e inhabilidad en el marco de un proceso disciplinario</w:t>
      </w:r>
      <w:r>
        <w:rPr>
          <w:rFonts w:ascii="Verdana" w:eastAsia="Times New Roman" w:hAnsi="Verdana" w:cs="Arial"/>
          <w:lang w:eastAsia="es-MX"/>
        </w:rPr>
        <w:t>. En ese contexto, y con base en las consideraciones propuestas, se advierte que la causal del literal d), numeral 1 del artículo 8 de la Ley 80 de 1993 restringe y limita la capacidad jurídica exclusivamente de la persona natural condenada a la pena accesoria de interdicción de derechos y funciones públicas y a aquellas que fueron sancionadas disciplinariamente con destitución, sin que se pueda entender que sus efectos se extienden a las personas jurídicas en las cuales sobre su representante legal recaigan dichas sanciones y condenas.</w:t>
      </w:r>
    </w:p>
    <w:p w14:paraId="7C56475A" w14:textId="77777777" w:rsidR="00E37D25" w:rsidRDefault="00E37D25" w:rsidP="00E37D25">
      <w:pPr>
        <w:spacing w:after="120" w:line="276" w:lineRule="auto"/>
        <w:ind w:right="49" w:firstLine="709"/>
        <w:jc w:val="both"/>
        <w:rPr>
          <w:rFonts w:ascii="Verdana" w:eastAsia="Arial MT" w:hAnsi="Verdana" w:cs="Arial"/>
          <w:lang w:eastAsia="es-ES" w:bidi="es-ES"/>
        </w:rPr>
      </w:pPr>
      <w:r>
        <w:rPr>
          <w:rFonts w:ascii="Verdana" w:eastAsia="Arial MT" w:hAnsi="Verdana" w:cs="Arial"/>
          <w:lang w:eastAsia="es-ES" w:bidi="es-ES"/>
        </w:rPr>
        <w:t>En otras palabras, v</w:t>
      </w:r>
      <w:r w:rsidRPr="4B5C42DE">
        <w:rPr>
          <w:rFonts w:ascii="Verdana" w:eastAsia="Arial MT" w:hAnsi="Verdana" w:cs="Arial"/>
          <w:lang w:eastAsia="es-ES" w:bidi="es-ES"/>
        </w:rPr>
        <w:t xml:space="preserve">erificado el régimen de inhabilidades e incompatibilidades contenido en la Ley 80 de 1993, no se identifica alguna causal que limite la capacidad jurídica de aquellas personas </w:t>
      </w:r>
      <w:r>
        <w:rPr>
          <w:rFonts w:ascii="Verdana" w:eastAsia="Arial MT" w:hAnsi="Verdana" w:cs="Arial"/>
          <w:lang w:eastAsia="es-ES" w:bidi="es-ES"/>
        </w:rPr>
        <w:t xml:space="preserve">jurídicas </w:t>
      </w:r>
      <w:r w:rsidRPr="00601567">
        <w:rPr>
          <w:rFonts w:ascii="Verdana" w:eastAsia="Times New Roman" w:hAnsi="Verdana" w:cs="Arial"/>
          <w:lang w:eastAsia="es-MX"/>
        </w:rPr>
        <w:t>—</w:t>
      </w:r>
      <w:r>
        <w:rPr>
          <w:rFonts w:ascii="Verdana" w:eastAsia="Times New Roman" w:hAnsi="Verdana" w:cs="Arial"/>
          <w:lang w:eastAsia="es-MX"/>
        </w:rPr>
        <w:t>sean</w:t>
      </w:r>
      <w:r w:rsidRPr="00601567">
        <w:rPr>
          <w:rFonts w:ascii="Verdana" w:eastAsia="Times New Roman" w:hAnsi="Verdana" w:cs="Arial"/>
          <w:lang w:eastAsia="es-MX"/>
        </w:rPr>
        <w:t xml:space="preserve"> organizaciones no gubernamentales </w:t>
      </w:r>
      <w:r>
        <w:rPr>
          <w:rFonts w:ascii="Verdana" w:eastAsia="Times New Roman" w:hAnsi="Verdana" w:cs="Arial"/>
          <w:lang w:eastAsia="es-MX"/>
        </w:rPr>
        <w:t>o sean</w:t>
      </w:r>
      <w:r w:rsidRPr="00601567">
        <w:rPr>
          <w:rFonts w:ascii="Verdana" w:eastAsia="Times New Roman" w:hAnsi="Verdana" w:cs="Arial"/>
          <w:lang w:eastAsia="es-MX"/>
        </w:rPr>
        <w:t xml:space="preserve"> entidades sin ánimo de lucro— </w:t>
      </w:r>
      <w:r w:rsidRPr="4B5C42DE">
        <w:rPr>
          <w:rFonts w:ascii="Verdana" w:eastAsia="Arial MT" w:hAnsi="Verdana" w:cs="Arial"/>
          <w:lang w:eastAsia="es-ES" w:bidi="es-ES"/>
        </w:rPr>
        <w:t xml:space="preserve">que pretendan contratar con el Estado, </w:t>
      </w:r>
      <w:r>
        <w:rPr>
          <w:rFonts w:ascii="Verdana" w:eastAsia="Arial MT" w:hAnsi="Verdana" w:cs="Arial"/>
          <w:lang w:eastAsia="es-ES" w:bidi="es-ES"/>
        </w:rPr>
        <w:t>y su representante legal hubiese sido condenado o sancionado mediante sentencia judicial de naturaleza penal o administrativa</w:t>
      </w:r>
      <w:r w:rsidRPr="4B5C42DE">
        <w:rPr>
          <w:rFonts w:ascii="Verdana" w:eastAsia="Arial MT" w:hAnsi="Verdana" w:cs="Arial"/>
          <w:lang w:eastAsia="es-ES" w:bidi="es-ES"/>
        </w:rPr>
        <w:t xml:space="preserve">. Sobre todo, cuando en la exposición </w:t>
      </w:r>
      <w:r>
        <w:rPr>
          <w:rFonts w:ascii="Verdana" w:eastAsia="Arial MT" w:hAnsi="Verdana" w:cs="Arial"/>
          <w:lang w:eastAsia="es-ES" w:bidi="es-ES"/>
        </w:rPr>
        <w:t xml:space="preserve">de las consideraciones del presente concepto se puso de presente la exigencia en cabeza del operador jurídico de observar el principio de interpretación restrictiva del régimen de inhabilidades e incompatibilidades vigentes en Colombia, que consiste en que </w:t>
      </w:r>
      <w:r w:rsidRPr="00B12D30">
        <w:rPr>
          <w:rFonts w:ascii="Verdana" w:eastAsia="Arial MT" w:hAnsi="Verdana" w:cs="Arial"/>
          <w:lang w:eastAsia="es-ES" w:bidi="es-ES"/>
        </w:rPr>
        <w:t>tales disposiciones deben interpretarse de forma estricta, literal y restringida, sin extender su alcance más allá de lo que expresamente dispone la norm</w:t>
      </w:r>
      <w:r>
        <w:rPr>
          <w:rFonts w:ascii="Verdana" w:eastAsia="Arial MT" w:hAnsi="Verdana" w:cs="Arial"/>
          <w:lang w:eastAsia="es-ES" w:bidi="es-ES"/>
        </w:rPr>
        <w:t>a.</w:t>
      </w:r>
    </w:p>
    <w:p w14:paraId="14FC35C5" w14:textId="77777777" w:rsidR="00E37D25" w:rsidRDefault="00E37D25" w:rsidP="00E37D25">
      <w:pPr>
        <w:spacing w:after="120" w:line="276" w:lineRule="auto"/>
        <w:ind w:right="49" w:firstLine="709"/>
        <w:jc w:val="both"/>
        <w:rPr>
          <w:rFonts w:ascii="Verdana" w:eastAsia="Arial MT" w:hAnsi="Verdana" w:cs="Arial"/>
          <w:lang w:eastAsia="es-ES" w:bidi="es-ES"/>
        </w:rPr>
      </w:pPr>
      <w:r>
        <w:rPr>
          <w:rFonts w:ascii="Verdana" w:eastAsia="Arial MT" w:hAnsi="Verdana" w:cs="Arial"/>
          <w:lang w:eastAsia="es-ES" w:bidi="es-ES"/>
        </w:rPr>
        <w:t>Dicho esto, al no admitirse analogías ni interpretaciones extensivas, no se puede aplicar por semejanza tal limitación a las personas jurídicas que ostenten representantes legales condenados o sancionados, dado que dicha situación no se encuentra expresamente en la disposición estudiada, en procura de salvaguardar la seguridad jurídica y el principio de legalidad en materia de contratación pública.</w:t>
      </w:r>
    </w:p>
    <w:p w14:paraId="2AA7739A" w14:textId="77777777" w:rsidR="00E37D25" w:rsidRPr="002A6C2C" w:rsidRDefault="00E37D25" w:rsidP="00E37D25">
      <w:pPr>
        <w:spacing w:after="120" w:line="276" w:lineRule="auto"/>
        <w:ind w:right="49" w:firstLine="709"/>
        <w:jc w:val="both"/>
        <w:rPr>
          <w:rFonts w:ascii="Verdana" w:eastAsia="Times New Roman" w:hAnsi="Verdana" w:cs="Arial"/>
          <w:lang w:eastAsia="es-MX"/>
        </w:rPr>
      </w:pPr>
      <w:r>
        <w:rPr>
          <w:rFonts w:ascii="Verdana" w:eastAsia="Arial MT" w:hAnsi="Verdana" w:cs="Arial"/>
          <w:lang w:eastAsia="es-ES" w:bidi="es-ES"/>
        </w:rPr>
        <w:t>En síntesis, a</w:t>
      </w:r>
      <w:r w:rsidRPr="00CF6CA5">
        <w:rPr>
          <w:rFonts w:ascii="Verdana" w:eastAsia="Arial MT" w:hAnsi="Verdana" w:cs="Arial"/>
          <w:lang w:eastAsia="es-ES" w:bidi="es-ES"/>
        </w:rPr>
        <w:t xml:space="preserve">l no encontrarse una norma expresa que extienda la inhabilidad disciplinaria del representante legal a la persona jurídica (ONG o </w:t>
      </w:r>
      <w:r w:rsidRPr="00CF6CA5">
        <w:rPr>
          <w:rFonts w:ascii="Verdana" w:eastAsia="Arial MT" w:hAnsi="Verdana" w:cs="Arial"/>
          <w:lang w:eastAsia="es-ES" w:bidi="es-ES"/>
        </w:rPr>
        <w:lastRenderedPageBreak/>
        <w:t>entidad sin ánimo de lucro), no es jurídicamente viable restringir su participación en procesos de selección ni su capacidad para contratar con el Estado. Cualquier interpretación que busque imponer esa restricción, violaría los principios de legalidad, debido proceso y seguridad jurídica.</w:t>
      </w:r>
    </w:p>
    <w:p w14:paraId="750A94C9" w14:textId="77777777" w:rsidR="00E37D25" w:rsidRDefault="00E37D25" w:rsidP="00E37D25">
      <w:pPr>
        <w:spacing w:after="0" w:line="276" w:lineRule="auto"/>
        <w:ind w:right="49" w:firstLine="709"/>
        <w:jc w:val="both"/>
        <w:rPr>
          <w:rFonts w:ascii="Verdana" w:eastAsia="Calibri" w:hAnsi="Verdana" w:cs="Arial"/>
          <w:color w:val="000000" w:themeColor="text1"/>
        </w:rPr>
      </w:pPr>
      <w:r w:rsidRPr="002A6C2C">
        <w:rPr>
          <w:rFonts w:ascii="Verdana" w:eastAsia="Times New Roman" w:hAnsi="Verdana" w:cs="Arial"/>
          <w:lang w:eastAsia="es-MX"/>
        </w:rPr>
        <w:t xml:space="preserve">Sin perjuicio de lo anterior, </w:t>
      </w:r>
      <w:r>
        <w:rPr>
          <w:rFonts w:ascii="Verdana" w:eastAsia="Times New Roman" w:hAnsi="Verdana" w:cs="Arial"/>
          <w:lang w:eastAsia="es-MX"/>
        </w:rPr>
        <w:t xml:space="preserve">vale la pena advertir que, en el caso de las personas naturales sobre las que recae la inhabilidad estudiada, </w:t>
      </w:r>
      <w:r w:rsidRPr="002A6C2C">
        <w:rPr>
          <w:rFonts w:ascii="Verdana" w:eastAsia="Times New Roman" w:hAnsi="Verdana" w:cs="Arial"/>
          <w:lang w:eastAsia="es-MX"/>
        </w:rPr>
        <w:t xml:space="preserve">también es posible que la imposición de la pena accesoria o la sanción sobrevengan durante la participación de la persona sancionada en un proceso de contratación, ya estando perfeccionado el contrato o incluso durante su ejecución. Para casos como este, en el que la inhabilidad se presenta de manera sobreviniente, existe una </w:t>
      </w:r>
      <w:bookmarkStart w:id="2" w:name="_Hlk80369925"/>
      <w:r w:rsidRPr="002A6C2C">
        <w:rPr>
          <w:rFonts w:ascii="Verdana" w:eastAsia="Calibri" w:hAnsi="Verdana" w:cs="Arial"/>
          <w:color w:val="000000" w:themeColor="text1"/>
        </w:rPr>
        <w:t>la regulación especial del Estatuto General de la Contratación Pública</w:t>
      </w:r>
      <w:bookmarkEnd w:id="2"/>
      <w:r w:rsidRPr="002A6C2C">
        <w:rPr>
          <w:rFonts w:ascii="Verdana" w:eastAsia="Calibri" w:hAnsi="Verdana" w:cs="Arial"/>
          <w:color w:val="000000" w:themeColor="text1"/>
        </w:rPr>
        <w:t>, establecida en el artículo 9 de la Ley 80 de 1993 en los siguientes términos:</w:t>
      </w:r>
    </w:p>
    <w:p w14:paraId="31FAEBEA" w14:textId="77777777" w:rsidR="00E37D25" w:rsidRPr="002A6C2C" w:rsidRDefault="00E37D25" w:rsidP="00E37D25">
      <w:pPr>
        <w:spacing w:after="0" w:line="276" w:lineRule="auto"/>
        <w:ind w:right="49" w:firstLine="709"/>
        <w:jc w:val="both"/>
        <w:rPr>
          <w:rFonts w:ascii="Verdana" w:eastAsia="Calibri" w:hAnsi="Verdana" w:cs="Arial"/>
          <w:color w:val="000000" w:themeColor="text1"/>
          <w:sz w:val="16"/>
          <w:szCs w:val="16"/>
        </w:rPr>
      </w:pPr>
    </w:p>
    <w:p w14:paraId="02394475" w14:textId="77777777" w:rsidR="00E37D25" w:rsidRPr="002A6C2C" w:rsidRDefault="00E37D25" w:rsidP="00E37D25">
      <w:pPr>
        <w:tabs>
          <w:tab w:val="left" w:pos="709"/>
        </w:tabs>
        <w:spacing w:after="120"/>
        <w:ind w:left="709" w:right="879"/>
        <w:jc w:val="both"/>
        <w:rPr>
          <w:rFonts w:ascii="Verdana" w:eastAsia="Calibri" w:hAnsi="Verdana" w:cs="Arial"/>
          <w:i/>
          <w:iCs/>
          <w:color w:val="000000" w:themeColor="text1"/>
          <w:sz w:val="21"/>
          <w:szCs w:val="21"/>
        </w:rPr>
      </w:pPr>
      <w:r w:rsidRPr="002A6C2C">
        <w:rPr>
          <w:rFonts w:ascii="Verdana" w:eastAsia="Calibri" w:hAnsi="Verdana" w:cs="Arial"/>
          <w:i/>
          <w:iCs/>
          <w:color w:val="000000" w:themeColor="text1"/>
          <w:sz w:val="21"/>
          <w:szCs w:val="21"/>
        </w:rPr>
        <w:t>Si llegare a sobrevenir inhabilidad o incompatibilidad en el contratista, este cederá el contrato previa autorización escrita de la entidad contratante o, si ello no fuere posible, renunciará a su ejecución.</w:t>
      </w:r>
    </w:p>
    <w:p w14:paraId="6A03E4D0" w14:textId="77777777" w:rsidR="00E37D25" w:rsidRPr="002A6C2C" w:rsidRDefault="00E37D25" w:rsidP="00E37D25">
      <w:pPr>
        <w:tabs>
          <w:tab w:val="left" w:pos="709"/>
        </w:tabs>
        <w:spacing w:after="120"/>
        <w:ind w:left="709" w:right="879"/>
        <w:jc w:val="both"/>
        <w:rPr>
          <w:rFonts w:ascii="Verdana" w:eastAsia="Calibri" w:hAnsi="Verdana" w:cs="Arial"/>
          <w:color w:val="000000" w:themeColor="text1"/>
          <w:sz w:val="21"/>
          <w:szCs w:val="21"/>
        </w:rPr>
      </w:pPr>
      <w:r w:rsidRPr="002A6C2C">
        <w:rPr>
          <w:rFonts w:ascii="Verdana" w:eastAsia="Calibri" w:hAnsi="Verdana" w:cs="Arial"/>
          <w:color w:val="000000" w:themeColor="text1"/>
          <w:sz w:val="21"/>
          <w:szCs w:val="21"/>
        </w:rPr>
        <w:t>Cuando la inhabilidad o incompatibilidad sobrevenga en un proponente dentro de un proceso de selección, se entenderá que renuncia a la participación en el proceso de selección y a los derechos surgidos del mismo.</w:t>
      </w:r>
    </w:p>
    <w:p w14:paraId="326DF521" w14:textId="77777777" w:rsidR="00E37D25" w:rsidRPr="002A6C2C" w:rsidRDefault="00E37D25" w:rsidP="00E37D25">
      <w:pPr>
        <w:tabs>
          <w:tab w:val="left" w:pos="709"/>
        </w:tabs>
        <w:spacing w:after="120"/>
        <w:ind w:left="709" w:right="879"/>
        <w:jc w:val="both"/>
        <w:rPr>
          <w:rFonts w:ascii="Verdana" w:eastAsia="Calibri" w:hAnsi="Verdana" w:cs="Arial"/>
          <w:color w:val="000000" w:themeColor="text1"/>
          <w:sz w:val="21"/>
          <w:szCs w:val="21"/>
        </w:rPr>
      </w:pPr>
      <w:r w:rsidRPr="002A6C2C">
        <w:rPr>
          <w:rFonts w:ascii="Verdana" w:eastAsia="Calibri" w:hAnsi="Verdana" w:cs="Arial"/>
          <w:color w:val="000000" w:themeColor="text1"/>
          <w:sz w:val="21"/>
          <w:szCs w:val="21"/>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3F61BD3E" w14:textId="77777777" w:rsidR="00E37D25" w:rsidRPr="002A6C2C" w:rsidRDefault="00E37D25" w:rsidP="00E37D25">
      <w:pPr>
        <w:tabs>
          <w:tab w:val="left" w:pos="709"/>
        </w:tabs>
        <w:spacing w:after="120"/>
        <w:ind w:left="709" w:right="879"/>
        <w:jc w:val="both"/>
        <w:rPr>
          <w:rFonts w:ascii="Verdana" w:eastAsia="Calibri" w:hAnsi="Verdana" w:cs="Arial"/>
          <w:color w:val="000000" w:themeColor="text1"/>
          <w:sz w:val="21"/>
          <w:szCs w:val="21"/>
        </w:rPr>
      </w:pPr>
      <w:r w:rsidRPr="002A6C2C">
        <w:rPr>
          <w:rFonts w:ascii="Verdana" w:eastAsia="Calibri" w:hAnsi="Verdana" w:cs="Arial"/>
          <w:color w:val="000000" w:themeColor="text1"/>
          <w:sz w:val="21"/>
          <w:szCs w:val="21"/>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23A5CD97" w14:textId="77777777" w:rsidR="00E37D25" w:rsidRDefault="00E37D25" w:rsidP="00E37D25">
      <w:pPr>
        <w:tabs>
          <w:tab w:val="left" w:pos="709"/>
        </w:tabs>
        <w:spacing w:after="0"/>
        <w:ind w:left="709" w:right="879"/>
        <w:jc w:val="both"/>
        <w:rPr>
          <w:rFonts w:ascii="Verdana" w:eastAsia="Calibri" w:hAnsi="Verdana" w:cs="Arial"/>
          <w:color w:val="000000" w:themeColor="text1"/>
          <w:sz w:val="21"/>
          <w:szCs w:val="21"/>
        </w:rPr>
      </w:pPr>
      <w:r w:rsidRPr="002A6C2C">
        <w:rPr>
          <w:rFonts w:ascii="Verdana" w:eastAsia="Calibri" w:hAnsi="Verdana" w:cs="Arial"/>
          <w:color w:val="000000" w:themeColor="text1"/>
          <w:sz w:val="21"/>
          <w:szCs w:val="21"/>
        </w:rPr>
        <w:t>Para el caso de cesión, será la entidad contratante la encargada de determinar el cesionario del contrato. […]</w:t>
      </w:r>
      <w:bookmarkStart w:id="3" w:name="_Hlk79777330"/>
      <w:r w:rsidRPr="002A6C2C">
        <w:rPr>
          <w:rStyle w:val="Refdenotaalpie"/>
          <w:rFonts w:ascii="Verdana" w:eastAsia="Calibri" w:hAnsi="Verdana" w:cs="Arial"/>
          <w:color w:val="000000" w:themeColor="text1"/>
          <w:sz w:val="21"/>
          <w:szCs w:val="21"/>
        </w:rPr>
        <w:footnoteReference w:id="19"/>
      </w:r>
      <w:r w:rsidRPr="002A6C2C">
        <w:rPr>
          <w:rFonts w:ascii="Verdana" w:eastAsia="Calibri" w:hAnsi="Verdana" w:cs="Arial"/>
          <w:color w:val="000000" w:themeColor="text1"/>
          <w:sz w:val="21"/>
          <w:szCs w:val="21"/>
        </w:rPr>
        <w:t xml:space="preserve"> </w:t>
      </w:r>
      <w:bookmarkEnd w:id="3"/>
      <w:r>
        <w:rPr>
          <w:rFonts w:ascii="Verdana" w:eastAsia="Calibri" w:hAnsi="Verdana" w:cs="Arial"/>
          <w:color w:val="000000" w:themeColor="text1"/>
          <w:sz w:val="21"/>
          <w:szCs w:val="21"/>
        </w:rPr>
        <w:t>[</w:t>
      </w:r>
      <w:r w:rsidRPr="002A6C2C">
        <w:rPr>
          <w:rFonts w:ascii="Verdana" w:eastAsia="Calibri" w:hAnsi="Verdana" w:cs="Arial"/>
          <w:color w:val="000000" w:themeColor="text1"/>
          <w:sz w:val="21"/>
          <w:szCs w:val="21"/>
        </w:rPr>
        <w:t>Cursivas añadidas</w:t>
      </w:r>
      <w:r>
        <w:rPr>
          <w:rFonts w:ascii="Verdana" w:eastAsia="Calibri" w:hAnsi="Verdana" w:cs="Arial"/>
          <w:color w:val="000000" w:themeColor="text1"/>
          <w:sz w:val="21"/>
          <w:szCs w:val="21"/>
        </w:rPr>
        <w:t>]</w:t>
      </w:r>
      <w:r w:rsidRPr="002A6C2C">
        <w:rPr>
          <w:rFonts w:ascii="Verdana" w:eastAsia="Calibri" w:hAnsi="Verdana" w:cs="Arial"/>
          <w:color w:val="000000" w:themeColor="text1"/>
          <w:sz w:val="21"/>
          <w:szCs w:val="21"/>
        </w:rPr>
        <w:t>.</w:t>
      </w:r>
    </w:p>
    <w:p w14:paraId="2ACCDA12" w14:textId="77777777" w:rsidR="00E37D25" w:rsidRPr="002A6C2C" w:rsidRDefault="00E37D25" w:rsidP="00E37D25">
      <w:pPr>
        <w:tabs>
          <w:tab w:val="left" w:pos="709"/>
        </w:tabs>
        <w:spacing w:after="0"/>
        <w:ind w:left="709" w:right="879"/>
        <w:jc w:val="both"/>
        <w:rPr>
          <w:rFonts w:ascii="Verdana" w:eastAsia="Calibri" w:hAnsi="Verdana" w:cs="Arial"/>
          <w:color w:val="000000" w:themeColor="text1"/>
          <w:sz w:val="20"/>
          <w:szCs w:val="20"/>
        </w:rPr>
      </w:pPr>
    </w:p>
    <w:p w14:paraId="0FD6B192" w14:textId="77777777" w:rsidR="00E37D25" w:rsidRDefault="00E37D25" w:rsidP="00E37D25">
      <w:pPr>
        <w:tabs>
          <w:tab w:val="left" w:pos="709"/>
        </w:tabs>
        <w:spacing w:after="0" w:line="276" w:lineRule="auto"/>
        <w:jc w:val="both"/>
        <w:rPr>
          <w:rFonts w:ascii="Verdana" w:eastAsia="Calibri" w:hAnsi="Verdana" w:cs="Arial"/>
          <w:color w:val="000000" w:themeColor="text1"/>
        </w:rPr>
      </w:pPr>
      <w:r w:rsidRPr="002A6C2C">
        <w:rPr>
          <w:rFonts w:ascii="Verdana" w:eastAsia="Calibri" w:hAnsi="Verdana" w:cs="Arial"/>
          <w:color w:val="000000" w:themeColor="text1"/>
          <w:sz w:val="21"/>
          <w:szCs w:val="21"/>
        </w:rPr>
        <w:tab/>
      </w:r>
      <w:r w:rsidRPr="002A6C2C">
        <w:rPr>
          <w:rFonts w:ascii="Verdana" w:eastAsia="Calibri" w:hAnsi="Verdana" w:cs="Arial"/>
          <w:color w:val="000000" w:themeColor="text1"/>
        </w:rPr>
        <w:t>Esta regulación de las inhabilidades e incompatibilidades sobrevinientes fue una innovación del Estatuto General de Contratación de la Administración Pública, pues el tema no fue abordado en los Decretos Leyes 150 de 1976 y 222 de 1983. Naturalmente, no se trata de causales nuevas, sino de su configuración posterior antes de que finalice el procedimiento de selección o después de perfeccionado el contrato. Sobre la constitucionalidad de esta norma se pronunció la Corte Constitucional indicando que:</w:t>
      </w:r>
    </w:p>
    <w:p w14:paraId="3A66D707" w14:textId="77777777" w:rsidR="00E37D25" w:rsidRPr="002A6C2C" w:rsidRDefault="00E37D25" w:rsidP="00E37D25">
      <w:pPr>
        <w:tabs>
          <w:tab w:val="left" w:pos="709"/>
        </w:tabs>
        <w:spacing w:after="0" w:line="276" w:lineRule="auto"/>
        <w:jc w:val="both"/>
        <w:rPr>
          <w:rFonts w:ascii="Verdana" w:eastAsia="Calibri" w:hAnsi="Verdana" w:cs="Arial"/>
          <w:color w:val="000000" w:themeColor="text1"/>
          <w:sz w:val="20"/>
          <w:szCs w:val="20"/>
        </w:rPr>
      </w:pPr>
    </w:p>
    <w:p w14:paraId="1653E8BC" w14:textId="77777777" w:rsidR="00E37D25" w:rsidRPr="002A6C2C" w:rsidRDefault="00E37D25" w:rsidP="00E37D25">
      <w:pPr>
        <w:ind w:left="709" w:right="709"/>
        <w:jc w:val="both"/>
        <w:rPr>
          <w:rFonts w:ascii="Verdana" w:eastAsia="Times New Roman" w:hAnsi="Verdana" w:cs="Arial"/>
          <w:color w:val="000000" w:themeColor="text1"/>
          <w:sz w:val="21"/>
          <w:szCs w:val="21"/>
          <w:lang w:eastAsia="es-MX"/>
        </w:rPr>
      </w:pPr>
      <w:r w:rsidRPr="002A6C2C">
        <w:rPr>
          <w:rFonts w:ascii="Verdana" w:hAnsi="Verdana" w:cs="Arial"/>
          <w:color w:val="000000" w:themeColor="text1"/>
          <w:sz w:val="21"/>
          <w:szCs w:val="21"/>
        </w:rPr>
        <w:t xml:space="preserve">[…] </w:t>
      </w:r>
      <w:r w:rsidRPr="002A6C2C">
        <w:rPr>
          <w:rFonts w:ascii="Verdana" w:eastAsia="Times New Roman" w:hAnsi="Verdana" w:cs="Arial"/>
          <w:color w:val="000000" w:themeColor="text1"/>
          <w:sz w:val="21"/>
          <w:szCs w:val="21"/>
          <w:lang w:eastAsia="es-MX"/>
        </w:rPr>
        <w:t>Se trata de evitar que contraten con el Estado quienes se ubican en alguna de las situaciones contempladas por el artículo 8º de la Ley 80 de 1993, a la cual pertenece también la disposición demandada. Como tales incompatibilidades e inhabilidades no siempre surgen desde el comienzo de los trámites previos a la contratación, debe la ley ocuparse en la determinación clara de las reglas que han de observarse si ellas aparecen de manera sobreviniente, esto es, cuando la relación contractual ya se había establecido o dentro del tiempo de una licitación o concurso ya iniciados.</w:t>
      </w:r>
    </w:p>
    <w:p w14:paraId="2C1428D3" w14:textId="77777777" w:rsidR="00E37D25" w:rsidRDefault="00E37D25" w:rsidP="00E37D25">
      <w:pPr>
        <w:spacing w:after="0"/>
        <w:ind w:left="709" w:right="709"/>
        <w:jc w:val="both"/>
        <w:rPr>
          <w:rFonts w:ascii="Verdana" w:eastAsia="Times New Roman" w:hAnsi="Verdana" w:cs="Arial"/>
          <w:color w:val="000000" w:themeColor="text1"/>
          <w:sz w:val="21"/>
          <w:szCs w:val="21"/>
          <w:lang w:eastAsia="es-MX"/>
        </w:rPr>
      </w:pPr>
      <w:r w:rsidRPr="002A6C2C">
        <w:rPr>
          <w:rFonts w:ascii="Verdana" w:eastAsia="Times New Roman" w:hAnsi="Verdana" w:cs="Arial"/>
          <w:color w:val="000000" w:themeColor="text1"/>
          <w:sz w:val="21"/>
          <w:szCs w:val="21"/>
          <w:lang w:eastAsia="es-MX"/>
        </w:rPr>
        <w:t>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aquello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 Se trata de evitar en tales casos que el contratista, pese a su situación, prosiga vinculado contractualmente con el Estado, o que el aspirante a serlo continúe tomando parte en los procesos de adjudicación y selección […]</w:t>
      </w:r>
      <w:r w:rsidRPr="002A6C2C">
        <w:rPr>
          <w:rStyle w:val="Refdenotaalpie"/>
          <w:rFonts w:ascii="Verdana" w:eastAsia="Times New Roman" w:hAnsi="Verdana" w:cs="Arial"/>
          <w:color w:val="000000" w:themeColor="text1"/>
          <w:sz w:val="21"/>
          <w:szCs w:val="21"/>
          <w:lang w:eastAsia="es-MX"/>
        </w:rPr>
        <w:footnoteReference w:id="20"/>
      </w:r>
    </w:p>
    <w:p w14:paraId="1C6EE6CB" w14:textId="77777777" w:rsidR="00E37D25" w:rsidRPr="002A6C2C" w:rsidRDefault="00E37D25" w:rsidP="00E37D25">
      <w:pPr>
        <w:spacing w:after="0"/>
        <w:ind w:left="709" w:right="709"/>
        <w:jc w:val="both"/>
        <w:rPr>
          <w:rFonts w:ascii="Verdana" w:eastAsia="Calibri" w:hAnsi="Verdana" w:cs="Arial"/>
          <w:color w:val="000000" w:themeColor="text1"/>
        </w:rPr>
      </w:pPr>
    </w:p>
    <w:p w14:paraId="6598BFCD" w14:textId="77777777" w:rsidR="00E37D25" w:rsidRPr="002A6C2C" w:rsidRDefault="00E37D25" w:rsidP="00E37D25">
      <w:pPr>
        <w:tabs>
          <w:tab w:val="left" w:pos="709"/>
        </w:tabs>
        <w:spacing w:after="120" w:line="276" w:lineRule="auto"/>
        <w:jc w:val="both"/>
        <w:rPr>
          <w:rFonts w:ascii="Verdana" w:eastAsia="Calibri" w:hAnsi="Verdana" w:cs="Arial"/>
          <w:color w:val="000000" w:themeColor="text1"/>
        </w:rPr>
      </w:pPr>
      <w:r w:rsidRPr="002A6C2C">
        <w:rPr>
          <w:rFonts w:ascii="Verdana" w:eastAsia="Calibri" w:hAnsi="Verdana" w:cs="Arial"/>
          <w:color w:val="000000" w:themeColor="text1"/>
        </w:rPr>
        <w:tab/>
        <w:t xml:space="preserve">En efecto, si el contrato se celebra con personas incursas previamente en una situación de inhabilidad o incompatibilidad, este surge a la vida jurídica viciado de nulidad absoluta. En contraste, si se generan en forma sobreviniente, </w:t>
      </w:r>
      <w:r w:rsidRPr="002A6C2C">
        <w:rPr>
          <w:rFonts w:ascii="Verdana" w:eastAsia="Calibri" w:hAnsi="Verdana" w:cs="Arial"/>
          <w:color w:val="000000" w:themeColor="text1"/>
        </w:rPr>
        <w:lastRenderedPageBreak/>
        <w:t xml:space="preserve">el contrato no es inválido porque se perfeccionó de forma lícita; pero conforme al principio de moralidad administrativa no se puede continuar ejecutando ni mantenerse el vínculo con ese contratista inhábil y se producen entonces las consecuencias dispuestas por el legislador. </w:t>
      </w:r>
    </w:p>
    <w:p w14:paraId="3003154F" w14:textId="77777777" w:rsidR="00E37D25" w:rsidRPr="002A6C2C" w:rsidRDefault="00E37D25" w:rsidP="00E37D25">
      <w:pPr>
        <w:tabs>
          <w:tab w:val="left" w:pos="709"/>
        </w:tabs>
        <w:spacing w:after="120" w:line="276" w:lineRule="auto"/>
        <w:jc w:val="both"/>
        <w:rPr>
          <w:rFonts w:ascii="Verdana" w:eastAsia="Calibri" w:hAnsi="Verdana" w:cs="Arial"/>
          <w:color w:val="000000" w:themeColor="text1"/>
        </w:rPr>
      </w:pPr>
      <w:r w:rsidRPr="002A6C2C">
        <w:rPr>
          <w:rFonts w:ascii="Verdana" w:eastAsia="Calibri" w:hAnsi="Verdana" w:cs="Arial"/>
          <w:color w:val="000000" w:themeColor="text1"/>
        </w:rPr>
        <w:tab/>
        <w:t>Según se desprende del texto del artículo 9, y sin perjuicio de la regla especial establecida en el parágrafo 1 de dicho artículo</w:t>
      </w:r>
      <w:r w:rsidRPr="002A6C2C">
        <w:rPr>
          <w:rStyle w:val="Refdenotaalpie"/>
          <w:rFonts w:ascii="Verdana" w:eastAsia="Calibri" w:hAnsi="Verdana" w:cs="Arial"/>
          <w:color w:val="000000" w:themeColor="text1"/>
        </w:rPr>
        <w:footnoteReference w:id="21"/>
      </w:r>
      <w:r w:rsidRPr="002A6C2C">
        <w:rPr>
          <w:rFonts w:ascii="Verdana" w:eastAsia="Calibri" w:hAnsi="Verdana" w:cs="Arial"/>
          <w:color w:val="000000" w:themeColor="text1"/>
        </w:rPr>
        <w:t xml:space="preserve">, si la inhabilidad o incompatibilidad se configura después del perfeccionamiento del contrato, el contratista cederá el contrato a un tercero previa autorización escrita de la entidad contratante; pero si esto no es posible, está obligado a renunciar a la ejecución. Por otra parte, si la inhabilidad o incompatibilidad sobreviene en un procedimiento de selección, se entiende que </w:t>
      </w:r>
      <w:proofErr w:type="gramStart"/>
      <w:r w:rsidRPr="002A6C2C">
        <w:rPr>
          <w:rFonts w:ascii="Verdana" w:eastAsia="Calibri" w:hAnsi="Verdana" w:cs="Arial"/>
          <w:color w:val="000000" w:themeColor="text1"/>
        </w:rPr>
        <w:t>el proponente renuncia</w:t>
      </w:r>
      <w:proofErr w:type="gramEnd"/>
      <w:r w:rsidRPr="002A6C2C">
        <w:rPr>
          <w:rFonts w:ascii="Verdana" w:eastAsia="Calibri" w:hAnsi="Verdana" w:cs="Arial"/>
          <w:color w:val="000000" w:themeColor="text1"/>
        </w:rPr>
        <w:t xml:space="preserve"> a la participación y a los derechos surgidos del mismo. Finalmente, si la inhabilidad o incompatibilidad sobreviene en uno de los integrantes de un proponente plural, este debe ceder su participación con la autorización escrita del contratante, con la restricción de que el cesionario no puede ser alguno de los demás integrantes del consorcio o la unión temporal</w:t>
      </w:r>
      <w:r w:rsidRPr="002A6C2C">
        <w:rPr>
          <w:rStyle w:val="Refdenotaalpie"/>
          <w:rFonts w:ascii="Verdana" w:eastAsia="Calibri" w:hAnsi="Verdana" w:cs="Arial"/>
          <w:color w:val="000000" w:themeColor="text1"/>
        </w:rPr>
        <w:footnoteReference w:id="22"/>
      </w:r>
      <w:r w:rsidRPr="002A6C2C">
        <w:rPr>
          <w:rFonts w:ascii="Verdana" w:eastAsia="Calibri" w:hAnsi="Verdana" w:cs="Arial"/>
          <w:color w:val="000000" w:themeColor="text1"/>
        </w:rPr>
        <w:t xml:space="preserve">. </w:t>
      </w:r>
    </w:p>
    <w:p w14:paraId="01553884" w14:textId="77777777" w:rsidR="00E37D25" w:rsidRDefault="00E37D25" w:rsidP="00E37D25">
      <w:pPr>
        <w:tabs>
          <w:tab w:val="left" w:pos="709"/>
        </w:tabs>
        <w:spacing w:after="120" w:line="276" w:lineRule="auto"/>
        <w:jc w:val="both"/>
        <w:rPr>
          <w:rFonts w:ascii="Verdana" w:eastAsia="Times New Roman" w:hAnsi="Verdana" w:cs="Arial"/>
          <w:lang w:eastAsia="es-MX"/>
        </w:rPr>
      </w:pPr>
      <w:r w:rsidRPr="002A6C2C">
        <w:rPr>
          <w:rFonts w:ascii="Verdana" w:eastAsia="Calibri" w:hAnsi="Verdana" w:cs="Arial"/>
          <w:color w:val="000000" w:themeColor="text1"/>
        </w:rPr>
        <w:tab/>
      </w:r>
      <w:r w:rsidRPr="002A6C2C">
        <w:rPr>
          <w:rFonts w:ascii="Verdana" w:eastAsia="Times New Roman" w:hAnsi="Verdana" w:cs="Arial"/>
          <w:lang w:eastAsia="es-MX"/>
        </w:rPr>
        <w:t>Conforme a lo anterior,</w:t>
      </w:r>
      <w:r w:rsidRPr="002A6C2C">
        <w:rPr>
          <w:rFonts w:ascii="Verdana" w:eastAsia="Times New Roman" w:hAnsi="Verdana" w:cs="Arial"/>
          <w:color w:val="000000" w:themeColor="text1"/>
          <w:lang w:eastAsia="es-MX"/>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fuera posible, deberá renunciar a la ejecución del contrato. En ese sentido,</w:t>
      </w:r>
      <w:r w:rsidRPr="002A6C2C">
        <w:rPr>
          <w:rFonts w:ascii="Verdana" w:eastAsia="Times New Roman" w:hAnsi="Verdana" w:cs="Arial"/>
          <w:lang w:eastAsia="es-MX"/>
        </w:rPr>
        <w:t xml:space="preserve"> si durante la ejecución del contrato se llega a configurar alguna de las situaciones establecidas en el artículo 8 de la Ley 80 de 1993, se configuraría una inhabilidad o incompatibilidad sobreviniente y, ante este supuesto, la normativa solo prevé las dos soluciones referidas.  </w:t>
      </w:r>
    </w:p>
    <w:p w14:paraId="3D65D800" w14:textId="77777777" w:rsidR="00E37D25" w:rsidRPr="00D30B23" w:rsidRDefault="00E37D25" w:rsidP="00E37D25">
      <w:pPr>
        <w:tabs>
          <w:tab w:val="left" w:pos="709"/>
        </w:tabs>
        <w:spacing w:after="120" w:line="276" w:lineRule="auto"/>
        <w:jc w:val="both"/>
        <w:rPr>
          <w:rFonts w:ascii="Verdana" w:hAnsi="Verdana" w:cs="Arial"/>
          <w:lang w:eastAsia="es-MX"/>
        </w:rPr>
      </w:pPr>
      <w:r>
        <w:rPr>
          <w:rFonts w:ascii="Verdana" w:eastAsia="Arial MT" w:hAnsi="Verdana" w:cs="Arial"/>
          <w:lang w:eastAsia="es-ES" w:bidi="es-ES"/>
        </w:rPr>
        <w:tab/>
      </w:r>
      <w:r w:rsidRPr="00D30B23">
        <w:rPr>
          <w:rFonts w:ascii="Verdana" w:eastAsia="Times New Roman" w:hAnsi="Verdana" w:cs="Arial"/>
          <w:lang w:eastAsia="es-MX"/>
        </w:rPr>
        <w:t xml:space="preserve">Por último, de lo expuesto en el presente concepto jurídico, se recomienda a las personas jurídicas interesadas en participar en procesos de contratación </w:t>
      </w:r>
      <w:r w:rsidRPr="00D30B23">
        <w:rPr>
          <w:rFonts w:ascii="Verdana" w:eastAsia="Times New Roman" w:hAnsi="Verdana" w:cs="Arial"/>
          <w:lang w:eastAsia="es-MX"/>
        </w:rPr>
        <w:lastRenderedPageBreak/>
        <w:t>con entidades estatales que, en cumplimiento del principio de debida diligencia, adelanten una verificación previa de los antecedentes disciplinarios, fiscales y penales de sus representantes legales, miembros de junta directiva o quienes ejerzan funciones de dirección y administración.</w:t>
      </w:r>
    </w:p>
    <w:p w14:paraId="071C4CC0" w14:textId="77777777" w:rsidR="00E37D25" w:rsidRDefault="00E37D25" w:rsidP="00E37D25">
      <w:pPr>
        <w:tabs>
          <w:tab w:val="left" w:pos="709"/>
        </w:tabs>
        <w:spacing w:after="120" w:line="276" w:lineRule="auto"/>
        <w:jc w:val="both"/>
        <w:rPr>
          <w:rFonts w:ascii="Verdana" w:eastAsia="Times New Roman" w:hAnsi="Verdana" w:cs="Arial"/>
          <w:lang w:eastAsia="es-MX"/>
        </w:rPr>
      </w:pPr>
      <w:r>
        <w:rPr>
          <w:rFonts w:ascii="Verdana" w:eastAsia="Times New Roman" w:hAnsi="Verdana" w:cs="Arial"/>
          <w:lang w:eastAsia="es-MX"/>
        </w:rPr>
        <w:tab/>
      </w:r>
      <w:r w:rsidRPr="00D30B23">
        <w:rPr>
          <w:rFonts w:ascii="Verdana" w:eastAsia="Times New Roman" w:hAnsi="Verdana" w:cs="Arial"/>
          <w:lang w:eastAsia="es-MX"/>
        </w:rPr>
        <w:t>Esta revisión preventiva contribuye a mitigar riesgos jurídicos y reputacionales, facilita la toma de decisiones informadas y promueve buenas prácticas en el marco de la contratación pública. Aunque no toda sanción a una persona natural implica automáticamente una inhabilidad para la persona jurídica, la identificación oportuna de situaciones que puedan generar cuestionamientos o controversias puede fortalecer la transparencia, la legalidad y la confianza en la gestión contractual.</w:t>
      </w:r>
    </w:p>
    <w:p w14:paraId="63B90B09" w14:textId="77777777" w:rsidR="00E37D25" w:rsidRDefault="00E37D25" w:rsidP="00E37D25">
      <w:pPr>
        <w:tabs>
          <w:tab w:val="left" w:pos="709"/>
        </w:tabs>
        <w:spacing w:after="120" w:line="276" w:lineRule="auto"/>
        <w:jc w:val="both"/>
        <w:rPr>
          <w:rFonts w:ascii="Verdana" w:eastAsia="Arial MT" w:hAnsi="Verdana" w:cs="Arial"/>
          <w:lang w:eastAsia="es-ES" w:bidi="es-ES"/>
        </w:rPr>
      </w:pPr>
    </w:p>
    <w:p w14:paraId="4CE93554" w14:textId="77777777" w:rsidR="00E37D25" w:rsidRPr="006A09D6" w:rsidRDefault="00E37D25" w:rsidP="00E37D25">
      <w:pPr>
        <w:widowControl w:val="0"/>
        <w:autoSpaceDE w:val="0"/>
        <w:autoSpaceDN w:val="0"/>
        <w:spacing w:after="120" w:line="276" w:lineRule="auto"/>
        <w:jc w:val="both"/>
        <w:rPr>
          <w:rFonts w:ascii="Verdana" w:eastAsia="Times New Roman" w:hAnsi="Verdana" w:cs="Arial"/>
          <w:bCs/>
          <w:color w:val="000000"/>
          <w:szCs w:val="24"/>
          <w:lang w:eastAsia="es-ES_tradnl"/>
        </w:rPr>
      </w:pPr>
      <w:r w:rsidRPr="006A09D6">
        <w:rPr>
          <w:rFonts w:ascii="Verdana" w:eastAsia="Times New Roman" w:hAnsi="Verdana" w:cs="Arial"/>
          <w:color w:val="000000"/>
          <w:lang w:eastAsia="es-ES_tradnl"/>
        </w:rPr>
        <w:t>Este concepto tiene el alcance previsto en el artículo 28 del</w:t>
      </w:r>
      <w:r w:rsidRPr="006A09D6">
        <w:rPr>
          <w:rFonts w:ascii="Verdana" w:eastAsia="Times New Roman" w:hAnsi="Verdana" w:cs="Arial"/>
          <w:color w:val="000000"/>
          <w:szCs w:val="24"/>
          <w:lang w:eastAsia="es-ES_tradnl"/>
        </w:rPr>
        <w:t xml:space="preserve"> Código de Procedimiento Administrativo y de lo Contencioso Administrativo </w:t>
      </w:r>
      <w:r w:rsidRPr="006A09D6">
        <w:rPr>
          <w:rFonts w:ascii="Verdana" w:eastAsia="Calibri" w:hAnsi="Verdana" w:cs="Arial"/>
          <w:lang w:eastAsia="es-MX"/>
        </w:rPr>
        <w:t xml:space="preserve">y </w:t>
      </w:r>
      <w:r w:rsidRPr="006A09D6">
        <w:rPr>
          <w:rFonts w:ascii="Verdana" w:eastAsia="Calibri" w:hAnsi="Verdana" w:cs="Arial"/>
          <w:lang w:eastAsia="es-ES_tradnl"/>
        </w:rPr>
        <w:t>las expresiones aquí utilizadas con mayúscula inicial deben ser entendidas con el significado que les otorga el artículo 2.2.1.1.1.3.1. del Decreto 1082 de 2015</w:t>
      </w:r>
      <w:r w:rsidRPr="006A09D6">
        <w:rPr>
          <w:rFonts w:ascii="Verdana" w:eastAsia="Times New Roman" w:hAnsi="Verdana" w:cs="Arial"/>
          <w:lang w:eastAsia="es-ES_tradnl"/>
        </w:rPr>
        <w:t>.</w:t>
      </w:r>
    </w:p>
    <w:p w14:paraId="29AFC849" w14:textId="77777777" w:rsidR="00E37D25" w:rsidRPr="006A09D6" w:rsidRDefault="00E37D25" w:rsidP="00E37D25">
      <w:pPr>
        <w:widowControl w:val="0"/>
        <w:autoSpaceDE w:val="0"/>
        <w:autoSpaceDN w:val="0"/>
        <w:spacing w:after="0" w:line="276" w:lineRule="auto"/>
        <w:ind w:firstLine="709"/>
        <w:jc w:val="both"/>
        <w:rPr>
          <w:rFonts w:ascii="Verdana" w:eastAsia="Arial MT" w:hAnsi="Verdana" w:cs="Arial"/>
          <w:lang w:eastAsia="es-ES" w:bidi="es-ES"/>
        </w:rPr>
      </w:pPr>
    </w:p>
    <w:p w14:paraId="57A35A28" w14:textId="77777777" w:rsidR="00E37D25" w:rsidRPr="006A09D6" w:rsidRDefault="00E37D25" w:rsidP="00E37D25">
      <w:pPr>
        <w:tabs>
          <w:tab w:val="left" w:pos="142"/>
          <w:tab w:val="left" w:pos="284"/>
        </w:tabs>
        <w:spacing w:after="0" w:line="276" w:lineRule="auto"/>
        <w:jc w:val="both"/>
        <w:rPr>
          <w:rFonts w:ascii="Verdana" w:eastAsia="Century Gothic" w:hAnsi="Verdana" w:cs="Century Gothic"/>
          <w:b/>
          <w:bCs/>
        </w:rPr>
      </w:pPr>
      <w:r w:rsidRPr="006A09D6">
        <w:rPr>
          <w:rFonts w:ascii="Verdana" w:eastAsia="Century Gothic" w:hAnsi="Verdana" w:cs="Century Gothic"/>
          <w:b/>
          <w:bCs/>
        </w:rPr>
        <w:t>4. Referencias normativas, jurisprudenciales y otras fuentes:</w:t>
      </w:r>
    </w:p>
    <w:p w14:paraId="30C68EDE" w14:textId="77777777" w:rsidR="00E37D25" w:rsidRPr="006A09D6" w:rsidRDefault="00E37D25" w:rsidP="00E37D2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37D25" w:rsidRPr="006A09D6" w14:paraId="1757A37B" w14:textId="77777777" w:rsidTr="003B652A">
        <w:trPr>
          <w:trHeight w:val="870"/>
        </w:trPr>
        <w:tc>
          <w:tcPr>
            <w:tcW w:w="8647" w:type="dxa"/>
          </w:tcPr>
          <w:p w14:paraId="4C63A86C" w14:textId="77777777" w:rsidR="00E37D25" w:rsidRDefault="00E37D25" w:rsidP="00E37D25">
            <w:pPr>
              <w:pStyle w:val="Prrafodelista"/>
              <w:numPr>
                <w:ilvl w:val="0"/>
                <w:numId w:val="1"/>
              </w:numPr>
              <w:jc w:val="both"/>
              <w:rPr>
                <w:rFonts w:ascii="Verdana" w:hAnsi="Verdana" w:cs="Arial"/>
              </w:rPr>
            </w:pPr>
            <w:r>
              <w:rPr>
                <w:rFonts w:ascii="Verdana" w:hAnsi="Verdana" w:cs="Arial"/>
              </w:rPr>
              <w:t>Ley 80 de 1993, artículo 8, numeral 1, literal d).</w:t>
            </w:r>
          </w:p>
          <w:p w14:paraId="264125E8" w14:textId="77777777" w:rsidR="00E37D25" w:rsidRPr="00735AD5" w:rsidRDefault="00E37D25" w:rsidP="00E37D25">
            <w:pPr>
              <w:pStyle w:val="Prrafodelista"/>
              <w:numPr>
                <w:ilvl w:val="0"/>
                <w:numId w:val="1"/>
              </w:numPr>
              <w:jc w:val="both"/>
              <w:rPr>
                <w:rFonts w:ascii="Verdana" w:hAnsi="Verdana" w:cs="Arial"/>
              </w:rPr>
            </w:pPr>
            <w:r w:rsidRPr="009174E4">
              <w:rPr>
                <w:rFonts w:ascii="Verdana" w:hAnsi="Verdana" w:cs="Arial"/>
                <w:lang w:val="pt-BR"/>
              </w:rPr>
              <w:t xml:space="preserve">Corte Constitucional. Sentencia T-1039 de 2006. </w:t>
            </w:r>
            <w:r w:rsidRPr="00735AD5">
              <w:rPr>
                <w:rFonts w:ascii="Verdana" w:hAnsi="Verdana" w:cs="Arial"/>
              </w:rPr>
              <w:t>Magistrado Ponente: Humberto Sierra Porto. La Corte ha mantenido este criterio en las sentencias: C-903 de 2008. Magistrado Ponente: Jaime Araujo Rentería; C-101 de 2018. Magistrada Ponente Gloria Stella Ortiz Delgado; entre otras</w:t>
            </w:r>
          </w:p>
          <w:p w14:paraId="2C57F3A0" w14:textId="77777777" w:rsidR="00E37D25" w:rsidRPr="00735AD5" w:rsidRDefault="00E37D25" w:rsidP="00E37D25">
            <w:pPr>
              <w:pStyle w:val="Prrafodelista"/>
              <w:numPr>
                <w:ilvl w:val="0"/>
                <w:numId w:val="1"/>
              </w:numPr>
              <w:jc w:val="both"/>
              <w:rPr>
                <w:rFonts w:ascii="Verdana" w:hAnsi="Verdana" w:cs="Arial"/>
              </w:rPr>
            </w:pPr>
            <w:r w:rsidRPr="00735AD5">
              <w:rPr>
                <w:rFonts w:ascii="Verdana" w:hAnsi="Verdana" w:cs="Arial"/>
              </w:rPr>
              <w:t xml:space="preserve">Consejo de Estado. Sala de Consulta y Servicio Civil. Concepto del 30 de abril de 2015. Expediente: 2251. Consejero Ponente: Álvaro </w:t>
            </w:r>
            <w:proofErr w:type="spellStart"/>
            <w:r w:rsidRPr="00735AD5">
              <w:rPr>
                <w:rFonts w:ascii="Verdana" w:hAnsi="Verdana" w:cs="Arial"/>
              </w:rPr>
              <w:t>Namén</w:t>
            </w:r>
            <w:proofErr w:type="spellEnd"/>
            <w:r w:rsidRPr="00735AD5">
              <w:rPr>
                <w:rFonts w:ascii="Verdana" w:hAnsi="Verdana" w:cs="Arial"/>
              </w:rPr>
              <w:t xml:space="preserve"> Vargas.</w:t>
            </w:r>
          </w:p>
          <w:p w14:paraId="4529F965" w14:textId="77777777" w:rsidR="00E37D25" w:rsidRPr="00735AD5" w:rsidRDefault="00E37D25" w:rsidP="00E37D25">
            <w:pPr>
              <w:pStyle w:val="Prrafodelista"/>
              <w:numPr>
                <w:ilvl w:val="0"/>
                <w:numId w:val="1"/>
              </w:numPr>
              <w:jc w:val="both"/>
              <w:rPr>
                <w:rFonts w:ascii="Verdana" w:hAnsi="Verdana" w:cs="Arial"/>
              </w:rPr>
            </w:pPr>
            <w:r w:rsidRPr="00735AD5">
              <w:rPr>
                <w:rFonts w:ascii="Verdana" w:hAnsi="Verdana" w:cs="Arial"/>
              </w:rPr>
              <w:t xml:space="preserve">Consejo de Estado. Sección Tercera. Subsección A. Sentencia del 24 de junio de 2015. </w:t>
            </w:r>
            <w:proofErr w:type="spellStart"/>
            <w:r w:rsidRPr="00735AD5">
              <w:rPr>
                <w:rFonts w:ascii="Verdana" w:hAnsi="Verdana" w:cs="Arial"/>
              </w:rPr>
              <w:t>Exp</w:t>
            </w:r>
            <w:proofErr w:type="spellEnd"/>
            <w:r w:rsidRPr="00735AD5">
              <w:rPr>
                <w:rFonts w:ascii="Verdana" w:hAnsi="Verdana" w:cs="Arial"/>
              </w:rPr>
              <w:t>. 40.635. Consejero Ponente: Hernán Andrade Rincón (E).</w:t>
            </w:r>
          </w:p>
          <w:p w14:paraId="76518156" w14:textId="77777777" w:rsidR="00E37D25" w:rsidRPr="00735AD5" w:rsidRDefault="00E37D25" w:rsidP="00E37D25">
            <w:pPr>
              <w:pStyle w:val="Prrafodelista"/>
              <w:numPr>
                <w:ilvl w:val="0"/>
                <w:numId w:val="1"/>
              </w:numPr>
              <w:jc w:val="both"/>
              <w:rPr>
                <w:rFonts w:ascii="Verdana" w:hAnsi="Verdana" w:cs="Arial"/>
              </w:rPr>
            </w:pPr>
            <w:r w:rsidRPr="00735AD5">
              <w:rPr>
                <w:rFonts w:ascii="Verdana" w:hAnsi="Verdana" w:cs="Arial"/>
              </w:rPr>
              <w:t xml:space="preserve">Consejo de Estado. Sección Tercera. Subsección C. Sentencia del 22 de mayo de 2013. </w:t>
            </w:r>
            <w:proofErr w:type="spellStart"/>
            <w:r w:rsidRPr="00735AD5">
              <w:rPr>
                <w:rFonts w:ascii="Verdana" w:hAnsi="Verdana" w:cs="Arial"/>
              </w:rPr>
              <w:t>Exp</w:t>
            </w:r>
            <w:proofErr w:type="spellEnd"/>
            <w:r w:rsidRPr="00735AD5">
              <w:rPr>
                <w:rFonts w:ascii="Verdana" w:hAnsi="Verdana" w:cs="Arial"/>
              </w:rPr>
              <w:t xml:space="preserve">. 24.057. C.P. Olga </w:t>
            </w:r>
            <w:proofErr w:type="spellStart"/>
            <w:r w:rsidRPr="00735AD5">
              <w:rPr>
                <w:rFonts w:ascii="Verdana" w:hAnsi="Verdana" w:cs="Arial"/>
              </w:rPr>
              <w:t>Melida</w:t>
            </w:r>
            <w:proofErr w:type="spellEnd"/>
            <w:r w:rsidRPr="00735AD5">
              <w:rPr>
                <w:rFonts w:ascii="Verdana" w:hAnsi="Verdana" w:cs="Arial"/>
              </w:rPr>
              <w:t xml:space="preserve"> Valle De La Hoz.</w:t>
            </w:r>
          </w:p>
          <w:p w14:paraId="2FDBC4CB" w14:textId="77777777" w:rsidR="00E37D25" w:rsidRPr="00735AD5" w:rsidRDefault="00E37D25" w:rsidP="00E37D25">
            <w:pPr>
              <w:pStyle w:val="Prrafodelista"/>
              <w:numPr>
                <w:ilvl w:val="0"/>
                <w:numId w:val="1"/>
              </w:numPr>
              <w:jc w:val="both"/>
              <w:rPr>
                <w:rFonts w:ascii="Verdana" w:hAnsi="Verdana" w:cs="Arial"/>
              </w:rPr>
            </w:pPr>
            <w:r w:rsidRPr="00735AD5">
              <w:rPr>
                <w:rFonts w:ascii="Verdana" w:hAnsi="Verdana" w:cs="Arial"/>
              </w:rPr>
              <w:t>Corte Constitucional, Sentencia C- 373 de 2002, M.P. Jaime Córdoba Triviño; sentencia C-325 de 2009, M.P. Gabriel Eduardo Mendoza Martelo.</w:t>
            </w:r>
          </w:p>
          <w:p w14:paraId="1D195FAA" w14:textId="77777777" w:rsidR="00E37D25" w:rsidRPr="00735AD5" w:rsidRDefault="00E37D25" w:rsidP="00E37D25">
            <w:pPr>
              <w:pStyle w:val="Prrafodelista"/>
              <w:numPr>
                <w:ilvl w:val="0"/>
                <w:numId w:val="1"/>
              </w:numPr>
              <w:jc w:val="both"/>
              <w:rPr>
                <w:rFonts w:ascii="Verdana" w:hAnsi="Verdana" w:cs="Arial"/>
              </w:rPr>
            </w:pPr>
            <w:r w:rsidRPr="00735AD5">
              <w:rPr>
                <w:rFonts w:ascii="Verdana" w:hAnsi="Verdana" w:cs="Arial"/>
              </w:rPr>
              <w:t xml:space="preserve">Consejo de Estado, Sección Quinta, Sentencia del 13 de junio de 2019, </w:t>
            </w:r>
            <w:proofErr w:type="spellStart"/>
            <w:r w:rsidRPr="00735AD5">
              <w:rPr>
                <w:rFonts w:ascii="Verdana" w:hAnsi="Verdana" w:cs="Arial"/>
              </w:rPr>
              <w:t>Exp</w:t>
            </w:r>
            <w:proofErr w:type="spellEnd"/>
            <w:r w:rsidRPr="00735AD5">
              <w:rPr>
                <w:rFonts w:ascii="Verdana" w:hAnsi="Verdana" w:cs="Arial"/>
              </w:rPr>
              <w:t>. No. 00111 C.P. Rocío Araújo Oñate.</w:t>
            </w:r>
          </w:p>
          <w:p w14:paraId="7177ADE8" w14:textId="77777777" w:rsidR="00E37D25" w:rsidRPr="006A09D6" w:rsidRDefault="00E37D25" w:rsidP="00E37D25">
            <w:pPr>
              <w:pStyle w:val="Prrafodelista"/>
              <w:numPr>
                <w:ilvl w:val="0"/>
                <w:numId w:val="1"/>
              </w:numPr>
              <w:jc w:val="both"/>
              <w:rPr>
                <w:rFonts w:ascii="Verdana" w:hAnsi="Verdana" w:cs="Arial"/>
              </w:rPr>
            </w:pPr>
            <w:r w:rsidRPr="00735AD5">
              <w:rPr>
                <w:rFonts w:ascii="Verdana" w:hAnsi="Verdana" w:cs="Arial"/>
              </w:rPr>
              <w:lastRenderedPageBreak/>
              <w:t xml:space="preserve">BARRETO MORENO, Antonio Alejandro. Inhabilidades de la contratación estatal, efectos y </w:t>
            </w:r>
            <w:proofErr w:type="spellStart"/>
            <w:r w:rsidRPr="00735AD5">
              <w:rPr>
                <w:rFonts w:ascii="Verdana" w:hAnsi="Verdana" w:cs="Arial"/>
              </w:rPr>
              <w:t>neopunitivismo</w:t>
            </w:r>
            <w:proofErr w:type="spellEnd"/>
            <w:r w:rsidRPr="00735AD5">
              <w:rPr>
                <w:rFonts w:ascii="Verdana" w:hAnsi="Verdana" w:cs="Arial"/>
              </w:rPr>
              <w:t xml:space="preserve"> en el Estatuto Anticorrupción. En: ALVIAR GARCÍA, Helena (Coordinadora). Nuevas tendencias del Derecho administrativo. Bogotá: Universidad de los Andes; Temis, 2016. pp. 63-99.</w:t>
            </w:r>
          </w:p>
        </w:tc>
      </w:tr>
    </w:tbl>
    <w:p w14:paraId="18276573" w14:textId="77777777" w:rsidR="00E37D25" w:rsidRPr="006A09D6" w:rsidRDefault="00E37D25" w:rsidP="00E37D2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A6BB65C" w14:textId="77777777" w:rsidR="00E37D25" w:rsidRPr="006A09D6" w:rsidRDefault="00E37D25" w:rsidP="00E37D2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6A09D6">
        <w:rPr>
          <w:rFonts w:ascii="Verdana" w:eastAsia="Century Gothic" w:hAnsi="Verdana" w:cs="Century Gothic"/>
          <w:b/>
          <w:bCs/>
        </w:rPr>
        <w:t>5. Doctrina de la Agencia Nacional de Contratación Pública:</w:t>
      </w:r>
    </w:p>
    <w:p w14:paraId="513FA922" w14:textId="77777777" w:rsidR="00E37D25" w:rsidRPr="006A09D6" w:rsidRDefault="00E37D25" w:rsidP="00E37D25">
      <w:pPr>
        <w:spacing w:after="0" w:line="276" w:lineRule="auto"/>
        <w:ind w:firstLine="709"/>
        <w:jc w:val="both"/>
        <w:rPr>
          <w:rFonts w:ascii="Verdana" w:eastAsia="Times New Roman" w:hAnsi="Verdana" w:cs="Arial"/>
          <w:szCs w:val="24"/>
          <w:lang w:eastAsia="es-ES_tradnl"/>
        </w:rPr>
      </w:pPr>
    </w:p>
    <w:p w14:paraId="124862A8" w14:textId="77777777" w:rsidR="00E37D25" w:rsidRPr="006A09D6" w:rsidRDefault="00E37D25" w:rsidP="00E37D25">
      <w:pPr>
        <w:widowControl w:val="0"/>
        <w:autoSpaceDE w:val="0"/>
        <w:autoSpaceDN w:val="0"/>
        <w:spacing w:after="0" w:line="276" w:lineRule="auto"/>
        <w:jc w:val="both"/>
      </w:pPr>
      <w:r w:rsidRPr="0C75B527">
        <w:rPr>
          <w:rFonts w:ascii="Verdana" w:eastAsia="Calibri" w:hAnsi="Verdana" w:cs="Arial"/>
          <w:lang w:eastAsia="es-ES"/>
        </w:rPr>
        <w:t xml:space="preserve">Sobre el régimen de inhabilidades e incompatibilidades se pronunció esta Subdirección en los conceptos </w:t>
      </w:r>
      <w:r w:rsidRPr="006A09D6">
        <w:rPr>
          <w:rFonts w:ascii="Verdana" w:eastAsia="Calibri" w:hAnsi="Verdana" w:cs="Arial"/>
        </w:rPr>
        <w:t>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6A09D6">
        <w:rPr>
          <w:rFonts w:ascii="Verdana" w:hAnsi="Verdana" w:cs="Arial"/>
        </w:rPr>
        <w:t xml:space="preserve">. También se ha pronunciado sobre el conflicto de interés en los conceptos C-229 del 16 de abril de 2020, C-815 del 18 de febrero de 2021, C-449 del 31 de agosto de 2021, C-288 del 14 de julio de 2023, C-651 del 22 de octubre de 2024, C-689 del 19 de noviembre de 2024 y C-966 del 14 de enero de 2025. </w:t>
      </w:r>
      <w:r w:rsidRPr="0C75B527">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w:t>
      </w:r>
      <w:r w:rsidRPr="0C75B527">
        <w:rPr>
          <w:rFonts w:ascii="Verdana" w:eastAsia="Calibri" w:hAnsi="Verdana" w:cs="Arial"/>
          <w:lang w:eastAsia="es-ES"/>
        </w:rPr>
        <w:lastRenderedPageBreak/>
        <w:t xml:space="preserve">Subdirección de Gestión Contractual. Accede a través del siguiente enlace: </w:t>
      </w:r>
    </w:p>
    <w:p w14:paraId="7DFD90AF" w14:textId="77777777" w:rsidR="00E37D25" w:rsidRPr="006A09D6" w:rsidRDefault="00E37D25" w:rsidP="00E37D25">
      <w:pPr>
        <w:widowControl w:val="0"/>
        <w:autoSpaceDE w:val="0"/>
        <w:autoSpaceDN w:val="0"/>
        <w:spacing w:after="0" w:line="276" w:lineRule="auto"/>
        <w:jc w:val="both"/>
        <w:rPr>
          <w:rStyle w:val="normaltextrun"/>
          <w:rFonts w:ascii="Verdana" w:hAnsi="Verdana"/>
          <w:color w:val="000000"/>
        </w:rPr>
      </w:pPr>
    </w:p>
    <w:p w14:paraId="03A4789F" w14:textId="77777777" w:rsidR="00E37D25" w:rsidRPr="006A09D6" w:rsidRDefault="00BB3391" w:rsidP="00E37D25">
      <w:pPr>
        <w:widowControl w:val="0"/>
        <w:autoSpaceDE w:val="0"/>
        <w:autoSpaceDN w:val="0"/>
        <w:spacing w:after="0" w:line="276" w:lineRule="auto"/>
        <w:jc w:val="both"/>
        <w:rPr>
          <w:rFonts w:ascii="Verdana" w:eastAsia="Calibri" w:hAnsi="Verdana" w:cs="Arial"/>
          <w:lang w:eastAsia="es-ES_tradnl"/>
        </w:rPr>
      </w:pPr>
      <w:hyperlink r:id="rId10" w:history="1">
        <w:r w:rsidR="00E37D25" w:rsidRPr="006A09D6">
          <w:rPr>
            <w:rStyle w:val="Hipervnculo"/>
            <w:rFonts w:ascii="Verdana" w:eastAsia="Calibri" w:hAnsi="Verdana" w:cs="Arial"/>
            <w:lang w:eastAsia="es-ES_tradnl"/>
          </w:rPr>
          <w:t>https://relatoria.colombiacompra.gov.co/</w:t>
        </w:r>
      </w:hyperlink>
      <w:r w:rsidR="00E37D25" w:rsidRPr="006A09D6">
        <w:rPr>
          <w:rFonts w:ascii="Verdana" w:eastAsia="Calibri" w:hAnsi="Verdana" w:cs="Arial"/>
          <w:lang w:eastAsia="es-ES_tradnl"/>
        </w:rPr>
        <w:t> </w:t>
      </w:r>
    </w:p>
    <w:p w14:paraId="57B426BB" w14:textId="77777777" w:rsidR="00E37D25" w:rsidRPr="006A09D6" w:rsidRDefault="00E37D25" w:rsidP="00E37D25">
      <w:pPr>
        <w:widowControl w:val="0"/>
        <w:autoSpaceDE w:val="0"/>
        <w:autoSpaceDN w:val="0"/>
        <w:spacing w:after="0" w:line="276" w:lineRule="auto"/>
        <w:jc w:val="both"/>
        <w:rPr>
          <w:rFonts w:ascii="Verdana" w:eastAsia="Calibri" w:hAnsi="Verdana" w:cs="Arial"/>
          <w:lang w:eastAsia="es-ES_tradnl"/>
        </w:rPr>
      </w:pPr>
    </w:p>
    <w:p w14:paraId="353EABE7" w14:textId="77777777" w:rsidR="00E37D25" w:rsidRDefault="00E37D25" w:rsidP="00E37D25">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D41CA6">
        <w:rPr>
          <w:rFonts w:ascii="Verdana" w:eastAsia="Times New Roman" w:hAnsi="Verdana" w:cs="Times New Roman"/>
          <w:color w:val="000000"/>
          <w:bdr w:val="none" w:sz="0" w:space="0" w:color="auto" w:frame="1"/>
          <w:lang w:eastAsia="es-CO"/>
        </w:rPr>
        <w:t xml:space="preserve">También le contamos que ya se encuentra disponible la </w:t>
      </w:r>
      <w:r w:rsidRPr="00D41CA6">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D41CA6">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41CA6">
        <w:rPr>
          <w:rFonts w:ascii="Verdana" w:eastAsia="Times New Roman" w:hAnsi="Verdana" w:cs="Times New Roman"/>
          <w:color w:val="000000"/>
          <w:bdr w:val="none" w:sz="0" w:space="0" w:color="auto" w:frame="1"/>
          <w:lang w:eastAsia="es-CO"/>
        </w:rPr>
        <w:t>Wayúu</w:t>
      </w:r>
      <w:proofErr w:type="spellEnd"/>
      <w:r w:rsidRPr="00D41CA6">
        <w:rPr>
          <w:rFonts w:ascii="Verdana" w:eastAsia="Times New Roman" w:hAnsi="Verdana" w:cs="Times New Roman"/>
          <w:color w:val="000000"/>
          <w:bdr w:val="none" w:sz="0" w:space="0" w:color="auto" w:frame="1"/>
          <w:lang w:eastAsia="es-CO"/>
        </w:rPr>
        <w:t xml:space="preserve">. Puede consultar la guía en el siguiente enlace: </w:t>
      </w:r>
    </w:p>
    <w:p w14:paraId="405579D6" w14:textId="77777777" w:rsidR="00E37D25" w:rsidRDefault="00E37D25" w:rsidP="00E37D25">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2A2FD412" w14:textId="77777777" w:rsidR="00E37D25" w:rsidRPr="00D41CA6" w:rsidRDefault="00BB3391" w:rsidP="00E37D25">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hyperlink r:id="rId11" w:tgtFrame="_blank" w:tooltip="Dirección URL original: https://www.colombiacompra.gov.co/wp-content/uploads/2025/05/GUIA-DE-LINEAMIENTOS-DE-TRANSPARENCIA-Y-SELECCION-OBJETIVA-1.0.pdf. Haga clic o pulse si confía en este vínculo." w:history="1">
        <w:r w:rsidR="00E37D25" w:rsidRPr="00D41CA6">
          <w:rPr>
            <w:rStyle w:val="Hipervnculo"/>
            <w:rFonts w:ascii="Verdana" w:eastAsia="Times New Roman" w:hAnsi="Verdana"/>
            <w:bdr w:val="none" w:sz="0" w:space="0" w:color="auto" w:frame="1"/>
            <w:lang w:eastAsia="es-CO"/>
          </w:rPr>
          <w:t>Guía de lineamientos de transparencia y selección objetiva para el departamento de La Guajira – Objetivo sexto constitucional de la Sentencia T-302 del 2017</w:t>
        </w:r>
      </w:hyperlink>
    </w:p>
    <w:p w14:paraId="07E77B67" w14:textId="77777777" w:rsidR="00E37D25" w:rsidRPr="002C6323" w:rsidRDefault="00E37D25" w:rsidP="00E37D25">
      <w:pPr>
        <w:widowControl w:val="0"/>
        <w:autoSpaceDE w:val="0"/>
        <w:autoSpaceDN w:val="0"/>
        <w:spacing w:after="0" w:line="276" w:lineRule="auto"/>
        <w:jc w:val="both"/>
        <w:rPr>
          <w:rFonts w:ascii="Verdana" w:hAnsi="Verdana" w:cs="Arial"/>
        </w:rPr>
      </w:pPr>
    </w:p>
    <w:p w14:paraId="5675CF1F" w14:textId="77777777" w:rsidR="00E37D25" w:rsidRPr="006A09D6" w:rsidRDefault="00E37D25" w:rsidP="00E37D25">
      <w:pPr>
        <w:spacing w:after="0" w:line="240" w:lineRule="auto"/>
        <w:jc w:val="both"/>
        <w:rPr>
          <w:rFonts w:ascii="Verdana" w:hAnsi="Verdana"/>
        </w:rPr>
      </w:pPr>
      <w:r w:rsidRPr="006A09D6">
        <w:rPr>
          <w:rFonts w:ascii="Verdana" w:hAnsi="Verdana"/>
        </w:rPr>
        <w:t xml:space="preserve">Por último, lo invitamos a seguirnos en las redes sociales en las cuales se difunde información institucional: </w:t>
      </w:r>
    </w:p>
    <w:p w14:paraId="0097B4A7" w14:textId="77777777" w:rsidR="00E37D25" w:rsidRPr="006A09D6" w:rsidRDefault="00E37D25" w:rsidP="00E37D25">
      <w:pPr>
        <w:spacing w:after="0" w:line="240" w:lineRule="auto"/>
        <w:jc w:val="both"/>
        <w:rPr>
          <w:rFonts w:ascii="Verdana" w:hAnsi="Verdana"/>
        </w:rPr>
      </w:pPr>
    </w:p>
    <w:p w14:paraId="56FA1CB8" w14:textId="77777777" w:rsidR="00E37D25" w:rsidRPr="006A09D6" w:rsidRDefault="00E37D25" w:rsidP="00E37D25">
      <w:pPr>
        <w:spacing w:after="0" w:line="240" w:lineRule="auto"/>
        <w:jc w:val="both"/>
        <w:rPr>
          <w:rFonts w:ascii="Verdana" w:hAnsi="Verdana"/>
        </w:rPr>
      </w:pPr>
      <w:r w:rsidRPr="006A09D6">
        <w:rPr>
          <w:rFonts w:ascii="Verdana" w:hAnsi="Verdana"/>
        </w:rPr>
        <w:t xml:space="preserve">Twitter: </w:t>
      </w:r>
      <w:r w:rsidRPr="006A09D6">
        <w:rPr>
          <w:rStyle w:val="Hipervnculo"/>
          <w:rFonts w:ascii="Verdana" w:hAnsi="Verdana"/>
          <w:color w:val="4472C4" w:themeColor="accent1"/>
        </w:rPr>
        <w:t>@colombiacompra</w:t>
      </w:r>
      <w:r w:rsidRPr="006A09D6">
        <w:rPr>
          <w:rFonts w:ascii="Verdana" w:hAnsi="Verdana"/>
          <w:color w:val="4472C4" w:themeColor="accent1"/>
        </w:rPr>
        <w:t xml:space="preserve"> </w:t>
      </w:r>
    </w:p>
    <w:p w14:paraId="542CA592" w14:textId="77777777" w:rsidR="00E37D25" w:rsidRPr="006A09D6" w:rsidRDefault="00E37D25" w:rsidP="00E37D25">
      <w:pPr>
        <w:spacing w:after="0" w:line="240" w:lineRule="auto"/>
        <w:jc w:val="both"/>
        <w:rPr>
          <w:rFonts w:ascii="Verdana" w:hAnsi="Verdana"/>
        </w:rPr>
      </w:pPr>
      <w:r w:rsidRPr="006A09D6">
        <w:rPr>
          <w:rFonts w:ascii="Verdana" w:hAnsi="Verdana"/>
        </w:rPr>
        <w:t xml:space="preserve">Facebook: </w:t>
      </w:r>
      <w:proofErr w:type="spellStart"/>
      <w:r w:rsidRPr="006A09D6">
        <w:rPr>
          <w:rStyle w:val="Hipervnculo"/>
          <w:rFonts w:ascii="Verdana" w:hAnsi="Verdana"/>
          <w:color w:val="4472C4" w:themeColor="accent1"/>
        </w:rPr>
        <w:t>ColombiaCompraEficiente</w:t>
      </w:r>
      <w:proofErr w:type="spellEnd"/>
    </w:p>
    <w:p w14:paraId="4FD8B877" w14:textId="77777777" w:rsidR="00E37D25" w:rsidRPr="006A09D6" w:rsidRDefault="00E37D25" w:rsidP="00E37D25">
      <w:pPr>
        <w:spacing w:after="0" w:line="240" w:lineRule="auto"/>
        <w:jc w:val="both"/>
        <w:rPr>
          <w:rFonts w:ascii="Verdana" w:hAnsi="Verdana"/>
        </w:rPr>
      </w:pPr>
      <w:r w:rsidRPr="006A09D6">
        <w:rPr>
          <w:rFonts w:ascii="Verdana" w:hAnsi="Verdana"/>
        </w:rPr>
        <w:t xml:space="preserve">LinkedIn: </w:t>
      </w:r>
      <w:r w:rsidRPr="006A09D6">
        <w:rPr>
          <w:rStyle w:val="Hipervnculo"/>
          <w:rFonts w:ascii="Verdana" w:hAnsi="Verdana"/>
          <w:color w:val="4472C4" w:themeColor="accent1"/>
        </w:rPr>
        <w:t>Agencia Nacional de Contratación Pública - Colombia Compra Eficiente</w:t>
      </w:r>
      <w:r w:rsidRPr="006A09D6">
        <w:rPr>
          <w:rFonts w:ascii="Verdana" w:hAnsi="Verdana"/>
          <w:color w:val="4472C4" w:themeColor="accent1"/>
        </w:rPr>
        <w:t xml:space="preserve"> </w:t>
      </w:r>
      <w:r w:rsidRPr="006A09D6">
        <w:rPr>
          <w:rFonts w:ascii="Verdana" w:hAnsi="Verdana"/>
        </w:rPr>
        <w:t xml:space="preserve">Instagram: </w:t>
      </w:r>
      <w:r w:rsidRPr="006A09D6">
        <w:rPr>
          <w:rStyle w:val="Hipervnculo"/>
          <w:rFonts w:ascii="Verdana" w:hAnsi="Verdana"/>
          <w:color w:val="4472C4" w:themeColor="accent1"/>
        </w:rPr>
        <w:t>@colombiacompraeficiente_cce</w:t>
      </w:r>
    </w:p>
    <w:p w14:paraId="482992AF" w14:textId="77777777" w:rsidR="00E37D25" w:rsidRPr="006A09D6" w:rsidRDefault="00E37D25" w:rsidP="00E37D25">
      <w:pPr>
        <w:widowControl w:val="0"/>
        <w:autoSpaceDE w:val="0"/>
        <w:autoSpaceDN w:val="0"/>
        <w:spacing w:after="0" w:line="276" w:lineRule="auto"/>
        <w:jc w:val="both"/>
        <w:rPr>
          <w:rFonts w:ascii="Verdana" w:hAnsi="Verdana"/>
        </w:rPr>
      </w:pPr>
    </w:p>
    <w:p w14:paraId="7DED1B29" w14:textId="77777777" w:rsidR="00E37D25" w:rsidRPr="006A09D6" w:rsidRDefault="00E37D25" w:rsidP="00E37D25">
      <w:pPr>
        <w:widowControl w:val="0"/>
        <w:autoSpaceDE w:val="0"/>
        <w:autoSpaceDN w:val="0"/>
        <w:spacing w:after="0" w:line="276" w:lineRule="auto"/>
        <w:jc w:val="both"/>
        <w:rPr>
          <w:rFonts w:ascii="Verdana" w:hAnsi="Verdana" w:cs="Arial"/>
        </w:rPr>
      </w:pPr>
      <w:r w:rsidRPr="006A09D6">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C380110" w14:textId="77777777" w:rsidR="00E37D25" w:rsidRPr="006A09D6" w:rsidRDefault="00E37D25" w:rsidP="00E37D25">
      <w:pPr>
        <w:spacing w:after="0" w:line="276" w:lineRule="auto"/>
        <w:ind w:firstLine="709"/>
        <w:jc w:val="both"/>
        <w:rPr>
          <w:rFonts w:ascii="Verdana" w:eastAsia="Times New Roman" w:hAnsi="Verdana" w:cs="Arial"/>
          <w:szCs w:val="24"/>
          <w:lang w:eastAsia="es-ES_tradnl"/>
        </w:rPr>
      </w:pPr>
    </w:p>
    <w:p w14:paraId="5B8D7E61" w14:textId="77777777" w:rsidR="00E37D25" w:rsidRPr="006A09D6" w:rsidRDefault="00E37D25" w:rsidP="00E37D25">
      <w:pPr>
        <w:spacing w:after="0" w:line="276" w:lineRule="auto"/>
        <w:jc w:val="both"/>
        <w:rPr>
          <w:rFonts w:ascii="Verdana" w:eastAsia="Times New Roman" w:hAnsi="Verdana" w:cs="Arial"/>
          <w:lang w:eastAsia="es-CO"/>
        </w:rPr>
      </w:pPr>
      <w:bookmarkStart w:id="5" w:name="_Hlk117695077"/>
      <w:r w:rsidRPr="006A09D6">
        <w:rPr>
          <w:rFonts w:ascii="Verdana" w:eastAsia="Times New Roman" w:hAnsi="Verdana" w:cs="Arial"/>
          <w:lang w:eastAsia="es-CO"/>
        </w:rPr>
        <w:t>Atentamente,</w:t>
      </w:r>
    </w:p>
    <w:bookmarkEnd w:id="5"/>
    <w:p w14:paraId="5E363896" w14:textId="77777777" w:rsidR="00E37D25" w:rsidRDefault="00E37D25" w:rsidP="00E37D25">
      <w:pPr>
        <w:spacing w:after="18" w:line="240" w:lineRule="auto"/>
        <w:jc w:val="center"/>
        <w:rPr>
          <w:rFonts w:ascii="Century Gothic" w:hAnsi="Century Gothic"/>
          <w:noProof/>
        </w:rPr>
      </w:pPr>
    </w:p>
    <w:p w14:paraId="738482F6" w14:textId="4E2E3690" w:rsidR="00E37D25" w:rsidRPr="006A09D6" w:rsidRDefault="00BB3391" w:rsidP="00E37D25">
      <w:pPr>
        <w:spacing w:after="18" w:line="240" w:lineRule="auto"/>
        <w:jc w:val="center"/>
        <w:rPr>
          <w:rFonts w:ascii="Verdana" w:eastAsia="Times New Roman" w:hAnsi="Verdana" w:cs="Arial"/>
          <w:sz w:val="24"/>
          <w:szCs w:val="24"/>
          <w:lang w:eastAsia="es-CO"/>
        </w:rPr>
      </w:pPr>
      <w:r>
        <w:rPr>
          <w:rFonts w:ascii="Century Gothic" w:eastAsia="Times New Roman" w:hAnsi="Century Gothic" w:cs="Arial"/>
          <w:noProof/>
          <w:sz w:val="24"/>
          <w:szCs w:val="24"/>
          <w:lang w:eastAsia="es-CO"/>
        </w:rPr>
        <w:drawing>
          <wp:inline distT="0" distB="0" distL="0" distR="0" wp14:anchorId="3685EBE6" wp14:editId="07A8DC7D">
            <wp:extent cx="3562086" cy="1238250"/>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17092"/>
                    <a:stretch/>
                  </pic:blipFill>
                  <pic:spPr bwMode="auto">
                    <a:xfrm>
                      <a:off x="0" y="0"/>
                      <a:ext cx="3565766" cy="1239529"/>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37D25" w:rsidRPr="002C6323" w14:paraId="2C4E4539" w14:textId="77777777" w:rsidTr="003B652A">
        <w:trPr>
          <w:trHeight w:val="315"/>
        </w:trPr>
        <w:tc>
          <w:tcPr>
            <w:tcW w:w="893" w:type="dxa"/>
            <w:vAlign w:val="center"/>
            <w:hideMark/>
          </w:tcPr>
          <w:bookmarkEnd w:id="0"/>
          <w:p w14:paraId="3DA1097C" w14:textId="77777777" w:rsidR="00E37D25" w:rsidRPr="002C6323" w:rsidRDefault="00E37D25" w:rsidP="003B652A">
            <w:pPr>
              <w:contextualSpacing/>
              <w:rPr>
                <w:rFonts w:ascii="Verdana" w:hAnsi="Verdana" w:cs="Arial"/>
                <w:sz w:val="16"/>
                <w:szCs w:val="16"/>
                <w:lang w:val="es-ES" w:eastAsia="es-ES"/>
              </w:rPr>
            </w:pPr>
            <w:r w:rsidRPr="002C632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5F5A619" w14:textId="77777777" w:rsidR="00E37D25" w:rsidRPr="00D41CA6" w:rsidRDefault="00E37D25" w:rsidP="003B652A">
            <w:pPr>
              <w:contextualSpacing/>
              <w:rPr>
                <w:rFonts w:ascii="Verdana" w:hAnsi="Verdana"/>
                <w:sz w:val="16"/>
                <w:szCs w:val="16"/>
              </w:rPr>
            </w:pPr>
            <w:r w:rsidRPr="00D41CA6">
              <w:rPr>
                <w:rFonts w:ascii="Verdana" w:hAnsi="Verdana"/>
                <w:sz w:val="16"/>
                <w:szCs w:val="16"/>
              </w:rPr>
              <w:t>Sergio Enrique Caballero Lesmes</w:t>
            </w:r>
          </w:p>
          <w:p w14:paraId="1BF1F4EF" w14:textId="77777777" w:rsidR="00E37D25" w:rsidRPr="002C6323" w:rsidRDefault="00E37D25" w:rsidP="003B652A">
            <w:pPr>
              <w:contextualSpacing/>
              <w:rPr>
                <w:rFonts w:ascii="Verdana" w:eastAsia="Arial" w:hAnsi="Verdana" w:cs="Arial"/>
                <w:sz w:val="16"/>
                <w:szCs w:val="16"/>
              </w:rPr>
            </w:pPr>
            <w:r w:rsidRPr="00D41CA6">
              <w:rPr>
                <w:rFonts w:ascii="Verdana" w:hAnsi="Verdana"/>
                <w:sz w:val="16"/>
                <w:szCs w:val="16"/>
              </w:rPr>
              <w:lastRenderedPageBreak/>
              <w:t>Analista T2-02 de la Subdirección de Gestión Contractual</w:t>
            </w:r>
          </w:p>
        </w:tc>
      </w:tr>
      <w:tr w:rsidR="00E37D25" w:rsidRPr="002C6323" w14:paraId="24FEECFF" w14:textId="77777777" w:rsidTr="003B652A">
        <w:trPr>
          <w:trHeight w:val="330"/>
        </w:trPr>
        <w:tc>
          <w:tcPr>
            <w:tcW w:w="893" w:type="dxa"/>
            <w:vAlign w:val="center"/>
            <w:hideMark/>
          </w:tcPr>
          <w:p w14:paraId="51C271B9" w14:textId="77777777" w:rsidR="00E37D25" w:rsidRPr="002C6323" w:rsidRDefault="00E37D25" w:rsidP="003B652A">
            <w:pPr>
              <w:contextualSpacing/>
              <w:rPr>
                <w:rFonts w:ascii="Verdana" w:hAnsi="Verdana" w:cs="Arial"/>
                <w:sz w:val="16"/>
                <w:szCs w:val="16"/>
                <w:lang w:val="es-ES" w:eastAsia="es-ES"/>
              </w:rPr>
            </w:pPr>
            <w:r>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B91B421" w14:textId="77777777" w:rsidR="00E37D25" w:rsidRPr="002C6323" w:rsidRDefault="00E37D25" w:rsidP="003B652A">
            <w:pPr>
              <w:pStyle w:val="paragraph"/>
              <w:spacing w:after="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Juan Carlos González Vásquez</w:t>
            </w:r>
          </w:p>
          <w:p w14:paraId="0FB81B60" w14:textId="77777777" w:rsidR="00E37D25" w:rsidRPr="002C6323" w:rsidRDefault="00E37D25" w:rsidP="003B652A">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w:t>
            </w:r>
            <w:r w:rsidRPr="002C6323">
              <w:rPr>
                <w:rStyle w:val="normaltextrun"/>
                <w:rFonts w:ascii="Verdana" w:hAnsi="Verdana" w:cs="Arial"/>
                <w:sz w:val="16"/>
                <w:szCs w:val="16"/>
                <w:lang w:val="es-ES"/>
              </w:rPr>
              <w:t xml:space="preserve"> de la Subdirección de Gestión Contractual</w:t>
            </w:r>
            <w:r w:rsidRPr="002C6323">
              <w:rPr>
                <w:rStyle w:val="eop"/>
                <w:rFonts w:ascii="Verdana" w:hAnsi="Verdana" w:cs="Arial"/>
                <w:sz w:val="16"/>
                <w:szCs w:val="16"/>
              </w:rPr>
              <w:t> </w:t>
            </w:r>
          </w:p>
        </w:tc>
      </w:tr>
      <w:tr w:rsidR="00E37D25" w:rsidRPr="00593A5F" w14:paraId="63AF09C8" w14:textId="77777777" w:rsidTr="003B652A">
        <w:trPr>
          <w:trHeight w:val="300"/>
        </w:trPr>
        <w:tc>
          <w:tcPr>
            <w:tcW w:w="893" w:type="dxa"/>
            <w:vAlign w:val="center"/>
          </w:tcPr>
          <w:p w14:paraId="62D6B22D" w14:textId="77777777" w:rsidR="00E37D25" w:rsidRPr="002C6323" w:rsidRDefault="00E37D25" w:rsidP="003B652A">
            <w:pPr>
              <w:contextualSpacing/>
              <w:rPr>
                <w:rFonts w:ascii="Verdana" w:hAnsi="Verdana" w:cs="Arial"/>
                <w:sz w:val="16"/>
                <w:szCs w:val="16"/>
                <w:lang w:val="es-ES" w:eastAsia="es-ES"/>
              </w:rPr>
            </w:pPr>
            <w:r w:rsidRPr="002C632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7E4362" w14:textId="77777777" w:rsidR="00E37D25" w:rsidRDefault="00E37D25" w:rsidP="003B652A">
            <w:pPr>
              <w:contextualSpacing/>
              <w:rPr>
                <w:rFonts w:ascii="Verdana" w:eastAsia="Calibri" w:hAnsi="Verdana" w:cs="Arial"/>
                <w:sz w:val="16"/>
                <w:szCs w:val="16"/>
                <w:lang w:eastAsia="es-ES"/>
              </w:rPr>
            </w:pPr>
            <w:r w:rsidRPr="00637D3D">
              <w:rPr>
                <w:rFonts w:ascii="Verdana" w:eastAsia="Calibri" w:hAnsi="Verdana" w:cs="Arial"/>
                <w:sz w:val="16"/>
                <w:szCs w:val="16"/>
                <w:lang w:eastAsia="es-ES"/>
              </w:rPr>
              <w:t>An</w:t>
            </w:r>
            <w:r>
              <w:rPr>
                <w:rFonts w:ascii="Verdana" w:eastAsia="Calibri" w:hAnsi="Verdana" w:cs="Arial"/>
                <w:sz w:val="16"/>
                <w:szCs w:val="16"/>
                <w:lang w:eastAsia="es-ES"/>
              </w:rPr>
              <w:t>a María Tolosa Rico</w:t>
            </w:r>
          </w:p>
          <w:p w14:paraId="43EBFB0A" w14:textId="77777777" w:rsidR="00E37D25" w:rsidRPr="00637D3D" w:rsidRDefault="00E37D25" w:rsidP="003B652A">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Secretaria General </w:t>
            </w:r>
            <w:r w:rsidRPr="00637D3D">
              <w:rPr>
                <w:rFonts w:ascii="Verdana" w:eastAsia="Calibri" w:hAnsi="Verdana" w:cs="Arial"/>
                <w:sz w:val="16"/>
                <w:szCs w:val="16"/>
                <w:lang w:eastAsia="es-ES"/>
              </w:rPr>
              <w:t>ANCP – CCE</w:t>
            </w:r>
          </w:p>
          <w:p w14:paraId="4F0A92D0" w14:textId="77777777" w:rsidR="00E37D25" w:rsidRPr="00637D3D" w:rsidRDefault="00E37D25" w:rsidP="003B652A">
            <w:pPr>
              <w:contextualSpacing/>
              <w:rPr>
                <w:rFonts w:ascii="Verdana" w:eastAsia="Calibri" w:hAnsi="Verdana" w:cs="Arial"/>
                <w:sz w:val="16"/>
                <w:szCs w:val="16"/>
                <w:lang w:eastAsia="es-ES"/>
              </w:rPr>
            </w:pPr>
            <w:r w:rsidRPr="002C6323">
              <w:rPr>
                <w:rFonts w:ascii="Verdana" w:eastAsia="Calibri" w:hAnsi="Verdana" w:cs="Arial"/>
                <w:sz w:val="16"/>
                <w:szCs w:val="16"/>
                <w:lang w:eastAsia="es-ES"/>
              </w:rPr>
              <w:t>Subdirectora</w:t>
            </w:r>
            <w:r w:rsidRPr="00637D3D">
              <w:rPr>
                <w:rFonts w:ascii="Verdana" w:eastAsia="Calibri" w:hAnsi="Verdana" w:cs="Arial"/>
                <w:sz w:val="16"/>
                <w:szCs w:val="16"/>
                <w:lang w:eastAsia="es-ES"/>
              </w:rPr>
              <w:t xml:space="preserve"> de Gestión Contractual ANCP – CCE</w:t>
            </w:r>
            <w:r>
              <w:rPr>
                <w:rFonts w:ascii="Verdana" w:eastAsia="Calibri" w:hAnsi="Verdana" w:cs="Arial"/>
                <w:sz w:val="16"/>
                <w:szCs w:val="16"/>
                <w:lang w:eastAsia="es-ES"/>
              </w:rPr>
              <w:t xml:space="preserve"> [EE]</w:t>
            </w:r>
          </w:p>
        </w:tc>
      </w:tr>
    </w:tbl>
    <w:p w14:paraId="4D171DCA" w14:textId="77777777" w:rsidR="00E37D25" w:rsidRPr="0003421F" w:rsidRDefault="00E37D25" w:rsidP="00E37D25"/>
    <w:p w14:paraId="0ADEA9F3" w14:textId="77777777" w:rsidR="00E37D25" w:rsidRDefault="00E37D25" w:rsidP="00E37D25"/>
    <w:p w14:paraId="1B2A8168" w14:textId="77777777" w:rsidR="00E37D25" w:rsidRPr="00C3759F" w:rsidRDefault="00E37D25" w:rsidP="00E37D25"/>
    <w:p w14:paraId="0B8257DD" w14:textId="77777777" w:rsidR="00274079" w:rsidRDefault="00274079"/>
    <w:sectPr w:rsidR="00274079" w:rsidSect="00E37D25">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B2697" w14:textId="77777777" w:rsidR="00E37D25" w:rsidRDefault="00E37D25" w:rsidP="00E37D25">
      <w:pPr>
        <w:spacing w:after="0" w:line="240" w:lineRule="auto"/>
      </w:pPr>
      <w:r>
        <w:separator/>
      </w:r>
    </w:p>
  </w:endnote>
  <w:endnote w:type="continuationSeparator" w:id="0">
    <w:p w14:paraId="06579BEA" w14:textId="77777777" w:rsidR="00E37D25" w:rsidRDefault="00E37D25" w:rsidP="00E37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C98F4" w14:textId="77777777" w:rsidR="00E37D25" w:rsidRDefault="00E37D25">
    <w:pPr>
      <w:pStyle w:val="Piedepgina"/>
    </w:pPr>
  </w:p>
  <w:p w14:paraId="2544CCAB" w14:textId="77777777" w:rsidR="00E37D25" w:rsidRPr="00174B77" w:rsidRDefault="00E37D2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B6C71B2" w14:textId="77777777" w:rsidR="00E37D25" w:rsidRDefault="00E37D2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A528EA1" w14:textId="77777777" w:rsidR="00E37D25" w:rsidRPr="00E41027" w:rsidRDefault="00E37D25" w:rsidP="00D520D8">
    <w:pPr>
      <w:spacing w:after="0"/>
      <w:jc w:val="both"/>
      <w:rPr>
        <w:rFonts w:ascii="Verdana" w:hAnsi="Verdana"/>
        <w:sz w:val="18"/>
        <w:szCs w:val="18"/>
      </w:rPr>
    </w:pPr>
    <w:r w:rsidRPr="00E41027">
      <w:rPr>
        <w:rFonts w:ascii="Verdana" w:hAnsi="Verdana"/>
        <w:sz w:val="18"/>
        <w:szCs w:val="18"/>
      </w:rPr>
      <w:t>Mesa de servicio: (+57) 601 7456788</w:t>
    </w:r>
  </w:p>
  <w:p w14:paraId="7C36B5F0" w14:textId="77777777" w:rsidR="00E37D25" w:rsidRDefault="00E37D2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B5424" w14:textId="77777777" w:rsidR="00E37D25" w:rsidRDefault="00E37D25" w:rsidP="00E37D25">
      <w:pPr>
        <w:spacing w:after="0" w:line="240" w:lineRule="auto"/>
      </w:pPr>
      <w:r>
        <w:separator/>
      </w:r>
    </w:p>
  </w:footnote>
  <w:footnote w:type="continuationSeparator" w:id="0">
    <w:p w14:paraId="170AB7D4" w14:textId="77777777" w:rsidR="00E37D25" w:rsidRDefault="00E37D25" w:rsidP="00E37D25">
      <w:pPr>
        <w:spacing w:after="0" w:line="240" w:lineRule="auto"/>
      </w:pPr>
      <w:r>
        <w:continuationSeparator/>
      </w:r>
    </w:p>
  </w:footnote>
  <w:footnote w:id="1">
    <w:p w14:paraId="48B33A1D" w14:textId="77777777" w:rsidR="00E37D25" w:rsidRPr="001F5B10" w:rsidRDefault="00E37D25" w:rsidP="00E37D25">
      <w:pPr>
        <w:spacing w:after="0" w:line="240" w:lineRule="auto"/>
        <w:ind w:firstLine="709"/>
        <w:jc w:val="both"/>
        <w:rPr>
          <w:rFonts w:ascii="Verdana" w:hAnsi="Verdana" w:cs="Arial"/>
          <w:color w:val="000000"/>
          <w:sz w:val="14"/>
          <w:szCs w:val="14"/>
        </w:rPr>
      </w:pPr>
      <w:r w:rsidRPr="001F5B10">
        <w:rPr>
          <w:rStyle w:val="Refdenotaalpie"/>
          <w:rFonts w:ascii="Verdana" w:hAnsi="Verdana" w:cs="Arial"/>
          <w:color w:val="000000"/>
          <w:sz w:val="14"/>
          <w:szCs w:val="14"/>
        </w:rPr>
        <w:footnoteRef/>
      </w:r>
      <w:r w:rsidRPr="001F5B10">
        <w:rPr>
          <w:rFonts w:ascii="Verdana" w:hAnsi="Verdana" w:cs="Arial"/>
          <w:color w:val="000000"/>
          <w:sz w:val="14"/>
          <w:szCs w:val="14"/>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1EC94161" w14:textId="77777777" w:rsidR="00E37D25" w:rsidRPr="001F5B10" w:rsidRDefault="00E37D25" w:rsidP="00E37D25">
      <w:pPr>
        <w:spacing w:after="0" w:line="240" w:lineRule="auto"/>
        <w:ind w:firstLine="709"/>
        <w:jc w:val="both"/>
        <w:rPr>
          <w:rFonts w:ascii="Verdana" w:hAnsi="Verdana" w:cs="Arial"/>
          <w:color w:val="000000"/>
          <w:sz w:val="14"/>
          <w:szCs w:val="14"/>
        </w:rPr>
      </w:pPr>
    </w:p>
  </w:footnote>
  <w:footnote w:id="2">
    <w:p w14:paraId="29DDEDB9" w14:textId="77777777" w:rsidR="00E37D25" w:rsidRPr="001F5B10" w:rsidRDefault="00E37D25" w:rsidP="00E37D25">
      <w:pPr>
        <w:pStyle w:val="Textonotapie"/>
        <w:ind w:firstLine="709"/>
        <w:jc w:val="both"/>
        <w:rPr>
          <w:rFonts w:ascii="Verdana" w:hAnsi="Verdana" w:cs="Arial"/>
          <w:color w:val="000000"/>
          <w:sz w:val="14"/>
          <w:szCs w:val="14"/>
          <w:lang w:val="es-CO"/>
        </w:rPr>
      </w:pPr>
      <w:r w:rsidRPr="001F5B10">
        <w:rPr>
          <w:rStyle w:val="Refdenotaalpie"/>
          <w:rFonts w:ascii="Verdana" w:hAnsi="Verdana" w:cs="Arial"/>
          <w:color w:val="000000"/>
          <w:sz w:val="14"/>
          <w:szCs w:val="14"/>
          <w:lang w:val="es-CO"/>
        </w:rPr>
        <w:footnoteRef/>
      </w:r>
      <w:r w:rsidRPr="001F5B10">
        <w:rPr>
          <w:rFonts w:ascii="Verdana" w:hAnsi="Verdana" w:cs="Arial"/>
          <w:color w:val="000000"/>
          <w:sz w:val="14"/>
          <w:szCs w:val="14"/>
          <w:lang w:val="es-CO"/>
        </w:rPr>
        <w:t xml:space="preserve"> Ibíd., p. 69</w:t>
      </w:r>
    </w:p>
    <w:p w14:paraId="41F5909F" w14:textId="77777777" w:rsidR="00E37D25" w:rsidRPr="001F5B10" w:rsidRDefault="00E37D25" w:rsidP="00E37D25">
      <w:pPr>
        <w:pStyle w:val="Textonotapie"/>
        <w:ind w:firstLine="709"/>
        <w:jc w:val="both"/>
        <w:rPr>
          <w:rFonts w:ascii="Verdana" w:hAnsi="Verdana" w:cs="Arial"/>
          <w:color w:val="000000"/>
          <w:sz w:val="14"/>
          <w:szCs w:val="14"/>
          <w:lang w:val="es-CO"/>
        </w:rPr>
      </w:pPr>
    </w:p>
  </w:footnote>
  <w:footnote w:id="3">
    <w:p w14:paraId="04BA095E" w14:textId="77777777" w:rsidR="00E37D25" w:rsidRPr="001F5B10" w:rsidRDefault="00E37D25" w:rsidP="00E37D25">
      <w:pPr>
        <w:pStyle w:val="Textonotapie"/>
        <w:ind w:firstLine="709"/>
        <w:jc w:val="both"/>
        <w:rPr>
          <w:rFonts w:ascii="Verdana" w:hAnsi="Verdana" w:cs="Arial"/>
          <w:color w:val="000000"/>
          <w:sz w:val="14"/>
          <w:szCs w:val="14"/>
          <w:lang w:val="es-CO"/>
        </w:rPr>
      </w:pPr>
      <w:r w:rsidRPr="001F5B10">
        <w:rPr>
          <w:rStyle w:val="Refdenotaalpie"/>
          <w:rFonts w:ascii="Verdana" w:hAnsi="Verdana" w:cs="Arial"/>
          <w:color w:val="000000"/>
          <w:sz w:val="14"/>
          <w:szCs w:val="14"/>
          <w:lang w:val="es-CO"/>
        </w:rPr>
        <w:footnoteRef/>
      </w:r>
      <w:r w:rsidRPr="001F5B10">
        <w:rPr>
          <w:rFonts w:ascii="Verdana" w:hAnsi="Verdana" w:cs="Arial"/>
          <w:color w:val="000000"/>
          <w:sz w:val="14"/>
          <w:szCs w:val="14"/>
          <w:lang w:val="es-CO"/>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70061A4F" w14:textId="77777777" w:rsidR="00E37D25" w:rsidRPr="001F5B10" w:rsidRDefault="00E37D25" w:rsidP="00E37D25">
      <w:pPr>
        <w:pStyle w:val="Textonotapie"/>
        <w:ind w:firstLine="709"/>
        <w:jc w:val="both"/>
        <w:rPr>
          <w:rFonts w:ascii="Verdana" w:hAnsi="Verdana" w:cs="Arial"/>
          <w:color w:val="000000"/>
          <w:sz w:val="14"/>
          <w:szCs w:val="14"/>
          <w:lang w:val="es-CO"/>
        </w:rPr>
      </w:pPr>
    </w:p>
  </w:footnote>
  <w:footnote w:id="4">
    <w:p w14:paraId="352C4D9F" w14:textId="77777777" w:rsidR="00E37D25" w:rsidRPr="001F5B10" w:rsidRDefault="00E37D25" w:rsidP="00E37D25">
      <w:pPr>
        <w:pStyle w:val="Textonotapie"/>
        <w:ind w:firstLine="709"/>
        <w:jc w:val="both"/>
        <w:rPr>
          <w:rFonts w:ascii="Verdana" w:hAnsi="Verdana" w:cs="Arial"/>
          <w:color w:val="000000"/>
          <w:sz w:val="14"/>
          <w:szCs w:val="14"/>
          <w:lang w:val="es-CO"/>
        </w:rPr>
      </w:pPr>
      <w:r w:rsidRPr="001F5B10">
        <w:rPr>
          <w:rStyle w:val="Refdenotaalpie"/>
          <w:rFonts w:ascii="Verdana" w:hAnsi="Verdana" w:cs="Arial"/>
          <w:color w:val="000000"/>
          <w:sz w:val="14"/>
          <w:szCs w:val="14"/>
          <w:lang w:val="es-CO"/>
        </w:rPr>
        <w:footnoteRef/>
      </w:r>
      <w:r w:rsidRPr="001F5B10">
        <w:rPr>
          <w:rFonts w:ascii="Verdana" w:hAnsi="Verdana" w:cs="Arial"/>
          <w:color w:val="000000"/>
          <w:sz w:val="14"/>
          <w:szCs w:val="14"/>
          <w:lang w:val="es-CO"/>
        </w:rPr>
        <w:t xml:space="preserve"> Consejo de Estado. Sala de Consulta y Servicio Civil. Concepto del 30 de abril de 2015. Expediente: 2251. Consejero Ponente: Álvaro Namén Vargas.</w:t>
      </w:r>
    </w:p>
    <w:p w14:paraId="7FAAAF97" w14:textId="77777777" w:rsidR="00E37D25" w:rsidRPr="001F5B10" w:rsidRDefault="00E37D25" w:rsidP="00E37D25">
      <w:pPr>
        <w:pStyle w:val="Textonotapie"/>
        <w:ind w:firstLine="709"/>
        <w:jc w:val="both"/>
        <w:rPr>
          <w:rFonts w:ascii="Verdana" w:hAnsi="Verdana" w:cs="Arial"/>
          <w:color w:val="000000"/>
          <w:sz w:val="14"/>
          <w:szCs w:val="14"/>
          <w:lang w:val="es-CO"/>
        </w:rPr>
      </w:pPr>
    </w:p>
  </w:footnote>
  <w:footnote w:id="5">
    <w:p w14:paraId="521F2419" w14:textId="77777777" w:rsidR="00E37D25" w:rsidRPr="001F5B10" w:rsidRDefault="00E37D25" w:rsidP="00E37D25">
      <w:pPr>
        <w:spacing w:after="0" w:line="240" w:lineRule="auto"/>
        <w:ind w:firstLine="709"/>
        <w:jc w:val="both"/>
        <w:rPr>
          <w:rFonts w:ascii="Verdana" w:hAnsi="Verdana" w:cs="Arial"/>
          <w:color w:val="000000"/>
          <w:sz w:val="14"/>
          <w:szCs w:val="14"/>
        </w:rPr>
      </w:pPr>
      <w:r w:rsidRPr="001F5B10">
        <w:rPr>
          <w:rStyle w:val="Refdenotaalpie"/>
          <w:rFonts w:ascii="Verdana" w:hAnsi="Verdana" w:cs="Arial"/>
          <w:color w:val="000000"/>
          <w:sz w:val="14"/>
          <w:szCs w:val="14"/>
        </w:rPr>
        <w:footnoteRef/>
      </w:r>
      <w:r w:rsidRPr="001F5B10">
        <w:rPr>
          <w:rFonts w:ascii="Verdana" w:hAnsi="Verdana" w:cs="Arial"/>
          <w:color w:val="000000"/>
          <w:sz w:val="14"/>
          <w:szCs w:val="14"/>
        </w:rPr>
        <w:t xml:space="preserve"> Consejo</w:t>
      </w:r>
      <w:r w:rsidRPr="001F5B10">
        <w:rPr>
          <w:rFonts w:ascii="Verdana" w:hAnsi="Verdana" w:cs="Arial"/>
          <w:color w:val="000000"/>
          <w:spacing w:val="12"/>
          <w:sz w:val="14"/>
          <w:szCs w:val="14"/>
        </w:rPr>
        <w:t xml:space="preserve"> </w:t>
      </w:r>
      <w:r w:rsidRPr="001F5B10">
        <w:rPr>
          <w:rFonts w:ascii="Verdana" w:hAnsi="Verdana" w:cs="Arial"/>
          <w:color w:val="000000"/>
          <w:sz w:val="14"/>
          <w:szCs w:val="14"/>
        </w:rPr>
        <w:t>de</w:t>
      </w:r>
      <w:r w:rsidRPr="001F5B10">
        <w:rPr>
          <w:rFonts w:ascii="Verdana" w:hAnsi="Verdana" w:cs="Arial"/>
          <w:color w:val="000000"/>
          <w:spacing w:val="11"/>
          <w:sz w:val="14"/>
          <w:szCs w:val="14"/>
        </w:rPr>
        <w:t xml:space="preserve"> </w:t>
      </w:r>
      <w:r w:rsidRPr="001F5B10">
        <w:rPr>
          <w:rFonts w:ascii="Verdana" w:hAnsi="Verdana" w:cs="Arial"/>
          <w:color w:val="000000"/>
          <w:sz w:val="14"/>
          <w:szCs w:val="14"/>
        </w:rPr>
        <w:t>Estado.</w:t>
      </w:r>
      <w:r w:rsidRPr="001F5B10">
        <w:rPr>
          <w:rFonts w:ascii="Verdana" w:hAnsi="Verdana" w:cs="Arial"/>
          <w:color w:val="000000"/>
          <w:spacing w:val="12"/>
          <w:sz w:val="14"/>
          <w:szCs w:val="14"/>
        </w:rPr>
        <w:t xml:space="preserve"> </w:t>
      </w:r>
      <w:r w:rsidRPr="001F5B10">
        <w:rPr>
          <w:rFonts w:ascii="Verdana" w:hAnsi="Verdana" w:cs="Arial"/>
          <w:color w:val="000000"/>
          <w:sz w:val="14"/>
          <w:szCs w:val="14"/>
        </w:rPr>
        <w:t>Sección</w:t>
      </w:r>
      <w:r w:rsidRPr="001F5B10">
        <w:rPr>
          <w:rFonts w:ascii="Verdana" w:hAnsi="Verdana" w:cs="Arial"/>
          <w:color w:val="000000"/>
          <w:spacing w:val="12"/>
          <w:sz w:val="14"/>
          <w:szCs w:val="14"/>
        </w:rPr>
        <w:t xml:space="preserve"> </w:t>
      </w:r>
      <w:r w:rsidRPr="001F5B10">
        <w:rPr>
          <w:rFonts w:ascii="Verdana" w:hAnsi="Verdana" w:cs="Arial"/>
          <w:color w:val="000000"/>
          <w:sz w:val="14"/>
          <w:szCs w:val="14"/>
        </w:rPr>
        <w:t>Tercera.</w:t>
      </w:r>
      <w:r w:rsidRPr="001F5B10">
        <w:rPr>
          <w:rFonts w:ascii="Verdana" w:hAnsi="Verdana" w:cs="Arial"/>
          <w:color w:val="000000"/>
          <w:spacing w:val="12"/>
          <w:sz w:val="14"/>
          <w:szCs w:val="14"/>
        </w:rPr>
        <w:t xml:space="preserve"> </w:t>
      </w:r>
      <w:r w:rsidRPr="001F5B10">
        <w:rPr>
          <w:rFonts w:ascii="Verdana" w:hAnsi="Verdana" w:cs="Arial"/>
          <w:color w:val="000000"/>
          <w:sz w:val="14"/>
          <w:szCs w:val="14"/>
        </w:rPr>
        <w:t>Subsección</w:t>
      </w:r>
      <w:r w:rsidRPr="001F5B10">
        <w:rPr>
          <w:rFonts w:ascii="Verdana" w:hAnsi="Verdana" w:cs="Arial"/>
          <w:color w:val="000000"/>
          <w:spacing w:val="13"/>
          <w:sz w:val="14"/>
          <w:szCs w:val="14"/>
        </w:rPr>
        <w:t xml:space="preserve"> </w:t>
      </w:r>
      <w:r w:rsidRPr="001F5B10">
        <w:rPr>
          <w:rFonts w:ascii="Verdana" w:hAnsi="Verdana" w:cs="Arial"/>
          <w:color w:val="000000"/>
          <w:sz w:val="14"/>
          <w:szCs w:val="14"/>
        </w:rPr>
        <w:t>A.</w:t>
      </w:r>
      <w:r w:rsidRPr="001F5B10">
        <w:rPr>
          <w:rFonts w:ascii="Verdana" w:hAnsi="Verdana" w:cs="Arial"/>
          <w:color w:val="000000"/>
          <w:spacing w:val="12"/>
          <w:sz w:val="14"/>
          <w:szCs w:val="14"/>
        </w:rPr>
        <w:t xml:space="preserve"> </w:t>
      </w:r>
      <w:r w:rsidRPr="001F5B10">
        <w:rPr>
          <w:rFonts w:ascii="Verdana" w:hAnsi="Verdana" w:cs="Arial"/>
          <w:color w:val="000000"/>
          <w:sz w:val="14"/>
          <w:szCs w:val="14"/>
        </w:rPr>
        <w:t>Sentencia</w:t>
      </w:r>
      <w:r w:rsidRPr="001F5B10">
        <w:rPr>
          <w:rFonts w:ascii="Verdana" w:hAnsi="Verdana" w:cs="Arial"/>
          <w:color w:val="000000"/>
          <w:spacing w:val="13"/>
          <w:sz w:val="14"/>
          <w:szCs w:val="14"/>
        </w:rPr>
        <w:t xml:space="preserve"> </w:t>
      </w:r>
      <w:r w:rsidRPr="001F5B10">
        <w:rPr>
          <w:rFonts w:ascii="Verdana" w:hAnsi="Verdana" w:cs="Arial"/>
          <w:color w:val="000000"/>
          <w:sz w:val="14"/>
          <w:szCs w:val="14"/>
        </w:rPr>
        <w:t>del</w:t>
      </w:r>
      <w:r w:rsidRPr="001F5B10">
        <w:rPr>
          <w:rFonts w:ascii="Verdana" w:hAnsi="Verdana" w:cs="Arial"/>
          <w:color w:val="000000"/>
          <w:spacing w:val="11"/>
          <w:sz w:val="14"/>
          <w:szCs w:val="14"/>
        </w:rPr>
        <w:t xml:space="preserve"> </w:t>
      </w:r>
      <w:r w:rsidRPr="001F5B10">
        <w:rPr>
          <w:rFonts w:ascii="Verdana" w:hAnsi="Verdana" w:cs="Arial"/>
          <w:color w:val="000000"/>
          <w:sz w:val="14"/>
          <w:szCs w:val="14"/>
        </w:rPr>
        <w:t>24</w:t>
      </w:r>
      <w:r w:rsidRPr="001F5B10">
        <w:rPr>
          <w:rFonts w:ascii="Verdana" w:hAnsi="Verdana" w:cs="Arial"/>
          <w:color w:val="000000"/>
          <w:spacing w:val="11"/>
          <w:sz w:val="14"/>
          <w:szCs w:val="14"/>
        </w:rPr>
        <w:t xml:space="preserve"> </w:t>
      </w:r>
      <w:r w:rsidRPr="001F5B10">
        <w:rPr>
          <w:rFonts w:ascii="Verdana" w:hAnsi="Verdana" w:cs="Arial"/>
          <w:color w:val="000000"/>
          <w:sz w:val="14"/>
          <w:szCs w:val="14"/>
        </w:rPr>
        <w:t>de</w:t>
      </w:r>
      <w:r w:rsidRPr="001F5B10">
        <w:rPr>
          <w:rFonts w:ascii="Verdana" w:hAnsi="Verdana" w:cs="Arial"/>
          <w:color w:val="000000"/>
          <w:spacing w:val="11"/>
          <w:sz w:val="14"/>
          <w:szCs w:val="14"/>
        </w:rPr>
        <w:t xml:space="preserve"> </w:t>
      </w:r>
      <w:r w:rsidRPr="001F5B10">
        <w:rPr>
          <w:rFonts w:ascii="Verdana" w:hAnsi="Verdana" w:cs="Arial"/>
          <w:color w:val="000000"/>
          <w:sz w:val="14"/>
          <w:szCs w:val="14"/>
        </w:rPr>
        <w:t>junio</w:t>
      </w:r>
      <w:r w:rsidRPr="001F5B10">
        <w:rPr>
          <w:rFonts w:ascii="Verdana" w:hAnsi="Verdana" w:cs="Arial"/>
          <w:color w:val="000000"/>
          <w:spacing w:val="11"/>
          <w:sz w:val="14"/>
          <w:szCs w:val="14"/>
        </w:rPr>
        <w:t xml:space="preserve"> </w:t>
      </w:r>
      <w:r w:rsidRPr="001F5B10">
        <w:rPr>
          <w:rFonts w:ascii="Verdana" w:hAnsi="Verdana" w:cs="Arial"/>
          <w:color w:val="000000"/>
          <w:sz w:val="14"/>
          <w:szCs w:val="14"/>
        </w:rPr>
        <w:t>de</w:t>
      </w:r>
      <w:r w:rsidRPr="001F5B10">
        <w:rPr>
          <w:rFonts w:ascii="Verdana" w:hAnsi="Verdana" w:cs="Arial"/>
          <w:color w:val="000000"/>
          <w:spacing w:val="11"/>
          <w:sz w:val="14"/>
          <w:szCs w:val="14"/>
        </w:rPr>
        <w:t xml:space="preserve"> </w:t>
      </w:r>
      <w:r w:rsidRPr="001F5B10">
        <w:rPr>
          <w:rFonts w:ascii="Verdana" w:hAnsi="Verdana" w:cs="Arial"/>
          <w:color w:val="000000"/>
          <w:sz w:val="14"/>
          <w:szCs w:val="14"/>
        </w:rPr>
        <w:t>2015.</w:t>
      </w:r>
      <w:r w:rsidRPr="001F5B10">
        <w:rPr>
          <w:rFonts w:ascii="Verdana" w:hAnsi="Verdana" w:cs="Arial"/>
          <w:color w:val="000000"/>
          <w:spacing w:val="1"/>
          <w:sz w:val="14"/>
          <w:szCs w:val="14"/>
        </w:rPr>
        <w:t xml:space="preserve"> </w:t>
      </w:r>
      <w:r w:rsidRPr="001F5B10">
        <w:rPr>
          <w:rFonts w:ascii="Verdana" w:hAnsi="Verdana" w:cs="Arial"/>
          <w:color w:val="000000"/>
          <w:sz w:val="14"/>
          <w:szCs w:val="14"/>
        </w:rPr>
        <w:t>Exp.</w:t>
      </w:r>
      <w:r w:rsidRPr="001F5B10">
        <w:rPr>
          <w:rFonts w:ascii="Verdana" w:hAnsi="Verdana" w:cs="Arial"/>
          <w:color w:val="000000"/>
          <w:spacing w:val="-2"/>
          <w:sz w:val="14"/>
          <w:szCs w:val="14"/>
        </w:rPr>
        <w:t xml:space="preserve"> </w:t>
      </w:r>
      <w:r w:rsidRPr="001F5B10">
        <w:rPr>
          <w:rFonts w:ascii="Verdana" w:hAnsi="Verdana" w:cs="Arial"/>
          <w:color w:val="000000"/>
          <w:sz w:val="14"/>
          <w:szCs w:val="14"/>
        </w:rPr>
        <w:t>40.635.</w:t>
      </w:r>
      <w:r w:rsidRPr="001F5B10">
        <w:rPr>
          <w:rFonts w:ascii="Verdana" w:hAnsi="Verdana" w:cs="Arial"/>
          <w:color w:val="000000"/>
          <w:spacing w:val="-2"/>
          <w:sz w:val="14"/>
          <w:szCs w:val="14"/>
        </w:rPr>
        <w:t xml:space="preserve"> </w:t>
      </w:r>
      <w:r w:rsidRPr="001F5B10">
        <w:rPr>
          <w:rFonts w:ascii="Verdana" w:hAnsi="Verdana" w:cs="Arial"/>
          <w:color w:val="000000"/>
          <w:sz w:val="14"/>
          <w:szCs w:val="14"/>
        </w:rPr>
        <w:t>Consejero</w:t>
      </w:r>
      <w:r w:rsidRPr="001F5B10">
        <w:rPr>
          <w:rFonts w:ascii="Verdana" w:hAnsi="Verdana" w:cs="Arial"/>
          <w:color w:val="000000"/>
          <w:spacing w:val="-1"/>
          <w:sz w:val="14"/>
          <w:szCs w:val="14"/>
        </w:rPr>
        <w:t xml:space="preserve"> </w:t>
      </w:r>
      <w:r w:rsidRPr="001F5B10">
        <w:rPr>
          <w:rFonts w:ascii="Verdana" w:hAnsi="Verdana" w:cs="Arial"/>
          <w:color w:val="000000"/>
          <w:sz w:val="14"/>
          <w:szCs w:val="14"/>
        </w:rPr>
        <w:t>Ponente:</w:t>
      </w:r>
      <w:r w:rsidRPr="001F5B10">
        <w:rPr>
          <w:rFonts w:ascii="Verdana" w:hAnsi="Verdana" w:cs="Arial"/>
          <w:color w:val="000000"/>
          <w:spacing w:val="-2"/>
          <w:sz w:val="14"/>
          <w:szCs w:val="14"/>
        </w:rPr>
        <w:t xml:space="preserve"> </w:t>
      </w:r>
      <w:r w:rsidRPr="001F5B10">
        <w:rPr>
          <w:rFonts w:ascii="Verdana" w:hAnsi="Verdana" w:cs="Arial"/>
          <w:color w:val="000000"/>
          <w:sz w:val="14"/>
          <w:szCs w:val="14"/>
        </w:rPr>
        <w:t>Hernán</w:t>
      </w:r>
      <w:r w:rsidRPr="001F5B10">
        <w:rPr>
          <w:rFonts w:ascii="Verdana" w:hAnsi="Verdana" w:cs="Arial"/>
          <w:color w:val="000000"/>
          <w:spacing w:val="-1"/>
          <w:sz w:val="14"/>
          <w:szCs w:val="14"/>
        </w:rPr>
        <w:t xml:space="preserve"> </w:t>
      </w:r>
      <w:r w:rsidRPr="001F5B10">
        <w:rPr>
          <w:rFonts w:ascii="Verdana" w:hAnsi="Verdana" w:cs="Arial"/>
          <w:color w:val="000000"/>
          <w:sz w:val="14"/>
          <w:szCs w:val="14"/>
        </w:rPr>
        <w:t>Andrade</w:t>
      </w:r>
      <w:r w:rsidRPr="001F5B10">
        <w:rPr>
          <w:rFonts w:ascii="Verdana" w:hAnsi="Verdana" w:cs="Arial"/>
          <w:color w:val="000000"/>
          <w:spacing w:val="-2"/>
          <w:sz w:val="14"/>
          <w:szCs w:val="14"/>
        </w:rPr>
        <w:t xml:space="preserve"> </w:t>
      </w:r>
      <w:r w:rsidRPr="001F5B10">
        <w:rPr>
          <w:rFonts w:ascii="Verdana" w:hAnsi="Verdana" w:cs="Arial"/>
          <w:color w:val="000000"/>
          <w:sz w:val="14"/>
          <w:szCs w:val="14"/>
        </w:rPr>
        <w:t>Rincón</w:t>
      </w:r>
      <w:r w:rsidRPr="001F5B10">
        <w:rPr>
          <w:rFonts w:ascii="Verdana" w:hAnsi="Verdana" w:cs="Arial"/>
          <w:color w:val="000000"/>
          <w:spacing w:val="-1"/>
          <w:sz w:val="14"/>
          <w:szCs w:val="14"/>
        </w:rPr>
        <w:t xml:space="preserve"> </w:t>
      </w:r>
      <w:r w:rsidRPr="001F5B10">
        <w:rPr>
          <w:rFonts w:ascii="Verdana" w:hAnsi="Verdana" w:cs="Arial"/>
          <w:color w:val="000000"/>
          <w:sz w:val="14"/>
          <w:szCs w:val="14"/>
        </w:rPr>
        <w:t>(E).</w:t>
      </w:r>
    </w:p>
    <w:p w14:paraId="0FB8B0D2" w14:textId="77777777" w:rsidR="00E37D25" w:rsidRPr="001F5B10" w:rsidRDefault="00E37D25" w:rsidP="00E37D25">
      <w:pPr>
        <w:spacing w:after="0" w:line="240" w:lineRule="auto"/>
        <w:ind w:firstLine="709"/>
        <w:jc w:val="both"/>
        <w:rPr>
          <w:rFonts w:ascii="Verdana" w:hAnsi="Verdana" w:cs="Arial"/>
          <w:color w:val="000000"/>
          <w:sz w:val="14"/>
          <w:szCs w:val="14"/>
        </w:rPr>
      </w:pPr>
    </w:p>
  </w:footnote>
  <w:footnote w:id="6">
    <w:p w14:paraId="3B6424AF" w14:textId="77777777" w:rsidR="00E37D25" w:rsidRPr="001F5B10" w:rsidRDefault="00E37D25" w:rsidP="00E37D25">
      <w:pPr>
        <w:pStyle w:val="Textonotapie"/>
        <w:ind w:firstLine="709"/>
        <w:jc w:val="both"/>
        <w:rPr>
          <w:rFonts w:ascii="Verdana" w:hAnsi="Verdana" w:cs="Arial"/>
          <w:color w:val="000000"/>
          <w:sz w:val="14"/>
          <w:szCs w:val="14"/>
          <w:lang w:val="es-CO"/>
        </w:rPr>
      </w:pPr>
      <w:r w:rsidRPr="001F5B10">
        <w:rPr>
          <w:rStyle w:val="Refdenotaalpie"/>
          <w:rFonts w:ascii="Verdana" w:hAnsi="Verdana" w:cs="Arial"/>
          <w:color w:val="000000"/>
          <w:sz w:val="14"/>
          <w:szCs w:val="14"/>
          <w:lang w:val="es-CO"/>
        </w:rPr>
        <w:footnoteRef/>
      </w:r>
      <w:r w:rsidRPr="001F5B10">
        <w:rPr>
          <w:rFonts w:ascii="Verdana" w:hAnsi="Verdana" w:cs="Arial"/>
          <w:color w:val="000000"/>
          <w:sz w:val="14"/>
          <w:szCs w:val="14"/>
          <w:lang w:val="es-CO"/>
        </w:rPr>
        <w:t xml:space="preserve"> Consejo de Estado. Sección Tercera. Subsección C. Sentencia del 22 de mayo de 2013. Exp. 24.057. C.P. Olga Melida Valle De La Hoz.</w:t>
      </w:r>
    </w:p>
    <w:p w14:paraId="0BE0107D" w14:textId="77777777" w:rsidR="00E37D25" w:rsidRPr="001F5B10" w:rsidRDefault="00E37D25" w:rsidP="00E37D25">
      <w:pPr>
        <w:pStyle w:val="Textonotapie"/>
        <w:ind w:firstLine="709"/>
        <w:jc w:val="both"/>
        <w:rPr>
          <w:rFonts w:ascii="Verdana" w:hAnsi="Verdana" w:cs="Arial"/>
          <w:color w:val="000000"/>
          <w:sz w:val="14"/>
          <w:szCs w:val="14"/>
          <w:lang w:val="es-CO"/>
        </w:rPr>
      </w:pPr>
    </w:p>
  </w:footnote>
  <w:footnote w:id="7">
    <w:p w14:paraId="2DE546C1" w14:textId="77777777" w:rsidR="00E37D25" w:rsidRPr="001F5B10" w:rsidRDefault="00E37D25" w:rsidP="00E37D25">
      <w:pPr>
        <w:pStyle w:val="Textonotapie"/>
        <w:ind w:firstLine="709"/>
        <w:jc w:val="both"/>
        <w:rPr>
          <w:rFonts w:ascii="Verdana" w:hAnsi="Verdana" w:cs="Arial"/>
          <w:color w:val="000000"/>
          <w:sz w:val="14"/>
          <w:szCs w:val="14"/>
          <w:lang w:val="es-CO"/>
        </w:rPr>
      </w:pPr>
      <w:r w:rsidRPr="001F5B10">
        <w:rPr>
          <w:rStyle w:val="Refdenotaalpie"/>
          <w:rFonts w:ascii="Verdana" w:hAnsi="Verdana" w:cs="Arial"/>
          <w:color w:val="000000"/>
          <w:sz w:val="14"/>
          <w:szCs w:val="14"/>
          <w:lang w:val="es-CO"/>
        </w:rPr>
        <w:footnoteRef/>
      </w:r>
      <w:r w:rsidRPr="001F5B10">
        <w:rPr>
          <w:rFonts w:ascii="Verdana" w:hAnsi="Verdana" w:cs="Arial"/>
          <w:color w:val="000000"/>
          <w:sz w:val="14"/>
          <w:szCs w:val="14"/>
          <w:lang w:val="es-CO"/>
        </w:rPr>
        <w:t xml:space="preserve"> Corte Constitucional, Sentencia C- 373 de 2002, M.P. Jaime Córdoba Triviño; sentencia C-325 de 2009, M.P. Gabriel Eduardo Mendoza Martelo.</w:t>
      </w:r>
    </w:p>
    <w:p w14:paraId="4FD82E8F" w14:textId="77777777" w:rsidR="00E37D25" w:rsidRPr="001F5B10" w:rsidRDefault="00E37D25" w:rsidP="00E37D25">
      <w:pPr>
        <w:pStyle w:val="Textonotapie"/>
        <w:ind w:firstLine="709"/>
        <w:jc w:val="both"/>
        <w:rPr>
          <w:rFonts w:ascii="Verdana" w:hAnsi="Verdana" w:cs="Arial"/>
          <w:color w:val="000000"/>
          <w:sz w:val="14"/>
          <w:szCs w:val="14"/>
          <w:lang w:val="es-CO"/>
        </w:rPr>
      </w:pPr>
    </w:p>
  </w:footnote>
  <w:footnote w:id="8">
    <w:p w14:paraId="337EF2A0" w14:textId="77777777" w:rsidR="00E37D25" w:rsidRPr="001F5B10" w:rsidRDefault="00E37D25" w:rsidP="00E37D25">
      <w:pPr>
        <w:pStyle w:val="Textonotapie"/>
        <w:ind w:firstLine="709"/>
        <w:jc w:val="both"/>
        <w:rPr>
          <w:rFonts w:ascii="Verdana" w:hAnsi="Verdana" w:cs="Arial"/>
          <w:color w:val="000000"/>
          <w:sz w:val="14"/>
          <w:szCs w:val="14"/>
          <w:lang w:val="es-CO"/>
        </w:rPr>
      </w:pPr>
      <w:r w:rsidRPr="001F5B10">
        <w:rPr>
          <w:rStyle w:val="Refdenotaalpie"/>
          <w:rFonts w:ascii="Verdana" w:hAnsi="Verdana" w:cs="Arial"/>
          <w:color w:val="000000"/>
          <w:sz w:val="14"/>
          <w:szCs w:val="14"/>
          <w:lang w:val="es-CO"/>
        </w:rPr>
        <w:footnoteRef/>
      </w:r>
      <w:r w:rsidRPr="001F5B10">
        <w:rPr>
          <w:rFonts w:ascii="Verdana" w:hAnsi="Verdana" w:cs="Arial"/>
          <w:color w:val="000000"/>
          <w:sz w:val="14"/>
          <w:szCs w:val="14"/>
          <w:lang w:val="es-CO"/>
        </w:rPr>
        <w:t xml:space="preserve"> Consejo de Estado, Sección Quinta, Sentencia del 13 de junio de 2019, Exp. No. 00111 C.P. Rocío Araújo Oñate.</w:t>
      </w:r>
    </w:p>
  </w:footnote>
  <w:footnote w:id="9">
    <w:p w14:paraId="282EB353" w14:textId="77777777" w:rsidR="00E37D25" w:rsidRPr="001F5B10" w:rsidRDefault="00E37D25" w:rsidP="00E37D25">
      <w:pPr>
        <w:pStyle w:val="Textonotapie"/>
        <w:ind w:firstLine="709"/>
        <w:jc w:val="both"/>
        <w:rPr>
          <w:rFonts w:ascii="Verdana" w:hAnsi="Verdana" w:cs="Arial"/>
          <w:color w:val="000000"/>
          <w:sz w:val="14"/>
          <w:szCs w:val="14"/>
          <w:lang w:val="es-CO"/>
        </w:rPr>
      </w:pPr>
      <w:r w:rsidRPr="001F5B10">
        <w:rPr>
          <w:rStyle w:val="Refdenotaalpie"/>
          <w:rFonts w:ascii="Verdana" w:hAnsi="Verdana" w:cs="Arial"/>
          <w:color w:val="000000"/>
          <w:sz w:val="14"/>
          <w:szCs w:val="14"/>
          <w:lang w:val="es-CO"/>
        </w:rPr>
        <w:footnoteRef/>
      </w:r>
      <w:r w:rsidRPr="001F5B10">
        <w:rPr>
          <w:rFonts w:ascii="Verdana" w:hAnsi="Verdana" w:cs="Arial"/>
          <w:color w:val="000000"/>
          <w:sz w:val="14"/>
          <w:szCs w:val="14"/>
          <w:lang w:val="es-CO"/>
        </w:rPr>
        <w:t xml:space="preserve"> </w:t>
      </w:r>
      <w:r w:rsidRPr="001F5B10">
        <w:rPr>
          <w:rFonts w:ascii="Verdana" w:hAnsi="Verdana" w:cs="Arial"/>
          <w:i/>
          <w:color w:val="000000"/>
          <w:sz w:val="14"/>
          <w:szCs w:val="14"/>
          <w:lang w:val="es-CO"/>
        </w:rPr>
        <w:t>Ibid</w:t>
      </w:r>
      <w:r w:rsidRPr="001F5B10">
        <w:rPr>
          <w:rFonts w:ascii="Verdana" w:hAnsi="Verdana" w:cs="Arial"/>
          <w:color w:val="000000"/>
          <w:sz w:val="14"/>
          <w:szCs w:val="14"/>
          <w:lang w:val="es-CO"/>
        </w:rPr>
        <w:t xml:space="preserve">. </w:t>
      </w:r>
    </w:p>
    <w:p w14:paraId="22A250C5" w14:textId="77777777" w:rsidR="00E37D25" w:rsidRPr="001F5B10" w:rsidRDefault="00E37D25" w:rsidP="00E37D25">
      <w:pPr>
        <w:pStyle w:val="Textonotapie"/>
        <w:ind w:firstLine="709"/>
        <w:jc w:val="both"/>
        <w:rPr>
          <w:rFonts w:ascii="Verdana" w:hAnsi="Verdana" w:cs="Arial"/>
          <w:color w:val="000000"/>
          <w:sz w:val="14"/>
          <w:szCs w:val="14"/>
          <w:lang w:val="es-CO"/>
        </w:rPr>
      </w:pPr>
    </w:p>
  </w:footnote>
  <w:footnote w:id="10">
    <w:p w14:paraId="48015255" w14:textId="77777777" w:rsidR="00E37D25" w:rsidRPr="00D30B23" w:rsidRDefault="00E37D25" w:rsidP="00E37D25">
      <w:pPr>
        <w:pStyle w:val="Textonotapie"/>
        <w:ind w:firstLine="709"/>
        <w:jc w:val="both"/>
        <w:rPr>
          <w:rFonts w:ascii="Verdana" w:hAnsi="Verdana" w:cs="Arial"/>
          <w:sz w:val="14"/>
          <w:szCs w:val="14"/>
          <w:lang w:val="es-CO"/>
        </w:rPr>
      </w:pPr>
      <w:r w:rsidRPr="001F5B10">
        <w:rPr>
          <w:rStyle w:val="Refdenotaalpie"/>
          <w:rFonts w:ascii="Verdana" w:hAnsi="Verdana" w:cs="Arial"/>
          <w:sz w:val="14"/>
          <w:szCs w:val="14"/>
        </w:rPr>
        <w:footnoteRef/>
      </w:r>
      <w:r w:rsidRPr="00D30B23">
        <w:rPr>
          <w:rFonts w:ascii="Verdana" w:hAnsi="Verdana" w:cs="Arial"/>
          <w:sz w:val="14"/>
          <w:szCs w:val="14"/>
          <w:lang w:val="es-CO"/>
        </w:rPr>
        <w:t xml:space="preserve"> CORTE CONSTITUCIONAL. Sentencia C-1016 de 2012. M.P. Jorge Iván Palacio. </w:t>
      </w:r>
    </w:p>
    <w:p w14:paraId="75C06CA1" w14:textId="77777777" w:rsidR="00E37D25" w:rsidRPr="00D30B23" w:rsidRDefault="00E37D25" w:rsidP="00E37D25">
      <w:pPr>
        <w:pStyle w:val="Textonotapie"/>
        <w:ind w:firstLine="709"/>
        <w:jc w:val="both"/>
        <w:rPr>
          <w:rFonts w:ascii="Verdana" w:hAnsi="Verdana" w:cs="Arial"/>
          <w:sz w:val="14"/>
          <w:szCs w:val="14"/>
          <w:lang w:val="es-CO"/>
        </w:rPr>
      </w:pPr>
    </w:p>
  </w:footnote>
  <w:footnote w:id="11">
    <w:p w14:paraId="72144FF3" w14:textId="77777777" w:rsidR="00E37D25" w:rsidRPr="001F5B10" w:rsidRDefault="00E37D25" w:rsidP="00E37D25">
      <w:pPr>
        <w:pStyle w:val="Textonotapie"/>
        <w:ind w:firstLine="709"/>
        <w:jc w:val="both"/>
        <w:rPr>
          <w:rFonts w:ascii="Verdana" w:hAnsi="Verdana" w:cs="Arial"/>
          <w:sz w:val="14"/>
          <w:szCs w:val="14"/>
          <w:lang w:val="pt-BR"/>
        </w:rPr>
      </w:pPr>
      <w:r w:rsidRPr="001F5B10">
        <w:rPr>
          <w:rStyle w:val="Refdenotaalpie"/>
          <w:rFonts w:ascii="Verdana" w:hAnsi="Verdana" w:cs="Arial"/>
          <w:sz w:val="14"/>
          <w:szCs w:val="14"/>
        </w:rPr>
        <w:footnoteRef/>
      </w:r>
      <w:r w:rsidRPr="001F5B10">
        <w:rPr>
          <w:rFonts w:ascii="Verdana" w:hAnsi="Verdana" w:cs="Arial"/>
          <w:sz w:val="14"/>
          <w:szCs w:val="14"/>
        </w:rPr>
        <w:t xml:space="preserve"> CONSEJO DE ESTADO. Sección Tercera. Subsección A. Sentencia del 13 de noviembre de 2013. </w:t>
      </w:r>
      <w:r w:rsidRPr="001F5B10">
        <w:rPr>
          <w:rFonts w:ascii="Verdana" w:hAnsi="Verdana" w:cs="Arial"/>
          <w:sz w:val="14"/>
          <w:szCs w:val="14"/>
          <w:lang w:val="pt-BR"/>
        </w:rPr>
        <w:t xml:space="preserve">Rad. 25.646. C.P. Mauricio Fajardo Gómez.  </w:t>
      </w:r>
    </w:p>
  </w:footnote>
  <w:footnote w:id="12">
    <w:p w14:paraId="104C1A09" w14:textId="77777777" w:rsidR="00E37D25" w:rsidRPr="001F5B10" w:rsidRDefault="00E37D25" w:rsidP="00E37D25">
      <w:pPr>
        <w:pStyle w:val="Textonotapie"/>
        <w:ind w:firstLine="709"/>
        <w:jc w:val="both"/>
        <w:rPr>
          <w:rFonts w:ascii="Verdana" w:hAnsi="Verdana" w:cs="Arial"/>
          <w:sz w:val="14"/>
          <w:szCs w:val="14"/>
          <w:lang w:val="pt-BR"/>
        </w:rPr>
      </w:pPr>
      <w:r w:rsidRPr="001F5B10">
        <w:rPr>
          <w:rFonts w:ascii="Verdana" w:hAnsi="Verdana" w:cs="Arial"/>
          <w:sz w:val="14"/>
          <w:szCs w:val="14"/>
          <w:vertAlign w:val="superscript"/>
        </w:rPr>
        <w:footnoteRef/>
      </w:r>
      <w:r w:rsidRPr="001F5B10">
        <w:rPr>
          <w:rFonts w:ascii="Verdana" w:hAnsi="Verdana" w:cs="Arial"/>
          <w:sz w:val="14"/>
          <w:szCs w:val="14"/>
          <w:lang w:val="pt-BR"/>
        </w:rPr>
        <w:t xml:space="preserve"> CORTE CONSTITUCIONAL. Sentencia C-415 de 1994. M.P. Eduardo Cifuentes Muñoz. </w:t>
      </w:r>
    </w:p>
    <w:p w14:paraId="528F8F61" w14:textId="77777777" w:rsidR="00E37D25" w:rsidRPr="001F5B10" w:rsidRDefault="00E37D25" w:rsidP="00E37D25">
      <w:pPr>
        <w:pStyle w:val="Textonotapie"/>
        <w:ind w:firstLine="709"/>
        <w:jc w:val="both"/>
        <w:rPr>
          <w:rFonts w:ascii="Verdana" w:hAnsi="Verdana" w:cs="Arial"/>
          <w:sz w:val="14"/>
          <w:szCs w:val="14"/>
          <w:lang w:val="pt-BR"/>
        </w:rPr>
      </w:pPr>
    </w:p>
  </w:footnote>
  <w:footnote w:id="13">
    <w:p w14:paraId="687C5A59" w14:textId="77777777" w:rsidR="00E37D25" w:rsidRPr="001F5B10" w:rsidRDefault="00E37D25" w:rsidP="00E37D25">
      <w:pPr>
        <w:pStyle w:val="Textonotapie"/>
        <w:ind w:firstLine="709"/>
        <w:jc w:val="both"/>
        <w:rPr>
          <w:rFonts w:ascii="Verdana" w:hAnsi="Verdana" w:cs="Arial"/>
          <w:sz w:val="14"/>
          <w:szCs w:val="14"/>
          <w:lang w:val="pt-BR"/>
        </w:rPr>
      </w:pPr>
      <w:r w:rsidRPr="001F5B10">
        <w:rPr>
          <w:rStyle w:val="Refdenotaalpie"/>
          <w:rFonts w:ascii="Verdana" w:hAnsi="Verdana" w:cs="Arial"/>
          <w:sz w:val="14"/>
          <w:szCs w:val="14"/>
        </w:rPr>
        <w:footnoteRef/>
      </w:r>
      <w:r w:rsidRPr="001F5B10">
        <w:rPr>
          <w:rFonts w:ascii="Verdana" w:hAnsi="Verdana" w:cs="Arial"/>
          <w:sz w:val="14"/>
          <w:szCs w:val="14"/>
          <w:lang w:val="pt-BR"/>
        </w:rPr>
        <w:t xml:space="preserve"> Ibídem. </w:t>
      </w:r>
    </w:p>
  </w:footnote>
  <w:footnote w:id="14">
    <w:p w14:paraId="05A2E792" w14:textId="77777777" w:rsidR="00E37D25" w:rsidRPr="001F5B10" w:rsidRDefault="00E37D25" w:rsidP="00E37D25">
      <w:pPr>
        <w:pStyle w:val="Textonotapie"/>
        <w:ind w:firstLine="709"/>
        <w:jc w:val="both"/>
        <w:rPr>
          <w:rFonts w:ascii="Verdana" w:hAnsi="Verdana" w:cs="Arial"/>
          <w:sz w:val="14"/>
          <w:szCs w:val="14"/>
          <w:lang w:val="pt-BR"/>
        </w:rPr>
      </w:pPr>
    </w:p>
    <w:p w14:paraId="559A7A58" w14:textId="77777777" w:rsidR="00E37D25" w:rsidRPr="001F5B10" w:rsidRDefault="00E37D25" w:rsidP="00E37D25">
      <w:pPr>
        <w:pStyle w:val="Textonotapie"/>
        <w:ind w:firstLine="709"/>
        <w:jc w:val="both"/>
        <w:rPr>
          <w:rFonts w:ascii="Verdana" w:hAnsi="Verdana" w:cs="Arial"/>
          <w:sz w:val="14"/>
          <w:szCs w:val="14"/>
        </w:rPr>
      </w:pPr>
      <w:r w:rsidRPr="001F5B10">
        <w:rPr>
          <w:rStyle w:val="Refdenotaalpie"/>
          <w:rFonts w:ascii="Verdana" w:hAnsi="Verdana" w:cs="Arial"/>
          <w:sz w:val="14"/>
          <w:szCs w:val="14"/>
        </w:rPr>
        <w:footnoteRef/>
      </w:r>
      <w:r w:rsidRPr="001F5B10">
        <w:rPr>
          <w:rFonts w:ascii="Verdana" w:hAnsi="Verdana" w:cs="Arial"/>
          <w:sz w:val="14"/>
          <w:szCs w:val="14"/>
          <w:lang w:val="pt-BR"/>
        </w:rPr>
        <w:t xml:space="preserve"> CORTE CONSTITUCIONAL. </w:t>
      </w:r>
      <w:r w:rsidRPr="001F5B10">
        <w:rPr>
          <w:rFonts w:ascii="Verdana" w:hAnsi="Verdana" w:cs="Arial"/>
          <w:sz w:val="14"/>
          <w:szCs w:val="14"/>
        </w:rPr>
        <w:t xml:space="preserve">Sentencia C-780 de 2001. M.P. Jaime Córdoba Triviño. </w:t>
      </w:r>
    </w:p>
  </w:footnote>
  <w:footnote w:id="15">
    <w:p w14:paraId="2254658D" w14:textId="77777777" w:rsidR="00E37D25" w:rsidRPr="001F5B10" w:rsidRDefault="00E37D25" w:rsidP="00E37D25">
      <w:pPr>
        <w:pStyle w:val="NormalWeb"/>
        <w:spacing w:before="0" w:beforeAutospacing="0" w:after="0" w:afterAutospacing="0"/>
        <w:ind w:firstLine="709"/>
        <w:jc w:val="both"/>
        <w:rPr>
          <w:rFonts w:ascii="Verdana" w:hAnsi="Verdana" w:cs="Arial"/>
          <w:sz w:val="14"/>
          <w:szCs w:val="14"/>
        </w:rPr>
      </w:pPr>
    </w:p>
    <w:p w14:paraId="1AC89510"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Style w:val="Refdenotaalpie"/>
          <w:rFonts w:ascii="Verdana" w:hAnsi="Verdana" w:cs="Arial"/>
          <w:sz w:val="14"/>
          <w:szCs w:val="14"/>
        </w:rPr>
        <w:footnoteRef/>
      </w:r>
      <w:r w:rsidRPr="001F5B10">
        <w:rPr>
          <w:rFonts w:ascii="Verdana" w:hAnsi="Verdana" w:cs="Arial"/>
          <w:sz w:val="14"/>
          <w:szCs w:val="14"/>
        </w:rPr>
        <w:t xml:space="preserve"> </w:t>
      </w:r>
      <w:r w:rsidRPr="001F5B10">
        <w:rPr>
          <w:rFonts w:ascii="Verdana" w:eastAsiaTheme="minorHAnsi" w:hAnsi="Verdana" w:cs="Arial"/>
          <w:sz w:val="14"/>
          <w:szCs w:val="14"/>
          <w:lang w:val="es-ES" w:eastAsia="en-US"/>
        </w:rPr>
        <w:t>Ley 80 de 1993: “Artículo 8: 1o. Son inhábiles para participar en licitaciones o concursos y para celebrar contratos con las entidades estatales: </w:t>
      </w:r>
    </w:p>
    <w:p w14:paraId="1C0B3B31"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a) Las personas que se hallen inhabilitadas para contratar por la Constitución y las leyes. </w:t>
      </w:r>
    </w:p>
    <w:p w14:paraId="75EA7900"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b) Quienes participaron en las licitaciones o concursos o celebraron los contratos de que trata el literal anterior estando inhabilitados. </w:t>
      </w:r>
    </w:p>
    <w:p w14:paraId="3F30E9AA"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c) Quienes dieron lugar a la declaratoria de caducidad. </w:t>
      </w:r>
    </w:p>
    <w:p w14:paraId="5280F18E"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d) Quienes en sentencia judicial hayan sido condenados a la pena accesoria de interdicción de derechos y funciones públicas y quienes hayan sido sancionados disciplinariamente con destitución. </w:t>
      </w:r>
    </w:p>
    <w:p w14:paraId="37BFA369"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e) Quienes sin justa causa se abstengan de suscribir el contrato estatal adjudicado. </w:t>
      </w:r>
    </w:p>
    <w:p w14:paraId="4DECD048"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f) Los servidores públicos. </w:t>
      </w:r>
    </w:p>
    <w:p w14:paraId="10FF2B88"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2835BDED"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30C3E572"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i) Los socios de sociedades de personas a las cuales se haya declarado la caducidad, así como las sociedades de personas de las que aquellos formen parte con posterioridad a dicha declaratoria. </w:t>
      </w:r>
    </w:p>
    <w:p w14:paraId="664610AA"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28FA4A30"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24FCD3A7"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1F5B10">
        <w:rPr>
          <w:rFonts w:ascii="Verdana" w:eastAsiaTheme="minorHAnsi" w:hAnsi="Verdana" w:cs="Arial"/>
          <w:sz w:val="14"/>
          <w:szCs w:val="14"/>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1F5B10">
        <w:rPr>
          <w:rFonts w:ascii="Verdana" w:eastAsiaTheme="minorHAnsi" w:hAnsi="Verdana" w:cs="Arial"/>
          <w:sz w:val="14"/>
          <w:szCs w:val="14"/>
          <w:lang w:val="es-ES" w:eastAsia="en-US"/>
        </w:rPr>
        <w:softHyphen/>
        <w:t>cepción de las sociedades anónimas abiertas. También se considerarán inhabilitadas para contratar, las personas jurídicas sobre las cuales se haya ordenado la suspensión de la perso</w:t>
      </w:r>
      <w:r w:rsidRPr="001F5B10">
        <w:rPr>
          <w:rFonts w:ascii="Verdana" w:eastAsiaTheme="minorHAnsi" w:hAnsi="Verdana" w:cs="Arial"/>
          <w:sz w:val="14"/>
          <w:szCs w:val="14"/>
          <w:lang w:val="es-ES" w:eastAsia="en-US"/>
        </w:rPr>
        <w:softHyphen/>
        <w:t>nería jurídica en los términos de ley, o cuyos representantes legales, ad</w:t>
      </w:r>
      <w:r w:rsidRPr="001F5B10">
        <w:rPr>
          <w:rFonts w:ascii="Verdana" w:eastAsiaTheme="minorHAnsi" w:hAnsi="Verdana" w:cs="Arial"/>
          <w:sz w:val="14"/>
          <w:szCs w:val="14"/>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1F5B10">
        <w:rPr>
          <w:rFonts w:ascii="Verdana" w:eastAsiaTheme="minorHAnsi" w:hAnsi="Verdana" w:cs="Arial"/>
          <w:sz w:val="14"/>
          <w:szCs w:val="14"/>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12507AB3"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w:t>
      </w:r>
    </w:p>
    <w:p w14:paraId="347FCE04"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2o. Tampoco podrán participar en licitaciones o concursos ni celebrar contratos estatales con la entidad respectiva: </w:t>
      </w:r>
    </w:p>
    <w:p w14:paraId="260F30A5"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2FC9DE78"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6E6861BB"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357A2F5B"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2B77899B"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23E6C718"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exempleado público.</w:t>
      </w:r>
    </w:p>
    <w:p w14:paraId="677097A4"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r w:rsidRPr="001F5B10">
        <w:rPr>
          <w:rFonts w:ascii="Verdana" w:eastAsiaTheme="minorHAnsi" w:hAnsi="Verdana" w:cs="Arial"/>
          <w:sz w:val="14"/>
          <w:szCs w:val="14"/>
          <w:lang w:val="es-ES" w:eastAsia="en-US"/>
        </w:rPr>
        <w:t xml:space="preserve">[…]”. </w:t>
      </w:r>
    </w:p>
    <w:p w14:paraId="65766A0F" w14:textId="77777777" w:rsidR="00E37D25" w:rsidRPr="001F5B10" w:rsidRDefault="00E37D25" w:rsidP="00E37D25">
      <w:pPr>
        <w:pStyle w:val="NormalWeb"/>
        <w:spacing w:before="0" w:beforeAutospacing="0" w:after="0" w:afterAutospacing="0"/>
        <w:ind w:firstLine="709"/>
        <w:jc w:val="both"/>
        <w:rPr>
          <w:rFonts w:ascii="Verdana" w:eastAsiaTheme="minorHAnsi" w:hAnsi="Verdana" w:cs="Arial"/>
          <w:sz w:val="14"/>
          <w:szCs w:val="14"/>
          <w:lang w:val="es-ES" w:eastAsia="en-US"/>
        </w:rPr>
      </w:pPr>
    </w:p>
  </w:footnote>
  <w:footnote w:id="16">
    <w:p w14:paraId="0ACFA87B" w14:textId="77777777" w:rsidR="00E37D25" w:rsidRPr="001F5B10" w:rsidRDefault="00E37D25" w:rsidP="00E37D25">
      <w:pPr>
        <w:pStyle w:val="NormalWeb"/>
        <w:spacing w:before="0" w:beforeAutospacing="0" w:after="0" w:afterAutospacing="0"/>
        <w:ind w:firstLine="708"/>
        <w:jc w:val="both"/>
        <w:rPr>
          <w:rFonts w:ascii="Verdana" w:hAnsi="Verdana" w:cs="Arial"/>
          <w:sz w:val="14"/>
          <w:szCs w:val="14"/>
        </w:rPr>
      </w:pPr>
      <w:r w:rsidRPr="001F5B10">
        <w:rPr>
          <w:rStyle w:val="Refdenotaalpie"/>
          <w:rFonts w:ascii="Verdana" w:hAnsi="Verdana" w:cs="Arial"/>
          <w:sz w:val="14"/>
          <w:szCs w:val="14"/>
        </w:rPr>
        <w:footnoteRef/>
      </w:r>
      <w:r w:rsidRPr="001F5B10">
        <w:rPr>
          <w:rFonts w:ascii="Verdana" w:hAnsi="Verdana" w:cs="Arial"/>
          <w:sz w:val="14"/>
          <w:szCs w:val="14"/>
        </w:rPr>
        <w:t xml:space="preserve"> Ley 599 del 2000: “</w:t>
      </w:r>
      <w:r w:rsidRPr="001F5B10">
        <w:rPr>
          <w:rStyle w:val="Textoennegrita"/>
          <w:rFonts w:ascii="Verdana" w:hAnsi="Verdana" w:cs="Arial"/>
          <w:b w:val="0"/>
          <w:bCs w:val="0"/>
          <w:sz w:val="14"/>
          <w:szCs w:val="14"/>
        </w:rPr>
        <w:t>Artículo 44.</w:t>
      </w:r>
      <w:r w:rsidRPr="001F5B10">
        <w:rPr>
          <w:rStyle w:val="Textoennegrita"/>
          <w:rFonts w:ascii="Verdana" w:hAnsi="Verdana" w:cs="Arial"/>
          <w:sz w:val="14"/>
          <w:szCs w:val="14"/>
        </w:rPr>
        <w:t xml:space="preserve"> </w:t>
      </w:r>
      <w:r w:rsidRPr="001F5B10">
        <w:rPr>
          <w:rStyle w:val="nfasis"/>
          <w:rFonts w:ascii="Verdana" w:hAnsi="Verdana" w:cs="Arial"/>
          <w:sz w:val="14"/>
          <w:szCs w:val="14"/>
        </w:rPr>
        <w:t>La inhabilitación para el ejercicio de derechos y funciones públicas</w:t>
      </w:r>
      <w:r w:rsidRPr="001F5B10">
        <w:rPr>
          <w:rFonts w:ascii="Verdana" w:hAnsi="Verdana" w:cs="Arial"/>
          <w:sz w:val="14"/>
          <w:szCs w:val="14"/>
        </w:rPr>
        <w:t>. La pena de inhabilitación para el ejercicio de derechos y funciones públicas priva al penado de la facultad de elegir y ser elegido, del ejercicio de cualquier otro derecho político, función pública, dignidades y honores que confieren las entidades oficiales. </w:t>
      </w:r>
    </w:p>
    <w:p w14:paraId="5B7F20CB" w14:textId="77777777" w:rsidR="00E37D25" w:rsidRPr="001F5B10" w:rsidRDefault="00E37D25" w:rsidP="00E37D25">
      <w:pPr>
        <w:pStyle w:val="NormalWeb"/>
        <w:spacing w:before="0" w:beforeAutospacing="0" w:after="0" w:afterAutospacing="0"/>
        <w:ind w:firstLine="708"/>
        <w:jc w:val="both"/>
        <w:rPr>
          <w:rFonts w:ascii="Verdana" w:hAnsi="Verdana" w:cs="Arial"/>
          <w:sz w:val="14"/>
          <w:szCs w:val="14"/>
        </w:rPr>
      </w:pPr>
      <w:r w:rsidRPr="001F5B10">
        <w:rPr>
          <w:rFonts w:ascii="Verdana" w:hAnsi="Verdana" w:cs="Arial"/>
          <w:sz w:val="14"/>
          <w:szCs w:val="14"/>
        </w:rPr>
        <w:t>[…]</w:t>
      </w:r>
    </w:p>
    <w:p w14:paraId="3719E8BC" w14:textId="77777777" w:rsidR="00E37D25" w:rsidRPr="001F5B10" w:rsidRDefault="00E37D25" w:rsidP="00E37D25">
      <w:pPr>
        <w:pStyle w:val="NormalWeb"/>
        <w:spacing w:before="0" w:beforeAutospacing="0" w:after="0" w:afterAutospacing="0"/>
        <w:ind w:firstLine="708"/>
        <w:jc w:val="both"/>
        <w:rPr>
          <w:rFonts w:ascii="Verdana" w:hAnsi="Verdana" w:cs="Arial"/>
          <w:sz w:val="14"/>
          <w:szCs w:val="14"/>
        </w:rPr>
      </w:pPr>
      <w:r w:rsidRPr="001F5B10">
        <w:rPr>
          <w:rFonts w:ascii="Verdana" w:hAnsi="Verdana" w:cs="Arial"/>
          <w:sz w:val="14"/>
          <w:szCs w:val="14"/>
        </w:rPr>
        <w:t>Artículo 52. Las penas accesorias. Las penas privativas de otros derechos, que pueden imponerse como principales, serán accesorias y las impondrá el Juez cuando tengan relación directa con la realización de la conducta punible, por haber abusado de ellos o haber facilitado su comisión, o cuando la restricción del derecho contribuya a la prevención de conductas similares a la que fue objeto de condena. </w:t>
      </w:r>
    </w:p>
    <w:p w14:paraId="780237BB" w14:textId="77777777" w:rsidR="00E37D25" w:rsidRPr="001F5B10" w:rsidRDefault="00E37D25" w:rsidP="00E37D25">
      <w:pPr>
        <w:spacing w:after="0"/>
        <w:jc w:val="both"/>
        <w:rPr>
          <w:rFonts w:ascii="Verdana" w:eastAsia="Times New Roman" w:hAnsi="Verdana" w:cs="Arial"/>
          <w:sz w:val="14"/>
          <w:szCs w:val="14"/>
          <w:lang w:eastAsia="es-CO"/>
        </w:rPr>
      </w:pPr>
      <w:r w:rsidRPr="001F5B10">
        <w:rPr>
          <w:rFonts w:ascii="Verdana" w:eastAsia="Times New Roman" w:hAnsi="Verdana" w:cs="Arial"/>
          <w:sz w:val="14"/>
          <w:szCs w:val="14"/>
          <w:lang w:eastAsia="es-CO"/>
        </w:rPr>
        <w:t>  </w:t>
      </w:r>
      <w:r w:rsidRPr="001F5B10">
        <w:rPr>
          <w:rFonts w:ascii="Verdana" w:eastAsia="Times New Roman" w:hAnsi="Verdana" w:cs="Arial"/>
          <w:sz w:val="14"/>
          <w:szCs w:val="14"/>
          <w:lang w:eastAsia="es-CO"/>
        </w:rPr>
        <w:tab/>
        <w:t>En la imposición de las penas accesorias se observará estrictamente lo dispuesto en el artículo 59. </w:t>
      </w:r>
    </w:p>
    <w:p w14:paraId="0820ED0F" w14:textId="77777777" w:rsidR="00E37D25" w:rsidRPr="001F5B10" w:rsidRDefault="00E37D25" w:rsidP="00E37D25">
      <w:pPr>
        <w:spacing w:after="0"/>
        <w:ind w:firstLine="708"/>
        <w:jc w:val="both"/>
        <w:rPr>
          <w:rFonts w:ascii="Verdana" w:eastAsia="Times New Roman" w:hAnsi="Verdana" w:cs="Arial"/>
          <w:sz w:val="14"/>
          <w:szCs w:val="14"/>
          <w:lang w:eastAsia="es-CO"/>
        </w:rPr>
      </w:pPr>
      <w:r w:rsidRPr="001F5B10">
        <w:rPr>
          <w:rFonts w:ascii="Verdana" w:eastAsia="Times New Roman" w:hAnsi="Verdana" w:cs="Arial"/>
          <w:sz w:val="14"/>
          <w:szCs w:val="14"/>
          <w:lang w:eastAsia="es-CO"/>
        </w:rPr>
        <w:t>En todo caso, la pena de prisión conllevará la accesoria de inhabilitación para el ejercicio de derechos y funciones públicas, por un tiempo igual al de la pena a que accede y hasta por una tercera parte más, sin exceder el máximo fijado en la Ley, sin perjuicio de la excepción a que alude el inciso 2 del artículo 51”. </w:t>
      </w:r>
    </w:p>
    <w:p w14:paraId="7233101E" w14:textId="77777777" w:rsidR="00E37D25" w:rsidRPr="001F5B10" w:rsidRDefault="00E37D25" w:rsidP="00E37D25">
      <w:pPr>
        <w:spacing w:after="0"/>
        <w:ind w:firstLine="708"/>
        <w:jc w:val="both"/>
        <w:rPr>
          <w:rFonts w:ascii="Verdana" w:hAnsi="Verdana" w:cs="Arial"/>
          <w:sz w:val="14"/>
          <w:szCs w:val="14"/>
        </w:rPr>
      </w:pPr>
      <w:r w:rsidRPr="001F5B10">
        <w:rPr>
          <w:rFonts w:ascii="Verdana" w:hAnsi="Verdana" w:cs="Arial"/>
          <w:sz w:val="14"/>
          <w:szCs w:val="14"/>
        </w:rPr>
        <w:t xml:space="preserve"> </w:t>
      </w:r>
    </w:p>
  </w:footnote>
  <w:footnote w:id="17">
    <w:p w14:paraId="2BFE4D87" w14:textId="77777777" w:rsidR="00E37D25" w:rsidRPr="001F5B10" w:rsidRDefault="00E37D25" w:rsidP="00E37D25">
      <w:pPr>
        <w:shd w:val="clear" w:color="auto" w:fill="FFFFFF"/>
        <w:spacing w:after="0"/>
        <w:ind w:firstLine="709"/>
        <w:jc w:val="both"/>
        <w:rPr>
          <w:rFonts w:ascii="Verdana" w:eastAsia="Times New Roman" w:hAnsi="Verdana" w:cs="Arial"/>
          <w:sz w:val="14"/>
          <w:szCs w:val="14"/>
          <w:lang w:eastAsia="es-CO"/>
        </w:rPr>
      </w:pPr>
      <w:r w:rsidRPr="001F5B10">
        <w:rPr>
          <w:rStyle w:val="Refdenotaalpie"/>
          <w:rFonts w:ascii="Verdana" w:hAnsi="Verdana" w:cs="Arial"/>
          <w:sz w:val="14"/>
          <w:szCs w:val="14"/>
        </w:rPr>
        <w:footnoteRef/>
      </w:r>
      <w:r w:rsidRPr="001F5B10">
        <w:rPr>
          <w:rFonts w:ascii="Verdana" w:hAnsi="Verdana" w:cs="Arial"/>
          <w:sz w:val="14"/>
          <w:szCs w:val="14"/>
        </w:rPr>
        <w:t xml:space="preserve"> Ley 1952 de 2019: “</w:t>
      </w:r>
      <w:r w:rsidRPr="001F5B10">
        <w:rPr>
          <w:rFonts w:ascii="Verdana" w:eastAsia="Times New Roman" w:hAnsi="Verdana" w:cs="Arial"/>
          <w:sz w:val="14"/>
          <w:szCs w:val="14"/>
          <w:lang w:eastAsia="es-CO"/>
        </w:rPr>
        <w:t>Artículo</w:t>
      </w:r>
      <w:bookmarkStart w:id="1" w:name="49"/>
      <w:bookmarkEnd w:id="1"/>
      <w:r w:rsidRPr="001F5B10">
        <w:rPr>
          <w:rFonts w:ascii="Verdana" w:eastAsia="Times New Roman" w:hAnsi="Verdana" w:cs="Arial"/>
          <w:sz w:val="14"/>
          <w:szCs w:val="14"/>
          <w:lang w:eastAsia="es-CO"/>
        </w:rPr>
        <w:t> 49. definición de las sanciones.</w:t>
      </w:r>
    </w:p>
    <w:p w14:paraId="55F10CFB" w14:textId="77777777" w:rsidR="00E37D25" w:rsidRPr="001F5B10" w:rsidRDefault="00E37D25" w:rsidP="00E37D25">
      <w:pPr>
        <w:shd w:val="clear" w:color="auto" w:fill="FFFFFF"/>
        <w:spacing w:after="0"/>
        <w:ind w:firstLine="709"/>
        <w:jc w:val="both"/>
        <w:rPr>
          <w:rFonts w:ascii="Verdana" w:eastAsia="Times New Roman" w:hAnsi="Verdana" w:cs="Arial"/>
          <w:sz w:val="14"/>
          <w:szCs w:val="14"/>
          <w:lang w:eastAsia="es-CO"/>
        </w:rPr>
      </w:pPr>
      <w:r w:rsidRPr="001F5B10">
        <w:rPr>
          <w:rFonts w:ascii="Verdana" w:eastAsia="Times New Roman" w:hAnsi="Verdana" w:cs="Arial"/>
          <w:sz w:val="14"/>
          <w:szCs w:val="14"/>
          <w:lang w:eastAsia="es-CO"/>
        </w:rPr>
        <w:t>1. La destitución e inhabilidad general implica:</w:t>
      </w:r>
    </w:p>
    <w:p w14:paraId="1B8BEA54" w14:textId="77777777" w:rsidR="00E37D25" w:rsidRPr="001F5B10" w:rsidRDefault="00E37D25" w:rsidP="00E37D25">
      <w:pPr>
        <w:shd w:val="clear" w:color="auto" w:fill="FFFFFF"/>
        <w:spacing w:after="0"/>
        <w:ind w:firstLine="709"/>
        <w:jc w:val="both"/>
        <w:rPr>
          <w:rFonts w:ascii="Verdana" w:eastAsia="Times New Roman" w:hAnsi="Verdana" w:cs="Arial"/>
          <w:sz w:val="14"/>
          <w:szCs w:val="14"/>
          <w:lang w:eastAsia="es-CO"/>
        </w:rPr>
      </w:pPr>
      <w:r w:rsidRPr="001F5B10">
        <w:rPr>
          <w:rFonts w:ascii="Verdana" w:eastAsia="Times New Roman" w:hAnsi="Verdana" w:cs="Arial"/>
          <w:sz w:val="14"/>
          <w:szCs w:val="14"/>
          <w:lang w:eastAsia="es-CO"/>
        </w:rPr>
        <w:t>a) La terminación de la relación del servidor público o del particular con la administración, sin que importe que sea de libre nombramiento y remoción, de carrera o elección; o</w:t>
      </w:r>
    </w:p>
    <w:p w14:paraId="61A956A1" w14:textId="77777777" w:rsidR="00E37D25" w:rsidRPr="001F5B10" w:rsidRDefault="00E37D25" w:rsidP="00E37D25">
      <w:pPr>
        <w:shd w:val="clear" w:color="auto" w:fill="FFFFFF"/>
        <w:spacing w:after="0"/>
        <w:ind w:firstLine="709"/>
        <w:jc w:val="both"/>
        <w:rPr>
          <w:rFonts w:ascii="Verdana" w:eastAsia="Times New Roman" w:hAnsi="Verdana" w:cs="Arial"/>
          <w:sz w:val="14"/>
          <w:szCs w:val="14"/>
          <w:lang w:eastAsia="es-CO"/>
        </w:rPr>
      </w:pPr>
      <w:r w:rsidRPr="001F5B10">
        <w:rPr>
          <w:rFonts w:ascii="Verdana" w:eastAsia="Times New Roman" w:hAnsi="Verdana" w:cs="Arial"/>
          <w:sz w:val="14"/>
          <w:szCs w:val="14"/>
          <w:lang w:eastAsia="es-CO"/>
        </w:rPr>
        <w:t>b) La desvinculación del cargo, en los casos previstos en la Constitución Política y la ley; o</w:t>
      </w:r>
    </w:p>
    <w:p w14:paraId="386D4E95" w14:textId="77777777" w:rsidR="00E37D25" w:rsidRPr="001F5B10" w:rsidRDefault="00E37D25" w:rsidP="00E37D25">
      <w:pPr>
        <w:shd w:val="clear" w:color="auto" w:fill="FFFFFF"/>
        <w:spacing w:after="0"/>
        <w:ind w:firstLine="709"/>
        <w:jc w:val="both"/>
        <w:rPr>
          <w:rFonts w:ascii="Verdana" w:eastAsia="Times New Roman" w:hAnsi="Verdana" w:cs="Arial"/>
          <w:sz w:val="14"/>
          <w:szCs w:val="14"/>
          <w:lang w:eastAsia="es-CO"/>
        </w:rPr>
      </w:pPr>
      <w:r w:rsidRPr="001F5B10">
        <w:rPr>
          <w:rFonts w:ascii="Verdana" w:eastAsia="Times New Roman" w:hAnsi="Verdana" w:cs="Arial"/>
          <w:sz w:val="14"/>
          <w:szCs w:val="14"/>
          <w:lang w:eastAsia="es-CO"/>
        </w:rPr>
        <w:t>c) La terminación del contrato de trabajo; y</w:t>
      </w:r>
    </w:p>
    <w:p w14:paraId="546C79C7" w14:textId="77777777" w:rsidR="00E37D25" w:rsidRPr="001F5B10" w:rsidRDefault="00E37D25" w:rsidP="00E37D25">
      <w:pPr>
        <w:shd w:val="clear" w:color="auto" w:fill="FFFFFF"/>
        <w:spacing w:after="0"/>
        <w:ind w:firstLine="709"/>
        <w:jc w:val="both"/>
        <w:rPr>
          <w:rFonts w:ascii="Verdana" w:eastAsia="Times New Roman" w:hAnsi="Verdana" w:cs="Arial"/>
          <w:sz w:val="14"/>
          <w:szCs w:val="14"/>
          <w:lang w:eastAsia="es-CO"/>
        </w:rPr>
      </w:pPr>
      <w:r w:rsidRPr="001F5B10">
        <w:rPr>
          <w:rFonts w:ascii="Verdana" w:eastAsia="Times New Roman" w:hAnsi="Verdana" w:cs="Arial"/>
          <w:sz w:val="14"/>
          <w:szCs w:val="14"/>
          <w:lang w:eastAsia="es-CO"/>
        </w:rPr>
        <w:t>d) En todos los casos anteriores, la imposibilidad de ejercer la función pública en cualquier cargo o función, por el termino señalado en el fallo, y la exclusión del escalafón o carrera […]”</w:t>
      </w:r>
    </w:p>
    <w:p w14:paraId="6088A45A" w14:textId="77777777" w:rsidR="00E37D25" w:rsidRPr="001F5B10" w:rsidRDefault="00E37D25" w:rsidP="00E37D25">
      <w:pPr>
        <w:pStyle w:val="Textonotapie"/>
        <w:ind w:firstLine="708"/>
        <w:jc w:val="both"/>
        <w:rPr>
          <w:rFonts w:ascii="Verdana" w:hAnsi="Verdana"/>
          <w:sz w:val="14"/>
          <w:szCs w:val="14"/>
        </w:rPr>
      </w:pPr>
      <w:r w:rsidRPr="001F5B10">
        <w:rPr>
          <w:rFonts w:ascii="Verdana" w:hAnsi="Verdana"/>
          <w:sz w:val="14"/>
          <w:szCs w:val="14"/>
        </w:rPr>
        <w:t xml:space="preserve"> </w:t>
      </w:r>
    </w:p>
  </w:footnote>
  <w:footnote w:id="18">
    <w:p w14:paraId="75160176" w14:textId="77777777" w:rsidR="00E37D25" w:rsidRPr="001F5B10" w:rsidRDefault="00E37D25" w:rsidP="00E37D25">
      <w:pPr>
        <w:pStyle w:val="Textonotapie"/>
        <w:ind w:firstLine="708"/>
        <w:jc w:val="both"/>
        <w:rPr>
          <w:rFonts w:ascii="Verdana" w:hAnsi="Verdana" w:cs="Arial"/>
          <w:sz w:val="14"/>
          <w:szCs w:val="14"/>
          <w:lang w:val="es-ES"/>
        </w:rPr>
      </w:pPr>
      <w:r w:rsidRPr="001F5B10">
        <w:rPr>
          <w:rStyle w:val="Refdenotaalpie"/>
          <w:rFonts w:ascii="Verdana" w:hAnsi="Verdana" w:cs="Arial"/>
          <w:sz w:val="14"/>
          <w:szCs w:val="14"/>
        </w:rPr>
        <w:footnoteRef/>
      </w:r>
      <w:r w:rsidRPr="001F5B10">
        <w:rPr>
          <w:rFonts w:ascii="Verdana" w:hAnsi="Verdana" w:cs="Arial"/>
          <w:sz w:val="14"/>
          <w:szCs w:val="14"/>
        </w:rPr>
        <w:t xml:space="preserve"> </w:t>
      </w:r>
      <w:r w:rsidRPr="001F5B10">
        <w:rPr>
          <w:rFonts w:ascii="Verdana" w:hAnsi="Verdana" w:cs="Arial"/>
          <w:sz w:val="14"/>
          <w:szCs w:val="14"/>
          <w:lang w:val="es-ES"/>
        </w:rPr>
        <w:t xml:space="preserve">Corte Constitucional. Sentencia C-489 de 26 de septiembre de 1996. Magistrado Ponente: Antonio Barrera Carbonell. </w:t>
      </w:r>
    </w:p>
  </w:footnote>
  <w:footnote w:id="19">
    <w:p w14:paraId="6842F3DE" w14:textId="77777777" w:rsidR="00E37D25" w:rsidRPr="001F5B10" w:rsidRDefault="00E37D25" w:rsidP="00E37D25">
      <w:pPr>
        <w:pStyle w:val="Textonotapie"/>
        <w:ind w:firstLine="709"/>
        <w:jc w:val="both"/>
        <w:rPr>
          <w:rFonts w:ascii="Verdana" w:eastAsia="Calibri" w:hAnsi="Verdana" w:cs="Arial"/>
          <w:bCs/>
          <w:color w:val="000000" w:themeColor="text1"/>
          <w:sz w:val="14"/>
          <w:szCs w:val="14"/>
        </w:rPr>
      </w:pPr>
      <w:r w:rsidRPr="001F5B10">
        <w:rPr>
          <w:rStyle w:val="Refdenotaalpie"/>
          <w:rFonts w:ascii="Verdana" w:hAnsi="Verdana" w:cs="Arial"/>
          <w:sz w:val="14"/>
          <w:szCs w:val="14"/>
        </w:rPr>
        <w:footnoteRef/>
      </w:r>
      <w:r w:rsidRPr="001F5B10">
        <w:rPr>
          <w:rFonts w:ascii="Verdana" w:hAnsi="Verdana" w:cs="Arial"/>
          <w:sz w:val="14"/>
          <w:szCs w:val="14"/>
        </w:rPr>
        <w:t xml:space="preserve"> </w:t>
      </w:r>
      <w:r w:rsidRPr="001F5B10">
        <w:rPr>
          <w:rFonts w:ascii="Verdana" w:eastAsia="Calibri" w:hAnsi="Verdana" w:cs="Arial"/>
          <w:bCs/>
          <w:color w:val="000000" w:themeColor="text1"/>
          <w:sz w:val="14"/>
          <w:szCs w:val="14"/>
        </w:rPr>
        <w:t>El Parágrafo 2º. 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4" w:name="_Hlk79776115"/>
      <w:r w:rsidRPr="001F5B10">
        <w:rPr>
          <w:rFonts w:ascii="Verdana" w:eastAsia="Calibri" w:hAnsi="Verdana" w:cs="Arial"/>
          <w:bCs/>
          <w:color w:val="000000" w:themeColor="text1"/>
          <w:sz w:val="14"/>
          <w:szCs w:val="14"/>
        </w:rPr>
        <w:t>: “El Gobierno nacional reglamentará el procedimiento de la cesión del contrato de que trata este artículo, en término no mayor a seis (6) meses.”</w:t>
      </w:r>
    </w:p>
    <w:p w14:paraId="6B9269FB" w14:textId="77777777" w:rsidR="00E37D25" w:rsidRPr="001F5B10" w:rsidRDefault="00E37D25" w:rsidP="00E37D25">
      <w:pPr>
        <w:pStyle w:val="Textonotapie"/>
        <w:ind w:firstLine="709"/>
        <w:jc w:val="both"/>
        <w:rPr>
          <w:rFonts w:ascii="Verdana" w:hAnsi="Verdana" w:cs="Arial"/>
          <w:sz w:val="14"/>
          <w:szCs w:val="14"/>
        </w:rPr>
      </w:pPr>
    </w:p>
    <w:bookmarkEnd w:id="4"/>
  </w:footnote>
  <w:footnote w:id="20">
    <w:p w14:paraId="6AF8B652" w14:textId="77777777" w:rsidR="00E37D25" w:rsidRPr="001F5B10" w:rsidRDefault="00E37D25" w:rsidP="00E37D25">
      <w:pPr>
        <w:pStyle w:val="Textonotapie"/>
        <w:ind w:firstLine="708"/>
        <w:jc w:val="both"/>
        <w:rPr>
          <w:rFonts w:ascii="Verdana" w:hAnsi="Verdana" w:cs="Arial"/>
          <w:sz w:val="14"/>
          <w:szCs w:val="14"/>
          <w:lang w:val="pt-BR"/>
        </w:rPr>
      </w:pPr>
      <w:r w:rsidRPr="001F5B10">
        <w:rPr>
          <w:rStyle w:val="Refdenotaalpie"/>
          <w:rFonts w:ascii="Verdana" w:hAnsi="Verdana" w:cs="Arial"/>
          <w:sz w:val="14"/>
          <w:szCs w:val="14"/>
        </w:rPr>
        <w:footnoteRef/>
      </w:r>
      <w:r w:rsidRPr="001F5B10">
        <w:rPr>
          <w:rFonts w:ascii="Verdana" w:hAnsi="Verdana" w:cs="Arial"/>
          <w:sz w:val="14"/>
          <w:szCs w:val="14"/>
          <w:lang w:val="pt-BR"/>
        </w:rPr>
        <w:t xml:space="preserve"> Sentencia de la Corte Constitucional. C-221 de 1996. Magistrado Ponente: José Gregorio Hernández Galindo. </w:t>
      </w:r>
    </w:p>
    <w:p w14:paraId="6277569B" w14:textId="77777777" w:rsidR="00E37D25" w:rsidRPr="001F5B10" w:rsidRDefault="00E37D25" w:rsidP="00E37D25">
      <w:pPr>
        <w:pStyle w:val="Textonotapie"/>
        <w:ind w:firstLine="708"/>
        <w:jc w:val="both"/>
        <w:rPr>
          <w:rFonts w:ascii="Verdana" w:hAnsi="Verdana" w:cs="Arial"/>
          <w:sz w:val="14"/>
          <w:szCs w:val="14"/>
          <w:lang w:val="pt-BR"/>
        </w:rPr>
      </w:pPr>
    </w:p>
  </w:footnote>
  <w:footnote w:id="21">
    <w:p w14:paraId="17426B07" w14:textId="77777777" w:rsidR="00E37D25" w:rsidRPr="001F5B10" w:rsidRDefault="00E37D25" w:rsidP="00E37D25">
      <w:pPr>
        <w:pStyle w:val="Textonotapie"/>
        <w:ind w:firstLine="708"/>
        <w:jc w:val="both"/>
        <w:rPr>
          <w:rFonts w:ascii="Verdana" w:hAnsi="Verdana" w:cs="Arial"/>
          <w:sz w:val="14"/>
          <w:szCs w:val="14"/>
        </w:rPr>
      </w:pPr>
      <w:r w:rsidRPr="001F5B10">
        <w:rPr>
          <w:rStyle w:val="Refdenotaalpie"/>
          <w:rFonts w:ascii="Verdana" w:hAnsi="Verdana" w:cs="Arial"/>
          <w:sz w:val="14"/>
          <w:szCs w:val="14"/>
        </w:rPr>
        <w:footnoteRef/>
      </w:r>
      <w:r w:rsidRPr="001F5B10">
        <w:rPr>
          <w:rFonts w:ascii="Verdana" w:hAnsi="Verdana" w:cs="Arial"/>
          <w:sz w:val="14"/>
          <w:szCs w:val="14"/>
        </w:rPr>
        <w:t xml:space="preserve"> 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w:t>
      </w:r>
      <w:proofErr w:type="gramStart"/>
      <w:r w:rsidRPr="001F5B10">
        <w:rPr>
          <w:rFonts w:ascii="Verdana" w:hAnsi="Verdana" w:cs="Arial"/>
          <w:sz w:val="14"/>
          <w:szCs w:val="14"/>
        </w:rPr>
        <w:t>cesionario .</w:t>
      </w:r>
      <w:proofErr w:type="gramEnd"/>
      <w:r w:rsidRPr="001F5B10">
        <w:rPr>
          <w:rFonts w:ascii="Verdana" w:hAnsi="Verdana" w:cs="Arial"/>
          <w:sz w:val="14"/>
          <w:szCs w:val="14"/>
        </w:rPr>
        <w:t xml:space="preserve">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p w14:paraId="6A10A28A" w14:textId="77777777" w:rsidR="00E37D25" w:rsidRPr="001F5B10" w:rsidRDefault="00E37D25" w:rsidP="00E37D25">
      <w:pPr>
        <w:pStyle w:val="Textonotapie"/>
        <w:ind w:firstLine="708"/>
        <w:jc w:val="both"/>
        <w:rPr>
          <w:rFonts w:ascii="Verdana" w:hAnsi="Verdana"/>
          <w:sz w:val="14"/>
          <w:szCs w:val="14"/>
        </w:rPr>
      </w:pPr>
    </w:p>
  </w:footnote>
  <w:footnote w:id="22">
    <w:p w14:paraId="1B386E6A" w14:textId="77777777" w:rsidR="00E37D25" w:rsidRPr="001F5B10" w:rsidRDefault="00E37D25" w:rsidP="00E37D25">
      <w:pPr>
        <w:pStyle w:val="Textonotapie"/>
        <w:ind w:firstLine="709"/>
        <w:jc w:val="both"/>
        <w:rPr>
          <w:rFonts w:ascii="Verdana" w:hAnsi="Verdana" w:cs="Arial"/>
          <w:sz w:val="14"/>
          <w:szCs w:val="14"/>
          <w:lang w:val="es-ES"/>
        </w:rPr>
      </w:pPr>
      <w:r w:rsidRPr="001F5B10">
        <w:rPr>
          <w:rStyle w:val="Refdenotaalpie"/>
          <w:rFonts w:ascii="Verdana" w:hAnsi="Verdana" w:cs="Arial"/>
          <w:sz w:val="14"/>
          <w:szCs w:val="14"/>
        </w:rPr>
        <w:footnoteRef/>
      </w:r>
      <w:r w:rsidRPr="001F5B10">
        <w:rPr>
          <w:rFonts w:ascii="Verdana" w:hAnsi="Verdana" w:cs="Arial"/>
          <w:sz w:val="14"/>
          <w:szCs w:val="14"/>
        </w:rPr>
        <w:t xml:space="preserve"> Aunque el artículo 9 de la Ley 80 de 1993 no regula el tema de las inhabilidades e incompatibilidades sobrevinientes entre la adjudicación del contrato y su perfeccionamiento, es necesario tener en cuenta que el artículo 9, inciso cuarto, de la Ley 1150 de 2007 establece que «[…] si dentro del plazo comprendido entre la adjudicación del contrato y la suscripción del mismo, sobreviene una inhabilidad o incompatibilidad o si se demuestra que el acto se obtuvo por medios ilegales, [el acto de adjudicación] podrá ser revocado, caso en el cual, la entidad podrá aplicar lo previsto en el inciso final del numeral 12 del artículo 30 de la Ley 80 de 1993» (Corchetes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089A9" w14:textId="77777777" w:rsidR="00E37D25" w:rsidRDefault="00E37D2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5F987F1" wp14:editId="40E0F308">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0D84284" wp14:editId="537C75C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CDDF83A" w14:textId="77777777" w:rsidR="00E37D25" w:rsidRDefault="00E37D25">
    <w:pPr>
      <w:pStyle w:val="Encabezado"/>
    </w:pPr>
  </w:p>
  <w:p w14:paraId="7A88AF1F" w14:textId="77777777" w:rsidR="00E37D25" w:rsidRDefault="00E37D25" w:rsidP="004A305D">
    <w:pPr>
      <w:spacing w:after="0"/>
      <w:rPr>
        <w:rFonts w:ascii="Verdana" w:hAnsi="Verdana"/>
        <w:b/>
        <w:bCs/>
      </w:rPr>
    </w:pPr>
  </w:p>
  <w:p w14:paraId="68B3213C" w14:textId="77777777" w:rsidR="00E37D25" w:rsidRPr="004A305D" w:rsidRDefault="00E37D25" w:rsidP="00B01B1A">
    <w:pPr>
      <w:spacing w:after="0" w:line="120" w:lineRule="auto"/>
      <w:rPr>
        <w:rFonts w:ascii="Century Gothic" w:eastAsia="Geo" w:hAnsi="Century Gothic" w:cs="Geo"/>
        <w:sz w:val="16"/>
        <w:szCs w:val="16"/>
        <w:lang w:eastAsia="es-CO"/>
      </w:rPr>
    </w:pPr>
  </w:p>
  <w:p w14:paraId="3B0EE712" w14:textId="77777777" w:rsidR="00E37D25" w:rsidRDefault="00E37D2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D25"/>
    <w:rsid w:val="00274079"/>
    <w:rsid w:val="00BB3391"/>
    <w:rsid w:val="00DE628D"/>
    <w:rsid w:val="00E37D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FC16CE"/>
  <w15:chartTrackingRefBased/>
  <w15:docId w15:val="{0DAE4C1E-DFCD-4B4C-A4D4-15EC69ED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D25"/>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7D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7D25"/>
    <w:rPr>
      <w:kern w:val="0"/>
      <w14:ligatures w14:val="none"/>
    </w:rPr>
  </w:style>
  <w:style w:type="paragraph" w:styleId="Piedepgina">
    <w:name w:val="footer"/>
    <w:basedOn w:val="Normal"/>
    <w:link w:val="PiedepginaCar"/>
    <w:uiPriority w:val="99"/>
    <w:unhideWhenUsed/>
    <w:rsid w:val="00E37D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37D2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37D2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37D2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37D2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37D25"/>
    <w:rPr>
      <w:vertAlign w:val="superscript"/>
    </w:rPr>
  </w:style>
  <w:style w:type="character" w:customStyle="1" w:styleId="normaltextrun">
    <w:name w:val="normaltextrun"/>
    <w:basedOn w:val="Fuentedeprrafopredeter"/>
    <w:rsid w:val="00E37D25"/>
  </w:style>
  <w:style w:type="table" w:styleId="Tablaconcuadrcula">
    <w:name w:val="Table Grid"/>
    <w:basedOn w:val="Tablanormal"/>
    <w:uiPriority w:val="39"/>
    <w:qFormat/>
    <w:rsid w:val="00E37D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E37D25"/>
    <w:pPr>
      <w:ind w:left="720"/>
      <w:contextualSpacing/>
    </w:pPr>
    <w:rPr>
      <w:rFonts w:ascii="Geomanist Light" w:hAnsi="Geomanist Light"/>
      <w:lang w:val="es-ES"/>
    </w:rPr>
  </w:style>
  <w:style w:type="character" w:styleId="Hipervnculo">
    <w:name w:val="Hyperlink"/>
    <w:basedOn w:val="Fuentedeprrafopredeter"/>
    <w:uiPriority w:val="99"/>
    <w:unhideWhenUsed/>
    <w:rsid w:val="00E37D25"/>
    <w:rPr>
      <w:color w:val="0000FF"/>
      <w:u w:val="single"/>
    </w:rPr>
  </w:style>
  <w:style w:type="paragraph" w:customStyle="1" w:styleId="paragraph">
    <w:name w:val="paragraph"/>
    <w:basedOn w:val="Normal"/>
    <w:rsid w:val="00E37D2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E37D25"/>
  </w:style>
  <w:style w:type="paragraph" w:styleId="NormalWeb">
    <w:name w:val="Normal (Web)"/>
    <w:basedOn w:val="Normal"/>
    <w:uiPriority w:val="99"/>
    <w:unhideWhenUsed/>
    <w:rsid w:val="00E37D25"/>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E37D2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37D25"/>
    <w:rPr>
      <w:rFonts w:ascii="Geomanist Light" w:hAnsi="Geomanist Light"/>
      <w:kern w:val="0"/>
      <w:lang w:val="es-ES"/>
      <w14:ligatures w14:val="none"/>
    </w:rPr>
  </w:style>
  <w:style w:type="character" w:styleId="Textoennegrita">
    <w:name w:val="Strong"/>
    <w:basedOn w:val="Fuentedeprrafopredeter"/>
    <w:uiPriority w:val="22"/>
    <w:qFormat/>
    <w:rsid w:val="00E37D25"/>
    <w:rPr>
      <w:b/>
      <w:bCs/>
    </w:rPr>
  </w:style>
  <w:style w:type="character" w:styleId="nfasis">
    <w:name w:val="Emphasis"/>
    <w:basedOn w:val="Fuentedeprrafopredeter"/>
    <w:uiPriority w:val="20"/>
    <w:qFormat/>
    <w:rsid w:val="00E37D25"/>
    <w:rPr>
      <w:i/>
      <w:iCs/>
    </w:rPr>
  </w:style>
  <w:style w:type="paragraph" w:styleId="Sinespaciado">
    <w:name w:val="No Spacing"/>
    <w:aliases w:val="No Indent"/>
    <w:uiPriority w:val="3"/>
    <w:qFormat/>
    <w:rsid w:val="00E37D25"/>
    <w:pPr>
      <w:spacing w:after="0" w:line="240" w:lineRule="auto"/>
    </w:pPr>
    <w:rPr>
      <w:kern w:val="0"/>
      <w:sz w:val="24"/>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faturapublicos@derechoypropiedad.com"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latoria.colombiacompra.gov.co/"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www.secretariasenado.gov.co/senado/basedoc/ley_0080_1993.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6C25AE-53B3-41C3-9586-9BF91E55F362}"/>
</file>

<file path=customXml/itemProps2.xml><?xml version="1.0" encoding="utf-8"?>
<ds:datastoreItem xmlns:ds="http://schemas.openxmlformats.org/officeDocument/2006/customXml" ds:itemID="{FC8F23FA-129B-4B72-8E76-D67A9912084F}"/>
</file>

<file path=customXml/itemProps3.xml><?xml version="1.0" encoding="utf-8"?>
<ds:datastoreItem xmlns:ds="http://schemas.openxmlformats.org/officeDocument/2006/customXml" ds:itemID="{A8FBBD6C-C527-4F6F-B291-0FF159BD6E1A}"/>
</file>

<file path=docProps/app.xml><?xml version="1.0" encoding="utf-8"?>
<Properties xmlns="http://schemas.openxmlformats.org/officeDocument/2006/extended-properties" xmlns:vt="http://schemas.openxmlformats.org/officeDocument/2006/docPropsVTypes">
  <Template>Normal</Template>
  <TotalTime>2</TotalTime>
  <Pages>24</Pages>
  <Words>8011</Words>
  <Characters>44063</Characters>
  <Application>Microsoft Office Word</Application>
  <DocSecurity>0</DocSecurity>
  <Lines>367</Lines>
  <Paragraphs>103</Paragraphs>
  <ScaleCrop>false</ScaleCrop>
  <Company/>
  <LinksUpToDate>false</LinksUpToDate>
  <CharactersWithSpaces>51971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2025-08-04T22:25:00Z</dcterms:created>
  <dcterms:modified xsi:type="dcterms:W3CDTF">2025-08-11T21:46:00Z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