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124A4" w14:textId="77777777" w:rsidR="00075CB7" w:rsidRPr="00075CB7" w:rsidRDefault="00075CB7" w:rsidP="00303712">
      <w:pPr>
        <w:jc w:val="both"/>
        <w:rPr>
          <w:rFonts w:ascii="Arial" w:hAnsi="Arial" w:cs="Arial"/>
          <w:b/>
          <w:bCs/>
          <w:sz w:val="20"/>
          <w:szCs w:val="20"/>
        </w:rPr>
      </w:pPr>
      <w:r w:rsidRPr="00075CB7">
        <w:rPr>
          <w:rFonts w:ascii="Arial" w:hAnsi="Arial" w:cs="Arial"/>
          <w:b/>
          <w:bCs/>
          <w:sz w:val="20"/>
          <w:szCs w:val="20"/>
        </w:rPr>
        <w:t xml:space="preserve">REQUISITOS HABILITANTES – Definición – Diferencia con los criterios de evaluación </w:t>
      </w:r>
    </w:p>
    <w:p w14:paraId="16E76C4A" w14:textId="77777777" w:rsidR="00075CB7" w:rsidRPr="00075CB7" w:rsidRDefault="00075CB7" w:rsidP="00303712">
      <w:pPr>
        <w:jc w:val="both"/>
        <w:rPr>
          <w:rFonts w:ascii="Arial" w:hAnsi="Arial" w:cs="Arial"/>
          <w:sz w:val="20"/>
          <w:szCs w:val="20"/>
        </w:rPr>
      </w:pPr>
    </w:p>
    <w:p w14:paraId="47321C03" w14:textId="77777777" w:rsidR="00075CB7" w:rsidRPr="00075CB7" w:rsidRDefault="00075CB7" w:rsidP="00303712">
      <w:pPr>
        <w:spacing w:after="120"/>
        <w:jc w:val="both"/>
        <w:rPr>
          <w:rFonts w:ascii="Arial" w:eastAsia="Calibri" w:hAnsi="Arial" w:cs="Arial"/>
          <w:color w:val="000000" w:themeColor="text1"/>
          <w:sz w:val="20"/>
          <w:szCs w:val="20"/>
          <w:lang w:val="es-ES_tradnl"/>
        </w:rPr>
      </w:pPr>
      <w:r w:rsidRPr="00075CB7">
        <w:rPr>
          <w:rFonts w:ascii="Arial" w:eastAsia="Calibri" w:hAnsi="Arial" w:cs="Arial"/>
          <w:color w:val="000000" w:themeColor="text1"/>
          <w:sz w:val="20"/>
          <w:szCs w:val="20"/>
          <w:lang w:val="es-ES_tradnl"/>
        </w:rPr>
        <w:t xml:space="preserve">Los </w:t>
      </w:r>
      <w:r w:rsidRPr="00075CB7">
        <w:rPr>
          <w:rFonts w:ascii="Arial" w:eastAsia="Calibri" w:hAnsi="Arial" w:cs="Arial"/>
          <w:i/>
          <w:iCs/>
          <w:color w:val="000000" w:themeColor="text1"/>
          <w:sz w:val="20"/>
          <w:szCs w:val="20"/>
          <w:lang w:val="es-ES_tradnl"/>
        </w:rPr>
        <w:t>requisitos habilitantes</w:t>
      </w:r>
      <w:r w:rsidRPr="00075CB7">
        <w:rPr>
          <w:rFonts w:ascii="Arial" w:eastAsia="Calibri" w:hAnsi="Arial" w:cs="Arial"/>
          <w:color w:val="000000" w:themeColor="text1"/>
          <w:sz w:val="20"/>
          <w:szCs w:val="20"/>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075CB7">
        <w:rPr>
          <w:rFonts w:ascii="Arial" w:eastAsia="Calibri" w:hAnsi="Arial" w:cs="Arial"/>
          <w:i/>
          <w:iCs/>
          <w:color w:val="000000" w:themeColor="text1"/>
          <w:sz w:val="20"/>
          <w:szCs w:val="20"/>
          <w:lang w:val="es-ES_tradnl"/>
        </w:rPr>
        <w:t>criterios de evaluación</w:t>
      </w:r>
      <w:r w:rsidRPr="00075CB7">
        <w:rPr>
          <w:rFonts w:ascii="Arial" w:eastAsia="Calibri" w:hAnsi="Arial" w:cs="Arial"/>
          <w:color w:val="000000" w:themeColor="text1"/>
          <w:sz w:val="20"/>
          <w:szCs w:val="20"/>
          <w:lang w:val="es-ES_tradnl"/>
        </w:rPr>
        <w:t xml:space="preserve"> –también conocidos como </w:t>
      </w:r>
      <w:r w:rsidRPr="00075CB7">
        <w:rPr>
          <w:rFonts w:ascii="Arial" w:eastAsia="Calibri" w:hAnsi="Arial" w:cs="Arial"/>
          <w:i/>
          <w:iCs/>
          <w:color w:val="000000" w:themeColor="text1"/>
          <w:sz w:val="20"/>
          <w:szCs w:val="20"/>
          <w:lang w:val="es-ES_tradnl"/>
        </w:rPr>
        <w:t>criterios de calificación</w:t>
      </w:r>
      <w:r w:rsidRPr="00075CB7">
        <w:rPr>
          <w:rFonts w:ascii="Arial" w:eastAsia="Calibri" w:hAnsi="Arial" w:cs="Arial"/>
          <w:color w:val="000000" w:themeColor="text1"/>
          <w:sz w:val="20"/>
          <w:szCs w:val="20"/>
          <w:lang w:val="es-ES_tradnl"/>
        </w:rPr>
        <w:t>– en que estos son los factores definidos por la entidad estatal para la asignación de puntaje en el momento de la comparación de las ofertas, y que, a partir de su ponderación, permiten establecer el orden de elegibilidad y, por ende, la propuesta ganadora. […]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w:t>
      </w:r>
    </w:p>
    <w:p w14:paraId="53FDD6DC" w14:textId="77777777" w:rsidR="00303712" w:rsidRDefault="00303712" w:rsidP="00303712">
      <w:pPr>
        <w:spacing w:after="120"/>
        <w:jc w:val="both"/>
        <w:rPr>
          <w:rFonts w:ascii="Arial" w:hAnsi="Arial" w:cs="Arial"/>
          <w:b/>
          <w:bCs/>
          <w:sz w:val="20"/>
          <w:szCs w:val="20"/>
        </w:rPr>
      </w:pPr>
    </w:p>
    <w:p w14:paraId="32EF0183" w14:textId="35244E31" w:rsidR="00075CB7" w:rsidRPr="00075CB7" w:rsidRDefault="00075CB7" w:rsidP="00303712">
      <w:pPr>
        <w:spacing w:after="120"/>
        <w:jc w:val="both"/>
        <w:rPr>
          <w:rFonts w:ascii="Arial" w:eastAsia="Calibri" w:hAnsi="Arial" w:cs="Arial"/>
          <w:color w:val="000000" w:themeColor="text1"/>
          <w:sz w:val="20"/>
          <w:szCs w:val="20"/>
          <w:lang w:val="es-ES_tradnl"/>
        </w:rPr>
      </w:pPr>
      <w:r w:rsidRPr="00075CB7">
        <w:rPr>
          <w:rFonts w:ascii="Arial" w:hAnsi="Arial" w:cs="Arial"/>
          <w:b/>
          <w:bCs/>
          <w:sz w:val="20"/>
          <w:szCs w:val="20"/>
        </w:rPr>
        <w:t xml:space="preserve">REQUISITOS HABILITANTES - </w:t>
      </w:r>
      <w:r w:rsidR="0018365C">
        <w:rPr>
          <w:rFonts w:ascii="Arial" w:hAnsi="Arial" w:cs="Arial"/>
          <w:b/>
          <w:bCs/>
          <w:color w:val="000000" w:themeColor="text1"/>
          <w:sz w:val="20"/>
          <w:szCs w:val="20"/>
          <w:lang w:val="es-ES_tradnl"/>
        </w:rPr>
        <w:t>C</w:t>
      </w:r>
      <w:r w:rsidRPr="00075CB7">
        <w:rPr>
          <w:rFonts w:ascii="Arial" w:hAnsi="Arial" w:cs="Arial"/>
          <w:b/>
          <w:bCs/>
          <w:color w:val="000000" w:themeColor="text1"/>
          <w:sz w:val="20"/>
          <w:szCs w:val="20"/>
          <w:lang w:val="es-ES_tradnl"/>
        </w:rPr>
        <w:t>riterios obligatorios para participar en los procedimientos de selección contractual</w:t>
      </w:r>
    </w:p>
    <w:p w14:paraId="75CDA572" w14:textId="77777777" w:rsidR="00075CB7" w:rsidRPr="00075CB7" w:rsidRDefault="00075CB7" w:rsidP="00303712">
      <w:pPr>
        <w:spacing w:after="120"/>
        <w:jc w:val="both"/>
        <w:rPr>
          <w:rFonts w:ascii="Arial" w:eastAsia="Calibri" w:hAnsi="Arial" w:cs="Arial"/>
          <w:color w:val="000000" w:themeColor="text1"/>
          <w:sz w:val="20"/>
          <w:szCs w:val="20"/>
          <w:lang w:val="es-ES_tradnl"/>
        </w:rPr>
      </w:pPr>
      <w:r w:rsidRPr="00075CB7">
        <w:rPr>
          <w:rFonts w:ascii="Arial" w:eastAsia="Calibri" w:hAnsi="Arial" w:cs="Arial"/>
          <w:color w:val="000000" w:themeColor="text1"/>
          <w:sz w:val="20"/>
          <w:szCs w:val="20"/>
          <w:lang w:val="es-ES_tradnl"/>
        </w:rPr>
        <w:t xml:space="preserve">Específicamente, el numeral 1º del artículo referido establece que en los procesos de selección de contratistas serán objeto de verificación, como requisitos habilitantes, </w:t>
      </w:r>
      <w:r w:rsidRPr="00075CB7">
        <w:rPr>
          <w:rFonts w:ascii="Arial" w:eastAsia="Calibri" w:hAnsi="Arial" w:cs="Arial"/>
          <w:i/>
          <w:iCs/>
          <w:color w:val="000000" w:themeColor="text1"/>
          <w:sz w:val="20"/>
          <w:szCs w:val="20"/>
          <w:lang w:val="es-ES_tradnl"/>
        </w:rPr>
        <w:t>entre otros</w:t>
      </w:r>
      <w:r w:rsidRPr="00075CB7">
        <w:rPr>
          <w:rFonts w:ascii="Arial" w:eastAsia="Calibri" w:hAnsi="Arial" w:cs="Arial"/>
          <w:color w:val="000000" w:themeColor="text1"/>
          <w:sz w:val="20"/>
          <w:szCs w:val="20"/>
          <w:lang w:val="es-ES_tradnl"/>
        </w:rPr>
        <w:t xml:space="preserve">, los siguientes: i) la capacidad jurídica; ii) la experiencia; iii) la capacidad financiera y iv) la capacidad de organización. […] </w:t>
      </w:r>
      <w:r w:rsidRPr="00075CB7">
        <w:rPr>
          <w:rFonts w:ascii="Arial" w:hAnsi="Arial" w:cs="Arial"/>
          <w:color w:val="000000" w:themeColor="text1"/>
          <w:sz w:val="20"/>
          <w:szCs w:val="20"/>
          <w:lang w:val="es-ES_tradnl"/>
        </w:rPr>
        <w:t xml:space="preserve">Una vez fijados los requisitos habilitantes por la entidad estatal, quienes presenten ofertas deben </w:t>
      </w:r>
      <w:r w:rsidRPr="00075CB7">
        <w:rPr>
          <w:rFonts w:ascii="Arial" w:hAnsi="Arial" w:cs="Arial"/>
          <w:bCs/>
          <w:i/>
          <w:iCs/>
          <w:color w:val="000000" w:themeColor="text1"/>
          <w:sz w:val="20"/>
          <w:szCs w:val="20"/>
          <w:lang w:val="es-ES_tradnl"/>
        </w:rPr>
        <w:t>acreditar</w:t>
      </w:r>
      <w:r w:rsidRPr="00075CB7">
        <w:rPr>
          <w:rFonts w:ascii="Arial" w:hAnsi="Arial" w:cs="Arial"/>
          <w:color w:val="000000" w:themeColor="text1"/>
          <w:sz w:val="20"/>
          <w:szCs w:val="20"/>
          <w:lang w:val="es-ES_tradnl"/>
        </w:rPr>
        <w:t xml:space="preserve"> que cumplen con los mismos, pues, en el evento contrario, las propuestas deberán ser rechazadas. </w:t>
      </w:r>
      <w:r w:rsidRPr="00075CB7">
        <w:rPr>
          <w:rFonts w:ascii="Arial" w:eastAsia="Calibri" w:hAnsi="Arial" w:cs="Arial"/>
          <w:color w:val="000000" w:themeColor="text1"/>
          <w:sz w:val="20"/>
          <w:szCs w:val="20"/>
          <w:lang w:val="es-ES_tradnl"/>
        </w:rPr>
        <w:t xml:space="preserve">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 </w:t>
      </w:r>
    </w:p>
    <w:p w14:paraId="6D50F023" w14:textId="77777777" w:rsidR="00075CB7" w:rsidRPr="00075CB7" w:rsidRDefault="00075CB7" w:rsidP="00303712">
      <w:pPr>
        <w:rPr>
          <w:rFonts w:ascii="Arial" w:hAnsi="Arial" w:cs="Arial"/>
          <w:sz w:val="20"/>
          <w:szCs w:val="20"/>
          <w:lang w:val="es-ES_tradnl"/>
        </w:rPr>
      </w:pPr>
    </w:p>
    <w:p w14:paraId="551953F1" w14:textId="77777777" w:rsidR="00075CB7" w:rsidRPr="00BA515C" w:rsidRDefault="00075CB7" w:rsidP="00303712">
      <w:pPr>
        <w:rPr>
          <w:rFonts w:ascii="Arial" w:hAnsi="Arial" w:cs="Arial"/>
          <w:b/>
          <w:bCs/>
          <w:sz w:val="20"/>
          <w:szCs w:val="20"/>
          <w:lang w:val="es-ES_tradnl"/>
        </w:rPr>
      </w:pPr>
      <w:r w:rsidRPr="00BA515C">
        <w:rPr>
          <w:rFonts w:ascii="Arial" w:hAnsi="Arial" w:cs="Arial"/>
          <w:b/>
          <w:bCs/>
          <w:sz w:val="20"/>
          <w:szCs w:val="20"/>
          <w:lang w:val="es-ES_tradnl"/>
        </w:rPr>
        <w:t xml:space="preserve">REQUISITOS HABILITANTES – Carácter enunciativo </w:t>
      </w:r>
    </w:p>
    <w:p w14:paraId="47B62DAD" w14:textId="77777777" w:rsidR="00075CB7" w:rsidRPr="00075CB7" w:rsidRDefault="00075CB7" w:rsidP="00303712">
      <w:pPr>
        <w:rPr>
          <w:rFonts w:ascii="Arial" w:hAnsi="Arial" w:cs="Arial"/>
          <w:sz w:val="20"/>
          <w:szCs w:val="20"/>
          <w:lang w:val="es-ES_tradnl"/>
        </w:rPr>
      </w:pPr>
    </w:p>
    <w:p w14:paraId="18FA9F16" w14:textId="4C28A8DD" w:rsidR="00075CB7" w:rsidRPr="00075CB7" w:rsidRDefault="00075CB7" w:rsidP="00303712">
      <w:pPr>
        <w:jc w:val="both"/>
        <w:rPr>
          <w:rFonts w:ascii="Arial" w:hAnsi="Arial" w:cs="Arial"/>
          <w:color w:val="000000" w:themeColor="text1"/>
          <w:sz w:val="20"/>
          <w:szCs w:val="20"/>
          <w:lang w:val="es-ES_tradnl"/>
        </w:rPr>
      </w:pPr>
      <w:r w:rsidRPr="00075CB7">
        <w:rPr>
          <w:rFonts w:ascii="Arial" w:hAnsi="Arial" w:cs="Arial"/>
          <w:color w:val="000000" w:themeColor="text1"/>
          <w:sz w:val="20"/>
          <w:szCs w:val="20"/>
          <w:lang w:val="es-ES_tradnl"/>
        </w:rPr>
        <w:t xml:space="preserve">[c]orresponde a las entidades estatales, durante la etapa de planeación del contrato estatal, estudiar y </w:t>
      </w:r>
      <w:r w:rsidRPr="00075CB7">
        <w:rPr>
          <w:rFonts w:ascii="Arial" w:hAnsi="Arial" w:cs="Arial"/>
          <w:bCs/>
          <w:iCs/>
          <w:color w:val="000000" w:themeColor="text1"/>
          <w:sz w:val="20"/>
          <w:szCs w:val="20"/>
          <w:lang w:val="es-ES_tradnl"/>
        </w:rPr>
        <w:t>determinar</w:t>
      </w:r>
      <w:r w:rsidRPr="00075CB7">
        <w:rPr>
          <w:rFonts w:ascii="Arial" w:hAnsi="Arial" w:cs="Arial"/>
          <w:color w:val="000000" w:themeColor="text1"/>
          <w:sz w:val="20"/>
          <w:szCs w:val="20"/>
          <w:lang w:val="es-ES_tradnl"/>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075CB7">
        <w:rPr>
          <w:rFonts w:ascii="Arial" w:hAnsi="Arial" w:cs="Arial"/>
          <w:i/>
          <w:iCs/>
          <w:color w:val="000000" w:themeColor="text1"/>
          <w:sz w:val="20"/>
          <w:szCs w:val="20"/>
          <w:lang w:val="es-ES_tradnl"/>
        </w:rPr>
        <w:t>riesgos</w:t>
      </w:r>
      <w:r w:rsidRPr="00075CB7">
        <w:rPr>
          <w:rFonts w:ascii="Arial" w:hAnsi="Arial" w:cs="Arial"/>
          <w:color w:val="000000" w:themeColor="text1"/>
          <w:sz w:val="20"/>
          <w:szCs w:val="20"/>
          <w:lang w:val="es-ES_tradnl"/>
        </w:rPr>
        <w:t xml:space="preserve"> </w:t>
      </w:r>
      <w:r w:rsidRPr="00075CB7">
        <w:rPr>
          <w:rFonts w:ascii="Arial" w:hAnsi="Arial" w:cs="Arial"/>
          <w:i/>
          <w:iCs/>
          <w:color w:val="000000" w:themeColor="text1"/>
          <w:sz w:val="20"/>
          <w:szCs w:val="20"/>
          <w:lang w:val="es-ES_tradnl"/>
        </w:rPr>
        <w:t>asociados al contrato</w:t>
      </w:r>
      <w:r w:rsidRPr="00075CB7">
        <w:rPr>
          <w:rFonts w:ascii="Arial" w:hAnsi="Arial" w:cs="Arial"/>
          <w:color w:val="000000" w:themeColor="text1"/>
          <w:sz w:val="20"/>
          <w:szCs w:val="20"/>
          <w:lang w:val="es-ES_tradnl"/>
        </w:rPr>
        <w:t>,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w:t>
      </w:r>
    </w:p>
    <w:p w14:paraId="61B5DCEA" w14:textId="77777777" w:rsidR="00075CB7" w:rsidRPr="00075CB7" w:rsidRDefault="00075CB7" w:rsidP="00303712">
      <w:pPr>
        <w:jc w:val="both"/>
        <w:rPr>
          <w:rFonts w:ascii="Arial" w:hAnsi="Arial" w:cs="Arial"/>
          <w:color w:val="000000" w:themeColor="text1"/>
          <w:sz w:val="20"/>
          <w:szCs w:val="20"/>
          <w:lang w:val="es-ES_tradnl"/>
        </w:rPr>
      </w:pPr>
    </w:p>
    <w:p w14:paraId="18E8F99E" w14:textId="21EA6BC4" w:rsidR="00075CB7" w:rsidRPr="00075CB7" w:rsidRDefault="00075CB7" w:rsidP="00303712">
      <w:pPr>
        <w:tabs>
          <w:tab w:val="left" w:pos="0"/>
        </w:tabs>
        <w:jc w:val="both"/>
        <w:rPr>
          <w:rFonts w:ascii="Arial" w:eastAsia="Calibri" w:hAnsi="Arial" w:cs="Arial"/>
          <w:b/>
          <w:color w:val="000000" w:themeColor="text1"/>
          <w:sz w:val="20"/>
          <w:szCs w:val="20"/>
          <w:lang w:val="es-ES_tradnl"/>
        </w:rPr>
      </w:pPr>
      <w:r w:rsidRPr="00075CB7">
        <w:rPr>
          <w:rFonts w:ascii="Arial" w:hAnsi="Arial" w:cs="Arial"/>
          <w:b/>
          <w:bCs/>
          <w:color w:val="000000" w:themeColor="text1"/>
          <w:sz w:val="20"/>
          <w:szCs w:val="20"/>
          <w:lang w:val="es-ES_tradnl"/>
        </w:rPr>
        <w:t>REQUISITOS HABILITANTES</w:t>
      </w:r>
      <w:r w:rsidRPr="00075CB7">
        <w:rPr>
          <w:rFonts w:ascii="Arial" w:hAnsi="Arial" w:cs="Arial"/>
          <w:color w:val="000000" w:themeColor="text1"/>
          <w:sz w:val="20"/>
          <w:szCs w:val="20"/>
          <w:lang w:val="es-ES_tradnl"/>
        </w:rPr>
        <w:t xml:space="preserve"> - </w:t>
      </w:r>
      <w:r w:rsidR="00FA7962">
        <w:rPr>
          <w:rFonts w:ascii="Arial" w:eastAsia="Calibri" w:hAnsi="Arial" w:cs="Arial"/>
          <w:b/>
          <w:color w:val="000000" w:themeColor="text1"/>
          <w:sz w:val="20"/>
          <w:szCs w:val="20"/>
          <w:lang w:val="es-ES_tradnl"/>
        </w:rPr>
        <w:t>A</w:t>
      </w:r>
      <w:r w:rsidRPr="00075CB7">
        <w:rPr>
          <w:rFonts w:ascii="Arial" w:eastAsia="Calibri" w:hAnsi="Arial" w:cs="Arial"/>
          <w:b/>
          <w:color w:val="000000" w:themeColor="text1"/>
          <w:sz w:val="20"/>
          <w:szCs w:val="20"/>
          <w:lang w:val="es-ES_tradnl"/>
        </w:rPr>
        <w:t>utonomía de la voluntad de las entidades estatales para establecerlos</w:t>
      </w:r>
    </w:p>
    <w:p w14:paraId="33CA5F86" w14:textId="77777777" w:rsidR="00075CB7" w:rsidRPr="00075CB7" w:rsidRDefault="00075CB7" w:rsidP="00303712">
      <w:pPr>
        <w:spacing w:before="120" w:after="120"/>
        <w:jc w:val="both"/>
        <w:rPr>
          <w:rFonts w:ascii="Arial" w:hAnsi="Arial" w:cs="Arial"/>
          <w:color w:val="000000" w:themeColor="text1"/>
          <w:sz w:val="20"/>
          <w:szCs w:val="20"/>
          <w:lang w:val="es-ES_tradnl"/>
        </w:rPr>
      </w:pPr>
      <w:r w:rsidRPr="00075CB7">
        <w:rPr>
          <w:rFonts w:ascii="Arial" w:hAnsi="Arial" w:cs="Arial"/>
          <w:color w:val="000000" w:themeColor="text1"/>
          <w:sz w:val="20"/>
          <w:szCs w:val="20"/>
          <w:lang w:val="es-ES_tradnl"/>
        </w:rPr>
        <w:t xml:space="preserve">El </w:t>
      </w:r>
      <w:r w:rsidRPr="00075CB7">
        <w:rPr>
          <w:rFonts w:ascii="Arial" w:hAnsi="Arial" w:cs="Arial"/>
          <w:i/>
          <w:iCs/>
          <w:color w:val="000000" w:themeColor="text1"/>
          <w:sz w:val="20"/>
          <w:szCs w:val="20"/>
          <w:lang w:val="es-ES_tradnl"/>
        </w:rPr>
        <w:t>principio de autonomía de la voluntad</w:t>
      </w:r>
      <w:r w:rsidRPr="00075CB7">
        <w:rPr>
          <w:rFonts w:ascii="Arial" w:hAnsi="Arial" w:cs="Arial"/>
          <w:color w:val="000000" w:themeColor="text1"/>
          <w:sz w:val="20"/>
          <w:szCs w:val="20"/>
          <w:lang w:val="es-ES_tradnl"/>
        </w:rPr>
        <w:t xml:space="preserve">, reconocido en los artículos 13, 32 y 40 de la Ley 80 de 1993 para las entidades sometidas a esta, y en el artículo 1602 del Código Civil, para las exceptuadas </w:t>
      </w:r>
      <w:r w:rsidRPr="00075CB7">
        <w:rPr>
          <w:rFonts w:ascii="Arial" w:hAnsi="Arial" w:cs="Arial"/>
          <w:color w:val="000000" w:themeColor="text1"/>
          <w:sz w:val="20"/>
          <w:szCs w:val="20"/>
          <w:lang w:val="es-ES_tradnl"/>
        </w:rPr>
        <w:lastRenderedPageBreak/>
        <w:t>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5DBBB24E" w14:textId="77777777" w:rsidR="006C11AC" w:rsidRDefault="006C11AC" w:rsidP="00075CB7">
      <w:pPr>
        <w:rPr>
          <w:rFonts w:ascii="Arial" w:hAnsi="Arial" w:cs="Arial"/>
          <w:sz w:val="20"/>
          <w:szCs w:val="20"/>
          <w:lang w:val="es-MX" w:eastAsia="es-ES_tradnl"/>
        </w:rPr>
      </w:pPr>
    </w:p>
    <w:p w14:paraId="7AF0FCE7" w14:textId="0A232734" w:rsidR="00075CB7" w:rsidRDefault="00075CB7" w:rsidP="00C63119">
      <w:pPr>
        <w:jc w:val="right"/>
        <w:rPr>
          <w:rFonts w:ascii="Arial" w:hAnsi="Arial" w:cs="Arial"/>
          <w:sz w:val="20"/>
          <w:szCs w:val="20"/>
          <w:lang w:val="es-MX" w:eastAsia="es-ES_tradnl"/>
        </w:rPr>
      </w:pPr>
    </w:p>
    <w:p w14:paraId="12837BA2" w14:textId="77777777" w:rsidR="0018365C" w:rsidRDefault="0018365C" w:rsidP="00C63119">
      <w:pPr>
        <w:jc w:val="right"/>
        <w:rPr>
          <w:rFonts w:ascii="Arial" w:hAnsi="Arial" w:cs="Arial"/>
          <w:sz w:val="20"/>
          <w:szCs w:val="20"/>
          <w:lang w:val="es-MX" w:eastAsia="es-ES_tradnl"/>
        </w:rPr>
      </w:pPr>
    </w:p>
    <w:p w14:paraId="152109C4" w14:textId="77777777" w:rsidR="0018365C" w:rsidRDefault="0018365C" w:rsidP="00C63119">
      <w:pPr>
        <w:jc w:val="right"/>
        <w:rPr>
          <w:rFonts w:ascii="Arial" w:hAnsi="Arial" w:cs="Arial"/>
          <w:sz w:val="20"/>
          <w:szCs w:val="20"/>
          <w:lang w:val="es-MX" w:eastAsia="es-ES_tradnl"/>
        </w:rPr>
      </w:pPr>
    </w:p>
    <w:p w14:paraId="68B0AB64" w14:textId="77777777" w:rsidR="0018365C" w:rsidRDefault="0018365C" w:rsidP="00C63119">
      <w:pPr>
        <w:jc w:val="right"/>
        <w:rPr>
          <w:rFonts w:ascii="Arial" w:hAnsi="Arial" w:cs="Arial"/>
          <w:sz w:val="20"/>
          <w:szCs w:val="20"/>
          <w:lang w:val="es-MX" w:eastAsia="es-ES_tradnl"/>
        </w:rPr>
      </w:pPr>
    </w:p>
    <w:p w14:paraId="461761DF" w14:textId="77777777" w:rsidR="0018365C" w:rsidRDefault="0018365C" w:rsidP="00C63119">
      <w:pPr>
        <w:jc w:val="right"/>
        <w:rPr>
          <w:rFonts w:ascii="Arial" w:hAnsi="Arial" w:cs="Arial"/>
          <w:sz w:val="20"/>
          <w:szCs w:val="20"/>
          <w:lang w:val="es-MX" w:eastAsia="es-ES_tradnl"/>
        </w:rPr>
      </w:pPr>
    </w:p>
    <w:p w14:paraId="6FD54016" w14:textId="77777777" w:rsidR="0018365C" w:rsidRDefault="0018365C" w:rsidP="00C63119">
      <w:pPr>
        <w:jc w:val="right"/>
        <w:rPr>
          <w:rFonts w:ascii="Arial" w:hAnsi="Arial" w:cs="Arial"/>
          <w:sz w:val="20"/>
          <w:szCs w:val="20"/>
          <w:lang w:val="es-MX" w:eastAsia="es-ES_tradnl"/>
        </w:rPr>
      </w:pPr>
    </w:p>
    <w:p w14:paraId="7A3A1DB4" w14:textId="77777777" w:rsidR="0018365C" w:rsidRDefault="0018365C" w:rsidP="00C63119">
      <w:pPr>
        <w:jc w:val="right"/>
        <w:rPr>
          <w:rFonts w:ascii="Arial" w:hAnsi="Arial" w:cs="Arial"/>
          <w:sz w:val="20"/>
          <w:szCs w:val="20"/>
          <w:lang w:val="es-MX" w:eastAsia="es-ES_tradnl"/>
        </w:rPr>
      </w:pPr>
    </w:p>
    <w:p w14:paraId="7A695E65" w14:textId="77777777" w:rsidR="0018365C" w:rsidRDefault="0018365C" w:rsidP="00C63119">
      <w:pPr>
        <w:jc w:val="right"/>
        <w:rPr>
          <w:rFonts w:ascii="Arial" w:hAnsi="Arial" w:cs="Arial"/>
          <w:sz w:val="20"/>
          <w:szCs w:val="20"/>
          <w:lang w:val="es-MX" w:eastAsia="es-ES_tradnl"/>
        </w:rPr>
      </w:pPr>
    </w:p>
    <w:p w14:paraId="2A1DE593" w14:textId="77777777" w:rsidR="0018365C" w:rsidRDefault="0018365C" w:rsidP="00C63119">
      <w:pPr>
        <w:jc w:val="right"/>
        <w:rPr>
          <w:rFonts w:ascii="Arial" w:hAnsi="Arial" w:cs="Arial"/>
          <w:sz w:val="20"/>
          <w:szCs w:val="20"/>
          <w:lang w:val="es-MX" w:eastAsia="es-ES_tradnl"/>
        </w:rPr>
      </w:pPr>
    </w:p>
    <w:p w14:paraId="787BEC95" w14:textId="77777777" w:rsidR="0018365C" w:rsidRDefault="0018365C" w:rsidP="00C63119">
      <w:pPr>
        <w:jc w:val="right"/>
        <w:rPr>
          <w:rFonts w:ascii="Arial" w:hAnsi="Arial" w:cs="Arial"/>
          <w:sz w:val="20"/>
          <w:szCs w:val="20"/>
          <w:lang w:val="es-MX" w:eastAsia="es-ES_tradnl"/>
        </w:rPr>
      </w:pPr>
    </w:p>
    <w:p w14:paraId="3A01E3F7" w14:textId="77777777" w:rsidR="0018365C" w:rsidRDefault="0018365C" w:rsidP="00C63119">
      <w:pPr>
        <w:jc w:val="right"/>
        <w:rPr>
          <w:rFonts w:ascii="Arial" w:hAnsi="Arial" w:cs="Arial"/>
          <w:sz w:val="20"/>
          <w:szCs w:val="20"/>
          <w:lang w:val="es-MX" w:eastAsia="es-ES_tradnl"/>
        </w:rPr>
      </w:pPr>
    </w:p>
    <w:p w14:paraId="7039B3B9" w14:textId="77777777" w:rsidR="0018365C" w:rsidRDefault="0018365C" w:rsidP="00C63119">
      <w:pPr>
        <w:jc w:val="right"/>
        <w:rPr>
          <w:rFonts w:ascii="Arial" w:hAnsi="Arial" w:cs="Arial"/>
          <w:sz w:val="20"/>
          <w:szCs w:val="20"/>
          <w:lang w:val="es-MX" w:eastAsia="es-ES_tradnl"/>
        </w:rPr>
      </w:pPr>
    </w:p>
    <w:p w14:paraId="609016EB" w14:textId="77777777" w:rsidR="0018365C" w:rsidRDefault="0018365C" w:rsidP="00C63119">
      <w:pPr>
        <w:jc w:val="right"/>
        <w:rPr>
          <w:rFonts w:ascii="Arial" w:hAnsi="Arial" w:cs="Arial"/>
          <w:sz w:val="20"/>
          <w:szCs w:val="20"/>
          <w:lang w:val="es-MX" w:eastAsia="es-ES_tradnl"/>
        </w:rPr>
      </w:pPr>
    </w:p>
    <w:p w14:paraId="3190E3AD" w14:textId="77777777" w:rsidR="0018365C" w:rsidRDefault="0018365C" w:rsidP="00C63119">
      <w:pPr>
        <w:jc w:val="right"/>
        <w:rPr>
          <w:rFonts w:ascii="Arial" w:hAnsi="Arial" w:cs="Arial"/>
          <w:sz w:val="20"/>
          <w:szCs w:val="20"/>
          <w:lang w:val="es-MX" w:eastAsia="es-ES_tradnl"/>
        </w:rPr>
      </w:pPr>
    </w:p>
    <w:p w14:paraId="0E36EB0C" w14:textId="77777777" w:rsidR="0018365C" w:rsidRDefault="0018365C" w:rsidP="00C63119">
      <w:pPr>
        <w:jc w:val="right"/>
        <w:rPr>
          <w:rFonts w:ascii="Arial" w:hAnsi="Arial" w:cs="Arial"/>
          <w:sz w:val="20"/>
          <w:szCs w:val="20"/>
          <w:lang w:val="es-MX" w:eastAsia="es-ES_tradnl"/>
        </w:rPr>
      </w:pPr>
    </w:p>
    <w:p w14:paraId="35938AA3" w14:textId="77777777" w:rsidR="0018365C" w:rsidRDefault="0018365C" w:rsidP="00C63119">
      <w:pPr>
        <w:jc w:val="right"/>
        <w:rPr>
          <w:rFonts w:ascii="Arial" w:hAnsi="Arial" w:cs="Arial"/>
          <w:sz w:val="20"/>
          <w:szCs w:val="20"/>
          <w:lang w:val="es-MX" w:eastAsia="es-ES_tradnl"/>
        </w:rPr>
      </w:pPr>
    </w:p>
    <w:p w14:paraId="1B3F8262" w14:textId="77777777" w:rsidR="0018365C" w:rsidRDefault="0018365C" w:rsidP="00C63119">
      <w:pPr>
        <w:jc w:val="right"/>
        <w:rPr>
          <w:rFonts w:ascii="Arial" w:hAnsi="Arial" w:cs="Arial"/>
          <w:sz w:val="20"/>
          <w:szCs w:val="20"/>
          <w:lang w:val="es-MX" w:eastAsia="es-ES_tradnl"/>
        </w:rPr>
      </w:pPr>
    </w:p>
    <w:p w14:paraId="62AA8A50" w14:textId="77777777" w:rsidR="0018365C" w:rsidRDefault="0018365C" w:rsidP="00C63119">
      <w:pPr>
        <w:jc w:val="right"/>
        <w:rPr>
          <w:rFonts w:ascii="Arial" w:hAnsi="Arial" w:cs="Arial"/>
          <w:sz w:val="20"/>
          <w:szCs w:val="20"/>
          <w:lang w:val="es-MX" w:eastAsia="es-ES_tradnl"/>
        </w:rPr>
      </w:pPr>
    </w:p>
    <w:p w14:paraId="4571404F" w14:textId="77777777" w:rsidR="0018365C" w:rsidRDefault="0018365C" w:rsidP="00C63119">
      <w:pPr>
        <w:jc w:val="right"/>
        <w:rPr>
          <w:rFonts w:ascii="Arial" w:hAnsi="Arial" w:cs="Arial"/>
          <w:sz w:val="20"/>
          <w:szCs w:val="20"/>
          <w:lang w:val="es-MX" w:eastAsia="es-ES_tradnl"/>
        </w:rPr>
      </w:pPr>
    </w:p>
    <w:p w14:paraId="6ABFD371" w14:textId="77777777" w:rsidR="0018365C" w:rsidRDefault="0018365C" w:rsidP="00C63119">
      <w:pPr>
        <w:jc w:val="right"/>
        <w:rPr>
          <w:rFonts w:ascii="Arial" w:hAnsi="Arial" w:cs="Arial"/>
          <w:sz w:val="20"/>
          <w:szCs w:val="20"/>
          <w:lang w:val="es-MX" w:eastAsia="es-ES_tradnl"/>
        </w:rPr>
      </w:pPr>
    </w:p>
    <w:p w14:paraId="20E9B86F" w14:textId="77777777" w:rsidR="0018365C" w:rsidRDefault="0018365C" w:rsidP="00C63119">
      <w:pPr>
        <w:jc w:val="right"/>
        <w:rPr>
          <w:rFonts w:ascii="Arial" w:hAnsi="Arial" w:cs="Arial"/>
          <w:sz w:val="20"/>
          <w:szCs w:val="20"/>
          <w:lang w:val="es-MX" w:eastAsia="es-ES_tradnl"/>
        </w:rPr>
      </w:pPr>
    </w:p>
    <w:p w14:paraId="70312DA8" w14:textId="77777777" w:rsidR="0018365C" w:rsidRDefault="0018365C" w:rsidP="00C63119">
      <w:pPr>
        <w:jc w:val="right"/>
        <w:rPr>
          <w:rFonts w:ascii="Arial" w:hAnsi="Arial" w:cs="Arial"/>
          <w:sz w:val="20"/>
          <w:szCs w:val="20"/>
          <w:lang w:val="es-MX" w:eastAsia="es-ES_tradnl"/>
        </w:rPr>
      </w:pPr>
    </w:p>
    <w:p w14:paraId="363542AF" w14:textId="77777777" w:rsidR="0018365C" w:rsidRDefault="0018365C" w:rsidP="00C63119">
      <w:pPr>
        <w:jc w:val="right"/>
        <w:rPr>
          <w:rFonts w:ascii="Arial" w:hAnsi="Arial" w:cs="Arial"/>
          <w:sz w:val="20"/>
          <w:szCs w:val="20"/>
          <w:lang w:val="es-MX" w:eastAsia="es-ES_tradnl"/>
        </w:rPr>
      </w:pPr>
    </w:p>
    <w:p w14:paraId="05A80E0F" w14:textId="77777777" w:rsidR="0018365C" w:rsidRDefault="0018365C" w:rsidP="00C63119">
      <w:pPr>
        <w:jc w:val="right"/>
        <w:rPr>
          <w:rFonts w:ascii="Arial" w:hAnsi="Arial" w:cs="Arial"/>
          <w:sz w:val="20"/>
          <w:szCs w:val="20"/>
          <w:lang w:val="es-MX" w:eastAsia="es-ES_tradnl"/>
        </w:rPr>
      </w:pPr>
    </w:p>
    <w:p w14:paraId="179236E5" w14:textId="77777777" w:rsidR="0018365C" w:rsidRDefault="0018365C" w:rsidP="00C63119">
      <w:pPr>
        <w:jc w:val="right"/>
        <w:rPr>
          <w:rFonts w:ascii="Arial" w:hAnsi="Arial" w:cs="Arial"/>
          <w:sz w:val="20"/>
          <w:szCs w:val="20"/>
          <w:lang w:val="es-MX" w:eastAsia="es-ES_tradnl"/>
        </w:rPr>
      </w:pPr>
    </w:p>
    <w:p w14:paraId="562D6F96" w14:textId="77777777" w:rsidR="0018365C" w:rsidRDefault="0018365C" w:rsidP="00C63119">
      <w:pPr>
        <w:jc w:val="right"/>
        <w:rPr>
          <w:rFonts w:ascii="Arial" w:hAnsi="Arial" w:cs="Arial"/>
          <w:sz w:val="20"/>
          <w:szCs w:val="20"/>
          <w:lang w:val="es-MX" w:eastAsia="es-ES_tradnl"/>
        </w:rPr>
      </w:pPr>
    </w:p>
    <w:p w14:paraId="3810AC33" w14:textId="77777777" w:rsidR="0018365C" w:rsidRDefault="0018365C" w:rsidP="00C63119">
      <w:pPr>
        <w:jc w:val="right"/>
        <w:rPr>
          <w:rFonts w:ascii="Arial" w:hAnsi="Arial" w:cs="Arial"/>
          <w:sz w:val="20"/>
          <w:szCs w:val="20"/>
          <w:lang w:val="es-MX" w:eastAsia="es-ES_tradnl"/>
        </w:rPr>
      </w:pPr>
    </w:p>
    <w:p w14:paraId="5FDB9AA2" w14:textId="77777777" w:rsidR="0018365C" w:rsidRDefault="0018365C" w:rsidP="00C63119">
      <w:pPr>
        <w:jc w:val="right"/>
        <w:rPr>
          <w:rFonts w:ascii="Arial" w:hAnsi="Arial" w:cs="Arial"/>
          <w:sz w:val="20"/>
          <w:szCs w:val="20"/>
          <w:lang w:val="es-MX" w:eastAsia="es-ES_tradnl"/>
        </w:rPr>
      </w:pPr>
    </w:p>
    <w:p w14:paraId="67114840" w14:textId="77777777" w:rsidR="0018365C" w:rsidRDefault="0018365C" w:rsidP="00C63119">
      <w:pPr>
        <w:jc w:val="right"/>
        <w:rPr>
          <w:rFonts w:ascii="Arial" w:hAnsi="Arial" w:cs="Arial"/>
          <w:sz w:val="20"/>
          <w:szCs w:val="20"/>
          <w:lang w:val="es-MX" w:eastAsia="es-ES_tradnl"/>
        </w:rPr>
      </w:pPr>
    </w:p>
    <w:p w14:paraId="61D00D69" w14:textId="77777777" w:rsidR="0018365C" w:rsidRDefault="0018365C" w:rsidP="00C63119">
      <w:pPr>
        <w:jc w:val="right"/>
        <w:rPr>
          <w:rFonts w:ascii="Arial" w:hAnsi="Arial" w:cs="Arial"/>
          <w:sz w:val="20"/>
          <w:szCs w:val="20"/>
          <w:lang w:val="es-MX" w:eastAsia="es-ES_tradnl"/>
        </w:rPr>
      </w:pPr>
    </w:p>
    <w:p w14:paraId="0804F587" w14:textId="77777777" w:rsidR="0018365C" w:rsidRDefault="0018365C" w:rsidP="00C63119">
      <w:pPr>
        <w:jc w:val="right"/>
        <w:rPr>
          <w:rFonts w:ascii="Arial" w:hAnsi="Arial" w:cs="Arial"/>
          <w:sz w:val="20"/>
          <w:szCs w:val="20"/>
          <w:lang w:val="es-MX" w:eastAsia="es-ES_tradnl"/>
        </w:rPr>
      </w:pPr>
    </w:p>
    <w:p w14:paraId="10DED968" w14:textId="77777777" w:rsidR="0018365C" w:rsidRDefault="0018365C" w:rsidP="00C63119">
      <w:pPr>
        <w:jc w:val="right"/>
        <w:rPr>
          <w:rFonts w:ascii="Arial" w:hAnsi="Arial" w:cs="Arial"/>
          <w:sz w:val="20"/>
          <w:szCs w:val="20"/>
          <w:lang w:val="es-MX" w:eastAsia="es-ES_tradnl"/>
        </w:rPr>
      </w:pPr>
    </w:p>
    <w:p w14:paraId="5E191857" w14:textId="77777777" w:rsidR="0018365C" w:rsidRDefault="0018365C" w:rsidP="00C63119">
      <w:pPr>
        <w:jc w:val="right"/>
        <w:rPr>
          <w:rFonts w:ascii="Arial" w:hAnsi="Arial" w:cs="Arial"/>
          <w:sz w:val="20"/>
          <w:szCs w:val="20"/>
          <w:lang w:val="es-MX" w:eastAsia="es-ES_tradnl"/>
        </w:rPr>
      </w:pPr>
    </w:p>
    <w:p w14:paraId="5B1B3E2B" w14:textId="77777777" w:rsidR="0018365C" w:rsidRDefault="0018365C" w:rsidP="00C63119">
      <w:pPr>
        <w:jc w:val="right"/>
        <w:rPr>
          <w:rFonts w:ascii="Arial" w:hAnsi="Arial" w:cs="Arial"/>
          <w:sz w:val="20"/>
          <w:szCs w:val="20"/>
          <w:lang w:val="es-MX" w:eastAsia="es-ES_tradnl"/>
        </w:rPr>
      </w:pPr>
    </w:p>
    <w:p w14:paraId="28964715" w14:textId="77777777" w:rsidR="0018365C" w:rsidRDefault="0018365C" w:rsidP="00C63119">
      <w:pPr>
        <w:jc w:val="right"/>
        <w:rPr>
          <w:rFonts w:ascii="Arial" w:hAnsi="Arial" w:cs="Arial"/>
          <w:sz w:val="20"/>
          <w:szCs w:val="20"/>
          <w:lang w:val="es-MX" w:eastAsia="es-ES_tradnl"/>
        </w:rPr>
      </w:pPr>
    </w:p>
    <w:p w14:paraId="78596A2D" w14:textId="77777777" w:rsidR="0018365C" w:rsidRDefault="0018365C" w:rsidP="00C63119">
      <w:pPr>
        <w:jc w:val="right"/>
        <w:rPr>
          <w:rFonts w:ascii="Arial" w:hAnsi="Arial" w:cs="Arial"/>
          <w:sz w:val="20"/>
          <w:szCs w:val="20"/>
          <w:lang w:val="es-MX" w:eastAsia="es-ES_tradnl"/>
        </w:rPr>
      </w:pPr>
    </w:p>
    <w:p w14:paraId="3B618866" w14:textId="77777777" w:rsidR="0018365C" w:rsidRDefault="0018365C" w:rsidP="00C63119">
      <w:pPr>
        <w:jc w:val="right"/>
        <w:rPr>
          <w:rFonts w:ascii="Arial" w:hAnsi="Arial" w:cs="Arial"/>
          <w:sz w:val="20"/>
          <w:szCs w:val="20"/>
          <w:lang w:val="es-MX" w:eastAsia="es-ES_tradnl"/>
        </w:rPr>
      </w:pPr>
    </w:p>
    <w:p w14:paraId="01A39DFB" w14:textId="77777777" w:rsidR="00075CB7" w:rsidRPr="00564571" w:rsidRDefault="00075CB7" w:rsidP="00C63119">
      <w:pPr>
        <w:jc w:val="right"/>
      </w:pPr>
    </w:p>
    <w:p w14:paraId="197C6852" w14:textId="7E4536A4" w:rsidR="00B036EA" w:rsidRPr="00564571" w:rsidRDefault="00731374" w:rsidP="003C7067">
      <w:pPr>
        <w:rPr>
          <w:rFonts w:ascii="Arial" w:eastAsia="Calibri" w:hAnsi="Arial" w:cs="Arial"/>
          <w:sz w:val="22"/>
          <w:szCs w:val="22"/>
          <w:lang w:val="es-ES"/>
        </w:rPr>
      </w:pPr>
      <w:r w:rsidRPr="00564571">
        <w:rPr>
          <w:rFonts w:ascii="Arial" w:eastAsia="Calibri" w:hAnsi="Arial" w:cs="Arial"/>
          <w:sz w:val="22"/>
          <w:szCs w:val="22"/>
          <w:lang w:val="es-ES"/>
        </w:rPr>
        <w:t>Señor</w:t>
      </w:r>
    </w:p>
    <w:p w14:paraId="15C6E9E5" w14:textId="3CD79D61" w:rsidR="0004470C" w:rsidRPr="00564571" w:rsidRDefault="00AA7104" w:rsidP="003C7067">
      <w:pPr>
        <w:rPr>
          <w:rFonts w:ascii="Arial" w:eastAsia="Calibri" w:hAnsi="Arial" w:cs="Arial"/>
          <w:sz w:val="22"/>
          <w:szCs w:val="22"/>
          <w:lang w:val="es-ES"/>
        </w:rPr>
      </w:pPr>
      <w:r>
        <w:rPr>
          <w:rFonts w:ascii="Arial" w:eastAsia="Calibri" w:hAnsi="Arial" w:cs="Arial"/>
          <w:b/>
          <w:bCs/>
          <w:sz w:val="22"/>
          <w:szCs w:val="22"/>
          <w:lang w:val="es-ES"/>
        </w:rPr>
        <w:t>Julio Alberto Rojas</w:t>
      </w:r>
    </w:p>
    <w:p w14:paraId="1A865E65" w14:textId="177EE28A" w:rsidR="00FF547A" w:rsidRPr="00564571" w:rsidRDefault="00AA7104" w:rsidP="003C7067">
      <w:pPr>
        <w:rPr>
          <w:rFonts w:ascii="Arial" w:eastAsia="Calibri" w:hAnsi="Arial" w:cs="Arial"/>
          <w:sz w:val="22"/>
          <w:szCs w:val="22"/>
          <w:lang w:val="es-ES"/>
        </w:rPr>
      </w:pPr>
      <w:r w:rsidRPr="00AA7104">
        <w:rPr>
          <w:rFonts w:ascii="Arial" w:eastAsia="Calibri" w:hAnsi="Arial" w:cs="Arial"/>
          <w:sz w:val="22"/>
          <w:szCs w:val="22"/>
          <w:lang w:val="es-ES"/>
        </w:rPr>
        <w:t xml:space="preserve">San </w:t>
      </w:r>
      <w:r w:rsidR="0018365C" w:rsidRPr="00AA7104">
        <w:rPr>
          <w:rFonts w:ascii="Arial" w:eastAsia="Calibri" w:hAnsi="Arial" w:cs="Arial"/>
          <w:sz w:val="22"/>
          <w:szCs w:val="22"/>
          <w:lang w:val="es-ES"/>
        </w:rPr>
        <w:t>José</w:t>
      </w:r>
      <w:r w:rsidRPr="00AA7104">
        <w:rPr>
          <w:rFonts w:ascii="Arial" w:eastAsia="Calibri" w:hAnsi="Arial" w:cs="Arial"/>
          <w:sz w:val="22"/>
          <w:szCs w:val="22"/>
          <w:lang w:val="es-ES"/>
        </w:rPr>
        <w:t xml:space="preserve"> </w:t>
      </w:r>
      <w:r>
        <w:rPr>
          <w:rFonts w:ascii="Arial" w:eastAsia="Calibri" w:hAnsi="Arial" w:cs="Arial"/>
          <w:sz w:val="22"/>
          <w:szCs w:val="22"/>
          <w:lang w:val="es-ES"/>
        </w:rPr>
        <w:t>d</w:t>
      </w:r>
      <w:r w:rsidRPr="00AA7104">
        <w:rPr>
          <w:rFonts w:ascii="Arial" w:eastAsia="Calibri" w:hAnsi="Arial" w:cs="Arial"/>
          <w:sz w:val="22"/>
          <w:szCs w:val="22"/>
          <w:lang w:val="es-ES"/>
        </w:rPr>
        <w:t>el Guaviare</w:t>
      </w:r>
      <w:r>
        <w:rPr>
          <w:rFonts w:ascii="Arial" w:eastAsia="Calibri" w:hAnsi="Arial" w:cs="Arial"/>
          <w:sz w:val="22"/>
          <w:szCs w:val="22"/>
          <w:lang w:val="es-ES"/>
        </w:rPr>
        <w:t>, Guaviare</w:t>
      </w:r>
    </w:p>
    <w:p w14:paraId="407AA80B" w14:textId="77777777" w:rsidR="00FF547A" w:rsidRPr="00564571" w:rsidRDefault="00FF547A" w:rsidP="003C7067">
      <w:pPr>
        <w:rPr>
          <w:rFonts w:ascii="Arial" w:eastAsia="Calibri" w:hAnsi="Arial" w:cs="Arial"/>
          <w:b/>
          <w:sz w:val="22"/>
          <w:szCs w:val="22"/>
          <w:lang w:val="es-ES"/>
        </w:rPr>
      </w:pPr>
    </w:p>
    <w:p w14:paraId="1F4E36CB" w14:textId="2C2BD2EB" w:rsidR="003C7067" w:rsidRPr="00564571" w:rsidRDefault="003C7067" w:rsidP="003C7067">
      <w:pPr>
        <w:rPr>
          <w:rFonts w:ascii="Arial" w:eastAsia="Calibri" w:hAnsi="Arial" w:cs="Arial"/>
          <w:b/>
          <w:sz w:val="22"/>
          <w:szCs w:val="22"/>
          <w:lang w:val="es-ES"/>
        </w:rPr>
      </w:pPr>
      <w:r w:rsidRPr="00564571">
        <w:rPr>
          <w:rFonts w:ascii="Arial" w:eastAsia="Calibri" w:hAnsi="Arial" w:cs="Arial"/>
          <w:b/>
          <w:sz w:val="22"/>
          <w:szCs w:val="22"/>
          <w:lang w:val="es-ES"/>
        </w:rPr>
        <w:t xml:space="preserve">                                       Concepto C</w:t>
      </w:r>
      <w:r w:rsidR="000577EB">
        <w:rPr>
          <w:rFonts w:ascii="Arial" w:eastAsia="Calibri" w:hAnsi="Arial" w:cs="Arial"/>
          <w:b/>
          <w:sz w:val="22"/>
          <w:szCs w:val="22"/>
          <w:lang w:val="es-ES"/>
        </w:rPr>
        <w:t>–</w:t>
      </w:r>
      <w:r w:rsidR="003B3DA5">
        <w:rPr>
          <w:rFonts w:ascii="Arial" w:eastAsia="Calibri" w:hAnsi="Arial" w:cs="Arial"/>
          <w:b/>
          <w:sz w:val="22"/>
          <w:szCs w:val="22"/>
          <w:lang w:val="es-ES"/>
        </w:rPr>
        <w:t>828</w:t>
      </w:r>
      <w:r w:rsidR="00FF547A" w:rsidRPr="00564571">
        <w:rPr>
          <w:rFonts w:ascii="Arial" w:eastAsia="Calibri" w:hAnsi="Arial" w:cs="Arial"/>
          <w:b/>
          <w:sz w:val="22"/>
          <w:szCs w:val="22"/>
          <w:lang w:val="es-ES"/>
        </w:rPr>
        <w:t xml:space="preserve"> </w:t>
      </w:r>
      <w:r w:rsidRPr="00564571">
        <w:rPr>
          <w:rFonts w:ascii="Arial" w:eastAsia="Calibri" w:hAnsi="Arial" w:cs="Arial"/>
          <w:b/>
          <w:sz w:val="22"/>
          <w:szCs w:val="22"/>
          <w:lang w:val="es-ES"/>
        </w:rPr>
        <w:t>de 202</w:t>
      </w:r>
      <w:r w:rsidR="003104CB" w:rsidRPr="00564571">
        <w:rPr>
          <w:rFonts w:ascii="Arial" w:eastAsia="Calibri" w:hAnsi="Arial" w:cs="Arial"/>
          <w:b/>
          <w:sz w:val="22"/>
          <w:szCs w:val="22"/>
          <w:lang w:val="es-ES"/>
        </w:rPr>
        <w:t>2</w:t>
      </w:r>
      <w:r w:rsidRPr="00564571">
        <w:rPr>
          <w:rFonts w:ascii="Arial" w:eastAsia="Calibri" w:hAnsi="Arial" w:cs="Arial"/>
          <w:b/>
          <w:sz w:val="22"/>
          <w:szCs w:val="22"/>
          <w:lang w:val="es-ES"/>
        </w:rPr>
        <w:t xml:space="preserve"> </w:t>
      </w:r>
    </w:p>
    <w:p w14:paraId="1698D01B" w14:textId="77777777" w:rsidR="003C7067" w:rsidRPr="00564571" w:rsidRDefault="003C7067"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564571" w14:paraId="7C1768E2" w14:textId="77777777" w:rsidTr="00E74412">
        <w:trPr>
          <w:trHeight w:val="823"/>
        </w:trPr>
        <w:tc>
          <w:tcPr>
            <w:tcW w:w="2410" w:type="dxa"/>
          </w:tcPr>
          <w:p w14:paraId="7F7464C9" w14:textId="77777777" w:rsidR="003C7067" w:rsidRPr="00564571" w:rsidRDefault="003C7067" w:rsidP="00D81E5B">
            <w:pPr>
              <w:rPr>
                <w:rFonts w:ascii="Arial" w:eastAsia="Calibri" w:hAnsi="Arial" w:cs="Arial"/>
                <w:lang w:val="es-ES"/>
              </w:rPr>
            </w:pPr>
            <w:r w:rsidRPr="00564571">
              <w:rPr>
                <w:rFonts w:ascii="Arial" w:eastAsia="Calibri" w:hAnsi="Arial" w:cs="Arial" w:hint="cs"/>
                <w:b/>
                <w:lang w:val="es-ES"/>
              </w:rPr>
              <w:t>Temas:</w:t>
            </w:r>
            <w:r w:rsidRPr="00564571">
              <w:rPr>
                <w:rFonts w:ascii="Arial" w:eastAsia="Calibri" w:hAnsi="Arial" w:cs="Arial" w:hint="cs"/>
                <w:lang w:val="es-ES"/>
              </w:rPr>
              <w:t xml:space="preserve">                                      </w:t>
            </w:r>
          </w:p>
        </w:tc>
        <w:tc>
          <w:tcPr>
            <w:tcW w:w="6516" w:type="dxa"/>
          </w:tcPr>
          <w:p w14:paraId="2F4B7014" w14:textId="3425F8A3" w:rsidR="00075CB7" w:rsidRPr="00AA7104" w:rsidRDefault="00075CB7" w:rsidP="0030262D">
            <w:pPr>
              <w:spacing w:after="120" w:line="276" w:lineRule="auto"/>
              <w:jc w:val="both"/>
              <w:rPr>
                <w:rFonts w:ascii="Arial" w:eastAsia="Calibri" w:hAnsi="Arial" w:cs="Arial"/>
                <w:color w:val="000000" w:themeColor="text1"/>
                <w:lang w:val="es-ES_tradnl"/>
              </w:rPr>
            </w:pPr>
            <w:r w:rsidRPr="00075CB7">
              <w:rPr>
                <w:rFonts w:ascii="Arial" w:hAnsi="Arial" w:cs="Arial"/>
              </w:rPr>
              <w:t xml:space="preserve">REQUISITOS HABILITANTES – Definición – Diferencia con los criterios de evaluación / REQUISITOS HABILITANTES - </w:t>
            </w:r>
            <w:r w:rsidRPr="00075CB7">
              <w:rPr>
                <w:rFonts w:ascii="Arial" w:hAnsi="Arial" w:cs="Arial"/>
                <w:color w:val="000000" w:themeColor="text1"/>
                <w:lang w:val="es-ES_tradnl"/>
              </w:rPr>
              <w:t>criterios obligatorios para participar en los procedimientos de selección contractual</w:t>
            </w:r>
            <w:r w:rsidRPr="00075CB7">
              <w:rPr>
                <w:rFonts w:ascii="Arial" w:hAnsi="Arial" w:cs="Arial"/>
              </w:rPr>
              <w:t xml:space="preserve"> / </w:t>
            </w:r>
            <w:r w:rsidRPr="00075CB7">
              <w:rPr>
                <w:rFonts w:ascii="Arial" w:hAnsi="Arial" w:cs="Arial"/>
                <w:lang w:val="es-ES_tradnl"/>
              </w:rPr>
              <w:t xml:space="preserve">REQUISITOS HABILITANTES – Carácter enunciativo </w:t>
            </w:r>
            <w:r w:rsidRPr="00075CB7">
              <w:rPr>
                <w:rFonts w:ascii="Arial" w:hAnsi="Arial" w:cs="Arial"/>
              </w:rPr>
              <w:t xml:space="preserve">/ </w:t>
            </w:r>
            <w:r w:rsidRPr="00075CB7">
              <w:rPr>
                <w:rFonts w:ascii="Arial" w:hAnsi="Arial" w:cs="Arial"/>
                <w:color w:val="000000" w:themeColor="text1"/>
                <w:lang w:val="es-ES_tradnl"/>
              </w:rPr>
              <w:t xml:space="preserve">REQUISITOS HABILITANTES - </w:t>
            </w:r>
            <w:r w:rsidRPr="00075CB7">
              <w:rPr>
                <w:rFonts w:ascii="Arial" w:eastAsia="Calibri" w:hAnsi="Arial" w:cs="Arial"/>
                <w:color w:val="000000" w:themeColor="text1"/>
                <w:lang w:val="es-ES_tradnl"/>
              </w:rPr>
              <w:t>autonomía de la voluntad de las entidades estatales para establecerlos</w:t>
            </w:r>
          </w:p>
        </w:tc>
      </w:tr>
      <w:tr w:rsidR="003C7067" w:rsidRPr="00564571" w14:paraId="60D249F0" w14:textId="77777777" w:rsidTr="00E74412">
        <w:tc>
          <w:tcPr>
            <w:tcW w:w="2410" w:type="dxa"/>
          </w:tcPr>
          <w:p w14:paraId="291F9A18" w14:textId="77777777" w:rsidR="003C7067" w:rsidRPr="00564571" w:rsidRDefault="003C7067" w:rsidP="00D81E5B">
            <w:pPr>
              <w:rPr>
                <w:rFonts w:ascii="Arial" w:eastAsia="Calibri" w:hAnsi="Arial" w:cs="Arial"/>
                <w:lang w:val="es-ES"/>
              </w:rPr>
            </w:pPr>
            <w:r w:rsidRPr="00564571">
              <w:rPr>
                <w:rFonts w:ascii="Arial" w:eastAsia="Calibri" w:hAnsi="Arial" w:cs="Arial"/>
                <w:b/>
                <w:lang w:val="es-ES"/>
              </w:rPr>
              <w:t>Radicación:</w:t>
            </w:r>
            <w:r w:rsidRPr="00564571">
              <w:rPr>
                <w:rFonts w:ascii="Arial" w:eastAsia="Calibri" w:hAnsi="Arial" w:cs="Arial"/>
                <w:lang w:val="es-ES"/>
              </w:rPr>
              <w:t xml:space="preserve">                              </w:t>
            </w:r>
          </w:p>
        </w:tc>
        <w:tc>
          <w:tcPr>
            <w:tcW w:w="6516" w:type="dxa"/>
          </w:tcPr>
          <w:p w14:paraId="3C674517" w14:textId="6E43A536" w:rsidR="003C7067" w:rsidRPr="00564571" w:rsidRDefault="003C7067" w:rsidP="005D20C7">
            <w:pPr>
              <w:jc w:val="both"/>
              <w:rPr>
                <w:rFonts w:ascii="Arial" w:hAnsi="Arial" w:cs="Arial"/>
              </w:rPr>
            </w:pPr>
            <w:r w:rsidRPr="00564571">
              <w:rPr>
                <w:rFonts w:ascii="Arial" w:eastAsia="Calibri" w:hAnsi="Arial" w:cs="Arial"/>
                <w:lang w:val="es-ES"/>
              </w:rPr>
              <w:t>Respuesta a consulta</w:t>
            </w:r>
            <w:r w:rsidR="00731374" w:rsidRPr="00564571">
              <w:rPr>
                <w:rFonts w:ascii="Arial" w:eastAsia="Calibri" w:hAnsi="Arial" w:cs="Arial"/>
                <w:lang w:val="es-ES"/>
              </w:rPr>
              <w:t>s</w:t>
            </w:r>
            <w:r w:rsidR="00A83C01" w:rsidRPr="00564571">
              <w:rPr>
                <w:rFonts w:ascii="Arial" w:eastAsia="Calibri" w:hAnsi="Arial" w:cs="Arial"/>
                <w:lang w:val="es-ES"/>
              </w:rPr>
              <w:t xml:space="preserve"> </w:t>
            </w:r>
            <w:r w:rsidR="00AA7104" w:rsidRPr="00AA7104">
              <w:rPr>
                <w:rFonts w:ascii="Arial" w:eastAsia="Calibri" w:hAnsi="Arial" w:cs="Arial"/>
                <w:lang w:val="es-ES"/>
              </w:rPr>
              <w:t>P20221014010400</w:t>
            </w:r>
          </w:p>
        </w:tc>
      </w:tr>
    </w:tbl>
    <w:p w14:paraId="776B553A" w14:textId="1EDFE601" w:rsidR="003C7067" w:rsidRPr="00564571" w:rsidRDefault="003C7067" w:rsidP="003C7067">
      <w:pPr>
        <w:spacing w:line="276" w:lineRule="auto"/>
        <w:rPr>
          <w:rFonts w:ascii="Arial" w:eastAsia="Calibri" w:hAnsi="Arial" w:cs="Arial"/>
          <w:sz w:val="22"/>
          <w:szCs w:val="22"/>
          <w:lang w:val="es-ES"/>
        </w:rPr>
      </w:pPr>
    </w:p>
    <w:p w14:paraId="0E87794D" w14:textId="77777777" w:rsidR="0027060A" w:rsidRPr="00564571" w:rsidRDefault="0027060A" w:rsidP="003C7067">
      <w:pPr>
        <w:spacing w:line="276" w:lineRule="auto"/>
        <w:rPr>
          <w:rFonts w:ascii="Arial" w:eastAsia="Calibri" w:hAnsi="Arial" w:cs="Arial"/>
          <w:sz w:val="22"/>
          <w:szCs w:val="22"/>
          <w:lang w:val="es-ES"/>
        </w:rPr>
      </w:pPr>
    </w:p>
    <w:p w14:paraId="6BB19977" w14:textId="436AE293" w:rsidR="003C7067" w:rsidRPr="00564571" w:rsidRDefault="003C7067" w:rsidP="003C7067">
      <w:pPr>
        <w:tabs>
          <w:tab w:val="left" w:pos="3736"/>
        </w:tabs>
        <w:spacing w:line="276" w:lineRule="auto"/>
        <w:rPr>
          <w:rFonts w:ascii="Arial" w:eastAsia="Calibri" w:hAnsi="Arial" w:cs="Arial"/>
          <w:sz w:val="22"/>
          <w:szCs w:val="22"/>
          <w:lang w:val="es-ES"/>
        </w:rPr>
      </w:pPr>
      <w:r w:rsidRPr="00564571">
        <w:rPr>
          <w:rFonts w:ascii="Arial" w:eastAsia="Calibri" w:hAnsi="Arial" w:cs="Arial"/>
          <w:sz w:val="22"/>
          <w:szCs w:val="22"/>
          <w:lang w:val="es-ES"/>
        </w:rPr>
        <w:t>Estimad</w:t>
      </w:r>
      <w:r w:rsidR="00731374" w:rsidRPr="00564571">
        <w:rPr>
          <w:rFonts w:ascii="Arial" w:eastAsia="Calibri" w:hAnsi="Arial" w:cs="Arial"/>
          <w:sz w:val="22"/>
          <w:szCs w:val="22"/>
          <w:lang w:val="es-ES"/>
        </w:rPr>
        <w:t>o</w:t>
      </w:r>
      <w:r w:rsidR="007A5F2D" w:rsidRPr="00564571">
        <w:rPr>
          <w:rFonts w:ascii="Arial" w:eastAsia="Calibri" w:hAnsi="Arial" w:cs="Arial"/>
          <w:sz w:val="22"/>
          <w:szCs w:val="22"/>
          <w:lang w:val="es-ES"/>
        </w:rPr>
        <w:t xml:space="preserve"> </w:t>
      </w:r>
      <w:r w:rsidRPr="00564571">
        <w:rPr>
          <w:rFonts w:ascii="Arial" w:eastAsia="Calibri" w:hAnsi="Arial" w:cs="Arial"/>
          <w:sz w:val="22"/>
          <w:szCs w:val="22"/>
          <w:lang w:val="es-ES"/>
        </w:rPr>
        <w:t>señor</w:t>
      </w:r>
      <w:r w:rsidR="00DA07F3" w:rsidRPr="00564571">
        <w:rPr>
          <w:rFonts w:ascii="Arial" w:eastAsia="Calibri" w:hAnsi="Arial" w:cs="Arial"/>
          <w:sz w:val="22"/>
          <w:szCs w:val="22"/>
          <w:lang w:val="es-ES"/>
        </w:rPr>
        <w:t xml:space="preserve"> </w:t>
      </w:r>
      <w:r w:rsidR="00AA7104">
        <w:rPr>
          <w:rFonts w:ascii="Arial" w:eastAsia="Calibri" w:hAnsi="Arial" w:cs="Arial"/>
          <w:sz w:val="22"/>
          <w:szCs w:val="22"/>
          <w:lang w:val="es-ES"/>
        </w:rPr>
        <w:t>Rojas</w:t>
      </w:r>
      <w:r w:rsidR="0083524B" w:rsidRPr="00564571">
        <w:rPr>
          <w:rFonts w:ascii="Arial" w:eastAsia="Calibri" w:hAnsi="Arial" w:cs="Arial"/>
          <w:sz w:val="22"/>
          <w:szCs w:val="22"/>
          <w:lang w:val="es-ES"/>
        </w:rPr>
        <w:t>:</w:t>
      </w:r>
    </w:p>
    <w:p w14:paraId="17594CC4" w14:textId="77777777" w:rsidR="003C7067" w:rsidRPr="00564571" w:rsidRDefault="003C7067" w:rsidP="003C7067">
      <w:pPr>
        <w:spacing w:line="276" w:lineRule="auto"/>
        <w:rPr>
          <w:rFonts w:ascii="Arial" w:eastAsia="Calibri" w:hAnsi="Arial" w:cs="Arial"/>
          <w:sz w:val="22"/>
          <w:szCs w:val="22"/>
          <w:lang w:val="es-ES"/>
        </w:rPr>
      </w:pPr>
    </w:p>
    <w:p w14:paraId="2E5BE0B4" w14:textId="573DE579" w:rsidR="002F339A" w:rsidRPr="00564571" w:rsidRDefault="003C7067" w:rsidP="003C7067">
      <w:pPr>
        <w:spacing w:line="276" w:lineRule="auto"/>
        <w:jc w:val="both"/>
        <w:rPr>
          <w:rFonts w:ascii="Arial" w:eastAsia="Calibri" w:hAnsi="Arial" w:cs="Arial"/>
          <w:sz w:val="22"/>
          <w:szCs w:val="22"/>
          <w:lang w:val="es-ES"/>
        </w:rPr>
      </w:pPr>
      <w:r w:rsidRPr="00564571">
        <w:rPr>
          <w:rFonts w:ascii="Arial" w:eastAsia="Calibri" w:hAnsi="Arial" w:cs="Arial"/>
          <w:sz w:val="22"/>
          <w:szCs w:val="22"/>
          <w:lang w:val="es-ES"/>
        </w:rPr>
        <w:t>La Agencia Nacional de Contratación Pública – Colombia Compra Eficiente</w:t>
      </w:r>
      <w:r w:rsidR="00C15870" w:rsidRPr="00564571">
        <w:rPr>
          <w:rFonts w:ascii="Arial" w:eastAsia="Calibri" w:hAnsi="Arial" w:cs="Arial"/>
          <w:sz w:val="22"/>
          <w:szCs w:val="22"/>
          <w:lang w:val="es-ES"/>
        </w:rPr>
        <w:t>, en ejercicio de la competencia otorgada por el numeral 8 del artículo 11 y el numeral 5 del artículo 3 del Decreto Ley 4170 de 2011,</w:t>
      </w:r>
      <w:r w:rsidRPr="00564571">
        <w:rPr>
          <w:rFonts w:ascii="Arial" w:eastAsia="Calibri" w:hAnsi="Arial" w:cs="Arial"/>
          <w:sz w:val="22"/>
          <w:szCs w:val="22"/>
          <w:lang w:val="es-ES"/>
        </w:rPr>
        <w:t xml:space="preserve"> responde s</w:t>
      </w:r>
      <w:r w:rsidR="00731374" w:rsidRPr="00564571">
        <w:rPr>
          <w:rFonts w:ascii="Arial" w:eastAsia="Calibri" w:hAnsi="Arial" w:cs="Arial"/>
          <w:sz w:val="22"/>
          <w:szCs w:val="22"/>
          <w:lang w:val="es-ES"/>
        </w:rPr>
        <w:t xml:space="preserve">u consulta </w:t>
      </w:r>
      <w:r w:rsidR="00AA7104">
        <w:rPr>
          <w:rFonts w:ascii="Arial" w:eastAsia="Calibri" w:hAnsi="Arial" w:cs="Arial"/>
          <w:sz w:val="22"/>
          <w:szCs w:val="22"/>
          <w:lang w:val="es-ES"/>
        </w:rPr>
        <w:t>d</w:t>
      </w:r>
      <w:r w:rsidR="00731374" w:rsidRPr="00564571">
        <w:rPr>
          <w:rFonts w:ascii="Arial" w:eastAsia="Calibri" w:hAnsi="Arial" w:cs="Arial"/>
          <w:sz w:val="22"/>
          <w:szCs w:val="22"/>
          <w:lang w:val="es-ES"/>
        </w:rPr>
        <w:t xml:space="preserve">el </w:t>
      </w:r>
      <w:r w:rsidR="00AA7104">
        <w:rPr>
          <w:rFonts w:ascii="Arial" w:eastAsia="Calibri" w:hAnsi="Arial" w:cs="Arial"/>
          <w:sz w:val="22"/>
          <w:szCs w:val="22"/>
          <w:lang w:val="es-ES"/>
        </w:rPr>
        <w:t xml:space="preserve">14 </w:t>
      </w:r>
      <w:r w:rsidR="005B14B2" w:rsidRPr="00564571">
        <w:rPr>
          <w:rFonts w:ascii="Arial" w:eastAsia="Calibri" w:hAnsi="Arial" w:cs="Arial"/>
          <w:sz w:val="22"/>
          <w:szCs w:val="22"/>
          <w:lang w:val="es-ES"/>
        </w:rPr>
        <w:t xml:space="preserve">de </w:t>
      </w:r>
      <w:r w:rsidR="00AA7104">
        <w:rPr>
          <w:rFonts w:ascii="Arial" w:eastAsia="Calibri" w:hAnsi="Arial" w:cs="Arial"/>
          <w:sz w:val="22"/>
          <w:szCs w:val="22"/>
          <w:lang w:val="es-ES"/>
        </w:rPr>
        <w:t xml:space="preserve">octubre </w:t>
      </w:r>
      <w:r w:rsidR="005B14B2" w:rsidRPr="00564571">
        <w:rPr>
          <w:rFonts w:ascii="Arial" w:eastAsia="Calibri" w:hAnsi="Arial" w:cs="Arial"/>
          <w:sz w:val="22"/>
          <w:szCs w:val="22"/>
          <w:lang w:val="es-ES"/>
        </w:rPr>
        <w:t xml:space="preserve">de 2022. </w:t>
      </w:r>
    </w:p>
    <w:p w14:paraId="2D852432" w14:textId="2FF22211" w:rsidR="003C7067" w:rsidRPr="00564571" w:rsidRDefault="003C7067" w:rsidP="003C7067">
      <w:pPr>
        <w:pStyle w:val="Prrafodelista"/>
        <w:spacing w:line="276" w:lineRule="auto"/>
        <w:ind w:left="0"/>
        <w:rPr>
          <w:rFonts w:ascii="Arial" w:eastAsia="Calibri" w:hAnsi="Arial" w:cs="Arial"/>
          <w:sz w:val="22"/>
          <w:lang w:val="es-ES"/>
        </w:rPr>
      </w:pPr>
    </w:p>
    <w:p w14:paraId="67CA615C" w14:textId="77777777" w:rsidR="003C7067" w:rsidRPr="00564571" w:rsidRDefault="003C7067" w:rsidP="003C7067">
      <w:pPr>
        <w:tabs>
          <w:tab w:val="left" w:pos="0"/>
        </w:tabs>
        <w:spacing w:line="276" w:lineRule="auto"/>
        <w:jc w:val="both"/>
        <w:rPr>
          <w:rFonts w:ascii="Arial" w:eastAsia="Calibri" w:hAnsi="Arial" w:cs="Arial"/>
          <w:b/>
          <w:sz w:val="22"/>
          <w:szCs w:val="22"/>
          <w:lang w:val="es-ES"/>
        </w:rPr>
      </w:pPr>
      <w:r w:rsidRPr="00564571">
        <w:rPr>
          <w:rFonts w:ascii="Arial" w:eastAsia="Calibri" w:hAnsi="Arial" w:cs="Arial"/>
          <w:b/>
          <w:sz w:val="22"/>
          <w:szCs w:val="22"/>
          <w:lang w:val="es-ES"/>
        </w:rPr>
        <w:t>1. Problema planteado</w:t>
      </w:r>
    </w:p>
    <w:p w14:paraId="5FF94B70" w14:textId="759AE513" w:rsidR="009B20DB" w:rsidRPr="00303712" w:rsidRDefault="003C7067" w:rsidP="00303712">
      <w:pPr>
        <w:pStyle w:val="gmail-msonospacing"/>
        <w:tabs>
          <w:tab w:val="left" w:pos="7655"/>
          <w:tab w:val="left" w:pos="8789"/>
        </w:tabs>
        <w:spacing w:line="276" w:lineRule="auto"/>
        <w:ind w:right="49"/>
        <w:jc w:val="both"/>
        <w:rPr>
          <w:rFonts w:ascii="Arial" w:hAnsi="Arial" w:cs="Arial"/>
          <w:lang w:val="es-MX"/>
        </w:rPr>
      </w:pPr>
      <w:r w:rsidRPr="003921EC">
        <w:rPr>
          <w:rFonts w:ascii="Arial" w:eastAsia="Calibri" w:hAnsi="Arial" w:cs="Arial"/>
        </w:rPr>
        <w:t xml:space="preserve">Usted realiza la siguiente pregunta: </w:t>
      </w:r>
      <w:r w:rsidR="00731374" w:rsidRPr="001A4790">
        <w:rPr>
          <w:rFonts w:ascii="Arial" w:hAnsi="Arial" w:cs="Arial"/>
        </w:rPr>
        <w:t>«</w:t>
      </w:r>
      <w:r w:rsidR="00303712" w:rsidRPr="00303712">
        <w:rPr>
          <w:rFonts w:ascii="Arial" w:hAnsi="Arial" w:cs="Arial"/>
          <w:lang w:val="es-MX"/>
        </w:rPr>
        <w:t>En la formulación de pliegos definitivos, pueden las entidades del estado exigir ITEMS REPRESENTATIVOS EN LA EXPERIENCIA DE LOS OFERENTES. Es decir que los interesados en participar en las convocatorias tengan dentro de su experiencia mayor cantidad en la entrega de un item ejemplo de alimentos, libros, o cualquier ítem que la entidad lo establezca, como medida para evaluar la experiencia</w:t>
      </w:r>
      <w:r w:rsidR="00303712">
        <w:rPr>
          <w:rFonts w:ascii="Arial" w:hAnsi="Arial" w:cs="Arial"/>
          <w:lang w:val="es-MX"/>
        </w:rPr>
        <w:t>»</w:t>
      </w:r>
      <w:r w:rsidR="0018365C">
        <w:rPr>
          <w:rFonts w:ascii="Arial" w:hAnsi="Arial" w:cs="Arial"/>
          <w:lang w:val="es-MX"/>
        </w:rPr>
        <w:t>.</w:t>
      </w:r>
    </w:p>
    <w:p w14:paraId="25DC51CC" w14:textId="7CCB0AE1" w:rsidR="0016321F" w:rsidRPr="00564571" w:rsidRDefault="003C7067" w:rsidP="00EF2C3C">
      <w:pPr>
        <w:pStyle w:val="NormalWeb"/>
        <w:spacing w:before="0" w:beforeAutospacing="0" w:after="0" w:afterAutospacing="0" w:line="276" w:lineRule="auto"/>
        <w:ind w:right="51"/>
        <w:contextualSpacing/>
        <w:jc w:val="both"/>
        <w:rPr>
          <w:rFonts w:ascii="Arial" w:eastAsia="Calibri" w:hAnsi="Arial" w:cs="Arial"/>
          <w:b/>
          <w:sz w:val="22"/>
          <w:szCs w:val="22"/>
          <w:lang w:val="es-ES"/>
        </w:rPr>
      </w:pPr>
      <w:r w:rsidRPr="00564571">
        <w:rPr>
          <w:rFonts w:ascii="Arial" w:eastAsia="Calibri" w:hAnsi="Arial" w:cs="Arial"/>
          <w:b/>
          <w:sz w:val="22"/>
          <w:szCs w:val="22"/>
          <w:lang w:val="es-ES"/>
        </w:rPr>
        <w:t>2. Consideraciones</w:t>
      </w:r>
    </w:p>
    <w:p w14:paraId="146D64A9" w14:textId="77777777" w:rsidR="00EF2C3C" w:rsidRPr="00564571" w:rsidRDefault="00EF2C3C" w:rsidP="005D20C7">
      <w:pPr>
        <w:pStyle w:val="NormalWeb"/>
        <w:spacing w:before="0" w:beforeAutospacing="0" w:after="0" w:afterAutospacing="0" w:line="276" w:lineRule="auto"/>
        <w:ind w:right="51"/>
        <w:contextualSpacing/>
        <w:jc w:val="both"/>
        <w:rPr>
          <w:rFonts w:ascii="Arial" w:eastAsia="Calibri" w:hAnsi="Arial" w:cs="Arial"/>
          <w:b/>
          <w:sz w:val="22"/>
          <w:szCs w:val="22"/>
          <w:lang w:val="es-ES"/>
        </w:rPr>
      </w:pPr>
    </w:p>
    <w:p w14:paraId="78267672" w14:textId="1A9F21B1" w:rsidR="00EF2C3C" w:rsidRPr="00564571" w:rsidRDefault="00EF2C3C" w:rsidP="005D20C7">
      <w:pPr>
        <w:spacing w:after="120" w:line="276" w:lineRule="auto"/>
        <w:jc w:val="both"/>
        <w:rPr>
          <w:rFonts w:ascii="Arial" w:hAnsi="Arial" w:cs="Arial"/>
          <w:sz w:val="22"/>
          <w:lang w:val="es-ES"/>
        </w:rPr>
      </w:pPr>
      <w:r w:rsidRPr="00564571">
        <w:rPr>
          <w:rFonts w:ascii="Arial" w:hAnsi="Arial" w:cs="Arial"/>
          <w:bCs/>
          <w:sz w:val="22"/>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0" w:name="_Hlk61701014"/>
      <w:bookmarkStart w:id="1" w:name="_Hlk62136649"/>
      <w:r w:rsidRPr="00564571">
        <w:rPr>
          <w:rFonts w:ascii="Arial" w:hAnsi="Arial" w:cs="Arial"/>
          <w:sz w:val="22"/>
          <w:lang w:val="es-ES"/>
        </w:rPr>
        <w:t xml:space="preserve">Es </w:t>
      </w:r>
      <w:r w:rsidRPr="00564571">
        <w:rPr>
          <w:rFonts w:ascii="Arial" w:hAnsi="Arial" w:cs="Arial"/>
          <w:sz w:val="22"/>
          <w:lang w:val="es-ES"/>
        </w:rPr>
        <w:lastRenderedPageBreak/>
        <w:t xml:space="preserve">necesario tener en cuenta que </w:t>
      </w:r>
      <w:bookmarkStart w:id="2" w:name="_Hlk61026958"/>
      <w:r w:rsidRPr="00564571">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64571">
        <w:rPr>
          <w:rFonts w:ascii="Arial" w:hAnsi="Arial" w:cs="Arial"/>
          <w:bCs/>
          <w:sz w:val="22"/>
        </w:rPr>
        <w:t xml:space="preserve"> de todos los partícipes de la contratación estatal.</w:t>
      </w:r>
    </w:p>
    <w:p w14:paraId="0348277A" w14:textId="51EE6A7F" w:rsidR="00DF3130" w:rsidRPr="00564571" w:rsidRDefault="00EF2C3C" w:rsidP="00DF3130">
      <w:pPr>
        <w:spacing w:after="120" w:line="276" w:lineRule="auto"/>
        <w:ind w:firstLine="708"/>
        <w:jc w:val="both"/>
        <w:rPr>
          <w:rFonts w:ascii="Arial" w:hAnsi="Arial" w:cs="Arial"/>
          <w:sz w:val="22"/>
          <w:lang w:val="es-ES"/>
        </w:rPr>
      </w:pPr>
      <w:r w:rsidRPr="00564571">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64571">
        <w:rPr>
          <w:rFonts w:ascii="Arial" w:hAnsi="Arial" w:cs="Arial"/>
          <w:sz w:val="22"/>
          <w:vertAlign w:val="superscript"/>
          <w:lang w:val="es-ES"/>
        </w:rPr>
        <w:footnoteReference w:id="1"/>
      </w:r>
      <w:r w:rsidRPr="00564571">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medida en </w:t>
      </w:r>
      <w:r w:rsidR="00E5202C" w:rsidRPr="00564571">
        <w:rPr>
          <w:rFonts w:ascii="Arial" w:hAnsi="Arial" w:cs="Arial"/>
          <w:sz w:val="22"/>
          <w:lang w:val="es-ES"/>
        </w:rPr>
        <w:t>que,</w:t>
      </w:r>
      <w:r w:rsidRPr="00564571">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2"/>
      <w:r w:rsidRPr="00564571">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p w14:paraId="70113537" w14:textId="58CAE36B" w:rsidR="00DF3130" w:rsidRPr="00564571" w:rsidRDefault="00DF3130" w:rsidP="00DF3130">
      <w:pPr>
        <w:spacing w:after="120" w:line="276" w:lineRule="auto"/>
        <w:ind w:firstLine="708"/>
        <w:jc w:val="both"/>
        <w:rPr>
          <w:rFonts w:ascii="Arial" w:hAnsi="Arial" w:cs="Arial"/>
          <w:bCs/>
          <w:sz w:val="22"/>
          <w:lang w:val="es-ES_tradnl"/>
        </w:rPr>
      </w:pPr>
      <w:r w:rsidRPr="00564571">
        <w:rPr>
          <w:rFonts w:ascii="Arial" w:hAnsi="Arial" w:cs="Arial"/>
          <w:sz w:val="22"/>
          <w:lang w:val="es-ES"/>
        </w:rPr>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de la Ley 1437 de 2011, sustituido por la Ley 1755 de 2015, el cual señala «[…]  los conceptos emitidos por las autoridades como respuestas a peticiones realizadas en ejercicio del derecho a formular consultas no serán de obligatorio cumplimiento o ejecución».  </w:t>
      </w:r>
      <w:r w:rsidR="00A94E34">
        <w:rPr>
          <w:rFonts w:ascii="Arial" w:hAnsi="Arial" w:cs="Arial"/>
          <w:sz w:val="22"/>
          <w:lang w:val="es-ES"/>
        </w:rPr>
        <w:t>E</w:t>
      </w:r>
      <w:r w:rsidRPr="00564571">
        <w:rPr>
          <w:rFonts w:ascii="Arial" w:hAnsi="Arial" w:cs="Arial"/>
          <w:bCs/>
          <w:sz w:val="22"/>
          <w:lang w:val="es-ES_tradnl"/>
        </w:rPr>
        <w:t xml:space="preserve">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w:t>
      </w:r>
      <w:r w:rsidRPr="00564571">
        <w:rPr>
          <w:rFonts w:ascii="Arial" w:hAnsi="Arial" w:cs="Arial"/>
          <w:bCs/>
          <w:sz w:val="22"/>
          <w:lang w:val="es-ES_tradnl"/>
        </w:rPr>
        <w:lastRenderedPageBreak/>
        <w:t>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564571">
        <w:rPr>
          <w:rFonts w:ascii="Arial" w:hAnsi="Arial" w:cs="Arial"/>
          <w:bCs/>
          <w:sz w:val="22"/>
          <w:vertAlign w:val="superscript"/>
          <w:lang w:val="es-ES_tradnl"/>
        </w:rPr>
        <w:footnoteReference w:id="2"/>
      </w:r>
      <w:r w:rsidRPr="00564571">
        <w:rPr>
          <w:rFonts w:ascii="Arial" w:hAnsi="Arial" w:cs="Arial"/>
          <w:bCs/>
          <w:sz w:val="22"/>
          <w:lang w:val="es-ES_tradnl"/>
        </w:rPr>
        <w:t>.</w:t>
      </w:r>
    </w:p>
    <w:p w14:paraId="455F57B6" w14:textId="2BBAC96B" w:rsidR="00DF3130" w:rsidRPr="001A4790" w:rsidRDefault="00DF3130" w:rsidP="00DF3130">
      <w:pPr>
        <w:spacing w:after="120" w:line="276" w:lineRule="auto"/>
        <w:ind w:firstLine="708"/>
        <w:jc w:val="both"/>
        <w:rPr>
          <w:rFonts w:ascii="Arial" w:hAnsi="Arial" w:cs="Arial"/>
          <w:sz w:val="22"/>
          <w:lang w:val="es-ES_tradnl"/>
        </w:rPr>
      </w:pPr>
      <w:r w:rsidRPr="00564571">
        <w:rPr>
          <w:rFonts w:ascii="Arial" w:hAnsi="Arial" w:cs="Arial"/>
          <w:sz w:val="22"/>
          <w:lang w:val="es-ES_tradnl"/>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i) </w:t>
      </w:r>
      <w:r w:rsidR="00DB06A8">
        <w:rPr>
          <w:rFonts w:ascii="Arial" w:hAnsi="Arial" w:cs="Arial"/>
          <w:sz w:val="22"/>
          <w:lang w:val="es-ES_tradnl"/>
        </w:rPr>
        <w:t>r</w:t>
      </w:r>
      <w:r w:rsidR="00DB06A8" w:rsidRPr="00DB06A8">
        <w:rPr>
          <w:rFonts w:ascii="Arial" w:hAnsi="Arial" w:cs="Arial"/>
          <w:sz w:val="22"/>
          <w:lang w:val="es-ES_tradnl"/>
        </w:rPr>
        <w:t>equisitos habilitantes: criterios obligatorios para participar en los procedimientos de selección contractual</w:t>
      </w:r>
      <w:r w:rsidR="00DB06A8" w:rsidRPr="00DB06A8" w:rsidDel="00DB06A8">
        <w:rPr>
          <w:rFonts w:ascii="Arial" w:hAnsi="Arial" w:cs="Arial"/>
          <w:sz w:val="22"/>
          <w:lang w:val="es-ES_tradnl"/>
        </w:rPr>
        <w:t xml:space="preserve"> </w:t>
      </w:r>
      <w:r w:rsidRPr="00564571">
        <w:rPr>
          <w:rFonts w:ascii="Arial" w:hAnsi="Arial" w:cs="Arial"/>
          <w:sz w:val="22"/>
          <w:lang w:val="es-ES_tradnl"/>
        </w:rPr>
        <w:t xml:space="preserve">y; ii) </w:t>
      </w:r>
      <w:r w:rsidR="00DB06A8">
        <w:rPr>
          <w:rFonts w:ascii="Arial" w:hAnsi="Arial" w:cs="Arial"/>
          <w:sz w:val="22"/>
          <w:lang w:val="es-ES_tradnl"/>
        </w:rPr>
        <w:t>c</w:t>
      </w:r>
      <w:r w:rsidR="00DB06A8" w:rsidRPr="00DB06A8">
        <w:rPr>
          <w:rFonts w:ascii="Arial" w:hAnsi="Arial" w:cs="Arial"/>
          <w:sz w:val="22"/>
          <w:lang w:val="es-ES_tradnl"/>
        </w:rPr>
        <w:t>arácter enunciativo de los requisitos habilitantes previstos en el artículo 5, numeral 1, de la Ley 1150 de 2007 y autonomía de la voluntad de las entidades estatales para establecerlos</w:t>
      </w:r>
      <w:r w:rsidR="00DB06A8" w:rsidRPr="00DB06A8" w:rsidDel="00DB06A8">
        <w:rPr>
          <w:rFonts w:ascii="Arial" w:hAnsi="Arial" w:cs="Arial"/>
          <w:sz w:val="22"/>
          <w:lang w:val="es-ES_tradnl"/>
        </w:rPr>
        <w:t xml:space="preserve"> </w:t>
      </w:r>
    </w:p>
    <w:p w14:paraId="3E955E50" w14:textId="55E35427" w:rsidR="00DF3130" w:rsidRDefault="00DB06A8" w:rsidP="00AB244D">
      <w:pPr>
        <w:spacing w:line="276" w:lineRule="auto"/>
        <w:ind w:firstLine="708"/>
        <w:jc w:val="both"/>
        <w:rPr>
          <w:rFonts w:ascii="Arial" w:hAnsi="Arial" w:cs="Arial"/>
          <w:bCs/>
          <w:sz w:val="22"/>
          <w:lang w:val="es-MX"/>
        </w:rPr>
      </w:pPr>
      <w:r w:rsidRPr="00CE5D83">
        <w:rPr>
          <w:rFonts w:ascii="Arial" w:eastAsia="Calibri" w:hAnsi="Arial" w:cs="Arial"/>
          <w:color w:val="000000" w:themeColor="text1"/>
          <w:sz w:val="22"/>
          <w:lang w:val="es-ES"/>
        </w:rPr>
        <w:t>Al respecto, conviene indicar que 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w:t>
      </w:r>
      <w:r>
        <w:rPr>
          <w:rFonts w:ascii="Arial" w:eastAsia="Calibri" w:hAnsi="Arial" w:cs="Arial"/>
          <w:color w:val="000000" w:themeColor="text1"/>
          <w:sz w:val="22"/>
          <w:lang w:val="es-ES"/>
        </w:rPr>
        <w:t xml:space="preserve">, </w:t>
      </w:r>
      <w:r w:rsidRPr="00CE5D83">
        <w:rPr>
          <w:rFonts w:ascii="Arial" w:eastAsia="Calibri" w:hAnsi="Arial" w:cs="Arial"/>
          <w:color w:val="000000" w:themeColor="text1"/>
          <w:sz w:val="22"/>
          <w:lang w:val="es-ES"/>
        </w:rPr>
        <w:t>C-330 del 27 de mayo de 2020</w:t>
      </w:r>
      <w:r>
        <w:rPr>
          <w:rFonts w:ascii="Arial" w:eastAsia="Calibri" w:hAnsi="Arial" w:cs="Arial"/>
          <w:color w:val="000000" w:themeColor="text1"/>
          <w:sz w:val="22"/>
          <w:lang w:val="es-ES"/>
        </w:rPr>
        <w:t>,</w:t>
      </w:r>
      <w:r w:rsidRPr="00CE5D83">
        <w:rPr>
          <w:rFonts w:ascii="Arial" w:eastAsia="Calibri" w:hAnsi="Arial" w:cs="Arial"/>
          <w:color w:val="000000" w:themeColor="text1"/>
          <w:sz w:val="22"/>
          <w:lang w:val="es-ES"/>
        </w:rPr>
        <w:t xml:space="preserve"> C-396 de 2020</w:t>
      </w:r>
      <w:r w:rsidR="00AA7104">
        <w:rPr>
          <w:rFonts w:ascii="Arial" w:eastAsia="Calibri" w:hAnsi="Arial" w:cs="Arial"/>
          <w:color w:val="000000" w:themeColor="text1"/>
          <w:sz w:val="22"/>
          <w:lang w:val="es-ES"/>
        </w:rPr>
        <w:t>,</w:t>
      </w:r>
      <w:r w:rsidR="00FC6445">
        <w:rPr>
          <w:rFonts w:ascii="Arial" w:eastAsia="Calibri" w:hAnsi="Arial" w:cs="Arial"/>
          <w:color w:val="000000" w:themeColor="text1"/>
          <w:sz w:val="22"/>
          <w:lang w:val="es-ES"/>
        </w:rPr>
        <w:t xml:space="preserve"> C-669 del 3 de diciembre de 202</w:t>
      </w:r>
      <w:r w:rsidR="00AB244D">
        <w:rPr>
          <w:rFonts w:ascii="Arial" w:eastAsia="Calibri" w:hAnsi="Arial" w:cs="Arial"/>
          <w:color w:val="000000" w:themeColor="text1"/>
          <w:sz w:val="22"/>
          <w:lang w:val="es-ES"/>
        </w:rPr>
        <w:t>1</w:t>
      </w:r>
      <w:r w:rsidR="00AA7104">
        <w:rPr>
          <w:rFonts w:ascii="Arial" w:eastAsia="Calibri" w:hAnsi="Arial" w:cs="Arial"/>
          <w:color w:val="000000" w:themeColor="text1"/>
          <w:sz w:val="22"/>
          <w:lang w:val="es-ES"/>
        </w:rPr>
        <w:t xml:space="preserve"> y C-573 del 13 de septiembre de 2022</w:t>
      </w:r>
      <w:r w:rsidRPr="00CE5D83">
        <w:rPr>
          <w:rFonts w:ascii="Arial" w:eastAsia="Calibri" w:hAnsi="Arial" w:cs="Arial"/>
          <w:color w:val="000000" w:themeColor="text1"/>
          <w:sz w:val="22"/>
          <w:lang w:val="es-ES"/>
        </w:rPr>
        <w:t xml:space="preserve"> analizó la naturaleza de los </w:t>
      </w:r>
      <w:r w:rsidRPr="00CE5D83">
        <w:rPr>
          <w:rFonts w:ascii="Arial" w:eastAsia="Calibri" w:hAnsi="Arial" w:cs="Arial"/>
          <w:color w:val="000000" w:themeColor="text1"/>
          <w:sz w:val="22"/>
          <w:lang w:val="es-ES"/>
        </w:rPr>
        <w:lastRenderedPageBreak/>
        <w:t xml:space="preserve">requisitos habilitantes y su carácter </w:t>
      </w:r>
      <w:r w:rsidRPr="00CE5D83">
        <w:rPr>
          <w:rFonts w:ascii="Arial" w:eastAsia="Calibri" w:hAnsi="Arial" w:cs="Arial"/>
          <w:i/>
          <w:iCs/>
          <w:color w:val="000000" w:themeColor="text1"/>
          <w:sz w:val="22"/>
          <w:lang w:val="es-ES"/>
        </w:rPr>
        <w:t>enunciativo</w:t>
      </w:r>
      <w:r w:rsidR="00DF3130" w:rsidRPr="00564571">
        <w:rPr>
          <w:rFonts w:ascii="Arial" w:hAnsi="Arial" w:cs="Arial"/>
          <w:bCs/>
          <w:sz w:val="22"/>
          <w:lang w:val="es-MX"/>
        </w:rPr>
        <w:t xml:space="preserve">. </w:t>
      </w:r>
      <w:r w:rsidR="00DF3130" w:rsidRPr="00564571">
        <w:rPr>
          <w:rFonts w:ascii="Arial" w:hAnsi="Arial" w:cs="Arial"/>
          <w:sz w:val="22"/>
          <w:lang w:val="es-MX"/>
        </w:rPr>
        <w:t xml:space="preserve">Las tesis desarrolladas en estos conceptos se reiteran a continuación </w:t>
      </w:r>
      <w:r w:rsidR="00DF3130" w:rsidRPr="00564571">
        <w:rPr>
          <w:rFonts w:ascii="Arial" w:hAnsi="Arial" w:cs="Arial"/>
          <w:bCs/>
          <w:sz w:val="22"/>
          <w:lang w:val="es-MX"/>
        </w:rPr>
        <w:t xml:space="preserve">y se complementan en lo pertinente. </w:t>
      </w:r>
    </w:p>
    <w:p w14:paraId="3735B642" w14:textId="77777777" w:rsidR="00AB244D" w:rsidRPr="00564571" w:rsidRDefault="00AB244D" w:rsidP="001A4790">
      <w:pPr>
        <w:spacing w:line="276" w:lineRule="auto"/>
        <w:ind w:firstLine="708"/>
        <w:jc w:val="both"/>
        <w:rPr>
          <w:rFonts w:ascii="Arial" w:hAnsi="Arial" w:cs="Arial"/>
          <w:sz w:val="22"/>
          <w:lang w:val="es-MX"/>
        </w:rPr>
      </w:pPr>
    </w:p>
    <w:bookmarkEnd w:id="1"/>
    <w:p w14:paraId="19330F0B" w14:textId="0CB5F66D" w:rsidR="007039AC" w:rsidRPr="00CE5D83" w:rsidRDefault="007039AC" w:rsidP="007039AC">
      <w:pPr>
        <w:spacing w:line="276" w:lineRule="auto"/>
        <w:jc w:val="both"/>
        <w:rPr>
          <w:rFonts w:ascii="Arial" w:hAnsi="Arial" w:cs="Arial"/>
          <w:b/>
          <w:bCs/>
          <w:color w:val="000000" w:themeColor="text1"/>
          <w:sz w:val="22"/>
          <w:lang w:val="es-ES_tradnl"/>
        </w:rPr>
      </w:pPr>
      <w:r w:rsidRPr="00CE5D83">
        <w:rPr>
          <w:rFonts w:ascii="Arial" w:hAnsi="Arial" w:cs="Arial"/>
          <w:b/>
          <w:bCs/>
          <w:color w:val="000000" w:themeColor="text1"/>
          <w:sz w:val="22"/>
          <w:lang w:val="es-ES_tradnl"/>
        </w:rPr>
        <w:t>2.</w:t>
      </w:r>
      <w:r w:rsidR="00F206CA">
        <w:rPr>
          <w:rFonts w:ascii="Arial" w:hAnsi="Arial" w:cs="Arial"/>
          <w:b/>
          <w:bCs/>
          <w:color w:val="000000" w:themeColor="text1"/>
          <w:sz w:val="22"/>
          <w:lang w:val="es-ES_tradnl"/>
        </w:rPr>
        <w:t>1</w:t>
      </w:r>
      <w:r w:rsidRPr="00CE5D83">
        <w:rPr>
          <w:rFonts w:ascii="Arial" w:hAnsi="Arial" w:cs="Arial"/>
          <w:b/>
          <w:bCs/>
          <w:color w:val="000000" w:themeColor="text1"/>
          <w:sz w:val="22"/>
          <w:lang w:val="es-ES_tradnl"/>
        </w:rPr>
        <w:t>. Requisitos habilitantes: criterios obligatorios para participar en los procedimientos de selección contractual</w:t>
      </w:r>
    </w:p>
    <w:p w14:paraId="56D4D05E" w14:textId="77777777" w:rsidR="007039AC" w:rsidRPr="00CE5D83" w:rsidRDefault="007039AC" w:rsidP="007039AC">
      <w:pPr>
        <w:spacing w:line="276" w:lineRule="auto"/>
        <w:ind w:left="1080"/>
        <w:contextualSpacing/>
        <w:jc w:val="both"/>
        <w:rPr>
          <w:rFonts w:ascii="Arial" w:hAnsi="Arial" w:cs="Arial"/>
          <w:b/>
          <w:bCs/>
          <w:color w:val="000000" w:themeColor="text1"/>
          <w:sz w:val="22"/>
          <w:lang w:val="es-ES_tradnl"/>
        </w:rPr>
      </w:pPr>
    </w:p>
    <w:p w14:paraId="3D4A88E8" w14:textId="77777777" w:rsidR="007039AC" w:rsidRPr="00CE5D83" w:rsidRDefault="007039AC" w:rsidP="007039AC">
      <w:pPr>
        <w:spacing w:after="120" w:line="276" w:lineRule="auto"/>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 xml:space="preserve">Los </w:t>
      </w:r>
      <w:r w:rsidRPr="00CE5D83">
        <w:rPr>
          <w:rFonts w:ascii="Arial" w:eastAsia="Calibri" w:hAnsi="Arial" w:cs="Arial"/>
          <w:i/>
          <w:iCs/>
          <w:color w:val="000000" w:themeColor="text1"/>
          <w:sz w:val="22"/>
          <w:lang w:val="es-ES_tradnl"/>
        </w:rPr>
        <w:t>requisitos habilitantes</w:t>
      </w:r>
      <w:r w:rsidRPr="00CE5D83">
        <w:rPr>
          <w:rFonts w:ascii="Arial" w:eastAsia="Calibri" w:hAnsi="Arial" w:cs="Arial"/>
          <w:color w:val="000000" w:themeColor="text1"/>
          <w:sz w:val="22"/>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CE5D83">
        <w:rPr>
          <w:rFonts w:ascii="Arial" w:eastAsia="Calibri" w:hAnsi="Arial" w:cs="Arial"/>
          <w:i/>
          <w:iCs/>
          <w:color w:val="000000" w:themeColor="text1"/>
          <w:sz w:val="22"/>
          <w:lang w:val="es-ES_tradnl"/>
        </w:rPr>
        <w:t>criterios de evaluación</w:t>
      </w:r>
      <w:r w:rsidRPr="00CE5D83">
        <w:rPr>
          <w:rFonts w:ascii="Arial" w:eastAsia="Calibri" w:hAnsi="Arial" w:cs="Arial"/>
          <w:color w:val="000000" w:themeColor="text1"/>
          <w:sz w:val="22"/>
          <w:lang w:val="es-ES_tradnl"/>
        </w:rPr>
        <w:t xml:space="preserve"> –también conocidos como </w:t>
      </w:r>
      <w:r w:rsidRPr="00CE5D83">
        <w:rPr>
          <w:rFonts w:ascii="Arial" w:eastAsia="Calibri" w:hAnsi="Arial" w:cs="Arial"/>
          <w:i/>
          <w:iCs/>
          <w:color w:val="000000" w:themeColor="text1"/>
          <w:sz w:val="22"/>
          <w:lang w:val="es-ES_tradnl"/>
        </w:rPr>
        <w:t>criterios de calificación</w:t>
      </w:r>
      <w:r w:rsidRPr="00CE5D83">
        <w:rPr>
          <w:rFonts w:ascii="Arial" w:eastAsia="Calibri" w:hAnsi="Arial" w:cs="Arial"/>
          <w:color w:val="000000" w:themeColor="text1"/>
          <w:sz w:val="22"/>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6F72EF31" w14:textId="77777777" w:rsidR="007039AC" w:rsidRPr="00CE5D83" w:rsidRDefault="007039AC" w:rsidP="007039AC">
      <w:pPr>
        <w:spacing w:after="120" w:line="276" w:lineRule="auto"/>
        <w:ind w:firstLine="708"/>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74F0C82" w14:textId="77777777" w:rsidR="007039AC" w:rsidRPr="00CE5D83" w:rsidRDefault="007039AC" w:rsidP="007039AC">
      <w:pPr>
        <w:spacing w:line="276" w:lineRule="auto"/>
        <w:ind w:firstLine="708"/>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1E9FABAC" w14:textId="77777777" w:rsidR="007039AC" w:rsidRPr="00CE5D83" w:rsidRDefault="007039AC" w:rsidP="007039AC">
      <w:pPr>
        <w:spacing w:before="120" w:line="276" w:lineRule="auto"/>
        <w:ind w:firstLine="709"/>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 xml:space="preserve">Específicamente, el numeral 1º del artículo referido establece que en los procesos de selección de contratistas serán objeto de verificación, como requisitos habilitantes, </w:t>
      </w:r>
      <w:r w:rsidRPr="00CE5D83">
        <w:rPr>
          <w:rFonts w:ascii="Arial" w:eastAsia="Calibri" w:hAnsi="Arial" w:cs="Arial"/>
          <w:i/>
          <w:iCs/>
          <w:color w:val="000000" w:themeColor="text1"/>
          <w:sz w:val="22"/>
          <w:lang w:val="es-ES_tradnl"/>
        </w:rPr>
        <w:t>entre otros</w:t>
      </w:r>
      <w:r w:rsidRPr="00CE5D83">
        <w:rPr>
          <w:rFonts w:ascii="Arial" w:eastAsia="Calibri" w:hAnsi="Arial" w:cs="Arial"/>
          <w:color w:val="000000" w:themeColor="text1"/>
          <w:sz w:val="22"/>
          <w:lang w:val="es-ES_tradnl"/>
        </w:rPr>
        <w:t xml:space="preserve">, los siguientes: i) la capacidad jurídica; ii) la experiencia; iii) la capacidad financiera y iv) la capacidad de organización. En efecto, la normativa citada dispone: </w:t>
      </w:r>
    </w:p>
    <w:p w14:paraId="6E89B428" w14:textId="77777777" w:rsidR="007039AC" w:rsidRPr="00CE5D83" w:rsidRDefault="007039AC" w:rsidP="007039AC">
      <w:pPr>
        <w:jc w:val="both"/>
        <w:rPr>
          <w:rFonts w:ascii="Arial" w:eastAsia="Calibri" w:hAnsi="Arial" w:cs="Arial"/>
          <w:color w:val="000000" w:themeColor="text1"/>
          <w:sz w:val="22"/>
          <w:lang w:val="es-ES_tradnl"/>
        </w:rPr>
      </w:pPr>
    </w:p>
    <w:p w14:paraId="33D15818" w14:textId="77777777" w:rsidR="007039AC" w:rsidRPr="00CE5D83" w:rsidRDefault="007039AC" w:rsidP="007039AC">
      <w:pPr>
        <w:ind w:left="709" w:right="709"/>
        <w:jc w:val="both"/>
        <w:rPr>
          <w:rFonts w:ascii="Arial" w:eastAsia="Calibri" w:hAnsi="Arial" w:cs="Arial"/>
          <w:color w:val="000000" w:themeColor="text1"/>
          <w:sz w:val="21"/>
          <w:szCs w:val="21"/>
          <w:lang w:val="es-ES_tradnl"/>
        </w:rPr>
      </w:pPr>
      <w:r w:rsidRPr="00CE5D83">
        <w:rPr>
          <w:rFonts w:ascii="Arial" w:eastAsia="Calibri" w:hAnsi="Arial" w:cs="Arial"/>
          <w:color w:val="000000" w:themeColor="text1"/>
          <w:sz w:val="21"/>
          <w:szCs w:val="21"/>
          <w:lang w:val="es-ES_tradnl"/>
        </w:rPr>
        <w:t xml:space="preserve">Artículo 5. De la Selección Objetiva. </w:t>
      </w:r>
    </w:p>
    <w:p w14:paraId="012D6A69" w14:textId="77777777" w:rsidR="007039AC" w:rsidRPr="00CE5D83" w:rsidRDefault="007039AC" w:rsidP="007039AC">
      <w:pPr>
        <w:spacing w:after="120"/>
        <w:ind w:left="709" w:right="709"/>
        <w:jc w:val="both"/>
        <w:rPr>
          <w:rFonts w:ascii="Arial" w:eastAsia="Calibri" w:hAnsi="Arial" w:cs="Arial"/>
          <w:color w:val="000000" w:themeColor="text1"/>
          <w:sz w:val="21"/>
          <w:szCs w:val="21"/>
          <w:lang w:val="es-ES_tradnl"/>
        </w:rPr>
      </w:pPr>
      <w:r w:rsidRPr="00CE5D83">
        <w:rPr>
          <w:rFonts w:ascii="Arial" w:eastAsia="Calibri" w:hAnsi="Arial" w:cs="Arial"/>
          <w:color w:val="000000" w:themeColor="text1"/>
          <w:sz w:val="21"/>
          <w:szCs w:val="21"/>
          <w:lang w:val="es-ES_tradnl"/>
        </w:rPr>
        <w:t>[…]</w:t>
      </w:r>
    </w:p>
    <w:p w14:paraId="465801E1" w14:textId="77777777" w:rsidR="007039AC" w:rsidRPr="00CE5D83" w:rsidRDefault="007039AC" w:rsidP="007039AC">
      <w:pPr>
        <w:ind w:left="709" w:right="709"/>
        <w:contextualSpacing/>
        <w:jc w:val="both"/>
        <w:rPr>
          <w:rFonts w:ascii="Arial" w:eastAsia="Calibri" w:hAnsi="Arial" w:cs="Arial"/>
          <w:color w:val="000000" w:themeColor="text1"/>
          <w:sz w:val="21"/>
          <w:szCs w:val="21"/>
          <w:lang w:val="es-ES_tradnl"/>
        </w:rPr>
      </w:pPr>
      <w:r w:rsidRPr="00CE5D83">
        <w:rPr>
          <w:rFonts w:ascii="Arial" w:eastAsia="Calibri" w:hAnsi="Arial" w:cs="Arial"/>
          <w:color w:val="000000" w:themeColor="text1"/>
          <w:sz w:val="21"/>
          <w:szCs w:val="21"/>
          <w:lang w:val="es-ES_tradnl"/>
        </w:rPr>
        <w:lastRenderedPageBreak/>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394CF65F" w14:textId="77777777" w:rsidR="007039AC" w:rsidRPr="00CE5D83" w:rsidRDefault="007039AC" w:rsidP="007039AC">
      <w:pPr>
        <w:spacing w:line="276" w:lineRule="auto"/>
        <w:ind w:right="709"/>
        <w:jc w:val="both"/>
        <w:rPr>
          <w:rFonts w:ascii="Arial" w:eastAsia="Calibri" w:hAnsi="Arial" w:cs="Arial"/>
          <w:color w:val="000000" w:themeColor="text1"/>
          <w:sz w:val="22"/>
          <w:lang w:val="es-ES_tradnl"/>
        </w:rPr>
      </w:pPr>
    </w:p>
    <w:p w14:paraId="58947373" w14:textId="77777777" w:rsidR="007039AC" w:rsidRPr="00CE5D83" w:rsidRDefault="007039AC" w:rsidP="007039AC">
      <w:pPr>
        <w:spacing w:after="120" w:line="276" w:lineRule="auto"/>
        <w:ind w:firstLine="709"/>
        <w:jc w:val="both"/>
        <w:rPr>
          <w:rFonts w:ascii="Arial" w:eastAsia="Calibri" w:hAnsi="Arial" w:cs="Arial"/>
          <w:color w:val="000000" w:themeColor="text1"/>
          <w:sz w:val="22"/>
          <w:lang w:val="es-ES_tradnl"/>
        </w:rPr>
      </w:pPr>
      <w:r w:rsidRPr="00CE5D83">
        <w:rPr>
          <w:rFonts w:ascii="Arial" w:hAnsi="Arial" w:cs="Arial"/>
          <w:color w:val="000000" w:themeColor="text1"/>
          <w:sz w:val="22"/>
          <w:lang w:val="es-ES_tradnl"/>
        </w:rPr>
        <w:t xml:space="preserve">Una vez fijados los requisitos habilitantes por la entidad estatal, quienes presenten ofertas deben </w:t>
      </w:r>
      <w:r w:rsidRPr="00CE5D83">
        <w:rPr>
          <w:rFonts w:ascii="Arial" w:hAnsi="Arial" w:cs="Arial"/>
          <w:bCs/>
          <w:i/>
          <w:iCs/>
          <w:color w:val="000000" w:themeColor="text1"/>
          <w:sz w:val="22"/>
          <w:lang w:val="es-ES_tradnl"/>
        </w:rPr>
        <w:t>acreditar</w:t>
      </w:r>
      <w:r w:rsidRPr="00CE5D83">
        <w:rPr>
          <w:rFonts w:ascii="Arial" w:hAnsi="Arial" w:cs="Arial"/>
          <w:color w:val="000000" w:themeColor="text1"/>
          <w:sz w:val="22"/>
          <w:lang w:val="es-ES_tradnl"/>
        </w:rPr>
        <w:t xml:space="preserve"> que cumplen con los mismos, pues, en el evento contrario, las propuestas deberán ser rechazadas. </w:t>
      </w:r>
      <w:r w:rsidRPr="00CE5D83">
        <w:rPr>
          <w:rFonts w:ascii="Arial" w:eastAsia="Calibri" w:hAnsi="Arial" w:cs="Arial"/>
          <w:color w:val="000000" w:themeColor="text1"/>
          <w:sz w:val="22"/>
          <w:lang w:val="es-ES_tradnl"/>
        </w:rPr>
        <w:t>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sidRPr="00CE5D83">
        <w:rPr>
          <w:rFonts w:ascii="Arial" w:eastAsia="Calibri" w:hAnsi="Arial" w:cs="Arial"/>
          <w:color w:val="000000" w:themeColor="text1"/>
          <w:sz w:val="22"/>
          <w:vertAlign w:val="superscript"/>
          <w:lang w:val="es-ES_tradnl"/>
        </w:rPr>
        <w:footnoteReference w:id="3"/>
      </w:r>
      <w:r w:rsidRPr="00CE5D83">
        <w:rPr>
          <w:rFonts w:ascii="Arial" w:eastAsia="Calibri" w:hAnsi="Arial" w:cs="Arial"/>
          <w:color w:val="000000" w:themeColor="text1"/>
          <w:sz w:val="22"/>
          <w:lang w:val="es-ES_tradnl"/>
        </w:rPr>
        <w:t xml:space="preserve">. </w:t>
      </w:r>
    </w:p>
    <w:p w14:paraId="74C62F2E" w14:textId="77777777" w:rsidR="007A58B1" w:rsidRDefault="007039AC" w:rsidP="007039AC">
      <w:pPr>
        <w:spacing w:before="120" w:after="120" w:line="276" w:lineRule="auto"/>
        <w:ind w:firstLine="709"/>
        <w:contextualSpacing/>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De la misma manera es pertinente mencionar que existen determinados procesos en donde se excepciona el uso del mencionado registro y de la clasificación del proponente, siendo estos los siguientes: contratación directa, contratos para la prestación de servicios de salud, contratos de mínima cuantía, entre otros puestos de presente por el artículo 6 de la Ley 1150 de 2007</w:t>
      </w:r>
      <w:r w:rsidRPr="00CE5D83">
        <w:rPr>
          <w:rFonts w:ascii="Arial" w:eastAsia="Calibri" w:hAnsi="Arial" w:cs="Arial"/>
          <w:color w:val="000000" w:themeColor="text1"/>
          <w:sz w:val="22"/>
          <w:vertAlign w:val="superscript"/>
          <w:lang w:val="es-ES_tradnl"/>
        </w:rPr>
        <w:footnoteReference w:id="4"/>
      </w:r>
      <w:r w:rsidRPr="00CE5D83">
        <w:rPr>
          <w:rFonts w:ascii="Arial" w:eastAsia="Calibri" w:hAnsi="Arial" w:cs="Arial"/>
          <w:color w:val="000000" w:themeColor="text1"/>
          <w:sz w:val="22"/>
          <w:lang w:val="es-ES_tradnl"/>
        </w:rPr>
        <w:t xml:space="preserve">. </w:t>
      </w:r>
    </w:p>
    <w:p w14:paraId="2E0AAE7E" w14:textId="77777777" w:rsidR="007A58B1" w:rsidRDefault="007A58B1" w:rsidP="007039AC">
      <w:pPr>
        <w:spacing w:before="120" w:after="120" w:line="276" w:lineRule="auto"/>
        <w:ind w:firstLine="709"/>
        <w:contextualSpacing/>
        <w:jc w:val="both"/>
        <w:rPr>
          <w:rFonts w:ascii="Arial" w:eastAsia="Calibri" w:hAnsi="Arial" w:cs="Arial"/>
          <w:color w:val="000000" w:themeColor="text1"/>
          <w:sz w:val="22"/>
          <w:lang w:val="es-ES_tradnl"/>
        </w:rPr>
      </w:pPr>
    </w:p>
    <w:p w14:paraId="59C04668" w14:textId="416D47FE" w:rsidR="007039AC" w:rsidRPr="00CE5D83" w:rsidRDefault="007039AC" w:rsidP="007039AC">
      <w:pPr>
        <w:tabs>
          <w:tab w:val="left" w:pos="0"/>
        </w:tabs>
        <w:spacing w:line="276" w:lineRule="auto"/>
        <w:jc w:val="both"/>
        <w:rPr>
          <w:rFonts w:ascii="Arial" w:eastAsia="Calibri" w:hAnsi="Arial" w:cs="Arial"/>
          <w:b/>
          <w:color w:val="000000" w:themeColor="text1"/>
          <w:sz w:val="22"/>
          <w:lang w:val="es-ES_tradnl"/>
        </w:rPr>
      </w:pPr>
      <w:r w:rsidRPr="00CE5D83">
        <w:rPr>
          <w:rFonts w:ascii="Arial" w:eastAsia="Calibri" w:hAnsi="Arial" w:cs="Arial"/>
          <w:b/>
          <w:color w:val="000000" w:themeColor="text1"/>
          <w:sz w:val="22"/>
          <w:lang w:val="es-ES_tradnl"/>
        </w:rPr>
        <w:t>2.</w:t>
      </w:r>
      <w:r w:rsidR="00F206CA">
        <w:rPr>
          <w:rFonts w:ascii="Arial" w:eastAsia="Calibri" w:hAnsi="Arial" w:cs="Arial"/>
          <w:b/>
          <w:color w:val="000000" w:themeColor="text1"/>
          <w:sz w:val="22"/>
          <w:lang w:val="es-ES_tradnl"/>
        </w:rPr>
        <w:t>2</w:t>
      </w:r>
      <w:r w:rsidRPr="00CE5D83">
        <w:rPr>
          <w:rFonts w:ascii="Arial" w:eastAsia="Calibri" w:hAnsi="Arial" w:cs="Arial"/>
          <w:b/>
          <w:color w:val="000000" w:themeColor="text1"/>
          <w:sz w:val="22"/>
          <w:lang w:val="es-ES_tradnl"/>
        </w:rPr>
        <w:t>. Carácter enunciativo de los requisitos habilitantes previstos en el artículo 5, numeral 1, de la Ley 1150 de 2007 y autonomía de la voluntad de las entidades estatales para establecerlos</w:t>
      </w:r>
    </w:p>
    <w:p w14:paraId="4059F1B4" w14:textId="77777777" w:rsidR="007039AC" w:rsidRPr="00CE5D83" w:rsidRDefault="007039AC" w:rsidP="007039AC">
      <w:pPr>
        <w:spacing w:line="276" w:lineRule="auto"/>
        <w:jc w:val="both"/>
        <w:rPr>
          <w:rFonts w:ascii="Arial" w:hAnsi="Arial" w:cs="Arial"/>
          <w:color w:val="000000" w:themeColor="text1"/>
          <w:sz w:val="22"/>
          <w:lang w:val="es-ES_tradnl"/>
        </w:rPr>
      </w:pPr>
    </w:p>
    <w:p w14:paraId="559A4BC6" w14:textId="77777777" w:rsidR="007039AC" w:rsidRPr="00CE5D83" w:rsidRDefault="007039AC" w:rsidP="007039AC">
      <w:pPr>
        <w:spacing w:line="276" w:lineRule="auto"/>
        <w:jc w:val="both"/>
        <w:rPr>
          <w:rFonts w:ascii="Arial" w:hAnsi="Arial" w:cs="Arial"/>
          <w:color w:val="000000" w:themeColor="text1"/>
          <w:sz w:val="22"/>
          <w:lang w:val="es-ES_tradnl"/>
        </w:rPr>
      </w:pPr>
      <w:r w:rsidRPr="00CE5D83">
        <w:rPr>
          <w:rFonts w:ascii="Arial" w:hAnsi="Arial" w:cs="Arial"/>
          <w:color w:val="000000" w:themeColor="text1"/>
          <w:sz w:val="22"/>
          <w:lang w:val="es-ES_tradnl"/>
        </w:rPr>
        <w:t>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Pr="00CE5D83">
        <w:rPr>
          <w:rFonts w:ascii="Arial" w:hAnsi="Arial" w:cs="Arial"/>
          <w:color w:val="000000" w:themeColor="text1"/>
          <w:sz w:val="22"/>
          <w:vertAlign w:val="superscript"/>
          <w:lang w:val="es-ES_tradnl"/>
        </w:rPr>
        <w:footnoteReference w:id="5"/>
      </w:r>
      <w:r w:rsidRPr="00CE5D83">
        <w:rPr>
          <w:rFonts w:ascii="Arial" w:hAnsi="Arial" w:cs="Arial"/>
          <w:color w:val="000000" w:themeColor="text1"/>
          <w:sz w:val="22"/>
          <w:lang w:val="es-ES_tradnl"/>
        </w:rPr>
        <w:t xml:space="preserve">. Esta segunda respuesta contiene la interpretación jurídica que comparte la Agencia Nacional de Contratación Pública. </w:t>
      </w:r>
    </w:p>
    <w:p w14:paraId="1B59CC6A" w14:textId="77777777" w:rsidR="007039AC" w:rsidRPr="00CE5D83" w:rsidRDefault="007039AC" w:rsidP="007039AC">
      <w:pPr>
        <w:spacing w:before="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Existen otros argumentos que sustentan dicha elección interpretativa. Como lo han considerado la Corte Constitucional</w:t>
      </w:r>
      <w:r w:rsidRPr="00CE5D83">
        <w:rPr>
          <w:rFonts w:ascii="Arial" w:hAnsi="Arial" w:cs="Arial"/>
          <w:color w:val="000000" w:themeColor="text1"/>
          <w:sz w:val="22"/>
          <w:vertAlign w:val="superscript"/>
          <w:lang w:val="es-ES_tradnl"/>
        </w:rPr>
        <w:footnoteReference w:id="6"/>
      </w:r>
      <w:r w:rsidRPr="00CE5D83">
        <w:rPr>
          <w:rFonts w:ascii="Arial" w:hAnsi="Arial" w:cs="Arial"/>
          <w:color w:val="000000" w:themeColor="text1"/>
          <w:sz w:val="22"/>
          <w:lang w:val="es-ES_tradnl"/>
        </w:rPr>
        <w:t xml:space="preserve"> y el Consejo de Estado</w:t>
      </w:r>
      <w:r w:rsidRPr="00CE5D83">
        <w:rPr>
          <w:rFonts w:ascii="Arial" w:hAnsi="Arial" w:cs="Arial"/>
          <w:color w:val="000000" w:themeColor="text1"/>
          <w:sz w:val="22"/>
          <w:vertAlign w:val="superscript"/>
          <w:lang w:val="es-ES_tradnl"/>
        </w:rPr>
        <w:footnoteReference w:id="7"/>
      </w:r>
      <w:r w:rsidRPr="00CE5D83">
        <w:rPr>
          <w:rFonts w:ascii="Arial" w:hAnsi="Arial" w:cs="Arial"/>
          <w:color w:val="000000" w:themeColor="text1"/>
          <w:sz w:val="22"/>
          <w:lang w:val="es-ES_tradnl"/>
        </w:rPr>
        <w:t xml:space="preserve">,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w:t>
      </w:r>
      <w:r w:rsidRPr="00CE5D83">
        <w:rPr>
          <w:rFonts w:ascii="Arial" w:hAnsi="Arial" w:cs="Arial"/>
          <w:color w:val="000000" w:themeColor="text1"/>
          <w:sz w:val="22"/>
          <w:lang w:val="es-ES_tradnl"/>
        </w:rPr>
        <w:lastRenderedPageBreak/>
        <w:t>intención del legislador era que solo fueran requisitos habilitantes los cuatro que contiene el numeral 1 de dicha disposición, ¿cómo se explica que el referido parágrafo aclare que «</w:t>
      </w:r>
      <w:r w:rsidRPr="00CE5D83">
        <w:rPr>
          <w:rFonts w:ascii="Arial" w:hAnsi="Arial" w:cs="Arial"/>
          <w:color w:val="000000" w:themeColor="text1"/>
          <w:lang w:val="es-ES_tradnl"/>
        </w:rPr>
        <w:t>l</w:t>
      </w:r>
      <w:r w:rsidRPr="00CE5D83">
        <w:rPr>
          <w:rFonts w:ascii="Arial" w:hAnsi="Arial" w:cs="Arial"/>
          <w:color w:val="000000" w:themeColor="text1"/>
          <w:sz w:val="22"/>
          <w:lang w:val="es-ES_tradnl"/>
        </w:rPr>
        <w:t xml:space="preserve">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5F03BE0C" w14:textId="6BAB9235" w:rsidR="007039AC" w:rsidRPr="00CE5D83" w:rsidRDefault="007039AC" w:rsidP="007039AC">
      <w:pPr>
        <w:spacing w:before="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 xml:space="preserve">La intención del legislador, de la cual dan cuenta los antecedentes legislativos de la norma </w:t>
      </w:r>
      <w:r w:rsidRPr="00CE5D83">
        <w:rPr>
          <w:rFonts w:ascii="Arial" w:hAnsi="Arial" w:cs="Arial"/>
          <w:i/>
          <w:iCs/>
          <w:color w:val="000000" w:themeColor="text1"/>
          <w:sz w:val="22"/>
          <w:lang w:val="es-ES_tradnl"/>
        </w:rPr>
        <w:t>sub examine</w:t>
      </w:r>
      <w:r w:rsidRPr="00CE5D83">
        <w:rPr>
          <w:rFonts w:ascii="Arial" w:hAnsi="Arial" w:cs="Arial"/>
          <w:color w:val="000000" w:themeColor="text1"/>
          <w:sz w:val="22"/>
          <w:lang w:val="es-ES_tradnl"/>
        </w:rPr>
        <w:t>, también justifica la interpretación propuesta por esta Agencia, ya que fue hasta el cuarto debate legislativo en donde se incluyó el parágrafo comentado anteriormente</w:t>
      </w:r>
      <w:r w:rsidRPr="00CE5D83">
        <w:rPr>
          <w:rFonts w:ascii="Arial" w:hAnsi="Arial" w:cs="Arial"/>
          <w:color w:val="000000" w:themeColor="text1"/>
          <w:sz w:val="22"/>
          <w:vertAlign w:val="superscript"/>
          <w:lang w:val="es-ES_tradnl"/>
        </w:rPr>
        <w:footnoteReference w:id="8"/>
      </w:r>
      <w:r w:rsidRPr="00CE5D83">
        <w:rPr>
          <w:rFonts w:ascii="Arial" w:hAnsi="Arial" w:cs="Arial"/>
          <w:color w:val="000000" w:themeColor="text1"/>
          <w:sz w:val="22"/>
          <w:lang w:val="es-ES_tradnl"/>
        </w:rPr>
        <w:t>, lo que deja ver la necesidad que tenía el Congreso de aclarar que unos documentos no podrían ser tenidos como requisitos habilitantes, lo que da cuenta, a su vez, del reconocimiento tácito de la existencia de otros requisitos habilitantes, distintos a los cuatro que establece el artículo 5, parágrafo 1, de la Ley 1150 de 2007</w:t>
      </w:r>
      <w:r w:rsidR="00533EDC">
        <w:rPr>
          <w:rFonts w:ascii="Arial" w:hAnsi="Arial" w:cs="Arial"/>
          <w:color w:val="000000" w:themeColor="text1"/>
          <w:sz w:val="22"/>
          <w:lang w:val="es-ES_tradnl"/>
        </w:rPr>
        <w:t>, reglamentados en el artículo</w:t>
      </w:r>
      <w:r w:rsidR="00DB06A8">
        <w:rPr>
          <w:rFonts w:ascii="Arial" w:hAnsi="Arial" w:cs="Arial"/>
          <w:color w:val="000000" w:themeColor="text1"/>
          <w:sz w:val="22"/>
          <w:lang w:val="es-ES_tradnl"/>
        </w:rPr>
        <w:t xml:space="preserve"> </w:t>
      </w:r>
      <w:r w:rsidR="00DB06A8" w:rsidRPr="00DB06A8">
        <w:rPr>
          <w:rFonts w:ascii="Arial" w:hAnsi="Arial" w:cs="Arial"/>
          <w:color w:val="000000" w:themeColor="text1"/>
          <w:sz w:val="22"/>
          <w:lang w:val="es-ES_tradnl"/>
        </w:rPr>
        <w:t>2.2.1.1.1.5.3</w:t>
      </w:r>
      <w:r w:rsidR="00DB06A8">
        <w:rPr>
          <w:rFonts w:ascii="Arial" w:hAnsi="Arial" w:cs="Arial"/>
          <w:color w:val="000000" w:themeColor="text1"/>
          <w:sz w:val="22"/>
          <w:lang w:val="es-ES_tradnl"/>
        </w:rPr>
        <w:t xml:space="preserve"> del Decreto 1082 de 2015</w:t>
      </w:r>
      <w:r w:rsidR="00DB06A8">
        <w:rPr>
          <w:rStyle w:val="Refdenotaalpie"/>
          <w:rFonts w:ascii="Arial" w:hAnsi="Arial" w:cs="Arial"/>
          <w:color w:val="000000" w:themeColor="text1"/>
          <w:sz w:val="22"/>
          <w:lang w:val="es-ES_tradnl"/>
        </w:rPr>
        <w:footnoteReference w:id="9"/>
      </w:r>
      <w:r w:rsidR="00DB06A8">
        <w:rPr>
          <w:rFonts w:ascii="Arial" w:hAnsi="Arial" w:cs="Arial"/>
          <w:color w:val="000000" w:themeColor="text1"/>
          <w:sz w:val="22"/>
          <w:lang w:val="es-ES_tradnl"/>
        </w:rPr>
        <w:t>.</w:t>
      </w:r>
    </w:p>
    <w:p w14:paraId="2D9EAD66" w14:textId="77777777" w:rsidR="007039AC" w:rsidRPr="00CE5D83" w:rsidRDefault="007039AC" w:rsidP="007039AC">
      <w:pPr>
        <w:spacing w:before="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lastRenderedPageBreak/>
        <w:t xml:space="preserve">Por otro lado, en el referido «Manual para determinar y verificar los requisitos habilitantes en los Procesos de Contratación» se determinaron los parámetros para </w:t>
      </w:r>
      <w:r w:rsidRPr="00CE5D83">
        <w:rPr>
          <w:rFonts w:ascii="Arial" w:hAnsi="Arial" w:cs="Arial"/>
          <w:i/>
          <w:iCs/>
          <w:color w:val="000000" w:themeColor="text1"/>
          <w:sz w:val="22"/>
          <w:lang w:val="es-ES_tradnl"/>
        </w:rPr>
        <w:t>establecer</w:t>
      </w:r>
      <w:r w:rsidRPr="00CE5D83">
        <w:rPr>
          <w:rFonts w:ascii="Arial" w:hAnsi="Arial" w:cs="Arial"/>
          <w:color w:val="000000" w:themeColor="text1"/>
          <w:sz w:val="22"/>
          <w:lang w:val="es-ES_tradnl"/>
        </w:rPr>
        <w:t xml:space="preserve">, </w:t>
      </w:r>
      <w:r w:rsidRPr="00CE5D83">
        <w:rPr>
          <w:rFonts w:ascii="Arial" w:hAnsi="Arial" w:cs="Arial"/>
          <w:i/>
          <w:iCs/>
          <w:color w:val="000000" w:themeColor="text1"/>
          <w:sz w:val="22"/>
          <w:lang w:val="es-ES_tradnl"/>
        </w:rPr>
        <w:t>acreditar</w:t>
      </w:r>
      <w:r w:rsidRPr="00CE5D83">
        <w:rPr>
          <w:rFonts w:ascii="Arial" w:hAnsi="Arial" w:cs="Arial"/>
          <w:color w:val="000000" w:themeColor="text1"/>
          <w:sz w:val="22"/>
          <w:lang w:val="es-ES_tradnl"/>
        </w:rPr>
        <w:t xml:space="preserve"> y </w:t>
      </w:r>
      <w:r w:rsidRPr="00CE5D83">
        <w:rPr>
          <w:rFonts w:ascii="Arial" w:hAnsi="Arial" w:cs="Arial"/>
          <w:i/>
          <w:iCs/>
          <w:color w:val="000000" w:themeColor="text1"/>
          <w:sz w:val="22"/>
          <w:lang w:val="es-ES_tradnl"/>
        </w:rPr>
        <w:t>subsanar</w:t>
      </w:r>
      <w:r w:rsidRPr="00CE5D83">
        <w:rPr>
          <w:rFonts w:ascii="Arial" w:hAnsi="Arial" w:cs="Arial"/>
          <w:color w:val="000000" w:themeColor="text1"/>
          <w:sz w:val="22"/>
          <w:lang w:val="es-ES_tradnl"/>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3B6EF021" w14:textId="259D8A96" w:rsidR="007039AC" w:rsidRPr="00CE5D83" w:rsidRDefault="007039AC" w:rsidP="007039AC">
      <w:pPr>
        <w:spacing w:before="120" w:after="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 xml:space="preserve">En consecuencia, corresponde a las entidades estatales, durante la etapa de planeación del contrato estatal, estudiar y </w:t>
      </w:r>
      <w:r w:rsidRPr="00CE5D83">
        <w:rPr>
          <w:rFonts w:ascii="Arial" w:hAnsi="Arial" w:cs="Arial"/>
          <w:bCs/>
          <w:iCs/>
          <w:color w:val="000000" w:themeColor="text1"/>
          <w:sz w:val="22"/>
          <w:lang w:val="es-ES_tradnl"/>
        </w:rPr>
        <w:t>determinar</w:t>
      </w:r>
      <w:r w:rsidRPr="00CE5D83">
        <w:rPr>
          <w:rFonts w:ascii="Arial" w:hAnsi="Arial" w:cs="Arial"/>
          <w:color w:val="000000" w:themeColor="text1"/>
          <w:sz w:val="22"/>
          <w:lang w:val="es-ES_tradnl"/>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30262D">
        <w:rPr>
          <w:rFonts w:ascii="Arial" w:hAnsi="Arial" w:cs="Arial"/>
          <w:color w:val="000000" w:themeColor="text1"/>
          <w:sz w:val="22"/>
          <w:lang w:val="es-ES_tradnl"/>
        </w:rPr>
        <w:t>riesgos</w:t>
      </w:r>
      <w:r w:rsidRPr="00556FD3">
        <w:rPr>
          <w:rFonts w:ascii="Arial" w:hAnsi="Arial" w:cs="Arial"/>
          <w:color w:val="000000" w:themeColor="text1"/>
          <w:sz w:val="22"/>
          <w:lang w:val="es-ES_tradnl"/>
        </w:rPr>
        <w:t xml:space="preserve"> </w:t>
      </w:r>
      <w:r w:rsidRPr="0030262D">
        <w:rPr>
          <w:rFonts w:ascii="Arial" w:hAnsi="Arial" w:cs="Arial"/>
          <w:color w:val="000000" w:themeColor="text1"/>
          <w:sz w:val="22"/>
          <w:lang w:val="es-ES_tradnl"/>
        </w:rPr>
        <w:t>asociados al contrato</w:t>
      </w:r>
      <w:r w:rsidRPr="00CE5D83">
        <w:rPr>
          <w:rFonts w:ascii="Arial" w:hAnsi="Arial" w:cs="Arial"/>
          <w:color w:val="000000" w:themeColor="text1"/>
          <w:sz w:val="22"/>
          <w:lang w:val="es-ES_tradnl"/>
        </w:rPr>
        <w:t>, el plazo y la complejidad de ejecución del objeto</w:t>
      </w:r>
      <w:r w:rsidR="0001523C">
        <w:rPr>
          <w:rStyle w:val="Refdenotaalpie"/>
          <w:rFonts w:ascii="Arial" w:hAnsi="Arial" w:cs="Arial"/>
          <w:b/>
          <w:sz w:val="22"/>
          <w:szCs w:val="22"/>
          <w:lang w:val="es-ES" w:eastAsia="es-ES_tradnl"/>
        </w:rPr>
        <w:footnoteReference w:id="10"/>
      </w:r>
      <w:r w:rsidRPr="00CE5D83">
        <w:rPr>
          <w:rFonts w:ascii="Arial" w:hAnsi="Arial" w:cs="Arial"/>
          <w:color w:val="000000" w:themeColor="text1"/>
          <w:sz w:val="22"/>
          <w:lang w:val="es-ES_tradnl"/>
        </w:rPr>
        <w:t xml:space="preserve">.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14:paraId="29FF062B" w14:textId="77777777" w:rsidR="007039AC" w:rsidRPr="00CE5D83" w:rsidRDefault="007039AC" w:rsidP="007039AC">
      <w:pPr>
        <w:spacing w:before="120" w:after="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 xml:space="preserve">Al respecto, en la Sentencia C-004 de 2017, la Corte Constitucional señaló que «[l]a determinación de dichas condiciones habilitantes para participar, es competencia de la entidad que planee la celebración del contrato, a través de la valoración en concreto de las </w:t>
      </w:r>
      <w:r w:rsidRPr="00CE5D83">
        <w:rPr>
          <w:rFonts w:ascii="Arial" w:hAnsi="Arial" w:cs="Arial"/>
          <w:color w:val="000000" w:themeColor="text1"/>
          <w:sz w:val="22"/>
          <w:lang w:val="es-ES_tradnl"/>
        </w:rPr>
        <w:lastRenderedPageBreak/>
        <w:t>características mínimas de idoneidad, experiencia, capacidad jurídica y financiera para que la realización del objeto contractual resulte eficiente y eficaz frente a la necesidad identificada».</w:t>
      </w:r>
    </w:p>
    <w:p w14:paraId="379C73D7" w14:textId="53B16D2E" w:rsidR="007039AC" w:rsidRDefault="007039AC" w:rsidP="007039AC">
      <w:pPr>
        <w:spacing w:before="120" w:after="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 xml:space="preserve">El </w:t>
      </w:r>
      <w:r w:rsidRPr="00CE5D83">
        <w:rPr>
          <w:rFonts w:ascii="Arial" w:hAnsi="Arial" w:cs="Arial"/>
          <w:i/>
          <w:iCs/>
          <w:color w:val="000000" w:themeColor="text1"/>
          <w:sz w:val="22"/>
          <w:lang w:val="es-ES_tradnl"/>
        </w:rPr>
        <w:t>principio de autonomía de la voluntad</w:t>
      </w:r>
      <w:r w:rsidRPr="00CE5D83">
        <w:rPr>
          <w:rFonts w:ascii="Arial" w:hAnsi="Arial" w:cs="Arial"/>
          <w:color w:val="000000" w:themeColor="text1"/>
          <w:sz w:val="22"/>
          <w:lang w:val="es-ES_tradnl"/>
        </w:rPr>
        <w:t>,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18AF370F" w14:textId="04E8E4E6" w:rsidR="00A81B31" w:rsidRPr="00CE5D83" w:rsidRDefault="00A81B31" w:rsidP="00A81B31">
      <w:pPr>
        <w:spacing w:before="120" w:line="276" w:lineRule="auto"/>
        <w:ind w:firstLine="709"/>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 xml:space="preserve">Considerando la discrecionalidad para establecer requisitos habilitantes, es necesario tener en cuenta que </w:t>
      </w:r>
      <w:r w:rsidRPr="00CE5D83">
        <w:rPr>
          <w:rFonts w:ascii="Arial" w:eastAsia="Calibri" w:hAnsi="Arial" w:cs="Arial"/>
          <w:sz w:val="22"/>
        </w:rPr>
        <w:t xml:space="preserve">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w:t>
      </w:r>
      <w:r w:rsidR="005C6BBE">
        <w:rPr>
          <w:rFonts w:ascii="Arial" w:eastAsia="Calibri" w:hAnsi="Arial" w:cs="Arial"/>
          <w:sz w:val="22"/>
        </w:rPr>
        <w:t>Dado lo anterior, para</w:t>
      </w:r>
      <w:r w:rsidRPr="00CE5D83">
        <w:rPr>
          <w:rFonts w:ascii="Arial" w:eastAsia="Calibri" w:hAnsi="Arial" w:cs="Arial"/>
          <w:sz w:val="22"/>
        </w:rPr>
        <w:t xml:space="preserve"> efectos </w:t>
      </w:r>
      <w:r>
        <w:rPr>
          <w:rFonts w:ascii="Arial" w:eastAsia="Calibri" w:hAnsi="Arial" w:cs="Arial"/>
          <w:sz w:val="22"/>
        </w:rPr>
        <w:t xml:space="preserve">de </w:t>
      </w:r>
      <w:r w:rsidR="005C6BBE">
        <w:rPr>
          <w:rFonts w:ascii="Arial" w:eastAsia="Calibri" w:hAnsi="Arial" w:cs="Arial"/>
          <w:sz w:val="22"/>
        </w:rPr>
        <w:t xml:space="preserve">configurar requisitos habilitantes como el sugerido en la consulta, la entidad </w:t>
      </w:r>
      <w:r w:rsidRPr="00CE5D83">
        <w:rPr>
          <w:rFonts w:ascii="Arial" w:eastAsia="Calibri" w:hAnsi="Arial" w:cs="Arial"/>
          <w:sz w:val="22"/>
        </w:rPr>
        <w:t>la carga justificativa de la entidad en los estudios previos</w:t>
      </w:r>
      <w:r w:rsidR="00DB06A8">
        <w:rPr>
          <w:rFonts w:ascii="Arial" w:eastAsia="Calibri" w:hAnsi="Arial" w:cs="Arial"/>
          <w:sz w:val="22"/>
        </w:rPr>
        <w:t xml:space="preserve"> y análisis del sector</w:t>
      </w:r>
      <w:r w:rsidRPr="00CE5D83">
        <w:rPr>
          <w:rFonts w:ascii="Arial" w:eastAsia="Calibri" w:hAnsi="Arial" w:cs="Arial"/>
          <w:sz w:val="22"/>
        </w:rPr>
        <w:t xml:space="preserve"> del proceso de selección</w:t>
      </w:r>
      <w:r w:rsidR="008A7D7A">
        <w:rPr>
          <w:rFonts w:ascii="Arial" w:eastAsia="Calibri" w:hAnsi="Arial" w:cs="Arial"/>
          <w:sz w:val="22"/>
        </w:rPr>
        <w:t>, de conformidad con el artículo</w:t>
      </w:r>
      <w:r w:rsidRPr="00CE5D83">
        <w:rPr>
          <w:rFonts w:ascii="Arial" w:eastAsia="Calibri" w:hAnsi="Arial" w:cs="Arial"/>
          <w:color w:val="000000" w:themeColor="text1"/>
          <w:sz w:val="22"/>
          <w:lang w:val="es-ES_tradnl"/>
        </w:rPr>
        <w:t xml:space="preserve"> </w:t>
      </w:r>
      <w:r w:rsidR="006929FC" w:rsidRPr="006929FC">
        <w:rPr>
          <w:rFonts w:ascii="Arial" w:eastAsia="Calibri" w:hAnsi="Arial" w:cs="Arial"/>
          <w:color w:val="000000" w:themeColor="text1"/>
          <w:sz w:val="22"/>
          <w:lang w:val="es-ES_tradnl"/>
        </w:rPr>
        <w:t>2.2.1.1.1.6.2</w:t>
      </w:r>
      <w:r w:rsidR="006929FC">
        <w:rPr>
          <w:rFonts w:ascii="Arial" w:eastAsia="Calibri" w:hAnsi="Arial" w:cs="Arial"/>
          <w:color w:val="000000" w:themeColor="text1"/>
          <w:sz w:val="22"/>
          <w:lang w:val="es-ES_tradnl"/>
        </w:rPr>
        <w:t xml:space="preserve"> del Decreto 1082 de 2015</w:t>
      </w:r>
      <w:r w:rsidR="00DC12B9">
        <w:rPr>
          <w:rFonts w:ascii="Arial" w:eastAsia="Calibri" w:hAnsi="Arial" w:cs="Arial"/>
          <w:color w:val="000000" w:themeColor="text1"/>
          <w:sz w:val="22"/>
          <w:lang w:val="es-ES_tradnl"/>
        </w:rPr>
        <w:t>.</w:t>
      </w:r>
    </w:p>
    <w:p w14:paraId="0814DF3E" w14:textId="77777777" w:rsidR="007039AC" w:rsidRPr="00CE5D83" w:rsidRDefault="007039AC" w:rsidP="007039AC">
      <w:pPr>
        <w:tabs>
          <w:tab w:val="left" w:pos="426"/>
        </w:tabs>
        <w:spacing w:before="120" w:line="276" w:lineRule="auto"/>
        <w:ind w:firstLine="709"/>
        <w:jc w:val="both"/>
        <w:rPr>
          <w:rFonts w:ascii="Arial" w:eastAsia="Calibri" w:hAnsi="Arial" w:cs="Arial"/>
          <w:bCs/>
          <w:sz w:val="22"/>
          <w:lang w:val="es-ES_tradnl"/>
        </w:rPr>
      </w:pPr>
      <w:r w:rsidRPr="00CE5D83">
        <w:rPr>
          <w:rFonts w:ascii="Arial" w:eastAsia="Calibri" w:hAnsi="Arial" w:cs="Arial"/>
          <w:color w:val="000000" w:themeColor="text1"/>
          <w:sz w:val="22"/>
          <w:lang w:val="es-ES_tradnl"/>
        </w:rPr>
        <w:t xml:space="preserve">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 </w:t>
      </w:r>
    </w:p>
    <w:p w14:paraId="794106BE" w14:textId="77777777" w:rsidR="00DF3130" w:rsidRPr="00564571" w:rsidRDefault="00DF3130" w:rsidP="00DF3130">
      <w:pPr>
        <w:spacing w:line="276" w:lineRule="auto"/>
        <w:ind w:firstLine="709"/>
        <w:contextualSpacing/>
        <w:jc w:val="both"/>
        <w:rPr>
          <w:rFonts w:ascii="Arial" w:hAnsi="Arial" w:cs="Arial"/>
          <w:sz w:val="22"/>
          <w:szCs w:val="22"/>
        </w:rPr>
      </w:pPr>
    </w:p>
    <w:p w14:paraId="4EACAE58" w14:textId="77777777" w:rsidR="00DF3130" w:rsidRPr="00564571" w:rsidRDefault="00DF3130" w:rsidP="00DF3130">
      <w:pPr>
        <w:tabs>
          <w:tab w:val="left" w:pos="709"/>
        </w:tabs>
        <w:spacing w:line="276" w:lineRule="auto"/>
        <w:contextualSpacing/>
        <w:jc w:val="both"/>
        <w:rPr>
          <w:rFonts w:ascii="Arial" w:eastAsia="Calibri" w:hAnsi="Arial" w:cs="Arial"/>
          <w:b/>
          <w:sz w:val="22"/>
          <w:szCs w:val="22"/>
          <w:lang w:val="es-ES"/>
        </w:rPr>
      </w:pPr>
      <w:r w:rsidRPr="00564571">
        <w:rPr>
          <w:rFonts w:ascii="Arial" w:eastAsia="Calibri" w:hAnsi="Arial" w:cs="Arial"/>
          <w:b/>
          <w:sz w:val="22"/>
          <w:szCs w:val="22"/>
          <w:lang w:val="es-ES"/>
        </w:rPr>
        <w:t>3. Respuesta</w:t>
      </w:r>
    </w:p>
    <w:p w14:paraId="51A9419B" w14:textId="77777777" w:rsidR="00DF3130" w:rsidRPr="00564571" w:rsidRDefault="00DF3130" w:rsidP="00DF3130">
      <w:pPr>
        <w:ind w:right="709"/>
        <w:contextualSpacing/>
        <w:jc w:val="both"/>
        <w:rPr>
          <w:rFonts w:ascii="Arial" w:eastAsia="Calibri" w:hAnsi="Arial" w:cs="Arial"/>
          <w:sz w:val="22"/>
          <w:szCs w:val="22"/>
          <w:lang w:val="es-ES_tradnl"/>
        </w:rPr>
      </w:pPr>
    </w:p>
    <w:p w14:paraId="3D33EA73" w14:textId="43A0C414" w:rsidR="00DC12B9" w:rsidRDefault="00AA7104" w:rsidP="0030262D">
      <w:pPr>
        <w:pStyle w:val="gmail-msonospacing"/>
        <w:spacing w:before="0" w:beforeAutospacing="0" w:after="0" w:afterAutospacing="0"/>
        <w:ind w:left="708" w:right="900"/>
        <w:jc w:val="both"/>
        <w:rPr>
          <w:rFonts w:ascii="Arial" w:hAnsi="Arial" w:cs="Arial"/>
          <w:sz w:val="21"/>
          <w:szCs w:val="21"/>
        </w:rPr>
      </w:pPr>
      <w:r w:rsidRPr="00AA7104">
        <w:rPr>
          <w:rFonts w:ascii="Arial" w:hAnsi="Arial" w:cs="Arial"/>
          <w:sz w:val="21"/>
          <w:szCs w:val="21"/>
        </w:rPr>
        <w:t>«En la formulación de pliegos definitivos, pueden las entidades del estado exigir ITEMS REPRESENTATIVOS EN LA EXPERIENCIA DE LOS OFERENTES. Es decir que los interesados en participar en las convocatorias tengan dentro de su experiencia mayor cantidad en la entrega de un item ejemplo de alimentos, libros, o cualquier ítem que la entidad lo establezca, como medida para evaluar la experiencia»</w:t>
      </w:r>
    </w:p>
    <w:p w14:paraId="04394550" w14:textId="77777777" w:rsidR="0098621E" w:rsidRDefault="0098621E" w:rsidP="001A4790">
      <w:pPr>
        <w:pStyle w:val="gmail-msonospacing"/>
        <w:spacing w:before="0" w:beforeAutospacing="0" w:after="0" w:afterAutospacing="0" w:line="276" w:lineRule="auto"/>
        <w:ind w:left="708" w:right="900"/>
        <w:jc w:val="both"/>
        <w:rPr>
          <w:rFonts w:ascii="Arial" w:hAnsi="Arial" w:cs="Arial"/>
          <w:sz w:val="21"/>
          <w:szCs w:val="21"/>
        </w:rPr>
      </w:pPr>
    </w:p>
    <w:p w14:paraId="098F186C" w14:textId="31783798" w:rsidR="00AA7104" w:rsidRPr="00DC12B9" w:rsidRDefault="0098621E" w:rsidP="0030262D">
      <w:pPr>
        <w:tabs>
          <w:tab w:val="left" w:pos="426"/>
        </w:tabs>
        <w:spacing w:after="120" w:line="276" w:lineRule="auto"/>
        <w:jc w:val="both"/>
        <w:rPr>
          <w:rFonts w:ascii="Arial" w:hAnsi="Arial" w:cs="Arial"/>
        </w:rPr>
      </w:pPr>
      <w:r>
        <w:rPr>
          <w:rFonts w:ascii="Arial" w:hAnsi="Arial" w:cs="Arial"/>
          <w:sz w:val="22"/>
        </w:rPr>
        <w:t xml:space="preserve">Conforme a lo expuesto,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En ese sentido, previo concepto de sus órganos asesores, la solución de estos temas corresponde a la entidad que adelanta el procedimiento de selección y, en caso de conflicto, a las autoridades judiciales, fiscales y disciplinarias. </w:t>
      </w:r>
    </w:p>
    <w:p w14:paraId="304BEC08" w14:textId="4F0D951C" w:rsidR="00A768B4" w:rsidRPr="00AA7104" w:rsidRDefault="0098621E" w:rsidP="0030262D">
      <w:pPr>
        <w:spacing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Hecha la anterior claridad</w:t>
      </w:r>
      <w:r w:rsidR="00280012" w:rsidRPr="00AA7104">
        <w:rPr>
          <w:rFonts w:ascii="Arial" w:eastAsia="Calibri" w:hAnsi="Arial" w:cs="Arial"/>
          <w:color w:val="000000" w:themeColor="text1"/>
          <w:sz w:val="22"/>
          <w:lang w:val="es-ES_tradnl"/>
        </w:rPr>
        <w:t>,</w:t>
      </w:r>
      <w:r>
        <w:rPr>
          <w:rFonts w:ascii="Arial" w:eastAsia="Calibri" w:hAnsi="Arial" w:cs="Arial"/>
          <w:color w:val="000000" w:themeColor="text1"/>
          <w:sz w:val="22"/>
          <w:lang w:val="es-ES_tradnl"/>
        </w:rPr>
        <w:t xml:space="preserve"> en respuesta a su pregunta, </w:t>
      </w:r>
      <w:r w:rsidR="000577EB">
        <w:rPr>
          <w:rFonts w:ascii="Arial" w:eastAsia="Calibri" w:hAnsi="Arial" w:cs="Arial"/>
          <w:color w:val="000000" w:themeColor="text1"/>
          <w:sz w:val="22"/>
          <w:lang w:val="es-ES_tradnl"/>
        </w:rPr>
        <w:t>y con sustento en las consideraciones expuestas,</w:t>
      </w:r>
      <w:r w:rsidR="00280012" w:rsidRPr="00AA7104">
        <w:rPr>
          <w:rFonts w:ascii="Arial" w:eastAsia="Calibri" w:hAnsi="Arial" w:cs="Arial"/>
          <w:color w:val="000000" w:themeColor="text1"/>
          <w:sz w:val="22"/>
          <w:lang w:val="es-ES_tradnl"/>
        </w:rPr>
        <w:t xml:space="preserve"> </w:t>
      </w:r>
      <w:r w:rsidR="00A768B4" w:rsidRPr="00AA7104">
        <w:rPr>
          <w:rFonts w:ascii="Arial" w:eastAsia="Calibri" w:hAnsi="Arial" w:cs="Arial"/>
          <w:color w:val="000000" w:themeColor="text1"/>
          <w:sz w:val="22"/>
          <w:lang w:val="es-ES_tradnl"/>
        </w:rPr>
        <w:t>de</w:t>
      </w:r>
      <w:r w:rsidR="000577EB">
        <w:rPr>
          <w:rFonts w:ascii="Arial" w:eastAsia="Calibri" w:hAnsi="Arial" w:cs="Arial"/>
          <w:color w:val="000000" w:themeColor="text1"/>
          <w:sz w:val="22"/>
          <w:lang w:val="es-ES_tradnl"/>
        </w:rPr>
        <w:t xml:space="preserve">be ponerse de </w:t>
      </w:r>
      <w:r w:rsidR="00A768B4" w:rsidRPr="00AA7104">
        <w:rPr>
          <w:rFonts w:ascii="Arial" w:eastAsia="Calibri" w:hAnsi="Arial" w:cs="Arial"/>
          <w:color w:val="000000" w:themeColor="text1"/>
          <w:sz w:val="22"/>
          <w:lang w:val="es-ES_tradnl"/>
        </w:rPr>
        <w:t xml:space="preserve">presente </w:t>
      </w:r>
      <w:r w:rsidR="004D3244" w:rsidRPr="00AA7104">
        <w:rPr>
          <w:rFonts w:ascii="Arial" w:eastAsia="Calibri" w:hAnsi="Arial" w:cs="Arial"/>
          <w:color w:val="000000" w:themeColor="text1"/>
          <w:sz w:val="22"/>
          <w:lang w:val="es-ES_tradnl"/>
        </w:rPr>
        <w:t>que,</w:t>
      </w:r>
      <w:r w:rsidR="00A768B4" w:rsidRPr="00AA7104">
        <w:rPr>
          <w:rFonts w:ascii="Arial" w:eastAsia="Calibri" w:hAnsi="Arial" w:cs="Arial"/>
          <w:color w:val="000000" w:themeColor="text1"/>
          <w:sz w:val="22"/>
          <w:lang w:val="es-ES_tradnl"/>
        </w:rPr>
        <w:t xml:space="preserve"> en nuestro ordenamiento jurídico, a efectos de la determinación de los requisitos habilitantes en cada proceso contractual, no existe una configuración taxativa. Por el contrario, las entidades estatales, en ejercicio de su autonomía de la voluntad, deben decidir el contenido de los requisitos habilitantes que en cada caso o proceso de selección permitirán comprobar que los eventuales oferentes puedan estar habilitados para participar. </w:t>
      </w:r>
      <w:r w:rsidR="00413F87" w:rsidRPr="00AA7104">
        <w:rPr>
          <w:rFonts w:ascii="Arial" w:eastAsia="Calibri" w:hAnsi="Arial" w:cs="Arial"/>
          <w:color w:val="000000" w:themeColor="text1"/>
          <w:sz w:val="22"/>
          <w:lang w:val="es-ES_tradnl"/>
        </w:rPr>
        <w:t xml:space="preserve">En ese sentido, las entidades estatales podrán optar </w:t>
      </w:r>
      <w:r w:rsidR="006A0B2E" w:rsidRPr="00AA7104">
        <w:rPr>
          <w:rFonts w:ascii="Arial" w:eastAsia="Calibri" w:hAnsi="Arial" w:cs="Arial"/>
          <w:color w:val="000000" w:themeColor="text1"/>
          <w:sz w:val="22"/>
          <w:lang w:val="es-ES_tradnl"/>
        </w:rPr>
        <w:t xml:space="preserve">por aplicar los requisitos habilitantes señalados en el </w:t>
      </w:r>
      <w:r w:rsidR="00D26529" w:rsidRPr="00AA7104">
        <w:rPr>
          <w:rFonts w:ascii="Arial" w:eastAsia="Calibri" w:hAnsi="Arial" w:cs="Arial"/>
          <w:color w:val="000000" w:themeColor="text1"/>
          <w:sz w:val="22"/>
          <w:lang w:val="es-ES_tradnl"/>
        </w:rPr>
        <w:t xml:space="preserve">artículo 6 de la Ley 1150 de 2007, o si </w:t>
      </w:r>
      <w:r w:rsidR="00E24030" w:rsidRPr="00AA7104">
        <w:rPr>
          <w:rFonts w:ascii="Arial" w:eastAsia="Calibri" w:hAnsi="Arial" w:cs="Arial"/>
          <w:color w:val="000000" w:themeColor="text1"/>
          <w:sz w:val="22"/>
          <w:lang w:val="es-ES_tradnl"/>
        </w:rPr>
        <w:t>opta por aplicar requisitos adicionales a estos.</w:t>
      </w:r>
      <w:r w:rsidR="001856A6" w:rsidRPr="00AA7104">
        <w:rPr>
          <w:rFonts w:ascii="Arial" w:eastAsia="Calibri" w:hAnsi="Arial" w:cs="Arial"/>
          <w:color w:val="000000" w:themeColor="text1"/>
          <w:sz w:val="22"/>
          <w:lang w:val="es-ES_tradnl"/>
        </w:rPr>
        <w:t xml:space="preserve"> En este último caso, la entidad deberá realizar directamente la verificación de la información relativa a la acreditación del correspondiente requisito adicional. </w:t>
      </w:r>
    </w:p>
    <w:p w14:paraId="387A3279" w14:textId="137A853B" w:rsidR="000E2C53" w:rsidRPr="001A4790" w:rsidRDefault="00E24030" w:rsidP="00E24030">
      <w:pPr>
        <w:spacing w:before="120" w:line="276" w:lineRule="auto"/>
        <w:ind w:firstLine="709"/>
        <w:jc w:val="both"/>
        <w:rPr>
          <w:rFonts w:ascii="Arial" w:eastAsia="Calibri" w:hAnsi="Arial" w:cs="Arial"/>
          <w:sz w:val="22"/>
        </w:rPr>
      </w:pPr>
      <w:r>
        <w:rPr>
          <w:rFonts w:ascii="Arial" w:eastAsia="Calibri" w:hAnsi="Arial" w:cs="Arial"/>
          <w:color w:val="000000" w:themeColor="text1"/>
          <w:sz w:val="22"/>
          <w:lang w:val="es-ES_tradnl"/>
        </w:rPr>
        <w:t>Con todo, c</w:t>
      </w:r>
      <w:r w:rsidR="000E2C53" w:rsidRPr="00DC12B9">
        <w:rPr>
          <w:rFonts w:ascii="Arial" w:eastAsia="Calibri" w:hAnsi="Arial" w:cs="Arial"/>
          <w:color w:val="000000" w:themeColor="text1"/>
          <w:sz w:val="22"/>
          <w:lang w:val="es-ES_tradnl"/>
        </w:rPr>
        <w:t xml:space="preserve">onsiderando la discrecionalidad para establecer requisitos habilitantes, es necesario tener en cuenta que </w:t>
      </w:r>
      <w:r w:rsidR="000E2C53" w:rsidRPr="00DC12B9">
        <w:rPr>
          <w:rFonts w:ascii="Arial" w:eastAsia="Calibri" w:hAnsi="Arial" w:cs="Arial"/>
          <w:sz w:val="22"/>
        </w:rPr>
        <w:t>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Para efectos de</w:t>
      </w:r>
      <w:r w:rsidR="004D1CAE" w:rsidRPr="00DC12B9">
        <w:rPr>
          <w:rFonts w:ascii="Arial" w:eastAsia="Calibri" w:hAnsi="Arial" w:cs="Arial"/>
          <w:sz w:val="22"/>
        </w:rPr>
        <w:t xml:space="preserve"> establecer requisitos habilitantes como el sugerido en la consulta</w:t>
      </w:r>
      <w:r w:rsidR="000E2C53" w:rsidRPr="00DC12B9">
        <w:rPr>
          <w:rFonts w:ascii="Arial" w:eastAsia="Calibri" w:hAnsi="Arial" w:cs="Arial"/>
          <w:sz w:val="22"/>
        </w:rPr>
        <w:t>, la fijación está unida a la carga justificativa de la entidad en los estudios y documentos previos del proceso de selección.</w:t>
      </w:r>
    </w:p>
    <w:p w14:paraId="2031379A" w14:textId="77777777" w:rsidR="00E24030" w:rsidRDefault="00E24030" w:rsidP="00DF3130">
      <w:pPr>
        <w:spacing w:line="276" w:lineRule="auto"/>
        <w:contextualSpacing/>
        <w:jc w:val="both"/>
        <w:rPr>
          <w:rFonts w:ascii="Arial" w:eastAsia="Calibri" w:hAnsi="Arial" w:cs="Arial"/>
          <w:sz w:val="22"/>
          <w:szCs w:val="22"/>
          <w:lang w:val="es-ES"/>
        </w:rPr>
      </w:pPr>
    </w:p>
    <w:p w14:paraId="4481B58B" w14:textId="19BA6E96" w:rsidR="00DF3130" w:rsidRPr="00564571" w:rsidRDefault="00DF3130" w:rsidP="00DF3130">
      <w:pPr>
        <w:spacing w:line="276" w:lineRule="auto"/>
        <w:contextualSpacing/>
        <w:jc w:val="both"/>
        <w:rPr>
          <w:rFonts w:ascii="Arial" w:eastAsia="Calibri" w:hAnsi="Arial" w:cs="Arial"/>
          <w:sz w:val="22"/>
          <w:szCs w:val="22"/>
          <w:lang w:val="es-ES"/>
        </w:rPr>
      </w:pPr>
      <w:r w:rsidRPr="00564571">
        <w:rPr>
          <w:rFonts w:ascii="Arial" w:eastAsia="Calibri" w:hAnsi="Arial" w:cs="Arial"/>
          <w:sz w:val="22"/>
          <w:szCs w:val="22"/>
          <w:lang w:val="es-ES"/>
        </w:rPr>
        <w:lastRenderedPageBreak/>
        <w:t>Este concepto tiene el alcance previsto en el artículo 28 del Código de Procedimiento Administrativo y de lo Contencioso Administrativo.</w:t>
      </w:r>
    </w:p>
    <w:p w14:paraId="3F1E7DB9" w14:textId="77777777" w:rsidR="00DF3130" w:rsidRPr="00564571" w:rsidRDefault="00DF3130" w:rsidP="00DF3130">
      <w:pPr>
        <w:spacing w:line="276" w:lineRule="auto"/>
        <w:contextualSpacing/>
        <w:jc w:val="both"/>
        <w:rPr>
          <w:rFonts w:ascii="Arial" w:eastAsia="Calibri" w:hAnsi="Arial" w:cs="Arial"/>
          <w:sz w:val="22"/>
          <w:szCs w:val="22"/>
          <w:lang w:val="es-ES"/>
        </w:rPr>
      </w:pPr>
    </w:p>
    <w:p w14:paraId="0FC9EF16" w14:textId="77777777" w:rsidR="00DF3130" w:rsidRPr="00564571" w:rsidRDefault="00DF3130" w:rsidP="00DF3130">
      <w:pPr>
        <w:spacing w:line="276" w:lineRule="auto"/>
        <w:contextualSpacing/>
        <w:jc w:val="both"/>
        <w:rPr>
          <w:rFonts w:ascii="Arial" w:hAnsi="Arial" w:cs="Arial"/>
          <w:sz w:val="22"/>
          <w:szCs w:val="22"/>
          <w:lang w:val="es-ES" w:eastAsia="es-CO"/>
        </w:rPr>
      </w:pPr>
      <w:r w:rsidRPr="00564571">
        <w:rPr>
          <w:rFonts w:ascii="Arial" w:hAnsi="Arial" w:cs="Arial"/>
          <w:sz w:val="22"/>
          <w:szCs w:val="22"/>
          <w:lang w:val="es-ES" w:eastAsia="es-CO"/>
        </w:rPr>
        <w:t>Atentamente,</w:t>
      </w:r>
    </w:p>
    <w:p w14:paraId="3614917F" w14:textId="1556305F" w:rsidR="0015100A" w:rsidRPr="00564571" w:rsidRDefault="0015100A" w:rsidP="00DF3130">
      <w:pPr>
        <w:jc w:val="center"/>
        <w:rPr>
          <w:rFonts w:ascii="Arial" w:hAnsi="Arial" w:cs="Arial"/>
          <w:sz w:val="22"/>
          <w:szCs w:val="22"/>
          <w:lang w:val="es-ES_tradnl" w:eastAsia="es-ES_tradnl"/>
        </w:rPr>
      </w:pPr>
    </w:p>
    <w:p w14:paraId="6F2C2AEC" w14:textId="0C779B25" w:rsidR="00C9717B" w:rsidRDefault="00C9717B" w:rsidP="00DF3130">
      <w:pPr>
        <w:jc w:val="center"/>
        <w:rPr>
          <w:rFonts w:ascii="Arial" w:hAnsi="Arial" w:cs="Arial"/>
          <w:sz w:val="22"/>
          <w:szCs w:val="22"/>
          <w:lang w:val="es-ES_tradnl" w:eastAsia="es-ES_tradnl"/>
        </w:rPr>
      </w:pPr>
    </w:p>
    <w:p w14:paraId="63879436" w14:textId="1271DDF3" w:rsidR="00C9717B" w:rsidRPr="00564571" w:rsidRDefault="003D1596" w:rsidP="00DF3130">
      <w:pPr>
        <w:jc w:val="center"/>
        <w:rPr>
          <w:rFonts w:ascii="Arial" w:hAnsi="Arial" w:cs="Arial"/>
          <w:sz w:val="22"/>
          <w:szCs w:val="22"/>
          <w:lang w:val="es-ES_tradnl" w:eastAsia="es-ES_tradnl"/>
        </w:rPr>
      </w:pPr>
      <w:r>
        <w:rPr>
          <w:noProof/>
        </w:rPr>
        <w:drawing>
          <wp:inline distT="0" distB="0" distL="0" distR="0" wp14:anchorId="355C5BAA" wp14:editId="33355EED">
            <wp:extent cx="3493698" cy="1343178"/>
            <wp:effectExtent l="0" t="0" r="0" b="0"/>
            <wp:docPr id="40" name="Imagen 4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05799" cy="1347830"/>
                    </a:xfrm>
                    <a:prstGeom prst="rect">
                      <a:avLst/>
                    </a:prstGeom>
                    <a:noFill/>
                    <a:ln>
                      <a:noFill/>
                    </a:ln>
                  </pic:spPr>
                </pic:pic>
              </a:graphicData>
            </a:graphic>
          </wp:inline>
        </w:drawing>
      </w:r>
    </w:p>
    <w:p w14:paraId="3E76BAB0" w14:textId="77777777" w:rsidR="00457483" w:rsidRPr="00564571" w:rsidRDefault="00457483" w:rsidP="00DF3130">
      <w:pPr>
        <w:jc w:val="center"/>
        <w:rPr>
          <w:rFonts w:ascii="Arial" w:hAnsi="Arial" w:cs="Arial"/>
          <w:sz w:val="22"/>
          <w:szCs w:val="22"/>
          <w:lang w:val="es-ES_tradnl"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F3130" w:rsidRPr="00564571" w14:paraId="3F7FE54D" w14:textId="77777777" w:rsidTr="005C12A3">
        <w:trPr>
          <w:trHeight w:val="315"/>
        </w:trPr>
        <w:tc>
          <w:tcPr>
            <w:tcW w:w="812" w:type="dxa"/>
            <w:vAlign w:val="center"/>
            <w:hideMark/>
          </w:tcPr>
          <w:p w14:paraId="1DDEBF37"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55A54C3" w14:textId="6C52CE6E" w:rsidR="00DF3130" w:rsidRPr="00564571" w:rsidRDefault="00FF2D17" w:rsidP="00457483">
            <w:pPr>
              <w:rPr>
                <w:rFonts w:ascii="Arial" w:hAnsi="Arial" w:cs="Arial"/>
                <w:sz w:val="15"/>
                <w:szCs w:val="15"/>
                <w:lang w:val="es-ES_tradnl" w:eastAsia="es-ES"/>
              </w:rPr>
            </w:pPr>
            <w:r>
              <w:rPr>
                <w:rFonts w:ascii="Arial" w:hAnsi="Arial" w:cs="Arial"/>
                <w:sz w:val="15"/>
                <w:szCs w:val="15"/>
                <w:lang w:val="es-ES_tradnl" w:eastAsia="es-ES"/>
              </w:rPr>
              <w:t>Nathalia Urrego Jiménez</w:t>
            </w:r>
          </w:p>
          <w:p w14:paraId="75725DA8"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 xml:space="preserve">Contratista de la Subdirección de Gestión Contractual  </w:t>
            </w:r>
          </w:p>
        </w:tc>
      </w:tr>
      <w:tr w:rsidR="00DF3130" w:rsidRPr="00564571" w14:paraId="22ACA87E" w14:textId="77777777" w:rsidTr="005C12A3">
        <w:trPr>
          <w:trHeight w:val="330"/>
        </w:trPr>
        <w:tc>
          <w:tcPr>
            <w:tcW w:w="812" w:type="dxa"/>
            <w:vAlign w:val="center"/>
            <w:hideMark/>
          </w:tcPr>
          <w:p w14:paraId="288C8AC6"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B49291" w14:textId="77777777" w:rsidR="00DF3130" w:rsidRPr="00564571" w:rsidRDefault="00DF3130" w:rsidP="005C12A3">
            <w:pPr>
              <w:rPr>
                <w:rFonts w:ascii="Arial" w:hAnsi="Arial" w:cs="Arial"/>
                <w:sz w:val="15"/>
                <w:szCs w:val="15"/>
                <w:lang w:val="es-ES_tradnl" w:eastAsia="es-ES"/>
              </w:rPr>
            </w:pPr>
            <w:r w:rsidRPr="00564571">
              <w:rPr>
                <w:rFonts w:ascii="Arial" w:hAnsi="Arial" w:cs="Arial"/>
                <w:sz w:val="15"/>
                <w:szCs w:val="15"/>
                <w:lang w:val="es-ES_tradnl" w:eastAsia="es-ES"/>
              </w:rPr>
              <w:t xml:space="preserve">Alejandro Sarmiento Cantillo </w:t>
            </w:r>
          </w:p>
          <w:p w14:paraId="546786D6"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Gestor T1-15 de la Subdirección de Gestión Contractual</w:t>
            </w:r>
          </w:p>
        </w:tc>
      </w:tr>
      <w:tr w:rsidR="00DF3130" w:rsidRPr="00457483" w14:paraId="7D300EC5" w14:textId="77777777" w:rsidTr="005C12A3">
        <w:trPr>
          <w:trHeight w:val="300"/>
        </w:trPr>
        <w:tc>
          <w:tcPr>
            <w:tcW w:w="812" w:type="dxa"/>
            <w:vAlign w:val="center"/>
            <w:hideMark/>
          </w:tcPr>
          <w:p w14:paraId="54C8C110"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A3741B" w14:textId="57DFDB3C" w:rsidR="00DF3130" w:rsidRPr="00564571" w:rsidRDefault="00FF2D17" w:rsidP="005C12A3">
            <w:pPr>
              <w:jc w:val="both"/>
              <w:rPr>
                <w:rFonts w:ascii="Arial" w:hAnsi="Arial" w:cs="Arial"/>
                <w:sz w:val="15"/>
                <w:szCs w:val="15"/>
                <w:lang w:val="es-ES_tradnl" w:eastAsia="es-ES"/>
              </w:rPr>
            </w:pPr>
            <w:r>
              <w:rPr>
                <w:rFonts w:ascii="Arial" w:hAnsi="Arial" w:cs="Arial"/>
                <w:sz w:val="15"/>
                <w:szCs w:val="15"/>
                <w:lang w:val="es-ES_tradnl" w:eastAsia="es-ES"/>
              </w:rPr>
              <w:t>Nohelia Zawady Palacio</w:t>
            </w:r>
          </w:p>
          <w:p w14:paraId="7DA9FBDB" w14:textId="3E7C2BE2" w:rsidR="00DF3130" w:rsidRPr="00457483"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Subdirector</w:t>
            </w:r>
            <w:r w:rsidR="00FF2D17">
              <w:rPr>
                <w:rFonts w:ascii="Arial" w:hAnsi="Arial" w:cs="Arial"/>
                <w:sz w:val="15"/>
                <w:szCs w:val="15"/>
                <w:lang w:val="es-ES_tradnl" w:eastAsia="es-ES"/>
              </w:rPr>
              <w:t>a</w:t>
            </w:r>
            <w:r w:rsidRPr="00564571">
              <w:rPr>
                <w:rFonts w:ascii="Arial" w:hAnsi="Arial" w:cs="Arial"/>
                <w:sz w:val="15"/>
                <w:szCs w:val="15"/>
                <w:lang w:val="es-ES_tradnl" w:eastAsia="es-ES"/>
              </w:rPr>
              <w:t xml:space="preserve"> de Gestión Contractual ANCP – CCE</w:t>
            </w:r>
          </w:p>
        </w:tc>
      </w:tr>
    </w:tbl>
    <w:p w14:paraId="019B7BEC" w14:textId="77777777" w:rsidR="003C7067" w:rsidRDefault="003C7067" w:rsidP="00DF3130">
      <w:pPr>
        <w:spacing w:after="120" w:line="276" w:lineRule="auto"/>
        <w:jc w:val="both"/>
      </w:pPr>
    </w:p>
    <w:sectPr w:rsidR="003C7067" w:rsidSect="0030262D">
      <w:headerReference w:type="default" r:id="rId12"/>
      <w:footerReference w:type="default" r:id="rId13"/>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E16DD" w14:textId="77777777" w:rsidR="00827CD3" w:rsidRDefault="00827CD3" w:rsidP="003C7067">
      <w:r>
        <w:separator/>
      </w:r>
    </w:p>
  </w:endnote>
  <w:endnote w:type="continuationSeparator" w:id="0">
    <w:p w14:paraId="19F826DE" w14:textId="77777777" w:rsidR="00827CD3" w:rsidRDefault="00827CD3"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FF547A" w:rsidRPr="00080DA3" w14:paraId="27B94BCF" w14:textId="77777777" w:rsidTr="005C12A3">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4</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052EF" w14:textId="77777777" w:rsidR="00827CD3" w:rsidRDefault="00827CD3" w:rsidP="003C7067">
      <w:r>
        <w:separator/>
      </w:r>
    </w:p>
  </w:footnote>
  <w:footnote w:type="continuationSeparator" w:id="0">
    <w:p w14:paraId="1F216A25" w14:textId="77777777" w:rsidR="00827CD3" w:rsidRDefault="00827CD3" w:rsidP="003C7067">
      <w:r>
        <w:continuationSeparator/>
      </w:r>
    </w:p>
  </w:footnote>
  <w:footnote w:id="1">
    <w:p w14:paraId="2F0B4265" w14:textId="77777777" w:rsidR="00EF2C3C" w:rsidRPr="001A4790" w:rsidRDefault="00EF2C3C" w:rsidP="00DB06A8">
      <w:pPr>
        <w:pStyle w:val="Textonotapie"/>
        <w:ind w:firstLine="708"/>
        <w:jc w:val="both"/>
        <w:rPr>
          <w:rFonts w:ascii="Arial" w:hAnsi="Arial" w:cs="Arial"/>
          <w:sz w:val="19"/>
          <w:szCs w:val="19"/>
          <w:lang w:val="es-ES"/>
        </w:rPr>
      </w:pPr>
      <w:r w:rsidRPr="001A4790">
        <w:rPr>
          <w:rStyle w:val="Refdenotaalpie"/>
          <w:rFonts w:ascii="Arial" w:hAnsi="Arial" w:cs="Arial"/>
          <w:sz w:val="19"/>
          <w:szCs w:val="19"/>
        </w:rPr>
        <w:footnoteRef/>
      </w:r>
      <w:r w:rsidRPr="001A4790">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1A4790">
        <w:rPr>
          <w:rFonts w:ascii="Arial" w:hAnsi="Arial" w:cs="Arial"/>
          <w:i/>
          <w:iCs/>
          <w:sz w:val="19"/>
          <w:szCs w:val="19"/>
        </w:rPr>
        <w:t xml:space="preserve">ibidem </w:t>
      </w:r>
      <w:r w:rsidRPr="001A4790">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C978012" w14:textId="77777777" w:rsidR="00DF3130" w:rsidRPr="001A4790" w:rsidRDefault="00DF3130" w:rsidP="0030262D">
      <w:pPr>
        <w:tabs>
          <w:tab w:val="left" w:pos="709"/>
        </w:tabs>
        <w:spacing w:after="60"/>
        <w:jc w:val="both"/>
        <w:rPr>
          <w:rFonts w:ascii="Arial" w:eastAsia="Calibri" w:hAnsi="Arial" w:cs="Arial"/>
          <w:bCs/>
          <w:sz w:val="19"/>
          <w:szCs w:val="19"/>
          <w:lang w:val="es-ES_tradnl"/>
        </w:rPr>
      </w:pPr>
      <w:r w:rsidRPr="001A4790">
        <w:rPr>
          <w:rFonts w:ascii="Arial" w:hAnsi="Arial" w:cs="Arial"/>
          <w:sz w:val="19"/>
          <w:szCs w:val="19"/>
        </w:rPr>
        <w:tab/>
      </w:r>
      <w:r w:rsidRPr="001A4790">
        <w:rPr>
          <w:rStyle w:val="Refdenotaalpie"/>
          <w:rFonts w:ascii="Arial" w:hAnsi="Arial" w:cs="Arial"/>
          <w:sz w:val="19"/>
          <w:szCs w:val="19"/>
        </w:rPr>
        <w:footnoteRef/>
      </w:r>
      <w:r w:rsidRPr="001A4790">
        <w:rPr>
          <w:rFonts w:ascii="Arial" w:hAnsi="Arial" w:cs="Arial"/>
          <w:sz w:val="19"/>
          <w:szCs w:val="19"/>
        </w:rPr>
        <w:t xml:space="preserve"> </w:t>
      </w:r>
      <w:r w:rsidRPr="001A4790">
        <w:rPr>
          <w:rFonts w:ascii="Arial" w:eastAsia="Calibri" w:hAnsi="Arial" w:cs="Arial"/>
          <w:bCs/>
          <w:sz w:val="19"/>
          <w:szCs w:val="19"/>
          <w:lang w:val="es-ES_tradnl"/>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1A4790">
        <w:rPr>
          <w:rFonts w:ascii="Arial" w:eastAsia="Calibri" w:hAnsi="Arial" w:cs="Arial"/>
          <w:bCs/>
          <w:i/>
          <w:iCs/>
          <w:sz w:val="19"/>
          <w:szCs w:val="19"/>
          <w:lang w:val="es-ES_tradnl"/>
        </w:rPr>
        <w:t>no serán de obligatorio cumplimiento o ejecución</w:t>
      </w:r>
      <w:r w:rsidRPr="001A4790">
        <w:rPr>
          <w:rFonts w:ascii="Arial" w:eastAsia="Calibri" w:hAnsi="Arial" w:cs="Arial"/>
          <w:bCs/>
          <w:sz w:val="19"/>
          <w:szCs w:val="19"/>
          <w:lang w:val="es-ES_tradnl"/>
        </w:rPr>
        <w:t xml:space="preserve">. De este mandato surgen las siguientes consideraciones: </w:t>
      </w:r>
    </w:p>
    <w:p w14:paraId="3B192C00" w14:textId="77777777" w:rsidR="00DF3130" w:rsidRPr="001A4790" w:rsidRDefault="00DF3130" w:rsidP="0030262D">
      <w:pPr>
        <w:tabs>
          <w:tab w:val="left" w:pos="709"/>
        </w:tabs>
        <w:spacing w:after="60"/>
        <w:jc w:val="both"/>
        <w:rPr>
          <w:rFonts w:ascii="Arial" w:eastAsia="Calibri" w:hAnsi="Arial" w:cs="Arial"/>
          <w:bCs/>
          <w:sz w:val="19"/>
          <w:szCs w:val="19"/>
          <w:lang w:val="es-ES_tradnl"/>
        </w:rPr>
      </w:pPr>
      <w:r w:rsidRPr="001A4790">
        <w:rPr>
          <w:rFonts w:ascii="Arial" w:eastAsia="Calibri" w:hAnsi="Arial" w:cs="Arial"/>
          <w:bCs/>
          <w:sz w:val="19"/>
          <w:szCs w:val="19"/>
          <w:lang w:val="es-ES_tradnl"/>
        </w:rPr>
        <w:tab/>
        <w:t xml:space="preserve">»La primera, </w:t>
      </w:r>
      <w:r w:rsidRPr="001A4790">
        <w:rPr>
          <w:rFonts w:ascii="Arial" w:eastAsia="Calibri" w:hAnsi="Arial" w:cs="Arial"/>
          <w:bCs/>
          <w:sz w:val="19"/>
          <w:szCs w:val="19"/>
        </w:rPr>
        <w:t>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4FB9C055" w14:textId="77777777" w:rsidR="00DF3130" w:rsidRPr="001A4790" w:rsidRDefault="00DF3130" w:rsidP="0030262D">
      <w:pPr>
        <w:tabs>
          <w:tab w:val="left" w:pos="709"/>
        </w:tabs>
        <w:spacing w:after="60"/>
        <w:jc w:val="both"/>
        <w:rPr>
          <w:rFonts w:ascii="Arial" w:eastAsia="Calibri" w:hAnsi="Arial" w:cs="Arial"/>
          <w:bCs/>
          <w:sz w:val="19"/>
          <w:szCs w:val="19"/>
        </w:rPr>
      </w:pPr>
      <w:r w:rsidRPr="001A4790">
        <w:rPr>
          <w:rFonts w:ascii="Arial" w:eastAsia="Calibri" w:hAnsi="Arial" w:cs="Arial"/>
          <w:bCs/>
          <w:sz w:val="19"/>
          <w:szCs w:val="19"/>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24146FE5" w14:textId="77777777" w:rsidR="00DF3130" w:rsidRPr="001A4790" w:rsidRDefault="00DF3130" w:rsidP="00DB06A8">
      <w:pPr>
        <w:pStyle w:val="Textonotapie"/>
        <w:ind w:firstLine="708"/>
        <w:contextualSpacing/>
        <w:jc w:val="both"/>
        <w:rPr>
          <w:rFonts w:ascii="Arial" w:hAnsi="Arial" w:cs="Arial"/>
          <w:sz w:val="19"/>
          <w:szCs w:val="19"/>
        </w:rPr>
      </w:pPr>
      <w:r w:rsidRPr="001A4790">
        <w:rPr>
          <w:rFonts w:ascii="Arial" w:eastAsia="Calibri" w:hAnsi="Arial" w:cs="Arial"/>
          <w:bCs/>
          <w:sz w:val="19"/>
          <w:szCs w:val="19"/>
        </w:rPr>
        <w:t xml:space="preserve">»La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Pr="001A4790">
        <w:rPr>
          <w:rFonts w:ascii="Arial" w:hAnsi="Arial" w:cs="Arial"/>
          <w:sz w:val="19"/>
          <w:szCs w:val="19"/>
        </w:rPr>
        <w:t>ARBOLEDA PERDOMO, Enrique José. Comentarios al Nuevo Código de Procedimiento Administrativo y de lo Contencioso Administrativo (2ª ed.). Editorial Legis. Bogotá. 2012. p.59.</w:t>
      </w:r>
    </w:p>
    <w:p w14:paraId="3F157710" w14:textId="77777777" w:rsidR="00DF3130" w:rsidRPr="001A4790" w:rsidRDefault="00DF3130" w:rsidP="00DB06A8">
      <w:pPr>
        <w:pStyle w:val="Textonotapie"/>
        <w:ind w:firstLine="708"/>
        <w:contextualSpacing/>
        <w:jc w:val="both"/>
        <w:rPr>
          <w:rFonts w:ascii="Arial" w:eastAsia="Calibri" w:hAnsi="Arial" w:cs="Arial"/>
          <w:bCs/>
          <w:sz w:val="19"/>
          <w:szCs w:val="19"/>
          <w:lang w:val="es-CO"/>
        </w:rPr>
      </w:pPr>
    </w:p>
  </w:footnote>
  <w:footnote w:id="3">
    <w:p w14:paraId="23C502B9" w14:textId="79027984" w:rsidR="007039AC" w:rsidRPr="00DB06A8" w:rsidRDefault="007039AC" w:rsidP="0030262D">
      <w:pPr>
        <w:pStyle w:val="NormalWeb"/>
        <w:spacing w:before="0" w:beforeAutospacing="0" w:after="120" w:afterAutospacing="0"/>
        <w:ind w:firstLine="709"/>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w:t>
      </w:r>
      <w:r w:rsidR="00DD2FB8">
        <w:rPr>
          <w:rFonts w:ascii="Arial" w:hAnsi="Arial" w:cs="Arial"/>
          <w:sz w:val="19"/>
          <w:szCs w:val="19"/>
        </w:rPr>
        <w:t xml:space="preserve">Ley 1150 de 2007. </w:t>
      </w:r>
      <w:r w:rsidRPr="00DB06A8">
        <w:rPr>
          <w:rFonts w:ascii="Arial" w:hAnsi="Arial" w:cs="Arial"/>
          <w:sz w:val="19"/>
          <w:szCs w:val="19"/>
          <w:lang w:val="es-ES"/>
        </w:rPr>
        <w:t>Art</w:t>
      </w:r>
      <w:r w:rsidR="00DD2FB8">
        <w:rPr>
          <w:rFonts w:ascii="Arial" w:hAnsi="Arial" w:cs="Arial"/>
          <w:sz w:val="19"/>
          <w:szCs w:val="19"/>
          <w:lang w:val="es-ES"/>
        </w:rPr>
        <w:t>ículo 6:</w:t>
      </w:r>
      <w:r w:rsidRPr="00DB06A8">
        <w:rPr>
          <w:rFonts w:ascii="Arial" w:hAnsi="Arial" w:cs="Arial"/>
          <w:sz w:val="19"/>
          <w:szCs w:val="19"/>
          <w:lang w:val="es-ES"/>
        </w:rPr>
        <w:t xml:space="preserve"> </w:t>
      </w:r>
      <w:r w:rsidR="00DD2FB8">
        <w:rPr>
          <w:rFonts w:ascii="Arial" w:hAnsi="Arial" w:cs="Arial"/>
          <w:sz w:val="19"/>
          <w:szCs w:val="19"/>
          <w:lang w:val="es-ES"/>
        </w:rPr>
        <w:t>«</w:t>
      </w:r>
      <w:r w:rsidRPr="00DB06A8">
        <w:rPr>
          <w:rFonts w:ascii="Arial" w:hAnsi="Arial" w:cs="Arial"/>
          <w:sz w:val="19"/>
          <w:szCs w:val="19"/>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8064BB2" w14:textId="077589F8" w:rsidR="007039AC" w:rsidRPr="00DB06A8" w:rsidRDefault="00DD2FB8" w:rsidP="0030262D">
      <w:pPr>
        <w:pStyle w:val="NormalWeb"/>
        <w:spacing w:before="0" w:beforeAutospacing="0" w:after="120" w:afterAutospacing="0"/>
        <w:ind w:firstLine="709"/>
        <w:jc w:val="both"/>
        <w:rPr>
          <w:rFonts w:ascii="Arial" w:hAnsi="Arial" w:cs="Arial"/>
          <w:sz w:val="19"/>
          <w:szCs w:val="19"/>
        </w:rPr>
      </w:pPr>
      <w:r>
        <w:rPr>
          <w:rFonts w:ascii="Arial" w:hAnsi="Arial" w:cs="Arial"/>
          <w:sz w:val="19"/>
          <w:szCs w:val="19"/>
        </w:rPr>
        <w:t>»</w:t>
      </w:r>
      <w:r w:rsidR="007039AC" w:rsidRPr="00DB06A8">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492D95D" w14:textId="6EFCC672" w:rsidR="007039AC" w:rsidRPr="00DB06A8" w:rsidRDefault="0066550B" w:rsidP="00DB06A8">
      <w:pPr>
        <w:pStyle w:val="NormalWeb"/>
        <w:spacing w:before="0" w:beforeAutospacing="0" w:after="0" w:afterAutospacing="0"/>
        <w:ind w:firstLine="708"/>
        <w:jc w:val="both"/>
        <w:rPr>
          <w:rFonts w:ascii="Arial" w:hAnsi="Arial" w:cs="Arial"/>
          <w:sz w:val="19"/>
          <w:szCs w:val="19"/>
        </w:rPr>
      </w:pPr>
      <w:r>
        <w:rPr>
          <w:rFonts w:ascii="Arial" w:hAnsi="Arial" w:cs="Arial"/>
          <w:sz w:val="19"/>
          <w:szCs w:val="19"/>
        </w:rPr>
        <w:t>»</w:t>
      </w:r>
      <w:r w:rsidR="007039AC" w:rsidRPr="00DB06A8">
        <w:rPr>
          <w:rFonts w:ascii="Arial" w:hAnsi="Arial" w:cs="Arial"/>
          <w:sz w:val="19"/>
          <w:szCs w:val="19"/>
        </w:rPr>
        <w:t>En dicho registro constará la información relacionada con la experiencia, capacidad jurídica, financiera y de organización del proponente y su clasificación</w:t>
      </w:r>
      <w:r>
        <w:rPr>
          <w:rFonts w:ascii="Arial" w:hAnsi="Arial" w:cs="Arial"/>
          <w:sz w:val="19"/>
          <w:szCs w:val="19"/>
        </w:rPr>
        <w:t>»</w:t>
      </w:r>
      <w:r w:rsidR="007039AC" w:rsidRPr="00DB06A8">
        <w:rPr>
          <w:rFonts w:ascii="Arial" w:hAnsi="Arial" w:cs="Arial"/>
          <w:sz w:val="19"/>
          <w:szCs w:val="19"/>
        </w:rPr>
        <w:t>.</w:t>
      </w:r>
    </w:p>
    <w:p w14:paraId="10A97544" w14:textId="77777777" w:rsidR="007039AC" w:rsidRPr="00DB06A8" w:rsidRDefault="007039AC" w:rsidP="00DB06A8">
      <w:pPr>
        <w:pStyle w:val="NormalWeb"/>
        <w:spacing w:before="0" w:beforeAutospacing="0" w:after="0" w:afterAutospacing="0"/>
        <w:ind w:firstLine="708"/>
        <w:jc w:val="both"/>
        <w:rPr>
          <w:rFonts w:ascii="Arial" w:hAnsi="Arial" w:cs="Arial"/>
          <w:sz w:val="19"/>
          <w:szCs w:val="19"/>
        </w:rPr>
      </w:pPr>
    </w:p>
  </w:footnote>
  <w:footnote w:id="4">
    <w:p w14:paraId="5004792F" w14:textId="64E1C3AA" w:rsidR="007039AC" w:rsidRPr="00DB06A8" w:rsidRDefault="007039AC" w:rsidP="00DB06A8">
      <w:pPr>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w:t>
      </w:r>
      <w:r w:rsidR="0066550B">
        <w:rPr>
          <w:rFonts w:ascii="Arial" w:hAnsi="Arial" w:cs="Arial"/>
          <w:sz w:val="19"/>
          <w:szCs w:val="19"/>
        </w:rPr>
        <w:t>«</w:t>
      </w:r>
      <w:r w:rsidRPr="00DB06A8">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r w:rsidR="0066550B">
        <w:rPr>
          <w:rFonts w:ascii="Arial" w:hAnsi="Arial" w:cs="Arial"/>
          <w:sz w:val="19"/>
          <w:szCs w:val="19"/>
        </w:rPr>
        <w:t>»</w:t>
      </w:r>
      <w:r w:rsidRPr="00DB06A8">
        <w:rPr>
          <w:rFonts w:ascii="Arial" w:hAnsi="Arial" w:cs="Arial"/>
          <w:sz w:val="19"/>
          <w:szCs w:val="19"/>
        </w:rPr>
        <w:t xml:space="preserve">. </w:t>
      </w:r>
    </w:p>
    <w:p w14:paraId="56A9E4DA" w14:textId="77777777" w:rsidR="007039AC" w:rsidRPr="001A4790" w:rsidRDefault="007039AC" w:rsidP="00DB06A8">
      <w:pPr>
        <w:pStyle w:val="Textonotapie"/>
        <w:rPr>
          <w:rFonts w:ascii="Arial" w:hAnsi="Arial" w:cs="Arial"/>
          <w:sz w:val="19"/>
          <w:szCs w:val="19"/>
          <w:lang w:val="es-ES"/>
        </w:rPr>
      </w:pPr>
    </w:p>
  </w:footnote>
  <w:footnote w:id="5">
    <w:p w14:paraId="03DF06A7" w14:textId="441C505C" w:rsidR="007039AC" w:rsidRPr="00DB06A8" w:rsidRDefault="007039AC" w:rsidP="0030262D">
      <w:pPr>
        <w:pStyle w:val="NormalWeb"/>
        <w:spacing w:before="0" w:beforeAutospacing="0" w:after="60" w:afterAutospacing="0"/>
        <w:ind w:firstLine="709"/>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w:t>
      </w:r>
      <w:r w:rsidR="0066550B">
        <w:rPr>
          <w:rFonts w:ascii="Arial" w:hAnsi="Arial" w:cs="Arial"/>
          <w:sz w:val="19"/>
          <w:szCs w:val="19"/>
          <w:lang w:val="es-ES"/>
        </w:rPr>
        <w:t>«</w:t>
      </w:r>
      <w:r w:rsidRPr="00DB06A8">
        <w:rPr>
          <w:rFonts w:ascii="Arial" w:hAnsi="Arial" w:cs="Arial"/>
          <w:sz w:val="19"/>
          <w:szCs w:val="19"/>
        </w:rPr>
        <w:t>Para poder participar en los procesos de selección de los contratos de obra, la capacidad residual del proponente o K de contratación deberá ser igual o superior al que la entidad haya establecido para el efecto en los pliegos de condiciones</w:t>
      </w:r>
    </w:p>
    <w:p w14:paraId="1E0EE260" w14:textId="50DA5C67" w:rsidR="007039AC" w:rsidRPr="00DB06A8" w:rsidRDefault="0066550B" w:rsidP="00DB06A8">
      <w:pPr>
        <w:ind w:firstLine="709"/>
        <w:jc w:val="both"/>
        <w:rPr>
          <w:rFonts w:ascii="Arial" w:hAnsi="Arial" w:cs="Arial"/>
          <w:sz w:val="19"/>
          <w:szCs w:val="19"/>
        </w:rPr>
      </w:pPr>
      <w:r>
        <w:rPr>
          <w:rFonts w:ascii="Arial" w:hAnsi="Arial" w:cs="Arial"/>
          <w:sz w:val="19"/>
          <w:szCs w:val="19"/>
        </w:rPr>
        <w:t>»</w:t>
      </w:r>
      <w:r w:rsidR="007039AC" w:rsidRPr="00DB06A8">
        <w:rPr>
          <w:rFonts w:ascii="Arial" w:hAnsi="Arial" w:cs="Arial"/>
          <w:sz w:val="19"/>
          <w:szCs w:val="19"/>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r>
        <w:rPr>
          <w:rFonts w:ascii="Arial" w:hAnsi="Arial" w:cs="Arial"/>
          <w:sz w:val="19"/>
          <w:szCs w:val="19"/>
        </w:rPr>
        <w:t>»</w:t>
      </w:r>
      <w:r w:rsidR="007039AC" w:rsidRPr="00DB06A8">
        <w:rPr>
          <w:rFonts w:ascii="Arial" w:hAnsi="Arial" w:cs="Arial"/>
          <w:sz w:val="19"/>
          <w:szCs w:val="19"/>
        </w:rPr>
        <w:t>.</w:t>
      </w:r>
    </w:p>
    <w:p w14:paraId="3C0F4F12" w14:textId="77777777" w:rsidR="007039AC" w:rsidRPr="00DB06A8" w:rsidRDefault="007039AC" w:rsidP="00DB06A8">
      <w:pPr>
        <w:ind w:firstLine="709"/>
        <w:jc w:val="both"/>
        <w:rPr>
          <w:rFonts w:ascii="Arial" w:hAnsi="Arial" w:cs="Arial"/>
          <w:sz w:val="19"/>
          <w:szCs w:val="19"/>
        </w:rPr>
      </w:pPr>
    </w:p>
  </w:footnote>
  <w:footnote w:id="6">
    <w:p w14:paraId="32594958" w14:textId="67CCD05E" w:rsidR="007039AC" w:rsidRPr="00DB06A8" w:rsidRDefault="007039AC" w:rsidP="00DB06A8">
      <w:pPr>
        <w:pStyle w:val="Textonotapie"/>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Cfr. </w:t>
      </w:r>
      <w:r w:rsidR="0066550B" w:rsidRPr="00DB06A8">
        <w:rPr>
          <w:rFonts w:ascii="Arial" w:hAnsi="Arial" w:cs="Arial"/>
          <w:sz w:val="19"/>
          <w:szCs w:val="19"/>
        </w:rPr>
        <w:t>CORTE CONSTITUCIONAL</w:t>
      </w:r>
      <w:r w:rsidRPr="00DB06A8">
        <w:rPr>
          <w:rFonts w:ascii="Arial" w:hAnsi="Arial" w:cs="Arial"/>
          <w:sz w:val="19"/>
          <w:szCs w:val="19"/>
        </w:rPr>
        <w:t>. Sentencia C-569 de 2004. M.P. Rodrigo Uprimny Yepes.</w:t>
      </w:r>
    </w:p>
    <w:p w14:paraId="265F8CB6" w14:textId="77777777" w:rsidR="007039AC" w:rsidRPr="00DB06A8" w:rsidRDefault="007039AC" w:rsidP="00DB06A8">
      <w:pPr>
        <w:pStyle w:val="Textonotapie"/>
        <w:ind w:firstLine="708"/>
        <w:jc w:val="both"/>
        <w:rPr>
          <w:rFonts w:ascii="Arial" w:hAnsi="Arial" w:cs="Arial"/>
          <w:sz w:val="19"/>
          <w:szCs w:val="19"/>
          <w:lang w:val="es-ES"/>
        </w:rPr>
      </w:pPr>
    </w:p>
  </w:footnote>
  <w:footnote w:id="7">
    <w:p w14:paraId="3AA5F07E" w14:textId="6D7082C9" w:rsidR="007039AC" w:rsidRPr="00DB06A8" w:rsidRDefault="007039AC" w:rsidP="00DB06A8">
      <w:pPr>
        <w:pStyle w:val="Textonotapie"/>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Cfr. </w:t>
      </w:r>
      <w:r w:rsidR="0066550B" w:rsidRPr="00DB06A8">
        <w:rPr>
          <w:rFonts w:ascii="Arial" w:hAnsi="Arial" w:cs="Arial"/>
          <w:sz w:val="19"/>
          <w:szCs w:val="19"/>
        </w:rPr>
        <w:t>CONSEJO DE ESTADO</w:t>
      </w:r>
      <w:r w:rsidRPr="00DB06A8">
        <w:rPr>
          <w:rFonts w:ascii="Arial" w:hAnsi="Arial" w:cs="Arial"/>
          <w:sz w:val="19"/>
          <w:szCs w:val="19"/>
        </w:rPr>
        <w:t>. Sección Tercera. Providencias del 11 de diciembre de 2002, dictada dentro del expediente AG-1683, y del 18 de octubre de 2001, proferida dentro del plenario AG-021.</w:t>
      </w:r>
    </w:p>
    <w:p w14:paraId="0B07EB77" w14:textId="77777777" w:rsidR="007039AC" w:rsidRPr="00DB06A8" w:rsidRDefault="007039AC" w:rsidP="00DB06A8">
      <w:pPr>
        <w:pStyle w:val="Textonotapie"/>
        <w:ind w:firstLine="708"/>
        <w:jc w:val="both"/>
        <w:rPr>
          <w:rFonts w:ascii="Arial" w:hAnsi="Arial" w:cs="Arial"/>
          <w:sz w:val="19"/>
          <w:szCs w:val="19"/>
          <w:lang w:val="es-ES"/>
        </w:rPr>
      </w:pPr>
    </w:p>
  </w:footnote>
  <w:footnote w:id="8">
    <w:p w14:paraId="49E0F7F7" w14:textId="7BAF7B8D" w:rsidR="007039AC" w:rsidRPr="00DB06A8" w:rsidRDefault="007039AC" w:rsidP="00DB06A8">
      <w:pPr>
        <w:pStyle w:val="Textonotapie"/>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Gaceta 096 de 2007. Pág. 9. Allí se lee: «Parágrafo 2°. Nuevo. Se adiciona un parágrafo nuevo para </w:t>
      </w:r>
      <w:r w:rsidRPr="00DB06A8">
        <w:rPr>
          <w:rFonts w:ascii="Arial" w:hAnsi="Arial" w:cs="Arial"/>
          <w:i/>
          <w:iCs/>
          <w:sz w:val="19"/>
          <w:szCs w:val="19"/>
        </w:rPr>
        <w:t>establecer de manera concreta</w:t>
      </w:r>
      <w:r w:rsidRPr="00DB06A8">
        <w:rPr>
          <w:rFonts w:ascii="Arial" w:hAnsi="Arial" w:cs="Arial"/>
          <w:sz w:val="19"/>
          <w:szCs w:val="19"/>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p w14:paraId="1623D898" w14:textId="77777777" w:rsidR="0001523C" w:rsidRPr="00DB06A8" w:rsidRDefault="0001523C" w:rsidP="00DB06A8">
      <w:pPr>
        <w:pStyle w:val="Textonotapie"/>
        <w:ind w:firstLine="708"/>
        <w:jc w:val="both"/>
        <w:rPr>
          <w:rFonts w:ascii="Arial" w:hAnsi="Arial" w:cs="Arial"/>
          <w:sz w:val="19"/>
          <w:szCs w:val="19"/>
          <w:lang w:val="es-ES"/>
        </w:rPr>
      </w:pPr>
    </w:p>
  </w:footnote>
  <w:footnote w:id="9">
    <w:p w14:paraId="301B99F1" w14:textId="03B447BC" w:rsidR="00DB06A8" w:rsidRPr="001A4790" w:rsidRDefault="00DB06A8" w:rsidP="001A4790">
      <w:pPr>
        <w:pStyle w:val="NormalWeb"/>
        <w:spacing w:before="0" w:beforeAutospacing="0" w:after="0" w:afterAutospacing="0"/>
        <w:jc w:val="both"/>
        <w:rPr>
          <w:rFonts w:ascii="Arial" w:hAnsi="Arial" w:cs="Arial"/>
          <w:color w:val="000000"/>
          <w:sz w:val="19"/>
          <w:szCs w:val="19"/>
          <w:lang w:eastAsia="es-CO"/>
        </w:rPr>
      </w:pPr>
      <w:r w:rsidRPr="001A4790">
        <w:rPr>
          <w:rFonts w:ascii="Arial" w:hAnsi="Arial" w:cs="Arial"/>
          <w:sz w:val="19"/>
          <w:szCs w:val="19"/>
        </w:rPr>
        <w:tab/>
      </w:r>
      <w:r w:rsidRPr="001A4790">
        <w:rPr>
          <w:rStyle w:val="Refdenotaalpie"/>
          <w:rFonts w:ascii="Arial" w:hAnsi="Arial" w:cs="Arial"/>
          <w:sz w:val="19"/>
          <w:szCs w:val="19"/>
        </w:rPr>
        <w:footnoteRef/>
      </w:r>
      <w:r w:rsidRPr="001A4790">
        <w:rPr>
          <w:rFonts w:ascii="Arial" w:hAnsi="Arial" w:cs="Arial"/>
          <w:sz w:val="19"/>
          <w:szCs w:val="19"/>
        </w:rPr>
        <w:t>«</w:t>
      </w:r>
      <w:r w:rsidRPr="001A4790">
        <w:rPr>
          <w:rStyle w:val="Textoennegrita"/>
          <w:rFonts w:ascii="Arial" w:hAnsi="Arial" w:cs="Arial"/>
          <w:b w:val="0"/>
          <w:bCs w:val="0"/>
          <w:color w:val="000000"/>
          <w:sz w:val="19"/>
          <w:szCs w:val="19"/>
        </w:rPr>
        <w:t>Artículo 2.2.1.1.1.5.3. </w:t>
      </w:r>
      <w:r w:rsidRPr="001A4790">
        <w:rPr>
          <w:rStyle w:val="nfasis"/>
          <w:rFonts w:ascii="Arial" w:hAnsi="Arial" w:cs="Arial"/>
          <w:bCs/>
          <w:color w:val="000000"/>
          <w:sz w:val="19"/>
          <w:szCs w:val="19"/>
        </w:rPr>
        <w:t>Requisitos habilitantes contenidos en el RUP</w:t>
      </w:r>
      <w:r w:rsidRPr="001A4790">
        <w:rPr>
          <w:rStyle w:val="nfasis"/>
          <w:rFonts w:ascii="Arial" w:hAnsi="Arial" w:cs="Arial"/>
          <w:b/>
          <w:bCs/>
          <w:color w:val="000000"/>
          <w:sz w:val="19"/>
          <w:szCs w:val="19"/>
        </w:rPr>
        <w:t>. </w:t>
      </w:r>
      <w:r w:rsidRPr="001A4790">
        <w:rPr>
          <w:rFonts w:ascii="Arial" w:hAnsi="Arial" w:cs="Arial"/>
          <w:color w:val="000000"/>
          <w:sz w:val="19"/>
          <w:szCs w:val="19"/>
        </w:rPr>
        <w:t>Las cámaras de comercio, con base en la información a la que hace referencia el artículo anterior, deben verificar y certificar los siguientes requisitos habilitantes: </w:t>
      </w:r>
    </w:p>
    <w:p w14:paraId="0930580B" w14:textId="5F7E3398"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»1. Experiencia – Los contratos celebrados por el interesado para cada uno de los bienes, obras y servicios que ofrecerá a las Entidades Estatales, identificados con el Clasificador de Bienes y Servicios en el tercer nivel y su valor expresado en smmlv. </w:t>
      </w:r>
    </w:p>
    <w:p w14:paraId="21CB915F" w14:textId="4BEB422E"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772352E3" w14:textId="754A7B04"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 </w:t>
      </w:r>
    </w:p>
    <w:p w14:paraId="40F3150F" w14:textId="2E019B8E"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»3. Capacidad Financiera – los siguientes indicadores miden la fortaleza financiera del interesado: </w:t>
      </w:r>
    </w:p>
    <w:p w14:paraId="4E615226" w14:textId="35C09413"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»3.1. Índice de liquidez: activo corriente dividido por el pasivo corriente. </w:t>
      </w:r>
    </w:p>
    <w:p w14:paraId="43800C3A" w14:textId="6E16CB96"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»3.2. Índice de endeudamiento: pasivo total dividido por el activo total. </w:t>
      </w:r>
    </w:p>
    <w:p w14:paraId="1EF8C06F" w14:textId="1723A799"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»3.3. Razón de cobertura de intereses: utilidad operacional dividida por los gastos de intereses. </w:t>
      </w:r>
    </w:p>
    <w:p w14:paraId="088E337B" w14:textId="67EBCE8A"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»4. Capacidad Organizacional – los siguientes indicadores miden el rendimiento de las inversiones y la eficiencia en el uso de activos del interesado: </w:t>
      </w:r>
    </w:p>
    <w:p w14:paraId="56A125B6" w14:textId="75C7F801"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»4.1. Rentabilidad del patrimonio: utilidad operacional dividida por el patrimonio. </w:t>
      </w:r>
    </w:p>
    <w:p w14:paraId="6065159B" w14:textId="13BA9F46"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»4.2. Rentabilidad del activo: utilidad operacional dividida por el activo total».  </w:t>
      </w:r>
    </w:p>
    <w:p w14:paraId="1229FD41" w14:textId="20FAB706" w:rsidR="00DB06A8" w:rsidRPr="001A4790" w:rsidRDefault="00DB06A8" w:rsidP="00DB06A8">
      <w:pPr>
        <w:pStyle w:val="Textonotapie"/>
        <w:rPr>
          <w:rFonts w:ascii="Arial" w:hAnsi="Arial" w:cs="Arial"/>
          <w:sz w:val="19"/>
          <w:szCs w:val="19"/>
        </w:rPr>
      </w:pPr>
      <w:r w:rsidRPr="001A4790">
        <w:rPr>
          <w:rFonts w:ascii="Arial" w:hAnsi="Arial" w:cs="Arial"/>
          <w:sz w:val="19"/>
          <w:szCs w:val="19"/>
        </w:rPr>
        <w:t xml:space="preserve"> </w:t>
      </w:r>
    </w:p>
  </w:footnote>
  <w:footnote w:id="10">
    <w:p w14:paraId="27DA7309" w14:textId="77777777" w:rsidR="0001523C" w:rsidRPr="00DB06A8" w:rsidRDefault="0001523C" w:rsidP="00DB06A8">
      <w:pPr>
        <w:pStyle w:val="Textonotapie"/>
        <w:jc w:val="both"/>
        <w:rPr>
          <w:rFonts w:ascii="Arial" w:hAnsi="Arial" w:cs="Arial"/>
          <w:sz w:val="19"/>
          <w:szCs w:val="19"/>
        </w:rPr>
      </w:pPr>
      <w:r w:rsidRPr="001A4790">
        <w:rPr>
          <w:rFonts w:ascii="Arial" w:hAnsi="Arial" w:cs="Arial"/>
          <w:sz w:val="19"/>
          <w:szCs w:val="19"/>
        </w:rPr>
        <w:tab/>
      </w:r>
      <w:r w:rsidRPr="00DB06A8">
        <w:rPr>
          <w:rStyle w:val="Refdenotaalpie"/>
          <w:rFonts w:ascii="Arial" w:hAnsi="Arial" w:cs="Arial"/>
          <w:sz w:val="19"/>
          <w:szCs w:val="19"/>
        </w:rPr>
        <w:footnoteRef/>
      </w:r>
      <w:r w:rsidRPr="00DB06A8">
        <w:rPr>
          <w:rFonts w:ascii="Arial" w:hAnsi="Arial" w:cs="Arial"/>
          <w:sz w:val="19"/>
          <w:szCs w:val="19"/>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906B3C" w:rsidRDefault="00FF547A" w:rsidP="00FF547A">
    <w:pPr>
      <w:pStyle w:val="Encabezado"/>
      <w:ind w:left="3545" w:firstLine="709"/>
      <w:rPr>
        <w:b/>
        <w:bCs/>
        <w:color w:val="A5A5A5" w:themeColor="accent3"/>
        <w:sz w:val="18"/>
        <w:szCs w:val="18"/>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2"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4"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26553903">
    <w:abstractNumId w:val="2"/>
  </w:num>
  <w:num w:numId="2" w16cid:durableId="1463889426">
    <w:abstractNumId w:val="5"/>
  </w:num>
  <w:num w:numId="3" w16cid:durableId="1260990755">
    <w:abstractNumId w:val="1"/>
  </w:num>
  <w:num w:numId="4" w16cid:durableId="2135639801">
    <w:abstractNumId w:val="3"/>
  </w:num>
  <w:num w:numId="5" w16cid:durableId="105273022">
    <w:abstractNumId w:val="4"/>
  </w:num>
  <w:num w:numId="6" w16cid:durableId="2136825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A32"/>
    <w:rsid w:val="0001523C"/>
    <w:rsid w:val="000160CE"/>
    <w:rsid w:val="00027E00"/>
    <w:rsid w:val="00034765"/>
    <w:rsid w:val="00041A62"/>
    <w:rsid w:val="00044150"/>
    <w:rsid w:val="0004470C"/>
    <w:rsid w:val="00047939"/>
    <w:rsid w:val="00051DF9"/>
    <w:rsid w:val="000577EB"/>
    <w:rsid w:val="00063E22"/>
    <w:rsid w:val="00064617"/>
    <w:rsid w:val="000714BA"/>
    <w:rsid w:val="00075CB7"/>
    <w:rsid w:val="000770A6"/>
    <w:rsid w:val="000815BD"/>
    <w:rsid w:val="00093ECC"/>
    <w:rsid w:val="000965D3"/>
    <w:rsid w:val="000A1A65"/>
    <w:rsid w:val="000A22E0"/>
    <w:rsid w:val="000A6950"/>
    <w:rsid w:val="000A71F8"/>
    <w:rsid w:val="000B322A"/>
    <w:rsid w:val="000B38F9"/>
    <w:rsid w:val="000B6B23"/>
    <w:rsid w:val="000B7A2F"/>
    <w:rsid w:val="000C0C5A"/>
    <w:rsid w:val="000C176A"/>
    <w:rsid w:val="000C41FF"/>
    <w:rsid w:val="000D17CE"/>
    <w:rsid w:val="000D31AF"/>
    <w:rsid w:val="000E2C53"/>
    <w:rsid w:val="000E4BCC"/>
    <w:rsid w:val="000E6606"/>
    <w:rsid w:val="000F16C3"/>
    <w:rsid w:val="000F20D6"/>
    <w:rsid w:val="0010115C"/>
    <w:rsid w:val="001048AE"/>
    <w:rsid w:val="00110547"/>
    <w:rsid w:val="001221E5"/>
    <w:rsid w:val="00122D5C"/>
    <w:rsid w:val="001335B5"/>
    <w:rsid w:val="0014294A"/>
    <w:rsid w:val="00145CEA"/>
    <w:rsid w:val="0015100A"/>
    <w:rsid w:val="001542F1"/>
    <w:rsid w:val="00155176"/>
    <w:rsid w:val="00155A6A"/>
    <w:rsid w:val="00156332"/>
    <w:rsid w:val="00156426"/>
    <w:rsid w:val="00157024"/>
    <w:rsid w:val="00157364"/>
    <w:rsid w:val="00160EA4"/>
    <w:rsid w:val="0016321F"/>
    <w:rsid w:val="00166895"/>
    <w:rsid w:val="00172E23"/>
    <w:rsid w:val="0017361B"/>
    <w:rsid w:val="0018365C"/>
    <w:rsid w:val="001856A6"/>
    <w:rsid w:val="0019286E"/>
    <w:rsid w:val="0019347C"/>
    <w:rsid w:val="00194035"/>
    <w:rsid w:val="0019577D"/>
    <w:rsid w:val="00196387"/>
    <w:rsid w:val="001973D3"/>
    <w:rsid w:val="001A1FE0"/>
    <w:rsid w:val="001A4790"/>
    <w:rsid w:val="001A7515"/>
    <w:rsid w:val="001B1ED3"/>
    <w:rsid w:val="001B5043"/>
    <w:rsid w:val="001B5704"/>
    <w:rsid w:val="001C7F1C"/>
    <w:rsid w:val="001D014E"/>
    <w:rsid w:val="001D169F"/>
    <w:rsid w:val="001D579D"/>
    <w:rsid w:val="001E00A3"/>
    <w:rsid w:val="001E0D8E"/>
    <w:rsid w:val="001E51C7"/>
    <w:rsid w:val="001F0BA1"/>
    <w:rsid w:val="001F1036"/>
    <w:rsid w:val="001F2FE7"/>
    <w:rsid w:val="001F4A87"/>
    <w:rsid w:val="0020666F"/>
    <w:rsid w:val="0022027A"/>
    <w:rsid w:val="002203D9"/>
    <w:rsid w:val="00222FE7"/>
    <w:rsid w:val="0023114E"/>
    <w:rsid w:val="00234C96"/>
    <w:rsid w:val="00236169"/>
    <w:rsid w:val="002370E0"/>
    <w:rsid w:val="002410B7"/>
    <w:rsid w:val="00244285"/>
    <w:rsid w:val="0024753C"/>
    <w:rsid w:val="002546FB"/>
    <w:rsid w:val="00255AF6"/>
    <w:rsid w:val="0025667C"/>
    <w:rsid w:val="002650A2"/>
    <w:rsid w:val="00266469"/>
    <w:rsid w:val="00267994"/>
    <w:rsid w:val="0027060A"/>
    <w:rsid w:val="00273DB1"/>
    <w:rsid w:val="00274FF8"/>
    <w:rsid w:val="00276E87"/>
    <w:rsid w:val="00276F1D"/>
    <w:rsid w:val="0027789E"/>
    <w:rsid w:val="00280012"/>
    <w:rsid w:val="002835D0"/>
    <w:rsid w:val="0028433E"/>
    <w:rsid w:val="00290872"/>
    <w:rsid w:val="00292A75"/>
    <w:rsid w:val="00294A56"/>
    <w:rsid w:val="002A092A"/>
    <w:rsid w:val="002B2085"/>
    <w:rsid w:val="002B5D94"/>
    <w:rsid w:val="002B6EDD"/>
    <w:rsid w:val="002C3DC8"/>
    <w:rsid w:val="002D55E0"/>
    <w:rsid w:val="002D6662"/>
    <w:rsid w:val="002E0539"/>
    <w:rsid w:val="002E4878"/>
    <w:rsid w:val="002F339A"/>
    <w:rsid w:val="002F3B48"/>
    <w:rsid w:val="002F5437"/>
    <w:rsid w:val="0030262D"/>
    <w:rsid w:val="00303712"/>
    <w:rsid w:val="00305DDD"/>
    <w:rsid w:val="00306CF5"/>
    <w:rsid w:val="00307D38"/>
    <w:rsid w:val="003104CB"/>
    <w:rsid w:val="00311E48"/>
    <w:rsid w:val="00313EFB"/>
    <w:rsid w:val="003142AF"/>
    <w:rsid w:val="00316157"/>
    <w:rsid w:val="003210B5"/>
    <w:rsid w:val="003258E3"/>
    <w:rsid w:val="00332D6E"/>
    <w:rsid w:val="00333088"/>
    <w:rsid w:val="00334B19"/>
    <w:rsid w:val="00337918"/>
    <w:rsid w:val="00341302"/>
    <w:rsid w:val="0035529C"/>
    <w:rsid w:val="00355937"/>
    <w:rsid w:val="003610F4"/>
    <w:rsid w:val="00364D51"/>
    <w:rsid w:val="003702AD"/>
    <w:rsid w:val="0037154B"/>
    <w:rsid w:val="00372146"/>
    <w:rsid w:val="00375947"/>
    <w:rsid w:val="00377837"/>
    <w:rsid w:val="0038422A"/>
    <w:rsid w:val="00385A96"/>
    <w:rsid w:val="00385B3E"/>
    <w:rsid w:val="003870E4"/>
    <w:rsid w:val="00391B62"/>
    <w:rsid w:val="003921EC"/>
    <w:rsid w:val="00393B89"/>
    <w:rsid w:val="00395260"/>
    <w:rsid w:val="003953A4"/>
    <w:rsid w:val="003A235D"/>
    <w:rsid w:val="003A279E"/>
    <w:rsid w:val="003A7C69"/>
    <w:rsid w:val="003B3DA5"/>
    <w:rsid w:val="003B42A6"/>
    <w:rsid w:val="003B76F3"/>
    <w:rsid w:val="003C0050"/>
    <w:rsid w:val="003C1B39"/>
    <w:rsid w:val="003C6B38"/>
    <w:rsid w:val="003C7067"/>
    <w:rsid w:val="003D1596"/>
    <w:rsid w:val="003D24F8"/>
    <w:rsid w:val="003E023D"/>
    <w:rsid w:val="003E060B"/>
    <w:rsid w:val="003E306B"/>
    <w:rsid w:val="003F0A31"/>
    <w:rsid w:val="003F2CA6"/>
    <w:rsid w:val="00400B3F"/>
    <w:rsid w:val="0040411F"/>
    <w:rsid w:val="004116D9"/>
    <w:rsid w:val="00413F87"/>
    <w:rsid w:val="00425CA0"/>
    <w:rsid w:val="00427639"/>
    <w:rsid w:val="0043199D"/>
    <w:rsid w:val="0043465F"/>
    <w:rsid w:val="00450F52"/>
    <w:rsid w:val="004514C3"/>
    <w:rsid w:val="004521F3"/>
    <w:rsid w:val="00452B6D"/>
    <w:rsid w:val="00452C65"/>
    <w:rsid w:val="004530B5"/>
    <w:rsid w:val="004530DC"/>
    <w:rsid w:val="004541BB"/>
    <w:rsid w:val="00454C1E"/>
    <w:rsid w:val="00457483"/>
    <w:rsid w:val="00457AAD"/>
    <w:rsid w:val="00461578"/>
    <w:rsid w:val="004662C1"/>
    <w:rsid w:val="004665D9"/>
    <w:rsid w:val="004708A3"/>
    <w:rsid w:val="00472517"/>
    <w:rsid w:val="00487CAB"/>
    <w:rsid w:val="004963B0"/>
    <w:rsid w:val="004A0C2B"/>
    <w:rsid w:val="004A2FA1"/>
    <w:rsid w:val="004A6DF7"/>
    <w:rsid w:val="004B2DEB"/>
    <w:rsid w:val="004B3167"/>
    <w:rsid w:val="004B3476"/>
    <w:rsid w:val="004B569C"/>
    <w:rsid w:val="004C1C33"/>
    <w:rsid w:val="004C27EC"/>
    <w:rsid w:val="004C4C02"/>
    <w:rsid w:val="004D1CAE"/>
    <w:rsid w:val="004D3244"/>
    <w:rsid w:val="004D4519"/>
    <w:rsid w:val="004D76E8"/>
    <w:rsid w:val="004E3799"/>
    <w:rsid w:val="004E5663"/>
    <w:rsid w:val="004E587A"/>
    <w:rsid w:val="004E76CB"/>
    <w:rsid w:val="004F1086"/>
    <w:rsid w:val="004F654F"/>
    <w:rsid w:val="005058EF"/>
    <w:rsid w:val="0051003B"/>
    <w:rsid w:val="00521AC0"/>
    <w:rsid w:val="005278E3"/>
    <w:rsid w:val="0053012B"/>
    <w:rsid w:val="005313ED"/>
    <w:rsid w:val="00532580"/>
    <w:rsid w:val="00533EDC"/>
    <w:rsid w:val="00543797"/>
    <w:rsid w:val="00545362"/>
    <w:rsid w:val="005463B4"/>
    <w:rsid w:val="00546A01"/>
    <w:rsid w:val="00546BD3"/>
    <w:rsid w:val="005537BE"/>
    <w:rsid w:val="00554FCF"/>
    <w:rsid w:val="00556FD3"/>
    <w:rsid w:val="00564571"/>
    <w:rsid w:val="00573E27"/>
    <w:rsid w:val="005745BF"/>
    <w:rsid w:val="005752B3"/>
    <w:rsid w:val="00584231"/>
    <w:rsid w:val="005867C9"/>
    <w:rsid w:val="00594698"/>
    <w:rsid w:val="005B14B2"/>
    <w:rsid w:val="005B384E"/>
    <w:rsid w:val="005B39BF"/>
    <w:rsid w:val="005B441F"/>
    <w:rsid w:val="005C6BBE"/>
    <w:rsid w:val="005D20C7"/>
    <w:rsid w:val="005D539E"/>
    <w:rsid w:val="005E57D6"/>
    <w:rsid w:val="00607049"/>
    <w:rsid w:val="00611C84"/>
    <w:rsid w:val="0061555F"/>
    <w:rsid w:val="006169DA"/>
    <w:rsid w:val="00625F16"/>
    <w:rsid w:val="00626DC2"/>
    <w:rsid w:val="00632D2B"/>
    <w:rsid w:val="00645FB0"/>
    <w:rsid w:val="00646C99"/>
    <w:rsid w:val="00652125"/>
    <w:rsid w:val="006534EE"/>
    <w:rsid w:val="00657CB5"/>
    <w:rsid w:val="00660C19"/>
    <w:rsid w:val="006610BD"/>
    <w:rsid w:val="00661CE8"/>
    <w:rsid w:val="00664E56"/>
    <w:rsid w:val="0066550B"/>
    <w:rsid w:val="00676C2D"/>
    <w:rsid w:val="006908AF"/>
    <w:rsid w:val="006929FC"/>
    <w:rsid w:val="00696C59"/>
    <w:rsid w:val="0069743E"/>
    <w:rsid w:val="00697780"/>
    <w:rsid w:val="006A0B2E"/>
    <w:rsid w:val="006A2383"/>
    <w:rsid w:val="006B040D"/>
    <w:rsid w:val="006B06C7"/>
    <w:rsid w:val="006B205F"/>
    <w:rsid w:val="006B5BAD"/>
    <w:rsid w:val="006C11AC"/>
    <w:rsid w:val="006C25DE"/>
    <w:rsid w:val="006C67CE"/>
    <w:rsid w:val="006C730C"/>
    <w:rsid w:val="006D1233"/>
    <w:rsid w:val="006D1DF5"/>
    <w:rsid w:val="006D42CA"/>
    <w:rsid w:val="006D43D6"/>
    <w:rsid w:val="006D4E4D"/>
    <w:rsid w:val="006D66D3"/>
    <w:rsid w:val="006D7111"/>
    <w:rsid w:val="006E01E2"/>
    <w:rsid w:val="006E280E"/>
    <w:rsid w:val="006E2E59"/>
    <w:rsid w:val="006E3684"/>
    <w:rsid w:val="006E599A"/>
    <w:rsid w:val="006F628A"/>
    <w:rsid w:val="006F6C29"/>
    <w:rsid w:val="007007D0"/>
    <w:rsid w:val="0070319B"/>
    <w:rsid w:val="00703305"/>
    <w:rsid w:val="007039AC"/>
    <w:rsid w:val="007101DE"/>
    <w:rsid w:val="0071057D"/>
    <w:rsid w:val="007135B5"/>
    <w:rsid w:val="00714D49"/>
    <w:rsid w:val="0071587F"/>
    <w:rsid w:val="007301A5"/>
    <w:rsid w:val="00731374"/>
    <w:rsid w:val="007374F5"/>
    <w:rsid w:val="007402D6"/>
    <w:rsid w:val="0074401A"/>
    <w:rsid w:val="007444BB"/>
    <w:rsid w:val="007477FE"/>
    <w:rsid w:val="007533F2"/>
    <w:rsid w:val="007566AD"/>
    <w:rsid w:val="00763584"/>
    <w:rsid w:val="00766606"/>
    <w:rsid w:val="007704C1"/>
    <w:rsid w:val="00771994"/>
    <w:rsid w:val="00774EA0"/>
    <w:rsid w:val="00777ABC"/>
    <w:rsid w:val="00780EF8"/>
    <w:rsid w:val="00781A67"/>
    <w:rsid w:val="007A09E8"/>
    <w:rsid w:val="007A13A0"/>
    <w:rsid w:val="007A48A1"/>
    <w:rsid w:val="007A52B4"/>
    <w:rsid w:val="007A58B1"/>
    <w:rsid w:val="007A5F2D"/>
    <w:rsid w:val="007A6F08"/>
    <w:rsid w:val="007B0517"/>
    <w:rsid w:val="007B4AAC"/>
    <w:rsid w:val="007B4CC3"/>
    <w:rsid w:val="007C14A7"/>
    <w:rsid w:val="007C18F9"/>
    <w:rsid w:val="007D5580"/>
    <w:rsid w:val="007D648E"/>
    <w:rsid w:val="007E48AE"/>
    <w:rsid w:val="007F1DEE"/>
    <w:rsid w:val="007F4036"/>
    <w:rsid w:val="007F55F8"/>
    <w:rsid w:val="007F6F80"/>
    <w:rsid w:val="007F737A"/>
    <w:rsid w:val="00802CD1"/>
    <w:rsid w:val="00812BB2"/>
    <w:rsid w:val="00817CCE"/>
    <w:rsid w:val="0082271C"/>
    <w:rsid w:val="00826A17"/>
    <w:rsid w:val="0082778E"/>
    <w:rsid w:val="00827CD3"/>
    <w:rsid w:val="0083524B"/>
    <w:rsid w:val="008402CD"/>
    <w:rsid w:val="00841BDF"/>
    <w:rsid w:val="00843CDF"/>
    <w:rsid w:val="008443B3"/>
    <w:rsid w:val="00847A78"/>
    <w:rsid w:val="00854A55"/>
    <w:rsid w:val="00860639"/>
    <w:rsid w:val="00863607"/>
    <w:rsid w:val="0087011C"/>
    <w:rsid w:val="008702BA"/>
    <w:rsid w:val="008708B7"/>
    <w:rsid w:val="008735D0"/>
    <w:rsid w:val="0087674C"/>
    <w:rsid w:val="00876B78"/>
    <w:rsid w:val="00881AE8"/>
    <w:rsid w:val="00890AB8"/>
    <w:rsid w:val="00890D5F"/>
    <w:rsid w:val="00893807"/>
    <w:rsid w:val="008951CE"/>
    <w:rsid w:val="008958AC"/>
    <w:rsid w:val="00896007"/>
    <w:rsid w:val="008A2F7B"/>
    <w:rsid w:val="008A6295"/>
    <w:rsid w:val="008A7D7A"/>
    <w:rsid w:val="008C1D44"/>
    <w:rsid w:val="008C368A"/>
    <w:rsid w:val="008D2933"/>
    <w:rsid w:val="008D35A4"/>
    <w:rsid w:val="008D6FD8"/>
    <w:rsid w:val="008E33F5"/>
    <w:rsid w:val="008E518E"/>
    <w:rsid w:val="008F10C7"/>
    <w:rsid w:val="008F6E0C"/>
    <w:rsid w:val="009040A2"/>
    <w:rsid w:val="0090501B"/>
    <w:rsid w:val="0090557C"/>
    <w:rsid w:val="00913406"/>
    <w:rsid w:val="0091503C"/>
    <w:rsid w:val="00920086"/>
    <w:rsid w:val="0092073B"/>
    <w:rsid w:val="0092111A"/>
    <w:rsid w:val="009212E1"/>
    <w:rsid w:val="00924576"/>
    <w:rsid w:val="009346BA"/>
    <w:rsid w:val="009418A5"/>
    <w:rsid w:val="0094506A"/>
    <w:rsid w:val="009470FC"/>
    <w:rsid w:val="009527E4"/>
    <w:rsid w:val="009540D3"/>
    <w:rsid w:val="00961511"/>
    <w:rsid w:val="00962D13"/>
    <w:rsid w:val="00965B3A"/>
    <w:rsid w:val="00975452"/>
    <w:rsid w:val="00977BC1"/>
    <w:rsid w:val="00984D8B"/>
    <w:rsid w:val="0098621E"/>
    <w:rsid w:val="00987493"/>
    <w:rsid w:val="00987861"/>
    <w:rsid w:val="009916A6"/>
    <w:rsid w:val="0099278D"/>
    <w:rsid w:val="0099407E"/>
    <w:rsid w:val="00994D39"/>
    <w:rsid w:val="00996366"/>
    <w:rsid w:val="0099787B"/>
    <w:rsid w:val="009A246D"/>
    <w:rsid w:val="009B20DB"/>
    <w:rsid w:val="009B2C35"/>
    <w:rsid w:val="009B5641"/>
    <w:rsid w:val="009B5F97"/>
    <w:rsid w:val="009B6276"/>
    <w:rsid w:val="009C16B3"/>
    <w:rsid w:val="009C5E1C"/>
    <w:rsid w:val="009C5E76"/>
    <w:rsid w:val="009C7BBC"/>
    <w:rsid w:val="009D66B9"/>
    <w:rsid w:val="009D6BD7"/>
    <w:rsid w:val="009F0A44"/>
    <w:rsid w:val="009F4002"/>
    <w:rsid w:val="009F4296"/>
    <w:rsid w:val="009F532D"/>
    <w:rsid w:val="009F5860"/>
    <w:rsid w:val="009F5A81"/>
    <w:rsid w:val="009F5CFA"/>
    <w:rsid w:val="009F7627"/>
    <w:rsid w:val="00A0046D"/>
    <w:rsid w:val="00A009D4"/>
    <w:rsid w:val="00A04819"/>
    <w:rsid w:val="00A053C7"/>
    <w:rsid w:val="00A061EC"/>
    <w:rsid w:val="00A1657C"/>
    <w:rsid w:val="00A16F59"/>
    <w:rsid w:val="00A201B3"/>
    <w:rsid w:val="00A21241"/>
    <w:rsid w:val="00A2369A"/>
    <w:rsid w:val="00A23905"/>
    <w:rsid w:val="00A412E5"/>
    <w:rsid w:val="00A55358"/>
    <w:rsid w:val="00A55366"/>
    <w:rsid w:val="00A57E21"/>
    <w:rsid w:val="00A63DA3"/>
    <w:rsid w:val="00A768B4"/>
    <w:rsid w:val="00A81B31"/>
    <w:rsid w:val="00A82D11"/>
    <w:rsid w:val="00A83C01"/>
    <w:rsid w:val="00A844C4"/>
    <w:rsid w:val="00A86314"/>
    <w:rsid w:val="00A94591"/>
    <w:rsid w:val="00A94E34"/>
    <w:rsid w:val="00A977C8"/>
    <w:rsid w:val="00AA7104"/>
    <w:rsid w:val="00AB244D"/>
    <w:rsid w:val="00AB36B6"/>
    <w:rsid w:val="00AC4FE9"/>
    <w:rsid w:val="00AC5A39"/>
    <w:rsid w:val="00AD027E"/>
    <w:rsid w:val="00AD17DB"/>
    <w:rsid w:val="00AE3552"/>
    <w:rsid w:val="00AE485F"/>
    <w:rsid w:val="00AF2BAE"/>
    <w:rsid w:val="00B0338C"/>
    <w:rsid w:val="00B036EA"/>
    <w:rsid w:val="00B05ACC"/>
    <w:rsid w:val="00B139B2"/>
    <w:rsid w:val="00B204B3"/>
    <w:rsid w:val="00B213A1"/>
    <w:rsid w:val="00B24B11"/>
    <w:rsid w:val="00B325AF"/>
    <w:rsid w:val="00B40B39"/>
    <w:rsid w:val="00B41C7A"/>
    <w:rsid w:val="00B46CB5"/>
    <w:rsid w:val="00B71F0A"/>
    <w:rsid w:val="00B742C2"/>
    <w:rsid w:val="00B74E3B"/>
    <w:rsid w:val="00B82D1D"/>
    <w:rsid w:val="00B93A8D"/>
    <w:rsid w:val="00B97CE2"/>
    <w:rsid w:val="00BA0AE4"/>
    <w:rsid w:val="00BA187E"/>
    <w:rsid w:val="00BA4004"/>
    <w:rsid w:val="00BA515C"/>
    <w:rsid w:val="00BA6AA2"/>
    <w:rsid w:val="00BB5FFC"/>
    <w:rsid w:val="00BC51F1"/>
    <w:rsid w:val="00BD5A6F"/>
    <w:rsid w:val="00BD5ED5"/>
    <w:rsid w:val="00BD7B31"/>
    <w:rsid w:val="00BE065B"/>
    <w:rsid w:val="00BF4336"/>
    <w:rsid w:val="00C04068"/>
    <w:rsid w:val="00C04F58"/>
    <w:rsid w:val="00C1122A"/>
    <w:rsid w:val="00C12608"/>
    <w:rsid w:val="00C15870"/>
    <w:rsid w:val="00C17718"/>
    <w:rsid w:val="00C20A90"/>
    <w:rsid w:val="00C21998"/>
    <w:rsid w:val="00C24E6D"/>
    <w:rsid w:val="00C30F2F"/>
    <w:rsid w:val="00C43F7C"/>
    <w:rsid w:val="00C45EFF"/>
    <w:rsid w:val="00C46B18"/>
    <w:rsid w:val="00C52F53"/>
    <w:rsid w:val="00C55E13"/>
    <w:rsid w:val="00C63119"/>
    <w:rsid w:val="00C667F5"/>
    <w:rsid w:val="00C71F83"/>
    <w:rsid w:val="00C76716"/>
    <w:rsid w:val="00C807B0"/>
    <w:rsid w:val="00C81076"/>
    <w:rsid w:val="00C95355"/>
    <w:rsid w:val="00C967B4"/>
    <w:rsid w:val="00C9717B"/>
    <w:rsid w:val="00CB0C0E"/>
    <w:rsid w:val="00CB294E"/>
    <w:rsid w:val="00CC747F"/>
    <w:rsid w:val="00CD1F2A"/>
    <w:rsid w:val="00CD1FFB"/>
    <w:rsid w:val="00CD23C7"/>
    <w:rsid w:val="00CF21BD"/>
    <w:rsid w:val="00CF4D94"/>
    <w:rsid w:val="00D06B51"/>
    <w:rsid w:val="00D13E49"/>
    <w:rsid w:val="00D14CB4"/>
    <w:rsid w:val="00D20437"/>
    <w:rsid w:val="00D2190E"/>
    <w:rsid w:val="00D26529"/>
    <w:rsid w:val="00D354FA"/>
    <w:rsid w:val="00D371F4"/>
    <w:rsid w:val="00D43237"/>
    <w:rsid w:val="00D4411E"/>
    <w:rsid w:val="00D50AFB"/>
    <w:rsid w:val="00D5574A"/>
    <w:rsid w:val="00D56CA2"/>
    <w:rsid w:val="00D62647"/>
    <w:rsid w:val="00D62C94"/>
    <w:rsid w:val="00D74DB3"/>
    <w:rsid w:val="00D81E5B"/>
    <w:rsid w:val="00D91101"/>
    <w:rsid w:val="00D95F6B"/>
    <w:rsid w:val="00D97105"/>
    <w:rsid w:val="00DA07F3"/>
    <w:rsid w:val="00DA13D9"/>
    <w:rsid w:val="00DA318B"/>
    <w:rsid w:val="00DB06A8"/>
    <w:rsid w:val="00DB16A5"/>
    <w:rsid w:val="00DB587E"/>
    <w:rsid w:val="00DC12B9"/>
    <w:rsid w:val="00DC7CC6"/>
    <w:rsid w:val="00DD2FB8"/>
    <w:rsid w:val="00DD50DE"/>
    <w:rsid w:val="00DE29EB"/>
    <w:rsid w:val="00DE6D2B"/>
    <w:rsid w:val="00DE7249"/>
    <w:rsid w:val="00DF02C5"/>
    <w:rsid w:val="00DF3130"/>
    <w:rsid w:val="00DF5BB0"/>
    <w:rsid w:val="00E006F1"/>
    <w:rsid w:val="00E06A3D"/>
    <w:rsid w:val="00E073F4"/>
    <w:rsid w:val="00E1744A"/>
    <w:rsid w:val="00E17DD1"/>
    <w:rsid w:val="00E22024"/>
    <w:rsid w:val="00E2370B"/>
    <w:rsid w:val="00E24030"/>
    <w:rsid w:val="00E36420"/>
    <w:rsid w:val="00E457BB"/>
    <w:rsid w:val="00E5054B"/>
    <w:rsid w:val="00E5202C"/>
    <w:rsid w:val="00E55AA2"/>
    <w:rsid w:val="00E56A40"/>
    <w:rsid w:val="00E60868"/>
    <w:rsid w:val="00E63B8B"/>
    <w:rsid w:val="00E667D8"/>
    <w:rsid w:val="00E6723D"/>
    <w:rsid w:val="00E74412"/>
    <w:rsid w:val="00E84094"/>
    <w:rsid w:val="00E86C4E"/>
    <w:rsid w:val="00E93DD3"/>
    <w:rsid w:val="00E94838"/>
    <w:rsid w:val="00E94A99"/>
    <w:rsid w:val="00E9754D"/>
    <w:rsid w:val="00EA575F"/>
    <w:rsid w:val="00EB1DBF"/>
    <w:rsid w:val="00EB2411"/>
    <w:rsid w:val="00EB32BF"/>
    <w:rsid w:val="00EB66C4"/>
    <w:rsid w:val="00EC5476"/>
    <w:rsid w:val="00ED55F2"/>
    <w:rsid w:val="00EE1EA1"/>
    <w:rsid w:val="00EF19AD"/>
    <w:rsid w:val="00EF1A62"/>
    <w:rsid w:val="00EF2C3C"/>
    <w:rsid w:val="00F00588"/>
    <w:rsid w:val="00F05314"/>
    <w:rsid w:val="00F06CDD"/>
    <w:rsid w:val="00F128A6"/>
    <w:rsid w:val="00F13E1E"/>
    <w:rsid w:val="00F14E3E"/>
    <w:rsid w:val="00F16C48"/>
    <w:rsid w:val="00F17E55"/>
    <w:rsid w:val="00F206CA"/>
    <w:rsid w:val="00F2234C"/>
    <w:rsid w:val="00F22795"/>
    <w:rsid w:val="00F2691F"/>
    <w:rsid w:val="00F2752E"/>
    <w:rsid w:val="00F30C0A"/>
    <w:rsid w:val="00F33EBD"/>
    <w:rsid w:val="00F37E69"/>
    <w:rsid w:val="00F37FFA"/>
    <w:rsid w:val="00F40435"/>
    <w:rsid w:val="00F4282D"/>
    <w:rsid w:val="00F44EDE"/>
    <w:rsid w:val="00F4666D"/>
    <w:rsid w:val="00F46AE1"/>
    <w:rsid w:val="00F537D7"/>
    <w:rsid w:val="00F646A8"/>
    <w:rsid w:val="00F66F1C"/>
    <w:rsid w:val="00F71872"/>
    <w:rsid w:val="00F7482E"/>
    <w:rsid w:val="00F90F70"/>
    <w:rsid w:val="00F967CA"/>
    <w:rsid w:val="00FA1A45"/>
    <w:rsid w:val="00FA1DEA"/>
    <w:rsid w:val="00FA3596"/>
    <w:rsid w:val="00FA4397"/>
    <w:rsid w:val="00FA6BCA"/>
    <w:rsid w:val="00FA7962"/>
    <w:rsid w:val="00FB2D69"/>
    <w:rsid w:val="00FB4302"/>
    <w:rsid w:val="00FB59B1"/>
    <w:rsid w:val="00FB5F56"/>
    <w:rsid w:val="00FC0382"/>
    <w:rsid w:val="00FC0CA5"/>
    <w:rsid w:val="00FC460F"/>
    <w:rsid w:val="00FC53A0"/>
    <w:rsid w:val="00FC6445"/>
    <w:rsid w:val="00FC76EE"/>
    <w:rsid w:val="00FD2E94"/>
    <w:rsid w:val="00FD300E"/>
    <w:rsid w:val="00FE1E54"/>
    <w:rsid w:val="00FE3D56"/>
    <w:rsid w:val="00FF2096"/>
    <w:rsid w:val="00FF2D17"/>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val="es-ES_tradnl"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23433789">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067028">
      <w:bodyDiv w:val="1"/>
      <w:marLeft w:val="0"/>
      <w:marRight w:val="0"/>
      <w:marTop w:val="0"/>
      <w:marBottom w:val="0"/>
      <w:divBdr>
        <w:top w:val="none" w:sz="0" w:space="0" w:color="auto"/>
        <w:left w:val="none" w:sz="0" w:space="0" w:color="auto"/>
        <w:bottom w:val="none" w:sz="0" w:space="0" w:color="auto"/>
        <w:right w:val="none" w:sz="0" w:space="0" w:color="auto"/>
      </w:divBdr>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customXml/itemProps2.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3.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4067</Words>
  <Characters>22370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Ana Maria Velez Arteaga</cp:lastModifiedBy>
  <cp:revision>4</cp:revision>
  <dcterms:created xsi:type="dcterms:W3CDTF">2023-02-23T14:15:00Z</dcterms:created>
  <dcterms:modified xsi:type="dcterms:W3CDTF">2023-02-23T14:23:00Z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