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C8859" w14:textId="77777777" w:rsidR="00E031A9" w:rsidRPr="00E031A9" w:rsidRDefault="00E031A9" w:rsidP="00E031A9">
      <w:pPr>
        <w:spacing w:after="0" w:line="276" w:lineRule="auto"/>
        <w:jc w:val="both"/>
        <w:rPr>
          <w:rFonts w:ascii="Verdana" w:eastAsia="Calibri" w:hAnsi="Verdana" w:cs="Arial"/>
          <w:b/>
          <w:kern w:val="2"/>
          <w:lang w:val="es-ES_tradnl"/>
          <w14:ligatures w14:val="standardContextual"/>
        </w:rPr>
      </w:pPr>
      <w:bookmarkStart w:id="0" w:name="_Hlk143780582"/>
      <w:r w:rsidRPr="00E031A9">
        <w:rPr>
          <w:rFonts w:ascii="Verdana" w:eastAsia="Calibri" w:hAnsi="Verdana" w:cs="Arial"/>
          <w:b/>
          <w:kern w:val="2"/>
          <w:lang w:val="es-ES_tradnl"/>
          <w14:ligatures w14:val="standardContextual"/>
        </w:rPr>
        <w:t>SOCIEDADES NUEVAS ‒ Experiencia ‒ Inferior a tres a</w:t>
      </w:r>
      <w:r w:rsidRPr="00E031A9">
        <w:rPr>
          <w:rFonts w:ascii="Verdana" w:eastAsia="Calibri" w:hAnsi="Verdana" w:cs="Century Gothic"/>
          <w:b/>
          <w:kern w:val="2"/>
          <w:lang w:val="es-ES_tradnl"/>
          <w14:ligatures w14:val="standardContextual"/>
        </w:rPr>
        <w:t>ñ</w:t>
      </w:r>
      <w:r w:rsidRPr="00E031A9">
        <w:rPr>
          <w:rFonts w:ascii="Verdana" w:eastAsia="Calibri" w:hAnsi="Verdana" w:cs="Arial"/>
          <w:b/>
          <w:kern w:val="2"/>
          <w:lang w:val="es-ES_tradnl"/>
          <w14:ligatures w14:val="standardContextual"/>
        </w:rPr>
        <w:t>os ‒ Requisitos habilitantes ‒ Desarrollo de la empresa</w:t>
      </w:r>
    </w:p>
    <w:p w14:paraId="5707842A" w14:textId="77777777" w:rsidR="00E031A9" w:rsidRPr="00E031A9" w:rsidRDefault="00E031A9" w:rsidP="00EF714C">
      <w:pPr>
        <w:spacing w:after="0" w:line="276" w:lineRule="auto"/>
        <w:jc w:val="both"/>
        <w:rPr>
          <w:rFonts w:ascii="Verdana" w:eastAsia="Calibri" w:hAnsi="Verdana" w:cs="Arial"/>
          <w:kern w:val="2"/>
          <w:lang w:val="es-ES_tradnl"/>
          <w14:ligatures w14:val="standardContextual"/>
        </w:rPr>
      </w:pPr>
    </w:p>
    <w:p w14:paraId="2CC01255" w14:textId="77777777" w:rsidR="00FD574A" w:rsidRDefault="00E031A9" w:rsidP="00EF714C">
      <w:pPr>
        <w:tabs>
          <w:tab w:val="left" w:pos="483"/>
        </w:tabs>
        <w:spacing w:after="0" w:line="240" w:lineRule="auto"/>
        <w:jc w:val="both"/>
        <w:rPr>
          <w:rFonts w:ascii="Verdana" w:eastAsia="Calibri" w:hAnsi="Verdana" w:cs="Arial"/>
          <w:color w:val="000000"/>
          <w:sz w:val="20"/>
          <w:szCs w:val="20"/>
          <w:shd w:val="clear" w:color="auto" w:fill="FFFFFF"/>
          <w:lang w:val="es-ES"/>
        </w:rPr>
      </w:pPr>
      <w:r w:rsidRPr="00E031A9">
        <w:rPr>
          <w:rFonts w:ascii="Verdana" w:eastAsia="Calibri" w:hAnsi="Verdana" w:cs="Arial"/>
          <w:kern w:val="2"/>
          <w:sz w:val="20"/>
          <w:szCs w:val="20"/>
          <w:lang w:val="es-ES_tradnl"/>
          <w14:ligatures w14:val="standardContextual"/>
        </w:rPr>
        <w:t xml:space="preserve">[…] </w:t>
      </w:r>
      <w:r w:rsidR="00FD574A" w:rsidRPr="00EF714C">
        <w:rPr>
          <w:rFonts w:ascii="Verdana" w:eastAsia="Calibri" w:hAnsi="Verdana" w:cs="Arial"/>
          <w:color w:val="000000"/>
          <w:sz w:val="20"/>
          <w:szCs w:val="20"/>
          <w:shd w:val="clear" w:color="auto" w:fill="FFFFFF"/>
          <w:lang w:val="es-ES"/>
        </w:rPr>
        <w:t>se evidencia que 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–con menos de tres (3) años de constitución– puedan acreditar como experiencia en el RUP la de sus accionistas, socios o constituyentes. Pese a que la experiencia es inherente a la persona que la ha obtenido, razón por la cual es, en principio, intransferible en virtud de su carácter personalísimo, por disposición legal o reglamentaria, en casos excepcionales, como el descrito en el artículo mencionado, se aplica de otra manera.</w:t>
      </w:r>
    </w:p>
    <w:p w14:paraId="2D25E9A9" w14:textId="77777777" w:rsidR="00EF714C" w:rsidRPr="00EF714C" w:rsidRDefault="00EF714C" w:rsidP="00EF714C">
      <w:pPr>
        <w:tabs>
          <w:tab w:val="left" w:pos="483"/>
        </w:tabs>
        <w:spacing w:after="0" w:line="240" w:lineRule="auto"/>
        <w:jc w:val="both"/>
        <w:rPr>
          <w:rFonts w:ascii="Verdana" w:eastAsia="Calibri" w:hAnsi="Verdana" w:cs="Arial"/>
          <w:color w:val="000000"/>
          <w:sz w:val="20"/>
          <w:szCs w:val="20"/>
          <w:shd w:val="clear" w:color="auto" w:fill="FFFFFF"/>
          <w:lang w:val="es-ES"/>
        </w:rPr>
      </w:pPr>
    </w:p>
    <w:p w14:paraId="03E1EE53" w14:textId="1FF38400" w:rsidR="00E031A9" w:rsidRPr="00E031A9" w:rsidRDefault="00FD574A" w:rsidP="00EF714C">
      <w:pPr>
        <w:tabs>
          <w:tab w:val="left" w:pos="483"/>
        </w:tabs>
        <w:spacing w:after="0" w:line="240" w:lineRule="auto"/>
        <w:jc w:val="both"/>
        <w:rPr>
          <w:rFonts w:ascii="Verdana" w:eastAsia="Calibri" w:hAnsi="Verdana" w:cs="Arial"/>
          <w:color w:val="000000"/>
          <w:sz w:val="20"/>
          <w:szCs w:val="20"/>
          <w:shd w:val="clear" w:color="auto" w:fill="FFFFFF"/>
          <w:lang w:val="es-ES"/>
        </w:rPr>
      </w:pPr>
      <w:r w:rsidRPr="00EF714C">
        <w:rPr>
          <w:rFonts w:ascii="Verdana" w:eastAsia="Calibri" w:hAnsi="Verdana" w:cs="Arial"/>
          <w:color w:val="000000"/>
          <w:sz w:val="20"/>
          <w:szCs w:val="20"/>
          <w:shd w:val="clear" w:color="auto" w:fill="FFFFFF"/>
          <w:lang w:val="es-ES"/>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0D809F1A" w14:textId="77777777" w:rsidR="00E031A9" w:rsidRPr="00E031A9" w:rsidRDefault="00E031A9" w:rsidP="00EF714C">
      <w:pPr>
        <w:spacing w:after="0" w:line="276" w:lineRule="auto"/>
        <w:jc w:val="both"/>
        <w:rPr>
          <w:rFonts w:ascii="Verdana" w:eastAsia="Calibri" w:hAnsi="Verdana" w:cs="Arial"/>
          <w:b/>
          <w:kern w:val="2"/>
          <w:lang w:val="es-ES_tradnl"/>
          <w14:ligatures w14:val="standardContextual"/>
        </w:rPr>
      </w:pPr>
    </w:p>
    <w:p w14:paraId="1A645DB9" w14:textId="77777777" w:rsidR="00E031A9" w:rsidRPr="00E031A9" w:rsidRDefault="00E031A9" w:rsidP="00E031A9">
      <w:pPr>
        <w:spacing w:after="0" w:line="276" w:lineRule="auto"/>
        <w:jc w:val="both"/>
        <w:rPr>
          <w:rFonts w:ascii="Verdana" w:eastAsia="Calibri" w:hAnsi="Verdana" w:cs="Arial"/>
          <w:b/>
          <w:bCs/>
          <w:kern w:val="2"/>
          <w:lang w:val="es-ES_tradnl"/>
          <w14:ligatures w14:val="standardContextual"/>
        </w:rPr>
      </w:pPr>
      <w:r w:rsidRPr="00E031A9">
        <w:rPr>
          <w:rFonts w:ascii="Verdana" w:eastAsia="Calibri" w:hAnsi="Verdana" w:cs="Arial"/>
          <w:b/>
          <w:bCs/>
          <w:kern w:val="2"/>
          <w:lang w:val="es-ES_tradnl"/>
          <w14:ligatures w14:val="standardContextual"/>
        </w:rPr>
        <w:t>EXPERIENCIA ‒ Conservaci</w:t>
      </w:r>
      <w:r w:rsidRPr="00E031A9">
        <w:rPr>
          <w:rFonts w:ascii="Verdana" w:eastAsia="Calibri" w:hAnsi="Verdana" w:cs="Century Gothic"/>
          <w:b/>
          <w:bCs/>
          <w:kern w:val="2"/>
          <w:lang w:val="es-ES_tradnl"/>
          <w14:ligatures w14:val="standardContextual"/>
        </w:rPr>
        <w:t>ó</w:t>
      </w:r>
      <w:r w:rsidRPr="00E031A9">
        <w:rPr>
          <w:rFonts w:ascii="Verdana" w:eastAsia="Calibri" w:hAnsi="Verdana" w:cs="Arial"/>
          <w:b/>
          <w:bCs/>
          <w:kern w:val="2"/>
          <w:lang w:val="es-ES_tradnl"/>
          <w14:ligatures w14:val="standardContextual"/>
        </w:rPr>
        <w:t>n ‒ Renovaci</w:t>
      </w:r>
      <w:r w:rsidRPr="00E031A9">
        <w:rPr>
          <w:rFonts w:ascii="Verdana" w:eastAsia="Calibri" w:hAnsi="Verdana" w:cs="Century Gothic"/>
          <w:b/>
          <w:bCs/>
          <w:kern w:val="2"/>
          <w:lang w:val="es-ES_tradnl"/>
          <w14:ligatures w14:val="standardContextual"/>
        </w:rPr>
        <w:t>ó</w:t>
      </w:r>
      <w:r w:rsidRPr="00E031A9">
        <w:rPr>
          <w:rFonts w:ascii="Verdana" w:eastAsia="Calibri" w:hAnsi="Verdana" w:cs="Arial"/>
          <w:b/>
          <w:bCs/>
          <w:kern w:val="2"/>
          <w:lang w:val="es-ES_tradnl"/>
          <w14:ligatures w14:val="standardContextual"/>
        </w:rPr>
        <w:t>n RUP ‒ Cesaci</w:t>
      </w:r>
      <w:r w:rsidRPr="00E031A9">
        <w:rPr>
          <w:rFonts w:ascii="Verdana" w:eastAsia="Calibri" w:hAnsi="Verdana" w:cs="Century Gothic"/>
          <w:b/>
          <w:bCs/>
          <w:kern w:val="2"/>
          <w:lang w:val="es-ES_tradnl"/>
          <w14:ligatures w14:val="standardContextual"/>
        </w:rPr>
        <w:t>ó</w:t>
      </w:r>
      <w:r w:rsidRPr="00E031A9">
        <w:rPr>
          <w:rFonts w:ascii="Verdana" w:eastAsia="Calibri" w:hAnsi="Verdana" w:cs="Arial"/>
          <w:b/>
          <w:bCs/>
          <w:kern w:val="2"/>
          <w:lang w:val="es-ES_tradnl"/>
          <w14:ligatures w14:val="standardContextual"/>
        </w:rPr>
        <w:t>n efectos RUP</w:t>
      </w:r>
    </w:p>
    <w:p w14:paraId="2F13A6D7" w14:textId="77777777" w:rsidR="00EF714C" w:rsidRPr="00EF714C" w:rsidRDefault="00EF714C" w:rsidP="00EF714C">
      <w:pPr>
        <w:spacing w:after="0" w:line="276" w:lineRule="auto"/>
        <w:contextualSpacing/>
        <w:jc w:val="both"/>
        <w:rPr>
          <w:rFonts w:ascii="Verdana" w:eastAsia="Calibri" w:hAnsi="Verdana" w:cs="Arial"/>
          <w:kern w:val="2"/>
          <w:lang w:val="es-ES_tradnl"/>
          <w14:ligatures w14:val="standardContextual"/>
        </w:rPr>
      </w:pPr>
    </w:p>
    <w:p w14:paraId="2E2BE28C" w14:textId="57A39270" w:rsidR="00E031A9" w:rsidRPr="00E031A9" w:rsidRDefault="00FD574A" w:rsidP="00E031A9">
      <w:pPr>
        <w:spacing w:after="0" w:line="240" w:lineRule="auto"/>
        <w:contextualSpacing/>
        <w:jc w:val="both"/>
        <w:rPr>
          <w:rFonts w:ascii="Verdana" w:eastAsia="Times New Roman" w:hAnsi="Verdana" w:cs="Arial"/>
          <w:sz w:val="20"/>
          <w:szCs w:val="20"/>
          <w:lang w:val="es-ES" w:eastAsia="es-ES"/>
        </w:rPr>
      </w:pPr>
      <w:r w:rsidRPr="00EF714C">
        <w:rPr>
          <w:rFonts w:ascii="Verdana" w:eastAsia="Times New Roman" w:hAnsi="Verdana" w:cs="Arial"/>
          <w:sz w:val="20"/>
          <w:szCs w:val="20"/>
          <w:lang w:val="es-ES" w:eastAsia="es-ES"/>
        </w:rPr>
        <w:t xml:space="preserve">Para esta Agencia, si la persona jurídica con menos de tres (3) años de constituida registra la experiencia de sus socios, accionistas o constituyentes en el RUP, y este es renovado, puede continuar utilizando la experiencia inscrita mientras no cesen los efectos del RUP. Por el contrario, si no se renueva y la persona jurídica supera los tres (3) años de constituida, la experiencia que registró de sus socios, accionistas o constituyentes no puede ser inscrita nuevamente, puesto que el RUP ha cesado sus efectos y la cámara de comercio tiene que hacer nuevamente la verificación documental de la información presentada al momento de inscribirse en el registro. </w:t>
      </w:r>
      <w:r w:rsidRPr="00EF714C">
        <w:rPr>
          <w:rFonts w:ascii="Verdana" w:eastAsia="Times New Roman" w:hAnsi="Verdana" w:cs="Arial"/>
          <w:sz w:val="20"/>
          <w:szCs w:val="20"/>
          <w:lang w:val="es-ES" w:eastAsia="es-ES"/>
        </w:rPr>
        <w:t>[…]</w:t>
      </w:r>
      <w:r w:rsidRPr="00EF714C">
        <w:rPr>
          <w:rFonts w:ascii="Verdana" w:eastAsia="Times New Roman" w:hAnsi="Verdana" w:cs="Arial"/>
          <w:sz w:val="20"/>
          <w:szCs w:val="20"/>
          <w:lang w:val="es-ES" w:eastAsia="es-ES"/>
        </w:rPr>
        <w:t xml:space="preserve"> </w:t>
      </w:r>
    </w:p>
    <w:p w14:paraId="649EEC13" w14:textId="77777777" w:rsidR="00E031A9" w:rsidRPr="00E031A9" w:rsidRDefault="00E031A9" w:rsidP="00EF714C">
      <w:pPr>
        <w:spacing w:after="0" w:line="276" w:lineRule="auto"/>
        <w:jc w:val="both"/>
        <w:rPr>
          <w:rFonts w:ascii="Verdana" w:eastAsia="Calibri" w:hAnsi="Verdana" w:cs="Arial"/>
          <w:b/>
          <w:bCs/>
          <w:kern w:val="2"/>
          <w:lang w:val="es-ES_tradnl"/>
          <w14:ligatures w14:val="standardContextual"/>
        </w:rPr>
      </w:pPr>
    </w:p>
    <w:p w14:paraId="3FD37F3A" w14:textId="77777777" w:rsidR="00E031A9" w:rsidRPr="00E031A9" w:rsidRDefault="00E031A9" w:rsidP="00E031A9">
      <w:pPr>
        <w:spacing w:after="0" w:line="276" w:lineRule="auto"/>
        <w:jc w:val="both"/>
        <w:rPr>
          <w:rFonts w:ascii="Verdana" w:eastAsia="Calibri" w:hAnsi="Verdana" w:cs="Arial"/>
          <w:b/>
          <w:bCs/>
          <w:kern w:val="2"/>
          <w:lang w:val="es-ES_tradnl"/>
          <w14:ligatures w14:val="standardContextual"/>
        </w:rPr>
      </w:pPr>
      <w:r w:rsidRPr="00E031A9">
        <w:rPr>
          <w:rFonts w:ascii="Verdana" w:eastAsia="Calibri" w:hAnsi="Verdana" w:cs="Arial"/>
          <w:b/>
          <w:bCs/>
          <w:kern w:val="2"/>
          <w:lang w:val="es-ES_tradnl"/>
          <w14:ligatures w14:val="standardContextual"/>
        </w:rPr>
        <w:t>EXPERIENCIA – Conservación – Documentos Tipo – Accionista</w:t>
      </w:r>
    </w:p>
    <w:p w14:paraId="2FC4A43F" w14:textId="77777777" w:rsidR="00E031A9" w:rsidRPr="00E031A9" w:rsidRDefault="00E031A9" w:rsidP="00EF714C">
      <w:pPr>
        <w:spacing w:after="0" w:line="276" w:lineRule="auto"/>
        <w:jc w:val="both"/>
        <w:rPr>
          <w:rFonts w:ascii="Verdana" w:eastAsia="Calibri" w:hAnsi="Verdana" w:cs="Arial"/>
          <w:b/>
          <w:bCs/>
          <w:kern w:val="2"/>
          <w:lang w:val="es-ES_tradnl"/>
          <w14:ligatures w14:val="standardContextual"/>
        </w:rPr>
      </w:pPr>
    </w:p>
    <w:p w14:paraId="6B40542A" w14:textId="77777777" w:rsidR="00FD574A" w:rsidRPr="00EF714C" w:rsidRDefault="00FD574A" w:rsidP="00EF714C">
      <w:pPr>
        <w:snapToGrid w:val="0"/>
        <w:spacing w:after="0" w:line="240" w:lineRule="auto"/>
        <w:jc w:val="both"/>
        <w:rPr>
          <w:rFonts w:ascii="Verdana" w:eastAsia="Calibri" w:hAnsi="Verdana" w:cs="Arial"/>
          <w:bCs/>
          <w:sz w:val="20"/>
          <w:szCs w:val="20"/>
          <w:lang w:val="es-ES_tradnl"/>
        </w:rPr>
      </w:pPr>
      <w:r w:rsidRPr="00EF714C">
        <w:rPr>
          <w:rFonts w:ascii="Verdana" w:eastAsia="Calibri" w:hAnsi="Verdana" w:cs="Arial"/>
          <w:bCs/>
          <w:sz w:val="20"/>
          <w:szCs w:val="20"/>
          <w:lang w:val="es-ES_tradnl"/>
        </w:rPr>
        <w:t>En ejercicio de las competencias atribuidas por la Ley 2022 de 2020, la Agencia Nacional de Contratación Pública – Colombia Compra Eficiente consagró la regla del literal F del numeral 10.1.1 en el documento base de los documentos tipo de concurso de méritos para contratar la interventoría de obra pública de infraestructura de transporte, la cual dispone lo siguiente:</w:t>
      </w:r>
    </w:p>
    <w:p w14:paraId="4801C1EB" w14:textId="77777777" w:rsidR="00E031A9" w:rsidRPr="00E031A9" w:rsidRDefault="00E031A9" w:rsidP="00EF714C">
      <w:pPr>
        <w:snapToGrid w:val="0"/>
        <w:spacing w:after="0" w:line="240" w:lineRule="auto"/>
        <w:jc w:val="both"/>
        <w:rPr>
          <w:rFonts w:ascii="Verdana" w:eastAsia="Calibri" w:hAnsi="Verdana" w:cs="Arial"/>
          <w:bCs/>
          <w:sz w:val="20"/>
          <w:szCs w:val="20"/>
          <w:lang w:val="es-ES_tradnl"/>
        </w:rPr>
      </w:pPr>
      <w:r w:rsidRPr="00E031A9">
        <w:rPr>
          <w:rFonts w:ascii="Verdana" w:eastAsia="Calibri" w:hAnsi="Verdana" w:cs="Arial"/>
          <w:bCs/>
          <w:sz w:val="20"/>
          <w:szCs w:val="20"/>
          <w:lang w:val="es-ES_tradnl"/>
        </w:rPr>
        <w:t>[…]</w:t>
      </w:r>
    </w:p>
    <w:p w14:paraId="06793EFF" w14:textId="04384763" w:rsidR="00E031A9" w:rsidRPr="00E031A9" w:rsidRDefault="00FD574A" w:rsidP="00EF714C">
      <w:pPr>
        <w:snapToGrid w:val="0"/>
        <w:spacing w:after="0" w:line="240" w:lineRule="auto"/>
        <w:jc w:val="both"/>
        <w:rPr>
          <w:rFonts w:ascii="Verdana" w:eastAsia="Calibri" w:hAnsi="Verdana" w:cs="Arial"/>
          <w:sz w:val="20"/>
          <w:szCs w:val="20"/>
          <w:lang w:val="es-ES"/>
        </w:rPr>
      </w:pPr>
      <w:r w:rsidRPr="00EF714C">
        <w:rPr>
          <w:rFonts w:ascii="Verdana" w:eastAsia="Calibri" w:hAnsi="Verdana" w:cs="Arial"/>
          <w:sz w:val="20"/>
          <w:szCs w:val="20"/>
          <w:lang w:val="es-ES"/>
        </w:rPr>
        <w:t xml:space="preserve">Sin perjuicio de lo anterior, no debe perderse de vista que el Decreto 1082 de 2015 y los documentos tipo solo permiten que una sociedad acredite la experiencia de quienes </w:t>
      </w:r>
      <w:r w:rsidRPr="00EF714C">
        <w:rPr>
          <w:rFonts w:ascii="Verdana" w:eastAsia="Calibri" w:hAnsi="Verdana" w:cs="Arial"/>
          <w:sz w:val="20"/>
          <w:szCs w:val="20"/>
          <w:lang w:val="es-ES"/>
        </w:rPr>
        <w:lastRenderedPageBreak/>
        <w:t xml:space="preserve">tienen la calidad de accionistas, socios o constituyentes durante los primeros tres (3) años de su constitución. Por lo tanto, siempre y cuando se cuente con dichas calidades, la sociedad podrá acreditar la experiencia de quien es accionista, socio o constituyente –trátese de una persona natural o jurídica–. Por el contrario, si no se tienen o se pierden estas calidades, como sucedería cuando un socio se retira por venta o cesión de su participación y pierde su calidad de socio, ya no sería posible que la sociedad acredite la experiencia aportada por dicha persona. </w:t>
      </w:r>
    </w:p>
    <w:p w14:paraId="74728251" w14:textId="77777777" w:rsidR="00E031A9" w:rsidRPr="00E031A9" w:rsidRDefault="00E031A9" w:rsidP="00E031A9">
      <w:pPr>
        <w:spacing w:after="0" w:line="276" w:lineRule="auto"/>
        <w:jc w:val="both"/>
        <w:rPr>
          <w:rFonts w:ascii="Verdana" w:eastAsia="Calibri" w:hAnsi="Verdana" w:cs="Arial"/>
          <w:bCs/>
          <w:lang w:val="es-ES_tradnl"/>
        </w:rPr>
      </w:pPr>
    </w:p>
    <w:p w14:paraId="67FE5AC7" w14:textId="77777777" w:rsidR="00E031A9" w:rsidRPr="00E031A9" w:rsidRDefault="00E031A9" w:rsidP="00E031A9">
      <w:pPr>
        <w:spacing w:after="0" w:line="276" w:lineRule="auto"/>
        <w:jc w:val="both"/>
        <w:rPr>
          <w:rFonts w:ascii="Verdana" w:eastAsia="Aptos" w:hAnsi="Verdana" w:cs="Times New Roman"/>
          <w:b/>
          <w:bCs/>
          <w:lang w:val="es-ES_tradnl"/>
        </w:rPr>
      </w:pPr>
      <w:r w:rsidRPr="00E031A9">
        <w:rPr>
          <w:rFonts w:ascii="Verdana" w:eastAsia="Aptos" w:hAnsi="Verdana" w:cs="Times New Roman"/>
          <w:b/>
          <w:bCs/>
          <w:lang w:val="es-ES_tradnl"/>
        </w:rPr>
        <w:t xml:space="preserve">REGISTRO MERCANTIL – Obligatoriedad – Renovación – Capacidad jurídica o contractual – Proceso de Contratación </w:t>
      </w:r>
    </w:p>
    <w:p w14:paraId="23ED8027" w14:textId="77777777" w:rsidR="00E031A9" w:rsidRPr="00E031A9" w:rsidRDefault="00E031A9" w:rsidP="00E031A9">
      <w:pPr>
        <w:spacing w:after="0" w:line="276" w:lineRule="auto"/>
        <w:jc w:val="both"/>
        <w:rPr>
          <w:rFonts w:ascii="Verdana" w:eastAsia="Aptos" w:hAnsi="Verdana" w:cs="Times New Roman"/>
          <w:lang w:val="es-ES_tradnl"/>
        </w:rPr>
      </w:pPr>
    </w:p>
    <w:p w14:paraId="4BCB15BE" w14:textId="71C7E240" w:rsidR="00EF714C" w:rsidRDefault="00E031A9" w:rsidP="00EF714C">
      <w:pPr>
        <w:shd w:val="clear" w:color="auto" w:fill="FFFFFF"/>
        <w:snapToGrid w:val="0"/>
        <w:spacing w:after="0" w:line="240" w:lineRule="auto"/>
        <w:jc w:val="both"/>
        <w:rPr>
          <w:rFonts w:ascii="Verdana" w:eastAsia="Calibri" w:hAnsi="Verdana" w:cs="Arial"/>
          <w:bCs/>
          <w:color w:val="000000"/>
          <w:kern w:val="2"/>
          <w:sz w:val="20"/>
          <w:szCs w:val="20"/>
          <w:lang w:val="es-ES_tradnl"/>
          <w14:ligatures w14:val="standardContextual"/>
        </w:rPr>
      </w:pPr>
      <w:r w:rsidRPr="00E031A9">
        <w:rPr>
          <w:rFonts w:ascii="Verdana" w:eastAsia="Calibri" w:hAnsi="Verdana" w:cs="Arial"/>
          <w:bCs/>
          <w:color w:val="000000"/>
          <w:kern w:val="2"/>
          <w:sz w:val="20"/>
          <w:szCs w:val="20"/>
          <w:lang w:val="es-ES_tradnl"/>
          <w14:ligatures w14:val="standardContextual"/>
        </w:rPr>
        <w:t xml:space="preserve">[…] </w:t>
      </w:r>
      <w:r w:rsidR="00EF714C" w:rsidRPr="00EF714C">
        <w:rPr>
          <w:rFonts w:ascii="Verdana" w:eastAsia="Calibri" w:hAnsi="Verdana" w:cs="Arial"/>
          <w:bCs/>
          <w:color w:val="000000"/>
          <w:kern w:val="2"/>
          <w:sz w:val="20"/>
          <w:szCs w:val="20"/>
          <w:lang w:val="es-ES_tradnl"/>
          <w14:ligatures w14:val="standardContextual"/>
        </w:rPr>
        <w:t xml:space="preserve">el registro mercantil tiene “por objeto llevar la matrícula de los comerciantes y de los establecimientos de comercio, así como la inscripción de todos los actos, libros y documentos respecto de los cuales la ley exigiere esa formalidad”. Así, la matrícula mercantil es un medio de identificación que da publicidad a la condición de comerciante, la cual, de acuerdo con el artículo 10 del Código de Comercio, se establece para aquellas personas que se ocupan profesionalmente de una o varias de las actividades que el mismo código considera como comerciales o mercantiles, según los artículos 20 y 21. En línea con lo anterior, el artículo 33 </w:t>
      </w:r>
      <w:r w:rsidR="00EF714C" w:rsidRPr="00EF714C">
        <w:rPr>
          <w:rFonts w:ascii="Verdana" w:eastAsia="Calibri" w:hAnsi="Verdana" w:cs="Arial"/>
          <w:bCs/>
          <w:i/>
          <w:iCs/>
          <w:color w:val="000000"/>
          <w:kern w:val="2"/>
          <w:sz w:val="20"/>
          <w:szCs w:val="20"/>
          <w:lang w:val="es-ES_tradnl"/>
          <w14:ligatures w14:val="standardContextual"/>
        </w:rPr>
        <w:t xml:space="preserve">ibidem </w:t>
      </w:r>
      <w:r w:rsidR="00EF714C" w:rsidRPr="00EF714C">
        <w:rPr>
          <w:rFonts w:ascii="Verdana" w:eastAsia="Calibri" w:hAnsi="Verdana" w:cs="Arial"/>
          <w:bCs/>
          <w:color w:val="000000"/>
          <w:kern w:val="2"/>
          <w:sz w:val="20"/>
          <w:szCs w:val="20"/>
          <w:lang w:val="es-ES_tradnl"/>
          <w14:ligatures w14:val="standardContextual"/>
        </w:rPr>
        <w:t>dispone que la matrícula mercantil debe renovarse anualmente, dentro de los tres primeros meses de cada año.</w:t>
      </w:r>
    </w:p>
    <w:p w14:paraId="0F6513DE" w14:textId="77777777" w:rsidR="00EF714C" w:rsidRPr="00EF714C" w:rsidRDefault="00EF714C" w:rsidP="00EF714C">
      <w:pPr>
        <w:shd w:val="clear" w:color="auto" w:fill="FFFFFF"/>
        <w:snapToGrid w:val="0"/>
        <w:spacing w:after="0" w:line="240" w:lineRule="auto"/>
        <w:jc w:val="both"/>
        <w:rPr>
          <w:rFonts w:ascii="Verdana" w:eastAsia="Calibri" w:hAnsi="Verdana" w:cs="Arial"/>
          <w:bCs/>
          <w:color w:val="000000"/>
          <w:kern w:val="2"/>
          <w:sz w:val="20"/>
          <w:szCs w:val="20"/>
          <w:lang w:val="es-ES_tradnl"/>
          <w14:ligatures w14:val="standardContextual"/>
        </w:rPr>
      </w:pPr>
    </w:p>
    <w:p w14:paraId="490DFA3B" w14:textId="6CA4095C" w:rsidR="00EF714C" w:rsidRPr="00EF714C" w:rsidRDefault="00EF714C" w:rsidP="00EF714C">
      <w:pPr>
        <w:shd w:val="clear" w:color="auto" w:fill="FFFFFF"/>
        <w:snapToGrid w:val="0"/>
        <w:spacing w:after="0" w:line="240" w:lineRule="auto"/>
        <w:jc w:val="both"/>
        <w:rPr>
          <w:rFonts w:ascii="Verdana" w:eastAsia="Calibri" w:hAnsi="Verdana" w:cs="Arial"/>
          <w:bCs/>
          <w:color w:val="000000"/>
          <w:kern w:val="2"/>
          <w:sz w:val="20"/>
          <w:szCs w:val="20"/>
          <w:lang w:val="es-ES_tradnl"/>
          <w14:ligatures w14:val="standardContextual"/>
        </w:rPr>
      </w:pPr>
      <w:r w:rsidRPr="00EF714C">
        <w:rPr>
          <w:rFonts w:ascii="Verdana" w:eastAsia="Calibri" w:hAnsi="Verdana" w:cs="Arial"/>
          <w:bCs/>
          <w:color w:val="000000"/>
          <w:kern w:val="2"/>
          <w:sz w:val="20"/>
          <w:szCs w:val="20"/>
          <w:lang w:val="es-ES_tradnl"/>
          <w14:ligatures w14:val="standardContextual"/>
        </w:rPr>
        <w:t xml:space="preserve">De acuerdo con lo expuesto, se evidencia que el registro mercantil es un deber legal de los comerciantes, pero no otorga o afecta la capacidad jurídica o contractual, aunque su ausencia, cuando se desarrollan actividades mercantiles de manera habitual y permanente, ocasiona la imposición de multas por el incumplimiento de un deber legal. En este sentido, un oferente solo deberá estar inscrito en el registro mercantil, en cumplimiento de un deber comercial, cuando realice alguna actividad comercial profesional de manera habitual, y no por el hecho de participar en un proceso de contratación. </w:t>
      </w:r>
    </w:p>
    <w:p w14:paraId="02B6DE53" w14:textId="38458BF7" w:rsidR="00E031A9" w:rsidRPr="00E031A9" w:rsidRDefault="00E031A9" w:rsidP="00EF714C">
      <w:pPr>
        <w:shd w:val="clear" w:color="auto" w:fill="FFFFFF"/>
        <w:snapToGrid w:val="0"/>
        <w:spacing w:after="0" w:line="240" w:lineRule="auto"/>
        <w:jc w:val="both"/>
        <w:rPr>
          <w:rFonts w:ascii="Verdana" w:eastAsia="Calibri" w:hAnsi="Verdana" w:cs="Arial"/>
          <w:bCs/>
          <w:color w:val="000000"/>
          <w:kern w:val="2"/>
          <w:sz w:val="20"/>
          <w:szCs w:val="20"/>
          <w:lang w:val="es-ES_tradnl"/>
          <w14:ligatures w14:val="standardContextual"/>
        </w:rPr>
      </w:pPr>
    </w:p>
    <w:p w14:paraId="0973ACFE" w14:textId="77777777" w:rsidR="00E031A9" w:rsidRDefault="00E031A9" w:rsidP="005B6119">
      <w:pPr>
        <w:spacing w:after="0"/>
        <w:rPr>
          <w:rFonts w:ascii="Verdana" w:eastAsia="Aptos" w:hAnsi="Verdana" w:cs="Times New Roman"/>
          <w:lang w:val="es-ES_tradnl"/>
        </w:rPr>
      </w:pPr>
    </w:p>
    <w:p w14:paraId="02C890D4" w14:textId="77777777" w:rsidR="00E031A9" w:rsidRDefault="00E031A9" w:rsidP="005B6119">
      <w:pPr>
        <w:spacing w:after="0"/>
        <w:rPr>
          <w:rFonts w:ascii="Verdana" w:eastAsia="Aptos" w:hAnsi="Verdana" w:cs="Times New Roman"/>
          <w:lang w:val="es-ES_tradnl"/>
        </w:rPr>
      </w:pPr>
    </w:p>
    <w:p w14:paraId="468FB38F" w14:textId="77777777" w:rsidR="00E031A9" w:rsidRDefault="00E031A9" w:rsidP="005B6119">
      <w:pPr>
        <w:spacing w:after="0"/>
        <w:rPr>
          <w:rFonts w:ascii="Verdana" w:eastAsia="Aptos" w:hAnsi="Verdana" w:cs="Times New Roman"/>
          <w:lang w:val="es-ES_tradnl"/>
        </w:rPr>
      </w:pPr>
    </w:p>
    <w:p w14:paraId="18572ABB" w14:textId="77777777" w:rsidR="00E031A9" w:rsidRDefault="00E031A9" w:rsidP="005B6119">
      <w:pPr>
        <w:spacing w:after="0"/>
        <w:rPr>
          <w:rFonts w:ascii="Verdana" w:eastAsia="Aptos" w:hAnsi="Verdana" w:cs="Times New Roman"/>
          <w:lang w:val="es-ES_tradnl"/>
        </w:rPr>
      </w:pPr>
    </w:p>
    <w:p w14:paraId="51203932" w14:textId="77777777" w:rsidR="00E031A9" w:rsidRDefault="00E031A9" w:rsidP="005B6119">
      <w:pPr>
        <w:spacing w:after="0"/>
        <w:rPr>
          <w:rFonts w:ascii="Verdana" w:eastAsia="Aptos" w:hAnsi="Verdana" w:cs="Times New Roman"/>
          <w:lang w:val="es-ES_tradnl"/>
        </w:rPr>
      </w:pPr>
    </w:p>
    <w:p w14:paraId="79C5F253" w14:textId="77777777" w:rsidR="00E031A9" w:rsidRDefault="00E031A9" w:rsidP="005B6119">
      <w:pPr>
        <w:spacing w:after="0"/>
        <w:rPr>
          <w:rFonts w:ascii="Verdana" w:eastAsia="Aptos" w:hAnsi="Verdana" w:cs="Times New Roman"/>
          <w:lang w:val="es-ES_tradnl"/>
        </w:rPr>
      </w:pPr>
    </w:p>
    <w:p w14:paraId="086922AC" w14:textId="77777777" w:rsidR="00E031A9" w:rsidRDefault="00E031A9" w:rsidP="005B6119">
      <w:pPr>
        <w:spacing w:after="0"/>
        <w:rPr>
          <w:rFonts w:ascii="Verdana" w:eastAsia="Aptos" w:hAnsi="Verdana" w:cs="Times New Roman"/>
          <w:lang w:val="es-ES_tradnl"/>
        </w:rPr>
      </w:pPr>
    </w:p>
    <w:p w14:paraId="433D87C2" w14:textId="77777777" w:rsidR="00E031A9" w:rsidRDefault="00E031A9" w:rsidP="005B6119">
      <w:pPr>
        <w:spacing w:after="0"/>
        <w:rPr>
          <w:rFonts w:ascii="Verdana" w:eastAsia="Aptos" w:hAnsi="Verdana" w:cs="Times New Roman"/>
          <w:lang w:val="es-ES_tradnl"/>
        </w:rPr>
      </w:pPr>
    </w:p>
    <w:p w14:paraId="21A3A3A1" w14:textId="77777777" w:rsidR="00E031A9" w:rsidRDefault="00E031A9" w:rsidP="005B6119">
      <w:pPr>
        <w:spacing w:after="0"/>
        <w:rPr>
          <w:rFonts w:ascii="Verdana" w:eastAsia="Aptos" w:hAnsi="Verdana" w:cs="Times New Roman"/>
          <w:lang w:val="es-ES_tradnl"/>
        </w:rPr>
      </w:pPr>
    </w:p>
    <w:p w14:paraId="45EA0990" w14:textId="77777777" w:rsidR="00E031A9" w:rsidRDefault="00E031A9" w:rsidP="005B6119">
      <w:pPr>
        <w:spacing w:after="0"/>
        <w:rPr>
          <w:rFonts w:ascii="Verdana" w:eastAsia="Aptos" w:hAnsi="Verdana" w:cs="Times New Roman"/>
          <w:lang w:val="es-ES_tradnl"/>
        </w:rPr>
      </w:pPr>
    </w:p>
    <w:p w14:paraId="7A25F01E" w14:textId="77777777" w:rsidR="00E031A9" w:rsidRDefault="00E031A9" w:rsidP="005B6119">
      <w:pPr>
        <w:spacing w:after="0"/>
        <w:rPr>
          <w:rFonts w:ascii="Verdana" w:eastAsia="Aptos" w:hAnsi="Verdana" w:cs="Times New Roman"/>
          <w:lang w:val="es-ES_tradnl"/>
        </w:rPr>
      </w:pPr>
    </w:p>
    <w:p w14:paraId="2B0FBDC9" w14:textId="77777777" w:rsidR="00E031A9" w:rsidRDefault="00E031A9" w:rsidP="005B6119">
      <w:pPr>
        <w:spacing w:after="0"/>
        <w:rPr>
          <w:rFonts w:ascii="Verdana" w:eastAsia="Aptos" w:hAnsi="Verdana" w:cs="Times New Roman"/>
          <w:lang w:val="es-ES_tradnl"/>
        </w:rPr>
      </w:pPr>
    </w:p>
    <w:p w14:paraId="6548CE2C" w14:textId="77777777" w:rsidR="00EF714C" w:rsidRDefault="00EF714C" w:rsidP="005B6119">
      <w:pPr>
        <w:spacing w:after="0"/>
        <w:rPr>
          <w:rFonts w:ascii="Verdana" w:hAnsi="Verdana"/>
        </w:rPr>
      </w:pPr>
    </w:p>
    <w:p w14:paraId="2EB50939" w14:textId="09A7EE3E" w:rsidR="00C35504" w:rsidRDefault="005B6119" w:rsidP="005B6119">
      <w:pPr>
        <w:spacing w:after="0"/>
        <w:rPr>
          <w:rFonts w:ascii="Verdana" w:hAnsi="Verdana"/>
        </w:rPr>
      </w:pPr>
      <w:r w:rsidRPr="0044528D">
        <w:rPr>
          <w:rFonts w:ascii="Verdana" w:hAnsi="Verdana"/>
        </w:rPr>
        <w:lastRenderedPageBreak/>
        <w:t>Bogotá D.C.,</w:t>
      </w:r>
      <w:r w:rsidR="00C35504">
        <w:rPr>
          <w:rFonts w:ascii="Verdana" w:hAnsi="Verdana"/>
        </w:rPr>
        <w:t xml:space="preserve"> 04 Agosto 2025</w:t>
      </w:r>
    </w:p>
    <w:p w14:paraId="7636DF22" w14:textId="52C6C65F" w:rsidR="005B6119" w:rsidRPr="0044528D" w:rsidRDefault="005B6119" w:rsidP="005B6119">
      <w:pPr>
        <w:spacing w:after="0"/>
        <w:rPr>
          <w:rFonts w:ascii="Verdana" w:hAnsi="Verdana"/>
        </w:rPr>
      </w:pPr>
      <w:r w:rsidRPr="0044528D">
        <w:rPr>
          <w:rFonts w:ascii="Verdana" w:hAnsi="Verdana"/>
        </w:rPr>
        <w:tab/>
      </w:r>
    </w:p>
    <w:p w14:paraId="453FF87D" w14:textId="2EE451F2" w:rsidR="002A000A" w:rsidRPr="002A000A" w:rsidRDefault="00C35504" w:rsidP="00C35504">
      <w:pPr>
        <w:spacing w:after="0" w:line="240" w:lineRule="auto"/>
        <w:jc w:val="right"/>
        <w:rPr>
          <w:rFonts w:ascii="Verdana" w:eastAsia="Calibri" w:hAnsi="Verdana" w:cs="Arial"/>
          <w:lang w:val="es-ES_tradnl"/>
        </w:rPr>
      </w:pPr>
      <w:r>
        <w:rPr>
          <w:rFonts w:ascii="Verdana" w:eastAsia="Calibri" w:hAnsi="Verdana" w:cs="Arial"/>
          <w:noProof/>
          <w:lang w:val="es-ES_tradnl"/>
        </w:rPr>
        <w:drawing>
          <wp:inline distT="0" distB="0" distL="0" distR="0" wp14:anchorId="082887C2" wp14:editId="382A8896">
            <wp:extent cx="2977881" cy="832055"/>
            <wp:effectExtent l="0" t="0" r="0" b="6350"/>
            <wp:docPr id="13848732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873293" name="Imagen 1384873293"/>
                    <pic:cNvPicPr/>
                  </pic:nvPicPr>
                  <pic:blipFill>
                    <a:blip r:embed="rId10">
                      <a:extLst>
                        <a:ext uri="{28A0092B-C50C-407E-A947-70E740481C1C}">
                          <a14:useLocalDpi xmlns:a14="http://schemas.microsoft.com/office/drawing/2010/main" val="0"/>
                        </a:ext>
                      </a:extLst>
                    </a:blip>
                    <a:stretch>
                      <a:fillRect/>
                    </a:stretch>
                  </pic:blipFill>
                  <pic:spPr>
                    <a:xfrm>
                      <a:off x="0" y="0"/>
                      <a:ext cx="2986576" cy="834485"/>
                    </a:xfrm>
                    <a:prstGeom prst="rect">
                      <a:avLst/>
                    </a:prstGeom>
                  </pic:spPr>
                </pic:pic>
              </a:graphicData>
            </a:graphic>
          </wp:inline>
        </w:drawing>
      </w:r>
    </w:p>
    <w:p w14:paraId="422CAE00" w14:textId="77777777" w:rsidR="002A000A" w:rsidRPr="002A000A" w:rsidRDefault="002A000A" w:rsidP="002A000A">
      <w:pPr>
        <w:spacing w:after="0" w:line="240" w:lineRule="auto"/>
        <w:jc w:val="right"/>
        <w:rPr>
          <w:rFonts w:ascii="Verdana" w:eastAsia="Calibri" w:hAnsi="Verdana" w:cs="Arial"/>
          <w:lang w:val="es-ES_tradnl"/>
        </w:rPr>
      </w:pPr>
    </w:p>
    <w:p w14:paraId="471C00A1" w14:textId="77777777" w:rsidR="002A000A" w:rsidRPr="002A000A" w:rsidRDefault="002A000A" w:rsidP="002A000A">
      <w:pPr>
        <w:spacing w:after="0" w:line="240" w:lineRule="auto"/>
        <w:jc w:val="both"/>
        <w:rPr>
          <w:rFonts w:ascii="Verdana" w:eastAsia="Calibri" w:hAnsi="Verdana" w:cs="Arial"/>
          <w:lang w:val="es-ES_tradnl" w:eastAsia="es-ES"/>
        </w:rPr>
      </w:pPr>
      <w:r w:rsidRPr="002A000A">
        <w:rPr>
          <w:rFonts w:ascii="Verdana" w:eastAsia="Calibri" w:hAnsi="Verdana" w:cs="Arial"/>
          <w:lang w:val="es-ES_tradnl" w:eastAsia="es-ES"/>
        </w:rPr>
        <w:t>Señor</w:t>
      </w:r>
    </w:p>
    <w:p w14:paraId="1850F709" w14:textId="77777777" w:rsidR="002A000A" w:rsidRPr="002A000A" w:rsidRDefault="002A000A" w:rsidP="002A000A">
      <w:pPr>
        <w:spacing w:after="0" w:line="240" w:lineRule="auto"/>
        <w:rPr>
          <w:rFonts w:ascii="Verdana" w:eastAsia="Calibri" w:hAnsi="Verdana" w:cs="Arial"/>
          <w:b/>
          <w:lang w:val="es-ES_tradnl" w:eastAsia="es-ES"/>
        </w:rPr>
      </w:pPr>
      <w:r w:rsidRPr="002A000A">
        <w:rPr>
          <w:rFonts w:ascii="Verdana" w:eastAsia="Calibri" w:hAnsi="Verdana" w:cs="Arial"/>
          <w:b/>
          <w:lang w:val="es-ES_tradnl" w:eastAsia="es-ES"/>
        </w:rPr>
        <w:t>Juan Camilo Forero Rey</w:t>
      </w:r>
    </w:p>
    <w:p w14:paraId="7521BFE0" w14:textId="77777777" w:rsidR="002A000A" w:rsidRPr="002A000A" w:rsidRDefault="002A000A" w:rsidP="002A000A">
      <w:pPr>
        <w:spacing w:after="0" w:line="240" w:lineRule="auto"/>
        <w:rPr>
          <w:rFonts w:ascii="Verdana" w:eastAsia="Aptos" w:hAnsi="Verdana" w:cs="Times New Roman"/>
          <w:lang w:val="es-ES_tradnl"/>
        </w:rPr>
      </w:pPr>
      <w:r w:rsidRPr="002A000A">
        <w:rPr>
          <w:rFonts w:ascii="Verdana" w:eastAsia="Aptos" w:hAnsi="Verdana" w:cs="Times New Roman"/>
          <w:lang w:val="es-ES_tradnl"/>
        </w:rPr>
        <w:t>Villavicencio, Meta</w:t>
      </w:r>
    </w:p>
    <w:p w14:paraId="2ACAE9A4" w14:textId="77777777" w:rsidR="002A000A" w:rsidRPr="002A000A" w:rsidRDefault="002A000A" w:rsidP="002A000A">
      <w:pPr>
        <w:spacing w:after="0" w:line="240" w:lineRule="auto"/>
        <w:rPr>
          <w:rFonts w:ascii="Verdana" w:eastAsia="Calibri" w:hAnsi="Verdana" w:cs="Arial"/>
          <w:b/>
          <w:bCs/>
          <w:lang w:val="es-ES_tradnl" w:eastAsia="es-ES_tradnl"/>
        </w:rPr>
      </w:pPr>
    </w:p>
    <w:p w14:paraId="4571F665" w14:textId="77777777" w:rsidR="002A000A" w:rsidRPr="002A000A" w:rsidRDefault="002A000A" w:rsidP="002A000A">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A000A" w:rsidRPr="002A000A" w14:paraId="307F03DB" w14:textId="77777777" w:rsidTr="004F558B">
        <w:trPr>
          <w:trHeight w:val="884"/>
        </w:trPr>
        <w:tc>
          <w:tcPr>
            <w:tcW w:w="2689" w:type="dxa"/>
          </w:tcPr>
          <w:p w14:paraId="400654E9" w14:textId="77777777" w:rsidR="002A000A" w:rsidRPr="002A000A" w:rsidRDefault="002A000A" w:rsidP="002A000A">
            <w:pPr>
              <w:jc w:val="both"/>
              <w:rPr>
                <w:rFonts w:ascii="Verdana" w:eastAsia="Calibri" w:hAnsi="Verdana" w:cs="Arial"/>
                <w:b/>
                <w:bCs/>
                <w:lang w:val="es-ES_tradnl" w:eastAsia="es-ES_tradnl"/>
              </w:rPr>
            </w:pPr>
          </w:p>
        </w:tc>
        <w:tc>
          <w:tcPr>
            <w:tcW w:w="6100" w:type="dxa"/>
          </w:tcPr>
          <w:p w14:paraId="4DF44EC7" w14:textId="77777777" w:rsidR="002A000A" w:rsidRPr="002A000A" w:rsidRDefault="002A000A" w:rsidP="002A000A">
            <w:pPr>
              <w:jc w:val="both"/>
              <w:rPr>
                <w:rFonts w:ascii="Verdana" w:eastAsia="Calibri" w:hAnsi="Verdana" w:cs="Arial"/>
                <w:b/>
                <w:bCs/>
                <w:lang w:val="es-ES_tradnl" w:eastAsia="es-ES"/>
              </w:rPr>
            </w:pPr>
            <w:r w:rsidRPr="002A000A">
              <w:rPr>
                <w:rFonts w:ascii="Verdana" w:eastAsia="Calibri" w:hAnsi="Verdana" w:cs="Arial"/>
                <w:b/>
                <w:bCs/>
                <w:lang w:val="es-ES_tradnl" w:eastAsia="es-ES"/>
              </w:rPr>
              <w:t>Concepto C – 830 de 2025</w:t>
            </w:r>
          </w:p>
        </w:tc>
      </w:tr>
      <w:tr w:rsidR="002A000A" w:rsidRPr="002A000A" w14:paraId="6F9413F1" w14:textId="77777777" w:rsidTr="004F558B">
        <w:trPr>
          <w:trHeight w:val="884"/>
        </w:trPr>
        <w:tc>
          <w:tcPr>
            <w:tcW w:w="2689" w:type="dxa"/>
          </w:tcPr>
          <w:p w14:paraId="13C3C10D" w14:textId="77777777" w:rsidR="002A000A" w:rsidRPr="002A000A" w:rsidRDefault="002A000A" w:rsidP="002A000A">
            <w:pPr>
              <w:jc w:val="both"/>
              <w:rPr>
                <w:rFonts w:ascii="Verdana" w:eastAsia="Calibri" w:hAnsi="Verdana" w:cs="Arial"/>
                <w:lang w:val="es-ES_tradnl" w:eastAsia="es-ES_tradnl"/>
              </w:rPr>
            </w:pPr>
            <w:r w:rsidRPr="002A000A">
              <w:rPr>
                <w:rFonts w:ascii="Verdana" w:eastAsia="Calibri" w:hAnsi="Verdana" w:cs="Arial"/>
                <w:b/>
                <w:lang w:val="es-ES_tradnl" w:eastAsia="es-ES_tradnl"/>
              </w:rPr>
              <w:t>Temas:</w:t>
            </w:r>
            <w:r w:rsidRPr="002A000A">
              <w:rPr>
                <w:rFonts w:ascii="Verdana" w:eastAsia="Calibri" w:hAnsi="Verdana" w:cs="Arial"/>
                <w:lang w:val="es-ES_tradnl" w:eastAsia="es-ES_tradnl"/>
              </w:rPr>
              <w:t xml:space="preserve">                   </w:t>
            </w:r>
          </w:p>
        </w:tc>
        <w:tc>
          <w:tcPr>
            <w:tcW w:w="6100" w:type="dxa"/>
          </w:tcPr>
          <w:p w14:paraId="57D1D70E" w14:textId="77777777" w:rsidR="002A000A" w:rsidRPr="002A000A" w:rsidRDefault="002A000A" w:rsidP="002A000A">
            <w:pPr>
              <w:spacing w:line="276" w:lineRule="auto"/>
              <w:jc w:val="both"/>
              <w:rPr>
                <w:rFonts w:ascii="Verdana" w:eastAsia="Aptos" w:hAnsi="Verdana" w:cs="Times New Roman"/>
                <w:b/>
                <w:bCs/>
                <w:lang w:val="es-ES_tradnl"/>
              </w:rPr>
            </w:pPr>
            <w:r w:rsidRPr="002A000A">
              <w:rPr>
                <w:rFonts w:ascii="Verdana" w:eastAsia="Calibri" w:hAnsi="Verdana" w:cs="Arial"/>
                <w:bCs/>
                <w:lang w:val="es-ES_tradnl"/>
              </w:rPr>
              <w:t>SOCIEDADES NUEVAS ‒ Experiencia ‒ Inferior a tres a</w:t>
            </w:r>
            <w:r w:rsidRPr="002A000A">
              <w:rPr>
                <w:rFonts w:ascii="Verdana" w:eastAsia="Calibri" w:hAnsi="Verdana" w:cs="Century Gothic"/>
                <w:bCs/>
                <w:lang w:val="es-ES_tradnl"/>
              </w:rPr>
              <w:t>ñ</w:t>
            </w:r>
            <w:r w:rsidRPr="002A000A">
              <w:rPr>
                <w:rFonts w:ascii="Verdana" w:eastAsia="Calibri" w:hAnsi="Verdana" w:cs="Arial"/>
                <w:bCs/>
                <w:lang w:val="es-ES_tradnl"/>
              </w:rPr>
              <w:t>os ‒ Requisitos habilitantes ‒ Desarrollo de la empresa / EXPERIENCIA ‒ Conservaci</w:t>
            </w:r>
            <w:r w:rsidRPr="002A000A">
              <w:rPr>
                <w:rFonts w:ascii="Verdana" w:eastAsia="Calibri" w:hAnsi="Verdana" w:cs="Century Gothic"/>
                <w:bCs/>
                <w:lang w:val="es-ES_tradnl"/>
              </w:rPr>
              <w:t>ó</w:t>
            </w:r>
            <w:r w:rsidRPr="002A000A">
              <w:rPr>
                <w:rFonts w:ascii="Verdana" w:eastAsia="Calibri" w:hAnsi="Verdana" w:cs="Arial"/>
                <w:bCs/>
                <w:lang w:val="es-ES_tradnl"/>
              </w:rPr>
              <w:t>n ‒ Renovaci</w:t>
            </w:r>
            <w:r w:rsidRPr="002A000A">
              <w:rPr>
                <w:rFonts w:ascii="Verdana" w:eastAsia="Calibri" w:hAnsi="Verdana" w:cs="Century Gothic"/>
                <w:bCs/>
                <w:lang w:val="es-ES_tradnl"/>
              </w:rPr>
              <w:t>ó</w:t>
            </w:r>
            <w:r w:rsidRPr="002A000A">
              <w:rPr>
                <w:rFonts w:ascii="Verdana" w:eastAsia="Calibri" w:hAnsi="Verdana" w:cs="Arial"/>
                <w:bCs/>
                <w:lang w:val="es-ES_tradnl"/>
              </w:rPr>
              <w:t>n RUP ‒ Cesaci</w:t>
            </w:r>
            <w:r w:rsidRPr="002A000A">
              <w:rPr>
                <w:rFonts w:ascii="Verdana" w:eastAsia="Calibri" w:hAnsi="Verdana" w:cs="Century Gothic"/>
                <w:bCs/>
                <w:lang w:val="es-ES_tradnl"/>
              </w:rPr>
              <w:t>ó</w:t>
            </w:r>
            <w:r w:rsidRPr="002A000A">
              <w:rPr>
                <w:rFonts w:ascii="Verdana" w:eastAsia="Calibri" w:hAnsi="Verdana" w:cs="Arial"/>
                <w:bCs/>
                <w:lang w:val="es-ES_tradnl"/>
              </w:rPr>
              <w:t xml:space="preserve">n efectos RUP / EXPERIENCIA – Conservación – Documentos Tipo – Accionista / </w:t>
            </w:r>
            <w:r w:rsidRPr="002A000A">
              <w:rPr>
                <w:rFonts w:ascii="Verdana" w:eastAsia="Aptos" w:hAnsi="Verdana" w:cs="Times New Roman"/>
                <w:lang w:val="es-ES_tradnl"/>
              </w:rPr>
              <w:t>REGISTRO MERCANTIL – Obligatoriedad – Renovación – Capacidad jurídica o contractual – Proceso de Contratación</w:t>
            </w:r>
            <w:r w:rsidRPr="002A000A">
              <w:rPr>
                <w:rFonts w:ascii="Verdana" w:eastAsia="Aptos" w:hAnsi="Verdana" w:cs="Times New Roman"/>
                <w:b/>
                <w:bCs/>
                <w:lang w:val="es-ES_tradnl"/>
              </w:rPr>
              <w:t xml:space="preserve"> </w:t>
            </w:r>
          </w:p>
          <w:p w14:paraId="28340AEE" w14:textId="77777777" w:rsidR="002A000A" w:rsidRPr="002A000A" w:rsidRDefault="002A000A" w:rsidP="002A000A">
            <w:pPr>
              <w:spacing w:line="276" w:lineRule="auto"/>
              <w:jc w:val="both"/>
              <w:rPr>
                <w:rFonts w:ascii="Verdana" w:eastAsia="Calibri" w:hAnsi="Verdana" w:cs="Arial"/>
                <w:bCs/>
                <w:lang w:val="es-ES_tradnl" w:eastAsia="es-ES"/>
              </w:rPr>
            </w:pPr>
          </w:p>
        </w:tc>
      </w:tr>
      <w:tr w:rsidR="002A000A" w:rsidRPr="002A000A" w14:paraId="476F414C" w14:textId="77777777" w:rsidTr="004F558B">
        <w:tc>
          <w:tcPr>
            <w:tcW w:w="2689" w:type="dxa"/>
          </w:tcPr>
          <w:p w14:paraId="1ECDE955" w14:textId="77777777" w:rsidR="002A000A" w:rsidRPr="002A000A" w:rsidRDefault="002A000A" w:rsidP="002A000A">
            <w:pPr>
              <w:jc w:val="both"/>
              <w:rPr>
                <w:rFonts w:ascii="Verdana" w:eastAsia="Calibri" w:hAnsi="Verdana" w:cs="Arial"/>
                <w:b/>
                <w:lang w:val="es-ES_tradnl" w:eastAsia="es-ES_tradnl"/>
              </w:rPr>
            </w:pPr>
            <w:r w:rsidRPr="002A000A">
              <w:rPr>
                <w:rFonts w:ascii="Verdana" w:eastAsia="Calibri" w:hAnsi="Verdana" w:cs="Arial"/>
                <w:b/>
                <w:lang w:val="es-ES_tradnl" w:eastAsia="es-ES_tradnl"/>
              </w:rPr>
              <w:t>Radicación:</w:t>
            </w:r>
            <w:r w:rsidRPr="002A000A">
              <w:rPr>
                <w:rFonts w:ascii="Verdana" w:eastAsia="Calibri" w:hAnsi="Verdana" w:cs="Arial"/>
                <w:lang w:val="es-ES_tradnl" w:eastAsia="es-ES_tradnl"/>
              </w:rPr>
              <w:t xml:space="preserve">               </w:t>
            </w:r>
          </w:p>
        </w:tc>
        <w:tc>
          <w:tcPr>
            <w:tcW w:w="6100" w:type="dxa"/>
          </w:tcPr>
          <w:p w14:paraId="5C7D2131" w14:textId="77777777" w:rsidR="002A000A" w:rsidRPr="002A000A" w:rsidRDefault="002A000A" w:rsidP="002A000A">
            <w:pPr>
              <w:jc w:val="both"/>
              <w:rPr>
                <w:rFonts w:ascii="Verdana" w:eastAsia="Calibri" w:hAnsi="Verdana" w:cs="Arial"/>
                <w:lang w:val="es-ES_tradnl" w:eastAsia="es-ES_tradnl"/>
              </w:rPr>
            </w:pPr>
            <w:r w:rsidRPr="002A000A">
              <w:rPr>
                <w:rFonts w:ascii="Verdana" w:eastAsia="Calibri" w:hAnsi="Verdana" w:cs="Arial"/>
                <w:lang w:val="es-ES_tradnl" w:eastAsia="es-ES_tradnl"/>
              </w:rPr>
              <w:t>Respuesta a consulta con radicado No. 1_2025_06_22_006258</w:t>
            </w:r>
          </w:p>
        </w:tc>
      </w:tr>
    </w:tbl>
    <w:p w14:paraId="1228DB0D" w14:textId="77777777" w:rsidR="002A000A" w:rsidRPr="002A000A" w:rsidRDefault="002A000A" w:rsidP="002A000A">
      <w:pPr>
        <w:spacing w:after="0" w:line="240" w:lineRule="auto"/>
        <w:jc w:val="both"/>
        <w:rPr>
          <w:rFonts w:ascii="Verdana" w:eastAsia="Calibri" w:hAnsi="Verdana" w:cs="Arial"/>
          <w:lang w:val="es-ES_tradnl" w:eastAsia="es-ES_tradnl"/>
        </w:rPr>
      </w:pPr>
    </w:p>
    <w:p w14:paraId="44683E6A" w14:textId="77777777" w:rsidR="002A000A" w:rsidRPr="002A000A" w:rsidRDefault="002A000A" w:rsidP="002A000A">
      <w:pPr>
        <w:spacing w:after="0" w:line="240" w:lineRule="auto"/>
        <w:jc w:val="both"/>
        <w:rPr>
          <w:rFonts w:ascii="Verdana" w:eastAsia="Calibri" w:hAnsi="Verdana" w:cs="Arial"/>
          <w:lang w:val="es-ES_tradnl" w:eastAsia="es-ES_tradnl"/>
        </w:rPr>
      </w:pPr>
    </w:p>
    <w:p w14:paraId="6E2F474A" w14:textId="77777777" w:rsidR="002A000A" w:rsidRPr="002A000A" w:rsidRDefault="002A000A" w:rsidP="002A000A">
      <w:pPr>
        <w:spacing w:after="0" w:line="276" w:lineRule="auto"/>
        <w:jc w:val="both"/>
        <w:rPr>
          <w:rFonts w:ascii="Verdana" w:eastAsia="Calibri" w:hAnsi="Verdana" w:cs="Arial"/>
          <w:lang w:val="es-ES_tradnl" w:eastAsia="es-ES"/>
        </w:rPr>
      </w:pPr>
      <w:r w:rsidRPr="002A000A">
        <w:rPr>
          <w:rFonts w:ascii="Verdana" w:eastAsia="Calibri" w:hAnsi="Verdana" w:cs="Arial"/>
          <w:lang w:val="es-ES_tradnl" w:eastAsia="es-ES"/>
        </w:rPr>
        <w:t>Estimado señor Forero Rey:</w:t>
      </w:r>
    </w:p>
    <w:p w14:paraId="26CED978" w14:textId="77777777" w:rsidR="002A000A" w:rsidRPr="002A000A" w:rsidRDefault="002A000A" w:rsidP="002A000A">
      <w:pPr>
        <w:tabs>
          <w:tab w:val="left" w:pos="3768"/>
        </w:tabs>
        <w:spacing w:after="0" w:line="276" w:lineRule="auto"/>
        <w:jc w:val="both"/>
        <w:rPr>
          <w:rFonts w:ascii="Verdana" w:eastAsia="Calibri" w:hAnsi="Verdana" w:cs="Arial"/>
          <w:lang w:val="es-ES_tradnl" w:eastAsia="es-ES"/>
        </w:rPr>
      </w:pPr>
    </w:p>
    <w:p w14:paraId="6879A689" w14:textId="77777777" w:rsidR="002A000A" w:rsidRPr="002A000A" w:rsidRDefault="002A000A" w:rsidP="002A000A">
      <w:pPr>
        <w:spacing w:after="0" w:line="276" w:lineRule="auto"/>
        <w:jc w:val="both"/>
        <w:rPr>
          <w:rFonts w:ascii="Verdana" w:eastAsia="Calibri" w:hAnsi="Verdana" w:cs="Arial"/>
          <w:lang w:val="es-ES_tradnl" w:eastAsia="es-ES"/>
        </w:rPr>
      </w:pPr>
      <w:r w:rsidRPr="002A000A">
        <w:rPr>
          <w:rFonts w:ascii="Verdana" w:eastAsia="Calibri" w:hAnsi="Verdana" w:cs="Arial"/>
          <w:lang w:val="es-ES_tradnl" w:eastAsia="es-ES"/>
        </w:rPr>
        <w:t>En ejercicio de la competencia otorgada por los artículos 3, numeral 5º, y 11, numeral 8º, del Decreto Ley 4170 de 2011,</w:t>
      </w:r>
      <w:r w:rsidRPr="002A000A">
        <w:rPr>
          <w:rFonts w:ascii="Verdana" w:eastAsia="Arial MT" w:hAnsi="Verdana" w:cs="Arial MT"/>
          <w:lang w:val="es-ES_tradnl" w:eastAsia="es-ES"/>
        </w:rPr>
        <w:t xml:space="preserve"> </w:t>
      </w:r>
      <w:r w:rsidRPr="002A000A">
        <w:rPr>
          <w:rFonts w:ascii="Verdana" w:eastAsia="Aptos" w:hAnsi="Verdana" w:cs="Arial"/>
          <w:lang w:val="es-ES_tradnl"/>
        </w:rPr>
        <w:t xml:space="preserve">así como lo establecido en el artículo 4 de la Resolución 1707 de 2018 expedida por esta Entidad, </w:t>
      </w:r>
      <w:r w:rsidRPr="002A000A">
        <w:rPr>
          <w:rFonts w:ascii="Verdana" w:eastAsia="Calibri" w:hAnsi="Verdana" w:cs="Arial"/>
          <w:lang w:val="es-ES_tradnl" w:eastAsia="es-ES"/>
        </w:rPr>
        <w:t xml:space="preserve">la Agencia Nacional de Contratación Pública – Colombia Compra Eficiente– responde su solicitud de petición de fecha del 22 de junio de 2025, en la que consulta lo siguiente: </w:t>
      </w:r>
    </w:p>
    <w:p w14:paraId="1DF6BCB9" w14:textId="77777777" w:rsidR="002A000A" w:rsidRPr="002A000A" w:rsidRDefault="002A000A" w:rsidP="002A000A">
      <w:pPr>
        <w:spacing w:after="0" w:line="276" w:lineRule="auto"/>
        <w:jc w:val="both"/>
        <w:rPr>
          <w:rFonts w:ascii="Verdana" w:eastAsia="Calibri" w:hAnsi="Verdana" w:cs="Arial"/>
          <w:lang w:val="es-ES_tradnl" w:eastAsia="es-ES"/>
        </w:rPr>
      </w:pPr>
    </w:p>
    <w:p w14:paraId="1DB2CEB7" w14:textId="77777777" w:rsidR="002A000A" w:rsidRPr="002A000A" w:rsidRDefault="002A000A" w:rsidP="002A000A">
      <w:pPr>
        <w:spacing w:after="0" w:line="240" w:lineRule="auto"/>
        <w:ind w:left="709" w:right="709"/>
        <w:jc w:val="both"/>
        <w:rPr>
          <w:rFonts w:ascii="Verdana" w:eastAsia="Calibri" w:hAnsi="Verdana" w:cs="Arial"/>
          <w:sz w:val="21"/>
          <w:szCs w:val="21"/>
          <w:lang w:val="es-ES_tradnl" w:eastAsia="es-ES"/>
        </w:rPr>
      </w:pPr>
      <w:r w:rsidRPr="002A000A">
        <w:rPr>
          <w:rFonts w:ascii="Verdana" w:eastAsia="Calibri" w:hAnsi="Verdana" w:cs="Arial"/>
          <w:sz w:val="21"/>
          <w:szCs w:val="21"/>
          <w:lang w:val="es-ES_tradnl" w:eastAsia="es-ES"/>
        </w:rPr>
        <w:t xml:space="preserve">“En el marco de un proceso de selección que se adelanta bajo la modalidad de Concurso de Méritos con Pliego Tipo, nos permitimos formular la siguiente consulta con el fin de contar con claridad </w:t>
      </w:r>
      <w:r w:rsidRPr="002A000A">
        <w:rPr>
          <w:rFonts w:ascii="Verdana" w:eastAsia="Calibri" w:hAnsi="Verdana" w:cs="Arial"/>
          <w:sz w:val="21"/>
          <w:szCs w:val="21"/>
          <w:lang w:val="es-ES_tradnl" w:eastAsia="es-ES"/>
        </w:rPr>
        <w:lastRenderedPageBreak/>
        <w:t>normativa frente a los criterios de acreditación de experiencia en este tipo de procesos:</w:t>
      </w:r>
    </w:p>
    <w:p w14:paraId="6FB0FD39" w14:textId="77777777" w:rsidR="002A000A" w:rsidRPr="002A000A" w:rsidRDefault="002A000A" w:rsidP="002A000A">
      <w:pPr>
        <w:spacing w:after="0" w:line="240" w:lineRule="auto"/>
        <w:ind w:left="709" w:right="709"/>
        <w:jc w:val="both"/>
        <w:rPr>
          <w:rFonts w:ascii="Verdana" w:eastAsia="Calibri" w:hAnsi="Verdana" w:cs="Arial"/>
          <w:sz w:val="21"/>
          <w:szCs w:val="21"/>
          <w:lang w:val="es-ES_tradnl" w:eastAsia="es-ES"/>
        </w:rPr>
      </w:pPr>
    </w:p>
    <w:p w14:paraId="73EF5D21" w14:textId="77777777" w:rsidR="002A000A" w:rsidRPr="002A000A" w:rsidRDefault="002A000A" w:rsidP="002A000A">
      <w:pPr>
        <w:spacing w:after="0" w:line="240" w:lineRule="auto"/>
        <w:ind w:left="709" w:right="709"/>
        <w:jc w:val="both"/>
        <w:rPr>
          <w:rFonts w:ascii="Verdana" w:eastAsia="Calibri" w:hAnsi="Verdana" w:cs="Arial"/>
          <w:sz w:val="21"/>
          <w:szCs w:val="21"/>
          <w:lang w:val="es-ES_tradnl" w:eastAsia="es-ES"/>
        </w:rPr>
      </w:pPr>
      <w:r w:rsidRPr="002A000A">
        <w:rPr>
          <w:rFonts w:ascii="Verdana" w:eastAsia="Calibri" w:hAnsi="Verdana" w:cs="Arial"/>
          <w:sz w:val="21"/>
          <w:szCs w:val="21"/>
          <w:lang w:val="es-ES_tradnl" w:eastAsia="es-ES"/>
        </w:rPr>
        <w:t>Cuando una persona jurídica tiene menos de tres (3) años de constitución, ¿puede acreditar la experiencia de sus socios para cumplir con los requisitos habilitantes del proceso, conforme al régimen de pliegos tipo?</w:t>
      </w:r>
    </w:p>
    <w:p w14:paraId="40D4AAB5" w14:textId="77777777" w:rsidR="002A000A" w:rsidRPr="002A000A" w:rsidRDefault="002A000A" w:rsidP="002A000A">
      <w:pPr>
        <w:spacing w:after="0" w:line="240" w:lineRule="auto"/>
        <w:ind w:left="709" w:right="709"/>
        <w:jc w:val="both"/>
        <w:rPr>
          <w:rFonts w:ascii="Verdana" w:eastAsia="Calibri" w:hAnsi="Verdana" w:cs="Arial"/>
          <w:sz w:val="21"/>
          <w:szCs w:val="21"/>
          <w:lang w:val="es-ES_tradnl" w:eastAsia="es-ES"/>
        </w:rPr>
      </w:pPr>
    </w:p>
    <w:p w14:paraId="39A5B500" w14:textId="77777777" w:rsidR="002A000A" w:rsidRPr="002A000A" w:rsidRDefault="002A000A" w:rsidP="002A000A">
      <w:pPr>
        <w:spacing w:after="0" w:line="240" w:lineRule="auto"/>
        <w:ind w:left="709" w:right="709"/>
        <w:jc w:val="both"/>
        <w:rPr>
          <w:rFonts w:ascii="Verdana" w:eastAsia="Calibri" w:hAnsi="Verdana" w:cs="Arial"/>
          <w:sz w:val="21"/>
          <w:szCs w:val="21"/>
          <w:lang w:val="es-ES_tradnl" w:eastAsia="es-ES"/>
        </w:rPr>
      </w:pPr>
      <w:r w:rsidRPr="002A000A">
        <w:rPr>
          <w:rFonts w:ascii="Verdana" w:eastAsia="Calibri" w:hAnsi="Verdana" w:cs="Arial"/>
          <w:sz w:val="21"/>
          <w:szCs w:val="21"/>
          <w:lang w:val="es-ES_tradnl" w:eastAsia="es-ES"/>
        </w:rPr>
        <w:t>En caso de que la persona jurídica ya cuente con más de tres (3) años desde su constitución, ¿pierde la posibilidad de acreditar la experiencia de sus socios (personas naturales o jurídicas) para efectos de la experiencia exigida en el proceso de selección?</w:t>
      </w:r>
    </w:p>
    <w:p w14:paraId="251D9346" w14:textId="77777777" w:rsidR="002A000A" w:rsidRPr="002A000A" w:rsidRDefault="002A000A" w:rsidP="002A000A">
      <w:pPr>
        <w:spacing w:after="0" w:line="240" w:lineRule="auto"/>
        <w:ind w:left="709" w:right="709"/>
        <w:jc w:val="both"/>
        <w:rPr>
          <w:rFonts w:ascii="Verdana" w:eastAsia="Calibri" w:hAnsi="Verdana" w:cs="Arial"/>
          <w:sz w:val="21"/>
          <w:szCs w:val="21"/>
          <w:lang w:val="es-ES_tradnl" w:eastAsia="es-ES"/>
        </w:rPr>
      </w:pPr>
    </w:p>
    <w:p w14:paraId="7AA7A8D6" w14:textId="77777777" w:rsidR="002A000A" w:rsidRPr="002A000A" w:rsidRDefault="002A000A" w:rsidP="002A000A">
      <w:pPr>
        <w:spacing w:after="0" w:line="240" w:lineRule="auto"/>
        <w:ind w:left="709" w:right="709"/>
        <w:jc w:val="both"/>
        <w:rPr>
          <w:rFonts w:ascii="Verdana" w:eastAsia="Calibri" w:hAnsi="Verdana" w:cs="Arial"/>
          <w:sz w:val="21"/>
          <w:szCs w:val="21"/>
          <w:lang w:val="es-ES_tradnl" w:eastAsia="es-ES"/>
        </w:rPr>
      </w:pPr>
      <w:r w:rsidRPr="002A000A">
        <w:rPr>
          <w:rFonts w:ascii="Verdana" w:eastAsia="Calibri" w:hAnsi="Verdana" w:cs="Arial"/>
          <w:sz w:val="21"/>
          <w:szCs w:val="21"/>
          <w:lang w:val="es-ES_tradnl" w:eastAsia="es-ES"/>
        </w:rPr>
        <w:t>Si uno de los socios de dicha persona jurídica es una persona jurídica, ¿es requisito que esta cuente con matrícula mercantil renovada y vigente al momento de presentar la oferta para que su experiencia sea válida?”</w:t>
      </w:r>
    </w:p>
    <w:p w14:paraId="0D0513BB" w14:textId="77777777" w:rsidR="002A000A" w:rsidRPr="002A000A" w:rsidRDefault="002A000A" w:rsidP="002A000A">
      <w:pPr>
        <w:tabs>
          <w:tab w:val="left" w:pos="142"/>
          <w:tab w:val="left" w:pos="284"/>
        </w:tabs>
        <w:spacing w:after="0" w:line="240" w:lineRule="auto"/>
        <w:contextualSpacing/>
        <w:jc w:val="both"/>
        <w:rPr>
          <w:rFonts w:ascii="Verdana" w:eastAsia="Century Gothic" w:hAnsi="Verdana" w:cs="Century Gothic"/>
          <w:b/>
          <w:bCs/>
          <w:sz w:val="20"/>
          <w:szCs w:val="20"/>
          <w:lang w:val="es-ES_tradnl"/>
        </w:rPr>
      </w:pPr>
    </w:p>
    <w:p w14:paraId="16D29553" w14:textId="77777777" w:rsidR="002A000A" w:rsidRPr="002A000A" w:rsidRDefault="002A000A" w:rsidP="38FACAB2">
      <w:pPr>
        <w:spacing w:after="120" w:line="276" w:lineRule="auto"/>
        <w:ind w:firstLine="709"/>
        <w:jc w:val="both"/>
        <w:rPr>
          <w:rFonts w:ascii="Verdana" w:eastAsia="Calibri" w:hAnsi="Verdana" w:cs="Arial"/>
          <w:lang w:val="es-ES" w:eastAsia="es-ES"/>
        </w:rPr>
      </w:pPr>
      <w:r w:rsidRPr="38FACAB2">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7B740F5" w14:textId="77777777" w:rsidR="002A000A" w:rsidRPr="002A000A" w:rsidRDefault="002A000A" w:rsidP="002A000A">
      <w:pPr>
        <w:spacing w:after="0" w:line="276" w:lineRule="auto"/>
        <w:ind w:firstLine="709"/>
        <w:jc w:val="both"/>
        <w:rPr>
          <w:rFonts w:ascii="Verdana" w:eastAsia="Calibri" w:hAnsi="Verdana" w:cs="Arial"/>
          <w:lang w:val="es-ES_tradnl" w:eastAsia="es-ES"/>
        </w:rPr>
      </w:pPr>
      <w:r w:rsidRPr="002A000A">
        <w:rPr>
          <w:rFonts w:ascii="Verdana" w:eastAsia="Calibri" w:hAnsi="Verdana" w:cs="Arial"/>
          <w:lang w:val="es-ES_tradnl"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3C43CC7F" w14:textId="77777777" w:rsidR="002A000A" w:rsidRPr="002A000A" w:rsidRDefault="002A000A" w:rsidP="002A000A">
      <w:pPr>
        <w:spacing w:after="0" w:line="276" w:lineRule="auto"/>
        <w:ind w:firstLine="709"/>
        <w:jc w:val="both"/>
        <w:rPr>
          <w:rFonts w:ascii="Verdana" w:eastAsia="Calibri" w:hAnsi="Verdana" w:cs="Arial"/>
          <w:lang w:val="es-ES_tradnl" w:eastAsia="es-ES"/>
        </w:rPr>
      </w:pPr>
    </w:p>
    <w:p w14:paraId="100907A5" w14:textId="77777777" w:rsidR="002A000A" w:rsidRPr="002A000A" w:rsidRDefault="002A000A" w:rsidP="002A000A">
      <w:pPr>
        <w:widowControl w:val="0"/>
        <w:autoSpaceDE w:val="0"/>
        <w:autoSpaceDN w:val="0"/>
        <w:spacing w:before="1" w:after="0" w:line="240" w:lineRule="auto"/>
        <w:ind w:left="360" w:hanging="360"/>
        <w:jc w:val="both"/>
        <w:outlineLvl w:val="0"/>
        <w:rPr>
          <w:rFonts w:ascii="Verdana" w:eastAsia="Arial" w:hAnsi="Verdana" w:cs="Arial"/>
          <w:b/>
          <w:bCs/>
          <w:lang w:val="es-ES_tradnl"/>
        </w:rPr>
      </w:pPr>
      <w:r w:rsidRPr="002A000A">
        <w:rPr>
          <w:rFonts w:ascii="Verdana" w:eastAsia="Arial" w:hAnsi="Verdana" w:cs="Arial"/>
          <w:b/>
          <w:bCs/>
          <w:lang w:val="es-ES_tradnl"/>
        </w:rPr>
        <w:t>1. Problema planteado:</w:t>
      </w:r>
    </w:p>
    <w:p w14:paraId="457700CF" w14:textId="77777777" w:rsidR="002A000A" w:rsidRPr="002A000A" w:rsidRDefault="002A000A" w:rsidP="002A000A">
      <w:pPr>
        <w:tabs>
          <w:tab w:val="left" w:pos="426"/>
        </w:tabs>
        <w:spacing w:after="0" w:line="276" w:lineRule="auto"/>
        <w:jc w:val="both"/>
        <w:rPr>
          <w:rFonts w:ascii="Verdana" w:eastAsia="Century Gothic" w:hAnsi="Verdana" w:cs="Century Gothic"/>
          <w:lang w:val="es-ES_tradnl"/>
        </w:rPr>
      </w:pPr>
    </w:p>
    <w:p w14:paraId="0166E410" w14:textId="77777777" w:rsidR="002A000A" w:rsidRPr="002A000A" w:rsidRDefault="002A000A" w:rsidP="002A000A">
      <w:pPr>
        <w:spacing w:after="0" w:line="276" w:lineRule="auto"/>
        <w:jc w:val="both"/>
        <w:rPr>
          <w:rFonts w:ascii="Verdana" w:eastAsia="Century Gothic" w:hAnsi="Verdana" w:cs="Century Gothic"/>
          <w:lang w:val="es-ES_tradnl"/>
        </w:rPr>
      </w:pPr>
      <w:r w:rsidRPr="002A000A">
        <w:rPr>
          <w:rFonts w:ascii="Verdana" w:eastAsia="Century Gothic" w:hAnsi="Verdana" w:cs="Century Gothic"/>
          <w:lang w:val="es-ES_tradnl"/>
        </w:rPr>
        <w:lastRenderedPageBreak/>
        <w:t>De acuerdo con el contenido de su solicitud, esta Agencia resolverá los siguientes problemas jurídicos sobre documentos tipo:</w:t>
      </w:r>
      <w:bookmarkStart w:id="1" w:name="_Hlk171070029"/>
      <w:r w:rsidRPr="002A000A">
        <w:rPr>
          <w:rFonts w:ascii="Verdana" w:eastAsia="Century Gothic" w:hAnsi="Verdana" w:cs="Century Gothic"/>
          <w:lang w:val="es-ES_tradnl"/>
        </w:rPr>
        <w:t xml:space="preserve"> </w:t>
      </w:r>
    </w:p>
    <w:p w14:paraId="6347EBA3" w14:textId="77777777" w:rsidR="002A000A" w:rsidRPr="002A000A" w:rsidRDefault="002A000A" w:rsidP="002A000A">
      <w:pPr>
        <w:spacing w:after="0" w:line="276" w:lineRule="auto"/>
        <w:jc w:val="both"/>
        <w:rPr>
          <w:rFonts w:ascii="Verdana" w:eastAsia="Century Gothic" w:hAnsi="Verdana" w:cs="Century Gothic"/>
          <w:lang w:val="es-ES_tradnl"/>
        </w:rPr>
      </w:pPr>
    </w:p>
    <w:p w14:paraId="5927C466" w14:textId="77777777" w:rsidR="002A000A" w:rsidRPr="002A000A" w:rsidRDefault="002A000A" w:rsidP="002A000A">
      <w:pPr>
        <w:numPr>
          <w:ilvl w:val="0"/>
          <w:numId w:val="17"/>
        </w:numPr>
        <w:spacing w:after="0" w:line="276" w:lineRule="auto"/>
        <w:contextualSpacing/>
        <w:jc w:val="both"/>
        <w:rPr>
          <w:rFonts w:ascii="Verdana" w:eastAsia="Calibri" w:hAnsi="Verdana" w:cs="Arial"/>
          <w:color w:val="000000"/>
          <w:shd w:val="clear" w:color="auto" w:fill="FFFFFF"/>
          <w:lang w:val="es-ES_tradnl"/>
        </w:rPr>
      </w:pPr>
      <w:r w:rsidRPr="002A000A">
        <w:rPr>
          <w:rFonts w:ascii="Verdana" w:eastAsia="Century Gothic" w:hAnsi="Verdana" w:cs="Century Gothic"/>
          <w:lang w:val="es-ES_tradnl"/>
        </w:rPr>
        <w:t xml:space="preserve">¿Cuál es el alcance de la posibilidad que tienen las sociedades </w:t>
      </w:r>
      <w:r w:rsidRPr="002A000A">
        <w:rPr>
          <w:rFonts w:ascii="Verdana" w:eastAsia="Calibri" w:hAnsi="Verdana" w:cs="Arial"/>
          <w:color w:val="000000"/>
          <w:shd w:val="clear" w:color="auto" w:fill="FFFFFF"/>
          <w:lang w:val="es-ES_tradnl"/>
        </w:rPr>
        <w:t>con menos de tres (3) años de constitución para acreditar como experiencia la de sus accionistas, socios o constituyentes?</w:t>
      </w:r>
    </w:p>
    <w:p w14:paraId="65A66FD8" w14:textId="77777777" w:rsidR="002A000A" w:rsidRPr="002A000A" w:rsidRDefault="002A000A" w:rsidP="002A000A">
      <w:pPr>
        <w:spacing w:after="0" w:line="276" w:lineRule="auto"/>
        <w:jc w:val="both"/>
        <w:rPr>
          <w:rFonts w:ascii="Verdana" w:eastAsia="Calibri" w:hAnsi="Verdana" w:cs="Arial"/>
          <w:color w:val="000000"/>
          <w:shd w:val="clear" w:color="auto" w:fill="FFFFFF"/>
          <w:lang w:val="es-ES_tradnl"/>
        </w:rPr>
      </w:pPr>
    </w:p>
    <w:p w14:paraId="3D1D95CC" w14:textId="77777777" w:rsidR="002A000A" w:rsidRPr="002A000A" w:rsidRDefault="002A000A" w:rsidP="002A000A">
      <w:pPr>
        <w:numPr>
          <w:ilvl w:val="0"/>
          <w:numId w:val="17"/>
        </w:numPr>
        <w:spacing w:after="0" w:line="276" w:lineRule="auto"/>
        <w:contextualSpacing/>
        <w:jc w:val="both"/>
        <w:rPr>
          <w:rFonts w:ascii="Verdana" w:eastAsia="Century Gothic" w:hAnsi="Verdana" w:cs="Century Gothic"/>
          <w:lang w:val="es-ES_tradnl"/>
        </w:rPr>
      </w:pPr>
      <w:r w:rsidRPr="002A000A">
        <w:rPr>
          <w:rFonts w:ascii="Verdana" w:eastAsia="Calibri" w:hAnsi="Verdana" w:cs="Arial"/>
          <w:color w:val="000000"/>
          <w:shd w:val="clear" w:color="auto" w:fill="FFFFFF"/>
          <w:lang w:val="es-ES_tradnl"/>
        </w:rPr>
        <w:t>¿Es un requisito que una persona jurídica cuente con el registro mercantil renovado y vigente para poder acreditar la experiencia conforme a la regla anterior?</w:t>
      </w:r>
    </w:p>
    <w:p w14:paraId="33089544" w14:textId="77777777" w:rsidR="002A000A" w:rsidRPr="002A000A" w:rsidRDefault="002A000A" w:rsidP="002A000A">
      <w:pPr>
        <w:spacing w:after="0" w:line="276" w:lineRule="auto"/>
        <w:jc w:val="both"/>
        <w:rPr>
          <w:rFonts w:ascii="Verdana" w:eastAsia="Century Gothic" w:hAnsi="Verdana" w:cs="Century Gothic"/>
          <w:lang w:val="es-ES_tradnl"/>
        </w:rPr>
      </w:pPr>
    </w:p>
    <w:bookmarkEnd w:id="1"/>
    <w:p w14:paraId="6B532997" w14:textId="77777777" w:rsidR="002A000A" w:rsidRPr="002A000A" w:rsidRDefault="002A000A" w:rsidP="002A000A">
      <w:pPr>
        <w:widowControl w:val="0"/>
        <w:autoSpaceDE w:val="0"/>
        <w:autoSpaceDN w:val="0"/>
        <w:spacing w:before="1" w:after="0" w:line="240" w:lineRule="auto"/>
        <w:jc w:val="both"/>
        <w:outlineLvl w:val="0"/>
        <w:rPr>
          <w:rFonts w:ascii="Verdana" w:eastAsia="Arial" w:hAnsi="Verdana" w:cs="Arial"/>
          <w:b/>
          <w:bCs/>
          <w:lang w:val="es-ES_tradnl"/>
        </w:rPr>
      </w:pPr>
      <w:r w:rsidRPr="002A000A">
        <w:rPr>
          <w:rFonts w:ascii="Verdana" w:eastAsia="Arial" w:hAnsi="Verdana" w:cs="Arial"/>
          <w:b/>
          <w:bCs/>
          <w:lang w:val="es-ES_tradnl"/>
        </w:rPr>
        <w:t>2. Respuesta:</w:t>
      </w:r>
    </w:p>
    <w:p w14:paraId="706F8887" w14:textId="77777777" w:rsidR="002A000A" w:rsidRPr="002A000A" w:rsidRDefault="002A000A" w:rsidP="002A000A">
      <w:pPr>
        <w:spacing w:after="0"/>
        <w:rPr>
          <w:rFonts w:ascii="Verdana" w:eastAsia="Aptos" w:hAnsi="Verdana" w:cs="Times New Roman"/>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A000A" w:rsidRPr="002A000A" w14:paraId="6E735280" w14:textId="77777777" w:rsidTr="38FACAB2">
        <w:tc>
          <w:tcPr>
            <w:tcW w:w="8828" w:type="dxa"/>
          </w:tcPr>
          <w:p w14:paraId="01D59ADC" w14:textId="77777777" w:rsidR="002A000A" w:rsidRPr="002A000A" w:rsidRDefault="002A000A" w:rsidP="002A000A">
            <w:pPr>
              <w:snapToGrid w:val="0"/>
              <w:spacing w:after="120" w:line="276" w:lineRule="auto"/>
              <w:jc w:val="both"/>
              <w:rPr>
                <w:rFonts w:ascii="Verdana" w:eastAsia="Calibri" w:hAnsi="Verdana" w:cs="Arial"/>
                <w:lang w:val="es-ES_tradnl"/>
              </w:rPr>
            </w:pPr>
            <w:bookmarkStart w:id="2" w:name="_Hlk171067516"/>
            <w:r w:rsidRPr="002A000A">
              <w:rPr>
                <w:rFonts w:ascii="Verdana" w:eastAsia="Calibri" w:hAnsi="Verdana" w:cs="Arial"/>
                <w:lang w:val="es-ES_tradnl"/>
              </w:rPr>
              <w:t xml:space="preserve">El numeral 2.5 del artículo 2.2.1.1.1.5.2 del Decreto 1082 de 2015 indica de forma clara que una sociedad con menos de tres (3) años de constituida puede aportar la experiencia de sus accionistas, socios o constituyentes.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 </w:t>
            </w:r>
          </w:p>
          <w:p w14:paraId="7AA2881D" w14:textId="77777777" w:rsidR="002A000A" w:rsidRPr="002A000A" w:rsidRDefault="002A000A" w:rsidP="38FACAB2">
            <w:pPr>
              <w:snapToGrid w:val="0"/>
              <w:spacing w:after="120" w:line="276" w:lineRule="auto"/>
              <w:ind w:firstLine="709"/>
              <w:jc w:val="both"/>
              <w:rPr>
                <w:rFonts w:ascii="Verdana" w:eastAsia="Calibri" w:hAnsi="Verdana" w:cs="Arial"/>
                <w:lang w:val="es-ES"/>
              </w:rPr>
            </w:pPr>
            <w:r w:rsidRPr="38FACAB2">
              <w:rPr>
                <w:rFonts w:ascii="Verdana" w:eastAsia="Calibri" w:hAnsi="Verdana" w:cs="Arial"/>
                <w:lang w:val="es-ES"/>
              </w:rPr>
              <w:t>De conformidad con lo expuesto, esta Agencia considera que, si la persona jurídica con menos de tres años de constituida registra la experiencia de sus socios en el RUP, y este es renovado constantemente de forma oportuna, una vez transcurridos estos tres años, el proponente podrá seguir acreditando la experiencia inscrita de los socios mientras no cesen los efectos del RUP. Por el contrario, si no se renueva oportunamente y la persona jurídica supera los tres años de constituida, la experiencia que registró de sus socios no puede ser inscrita nuevamente, puesto que el RUP habría cesado en sus efectos y la cámara de comercio tendría que hacer nuevamente la verificación documental de la información presentada al momento de inscribirse en el registro.</w:t>
            </w:r>
          </w:p>
          <w:p w14:paraId="484CC875" w14:textId="77777777" w:rsidR="002A000A" w:rsidRPr="002A000A" w:rsidRDefault="002A000A" w:rsidP="38FACAB2">
            <w:pPr>
              <w:snapToGrid w:val="0"/>
              <w:spacing w:after="120" w:line="276" w:lineRule="auto"/>
              <w:ind w:firstLine="709"/>
              <w:jc w:val="both"/>
              <w:rPr>
                <w:rFonts w:ascii="Verdana" w:eastAsia="Calibri" w:hAnsi="Verdana" w:cs="Arial"/>
                <w:lang w:val="es-ES"/>
              </w:rPr>
            </w:pPr>
            <w:r w:rsidRPr="38FACAB2">
              <w:rPr>
                <w:rFonts w:ascii="Verdana" w:eastAsia="Calibri" w:hAnsi="Verdana" w:cs="Arial"/>
                <w:lang w:val="es-ES"/>
              </w:rPr>
              <w:t xml:space="preserve">En desarrollo de esta prerrogativa, en el literal F del numeral 10.1.1 del documento base de los documentos tipo de concurso de méritos para contratar la interventoría de infraestructura de transporte –versión 3–, se estableció una regla en virtud de la cual se permite la acreditación de la experiencia de los </w:t>
            </w:r>
            <w:r w:rsidRPr="38FACAB2">
              <w:rPr>
                <w:rFonts w:ascii="Verdana" w:eastAsia="Calibri" w:hAnsi="Verdana" w:cs="Arial"/>
                <w:lang w:val="es-ES"/>
              </w:rPr>
              <w:lastRenderedPageBreak/>
              <w:t>socios o constituyentes de las personas jurídicas, incluso pasados los primeros tres años de creación, siempre que no hubieren cesado los efectos del RUP.</w:t>
            </w:r>
          </w:p>
          <w:p w14:paraId="44B30E17" w14:textId="77777777" w:rsidR="002A000A" w:rsidRPr="002A000A" w:rsidRDefault="002A000A" w:rsidP="38FACAB2">
            <w:pPr>
              <w:shd w:val="clear" w:color="auto" w:fill="FFFFFF" w:themeFill="background1"/>
              <w:snapToGrid w:val="0"/>
              <w:spacing w:after="120" w:line="276" w:lineRule="auto"/>
              <w:ind w:firstLine="708"/>
              <w:jc w:val="both"/>
              <w:rPr>
                <w:rFonts w:ascii="Verdana" w:eastAsia="Calibri" w:hAnsi="Verdana" w:cs="Arial"/>
                <w:color w:val="000000"/>
                <w:lang w:val="es-ES"/>
              </w:rPr>
            </w:pPr>
            <w:r w:rsidRPr="38FACAB2">
              <w:rPr>
                <w:rFonts w:ascii="Verdana" w:eastAsia="Calibri" w:hAnsi="Verdana" w:cs="Arial"/>
                <w:color w:val="000000" w:themeColor="text1"/>
                <w:lang w:val="es-ES"/>
              </w:rPr>
              <w:t xml:space="preserve">Por otra parte, conforme al artículo 26 del Código de Comercio, el registro mercantil tiene “por objeto llevar la matrícula de los comerciantes y de los establecimientos de comercio, así como la inscripción de todos los actos, libros y documentos respecto de los cuales la ley exigiere esa formalidad”. Así, la matrícula mercantil es un medio de identificación que da publicidad a la condición de comerciante, la cual, de acuerdo con el artículo 10 del Código de Comercio, se establece para aquellas personas que se ocupan profesionalmente de una o varias de las actividades que el mismo código considera como comerciales o mercantiles, según los artículos 20 y 21. En línea con lo anterior, el artículo 33 </w:t>
            </w:r>
            <w:r w:rsidRPr="38FACAB2">
              <w:rPr>
                <w:rFonts w:ascii="Verdana" w:eastAsia="Calibri" w:hAnsi="Verdana" w:cs="Arial"/>
                <w:i/>
                <w:iCs/>
                <w:color w:val="000000" w:themeColor="text1"/>
                <w:lang w:val="es-ES"/>
              </w:rPr>
              <w:t xml:space="preserve">ibidem </w:t>
            </w:r>
            <w:r w:rsidRPr="38FACAB2">
              <w:rPr>
                <w:rFonts w:ascii="Verdana" w:eastAsia="Calibri" w:hAnsi="Verdana" w:cs="Arial"/>
                <w:color w:val="000000" w:themeColor="text1"/>
                <w:lang w:val="es-ES"/>
              </w:rPr>
              <w:t>dispone que la matrícula mercantil debe renovarse anualmente, dentro de los tres primeros meses de cada año.</w:t>
            </w:r>
          </w:p>
          <w:p w14:paraId="24305D2D" w14:textId="77777777" w:rsidR="002A000A" w:rsidRPr="002A000A" w:rsidRDefault="002A000A" w:rsidP="38FACAB2">
            <w:pPr>
              <w:snapToGrid w:val="0"/>
              <w:spacing w:after="120" w:line="276" w:lineRule="auto"/>
              <w:ind w:firstLine="709"/>
              <w:jc w:val="both"/>
              <w:rPr>
                <w:rFonts w:ascii="Verdana" w:eastAsia="Calibri" w:hAnsi="Verdana" w:cs="Arial"/>
                <w:lang w:val="es-ES"/>
              </w:rPr>
            </w:pPr>
            <w:r w:rsidRPr="38FACAB2">
              <w:rPr>
                <w:rFonts w:ascii="Verdana" w:eastAsia="Calibri" w:hAnsi="Verdana" w:cs="Arial"/>
                <w:color w:val="000000" w:themeColor="text1"/>
                <w:lang w:val="es-ES"/>
              </w:rPr>
              <w:t>De acuerdo con lo expuesto, se evidencia que el registro mercantil es un deber legal de los comerciantes, pero no otorga o afecta la capacidad jurídica o contractual, aunque su ausencia, cuando se desarrollan actividades mercantiles de manera habitual y permanente, ocasiona la imposición de multas por el incumplimiento de un deber legal. En este sentido, un oferente solo deberá estar inscrito en el registro mercantil, en cumplimiento de un deber comercial, cuando realice alguna actividad comercial profesional de manera habitual, y no por el hecho de participar en un proceso de contratación.</w:t>
            </w:r>
          </w:p>
        </w:tc>
      </w:tr>
      <w:bookmarkEnd w:id="2"/>
    </w:tbl>
    <w:p w14:paraId="5930D975" w14:textId="77777777" w:rsidR="002A000A" w:rsidRPr="002A000A" w:rsidRDefault="002A000A" w:rsidP="002A000A">
      <w:pPr>
        <w:widowControl w:val="0"/>
        <w:autoSpaceDE w:val="0"/>
        <w:autoSpaceDN w:val="0"/>
        <w:spacing w:before="1" w:after="0" w:line="240" w:lineRule="auto"/>
        <w:ind w:left="360" w:hanging="360"/>
        <w:outlineLvl w:val="0"/>
        <w:rPr>
          <w:rFonts w:ascii="Verdana" w:eastAsia="Arial" w:hAnsi="Verdana" w:cs="Arial"/>
          <w:b/>
          <w:bCs/>
          <w:lang w:val="es-ES_tradnl"/>
        </w:rPr>
      </w:pPr>
    </w:p>
    <w:p w14:paraId="42133924" w14:textId="77777777" w:rsidR="002A000A" w:rsidRPr="002A000A" w:rsidRDefault="002A000A" w:rsidP="002A000A">
      <w:pPr>
        <w:widowControl w:val="0"/>
        <w:autoSpaceDE w:val="0"/>
        <w:autoSpaceDN w:val="0"/>
        <w:spacing w:before="1" w:after="0" w:line="240" w:lineRule="auto"/>
        <w:ind w:left="360" w:hanging="360"/>
        <w:outlineLvl w:val="0"/>
        <w:rPr>
          <w:rFonts w:ascii="Verdana" w:eastAsia="Arial" w:hAnsi="Verdana" w:cs="Arial"/>
          <w:b/>
          <w:bCs/>
          <w:lang w:val="es-ES_tradnl"/>
        </w:rPr>
      </w:pPr>
      <w:r w:rsidRPr="002A000A">
        <w:rPr>
          <w:rFonts w:ascii="Verdana" w:eastAsia="Arial" w:hAnsi="Verdana" w:cs="Arial"/>
          <w:b/>
          <w:bCs/>
          <w:lang w:val="es-ES_tradnl"/>
        </w:rPr>
        <w:t>3. Razones de la respuesta</w:t>
      </w:r>
    </w:p>
    <w:p w14:paraId="7683F989" w14:textId="77777777" w:rsidR="002A000A" w:rsidRPr="002A000A" w:rsidRDefault="002A000A" w:rsidP="002A000A">
      <w:pPr>
        <w:spacing w:after="0" w:line="276" w:lineRule="auto"/>
        <w:jc w:val="both"/>
        <w:rPr>
          <w:rFonts w:ascii="Verdana" w:eastAsia="Calibri" w:hAnsi="Verdana" w:cs="Arial"/>
          <w:lang w:val="es-ES_tradnl"/>
        </w:rPr>
      </w:pPr>
    </w:p>
    <w:p w14:paraId="4008E658" w14:textId="77777777" w:rsidR="002A000A" w:rsidRPr="002A000A" w:rsidRDefault="002A000A" w:rsidP="002A000A">
      <w:pPr>
        <w:spacing w:after="0" w:line="276" w:lineRule="auto"/>
        <w:jc w:val="both"/>
        <w:rPr>
          <w:rFonts w:ascii="Verdana" w:eastAsia="Calibri" w:hAnsi="Verdana" w:cs="Arial"/>
          <w:lang w:val="es-ES_tradnl"/>
        </w:rPr>
      </w:pPr>
      <w:r w:rsidRPr="002A000A">
        <w:rPr>
          <w:rFonts w:ascii="Verdana" w:eastAsia="Calibri" w:hAnsi="Verdana" w:cs="Arial"/>
          <w:lang w:val="es-ES_tradnl"/>
        </w:rPr>
        <w:t xml:space="preserve">Las respuestas anteriores se sustentan en las siguientes consideraciones: </w:t>
      </w:r>
    </w:p>
    <w:p w14:paraId="30799543" w14:textId="77777777" w:rsidR="002A000A" w:rsidRPr="002A000A" w:rsidRDefault="002A000A" w:rsidP="002A000A">
      <w:pPr>
        <w:spacing w:after="0" w:line="276" w:lineRule="auto"/>
        <w:contextualSpacing/>
        <w:jc w:val="both"/>
        <w:rPr>
          <w:rFonts w:ascii="Verdana" w:eastAsia="Calibri" w:hAnsi="Verdana" w:cs="Arial"/>
          <w:lang w:val="es-ES_tradnl"/>
        </w:rPr>
      </w:pPr>
    </w:p>
    <w:p w14:paraId="435FF645" w14:textId="77777777" w:rsidR="002A000A" w:rsidRPr="002A000A" w:rsidRDefault="002A000A" w:rsidP="38FACAB2">
      <w:pPr>
        <w:snapToGrid w:val="0"/>
        <w:spacing w:after="0" w:line="276" w:lineRule="auto"/>
        <w:contextualSpacing/>
        <w:jc w:val="both"/>
        <w:rPr>
          <w:rFonts w:ascii="Verdana" w:eastAsia="Calibri" w:hAnsi="Verdana" w:cs="Arial"/>
          <w:lang w:val="es-ES"/>
        </w:rPr>
      </w:pPr>
      <w:r w:rsidRPr="38FACAB2">
        <w:rPr>
          <w:rFonts w:ascii="Verdana" w:eastAsia="Calibri" w:hAnsi="Verdana" w:cs="Arial"/>
          <w:kern w:val="2"/>
          <w:lang w:val="es-ES"/>
          <w14:ligatures w14:val="standardContextual"/>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38FACAB2">
        <w:rPr>
          <w:rFonts w:ascii="Aptos" w:eastAsia="Aptos" w:hAnsi="Aptos" w:cs="Times New Roman"/>
          <w:kern w:val="2"/>
          <w:sz w:val="24"/>
          <w:szCs w:val="24"/>
          <w:vertAlign w:val="superscript"/>
          <w:lang w:val="es-ES"/>
          <w14:ligatures w14:val="standardContextual"/>
        </w:rPr>
        <w:footnoteReference w:id="1"/>
      </w:r>
      <w:r w:rsidRPr="38FACAB2">
        <w:rPr>
          <w:rFonts w:ascii="Verdana" w:eastAsia="Calibri" w:hAnsi="Verdana" w:cs="Arial"/>
          <w:kern w:val="2"/>
          <w:lang w:val="es-ES"/>
          <w14:ligatures w14:val="standardContextual"/>
        </w:rPr>
        <w:t xml:space="preserve">. En ese sentido, la entidad, como responsable de la </w:t>
      </w:r>
      <w:r w:rsidRPr="38FACAB2">
        <w:rPr>
          <w:rFonts w:ascii="Verdana" w:eastAsia="Calibri" w:hAnsi="Verdana" w:cs="Arial"/>
          <w:kern w:val="2"/>
          <w:lang w:val="es-ES"/>
          <w14:ligatures w14:val="standardContextual"/>
        </w:rPr>
        <w:lastRenderedPageBreak/>
        <w:t>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así como el mercado y precio del bien, obra o servicio a contratar</w:t>
      </w:r>
      <w:r w:rsidRPr="38FACAB2">
        <w:rPr>
          <w:rFonts w:ascii="Aptos" w:eastAsia="Aptos" w:hAnsi="Aptos" w:cs="Times New Roman"/>
          <w:kern w:val="2"/>
          <w:sz w:val="24"/>
          <w:szCs w:val="24"/>
          <w:vertAlign w:val="superscript"/>
          <w:lang w:val="es-ES"/>
          <w14:ligatures w14:val="standardContextual"/>
        </w:rPr>
        <w:footnoteReference w:id="2"/>
      </w:r>
      <w:r w:rsidRPr="38FACAB2">
        <w:rPr>
          <w:rFonts w:ascii="Verdana" w:eastAsia="Calibri" w:hAnsi="Verdana" w:cs="Arial"/>
          <w:kern w:val="2"/>
          <w:lang w:val="es-ES"/>
          <w14:ligatures w14:val="standardContextual"/>
        </w:rPr>
        <w:t>.</w:t>
      </w:r>
    </w:p>
    <w:p w14:paraId="5377811E" w14:textId="77777777" w:rsidR="002A000A" w:rsidRPr="002A000A" w:rsidRDefault="002A000A" w:rsidP="002A000A">
      <w:pPr>
        <w:snapToGrid w:val="0"/>
        <w:spacing w:before="120" w:after="120" w:line="276" w:lineRule="auto"/>
        <w:ind w:firstLine="709"/>
        <w:jc w:val="both"/>
        <w:rPr>
          <w:rFonts w:ascii="Verdana" w:eastAsia="Calibri" w:hAnsi="Verdana" w:cs="Arial"/>
          <w:lang w:val="es-ES_tradnl"/>
        </w:rPr>
      </w:pPr>
      <w:r w:rsidRPr="002A000A">
        <w:rPr>
          <w:rFonts w:ascii="Verdana" w:eastAsia="Calibri" w:hAnsi="Verdana" w:cs="Arial"/>
          <w:kern w:val="2"/>
          <w:lang w:val="es-ES_tradnl"/>
          <w14:ligatures w14:val="standardContextual"/>
        </w:rPr>
        <w:t>La experiencia que se deriva de los contratos que el proponente ha celebrado y ejecutado con diferentes contratantes, sin importar la naturaleza de estos, se verifica con el Registro Único de Proponentes –RUP–</w:t>
      </w:r>
      <w:r w:rsidRPr="002A000A">
        <w:rPr>
          <w:rFonts w:ascii="Verdana" w:eastAsia="Aptos" w:hAnsi="Verdana" w:cs="Times New Roman"/>
          <w:kern w:val="2"/>
          <w:vertAlign w:val="superscript"/>
          <w:lang w:val="es-ES_tradnl"/>
          <w14:ligatures w14:val="standardContextual"/>
        </w:rPr>
        <w:footnoteReference w:id="3"/>
      </w:r>
      <w:r w:rsidRPr="002A000A">
        <w:rPr>
          <w:rFonts w:ascii="Verdana" w:eastAsia="Calibri" w:hAnsi="Verdana" w:cs="Arial"/>
          <w:kern w:val="2"/>
          <w:lang w:val="es-ES_tradnl"/>
          <w14:ligatures w14:val="standardContextual"/>
        </w:rPr>
        <w:t>, cuando este certificado sea exigible de acuerdo con la ley. En el RUP constan los requisitos habilitantes que se evalúan exclusivamente con este documento, que es su plena prueba, sin que la entidad o el proponente puedan solicitar o aportar otra documentación</w:t>
      </w:r>
      <w:r w:rsidRPr="002A000A">
        <w:rPr>
          <w:rFonts w:ascii="Verdana" w:eastAsia="Aptos" w:hAnsi="Verdana" w:cs="Times New Roman"/>
          <w:kern w:val="2"/>
          <w:vertAlign w:val="superscript"/>
          <w:lang w:val="es-ES_tradnl"/>
          <w14:ligatures w14:val="standardContextual"/>
        </w:rPr>
        <w:footnoteReference w:id="4"/>
      </w:r>
      <w:r w:rsidRPr="002A000A">
        <w:rPr>
          <w:rFonts w:ascii="Verdana" w:eastAsia="Calibri" w:hAnsi="Verdana" w:cs="Arial"/>
          <w:kern w:val="2"/>
          <w:lang w:val="es-ES_tradnl"/>
          <w14:ligatures w14:val="standardContextual"/>
        </w:rPr>
        <w:t>.</w:t>
      </w:r>
    </w:p>
    <w:p w14:paraId="2AA143C0" w14:textId="77777777" w:rsidR="002A000A" w:rsidRPr="002A000A" w:rsidRDefault="002A000A" w:rsidP="002A000A">
      <w:pPr>
        <w:spacing w:after="120" w:line="276" w:lineRule="auto"/>
        <w:ind w:firstLine="709"/>
        <w:jc w:val="both"/>
        <w:rPr>
          <w:rFonts w:ascii="Verdana" w:eastAsia="Calibri" w:hAnsi="Verdana" w:cs="Arial"/>
          <w:kern w:val="2"/>
          <w:lang w:val="es-ES_tradnl"/>
          <w14:ligatures w14:val="standardContextual"/>
        </w:rPr>
      </w:pPr>
      <w:r w:rsidRPr="002A000A">
        <w:rPr>
          <w:rFonts w:ascii="Verdana" w:eastAsia="Calibri" w:hAnsi="Verdana" w:cs="Arial"/>
          <w:kern w:val="2"/>
          <w:lang w:val="es-ES_tradnl"/>
          <w14:ligatures w14:val="standardContextual"/>
        </w:rPr>
        <w:lastRenderedPageBreak/>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Pr="002A000A">
        <w:rPr>
          <w:rFonts w:ascii="Verdana" w:eastAsia="Aptos" w:hAnsi="Verdana" w:cs="Times New Roman"/>
          <w:kern w:val="2"/>
          <w:vertAlign w:val="superscript"/>
          <w:lang w:val="es-ES_tradnl"/>
          <w14:ligatures w14:val="standardContextual"/>
        </w:rPr>
        <w:footnoteReference w:id="5"/>
      </w:r>
      <w:r w:rsidRPr="002A000A">
        <w:rPr>
          <w:rFonts w:ascii="Verdana" w:eastAsia="Calibri" w:hAnsi="Verdana" w:cs="Arial"/>
          <w:kern w:val="2"/>
          <w:lang w:val="es-ES_tradnl"/>
          <w14:ligatures w14:val="standardContextual"/>
        </w:rPr>
        <w:t xml:space="preserv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lo que dependerá de la forma como la entidad solicite la experiencia en el pliego de condiciones o documento equivalente. </w:t>
      </w:r>
    </w:p>
    <w:p w14:paraId="07B0ED27" w14:textId="77777777" w:rsidR="002A000A" w:rsidRPr="002A000A" w:rsidRDefault="002A000A" w:rsidP="38FACAB2">
      <w:pPr>
        <w:spacing w:before="120" w:after="0" w:line="276" w:lineRule="auto"/>
        <w:ind w:firstLine="709"/>
        <w:jc w:val="both"/>
        <w:rPr>
          <w:rFonts w:ascii="Verdana" w:eastAsia="Calibri" w:hAnsi="Verdana" w:cs="Arial"/>
          <w:lang w:val="es-ES"/>
        </w:rPr>
      </w:pPr>
      <w:r w:rsidRPr="38FACAB2">
        <w:rPr>
          <w:rFonts w:ascii="Verdana" w:eastAsia="Calibri" w:hAnsi="Verdana" w:cs="Arial"/>
          <w:lang w:val="es-ES"/>
        </w:rPr>
        <w:t>Esta Agencia puso a disposición de los interesados el “Manual para determinar y verificar los requisitos habilitantes en los Procesos de Contratación”</w:t>
      </w:r>
      <w:r w:rsidRPr="38FACAB2">
        <w:rPr>
          <w:rFonts w:ascii="Verdana" w:eastAsia="Calibri" w:hAnsi="Verdana" w:cs="Arial"/>
          <w:vertAlign w:val="superscript"/>
          <w:lang w:val="es-ES"/>
        </w:rPr>
        <w:footnoteReference w:id="6"/>
      </w:r>
      <w:r w:rsidRPr="38FACAB2">
        <w:rPr>
          <w:rFonts w:ascii="Verdana" w:eastAsia="Calibri" w:hAnsi="Verdana" w:cs="Arial"/>
          <w:lang w:val="es-ES"/>
        </w:rPr>
        <w:t xml:space="preserve">, en el que se establecen las definiciones de cada requisito habilitante y se dan lineamientos orientadores sobre lo que las entidades deben y pueden hacer para configurarlos. En particular, sobre el requisito habilitante </w:t>
      </w:r>
      <w:r w:rsidRPr="38FACAB2">
        <w:rPr>
          <w:rFonts w:ascii="Verdana" w:eastAsia="Calibri" w:hAnsi="Verdana" w:cs="Arial"/>
          <w:lang w:val="es-ES"/>
        </w:rPr>
        <w:lastRenderedPageBreak/>
        <w:t xml:space="preserve">de experiencia, el Manual se centra en una de sus cualidades, y es que, es </w:t>
      </w:r>
      <w:r w:rsidRPr="38FACAB2">
        <w:rPr>
          <w:rFonts w:ascii="Verdana" w:eastAsia="Calibri" w:hAnsi="Verdana" w:cs="Arial"/>
          <w:i/>
          <w:iCs/>
          <w:lang w:val="es-ES"/>
        </w:rPr>
        <w:t>personal</w:t>
      </w:r>
      <w:r w:rsidRPr="38FACAB2">
        <w:rPr>
          <w:rFonts w:ascii="Verdana" w:eastAsia="Calibri" w:hAnsi="Verdana" w:cs="Arial"/>
          <w:lang w:val="es-ES"/>
        </w:rPr>
        <w:t xml:space="preserve">; lo que significa que quien tiene la experiencia lo hace </w:t>
      </w:r>
      <w:proofErr w:type="gramStart"/>
      <w:r w:rsidRPr="38FACAB2">
        <w:rPr>
          <w:rFonts w:ascii="Verdana" w:eastAsia="Calibri" w:hAnsi="Verdana" w:cs="Arial"/>
          <w:lang w:val="es-ES"/>
        </w:rPr>
        <w:t>en razón de</w:t>
      </w:r>
      <w:proofErr w:type="gramEnd"/>
      <w:r w:rsidRPr="38FACAB2">
        <w:rPr>
          <w:rFonts w:ascii="Verdana" w:eastAsia="Calibri" w:hAnsi="Verdana" w:cs="Arial"/>
          <w:lang w:val="es-ES"/>
        </w:rPr>
        <w:t xml:space="preserve"> su participación, con anterioridad, en actividades que le permitieron conocer cómo ejecutar el objeto contractual que la entidad pretende satisfacer mediante el Proceso de Contratación.</w:t>
      </w:r>
    </w:p>
    <w:p w14:paraId="2986A0D3" w14:textId="77777777" w:rsidR="002A000A" w:rsidRPr="002A000A" w:rsidRDefault="002A000A" w:rsidP="002A000A">
      <w:pPr>
        <w:spacing w:before="120" w:after="120" w:line="276" w:lineRule="auto"/>
        <w:ind w:firstLine="708"/>
        <w:jc w:val="both"/>
        <w:rPr>
          <w:rFonts w:ascii="Verdana" w:eastAsia="Calibri" w:hAnsi="Verdana" w:cs="Arial"/>
          <w:lang w:val="es-ES_tradnl"/>
        </w:rPr>
      </w:pPr>
      <w:r w:rsidRPr="002A000A">
        <w:rPr>
          <w:rFonts w:ascii="Verdana" w:eastAsia="Calibri" w:hAnsi="Verdana" w:cs="Arial"/>
          <w:lang w:val="es-ES_tradnl"/>
        </w:rPr>
        <w:t xml:space="preserve">Lo anterior es determinante, porque no es posible tener experiencia si en la práctica no se han ejecutado actividades similares previas. Precisamente, de la experiencia se deriva el conocimiento del proponente, y para la contratación pública es importante, ya que garantiza que no habrá improvisación ni mayores costos por errores o dificultades originadas en realizar una actividad por primera vez. </w:t>
      </w:r>
    </w:p>
    <w:p w14:paraId="2CD48636" w14:textId="77777777" w:rsidR="002A000A" w:rsidRPr="002A000A" w:rsidRDefault="002A000A" w:rsidP="38FACAB2">
      <w:pPr>
        <w:tabs>
          <w:tab w:val="left" w:pos="709"/>
        </w:tabs>
        <w:spacing w:after="120" w:line="276" w:lineRule="auto"/>
        <w:jc w:val="both"/>
        <w:rPr>
          <w:rFonts w:ascii="Verdana" w:eastAsia="Calibri" w:hAnsi="Verdana" w:cs="Arial"/>
          <w:color w:val="000000"/>
          <w:shd w:val="clear" w:color="auto" w:fill="FFFFFF"/>
          <w:lang w:val="es-ES"/>
        </w:rPr>
      </w:pPr>
      <w:r w:rsidRPr="002A000A">
        <w:rPr>
          <w:rFonts w:ascii="Arial" w:eastAsia="Calibri" w:hAnsi="Arial" w:cs="Arial"/>
          <w:color w:val="000000"/>
          <w:shd w:val="clear" w:color="auto" w:fill="FFFFFF"/>
          <w:lang w:val="es-ES_tradnl"/>
        </w:rPr>
        <w:tab/>
      </w:r>
      <w:r w:rsidRPr="38FACAB2">
        <w:rPr>
          <w:rFonts w:ascii="Verdana" w:eastAsia="Calibri" w:hAnsi="Verdana" w:cs="Arial"/>
          <w:color w:val="000000"/>
          <w:shd w:val="clear" w:color="auto" w:fill="FFFFFF"/>
          <w:lang w:val="es-ES"/>
        </w:rPr>
        <w:t xml:space="preserve">En ese orden, se tiene que el artículo 6 de la Ley 1150 de 2007 señala que todas las personas naturales o jurídicas, nacionales o extranjeras, domiciliadas o con sucursal en Colombia que aspiren a celebrar contratos con las entidades, como se indicó en líneas anteriores, deberán estar inscritas en el RUP. En este registro constará la información relacionada con la experiencia, capacidad jurídica, financiera y de organización del proponente y su clasificación. De esta forma, </w:t>
      </w:r>
      <w:r w:rsidRPr="38FACAB2">
        <w:rPr>
          <w:rFonts w:ascii="Verdana" w:eastAsia="Times New Roman" w:hAnsi="Verdana" w:cs="Arial"/>
          <w:lang w:val="es-ES" w:eastAsia="es-ES"/>
        </w:rPr>
        <w:t>el numeral 2.5 del artículo 2.2.1.1.1.5.2 del Decreto 1082 de 2015, señala que la persona jurídica se registrará aportando los certificados de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r w:rsidRPr="38FACAB2">
        <w:rPr>
          <w:rFonts w:ascii="Verdana" w:eastAsia="Calibri" w:hAnsi="Verdana" w:cs="Arial"/>
          <w:vertAlign w:val="superscript"/>
          <w:lang w:val="es-ES" w:eastAsia="es-ES"/>
        </w:rPr>
        <w:footnoteReference w:id="7"/>
      </w:r>
      <w:r w:rsidRPr="38FACAB2">
        <w:rPr>
          <w:rFonts w:ascii="Verdana" w:eastAsia="Times New Roman" w:hAnsi="Verdana" w:cs="Arial"/>
          <w:lang w:val="es-ES" w:eastAsia="es-ES"/>
        </w:rPr>
        <w:t xml:space="preserve">. </w:t>
      </w:r>
    </w:p>
    <w:p w14:paraId="702D8B00" w14:textId="77777777" w:rsidR="002A000A" w:rsidRPr="002A000A" w:rsidRDefault="002A000A" w:rsidP="002A000A">
      <w:pPr>
        <w:spacing w:before="120" w:after="120" w:line="276" w:lineRule="auto"/>
        <w:ind w:firstLine="708"/>
        <w:jc w:val="both"/>
        <w:rPr>
          <w:rFonts w:ascii="Verdana" w:eastAsia="Times New Roman" w:hAnsi="Verdana" w:cs="Arial"/>
          <w:lang w:val="es-ES_tradnl" w:eastAsia="es-ES_tradnl"/>
        </w:rPr>
      </w:pPr>
      <w:r w:rsidRPr="002A000A">
        <w:rPr>
          <w:rFonts w:ascii="Verdana" w:eastAsia="Times New Roman" w:hAnsi="Verdana" w:cs="Arial"/>
          <w:lang w:val="es-ES_tradnl" w:eastAsia="es-ES_tradnl"/>
        </w:rPr>
        <w:t xml:space="preserve">Por ello, el interesado debe indicar en cada certificado, o en cada copia de los contratos, los bienes, obras y servicios a los cuales corresponde la </w:t>
      </w:r>
      <w:r w:rsidRPr="002A000A">
        <w:rPr>
          <w:rFonts w:ascii="Verdana" w:eastAsia="Times New Roman" w:hAnsi="Verdana" w:cs="Arial"/>
          <w:lang w:val="es-ES_tradnl" w:eastAsia="es-ES_tradnl"/>
        </w:rPr>
        <w:lastRenderedPageBreak/>
        <w:t xml:space="preserve">experiencia que pretende acreditar, identificándolos con el Clasificador de Bienes y Servicios, en el tercer nivel. Sin embargo, es menester destacar que la parte final del numeral 2.5 del referido artículo indica que </w:t>
      </w:r>
      <w:r w:rsidRPr="002A000A">
        <w:rPr>
          <w:rFonts w:ascii="Verdana" w:eastAsia="Calibri" w:hAnsi="Verdana" w:cs="Arial"/>
          <w:lang w:val="es-ES_tradnl" w:eastAsia="es-ES_tradnl"/>
        </w:rPr>
        <w:t>“</w:t>
      </w:r>
      <w:r w:rsidRPr="002A000A">
        <w:rPr>
          <w:rFonts w:ascii="Verdana" w:eastAsia="Times New Roman" w:hAnsi="Verdana" w:cs="Arial"/>
          <w:lang w:val="es-ES_tradnl" w:eastAsia="es-ES_tradnl"/>
        </w:rPr>
        <w:t>[s]i la constitución del interesado es menor a tres (3) años, puede acreditar la experiencia de sus accionistas, socios o constituyentes</w:t>
      </w:r>
      <w:r w:rsidRPr="002A000A">
        <w:rPr>
          <w:rFonts w:ascii="Verdana" w:eastAsia="Calibri" w:hAnsi="Verdana" w:cs="Arial"/>
          <w:lang w:val="es-ES_tradnl" w:eastAsia="es-ES_tradnl"/>
        </w:rPr>
        <w:t>”</w:t>
      </w:r>
      <w:r w:rsidRPr="002A000A">
        <w:rPr>
          <w:rFonts w:ascii="Verdana" w:eastAsia="Times New Roman" w:hAnsi="Verdana" w:cs="Arial"/>
          <w:lang w:val="es-ES_tradnl" w:eastAsia="es-ES_tradnl"/>
        </w:rPr>
        <w:t>.</w:t>
      </w:r>
    </w:p>
    <w:p w14:paraId="1E3A607C" w14:textId="77777777" w:rsidR="002A000A" w:rsidRPr="002A000A" w:rsidRDefault="002A000A" w:rsidP="38FACAB2">
      <w:pPr>
        <w:tabs>
          <w:tab w:val="left" w:pos="483"/>
        </w:tabs>
        <w:spacing w:after="120" w:line="276" w:lineRule="auto"/>
        <w:jc w:val="both"/>
        <w:rPr>
          <w:rFonts w:ascii="Verdana" w:eastAsia="Calibri" w:hAnsi="Verdana" w:cs="Arial"/>
          <w:color w:val="000000"/>
          <w:shd w:val="clear" w:color="auto" w:fill="FFFFFF"/>
          <w:lang w:val="es-ES"/>
        </w:rPr>
      </w:pPr>
      <w:r w:rsidRPr="002A000A">
        <w:rPr>
          <w:rFonts w:ascii="Verdana" w:eastAsia="Calibri" w:hAnsi="Verdana" w:cs="Arial"/>
          <w:color w:val="000000"/>
          <w:shd w:val="clear" w:color="auto" w:fill="FFFFFF"/>
          <w:lang w:val="es-ES_tradnl"/>
        </w:rPr>
        <w:tab/>
      </w:r>
      <w:r w:rsidRPr="002A000A">
        <w:rPr>
          <w:rFonts w:ascii="Verdana" w:eastAsia="Calibri" w:hAnsi="Verdana" w:cs="Arial"/>
          <w:color w:val="000000"/>
          <w:shd w:val="clear" w:color="auto" w:fill="FFFFFF"/>
          <w:lang w:val="es-ES_tradnl"/>
        </w:rPr>
        <w:tab/>
      </w:r>
      <w:r w:rsidRPr="38FACAB2">
        <w:rPr>
          <w:rFonts w:ascii="Verdana" w:eastAsia="Calibri" w:hAnsi="Verdana" w:cs="Arial"/>
          <w:color w:val="000000"/>
          <w:shd w:val="clear" w:color="auto" w:fill="FFFFFF"/>
          <w:lang w:val="es-ES"/>
        </w:rPr>
        <w:t>De este modo, se evidencia que 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–con menos de tres (3) años de constitución– puedan acreditar como experiencia en el RUP la de sus accionistas, socios o constituyentes. Pese a que la experiencia es inherente a la persona que la ha obtenido, razón por la cual es, en principio, intransferible en virtud de su carácter personalísimo, por disposición legal o reglamentaria, en casos excepcionales, como el descrito en el artículo mencionado, se aplica de otra manera.</w:t>
      </w:r>
    </w:p>
    <w:p w14:paraId="409434A9" w14:textId="77777777" w:rsidR="002A000A" w:rsidRPr="002A000A" w:rsidRDefault="002A000A" w:rsidP="38FACAB2">
      <w:pPr>
        <w:tabs>
          <w:tab w:val="left" w:pos="483"/>
        </w:tabs>
        <w:spacing w:after="120" w:line="276" w:lineRule="auto"/>
        <w:jc w:val="both"/>
        <w:rPr>
          <w:rFonts w:ascii="Verdana" w:eastAsia="Calibri" w:hAnsi="Verdana" w:cs="Arial"/>
          <w:color w:val="000000"/>
          <w:shd w:val="clear" w:color="auto" w:fill="FFFFFF"/>
          <w:lang w:val="es-ES"/>
        </w:rPr>
      </w:pPr>
      <w:r w:rsidRPr="002A000A">
        <w:rPr>
          <w:rFonts w:ascii="Verdana" w:eastAsia="Calibri" w:hAnsi="Verdana" w:cs="Arial"/>
          <w:color w:val="000000"/>
          <w:shd w:val="clear" w:color="auto" w:fill="FFFFFF"/>
          <w:lang w:val="es-ES_tradnl"/>
        </w:rPr>
        <w:tab/>
      </w:r>
      <w:r w:rsidRPr="002A000A">
        <w:rPr>
          <w:rFonts w:ascii="Verdana" w:eastAsia="Calibri" w:hAnsi="Verdana" w:cs="Arial"/>
          <w:color w:val="000000"/>
          <w:shd w:val="clear" w:color="auto" w:fill="FFFFFF"/>
          <w:lang w:val="es-ES_tradnl"/>
        </w:rPr>
        <w:tab/>
      </w:r>
      <w:r w:rsidRPr="38FACAB2">
        <w:rPr>
          <w:rFonts w:ascii="Verdana" w:eastAsia="Calibri" w:hAnsi="Verdana" w:cs="Arial"/>
          <w:color w:val="000000"/>
          <w:shd w:val="clear" w:color="auto" w:fill="FFFFFF"/>
          <w:lang w:val="es-ES"/>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10B51967" w14:textId="77777777" w:rsidR="002A000A" w:rsidRPr="002A000A" w:rsidRDefault="002A000A" w:rsidP="002A000A">
      <w:pPr>
        <w:spacing w:before="120" w:after="120" w:line="276" w:lineRule="auto"/>
        <w:ind w:firstLine="708"/>
        <w:jc w:val="both"/>
        <w:rPr>
          <w:rFonts w:ascii="Verdana" w:eastAsia="Times New Roman" w:hAnsi="Verdana" w:cs="Arial"/>
          <w:lang w:val="es-ES_tradnl" w:eastAsia="es-ES_tradnl"/>
        </w:rPr>
      </w:pPr>
      <w:r w:rsidRPr="002A000A">
        <w:rPr>
          <w:rFonts w:ascii="Verdana" w:eastAsia="Times New Roman" w:hAnsi="Verdana" w:cs="Arial"/>
          <w:lang w:val="es-ES_tradnl" w:eastAsia="es-ES_tradnl"/>
        </w:rPr>
        <w:t xml:space="preserve">Este aspecto ofrece meridiana claridad en cuanto a su aplicación, pero el interrogante que ha generado la norma es el siguiente: ¿qué pasa después de que la sociedad a la que le ha sido permitido certificar la experiencia de sus socios, accionistas o constituyentes cumple tres (3) años de su constitución?, ¿puede seguir siendo beneficiaria de la prerrogativa del numeral 2.5 del artículo 2.2.1.1.1.5.2 del Decreto 1082 de 2015? Estos interrogantes han sido planteados a la Subdirección de Gestión Contractual de esta Agencia y se han desarrollado en torno a dos posiciones que se plantean a continuación: </w:t>
      </w:r>
    </w:p>
    <w:p w14:paraId="0E9C4E60" w14:textId="77777777" w:rsidR="002A000A" w:rsidRPr="002A000A" w:rsidRDefault="002A000A" w:rsidP="38FACAB2">
      <w:pPr>
        <w:spacing w:after="0" w:line="276" w:lineRule="auto"/>
        <w:ind w:firstLine="708"/>
        <w:contextualSpacing/>
        <w:jc w:val="both"/>
        <w:rPr>
          <w:rFonts w:ascii="Verdana" w:eastAsia="Times New Roman" w:hAnsi="Verdana" w:cs="Arial"/>
          <w:lang w:val="es-ES" w:eastAsia="es-ES"/>
        </w:rPr>
      </w:pPr>
      <w:r w:rsidRPr="38FACAB2">
        <w:rPr>
          <w:rFonts w:ascii="Verdana" w:eastAsia="Times New Roman" w:hAnsi="Verdana" w:cs="Arial"/>
          <w:lang w:val="es-ES" w:eastAsia="es-ES"/>
        </w:rPr>
        <w:t xml:space="preserve">Para esta Agencia, </w:t>
      </w:r>
      <w:bookmarkStart w:id="3" w:name="_Hlk67498604"/>
      <w:r w:rsidRPr="38FACAB2">
        <w:rPr>
          <w:rFonts w:ascii="Verdana" w:eastAsia="Times New Roman" w:hAnsi="Verdana" w:cs="Arial"/>
          <w:lang w:val="es-ES" w:eastAsia="es-ES"/>
        </w:rPr>
        <w:t xml:space="preserve">si la persona jurídica con menos de tres (3) años de constituida registra la experiencia de sus socios, accionistas o constituyentes en el RUP, y este es renovado, puede continuar utilizando la experiencia inscrita </w:t>
      </w:r>
      <w:r w:rsidRPr="38FACAB2">
        <w:rPr>
          <w:rFonts w:ascii="Verdana" w:eastAsia="Times New Roman" w:hAnsi="Verdana" w:cs="Arial"/>
          <w:lang w:val="es-ES" w:eastAsia="es-ES"/>
        </w:rPr>
        <w:lastRenderedPageBreak/>
        <w:t xml:space="preserve">mientras no cesen los efectos del RUP. Por el contrario, si no se renueva y la persona jurídica supera los tres (3) años de constituida, la experiencia que registró de sus socios, accionistas o constituyentes no puede ser inscrita nuevamente, puesto que el RUP ha cesado sus efectos y la cámara de comercio tiene que hacer nuevamente la verificación documental de la información presentada al momento de inscribirse en el registro. </w:t>
      </w:r>
      <w:bookmarkEnd w:id="3"/>
      <w:r w:rsidRPr="38FACAB2">
        <w:rPr>
          <w:rFonts w:ascii="Verdana" w:eastAsia="Times New Roman" w:hAnsi="Verdana" w:cs="Arial"/>
          <w:lang w:val="es-ES" w:eastAsia="es-ES"/>
        </w:rPr>
        <w:t xml:space="preserve">Lo anterior, tiene fundamento en la Circular Única de la Superintendencia de Industria y Comercio, cuyo numeral 4.2 del capítulo cuarto del título VIII, sobre el procedimiento para llevar el Registro Único de Proponentes, dispone lo siguiente:  </w:t>
      </w:r>
    </w:p>
    <w:p w14:paraId="1D777711" w14:textId="77777777" w:rsidR="002A000A" w:rsidRPr="002A000A" w:rsidRDefault="002A000A" w:rsidP="002A000A">
      <w:pPr>
        <w:spacing w:after="0" w:line="276" w:lineRule="auto"/>
        <w:ind w:firstLine="708"/>
        <w:contextualSpacing/>
        <w:jc w:val="both"/>
        <w:rPr>
          <w:rFonts w:ascii="Verdana" w:eastAsia="Times New Roman" w:hAnsi="Verdana" w:cs="Arial"/>
          <w:lang w:val="es-ES_tradnl" w:eastAsia="es-ES_tradnl"/>
        </w:rPr>
      </w:pPr>
    </w:p>
    <w:p w14:paraId="0B1F97E1" w14:textId="77777777" w:rsidR="002A000A" w:rsidRPr="002A000A" w:rsidRDefault="002A000A" w:rsidP="002A000A">
      <w:pPr>
        <w:spacing w:after="0" w:line="240" w:lineRule="auto"/>
        <w:ind w:left="709" w:right="709"/>
        <w:contextualSpacing/>
        <w:jc w:val="both"/>
        <w:rPr>
          <w:rFonts w:ascii="Verdana" w:eastAsia="Times New Roman" w:hAnsi="Verdana" w:cs="Arial"/>
          <w:sz w:val="21"/>
          <w:szCs w:val="21"/>
          <w:lang w:val="es-ES_tradnl" w:eastAsia="es-ES_tradnl"/>
        </w:rPr>
      </w:pPr>
      <w:r w:rsidRPr="002A000A">
        <w:rPr>
          <w:rFonts w:ascii="Verdana" w:eastAsia="Times New Roman" w:hAnsi="Verdana" w:cs="Arial"/>
          <w:sz w:val="21"/>
          <w:szCs w:val="21"/>
          <w:lang w:val="es-ES_tradnl" w:eastAsia="es-ES_tradnl"/>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561237E7" w14:textId="77777777" w:rsidR="002A000A" w:rsidRPr="002A000A" w:rsidRDefault="002A000A" w:rsidP="002A000A">
      <w:pPr>
        <w:spacing w:after="0" w:line="276" w:lineRule="auto"/>
        <w:ind w:left="709" w:right="709"/>
        <w:contextualSpacing/>
        <w:jc w:val="both"/>
        <w:rPr>
          <w:rFonts w:ascii="Verdana" w:eastAsia="Times New Roman" w:hAnsi="Verdana" w:cs="Arial"/>
          <w:lang w:val="es-ES_tradnl" w:eastAsia="es-ES_tradnl"/>
        </w:rPr>
      </w:pPr>
    </w:p>
    <w:p w14:paraId="13F7765B" w14:textId="77777777" w:rsidR="002A000A" w:rsidRPr="002A000A" w:rsidRDefault="002A000A" w:rsidP="002A000A">
      <w:pPr>
        <w:spacing w:after="0" w:line="276" w:lineRule="auto"/>
        <w:ind w:firstLine="708"/>
        <w:jc w:val="both"/>
        <w:rPr>
          <w:rFonts w:ascii="Verdana" w:eastAsia="Times New Roman" w:hAnsi="Verdana" w:cs="Arial"/>
          <w:lang w:val="es-ES_tradnl" w:eastAsia="es-ES_tradnl"/>
        </w:rPr>
      </w:pPr>
      <w:r w:rsidRPr="002A000A">
        <w:rPr>
          <w:rFonts w:ascii="Verdana" w:eastAsia="Times New Roman" w:hAnsi="Verdana" w:cs="Arial"/>
          <w:lang w:val="es-ES_tradnl" w:eastAsia="es-ES_tradnl"/>
        </w:rPr>
        <w:t xml:space="preserve">Así las cosas, con el fin de incentivar la participación continua y constante de los proponentes, las Entidades Estatales, en sus Procesos de Contratación, aceptarán como válida la experiencia de los socios, accionistas o constituyentes incluso después de cumplidos los tres (3) años de constitución de la sociedad, siempre y cuando se renueve constantemente el RUP, pues esta interpretación permite incentivar la creación de empresa y generar una mayor participación de las empresas recién constituidas. En este sentido, si bien la norma no dispone qué sucede con la experiencia aportada por los socios, accionistas o constituyentes, después de los tres (3) años de constituida la persona jurídica, para esta Subdirección sigue siendo válida, por lo que la entidad la debe tener en cuenta. De esta forma se garantiza la pluralidad de oferentes en los Procesos de Contratación. </w:t>
      </w:r>
    </w:p>
    <w:p w14:paraId="178447F2" w14:textId="77777777" w:rsidR="002A000A" w:rsidRPr="002A000A" w:rsidRDefault="002A000A" w:rsidP="002A000A">
      <w:pPr>
        <w:spacing w:before="120" w:after="120" w:line="276" w:lineRule="auto"/>
        <w:ind w:firstLine="708"/>
        <w:jc w:val="both"/>
        <w:rPr>
          <w:rFonts w:ascii="Verdana" w:eastAsia="Times New Roman" w:hAnsi="Verdana" w:cs="Arial"/>
          <w:lang w:val="es-ES_tradnl" w:eastAsia="es-ES_tradnl"/>
        </w:rPr>
      </w:pPr>
      <w:r w:rsidRPr="002A000A">
        <w:rPr>
          <w:rFonts w:ascii="Verdana" w:eastAsia="Times New Roman" w:hAnsi="Verdana" w:cs="Arial"/>
          <w:lang w:val="es-ES_tradnl" w:eastAsia="es-ES_tradnl"/>
        </w:rPr>
        <w:t xml:space="preserve">En línea con lo anterior, el numeral 2.5. del artículo 2.2.1.1.1.5.2 del Decreto 1082 de 2015 consagra una prerrogativa para las sociedades nuevas, que busca fomentar su competencia en el campo de la contratación estatal, sin establecer limitantes en relación con las entidades o Procesos de Contratación en los que las personas jurídicas con menos de tres (3) años de constitución pueden acreditar la experiencia transferida por sus socios en virtud de la referida prerrogativa. </w:t>
      </w:r>
    </w:p>
    <w:p w14:paraId="48C8BBF2" w14:textId="77777777" w:rsidR="002A000A" w:rsidRPr="002A000A" w:rsidRDefault="002A000A" w:rsidP="002A000A">
      <w:pPr>
        <w:spacing w:before="120" w:after="0" w:line="276" w:lineRule="auto"/>
        <w:ind w:firstLine="709"/>
        <w:jc w:val="both"/>
        <w:rPr>
          <w:rFonts w:ascii="Verdana" w:eastAsia="Times New Roman" w:hAnsi="Verdana" w:cs="Arial"/>
          <w:lang w:val="es-ES_tradnl" w:eastAsia="es-ES_tradnl"/>
        </w:rPr>
      </w:pPr>
      <w:r w:rsidRPr="002A000A">
        <w:rPr>
          <w:rFonts w:ascii="Verdana" w:eastAsia="Times New Roman" w:hAnsi="Verdana" w:cs="Arial"/>
          <w:lang w:val="es-ES_tradnl" w:eastAsia="es-ES_tradnl"/>
        </w:rPr>
        <w:t xml:space="preserve">Por tanto, en atención al principio general de interpretación según el cual donde el legislador no distingue no le es dado hacerlo al intérprete, el hecho de </w:t>
      </w:r>
      <w:r w:rsidRPr="002A000A">
        <w:rPr>
          <w:rFonts w:ascii="Verdana" w:eastAsia="Times New Roman" w:hAnsi="Verdana" w:cs="Arial"/>
          <w:lang w:val="es-ES_tradnl" w:eastAsia="es-ES_tradnl"/>
        </w:rPr>
        <w:lastRenderedPageBreak/>
        <w:t>que una sociedad con menos de tres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tres (3) años de constitución, siempre que no hayan cesado los efectos del RUP por el incumplimiento del deber de renovación.</w:t>
      </w:r>
    </w:p>
    <w:p w14:paraId="57DF131F" w14:textId="77777777" w:rsidR="002A000A" w:rsidRPr="002A000A" w:rsidRDefault="002A000A" w:rsidP="38FACAB2">
      <w:pPr>
        <w:spacing w:before="120" w:after="120" w:line="276" w:lineRule="auto"/>
        <w:ind w:firstLine="709"/>
        <w:jc w:val="both"/>
        <w:rPr>
          <w:rFonts w:ascii="Verdana" w:eastAsia="Times New Roman" w:hAnsi="Verdana" w:cs="Arial"/>
          <w:lang w:val="es-ES" w:eastAsia="es-ES"/>
        </w:rPr>
      </w:pPr>
      <w:r w:rsidRPr="38FACAB2">
        <w:rPr>
          <w:rFonts w:ascii="Verdana" w:eastAsia="Calibri" w:hAnsi="Verdana" w:cs="Arial"/>
          <w:color w:val="000000"/>
          <w:shd w:val="clear" w:color="auto" w:fill="FFFFFF"/>
          <w:lang w:val="es-ES"/>
        </w:rPr>
        <w:t xml:space="preserve">Ahora bien, debe aclararse que </w:t>
      </w:r>
      <w:r w:rsidRPr="38FACAB2">
        <w:rPr>
          <w:rFonts w:ascii="Verdana" w:eastAsia="Times New Roman" w:hAnsi="Verdana" w:cs="Arial"/>
          <w:lang w:val="es-ES" w:eastAsia="es-ES"/>
        </w:rPr>
        <w:t xml:space="preserve">el Decreto 1082 de 2015 solo permite que una sociedad acredite la experiencia de quienes tienen la calidad de accionistas, socios o constituyentes </w:t>
      </w:r>
      <w:r w:rsidRPr="38FACAB2">
        <w:rPr>
          <w:rFonts w:ascii="Verdana" w:eastAsia="Calibri" w:hAnsi="Verdana" w:cs="Arial"/>
          <w:lang w:val="es-ES"/>
        </w:rPr>
        <w:t>cuando tiene menos de tres (3) años de constitución</w:t>
      </w:r>
      <w:r w:rsidRPr="38FACAB2">
        <w:rPr>
          <w:rFonts w:ascii="Verdana" w:eastAsia="Times New Roman" w:hAnsi="Verdana" w:cs="Arial"/>
          <w:lang w:val="es-ES" w:eastAsia="es-ES"/>
        </w:rPr>
        <w:t>. De esta forma, en caso de que la sociedad haya superado el referido término de haberse constituido, no podrá acreditar la experiencia obtenida por un nuevo socio o accionista, con el fin de beneficiarse de la prerrogativa señalada en el numeral 2.5 del artículo 2.2.1.1.1.5.2 del citado decreto.</w:t>
      </w:r>
    </w:p>
    <w:p w14:paraId="23ED6ECB" w14:textId="77777777" w:rsidR="002A000A" w:rsidRPr="002A000A" w:rsidRDefault="002A000A" w:rsidP="38FACAB2">
      <w:pPr>
        <w:shd w:val="clear" w:color="auto" w:fill="FFFFFF" w:themeFill="background1"/>
        <w:snapToGrid w:val="0"/>
        <w:spacing w:after="120" w:line="276" w:lineRule="auto"/>
        <w:ind w:firstLine="709"/>
        <w:jc w:val="both"/>
        <w:rPr>
          <w:rFonts w:ascii="Verdana" w:eastAsia="Times New Roman" w:hAnsi="Verdana" w:cs="Arial"/>
          <w:lang w:val="es-ES" w:eastAsia="es-ES"/>
        </w:rPr>
      </w:pPr>
      <w:r w:rsidRPr="38FACAB2">
        <w:rPr>
          <w:rFonts w:ascii="Verdana" w:eastAsia="Times New Roman" w:hAnsi="Verdana" w:cs="Arial"/>
          <w:lang w:val="es-ES" w:eastAsia="es-ES"/>
        </w:rPr>
        <w:t xml:space="preserve">En este sentido, la experiencia transferida de los accionistas, socios o constituyentes a la persona jurídica que tiene menos de tres (3) años de constitución solo puede verificarse con el registro, sin que sea posible para la entidad contratante solicitar documentos adicionales a los oferentes. Ahora bien, si la persona jurídica con menos de tres (3) años de constituida registra la experiencia de sus socios en el RUP, y este es renovado constantemente de forma oportuna, puede continuar utilizando la experiencia inscrita mientras no cesen los efectos del RUP, incluso después de transcurridos los tres (3) años. Por el contrario, si no se renueva y la persona jurídica supera los tres (3)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66C0361D" w14:textId="77777777" w:rsidR="002A000A" w:rsidRPr="002A000A" w:rsidRDefault="002A000A" w:rsidP="002A000A">
      <w:pPr>
        <w:snapToGrid w:val="0"/>
        <w:spacing w:after="0" w:line="276" w:lineRule="auto"/>
        <w:ind w:firstLine="709"/>
        <w:jc w:val="both"/>
        <w:rPr>
          <w:rFonts w:ascii="Verdana" w:eastAsia="Calibri" w:hAnsi="Verdana" w:cs="Arial"/>
          <w:bCs/>
          <w:lang w:val="es-ES_tradnl"/>
        </w:rPr>
      </w:pPr>
      <w:r w:rsidRPr="002A000A">
        <w:rPr>
          <w:rFonts w:ascii="Verdana" w:eastAsia="Calibri" w:hAnsi="Verdana" w:cs="Arial"/>
          <w:bCs/>
          <w:lang w:val="es-ES_tradnl"/>
        </w:rPr>
        <w:t>En ejercicio de las competencias atribuidas por la Ley 2022 de 2020, la Agencia Nacional de Contratación Pública – Colombia Compra Eficiente consagró la regla del literal F del numeral 10.1.1 en el documento base de los documentos tipo de concurso de méritos para contratar la interventoría de obra pública de infraestructura de transporte, la cual dispone lo siguiente:</w:t>
      </w:r>
    </w:p>
    <w:p w14:paraId="76E8E49A" w14:textId="77777777" w:rsidR="002A000A" w:rsidRPr="002A000A" w:rsidRDefault="002A000A" w:rsidP="002A000A">
      <w:pPr>
        <w:snapToGrid w:val="0"/>
        <w:spacing w:after="0" w:line="276" w:lineRule="auto"/>
        <w:ind w:firstLine="709"/>
        <w:jc w:val="both"/>
        <w:rPr>
          <w:rFonts w:ascii="Verdana" w:eastAsia="Calibri" w:hAnsi="Verdana" w:cs="Arial"/>
          <w:bCs/>
          <w:lang w:val="es-ES_tradnl"/>
        </w:rPr>
      </w:pPr>
    </w:p>
    <w:p w14:paraId="5F96E1A1" w14:textId="77777777" w:rsidR="002A000A" w:rsidRPr="002A000A" w:rsidRDefault="002A000A" w:rsidP="002A000A">
      <w:pPr>
        <w:snapToGrid w:val="0"/>
        <w:spacing w:after="0" w:line="240" w:lineRule="auto"/>
        <w:ind w:left="709" w:right="709"/>
        <w:jc w:val="both"/>
        <w:rPr>
          <w:rFonts w:ascii="Verdana" w:eastAsia="Calibri" w:hAnsi="Verdana" w:cs="Arial"/>
          <w:color w:val="000000"/>
          <w:sz w:val="21"/>
          <w:szCs w:val="21"/>
          <w:lang w:val="es-ES_tradnl"/>
        </w:rPr>
      </w:pPr>
      <w:r w:rsidRPr="002A000A">
        <w:rPr>
          <w:rFonts w:ascii="Verdana" w:eastAsia="Calibri" w:hAnsi="Verdana" w:cs="Arial"/>
          <w:bCs/>
          <w:sz w:val="21"/>
          <w:szCs w:val="21"/>
          <w:lang w:val="es-ES_tradnl"/>
        </w:rPr>
        <w:t>“F.</w:t>
      </w:r>
      <w:r w:rsidRPr="002A000A">
        <w:rPr>
          <w:rFonts w:ascii="Verdana" w:eastAsia="Calibri" w:hAnsi="Verdana" w:cs="Arial"/>
          <w:bCs/>
          <w:sz w:val="21"/>
          <w:szCs w:val="21"/>
          <w:lang w:val="es-ES_tradnl"/>
        </w:rPr>
        <w:tab/>
        <w:t xml:space="preserve">Para los contratos que sean aportados por personas jurídicas que no cuentan con más de tres (3) años de constituidas y pretendan acreditar la experiencia de sus socios, accionistas o constituyentes, en los términos establecidos en el numeral 2.5 del artículo 2.2.1.1.1.5.2. del Decreto 1082 de 2015, además del Registro Único de Proponentes </w:t>
      </w:r>
      <w:r w:rsidRPr="002A000A">
        <w:rPr>
          <w:rFonts w:ascii="Verdana" w:eastAsia="Calibri" w:hAnsi="Verdana" w:cs="Arial"/>
          <w:bCs/>
          <w:sz w:val="21"/>
          <w:szCs w:val="21"/>
          <w:lang w:val="es-ES_tradnl"/>
        </w:rPr>
        <w:lastRenderedPageBreak/>
        <w:t>(RUP), deben adjuntar un documento suscrito por el representante legal y el revisor fiscal o contador público (según corresponda) donde se indique la conformación de la persona jurídica. La Entidad tendrá en cuenta la experiencia de los accionistas, socios o constituyentes de las sociedades con menos de tres (3) años de constituidas. Pasado este tiempo, la sociedad conservará esta experiencia, tal y como haya quedado registrada en el RUP.”</w:t>
      </w:r>
    </w:p>
    <w:p w14:paraId="3A5AB6BB" w14:textId="77777777" w:rsidR="002A000A" w:rsidRPr="002A000A" w:rsidRDefault="002A000A" w:rsidP="002A000A">
      <w:pPr>
        <w:snapToGrid w:val="0"/>
        <w:spacing w:after="0" w:line="276" w:lineRule="auto"/>
        <w:ind w:left="709" w:right="709"/>
        <w:jc w:val="both"/>
        <w:rPr>
          <w:rFonts w:ascii="Verdana" w:eastAsia="Calibri" w:hAnsi="Verdana" w:cs="Arial"/>
          <w:color w:val="000000"/>
          <w:lang w:val="es-ES_tradnl"/>
        </w:rPr>
      </w:pPr>
    </w:p>
    <w:p w14:paraId="4520E439" w14:textId="77777777" w:rsidR="002A000A" w:rsidRPr="002A000A" w:rsidRDefault="002A000A" w:rsidP="38FACAB2">
      <w:pPr>
        <w:snapToGrid w:val="0"/>
        <w:spacing w:after="120" w:line="276" w:lineRule="auto"/>
        <w:ind w:firstLine="709"/>
        <w:jc w:val="both"/>
        <w:rPr>
          <w:rFonts w:ascii="Verdana" w:eastAsia="Calibri" w:hAnsi="Verdana" w:cs="Arial"/>
          <w:lang w:val="es-ES"/>
        </w:rPr>
      </w:pPr>
      <w:r w:rsidRPr="38FACAB2">
        <w:rPr>
          <w:rFonts w:ascii="Verdana" w:eastAsia="Calibri" w:hAnsi="Verdana" w:cs="Arial"/>
          <w:lang w:val="es-ES"/>
        </w:rPr>
        <w:t xml:space="preserve">Esta prerrogativa fue prevista para todos los documentos tipo expedidos por esta Agencia para el sector de infraestructura de transporte. En el caso de los documentos tipo de licitación de obra pública de infraestructura de transporte, esta disposición se encuentra contenida en el literal E del numeral 3.5.2 del documento base. Tratándose de los documentos tipo para la escogencia de contratistas de obra pública de infraestructura de transporte mediante la modalidad de mínima cuantía, esta pauta se encuentra consagrada en el literal F del numeral 4.5.1. de la Invitación. Por su parte, en los documentos tipo de selección abreviada de menor cuantía de obra pública de infraestructura de transporte, la regla se encuentra en el literal E del numeral 3.5.2 del documento base. Además, en los documentos tipo de consultoría de estudios de ingeniería, esta regla se replica en el literal G del numeral 10.1.1 del pliego de condiciones tipo. </w:t>
      </w:r>
    </w:p>
    <w:p w14:paraId="19E032B4" w14:textId="77777777" w:rsidR="002A000A" w:rsidRPr="002A000A" w:rsidRDefault="002A000A" w:rsidP="38FACAB2">
      <w:pPr>
        <w:snapToGrid w:val="0"/>
        <w:spacing w:after="120" w:line="276" w:lineRule="auto"/>
        <w:ind w:firstLine="709"/>
        <w:jc w:val="both"/>
        <w:rPr>
          <w:rFonts w:ascii="Verdana" w:eastAsia="Calibri" w:hAnsi="Verdana" w:cs="Arial"/>
          <w:lang w:val="es-ES"/>
        </w:rPr>
      </w:pPr>
      <w:r w:rsidRPr="38FACAB2">
        <w:rPr>
          <w:rFonts w:ascii="Verdana" w:eastAsia="Calibri" w:hAnsi="Verdana" w:cs="Arial"/>
          <w:lang w:val="es-ES"/>
        </w:rPr>
        <w:t>En ese sentido, de acuerdo con lo expuesto en torno a la prerrogativa del numeral 2.5 del artículo 2.2.1.1.1.5.2 del Decreto 1082 de 2015, es claro que, en virtud de lo dispuesto en el literal F del numeral 10.1.1 del documento base de los documentos tipo de concurso de méritos de interventoría de infraestructura de transporte –versión 3–, se evidencia que la entidad deberá tener en cuenta la experiencia de los accionistas, socios o constituyentes de las sociedades con menos de tres (3) años de constituidas, y que una vez cumplidos los tres años podrán acreditar esta experiencia, tal y como haya quedado registrada en el RUP.</w:t>
      </w:r>
    </w:p>
    <w:p w14:paraId="4905EE9E" w14:textId="77777777" w:rsidR="002A000A" w:rsidRPr="002A000A" w:rsidRDefault="002A000A" w:rsidP="38FACAB2">
      <w:pPr>
        <w:snapToGrid w:val="0"/>
        <w:spacing w:after="120" w:line="276" w:lineRule="auto"/>
        <w:ind w:firstLine="709"/>
        <w:jc w:val="both"/>
        <w:rPr>
          <w:rFonts w:ascii="Verdana" w:eastAsia="Calibri" w:hAnsi="Verdana" w:cs="Arial"/>
          <w:lang w:val="es-ES"/>
        </w:rPr>
      </w:pPr>
      <w:r w:rsidRPr="38FACAB2">
        <w:rPr>
          <w:rFonts w:ascii="Verdana" w:eastAsia="Calibri" w:hAnsi="Verdana" w:cs="Arial"/>
          <w:lang w:val="es-ES"/>
        </w:rPr>
        <w:t xml:space="preserve">Sin perjuicio de lo anterior, no debe perderse de vista que el Decreto 1082 de 2015 y los documentos tipo solo permiten que una sociedad acredite la experiencia de quienes tienen la calidad de accionistas, socios o constituyentes durante los primeros tres (3) años de su constitución. Por lo tanto, siempre y cuando se cuente con dichas calidades, la sociedad podrá acreditar la experiencia de quien es accionista, socio o constituyente –trátese de una persona natural o jurídica–. Por el contrario, si no se tienen o se pierden estas calidades, como sucedería cuando un socio se retira por venta o cesión de su participación y </w:t>
      </w:r>
      <w:r w:rsidRPr="38FACAB2">
        <w:rPr>
          <w:rFonts w:ascii="Verdana" w:eastAsia="Calibri" w:hAnsi="Verdana" w:cs="Arial"/>
          <w:lang w:val="es-ES"/>
        </w:rPr>
        <w:lastRenderedPageBreak/>
        <w:t xml:space="preserve">pierde su calidad de socio, ya no sería posible que la sociedad acredite la experiencia aportada por dicha persona. </w:t>
      </w:r>
    </w:p>
    <w:p w14:paraId="03A00B54" w14:textId="77777777" w:rsidR="002A000A" w:rsidRPr="002A000A" w:rsidRDefault="002A000A" w:rsidP="38FACAB2">
      <w:pPr>
        <w:snapToGrid w:val="0"/>
        <w:spacing w:after="120" w:line="276" w:lineRule="auto"/>
        <w:ind w:firstLine="709"/>
        <w:jc w:val="both"/>
        <w:rPr>
          <w:rFonts w:ascii="Verdana" w:eastAsia="Calibri" w:hAnsi="Verdana" w:cs="Arial"/>
          <w:lang w:val="es-ES"/>
        </w:rPr>
      </w:pPr>
      <w:r w:rsidRPr="38FACAB2">
        <w:rPr>
          <w:rFonts w:ascii="Verdana" w:eastAsia="Calibri" w:hAnsi="Verdana" w:cs="Arial"/>
          <w:lang w:val="es-ES"/>
        </w:rPr>
        <w:t>Esta es la aplicación de la norma que se impone con la finalidad de evitar prácticas corruptas o que atenten contra la transparencia en la contratación estatal, por lo que la experiencia aportada por quien se retira no deberá ser tenida en cuenta por las entidades estatales, y no debería ser utilizada por el proponente en procesos de contratación, ya que es inherente a la persona que la ha obtenido. En ese sentido, si el socio se retira de la sociedad, por ejemplo, por venta o cesión de su participación accionaria, no puede vender o ceder su experiencia para que el adquirente o cesionario de la participación accionaria la aporte a la sociedad. En consecuencia, el proponente debería actualizar la experiencia en el RUP, actuando de buena fe en los procesos de contratación.</w:t>
      </w:r>
    </w:p>
    <w:p w14:paraId="2DDF4685" w14:textId="77777777" w:rsidR="002A000A" w:rsidRPr="002A000A" w:rsidRDefault="002A000A" w:rsidP="38FACAB2">
      <w:pPr>
        <w:snapToGrid w:val="0"/>
        <w:spacing w:after="120" w:line="276" w:lineRule="auto"/>
        <w:ind w:firstLine="709"/>
        <w:jc w:val="both"/>
        <w:rPr>
          <w:rFonts w:ascii="Verdana" w:eastAsia="Calibri" w:hAnsi="Verdana" w:cs="Arial"/>
          <w:lang w:val="es-ES"/>
        </w:rPr>
      </w:pPr>
      <w:r w:rsidRPr="38FACAB2">
        <w:rPr>
          <w:rFonts w:ascii="Verdana" w:eastAsia="Calibri" w:hAnsi="Verdana" w:cs="Arial"/>
          <w:color w:val="000000"/>
          <w:kern w:val="2"/>
          <w:lang w:val="es-ES"/>
          <w14:ligatures w14:val="standardContextual"/>
        </w:rPr>
        <w:t>Finalmente, es importante precisar que, d</w:t>
      </w:r>
      <w:r w:rsidRPr="38FACAB2">
        <w:rPr>
          <w:rFonts w:ascii="Verdana" w:eastAsia="Calibri" w:hAnsi="Verdana" w:cs="Arial"/>
          <w:kern w:val="2"/>
          <w:lang w:val="es-ES"/>
          <w14:ligatures w14:val="standardContextual"/>
        </w:rPr>
        <w:t xml:space="preserve">e acuerdo con el numeral 1 del artículo 5 de la Ley 1150 de 2007, la capacidad jurídica es </w:t>
      </w:r>
      <w:r w:rsidRPr="38FACAB2">
        <w:rPr>
          <w:rFonts w:ascii="Verdana" w:eastAsia="Aptos" w:hAnsi="Verdana" w:cs="Arial"/>
          <w:color w:val="000000"/>
          <w:kern w:val="2"/>
          <w:lang w:val="es-ES"/>
          <w14:ligatures w14:val="standardContextual"/>
        </w:rPr>
        <w:t>uno de los presupuestos para celebrar un contrato estatal. Según el Código Civil, esta se refiere a la facultad que la ley le confiere a la persona para ejercer derechos y contraer obligaciones</w:t>
      </w:r>
      <w:r w:rsidRPr="38FACAB2">
        <w:rPr>
          <w:rFonts w:ascii="Verdana" w:eastAsia="Aptos" w:hAnsi="Verdana" w:cs="Arial"/>
          <w:color w:val="000000"/>
          <w:kern w:val="2"/>
          <w:vertAlign w:val="superscript"/>
          <w:lang w:val="es-ES"/>
          <w14:ligatures w14:val="standardContextual"/>
        </w:rPr>
        <w:footnoteReference w:id="8"/>
      </w:r>
      <w:r w:rsidRPr="38FACAB2">
        <w:rPr>
          <w:rFonts w:ascii="Verdana" w:eastAsia="Aptos" w:hAnsi="Verdana" w:cs="Arial"/>
          <w:color w:val="000000"/>
          <w:kern w:val="2"/>
          <w:lang w:val="es-ES"/>
          <w14:ligatures w14:val="standardContextual"/>
        </w:rPr>
        <w:t>. De esta manera, todas las personas naturales mayores de edad son capaces, con excepción de aquellas que la ley expresamente excluye de tal presunción, tal como lo disponen los artículos 1502, 1503 y 1504. Por su parte, la capacidad de las personas jurídicas se circunscribe a lo expresado en su objeto social y a su forma de creación</w:t>
      </w:r>
      <w:r w:rsidRPr="38FACAB2">
        <w:rPr>
          <w:rFonts w:ascii="Verdana" w:eastAsia="Aptos" w:hAnsi="Verdana" w:cs="Arial"/>
          <w:color w:val="000000"/>
          <w:kern w:val="2"/>
          <w:vertAlign w:val="superscript"/>
          <w:lang w:val="es-ES"/>
          <w14:ligatures w14:val="standardContextual"/>
        </w:rPr>
        <w:footnoteReference w:id="9"/>
      </w:r>
      <w:r w:rsidRPr="38FACAB2">
        <w:rPr>
          <w:rFonts w:ascii="Verdana" w:eastAsia="Aptos" w:hAnsi="Verdana" w:cs="Arial"/>
          <w:color w:val="000000"/>
          <w:kern w:val="2"/>
          <w:lang w:val="es-ES"/>
          <w14:ligatures w14:val="standardContextual"/>
        </w:rPr>
        <w:t xml:space="preserve">. </w:t>
      </w:r>
    </w:p>
    <w:p w14:paraId="69A12E36" w14:textId="77777777" w:rsidR="002A000A" w:rsidRPr="002A000A" w:rsidRDefault="002A000A" w:rsidP="38FACAB2">
      <w:pPr>
        <w:snapToGrid w:val="0"/>
        <w:spacing w:after="120" w:line="276" w:lineRule="auto"/>
        <w:ind w:firstLine="708"/>
        <w:jc w:val="both"/>
        <w:rPr>
          <w:rFonts w:ascii="Verdana" w:eastAsia="Aptos" w:hAnsi="Verdana" w:cs="Times New Roman"/>
          <w:kern w:val="2"/>
          <w:lang w:val="es-ES"/>
          <w14:ligatures w14:val="standardContextual"/>
        </w:rPr>
      </w:pPr>
      <w:r w:rsidRPr="38FACAB2">
        <w:rPr>
          <w:rFonts w:ascii="Verdana" w:eastAsia="Aptos" w:hAnsi="Verdana" w:cs="Times New Roman"/>
          <w:color w:val="000000"/>
          <w:kern w:val="2"/>
          <w:lang w:val="es-ES"/>
          <w14:ligatures w14:val="standardContextual"/>
        </w:rPr>
        <w:t>En materia de contratación estatal, el artículo 6 de la Ley 80 de 1993 señala que “[p]</w:t>
      </w:r>
      <w:proofErr w:type="spellStart"/>
      <w:r w:rsidRPr="38FACAB2">
        <w:rPr>
          <w:rFonts w:ascii="Verdana" w:eastAsia="Aptos" w:hAnsi="Verdana" w:cs="Times New Roman"/>
          <w:color w:val="000000"/>
          <w:kern w:val="2"/>
          <w:lang w:val="es-ES"/>
          <w14:ligatures w14:val="standardContextual"/>
        </w:rPr>
        <w:t>ueden</w:t>
      </w:r>
      <w:proofErr w:type="spellEnd"/>
      <w:r w:rsidRPr="38FACAB2">
        <w:rPr>
          <w:rFonts w:ascii="Verdana" w:eastAsia="Aptos" w:hAnsi="Verdana" w:cs="Times New Roman"/>
          <w:color w:val="000000"/>
          <w:kern w:val="2"/>
          <w:lang w:val="es-ES"/>
          <w14:ligatures w14:val="standardContextual"/>
        </w:rPr>
        <w:t xml:space="preserve"> celebrar contratos con las entidades estatales las personas consideradas legalmente capaces en las disposiciones vigentes.” En consecuencia, pueden celebrar contratos estatales las personas naturales mayores de edad, las personas jurídicas que tengan dentro de su objeto social actividades relacionadas con el objeto a contratar, así como los consorcios y uniones temporales.</w:t>
      </w:r>
      <w:r w:rsidRPr="38FACAB2">
        <w:rPr>
          <w:rFonts w:ascii="Verdana" w:eastAsia="Aptos" w:hAnsi="Verdana" w:cs="Times New Roman"/>
          <w:kern w:val="2"/>
          <w:lang w:val="es-ES"/>
          <w14:ligatures w14:val="standardContextual"/>
        </w:rPr>
        <w:t xml:space="preserve"> </w:t>
      </w:r>
      <w:r w:rsidRPr="38FACAB2">
        <w:rPr>
          <w:rFonts w:ascii="Verdana" w:eastAsia="Aptos" w:hAnsi="Verdana" w:cs="Times New Roman"/>
          <w:color w:val="000000"/>
          <w:kern w:val="2"/>
          <w:lang w:val="es-ES"/>
          <w14:ligatures w14:val="standardContextual"/>
        </w:rPr>
        <w:t xml:space="preserve">La capacidad jurídica deberá además considerar lo </w:t>
      </w:r>
      <w:r w:rsidRPr="38FACAB2">
        <w:rPr>
          <w:rFonts w:ascii="Verdana" w:eastAsia="Aptos" w:hAnsi="Verdana" w:cs="Times New Roman"/>
          <w:color w:val="000000"/>
          <w:kern w:val="2"/>
          <w:lang w:val="es-ES"/>
          <w14:ligatures w14:val="standardContextual"/>
        </w:rPr>
        <w:lastRenderedPageBreak/>
        <w:t>dispuesto en el artículo 8 de la Ley 80 de 1993</w:t>
      </w:r>
      <w:r w:rsidRPr="38FACAB2">
        <w:rPr>
          <w:rFonts w:ascii="Verdana" w:eastAsia="Aptos" w:hAnsi="Verdana" w:cs="Times New Roman"/>
          <w:color w:val="000000"/>
          <w:kern w:val="2"/>
          <w:vertAlign w:val="superscript"/>
          <w:lang w:val="es-ES"/>
          <w14:ligatures w14:val="standardContextual"/>
        </w:rPr>
        <w:footnoteReference w:id="10"/>
      </w:r>
      <w:r w:rsidRPr="38FACAB2">
        <w:rPr>
          <w:rFonts w:ascii="Verdana" w:eastAsia="Aptos" w:hAnsi="Verdana" w:cs="Times New Roman"/>
          <w:color w:val="000000"/>
          <w:kern w:val="2"/>
          <w:lang w:val="es-ES"/>
          <w14:ligatures w14:val="standardContextual"/>
        </w:rPr>
        <w:t xml:space="preserve">, que señala el régimen de inhabilidades e incompatibilidades como prohibiciones legales a determinadas personas para celebrar contratos con entidades públicas. </w:t>
      </w:r>
    </w:p>
    <w:p w14:paraId="6776BBE9" w14:textId="77777777" w:rsidR="002A000A" w:rsidRPr="002A000A" w:rsidRDefault="002A000A" w:rsidP="38FACAB2">
      <w:pPr>
        <w:snapToGrid w:val="0"/>
        <w:spacing w:after="120" w:line="276" w:lineRule="auto"/>
        <w:ind w:firstLine="708"/>
        <w:jc w:val="both"/>
        <w:rPr>
          <w:rFonts w:ascii="Verdana" w:eastAsia="Times New Roman" w:hAnsi="Verdana" w:cs="Times New Roman"/>
          <w:color w:val="000000"/>
          <w:lang w:val="es-ES" w:eastAsia="es-CO"/>
        </w:rPr>
      </w:pPr>
      <w:r w:rsidRPr="38FACAB2">
        <w:rPr>
          <w:rFonts w:ascii="Verdana" w:eastAsia="Times New Roman" w:hAnsi="Verdana" w:cs="Times New Roman"/>
          <w:color w:val="000000" w:themeColor="text1"/>
          <w:lang w:val="es-ES" w:eastAsia="es-CO"/>
        </w:rPr>
        <w:t xml:space="preserve">De esta manera, para que una persona natural o jurídica pueda celebrar contratos con una entidad estatal es necesario, en primer lugar, una condición natural que corresponde a que exista y, en segundo lugar, que tenga capacidad de ejercicio, es decir, la aptitud para ejercer por sí misma sus derechos y obligaciones, sin que se encuentre incursa en alguna inhabilidad o incompatibilidad establecida en el Estatuto General de Contratación de la Administración Pública –EGCAP–. </w:t>
      </w:r>
    </w:p>
    <w:p w14:paraId="5113C1DE" w14:textId="77777777" w:rsidR="002A000A" w:rsidRPr="002A000A" w:rsidRDefault="002A000A" w:rsidP="002A000A">
      <w:pPr>
        <w:shd w:val="clear" w:color="auto" w:fill="FFFFFF"/>
        <w:snapToGrid w:val="0"/>
        <w:spacing w:after="120" w:line="276" w:lineRule="auto"/>
        <w:ind w:firstLine="708"/>
        <w:jc w:val="both"/>
        <w:rPr>
          <w:rFonts w:ascii="Verdana" w:eastAsia="Calibri" w:hAnsi="Verdana" w:cs="Arial"/>
          <w:bCs/>
          <w:color w:val="000000"/>
          <w:kern w:val="2"/>
          <w:lang w:val="es-ES_tradnl"/>
          <w14:ligatures w14:val="standardContextual"/>
        </w:rPr>
      </w:pPr>
      <w:r w:rsidRPr="002A000A">
        <w:rPr>
          <w:rFonts w:ascii="Verdana" w:eastAsia="Calibri" w:hAnsi="Verdana" w:cs="Arial"/>
          <w:bCs/>
          <w:color w:val="000000"/>
          <w:kern w:val="2"/>
          <w:lang w:val="es-ES_tradnl"/>
          <w14:ligatures w14:val="standardContextual"/>
        </w:rPr>
        <w:t>Por su parte, el registro mercantil tiene “por objeto llevar la matrícula de los comerciantes y de los establecimientos de comercio, así como la inscripción de todos los actos, libros y documentos respecto de los cuales la ley exigiere esa formalidad”</w:t>
      </w:r>
      <w:r w:rsidRPr="002A000A">
        <w:rPr>
          <w:rFonts w:ascii="Verdana" w:eastAsia="Calibri" w:hAnsi="Verdana" w:cs="Arial"/>
          <w:bCs/>
          <w:color w:val="000000"/>
          <w:kern w:val="2"/>
          <w:vertAlign w:val="superscript"/>
          <w:lang w:val="es-ES_tradnl"/>
          <w14:ligatures w14:val="standardContextual"/>
        </w:rPr>
        <w:footnoteReference w:id="11"/>
      </w:r>
      <w:r w:rsidRPr="002A000A">
        <w:rPr>
          <w:rFonts w:ascii="Verdana" w:eastAsia="Calibri" w:hAnsi="Verdana" w:cs="Arial"/>
          <w:bCs/>
          <w:color w:val="000000"/>
          <w:kern w:val="2"/>
          <w:lang w:val="es-ES_tradnl"/>
          <w14:ligatures w14:val="standardContextual"/>
        </w:rPr>
        <w:t>. Así, la matrícula mercantil es un medio de identificación que da publicidad a la condición de comerciante, la cual, de acuerdo con el artículo 10 del Código de Comercio, se establece para aquellas personas que se ocupan profesionalmente de una o varias de las actividades que el mismo código considera como comerciales o mercantiles, según los artículos 20 y 21</w:t>
      </w:r>
      <w:r w:rsidRPr="002A000A">
        <w:rPr>
          <w:rFonts w:ascii="Verdana" w:eastAsia="Calibri" w:hAnsi="Verdana" w:cs="Arial"/>
          <w:bCs/>
          <w:color w:val="000000"/>
          <w:kern w:val="2"/>
          <w:vertAlign w:val="superscript"/>
          <w:lang w:val="es-ES_tradnl"/>
          <w14:ligatures w14:val="standardContextual"/>
        </w:rPr>
        <w:footnoteReference w:id="12"/>
      </w:r>
      <w:r w:rsidRPr="002A000A">
        <w:rPr>
          <w:rFonts w:ascii="Verdana" w:eastAsia="Calibri" w:hAnsi="Verdana" w:cs="Arial"/>
          <w:bCs/>
          <w:color w:val="000000"/>
          <w:kern w:val="2"/>
          <w:lang w:val="es-ES_tradnl"/>
          <w14:ligatures w14:val="standardContextual"/>
        </w:rPr>
        <w:t xml:space="preserve">. En línea con lo anterior, el artículo 33 </w:t>
      </w:r>
      <w:r w:rsidRPr="002A000A">
        <w:rPr>
          <w:rFonts w:ascii="Verdana" w:eastAsia="Calibri" w:hAnsi="Verdana" w:cs="Arial"/>
          <w:bCs/>
          <w:i/>
          <w:iCs/>
          <w:color w:val="000000"/>
          <w:kern w:val="2"/>
          <w:lang w:val="es-ES_tradnl"/>
          <w14:ligatures w14:val="standardContextual"/>
        </w:rPr>
        <w:t xml:space="preserve">ibidem </w:t>
      </w:r>
      <w:r w:rsidRPr="002A000A">
        <w:rPr>
          <w:rFonts w:ascii="Verdana" w:eastAsia="Calibri" w:hAnsi="Verdana" w:cs="Arial"/>
          <w:bCs/>
          <w:color w:val="000000"/>
          <w:kern w:val="2"/>
          <w:lang w:val="es-ES_tradnl"/>
          <w14:ligatures w14:val="standardContextual"/>
        </w:rPr>
        <w:t>dispone que la matrícula mercantil debe renovarse anualmente, dentro de los tres primeros meses de cada año.</w:t>
      </w:r>
    </w:p>
    <w:p w14:paraId="7E0154E2" w14:textId="77777777" w:rsidR="002A000A" w:rsidRPr="002A000A" w:rsidRDefault="002A000A" w:rsidP="002A000A">
      <w:pPr>
        <w:shd w:val="clear" w:color="auto" w:fill="FFFFFF"/>
        <w:snapToGrid w:val="0"/>
        <w:spacing w:after="0" w:line="276" w:lineRule="auto"/>
        <w:ind w:firstLine="709"/>
        <w:jc w:val="both"/>
        <w:rPr>
          <w:rFonts w:ascii="Verdana" w:eastAsia="Calibri" w:hAnsi="Verdana" w:cs="Arial"/>
          <w:bCs/>
          <w:color w:val="000000"/>
          <w:kern w:val="2"/>
          <w:lang w:val="es-ES_tradnl"/>
          <w14:ligatures w14:val="standardContextual"/>
        </w:rPr>
      </w:pPr>
      <w:r w:rsidRPr="002A000A">
        <w:rPr>
          <w:rFonts w:ascii="Verdana" w:eastAsia="Calibri" w:hAnsi="Verdana" w:cs="Arial"/>
          <w:bCs/>
          <w:color w:val="000000"/>
          <w:kern w:val="2"/>
          <w:lang w:val="es-ES_tradnl"/>
          <w14:ligatures w14:val="standardContextual"/>
        </w:rPr>
        <w:t xml:space="preserve">De acuerdo con lo expuesto, se evidencia que el registro mercantil es un deber legal de los comerciantes, pero no otorga o afecta la capacidad jurídica o contractual, aunque su ausencia, cuando se desarrollan actividades mercantiles de manera habitual y permanente, ocasiona la imposición de multas por el </w:t>
      </w:r>
      <w:r w:rsidRPr="002A000A">
        <w:rPr>
          <w:rFonts w:ascii="Verdana" w:eastAsia="Calibri" w:hAnsi="Verdana" w:cs="Arial"/>
          <w:bCs/>
          <w:color w:val="000000"/>
          <w:kern w:val="2"/>
          <w:lang w:val="es-ES_tradnl"/>
          <w14:ligatures w14:val="standardContextual"/>
        </w:rPr>
        <w:lastRenderedPageBreak/>
        <w:t>incumplimiento de un deber legal.</w:t>
      </w:r>
      <w:r w:rsidRPr="002A000A">
        <w:rPr>
          <w:rFonts w:ascii="Verdana" w:eastAsia="Calibri" w:hAnsi="Verdana" w:cs="Arial"/>
          <w:bCs/>
          <w:color w:val="000000"/>
          <w:kern w:val="2"/>
          <w:vertAlign w:val="superscript"/>
          <w:lang w:val="es-ES_tradnl"/>
          <w14:ligatures w14:val="standardContextual"/>
        </w:rPr>
        <w:footnoteReference w:id="13"/>
      </w:r>
      <w:r w:rsidRPr="002A000A">
        <w:rPr>
          <w:rFonts w:ascii="Verdana" w:eastAsia="Calibri" w:hAnsi="Verdana" w:cs="Arial"/>
          <w:bCs/>
          <w:color w:val="000000"/>
          <w:kern w:val="2"/>
          <w:lang w:val="es-ES_tradnl"/>
          <w14:ligatures w14:val="standardContextual"/>
        </w:rPr>
        <w:t xml:space="preserve"> En este sentido, un oferente solo deberá estar inscrito en el registro mercantil, en cumplimiento de un deber comercial, cuando realice alguna actividad comercial profesional de manera habitual, y no por el hecho de participar en un proceso de contratación. </w:t>
      </w:r>
    </w:p>
    <w:p w14:paraId="1422703E" w14:textId="77777777" w:rsidR="002A000A" w:rsidRPr="002A000A" w:rsidRDefault="002A000A" w:rsidP="002A000A">
      <w:pPr>
        <w:spacing w:after="0" w:line="276" w:lineRule="auto"/>
        <w:contextualSpacing/>
        <w:rPr>
          <w:rFonts w:ascii="Verdana" w:eastAsia="Calibri" w:hAnsi="Verdana" w:cs="Arial"/>
          <w:lang w:val="es-ES_tradnl"/>
        </w:rPr>
      </w:pPr>
    </w:p>
    <w:p w14:paraId="0838C408" w14:textId="77777777" w:rsidR="002A000A" w:rsidRPr="002A000A" w:rsidRDefault="002A000A" w:rsidP="002A000A">
      <w:pPr>
        <w:widowControl w:val="0"/>
        <w:autoSpaceDE w:val="0"/>
        <w:autoSpaceDN w:val="0"/>
        <w:spacing w:after="0" w:line="240" w:lineRule="auto"/>
        <w:outlineLvl w:val="0"/>
        <w:rPr>
          <w:rFonts w:ascii="Verdana" w:eastAsia="Arial" w:hAnsi="Verdana" w:cs="Arial"/>
          <w:b/>
          <w:bCs/>
          <w:lang w:val="es-ES_tradnl"/>
        </w:rPr>
      </w:pPr>
      <w:r w:rsidRPr="002A000A">
        <w:rPr>
          <w:rFonts w:ascii="Verdana" w:eastAsia="Arial" w:hAnsi="Verdana" w:cs="Arial"/>
          <w:b/>
          <w:bCs/>
          <w:lang w:val="es-ES_tradnl"/>
        </w:rPr>
        <w:t>4.Referencias normativas, jurisprudenciales y otras fuentes:</w:t>
      </w:r>
    </w:p>
    <w:p w14:paraId="04C521A7" w14:textId="77777777" w:rsidR="002A000A" w:rsidRPr="002A000A" w:rsidRDefault="002A000A" w:rsidP="002A000A">
      <w:pPr>
        <w:widowControl w:val="0"/>
        <w:autoSpaceDE w:val="0"/>
        <w:autoSpaceDN w:val="0"/>
        <w:spacing w:after="0" w:line="276" w:lineRule="auto"/>
        <w:jc w:val="both"/>
        <w:rPr>
          <w:rFonts w:ascii="Verdana" w:eastAsia="Aptos"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A000A" w:rsidRPr="002A000A" w14:paraId="6A35905F" w14:textId="77777777" w:rsidTr="004F558B">
        <w:trPr>
          <w:trHeight w:val="870"/>
        </w:trPr>
        <w:tc>
          <w:tcPr>
            <w:tcW w:w="8647" w:type="dxa"/>
          </w:tcPr>
          <w:p w14:paraId="19A8C6BB" w14:textId="77777777" w:rsidR="002A000A" w:rsidRPr="002A000A" w:rsidRDefault="002A000A" w:rsidP="002A000A">
            <w:pPr>
              <w:widowControl w:val="0"/>
              <w:numPr>
                <w:ilvl w:val="0"/>
                <w:numId w:val="16"/>
              </w:numPr>
              <w:autoSpaceDE w:val="0"/>
              <w:autoSpaceDN w:val="0"/>
              <w:snapToGrid w:val="0"/>
              <w:spacing w:after="120" w:line="276" w:lineRule="auto"/>
              <w:ind w:left="714" w:hanging="357"/>
              <w:jc w:val="both"/>
              <w:rPr>
                <w:rFonts w:ascii="Verdana" w:eastAsia="Aptos" w:hAnsi="Verdana" w:cs="Arial"/>
                <w:lang w:val="es-ES_tradnl"/>
              </w:rPr>
            </w:pPr>
            <w:r w:rsidRPr="002A000A">
              <w:rPr>
                <w:rFonts w:ascii="Verdana" w:eastAsia="Aptos" w:hAnsi="Verdana" w:cs="Arial"/>
                <w:lang w:val="es-ES_tradnl"/>
              </w:rPr>
              <w:t>Código de Comercio, artículos 10, 20, 21, 26, 33 y 37.</w:t>
            </w:r>
          </w:p>
          <w:p w14:paraId="7ADCBD36" w14:textId="77777777" w:rsidR="002A000A" w:rsidRPr="002A000A" w:rsidRDefault="002A000A" w:rsidP="002A000A">
            <w:pPr>
              <w:widowControl w:val="0"/>
              <w:numPr>
                <w:ilvl w:val="0"/>
                <w:numId w:val="16"/>
              </w:numPr>
              <w:autoSpaceDE w:val="0"/>
              <w:autoSpaceDN w:val="0"/>
              <w:snapToGrid w:val="0"/>
              <w:spacing w:after="120" w:line="276" w:lineRule="auto"/>
              <w:ind w:left="714" w:hanging="357"/>
              <w:jc w:val="both"/>
              <w:rPr>
                <w:rFonts w:ascii="Verdana" w:eastAsia="Aptos" w:hAnsi="Verdana" w:cs="Arial"/>
                <w:lang w:val="es-ES_tradnl"/>
              </w:rPr>
            </w:pPr>
            <w:r w:rsidRPr="002A000A">
              <w:rPr>
                <w:rFonts w:ascii="Verdana" w:eastAsia="Aptos" w:hAnsi="Verdana" w:cs="Arial"/>
                <w:lang w:val="es-ES_tradnl"/>
              </w:rPr>
              <w:t>Ley 1150 de 2007, artículos 5 y 6.</w:t>
            </w:r>
          </w:p>
          <w:p w14:paraId="0153B330" w14:textId="77777777" w:rsidR="002A000A" w:rsidRPr="002A000A" w:rsidRDefault="002A000A" w:rsidP="002A000A">
            <w:pPr>
              <w:widowControl w:val="0"/>
              <w:numPr>
                <w:ilvl w:val="0"/>
                <w:numId w:val="16"/>
              </w:numPr>
              <w:autoSpaceDE w:val="0"/>
              <w:autoSpaceDN w:val="0"/>
              <w:snapToGrid w:val="0"/>
              <w:spacing w:after="120" w:line="276" w:lineRule="auto"/>
              <w:ind w:left="714" w:hanging="357"/>
              <w:jc w:val="both"/>
              <w:rPr>
                <w:rFonts w:ascii="Verdana" w:eastAsia="Aptos" w:hAnsi="Verdana" w:cs="Arial"/>
                <w:lang w:val="es-ES_tradnl"/>
              </w:rPr>
            </w:pPr>
            <w:r w:rsidRPr="002A000A">
              <w:rPr>
                <w:rFonts w:ascii="Verdana" w:eastAsia="Aptos" w:hAnsi="Verdana" w:cs="Arial"/>
                <w:lang w:val="es-ES_tradnl"/>
              </w:rPr>
              <w:t>Ley 80 de 1993, artículos 6 y 8.</w:t>
            </w:r>
          </w:p>
          <w:p w14:paraId="030DE194" w14:textId="77777777" w:rsidR="002A000A" w:rsidRPr="002A000A" w:rsidRDefault="002A000A" w:rsidP="002A000A">
            <w:pPr>
              <w:widowControl w:val="0"/>
              <w:numPr>
                <w:ilvl w:val="0"/>
                <w:numId w:val="16"/>
              </w:numPr>
              <w:autoSpaceDE w:val="0"/>
              <w:autoSpaceDN w:val="0"/>
              <w:snapToGrid w:val="0"/>
              <w:spacing w:after="120" w:line="276" w:lineRule="auto"/>
              <w:ind w:left="714" w:hanging="357"/>
              <w:jc w:val="both"/>
              <w:rPr>
                <w:rFonts w:ascii="Verdana" w:eastAsia="Aptos" w:hAnsi="Verdana" w:cs="Arial"/>
                <w:lang w:val="es-ES_tradnl"/>
              </w:rPr>
            </w:pPr>
            <w:r w:rsidRPr="002A000A">
              <w:rPr>
                <w:rFonts w:ascii="Verdana" w:eastAsia="Aptos" w:hAnsi="Verdana" w:cs="Arial"/>
                <w:lang w:val="es-ES_tradnl"/>
              </w:rPr>
              <w:t xml:space="preserve">Decreto 1082 de 2015, artículos </w:t>
            </w:r>
            <w:r w:rsidRPr="002A000A">
              <w:rPr>
                <w:rFonts w:ascii="Verdana" w:eastAsia="Times New Roman" w:hAnsi="Verdana" w:cs="Arial"/>
                <w:lang w:val="es-ES_tradnl" w:eastAsia="es-ES_tradnl"/>
              </w:rPr>
              <w:t xml:space="preserve">2.2.1.1.1.5.2, </w:t>
            </w:r>
            <w:r w:rsidRPr="002A000A">
              <w:rPr>
                <w:rFonts w:ascii="Verdana" w:eastAsia="Aptos" w:hAnsi="Verdana" w:cs="Arial"/>
                <w:lang w:val="es-ES_tradnl"/>
              </w:rPr>
              <w:t>2.2.1.1.1.6.2 y 2.2.1.1.1.5.3.</w:t>
            </w:r>
          </w:p>
          <w:p w14:paraId="46939387" w14:textId="77777777" w:rsidR="002A000A" w:rsidRPr="002A000A" w:rsidRDefault="002A000A" w:rsidP="002A000A">
            <w:pPr>
              <w:widowControl w:val="0"/>
              <w:numPr>
                <w:ilvl w:val="0"/>
                <w:numId w:val="16"/>
              </w:numPr>
              <w:autoSpaceDE w:val="0"/>
              <w:autoSpaceDN w:val="0"/>
              <w:snapToGrid w:val="0"/>
              <w:spacing w:after="120" w:line="276" w:lineRule="auto"/>
              <w:ind w:left="714" w:hanging="357"/>
              <w:jc w:val="both"/>
              <w:rPr>
                <w:rFonts w:ascii="Verdana" w:eastAsia="Aptos" w:hAnsi="Verdana" w:cs="Arial"/>
                <w:lang w:val="es-ES_tradnl"/>
              </w:rPr>
            </w:pPr>
            <w:r w:rsidRPr="002A000A">
              <w:rPr>
                <w:rFonts w:ascii="Verdana" w:eastAsia="Aptos" w:hAnsi="Verdana" w:cs="Arial"/>
                <w:lang w:val="es-ES_tradnl"/>
              </w:rPr>
              <w:t xml:space="preserve">Manual para determinar y verificar los requisitos habilitantes en los Procesos de Contratación. Disponible en: </w:t>
            </w:r>
            <w:hyperlink r:id="rId11" w:history="1">
              <w:r w:rsidRPr="002A000A">
                <w:rPr>
                  <w:rFonts w:ascii="Verdana" w:eastAsia="Aptos" w:hAnsi="Verdana" w:cs="Arial"/>
                  <w:color w:val="0000FF"/>
                  <w:u w:val="single"/>
                  <w:lang w:val="es-ES_tradnl"/>
                </w:rPr>
                <w:t>https://www.colombiacompra.gov.co/archivos/manual/manual-para-determinar-y-verificar-los-requisitos-habilitantes-en-los-procesos-de-contratacion</w:t>
              </w:r>
            </w:hyperlink>
            <w:r w:rsidRPr="002A000A">
              <w:rPr>
                <w:rFonts w:ascii="Verdana" w:eastAsia="Aptos" w:hAnsi="Verdana" w:cs="Arial"/>
                <w:lang w:val="es-ES_tradnl"/>
              </w:rPr>
              <w:t xml:space="preserve">. </w:t>
            </w:r>
          </w:p>
          <w:p w14:paraId="268F8031" w14:textId="77777777" w:rsidR="002A000A" w:rsidRPr="002A000A" w:rsidRDefault="002A000A" w:rsidP="002A000A">
            <w:pPr>
              <w:widowControl w:val="0"/>
              <w:numPr>
                <w:ilvl w:val="0"/>
                <w:numId w:val="16"/>
              </w:numPr>
              <w:autoSpaceDE w:val="0"/>
              <w:autoSpaceDN w:val="0"/>
              <w:snapToGrid w:val="0"/>
              <w:spacing w:after="120" w:line="276" w:lineRule="auto"/>
              <w:ind w:left="714" w:hanging="357"/>
              <w:jc w:val="both"/>
              <w:rPr>
                <w:rFonts w:ascii="Verdana" w:eastAsia="Aptos" w:hAnsi="Verdana" w:cs="Arial"/>
                <w:lang w:val="es-ES_tradnl"/>
              </w:rPr>
            </w:pPr>
            <w:r w:rsidRPr="002A000A">
              <w:rPr>
                <w:rFonts w:ascii="Verdana" w:eastAsia="Aptos" w:hAnsi="Verdana" w:cs="Arial"/>
                <w:lang w:val="es-ES_tradnl"/>
              </w:rPr>
              <w:t>Circular Única de la Superintendencia de Industria y Comercio.</w:t>
            </w:r>
          </w:p>
        </w:tc>
      </w:tr>
    </w:tbl>
    <w:p w14:paraId="23F06BAC" w14:textId="77777777" w:rsidR="002A000A" w:rsidRPr="002A000A" w:rsidRDefault="002A000A" w:rsidP="002A000A">
      <w:pPr>
        <w:widowControl w:val="0"/>
        <w:autoSpaceDE w:val="0"/>
        <w:autoSpaceDN w:val="0"/>
        <w:spacing w:after="0" w:line="276" w:lineRule="auto"/>
        <w:jc w:val="both"/>
        <w:rPr>
          <w:rFonts w:ascii="Verdana" w:eastAsia="Aptos" w:hAnsi="Verdana" w:cs="Arial"/>
          <w:lang w:val="es-ES_tradnl"/>
        </w:rPr>
      </w:pPr>
    </w:p>
    <w:p w14:paraId="595F732F" w14:textId="77777777" w:rsidR="002A000A" w:rsidRPr="002A000A" w:rsidRDefault="002A000A" w:rsidP="002A000A">
      <w:pPr>
        <w:widowControl w:val="0"/>
        <w:autoSpaceDE w:val="0"/>
        <w:autoSpaceDN w:val="0"/>
        <w:spacing w:before="1" w:after="0" w:line="240" w:lineRule="auto"/>
        <w:outlineLvl w:val="0"/>
        <w:rPr>
          <w:rFonts w:ascii="Verdana" w:eastAsia="Arial" w:hAnsi="Verdana" w:cs="Arial"/>
          <w:b/>
          <w:bCs/>
          <w:lang w:val="es-ES_tradnl"/>
        </w:rPr>
      </w:pPr>
      <w:r w:rsidRPr="002A000A">
        <w:rPr>
          <w:rFonts w:ascii="Verdana" w:eastAsia="Arial" w:hAnsi="Verdana" w:cs="Arial"/>
          <w:b/>
          <w:bCs/>
          <w:lang w:val="es-ES_tradnl"/>
        </w:rPr>
        <w:t>5. Doctrina de la Agencia Nacional de Contratación Pública:</w:t>
      </w:r>
    </w:p>
    <w:p w14:paraId="3DD2B9C7" w14:textId="77777777" w:rsidR="002A000A" w:rsidRPr="002A000A" w:rsidRDefault="002A000A" w:rsidP="002A000A">
      <w:pPr>
        <w:widowControl w:val="0"/>
        <w:autoSpaceDE w:val="0"/>
        <w:autoSpaceDN w:val="0"/>
        <w:spacing w:after="0" w:line="276" w:lineRule="auto"/>
        <w:jc w:val="both"/>
        <w:rPr>
          <w:rFonts w:ascii="Verdana" w:eastAsia="Aptos" w:hAnsi="Verdana" w:cs="Arial"/>
          <w:lang w:val="es-ES_tradnl"/>
        </w:rPr>
      </w:pPr>
    </w:p>
    <w:p w14:paraId="582DC9C1" w14:textId="77777777" w:rsidR="002A000A" w:rsidRPr="002A000A" w:rsidRDefault="002A000A" w:rsidP="38FACAB2">
      <w:pPr>
        <w:widowControl w:val="0"/>
        <w:autoSpaceDE w:val="0"/>
        <w:autoSpaceDN w:val="0"/>
        <w:spacing w:after="0" w:line="276" w:lineRule="auto"/>
        <w:jc w:val="both"/>
        <w:rPr>
          <w:rFonts w:ascii="Verdana" w:eastAsia="Times New Roman" w:hAnsi="Verdana" w:cs="Arial"/>
          <w:shd w:val="clear" w:color="auto" w:fill="FFFFFF"/>
          <w:lang w:val="es-ES"/>
        </w:rPr>
      </w:pPr>
      <w:r w:rsidRPr="38FACAB2">
        <w:rPr>
          <w:rFonts w:ascii="Verdana" w:eastAsia="Calibri" w:hAnsi="Verdana" w:cs="Arial"/>
          <w:color w:val="000000"/>
          <w:kern w:val="2"/>
          <w:lang w:val="es-ES"/>
          <w14:ligatures w14:val="standardContextual"/>
        </w:rPr>
        <w:t xml:space="preserve">La Agencia Nacional de Contratación Pública ‒ Colombia Compra Eficiente, en los conceptos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del 2021, </w:t>
      </w:r>
      <w:r w:rsidRPr="38FACAB2">
        <w:rPr>
          <w:rFonts w:ascii="Verdana" w:eastAsia="Calibri" w:hAnsi="Verdana" w:cs="Arial"/>
          <w:color w:val="000000"/>
          <w:kern w:val="2"/>
          <w:lang w:val="es-ES"/>
          <w14:ligatures w14:val="standardContextual"/>
        </w:rPr>
        <w:lastRenderedPageBreak/>
        <w:t>C-140 del 9 de abril del 2021, C-230 del 25 de mayo de 2021, C-316 del 29 de junio de 2021, C-318 del 29 de junio de 2021, C-326 del 2 de julio de 2021, C-593 del 11 de diciembre de 2024, C-1006 del 30 de diciembre de 2024, C-093 del 17 de febrero de 2025, C-121 del 6 de marzo de 2025, C-200 del 25 de marzo de 2025 y C-204 del 26 de marzo de 2025, estudió la acreditación de la experiencia de los socios por una sociedad nueva con menos de 3 años de constitución. Por su parte, en relación con esta regla contenida en los documentos tipo de infraestructura de transporte, esta Agencia se ha pronunciado en los siguientes conceptos: C-034 del 2 de marzo de 2022, C-405 del 10 de agosto de 2021, C-414 del 13 de agosto de 2021, C-544 del 27 de septiembre de 2021, C-580 del 16 de septiembre de 2021, C-608 del 1 de noviembre de 2021 y C-433 del 7 de mayo de 2025.</w:t>
      </w:r>
      <w:r w:rsidRPr="38FACAB2">
        <w:rPr>
          <w:rFonts w:ascii="Verdana" w:eastAsia="Times New Roman" w:hAnsi="Verdana" w:cs="Arial"/>
          <w:shd w:val="clear" w:color="auto" w:fill="FFFFFF"/>
          <w:lang w:val="es-ES"/>
        </w:rPr>
        <w:t xml:space="preserve"> Además, en los conceptos con radicado No. 4201912000004782 del 30 de octubre de 2019, 4201912000005754 del 4 de octubre de 2019, 4201913000007896 del 25 de noviembre de 2019, 4201913000007962 del 28 de noviembre de 2019, C-054 de 2020, C-184 de 2020 y C-474 del 22 de mayo de 2025, esta Subdirección se refirió a la exigencia del registro mercantil en los procesos de contratación.</w:t>
      </w:r>
    </w:p>
    <w:p w14:paraId="6FA1CF5F" w14:textId="77777777" w:rsidR="002A000A" w:rsidRPr="002A000A" w:rsidRDefault="002A000A" w:rsidP="002A000A">
      <w:pPr>
        <w:widowControl w:val="0"/>
        <w:autoSpaceDE w:val="0"/>
        <w:autoSpaceDN w:val="0"/>
        <w:spacing w:after="0" w:line="276" w:lineRule="auto"/>
        <w:jc w:val="both"/>
        <w:rPr>
          <w:rFonts w:ascii="Verdana" w:eastAsia="Times New Roman" w:hAnsi="Verdana" w:cs="Arial"/>
          <w:shd w:val="clear" w:color="auto" w:fill="FFFFFF"/>
          <w:lang w:val="es-ES_tradnl"/>
        </w:rPr>
      </w:pPr>
    </w:p>
    <w:p w14:paraId="2D9D5CAF" w14:textId="77777777" w:rsidR="002A000A" w:rsidRPr="002A000A" w:rsidRDefault="002A000A" w:rsidP="38FACAB2">
      <w:pPr>
        <w:widowControl w:val="0"/>
        <w:autoSpaceDE w:val="0"/>
        <w:autoSpaceDN w:val="0"/>
        <w:spacing w:after="0" w:line="276" w:lineRule="auto"/>
        <w:jc w:val="both"/>
        <w:rPr>
          <w:rFonts w:ascii="Verdana" w:eastAsia="Calibri" w:hAnsi="Verdana" w:cs="Arial"/>
          <w:shd w:val="clear" w:color="auto" w:fill="FFFFFF"/>
          <w:lang w:val="es-ES"/>
        </w:rPr>
      </w:pPr>
      <w:r w:rsidRPr="38FACAB2">
        <w:rPr>
          <w:rFonts w:ascii="Verdana" w:eastAsia="Times New Roman" w:hAnsi="Verdana" w:cs="Arial"/>
          <w:shd w:val="clear" w:color="auto" w:fill="FFFFFF"/>
          <w:lang w:val="es-ES"/>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38FACAB2">
          <w:rPr>
            <w:rFonts w:ascii="Verdana" w:eastAsia="Times New Roman" w:hAnsi="Verdana" w:cs="Arial"/>
            <w:shd w:val="clear" w:color="auto" w:fill="FFFFFF"/>
            <w:lang w:val="es-ES"/>
          </w:rPr>
          <w:t>https://relatoria.colombiacompra.gov.co/</w:t>
        </w:r>
      </w:hyperlink>
      <w:r w:rsidRPr="38FACAB2">
        <w:rPr>
          <w:rFonts w:ascii="Verdana" w:eastAsia="Times New Roman" w:hAnsi="Verdana" w:cs="Arial"/>
          <w:shd w:val="clear" w:color="auto" w:fill="FFFFFF"/>
          <w:lang w:val="es-ES"/>
        </w:rPr>
        <w:t>.</w:t>
      </w:r>
    </w:p>
    <w:p w14:paraId="08F97214" w14:textId="77777777" w:rsidR="002A000A" w:rsidRPr="002A000A" w:rsidRDefault="002A000A" w:rsidP="002A000A">
      <w:pPr>
        <w:spacing w:after="0" w:line="240" w:lineRule="auto"/>
        <w:jc w:val="both"/>
        <w:rPr>
          <w:rFonts w:ascii="Verdana" w:eastAsia="Calibri" w:hAnsi="Verdana" w:cs="Arial"/>
          <w:color w:val="000000"/>
          <w:shd w:val="clear" w:color="auto" w:fill="FFFFFF"/>
          <w:lang w:val="es-ES_tradnl"/>
        </w:rPr>
      </w:pPr>
    </w:p>
    <w:p w14:paraId="649A2E33" w14:textId="77777777" w:rsidR="002A000A" w:rsidRPr="002A000A" w:rsidRDefault="002A000A" w:rsidP="002A000A">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2A000A">
        <w:rPr>
          <w:rFonts w:ascii="Verdana" w:eastAsia="Calibri" w:hAnsi="Verdana" w:cs="Arial"/>
          <w:kern w:val="2"/>
          <w:shd w:val="clear" w:color="auto" w:fill="FFFFFF"/>
          <w:lang w:val="es-ES_tradnl"/>
          <w14:ligatures w14:val="standardContextual"/>
        </w:rPr>
        <w:t>La</w:t>
      </w:r>
      <w:r w:rsidRPr="002A000A">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2A000A">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2A000A">
        <w:rPr>
          <w:rFonts w:ascii="Verdana" w:eastAsia="Calibri" w:hAnsi="Verdana" w:cs="Arial"/>
          <w:b/>
          <w:bCs/>
          <w:kern w:val="2"/>
          <w:shd w:val="clear" w:color="auto" w:fill="FFFFFF"/>
          <w:lang w:val="es-ES_tradnl"/>
          <w14:ligatures w14:val="standardContextual"/>
        </w:rPr>
        <w:t>Documentos Tipo</w:t>
      </w:r>
      <w:r w:rsidRPr="002A000A">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2A000A">
        <w:rPr>
          <w:rFonts w:ascii="Verdana" w:eastAsia="Calibri" w:hAnsi="Verdana" w:cs="Arial"/>
          <w:b/>
          <w:bCs/>
          <w:kern w:val="2"/>
          <w:shd w:val="clear" w:color="auto" w:fill="FFFFFF"/>
          <w:lang w:val="es-ES_tradnl"/>
          <w14:ligatures w14:val="standardContextual"/>
        </w:rPr>
        <w:t>transparencia</w:t>
      </w:r>
      <w:r w:rsidRPr="002A000A">
        <w:rPr>
          <w:rFonts w:ascii="Verdana" w:eastAsia="Calibri" w:hAnsi="Verdana" w:cs="Arial"/>
          <w:kern w:val="2"/>
          <w:shd w:val="clear" w:color="auto" w:fill="FFFFFF"/>
          <w:lang w:val="es-ES_tradnl"/>
          <w14:ligatures w14:val="standardContextual"/>
        </w:rPr>
        <w:t> y promover un proceso de </w:t>
      </w:r>
      <w:r w:rsidRPr="002A000A">
        <w:rPr>
          <w:rFonts w:ascii="Verdana" w:eastAsia="Calibri" w:hAnsi="Verdana" w:cs="Arial"/>
          <w:b/>
          <w:bCs/>
          <w:kern w:val="2"/>
          <w:shd w:val="clear" w:color="auto" w:fill="FFFFFF"/>
          <w:lang w:val="es-ES_tradnl"/>
          <w14:ligatures w14:val="standardContextual"/>
        </w:rPr>
        <w:t>selección objetiva</w:t>
      </w:r>
      <w:r w:rsidRPr="002A000A">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09EB3891" w14:textId="77777777" w:rsidR="002A000A" w:rsidRPr="002A000A" w:rsidRDefault="002A000A" w:rsidP="002A000A">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1FE5C495" w14:textId="77777777" w:rsidR="002A000A" w:rsidRPr="002A000A" w:rsidRDefault="002A000A" w:rsidP="38FACAB2">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38FACAB2">
        <w:rPr>
          <w:rFonts w:ascii="Verdana" w:eastAsia="Calibri" w:hAnsi="Verdana" w:cs="Arial"/>
          <w:kern w:val="2"/>
          <w:shd w:val="clear" w:color="auto" w:fill="FFFFFF"/>
          <w:lang w:val="es-ES"/>
          <w14:ligatures w14:val="standardContextual"/>
        </w:rPr>
        <w:t>También, le contamos que ya se encuentra disponible la </w:t>
      </w:r>
      <w:r w:rsidRPr="38FACAB2">
        <w:rPr>
          <w:rFonts w:ascii="Verdana" w:eastAsia="Calibri" w:hAnsi="Verdana" w:cs="Arial"/>
          <w:b/>
          <w:bCs/>
          <w:kern w:val="2"/>
          <w:shd w:val="clear" w:color="auto" w:fill="FFFFFF"/>
          <w:lang w:val="es-ES"/>
          <w14:ligatures w14:val="standardContextual"/>
        </w:rPr>
        <w:t xml:space="preserve">Guía de lineamientos de transparencia y selección objetiva para el departamento de La Guajira – Objetivo sexto constitucional de la Sentencia T-302 del </w:t>
      </w:r>
      <w:r w:rsidRPr="38FACAB2">
        <w:rPr>
          <w:rFonts w:ascii="Verdana" w:eastAsia="Calibri" w:hAnsi="Verdana" w:cs="Arial"/>
          <w:b/>
          <w:bCs/>
          <w:kern w:val="2"/>
          <w:shd w:val="clear" w:color="auto" w:fill="FFFFFF"/>
          <w:lang w:val="es-ES"/>
          <w14:ligatures w14:val="standardContextual"/>
        </w:rPr>
        <w:lastRenderedPageBreak/>
        <w:t>2017. </w:t>
      </w:r>
      <w:r w:rsidRPr="38FACAB2">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38FACAB2">
        <w:rPr>
          <w:rFonts w:ascii="Verdana" w:eastAsia="Calibri" w:hAnsi="Verdana" w:cs="Arial"/>
          <w:kern w:val="2"/>
          <w:shd w:val="clear" w:color="auto" w:fill="FFFFFF"/>
          <w:lang w:val="es-ES"/>
          <w14:ligatures w14:val="standardContextual"/>
        </w:rPr>
        <w:t>Wayúu</w:t>
      </w:r>
      <w:proofErr w:type="spellEnd"/>
      <w:r w:rsidRPr="38FACAB2">
        <w:rPr>
          <w:rFonts w:ascii="Verdana" w:eastAsia="Calibri" w:hAnsi="Verdana" w:cs="Arial"/>
          <w:kern w:val="2"/>
          <w:shd w:val="clear" w:color="auto" w:fill="FFFFFF"/>
          <w:lang w:val="es-ES"/>
          <w14:ligatures w14:val="standardContextual"/>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38FACAB2">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38FACAB2">
        <w:rPr>
          <w:rFonts w:ascii="Verdana" w:eastAsia="Calibri" w:hAnsi="Verdana" w:cs="Arial"/>
          <w:kern w:val="2"/>
          <w:u w:val="single"/>
          <w:shd w:val="clear" w:color="auto" w:fill="FFFFFF"/>
          <w:lang w:val="es-ES"/>
          <w14:ligatures w14:val="standardContextual"/>
        </w:rPr>
        <w:t>.</w:t>
      </w:r>
    </w:p>
    <w:p w14:paraId="4CB33A8E" w14:textId="77777777" w:rsidR="002A000A" w:rsidRPr="002A000A" w:rsidRDefault="002A000A" w:rsidP="002A000A">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12DA3CCB" w14:textId="77777777" w:rsidR="002A000A" w:rsidRPr="002A000A" w:rsidRDefault="002A000A" w:rsidP="002A000A">
      <w:pPr>
        <w:spacing w:after="0" w:line="276" w:lineRule="auto"/>
        <w:jc w:val="both"/>
        <w:rPr>
          <w:rFonts w:ascii="Verdana" w:eastAsia="Calibri" w:hAnsi="Verdana" w:cs="Times New Roman"/>
          <w:kern w:val="2"/>
          <w:lang w:val="es-ES_tradnl"/>
          <w14:ligatures w14:val="standardContextual"/>
        </w:rPr>
      </w:pPr>
      <w:r w:rsidRPr="002A000A">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595AFE1A" w14:textId="77777777" w:rsidR="002A000A" w:rsidRPr="002A000A" w:rsidRDefault="002A000A" w:rsidP="002A000A">
      <w:pPr>
        <w:spacing w:after="0" w:line="240" w:lineRule="auto"/>
        <w:jc w:val="both"/>
        <w:rPr>
          <w:rFonts w:ascii="Verdana" w:eastAsia="Calibri" w:hAnsi="Verdana" w:cs="Times New Roman"/>
          <w:kern w:val="2"/>
          <w:lang w:val="es-ES_tradnl"/>
          <w14:ligatures w14:val="standardContextual"/>
        </w:rPr>
      </w:pPr>
    </w:p>
    <w:p w14:paraId="12D31ACB" w14:textId="77777777" w:rsidR="002A000A" w:rsidRPr="002A000A" w:rsidRDefault="002A000A" w:rsidP="002A000A">
      <w:pPr>
        <w:spacing w:after="0" w:line="240" w:lineRule="auto"/>
        <w:jc w:val="both"/>
        <w:rPr>
          <w:rFonts w:ascii="Verdana" w:eastAsia="Calibri" w:hAnsi="Verdana" w:cs="Times New Roman"/>
          <w:kern w:val="2"/>
          <w:lang w:val="es-ES_tradnl"/>
          <w14:ligatures w14:val="standardContextual"/>
        </w:rPr>
      </w:pPr>
      <w:r w:rsidRPr="002A000A">
        <w:rPr>
          <w:rFonts w:ascii="Verdana" w:eastAsia="Calibri" w:hAnsi="Verdana" w:cs="Times New Roman"/>
          <w:kern w:val="2"/>
          <w:lang w:val="es-ES_tradnl"/>
          <w14:ligatures w14:val="standardContextual"/>
        </w:rPr>
        <w:t xml:space="preserve">X: </w:t>
      </w:r>
      <w:r w:rsidRPr="002A000A">
        <w:rPr>
          <w:rFonts w:ascii="Verdana" w:eastAsia="Calibri" w:hAnsi="Verdana" w:cs="Times New Roman"/>
          <w:kern w:val="2"/>
          <w:u w:val="single"/>
          <w:lang w:val="es-ES_tradnl"/>
          <w14:ligatures w14:val="standardContextual"/>
        </w:rPr>
        <w:t>@colombiacompra</w:t>
      </w:r>
      <w:r w:rsidRPr="002A000A">
        <w:rPr>
          <w:rFonts w:ascii="Verdana" w:eastAsia="Calibri" w:hAnsi="Verdana" w:cs="Times New Roman"/>
          <w:kern w:val="2"/>
          <w:lang w:val="es-ES_tradnl"/>
          <w14:ligatures w14:val="standardContextual"/>
        </w:rPr>
        <w:t xml:space="preserve"> </w:t>
      </w:r>
    </w:p>
    <w:p w14:paraId="47B78E13" w14:textId="77777777" w:rsidR="002A000A" w:rsidRPr="002A000A" w:rsidRDefault="002A000A" w:rsidP="38FACAB2">
      <w:pPr>
        <w:spacing w:after="0" w:line="240" w:lineRule="auto"/>
        <w:jc w:val="both"/>
        <w:rPr>
          <w:rFonts w:ascii="Verdana" w:eastAsia="Calibri" w:hAnsi="Verdana" w:cs="Times New Roman"/>
          <w:kern w:val="2"/>
          <w:lang w:val="es-ES"/>
          <w14:ligatures w14:val="standardContextual"/>
        </w:rPr>
      </w:pPr>
      <w:r w:rsidRPr="38FACAB2">
        <w:rPr>
          <w:rFonts w:ascii="Verdana" w:eastAsia="Calibri" w:hAnsi="Verdana" w:cs="Times New Roman"/>
          <w:kern w:val="2"/>
          <w:lang w:val="es-ES"/>
          <w14:ligatures w14:val="standardContextual"/>
        </w:rPr>
        <w:t xml:space="preserve">Facebook: </w:t>
      </w:r>
      <w:proofErr w:type="spellStart"/>
      <w:r w:rsidRPr="38FACAB2">
        <w:rPr>
          <w:rFonts w:ascii="Verdana" w:eastAsia="Calibri" w:hAnsi="Verdana" w:cs="Times New Roman"/>
          <w:kern w:val="2"/>
          <w:u w:val="single"/>
          <w:lang w:val="es-ES"/>
          <w14:ligatures w14:val="standardContextual"/>
        </w:rPr>
        <w:t>ColombiaCompraEficiente</w:t>
      </w:r>
      <w:proofErr w:type="spellEnd"/>
    </w:p>
    <w:p w14:paraId="67D24ECF" w14:textId="77777777" w:rsidR="002A000A" w:rsidRPr="002A000A" w:rsidRDefault="002A000A" w:rsidP="002A000A">
      <w:pPr>
        <w:spacing w:after="0" w:line="240" w:lineRule="auto"/>
        <w:jc w:val="both"/>
        <w:rPr>
          <w:rFonts w:ascii="Verdana" w:eastAsia="Calibri" w:hAnsi="Verdana" w:cs="Times New Roman"/>
          <w:kern w:val="2"/>
          <w:lang w:val="es-ES_tradnl"/>
          <w14:ligatures w14:val="standardContextual"/>
        </w:rPr>
      </w:pPr>
      <w:r w:rsidRPr="002A000A">
        <w:rPr>
          <w:rFonts w:ascii="Verdana" w:eastAsia="Calibri" w:hAnsi="Verdana" w:cs="Times New Roman"/>
          <w:kern w:val="2"/>
          <w:lang w:val="es-ES_tradnl"/>
          <w14:ligatures w14:val="standardContextual"/>
        </w:rPr>
        <w:t xml:space="preserve">LinkedIn: </w:t>
      </w:r>
      <w:r w:rsidRPr="002A000A">
        <w:rPr>
          <w:rFonts w:ascii="Verdana" w:eastAsia="Calibri" w:hAnsi="Verdana" w:cs="Times New Roman"/>
          <w:kern w:val="2"/>
          <w:u w:val="single"/>
          <w:lang w:val="es-ES_tradnl"/>
          <w14:ligatures w14:val="standardContextual"/>
        </w:rPr>
        <w:t>Agencia Nacional de Contratación Pública - Colombia Compra Eficiente</w:t>
      </w:r>
      <w:r w:rsidRPr="002A000A">
        <w:rPr>
          <w:rFonts w:ascii="Verdana" w:eastAsia="Calibri" w:hAnsi="Verdana" w:cs="Times New Roman"/>
          <w:kern w:val="2"/>
          <w:lang w:val="es-ES_tradnl"/>
          <w14:ligatures w14:val="standardContextual"/>
        </w:rPr>
        <w:t xml:space="preserve"> Instagram: </w:t>
      </w:r>
      <w:r w:rsidRPr="002A000A">
        <w:rPr>
          <w:rFonts w:ascii="Verdana" w:eastAsia="Calibri" w:hAnsi="Verdana" w:cs="Times New Roman"/>
          <w:kern w:val="2"/>
          <w:u w:val="single"/>
          <w:lang w:val="es-ES_tradnl"/>
          <w14:ligatures w14:val="standardContextual"/>
        </w:rPr>
        <w:t>@colombiacompraeficiente_cce</w:t>
      </w:r>
    </w:p>
    <w:p w14:paraId="0A264839" w14:textId="77777777" w:rsidR="002A000A" w:rsidRPr="002A000A" w:rsidRDefault="002A000A" w:rsidP="002A000A">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79AD7132" w14:textId="77777777" w:rsidR="002A000A" w:rsidRPr="002A000A" w:rsidRDefault="002A000A" w:rsidP="002A000A">
      <w:pPr>
        <w:widowControl w:val="0"/>
        <w:autoSpaceDE w:val="0"/>
        <w:autoSpaceDN w:val="0"/>
        <w:spacing w:after="0" w:line="276" w:lineRule="auto"/>
        <w:jc w:val="both"/>
        <w:rPr>
          <w:rFonts w:ascii="Verdana" w:eastAsia="Calibri" w:hAnsi="Verdana" w:cs="Arial"/>
          <w:kern w:val="2"/>
          <w:lang w:val="es-ES_tradnl"/>
          <w14:ligatures w14:val="standardContextual"/>
        </w:rPr>
      </w:pPr>
      <w:r w:rsidRPr="002A000A">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DDC77BD" w14:textId="77777777" w:rsidR="002A000A" w:rsidRPr="002A000A" w:rsidRDefault="002A000A" w:rsidP="002A000A">
      <w:pPr>
        <w:widowControl w:val="0"/>
        <w:autoSpaceDE w:val="0"/>
        <w:autoSpaceDN w:val="0"/>
        <w:spacing w:after="0" w:line="276" w:lineRule="auto"/>
        <w:jc w:val="both"/>
        <w:rPr>
          <w:rFonts w:ascii="Verdana" w:eastAsia="Aptos" w:hAnsi="Verdana" w:cs="Arial"/>
          <w:lang w:val="es-ES_tradnl"/>
        </w:rPr>
      </w:pPr>
    </w:p>
    <w:p w14:paraId="5DEA48C7" w14:textId="77777777" w:rsidR="002A000A" w:rsidRPr="002A000A" w:rsidRDefault="002A000A" w:rsidP="002A000A">
      <w:pPr>
        <w:spacing w:after="0" w:line="240" w:lineRule="auto"/>
        <w:rPr>
          <w:rFonts w:ascii="Verdana" w:eastAsia="Aptos" w:hAnsi="Verdana" w:cs="Arial"/>
          <w:lang w:val="es-ES_tradnl" w:eastAsia="es-CO"/>
        </w:rPr>
      </w:pPr>
      <w:r w:rsidRPr="38FACAB2">
        <w:rPr>
          <w:rFonts w:ascii="Verdana" w:eastAsia="Times New Roman" w:hAnsi="Verdana" w:cs="Arial"/>
          <w:lang w:val="es-ES" w:eastAsia="es-CO"/>
        </w:rPr>
        <w:t>Atentamente,</w:t>
      </w:r>
      <w:r w:rsidRPr="38FACAB2">
        <w:rPr>
          <w:rFonts w:ascii="Verdana" w:eastAsia="Aptos" w:hAnsi="Verdana" w:cs="Arial"/>
          <w:lang w:val="es-ES" w:eastAsia="es-CO"/>
        </w:rPr>
        <w:t xml:space="preserve"> </w:t>
      </w:r>
    </w:p>
    <w:p w14:paraId="3D03B934" w14:textId="1860D7B4" w:rsidR="002A000A" w:rsidRPr="002A000A" w:rsidRDefault="001157F9" w:rsidP="001157F9">
      <w:pPr>
        <w:spacing w:after="0" w:line="240" w:lineRule="auto"/>
        <w:jc w:val="center"/>
      </w:pPr>
      <w:r w:rsidRPr="00BD3A8E">
        <w:rPr>
          <w:noProof/>
        </w:rPr>
        <w:drawing>
          <wp:inline distT="0" distB="0" distL="0" distR="0" wp14:anchorId="563FD414" wp14:editId="2B52C4DF">
            <wp:extent cx="3666850" cy="1537003"/>
            <wp:effectExtent l="0" t="0" r="3810" b="0"/>
            <wp:docPr id="15042618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61860" name=""/>
                    <pic:cNvPicPr/>
                  </pic:nvPicPr>
                  <pic:blipFill>
                    <a:blip r:embed="rId14"/>
                    <a:stretch>
                      <a:fillRect/>
                    </a:stretch>
                  </pic:blipFill>
                  <pic:spPr>
                    <a:xfrm>
                      <a:off x="0" y="0"/>
                      <a:ext cx="3690779" cy="1547033"/>
                    </a:xfrm>
                    <a:prstGeom prst="rect">
                      <a:avLst/>
                    </a:prstGeom>
                  </pic:spPr>
                </pic:pic>
              </a:graphicData>
            </a:graphic>
          </wp:inline>
        </w:drawing>
      </w:r>
    </w:p>
    <w:p w14:paraId="52E4CE0A" w14:textId="77777777" w:rsidR="002A000A" w:rsidRPr="002A000A" w:rsidRDefault="002A000A" w:rsidP="001157F9">
      <w:pPr>
        <w:spacing w:line="276" w:lineRule="auto"/>
        <w:rPr>
          <w:rFonts w:ascii="Verdana" w:eastAsia="Aptos" w:hAnsi="Verdana" w:cs="Arial"/>
          <w:lang w:val="es-ES_tradnl"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769"/>
      </w:tblGrid>
      <w:tr w:rsidR="002A000A" w:rsidRPr="002A000A" w14:paraId="73A10FCD" w14:textId="77777777" w:rsidTr="38FACAB2">
        <w:trPr>
          <w:trHeight w:val="286"/>
        </w:trPr>
        <w:tc>
          <w:tcPr>
            <w:tcW w:w="901" w:type="dxa"/>
            <w:vAlign w:val="center"/>
            <w:hideMark/>
          </w:tcPr>
          <w:p w14:paraId="2EC140C8" w14:textId="77777777" w:rsidR="002A000A" w:rsidRPr="002A000A" w:rsidRDefault="002A000A" w:rsidP="002A000A">
            <w:pPr>
              <w:rPr>
                <w:rFonts w:ascii="Verdana" w:eastAsia="Aptos" w:hAnsi="Verdana" w:cs="Arial"/>
                <w:sz w:val="16"/>
                <w:szCs w:val="16"/>
                <w:lang w:val="es-ES_tradnl" w:eastAsia="es-ES"/>
              </w:rPr>
            </w:pPr>
            <w:r w:rsidRPr="002A000A">
              <w:rPr>
                <w:rFonts w:ascii="Verdana" w:eastAsia="Aptos" w:hAnsi="Verdana" w:cs="Arial"/>
                <w:sz w:val="16"/>
                <w:szCs w:val="16"/>
                <w:lang w:val="es-ES_tradnl" w:eastAsia="es-ES"/>
              </w:rPr>
              <w:t>Elaboró:</w:t>
            </w:r>
          </w:p>
        </w:tc>
        <w:tc>
          <w:tcPr>
            <w:tcW w:w="4769" w:type="dxa"/>
            <w:tcBorders>
              <w:top w:val="nil"/>
              <w:left w:val="nil"/>
              <w:bottom w:val="dotted" w:sz="4" w:space="0" w:color="7F7F7F" w:themeColor="text1" w:themeTint="80"/>
              <w:right w:val="nil"/>
            </w:tcBorders>
            <w:vAlign w:val="center"/>
            <w:hideMark/>
          </w:tcPr>
          <w:p w14:paraId="46DF08C1" w14:textId="77777777" w:rsidR="002A000A" w:rsidRPr="002A000A" w:rsidRDefault="002A000A" w:rsidP="38FACAB2">
            <w:pPr>
              <w:rPr>
                <w:rFonts w:ascii="Verdana" w:eastAsia="Aptos" w:hAnsi="Verdana" w:cs="Arial"/>
                <w:sz w:val="16"/>
                <w:szCs w:val="16"/>
                <w:lang w:val="es-ES" w:eastAsia="es-ES"/>
              </w:rPr>
            </w:pPr>
            <w:r w:rsidRPr="38FACAB2">
              <w:rPr>
                <w:rFonts w:ascii="Verdana" w:eastAsia="Aptos" w:hAnsi="Verdana" w:cs="Arial"/>
                <w:sz w:val="16"/>
                <w:szCs w:val="16"/>
                <w:lang w:val="es-ES" w:eastAsia="es-ES"/>
              </w:rPr>
              <w:t>Kevin Arlid Herrera Santa</w:t>
            </w:r>
          </w:p>
          <w:p w14:paraId="755FB49E" w14:textId="77777777" w:rsidR="002A000A" w:rsidRPr="002A000A" w:rsidRDefault="002A000A" w:rsidP="002A000A">
            <w:pPr>
              <w:rPr>
                <w:rFonts w:ascii="Verdana" w:eastAsia="Aptos" w:hAnsi="Verdana" w:cs="Arial"/>
                <w:sz w:val="16"/>
                <w:szCs w:val="16"/>
                <w:lang w:val="es-ES_tradnl" w:eastAsia="es-ES"/>
              </w:rPr>
            </w:pPr>
            <w:r w:rsidRPr="002A000A">
              <w:rPr>
                <w:rFonts w:ascii="Verdana" w:eastAsia="Aptos" w:hAnsi="Verdana" w:cs="Arial"/>
                <w:sz w:val="16"/>
                <w:szCs w:val="16"/>
                <w:lang w:val="es-ES_tradnl" w:eastAsia="es-ES"/>
              </w:rPr>
              <w:t>Contratista de la Subdirección de Gestión Contractual</w:t>
            </w:r>
          </w:p>
        </w:tc>
      </w:tr>
      <w:tr w:rsidR="002A000A" w:rsidRPr="002A000A" w14:paraId="17A72CAA" w14:textId="77777777" w:rsidTr="38FACAB2">
        <w:trPr>
          <w:trHeight w:val="299"/>
        </w:trPr>
        <w:tc>
          <w:tcPr>
            <w:tcW w:w="901" w:type="dxa"/>
            <w:vAlign w:val="center"/>
          </w:tcPr>
          <w:p w14:paraId="04E815CD" w14:textId="77777777" w:rsidR="002A000A" w:rsidRPr="002A000A" w:rsidRDefault="002A000A" w:rsidP="002A000A">
            <w:pPr>
              <w:rPr>
                <w:rFonts w:ascii="Verdana" w:eastAsia="Aptos" w:hAnsi="Verdana" w:cs="Arial"/>
                <w:sz w:val="16"/>
                <w:szCs w:val="16"/>
                <w:lang w:val="es-ES_tradnl" w:eastAsia="es-ES"/>
              </w:rPr>
            </w:pPr>
            <w:r w:rsidRPr="002A000A">
              <w:rPr>
                <w:rFonts w:ascii="Verdana" w:eastAsia="Aptos" w:hAnsi="Verdana" w:cs="Arial"/>
                <w:sz w:val="16"/>
                <w:szCs w:val="16"/>
                <w:lang w:val="es-ES_tradnl" w:eastAsia="es-ES"/>
              </w:rPr>
              <w:t>Revisó:</w:t>
            </w:r>
          </w:p>
        </w:tc>
        <w:tc>
          <w:tcPr>
            <w:tcW w:w="4769" w:type="dxa"/>
            <w:tcBorders>
              <w:top w:val="dotted" w:sz="4" w:space="0" w:color="7F7F7F" w:themeColor="text1" w:themeTint="80"/>
              <w:left w:val="nil"/>
              <w:bottom w:val="dotted" w:sz="4" w:space="0" w:color="7F7F7F" w:themeColor="text1" w:themeTint="80"/>
              <w:right w:val="nil"/>
            </w:tcBorders>
            <w:vAlign w:val="center"/>
          </w:tcPr>
          <w:p w14:paraId="5699035B" w14:textId="77777777" w:rsidR="002A000A" w:rsidRPr="002A000A" w:rsidRDefault="002A000A" w:rsidP="002A000A">
            <w:pPr>
              <w:rPr>
                <w:rFonts w:ascii="Verdana" w:eastAsia="Aptos" w:hAnsi="Verdana" w:cs="Arial"/>
                <w:sz w:val="16"/>
                <w:szCs w:val="16"/>
                <w:lang w:val="es-ES_tradnl" w:eastAsia="es-ES"/>
              </w:rPr>
            </w:pPr>
            <w:r w:rsidRPr="002A000A">
              <w:rPr>
                <w:rFonts w:ascii="Verdana" w:eastAsia="Aptos" w:hAnsi="Verdana" w:cs="Arial"/>
                <w:sz w:val="16"/>
                <w:szCs w:val="16"/>
                <w:lang w:val="es-ES_tradnl" w:eastAsia="es-ES"/>
              </w:rPr>
              <w:t>Juan David Cárdenas Cabeza</w:t>
            </w:r>
          </w:p>
          <w:p w14:paraId="4722A881" w14:textId="77777777" w:rsidR="002A000A" w:rsidRPr="002A000A" w:rsidRDefault="002A000A" w:rsidP="002A000A">
            <w:pPr>
              <w:rPr>
                <w:rFonts w:ascii="Verdana" w:eastAsia="Aptos" w:hAnsi="Verdana" w:cs="Arial"/>
                <w:sz w:val="16"/>
                <w:szCs w:val="16"/>
                <w:lang w:val="es-ES_tradnl" w:eastAsia="es-ES"/>
              </w:rPr>
            </w:pPr>
            <w:r w:rsidRPr="002A000A">
              <w:rPr>
                <w:rFonts w:ascii="Verdana" w:eastAsia="Aptos" w:hAnsi="Verdana" w:cs="Arial"/>
                <w:sz w:val="16"/>
                <w:szCs w:val="16"/>
                <w:lang w:val="es-ES_tradnl" w:eastAsia="es-ES"/>
              </w:rPr>
              <w:t>Contratista de la Subdirección de Gestión Contractual</w:t>
            </w:r>
          </w:p>
        </w:tc>
      </w:tr>
      <w:tr w:rsidR="002A000A" w:rsidRPr="002A000A" w14:paraId="4F29A85B" w14:textId="77777777" w:rsidTr="38FACAB2">
        <w:trPr>
          <w:trHeight w:val="272"/>
        </w:trPr>
        <w:tc>
          <w:tcPr>
            <w:tcW w:w="901" w:type="dxa"/>
            <w:vAlign w:val="center"/>
            <w:hideMark/>
          </w:tcPr>
          <w:p w14:paraId="03693A65" w14:textId="77777777" w:rsidR="002A000A" w:rsidRPr="002A000A" w:rsidRDefault="002A000A" w:rsidP="002A000A">
            <w:pPr>
              <w:rPr>
                <w:rFonts w:ascii="Verdana" w:eastAsia="Aptos" w:hAnsi="Verdana" w:cs="Arial"/>
                <w:sz w:val="16"/>
                <w:szCs w:val="16"/>
                <w:lang w:val="es-ES_tradnl" w:eastAsia="es-ES"/>
              </w:rPr>
            </w:pPr>
            <w:r w:rsidRPr="002A000A">
              <w:rPr>
                <w:rFonts w:ascii="Verdana" w:eastAsia="Aptos" w:hAnsi="Verdana" w:cs="Arial"/>
                <w:sz w:val="16"/>
                <w:szCs w:val="16"/>
                <w:lang w:val="es-ES_tradnl" w:eastAsia="es-ES"/>
              </w:rPr>
              <w:t>Aprobó:</w:t>
            </w:r>
          </w:p>
        </w:tc>
        <w:tc>
          <w:tcPr>
            <w:tcW w:w="4769" w:type="dxa"/>
            <w:tcBorders>
              <w:top w:val="dotted" w:sz="4" w:space="0" w:color="7F7F7F" w:themeColor="text1" w:themeTint="80"/>
              <w:left w:val="nil"/>
              <w:bottom w:val="dotted" w:sz="4" w:space="0" w:color="7F7F7F" w:themeColor="text1" w:themeTint="80"/>
              <w:right w:val="nil"/>
            </w:tcBorders>
            <w:vAlign w:val="center"/>
            <w:hideMark/>
          </w:tcPr>
          <w:p w14:paraId="76F1F6DA" w14:textId="77777777" w:rsidR="002A000A" w:rsidRPr="002A000A" w:rsidRDefault="002A000A" w:rsidP="002A000A">
            <w:pPr>
              <w:rPr>
                <w:rFonts w:ascii="Verdana" w:eastAsia="Aptos" w:hAnsi="Verdana" w:cs="Arial"/>
                <w:sz w:val="16"/>
                <w:szCs w:val="16"/>
                <w:lang w:val="es-ES_tradnl" w:eastAsia="es-ES"/>
              </w:rPr>
            </w:pPr>
            <w:r w:rsidRPr="002A000A">
              <w:rPr>
                <w:rFonts w:ascii="Verdana" w:eastAsia="Aptos" w:hAnsi="Verdana" w:cs="Arial"/>
                <w:sz w:val="16"/>
                <w:szCs w:val="16"/>
                <w:lang w:val="es-ES_tradnl" w:eastAsia="es-ES"/>
              </w:rPr>
              <w:t>Ana María Tolosa Rico</w:t>
            </w:r>
          </w:p>
          <w:p w14:paraId="3B97F1F2" w14:textId="77777777" w:rsidR="002A000A" w:rsidRPr="002A000A" w:rsidRDefault="002A000A" w:rsidP="002A000A">
            <w:pPr>
              <w:rPr>
                <w:rFonts w:ascii="Verdana" w:eastAsia="Aptos" w:hAnsi="Verdana" w:cs="Arial"/>
                <w:sz w:val="16"/>
                <w:szCs w:val="16"/>
                <w:lang w:val="es-ES_tradnl" w:eastAsia="es-ES"/>
              </w:rPr>
            </w:pPr>
            <w:r w:rsidRPr="002A000A">
              <w:rPr>
                <w:rFonts w:ascii="Verdana" w:eastAsia="Aptos" w:hAnsi="Verdana" w:cs="Arial"/>
                <w:sz w:val="16"/>
                <w:szCs w:val="16"/>
                <w:lang w:val="es-ES_tradnl" w:eastAsia="es-ES"/>
              </w:rPr>
              <w:t>Subdirectora de Gestión Contractual (E) ANCP – CCE</w:t>
            </w:r>
          </w:p>
        </w:tc>
      </w:tr>
    </w:tbl>
    <w:p w14:paraId="0C2C83ED" w14:textId="77777777" w:rsidR="002A000A" w:rsidRPr="002A000A" w:rsidRDefault="002A000A" w:rsidP="002A000A">
      <w:pPr>
        <w:spacing w:after="0" w:line="240" w:lineRule="auto"/>
        <w:rPr>
          <w:rFonts w:ascii="Verdana" w:eastAsia="Times New Roman" w:hAnsi="Verdana" w:cs="Arial"/>
          <w:sz w:val="16"/>
          <w:szCs w:val="16"/>
          <w:lang w:val="es-ES_tradnl" w:eastAsia="es-ES"/>
        </w:rPr>
      </w:pPr>
    </w:p>
    <w:p w14:paraId="22CDDEE9" w14:textId="77777777" w:rsidR="002A000A" w:rsidRPr="002A000A" w:rsidRDefault="002A000A" w:rsidP="002A000A">
      <w:pPr>
        <w:rPr>
          <w:rFonts w:ascii="Verdana" w:eastAsia="Aptos" w:hAnsi="Verdana" w:cs="Times New Roman"/>
          <w:sz w:val="16"/>
          <w:szCs w:val="16"/>
          <w:lang w:val="es-ES_tradnl"/>
        </w:rPr>
      </w:pPr>
    </w:p>
    <w:p w14:paraId="4EED52E1" w14:textId="77777777" w:rsidR="002A000A" w:rsidRPr="002A000A" w:rsidRDefault="002A000A" w:rsidP="002A000A">
      <w:pPr>
        <w:rPr>
          <w:rFonts w:ascii="Verdana" w:eastAsia="Aptos" w:hAnsi="Verdana" w:cs="Times New Roman"/>
          <w:lang w:val="es-ES_tradnl"/>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03027" w14:textId="77777777" w:rsidR="005C36E7" w:rsidRDefault="005C36E7" w:rsidP="004A1847">
      <w:pPr>
        <w:spacing w:after="0" w:line="240" w:lineRule="auto"/>
      </w:pPr>
      <w:r>
        <w:separator/>
      </w:r>
    </w:p>
  </w:endnote>
  <w:endnote w:type="continuationSeparator" w:id="0">
    <w:p w14:paraId="33DF0CA1" w14:textId="77777777" w:rsidR="005C36E7" w:rsidRDefault="005C36E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E031A9">
      <w:rPr>
        <w:rFonts w:ascii="Verdana" w:eastAsia="Times New Roman" w:hAnsi="Verdana" w:cs="Times New Roman"/>
        <w:b/>
        <w:bCs/>
        <w:sz w:val="16"/>
        <w:szCs w:val="16"/>
        <w:lang w:val="es-ES"/>
      </w:rPr>
      <w:t xml:space="preserve">pág. </w:t>
    </w:r>
    <w:r w:rsidRPr="00E031A9">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E031A9">
      <w:rPr>
        <w:rFonts w:ascii="Verdana" w:eastAsia="Times New Roman" w:hAnsi="Verdana"/>
        <w:b/>
        <w:bCs/>
        <w:sz w:val="16"/>
        <w:szCs w:val="16"/>
      </w:rPr>
      <w:fldChar w:fldCharType="separate"/>
    </w:r>
    <w:r w:rsidRPr="00E031A9">
      <w:rPr>
        <w:rFonts w:ascii="Verdana" w:eastAsia="Times New Roman" w:hAnsi="Verdana"/>
        <w:b/>
        <w:bCs/>
        <w:sz w:val="16"/>
        <w:szCs w:val="16"/>
      </w:rPr>
      <w:t>1</w:t>
    </w:r>
    <w:r w:rsidRPr="00E031A9">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3A4F9" w14:textId="77777777" w:rsidR="005C36E7" w:rsidRDefault="005C36E7" w:rsidP="004A1847">
      <w:pPr>
        <w:spacing w:after="0" w:line="240" w:lineRule="auto"/>
      </w:pPr>
      <w:r>
        <w:separator/>
      </w:r>
    </w:p>
  </w:footnote>
  <w:footnote w:type="continuationSeparator" w:id="0">
    <w:p w14:paraId="6705902C" w14:textId="77777777" w:rsidR="005C36E7" w:rsidRDefault="005C36E7" w:rsidP="004A1847">
      <w:pPr>
        <w:spacing w:after="0" w:line="240" w:lineRule="auto"/>
      </w:pPr>
      <w:r>
        <w:continuationSeparator/>
      </w:r>
    </w:p>
  </w:footnote>
  <w:footnote w:id="1">
    <w:p w14:paraId="43BA68AD" w14:textId="77777777" w:rsidR="002A000A" w:rsidRPr="00BF4B74" w:rsidRDefault="002A000A" w:rsidP="002A000A">
      <w:pPr>
        <w:pStyle w:val="Textonotapie"/>
        <w:snapToGrid w:val="0"/>
        <w:ind w:firstLine="709"/>
        <w:jc w:val="both"/>
        <w:rPr>
          <w:rFonts w:ascii="Verdana" w:hAnsi="Verdana" w:cs="Arial"/>
          <w:sz w:val="18"/>
          <w:szCs w:val="18"/>
        </w:rPr>
      </w:pPr>
      <w:r w:rsidRPr="00BF4B74">
        <w:rPr>
          <w:rStyle w:val="Refdenotaalpie"/>
          <w:rFonts w:ascii="Verdana" w:hAnsi="Verdana" w:cs="Arial"/>
          <w:sz w:val="18"/>
          <w:szCs w:val="18"/>
        </w:rPr>
        <w:footnoteRef/>
      </w:r>
      <w:r w:rsidRPr="00BF4B74">
        <w:rPr>
          <w:rFonts w:ascii="Verdana" w:hAnsi="Verdana" w:cs="Arial"/>
          <w:sz w:val="18"/>
          <w:szCs w:val="18"/>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614E8026" w14:textId="77777777" w:rsidR="002A000A" w:rsidRPr="00BF4B74" w:rsidRDefault="002A000A" w:rsidP="002A000A">
      <w:pPr>
        <w:pStyle w:val="Textonotapie"/>
        <w:snapToGrid w:val="0"/>
        <w:ind w:firstLine="709"/>
        <w:jc w:val="both"/>
        <w:rPr>
          <w:rFonts w:ascii="Verdana" w:hAnsi="Verdana" w:cs="Arial"/>
          <w:sz w:val="18"/>
          <w:szCs w:val="18"/>
        </w:rPr>
      </w:pPr>
      <w:r w:rsidRPr="00BF4B74">
        <w:rPr>
          <w:rFonts w:ascii="Verdana" w:hAnsi="Verdana" w:cs="Arial"/>
          <w:sz w:val="18"/>
          <w:szCs w:val="18"/>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footnote>
  <w:footnote w:id="2">
    <w:p w14:paraId="1B972C2A" w14:textId="77777777" w:rsidR="002A000A" w:rsidRPr="00BF4B74" w:rsidRDefault="002A000A" w:rsidP="002A000A">
      <w:pPr>
        <w:pStyle w:val="Textonotapie"/>
        <w:snapToGrid w:val="0"/>
        <w:ind w:firstLine="709"/>
        <w:jc w:val="both"/>
        <w:rPr>
          <w:rFonts w:ascii="Verdana" w:hAnsi="Verdana" w:cs="Arial"/>
          <w:sz w:val="18"/>
          <w:szCs w:val="18"/>
        </w:rPr>
      </w:pPr>
      <w:r w:rsidRPr="00BF4B74">
        <w:rPr>
          <w:rStyle w:val="Refdenotaalpie"/>
          <w:rFonts w:ascii="Verdana" w:hAnsi="Verdana" w:cs="Arial"/>
          <w:sz w:val="18"/>
          <w:szCs w:val="18"/>
        </w:rPr>
        <w:footnoteRef/>
      </w:r>
      <w:r w:rsidRPr="00BF4B74">
        <w:rPr>
          <w:rFonts w:ascii="Verdana" w:hAnsi="Verdana" w:cs="Arial"/>
          <w:sz w:val="18"/>
          <w:szCs w:val="18"/>
        </w:rPr>
        <w:t xml:space="preserve"> </w:t>
      </w:r>
      <w:r w:rsidRPr="00BF4B74">
        <w:rPr>
          <w:rFonts w:ascii="Verdana" w:hAnsi="Verdana" w:cs="Arial"/>
          <w:sz w:val="18"/>
          <w:szCs w:val="18"/>
        </w:rPr>
        <w:t>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3">
    <w:p w14:paraId="1186127D" w14:textId="77777777" w:rsidR="002A000A" w:rsidRPr="00BF4B74" w:rsidRDefault="002A000A" w:rsidP="002A000A">
      <w:pPr>
        <w:pStyle w:val="Textonotapie"/>
        <w:snapToGrid w:val="0"/>
        <w:ind w:firstLine="709"/>
        <w:jc w:val="both"/>
        <w:rPr>
          <w:rFonts w:ascii="Verdana" w:hAnsi="Verdana" w:cs="Arial"/>
          <w:sz w:val="18"/>
          <w:szCs w:val="18"/>
        </w:rPr>
      </w:pPr>
      <w:r w:rsidRPr="00BF4B74">
        <w:rPr>
          <w:rStyle w:val="Refdenotaalpie"/>
          <w:rFonts w:ascii="Verdana" w:hAnsi="Verdana" w:cs="Arial"/>
          <w:sz w:val="18"/>
          <w:szCs w:val="18"/>
        </w:rPr>
        <w:footnoteRef/>
      </w:r>
      <w:r w:rsidRPr="00BF4B74">
        <w:rPr>
          <w:rFonts w:ascii="Verdana" w:hAnsi="Verdana" w:cs="Arial"/>
          <w:sz w:val="18"/>
          <w:szCs w:val="18"/>
        </w:rPr>
        <w:t xml:space="preserve"> </w:t>
      </w:r>
      <w:r w:rsidRPr="00BF4B74">
        <w:rPr>
          <w:rFonts w:ascii="Verdana" w:hAnsi="Verdana" w:cs="Arial"/>
          <w:sz w:val="18"/>
          <w:szCs w:val="18"/>
        </w:rPr>
        <w:t>Decreto 1082 de 2015: “Artículo 2.2.1.1.1.5.3. Requisitos habilitantes contenidos en el RUP. Las cámaras de comercio, con base en la información a la que hace referencia el artículo anterior, deben verificar y certificar los siguientes requisitos habilitantes:</w:t>
      </w:r>
    </w:p>
    <w:p w14:paraId="5F8006F9" w14:textId="77777777" w:rsidR="002A000A" w:rsidRPr="00BF4B74" w:rsidRDefault="002A000A" w:rsidP="002A000A">
      <w:pPr>
        <w:pStyle w:val="Textonotapie"/>
        <w:snapToGrid w:val="0"/>
        <w:ind w:firstLine="709"/>
        <w:jc w:val="both"/>
        <w:rPr>
          <w:rFonts w:ascii="Verdana" w:hAnsi="Verdana" w:cs="Arial"/>
          <w:sz w:val="18"/>
          <w:szCs w:val="18"/>
        </w:rPr>
      </w:pPr>
      <w:r w:rsidRPr="00BF4B74">
        <w:rPr>
          <w:rFonts w:ascii="Verdana" w:hAnsi="Verdana" w:cs="Arial"/>
          <w:sz w:val="18"/>
          <w:szCs w:val="18"/>
        </w:rPr>
        <w:t>1. Experiencia – Los contratos celebrados por el interesado para cada uno de los bienes, obras y servicios que ofrecerá a las Entidades Estatales, identificados con el Clasificador de Bienes y Servicios en el tercer nivel y su valor expresado en SMMLV.</w:t>
      </w:r>
    </w:p>
    <w:p w14:paraId="4D9855D3" w14:textId="77777777" w:rsidR="002A000A" w:rsidRPr="00BF4B74" w:rsidRDefault="002A000A" w:rsidP="002A000A">
      <w:pPr>
        <w:pStyle w:val="Textonotapie"/>
        <w:snapToGrid w:val="0"/>
        <w:ind w:firstLine="709"/>
        <w:jc w:val="both"/>
        <w:rPr>
          <w:rFonts w:ascii="Verdana" w:hAnsi="Verdana" w:cs="Arial"/>
          <w:sz w:val="18"/>
          <w:szCs w:val="18"/>
        </w:rPr>
      </w:pPr>
      <w:r w:rsidRPr="00BF4B74">
        <w:rPr>
          <w:rFonts w:ascii="Verdana" w:hAnsi="Verdana" w:cs="Arial"/>
          <w:sz w:val="18"/>
          <w:szCs w:val="18"/>
        </w:rPr>
        <w:t>[...]”.</w:t>
      </w:r>
    </w:p>
  </w:footnote>
  <w:footnote w:id="4">
    <w:p w14:paraId="6821518C" w14:textId="77777777" w:rsidR="002A000A" w:rsidRPr="00BF4B74" w:rsidRDefault="002A000A" w:rsidP="002A000A">
      <w:pPr>
        <w:pStyle w:val="Textonotapie"/>
        <w:snapToGrid w:val="0"/>
        <w:ind w:firstLine="709"/>
        <w:jc w:val="both"/>
        <w:rPr>
          <w:rFonts w:ascii="Verdana" w:hAnsi="Verdana" w:cs="Arial"/>
          <w:sz w:val="18"/>
          <w:szCs w:val="18"/>
        </w:rPr>
      </w:pPr>
      <w:r w:rsidRPr="00BF4B74">
        <w:rPr>
          <w:rStyle w:val="Refdenotaalpie"/>
          <w:rFonts w:ascii="Verdana" w:hAnsi="Verdana" w:cs="Arial"/>
          <w:sz w:val="18"/>
          <w:szCs w:val="18"/>
        </w:rPr>
        <w:footnoteRef/>
      </w:r>
      <w:r w:rsidRPr="00BF4B74">
        <w:rPr>
          <w:rFonts w:ascii="Verdana" w:hAnsi="Verdana" w:cs="Arial"/>
          <w:sz w:val="18"/>
          <w:szCs w:val="18"/>
        </w:rPr>
        <w:t xml:space="preserve"> </w:t>
      </w:r>
      <w:r w:rsidRPr="00BF4B74">
        <w:rPr>
          <w:rFonts w:ascii="Verdana" w:hAnsi="Verdana" w:cs="Arial"/>
          <w:sz w:val="18"/>
          <w:szCs w:val="18"/>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1425627" w14:textId="77777777" w:rsidR="002A000A" w:rsidRPr="00BF4B74" w:rsidRDefault="002A000A" w:rsidP="002A000A">
      <w:pPr>
        <w:pStyle w:val="Textonotapie"/>
        <w:snapToGrid w:val="0"/>
        <w:ind w:firstLine="709"/>
        <w:jc w:val="both"/>
        <w:rPr>
          <w:rFonts w:ascii="Verdana" w:hAnsi="Verdana" w:cs="Arial"/>
          <w:sz w:val="18"/>
          <w:szCs w:val="18"/>
        </w:rPr>
      </w:pPr>
      <w:r w:rsidRPr="00BF4B74">
        <w:rPr>
          <w:rFonts w:ascii="Verdana" w:hAnsi="Verdana" w:cs="Arial"/>
          <w:sz w:val="18"/>
          <w:szCs w:val="18"/>
        </w:rPr>
        <w:t>[...]</w:t>
      </w:r>
    </w:p>
    <w:p w14:paraId="48EFFE65" w14:textId="77777777" w:rsidR="002A000A" w:rsidRPr="00BF4B74" w:rsidRDefault="002A000A" w:rsidP="002A000A">
      <w:pPr>
        <w:pStyle w:val="Textonotapie"/>
        <w:snapToGrid w:val="0"/>
        <w:ind w:firstLine="709"/>
        <w:jc w:val="both"/>
        <w:rPr>
          <w:rFonts w:ascii="Verdana" w:hAnsi="Verdana" w:cs="Arial"/>
          <w:sz w:val="18"/>
          <w:szCs w:val="18"/>
        </w:rPr>
      </w:pPr>
      <w:r w:rsidRPr="00BF4B74">
        <w:rPr>
          <w:rFonts w:ascii="Verdana" w:hAnsi="Verdana" w:cs="Arial"/>
          <w:sz w:val="18"/>
          <w:szCs w:val="18"/>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39FF3592" w14:textId="77777777" w:rsidR="002A000A" w:rsidRPr="00BF4B74" w:rsidRDefault="002A000A" w:rsidP="002A000A">
      <w:pPr>
        <w:pStyle w:val="Textonotapie"/>
        <w:snapToGrid w:val="0"/>
        <w:ind w:firstLine="709"/>
        <w:jc w:val="both"/>
        <w:rPr>
          <w:rFonts w:ascii="Verdana" w:hAnsi="Verdana" w:cs="Arial"/>
          <w:sz w:val="18"/>
          <w:szCs w:val="18"/>
        </w:rPr>
      </w:pPr>
      <w:r w:rsidRPr="00BF4B74">
        <w:rPr>
          <w:rFonts w:ascii="Verdana" w:hAnsi="Verdana" w:cs="Arial"/>
          <w:sz w:val="18"/>
          <w:szCs w:val="18"/>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5">
    <w:p w14:paraId="0EB6E374" w14:textId="77777777" w:rsidR="002A000A" w:rsidRPr="00BF4B74" w:rsidRDefault="002A000A" w:rsidP="002A000A">
      <w:pPr>
        <w:pStyle w:val="Textonotapie"/>
        <w:snapToGrid w:val="0"/>
        <w:ind w:firstLine="709"/>
        <w:jc w:val="both"/>
        <w:rPr>
          <w:rFonts w:ascii="Verdana" w:hAnsi="Verdana" w:cs="Arial"/>
          <w:sz w:val="18"/>
          <w:szCs w:val="18"/>
        </w:rPr>
      </w:pPr>
    </w:p>
    <w:p w14:paraId="1940A293" w14:textId="77777777" w:rsidR="002A000A" w:rsidRPr="00BF4B74" w:rsidRDefault="002A000A" w:rsidP="002A000A">
      <w:pPr>
        <w:pStyle w:val="Textonotapie"/>
        <w:snapToGrid w:val="0"/>
        <w:ind w:firstLine="709"/>
        <w:jc w:val="both"/>
        <w:rPr>
          <w:rFonts w:ascii="Verdana" w:hAnsi="Verdana" w:cs="Arial"/>
          <w:sz w:val="18"/>
          <w:szCs w:val="18"/>
        </w:rPr>
      </w:pPr>
      <w:r w:rsidRPr="00BF4B74">
        <w:rPr>
          <w:rStyle w:val="Refdenotaalpie"/>
          <w:rFonts w:ascii="Verdana" w:hAnsi="Verdana" w:cs="Arial"/>
          <w:sz w:val="18"/>
          <w:szCs w:val="18"/>
        </w:rPr>
        <w:footnoteRef/>
      </w:r>
      <w:r w:rsidRPr="00BF4B74">
        <w:rPr>
          <w:rFonts w:ascii="Verdana" w:hAnsi="Verdana" w:cs="Arial"/>
          <w:sz w:val="18"/>
          <w:szCs w:val="18"/>
        </w:rPr>
        <w:t xml:space="preserve"> </w:t>
      </w:r>
      <w:r w:rsidRPr="00BF4B74">
        <w:rPr>
          <w:rFonts w:ascii="Verdana" w:hAnsi="Verdana" w:cs="Arial"/>
          <w:sz w:val="18"/>
          <w:szCs w:val="18"/>
        </w:rPr>
        <w:t>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FA9952D" w14:textId="77777777" w:rsidR="002A000A" w:rsidRPr="00BF4B74" w:rsidRDefault="002A000A" w:rsidP="002A000A">
      <w:pPr>
        <w:pStyle w:val="Textonotapie"/>
        <w:snapToGrid w:val="0"/>
        <w:ind w:firstLine="709"/>
        <w:jc w:val="both"/>
        <w:rPr>
          <w:rFonts w:ascii="Verdana" w:hAnsi="Verdana" w:cs="Arial"/>
          <w:sz w:val="18"/>
          <w:szCs w:val="18"/>
        </w:rPr>
      </w:pPr>
      <w:r w:rsidRPr="00BF4B74">
        <w:rPr>
          <w:rFonts w:ascii="Verdana" w:hAnsi="Verdana" w:cs="Arial"/>
          <w:sz w:val="18"/>
          <w:szCs w:val="18"/>
        </w:rPr>
        <w:t>1. Si es una persona natural:</w:t>
      </w:r>
    </w:p>
    <w:p w14:paraId="07CCCCE6" w14:textId="77777777" w:rsidR="002A000A" w:rsidRPr="00BF4B74" w:rsidRDefault="002A000A" w:rsidP="002A000A">
      <w:pPr>
        <w:pStyle w:val="Textonotapie"/>
        <w:snapToGrid w:val="0"/>
        <w:ind w:firstLine="709"/>
        <w:jc w:val="both"/>
        <w:rPr>
          <w:rFonts w:ascii="Verdana" w:hAnsi="Verdana" w:cs="Arial"/>
          <w:sz w:val="18"/>
          <w:szCs w:val="18"/>
        </w:rPr>
      </w:pPr>
      <w:r w:rsidRPr="00BF4B74">
        <w:rPr>
          <w:rFonts w:ascii="Verdana" w:hAnsi="Verdana" w:cs="Arial"/>
          <w:sz w:val="18"/>
          <w:szCs w:val="18"/>
        </w:rPr>
        <w:t>1.1. Bienes, obras y servicios que ofrecerá a las Entidades Estatales, identificados con el Clasificador de Bienes y Servicios en el tercer nivel.</w:t>
      </w:r>
    </w:p>
    <w:p w14:paraId="56DD3618" w14:textId="77777777" w:rsidR="002A000A" w:rsidRPr="00BF4B74" w:rsidRDefault="002A000A" w:rsidP="002A000A">
      <w:pPr>
        <w:pStyle w:val="Textonotapie"/>
        <w:snapToGrid w:val="0"/>
        <w:ind w:firstLine="709"/>
        <w:jc w:val="both"/>
        <w:rPr>
          <w:rFonts w:ascii="Verdana" w:hAnsi="Verdana" w:cs="Arial"/>
          <w:sz w:val="18"/>
          <w:szCs w:val="18"/>
        </w:rPr>
      </w:pPr>
      <w:r w:rsidRPr="00BF4B74">
        <w:rPr>
          <w:rFonts w:ascii="Verdana" w:hAnsi="Verdana" w:cs="Arial"/>
          <w:sz w:val="18"/>
          <w:szCs w:val="18"/>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7F712CCD" w14:textId="77777777" w:rsidR="002A000A" w:rsidRPr="00BF4B74" w:rsidRDefault="002A000A" w:rsidP="002A000A">
      <w:pPr>
        <w:pStyle w:val="Textonotapie"/>
        <w:snapToGrid w:val="0"/>
        <w:ind w:firstLine="709"/>
        <w:jc w:val="both"/>
        <w:rPr>
          <w:rFonts w:ascii="Verdana" w:hAnsi="Verdana" w:cs="Arial"/>
          <w:sz w:val="18"/>
          <w:szCs w:val="18"/>
          <w:lang w:val="es-ES"/>
        </w:rPr>
      </w:pPr>
    </w:p>
  </w:footnote>
  <w:footnote w:id="6">
    <w:p w14:paraId="33D0BEDE" w14:textId="77777777" w:rsidR="002A000A" w:rsidRPr="00BF4B74" w:rsidRDefault="002A000A" w:rsidP="002A000A">
      <w:pPr>
        <w:pStyle w:val="Textonotapie"/>
        <w:snapToGrid w:val="0"/>
        <w:ind w:firstLine="709"/>
        <w:jc w:val="both"/>
        <w:rPr>
          <w:rFonts w:ascii="Verdana" w:hAnsi="Verdana"/>
          <w:sz w:val="18"/>
          <w:szCs w:val="18"/>
          <w:lang w:val="es-CO"/>
        </w:rPr>
      </w:pPr>
      <w:r w:rsidRPr="00BF4B74">
        <w:rPr>
          <w:rStyle w:val="Refdenotaalpie"/>
          <w:rFonts w:ascii="Verdana" w:hAnsi="Verdana"/>
          <w:sz w:val="18"/>
          <w:szCs w:val="18"/>
        </w:rPr>
        <w:footnoteRef/>
      </w:r>
      <w:r w:rsidRPr="00BF4B74">
        <w:rPr>
          <w:rFonts w:ascii="Verdana" w:hAnsi="Verdana"/>
          <w:sz w:val="18"/>
          <w:szCs w:val="18"/>
        </w:rPr>
        <w:t xml:space="preserve"> </w:t>
      </w:r>
      <w:r w:rsidRPr="00BF4B74">
        <w:rPr>
          <w:rFonts w:ascii="Verdana" w:hAnsi="Verdana"/>
          <w:sz w:val="18"/>
          <w:szCs w:val="18"/>
        </w:rPr>
        <w:t xml:space="preserve">Disponible en el siguiente enlace: </w:t>
      </w:r>
      <w:hyperlink r:id="rId1" w:history="1">
        <w:r w:rsidRPr="00BF4B74">
          <w:rPr>
            <w:rStyle w:val="Hipervnculo"/>
            <w:rFonts w:ascii="Verdana" w:hAnsi="Verdana"/>
            <w:sz w:val="18"/>
            <w:szCs w:val="18"/>
          </w:rPr>
          <w:t>https://colombiacompra.gov.co/manuales-guias-y-pliegos-tipo/manuales-y-guias/manual-para-determinar-y-verificar-los-requisitos</w:t>
        </w:r>
      </w:hyperlink>
      <w:r w:rsidRPr="00BF4B74">
        <w:rPr>
          <w:rFonts w:ascii="Verdana" w:hAnsi="Verdana"/>
          <w:sz w:val="18"/>
          <w:szCs w:val="18"/>
        </w:rPr>
        <w:t xml:space="preserve">  </w:t>
      </w:r>
    </w:p>
  </w:footnote>
  <w:footnote w:id="7">
    <w:p w14:paraId="6A371101" w14:textId="77777777" w:rsidR="002A000A" w:rsidRPr="00BF4B74" w:rsidRDefault="002A000A" w:rsidP="002A000A">
      <w:pPr>
        <w:pStyle w:val="Car1"/>
        <w:snapToGrid w:val="0"/>
        <w:ind w:firstLine="709"/>
        <w:jc w:val="both"/>
        <w:rPr>
          <w:rFonts w:ascii="Verdana" w:hAnsi="Verdana" w:cs="Arial"/>
          <w:sz w:val="18"/>
          <w:szCs w:val="18"/>
        </w:rPr>
      </w:pPr>
      <w:r w:rsidRPr="00BF4B74">
        <w:rPr>
          <w:rStyle w:val="Refdenotaalpie"/>
          <w:rFonts w:ascii="Verdana" w:hAnsi="Verdana" w:cs="Arial"/>
          <w:sz w:val="18"/>
          <w:szCs w:val="18"/>
        </w:rPr>
        <w:footnoteRef/>
      </w:r>
      <w:r w:rsidRPr="00BF4B74">
        <w:rPr>
          <w:rFonts w:ascii="Verdana" w:hAnsi="Verdana" w:cs="Arial"/>
          <w:sz w:val="18"/>
          <w:szCs w:val="18"/>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D9442B5" w14:textId="77777777" w:rsidR="002A000A" w:rsidRPr="00BF4B74" w:rsidRDefault="002A000A" w:rsidP="002A000A">
      <w:pPr>
        <w:pStyle w:val="Car1"/>
        <w:snapToGrid w:val="0"/>
        <w:ind w:firstLine="709"/>
        <w:jc w:val="both"/>
        <w:rPr>
          <w:rFonts w:ascii="Verdana" w:hAnsi="Verdana" w:cs="Arial"/>
          <w:sz w:val="18"/>
          <w:szCs w:val="18"/>
        </w:rPr>
      </w:pPr>
      <w:r w:rsidRPr="00BF4B74">
        <w:rPr>
          <w:rFonts w:ascii="Verdana" w:hAnsi="Verdana" w:cs="Arial"/>
          <w:sz w:val="18"/>
          <w:szCs w:val="18"/>
        </w:rPr>
        <w:t>[…]</w:t>
      </w:r>
    </w:p>
    <w:p w14:paraId="1BCFF073" w14:textId="77777777" w:rsidR="002A000A" w:rsidRPr="00BF4B74" w:rsidRDefault="002A000A" w:rsidP="002A000A">
      <w:pPr>
        <w:pStyle w:val="Car1"/>
        <w:snapToGrid w:val="0"/>
        <w:ind w:firstLine="709"/>
        <w:jc w:val="both"/>
        <w:rPr>
          <w:rFonts w:ascii="Verdana" w:hAnsi="Verdana" w:cs="Arial"/>
          <w:sz w:val="18"/>
          <w:szCs w:val="18"/>
          <w:lang w:val="es-CO"/>
        </w:rPr>
      </w:pPr>
      <w:r w:rsidRPr="00BF4B74">
        <w:rPr>
          <w:rFonts w:ascii="Verdana" w:hAnsi="Verdana" w:cs="Arial"/>
          <w:sz w:val="18"/>
          <w:szCs w:val="18"/>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BF4B74">
        <w:rPr>
          <w:rFonts w:ascii="Verdana" w:hAnsi="Verdana" w:cs="Arial"/>
          <w:sz w:val="18"/>
          <w:szCs w:val="18"/>
          <w:shd w:val="clear" w:color="auto" w:fill="FFFFFF"/>
        </w:rPr>
        <w:softHyphen/>
        <w:t>ficador de Bienes y Servicios en el tercer nivel. Si la constitución del interesado es menor a 3 años, puede acreditar la experiencia de sus accionistas, socios o constituyentes</w:t>
      </w:r>
      <w:r w:rsidRPr="00BF4B74">
        <w:rPr>
          <w:rFonts w:ascii="Verdana" w:hAnsi="Verdana" w:cs="Arial"/>
          <w:sz w:val="18"/>
          <w:szCs w:val="18"/>
        </w:rPr>
        <w:t>”.</w:t>
      </w:r>
    </w:p>
  </w:footnote>
  <w:footnote w:id="8">
    <w:p w14:paraId="13482553" w14:textId="77777777" w:rsidR="002A000A" w:rsidRPr="002A000A" w:rsidRDefault="002A000A" w:rsidP="002A000A">
      <w:pPr>
        <w:pStyle w:val="Textonotapie"/>
        <w:snapToGrid w:val="0"/>
        <w:ind w:firstLine="709"/>
        <w:jc w:val="both"/>
        <w:rPr>
          <w:rFonts w:ascii="Verdana" w:hAnsi="Verdana" w:cs="Arial"/>
          <w:color w:val="000000"/>
          <w:sz w:val="18"/>
          <w:szCs w:val="18"/>
        </w:rPr>
      </w:pPr>
      <w:r w:rsidRPr="002A000A">
        <w:rPr>
          <w:rStyle w:val="Refdenotaalpie"/>
          <w:rFonts w:ascii="Verdana" w:hAnsi="Verdana" w:cs="Arial"/>
          <w:color w:val="000000"/>
          <w:sz w:val="18"/>
          <w:szCs w:val="18"/>
        </w:rPr>
        <w:footnoteRef/>
      </w:r>
      <w:r w:rsidRPr="002A000A">
        <w:rPr>
          <w:rFonts w:ascii="Verdana" w:hAnsi="Verdana" w:cs="Arial"/>
          <w:color w:val="000000"/>
          <w:sz w:val="18"/>
          <w:szCs w:val="18"/>
        </w:rPr>
        <w:t xml:space="preserve"> “En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hasta el punto que toda persona, en principio, es capaz, salvo lo que en contrario disponga la ley, no es requisito necesario ser persona para disponer de capacidad jurídica”. (Corte Constitucional, sentencia C-414 de 1994, M.P. Antonio Barrera</w:t>
      </w:r>
      <w:r w:rsidRPr="002A000A">
        <w:rPr>
          <w:rFonts w:ascii="Verdana" w:hAnsi="Verdana" w:cs="Arial"/>
          <w:color w:val="000000"/>
          <w:spacing w:val="-20"/>
          <w:sz w:val="18"/>
          <w:szCs w:val="18"/>
        </w:rPr>
        <w:t xml:space="preserve"> </w:t>
      </w:r>
      <w:r w:rsidRPr="002A000A">
        <w:rPr>
          <w:rFonts w:ascii="Verdana" w:hAnsi="Verdana" w:cs="Arial"/>
          <w:color w:val="000000"/>
          <w:sz w:val="18"/>
          <w:szCs w:val="18"/>
        </w:rPr>
        <w:t>Carbonell).</w:t>
      </w:r>
    </w:p>
    <w:p w14:paraId="51CCA7CF" w14:textId="77777777" w:rsidR="002A000A" w:rsidRPr="002A000A" w:rsidRDefault="002A000A" w:rsidP="002A000A">
      <w:pPr>
        <w:pStyle w:val="Textonotapie"/>
        <w:snapToGrid w:val="0"/>
        <w:ind w:firstLine="709"/>
        <w:jc w:val="both"/>
        <w:rPr>
          <w:rFonts w:ascii="Verdana" w:hAnsi="Verdana" w:cs="Arial"/>
          <w:color w:val="000000"/>
          <w:sz w:val="18"/>
          <w:szCs w:val="18"/>
        </w:rPr>
      </w:pPr>
    </w:p>
  </w:footnote>
  <w:footnote w:id="9">
    <w:p w14:paraId="334E950E" w14:textId="77777777" w:rsidR="002A000A" w:rsidRPr="002A000A" w:rsidRDefault="002A000A" w:rsidP="002A000A">
      <w:pPr>
        <w:pStyle w:val="Textonotapie"/>
        <w:snapToGrid w:val="0"/>
        <w:ind w:firstLine="709"/>
        <w:jc w:val="both"/>
        <w:rPr>
          <w:rFonts w:ascii="Verdana" w:hAnsi="Verdana" w:cs="Arial"/>
          <w:color w:val="000000"/>
          <w:sz w:val="18"/>
          <w:szCs w:val="18"/>
        </w:rPr>
      </w:pPr>
      <w:r w:rsidRPr="002A000A">
        <w:rPr>
          <w:rStyle w:val="Refdenotaalpie"/>
          <w:rFonts w:ascii="Verdana" w:hAnsi="Verdana" w:cs="Arial"/>
          <w:color w:val="000000"/>
          <w:sz w:val="18"/>
          <w:szCs w:val="18"/>
        </w:rPr>
        <w:footnoteRef/>
      </w:r>
      <w:r w:rsidRPr="002A000A">
        <w:rPr>
          <w:rFonts w:ascii="Verdana" w:hAnsi="Verdana" w:cs="Arial"/>
          <w:color w:val="000000"/>
          <w:sz w:val="18"/>
          <w:szCs w:val="18"/>
        </w:rPr>
        <w:t xml:space="preserve"> EXPOSITO VÉLEZ, Juan Carlos. Forma y contenido del contrato estatal. Universidad Externado de Colombia, Bogotá, 2013, 1ra Ed., p.112.</w:t>
      </w:r>
    </w:p>
    <w:p w14:paraId="68B9004B" w14:textId="77777777" w:rsidR="002A000A" w:rsidRPr="002A000A" w:rsidRDefault="002A000A" w:rsidP="002A000A">
      <w:pPr>
        <w:pStyle w:val="Textonotapie"/>
        <w:snapToGrid w:val="0"/>
        <w:ind w:firstLine="709"/>
        <w:jc w:val="both"/>
        <w:rPr>
          <w:rFonts w:ascii="Verdana" w:hAnsi="Verdana" w:cs="Arial"/>
          <w:color w:val="000000"/>
          <w:sz w:val="18"/>
          <w:szCs w:val="18"/>
          <w:lang w:val="es-CO"/>
        </w:rPr>
      </w:pPr>
    </w:p>
  </w:footnote>
  <w:footnote w:id="10">
    <w:p w14:paraId="1C4D1EA8" w14:textId="77777777" w:rsidR="002A000A" w:rsidRPr="002A000A" w:rsidRDefault="002A000A" w:rsidP="002A000A">
      <w:pPr>
        <w:pStyle w:val="Textonotapie"/>
        <w:snapToGrid w:val="0"/>
        <w:ind w:firstLine="709"/>
        <w:jc w:val="both"/>
        <w:rPr>
          <w:rFonts w:ascii="Verdana" w:hAnsi="Verdana" w:cs="Arial"/>
          <w:color w:val="000000"/>
          <w:sz w:val="18"/>
          <w:szCs w:val="18"/>
          <w:lang w:val="es-CO"/>
        </w:rPr>
      </w:pPr>
      <w:r w:rsidRPr="002A000A">
        <w:rPr>
          <w:rStyle w:val="Refdenotaalpie"/>
          <w:rFonts w:ascii="Verdana" w:hAnsi="Verdana" w:cs="Arial"/>
          <w:color w:val="000000"/>
          <w:sz w:val="18"/>
          <w:szCs w:val="18"/>
        </w:rPr>
        <w:footnoteRef/>
      </w:r>
      <w:r w:rsidRPr="002A000A">
        <w:rPr>
          <w:rFonts w:ascii="Verdana" w:hAnsi="Verdana" w:cs="Arial"/>
          <w:color w:val="000000"/>
          <w:sz w:val="18"/>
          <w:szCs w:val="18"/>
        </w:rPr>
        <w:t xml:space="preserve"> Sobre el particular ver: </w:t>
      </w:r>
      <w:r w:rsidRPr="002A000A">
        <w:rPr>
          <w:rFonts w:ascii="Verdana" w:hAnsi="Verdana" w:cs="Arial"/>
          <w:color w:val="000000"/>
          <w:sz w:val="18"/>
          <w:szCs w:val="18"/>
          <w:lang w:val="es-CO"/>
        </w:rPr>
        <w:t xml:space="preserve">Consejo de Estado. Sección Tercera. Sentencia del 10 de agosto de 2016. Exp. 34369. C.P. Hernán Andrade Rincón; y Sentencia del 8 de febrero de 2012. Exp. 34369A. C.P. Ruth Stella Correa Palacio. </w:t>
      </w:r>
    </w:p>
  </w:footnote>
  <w:footnote w:id="11">
    <w:p w14:paraId="559DCB9A" w14:textId="77777777" w:rsidR="002A000A" w:rsidRPr="002A000A" w:rsidRDefault="002A000A" w:rsidP="002A000A">
      <w:pPr>
        <w:pStyle w:val="Textonotapie"/>
        <w:snapToGrid w:val="0"/>
        <w:ind w:firstLine="709"/>
        <w:jc w:val="both"/>
        <w:rPr>
          <w:rFonts w:ascii="Verdana" w:eastAsia="Calibri" w:hAnsi="Verdana" w:cs="Arial"/>
          <w:color w:val="000000"/>
          <w:sz w:val="18"/>
          <w:szCs w:val="18"/>
        </w:rPr>
      </w:pPr>
      <w:r w:rsidRPr="002A000A">
        <w:rPr>
          <w:rStyle w:val="Refdenotaalpie"/>
          <w:rFonts w:ascii="Verdana" w:hAnsi="Verdana" w:cs="Arial"/>
          <w:color w:val="000000"/>
          <w:sz w:val="18"/>
          <w:szCs w:val="18"/>
        </w:rPr>
        <w:footnoteRef/>
      </w:r>
      <w:r w:rsidRPr="002A000A">
        <w:rPr>
          <w:rFonts w:ascii="Verdana" w:hAnsi="Verdana" w:cs="Arial"/>
          <w:color w:val="000000"/>
          <w:sz w:val="18"/>
          <w:szCs w:val="18"/>
        </w:rPr>
        <w:t xml:space="preserve"> </w:t>
      </w:r>
      <w:r w:rsidRPr="002A000A">
        <w:rPr>
          <w:rFonts w:ascii="Verdana" w:eastAsia="Calibri" w:hAnsi="Verdana" w:cs="Arial"/>
          <w:color w:val="000000"/>
          <w:sz w:val="18"/>
          <w:szCs w:val="18"/>
        </w:rPr>
        <w:t>Código de Comercio: “Artículo 26. Registro mercantil. El registro mercantil tendrá por objeto llevar la matrícula de los comerciantes y de los establecimientos de comercio, así como la inscripción de todos los actos, libros y documentos respecto de los cuales la ley exigiere esa formalidad.”</w:t>
      </w:r>
    </w:p>
    <w:p w14:paraId="2198B21B" w14:textId="77777777" w:rsidR="002A000A" w:rsidRPr="002A000A" w:rsidRDefault="002A000A" w:rsidP="002A000A">
      <w:pPr>
        <w:pStyle w:val="Textonotapie"/>
        <w:snapToGrid w:val="0"/>
        <w:ind w:firstLine="709"/>
        <w:jc w:val="both"/>
        <w:rPr>
          <w:rFonts w:ascii="Verdana" w:eastAsia="Calibri" w:hAnsi="Verdana" w:cs="Arial"/>
          <w:color w:val="000000"/>
          <w:sz w:val="18"/>
          <w:szCs w:val="18"/>
        </w:rPr>
      </w:pPr>
    </w:p>
  </w:footnote>
  <w:footnote w:id="12">
    <w:p w14:paraId="79F58382" w14:textId="77777777" w:rsidR="002A000A" w:rsidRPr="002A000A" w:rsidRDefault="002A000A" w:rsidP="002A000A">
      <w:pPr>
        <w:pStyle w:val="Textonotapie"/>
        <w:snapToGrid w:val="0"/>
        <w:ind w:firstLine="709"/>
        <w:jc w:val="both"/>
        <w:rPr>
          <w:rFonts w:ascii="Verdana" w:eastAsia="Calibri" w:hAnsi="Verdana" w:cs="Arial"/>
          <w:color w:val="000000"/>
          <w:sz w:val="18"/>
          <w:szCs w:val="18"/>
        </w:rPr>
      </w:pPr>
      <w:r w:rsidRPr="002A000A">
        <w:rPr>
          <w:rStyle w:val="Refdenotaalpie"/>
          <w:rFonts w:ascii="Verdana" w:hAnsi="Verdana" w:cs="Arial"/>
          <w:color w:val="000000"/>
          <w:sz w:val="18"/>
          <w:szCs w:val="18"/>
        </w:rPr>
        <w:footnoteRef/>
      </w:r>
      <w:r w:rsidRPr="002A000A">
        <w:rPr>
          <w:rFonts w:ascii="Verdana" w:hAnsi="Verdana" w:cs="Arial"/>
          <w:color w:val="000000"/>
          <w:sz w:val="18"/>
          <w:szCs w:val="18"/>
        </w:rPr>
        <w:t xml:space="preserve"> </w:t>
      </w:r>
      <w:r w:rsidRPr="002A000A">
        <w:rPr>
          <w:rFonts w:ascii="Verdana" w:eastAsia="Calibri" w:hAnsi="Verdana" w:cs="Arial"/>
          <w:color w:val="000000"/>
          <w:sz w:val="18"/>
          <w:szCs w:val="18"/>
        </w:rPr>
        <w:t>Código de Comercio: “Artículo 10. Son comerciantes las personas que profesionalmente se ocupan en alguna de las actividades que la ley considera mercantiles.</w:t>
      </w:r>
    </w:p>
    <w:p w14:paraId="5AC2F9ED" w14:textId="77777777" w:rsidR="002A000A" w:rsidRPr="002A000A" w:rsidRDefault="002A000A" w:rsidP="002A000A">
      <w:pPr>
        <w:pStyle w:val="Textonotapie"/>
        <w:snapToGrid w:val="0"/>
        <w:ind w:firstLine="709"/>
        <w:jc w:val="both"/>
        <w:rPr>
          <w:rFonts w:ascii="Verdana" w:eastAsia="Calibri" w:hAnsi="Verdana" w:cs="Arial"/>
          <w:color w:val="000000"/>
          <w:sz w:val="18"/>
          <w:szCs w:val="18"/>
        </w:rPr>
      </w:pPr>
      <w:r w:rsidRPr="002A000A">
        <w:rPr>
          <w:rFonts w:ascii="Verdana" w:eastAsia="Calibri" w:hAnsi="Verdana" w:cs="Arial"/>
          <w:color w:val="000000"/>
          <w:sz w:val="18"/>
          <w:szCs w:val="18"/>
        </w:rPr>
        <w:t>La calidad de comerciante se adquiere aunque la actividad mercantil se ejerza por medio de apoderado, intermediario o interpuesta persona.”</w:t>
      </w:r>
    </w:p>
    <w:p w14:paraId="04FAE1ED" w14:textId="77777777" w:rsidR="002A000A" w:rsidRPr="002A000A" w:rsidRDefault="002A000A" w:rsidP="002A000A">
      <w:pPr>
        <w:pStyle w:val="Textonotapie"/>
        <w:snapToGrid w:val="0"/>
        <w:ind w:firstLine="709"/>
        <w:jc w:val="both"/>
        <w:rPr>
          <w:rFonts w:ascii="Verdana" w:eastAsia="Calibri" w:hAnsi="Verdana" w:cs="Arial"/>
          <w:color w:val="000000"/>
          <w:sz w:val="18"/>
          <w:szCs w:val="18"/>
          <w:lang w:val="es-ES_tradnl"/>
        </w:rPr>
      </w:pPr>
    </w:p>
  </w:footnote>
  <w:footnote w:id="13">
    <w:p w14:paraId="27B9F8FF" w14:textId="77777777" w:rsidR="002A000A" w:rsidRPr="00BF4B74" w:rsidRDefault="002A000A" w:rsidP="002A000A">
      <w:pPr>
        <w:pStyle w:val="Textonotapie"/>
        <w:ind w:firstLine="709"/>
        <w:jc w:val="both"/>
        <w:rPr>
          <w:rFonts w:ascii="Verdana" w:hAnsi="Verdana"/>
          <w:sz w:val="18"/>
          <w:szCs w:val="18"/>
        </w:rPr>
      </w:pPr>
      <w:r w:rsidRPr="00BF4B74">
        <w:rPr>
          <w:rStyle w:val="Refdenotaalpie"/>
          <w:rFonts w:ascii="Verdana" w:hAnsi="Verdana"/>
          <w:sz w:val="18"/>
          <w:szCs w:val="18"/>
        </w:rPr>
        <w:footnoteRef/>
      </w:r>
      <w:r w:rsidRPr="00BF4B74">
        <w:rPr>
          <w:rFonts w:ascii="Verdana" w:hAnsi="Verdana"/>
          <w:sz w:val="18"/>
          <w:szCs w:val="18"/>
        </w:rPr>
        <w:t xml:space="preserve"> Por ejemplo, el artículo 37 del Código de Comercio señala lo siguiente: </w:t>
      </w:r>
      <w:r w:rsidRPr="00B37C80">
        <w:rPr>
          <w:rFonts w:ascii="Verdana" w:hAnsi="Verdana"/>
          <w:i/>
          <w:iCs/>
          <w:sz w:val="18"/>
          <w:szCs w:val="18"/>
        </w:rPr>
        <w:t>“</w:t>
      </w:r>
      <w:r>
        <w:rPr>
          <w:rFonts w:ascii="Verdana" w:hAnsi="Verdana"/>
          <w:i/>
          <w:iCs/>
          <w:sz w:val="18"/>
          <w:szCs w:val="18"/>
        </w:rPr>
        <w:t>[l]</w:t>
      </w:r>
      <w:r w:rsidRPr="00B37C80">
        <w:rPr>
          <w:rFonts w:ascii="Verdana" w:hAnsi="Verdana"/>
          <w:i/>
          <w:iCs/>
          <w:sz w:val="18"/>
          <w:szCs w:val="18"/>
        </w:rPr>
        <w:t>a persona que ejerza profesionalmente el comercio sin estar inscrita en el registro mercantil incurrirá en multa hasta de diez mil pesos, que impondrá la Superintendencia de Industria y Comercio, sin perjuicio de las demás sanciones legales. La misma sanción se aplicará cuando se omita la inscripción o matrícula de un establecimiento de comercio.”</w:t>
      </w:r>
      <w:r w:rsidRPr="00BF4B74">
        <w:rPr>
          <w:rFonts w:ascii="Verdana" w:hAnsi="Verdana"/>
          <w:sz w:val="18"/>
          <w:szCs w:val="18"/>
        </w:rPr>
        <w:t xml:space="preserve"> Al respecto, es necesario acotar que, a partir del 1 de enero de 2022, la Superintendencia de Sociedades ejercerá las competencias asignadas en este artículo a la Superintendencia de Industria y Comercio, en concordancia con el artículo 70 de la Ley 2069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5" type="#_x0000_t75" style="width:11.7pt;height:11.7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A91CD2"/>
    <w:multiLevelType w:val="hybridMultilevel"/>
    <w:tmpl w:val="B762C5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679089576">
    <w:abstractNumId w:val="9"/>
  </w:num>
  <w:num w:numId="17" w16cid:durableId="2994616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157F9"/>
    <w:rsid w:val="00125105"/>
    <w:rsid w:val="00127233"/>
    <w:rsid w:val="001511A0"/>
    <w:rsid w:val="001E4177"/>
    <w:rsid w:val="001F7DC6"/>
    <w:rsid w:val="002421BB"/>
    <w:rsid w:val="0025796E"/>
    <w:rsid w:val="002707A2"/>
    <w:rsid w:val="002951A0"/>
    <w:rsid w:val="002962BC"/>
    <w:rsid w:val="002A000A"/>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E7EE2"/>
    <w:rsid w:val="004F21C4"/>
    <w:rsid w:val="004F685F"/>
    <w:rsid w:val="005566E8"/>
    <w:rsid w:val="00574867"/>
    <w:rsid w:val="00591460"/>
    <w:rsid w:val="005B3816"/>
    <w:rsid w:val="005B6119"/>
    <w:rsid w:val="005C36E7"/>
    <w:rsid w:val="005C3777"/>
    <w:rsid w:val="005C5CDC"/>
    <w:rsid w:val="005D476C"/>
    <w:rsid w:val="006219F8"/>
    <w:rsid w:val="00665D70"/>
    <w:rsid w:val="006900D9"/>
    <w:rsid w:val="00706C16"/>
    <w:rsid w:val="00756841"/>
    <w:rsid w:val="007649AB"/>
    <w:rsid w:val="00771D0C"/>
    <w:rsid w:val="007833AC"/>
    <w:rsid w:val="007B268C"/>
    <w:rsid w:val="007B7171"/>
    <w:rsid w:val="007C0C0F"/>
    <w:rsid w:val="007C3DC2"/>
    <w:rsid w:val="007E5497"/>
    <w:rsid w:val="00806F5F"/>
    <w:rsid w:val="00820278"/>
    <w:rsid w:val="00836C76"/>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C3D36"/>
    <w:rsid w:val="00BD7F72"/>
    <w:rsid w:val="00C04FB3"/>
    <w:rsid w:val="00C330EB"/>
    <w:rsid w:val="00C35504"/>
    <w:rsid w:val="00C41061"/>
    <w:rsid w:val="00C754BE"/>
    <w:rsid w:val="00C76B1C"/>
    <w:rsid w:val="00CB6357"/>
    <w:rsid w:val="00CC1B26"/>
    <w:rsid w:val="00CE52D2"/>
    <w:rsid w:val="00D423A2"/>
    <w:rsid w:val="00D520D8"/>
    <w:rsid w:val="00D63AC2"/>
    <w:rsid w:val="00D7383B"/>
    <w:rsid w:val="00DA231B"/>
    <w:rsid w:val="00DC39FC"/>
    <w:rsid w:val="00DF5254"/>
    <w:rsid w:val="00E031A9"/>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EF714C"/>
    <w:rsid w:val="00F31EDC"/>
    <w:rsid w:val="00F462B3"/>
    <w:rsid w:val="00F5664F"/>
    <w:rsid w:val="00F666C4"/>
    <w:rsid w:val="00F76AFC"/>
    <w:rsid w:val="00FA47C0"/>
    <w:rsid w:val="00FB5DD1"/>
    <w:rsid w:val="00FC2B5D"/>
    <w:rsid w:val="00FD574A"/>
    <w:rsid w:val="00FF1449"/>
    <w:rsid w:val="165E9519"/>
    <w:rsid w:val="382536D9"/>
    <w:rsid w:val="38FACAB2"/>
    <w:rsid w:val="4B773F29"/>
    <w:rsid w:val="56A7360F"/>
    <w:rsid w:val="65810F6E"/>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A000A"/>
    <w:pPr>
      <w:spacing w:line="240" w:lineRule="exact"/>
    </w:pPr>
    <w:rPr>
      <w:vertAlign w:val="superscript"/>
    </w:rPr>
  </w:style>
  <w:style w:type="table" w:customStyle="1" w:styleId="Tablaconcuadrcula11">
    <w:name w:val="Tabla con cuadrícula11"/>
    <w:basedOn w:val="Tablanormal"/>
    <w:next w:val="Tablaconcuadrcula"/>
    <w:uiPriority w:val="59"/>
    <w:qFormat/>
    <w:rsid w:val="002A0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1">
    <w:name w:val="Car1"/>
    <w:basedOn w:val="Normal"/>
    <w:next w:val="Textonotapie"/>
    <w:uiPriority w:val="99"/>
    <w:unhideWhenUsed/>
    <w:qFormat/>
    <w:rsid w:val="002A000A"/>
    <w:pPr>
      <w:spacing w:after="0" w:line="240" w:lineRule="auto"/>
    </w:pPr>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archivos/manual/manual-para-determinar-y-verificar-los-requisitos-habilitantes-en-los-procesos-de-contratacion"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manuales-guias-y-pliegos-tipo/manuales-y-guias/manual-para-determinar-y-verificar-los-requisi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9967CE-FCF4-42A0-9E52-15F2237213CE}"/>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d3b1a209-6428-47ff-99e7-c80af990773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5814</Words>
  <Characters>31978</Characters>
  <Application>Microsoft Office Word</Application>
  <DocSecurity>0</DocSecurity>
  <Lines>266</Lines>
  <Paragraphs>75</Paragraphs>
  <ScaleCrop>false</ScaleCrop>
  <Company/>
  <LinksUpToDate>false</LinksUpToDate>
  <CharactersWithSpaces>37717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2025-08-04T23:58:00Z</dcterms:created>
  <dcterms:modified xsi:type="dcterms:W3CDTF">2025-08-05T00:01:00Z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