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CD9A0" w14:textId="77777777" w:rsidR="00BC11AD" w:rsidRDefault="00BC11AD" w:rsidP="00BC11AD">
      <w:pPr>
        <w:spacing w:after="0" w:line="240" w:lineRule="auto"/>
        <w:jc w:val="both"/>
        <w:rPr>
          <w:rFonts w:ascii="Verdana" w:hAnsi="Verdana" w:cs="Arial"/>
          <w:b/>
          <w:lang w:val="es-MX"/>
        </w:rPr>
      </w:pPr>
      <w:bookmarkStart w:id="0" w:name="_Hlk143780582"/>
      <w:bookmarkStart w:id="1" w:name="_Hlk203576622"/>
      <w:r w:rsidRPr="00BB73C5">
        <w:rPr>
          <w:rFonts w:ascii="Verdana" w:hAnsi="Verdana" w:cs="Arial"/>
          <w:b/>
          <w:lang w:val="es-MX"/>
        </w:rPr>
        <w:t xml:space="preserve">INHABILIDADES E INCOMPATIBILIDADES ─ Definición ─ </w:t>
      </w:r>
      <w:r>
        <w:rPr>
          <w:rFonts w:ascii="Verdana" w:hAnsi="Verdana" w:cs="Arial"/>
          <w:b/>
          <w:lang w:val="es-MX"/>
        </w:rPr>
        <w:t>Finalidad – INHABILIDADES E INCOMPATIBILIDADES – Limitación capacidad contractual</w:t>
      </w:r>
    </w:p>
    <w:p w14:paraId="4A25C211" w14:textId="77777777" w:rsidR="00BC11AD" w:rsidRDefault="00BC11AD" w:rsidP="00BC11AD">
      <w:pPr>
        <w:spacing w:after="0" w:line="240" w:lineRule="auto"/>
        <w:jc w:val="both"/>
        <w:rPr>
          <w:rFonts w:ascii="Verdana" w:hAnsi="Verdana" w:cs="Arial"/>
          <w:b/>
          <w:lang w:val="es-MX"/>
        </w:rPr>
      </w:pPr>
    </w:p>
    <w:p w14:paraId="2592D215" w14:textId="77777777" w:rsidR="00BC11AD" w:rsidRPr="00B61938" w:rsidRDefault="00BC11AD" w:rsidP="00BC11AD">
      <w:pPr>
        <w:spacing w:after="0" w:line="240" w:lineRule="auto"/>
        <w:jc w:val="both"/>
        <w:rPr>
          <w:rFonts w:ascii="Verdana" w:eastAsia="Calibri" w:hAnsi="Verdana" w:cs="Arial"/>
          <w:sz w:val="20"/>
          <w:szCs w:val="20"/>
          <w:lang w:val="es-MX"/>
        </w:rPr>
      </w:pPr>
      <w:r w:rsidRPr="00B61938">
        <w:rPr>
          <w:rFonts w:ascii="Verdana" w:eastAsia="Calibri" w:hAnsi="Verdana" w:cs="Arial"/>
          <w:sz w:val="20"/>
          <w:szCs w:val="20"/>
          <w:lang w:val="es-MX"/>
        </w:rPr>
        <w:t>Las inhabilidades son circunstancias establecidas por la Constitución o la ley que impiden que personas naturales o jurídicas sean elegidas o designadas en un cargo público, celebren contratos con el Estado, o no puedan ejercer una profesión, con el objetivo de garantizar la idoneidad, imparcialidad, probidad, transparencia y moralidad de la función pública, garantizando el interés general.</w:t>
      </w:r>
    </w:p>
    <w:p w14:paraId="0C92232F" w14:textId="77777777" w:rsidR="00BC11AD" w:rsidRPr="00B61938" w:rsidRDefault="00BC11AD" w:rsidP="00BC11AD">
      <w:pPr>
        <w:spacing w:after="0" w:line="240" w:lineRule="auto"/>
        <w:jc w:val="both"/>
        <w:rPr>
          <w:rFonts w:ascii="Verdana" w:eastAsia="Calibri" w:hAnsi="Verdana" w:cs="Arial"/>
          <w:sz w:val="20"/>
          <w:szCs w:val="20"/>
          <w:lang w:val="es-MX"/>
        </w:rPr>
      </w:pPr>
    </w:p>
    <w:p w14:paraId="5D5C745A" w14:textId="77777777" w:rsidR="00BC11AD" w:rsidRPr="00B61938" w:rsidRDefault="00BC11AD" w:rsidP="00BC11AD">
      <w:pPr>
        <w:spacing w:after="0" w:line="240" w:lineRule="auto"/>
        <w:jc w:val="both"/>
        <w:rPr>
          <w:rFonts w:ascii="Verdana" w:hAnsi="Verdana" w:cs="Arial"/>
          <w:sz w:val="20"/>
          <w:szCs w:val="20"/>
          <w:lang w:val="es-MX"/>
        </w:rPr>
      </w:pPr>
      <w:r w:rsidRPr="00B61938">
        <w:rPr>
          <w:rFonts w:ascii="Verdana" w:hAnsi="Verdana" w:cs="Arial"/>
          <w:sz w:val="20"/>
          <w:szCs w:val="20"/>
          <w:lang w:val="es-MX"/>
        </w:rPr>
        <w:t xml:space="preserve">[…] </w:t>
      </w:r>
    </w:p>
    <w:p w14:paraId="3EE875F7" w14:textId="77777777" w:rsidR="00BC11AD" w:rsidRPr="00B61938" w:rsidRDefault="00BC11AD" w:rsidP="00BC11AD">
      <w:pPr>
        <w:spacing w:after="0" w:line="240" w:lineRule="auto"/>
        <w:jc w:val="both"/>
        <w:rPr>
          <w:rFonts w:ascii="Verdana" w:hAnsi="Verdana" w:cs="Arial"/>
          <w:sz w:val="20"/>
          <w:szCs w:val="20"/>
          <w:lang w:val="es-MX"/>
        </w:rPr>
      </w:pPr>
    </w:p>
    <w:p w14:paraId="77025354" w14:textId="77777777" w:rsidR="00BC11AD" w:rsidRDefault="00BC11AD" w:rsidP="00BC11AD">
      <w:pPr>
        <w:spacing w:after="0" w:line="240" w:lineRule="auto"/>
        <w:jc w:val="both"/>
        <w:rPr>
          <w:rFonts w:ascii="Verdana" w:eastAsia="Calibri" w:hAnsi="Verdana" w:cs="Arial"/>
          <w:sz w:val="20"/>
          <w:szCs w:val="20"/>
          <w:lang w:val="es-MX"/>
        </w:rPr>
      </w:pPr>
      <w:r w:rsidRPr="00B61938">
        <w:rPr>
          <w:rFonts w:ascii="Verdana" w:eastAsia="Calibri" w:hAnsi="Verdana" w:cs="Arial"/>
          <w:sz w:val="20"/>
          <w:szCs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Fonts w:ascii="Verdana" w:eastAsia="Calibri" w:hAnsi="Verdana" w:cs="Arial"/>
          <w:sz w:val="20"/>
          <w:szCs w:val="20"/>
          <w:lang w:val="es-MX"/>
        </w:rPr>
        <w:t>.</w:t>
      </w:r>
    </w:p>
    <w:p w14:paraId="2F43AC1C" w14:textId="77777777" w:rsidR="00BC11AD" w:rsidRDefault="00BC11AD" w:rsidP="00BC11AD">
      <w:pPr>
        <w:spacing w:after="0" w:line="240" w:lineRule="auto"/>
        <w:jc w:val="both"/>
        <w:rPr>
          <w:rFonts w:ascii="Verdana" w:eastAsia="Calibri" w:hAnsi="Verdana" w:cs="Arial"/>
          <w:sz w:val="20"/>
          <w:szCs w:val="20"/>
          <w:lang w:val="es-MX"/>
        </w:rPr>
      </w:pPr>
    </w:p>
    <w:p w14:paraId="522E8BE8" w14:textId="77777777" w:rsidR="00BC11AD" w:rsidRPr="00BB73C5" w:rsidRDefault="00BC11AD" w:rsidP="00BC11AD">
      <w:pPr>
        <w:spacing w:after="0" w:line="240" w:lineRule="auto"/>
        <w:jc w:val="both"/>
        <w:rPr>
          <w:rFonts w:ascii="Verdana" w:hAnsi="Verdana" w:cs="Arial"/>
          <w:b/>
          <w:lang w:val="es-ES_tradnl"/>
        </w:rPr>
      </w:pPr>
      <w:r w:rsidRPr="00BB73C5">
        <w:rPr>
          <w:rFonts w:ascii="Verdana" w:hAnsi="Verdana" w:cs="Arial"/>
          <w:b/>
          <w:lang w:val="es-ES_tradnl"/>
        </w:rPr>
        <w:t>INHABILIDADES – Taxatividad – Principio de legalidad – Interpretación restrictiva</w:t>
      </w:r>
      <w:r w:rsidRPr="00BB73C5" w:rsidDel="00A75E55">
        <w:rPr>
          <w:rFonts w:ascii="Verdana" w:hAnsi="Verdana" w:cs="Arial"/>
          <w:b/>
          <w:lang w:val="es-ES_tradnl"/>
        </w:rPr>
        <w:t xml:space="preserve"> </w:t>
      </w:r>
    </w:p>
    <w:p w14:paraId="5EBA2609" w14:textId="77777777" w:rsidR="00BC11AD" w:rsidRDefault="00BC11AD" w:rsidP="00BC11AD">
      <w:pPr>
        <w:spacing w:after="0" w:line="240" w:lineRule="auto"/>
        <w:jc w:val="both"/>
        <w:rPr>
          <w:rFonts w:ascii="Verdana" w:eastAsia="Calibri" w:hAnsi="Verdana" w:cs="Arial"/>
          <w:sz w:val="20"/>
          <w:szCs w:val="20"/>
          <w:lang w:val="es-ES_tradnl"/>
        </w:rPr>
      </w:pPr>
    </w:p>
    <w:p w14:paraId="2652108C" w14:textId="77777777" w:rsidR="00BC11AD" w:rsidRDefault="00BC11AD" w:rsidP="00BC11AD">
      <w:pPr>
        <w:spacing w:after="0" w:line="240" w:lineRule="auto"/>
        <w:jc w:val="both"/>
        <w:rPr>
          <w:rFonts w:ascii="Verdana" w:eastAsia="Calibri" w:hAnsi="Verdana" w:cs="Arial"/>
          <w:sz w:val="20"/>
          <w:szCs w:val="20"/>
          <w:lang w:val="es-ES_tradnl"/>
        </w:rPr>
      </w:pPr>
      <w:r>
        <w:rPr>
          <w:rFonts w:ascii="Verdana" w:eastAsia="Calibri" w:hAnsi="Verdana" w:cs="Arial"/>
          <w:sz w:val="20"/>
          <w:szCs w:val="20"/>
          <w:lang w:val="es-ES_tradnl"/>
        </w:rPr>
        <w:t xml:space="preserve">[…] </w:t>
      </w:r>
      <w:r w:rsidRPr="00B61938">
        <w:rPr>
          <w:rFonts w:ascii="Verdana" w:eastAsia="Calibri" w:hAnsi="Verdana" w:cs="Arial"/>
          <w:sz w:val="20"/>
          <w:szCs w:val="20"/>
          <w:lang w:val="es-ES_tradnl"/>
        </w:rPr>
        <w:t xml:space="preserve">las inhabilidades e incompatibilidades al ser restricciones o límites especiales a la capacidad para presentar ofertas y celebrar contratos estatales, solo pueden tipificarse en la ley o la Constitución –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w:t>
      </w:r>
    </w:p>
    <w:p w14:paraId="35518634" w14:textId="77777777" w:rsidR="00BC11AD" w:rsidRDefault="00BC11AD" w:rsidP="00BC11AD">
      <w:pPr>
        <w:spacing w:after="0" w:line="240" w:lineRule="auto"/>
        <w:jc w:val="both"/>
        <w:rPr>
          <w:rFonts w:ascii="Verdana" w:eastAsia="Calibri" w:hAnsi="Verdana" w:cs="Arial"/>
          <w:sz w:val="20"/>
          <w:szCs w:val="20"/>
          <w:lang w:val="es-ES_tradnl"/>
        </w:rPr>
      </w:pPr>
    </w:p>
    <w:p w14:paraId="13964D56" w14:textId="77777777" w:rsidR="00BC11AD" w:rsidRPr="00360032" w:rsidRDefault="00BC11AD" w:rsidP="00BC11AD">
      <w:pPr>
        <w:spacing w:after="0"/>
        <w:jc w:val="both"/>
        <w:rPr>
          <w:rFonts w:ascii="Verdana" w:eastAsia="Calibri" w:hAnsi="Verdana" w:cs="Arial"/>
          <w:b/>
          <w:bCs/>
        </w:rPr>
      </w:pPr>
      <w:r w:rsidRPr="00360032">
        <w:rPr>
          <w:rFonts w:ascii="Verdana" w:eastAsia="Calibri" w:hAnsi="Verdana" w:cs="Arial"/>
          <w:b/>
          <w:bCs/>
          <w:lang w:val="es-ES_tradnl"/>
        </w:rPr>
        <w:t xml:space="preserve">CONFLICTO DE INTERESES </w:t>
      </w:r>
      <w:r>
        <w:rPr>
          <w:rFonts w:ascii="Verdana" w:eastAsia="Calibri" w:hAnsi="Verdana" w:cs="Arial"/>
          <w:b/>
          <w:bCs/>
          <w:lang w:val="es-ES_tradnl"/>
        </w:rPr>
        <w:t>–</w:t>
      </w:r>
      <w:r w:rsidRPr="00360032">
        <w:rPr>
          <w:rFonts w:ascii="Verdana" w:eastAsia="Calibri" w:hAnsi="Verdana" w:cs="Arial"/>
          <w:b/>
          <w:bCs/>
          <w:lang w:val="es-ES_tradnl"/>
        </w:rPr>
        <w:t xml:space="preserve"> </w:t>
      </w:r>
      <w:r>
        <w:rPr>
          <w:rFonts w:ascii="Verdana" w:eastAsia="Calibri" w:hAnsi="Verdana" w:cs="Arial"/>
          <w:b/>
          <w:bCs/>
          <w:lang w:val="es-ES_tradnl"/>
        </w:rPr>
        <w:t xml:space="preserve">Función administrativa – Objetivo </w:t>
      </w:r>
    </w:p>
    <w:p w14:paraId="0821AAEC" w14:textId="77777777" w:rsidR="00BC11AD" w:rsidRDefault="00BC11AD" w:rsidP="00BC11AD">
      <w:pPr>
        <w:spacing w:after="0" w:line="240" w:lineRule="auto"/>
        <w:jc w:val="both"/>
        <w:rPr>
          <w:rFonts w:ascii="Verdana" w:eastAsia="Calibri" w:hAnsi="Verdana" w:cs="Arial"/>
          <w:sz w:val="20"/>
          <w:szCs w:val="20"/>
          <w:lang w:val="es-ES_tradnl"/>
        </w:rPr>
      </w:pPr>
    </w:p>
    <w:p w14:paraId="0EA6C893" w14:textId="77777777" w:rsidR="00BC11AD" w:rsidRPr="00360032" w:rsidRDefault="00BC11AD" w:rsidP="00BC11AD">
      <w:pPr>
        <w:widowControl w:val="0"/>
        <w:autoSpaceDE w:val="0"/>
        <w:autoSpaceDN w:val="0"/>
        <w:spacing w:after="0" w:line="240" w:lineRule="auto"/>
        <w:jc w:val="both"/>
        <w:rPr>
          <w:rFonts w:ascii="Verdana" w:hAnsi="Verdana" w:cs="Arial"/>
          <w:color w:val="000000" w:themeColor="text1"/>
          <w:sz w:val="20"/>
          <w:szCs w:val="20"/>
          <w:lang w:val="es-ES_tradnl"/>
        </w:rPr>
      </w:pPr>
      <w:r w:rsidRPr="00360032">
        <w:rPr>
          <w:rFonts w:ascii="Verdana" w:eastAsia="Arial MT" w:hAnsi="Verdana" w:cs="Arial"/>
          <w:sz w:val="20"/>
          <w:szCs w:val="20"/>
          <w:lang w:eastAsia="es-ES" w:bidi="es-ES"/>
        </w:rPr>
        <w:t xml:space="preserve">Al respecto, es importante señalar que </w:t>
      </w:r>
      <w:r w:rsidRPr="00360032">
        <w:rPr>
          <w:rFonts w:ascii="Verdana" w:hAnsi="Verdana" w:cs="Arial"/>
          <w:color w:val="000000" w:themeColor="text1"/>
          <w:sz w:val="20"/>
          <w:szCs w:val="20"/>
          <w:lang w:val="es-ES_tradnl"/>
        </w:rPr>
        <w:t xml:space="preserve">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el régimen de los </w:t>
      </w:r>
      <w:r w:rsidRPr="00360032">
        <w:rPr>
          <w:rFonts w:ascii="Verdana" w:hAnsi="Verdana" w:cs="Arial"/>
          <w:i/>
          <w:iCs/>
          <w:color w:val="000000" w:themeColor="text1"/>
          <w:sz w:val="20"/>
          <w:szCs w:val="20"/>
          <w:lang w:val="es-ES_tradnl"/>
        </w:rPr>
        <w:t>conflictos de interés</w:t>
      </w:r>
      <w:r w:rsidRPr="00360032">
        <w:rPr>
          <w:rFonts w:ascii="Verdana" w:hAnsi="Verdana" w:cs="Arial"/>
          <w:color w:val="000000" w:themeColor="text1"/>
          <w:sz w:val="20"/>
          <w:szCs w:val="20"/>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w:t>
      </w:r>
    </w:p>
    <w:p w14:paraId="2F6962A8" w14:textId="77777777" w:rsidR="00BC11AD" w:rsidRDefault="00BC11AD" w:rsidP="00BC11AD">
      <w:pPr>
        <w:widowControl w:val="0"/>
        <w:autoSpaceDE w:val="0"/>
        <w:autoSpaceDN w:val="0"/>
        <w:spacing w:after="120" w:line="276" w:lineRule="auto"/>
        <w:jc w:val="both"/>
        <w:rPr>
          <w:rFonts w:ascii="Verdana" w:hAnsi="Verdana" w:cs="Arial"/>
          <w:color w:val="000000" w:themeColor="text1"/>
          <w:lang w:val="es-ES"/>
        </w:rPr>
      </w:pPr>
    </w:p>
    <w:p w14:paraId="78FA83CC" w14:textId="77777777" w:rsidR="00BC11AD" w:rsidRDefault="00BC11AD" w:rsidP="00BC11AD">
      <w:pPr>
        <w:widowControl w:val="0"/>
        <w:autoSpaceDE w:val="0"/>
        <w:autoSpaceDN w:val="0"/>
        <w:spacing w:after="0" w:line="240" w:lineRule="auto"/>
        <w:jc w:val="both"/>
        <w:rPr>
          <w:rFonts w:ascii="Verdana" w:eastAsia="Aptos" w:hAnsi="Verdana" w:cs="Times New Roman"/>
          <w:b/>
          <w:bCs/>
        </w:rPr>
      </w:pPr>
      <w:r w:rsidRPr="00EA4679">
        <w:rPr>
          <w:rFonts w:ascii="Verdana" w:eastAsia="Aptos" w:hAnsi="Verdana" w:cs="Times New Roman"/>
          <w:b/>
          <w:bCs/>
        </w:rPr>
        <w:lastRenderedPageBreak/>
        <w:t>CONFLICTO DE INTERÉS</w:t>
      </w:r>
      <w:r>
        <w:rPr>
          <w:rFonts w:ascii="Verdana" w:eastAsia="Aptos" w:hAnsi="Verdana" w:cs="Times New Roman"/>
          <w:b/>
          <w:bCs/>
        </w:rPr>
        <w:t xml:space="preserve"> DE CONTRATISTAS</w:t>
      </w:r>
      <w:r w:rsidRPr="00EA4679">
        <w:rPr>
          <w:rFonts w:ascii="Verdana" w:eastAsia="Aptos" w:hAnsi="Verdana" w:cs="Times New Roman"/>
          <w:b/>
          <w:bCs/>
        </w:rPr>
        <w:t xml:space="preserve"> – </w:t>
      </w:r>
      <w:r>
        <w:rPr>
          <w:rFonts w:ascii="Verdana" w:eastAsia="Aptos" w:hAnsi="Verdana" w:cs="Times New Roman"/>
          <w:b/>
          <w:bCs/>
        </w:rPr>
        <w:t xml:space="preserve">Regulación de la entidad – Verificación  </w:t>
      </w:r>
    </w:p>
    <w:p w14:paraId="5CEA970D" w14:textId="77777777" w:rsidR="00BC11AD" w:rsidRDefault="00BC11AD" w:rsidP="00BC11AD">
      <w:pPr>
        <w:widowControl w:val="0"/>
        <w:autoSpaceDE w:val="0"/>
        <w:autoSpaceDN w:val="0"/>
        <w:spacing w:after="0" w:line="240" w:lineRule="auto"/>
        <w:jc w:val="both"/>
        <w:rPr>
          <w:rFonts w:ascii="Verdana" w:eastAsia="Aptos" w:hAnsi="Verdana" w:cs="Times New Roman"/>
          <w:b/>
          <w:bCs/>
        </w:rPr>
      </w:pPr>
    </w:p>
    <w:p w14:paraId="3D9F0EDD" w14:textId="77777777" w:rsidR="00BC11AD" w:rsidRDefault="00BC11AD" w:rsidP="00BC11AD">
      <w:pPr>
        <w:widowControl w:val="0"/>
        <w:autoSpaceDE w:val="0"/>
        <w:autoSpaceDN w:val="0"/>
        <w:spacing w:after="0" w:line="240" w:lineRule="auto"/>
        <w:jc w:val="both"/>
        <w:rPr>
          <w:rFonts w:ascii="Verdana" w:hAnsi="Verdana" w:cs="Arial"/>
          <w:color w:val="000000" w:themeColor="text1"/>
          <w:sz w:val="20"/>
          <w:szCs w:val="20"/>
          <w:lang w:val="es-ES"/>
        </w:rPr>
      </w:pPr>
      <w:r w:rsidRPr="00360032">
        <w:rPr>
          <w:rFonts w:ascii="Verdana" w:hAnsi="Verdana" w:cs="Arial"/>
          <w:color w:val="000000" w:themeColor="text1"/>
          <w:sz w:val="20"/>
          <w:szCs w:val="20"/>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1A0A018A" w14:textId="77777777" w:rsidR="00BC11AD" w:rsidRDefault="00BC11AD" w:rsidP="00BC11AD">
      <w:pPr>
        <w:widowControl w:val="0"/>
        <w:autoSpaceDE w:val="0"/>
        <w:autoSpaceDN w:val="0"/>
        <w:spacing w:after="0" w:line="240" w:lineRule="auto"/>
        <w:jc w:val="both"/>
        <w:rPr>
          <w:rFonts w:ascii="Verdana" w:hAnsi="Verdana" w:cs="Arial"/>
          <w:color w:val="000000" w:themeColor="text1"/>
          <w:sz w:val="20"/>
          <w:szCs w:val="20"/>
          <w:lang w:val="es-ES"/>
        </w:rPr>
      </w:pPr>
    </w:p>
    <w:p w14:paraId="0CE9C907" w14:textId="77777777" w:rsidR="00BC11AD" w:rsidRDefault="00BC11AD" w:rsidP="00BC11AD">
      <w:pPr>
        <w:widowControl w:val="0"/>
        <w:autoSpaceDE w:val="0"/>
        <w:autoSpaceDN w:val="0"/>
        <w:spacing w:after="0" w:line="240" w:lineRule="auto"/>
        <w:jc w:val="both"/>
        <w:rPr>
          <w:rFonts w:ascii="Verdana" w:hAnsi="Verdana" w:cs="Arial"/>
          <w:color w:val="000000" w:themeColor="text1"/>
          <w:sz w:val="20"/>
          <w:szCs w:val="20"/>
          <w:lang w:val="es-ES"/>
        </w:rPr>
      </w:pPr>
      <w:r w:rsidRPr="00360032">
        <w:rPr>
          <w:rFonts w:ascii="Verdana" w:hAnsi="Verdana" w:cs="Arial"/>
          <w:color w:val="000000" w:themeColor="text1"/>
          <w:sz w:val="20"/>
          <w:szCs w:val="20"/>
          <w:lang w:val="es-ES"/>
        </w:rPr>
        <w:t>[…]</w:t>
      </w:r>
    </w:p>
    <w:p w14:paraId="7FD1C65D" w14:textId="77777777" w:rsidR="00BC11AD" w:rsidRPr="00360032" w:rsidRDefault="00BC11AD" w:rsidP="00BC11AD">
      <w:pPr>
        <w:widowControl w:val="0"/>
        <w:autoSpaceDE w:val="0"/>
        <w:autoSpaceDN w:val="0"/>
        <w:spacing w:after="0" w:line="240" w:lineRule="auto"/>
        <w:jc w:val="both"/>
        <w:rPr>
          <w:rFonts w:ascii="Verdana" w:hAnsi="Verdana" w:cs="Arial"/>
          <w:color w:val="000000" w:themeColor="text1"/>
          <w:sz w:val="20"/>
          <w:szCs w:val="20"/>
          <w:lang w:val="es-ES"/>
        </w:rPr>
      </w:pPr>
    </w:p>
    <w:p w14:paraId="2DB3E029" w14:textId="77777777" w:rsidR="00BC11AD" w:rsidRDefault="00BC11AD" w:rsidP="00BC11AD">
      <w:pPr>
        <w:widowControl w:val="0"/>
        <w:autoSpaceDE w:val="0"/>
        <w:autoSpaceDN w:val="0"/>
        <w:spacing w:after="0" w:line="240" w:lineRule="auto"/>
        <w:jc w:val="both"/>
        <w:rPr>
          <w:rFonts w:ascii="Verdana" w:eastAsia="Calibri" w:hAnsi="Verdana" w:cs="Arial"/>
          <w:sz w:val="20"/>
          <w:szCs w:val="20"/>
        </w:rPr>
      </w:pPr>
      <w:r w:rsidRPr="00BF6F3D">
        <w:rPr>
          <w:rFonts w:ascii="Verdana" w:eastAsia="Calibri" w:hAnsi="Verdana" w:cs="Arial"/>
          <w:sz w:val="20"/>
          <w:szCs w:val="20"/>
        </w:rPr>
        <w:t>Aunque para el Alto Tribunal Administrativo, la regulación de los conflictos de interés en las relaciones contractuales entre Estado y particulares se realiza en el pliego de condiciones respectivo, estima esta Agencia que las Entidades Estatales podrían definirlo desde sus manuales internos de contratación. De esta forma, en la “Guía para la incorporación de lineamientos de integridad en la contratación de prestación de servicios” emitida por Colombia Compra Eficiente, se recomienda a las entidades implementar los mecanismos dispuestos por el Departamento Administrativo de la Función Pública, como lo es el “Procedimiento para la gestión preventiva de conflictos de interés en entidades del sector público” y, el “Aplicativo para la integridad pública” que constituye una herramienta para que los servidores públicos de altos cargos del Estado, contratistas y demás sujetos obligados por la Ley 2013 de 2019 registren, entre otros aspectos, sus conflictos de interés.</w:t>
      </w:r>
    </w:p>
    <w:p w14:paraId="68AB60D4" w14:textId="77777777" w:rsidR="00BC11AD" w:rsidRPr="00BF6F3D" w:rsidRDefault="00BC11AD" w:rsidP="00BC11AD">
      <w:pPr>
        <w:widowControl w:val="0"/>
        <w:autoSpaceDE w:val="0"/>
        <w:autoSpaceDN w:val="0"/>
        <w:spacing w:after="0" w:line="240" w:lineRule="auto"/>
        <w:jc w:val="both"/>
        <w:rPr>
          <w:rFonts w:ascii="Verdana" w:eastAsia="Calibri" w:hAnsi="Verdana" w:cs="Arial"/>
          <w:sz w:val="20"/>
          <w:szCs w:val="20"/>
        </w:rPr>
      </w:pPr>
    </w:p>
    <w:p w14:paraId="11AEA05A" w14:textId="77777777" w:rsidR="00BC11AD" w:rsidRDefault="00BC11AD" w:rsidP="00BC11AD">
      <w:pPr>
        <w:widowControl w:val="0"/>
        <w:autoSpaceDE w:val="0"/>
        <w:autoSpaceDN w:val="0"/>
        <w:spacing w:after="0" w:line="240" w:lineRule="auto"/>
        <w:jc w:val="both"/>
        <w:rPr>
          <w:rFonts w:ascii="Verdana" w:eastAsia="Calibri" w:hAnsi="Verdana" w:cs="Arial"/>
          <w:sz w:val="20"/>
          <w:szCs w:val="20"/>
        </w:rPr>
      </w:pPr>
      <w:r w:rsidRPr="00360032">
        <w:rPr>
          <w:rFonts w:ascii="Verdana" w:eastAsia="Calibri" w:hAnsi="Verdana" w:cs="Arial"/>
          <w:sz w:val="20"/>
          <w:szCs w:val="20"/>
        </w:rPr>
        <w:t>De esta manera,</w:t>
      </w:r>
      <w:r w:rsidRPr="00BF6F3D">
        <w:rPr>
          <w:rFonts w:ascii="Verdana" w:eastAsia="Calibri" w:hAnsi="Verdana" w:cs="Arial"/>
          <w:sz w:val="20"/>
          <w:szCs w:val="20"/>
        </w:rPr>
        <w:t xml:space="preserve"> </w:t>
      </w:r>
      <w:r w:rsidRPr="00360032">
        <w:rPr>
          <w:rFonts w:ascii="Verdana" w:eastAsia="Calibri" w:hAnsi="Verdana" w:cs="Arial"/>
          <w:sz w:val="20"/>
          <w:szCs w:val="20"/>
        </w:rPr>
        <w:t>es</w:t>
      </w:r>
      <w:r w:rsidRPr="00BF6F3D">
        <w:rPr>
          <w:rFonts w:ascii="Verdana" w:eastAsia="Calibri" w:hAnsi="Verdana" w:cs="Arial"/>
          <w:sz w:val="20"/>
          <w:szCs w:val="20"/>
        </w:rPr>
        <w:t xml:space="preserve"> deber de las Entidades Estatales con el fin de salvaguardar la transparencia, integridad y moralidad administrativa, no sólo revisar la ocurrencia de potenciales conflictos de interés que devengan de sus contratistas, sino también, de reglamentar en sus respectivos manuales internos de contratación o pliego de condiciones, según el caso, la forma en la que estos serán resueltos y el funcionario competente para ello.</w:t>
      </w:r>
    </w:p>
    <w:p w14:paraId="734A4F6B" w14:textId="77777777" w:rsidR="00BC11AD" w:rsidRPr="00BF6F3D" w:rsidRDefault="00BC11AD" w:rsidP="00BC11AD">
      <w:pPr>
        <w:widowControl w:val="0"/>
        <w:autoSpaceDE w:val="0"/>
        <w:autoSpaceDN w:val="0"/>
        <w:spacing w:after="0" w:line="240" w:lineRule="auto"/>
        <w:jc w:val="both"/>
        <w:rPr>
          <w:rFonts w:ascii="Verdana" w:eastAsia="Calibri" w:hAnsi="Verdana" w:cs="Arial"/>
          <w:sz w:val="20"/>
          <w:szCs w:val="20"/>
        </w:rPr>
      </w:pPr>
    </w:p>
    <w:p w14:paraId="04D5BAF4" w14:textId="77777777" w:rsidR="00BC11AD" w:rsidRDefault="00BC11AD" w:rsidP="00BC11AD">
      <w:pPr>
        <w:spacing w:after="0"/>
        <w:rPr>
          <w:rFonts w:ascii="Verdana" w:eastAsia="Calibri" w:hAnsi="Verdana" w:cs="Arial"/>
          <w:lang w:val="es-ES"/>
        </w:rPr>
      </w:pPr>
    </w:p>
    <w:p w14:paraId="1671D884" w14:textId="77777777" w:rsidR="00BC11AD" w:rsidRDefault="00BC11AD" w:rsidP="00BC11AD">
      <w:pPr>
        <w:spacing w:after="0"/>
        <w:rPr>
          <w:rFonts w:ascii="Verdana" w:eastAsia="Calibri" w:hAnsi="Verdana" w:cs="Arial"/>
          <w:lang w:val="es-ES"/>
        </w:rPr>
      </w:pPr>
    </w:p>
    <w:p w14:paraId="288C0A6F" w14:textId="77777777" w:rsidR="00BC11AD" w:rsidRDefault="00BC11AD" w:rsidP="00BC11AD">
      <w:pPr>
        <w:spacing w:after="0"/>
        <w:rPr>
          <w:rFonts w:ascii="Verdana" w:eastAsia="Calibri" w:hAnsi="Verdana" w:cs="Arial"/>
          <w:lang w:val="es-ES"/>
        </w:rPr>
      </w:pPr>
    </w:p>
    <w:p w14:paraId="1F790CEF" w14:textId="77777777" w:rsidR="00BC11AD" w:rsidRDefault="00BC11AD" w:rsidP="00BC11AD">
      <w:pPr>
        <w:spacing w:after="0"/>
        <w:rPr>
          <w:rFonts w:ascii="Verdana" w:eastAsia="Calibri" w:hAnsi="Verdana" w:cs="Arial"/>
          <w:lang w:val="es-ES"/>
        </w:rPr>
      </w:pPr>
    </w:p>
    <w:p w14:paraId="01F1E0AE" w14:textId="77777777" w:rsidR="00BC11AD" w:rsidRPr="00E20ABF" w:rsidRDefault="00BC11AD" w:rsidP="00BC11AD">
      <w:pPr>
        <w:spacing w:after="0"/>
        <w:rPr>
          <w:rFonts w:ascii="Verdana" w:hAnsi="Verdana"/>
          <w:lang w:val="es-MX"/>
        </w:rPr>
      </w:pPr>
    </w:p>
    <w:p w14:paraId="37451B00" w14:textId="77777777" w:rsidR="00BC11AD" w:rsidRDefault="00BC11AD" w:rsidP="00BC11AD">
      <w:pPr>
        <w:spacing w:after="0"/>
        <w:rPr>
          <w:rFonts w:ascii="Verdana" w:hAnsi="Verdana"/>
        </w:rPr>
      </w:pPr>
    </w:p>
    <w:p w14:paraId="4CE8D769" w14:textId="77777777" w:rsidR="00BC11AD" w:rsidRDefault="00BC11AD" w:rsidP="00BC11AD">
      <w:pPr>
        <w:spacing w:after="0"/>
        <w:rPr>
          <w:rFonts w:ascii="Verdana" w:hAnsi="Verdana"/>
        </w:rPr>
      </w:pPr>
    </w:p>
    <w:p w14:paraId="14C215B5" w14:textId="4CB07914" w:rsidR="00BC11AD" w:rsidRDefault="00BC11AD" w:rsidP="00BC11AD">
      <w:pPr>
        <w:spacing w:after="0"/>
        <w:rPr>
          <w:rFonts w:ascii="Verdana" w:hAnsi="Verdana"/>
        </w:rPr>
      </w:pPr>
      <w:r w:rsidRPr="000952AC">
        <w:rPr>
          <w:rFonts w:ascii="Verdana" w:hAnsi="Verdana"/>
        </w:rPr>
        <w:lastRenderedPageBreak/>
        <w:t xml:space="preserve">Bogotá D.C., </w:t>
      </w:r>
      <w:r w:rsidR="00796D4A">
        <w:rPr>
          <w:rFonts w:ascii="Verdana" w:hAnsi="Verdana"/>
        </w:rPr>
        <w:t xml:space="preserve">25 de julio de 2025 </w:t>
      </w:r>
    </w:p>
    <w:p w14:paraId="106E392D" w14:textId="111127A1" w:rsidR="00796D4A" w:rsidRPr="000952AC" w:rsidRDefault="00796D4A" w:rsidP="00796D4A">
      <w:pPr>
        <w:spacing w:after="0"/>
        <w:jc w:val="right"/>
        <w:rPr>
          <w:rFonts w:ascii="Verdana" w:hAnsi="Verdana"/>
        </w:rPr>
      </w:pPr>
      <w:r w:rsidRPr="00796D4A">
        <w:rPr>
          <w:rFonts w:ascii="Verdana" w:hAnsi="Verdana"/>
        </w:rPr>
        <w:drawing>
          <wp:inline distT="0" distB="0" distL="0" distR="0" wp14:anchorId="5A29F4EC" wp14:editId="655A557B">
            <wp:extent cx="2478922" cy="715311"/>
            <wp:effectExtent l="0" t="0" r="0" b="8890"/>
            <wp:docPr id="172549857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98572" name="Imagen 1" descr="Texto&#10;&#10;El contenido generado por IA puede ser incorrecto."/>
                    <pic:cNvPicPr/>
                  </pic:nvPicPr>
                  <pic:blipFill>
                    <a:blip r:embed="rId10"/>
                    <a:stretch>
                      <a:fillRect/>
                    </a:stretch>
                  </pic:blipFill>
                  <pic:spPr>
                    <a:xfrm>
                      <a:off x="0" y="0"/>
                      <a:ext cx="2491278" cy="718877"/>
                    </a:xfrm>
                    <a:prstGeom prst="rect">
                      <a:avLst/>
                    </a:prstGeom>
                  </pic:spPr>
                </pic:pic>
              </a:graphicData>
            </a:graphic>
          </wp:inline>
        </w:drawing>
      </w:r>
    </w:p>
    <w:p w14:paraId="229D6ECA" w14:textId="77777777" w:rsidR="00BC11AD" w:rsidRPr="00DF4CC9" w:rsidRDefault="00BC11AD" w:rsidP="00BC11AD">
      <w:pPr>
        <w:spacing w:after="0" w:line="240" w:lineRule="auto"/>
        <w:jc w:val="both"/>
        <w:rPr>
          <w:rFonts w:ascii="Verdana" w:eastAsia="Calibri" w:hAnsi="Verdana" w:cs="Arial"/>
          <w:lang w:eastAsia="es-ES"/>
        </w:rPr>
      </w:pPr>
      <w:bookmarkStart w:id="2" w:name="_Hlk197462763"/>
      <w:bookmarkStart w:id="3" w:name="_Hlk197529996"/>
      <w:r w:rsidRPr="00DF4CC9">
        <w:rPr>
          <w:rFonts w:ascii="Verdana" w:eastAsia="Calibri" w:hAnsi="Verdana" w:cs="Arial"/>
          <w:lang w:eastAsia="es-ES"/>
        </w:rPr>
        <w:t>Señor</w:t>
      </w:r>
    </w:p>
    <w:p w14:paraId="0CAFFDB3" w14:textId="77777777" w:rsidR="00BC11AD" w:rsidRPr="00337D9B" w:rsidRDefault="00BC11AD" w:rsidP="00BC11AD">
      <w:pPr>
        <w:spacing w:after="0" w:line="240" w:lineRule="auto"/>
        <w:rPr>
          <w:rFonts w:ascii="Verdana" w:eastAsia="Calibri" w:hAnsi="Verdana" w:cs="Arial"/>
          <w:b/>
          <w:lang w:eastAsia="es-ES_tradnl"/>
        </w:rPr>
      </w:pPr>
      <w:r w:rsidRPr="00337D9B">
        <w:rPr>
          <w:rFonts w:ascii="Verdana" w:eastAsia="Calibri" w:hAnsi="Verdana" w:cs="Arial"/>
          <w:b/>
          <w:lang w:eastAsia="es-ES_tradnl"/>
        </w:rPr>
        <w:t>Edgar Daniel Mantilla Blanco</w:t>
      </w:r>
    </w:p>
    <w:p w14:paraId="56A465FC" w14:textId="77777777" w:rsidR="00BC11AD" w:rsidRPr="00105482" w:rsidRDefault="00BC11AD" w:rsidP="00BC11AD">
      <w:pPr>
        <w:spacing w:after="0" w:line="240" w:lineRule="auto"/>
        <w:rPr>
          <w:rFonts w:ascii="Verdana" w:hAnsi="Verdana"/>
        </w:rPr>
      </w:pPr>
      <w:hyperlink r:id="rId11" w:history="1">
        <w:r w:rsidRPr="00105482">
          <w:rPr>
            <w:rStyle w:val="Hipervnculo"/>
            <w:rFonts w:ascii="Verdana" w:hAnsi="Verdana"/>
          </w:rPr>
          <w:t>emantilla9@gmail.com</w:t>
        </w:r>
      </w:hyperlink>
    </w:p>
    <w:p w14:paraId="7BE969F5" w14:textId="77777777" w:rsidR="00BC11AD" w:rsidRPr="00AD2B93" w:rsidRDefault="00BC11AD" w:rsidP="00BC11AD">
      <w:pPr>
        <w:spacing w:after="0" w:line="240" w:lineRule="auto"/>
        <w:rPr>
          <w:rFonts w:ascii="Verdana" w:eastAsia="Calibri" w:hAnsi="Verdana" w:cs="Arial"/>
          <w:b/>
          <w:bCs/>
          <w:color w:val="000000"/>
          <w:lang w:eastAsia="es-ES_tradnl"/>
        </w:rPr>
      </w:pPr>
      <w:r w:rsidRPr="00337D9B">
        <w:rPr>
          <w:rFonts w:ascii="Verdana" w:hAnsi="Verdana"/>
        </w:rPr>
        <w:t xml:space="preserve">Cesar – Valledupar </w:t>
      </w:r>
    </w:p>
    <w:p w14:paraId="4492CE0B" w14:textId="77777777" w:rsidR="00BC11AD" w:rsidRDefault="00BC11AD" w:rsidP="00BC11AD">
      <w:pPr>
        <w:spacing w:after="0" w:line="240" w:lineRule="auto"/>
        <w:rPr>
          <w:rFonts w:ascii="Verdana" w:eastAsia="Calibri" w:hAnsi="Verdana" w:cs="Arial"/>
          <w:b/>
          <w:bCs/>
          <w:color w:val="000000"/>
          <w:lang w:eastAsia="es-ES_tradnl"/>
        </w:rPr>
      </w:pPr>
    </w:p>
    <w:p w14:paraId="4EF76785" w14:textId="77777777" w:rsidR="00BC11AD" w:rsidRPr="005C3A4A" w:rsidRDefault="00BC11AD" w:rsidP="00BC11AD">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C11AD" w:rsidRPr="000952AC" w14:paraId="6DD1077D" w14:textId="77777777" w:rsidTr="00CB682D">
        <w:trPr>
          <w:trHeight w:val="162"/>
        </w:trPr>
        <w:tc>
          <w:tcPr>
            <w:tcW w:w="3119" w:type="dxa"/>
          </w:tcPr>
          <w:p w14:paraId="044B25E6" w14:textId="77777777" w:rsidR="00BC11AD" w:rsidRPr="000952AC" w:rsidRDefault="00BC11AD" w:rsidP="00080556">
            <w:pPr>
              <w:jc w:val="both"/>
              <w:rPr>
                <w:rFonts w:ascii="Verdana" w:eastAsia="Calibri" w:hAnsi="Verdana" w:cs="Arial"/>
                <w:b/>
                <w:bCs/>
                <w:color w:val="7030A0"/>
                <w:lang w:eastAsia="es-ES_tradnl"/>
              </w:rPr>
            </w:pPr>
          </w:p>
        </w:tc>
        <w:tc>
          <w:tcPr>
            <w:tcW w:w="5670" w:type="dxa"/>
          </w:tcPr>
          <w:p w14:paraId="51F98E18" w14:textId="77777777" w:rsidR="00BC11AD" w:rsidRPr="000952AC" w:rsidRDefault="00BC11AD" w:rsidP="00080556">
            <w:pPr>
              <w:rPr>
                <w:rFonts w:ascii="Verdana" w:eastAsia="Calibri" w:hAnsi="Verdana" w:cs="Arial"/>
                <w:b/>
                <w:bCs/>
                <w:lang w:eastAsia="es-ES"/>
              </w:rPr>
            </w:pPr>
            <w:r w:rsidRPr="000952AC">
              <w:rPr>
                <w:rFonts w:ascii="Verdana" w:eastAsia="Calibri" w:hAnsi="Verdana" w:cs="Arial"/>
                <w:b/>
                <w:bCs/>
                <w:lang w:eastAsia="es-ES"/>
              </w:rPr>
              <w:t xml:space="preserve">Concepto C- </w:t>
            </w:r>
            <w:r>
              <w:rPr>
                <w:rFonts w:ascii="Verdana" w:eastAsia="Calibri" w:hAnsi="Verdana" w:cs="Arial"/>
                <w:b/>
                <w:bCs/>
                <w:lang w:eastAsia="es-ES"/>
              </w:rPr>
              <w:t>831</w:t>
            </w:r>
            <w:r w:rsidRPr="000952AC">
              <w:rPr>
                <w:rFonts w:ascii="Verdana" w:eastAsia="Calibri" w:hAnsi="Verdana" w:cs="Arial"/>
                <w:b/>
                <w:bCs/>
                <w:lang w:eastAsia="es-ES"/>
              </w:rPr>
              <w:t xml:space="preserve"> de 2025</w:t>
            </w:r>
          </w:p>
          <w:p w14:paraId="6DCD08A1" w14:textId="77777777" w:rsidR="00BC11AD" w:rsidRPr="000952AC" w:rsidRDefault="00BC11AD" w:rsidP="00080556">
            <w:pPr>
              <w:jc w:val="both"/>
              <w:rPr>
                <w:rFonts w:ascii="Verdana" w:eastAsia="Calibri" w:hAnsi="Verdana" w:cs="Arial"/>
                <w:b/>
                <w:bCs/>
                <w:color w:val="7030A0"/>
                <w:lang w:eastAsia="es-ES"/>
              </w:rPr>
            </w:pPr>
          </w:p>
        </w:tc>
      </w:tr>
      <w:tr w:rsidR="00BC11AD" w:rsidRPr="000952AC" w14:paraId="7973F592" w14:textId="77777777" w:rsidTr="00CB682D">
        <w:trPr>
          <w:trHeight w:val="884"/>
        </w:trPr>
        <w:tc>
          <w:tcPr>
            <w:tcW w:w="3119" w:type="dxa"/>
          </w:tcPr>
          <w:p w14:paraId="0719421F" w14:textId="77777777" w:rsidR="00BC11AD" w:rsidRPr="000952AC" w:rsidRDefault="00BC11AD" w:rsidP="00080556">
            <w:pPr>
              <w:jc w:val="both"/>
              <w:rPr>
                <w:rFonts w:ascii="Verdana" w:eastAsia="Calibri" w:hAnsi="Verdana" w:cs="Arial"/>
                <w:color w:val="000000"/>
                <w:lang w:eastAsia="es-ES_tradnl"/>
              </w:rPr>
            </w:pPr>
            <w:r w:rsidRPr="000952AC">
              <w:rPr>
                <w:rFonts w:ascii="Verdana" w:eastAsia="Calibri" w:hAnsi="Verdana" w:cs="Arial"/>
                <w:b/>
                <w:color w:val="000000"/>
                <w:lang w:eastAsia="es-ES_tradnl"/>
              </w:rPr>
              <w:t>Temas:</w:t>
            </w:r>
            <w:r w:rsidRPr="000952AC">
              <w:rPr>
                <w:rFonts w:ascii="Verdana" w:eastAsia="Calibri" w:hAnsi="Verdana" w:cs="Arial"/>
                <w:color w:val="000000"/>
                <w:lang w:eastAsia="es-ES_tradnl"/>
              </w:rPr>
              <w:t xml:space="preserve">                   </w:t>
            </w:r>
          </w:p>
        </w:tc>
        <w:tc>
          <w:tcPr>
            <w:tcW w:w="5670" w:type="dxa"/>
          </w:tcPr>
          <w:p w14:paraId="6F0A4E8A" w14:textId="77777777" w:rsidR="00BC11AD" w:rsidRPr="00543208" w:rsidRDefault="00BC11AD" w:rsidP="00080556">
            <w:pPr>
              <w:jc w:val="both"/>
              <w:rPr>
                <w:rFonts w:ascii="Verdana" w:eastAsia="Calibri" w:hAnsi="Verdana" w:cs="Arial"/>
                <w:lang w:val="es-ES" w:eastAsia="es-ES"/>
              </w:rPr>
            </w:pPr>
            <w:r w:rsidRPr="006D2BEC">
              <w:rPr>
                <w:rFonts w:ascii="Verdana" w:hAnsi="Verdana" w:cs="Arial"/>
                <w:lang w:val="es-MX"/>
              </w:rPr>
              <w:t xml:space="preserve">INHABILIDADES E INCOMPATIBILIDADES ─ Definición ─ </w:t>
            </w:r>
            <w:r>
              <w:rPr>
                <w:rFonts w:ascii="Verdana" w:hAnsi="Verdana" w:cs="Arial"/>
                <w:lang w:val="es-MX"/>
              </w:rPr>
              <w:t>F</w:t>
            </w:r>
            <w:r w:rsidRPr="006D2BEC">
              <w:rPr>
                <w:rFonts w:ascii="Verdana" w:hAnsi="Verdana" w:cs="Arial"/>
                <w:lang w:val="es-MX"/>
              </w:rPr>
              <w:t xml:space="preserve">undamento – </w:t>
            </w:r>
            <w:r>
              <w:rPr>
                <w:rFonts w:ascii="Verdana" w:hAnsi="Verdana" w:cs="Arial"/>
                <w:lang w:val="es-MX"/>
              </w:rPr>
              <w:t>C</w:t>
            </w:r>
            <w:r w:rsidRPr="006D2BEC">
              <w:rPr>
                <w:rFonts w:ascii="Verdana" w:hAnsi="Verdana" w:cs="Arial"/>
                <w:lang w:val="es-MX"/>
              </w:rPr>
              <w:t xml:space="preserve">lases / INHABILIDADES E INCOMPATIBILIDADES - Finalidad ─ Limitación capacidad contractual </w:t>
            </w:r>
            <w:r w:rsidRPr="006D2BEC">
              <w:rPr>
                <w:rFonts w:ascii="Verdana" w:hAnsi="Verdana" w:cs="Arial"/>
                <w:lang w:val="es-ES_tradnl"/>
              </w:rPr>
              <w:t>/ INHABILIDADES – Taxatividad – Principio de legalidad – Interpretación restrictiva</w:t>
            </w:r>
            <w:r w:rsidRPr="006D2BEC" w:rsidDel="00A75E55">
              <w:rPr>
                <w:rFonts w:ascii="Verdana" w:hAnsi="Verdana" w:cs="Arial"/>
                <w:lang w:val="es-ES_tradnl"/>
              </w:rPr>
              <w:t xml:space="preserve"> </w:t>
            </w:r>
            <w:r w:rsidRPr="006D2BEC">
              <w:rPr>
                <w:rFonts w:ascii="Verdana" w:hAnsi="Verdana" w:cs="Arial"/>
                <w:lang w:val="es-ES_tradnl"/>
              </w:rPr>
              <w:t xml:space="preserve">/ </w:t>
            </w:r>
            <w:r>
              <w:rPr>
                <w:rFonts w:ascii="Verdana" w:hAnsi="Verdana" w:cs="Arial"/>
                <w:bCs/>
                <w:lang w:val="es-ES"/>
              </w:rPr>
              <w:t xml:space="preserve">CONFLICTO DE INTERESES - </w:t>
            </w:r>
            <w:r w:rsidRPr="00EA4679">
              <w:rPr>
                <w:rFonts w:ascii="Verdana" w:eastAsia="Calibri" w:hAnsi="Verdana" w:cs="Arial"/>
                <w:lang w:val="es-ES" w:eastAsia="es-ES"/>
              </w:rPr>
              <w:t>Objetivo – Régimen aplicable – Contratación estatal</w:t>
            </w:r>
          </w:p>
        </w:tc>
      </w:tr>
      <w:tr w:rsidR="00BC11AD" w:rsidRPr="000952AC" w14:paraId="468C7D10" w14:textId="77777777" w:rsidTr="00080556">
        <w:tc>
          <w:tcPr>
            <w:tcW w:w="3119" w:type="dxa"/>
          </w:tcPr>
          <w:p w14:paraId="70A0E28A" w14:textId="77777777" w:rsidR="00BC11AD" w:rsidRPr="000952AC" w:rsidRDefault="00BC11AD" w:rsidP="00080556">
            <w:pPr>
              <w:jc w:val="both"/>
              <w:rPr>
                <w:rFonts w:ascii="Verdana" w:eastAsia="Calibri" w:hAnsi="Verdana" w:cs="Arial"/>
                <w:b/>
                <w:lang w:eastAsia="es-ES_tradnl"/>
              </w:rPr>
            </w:pPr>
            <w:r w:rsidRPr="000952AC">
              <w:rPr>
                <w:rFonts w:ascii="Verdana" w:eastAsia="Calibri" w:hAnsi="Verdana" w:cs="Arial"/>
                <w:b/>
                <w:lang w:eastAsia="es-ES_tradnl"/>
              </w:rPr>
              <w:t>Radicación:</w:t>
            </w:r>
            <w:r w:rsidRPr="000952AC">
              <w:rPr>
                <w:rFonts w:ascii="Verdana" w:eastAsia="Calibri" w:hAnsi="Verdana" w:cs="Arial"/>
                <w:lang w:eastAsia="es-ES_tradnl"/>
              </w:rPr>
              <w:t xml:space="preserve">               </w:t>
            </w:r>
          </w:p>
        </w:tc>
        <w:tc>
          <w:tcPr>
            <w:tcW w:w="5670" w:type="dxa"/>
          </w:tcPr>
          <w:p w14:paraId="671FB5C0" w14:textId="77777777" w:rsidR="00BC11AD" w:rsidRPr="000952AC" w:rsidRDefault="00BC11AD" w:rsidP="00080556">
            <w:pPr>
              <w:jc w:val="both"/>
              <w:rPr>
                <w:rFonts w:ascii="Verdana" w:eastAsia="Calibri" w:hAnsi="Verdana" w:cs="Arial"/>
                <w:lang w:eastAsia="es-ES_tradnl"/>
              </w:rPr>
            </w:pPr>
            <w:r w:rsidRPr="000952AC">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105482">
              <w:rPr>
                <w:rFonts w:ascii="Verdana" w:eastAsia="Calibri" w:hAnsi="Verdana" w:cs="Arial"/>
                <w:lang w:eastAsia="es-ES_tradnl"/>
              </w:rPr>
              <w:t>1_2025_06_24_006308</w:t>
            </w:r>
            <w:r>
              <w:rPr>
                <w:rFonts w:ascii="Verdana" w:eastAsia="Calibri" w:hAnsi="Verdana" w:cs="Arial"/>
                <w:lang w:eastAsia="es-ES_tradnl"/>
              </w:rPr>
              <w:t xml:space="preserve"> </w:t>
            </w:r>
          </w:p>
        </w:tc>
      </w:tr>
    </w:tbl>
    <w:p w14:paraId="16A6A163" w14:textId="77777777" w:rsidR="00BC11AD" w:rsidRPr="000952AC" w:rsidRDefault="00BC11AD" w:rsidP="00BC11AD">
      <w:pPr>
        <w:spacing w:after="0" w:line="240" w:lineRule="auto"/>
        <w:jc w:val="both"/>
        <w:rPr>
          <w:rFonts w:ascii="Verdana" w:eastAsia="Calibri" w:hAnsi="Verdana" w:cs="Arial"/>
          <w:lang w:eastAsia="es-ES_tradnl"/>
        </w:rPr>
      </w:pPr>
    </w:p>
    <w:p w14:paraId="118A0CE3" w14:textId="77777777" w:rsidR="00BC11AD" w:rsidRPr="005C3A4A" w:rsidRDefault="00BC11AD" w:rsidP="00BC11AD">
      <w:pPr>
        <w:spacing w:after="0" w:line="240" w:lineRule="auto"/>
        <w:jc w:val="both"/>
        <w:rPr>
          <w:rFonts w:ascii="Verdana" w:eastAsia="Calibri" w:hAnsi="Verdana" w:cs="Arial"/>
          <w:lang w:eastAsia="es-ES_tradnl"/>
        </w:rPr>
      </w:pPr>
    </w:p>
    <w:p w14:paraId="781D2399" w14:textId="77777777" w:rsidR="00BC11AD" w:rsidRPr="00DF0071" w:rsidRDefault="00BC11AD" w:rsidP="00BC11AD">
      <w:pPr>
        <w:tabs>
          <w:tab w:val="left" w:pos="3768"/>
        </w:tabs>
        <w:spacing w:after="0" w:line="276" w:lineRule="auto"/>
        <w:jc w:val="both"/>
        <w:rPr>
          <w:rFonts w:ascii="Verdana" w:eastAsia="Calibri" w:hAnsi="Verdana" w:cs="Arial"/>
          <w:color w:val="000000" w:themeColor="text1"/>
          <w:lang w:eastAsia="es-ES"/>
        </w:rPr>
      </w:pPr>
      <w:r w:rsidRPr="00DF0071">
        <w:rPr>
          <w:rFonts w:ascii="Verdana" w:eastAsia="Calibri" w:hAnsi="Verdana" w:cs="Arial"/>
          <w:color w:val="000000" w:themeColor="text1"/>
          <w:lang w:eastAsia="es-ES"/>
        </w:rPr>
        <w:t>Estimad</w:t>
      </w:r>
      <w:r>
        <w:rPr>
          <w:rFonts w:ascii="Verdana" w:eastAsia="Calibri" w:hAnsi="Verdana" w:cs="Arial"/>
          <w:color w:val="000000" w:themeColor="text1"/>
          <w:lang w:eastAsia="es-ES"/>
        </w:rPr>
        <w:t>o señor Mantilla Blanco</w:t>
      </w:r>
      <w:r w:rsidRPr="00DF0071">
        <w:rPr>
          <w:rFonts w:ascii="Verdana" w:eastAsia="Calibri" w:hAnsi="Verdana" w:cs="Arial"/>
          <w:color w:val="000000" w:themeColor="text1"/>
          <w:lang w:eastAsia="es-ES"/>
        </w:rPr>
        <w:t xml:space="preserve">: </w:t>
      </w:r>
    </w:p>
    <w:p w14:paraId="10EB9B32" w14:textId="77777777" w:rsidR="00BC11AD" w:rsidRPr="00DF0071" w:rsidRDefault="00BC11AD" w:rsidP="00BC11AD">
      <w:pPr>
        <w:tabs>
          <w:tab w:val="left" w:pos="3768"/>
        </w:tabs>
        <w:spacing w:after="0" w:line="276" w:lineRule="auto"/>
        <w:jc w:val="both"/>
        <w:rPr>
          <w:rFonts w:ascii="Verdana" w:eastAsia="Calibri" w:hAnsi="Verdana" w:cs="Arial"/>
          <w:color w:val="000000" w:themeColor="text1"/>
          <w:lang w:eastAsia="es-ES"/>
        </w:rPr>
      </w:pPr>
      <w:r w:rsidRPr="00DF0071">
        <w:rPr>
          <w:rFonts w:ascii="Verdana" w:eastAsia="Calibri" w:hAnsi="Verdana" w:cs="Arial"/>
          <w:color w:val="000000" w:themeColor="text1"/>
          <w:lang w:eastAsia="es-ES"/>
        </w:rPr>
        <w:tab/>
      </w:r>
    </w:p>
    <w:p w14:paraId="39AD9552" w14:textId="77777777" w:rsidR="00BC11AD" w:rsidRPr="000952AC" w:rsidRDefault="00BC11AD" w:rsidP="00BC11AD">
      <w:pPr>
        <w:tabs>
          <w:tab w:val="left" w:pos="3768"/>
        </w:tabs>
        <w:spacing w:after="0" w:line="276" w:lineRule="auto"/>
        <w:jc w:val="both"/>
        <w:rPr>
          <w:rFonts w:ascii="Verdana" w:eastAsia="Calibri" w:hAnsi="Verdana" w:cs="Arial"/>
          <w:lang w:eastAsia="es-ES"/>
        </w:rPr>
      </w:pPr>
      <w:r w:rsidRPr="000952AC">
        <w:rPr>
          <w:rFonts w:ascii="Verdana" w:eastAsia="Calibri" w:hAnsi="Verdana" w:cs="Arial"/>
          <w:color w:val="000000" w:themeColor="text1"/>
          <w:lang w:eastAsia="es-ES"/>
        </w:rPr>
        <w:t>En ejercicio de la competencia otorgada por los artículos 3, numeral 5º, y 11, numeral 8º, del Decreto Ley 4170 de 2011,</w:t>
      </w:r>
      <w:r w:rsidRPr="000952AC">
        <w:rPr>
          <w:rFonts w:ascii="Verdana" w:eastAsia="Arial MT" w:hAnsi="Verdana" w:cs="Arial MT"/>
          <w:lang w:eastAsia="es-ES"/>
        </w:rPr>
        <w:t xml:space="preserve"> </w:t>
      </w:r>
      <w:r w:rsidRPr="000952AC">
        <w:rPr>
          <w:rFonts w:ascii="Verdana" w:hAnsi="Verdana" w:cs="Arial"/>
        </w:rPr>
        <w:t xml:space="preserve">así como lo establecido en el artículo 4 de la Resolución 1707 de 2018 expedida por esta Entidad, </w:t>
      </w:r>
      <w:r w:rsidRPr="000952AC">
        <w:rPr>
          <w:rFonts w:ascii="Verdana" w:eastAsia="Calibri" w:hAnsi="Verdana" w:cs="Arial"/>
          <w:color w:val="000000" w:themeColor="text1"/>
          <w:lang w:eastAsia="es-ES"/>
        </w:rPr>
        <w:t xml:space="preserve">la Agencia Nacional de Contratación </w:t>
      </w:r>
      <w:r w:rsidRPr="000952AC">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 xml:space="preserve">24 de junio </w:t>
      </w:r>
      <w:r w:rsidRPr="000952AC">
        <w:rPr>
          <w:rFonts w:ascii="Verdana" w:eastAsia="Calibri" w:hAnsi="Verdana" w:cs="Arial"/>
          <w:lang w:eastAsia="es-ES"/>
        </w:rPr>
        <w:t>de 2025,</w:t>
      </w:r>
      <w:r>
        <w:rPr>
          <w:rFonts w:ascii="Verdana" w:eastAsia="Calibri" w:hAnsi="Verdana" w:cs="Arial"/>
          <w:lang w:eastAsia="es-ES"/>
        </w:rPr>
        <w:t xml:space="preserve"> trasladada previamente por el Departamento Administrativo de la Función Pública mediante radicado 20252040296821</w:t>
      </w:r>
      <w:r w:rsidRPr="000952AC">
        <w:rPr>
          <w:rFonts w:ascii="Verdana" w:eastAsia="Calibri" w:hAnsi="Verdana" w:cs="Arial"/>
          <w:lang w:eastAsia="es-ES"/>
        </w:rPr>
        <w:t xml:space="preserve"> en la cual manifiesta lo siguiente: </w:t>
      </w:r>
    </w:p>
    <w:p w14:paraId="5346418E" w14:textId="77777777" w:rsidR="00BC11AD" w:rsidRPr="000952AC" w:rsidRDefault="00BC11AD" w:rsidP="00BC11AD">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494DCB76" w14:textId="77777777" w:rsidR="00BC11AD" w:rsidRDefault="00BC11AD" w:rsidP="00BC11AD">
      <w:pPr>
        <w:spacing w:after="0" w:line="240" w:lineRule="auto"/>
        <w:ind w:left="709" w:right="709"/>
        <w:jc w:val="both"/>
        <w:rPr>
          <w:rFonts w:ascii="Verdana" w:hAnsi="Verdana"/>
          <w:sz w:val="20"/>
          <w:szCs w:val="20"/>
        </w:rPr>
      </w:pPr>
      <w:bookmarkStart w:id="4" w:name="_Hlk192699624"/>
      <w:bookmarkStart w:id="5" w:name="_Hlk199394899"/>
      <w:r w:rsidRPr="000952AC">
        <w:rPr>
          <w:rFonts w:ascii="Verdana" w:eastAsia="Century Gothic" w:hAnsi="Verdana" w:cs="Century Gothic"/>
          <w:sz w:val="20"/>
          <w:szCs w:val="20"/>
        </w:rPr>
        <w:t xml:space="preserve">“(…) </w:t>
      </w:r>
      <w:bookmarkEnd w:id="4"/>
      <w:r w:rsidRPr="0058117D">
        <w:rPr>
          <w:rFonts w:ascii="Verdana" w:eastAsia="Century Gothic" w:hAnsi="Verdana" w:cs="Century Gothic"/>
          <w:sz w:val="20"/>
          <w:szCs w:val="20"/>
        </w:rPr>
        <w:t xml:space="preserve">Me gustaría saber si un profesional que tiene un contrato de prestación de servicios con una secretaría de un </w:t>
      </w:r>
      <w:proofErr w:type="gramStart"/>
      <w:r w:rsidRPr="0058117D">
        <w:rPr>
          <w:rFonts w:ascii="Verdana" w:eastAsia="Century Gothic" w:hAnsi="Verdana" w:cs="Century Gothic"/>
          <w:sz w:val="20"/>
          <w:szCs w:val="20"/>
        </w:rPr>
        <w:t>Municipio,</w:t>
      </w:r>
      <w:proofErr w:type="gramEnd"/>
      <w:r w:rsidRPr="0058117D">
        <w:rPr>
          <w:rFonts w:ascii="Verdana" w:eastAsia="Century Gothic" w:hAnsi="Verdana" w:cs="Century Gothic"/>
          <w:sz w:val="20"/>
          <w:szCs w:val="20"/>
        </w:rPr>
        <w:t xml:space="preserve"> puede participar en licitaciones públicas y en otro tipo de procesos que adelante la misma entidad y/o secretaría para la cual labora, a través de una persona jurídica (empresa) en la cual ese profesional funge como representante legal y es accionista de dicha persona jurídica. En lo posible, </w:t>
      </w:r>
      <w:r w:rsidRPr="0058117D">
        <w:rPr>
          <w:rFonts w:ascii="Verdana" w:eastAsia="Century Gothic" w:hAnsi="Verdana" w:cs="Century Gothic"/>
          <w:sz w:val="20"/>
          <w:szCs w:val="20"/>
        </w:rPr>
        <w:lastRenderedPageBreak/>
        <w:t xml:space="preserve">sírvase de hacer análisis exhaustivo sobre el régimen de inhabilidades e incompatibilidades y sobre los posibles conflictos de interés en caso de que se configuraran. Muchas gracias </w:t>
      </w:r>
      <w:r w:rsidRPr="000952AC">
        <w:rPr>
          <w:rFonts w:ascii="Verdana" w:hAnsi="Verdana"/>
          <w:sz w:val="20"/>
          <w:szCs w:val="20"/>
        </w:rPr>
        <w:t>(…)”.</w:t>
      </w:r>
      <w:bookmarkEnd w:id="5"/>
    </w:p>
    <w:p w14:paraId="488356C4" w14:textId="77777777" w:rsidR="00BC11AD" w:rsidRPr="005518DB" w:rsidRDefault="00BC11AD" w:rsidP="00BC11AD">
      <w:pPr>
        <w:spacing w:after="0" w:line="276" w:lineRule="auto"/>
        <w:ind w:left="709" w:right="709"/>
        <w:jc w:val="both"/>
        <w:rPr>
          <w:rFonts w:ascii="Verdana" w:hAnsi="Verdana"/>
        </w:rPr>
      </w:pPr>
    </w:p>
    <w:p w14:paraId="71A4826E" w14:textId="77777777" w:rsidR="00BC11AD" w:rsidRPr="000952AC" w:rsidRDefault="00BC11AD" w:rsidP="00BC11AD">
      <w:pPr>
        <w:spacing w:after="120" w:line="276" w:lineRule="auto"/>
        <w:ind w:firstLine="709"/>
        <w:jc w:val="both"/>
        <w:rPr>
          <w:rFonts w:ascii="Verdana" w:eastAsia="Calibri" w:hAnsi="Verdana" w:cs="Arial"/>
          <w:color w:val="000000"/>
          <w:szCs w:val="24"/>
          <w:lang w:eastAsia="es-ES_tradnl"/>
        </w:rPr>
      </w:pPr>
      <w:r w:rsidRPr="000952A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52AC">
        <w:rPr>
          <w:rFonts w:ascii="Verdana" w:eastAsia="Calibri" w:hAnsi="Verdana" w:cs="Arial"/>
          <w:color w:val="000000"/>
          <w:szCs w:val="24"/>
          <w:lang w:eastAsia="es-ES_tradnl"/>
        </w:rPr>
        <w:tab/>
      </w:r>
    </w:p>
    <w:p w14:paraId="4F2C9F03" w14:textId="77777777" w:rsidR="00BC11AD" w:rsidRPr="000952AC" w:rsidRDefault="00BC11AD" w:rsidP="00BC11AD">
      <w:pPr>
        <w:spacing w:after="0" w:line="276" w:lineRule="auto"/>
        <w:ind w:firstLine="709"/>
        <w:jc w:val="both"/>
        <w:rPr>
          <w:rFonts w:ascii="Verdana" w:eastAsia="Calibri" w:hAnsi="Verdana" w:cs="Arial"/>
          <w:color w:val="000000"/>
          <w:lang w:eastAsia="es-ES"/>
        </w:rPr>
      </w:pPr>
      <w:r w:rsidRPr="000952AC">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Pr>
          <w:rFonts w:ascii="Verdana" w:eastAsia="Calibri" w:hAnsi="Verdana" w:cs="Arial"/>
          <w:color w:val="000000"/>
          <w:lang w:eastAsia="es-ES"/>
        </w:rPr>
        <w:t>con el problema jurídico</w:t>
      </w:r>
      <w:r w:rsidRPr="000952AC">
        <w:rPr>
          <w:rFonts w:ascii="Verdana" w:eastAsia="Calibri" w:hAnsi="Verdana" w:cs="Arial"/>
          <w:color w:val="000000"/>
          <w:lang w:eastAsia="es-ES"/>
        </w:rPr>
        <w:t xml:space="preserve"> de su consulta.  </w:t>
      </w:r>
    </w:p>
    <w:p w14:paraId="7DDD030A" w14:textId="77777777" w:rsidR="00BC11AD" w:rsidRPr="000952AC" w:rsidRDefault="00BC11AD" w:rsidP="00BC11AD">
      <w:pPr>
        <w:spacing w:after="0" w:line="276" w:lineRule="auto"/>
        <w:ind w:firstLine="709"/>
        <w:jc w:val="both"/>
        <w:rPr>
          <w:rFonts w:ascii="Verdana" w:eastAsia="Calibri" w:hAnsi="Verdana" w:cs="Arial"/>
          <w:color w:val="000000"/>
          <w:lang w:eastAsia="es-ES"/>
        </w:rPr>
      </w:pPr>
    </w:p>
    <w:p w14:paraId="22CA8561" w14:textId="77777777" w:rsidR="00BC11AD" w:rsidRPr="00E36A13" w:rsidRDefault="00BC11AD" w:rsidP="00BC11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E36A13">
        <w:rPr>
          <w:rFonts w:ascii="Verdana" w:eastAsia="Century Gothic" w:hAnsi="Verdana" w:cs="Century Gothic"/>
          <w:b/>
          <w:bCs/>
          <w:lang w:val="es-CO"/>
        </w:rPr>
        <w:t>Problema planteado:</w:t>
      </w:r>
    </w:p>
    <w:p w14:paraId="4E6B9FB2" w14:textId="77777777" w:rsidR="00BC11AD" w:rsidRPr="00E36A13" w:rsidRDefault="00BC11AD" w:rsidP="00BC11AD">
      <w:pPr>
        <w:tabs>
          <w:tab w:val="left" w:pos="426"/>
        </w:tabs>
        <w:spacing w:after="0" w:line="276" w:lineRule="auto"/>
        <w:jc w:val="both"/>
        <w:rPr>
          <w:rFonts w:ascii="Verdana" w:eastAsia="Century Gothic" w:hAnsi="Verdana" w:cs="Century Gothic"/>
        </w:rPr>
      </w:pPr>
    </w:p>
    <w:p w14:paraId="11DA581E" w14:textId="77777777" w:rsidR="00BC11AD" w:rsidRPr="004C7F75" w:rsidRDefault="00BC11AD" w:rsidP="00BC11AD">
      <w:pPr>
        <w:spacing w:after="0" w:line="276" w:lineRule="auto"/>
        <w:jc w:val="both"/>
        <w:rPr>
          <w:rFonts w:ascii="Verdana" w:eastAsia="Century Gothic" w:hAnsi="Verdana" w:cs="Century Gothic"/>
        </w:rPr>
      </w:pPr>
      <w:r w:rsidRPr="00DE5D26">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U</w:t>
      </w:r>
      <w:r w:rsidRPr="00DE5D26">
        <w:rPr>
          <w:rFonts w:ascii="Verdana" w:eastAsia="Century Gothic" w:hAnsi="Verdana" w:cs="Century Gothic"/>
        </w:rPr>
        <w:t>n contratista por prestación de servicios de una entidad del estado puede participar en procesos de selección que adelante la misma entidad estatal</w:t>
      </w:r>
      <w:r>
        <w:rPr>
          <w:rFonts w:ascii="Verdana" w:eastAsia="Century Gothic" w:hAnsi="Verdana" w:cs="Century Gothic"/>
        </w:rPr>
        <w:t xml:space="preserve"> a través de una persona jurídica en la que es socio y adicionalmente ostenta la representación legal</w:t>
      </w:r>
      <w:r w:rsidRPr="00DE5D26">
        <w:rPr>
          <w:rFonts w:ascii="Verdana" w:eastAsia="Century Gothic" w:hAnsi="Verdana" w:cs="Century Gothic"/>
        </w:rPr>
        <w:t>?</w:t>
      </w:r>
      <w:r>
        <w:rPr>
          <w:rFonts w:ascii="Verdana" w:eastAsia="Century Gothic" w:hAnsi="Verdana" w:cs="Century Gothic"/>
        </w:rPr>
        <w:t xml:space="preserve"> </w:t>
      </w:r>
      <w:r w:rsidRPr="0013425D">
        <w:rPr>
          <w:rFonts w:ascii="Verdana" w:eastAsia="Century Gothic" w:hAnsi="Verdana" w:cs="Century Gothic"/>
        </w:rPr>
        <w:t xml:space="preserve"> </w:t>
      </w:r>
    </w:p>
    <w:p w14:paraId="00733252" w14:textId="77777777" w:rsidR="00BC11AD" w:rsidRDefault="00BC11AD" w:rsidP="00BC11AD">
      <w:pPr>
        <w:spacing w:after="0" w:line="276" w:lineRule="auto"/>
        <w:jc w:val="both"/>
        <w:rPr>
          <w:rFonts w:ascii="Verdana" w:hAnsi="Verdana"/>
          <w:sz w:val="20"/>
          <w:szCs w:val="20"/>
        </w:rPr>
      </w:pPr>
    </w:p>
    <w:p w14:paraId="5E5E28D6" w14:textId="77777777" w:rsidR="00BC11AD" w:rsidRPr="000952AC" w:rsidRDefault="00BC11AD" w:rsidP="00BC11AD">
      <w:pPr>
        <w:spacing w:after="0" w:line="276" w:lineRule="auto"/>
        <w:jc w:val="both"/>
        <w:rPr>
          <w:rFonts w:ascii="Verdana" w:eastAsia="Century Gothic" w:hAnsi="Verdana" w:cs="Century Gothic"/>
          <w:b/>
          <w:bCs/>
        </w:rPr>
      </w:pPr>
      <w:r w:rsidRPr="000952AC">
        <w:rPr>
          <w:rFonts w:ascii="Verdana" w:eastAsia="Century Gothic" w:hAnsi="Verdana" w:cs="Century Gothic"/>
          <w:b/>
          <w:bCs/>
        </w:rPr>
        <w:t>2. Respuesta:</w:t>
      </w:r>
    </w:p>
    <w:p w14:paraId="5D518AA9" w14:textId="77777777" w:rsidR="00BC11AD" w:rsidRPr="000952AC" w:rsidRDefault="00BC11AD" w:rsidP="00BC11A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BC11AD" w:rsidRPr="000952AC" w14:paraId="192E8E0F" w14:textId="77777777" w:rsidTr="00CB682D">
        <w:tc>
          <w:tcPr>
            <w:tcW w:w="8828" w:type="dxa"/>
          </w:tcPr>
          <w:p w14:paraId="1C41506F" w14:textId="77777777" w:rsidR="00BC11AD" w:rsidRDefault="00BC11AD" w:rsidP="00080EAF">
            <w:pPr>
              <w:spacing w:after="120" w:line="276" w:lineRule="auto"/>
              <w:jc w:val="both"/>
              <w:rPr>
                <w:rFonts w:ascii="Verdana" w:eastAsia="Calibri" w:hAnsi="Verdana" w:cs="Arial"/>
                <w:lang w:val="es-ES_tradnl"/>
              </w:rPr>
            </w:pPr>
            <w:r>
              <w:rPr>
                <w:rFonts w:ascii="Verdana" w:eastAsia="Calibri" w:hAnsi="Verdana" w:cs="Arial"/>
                <w:lang w:val="es-MX"/>
              </w:rPr>
              <w:t>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w:t>
            </w:r>
            <w:r>
              <w:rPr>
                <w:rFonts w:ascii="Verdana" w:eastAsia="Calibri" w:hAnsi="Verdana" w:cs="Arial"/>
                <w:lang w:val="es-MX"/>
              </w:rPr>
              <w:t xml:space="preserve">. </w:t>
            </w:r>
            <w:r>
              <w:rPr>
                <w:rFonts w:ascii="Verdana" w:eastAsia="Calibri" w:hAnsi="Verdana" w:cs="Arial"/>
                <w:lang w:val="es-ES_tradnl"/>
              </w:rPr>
              <w:t>L</w:t>
            </w:r>
            <w:r w:rsidRPr="0060163E">
              <w:rPr>
                <w:rFonts w:ascii="Verdana" w:eastAsia="Calibri" w:hAnsi="Verdana" w:cs="Arial"/>
                <w:lang w:val="es-ES_tradnl"/>
              </w:rPr>
              <w:t xml:space="preserve">as </w:t>
            </w:r>
            <w:r w:rsidRPr="0060163E">
              <w:rPr>
                <w:rFonts w:ascii="Verdana" w:eastAsia="Calibri" w:hAnsi="Verdana" w:cs="Arial"/>
                <w:lang w:val="es-ES_tradnl"/>
              </w:rPr>
              <w:lastRenderedPageBreak/>
              <w:t>inhabilidades e incompatibilidades al ser restricciones o límites especiales a la capacidad para presentar ofertas y celebrar contratos estatales, solo pueden tipificarse en la ley o la Constitución –</w:t>
            </w:r>
            <w:r>
              <w:rPr>
                <w:rFonts w:ascii="Verdana" w:eastAsia="Calibri" w:hAnsi="Verdana" w:cs="Arial"/>
                <w:lang w:val="es-ES_tradnl"/>
              </w:rPr>
              <w:t xml:space="preserve"> es decir</w:t>
            </w:r>
            <w:r w:rsidRPr="0060163E">
              <w:rPr>
                <w:rFonts w:ascii="Verdana" w:eastAsia="Calibri" w:hAnsi="Verdana" w:cs="Arial"/>
                <w:lang w:val="es-ES_tradnl"/>
              </w:rPr>
              <w:t xml:space="preserve">, deben satisfacer el principio de legalidad– y su interpretación debe ser </w:t>
            </w:r>
            <w:r w:rsidRPr="0060163E">
              <w:rPr>
                <w:rFonts w:ascii="Verdana" w:eastAsia="Calibri" w:hAnsi="Verdana" w:cs="Arial"/>
                <w:i/>
                <w:iCs/>
                <w:lang w:val="es-ES_tradnl"/>
              </w:rPr>
              <w:t xml:space="preserve">restrictiva, </w:t>
            </w:r>
            <w:r w:rsidRPr="0060163E">
              <w:rPr>
                <w:rFonts w:ascii="Verdana" w:eastAsia="Calibri" w:hAnsi="Verdana" w:cs="Arial"/>
                <w:lang w:val="es-ES_tradnl"/>
              </w:rPr>
              <w:t>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w:t>
            </w:r>
            <w:r>
              <w:rPr>
                <w:rFonts w:ascii="Verdana" w:eastAsia="Calibri" w:hAnsi="Verdana" w:cs="Arial"/>
                <w:lang w:val="es-ES_tradnl"/>
              </w:rPr>
              <w:t>.</w:t>
            </w:r>
          </w:p>
          <w:p w14:paraId="10B78067" w14:textId="77777777" w:rsidR="00BC11AD" w:rsidRPr="00F91753" w:rsidRDefault="00BC11AD" w:rsidP="00080556">
            <w:pPr>
              <w:spacing w:after="120" w:line="276" w:lineRule="auto"/>
              <w:ind w:firstLine="709"/>
              <w:jc w:val="both"/>
              <w:rPr>
                <w:rFonts w:ascii="Verdana" w:eastAsia="Arial MT" w:hAnsi="Verdana" w:cs="Arial"/>
                <w:lang w:eastAsia="es-ES" w:bidi="es-ES"/>
              </w:rPr>
            </w:pPr>
            <w:r>
              <w:rPr>
                <w:rFonts w:ascii="Verdana" w:hAnsi="Verdana" w:cs="Arial"/>
                <w:color w:val="000000" w:themeColor="text1"/>
                <w:lang w:val="es-ES"/>
              </w:rPr>
              <w:t xml:space="preserve">En este contexto, analizado el </w:t>
            </w:r>
            <w:r w:rsidRPr="00966C6B">
              <w:rPr>
                <w:rFonts w:ascii="Verdana" w:hAnsi="Verdana" w:cs="Arial"/>
                <w:color w:val="000000" w:themeColor="text1"/>
                <w:lang w:val="es-ES"/>
              </w:rPr>
              <w:t xml:space="preserve">régimen de inhabilidades e incompatibilidades previsto para la contratación estatal, </w:t>
            </w:r>
            <w:r w:rsidRPr="00CA3CC2">
              <w:rPr>
                <w:rFonts w:ascii="Verdana" w:hAnsi="Verdana" w:cs="Arial"/>
                <w:color w:val="000000" w:themeColor="text1"/>
                <w:lang w:val="es-ES_tradnl"/>
              </w:rPr>
              <w:t>se concluye que no existe una inhabilidad</w:t>
            </w:r>
            <w:r>
              <w:rPr>
                <w:rFonts w:ascii="Verdana" w:hAnsi="Verdana" w:cs="Arial"/>
                <w:color w:val="000000" w:themeColor="text1"/>
                <w:lang w:val="es-ES_tradnl"/>
              </w:rPr>
              <w:t xml:space="preserve"> o </w:t>
            </w:r>
            <w:r w:rsidRPr="00CA3CC2">
              <w:rPr>
                <w:rFonts w:ascii="Verdana" w:hAnsi="Verdana" w:cs="Arial"/>
                <w:color w:val="000000" w:themeColor="text1"/>
                <w:lang w:val="es-ES_tradnl"/>
              </w:rPr>
              <w:t xml:space="preserve">incompatibilidad para que </w:t>
            </w:r>
            <w:r>
              <w:rPr>
                <w:rFonts w:ascii="Verdana" w:eastAsia="Arial MT" w:hAnsi="Verdana" w:cs="Arial"/>
                <w:lang w:eastAsia="es-ES" w:bidi="es-ES"/>
              </w:rPr>
              <w:t>contratista de una entidad del estado pueda, a su vez, a través de la empresa a la que él representa legalmente y de la cual también es socio, ser adjudicatario de algún contrato definido a través de cualquiera de las modalidades de selección, por cuanto dicha circunstancia no se subsume en ninguno de los supuestos de hecho, ni se advierte que la hipótesis materia de consulta configure alguna de las causales previstas establecidos en el artículo 8 de la Ley 80 de 1993</w:t>
            </w:r>
            <w:r>
              <w:rPr>
                <w:rFonts w:ascii="Verdana" w:hAnsi="Verdana" w:cs="Arial"/>
                <w:color w:val="000000" w:themeColor="text1"/>
                <w:lang w:val="es-ES_tradnl"/>
              </w:rPr>
              <w:t xml:space="preserve">. </w:t>
            </w:r>
            <w:r w:rsidRPr="00FF2FD4">
              <w:rPr>
                <w:rFonts w:ascii="Verdana" w:eastAsia="Calibri" w:hAnsi="Verdana" w:cs="Arial"/>
                <w:bCs/>
                <w:lang w:val="es-ES_tradnl"/>
              </w:rPr>
              <w:t>En consecuencia, dado que dichas causales son taxativas y de interpretación restrictiva, el supuesto mencionado no genera inhabilidad o incompatibilidad para contratar con el Estado.</w:t>
            </w:r>
          </w:p>
          <w:p w14:paraId="6AC5AD3B" w14:textId="77777777" w:rsidR="00BC11AD" w:rsidRDefault="00BC11AD" w:rsidP="00080556">
            <w:pPr>
              <w:spacing w:after="120" w:line="276" w:lineRule="auto"/>
              <w:ind w:firstLine="709"/>
              <w:jc w:val="both"/>
              <w:rPr>
                <w:rFonts w:ascii="Verdana" w:eastAsia="Arial MT" w:hAnsi="Verdana" w:cs="Arial"/>
                <w:lang w:eastAsia="es-ES" w:bidi="es-ES"/>
              </w:rPr>
            </w:pPr>
            <w:r w:rsidRPr="00E03F1D">
              <w:rPr>
                <w:rFonts w:ascii="Verdana" w:eastAsia="Calibri" w:hAnsi="Verdana" w:cs="Arial"/>
                <w:bCs/>
                <w:lang w:val="es-ES_tradnl"/>
              </w:rPr>
              <w:t xml:space="preserve">Pese a lo anterior, </w:t>
            </w:r>
            <w:r w:rsidRPr="00E03F1D">
              <w:rPr>
                <w:rFonts w:ascii="Verdana" w:eastAsia="Arial MT" w:hAnsi="Verdana" w:cs="Arial"/>
                <w:lang w:eastAsia="es-ES" w:bidi="es-ES"/>
              </w:rPr>
              <w:t>la entidad contratante tiene el deber de identificar cualquier conducta que pueda llegar a tener la connotación de un conflicto de interés, producto de la concurrencia de intereses antagónicos en el contratista que presta los servicios en una entidad y que afecten la transparencia de las decisiones que le competen o lo lleven a adoptar determinaciones de aprovechamiento personal, familiar o particular, en detrimento del interés público</w:t>
            </w:r>
            <w:r>
              <w:rPr>
                <w:rFonts w:ascii="Verdana" w:eastAsia="Arial MT" w:hAnsi="Verdana" w:cs="Arial"/>
                <w:lang w:eastAsia="es-ES" w:bidi="es-ES"/>
              </w:rPr>
              <w:t xml:space="preserve">. </w:t>
            </w:r>
          </w:p>
          <w:p w14:paraId="3C93AB04" w14:textId="77777777" w:rsidR="00BC11AD" w:rsidRDefault="00BC11AD" w:rsidP="00080556">
            <w:pPr>
              <w:spacing w:after="120" w:line="276" w:lineRule="auto"/>
              <w:ind w:firstLine="709"/>
              <w:jc w:val="both"/>
              <w:rPr>
                <w:rFonts w:ascii="Verdana" w:eastAsia="Calibri" w:hAnsi="Verdana" w:cs="Arial"/>
              </w:rPr>
            </w:pPr>
            <w:r>
              <w:rPr>
                <w:rFonts w:ascii="Verdana" w:eastAsia="Calibri" w:hAnsi="Verdana" w:cs="Arial"/>
              </w:rPr>
              <w:t>Por lo tanto, es</w:t>
            </w:r>
            <w:r w:rsidRPr="00BF6F3D">
              <w:rPr>
                <w:rFonts w:ascii="Verdana" w:eastAsia="Calibri" w:hAnsi="Verdana" w:cs="Arial"/>
              </w:rPr>
              <w:t xml:space="preserve"> deber de las Entidades Estatales con el fin de salvaguardar la transparencia, integridad y moralidad administrativa, no sólo revisar la ocurrencia de potenciales conflictos de interés que devengan de sus contratistas, sino también, de reglamentar en sus respectivos manuales internos de contratación o pliego de condiciones, según el caso, la forma en la que estos serán resueltos y el funcionario competente para ello</w:t>
            </w:r>
            <w:r>
              <w:rPr>
                <w:rFonts w:ascii="Verdana" w:eastAsia="Calibri" w:hAnsi="Verdana" w:cs="Arial"/>
              </w:rPr>
              <w:t>.</w:t>
            </w:r>
          </w:p>
          <w:p w14:paraId="08149897" w14:textId="3F63623D" w:rsidR="00BC11AD" w:rsidRPr="00E20ABF" w:rsidRDefault="00080EAF" w:rsidP="00080556">
            <w:pPr>
              <w:spacing w:after="120" w:line="276" w:lineRule="auto"/>
              <w:ind w:firstLine="709"/>
              <w:jc w:val="both"/>
              <w:rPr>
                <w:rFonts w:ascii="Verdana" w:eastAsia="Calibri" w:hAnsi="Verdana" w:cs="Arial"/>
              </w:rPr>
            </w:pPr>
            <w:r>
              <w:rPr>
                <w:rFonts w:ascii="Verdana" w:eastAsia="Calibri" w:hAnsi="Verdana" w:cs="Arial"/>
                <w:lang w:val="es-ES"/>
              </w:rPr>
              <w:lastRenderedPageBreak/>
              <w:t>Sin perjuicio de lo anterior</w:t>
            </w:r>
            <w:r w:rsidR="00BC11AD" w:rsidRPr="00BF6F3D">
              <w:rPr>
                <w:rFonts w:ascii="Verdana" w:eastAsia="Calibri" w:hAnsi="Verdana" w:cs="Arial"/>
                <w:lang w:val="es-ES"/>
              </w:rPr>
              <w:t xml:space="preserve">, debe advertirse que el análisis requerido para resolver problemas específicos en torno a la configuración y resolución de conflictos de </w:t>
            </w:r>
            <w:r w:rsidR="00E0609C" w:rsidRPr="00BF6F3D">
              <w:rPr>
                <w:rFonts w:ascii="Verdana" w:eastAsia="Calibri" w:hAnsi="Verdana" w:cs="Arial"/>
                <w:lang w:val="es-ES"/>
              </w:rPr>
              <w:t>interés</w:t>
            </w:r>
            <w:r w:rsidR="00BC11AD" w:rsidRPr="00BF6F3D">
              <w:rPr>
                <w:rFonts w:ascii="Verdana" w:eastAsia="Calibri" w:hAnsi="Verdana" w:cs="Arial"/>
                <w:lang w:val="es-ES"/>
              </w:rPr>
              <w:t xml:space="preserve"> debe ser realizado por quienes tengan interés en ello. De esta manera, las afirmaciones aquí realizadas no pueden ser interpretadas como juicios de valor sobre circunstancias concretas relacionadas con los hechos que motivan la consulta</w:t>
            </w:r>
            <w:r w:rsidR="00BC11AD">
              <w:rPr>
                <w:rFonts w:ascii="Verdana" w:eastAsia="Calibri" w:hAnsi="Verdana" w:cs="Arial"/>
                <w:lang w:val="es-ES"/>
              </w:rPr>
              <w:t>.</w:t>
            </w:r>
          </w:p>
        </w:tc>
      </w:tr>
    </w:tbl>
    <w:p w14:paraId="2A0C8794" w14:textId="77777777" w:rsidR="00BC11AD" w:rsidRPr="000952AC" w:rsidRDefault="00BC11AD" w:rsidP="00BC11AD">
      <w:pPr>
        <w:tabs>
          <w:tab w:val="left" w:pos="142"/>
          <w:tab w:val="left" w:pos="284"/>
        </w:tabs>
        <w:spacing w:after="0" w:line="276" w:lineRule="auto"/>
        <w:jc w:val="both"/>
        <w:rPr>
          <w:rFonts w:ascii="Verdana" w:eastAsia="Century Gothic" w:hAnsi="Verdana" w:cs="Century Gothic"/>
          <w:b/>
          <w:bCs/>
        </w:rPr>
      </w:pPr>
    </w:p>
    <w:p w14:paraId="3DBA0019" w14:textId="77777777" w:rsidR="00BC11AD" w:rsidRPr="000952AC" w:rsidRDefault="00BC11AD" w:rsidP="00BC11AD">
      <w:pPr>
        <w:tabs>
          <w:tab w:val="left" w:pos="142"/>
          <w:tab w:val="left" w:pos="284"/>
        </w:tabs>
        <w:spacing w:after="0" w:line="276" w:lineRule="auto"/>
        <w:jc w:val="both"/>
        <w:rPr>
          <w:rFonts w:ascii="Verdana" w:eastAsia="Century Gothic" w:hAnsi="Verdana" w:cs="Century Gothic"/>
          <w:b/>
          <w:bCs/>
        </w:rPr>
      </w:pPr>
      <w:r w:rsidRPr="000952AC">
        <w:rPr>
          <w:rFonts w:ascii="Verdana" w:eastAsia="Century Gothic" w:hAnsi="Verdana" w:cs="Century Gothic"/>
          <w:b/>
          <w:bCs/>
        </w:rPr>
        <w:t>3. Razones de la respuesta:</w:t>
      </w:r>
    </w:p>
    <w:p w14:paraId="23A295ED" w14:textId="77777777" w:rsidR="00BC11AD" w:rsidRPr="000952AC" w:rsidRDefault="00BC11AD" w:rsidP="00BC11AD">
      <w:pPr>
        <w:tabs>
          <w:tab w:val="left" w:pos="142"/>
          <w:tab w:val="left" w:pos="284"/>
        </w:tabs>
        <w:spacing w:after="0" w:line="276" w:lineRule="auto"/>
        <w:jc w:val="both"/>
        <w:rPr>
          <w:rFonts w:ascii="Verdana" w:eastAsia="Century Gothic" w:hAnsi="Verdana" w:cs="Century Gothic"/>
          <w:b/>
          <w:bCs/>
        </w:rPr>
      </w:pPr>
    </w:p>
    <w:p w14:paraId="2F5E6C95" w14:textId="77777777" w:rsidR="00BC11AD" w:rsidRDefault="00BC11AD" w:rsidP="00BC11AD">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0952AC">
        <w:rPr>
          <w:rFonts w:ascii="Verdana" w:eastAsia="Calibri" w:hAnsi="Verdana" w:cs="Arial"/>
          <w:lang w:val="es-CO"/>
        </w:rPr>
        <w:t xml:space="preserve">Lo anterior se sustenta en las siguientes consideraciones: </w:t>
      </w:r>
    </w:p>
    <w:p w14:paraId="54784E8B" w14:textId="77777777" w:rsidR="00BC11AD" w:rsidRDefault="00BC11AD" w:rsidP="00BC11AD">
      <w:pPr>
        <w:spacing w:after="0" w:line="240" w:lineRule="auto"/>
        <w:jc w:val="both"/>
        <w:rPr>
          <w:rFonts w:ascii="Verdana" w:eastAsia="Calibri" w:hAnsi="Verdana" w:cs="Arial"/>
          <w:color w:val="000000" w:themeColor="text1"/>
          <w:lang w:val="es-ES_tradnl"/>
        </w:rPr>
      </w:pPr>
    </w:p>
    <w:p w14:paraId="266A101A" w14:textId="77777777" w:rsidR="00BC11AD" w:rsidRDefault="00BC11AD" w:rsidP="00BC11AD">
      <w:pPr>
        <w:spacing w:after="0" w:line="276" w:lineRule="auto"/>
        <w:jc w:val="both"/>
        <w:rPr>
          <w:rFonts w:ascii="Verdana" w:eastAsia="Calibri" w:hAnsi="Verdana" w:cs="Arial"/>
          <w:lang w:val="es-MX"/>
        </w:rPr>
      </w:pPr>
      <w:r w:rsidRPr="0060163E">
        <w:rPr>
          <w:rFonts w:ascii="Verdana" w:eastAsia="Calibri" w:hAnsi="Verdana" w:cs="Arial"/>
          <w:lang w:val="es-MX"/>
        </w:rPr>
        <w:t>Las 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t xml:space="preserve">De igual modo, en torno a la incompatibilidad, la Corte Constitucional ha señalado: </w:t>
      </w:r>
    </w:p>
    <w:p w14:paraId="4DF8749C" w14:textId="77777777" w:rsidR="00BC11AD" w:rsidRDefault="00BC11AD" w:rsidP="00BC11AD">
      <w:pPr>
        <w:spacing w:after="0" w:line="276" w:lineRule="auto"/>
        <w:jc w:val="both"/>
        <w:rPr>
          <w:rFonts w:ascii="Verdana" w:eastAsia="Calibri" w:hAnsi="Verdana" w:cs="Arial"/>
          <w:lang w:val="es-MX"/>
        </w:rPr>
      </w:pPr>
    </w:p>
    <w:p w14:paraId="4F9E633B" w14:textId="77777777" w:rsidR="00BC11AD" w:rsidRDefault="00BC11AD" w:rsidP="00BC11AD">
      <w:pPr>
        <w:spacing w:after="0" w:line="240" w:lineRule="auto"/>
        <w:ind w:left="709" w:right="709"/>
        <w:jc w:val="both"/>
        <w:rPr>
          <w:rFonts w:ascii="Verdana" w:eastAsia="Calibri" w:hAnsi="Verdana" w:cs="Arial"/>
          <w:bCs/>
          <w:iCs/>
          <w:sz w:val="21"/>
          <w:szCs w:val="21"/>
          <w:lang w:val="es-ES"/>
        </w:rPr>
      </w:pPr>
      <w:r w:rsidRPr="000B4D9F">
        <w:rPr>
          <w:rFonts w:ascii="Verdana" w:eastAsia="Calibri" w:hAnsi="Verdana" w:cs="Arial"/>
          <w:sz w:val="21"/>
          <w:szCs w:val="21"/>
          <w:lang w:val="es-MX"/>
        </w:rPr>
        <w:t xml:space="preserve"> </w:t>
      </w:r>
      <w:r w:rsidRPr="000B4D9F">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0B4D9F">
        <w:rPr>
          <w:rFonts w:ascii="Verdana" w:eastAsia="Calibri" w:hAnsi="Verdana" w:cs="Arial"/>
          <w:bCs/>
          <w:iCs/>
          <w:sz w:val="21"/>
          <w:szCs w:val="21"/>
          <w:vertAlign w:val="superscript"/>
          <w:lang w:val="es-ES"/>
        </w:rPr>
        <w:footnoteReference w:id="1"/>
      </w:r>
      <w:r w:rsidRPr="000B4D9F">
        <w:rPr>
          <w:rFonts w:ascii="Verdana" w:eastAsia="Calibri" w:hAnsi="Verdana" w:cs="Arial"/>
          <w:bCs/>
          <w:iCs/>
          <w:sz w:val="21"/>
          <w:szCs w:val="21"/>
          <w:lang w:val="es-ES"/>
        </w:rPr>
        <w:t>.</w:t>
      </w:r>
    </w:p>
    <w:p w14:paraId="0A51B11E" w14:textId="77777777" w:rsidR="00BC11AD" w:rsidRPr="000B4D9F" w:rsidRDefault="00BC11AD" w:rsidP="00BC11AD">
      <w:pPr>
        <w:spacing w:after="0" w:line="240" w:lineRule="auto"/>
        <w:ind w:left="709" w:right="709"/>
        <w:jc w:val="both"/>
        <w:rPr>
          <w:rFonts w:ascii="Verdana" w:eastAsia="Calibri" w:hAnsi="Verdana" w:cs="Arial"/>
          <w:bCs/>
          <w:iCs/>
          <w:sz w:val="21"/>
          <w:szCs w:val="21"/>
          <w:lang w:val="es-ES_tradnl"/>
        </w:rPr>
      </w:pPr>
    </w:p>
    <w:p w14:paraId="7B0487D6" w14:textId="77777777" w:rsidR="00BC11AD" w:rsidRDefault="00BC11AD" w:rsidP="00BC11AD">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w:t>
      </w:r>
      <w:r w:rsidRPr="0060163E">
        <w:rPr>
          <w:rFonts w:ascii="Verdana" w:eastAsia="Calibri" w:hAnsi="Verdana" w:cs="Arial"/>
          <w:lang w:val="es-MX"/>
        </w:rPr>
        <w:lastRenderedPageBreak/>
        <w:t>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2"/>
      </w:r>
      <w:r>
        <w:rPr>
          <w:rFonts w:ascii="Verdana" w:eastAsia="Calibri" w:hAnsi="Verdana" w:cs="Arial"/>
          <w:lang w:val="es-MX"/>
        </w:rPr>
        <w:t>. En efecto, en aras de proteger la moralidad administrativa, la transparencia, la función administrativa, se debe garantizar la probidad, imparcialidad, idoneidad y eficacia de las actividades estatales, por lo que en esa medida se prevén hechos y circunstancias que impiden a determinadas personas celebrar contratos con el estado</w:t>
      </w:r>
      <w:r>
        <w:rPr>
          <w:rStyle w:val="Refdenotaalpie"/>
          <w:rFonts w:ascii="Verdana" w:eastAsia="Calibri" w:hAnsi="Verdana" w:cs="Arial"/>
          <w:lang w:val="es-MX"/>
        </w:rPr>
        <w:footnoteReference w:id="3"/>
      </w:r>
      <w:r>
        <w:rPr>
          <w:rFonts w:ascii="Verdana" w:eastAsia="Calibri" w:hAnsi="Verdana" w:cs="Arial"/>
          <w:lang w:val="es-MX"/>
        </w:rPr>
        <w:t xml:space="preserve">. </w:t>
      </w:r>
    </w:p>
    <w:p w14:paraId="77DC28EE" w14:textId="77777777" w:rsidR="00BC11AD" w:rsidRPr="0060163E" w:rsidRDefault="00BC11AD" w:rsidP="00BC11AD">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541B2CF8" w14:textId="77777777" w:rsidR="00BC11AD" w:rsidRPr="0060163E" w:rsidRDefault="00BC11AD" w:rsidP="00BC11AD">
      <w:pPr>
        <w:spacing w:after="0" w:line="276" w:lineRule="auto"/>
        <w:jc w:val="both"/>
        <w:rPr>
          <w:rFonts w:ascii="Verdana" w:eastAsia="Calibri" w:hAnsi="Verdana" w:cs="Arial"/>
          <w:lang w:val="es-MX"/>
        </w:rPr>
      </w:pPr>
    </w:p>
    <w:p w14:paraId="3198FF56" w14:textId="77777777" w:rsidR="00BC11AD" w:rsidRPr="00D52EDA" w:rsidRDefault="00BC11AD" w:rsidP="00BC11AD">
      <w:pPr>
        <w:shd w:val="clear" w:color="auto" w:fill="FFFFFF"/>
        <w:spacing w:after="0" w:line="240" w:lineRule="auto"/>
        <w:ind w:left="709" w:right="709"/>
        <w:jc w:val="both"/>
        <w:rPr>
          <w:rFonts w:ascii="Verdana" w:eastAsia="Calibri" w:hAnsi="Verdana" w:cs="Arial"/>
          <w:sz w:val="20"/>
          <w:szCs w:val="20"/>
          <w:lang w:val="es-ES"/>
        </w:rPr>
      </w:pPr>
      <w:r w:rsidRPr="00D52EDA">
        <w:rPr>
          <w:rFonts w:ascii="Verdana" w:eastAsia="Calibri"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55884688" w14:textId="77777777" w:rsidR="00BC11AD" w:rsidRPr="00D52EDA" w:rsidRDefault="00BC11AD" w:rsidP="00BC11AD">
      <w:pPr>
        <w:shd w:val="clear" w:color="auto" w:fill="FFFFFF"/>
        <w:spacing w:after="0" w:line="240" w:lineRule="auto"/>
        <w:ind w:left="709" w:right="709"/>
        <w:jc w:val="both"/>
        <w:rPr>
          <w:rFonts w:ascii="Verdana" w:eastAsia="Calibri" w:hAnsi="Verdana" w:cs="Arial"/>
          <w:sz w:val="20"/>
          <w:szCs w:val="20"/>
          <w:lang w:val="es-ES"/>
        </w:rPr>
      </w:pPr>
    </w:p>
    <w:p w14:paraId="6806A366" w14:textId="77777777" w:rsidR="00BC11AD" w:rsidRPr="00D52EDA" w:rsidRDefault="00BC11AD" w:rsidP="00BC11AD">
      <w:pPr>
        <w:shd w:val="clear" w:color="auto" w:fill="FFFFFF"/>
        <w:spacing w:after="0" w:line="240" w:lineRule="auto"/>
        <w:ind w:left="709" w:right="709"/>
        <w:jc w:val="both"/>
        <w:rPr>
          <w:rFonts w:ascii="Verdana" w:eastAsia="Calibri" w:hAnsi="Verdana" w:cs="Arial"/>
          <w:sz w:val="20"/>
          <w:szCs w:val="20"/>
          <w:lang w:val="es-ES"/>
        </w:rPr>
      </w:pPr>
      <w:r w:rsidRPr="00D52EDA">
        <w:rPr>
          <w:rFonts w:ascii="Verdana" w:eastAsia="Calibri"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D52EDA">
        <w:rPr>
          <w:rFonts w:ascii="Verdana" w:eastAsia="Calibri" w:hAnsi="Verdana" w:cs="Arial"/>
          <w:sz w:val="20"/>
          <w:szCs w:val="20"/>
          <w:vertAlign w:val="superscript"/>
          <w:lang w:val="es-ES"/>
        </w:rPr>
        <w:footnoteReference w:id="4"/>
      </w:r>
      <w:r>
        <w:rPr>
          <w:rFonts w:ascii="Verdana" w:eastAsia="Calibri" w:hAnsi="Verdana" w:cs="Arial"/>
          <w:sz w:val="20"/>
          <w:szCs w:val="20"/>
          <w:lang w:val="es-ES"/>
        </w:rPr>
        <w:t>.</w:t>
      </w:r>
    </w:p>
    <w:p w14:paraId="61B771A5" w14:textId="77777777" w:rsidR="00BC11AD" w:rsidRPr="0060163E" w:rsidRDefault="00BC11AD" w:rsidP="00BC11AD">
      <w:pPr>
        <w:shd w:val="clear" w:color="auto" w:fill="FFFFFF"/>
        <w:spacing w:after="0" w:line="240" w:lineRule="auto"/>
        <w:ind w:left="709" w:right="709"/>
        <w:jc w:val="both"/>
        <w:rPr>
          <w:rFonts w:ascii="Verdana" w:eastAsia="Calibri" w:hAnsi="Verdana" w:cs="Arial"/>
          <w:lang w:val="es-ES"/>
        </w:rPr>
      </w:pPr>
    </w:p>
    <w:p w14:paraId="558FAEDE" w14:textId="77777777" w:rsidR="00BC11AD" w:rsidRPr="0060163E" w:rsidRDefault="00BC11AD" w:rsidP="00BC11AD">
      <w:pPr>
        <w:spacing w:after="0" w:line="276" w:lineRule="auto"/>
        <w:ind w:firstLine="709"/>
        <w:jc w:val="both"/>
        <w:rPr>
          <w:rFonts w:ascii="Verdana" w:eastAsia="Calibri" w:hAnsi="Verdana" w:cs="Arial"/>
          <w:lang w:val="es-MX"/>
        </w:rPr>
      </w:pPr>
      <w:r w:rsidRPr="0060163E">
        <w:rPr>
          <w:rFonts w:ascii="Verdana" w:eastAsia="Calibri" w:hAnsi="Verdana" w:cs="Arial"/>
          <w:lang w:val="es-MX"/>
        </w:rPr>
        <w:lastRenderedPageBreak/>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04345205" w14:textId="77777777" w:rsidR="00BC11AD" w:rsidRPr="004218E1" w:rsidRDefault="00BC11AD" w:rsidP="00BC11AD">
      <w:pPr>
        <w:spacing w:after="0" w:line="276" w:lineRule="auto"/>
        <w:rPr>
          <w:rFonts w:ascii="Verdana" w:eastAsia="Times New Roman" w:hAnsi="Verdana" w:cs="Arial"/>
          <w:sz w:val="21"/>
          <w:szCs w:val="21"/>
          <w:shd w:val="clear" w:color="auto" w:fill="FFFFFF"/>
          <w:lang w:eastAsia="es-ES_tradnl"/>
        </w:rPr>
      </w:pPr>
    </w:p>
    <w:p w14:paraId="663B3559" w14:textId="77777777" w:rsidR="00BC11AD" w:rsidRPr="00A457B5" w:rsidRDefault="00BC11AD" w:rsidP="00BC11AD">
      <w:pPr>
        <w:spacing w:after="0" w:line="240" w:lineRule="auto"/>
        <w:ind w:left="709" w:right="709"/>
        <w:jc w:val="both"/>
        <w:rPr>
          <w:rFonts w:ascii="Verdana" w:eastAsia="Calibri" w:hAnsi="Verdana" w:cs="Arial"/>
          <w:sz w:val="20"/>
          <w:szCs w:val="20"/>
          <w:lang w:val="es-MX"/>
        </w:rPr>
      </w:pPr>
      <w:r w:rsidRPr="00A457B5">
        <w:rPr>
          <w:rFonts w:ascii="Verdana" w:eastAsia="Calibri" w:hAnsi="Verdana" w:cs="Arial"/>
          <w:sz w:val="20"/>
          <w:szCs w:val="20"/>
          <w:lang w:val="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A457B5">
        <w:rPr>
          <w:rFonts w:ascii="Verdana" w:eastAsia="Calibri" w:hAnsi="Verdana" w:cs="Arial"/>
          <w:sz w:val="20"/>
          <w:szCs w:val="20"/>
          <w:lang w:val="es-MX"/>
        </w:rPr>
        <w:t>incompatibilidades,</w:t>
      </w:r>
      <w:proofErr w:type="gramEnd"/>
      <w:r w:rsidRPr="00A457B5">
        <w:rPr>
          <w:rFonts w:ascii="Verdana" w:eastAsia="Calibri" w:hAnsi="Verdana" w:cs="Arial"/>
          <w:sz w:val="20"/>
          <w:szCs w:val="20"/>
          <w:lang w:val="es-MX"/>
        </w:rPr>
        <w:t xml:space="preserve"> se erige en causal de nulidad del contrato celebrado en esas condiciones (ley 80 de 1993, art. 44).</w:t>
      </w:r>
    </w:p>
    <w:p w14:paraId="087A85A1" w14:textId="77777777" w:rsidR="00BC11AD" w:rsidRPr="004218E1" w:rsidRDefault="00BC11AD" w:rsidP="00BC11AD">
      <w:pPr>
        <w:spacing w:after="0" w:line="240" w:lineRule="auto"/>
        <w:ind w:left="709" w:right="709"/>
        <w:jc w:val="both"/>
        <w:rPr>
          <w:rFonts w:ascii="Verdana" w:eastAsia="Calibri" w:hAnsi="Verdana" w:cs="Arial"/>
          <w:sz w:val="21"/>
          <w:szCs w:val="21"/>
          <w:lang w:val="es-MX"/>
        </w:rPr>
      </w:pPr>
    </w:p>
    <w:p w14:paraId="5F653359" w14:textId="77777777" w:rsidR="00BC11AD" w:rsidRPr="004218E1" w:rsidRDefault="00BC11AD" w:rsidP="00BC11AD">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218E1">
        <w:rPr>
          <w:rFonts w:ascii="Verdana" w:eastAsia="Calibri" w:hAnsi="Verdana" w:cs="Arial"/>
          <w:sz w:val="21"/>
          <w:szCs w:val="21"/>
          <w:vertAlign w:val="superscript"/>
          <w:lang w:val="es-MX"/>
        </w:rPr>
        <w:footnoteReference w:id="5"/>
      </w:r>
      <w:r w:rsidRPr="004218E1">
        <w:rPr>
          <w:rFonts w:ascii="Verdana" w:eastAsia="Calibri" w:hAnsi="Verdana" w:cs="Arial"/>
          <w:sz w:val="21"/>
          <w:szCs w:val="21"/>
          <w:lang w:val="es-MX"/>
        </w:rPr>
        <w:t xml:space="preserve">. </w:t>
      </w:r>
    </w:p>
    <w:p w14:paraId="486FD092" w14:textId="77777777" w:rsidR="00BC11AD" w:rsidRPr="0060163E" w:rsidRDefault="00BC11AD" w:rsidP="00BC11AD">
      <w:pPr>
        <w:spacing w:after="0" w:line="276" w:lineRule="auto"/>
        <w:ind w:right="709"/>
        <w:jc w:val="both"/>
        <w:rPr>
          <w:rFonts w:ascii="Verdana" w:eastAsia="Calibri" w:hAnsi="Verdana" w:cs="Arial"/>
          <w:lang w:val="es-MX"/>
        </w:rPr>
      </w:pPr>
    </w:p>
    <w:p w14:paraId="04A158D2" w14:textId="77777777" w:rsidR="00BC11AD" w:rsidRPr="0060163E" w:rsidRDefault="00BC11AD" w:rsidP="00BC11AD">
      <w:pPr>
        <w:spacing w:after="0" w:line="276" w:lineRule="auto"/>
        <w:ind w:firstLine="709"/>
        <w:jc w:val="both"/>
        <w:rPr>
          <w:rFonts w:ascii="Verdana" w:eastAsia="Calibri" w:hAnsi="Verdana" w:cs="Arial"/>
          <w:lang w:val="es-MX"/>
        </w:rPr>
      </w:pPr>
      <w:r w:rsidRPr="0060163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3CD9135B" w14:textId="77777777" w:rsidR="00BC11AD" w:rsidRPr="0060163E" w:rsidRDefault="00BC11AD" w:rsidP="00BC11AD">
      <w:pPr>
        <w:tabs>
          <w:tab w:val="left" w:pos="1532"/>
        </w:tabs>
        <w:spacing w:after="0" w:line="276" w:lineRule="auto"/>
        <w:jc w:val="both"/>
        <w:rPr>
          <w:rFonts w:ascii="Verdana" w:eastAsia="Calibri" w:hAnsi="Verdana" w:cs="Arial"/>
          <w:lang w:val="es-MX"/>
        </w:rPr>
      </w:pPr>
    </w:p>
    <w:p w14:paraId="6EC86432" w14:textId="77777777" w:rsidR="00BC11AD" w:rsidRPr="00B145DC" w:rsidRDefault="00BC11AD" w:rsidP="00BC11AD">
      <w:pPr>
        <w:spacing w:after="0" w:line="240" w:lineRule="auto"/>
        <w:ind w:left="709" w:right="709"/>
        <w:jc w:val="both"/>
        <w:rPr>
          <w:rFonts w:ascii="Verdana" w:eastAsia="Calibri" w:hAnsi="Verdana" w:cs="Arial"/>
          <w:sz w:val="20"/>
          <w:szCs w:val="20"/>
          <w:lang w:val="es-MX"/>
        </w:rPr>
      </w:pPr>
      <w:r w:rsidRPr="00B145DC">
        <w:rPr>
          <w:rFonts w:ascii="Verdana" w:eastAsia="Calibri" w:hAnsi="Verdana" w:cs="Arial"/>
          <w:sz w:val="20"/>
          <w:szCs w:val="20"/>
          <w:lang w:val="es-MX"/>
        </w:rPr>
        <w:lastRenderedPageBreak/>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B145DC">
        <w:rPr>
          <w:rFonts w:ascii="Verdana" w:eastAsia="Calibri" w:hAnsi="Verdana" w:cs="Arial"/>
          <w:sz w:val="20"/>
          <w:szCs w:val="20"/>
          <w:lang w:val="es-MX"/>
        </w:rPr>
        <w:t>libertate</w:t>
      </w:r>
      <w:proofErr w:type="spellEnd"/>
      <w:r w:rsidRPr="00B145DC">
        <w:rPr>
          <w:rFonts w:ascii="Verdana" w:eastAsia="Calibri" w:hAnsi="Verdana" w:cs="Arial"/>
          <w:sz w:val="20"/>
          <w:szCs w:val="20"/>
          <w:lang w:val="es-MX"/>
        </w:rPr>
        <w:t xml:space="preserve">, sino el de legalidad, el que ordena que la función pública debe someterse estrictamente a lo que disponga la Constitución y la ley (CP art. 6). </w:t>
      </w:r>
    </w:p>
    <w:p w14:paraId="18B8BFB6" w14:textId="77777777" w:rsidR="00BC11AD" w:rsidRPr="00B145DC" w:rsidRDefault="00BC11AD" w:rsidP="00BC11AD">
      <w:pPr>
        <w:spacing w:after="0" w:line="240" w:lineRule="auto"/>
        <w:ind w:left="709" w:right="709"/>
        <w:jc w:val="both"/>
        <w:rPr>
          <w:rFonts w:ascii="Verdana" w:eastAsia="Calibri" w:hAnsi="Verdana" w:cs="Arial"/>
          <w:sz w:val="20"/>
          <w:szCs w:val="20"/>
          <w:lang w:val="es-MX"/>
        </w:rPr>
      </w:pPr>
      <w:r w:rsidRPr="00B145DC">
        <w:rPr>
          <w:rFonts w:ascii="Verdana" w:eastAsia="Calibri" w:hAnsi="Verdana" w:cs="Arial"/>
          <w:sz w:val="20"/>
          <w:szCs w:val="20"/>
          <w:lang w:val="es-MX"/>
        </w:rPr>
        <w:t xml:space="preserve">[…] </w:t>
      </w:r>
    </w:p>
    <w:p w14:paraId="029F722D" w14:textId="77777777" w:rsidR="00BC11AD" w:rsidRPr="00B145DC" w:rsidRDefault="00BC11AD" w:rsidP="00BC11AD">
      <w:pPr>
        <w:spacing w:after="0" w:line="240" w:lineRule="auto"/>
        <w:ind w:left="709" w:right="709"/>
        <w:jc w:val="both"/>
        <w:rPr>
          <w:rFonts w:ascii="Verdana" w:eastAsia="Calibri" w:hAnsi="Verdana" w:cs="Arial"/>
          <w:sz w:val="20"/>
          <w:szCs w:val="20"/>
          <w:lang w:val="es-MX"/>
        </w:rPr>
      </w:pPr>
      <w:r w:rsidRPr="00B145DC">
        <w:rPr>
          <w:rFonts w:ascii="Verdana" w:eastAsia="Calibri" w:hAnsi="Verdana" w:cs="Arial"/>
          <w:sz w:val="20"/>
          <w:szCs w:val="20"/>
          <w:lang w:val="es-MX"/>
        </w:rPr>
        <w:t xml:space="preserve">Se comprende con facilidad que el régimen de inhabilidades e </w:t>
      </w:r>
      <w:proofErr w:type="gramStart"/>
      <w:r w:rsidRPr="00B145DC">
        <w:rPr>
          <w:rFonts w:ascii="Verdana" w:eastAsia="Calibri" w:hAnsi="Verdana" w:cs="Arial"/>
          <w:sz w:val="20"/>
          <w:szCs w:val="20"/>
          <w:lang w:val="es-MX"/>
        </w:rPr>
        <w:t>incompatibilidades,</w:t>
      </w:r>
      <w:proofErr w:type="gramEnd"/>
      <w:r w:rsidRPr="00B145DC">
        <w:rPr>
          <w:rFonts w:ascii="Verdana" w:eastAsia="Calibri" w:hAnsi="Verdana" w:cs="Arial"/>
          <w:sz w:val="20"/>
          <w:szCs w:val="20"/>
          <w:lang w:val="es-MX"/>
        </w:rPr>
        <w:t xml:space="preserve"> corresponde a una materia de normal y obligada inclusión en un estatuto contractual. El legislador, a quien se ha confiado expedir el indicado estatuto, tiene, pues, competencia para establecerlo (CP art. 150)”</w:t>
      </w:r>
      <w:r w:rsidRPr="00B145DC">
        <w:rPr>
          <w:rFonts w:ascii="Verdana" w:eastAsia="Calibri" w:hAnsi="Verdana" w:cs="Arial"/>
          <w:sz w:val="20"/>
          <w:szCs w:val="20"/>
          <w:vertAlign w:val="superscript"/>
          <w:lang w:val="es-MX"/>
        </w:rPr>
        <w:footnoteReference w:id="6"/>
      </w:r>
      <w:r w:rsidRPr="00B145DC">
        <w:rPr>
          <w:rFonts w:ascii="Verdana" w:eastAsia="Calibri" w:hAnsi="Verdana" w:cs="Arial"/>
          <w:sz w:val="20"/>
          <w:szCs w:val="20"/>
          <w:lang w:val="es-MX"/>
        </w:rPr>
        <w:t>.</w:t>
      </w:r>
    </w:p>
    <w:p w14:paraId="39EBDFA5" w14:textId="77777777" w:rsidR="00BC11AD" w:rsidRPr="0060163E" w:rsidRDefault="00BC11AD" w:rsidP="00BC11AD">
      <w:pPr>
        <w:spacing w:after="0" w:line="276" w:lineRule="auto"/>
        <w:ind w:left="709" w:right="709"/>
        <w:jc w:val="both"/>
        <w:rPr>
          <w:rFonts w:ascii="Verdana" w:eastAsia="Calibri" w:hAnsi="Verdana" w:cs="Arial"/>
          <w:lang w:val="es-MX"/>
        </w:rPr>
      </w:pPr>
    </w:p>
    <w:p w14:paraId="28EF98BC" w14:textId="77777777" w:rsidR="00BC11AD" w:rsidRPr="0060163E" w:rsidRDefault="00BC11AD" w:rsidP="00BC11AD">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Conviene también distinguir las fuentes de las inhabilidades, las cuales han sido clasificadas en dos (2) grupos: i) inhabilidades-sanción y </w:t>
      </w:r>
      <w:proofErr w:type="spellStart"/>
      <w:r w:rsidRPr="0060163E">
        <w:rPr>
          <w:rFonts w:ascii="Verdana" w:eastAsia="Calibri" w:hAnsi="Verdana" w:cs="Arial"/>
          <w:lang w:val="es-MX"/>
        </w:rPr>
        <w:t>ii</w:t>
      </w:r>
      <w:proofErr w:type="spellEnd"/>
      <w:r w:rsidRPr="0060163E">
        <w:rPr>
          <w:rFonts w:ascii="Verdana" w:eastAsia="Calibri" w:hAnsi="Verdana" w:cs="Arial"/>
          <w:lang w:val="es-MX"/>
        </w:rPr>
        <w:t>) inhabilidades-requisito. En el primer grupo se encuentran las inhabilidades que surgen como consecuencia de un proceso sancionatorio, en los ámbitos penal, disciplinario, contravencional o de pérdida de investidura. En el segundo grupo</w:t>
      </w:r>
      <w:r>
        <w:rPr>
          <w:rFonts w:ascii="Verdana" w:eastAsia="Calibri" w:hAnsi="Verdana" w:cs="Arial"/>
          <w:lang w:val="es-MX"/>
        </w:rPr>
        <w:t>,</w:t>
      </w:r>
      <w:r w:rsidRPr="0060163E">
        <w:rPr>
          <w:rFonts w:ascii="Verdana" w:eastAsia="Calibri" w:hAnsi="Verdana" w:cs="Arial"/>
          <w:lang w:val="es-MX"/>
        </w:rPr>
        <w:t xml:space="preserve">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7"/>
      </w:r>
      <w:r w:rsidRPr="0060163E">
        <w:rPr>
          <w:rFonts w:ascii="Verdana" w:eastAsia="Calibri" w:hAnsi="Verdana" w:cs="Arial"/>
          <w:lang w:val="es-MX"/>
        </w:rPr>
        <w:t>.</w:t>
      </w:r>
    </w:p>
    <w:p w14:paraId="0AC31BF9" w14:textId="77777777" w:rsidR="00BC11AD" w:rsidRPr="0060163E" w:rsidRDefault="00BC11AD" w:rsidP="00BC11AD">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8"/>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se configuran por aspectos propios de la persona, derivados, por ejemplo, del parentesco o la afinidad o de la condición de servidor público. </w:t>
      </w:r>
    </w:p>
    <w:p w14:paraId="7A14D15B" w14:textId="77777777" w:rsidR="00BC11AD" w:rsidRPr="0060163E" w:rsidRDefault="00BC11AD" w:rsidP="00BC11AD">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w:t>
      </w:r>
      <w:r w:rsidRPr="0060163E">
        <w:rPr>
          <w:rFonts w:ascii="Verdana" w:eastAsia="Calibri" w:hAnsi="Verdana" w:cs="Arial"/>
          <w:lang w:val="es-MX"/>
        </w:rPr>
        <w:lastRenderedPageBreak/>
        <w:t xml:space="preserve">La inhabilidad surge, entre otros, por su grado de parentesco o afinidad, por su condición de servidor público o por una declaratoria de responsabilidad penal, disciplinaria o sancionatoria contractual sobre él. </w:t>
      </w:r>
    </w:p>
    <w:p w14:paraId="0BB08F37" w14:textId="77777777" w:rsidR="00BC11AD" w:rsidRPr="0060163E" w:rsidRDefault="00BC11AD" w:rsidP="00BC11AD">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Ahora bien, las inhabilidades e incompatibilidades al ser restricciones o límites especiales a la capacidad para presentar ofertas y celebrar contratos estatales, solo pueden tipificarse en la ley o la Constitución –</w:t>
      </w:r>
      <w:r>
        <w:rPr>
          <w:rFonts w:ascii="Verdana" w:eastAsia="Calibri" w:hAnsi="Verdana" w:cs="Arial"/>
          <w:lang w:val="es-ES_tradnl"/>
        </w:rPr>
        <w:t xml:space="preserve"> es decir</w:t>
      </w:r>
      <w:r w:rsidRPr="0060163E">
        <w:rPr>
          <w:rFonts w:ascii="Verdana" w:eastAsia="Calibri" w:hAnsi="Verdana" w:cs="Arial"/>
          <w:lang w:val="es-ES_tradnl"/>
        </w:rPr>
        <w:t xml:space="preserve">, deben satisfacer el principio de legalidad– y su interpretación debe ser </w:t>
      </w:r>
      <w:r w:rsidRPr="0060163E">
        <w:rPr>
          <w:rFonts w:ascii="Verdana" w:eastAsia="Calibri" w:hAnsi="Verdana" w:cs="Arial"/>
          <w:i/>
          <w:iCs/>
          <w:lang w:val="es-ES_tradnl"/>
        </w:rPr>
        <w:t xml:space="preserve">restrictiva,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0F72EDE7" w14:textId="77777777" w:rsidR="00BC11AD" w:rsidRPr="0060163E" w:rsidRDefault="00BC11AD" w:rsidP="00BC11AD">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9"/>
      </w:r>
      <w:r w:rsidRPr="0060163E">
        <w:rPr>
          <w:rFonts w:ascii="Verdana" w:eastAsia="Calibri" w:hAnsi="Verdana" w:cs="Arial"/>
          <w:lang w:val="es-ES_tradnl"/>
        </w:rPr>
        <w:t xml:space="preserve">. </w:t>
      </w:r>
    </w:p>
    <w:p w14:paraId="471D5DE1" w14:textId="77777777" w:rsidR="00BC11AD" w:rsidRPr="0060163E" w:rsidRDefault="00BC11AD" w:rsidP="00BC11AD">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En tal sentido, la Sección Tercera ha señalado que:</w:t>
      </w:r>
    </w:p>
    <w:p w14:paraId="4CA76BF6" w14:textId="77777777" w:rsidR="00BC11AD" w:rsidRPr="0060163E" w:rsidRDefault="00BC11AD" w:rsidP="00BC11AD">
      <w:pPr>
        <w:spacing w:after="0" w:line="276" w:lineRule="auto"/>
        <w:ind w:firstLine="709"/>
        <w:jc w:val="both"/>
        <w:rPr>
          <w:rFonts w:ascii="Verdana" w:eastAsia="Calibri" w:hAnsi="Verdana" w:cs="Arial"/>
          <w:lang w:val="es-ES_tradnl"/>
        </w:rPr>
      </w:pPr>
    </w:p>
    <w:p w14:paraId="4DE5936F" w14:textId="77777777" w:rsidR="00BC11AD" w:rsidRPr="00705780" w:rsidRDefault="00BC11AD" w:rsidP="00BC11AD">
      <w:pPr>
        <w:spacing w:after="0" w:line="240" w:lineRule="auto"/>
        <w:ind w:left="709" w:right="709"/>
        <w:jc w:val="both"/>
        <w:rPr>
          <w:rFonts w:ascii="Verdana" w:eastAsia="Calibri" w:hAnsi="Verdana" w:cs="Arial"/>
          <w:sz w:val="20"/>
          <w:szCs w:val="20"/>
          <w:lang w:val="es-ES_tradnl"/>
        </w:rPr>
      </w:pPr>
      <w:r w:rsidRPr="00705780">
        <w:rPr>
          <w:rFonts w:ascii="Verdana" w:eastAsia="Calibri" w:hAnsi="Verdana" w:cs="Arial"/>
          <w:sz w:val="20"/>
          <w:szCs w:val="20"/>
          <w:lang w:val="es-ES_tradnl"/>
        </w:rPr>
        <w:t xml:space="preserve">“[…] de conformidad con la jurisprudencia uniforme y reiterada de esta Corporación, la aplicación de las normas que contemplan inhabilidades e incompatibilidades, como en general de todas aquellas que comportan </w:t>
      </w:r>
      <w:r w:rsidRPr="00705780">
        <w:rPr>
          <w:rFonts w:ascii="Verdana" w:eastAsia="Calibri" w:hAnsi="Verdana" w:cs="Arial"/>
          <w:sz w:val="20"/>
          <w:szCs w:val="20"/>
          <w:lang w:val="es-ES_tradnl"/>
        </w:rPr>
        <w:lastRenderedPageBreak/>
        <w:t>prohibiciones o limitaciones, deben responder a una interpretación restrictiva que no permite su extensión, por vía de la figura de la analogía, a supuestos no contemplados por el ordenamiento</w:t>
      </w:r>
      <w:r w:rsidRPr="00705780">
        <w:rPr>
          <w:rFonts w:ascii="Verdana" w:eastAsia="Calibri" w:hAnsi="Verdana" w:cs="Arial"/>
          <w:sz w:val="20"/>
          <w:szCs w:val="20"/>
          <w:vertAlign w:val="superscript"/>
          <w:lang w:val="es-ES_tradnl"/>
        </w:rPr>
        <w:footnoteReference w:id="11"/>
      </w:r>
      <w:r w:rsidRPr="00705780">
        <w:rPr>
          <w:rFonts w:ascii="Verdana" w:eastAsia="Calibri" w:hAnsi="Verdana" w:cs="Arial"/>
          <w:sz w:val="20"/>
          <w:szCs w:val="20"/>
          <w:lang w:val="es-ES_tradnl"/>
        </w:rPr>
        <w:t>.</w:t>
      </w:r>
    </w:p>
    <w:p w14:paraId="7B55E5B5" w14:textId="77777777" w:rsidR="00BC11AD" w:rsidRDefault="00BC11AD" w:rsidP="00BC11AD">
      <w:pPr>
        <w:spacing w:after="0" w:line="240" w:lineRule="auto"/>
        <w:ind w:firstLine="709"/>
        <w:jc w:val="both"/>
        <w:rPr>
          <w:rFonts w:ascii="Verdana" w:eastAsia="Calibri" w:hAnsi="Verdana" w:cs="Arial"/>
          <w:sz w:val="20"/>
          <w:szCs w:val="20"/>
          <w:lang w:val="es-ES_tradnl"/>
        </w:rPr>
      </w:pPr>
    </w:p>
    <w:p w14:paraId="08A9FB23" w14:textId="46B63DBB" w:rsidR="00BC11AD" w:rsidRPr="00705780" w:rsidRDefault="00BC11AD" w:rsidP="00491645">
      <w:pPr>
        <w:spacing w:after="0" w:line="240" w:lineRule="auto"/>
        <w:ind w:firstLine="709"/>
        <w:jc w:val="both"/>
        <w:rPr>
          <w:rFonts w:ascii="Verdana" w:eastAsia="Calibri" w:hAnsi="Verdana" w:cs="Arial"/>
          <w:sz w:val="20"/>
          <w:szCs w:val="20"/>
          <w:lang w:val="es-ES_tradnl"/>
        </w:rPr>
      </w:pPr>
      <w:r w:rsidRPr="00705780">
        <w:rPr>
          <w:rFonts w:ascii="Verdana" w:eastAsia="Calibri" w:hAnsi="Verdana" w:cs="Arial"/>
          <w:sz w:val="20"/>
          <w:szCs w:val="20"/>
          <w:lang w:val="es-ES_tradnl"/>
        </w:rPr>
        <w:t>También ha dicho que:</w:t>
      </w:r>
    </w:p>
    <w:p w14:paraId="7C142250" w14:textId="77777777" w:rsidR="00BC11AD" w:rsidRPr="004218E1" w:rsidRDefault="00BC11AD" w:rsidP="00BC11AD">
      <w:pPr>
        <w:spacing w:after="0" w:line="240" w:lineRule="auto"/>
        <w:ind w:left="709" w:right="616"/>
        <w:jc w:val="both"/>
        <w:rPr>
          <w:rFonts w:ascii="Verdana" w:eastAsia="Calibri" w:hAnsi="Verdana" w:cs="Arial"/>
          <w:sz w:val="21"/>
          <w:szCs w:val="21"/>
          <w:lang w:val="es-ES"/>
        </w:rPr>
      </w:pPr>
      <w:r w:rsidRPr="00705780">
        <w:rPr>
          <w:rFonts w:ascii="Verdana" w:eastAsia="Calibri" w:hAnsi="Verdana" w:cs="Arial"/>
          <w:sz w:val="20"/>
          <w:szCs w:val="20"/>
          <w:lang w:val="es-ES"/>
        </w:rPr>
        <w:t xml:space="preserve">[…] la aplicación de estos preceptos exige una interpretación restrictiva, dado que según el principio hermenéutico </w:t>
      </w:r>
      <w:r w:rsidRPr="00705780">
        <w:rPr>
          <w:rFonts w:ascii="Verdana" w:eastAsia="Calibri" w:hAnsi="Verdana" w:cs="Arial"/>
          <w:i/>
          <w:iCs/>
          <w:sz w:val="20"/>
          <w:szCs w:val="20"/>
          <w:lang w:val="es-ES"/>
        </w:rPr>
        <w:t xml:space="preserve">pro </w:t>
      </w:r>
      <w:proofErr w:type="spellStart"/>
      <w:r w:rsidRPr="00705780">
        <w:rPr>
          <w:rFonts w:ascii="Verdana" w:eastAsia="Calibri" w:hAnsi="Verdana" w:cs="Arial"/>
          <w:i/>
          <w:iCs/>
          <w:sz w:val="20"/>
          <w:szCs w:val="20"/>
          <w:lang w:val="es-ES"/>
        </w:rPr>
        <w:t>libertate</w:t>
      </w:r>
      <w:proofErr w:type="spellEnd"/>
      <w:r w:rsidRPr="00705780">
        <w:rPr>
          <w:rFonts w:ascii="Verdana" w:eastAsia="Calibri"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w:t>
      </w:r>
      <w:r w:rsidRPr="004218E1">
        <w:rPr>
          <w:rFonts w:ascii="Verdana" w:eastAsia="Calibri" w:hAnsi="Verdana" w:cs="Arial"/>
          <w:sz w:val="21"/>
          <w:szCs w:val="21"/>
          <w:lang w:val="es-ES"/>
        </w:rPr>
        <w:t xml:space="preserve"> los derechos fundamentales al debido proceso (art. 29 CN) y a la igualdad (art. 13 Ibid.); […]”</w:t>
      </w:r>
      <w:r w:rsidRPr="004218E1">
        <w:rPr>
          <w:rFonts w:ascii="Verdana" w:eastAsia="Calibri" w:hAnsi="Verdana" w:cs="Arial"/>
          <w:sz w:val="21"/>
          <w:szCs w:val="21"/>
          <w:vertAlign w:val="superscript"/>
          <w:lang w:val="es-ES"/>
        </w:rPr>
        <w:footnoteReference w:id="12"/>
      </w:r>
      <w:r w:rsidRPr="004218E1">
        <w:rPr>
          <w:rFonts w:ascii="Verdana" w:eastAsia="Calibri" w:hAnsi="Verdana" w:cs="Arial"/>
          <w:sz w:val="21"/>
          <w:szCs w:val="21"/>
          <w:lang w:val="es-ES"/>
        </w:rPr>
        <w:t>.</w:t>
      </w:r>
    </w:p>
    <w:p w14:paraId="2B754489" w14:textId="77777777" w:rsidR="00BC11AD" w:rsidRPr="0060163E" w:rsidRDefault="00BC11AD" w:rsidP="00BC11AD">
      <w:pPr>
        <w:spacing w:after="0" w:line="276" w:lineRule="auto"/>
        <w:jc w:val="both"/>
        <w:rPr>
          <w:rFonts w:ascii="Verdana" w:eastAsia="Arial" w:hAnsi="Verdana" w:cs="Arial"/>
          <w:color w:val="000000"/>
          <w:lang w:val="es-ES_tradnl"/>
        </w:rPr>
      </w:pPr>
    </w:p>
    <w:p w14:paraId="4CD2FDC8" w14:textId="77777777" w:rsidR="00BC11AD" w:rsidRPr="00F91753" w:rsidRDefault="00BC11AD" w:rsidP="00BC11AD">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 xml:space="preserve">pro </w:t>
      </w:r>
      <w:proofErr w:type="spellStart"/>
      <w:r w:rsidRPr="0060163E">
        <w:rPr>
          <w:rFonts w:ascii="Verdana" w:eastAsia="Arial" w:hAnsi="Verdana" w:cs="Arial"/>
          <w:i/>
          <w:iCs/>
          <w:color w:val="000000"/>
          <w:lang w:val="es-ES_tradnl"/>
        </w:rPr>
        <w:t>libertate</w:t>
      </w:r>
      <w:proofErr w:type="spellEnd"/>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3"/>
      </w:r>
      <w:r>
        <w:rPr>
          <w:rFonts w:ascii="Verdana" w:eastAsia="Calibri" w:hAnsi="Verdana" w:cs="Arial"/>
          <w:color w:val="000000"/>
          <w:lang w:val="es-MX"/>
        </w:rPr>
        <w:t>.</w:t>
      </w:r>
    </w:p>
    <w:p w14:paraId="555EBC78" w14:textId="77777777" w:rsidR="00BC11AD" w:rsidRPr="00F91753" w:rsidRDefault="00BC11AD" w:rsidP="00BC11AD">
      <w:pPr>
        <w:spacing w:after="120" w:line="276" w:lineRule="auto"/>
        <w:ind w:firstLine="709"/>
        <w:jc w:val="both"/>
        <w:rPr>
          <w:rFonts w:ascii="Verdana" w:eastAsia="Arial MT" w:hAnsi="Verdana" w:cs="Arial"/>
          <w:lang w:eastAsia="es-ES" w:bidi="es-ES"/>
        </w:rPr>
      </w:pPr>
      <w:r>
        <w:rPr>
          <w:rFonts w:ascii="Verdana" w:hAnsi="Verdana" w:cs="Arial"/>
          <w:color w:val="000000" w:themeColor="text1"/>
          <w:lang w:val="es-ES"/>
        </w:rPr>
        <w:t xml:space="preserve">En este contexto, analizado el </w:t>
      </w:r>
      <w:r w:rsidRPr="00966C6B">
        <w:rPr>
          <w:rFonts w:ascii="Verdana" w:hAnsi="Verdana" w:cs="Arial"/>
          <w:color w:val="000000" w:themeColor="text1"/>
          <w:lang w:val="es-ES"/>
        </w:rPr>
        <w:t xml:space="preserve">régimen de inhabilidades e incompatibilidades previsto para la contratación estatal, </w:t>
      </w:r>
      <w:r w:rsidRPr="00CA3CC2">
        <w:rPr>
          <w:rFonts w:ascii="Verdana" w:hAnsi="Verdana" w:cs="Arial"/>
          <w:color w:val="000000" w:themeColor="text1"/>
          <w:lang w:val="es-ES_tradnl"/>
        </w:rPr>
        <w:t>se concluye que no existe una inhabilidad</w:t>
      </w:r>
      <w:r>
        <w:rPr>
          <w:rFonts w:ascii="Verdana" w:hAnsi="Verdana" w:cs="Arial"/>
          <w:color w:val="000000" w:themeColor="text1"/>
          <w:lang w:val="es-ES_tradnl"/>
        </w:rPr>
        <w:t xml:space="preserve"> o </w:t>
      </w:r>
      <w:r w:rsidRPr="00CA3CC2">
        <w:rPr>
          <w:rFonts w:ascii="Verdana" w:hAnsi="Verdana" w:cs="Arial"/>
          <w:color w:val="000000" w:themeColor="text1"/>
          <w:lang w:val="es-ES_tradnl"/>
        </w:rPr>
        <w:t xml:space="preserve">incompatibilidad para que </w:t>
      </w:r>
      <w:r>
        <w:rPr>
          <w:rFonts w:ascii="Verdana" w:eastAsia="Arial MT" w:hAnsi="Verdana" w:cs="Arial"/>
          <w:lang w:eastAsia="es-ES" w:bidi="es-ES"/>
        </w:rPr>
        <w:t xml:space="preserve">contratista de una entidad del estado pueda, a su vez, a través de la empresa a la que él representa legalmente y de la cual también es socio, ser adjudicatario de algún contrato definido a través de cualquiera de las modalidades de selección, por cuanto dicha circunstancia no se subsume en ninguno de los supuestos de hecho, ni se </w:t>
      </w:r>
      <w:r>
        <w:rPr>
          <w:rFonts w:ascii="Verdana" w:eastAsia="Arial MT" w:hAnsi="Verdana" w:cs="Arial"/>
          <w:lang w:eastAsia="es-ES" w:bidi="es-ES"/>
        </w:rPr>
        <w:lastRenderedPageBreak/>
        <w:t>advierte que la hipótesis materia de consulta configure alguna de las causales previstas establecidos en el artículo 8 de la Ley 80 de 1993</w:t>
      </w:r>
      <w:r>
        <w:rPr>
          <w:rFonts w:ascii="Verdana" w:hAnsi="Verdana" w:cs="Arial"/>
          <w:color w:val="000000" w:themeColor="text1"/>
          <w:lang w:val="es-ES_tradnl"/>
        </w:rPr>
        <w:t xml:space="preserve">. </w:t>
      </w:r>
      <w:r w:rsidRPr="00FF2FD4">
        <w:rPr>
          <w:rFonts w:ascii="Verdana" w:eastAsia="Calibri" w:hAnsi="Verdana" w:cs="Arial"/>
          <w:bCs/>
          <w:lang w:val="es-ES_tradnl"/>
        </w:rPr>
        <w:t>En consecuencia, dado que dichas causales son taxativas y de interpretación restrictiva, el supuesto mencionado no genera inhabilidad o incompatibilidad para contratar con el Estado.</w:t>
      </w:r>
    </w:p>
    <w:p w14:paraId="2E712721" w14:textId="77777777" w:rsidR="00BC11AD" w:rsidRPr="00FF2FD4" w:rsidRDefault="00BC11AD" w:rsidP="00BC11AD">
      <w:pPr>
        <w:spacing w:after="120" w:line="276" w:lineRule="auto"/>
        <w:ind w:firstLine="709"/>
        <w:jc w:val="both"/>
        <w:rPr>
          <w:rFonts w:ascii="Verdana" w:eastAsia="Calibri" w:hAnsi="Verdana" w:cs="Arial"/>
          <w:bCs/>
          <w:lang w:val="es-ES_tradnl"/>
        </w:rPr>
      </w:pPr>
      <w:r w:rsidRPr="00FF2FD4">
        <w:rPr>
          <w:rFonts w:ascii="Verdana" w:eastAsia="Calibri" w:hAnsi="Verdana" w:cs="Arial"/>
          <w:bCs/>
          <w:lang w:val="es-ES_tradnl"/>
        </w:rPr>
        <w:t>Esta circunstancia solo está prohibida en los contratos interadministrativos, ya que el artículo 2, numeral 4º, literal c), e</w:t>
      </w:r>
      <w:r>
        <w:rPr>
          <w:rFonts w:ascii="Verdana" w:eastAsia="Calibri" w:hAnsi="Verdana" w:cs="Arial"/>
          <w:bCs/>
          <w:lang w:val="es-ES_tradnl"/>
        </w:rPr>
        <w:t>n el cuarto inciso, establece: “</w:t>
      </w:r>
      <w:r w:rsidRPr="00FF2FD4">
        <w:rPr>
          <w:rFonts w:ascii="Verdana" w:eastAsia="Calibri" w:hAnsi="Verdana" w:cs="Arial"/>
          <w:bCs/>
          <w:lang w:val="es-ES_tradnl"/>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w:t>
      </w:r>
      <w:r>
        <w:rPr>
          <w:rFonts w:ascii="Verdana" w:eastAsia="Calibri" w:hAnsi="Verdana" w:cs="Arial"/>
          <w:bCs/>
          <w:lang w:val="es-ES_tradnl"/>
        </w:rPr>
        <w:t>l objeto del contrato principal”</w:t>
      </w:r>
      <w:r w:rsidRPr="00FF2FD4">
        <w:rPr>
          <w:rFonts w:ascii="Verdana" w:eastAsia="Calibri" w:hAnsi="Verdana" w:cs="Arial"/>
          <w:bCs/>
          <w:lang w:val="es-ES_tradnl"/>
        </w:rPr>
        <w:t>. Pero esta prohibición no puede extenderse a los otros casos de celebración de contratos de obra, porque, como se anotó, las causales de inhabilidad e incompatibilidad no admiten una interpretación amplia o teleológica.</w:t>
      </w:r>
    </w:p>
    <w:p w14:paraId="45F6E72B" w14:textId="77777777" w:rsidR="00BC11AD" w:rsidRPr="00E03F1D" w:rsidRDefault="00BC11AD" w:rsidP="00BC11AD">
      <w:pPr>
        <w:spacing w:after="120" w:line="276" w:lineRule="auto"/>
        <w:ind w:firstLine="709"/>
        <w:jc w:val="both"/>
        <w:rPr>
          <w:rFonts w:ascii="Verdana" w:eastAsia="Arial MT" w:hAnsi="Verdana" w:cs="Arial"/>
          <w:lang w:eastAsia="es-ES" w:bidi="es-ES"/>
        </w:rPr>
      </w:pPr>
      <w:r w:rsidRPr="00E03F1D">
        <w:rPr>
          <w:rFonts w:ascii="Verdana" w:eastAsia="Calibri" w:hAnsi="Verdana" w:cs="Arial"/>
          <w:bCs/>
          <w:lang w:val="es-ES_tradnl"/>
        </w:rPr>
        <w:t xml:space="preserve">Pese a lo anterior, </w:t>
      </w:r>
      <w:r w:rsidRPr="00E03F1D">
        <w:rPr>
          <w:rFonts w:ascii="Verdana" w:eastAsia="Arial MT" w:hAnsi="Verdana" w:cs="Arial"/>
          <w:lang w:eastAsia="es-ES" w:bidi="es-ES"/>
        </w:rPr>
        <w:t>la entidad contratante tiene el deber de identificar cualquier conducta que pueda llegar a tener la connotación de un conflicto de interés, producto de la concurrencia de intereses antagónicos en el contratista que presta los servicios en una entidad y que afecten la transparencia de las decisiones que le competen o lo lleven a adoptar determinaciones de aprovechamiento personal, familiar o particular, en detrimento del interés público</w:t>
      </w:r>
      <w:r w:rsidRPr="00E03F1D">
        <w:rPr>
          <w:rStyle w:val="Refdenotaalpie"/>
          <w:rFonts w:ascii="Verdana" w:eastAsia="Arial MT" w:hAnsi="Verdana" w:cs="Arial"/>
          <w:lang w:eastAsia="es-ES" w:bidi="es-ES"/>
        </w:rPr>
        <w:footnoteReference w:id="14"/>
      </w:r>
      <w:r w:rsidRPr="00E03F1D">
        <w:rPr>
          <w:rFonts w:ascii="Verdana" w:eastAsia="Arial MT" w:hAnsi="Verdana" w:cs="Arial"/>
          <w:lang w:eastAsia="es-ES" w:bidi="es-ES"/>
        </w:rPr>
        <w:t xml:space="preserve">. </w:t>
      </w:r>
    </w:p>
    <w:p w14:paraId="2C0F2FB8" w14:textId="77777777" w:rsidR="00BC11AD" w:rsidRDefault="00BC11AD" w:rsidP="00BC11AD">
      <w:pPr>
        <w:widowControl w:val="0"/>
        <w:autoSpaceDE w:val="0"/>
        <w:autoSpaceDN w:val="0"/>
        <w:spacing w:after="120" w:line="276" w:lineRule="auto"/>
        <w:ind w:firstLine="708"/>
        <w:jc w:val="both"/>
        <w:rPr>
          <w:rFonts w:ascii="Verdana" w:hAnsi="Verdana" w:cs="Arial"/>
          <w:color w:val="000000" w:themeColor="text1"/>
          <w:lang w:val="es-ES_tradnl"/>
        </w:rPr>
      </w:pPr>
      <w:r w:rsidRPr="00E03F1D">
        <w:rPr>
          <w:rFonts w:ascii="Verdana" w:eastAsia="Arial MT" w:hAnsi="Verdana" w:cs="Arial"/>
          <w:lang w:eastAsia="es-ES" w:bidi="es-ES"/>
        </w:rPr>
        <w:t xml:space="preserve">Al respecto, </w:t>
      </w:r>
      <w:bookmarkStart w:id="6" w:name="_Hlk192056166"/>
      <w:r w:rsidRPr="00E03F1D">
        <w:rPr>
          <w:rFonts w:ascii="Verdana" w:eastAsia="Arial MT" w:hAnsi="Verdana" w:cs="Arial"/>
          <w:lang w:eastAsia="es-ES" w:bidi="es-ES"/>
        </w:rPr>
        <w:t xml:space="preserve">es importante señalar que </w:t>
      </w:r>
      <w:r w:rsidRPr="00E03F1D">
        <w:rPr>
          <w:rFonts w:ascii="Verdana" w:hAnsi="Verdana" w:cs="Arial"/>
          <w:color w:val="000000" w:themeColor="text1"/>
          <w:lang w:val="es-ES_tradnl"/>
        </w:rPr>
        <w:t>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w:t>
      </w:r>
      <w:r w:rsidRPr="002A4195">
        <w:rPr>
          <w:rFonts w:ascii="Verdana" w:hAnsi="Verdana" w:cs="Arial"/>
          <w:color w:val="000000" w:themeColor="text1"/>
          <w:lang w:val="es-ES_tradnl"/>
        </w:rPr>
        <w:t xml:space="preserve"> 1437 de 2011–. En desarrollo de esta directriz, </w:t>
      </w:r>
      <w:bookmarkStart w:id="7" w:name="_Hlk36672204"/>
      <w:r w:rsidRPr="002A4195">
        <w:rPr>
          <w:rFonts w:ascii="Verdana" w:hAnsi="Verdana" w:cs="Arial"/>
          <w:color w:val="000000" w:themeColor="text1"/>
          <w:lang w:val="es-ES_tradnl"/>
        </w:rPr>
        <w:t xml:space="preserve">el régimen de los </w:t>
      </w:r>
      <w:r w:rsidRPr="002A4195">
        <w:rPr>
          <w:rFonts w:ascii="Verdana" w:hAnsi="Verdana" w:cs="Arial"/>
          <w:i/>
          <w:iCs/>
          <w:color w:val="000000" w:themeColor="text1"/>
          <w:lang w:val="es-ES_tradnl"/>
        </w:rPr>
        <w:t>conflictos de interés</w:t>
      </w:r>
      <w:r w:rsidRPr="002A4195">
        <w:rPr>
          <w:rFonts w:ascii="Verdana" w:hAnsi="Verdana" w:cs="Arial"/>
          <w:color w:val="000000" w:themeColor="text1"/>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w:t>
      </w:r>
      <w:bookmarkEnd w:id="7"/>
    </w:p>
    <w:bookmarkEnd w:id="6"/>
    <w:p w14:paraId="5DA66A2D" w14:textId="77777777" w:rsidR="00BC11AD" w:rsidRDefault="00BC11AD" w:rsidP="00BC11AD">
      <w:pPr>
        <w:widowControl w:val="0"/>
        <w:autoSpaceDE w:val="0"/>
        <w:autoSpaceDN w:val="0"/>
        <w:spacing w:after="120" w:line="276" w:lineRule="auto"/>
        <w:ind w:firstLine="708"/>
        <w:jc w:val="both"/>
        <w:rPr>
          <w:rFonts w:ascii="Verdana" w:hAnsi="Verdana" w:cs="Arial"/>
          <w:color w:val="000000" w:themeColor="text1"/>
          <w:lang w:val="es-ES_tradnl"/>
        </w:rPr>
      </w:pPr>
      <w:r w:rsidRPr="002A4195">
        <w:rPr>
          <w:rFonts w:ascii="Verdana" w:hAnsi="Verdana" w:cs="Arial"/>
          <w:color w:val="000000" w:themeColor="text1"/>
          <w:lang w:val="es-ES"/>
        </w:rPr>
        <w:t xml:space="preserve">La institución jurídica de los conflictos de interés no está definida con </w:t>
      </w:r>
      <w:r w:rsidRPr="002A4195">
        <w:rPr>
          <w:rFonts w:ascii="Verdana" w:hAnsi="Verdana" w:cs="Arial"/>
          <w:color w:val="000000" w:themeColor="text1"/>
          <w:lang w:val="es-ES"/>
        </w:rPr>
        <w:lastRenderedPageBreak/>
        <w:t xml:space="preserve">carácter general en el ordenamiento jurídico y tampoco de forma precisa en las normas que regulan la contratación estatal, por lo que es un asunto ausente en el EGCAP.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5444335D" w14:textId="77777777" w:rsidR="00BC11AD" w:rsidRPr="00F21CBC" w:rsidRDefault="00BC11AD" w:rsidP="00BC11AD">
      <w:pPr>
        <w:widowControl w:val="0"/>
        <w:autoSpaceDE w:val="0"/>
        <w:autoSpaceDN w:val="0"/>
        <w:spacing w:after="120" w:line="276" w:lineRule="auto"/>
        <w:ind w:firstLine="709"/>
        <w:jc w:val="both"/>
        <w:rPr>
          <w:rFonts w:ascii="Verdana" w:eastAsia="Calibri" w:hAnsi="Verdana" w:cs="Arial"/>
        </w:rPr>
      </w:pPr>
      <w:r w:rsidRPr="00F21CBC">
        <w:rPr>
          <w:rFonts w:ascii="Verdana" w:eastAsia="Calibri" w:hAnsi="Verdana" w:cs="Arial"/>
        </w:rPr>
        <w:t xml:space="preserve">Sobre la configuración de los conflictos de interés, </w:t>
      </w:r>
      <w:bookmarkStart w:id="8" w:name="_Hlk204204403"/>
      <w:r w:rsidRPr="00F21CBC">
        <w:rPr>
          <w:rFonts w:ascii="Verdana" w:eastAsia="Calibri" w:hAnsi="Verdana" w:cs="Arial"/>
        </w:rPr>
        <w:t xml:space="preserve">es preciso señalar que la Sala de Consulta y Servicio Civil del Consejo de Estado han admitido la inclusión de causales de conflicto de interés en los pliegos de condiciones o en los contratos de las entidades estatales, siempre y cuando estas satisfagan, entre otros requisitos, los criterios de </w:t>
      </w:r>
      <w:r w:rsidRPr="00F21CBC">
        <w:rPr>
          <w:rFonts w:ascii="Verdana" w:eastAsia="Calibri" w:hAnsi="Verdana" w:cs="Arial"/>
          <w:i/>
          <w:iCs/>
        </w:rPr>
        <w:t xml:space="preserve">tipicidad </w:t>
      </w:r>
      <w:r w:rsidRPr="00F21CBC">
        <w:rPr>
          <w:rFonts w:ascii="Verdana" w:eastAsia="Calibri" w:hAnsi="Verdana" w:cs="Arial"/>
        </w:rPr>
        <w:t xml:space="preserve">y </w:t>
      </w:r>
      <w:r w:rsidRPr="00F21CBC">
        <w:rPr>
          <w:rFonts w:ascii="Verdana" w:eastAsia="Calibri" w:hAnsi="Verdana" w:cs="Arial"/>
          <w:i/>
          <w:iCs/>
        </w:rPr>
        <w:t xml:space="preserve">objetividad. </w:t>
      </w:r>
      <w:r w:rsidRPr="00F21CBC">
        <w:rPr>
          <w:rFonts w:ascii="Verdana" w:eastAsia="Calibri" w:hAnsi="Verdana" w:cs="Arial"/>
        </w:rPr>
        <w:t xml:space="preserve">Por la relevancia de las consideraciones de dicho concepto, estas se transcriben </w:t>
      </w:r>
      <w:proofErr w:type="gramStart"/>
      <w:r w:rsidRPr="00F21CBC">
        <w:rPr>
          <w:rFonts w:ascii="Verdana" w:eastAsia="Calibri" w:hAnsi="Verdana" w:cs="Arial"/>
          <w:i/>
          <w:iCs/>
        </w:rPr>
        <w:t>in extenso</w:t>
      </w:r>
      <w:proofErr w:type="gramEnd"/>
      <w:r w:rsidRPr="00F21CBC">
        <w:rPr>
          <w:rFonts w:ascii="Verdana" w:eastAsia="Calibri" w:hAnsi="Verdana" w:cs="Arial"/>
          <w:i/>
          <w:iCs/>
        </w:rPr>
        <w:t>:</w:t>
      </w:r>
    </w:p>
    <w:bookmarkEnd w:id="8"/>
    <w:p w14:paraId="577349A8" w14:textId="77777777" w:rsidR="00BC11AD" w:rsidRPr="00F21CBC" w:rsidRDefault="00BC11AD" w:rsidP="00BC11AD">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 xml:space="preserve">Para efectos del concepto que ahora se rinde, la Sala resalta dos elementos contenidos en el texto transcrito, a saber: </w:t>
      </w:r>
      <w:r w:rsidRPr="00F21CBC">
        <w:rPr>
          <w:rFonts w:ascii="Verdana" w:eastAsia="Calibri" w:hAnsi="Verdana" w:cs="Arial"/>
          <w:i/>
          <w:iCs/>
          <w:sz w:val="20"/>
          <w:szCs w:val="20"/>
        </w:rPr>
        <w:t>la «tipicidad» y la «objetividad»,</w:t>
      </w:r>
      <w:r w:rsidRPr="00F21CBC">
        <w:rPr>
          <w:rFonts w:ascii="Verdana" w:eastAsia="Calibri" w:hAnsi="Verdana" w:cs="Arial"/>
          <w:sz w:val="20"/>
          <w:szCs w:val="20"/>
        </w:rPr>
        <w:t xml:space="preserve"> que deben predicarse de las causales que se establezcan en cada caso particular, para preservar y hacer eficaz la selección objetiva del contratista, como se explica a continuación.</w:t>
      </w:r>
    </w:p>
    <w:p w14:paraId="7CDD87D2" w14:textId="77777777" w:rsidR="00BC11AD" w:rsidRPr="00F21CBC" w:rsidRDefault="00BC11AD" w:rsidP="00BC11AD">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 xml:space="preserve">La «identificación de actividades incompatibles» con las obligaciones del contratista, significa jurídicamente, </w:t>
      </w:r>
      <w:r w:rsidRPr="00F21CBC">
        <w:rPr>
          <w:rFonts w:ascii="Verdana" w:eastAsia="Calibri" w:hAnsi="Verdana" w:cs="Arial"/>
          <w:i/>
          <w:iCs/>
          <w:sz w:val="20"/>
          <w:szCs w:val="20"/>
        </w:rPr>
        <w:t>«tipificarlas», esto es, definirlas de manera concreta para derivar de ellas una consecuencia que, en el caso en estudio, tiene una naturaleza restrictiva, prohibitiva o sancionatoria</w:t>
      </w:r>
      <w:r w:rsidRPr="00F21CBC">
        <w:rPr>
          <w:rFonts w:ascii="Verdana" w:eastAsia="Calibri" w:hAnsi="Verdana" w:cs="Arial"/>
          <w:sz w:val="20"/>
          <w:szCs w:val="20"/>
        </w:rPr>
        <w:t>.</w:t>
      </w:r>
    </w:p>
    <w:p w14:paraId="59B082AA" w14:textId="77777777" w:rsidR="00BC11AD" w:rsidRPr="00F21CBC" w:rsidRDefault="00BC11AD" w:rsidP="00BC11AD">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La «evaluación estrictamente objetiva» que debe garantizarse con las causales que se definan en un proceso contractual dado, exige, por supuesto, la «objetividad» en la determinación de las causales que se adopten.</w:t>
      </w:r>
    </w:p>
    <w:p w14:paraId="6391ABDE" w14:textId="77777777" w:rsidR="00BC11AD" w:rsidRPr="00F21CBC" w:rsidRDefault="00BC11AD" w:rsidP="00BC11AD">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En términos gramaticales, el vocablo «objetivo» tiene, entre sus acepciones, las de «perteneciente o relativo al objeto en sí mismo, con independencia de la propia manera de pensar o de sentir» y «que existe realmente, fuera del sujeto que lo conoce». En tanto que la palabra «subjetivo» se define como «perteneciente o relativo al sujeto, considerado en oposición al mundo externo» y «perteneciente o relativo a nuestro modo de pensar o de sentir, y no al objeto en sí mismo.</w:t>
      </w:r>
      <w:bookmarkStart w:id="9" w:name="_ftnref18"/>
      <w:r w:rsidRPr="00F21CBC">
        <w:rPr>
          <w:rFonts w:ascii="Verdana" w:eastAsia="Calibri" w:hAnsi="Verdana" w:cs="Arial"/>
          <w:sz w:val="20"/>
          <w:szCs w:val="20"/>
        </w:rPr>
        <w:t>»</w:t>
      </w:r>
      <w:bookmarkEnd w:id="9"/>
      <w:r w:rsidRPr="00F21CBC">
        <w:rPr>
          <w:rFonts w:ascii="Verdana" w:eastAsia="Calibri" w:hAnsi="Verdana" w:cs="Arial"/>
          <w:sz w:val="20"/>
          <w:szCs w:val="20"/>
        </w:rPr>
        <w:t xml:space="preserve"> </w:t>
      </w:r>
    </w:p>
    <w:p w14:paraId="667B4401" w14:textId="77777777" w:rsidR="00BC11AD" w:rsidRPr="00F21CBC" w:rsidRDefault="00BC11AD" w:rsidP="00BC11AD">
      <w:pPr>
        <w:widowControl w:val="0"/>
        <w:autoSpaceDE w:val="0"/>
        <w:autoSpaceDN w:val="0"/>
        <w:spacing w:after="120"/>
        <w:ind w:left="709" w:right="709"/>
        <w:jc w:val="both"/>
        <w:rPr>
          <w:rFonts w:ascii="Verdana" w:eastAsia="Calibri" w:hAnsi="Verdana" w:cs="Arial"/>
          <w:i/>
          <w:iCs/>
          <w:sz w:val="20"/>
          <w:szCs w:val="20"/>
        </w:rPr>
      </w:pPr>
      <w:r w:rsidRPr="00F21CBC">
        <w:rPr>
          <w:rFonts w:ascii="Verdana" w:eastAsia="Calibri" w:hAnsi="Verdana" w:cs="Arial"/>
          <w:sz w:val="20"/>
          <w:szCs w:val="20"/>
        </w:rPr>
        <w:lastRenderedPageBreak/>
        <w:t xml:space="preserve">Siguiendo el significado gramatical de los citados términos y la exigencia legal de la objetividad en la selección de contratistas, las cláusulas o reglas que se incorporen en los pliegos de condiciones y en los contratos para regular el conflicto de intereses deben tipificar las acciones u omisiones que lo generen, en forma tal que </w:t>
      </w:r>
      <w:r w:rsidRPr="00F21CBC">
        <w:rPr>
          <w:rFonts w:ascii="Verdana" w:eastAsia="Calibri" w:hAnsi="Verdana" w:cs="Arial"/>
          <w:i/>
          <w:iCs/>
          <w:sz w:val="20"/>
          <w:szCs w:val="20"/>
        </w:rPr>
        <w:t>los hechos o situaciones que se invoquen como causales del conflicto puedan ser evaluados en sí mismos, esto es, objetivamente, y no queden sujetos al criterio, opinión o juicio de las personas que, por distintas razones, pueden o deben intervenir en el proceso de que se trate. A lo cual ha de agregarse que esas cualidades de la regla permitirán que, desde el inicio del proceso contractual, los interesados estén en condiciones de decidir libremente su participación.</w:t>
      </w:r>
    </w:p>
    <w:p w14:paraId="21ECCAD5" w14:textId="77777777" w:rsidR="00BC11AD" w:rsidRPr="00F21CBC" w:rsidRDefault="00BC11AD" w:rsidP="00BC11AD">
      <w:pPr>
        <w:widowControl w:val="0"/>
        <w:autoSpaceDE w:val="0"/>
        <w:autoSpaceDN w:val="0"/>
        <w:ind w:left="709" w:right="709"/>
        <w:jc w:val="both"/>
        <w:rPr>
          <w:rFonts w:ascii="Verdana" w:eastAsia="Calibri" w:hAnsi="Verdana" w:cs="Arial"/>
          <w:sz w:val="20"/>
          <w:szCs w:val="20"/>
        </w:rPr>
      </w:pPr>
      <w:r w:rsidRPr="00F21CBC">
        <w:rPr>
          <w:rFonts w:ascii="Verdana" w:eastAsia="Calibri" w:hAnsi="Verdana" w:cs="Arial"/>
          <w:sz w:val="20"/>
          <w:szCs w:val="20"/>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w:t>
      </w:r>
      <w:proofErr w:type="gramStart"/>
      <w:r w:rsidRPr="00F21CBC">
        <w:rPr>
          <w:rFonts w:ascii="Verdana" w:eastAsia="Calibri" w:hAnsi="Verdana" w:cs="Arial"/>
          <w:sz w:val="20"/>
          <w:szCs w:val="20"/>
        </w:rPr>
        <w:t>en razón de</w:t>
      </w:r>
      <w:proofErr w:type="gramEnd"/>
      <w:r w:rsidRPr="00F21CBC">
        <w:rPr>
          <w:rFonts w:ascii="Verdana" w:eastAsia="Calibri" w:hAnsi="Verdana" w:cs="Arial"/>
          <w:sz w:val="20"/>
          <w:szCs w:val="20"/>
        </w:rPr>
        <w:t xml:space="preserve"> este efecto </w:t>
      </w:r>
      <w:r w:rsidRPr="00F21CBC">
        <w:rPr>
          <w:rFonts w:ascii="Verdana" w:eastAsia="Calibri" w:hAnsi="Verdana" w:cs="Arial"/>
          <w:i/>
          <w:iCs/>
          <w:sz w:val="20"/>
          <w:szCs w:val="20"/>
        </w:rPr>
        <w:t>que el conflicto de intereses no puede cimentarse en definiciones ambiguas, abstractas o que permitan un margen de subjetividad en su examen</w:t>
      </w:r>
      <w:r w:rsidRPr="00F21CBC">
        <w:rPr>
          <w:rStyle w:val="Refdenotaalpie"/>
          <w:rFonts w:ascii="Verdana" w:eastAsia="Calibri" w:hAnsi="Verdana" w:cs="Arial"/>
          <w:i/>
          <w:iCs/>
          <w:sz w:val="20"/>
          <w:szCs w:val="20"/>
        </w:rPr>
        <w:footnoteReference w:id="15"/>
      </w:r>
      <w:r w:rsidRPr="00F21CBC">
        <w:rPr>
          <w:rFonts w:ascii="Verdana" w:eastAsia="Calibri" w:hAnsi="Verdana" w:cs="Arial"/>
          <w:sz w:val="20"/>
          <w:szCs w:val="20"/>
        </w:rPr>
        <w:t>. (Cursiva fuera del original).</w:t>
      </w:r>
    </w:p>
    <w:p w14:paraId="142E1982" w14:textId="77777777" w:rsidR="00BC11AD" w:rsidRDefault="00BC11AD" w:rsidP="00BC11AD">
      <w:pPr>
        <w:widowControl w:val="0"/>
        <w:autoSpaceDE w:val="0"/>
        <w:autoSpaceDN w:val="0"/>
        <w:spacing w:after="120" w:line="276" w:lineRule="auto"/>
        <w:ind w:firstLine="709"/>
        <w:jc w:val="both"/>
        <w:rPr>
          <w:rFonts w:ascii="Verdana" w:eastAsia="Calibri" w:hAnsi="Verdana" w:cs="Arial"/>
        </w:rPr>
      </w:pPr>
      <w:r w:rsidRPr="00F21CBC">
        <w:rPr>
          <w:rFonts w:ascii="Verdana" w:eastAsia="Calibri" w:hAnsi="Verdana" w:cs="Arial"/>
        </w:rPr>
        <w:t xml:space="preserve">De conformidad con lo anterior, es posible extraer las siguientes conclusiones en relación con la regulación de los conflictos de intereses en la contratación estatal: i) es posible que los pliegos de condiciones establezcan, si bien de forma restrictiva, conflictos de interés; </w:t>
      </w:r>
      <w:proofErr w:type="spellStart"/>
      <w:r w:rsidRPr="00F21CBC">
        <w:rPr>
          <w:rFonts w:ascii="Verdana" w:eastAsia="Calibri" w:hAnsi="Verdana" w:cs="Arial"/>
        </w:rPr>
        <w:t>ii</w:t>
      </w:r>
      <w:proofErr w:type="spellEnd"/>
      <w:r w:rsidRPr="00F21CBC">
        <w:rPr>
          <w:rFonts w:ascii="Verdana" w:eastAsia="Calibri" w:hAnsi="Verdana" w:cs="Arial"/>
        </w:rPr>
        <w:t xml:space="preserve">) estos deben </w:t>
      </w:r>
      <w:r w:rsidRPr="00F21CBC">
        <w:rPr>
          <w:rFonts w:ascii="Verdana" w:eastAsia="Calibri" w:hAnsi="Verdana" w:cs="Arial"/>
          <w:i/>
          <w:iCs/>
        </w:rPr>
        <w:t>tipificarse</w:t>
      </w:r>
      <w:r w:rsidRPr="00F21CBC">
        <w:rPr>
          <w:rFonts w:ascii="Verdana" w:eastAsia="Calibri" w:hAnsi="Verdana" w:cs="Arial"/>
        </w:rPr>
        <w:t xml:space="preserve">, esto es, establecerse de forma expresa y concreta en los pliegos de condiciones; </w:t>
      </w:r>
      <w:proofErr w:type="spellStart"/>
      <w:r w:rsidRPr="00F21CBC">
        <w:rPr>
          <w:rFonts w:ascii="Verdana" w:eastAsia="Calibri" w:hAnsi="Verdana" w:cs="Arial"/>
        </w:rPr>
        <w:t>iii</w:t>
      </w:r>
      <w:proofErr w:type="spellEnd"/>
      <w:r w:rsidRPr="00F21CBC">
        <w:rPr>
          <w:rFonts w:ascii="Verdana" w:eastAsia="Calibri" w:hAnsi="Verdana" w:cs="Arial"/>
        </w:rPr>
        <w:t xml:space="preserve">) las causales deben ser </w:t>
      </w:r>
      <w:r w:rsidRPr="00F21CBC">
        <w:rPr>
          <w:rFonts w:ascii="Verdana" w:eastAsia="Calibri" w:hAnsi="Verdana" w:cs="Arial"/>
          <w:i/>
          <w:iCs/>
        </w:rPr>
        <w:t>objetivas</w:t>
      </w:r>
      <w:r w:rsidRPr="00F21CBC">
        <w:rPr>
          <w:rFonts w:ascii="Verdana" w:eastAsia="Calibri" w:hAnsi="Verdana" w:cs="Arial"/>
        </w:rPr>
        <w:t xml:space="preserve">, esto es, que se describan con claridad, de manera que no resulten ambiguos dando lugar a que los intérpretes extraigan consecuencias diferentes; </w:t>
      </w:r>
      <w:proofErr w:type="spellStart"/>
      <w:r w:rsidRPr="00F21CBC">
        <w:rPr>
          <w:rFonts w:ascii="Verdana" w:eastAsia="Calibri" w:hAnsi="Verdana" w:cs="Arial"/>
        </w:rPr>
        <w:t>iv</w:t>
      </w:r>
      <w:proofErr w:type="spellEnd"/>
      <w:r w:rsidRPr="00F21CBC">
        <w:rPr>
          <w:rFonts w:ascii="Verdana" w:eastAsia="Calibri" w:hAnsi="Verdana" w:cs="Arial"/>
        </w:rPr>
        <w:t xml:space="preserve">)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w:t>
      </w:r>
      <w:r w:rsidRPr="00A3149F">
        <w:rPr>
          <w:rFonts w:ascii="Verdana" w:eastAsia="Calibri" w:hAnsi="Verdana" w:cs="Arial"/>
        </w:rPr>
        <w:t>su ausencia da lugar a que se parta del principio general de la capacidad contractual del proponente o contratista, de manera que la entidad no puede crear o aplicar causales que no incluyó en el pliego de condiciones</w:t>
      </w:r>
      <w:r w:rsidRPr="00A3149F">
        <w:rPr>
          <w:rStyle w:val="Refdenotaalpie"/>
          <w:rFonts w:ascii="Verdana" w:eastAsia="Calibri" w:hAnsi="Verdana" w:cs="Arial"/>
        </w:rPr>
        <w:footnoteReference w:id="16"/>
      </w:r>
      <w:r w:rsidRPr="00A3149F">
        <w:rPr>
          <w:rFonts w:ascii="Verdana" w:eastAsia="Calibri" w:hAnsi="Verdana" w:cs="Arial"/>
        </w:rPr>
        <w:t>.</w:t>
      </w:r>
    </w:p>
    <w:p w14:paraId="479558AF" w14:textId="77777777" w:rsidR="00BC11AD" w:rsidRPr="00BF6F3D" w:rsidRDefault="00BC11AD" w:rsidP="00BC11AD">
      <w:pPr>
        <w:widowControl w:val="0"/>
        <w:autoSpaceDE w:val="0"/>
        <w:autoSpaceDN w:val="0"/>
        <w:spacing w:after="120" w:line="276" w:lineRule="auto"/>
        <w:ind w:firstLine="709"/>
        <w:jc w:val="both"/>
        <w:rPr>
          <w:rFonts w:ascii="Verdana" w:eastAsia="Calibri" w:hAnsi="Verdana" w:cs="Arial"/>
        </w:rPr>
      </w:pPr>
      <w:r w:rsidRPr="00BF6F3D">
        <w:rPr>
          <w:rFonts w:ascii="Verdana" w:eastAsia="Calibri" w:hAnsi="Verdana" w:cs="Arial"/>
        </w:rPr>
        <w:lastRenderedPageBreak/>
        <w:t>Aunque para el Alto Tribunal Administrativo, la regulación de los conflictos de interés en las relaciones contractuales entre Estado y particulares se realiza en el pliego de condiciones respectivo, estima esta Agencia que las Entidades Estatales podrían definirlo desde sus manuales internos de contratación. De esta forma, en la “Guía para la incorporación de lineamientos de integridad en la contratación de prestación de servicios”</w:t>
      </w:r>
      <w:r>
        <w:rPr>
          <w:rStyle w:val="Refdenotaalpie"/>
          <w:rFonts w:ascii="Verdana" w:eastAsia="Calibri" w:hAnsi="Verdana" w:cs="Arial"/>
        </w:rPr>
        <w:footnoteReference w:id="17"/>
      </w:r>
      <w:r w:rsidRPr="00BF6F3D">
        <w:rPr>
          <w:rFonts w:ascii="Verdana" w:eastAsia="Calibri" w:hAnsi="Verdana" w:cs="Arial"/>
        </w:rPr>
        <w:t xml:space="preserve"> emitida por Colombia Compra Eficiente, se recomienda a las entidades implementar los mecanismos dispuestos por el Departamento Administrativo de la Función Pública, como lo es el “Procedimiento para la gestión preventiva de conflictos de interés en entidades del sector público”</w:t>
      </w:r>
      <w:r>
        <w:rPr>
          <w:rStyle w:val="Refdenotaalpie"/>
          <w:rFonts w:ascii="Verdana" w:eastAsia="Calibri" w:hAnsi="Verdana" w:cs="Arial"/>
        </w:rPr>
        <w:footnoteReference w:id="18"/>
      </w:r>
      <w:r w:rsidRPr="00BF6F3D">
        <w:rPr>
          <w:rFonts w:ascii="Verdana" w:eastAsia="Calibri" w:hAnsi="Verdana" w:cs="Arial"/>
        </w:rPr>
        <w:t xml:space="preserve"> y, el “Aplicativo para la integridad pública”</w:t>
      </w:r>
      <w:r>
        <w:rPr>
          <w:rStyle w:val="Refdenotaalpie"/>
          <w:rFonts w:ascii="Verdana" w:eastAsia="Calibri" w:hAnsi="Verdana" w:cs="Arial"/>
        </w:rPr>
        <w:footnoteReference w:id="19"/>
      </w:r>
      <w:r w:rsidRPr="00BF6F3D">
        <w:rPr>
          <w:rFonts w:ascii="Verdana" w:eastAsia="Calibri" w:hAnsi="Verdana" w:cs="Arial"/>
        </w:rPr>
        <w:t xml:space="preserve"> que constituye una herramienta para que los servidores públicos de altos cargos del Estado, contratistas y demás sujetos obligados por la Ley 2013 de 2019 registren, entre otros aspectos, sus conflictos de interés.</w:t>
      </w:r>
    </w:p>
    <w:p w14:paraId="4777FDDA" w14:textId="77777777" w:rsidR="00BC11AD" w:rsidRPr="00BF6F3D" w:rsidRDefault="00BC11AD" w:rsidP="00BC11AD">
      <w:pPr>
        <w:widowControl w:val="0"/>
        <w:autoSpaceDE w:val="0"/>
        <w:autoSpaceDN w:val="0"/>
        <w:spacing w:after="120" w:line="276" w:lineRule="auto"/>
        <w:ind w:firstLine="709"/>
        <w:jc w:val="both"/>
        <w:rPr>
          <w:rFonts w:ascii="Verdana" w:eastAsia="Calibri" w:hAnsi="Verdana" w:cs="Arial"/>
        </w:rPr>
      </w:pPr>
      <w:r>
        <w:rPr>
          <w:rFonts w:ascii="Verdana" w:eastAsia="Calibri" w:hAnsi="Verdana" w:cs="Arial"/>
        </w:rPr>
        <w:t>De esta manera,</w:t>
      </w:r>
      <w:r w:rsidRPr="00BF6F3D">
        <w:rPr>
          <w:rFonts w:ascii="Verdana" w:eastAsia="Calibri" w:hAnsi="Verdana" w:cs="Arial"/>
        </w:rPr>
        <w:t xml:space="preserve"> </w:t>
      </w:r>
      <w:r>
        <w:rPr>
          <w:rFonts w:ascii="Verdana" w:eastAsia="Calibri" w:hAnsi="Verdana" w:cs="Arial"/>
        </w:rPr>
        <w:t>es</w:t>
      </w:r>
      <w:r w:rsidRPr="00BF6F3D">
        <w:rPr>
          <w:rFonts w:ascii="Verdana" w:eastAsia="Calibri" w:hAnsi="Verdana" w:cs="Arial"/>
        </w:rPr>
        <w:t xml:space="preserve"> deber de las Entidades Estatales con el fin de salvaguardar la transparencia, integridad y moralidad administrativa, no sólo revisar la ocurrencia de potenciales conflictos de interés que devengan de sus contratistas, sino también, de reglamentar en sus respectivos manuales internos de contratación o pliego de condiciones, según el caso, la forma en la que estos serán resueltos y el funcionario competente para ello.</w:t>
      </w:r>
    </w:p>
    <w:p w14:paraId="61526A96" w14:textId="294550FA" w:rsidR="00BC11AD" w:rsidRPr="00BF6F3D" w:rsidRDefault="00BC11AD" w:rsidP="00BC11AD">
      <w:pPr>
        <w:widowControl w:val="0"/>
        <w:autoSpaceDE w:val="0"/>
        <w:autoSpaceDN w:val="0"/>
        <w:spacing w:after="120" w:line="276" w:lineRule="auto"/>
        <w:ind w:firstLine="709"/>
        <w:jc w:val="both"/>
        <w:rPr>
          <w:rFonts w:ascii="Verdana" w:eastAsia="Calibri" w:hAnsi="Verdana" w:cs="Arial"/>
          <w:lang w:val="es-ES_tradnl"/>
        </w:rPr>
      </w:pPr>
      <w:r w:rsidRPr="00BF6F3D">
        <w:rPr>
          <w:rFonts w:ascii="Verdana" w:eastAsia="Calibri" w:hAnsi="Verdana" w:cs="Arial"/>
          <w:lang w:val="es-ES"/>
        </w:rPr>
        <w:t xml:space="preserve">Finalmente, debe advertirse que el análisis requerido para resolver problemas específicos en torno a la configuración y resolución de conflictos de interés debe ser realizado por quienes tengan interés en ello. De esta manera, las afirmaciones aquí realizadas no pueden ser interpretadas como juicios de valor sobre circunstancias concretas relacionadas con los hechos que motivan la consulta. Por lo anterior, previo concepto de </w:t>
      </w:r>
      <w:r>
        <w:rPr>
          <w:rFonts w:ascii="Verdana" w:eastAsia="Calibri" w:hAnsi="Verdana" w:cs="Arial"/>
          <w:lang w:val="es-ES"/>
        </w:rPr>
        <w:t xml:space="preserve">los </w:t>
      </w:r>
      <w:r w:rsidRPr="00BF6F3D">
        <w:rPr>
          <w:rFonts w:ascii="Verdana" w:eastAsia="Calibri" w:hAnsi="Verdana" w:cs="Arial"/>
          <w:lang w:val="es-ES"/>
        </w:rPr>
        <w:t xml:space="preserve">asesores, la solución de situaciones particulares corresponde a los interesados de adoptar la decisión y, en caso de conflicto, a las autoridades judiciales, fiscales y disciplinarias. </w:t>
      </w:r>
    </w:p>
    <w:p w14:paraId="31CFE6E4" w14:textId="77777777" w:rsidR="00BC11AD" w:rsidRPr="00AB31E7" w:rsidRDefault="00BC11AD" w:rsidP="00BC11AD">
      <w:pPr>
        <w:widowControl w:val="0"/>
        <w:autoSpaceDE w:val="0"/>
        <w:autoSpaceDN w:val="0"/>
        <w:spacing w:after="120" w:line="276" w:lineRule="auto"/>
        <w:ind w:firstLine="709"/>
        <w:jc w:val="both"/>
        <w:rPr>
          <w:rFonts w:ascii="Verdana" w:eastAsia="Calibri" w:hAnsi="Verdana" w:cs="Arial"/>
          <w:lang w:val="es-ES"/>
        </w:rPr>
      </w:pPr>
      <w:r w:rsidRPr="4C6BD99A">
        <w:rPr>
          <w:rFonts w:ascii="Verdana" w:eastAsia="Calibri" w:hAnsi="Verdana" w:cs="Arial"/>
          <w:lang w:val="es-ES"/>
        </w:rPr>
        <w:t xml:space="preserve">Al tratarse de un análisis que debe realizarse a un asunto particular y concreto, esta Agencia no puede definir un criterio universal y absoluto por vía consultiva, sino que brinda elementos de carácter general para que los partícipes </w:t>
      </w:r>
      <w:r w:rsidRPr="4C6BD99A">
        <w:rPr>
          <w:rFonts w:ascii="Verdana" w:eastAsia="Calibri" w:hAnsi="Verdana" w:cs="Arial"/>
          <w:lang w:val="es-ES"/>
        </w:rPr>
        <w:lastRenderedPageBreak/>
        <w:t xml:space="preserve">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FD98FF9" w14:textId="77777777" w:rsidR="00BC11AD" w:rsidRPr="000952AC" w:rsidRDefault="00BC11AD" w:rsidP="00BC11AD">
      <w:pPr>
        <w:spacing w:after="0" w:line="276" w:lineRule="auto"/>
        <w:rPr>
          <w:rFonts w:ascii="Verdana" w:eastAsia="Calibri" w:hAnsi="Verdana" w:cs="Times New Roman"/>
          <w:b/>
          <w:bCs/>
        </w:rPr>
      </w:pPr>
      <w:r w:rsidRPr="000952AC">
        <w:rPr>
          <w:rFonts w:ascii="Verdana" w:eastAsia="Calibri" w:hAnsi="Verdana" w:cs="Times New Roman"/>
          <w:b/>
          <w:bCs/>
        </w:rPr>
        <w:t>4. Referencias normativas, jurisprudenciales y otras fuentes:</w:t>
      </w:r>
    </w:p>
    <w:p w14:paraId="28750073" w14:textId="77777777" w:rsidR="00BC11AD" w:rsidRPr="000952AC" w:rsidRDefault="00BC11AD" w:rsidP="00BC11A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C11AD" w:rsidRPr="000952AC" w14:paraId="492693B0" w14:textId="77777777" w:rsidTr="00080556">
        <w:trPr>
          <w:trHeight w:val="477"/>
          <w:jc w:val="center"/>
        </w:trPr>
        <w:tc>
          <w:tcPr>
            <w:tcW w:w="8647" w:type="dxa"/>
          </w:tcPr>
          <w:p w14:paraId="2B9F1013"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C97255">
              <w:rPr>
                <w:rFonts w:ascii="Verdana" w:hAnsi="Verdana" w:cs="Arial"/>
                <w:sz w:val="22"/>
                <w:szCs w:val="22"/>
                <w:lang w:val="es-CO"/>
              </w:rPr>
              <w:t>Constitución Política</w:t>
            </w:r>
            <w:r>
              <w:rPr>
                <w:rFonts w:ascii="Verdana" w:hAnsi="Verdana" w:cs="Arial"/>
                <w:sz w:val="22"/>
                <w:szCs w:val="22"/>
                <w:lang w:val="es-CO"/>
              </w:rPr>
              <w:t xml:space="preserve">. Artículo 209. </w:t>
            </w:r>
          </w:p>
          <w:p w14:paraId="4E071FBF" w14:textId="77777777" w:rsidR="00491645" w:rsidRDefault="00491645" w:rsidP="00491645">
            <w:pPr>
              <w:pStyle w:val="Textonotapie"/>
              <w:ind w:left="720"/>
              <w:contextualSpacing/>
              <w:jc w:val="both"/>
              <w:rPr>
                <w:rFonts w:ascii="Verdana" w:hAnsi="Verdana" w:cs="Arial"/>
                <w:sz w:val="22"/>
                <w:szCs w:val="22"/>
                <w:lang w:val="es-CO"/>
              </w:rPr>
            </w:pPr>
          </w:p>
          <w:p w14:paraId="103869A5" w14:textId="77777777" w:rsidR="00BC11AD" w:rsidRDefault="00BC11AD" w:rsidP="00BC11AD">
            <w:pPr>
              <w:pStyle w:val="Textonotapie"/>
              <w:numPr>
                <w:ilvl w:val="0"/>
                <w:numId w:val="17"/>
              </w:numPr>
              <w:contextualSpacing/>
              <w:jc w:val="both"/>
              <w:rPr>
                <w:rFonts w:ascii="Verdana" w:hAnsi="Verdana" w:cs="Arial"/>
                <w:sz w:val="22"/>
                <w:szCs w:val="22"/>
                <w:lang w:val="es-CO"/>
              </w:rPr>
            </w:pPr>
            <w:r>
              <w:rPr>
                <w:rFonts w:ascii="Verdana" w:hAnsi="Verdana" w:cs="Arial"/>
                <w:sz w:val="22"/>
                <w:szCs w:val="22"/>
                <w:lang w:val="es-CO"/>
              </w:rPr>
              <w:t xml:space="preserve">Ley 80 de 1993. Artículo 8. </w:t>
            </w:r>
          </w:p>
          <w:p w14:paraId="45EA9904" w14:textId="77777777" w:rsidR="00491645" w:rsidRDefault="00491645" w:rsidP="00491645">
            <w:pPr>
              <w:pStyle w:val="Textonotapie"/>
              <w:contextualSpacing/>
              <w:jc w:val="both"/>
              <w:rPr>
                <w:rFonts w:ascii="Verdana" w:hAnsi="Verdana" w:cs="Arial"/>
                <w:sz w:val="22"/>
                <w:szCs w:val="22"/>
                <w:lang w:val="es-CO"/>
              </w:rPr>
            </w:pPr>
          </w:p>
          <w:p w14:paraId="5F399005" w14:textId="77777777" w:rsidR="00BC11AD" w:rsidRDefault="00BC11AD" w:rsidP="00BC11AD">
            <w:pPr>
              <w:pStyle w:val="Textonotapie"/>
              <w:numPr>
                <w:ilvl w:val="0"/>
                <w:numId w:val="17"/>
              </w:numPr>
              <w:contextualSpacing/>
              <w:jc w:val="both"/>
              <w:rPr>
                <w:rFonts w:ascii="Verdana" w:hAnsi="Verdana" w:cs="Arial"/>
                <w:sz w:val="22"/>
                <w:szCs w:val="22"/>
                <w:lang w:val="es-CO"/>
              </w:rPr>
            </w:pPr>
            <w:r>
              <w:rPr>
                <w:rFonts w:ascii="Verdana" w:hAnsi="Verdana" w:cs="Arial"/>
                <w:sz w:val="22"/>
                <w:szCs w:val="22"/>
                <w:lang w:val="es-CO"/>
              </w:rPr>
              <w:t xml:space="preserve">Ley 1437 de 2011. Artículo 3 numeral 5. </w:t>
            </w:r>
          </w:p>
          <w:p w14:paraId="75BA1D6B" w14:textId="77777777" w:rsidR="00491645" w:rsidRDefault="00491645" w:rsidP="00491645">
            <w:pPr>
              <w:pStyle w:val="Textonotapie"/>
              <w:contextualSpacing/>
              <w:jc w:val="both"/>
              <w:rPr>
                <w:rFonts w:ascii="Verdana" w:hAnsi="Verdana" w:cs="Arial"/>
                <w:sz w:val="22"/>
                <w:szCs w:val="22"/>
                <w:lang w:val="es-CO"/>
              </w:rPr>
            </w:pPr>
          </w:p>
          <w:p w14:paraId="3E56E8AF" w14:textId="77777777" w:rsidR="00BC11AD" w:rsidRPr="00C97255" w:rsidRDefault="00BC11AD" w:rsidP="00BC11AD">
            <w:pPr>
              <w:pStyle w:val="Textonotapie"/>
              <w:numPr>
                <w:ilvl w:val="0"/>
                <w:numId w:val="17"/>
              </w:numPr>
              <w:contextualSpacing/>
              <w:jc w:val="both"/>
              <w:rPr>
                <w:rFonts w:ascii="Verdana" w:hAnsi="Verdana" w:cs="Arial"/>
                <w:sz w:val="22"/>
                <w:szCs w:val="22"/>
                <w:lang w:val="es-CO"/>
              </w:rPr>
            </w:pPr>
            <w:r w:rsidRPr="00C97255">
              <w:rPr>
                <w:rFonts w:ascii="Verdana" w:hAnsi="Verdana" w:cs="Arial"/>
                <w:sz w:val="22"/>
                <w:szCs w:val="22"/>
                <w:lang w:val="es-CO"/>
              </w:rPr>
              <w:t>Cote Constitucional. Sentencia C-181 de 1997. M.P. Fabio Morón Díaz.</w:t>
            </w:r>
          </w:p>
          <w:p w14:paraId="27294563"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C97255">
              <w:rPr>
                <w:rFonts w:ascii="Verdana" w:hAnsi="Verdana" w:cs="Arial"/>
                <w:sz w:val="22"/>
                <w:szCs w:val="22"/>
                <w:lang w:val="es-CO"/>
              </w:rPr>
              <w:t>Corte Constitucional. Sentencia C-1016 de 2012. M.P. Jorge Iván Palacio.</w:t>
            </w:r>
          </w:p>
          <w:p w14:paraId="1258EAF3" w14:textId="77777777" w:rsidR="00491645" w:rsidRDefault="00491645" w:rsidP="00491645">
            <w:pPr>
              <w:pStyle w:val="Textonotapie"/>
              <w:ind w:left="720"/>
              <w:contextualSpacing/>
              <w:jc w:val="both"/>
              <w:rPr>
                <w:rFonts w:ascii="Verdana" w:hAnsi="Verdana" w:cs="Arial"/>
                <w:sz w:val="22"/>
                <w:szCs w:val="22"/>
                <w:lang w:val="es-CO"/>
              </w:rPr>
            </w:pPr>
          </w:p>
          <w:p w14:paraId="7557A933"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C97255">
              <w:rPr>
                <w:rFonts w:ascii="Verdana" w:hAnsi="Verdana" w:cs="Arial"/>
                <w:sz w:val="22"/>
                <w:szCs w:val="22"/>
                <w:lang w:val="es-CO"/>
              </w:rPr>
              <w:t xml:space="preserve">Corte Constitucional. Sentencia C-353 de 2009. M.P: Jorge Iván Palacio </w:t>
            </w:r>
            <w:proofErr w:type="spellStart"/>
            <w:r w:rsidRPr="00C97255">
              <w:rPr>
                <w:rFonts w:ascii="Verdana" w:hAnsi="Verdana" w:cs="Arial"/>
                <w:sz w:val="22"/>
                <w:szCs w:val="22"/>
                <w:lang w:val="es-CO"/>
              </w:rPr>
              <w:t>Palacio</w:t>
            </w:r>
            <w:proofErr w:type="spellEnd"/>
            <w:r w:rsidRPr="00C97255">
              <w:rPr>
                <w:rFonts w:ascii="Verdana" w:hAnsi="Verdana" w:cs="Arial"/>
                <w:sz w:val="22"/>
                <w:szCs w:val="22"/>
                <w:lang w:val="es-CO"/>
              </w:rPr>
              <w:t xml:space="preserve">.   </w:t>
            </w:r>
          </w:p>
          <w:p w14:paraId="6834888B" w14:textId="77777777" w:rsidR="00491645" w:rsidRDefault="00491645" w:rsidP="00491645">
            <w:pPr>
              <w:pStyle w:val="Textonotapie"/>
              <w:contextualSpacing/>
              <w:jc w:val="both"/>
              <w:rPr>
                <w:rFonts w:ascii="Verdana" w:hAnsi="Verdana" w:cs="Arial"/>
                <w:sz w:val="22"/>
                <w:szCs w:val="22"/>
                <w:lang w:val="es-CO"/>
              </w:rPr>
            </w:pPr>
          </w:p>
          <w:p w14:paraId="3F02F93F"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C97255">
              <w:rPr>
                <w:rFonts w:ascii="Verdana" w:hAnsi="Verdana" w:cs="Arial"/>
                <w:sz w:val="22"/>
                <w:szCs w:val="22"/>
                <w:lang w:val="es-CO"/>
              </w:rPr>
              <w:t>Corte Constitucional. Sentencia C-415 de 1994. M.P. Eduardo Cifuentes Muñoz.</w:t>
            </w:r>
          </w:p>
          <w:p w14:paraId="576CA147" w14:textId="77777777" w:rsidR="00491645" w:rsidRDefault="00491645" w:rsidP="00491645">
            <w:pPr>
              <w:pStyle w:val="Textonotapie"/>
              <w:contextualSpacing/>
              <w:jc w:val="both"/>
              <w:rPr>
                <w:rFonts w:ascii="Verdana" w:hAnsi="Verdana" w:cs="Arial"/>
                <w:sz w:val="22"/>
                <w:szCs w:val="22"/>
                <w:lang w:val="es-CO"/>
              </w:rPr>
            </w:pPr>
          </w:p>
          <w:p w14:paraId="7020B921"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2537F6">
              <w:rPr>
                <w:rFonts w:ascii="Verdana" w:hAnsi="Verdana" w:cs="Arial"/>
                <w:sz w:val="22"/>
                <w:szCs w:val="22"/>
                <w:lang w:val="es-CO"/>
              </w:rPr>
              <w:t>Corte Constitucional. Sentencia C-780 de 2001. M.P. Jaime Córdoba Triviño.</w:t>
            </w:r>
          </w:p>
          <w:p w14:paraId="1E34F66C" w14:textId="77777777" w:rsidR="00491645" w:rsidRDefault="00491645" w:rsidP="00491645">
            <w:pPr>
              <w:pStyle w:val="Textonotapie"/>
              <w:contextualSpacing/>
              <w:jc w:val="both"/>
              <w:rPr>
                <w:rFonts w:ascii="Verdana" w:hAnsi="Verdana" w:cs="Arial"/>
                <w:sz w:val="22"/>
                <w:szCs w:val="22"/>
                <w:lang w:val="es-CO"/>
              </w:rPr>
            </w:pPr>
          </w:p>
          <w:p w14:paraId="326B1FA0" w14:textId="77777777" w:rsidR="00BC11AD" w:rsidRDefault="00BC11AD" w:rsidP="00BC11AD">
            <w:pPr>
              <w:pStyle w:val="Textonotapie"/>
              <w:numPr>
                <w:ilvl w:val="0"/>
                <w:numId w:val="17"/>
              </w:numPr>
              <w:contextualSpacing/>
              <w:jc w:val="both"/>
              <w:rPr>
                <w:rFonts w:ascii="Verdana" w:hAnsi="Verdana" w:cs="Arial"/>
                <w:sz w:val="22"/>
                <w:szCs w:val="22"/>
                <w:lang w:val="it-CH"/>
              </w:rPr>
            </w:pPr>
            <w:r w:rsidRPr="00C97255">
              <w:rPr>
                <w:rFonts w:ascii="Verdana" w:hAnsi="Verdana" w:cs="Arial"/>
                <w:sz w:val="22"/>
                <w:szCs w:val="22"/>
                <w:lang w:val="es-CO"/>
              </w:rPr>
              <w:t xml:space="preserve">Corte Constitucional. Sentencia T-1039 de 2006. </w:t>
            </w:r>
            <w:r w:rsidRPr="00C97255">
              <w:rPr>
                <w:rFonts w:ascii="Verdana" w:hAnsi="Verdana" w:cs="Arial"/>
                <w:sz w:val="22"/>
                <w:szCs w:val="22"/>
                <w:lang w:val="it-CH"/>
              </w:rPr>
              <w:t xml:space="preserve">M.P. Humberto Sierra Porto. </w:t>
            </w:r>
          </w:p>
          <w:p w14:paraId="2806D325" w14:textId="77777777" w:rsidR="00491645" w:rsidRPr="00BC11AD" w:rsidRDefault="00491645" w:rsidP="00491645">
            <w:pPr>
              <w:pStyle w:val="Textonotapie"/>
              <w:contextualSpacing/>
              <w:jc w:val="both"/>
              <w:rPr>
                <w:rFonts w:ascii="Verdana" w:hAnsi="Verdana" w:cs="Arial"/>
                <w:sz w:val="22"/>
                <w:szCs w:val="22"/>
                <w:lang w:val="it-CH"/>
              </w:rPr>
            </w:pPr>
          </w:p>
          <w:p w14:paraId="52A901AF" w14:textId="77777777" w:rsidR="00BC11AD" w:rsidRDefault="00BC11AD" w:rsidP="00BC11AD">
            <w:pPr>
              <w:pStyle w:val="Textonotapie"/>
              <w:numPr>
                <w:ilvl w:val="0"/>
                <w:numId w:val="17"/>
              </w:numPr>
              <w:contextualSpacing/>
              <w:jc w:val="both"/>
              <w:rPr>
                <w:rFonts w:ascii="Verdana" w:hAnsi="Verdana" w:cs="Arial"/>
                <w:sz w:val="22"/>
                <w:szCs w:val="22"/>
                <w:lang w:val="es-CO"/>
              </w:rPr>
            </w:pPr>
            <w:r>
              <w:rPr>
                <w:rFonts w:ascii="Verdana" w:hAnsi="Verdana" w:cs="Arial"/>
                <w:sz w:val="22"/>
                <w:szCs w:val="22"/>
                <w:lang w:val="es-CO"/>
              </w:rPr>
              <w:t xml:space="preserve">Corte Constitucional. Sentencia </w:t>
            </w:r>
            <w:r w:rsidRPr="00C97255">
              <w:rPr>
                <w:rFonts w:ascii="Verdana" w:hAnsi="Verdana" w:cs="Arial"/>
                <w:sz w:val="22"/>
                <w:szCs w:val="22"/>
                <w:lang w:val="es-CO"/>
              </w:rPr>
              <w:t>C-903 de 2008. M.P. Jaime Araujo Rentería</w:t>
            </w:r>
            <w:r>
              <w:rPr>
                <w:rFonts w:ascii="Verdana" w:hAnsi="Verdana" w:cs="Arial"/>
                <w:sz w:val="22"/>
                <w:szCs w:val="22"/>
                <w:lang w:val="es-CO"/>
              </w:rPr>
              <w:t xml:space="preserve">. </w:t>
            </w:r>
          </w:p>
          <w:p w14:paraId="6681235E" w14:textId="77777777" w:rsidR="00491645" w:rsidRDefault="00491645" w:rsidP="00491645">
            <w:pPr>
              <w:pStyle w:val="Textonotapie"/>
              <w:contextualSpacing/>
              <w:jc w:val="both"/>
              <w:rPr>
                <w:rFonts w:ascii="Verdana" w:hAnsi="Verdana" w:cs="Arial"/>
                <w:sz w:val="22"/>
                <w:szCs w:val="22"/>
                <w:lang w:val="es-CO"/>
              </w:rPr>
            </w:pPr>
          </w:p>
          <w:p w14:paraId="38B27822" w14:textId="77777777" w:rsidR="00BC11AD" w:rsidRDefault="00BC11AD" w:rsidP="00BC11AD">
            <w:pPr>
              <w:pStyle w:val="Textonotapie"/>
              <w:numPr>
                <w:ilvl w:val="0"/>
                <w:numId w:val="17"/>
              </w:numPr>
              <w:contextualSpacing/>
              <w:jc w:val="both"/>
              <w:rPr>
                <w:rFonts w:ascii="Verdana" w:hAnsi="Verdana" w:cs="Arial"/>
                <w:sz w:val="22"/>
                <w:szCs w:val="22"/>
                <w:lang w:val="es-CO"/>
              </w:rPr>
            </w:pPr>
            <w:r>
              <w:rPr>
                <w:rFonts w:ascii="Verdana" w:hAnsi="Verdana" w:cs="Arial"/>
                <w:sz w:val="22"/>
                <w:szCs w:val="22"/>
                <w:lang w:val="es-CO"/>
              </w:rPr>
              <w:t>Corte Constitucional. Sentencia</w:t>
            </w:r>
            <w:r w:rsidRPr="00C97255">
              <w:rPr>
                <w:rFonts w:ascii="Verdana" w:hAnsi="Verdana" w:cs="Arial"/>
                <w:sz w:val="22"/>
                <w:szCs w:val="22"/>
                <w:lang w:val="es-CO"/>
              </w:rPr>
              <w:t xml:space="preserve"> C-101 de 2018. M.P. Gloria Stella Ortiz Delgado</w:t>
            </w:r>
            <w:r>
              <w:rPr>
                <w:rFonts w:ascii="Verdana" w:hAnsi="Verdana" w:cs="Arial"/>
                <w:sz w:val="22"/>
                <w:szCs w:val="22"/>
                <w:lang w:val="es-CO"/>
              </w:rPr>
              <w:t xml:space="preserve">. </w:t>
            </w:r>
          </w:p>
          <w:p w14:paraId="0C2C6CE7" w14:textId="77777777" w:rsidR="00491645" w:rsidRDefault="00491645" w:rsidP="00491645">
            <w:pPr>
              <w:pStyle w:val="Textonotapie"/>
              <w:contextualSpacing/>
              <w:jc w:val="both"/>
              <w:rPr>
                <w:rFonts w:ascii="Verdana" w:hAnsi="Verdana" w:cs="Arial"/>
                <w:sz w:val="22"/>
                <w:szCs w:val="22"/>
                <w:lang w:val="es-CO"/>
              </w:rPr>
            </w:pPr>
          </w:p>
          <w:p w14:paraId="31B776DC"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C97255">
              <w:rPr>
                <w:rFonts w:ascii="Verdana" w:hAnsi="Verdana" w:cs="Arial"/>
                <w:sz w:val="22"/>
                <w:szCs w:val="22"/>
                <w:lang w:val="es-CO"/>
              </w:rPr>
              <w:t xml:space="preserve">Consejo de Estado. Sala de lo Contencioso Administrativo. Sección Tercera. Subsección A. Sentencia del 13 de noviembre de 2013. Radicado: 25000-23-26-000-1999-02197-01 (25646). C.P. Mauricio Fajardo Gómez.  </w:t>
            </w:r>
          </w:p>
          <w:p w14:paraId="4B231CE0" w14:textId="77777777" w:rsidR="00491645" w:rsidRDefault="00491645" w:rsidP="00491645">
            <w:pPr>
              <w:pStyle w:val="Textonotapie"/>
              <w:contextualSpacing/>
              <w:jc w:val="both"/>
              <w:rPr>
                <w:rFonts w:ascii="Verdana" w:hAnsi="Verdana" w:cs="Arial"/>
                <w:sz w:val="22"/>
                <w:szCs w:val="22"/>
                <w:lang w:val="es-CO"/>
              </w:rPr>
            </w:pPr>
          </w:p>
          <w:p w14:paraId="6657ACD6" w14:textId="77777777" w:rsidR="00BC11AD" w:rsidRDefault="00BC11AD" w:rsidP="00BC11AD">
            <w:pPr>
              <w:pStyle w:val="Prrafodelista"/>
              <w:numPr>
                <w:ilvl w:val="0"/>
                <w:numId w:val="17"/>
              </w:numPr>
              <w:jc w:val="both"/>
              <w:rPr>
                <w:rFonts w:ascii="Verdana" w:hAnsi="Verdana" w:cs="Arial"/>
                <w:lang w:val="es-CO"/>
              </w:rPr>
            </w:pPr>
            <w:r w:rsidRPr="002537F6">
              <w:rPr>
                <w:rFonts w:ascii="Verdana" w:hAnsi="Verdana" w:cs="Arial"/>
                <w:lang w:val="es-CO"/>
              </w:rPr>
              <w:lastRenderedPageBreak/>
              <w:t xml:space="preserve">Consejo de Estado. Sala de Consulta y Servicio Civil. Concepto del 30 de abril de 2015. Radicado: 11001-03-06-000-2015-00058-00 (2251). C.P. Álvaro </w:t>
            </w:r>
            <w:proofErr w:type="spellStart"/>
            <w:r w:rsidRPr="002537F6">
              <w:rPr>
                <w:rFonts w:ascii="Verdana" w:hAnsi="Verdana" w:cs="Arial"/>
                <w:lang w:val="es-CO"/>
              </w:rPr>
              <w:t>Namén</w:t>
            </w:r>
            <w:proofErr w:type="spellEnd"/>
            <w:r w:rsidRPr="002537F6">
              <w:rPr>
                <w:rFonts w:ascii="Verdana" w:hAnsi="Verdana" w:cs="Arial"/>
                <w:lang w:val="es-CO"/>
              </w:rPr>
              <w:t xml:space="preserve"> Vargas.</w:t>
            </w:r>
          </w:p>
          <w:p w14:paraId="792F5A7D" w14:textId="77777777" w:rsidR="00491645" w:rsidRPr="00491645" w:rsidRDefault="00491645" w:rsidP="00491645">
            <w:pPr>
              <w:jc w:val="both"/>
              <w:rPr>
                <w:rFonts w:ascii="Verdana" w:hAnsi="Verdana" w:cs="Arial"/>
              </w:rPr>
            </w:pPr>
          </w:p>
          <w:p w14:paraId="4C8E828E"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2537F6">
              <w:rPr>
                <w:rFonts w:ascii="Verdana" w:hAnsi="Verdana" w:cs="Arial"/>
                <w:sz w:val="22"/>
                <w:szCs w:val="22"/>
                <w:lang w:val="es-CO"/>
              </w:rPr>
              <w:t>Consejo de Estado. Sala de lo Contencioso Administrativo. Sección Tercera. Subsección A. Sentencia del 24 de junio de 2015. Rad</w:t>
            </w:r>
            <w:r>
              <w:rPr>
                <w:rFonts w:ascii="Verdana" w:hAnsi="Verdana" w:cs="Arial"/>
                <w:sz w:val="22"/>
                <w:szCs w:val="22"/>
                <w:lang w:val="es-CO"/>
              </w:rPr>
              <w:t>i</w:t>
            </w:r>
            <w:r w:rsidRPr="002537F6">
              <w:rPr>
                <w:rFonts w:ascii="Verdana" w:hAnsi="Verdana" w:cs="Arial"/>
                <w:sz w:val="22"/>
                <w:szCs w:val="22"/>
                <w:lang w:val="es-CO"/>
              </w:rPr>
              <w:t>cado: 05001-23-31-000-1997-02636-01 (40635). C.P. Hernán Andrade Rincón (E).</w:t>
            </w:r>
          </w:p>
          <w:p w14:paraId="4F3C1408" w14:textId="77777777" w:rsidR="00491645" w:rsidRDefault="00491645" w:rsidP="00491645">
            <w:pPr>
              <w:pStyle w:val="Textonotapie"/>
              <w:contextualSpacing/>
              <w:jc w:val="both"/>
              <w:rPr>
                <w:rFonts w:ascii="Verdana" w:hAnsi="Verdana" w:cs="Arial"/>
                <w:sz w:val="22"/>
                <w:szCs w:val="22"/>
                <w:lang w:val="es-CO"/>
              </w:rPr>
            </w:pPr>
          </w:p>
          <w:p w14:paraId="1233623F"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2537F6">
              <w:rPr>
                <w:rFonts w:ascii="Verdana" w:hAnsi="Verdana" w:cs="Arial"/>
                <w:sz w:val="22"/>
                <w:szCs w:val="22"/>
                <w:lang w:val="es-CO"/>
              </w:rPr>
              <w:t xml:space="preserve">Consejo de Estado. Sala de lo Contencioso Administrativo. Sección Tercera. Subsección C. Sentencia del 22 de mayo de 2013. Radicado: 68001-23-15-000-1995-00152-01 (24057). C.P. Olga Mélida Valle De </w:t>
            </w:r>
            <w:proofErr w:type="spellStart"/>
            <w:r w:rsidRPr="002537F6">
              <w:rPr>
                <w:rFonts w:ascii="Verdana" w:hAnsi="Verdana" w:cs="Arial"/>
                <w:sz w:val="22"/>
                <w:szCs w:val="22"/>
                <w:lang w:val="es-CO"/>
              </w:rPr>
              <w:t>De</w:t>
            </w:r>
            <w:proofErr w:type="spellEnd"/>
            <w:r w:rsidRPr="002537F6">
              <w:rPr>
                <w:rFonts w:ascii="Verdana" w:hAnsi="Verdana" w:cs="Arial"/>
                <w:sz w:val="22"/>
                <w:szCs w:val="22"/>
                <w:lang w:val="es-CO"/>
              </w:rPr>
              <w:t xml:space="preserve"> La Hoz.</w:t>
            </w:r>
          </w:p>
          <w:p w14:paraId="789518DA" w14:textId="77777777" w:rsidR="00491645" w:rsidRDefault="00491645" w:rsidP="00491645">
            <w:pPr>
              <w:pStyle w:val="Textonotapie"/>
              <w:contextualSpacing/>
              <w:jc w:val="both"/>
              <w:rPr>
                <w:rFonts w:ascii="Verdana" w:hAnsi="Verdana" w:cs="Arial"/>
                <w:sz w:val="22"/>
                <w:szCs w:val="22"/>
                <w:lang w:val="es-CO"/>
              </w:rPr>
            </w:pPr>
          </w:p>
          <w:p w14:paraId="584CCA80"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2537F6">
              <w:rPr>
                <w:rFonts w:ascii="Verdana" w:hAnsi="Verdana" w:cs="Arial"/>
                <w:sz w:val="22"/>
                <w:szCs w:val="22"/>
                <w:lang w:val="es-CO"/>
              </w:rPr>
              <w:t>Consejo de Estado. Sala de Consulta y de Servicio Civil. Concepto del 23 de marzo de 2011. Rad. 2.045. C.P. Enrique José Arboleda Perdomo.</w:t>
            </w:r>
          </w:p>
          <w:p w14:paraId="44B2BE3B" w14:textId="77777777" w:rsidR="00491645" w:rsidRDefault="00491645" w:rsidP="00491645">
            <w:pPr>
              <w:pStyle w:val="Textonotapie"/>
              <w:contextualSpacing/>
              <w:jc w:val="both"/>
              <w:rPr>
                <w:rFonts w:ascii="Verdana" w:hAnsi="Verdana" w:cs="Arial"/>
                <w:sz w:val="22"/>
                <w:szCs w:val="22"/>
                <w:lang w:val="es-CO"/>
              </w:rPr>
            </w:pPr>
          </w:p>
          <w:p w14:paraId="15017282" w14:textId="77777777" w:rsidR="00BC11AD" w:rsidRDefault="00BC11AD" w:rsidP="00BC11AD">
            <w:pPr>
              <w:pStyle w:val="Textonotapie"/>
              <w:numPr>
                <w:ilvl w:val="0"/>
                <w:numId w:val="17"/>
              </w:numPr>
              <w:contextualSpacing/>
              <w:jc w:val="both"/>
              <w:rPr>
                <w:rFonts w:ascii="Verdana" w:hAnsi="Verdana" w:cs="Arial"/>
                <w:sz w:val="22"/>
                <w:szCs w:val="22"/>
                <w:lang w:val="es-CO"/>
              </w:rPr>
            </w:pPr>
            <w:r w:rsidRPr="002537F6">
              <w:rPr>
                <w:rFonts w:ascii="Verdana" w:hAnsi="Verdana" w:cs="Arial"/>
                <w:sz w:val="22"/>
                <w:szCs w:val="22"/>
                <w:lang w:val="es-CO"/>
              </w:rPr>
              <w:t xml:space="preserve">Consejo de Estado. Sala de Consulta y Servicio Civil. Concepto del 10 de agosto de 2006. </w:t>
            </w:r>
            <w:proofErr w:type="spellStart"/>
            <w:r w:rsidRPr="002537F6">
              <w:rPr>
                <w:rFonts w:ascii="Verdana" w:hAnsi="Verdana" w:cs="Arial"/>
                <w:sz w:val="22"/>
                <w:szCs w:val="22"/>
                <w:lang w:val="es-CO"/>
              </w:rPr>
              <w:t>Exp</w:t>
            </w:r>
            <w:proofErr w:type="spellEnd"/>
            <w:r w:rsidRPr="002537F6">
              <w:rPr>
                <w:rFonts w:ascii="Verdana" w:hAnsi="Verdana" w:cs="Arial"/>
                <w:sz w:val="22"/>
                <w:szCs w:val="22"/>
                <w:lang w:val="es-CO"/>
              </w:rPr>
              <w:t>. 1.767. C.P. Luis Fernando Álvarez Jaramillo.</w:t>
            </w:r>
          </w:p>
          <w:p w14:paraId="5D40BF9B" w14:textId="77777777" w:rsidR="00491645" w:rsidRDefault="00491645" w:rsidP="00491645">
            <w:pPr>
              <w:pStyle w:val="Textonotapie"/>
              <w:contextualSpacing/>
              <w:jc w:val="both"/>
              <w:rPr>
                <w:rFonts w:ascii="Verdana" w:hAnsi="Verdana" w:cs="Arial"/>
                <w:sz w:val="22"/>
                <w:szCs w:val="22"/>
                <w:lang w:val="es-CO"/>
              </w:rPr>
            </w:pPr>
          </w:p>
          <w:p w14:paraId="7392AF2E" w14:textId="77777777" w:rsidR="00BC11AD" w:rsidRPr="00491645" w:rsidRDefault="00BC11AD" w:rsidP="00BC11AD">
            <w:pPr>
              <w:pStyle w:val="Textonotapie"/>
              <w:numPr>
                <w:ilvl w:val="0"/>
                <w:numId w:val="17"/>
              </w:numPr>
              <w:contextualSpacing/>
              <w:jc w:val="both"/>
              <w:rPr>
                <w:rFonts w:ascii="Verdana" w:hAnsi="Verdana" w:cs="Arial"/>
                <w:sz w:val="22"/>
                <w:szCs w:val="22"/>
                <w:lang w:val="es-CO"/>
              </w:rPr>
            </w:pPr>
            <w:r w:rsidRPr="002537F6">
              <w:rPr>
                <w:rFonts w:ascii="Verdana" w:hAnsi="Verdana" w:cs="Arial"/>
                <w:sz w:val="22"/>
                <w:szCs w:val="22"/>
                <w:lang w:val="es-CO"/>
              </w:rPr>
              <w:t xml:space="preserve">Guía para la incorporación de lineamientos de integridad en la contratación de prestación </w:t>
            </w:r>
            <w:proofErr w:type="spellStart"/>
            <w:proofErr w:type="gramStart"/>
            <w:r w:rsidRPr="002537F6">
              <w:rPr>
                <w:rFonts w:ascii="Verdana" w:hAnsi="Verdana" w:cs="Arial"/>
                <w:sz w:val="22"/>
                <w:szCs w:val="22"/>
                <w:lang w:val="es-CO"/>
              </w:rPr>
              <w:t>e</w:t>
            </w:r>
            <w:proofErr w:type="spellEnd"/>
            <w:proofErr w:type="gramEnd"/>
            <w:r w:rsidRPr="002537F6">
              <w:rPr>
                <w:rFonts w:ascii="Verdana" w:hAnsi="Verdana" w:cs="Arial"/>
                <w:sz w:val="22"/>
                <w:szCs w:val="22"/>
                <w:lang w:val="es-CO"/>
              </w:rPr>
              <w:t xml:space="preserve"> servicios</w:t>
            </w:r>
            <w:r>
              <w:rPr>
                <w:rFonts w:ascii="Verdana" w:hAnsi="Verdana" w:cs="Arial"/>
                <w:sz w:val="22"/>
                <w:szCs w:val="22"/>
                <w:lang w:val="es-CO"/>
              </w:rPr>
              <w:t xml:space="preserve">. En </w:t>
            </w:r>
            <w:hyperlink r:id="rId12" w:history="1">
              <w:r w:rsidRPr="002537F6">
                <w:rPr>
                  <w:rStyle w:val="Hipervnculo"/>
                  <w:rFonts w:ascii="Verdana" w:hAnsi="Verdana"/>
                  <w:sz w:val="22"/>
                  <w:szCs w:val="22"/>
                  <w:lang w:val="es-CO"/>
                </w:rPr>
                <w:t>cce-eicp-gi-23_guia_contratacion_prestacion_de_servicios_v1_11-07-2023_def_1_1.pdf</w:t>
              </w:r>
            </w:hyperlink>
          </w:p>
          <w:p w14:paraId="3A1C2C3E" w14:textId="77777777" w:rsidR="00491645" w:rsidRPr="00F64570" w:rsidRDefault="00491645" w:rsidP="00491645">
            <w:pPr>
              <w:pStyle w:val="Textonotapie"/>
              <w:contextualSpacing/>
              <w:jc w:val="both"/>
              <w:rPr>
                <w:rFonts w:ascii="Verdana" w:hAnsi="Verdana" w:cs="Arial"/>
                <w:sz w:val="22"/>
                <w:szCs w:val="22"/>
                <w:lang w:val="es-CO"/>
              </w:rPr>
            </w:pPr>
          </w:p>
          <w:p w14:paraId="5D575C43" w14:textId="77777777" w:rsidR="00BC11AD" w:rsidRDefault="00BC11AD" w:rsidP="00BC11AD">
            <w:pPr>
              <w:pStyle w:val="Textonotapie"/>
              <w:numPr>
                <w:ilvl w:val="0"/>
                <w:numId w:val="17"/>
              </w:numPr>
              <w:jc w:val="both"/>
              <w:rPr>
                <w:rFonts w:ascii="Verdana" w:hAnsi="Verdana"/>
                <w:sz w:val="22"/>
                <w:szCs w:val="22"/>
                <w:lang w:val="es-ES"/>
              </w:rPr>
            </w:pPr>
            <w:r w:rsidRPr="00F64570">
              <w:rPr>
                <w:rFonts w:ascii="Verdana" w:hAnsi="Verdana"/>
                <w:sz w:val="22"/>
                <w:szCs w:val="22"/>
                <w:lang w:val="es-ES"/>
              </w:rPr>
              <w:t xml:space="preserve">Procedimiento para la gestión preventiva de conflicto de intereses en entidades del sector público. En </w:t>
            </w:r>
            <w:hyperlink r:id="rId13" w:history="1">
              <w:r w:rsidRPr="00F64570">
                <w:rPr>
                  <w:rStyle w:val="Hipervnculo"/>
                  <w:rFonts w:ascii="Verdana" w:hAnsi="Verdana"/>
                  <w:sz w:val="22"/>
                  <w:szCs w:val="22"/>
                  <w:lang w:val="es-CO"/>
                </w:rPr>
                <w:t>Procedimiento para la gestión preventiva de conflictos de intereses en entidades del sector público</w:t>
              </w:r>
            </w:hyperlink>
          </w:p>
          <w:p w14:paraId="1C5FF845" w14:textId="77777777" w:rsidR="00491645" w:rsidRPr="00F64570" w:rsidRDefault="00491645" w:rsidP="00491645">
            <w:pPr>
              <w:pStyle w:val="Textonotapie"/>
              <w:jc w:val="both"/>
              <w:rPr>
                <w:rFonts w:ascii="Verdana" w:hAnsi="Verdana"/>
                <w:sz w:val="22"/>
                <w:szCs w:val="22"/>
                <w:lang w:val="es-ES"/>
              </w:rPr>
            </w:pPr>
          </w:p>
          <w:p w14:paraId="7B7B6D8C" w14:textId="77777777" w:rsidR="00BC11AD" w:rsidRPr="00F64570" w:rsidRDefault="00BC11AD" w:rsidP="00BC11AD">
            <w:pPr>
              <w:pStyle w:val="Textonotapie"/>
              <w:numPr>
                <w:ilvl w:val="0"/>
                <w:numId w:val="17"/>
              </w:numPr>
              <w:contextualSpacing/>
              <w:jc w:val="both"/>
              <w:rPr>
                <w:rFonts w:ascii="Verdana" w:hAnsi="Verdana" w:cs="Arial"/>
                <w:sz w:val="22"/>
                <w:szCs w:val="22"/>
                <w:lang w:val="es-CO"/>
              </w:rPr>
            </w:pPr>
            <w:r w:rsidRPr="00F64570">
              <w:rPr>
                <w:rFonts w:ascii="Verdana" w:hAnsi="Verdana"/>
                <w:sz w:val="22"/>
                <w:szCs w:val="22"/>
              </w:rPr>
              <w:t xml:space="preserve">Aplicativo por la integridad pública. En </w:t>
            </w:r>
            <w:hyperlink r:id="rId14" w:history="1">
              <w:r w:rsidRPr="00F64570">
                <w:rPr>
                  <w:rStyle w:val="Hipervnculo"/>
                  <w:rFonts w:ascii="Verdana" w:hAnsi="Verdana"/>
                  <w:sz w:val="22"/>
                  <w:szCs w:val="22"/>
                  <w:lang w:val="es-CO"/>
                </w:rPr>
                <w:t>Bienvenido - Aplicativo por la Integridad Pública</w:t>
              </w:r>
            </w:hyperlink>
          </w:p>
        </w:tc>
      </w:tr>
    </w:tbl>
    <w:p w14:paraId="14950B02" w14:textId="77777777" w:rsidR="00491645" w:rsidRDefault="00491645" w:rsidP="00BC11AD">
      <w:pPr>
        <w:spacing w:after="0" w:line="276" w:lineRule="auto"/>
        <w:rPr>
          <w:rFonts w:ascii="Verdana" w:eastAsia="Calibri" w:hAnsi="Verdana" w:cs="Times New Roman"/>
          <w:b/>
          <w:bCs/>
        </w:rPr>
      </w:pPr>
    </w:p>
    <w:p w14:paraId="67FC9C47" w14:textId="070CE40A" w:rsidR="00BC11AD" w:rsidRPr="000952AC" w:rsidRDefault="00BC11AD" w:rsidP="00BC11AD">
      <w:pPr>
        <w:spacing w:after="0" w:line="276" w:lineRule="auto"/>
        <w:rPr>
          <w:rFonts w:ascii="Verdana" w:eastAsia="Calibri" w:hAnsi="Verdana" w:cs="Times New Roman"/>
          <w:b/>
          <w:bCs/>
        </w:rPr>
      </w:pPr>
      <w:r w:rsidRPr="000952AC">
        <w:rPr>
          <w:rFonts w:ascii="Verdana" w:eastAsia="Calibri" w:hAnsi="Verdana" w:cs="Times New Roman"/>
          <w:b/>
          <w:bCs/>
        </w:rPr>
        <w:t>5. Doctrina de la Agencia Nacional de Contratación Pública:</w:t>
      </w:r>
    </w:p>
    <w:p w14:paraId="61044BB9" w14:textId="77777777" w:rsidR="00BC11AD" w:rsidRPr="000952AC" w:rsidRDefault="00BC11AD" w:rsidP="00BC11AD">
      <w:pPr>
        <w:widowControl w:val="0"/>
        <w:autoSpaceDE w:val="0"/>
        <w:autoSpaceDN w:val="0"/>
        <w:spacing w:after="0" w:line="276" w:lineRule="auto"/>
        <w:jc w:val="both"/>
        <w:rPr>
          <w:rFonts w:ascii="Verdana" w:hAnsi="Verdana" w:cs="Arial"/>
          <w:bCs/>
          <w:shd w:val="clear" w:color="auto" w:fill="FFFFFF"/>
        </w:rPr>
      </w:pPr>
    </w:p>
    <w:p w14:paraId="7CD9E2AD" w14:textId="77777777" w:rsidR="00BC11AD" w:rsidRDefault="00BC11AD" w:rsidP="00BC11AD">
      <w:pPr>
        <w:spacing w:after="0" w:line="276" w:lineRule="auto"/>
        <w:jc w:val="both"/>
        <w:rPr>
          <w:rFonts w:ascii="Verdana" w:eastAsia="Calibri" w:hAnsi="Verdana" w:cs="Arial"/>
        </w:rPr>
      </w:pPr>
      <w:r>
        <w:rPr>
          <w:rFonts w:ascii="Verdana" w:eastAsia="Calibri" w:hAnsi="Verdana" w:cs="Arial"/>
          <w:shd w:val="clear" w:color="auto" w:fill="FFFFFF"/>
        </w:rPr>
        <w:t xml:space="preserve">La Subdirección se ha pronunciado sobre el </w:t>
      </w:r>
      <w:r w:rsidRPr="00F41FCA">
        <w:rPr>
          <w:rFonts w:ascii="Verdana" w:eastAsia="Calibri" w:hAnsi="Verdana" w:cs="Arial"/>
          <w:shd w:val="clear" w:color="auto" w:fill="FFFFFF"/>
        </w:rPr>
        <w:t xml:space="preserve">régimen de inhabilidades e incompatibilidades en los conceptos </w:t>
      </w:r>
      <w:r w:rsidRPr="00F41FCA">
        <w:rPr>
          <w:rFonts w:ascii="Verdana" w:eastAsia="Calibri" w:hAnsi="Verdana" w:cs="Arial"/>
        </w:rPr>
        <w:t>No. 4201912000004765 de 29 de agosto de 2019, 4201913000005694 del 3 de octubre de 2019, 4201912000006288 del 7 de septiembre de 2019, 4201912000006259 del 13 de noviembre de 2019, 4201913000006917</w:t>
      </w:r>
      <w:r w:rsidRPr="006A09D6">
        <w:rPr>
          <w:rFonts w:ascii="Verdana" w:eastAsia="Calibri" w:hAnsi="Verdana" w:cs="Arial"/>
        </w:rPr>
        <w:t xml:space="preserve"> del 21 de noviembre de 2019, 4201912000006978 del 25 de noviembre de 2019, 4201912000007291 del 3 de diciembre de 2019, </w:t>
      </w:r>
      <w:r w:rsidRPr="006A09D6">
        <w:rPr>
          <w:rFonts w:ascii="Verdana" w:eastAsia="Calibri" w:hAnsi="Verdana" w:cs="Arial"/>
        </w:rPr>
        <w:lastRenderedPageBreak/>
        <w:t xml:space="preserve">4201912000007281 del 5 de diciembre de 2019, 4201912000007060 del 11 de diciembre de 2019, 4201912000007512 del 16  diciembre de 2019, </w:t>
      </w:r>
      <w:r>
        <w:rPr>
          <w:rFonts w:ascii="Verdana" w:eastAsia="Calibri" w:hAnsi="Verdana" w:cs="Arial"/>
        </w:rPr>
        <w:t xml:space="preserve">C-007 del 14 de febrero de 2020, </w:t>
      </w:r>
      <w:r w:rsidRPr="006A09D6">
        <w:rPr>
          <w:rFonts w:ascii="Verdana" w:eastAsia="Calibri" w:hAnsi="Verdana" w:cs="Arial"/>
        </w:rPr>
        <w:t>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w:t>
      </w:r>
      <w:r>
        <w:rPr>
          <w:rFonts w:ascii="Verdana" w:eastAsia="Calibri" w:hAnsi="Verdana" w:cs="Arial"/>
        </w:rPr>
        <w:t>,</w:t>
      </w:r>
      <w:r w:rsidRPr="006A09D6">
        <w:rPr>
          <w:rFonts w:ascii="Verdana" w:eastAsia="Calibri" w:hAnsi="Verdana" w:cs="Arial"/>
        </w:rPr>
        <w:t xml:space="preserve"> C-039 del 23 de abril de 2024</w:t>
      </w:r>
      <w:r>
        <w:rPr>
          <w:rFonts w:ascii="Verdana" w:eastAsia="Calibri" w:hAnsi="Verdana" w:cs="Arial"/>
        </w:rPr>
        <w:t xml:space="preserve">, C-085 del 3 de marzo de 2025, C- 513 del 5 de junio de 2025,  del C-435 del 14 de mayo de 2025, entre otros. </w:t>
      </w:r>
    </w:p>
    <w:p w14:paraId="4DDA0B52" w14:textId="77777777" w:rsidR="00BC11AD" w:rsidRDefault="00BC11AD" w:rsidP="00BC11AD">
      <w:pPr>
        <w:spacing w:after="0" w:line="240" w:lineRule="auto"/>
        <w:jc w:val="both"/>
        <w:rPr>
          <w:rFonts w:ascii="Verdana" w:eastAsia="Calibri" w:hAnsi="Verdana" w:cs="Arial"/>
        </w:rPr>
      </w:pPr>
    </w:p>
    <w:p w14:paraId="40F12806" w14:textId="77777777" w:rsidR="00BC11AD" w:rsidRPr="00AB31E7" w:rsidRDefault="00BC11AD" w:rsidP="00BC11AD">
      <w:pPr>
        <w:widowControl w:val="0"/>
        <w:autoSpaceDE w:val="0"/>
        <w:autoSpaceDN w:val="0"/>
        <w:spacing w:after="0" w:line="276" w:lineRule="auto"/>
        <w:jc w:val="both"/>
        <w:rPr>
          <w:rFonts w:ascii="Verdana" w:hAnsi="Verdana" w:cs="Arial"/>
          <w:bCs/>
          <w:shd w:val="clear" w:color="auto" w:fill="FFFFFF"/>
        </w:rPr>
      </w:pPr>
      <w:r w:rsidRPr="00AB31E7">
        <w:rPr>
          <w:rFonts w:ascii="Verdana" w:hAnsi="Verdana" w:cs="Arial"/>
        </w:rPr>
        <w:t>Sobre el conflicto de interés, la Subdirección se ha pronunciado en los conceptos C-229</w:t>
      </w:r>
      <w:r w:rsidRPr="00AB31E7">
        <w:rPr>
          <w:rFonts w:ascii="Verdana" w:hAnsi="Verdana" w:cs="Arial"/>
          <w:shd w:val="clear" w:color="auto" w:fill="FFFFFF"/>
          <w:lang w:val="es-ES"/>
        </w:rPr>
        <w:t xml:space="preserve"> del 16 de abril de 2020, C-815 del 18 de febrero de 2021, C-449 del 31 de agosto de 2021, C-288 del 14 de julio de 2023, C-294 del 14 de agosto de 2024, C-560 del 27 de septiembre de 2024, C-795 del 13 de noviembre de 2024, C-524 del 6 de junio de 2025, entre otros</w:t>
      </w:r>
      <w:r w:rsidRPr="00AB31E7">
        <w:rPr>
          <w:rFonts w:ascii="Verdana" w:eastAsia="Calibri" w:hAnsi="Verdana" w:cs="Times New Roman"/>
        </w:rPr>
        <w:t>.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E9942D8" w14:textId="77777777" w:rsidR="00BC11AD" w:rsidRPr="000952AC" w:rsidRDefault="00BC11AD" w:rsidP="00BC11AD">
      <w:pPr>
        <w:spacing w:after="0" w:line="276" w:lineRule="auto"/>
        <w:jc w:val="both"/>
        <w:rPr>
          <w:rFonts w:ascii="Verdana" w:eastAsia="Calibri" w:hAnsi="Verdana" w:cs="Times New Roman"/>
        </w:rPr>
      </w:pPr>
      <w:hyperlink r:id="rId15" w:history="1">
        <w:r w:rsidRPr="00AB31E7">
          <w:rPr>
            <w:rStyle w:val="Hipervnculo"/>
            <w:rFonts w:ascii="Verdana" w:hAnsi="Verdana"/>
          </w:rPr>
          <w:t>https://www.colombiacompra.gov.co/normativa-y-relatoria/conoce-la-relatoria</w:t>
        </w:r>
      </w:hyperlink>
      <w:r w:rsidRPr="000952AC">
        <w:rPr>
          <w:rFonts w:ascii="Verdana" w:hAnsi="Verdana"/>
        </w:rPr>
        <w:t xml:space="preserve"> </w:t>
      </w:r>
    </w:p>
    <w:p w14:paraId="58A66269" w14:textId="77777777" w:rsidR="00BC11AD" w:rsidRPr="000952AC" w:rsidRDefault="00BC11AD" w:rsidP="00BC11AD">
      <w:pPr>
        <w:spacing w:after="0" w:line="276" w:lineRule="auto"/>
        <w:jc w:val="both"/>
        <w:rPr>
          <w:rFonts w:ascii="Verdana" w:eastAsia="Calibri" w:hAnsi="Verdana" w:cs="Times New Roman"/>
        </w:rPr>
      </w:pPr>
    </w:p>
    <w:p w14:paraId="021A3F6C" w14:textId="77777777" w:rsidR="00BC11AD" w:rsidRDefault="00BC11AD" w:rsidP="00BC11AD">
      <w:pPr>
        <w:spacing w:after="0" w:line="276" w:lineRule="auto"/>
        <w:jc w:val="both"/>
        <w:rPr>
          <w:rFonts w:ascii="Verdana" w:hAnsi="Verdana"/>
        </w:rPr>
      </w:pPr>
      <w:r w:rsidRPr="000952AC">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548502C" w14:textId="77777777" w:rsidR="00491645" w:rsidRPr="000952AC" w:rsidRDefault="00491645" w:rsidP="00BC11AD">
      <w:pPr>
        <w:spacing w:after="0" w:line="276" w:lineRule="auto"/>
        <w:jc w:val="both"/>
        <w:rPr>
          <w:rFonts w:ascii="Verdana" w:hAnsi="Verdana"/>
        </w:rPr>
      </w:pPr>
    </w:p>
    <w:p w14:paraId="43FFCD94" w14:textId="77777777" w:rsidR="00BC11AD" w:rsidRPr="000952AC" w:rsidRDefault="00BC11AD" w:rsidP="00BC11AD">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nacional gratuita o servicio a la ciudadanía: 01800 0520808</w:t>
      </w:r>
    </w:p>
    <w:p w14:paraId="477E7B36" w14:textId="77777777" w:rsidR="00BC11AD" w:rsidRPr="000952AC" w:rsidRDefault="00BC11AD" w:rsidP="00BC11AD">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en Bogotá (Mesa de servicio): +57 601 7456788</w:t>
      </w:r>
    </w:p>
    <w:p w14:paraId="5A49AC4B" w14:textId="77777777" w:rsidR="00BC11AD" w:rsidRPr="000952AC" w:rsidRDefault="00BC11AD" w:rsidP="00BC11AD">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de servicio y atención al ciudadano: +57 601 7956600</w:t>
      </w:r>
    </w:p>
    <w:p w14:paraId="5763A5BE" w14:textId="77777777" w:rsidR="00BC11AD" w:rsidRPr="000952AC" w:rsidRDefault="00BC11AD" w:rsidP="00BC11AD">
      <w:pPr>
        <w:pStyle w:val="Prrafodelista"/>
        <w:numPr>
          <w:ilvl w:val="0"/>
          <w:numId w:val="15"/>
        </w:numPr>
        <w:spacing w:after="0" w:line="276" w:lineRule="auto"/>
        <w:jc w:val="both"/>
        <w:rPr>
          <w:rFonts w:ascii="Verdana" w:hAnsi="Verdana"/>
          <w:lang w:val="es-CO"/>
        </w:rPr>
      </w:pPr>
      <w:r w:rsidRPr="000952AC">
        <w:rPr>
          <w:rFonts w:ascii="Verdana" w:hAnsi="Verdana"/>
          <w:lang w:val="es-CO"/>
        </w:rPr>
        <w:t xml:space="preserve">Página web: </w:t>
      </w:r>
      <w:hyperlink r:id="rId16" w:history="1">
        <w:r w:rsidRPr="000952AC">
          <w:rPr>
            <w:rStyle w:val="Hipervnculo"/>
            <w:rFonts w:ascii="Verdana" w:hAnsi="Verdana"/>
            <w:lang w:val="es-CO"/>
          </w:rPr>
          <w:t>www.colombiacompra.gov.co</w:t>
        </w:r>
      </w:hyperlink>
    </w:p>
    <w:p w14:paraId="24DA4477" w14:textId="77777777" w:rsidR="00BC11AD" w:rsidRPr="000952AC" w:rsidRDefault="00BC11AD" w:rsidP="00BC11AD">
      <w:pPr>
        <w:pStyle w:val="Prrafodelista"/>
        <w:spacing w:after="0" w:line="276" w:lineRule="auto"/>
        <w:ind w:left="785"/>
        <w:jc w:val="both"/>
        <w:rPr>
          <w:rFonts w:ascii="Verdana" w:hAnsi="Verdana"/>
          <w:lang w:val="es-CO"/>
        </w:rPr>
      </w:pPr>
    </w:p>
    <w:p w14:paraId="648145EC" w14:textId="77777777" w:rsidR="00BC11AD" w:rsidRPr="000952AC" w:rsidRDefault="00BC11AD" w:rsidP="00BC11AD">
      <w:pPr>
        <w:spacing w:after="0" w:line="276" w:lineRule="auto"/>
        <w:jc w:val="both"/>
        <w:rPr>
          <w:rFonts w:ascii="Verdana" w:hAnsi="Verdana"/>
        </w:rPr>
      </w:pPr>
      <w:r w:rsidRPr="000952AC">
        <w:rPr>
          <w:rFonts w:ascii="Verdana" w:hAnsi="Verdana"/>
        </w:rPr>
        <w:t xml:space="preserve">Por último, lo invitamos a seguirnos en las redes sociales en las cuales se difunde información institucional: </w:t>
      </w:r>
    </w:p>
    <w:p w14:paraId="4E644D85" w14:textId="77777777" w:rsidR="00BC11AD" w:rsidRPr="000952AC" w:rsidRDefault="00BC11AD" w:rsidP="00BC11AD">
      <w:pPr>
        <w:spacing w:after="0" w:line="276" w:lineRule="auto"/>
        <w:jc w:val="both"/>
        <w:rPr>
          <w:rFonts w:ascii="Verdana" w:hAnsi="Verdana"/>
        </w:rPr>
      </w:pPr>
    </w:p>
    <w:p w14:paraId="78FEB889" w14:textId="77777777" w:rsidR="00BC11AD" w:rsidRPr="000952AC" w:rsidRDefault="00BC11AD" w:rsidP="00BC11AD">
      <w:pPr>
        <w:spacing w:after="0" w:line="276" w:lineRule="auto"/>
        <w:jc w:val="both"/>
        <w:rPr>
          <w:rFonts w:ascii="Verdana" w:hAnsi="Verdana"/>
        </w:rPr>
      </w:pPr>
      <w:r w:rsidRPr="000952AC">
        <w:rPr>
          <w:rFonts w:ascii="Verdana" w:hAnsi="Verdana"/>
        </w:rPr>
        <w:t xml:space="preserve">Twitter: </w:t>
      </w:r>
      <w:r w:rsidRPr="000952AC">
        <w:rPr>
          <w:rStyle w:val="Hipervnculo"/>
          <w:rFonts w:ascii="Verdana" w:hAnsi="Verdana"/>
        </w:rPr>
        <w:t>@colombiacompra</w:t>
      </w:r>
      <w:r w:rsidRPr="000952AC">
        <w:rPr>
          <w:rFonts w:ascii="Verdana" w:hAnsi="Verdana"/>
        </w:rPr>
        <w:t xml:space="preserve"> </w:t>
      </w:r>
    </w:p>
    <w:p w14:paraId="5EFA5C13" w14:textId="77777777" w:rsidR="00BC11AD" w:rsidRPr="000952AC" w:rsidRDefault="00BC11AD" w:rsidP="00BC11AD">
      <w:pPr>
        <w:spacing w:after="0" w:line="276" w:lineRule="auto"/>
        <w:jc w:val="both"/>
        <w:rPr>
          <w:rFonts w:ascii="Verdana" w:hAnsi="Verdana"/>
        </w:rPr>
      </w:pPr>
      <w:r w:rsidRPr="000952AC">
        <w:rPr>
          <w:rFonts w:ascii="Verdana" w:hAnsi="Verdana"/>
        </w:rPr>
        <w:t xml:space="preserve">Facebook: </w:t>
      </w:r>
      <w:proofErr w:type="spellStart"/>
      <w:r w:rsidRPr="000952AC">
        <w:rPr>
          <w:rStyle w:val="Hipervnculo"/>
          <w:rFonts w:ascii="Verdana" w:hAnsi="Verdana"/>
        </w:rPr>
        <w:t>ColombiaCompraEficiente</w:t>
      </w:r>
      <w:proofErr w:type="spellEnd"/>
    </w:p>
    <w:p w14:paraId="45AB2BEE" w14:textId="77777777" w:rsidR="00BC11AD" w:rsidRPr="000952AC" w:rsidRDefault="00BC11AD" w:rsidP="00BC11AD">
      <w:pPr>
        <w:spacing w:after="0" w:line="276" w:lineRule="auto"/>
        <w:jc w:val="both"/>
        <w:rPr>
          <w:rFonts w:ascii="Verdana" w:hAnsi="Verdana"/>
        </w:rPr>
      </w:pPr>
      <w:r w:rsidRPr="000952AC">
        <w:rPr>
          <w:rFonts w:ascii="Verdana" w:hAnsi="Verdana"/>
        </w:rPr>
        <w:t xml:space="preserve">LinkedIn: </w:t>
      </w:r>
      <w:r w:rsidRPr="000952AC">
        <w:rPr>
          <w:rStyle w:val="Hipervnculo"/>
          <w:rFonts w:ascii="Verdana" w:hAnsi="Verdana"/>
        </w:rPr>
        <w:t>Agencia Nacional de Contratación Pública - Colombia Compra Eficiente</w:t>
      </w:r>
      <w:r w:rsidRPr="000952AC">
        <w:rPr>
          <w:rFonts w:ascii="Verdana" w:hAnsi="Verdana"/>
        </w:rPr>
        <w:t xml:space="preserve"> Instagram: </w:t>
      </w:r>
      <w:r w:rsidRPr="000952AC">
        <w:rPr>
          <w:rStyle w:val="Hipervnculo"/>
          <w:rFonts w:ascii="Verdana" w:hAnsi="Verdana"/>
        </w:rPr>
        <w:t>@colombiacompraeficiente_cce</w:t>
      </w:r>
    </w:p>
    <w:p w14:paraId="52C119EF" w14:textId="77777777" w:rsidR="00BC11AD" w:rsidRPr="000952AC" w:rsidRDefault="00BC11AD" w:rsidP="00BC11AD">
      <w:pPr>
        <w:spacing w:after="0" w:line="276" w:lineRule="auto"/>
        <w:jc w:val="both"/>
        <w:rPr>
          <w:rFonts w:ascii="Verdana" w:hAnsi="Verdana"/>
        </w:rPr>
      </w:pPr>
    </w:p>
    <w:p w14:paraId="550CC2CF" w14:textId="77777777" w:rsidR="00BC11AD" w:rsidRPr="000952AC" w:rsidRDefault="00BC11AD" w:rsidP="00BC11AD">
      <w:pPr>
        <w:spacing w:after="0" w:line="276" w:lineRule="auto"/>
        <w:jc w:val="both"/>
        <w:rPr>
          <w:rFonts w:ascii="Verdana" w:eastAsia="Calibri" w:hAnsi="Verdana" w:cs="Times New Roman"/>
          <w:bCs/>
        </w:rPr>
      </w:pPr>
      <w:r w:rsidRPr="000952AC">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59A68FF" w14:textId="77777777" w:rsidR="00BC11AD" w:rsidRPr="000952AC" w:rsidRDefault="00BC11AD" w:rsidP="00BC11AD">
      <w:pPr>
        <w:spacing w:after="0" w:line="276" w:lineRule="auto"/>
        <w:jc w:val="both"/>
        <w:rPr>
          <w:rFonts w:ascii="Verdana" w:eastAsia="Calibri" w:hAnsi="Verdana" w:cs="Times New Roman"/>
        </w:rPr>
      </w:pPr>
    </w:p>
    <w:p w14:paraId="4742F746" w14:textId="3AB89B5A" w:rsidR="00BC11AD" w:rsidRDefault="00BC11AD" w:rsidP="548E5064">
      <w:pPr>
        <w:spacing w:after="0" w:line="276" w:lineRule="auto"/>
        <w:jc w:val="both"/>
        <w:rPr>
          <w:rFonts w:ascii="Verdana" w:eastAsia="Calibri" w:hAnsi="Verdana" w:cs="Times New Roman"/>
        </w:rPr>
      </w:pPr>
      <w:r w:rsidRPr="000952AC">
        <w:rPr>
          <w:rFonts w:ascii="Verdana" w:eastAsia="Calibri" w:hAnsi="Verdana" w:cs="Times New Roman"/>
        </w:rPr>
        <w:t>Atentamente,</w:t>
      </w:r>
    </w:p>
    <w:p w14:paraId="3E341B2E" w14:textId="647DD3B0" w:rsidR="517118EA" w:rsidRDefault="517118EA" w:rsidP="4F979C2F">
      <w:pPr>
        <w:spacing w:after="0" w:line="256" w:lineRule="auto"/>
        <w:jc w:val="center"/>
        <w:rPr>
          <w:noProof/>
        </w:rPr>
      </w:pPr>
    </w:p>
    <w:p w14:paraId="07FB4FB9" w14:textId="6CA3DDEC" w:rsidR="00CB3A93" w:rsidRDefault="00CB3A93" w:rsidP="4F979C2F">
      <w:pPr>
        <w:spacing w:after="0" w:line="256" w:lineRule="auto"/>
        <w:jc w:val="center"/>
      </w:pPr>
      <w:r w:rsidRPr="00CB3A93">
        <w:drawing>
          <wp:inline distT="0" distB="0" distL="0" distR="0" wp14:anchorId="6585A057" wp14:editId="3230E982">
            <wp:extent cx="4128765" cy="1479965"/>
            <wp:effectExtent l="0" t="0" r="5715" b="6350"/>
            <wp:docPr id="638246176"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46176" name="Imagen 1" descr="Texto, Carta&#10;&#10;El contenido generado por IA puede ser incorrecto."/>
                    <pic:cNvPicPr/>
                  </pic:nvPicPr>
                  <pic:blipFill>
                    <a:blip r:embed="rId17"/>
                    <a:stretch>
                      <a:fillRect/>
                    </a:stretch>
                  </pic:blipFill>
                  <pic:spPr>
                    <a:xfrm>
                      <a:off x="0" y="0"/>
                      <a:ext cx="4151056" cy="1487955"/>
                    </a:xfrm>
                    <a:prstGeom prst="rect">
                      <a:avLst/>
                    </a:prstGeom>
                  </pic:spPr>
                </pic:pic>
              </a:graphicData>
            </a:graphic>
          </wp:inline>
        </w:drawing>
      </w:r>
    </w:p>
    <w:p w14:paraId="76643D26" w14:textId="77777777" w:rsidR="00BC11AD" w:rsidRPr="000952AC" w:rsidRDefault="00BC11AD" w:rsidP="00BC11AD">
      <w:pPr>
        <w:spacing w:after="0" w:line="256" w:lineRule="auto"/>
        <w:rPr>
          <w:rFonts w:ascii="Verdana" w:eastAsia="Times New Roman" w:hAnsi="Verdana" w:cs="Arial"/>
          <w:sz w:val="24"/>
          <w:szCs w:val="24"/>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BC11AD" w:rsidRPr="000952AC" w14:paraId="51DB8FF8" w14:textId="77777777" w:rsidTr="00080556">
        <w:trPr>
          <w:trHeight w:val="315"/>
        </w:trPr>
        <w:tc>
          <w:tcPr>
            <w:tcW w:w="893" w:type="dxa"/>
            <w:vAlign w:val="center"/>
            <w:hideMark/>
          </w:tcPr>
          <w:p w14:paraId="7E8ACCD8" w14:textId="77777777" w:rsidR="00BC11AD" w:rsidRPr="00707947" w:rsidRDefault="00BC11AD" w:rsidP="00080556">
            <w:pPr>
              <w:contextualSpacing/>
              <w:rPr>
                <w:rFonts w:ascii="Verdana" w:hAnsi="Verdana" w:cs="Arial"/>
                <w:sz w:val="16"/>
                <w:szCs w:val="16"/>
                <w:lang w:eastAsia="es-ES"/>
              </w:rPr>
            </w:pPr>
            <w:r w:rsidRPr="00707947">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2DE165FE" w14:textId="77777777" w:rsidR="00BC11AD" w:rsidRPr="00707947" w:rsidRDefault="00BC11AD" w:rsidP="00080556">
            <w:pPr>
              <w:contextualSpacing/>
              <w:rPr>
                <w:rStyle w:val="normaltextrun"/>
                <w:rFonts w:ascii="Verdana" w:hAnsi="Verdana"/>
                <w:sz w:val="16"/>
                <w:szCs w:val="16"/>
              </w:rPr>
            </w:pPr>
            <w:r w:rsidRPr="00707947">
              <w:rPr>
                <w:rStyle w:val="normaltextrun"/>
                <w:rFonts w:ascii="Verdana" w:hAnsi="Verdana"/>
                <w:sz w:val="16"/>
                <w:szCs w:val="16"/>
              </w:rPr>
              <w:t xml:space="preserve">Esperanza Contreras P </w:t>
            </w:r>
          </w:p>
          <w:p w14:paraId="3B128DED" w14:textId="77777777" w:rsidR="00BC11AD" w:rsidRPr="00707947" w:rsidRDefault="00BC11AD" w:rsidP="00080556">
            <w:pPr>
              <w:contextualSpacing/>
              <w:rPr>
                <w:rFonts w:ascii="Verdana" w:eastAsia="Arial" w:hAnsi="Verdana" w:cs="Arial"/>
                <w:sz w:val="16"/>
                <w:szCs w:val="16"/>
              </w:rPr>
            </w:pPr>
            <w:r w:rsidRPr="00707947">
              <w:rPr>
                <w:rStyle w:val="normaltextrun"/>
                <w:rFonts w:ascii="Verdana" w:hAnsi="Verdana" w:cs="Arial"/>
                <w:sz w:val="16"/>
                <w:szCs w:val="16"/>
              </w:rPr>
              <w:t>Contratista de la Subdirección de Gestión Contractual</w:t>
            </w:r>
            <w:r w:rsidRPr="00707947">
              <w:rPr>
                <w:rStyle w:val="eop"/>
                <w:rFonts w:ascii="Verdana" w:hAnsi="Verdana" w:cs="Arial"/>
                <w:sz w:val="16"/>
                <w:szCs w:val="16"/>
              </w:rPr>
              <w:t> </w:t>
            </w:r>
          </w:p>
        </w:tc>
      </w:tr>
      <w:tr w:rsidR="00BC11AD" w:rsidRPr="000952AC" w14:paraId="3BE6DB65" w14:textId="77777777" w:rsidTr="00080556">
        <w:trPr>
          <w:trHeight w:val="330"/>
        </w:trPr>
        <w:tc>
          <w:tcPr>
            <w:tcW w:w="893" w:type="dxa"/>
            <w:vAlign w:val="center"/>
            <w:hideMark/>
          </w:tcPr>
          <w:p w14:paraId="6F2EF2E2" w14:textId="77777777" w:rsidR="00BC11AD" w:rsidRPr="00707947" w:rsidRDefault="00BC11AD" w:rsidP="00080556">
            <w:pPr>
              <w:contextualSpacing/>
              <w:rPr>
                <w:rFonts w:ascii="Verdana" w:hAnsi="Verdana" w:cs="Arial"/>
                <w:sz w:val="16"/>
                <w:szCs w:val="16"/>
                <w:lang w:eastAsia="es-ES"/>
              </w:rPr>
            </w:pPr>
            <w:r w:rsidRPr="00707947">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728C77A" w14:textId="77777777" w:rsidR="00BC11AD" w:rsidRPr="00707947" w:rsidRDefault="00BC11AD" w:rsidP="00080556">
            <w:pPr>
              <w:pStyle w:val="paragraph"/>
              <w:spacing w:before="0" w:beforeAutospacing="0" w:after="0" w:afterAutospacing="0"/>
              <w:contextualSpacing/>
              <w:textAlignment w:val="baseline"/>
              <w:rPr>
                <w:rStyle w:val="normaltextrun"/>
                <w:rFonts w:ascii="Verdana" w:hAnsi="Verdana"/>
                <w:sz w:val="16"/>
                <w:szCs w:val="16"/>
              </w:rPr>
            </w:pPr>
            <w:r w:rsidRPr="00707947">
              <w:rPr>
                <w:rStyle w:val="normaltextrun"/>
                <w:rFonts w:ascii="Verdana" w:hAnsi="Verdana"/>
                <w:sz w:val="16"/>
                <w:szCs w:val="16"/>
              </w:rPr>
              <w:t>Alejandro Sarmiento Cantillo</w:t>
            </w:r>
          </w:p>
          <w:p w14:paraId="72798B6D" w14:textId="77777777" w:rsidR="00BC11AD" w:rsidRPr="00707947" w:rsidRDefault="00BC11AD" w:rsidP="00080556">
            <w:pPr>
              <w:pStyle w:val="paragraph"/>
              <w:spacing w:before="0" w:beforeAutospacing="0" w:after="0" w:afterAutospacing="0"/>
              <w:contextualSpacing/>
              <w:textAlignment w:val="baseline"/>
              <w:rPr>
                <w:rFonts w:ascii="Verdana" w:hAnsi="Verdana" w:cs="Segoe UI"/>
                <w:sz w:val="16"/>
                <w:szCs w:val="16"/>
              </w:rPr>
            </w:pPr>
            <w:r w:rsidRPr="00707947">
              <w:rPr>
                <w:rFonts w:ascii="Verdana" w:eastAsia="Calibri" w:hAnsi="Verdana"/>
                <w:sz w:val="16"/>
                <w:szCs w:val="16"/>
              </w:rPr>
              <w:t>Gestor T1-15 de la Subdirección de Gestión Contractual </w:t>
            </w:r>
          </w:p>
        </w:tc>
      </w:tr>
      <w:tr w:rsidR="00BC11AD" w:rsidRPr="000952AC" w14:paraId="6A1CDDCF" w14:textId="77777777" w:rsidTr="00080556">
        <w:trPr>
          <w:trHeight w:val="300"/>
        </w:trPr>
        <w:tc>
          <w:tcPr>
            <w:tcW w:w="893" w:type="dxa"/>
            <w:vAlign w:val="center"/>
          </w:tcPr>
          <w:p w14:paraId="227B82D7" w14:textId="77777777" w:rsidR="00BC11AD" w:rsidRPr="00707947" w:rsidRDefault="00BC11AD" w:rsidP="00080556">
            <w:pPr>
              <w:contextualSpacing/>
              <w:rPr>
                <w:rFonts w:ascii="Verdana" w:hAnsi="Verdana" w:cs="Arial"/>
                <w:sz w:val="16"/>
                <w:szCs w:val="16"/>
                <w:lang w:eastAsia="es-ES"/>
              </w:rPr>
            </w:pPr>
            <w:r w:rsidRPr="00707947">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77574114" w14:textId="77777777" w:rsidR="00BC11AD" w:rsidRPr="00707947" w:rsidRDefault="00BC11AD" w:rsidP="00080556">
            <w:pPr>
              <w:contextualSpacing/>
              <w:rPr>
                <w:rFonts w:ascii="Verdana" w:eastAsia="Calibri" w:hAnsi="Verdana" w:cs="Arial"/>
                <w:sz w:val="16"/>
                <w:szCs w:val="16"/>
                <w:lang w:eastAsia="es-ES"/>
              </w:rPr>
            </w:pPr>
            <w:r>
              <w:rPr>
                <w:rFonts w:ascii="Verdana" w:eastAsia="Calibri" w:hAnsi="Verdana" w:cs="Arial"/>
                <w:sz w:val="16"/>
                <w:szCs w:val="16"/>
                <w:lang w:eastAsia="es-ES"/>
              </w:rPr>
              <w:t>Ana María Tolosa Rico</w:t>
            </w:r>
          </w:p>
          <w:p w14:paraId="69688756" w14:textId="77777777" w:rsidR="00BC11AD" w:rsidRPr="00707947" w:rsidRDefault="00BC11AD" w:rsidP="00080556">
            <w:pPr>
              <w:contextualSpacing/>
              <w:rPr>
                <w:rFonts w:ascii="Verdana" w:eastAsia="Calibri" w:hAnsi="Verdana" w:cs="Arial"/>
                <w:sz w:val="16"/>
                <w:szCs w:val="16"/>
                <w:lang w:eastAsia="es-ES"/>
              </w:rPr>
            </w:pPr>
            <w:r w:rsidRPr="00707947">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(E)</w:t>
            </w:r>
            <w:r w:rsidRPr="00707947">
              <w:rPr>
                <w:rFonts w:ascii="Verdana" w:eastAsia="Calibri" w:hAnsi="Verdana" w:cs="Arial"/>
                <w:sz w:val="16"/>
                <w:szCs w:val="16"/>
                <w:lang w:eastAsia="es-ES"/>
              </w:rPr>
              <w:t xml:space="preserve"> ANCP – CCE</w:t>
            </w:r>
          </w:p>
        </w:tc>
      </w:tr>
      <w:bookmarkEnd w:id="2"/>
      <w:bookmarkEnd w:id="3"/>
    </w:tbl>
    <w:p w14:paraId="707639CB" w14:textId="77777777" w:rsidR="00BC11AD" w:rsidRPr="000952AC" w:rsidRDefault="00BC11AD" w:rsidP="00BC11AD">
      <w:pPr>
        <w:spacing w:after="0" w:line="240" w:lineRule="auto"/>
        <w:textAlignment w:val="baseline"/>
        <w:rPr>
          <w:rFonts w:ascii="Verdana" w:eastAsia="Times New Roman" w:hAnsi="Verdana" w:cs="Segoe UI"/>
          <w:b/>
          <w:bCs/>
          <w:color w:val="46589C"/>
          <w:lang w:eastAsia="es-CO"/>
        </w:rPr>
      </w:pPr>
    </w:p>
    <w:p w14:paraId="02941AA9" w14:textId="77777777" w:rsidR="00BC11AD" w:rsidRPr="000952AC" w:rsidRDefault="00BC11AD" w:rsidP="00BC11AD">
      <w:pPr>
        <w:spacing w:after="0"/>
        <w:jc w:val="both"/>
        <w:rPr>
          <w:rStyle w:val="Hipervnculo"/>
          <w:rFonts w:ascii="Verdana" w:hAnsi="Verdana"/>
        </w:rPr>
      </w:pPr>
    </w:p>
    <w:p w14:paraId="06CF66E4" w14:textId="77777777" w:rsidR="00BC11AD" w:rsidRPr="000952AC" w:rsidRDefault="00BC11AD" w:rsidP="00BC11AD">
      <w:pPr>
        <w:spacing w:after="0"/>
        <w:jc w:val="both"/>
        <w:rPr>
          <w:rStyle w:val="Hipervnculo"/>
          <w:rFonts w:ascii="Verdana" w:hAnsi="Verdana"/>
        </w:rPr>
      </w:pPr>
    </w:p>
    <w:p w14:paraId="5DAAF3B9" w14:textId="77777777" w:rsidR="00BC11AD" w:rsidRPr="000952AC" w:rsidRDefault="00BC11AD" w:rsidP="00BC11AD">
      <w:pPr>
        <w:spacing w:after="0" w:line="240" w:lineRule="auto"/>
        <w:textAlignment w:val="baseline"/>
        <w:rPr>
          <w:rFonts w:ascii="Verdana" w:eastAsia="Times New Roman" w:hAnsi="Verdana" w:cs="Segoe UI"/>
          <w:b/>
          <w:bCs/>
          <w:color w:val="46589C"/>
          <w:lang w:eastAsia="es-CO"/>
        </w:rPr>
      </w:pPr>
    </w:p>
    <w:p w14:paraId="0254E834" w14:textId="77777777" w:rsidR="00BC11AD" w:rsidRPr="000952AC" w:rsidRDefault="00BC11AD" w:rsidP="00BC11AD">
      <w:pPr>
        <w:spacing w:after="0"/>
        <w:jc w:val="both"/>
        <w:rPr>
          <w:rStyle w:val="Hipervnculo"/>
          <w:rFonts w:ascii="Verdana" w:hAnsi="Verdana"/>
        </w:rPr>
      </w:pPr>
    </w:p>
    <w:p w14:paraId="0E5CBB94" w14:textId="77777777" w:rsidR="00BC11AD" w:rsidRPr="000952AC" w:rsidRDefault="00BC11AD" w:rsidP="00BC11AD">
      <w:pPr>
        <w:spacing w:after="0"/>
        <w:jc w:val="both"/>
        <w:rPr>
          <w:rStyle w:val="Hipervnculo"/>
          <w:rFonts w:ascii="Verdana" w:hAnsi="Verdana"/>
        </w:rPr>
      </w:pPr>
    </w:p>
    <w:p w14:paraId="1694E873" w14:textId="77777777" w:rsidR="00BC11AD" w:rsidRPr="000952AC" w:rsidRDefault="00BC11AD" w:rsidP="00BC11AD">
      <w:pPr>
        <w:spacing w:after="0"/>
        <w:jc w:val="both"/>
        <w:rPr>
          <w:rStyle w:val="Hipervnculo"/>
          <w:rFonts w:ascii="Verdana" w:hAnsi="Verdana"/>
        </w:rPr>
      </w:pPr>
    </w:p>
    <w:bookmarkEnd w:id="0"/>
    <w:p w14:paraId="69A6396C" w14:textId="77777777" w:rsidR="00BC11AD" w:rsidRPr="0044528D" w:rsidRDefault="00BC11AD" w:rsidP="00BC11AD">
      <w:pPr>
        <w:spacing w:after="0" w:line="240" w:lineRule="auto"/>
        <w:textAlignment w:val="baseline"/>
        <w:rPr>
          <w:rFonts w:ascii="Verdana" w:eastAsia="Times New Roman" w:hAnsi="Verdana" w:cs="Segoe UI"/>
          <w:b/>
          <w:bCs/>
          <w:color w:val="46589C"/>
          <w:lang w:val="es-ES" w:eastAsia="es-CO"/>
        </w:rPr>
      </w:pPr>
    </w:p>
    <w:bookmarkEnd w:id="1"/>
    <w:p w14:paraId="28F5E689" w14:textId="77777777" w:rsidR="00BC11AD" w:rsidRPr="00D040DD" w:rsidRDefault="00BC11AD" w:rsidP="00BC11AD">
      <w:pPr>
        <w:rPr>
          <w:lang w:val="es-ES"/>
        </w:rPr>
      </w:pPr>
    </w:p>
    <w:p w14:paraId="3900974D" w14:textId="77777777" w:rsidR="003D5B0D" w:rsidRPr="00BC11AD" w:rsidRDefault="003D5B0D" w:rsidP="00C65371">
      <w:pPr>
        <w:rPr>
          <w:lang w:val="es-ES"/>
        </w:rPr>
      </w:pPr>
    </w:p>
    <w:sectPr w:rsidR="003D5B0D" w:rsidRPr="00BC11A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78D8" w14:textId="77777777" w:rsidR="00221C83" w:rsidRDefault="00221C83" w:rsidP="004A1847">
      <w:pPr>
        <w:spacing w:after="0" w:line="240" w:lineRule="auto"/>
      </w:pPr>
      <w:r>
        <w:separator/>
      </w:r>
    </w:p>
  </w:endnote>
  <w:endnote w:type="continuationSeparator" w:id="0">
    <w:p w14:paraId="3D135125" w14:textId="77777777" w:rsidR="00221C83" w:rsidRDefault="00221C8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00"/>
    <w:family w:val="auto"/>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520CD" w14:textId="77777777" w:rsidR="00221C83" w:rsidRDefault="00221C83" w:rsidP="004A1847">
      <w:pPr>
        <w:spacing w:after="0" w:line="240" w:lineRule="auto"/>
      </w:pPr>
      <w:r>
        <w:separator/>
      </w:r>
    </w:p>
  </w:footnote>
  <w:footnote w:type="continuationSeparator" w:id="0">
    <w:p w14:paraId="1C2F390D" w14:textId="77777777" w:rsidR="00221C83" w:rsidRDefault="00221C83" w:rsidP="004A1847">
      <w:pPr>
        <w:spacing w:after="0" w:line="240" w:lineRule="auto"/>
      </w:pPr>
      <w:r>
        <w:continuationSeparator/>
      </w:r>
    </w:p>
  </w:footnote>
  <w:footnote w:id="1">
    <w:p w14:paraId="7C99EABC" w14:textId="77777777" w:rsidR="00BC11AD" w:rsidRDefault="00BC11AD" w:rsidP="00BC11AD">
      <w:pPr>
        <w:pStyle w:val="Textonotapie"/>
        <w:ind w:firstLine="708"/>
        <w:jc w:val="both"/>
        <w:rPr>
          <w:rFonts w:ascii="Verdana" w:hAnsi="Verdana"/>
          <w:sz w:val="14"/>
          <w:szCs w:val="14"/>
        </w:rPr>
      </w:pPr>
      <w:r w:rsidRPr="00D52EDA">
        <w:rPr>
          <w:rFonts w:ascii="Verdana" w:hAnsi="Verdana"/>
          <w:sz w:val="14"/>
          <w:szCs w:val="14"/>
          <w:vertAlign w:val="superscript"/>
        </w:rPr>
        <w:footnoteRef/>
      </w:r>
      <w:r w:rsidRPr="00D52EDA">
        <w:rPr>
          <w:rFonts w:ascii="Verdana" w:hAnsi="Verdana"/>
          <w:sz w:val="14"/>
          <w:szCs w:val="14"/>
        </w:rPr>
        <w:t xml:space="preserve"> Cote Constitucional. Sentencia C-181 de 1997. M.P. Fabio Morón Díaz. Ver también las Sentencias C-540 de 2001, C-893 de 2003 y C-903 de 2008, entre otras.</w:t>
      </w:r>
    </w:p>
    <w:p w14:paraId="37CF2DC0" w14:textId="77777777" w:rsidR="00BC11AD" w:rsidRPr="00D52EDA" w:rsidRDefault="00BC11AD" w:rsidP="00BC11AD">
      <w:pPr>
        <w:pStyle w:val="Textonotapie"/>
        <w:ind w:firstLine="708"/>
        <w:jc w:val="both"/>
        <w:rPr>
          <w:rFonts w:ascii="Verdana" w:hAnsi="Verdana"/>
          <w:sz w:val="14"/>
          <w:szCs w:val="14"/>
        </w:rPr>
      </w:pPr>
    </w:p>
  </w:footnote>
  <w:footnote w:id="2">
    <w:p w14:paraId="221AF78B" w14:textId="77777777" w:rsidR="00BC11AD" w:rsidRDefault="00BC11AD" w:rsidP="00BC11AD">
      <w:pPr>
        <w:pStyle w:val="Textonotapie"/>
        <w:ind w:firstLine="708"/>
        <w:jc w:val="both"/>
        <w:rPr>
          <w:rFonts w:ascii="Verdana" w:hAnsi="Verdana"/>
          <w:sz w:val="14"/>
          <w:szCs w:val="14"/>
          <w:lang w:val="pt-BR"/>
        </w:rPr>
      </w:pPr>
      <w:r w:rsidRPr="00D52EDA">
        <w:rPr>
          <w:rStyle w:val="Refdenotaalpie"/>
          <w:rFonts w:ascii="Verdana" w:hAnsi="Verdana"/>
          <w:sz w:val="14"/>
          <w:szCs w:val="14"/>
        </w:rPr>
        <w:footnoteRef/>
      </w:r>
      <w:r w:rsidRPr="00D52EDA">
        <w:rPr>
          <w:rFonts w:ascii="Verdana" w:hAnsi="Verdana"/>
          <w:sz w:val="14"/>
          <w:szCs w:val="14"/>
          <w:lang w:val="pt-BR"/>
        </w:rPr>
        <w:t xml:space="preserve"> Corte Constitucional. Sentencia C-1016 de 2012. M.P. Jorge Iván Palacio.</w:t>
      </w:r>
    </w:p>
    <w:p w14:paraId="7F974C56" w14:textId="77777777" w:rsidR="00BC11AD" w:rsidRPr="00D52EDA" w:rsidRDefault="00BC11AD" w:rsidP="00BC11AD">
      <w:pPr>
        <w:pStyle w:val="Textonotapie"/>
        <w:ind w:firstLine="708"/>
        <w:jc w:val="both"/>
        <w:rPr>
          <w:rFonts w:ascii="Verdana" w:hAnsi="Verdana"/>
          <w:sz w:val="14"/>
          <w:szCs w:val="14"/>
          <w:lang w:val="pt-BR"/>
        </w:rPr>
      </w:pPr>
    </w:p>
  </w:footnote>
  <w:footnote w:id="3">
    <w:p w14:paraId="6A586BF6" w14:textId="77777777" w:rsidR="00BC11AD" w:rsidRDefault="00BC11AD" w:rsidP="00BC11AD">
      <w:pPr>
        <w:pStyle w:val="Textonotapie"/>
        <w:ind w:firstLine="709"/>
        <w:rPr>
          <w:rFonts w:ascii="Verdana" w:hAnsi="Verdana"/>
          <w:sz w:val="14"/>
          <w:szCs w:val="14"/>
          <w:lang w:val="es-ES"/>
        </w:rPr>
      </w:pPr>
      <w:r w:rsidRPr="000E7E43">
        <w:rPr>
          <w:rStyle w:val="Refdenotaalpie"/>
          <w:rFonts w:ascii="Verdana" w:hAnsi="Verdana"/>
          <w:sz w:val="14"/>
          <w:szCs w:val="14"/>
        </w:rPr>
        <w:footnoteRef/>
      </w:r>
      <w:r w:rsidRPr="000E7E43">
        <w:rPr>
          <w:rFonts w:ascii="Verdana" w:hAnsi="Verdana"/>
          <w:sz w:val="14"/>
          <w:szCs w:val="14"/>
        </w:rPr>
        <w:t xml:space="preserve"> </w:t>
      </w:r>
      <w:r w:rsidRPr="000E7E43">
        <w:rPr>
          <w:rFonts w:ascii="Verdana" w:hAnsi="Verdana"/>
          <w:sz w:val="14"/>
          <w:szCs w:val="14"/>
          <w:lang w:val="es-ES"/>
        </w:rPr>
        <w:t xml:space="preserve">Corte Constitucional. Sentencia C-353 de 2009. M.P: Jorge Iván Palacio </w:t>
      </w:r>
      <w:r w:rsidRPr="000E7E43">
        <w:rPr>
          <w:rFonts w:ascii="Verdana" w:hAnsi="Verdana"/>
          <w:sz w:val="14"/>
          <w:szCs w:val="14"/>
          <w:lang w:val="es-ES"/>
        </w:rPr>
        <w:t xml:space="preserve">Palacio.   </w:t>
      </w:r>
    </w:p>
    <w:p w14:paraId="1EED292D" w14:textId="77777777" w:rsidR="000E7E43" w:rsidRPr="000E7E43" w:rsidRDefault="000E7E43" w:rsidP="00BC11AD">
      <w:pPr>
        <w:pStyle w:val="Textonotapie"/>
        <w:ind w:firstLine="709"/>
        <w:rPr>
          <w:rFonts w:ascii="Verdana" w:hAnsi="Verdana"/>
          <w:sz w:val="14"/>
          <w:szCs w:val="14"/>
          <w:lang w:val="es-ES"/>
        </w:rPr>
      </w:pPr>
    </w:p>
  </w:footnote>
  <w:footnote w:id="4">
    <w:p w14:paraId="5D32ABC9" w14:textId="77777777" w:rsidR="00BC11AD" w:rsidRPr="000E7E43" w:rsidRDefault="00BC11AD" w:rsidP="00BC11AD">
      <w:pPr>
        <w:pStyle w:val="Textonotapie"/>
        <w:ind w:firstLine="708"/>
        <w:jc w:val="both"/>
        <w:rPr>
          <w:rFonts w:ascii="Verdana" w:hAnsi="Verdana"/>
          <w:sz w:val="14"/>
          <w:szCs w:val="14"/>
          <w:lang w:val="pt-BR"/>
        </w:rPr>
      </w:pPr>
      <w:r w:rsidRPr="000E7E43">
        <w:rPr>
          <w:rStyle w:val="Refdenotaalpie"/>
          <w:rFonts w:ascii="Verdana" w:hAnsi="Verdana"/>
          <w:sz w:val="14"/>
          <w:szCs w:val="14"/>
        </w:rPr>
        <w:footnoteRef/>
      </w:r>
      <w:r w:rsidRPr="000E7E43">
        <w:rPr>
          <w:rFonts w:ascii="Verdana" w:hAnsi="Verdana"/>
          <w:sz w:val="14"/>
          <w:szCs w:val="14"/>
        </w:rPr>
        <w:t xml:space="preserve"> Consejo de Estado. Sala de lo Contencioso Administrativo. Sección Tercera. Subsección A. Sentencia del 13 de noviembre de 2013. Radicado: </w:t>
      </w:r>
      <w:r w:rsidRPr="000E7E43">
        <w:rPr>
          <w:rFonts w:ascii="Verdana" w:hAnsi="Verdana"/>
          <w:sz w:val="14"/>
          <w:szCs w:val="14"/>
          <w:lang w:val="es-CO"/>
        </w:rPr>
        <w:t>25000-23-26-000-1999-02197-01</w:t>
      </w:r>
      <w:r w:rsidRPr="000E7E43">
        <w:rPr>
          <w:rFonts w:ascii="Verdana" w:hAnsi="Verdana"/>
          <w:sz w:val="14"/>
          <w:szCs w:val="14"/>
          <w:lang w:val="pt-BR"/>
        </w:rPr>
        <w:t xml:space="preserve"> (25646). C.P. Mauricio Fajardo Gómez.  </w:t>
      </w:r>
    </w:p>
    <w:p w14:paraId="7BF51BAD" w14:textId="77777777" w:rsidR="00BC11AD" w:rsidRPr="00E34BBF" w:rsidRDefault="00BC11AD" w:rsidP="00BC11AD">
      <w:pPr>
        <w:pStyle w:val="Textonotapie"/>
        <w:jc w:val="both"/>
        <w:rPr>
          <w:rFonts w:ascii="Verdana" w:hAnsi="Verdana"/>
          <w:sz w:val="16"/>
          <w:szCs w:val="16"/>
          <w:lang w:val="pt-BR"/>
        </w:rPr>
      </w:pPr>
    </w:p>
  </w:footnote>
  <w:footnote w:id="5">
    <w:p w14:paraId="0533BE01" w14:textId="77777777" w:rsidR="00BC11AD" w:rsidRPr="00B145DC" w:rsidRDefault="00BC11AD" w:rsidP="00BC11AD">
      <w:pPr>
        <w:pStyle w:val="Textonotapie"/>
        <w:ind w:firstLine="708"/>
        <w:jc w:val="both"/>
        <w:rPr>
          <w:rFonts w:ascii="Verdana" w:hAnsi="Verdana"/>
          <w:sz w:val="14"/>
          <w:szCs w:val="14"/>
          <w:lang w:val="pt-BR"/>
        </w:rPr>
      </w:pPr>
      <w:r w:rsidRPr="00B145DC">
        <w:rPr>
          <w:rStyle w:val="Refdenotaalpie"/>
          <w:rFonts w:ascii="Verdana" w:hAnsi="Verdana"/>
          <w:sz w:val="14"/>
          <w:szCs w:val="14"/>
        </w:rPr>
        <w:footnoteRef/>
      </w:r>
      <w:r w:rsidRPr="00B145DC">
        <w:rPr>
          <w:rFonts w:ascii="Verdana" w:hAnsi="Verdana"/>
          <w:sz w:val="14"/>
          <w:szCs w:val="14"/>
          <w:lang w:val="pt-BR"/>
        </w:rPr>
        <w:t xml:space="preserve"> Corte Constitucional. Sentencia C-415 de 1994. M.P. Eduardo </w:t>
      </w:r>
      <w:r w:rsidRPr="00B145DC">
        <w:rPr>
          <w:rFonts w:ascii="Verdana" w:hAnsi="Verdana"/>
          <w:sz w:val="14"/>
          <w:szCs w:val="14"/>
          <w:lang w:val="pt-BR"/>
        </w:rPr>
        <w:t>Cifuentes Muñoz.</w:t>
      </w:r>
    </w:p>
    <w:p w14:paraId="2D0CCD1C" w14:textId="77777777" w:rsidR="00BC11AD" w:rsidRPr="00B145DC" w:rsidRDefault="00BC11AD" w:rsidP="00BC11AD">
      <w:pPr>
        <w:pStyle w:val="Textonotapie"/>
        <w:ind w:firstLine="708"/>
        <w:jc w:val="both"/>
        <w:rPr>
          <w:rFonts w:ascii="Verdana" w:hAnsi="Verdana"/>
          <w:sz w:val="14"/>
          <w:szCs w:val="14"/>
          <w:lang w:val="pt-BR"/>
        </w:rPr>
      </w:pPr>
    </w:p>
  </w:footnote>
  <w:footnote w:id="6">
    <w:p w14:paraId="5F256D1B" w14:textId="77777777" w:rsidR="00BC11AD" w:rsidRPr="00B145DC" w:rsidRDefault="00BC11AD" w:rsidP="00BC11AD">
      <w:pPr>
        <w:pStyle w:val="Textonotapie"/>
        <w:ind w:firstLine="708"/>
        <w:jc w:val="both"/>
        <w:rPr>
          <w:rFonts w:ascii="Verdana" w:hAnsi="Verdana"/>
          <w:sz w:val="14"/>
          <w:szCs w:val="14"/>
          <w:lang w:val="pt-BR"/>
        </w:rPr>
      </w:pPr>
      <w:r w:rsidRPr="00B145DC">
        <w:rPr>
          <w:rStyle w:val="Refdenotaalpie"/>
          <w:rFonts w:ascii="Verdana" w:hAnsi="Verdana"/>
          <w:sz w:val="14"/>
          <w:szCs w:val="14"/>
        </w:rPr>
        <w:footnoteRef/>
      </w:r>
      <w:r w:rsidRPr="00B145DC">
        <w:rPr>
          <w:rFonts w:ascii="Verdana" w:hAnsi="Verdana"/>
          <w:sz w:val="14"/>
          <w:szCs w:val="14"/>
          <w:lang w:val="pt-BR"/>
        </w:rPr>
        <w:t xml:space="preserve"> </w:t>
      </w:r>
      <w:r w:rsidRPr="00B145DC">
        <w:rPr>
          <w:rFonts w:ascii="Verdana" w:hAnsi="Verdana"/>
          <w:sz w:val="14"/>
          <w:szCs w:val="14"/>
          <w:lang w:val="pt-BR"/>
        </w:rPr>
        <w:t>Ibídem.</w:t>
      </w:r>
    </w:p>
    <w:p w14:paraId="39D79F04" w14:textId="77777777" w:rsidR="00BC11AD" w:rsidRPr="00E34BBF" w:rsidRDefault="00BC11AD" w:rsidP="00BC11AD">
      <w:pPr>
        <w:pStyle w:val="Textonotapie"/>
        <w:jc w:val="both"/>
        <w:rPr>
          <w:rFonts w:ascii="Verdana" w:hAnsi="Verdana"/>
          <w:sz w:val="16"/>
          <w:szCs w:val="16"/>
          <w:lang w:val="pt-BR"/>
        </w:rPr>
      </w:pPr>
    </w:p>
  </w:footnote>
  <w:footnote w:id="7">
    <w:p w14:paraId="1FFC401C" w14:textId="77777777" w:rsidR="00BC11AD" w:rsidRPr="00B145DC" w:rsidRDefault="00BC11AD" w:rsidP="00BC11AD">
      <w:pPr>
        <w:pStyle w:val="Textonotapie"/>
        <w:ind w:firstLine="708"/>
        <w:jc w:val="both"/>
        <w:rPr>
          <w:rFonts w:ascii="Verdana" w:hAnsi="Verdana"/>
          <w:sz w:val="14"/>
          <w:szCs w:val="14"/>
          <w:lang w:val="es-CO"/>
        </w:rPr>
      </w:pPr>
      <w:r w:rsidRPr="00B145DC">
        <w:rPr>
          <w:rStyle w:val="Refdenotaalpie"/>
          <w:rFonts w:ascii="Verdana" w:hAnsi="Verdana"/>
          <w:sz w:val="14"/>
          <w:szCs w:val="14"/>
        </w:rPr>
        <w:footnoteRef/>
      </w:r>
      <w:r w:rsidRPr="00B145DC">
        <w:rPr>
          <w:rFonts w:ascii="Verdana" w:hAnsi="Verdana"/>
          <w:sz w:val="14"/>
          <w:szCs w:val="14"/>
          <w:lang w:val="pt-BR"/>
        </w:rPr>
        <w:t xml:space="preserve"> Corte Constitucional. </w:t>
      </w:r>
      <w:r w:rsidRPr="00B145DC">
        <w:rPr>
          <w:rFonts w:ascii="Verdana" w:hAnsi="Verdana"/>
          <w:sz w:val="14"/>
          <w:szCs w:val="14"/>
        </w:rPr>
        <w:t xml:space="preserve">Sentencia C-780 de 2001. </w:t>
      </w:r>
      <w:r w:rsidRPr="00B145DC">
        <w:rPr>
          <w:rFonts w:ascii="Verdana" w:hAnsi="Verdana"/>
          <w:sz w:val="14"/>
          <w:szCs w:val="14"/>
          <w:lang w:val="es-CO"/>
        </w:rPr>
        <w:t xml:space="preserve">M.P. Jaime Córdoba Triviño. </w:t>
      </w:r>
    </w:p>
    <w:p w14:paraId="2B343BFA" w14:textId="77777777" w:rsidR="00BC11AD" w:rsidRPr="00B145DC" w:rsidRDefault="00BC11AD" w:rsidP="00BC11AD">
      <w:pPr>
        <w:pStyle w:val="Textonotapie"/>
        <w:jc w:val="both"/>
        <w:rPr>
          <w:rFonts w:ascii="Verdana" w:hAnsi="Verdana"/>
          <w:sz w:val="14"/>
          <w:szCs w:val="14"/>
          <w:lang w:val="es-CO"/>
        </w:rPr>
      </w:pPr>
    </w:p>
  </w:footnote>
  <w:footnote w:id="8">
    <w:p w14:paraId="0DEDBC71" w14:textId="77777777" w:rsidR="00BC11AD" w:rsidRPr="00B145DC" w:rsidRDefault="00BC11AD" w:rsidP="00BC11AD">
      <w:pPr>
        <w:pStyle w:val="NormalWeb"/>
        <w:spacing w:before="0" w:beforeAutospacing="0" w:after="0" w:afterAutospacing="0"/>
        <w:ind w:firstLine="708"/>
        <w:jc w:val="both"/>
        <w:rPr>
          <w:rFonts w:ascii="Verdana" w:eastAsia="Calibri" w:hAnsi="Verdana" w:cs="Arial"/>
          <w:sz w:val="14"/>
          <w:szCs w:val="14"/>
          <w:lang w:val="es-ES" w:eastAsia="en-US"/>
        </w:rPr>
      </w:pPr>
      <w:r w:rsidRPr="00B145DC">
        <w:rPr>
          <w:rStyle w:val="Refdenotaalpie"/>
          <w:rFonts w:ascii="Verdana" w:hAnsi="Verdana"/>
          <w:sz w:val="14"/>
          <w:szCs w:val="14"/>
        </w:rPr>
        <w:footnoteRef/>
      </w:r>
      <w:r w:rsidRPr="00B145DC">
        <w:rPr>
          <w:rFonts w:ascii="Verdana" w:hAnsi="Verdana"/>
          <w:sz w:val="14"/>
          <w:szCs w:val="14"/>
        </w:rPr>
        <w:t xml:space="preserve"> </w:t>
      </w:r>
      <w:r w:rsidRPr="00B145DC">
        <w:rPr>
          <w:rFonts w:ascii="Verdana" w:eastAsia="Calibri" w:hAnsi="Verdana" w:cs="Arial"/>
          <w:sz w:val="14"/>
          <w:szCs w:val="14"/>
          <w:lang w:val="es-ES" w:eastAsia="en-US"/>
        </w:rPr>
        <w:t>Ley 80 de 1993: “Artículo 8: 1o. Son inhábiles para participar en licitaciones o concursos y para celebrar contratos con las entidades estatales: </w:t>
      </w:r>
    </w:p>
    <w:p w14:paraId="7462EDA0"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a) Las personas que se hallen inhabilitadas para contratar por la Constitución y las leyes. </w:t>
      </w:r>
    </w:p>
    <w:p w14:paraId="12430445"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b) Quienes participaron en las licitaciones o concursos o celebraron los contratos de que trata el literal anterior estando inhabilitados. </w:t>
      </w:r>
    </w:p>
    <w:p w14:paraId="30078955"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c) Quienes dieron lugar a la declaratoria de caducidad. </w:t>
      </w:r>
    </w:p>
    <w:p w14:paraId="2C2C598C"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d) Quienes en sentencia judicial hayan sido condenados a la pena accesoria de interdicción de derechos y funciones públicas y quienes hayan sido sancionados disciplinariamente con destitución. </w:t>
      </w:r>
    </w:p>
    <w:p w14:paraId="3C741744"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e) Quienes sin justa causa se abstengan de suscribir el contrato estatal adjudicado. </w:t>
      </w:r>
    </w:p>
    <w:p w14:paraId="4CAD6983"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f) Los servidores públicos. </w:t>
      </w:r>
    </w:p>
    <w:p w14:paraId="33B5B051"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5C39D237" w14:textId="77777777" w:rsidR="00BC11AD" w:rsidRPr="00B145DC" w:rsidRDefault="00BC11AD" w:rsidP="00BC11AD">
      <w:pPr>
        <w:pStyle w:val="NormalWeb"/>
        <w:spacing w:before="0" w:beforeAutospacing="0" w:after="0" w:afterAutospacing="0"/>
        <w:ind w:firstLine="708"/>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31426A10"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i) Los socios de sociedades de personas a las cuales se haya declarado la caducidad, así como las sociedades de personas de las que aquellos formen parte con posterioridad a dicha declaratoria. </w:t>
      </w:r>
    </w:p>
    <w:p w14:paraId="5BEBB8BC"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7D1AE4BA"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0BC5AB02"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 </w:t>
      </w:r>
      <w:r w:rsidRPr="00B145DC">
        <w:rPr>
          <w:rFonts w:ascii="Verdana" w:eastAsia="Calibri" w:hAnsi="Verdana" w:cs="Arial"/>
          <w:sz w:val="14"/>
          <w:szCs w:val="14"/>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B145DC">
        <w:rPr>
          <w:rFonts w:ascii="Verdana" w:eastAsia="Calibri" w:hAnsi="Verdana" w:cs="Arial"/>
          <w:sz w:val="14"/>
          <w:szCs w:val="14"/>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B145DC">
        <w:rPr>
          <w:rFonts w:ascii="Verdana" w:eastAsia="Calibri" w:hAnsi="Verdana" w:cs="Arial"/>
          <w:sz w:val="14"/>
          <w:szCs w:val="14"/>
          <w:lang w:val="es-ES" w:eastAsia="en-US"/>
        </w:rPr>
        <w:softHyphen/>
        <w:t>cepción de las sociedades anónimas abiertas. También se considerarán inhabilitadas para contratar, las personas jurídicas sobre las cuales se haya ordenado la suspensión de la perso</w:t>
      </w:r>
      <w:r w:rsidRPr="00B145DC">
        <w:rPr>
          <w:rFonts w:ascii="Verdana" w:eastAsia="Calibri" w:hAnsi="Verdana" w:cs="Arial"/>
          <w:sz w:val="14"/>
          <w:szCs w:val="14"/>
          <w:lang w:val="es-ES" w:eastAsia="en-US"/>
        </w:rPr>
        <w:softHyphen/>
        <w:t>nería jurídica en los términos de ley, o cuyos representantes legales, ad</w:t>
      </w:r>
      <w:r w:rsidRPr="00B145DC">
        <w:rPr>
          <w:rFonts w:ascii="Verdana" w:eastAsia="Calibri" w:hAnsi="Verdana" w:cs="Arial"/>
          <w:sz w:val="14"/>
          <w:szCs w:val="14"/>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B145DC">
        <w:rPr>
          <w:rFonts w:ascii="Verdana" w:eastAsia="Calibri" w:hAnsi="Verdana" w:cs="Arial"/>
          <w:sz w:val="14"/>
          <w:szCs w:val="14"/>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393E33E2" w14:textId="77777777" w:rsidR="00BC11AD" w:rsidRPr="00B145DC"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w:t>
      </w:r>
    </w:p>
    <w:p w14:paraId="22593BDF" w14:textId="77777777" w:rsidR="00BC11AD" w:rsidRPr="00B145DC" w:rsidRDefault="00BC11AD" w:rsidP="00BC11AD">
      <w:pPr>
        <w:pStyle w:val="NormalWeb"/>
        <w:spacing w:before="0" w:beforeAutospacing="0" w:after="0" w:afterAutospacing="0"/>
        <w:ind w:firstLine="708"/>
        <w:jc w:val="both"/>
        <w:rPr>
          <w:rFonts w:ascii="Verdana" w:eastAsia="Calibri" w:hAnsi="Verdana" w:cs="Arial"/>
          <w:sz w:val="14"/>
          <w:szCs w:val="14"/>
          <w:lang w:val="es-ES" w:eastAsia="en-US"/>
        </w:rPr>
      </w:pPr>
      <w:r w:rsidRPr="00B145DC">
        <w:rPr>
          <w:rFonts w:ascii="Verdana" w:eastAsia="Calibri" w:hAnsi="Verdana" w:cs="Arial"/>
          <w:sz w:val="14"/>
          <w:szCs w:val="14"/>
          <w:lang w:val="es-ES" w:eastAsia="en-US"/>
        </w:rPr>
        <w:t>2o. Tampoco podrán participar en licitaciones o concursos ni celebrar contratos estatales con la entidad respectiva: </w:t>
      </w:r>
    </w:p>
    <w:p w14:paraId="545A9A86" w14:textId="77777777" w:rsidR="00BC11AD" w:rsidRPr="00E9461A" w:rsidRDefault="00BC11AD" w:rsidP="00BC11AD">
      <w:pPr>
        <w:pStyle w:val="NormalWeb"/>
        <w:spacing w:before="0" w:beforeAutospacing="0" w:after="0" w:afterAutospacing="0"/>
        <w:jc w:val="both"/>
        <w:rPr>
          <w:rFonts w:ascii="Verdana" w:eastAsia="Calibri" w:hAnsi="Verdana" w:cs="Arial"/>
          <w:sz w:val="14"/>
          <w:szCs w:val="14"/>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9461A">
        <w:rPr>
          <w:rFonts w:ascii="Verdana" w:eastAsia="Calibri" w:hAnsi="Verdana" w:cs="Arial"/>
          <w:sz w:val="14"/>
          <w:szCs w:val="14"/>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32E6EF95" w14:textId="77777777" w:rsidR="00BC11AD" w:rsidRPr="00E9461A"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E9461A">
        <w:rPr>
          <w:rFonts w:ascii="Verdana" w:eastAsia="Calibri" w:hAnsi="Verdana" w:cs="Arial"/>
          <w:sz w:val="14"/>
          <w:szCs w:val="14"/>
          <w:lang w:val="es-ES" w:eastAsia="en-US"/>
        </w:rPr>
        <w:t>  </w:t>
      </w:r>
      <w:r w:rsidRPr="00E9461A">
        <w:rPr>
          <w:rFonts w:ascii="Verdana" w:eastAsia="Calibri" w:hAnsi="Verdana" w:cs="Arial"/>
          <w:sz w:val="14"/>
          <w:szCs w:val="14"/>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6081E5FE" w14:textId="77777777" w:rsidR="00BC11AD" w:rsidRPr="00E9461A"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E9461A">
        <w:rPr>
          <w:rFonts w:ascii="Verdana" w:eastAsia="Calibri" w:hAnsi="Verdana" w:cs="Arial"/>
          <w:sz w:val="14"/>
          <w:szCs w:val="14"/>
          <w:lang w:val="es-ES" w:eastAsia="en-US"/>
        </w:rPr>
        <w:t>  </w:t>
      </w:r>
      <w:r w:rsidRPr="00E9461A">
        <w:rPr>
          <w:rFonts w:ascii="Verdana" w:eastAsia="Calibri" w:hAnsi="Verdana" w:cs="Arial"/>
          <w:sz w:val="14"/>
          <w:szCs w:val="14"/>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72612A52" w14:textId="77777777" w:rsidR="00BC11AD" w:rsidRPr="00E9461A"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E9461A">
        <w:rPr>
          <w:rFonts w:ascii="Verdana" w:eastAsia="Calibri" w:hAnsi="Verdana" w:cs="Arial"/>
          <w:sz w:val="14"/>
          <w:szCs w:val="14"/>
          <w:lang w:val="es-ES" w:eastAsia="en-US"/>
        </w:rPr>
        <w:t>  </w:t>
      </w:r>
      <w:r w:rsidRPr="00E9461A">
        <w:rPr>
          <w:rFonts w:ascii="Verdana" w:eastAsia="Calibri" w:hAnsi="Verdana" w:cs="Arial"/>
          <w:sz w:val="14"/>
          <w:szCs w:val="14"/>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14A17EF5" w14:textId="77777777" w:rsidR="00BC11AD" w:rsidRPr="00E9461A" w:rsidRDefault="00BC11AD" w:rsidP="00BC11AD">
      <w:pPr>
        <w:pStyle w:val="NormalWeb"/>
        <w:spacing w:before="0" w:beforeAutospacing="0" w:after="0" w:afterAutospacing="0"/>
        <w:jc w:val="both"/>
        <w:rPr>
          <w:rFonts w:ascii="Verdana" w:eastAsia="Calibri" w:hAnsi="Verdana" w:cs="Arial"/>
          <w:sz w:val="14"/>
          <w:szCs w:val="14"/>
          <w:lang w:val="es-ES" w:eastAsia="en-US"/>
        </w:rPr>
      </w:pPr>
      <w:r w:rsidRPr="00E9461A">
        <w:rPr>
          <w:rFonts w:ascii="Verdana" w:eastAsia="Calibri" w:hAnsi="Verdana" w:cs="Arial"/>
          <w:sz w:val="14"/>
          <w:szCs w:val="14"/>
          <w:lang w:val="es-ES" w:eastAsia="en-US"/>
        </w:rPr>
        <w:t>  </w:t>
      </w:r>
      <w:r w:rsidRPr="00E9461A">
        <w:rPr>
          <w:rFonts w:ascii="Verdana" w:eastAsia="Calibri" w:hAnsi="Verdana" w:cs="Arial"/>
          <w:sz w:val="14"/>
          <w:szCs w:val="14"/>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12903787" w14:textId="77777777" w:rsidR="00BC11AD" w:rsidRPr="00E9461A" w:rsidRDefault="00BC11AD" w:rsidP="00BC11AD">
      <w:pPr>
        <w:pStyle w:val="NormalWeb"/>
        <w:spacing w:before="0" w:beforeAutospacing="0" w:after="0" w:afterAutospacing="0"/>
        <w:ind w:firstLine="708"/>
        <w:jc w:val="both"/>
        <w:rPr>
          <w:rFonts w:ascii="Verdana" w:eastAsia="Calibri" w:hAnsi="Verdana" w:cs="Arial"/>
          <w:sz w:val="14"/>
          <w:szCs w:val="14"/>
          <w:lang w:val="pt-BR" w:eastAsia="en-US"/>
        </w:rPr>
      </w:pPr>
      <w:r w:rsidRPr="00E9461A">
        <w:rPr>
          <w:rFonts w:ascii="Verdana" w:eastAsia="Calibri" w:hAnsi="Verdana" w:cs="Arial"/>
          <w:sz w:val="14"/>
          <w:szCs w:val="14"/>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r w:rsidRPr="00E9461A">
        <w:rPr>
          <w:rFonts w:ascii="Verdana" w:eastAsia="Calibri" w:hAnsi="Verdana" w:cs="Arial"/>
          <w:sz w:val="14"/>
          <w:szCs w:val="14"/>
          <w:lang w:val="es-ES" w:eastAsia="en-US"/>
        </w:rPr>
        <w:t xml:space="preserve">ex empleado público”. </w:t>
      </w:r>
      <w:r w:rsidRPr="00E9461A">
        <w:rPr>
          <w:rFonts w:ascii="Verdana" w:eastAsia="Calibri" w:hAnsi="Verdana" w:cs="Arial"/>
          <w:sz w:val="14"/>
          <w:szCs w:val="14"/>
          <w:lang w:val="pt-BR" w:eastAsia="en-US"/>
        </w:rPr>
        <w:t xml:space="preserve">(…). </w:t>
      </w:r>
    </w:p>
    <w:p w14:paraId="41AEE433" w14:textId="77777777" w:rsidR="00BC11AD" w:rsidRPr="00E9461A" w:rsidRDefault="00BC11AD" w:rsidP="00BC11AD">
      <w:pPr>
        <w:pStyle w:val="Textonotapie"/>
        <w:jc w:val="both"/>
        <w:rPr>
          <w:rFonts w:ascii="Verdana" w:hAnsi="Verdana"/>
          <w:sz w:val="14"/>
          <w:szCs w:val="14"/>
          <w:lang w:val="pt-BR"/>
        </w:rPr>
      </w:pPr>
    </w:p>
  </w:footnote>
  <w:footnote w:id="9">
    <w:p w14:paraId="6D754E2B" w14:textId="77777777" w:rsidR="00BC11AD" w:rsidRPr="00E9461A" w:rsidRDefault="00BC11AD" w:rsidP="00BC11AD">
      <w:pPr>
        <w:pStyle w:val="Textonotapie"/>
        <w:ind w:firstLine="708"/>
        <w:jc w:val="both"/>
        <w:rPr>
          <w:rFonts w:ascii="Verdana" w:hAnsi="Verdana" w:cs="Arial"/>
          <w:sz w:val="14"/>
          <w:szCs w:val="14"/>
          <w:lang w:val="es-ES"/>
        </w:rPr>
      </w:pPr>
      <w:r w:rsidRPr="00E9461A">
        <w:rPr>
          <w:rStyle w:val="Refdenotaalpie"/>
          <w:rFonts w:ascii="Verdana" w:hAnsi="Verdana"/>
          <w:sz w:val="14"/>
          <w:szCs w:val="14"/>
        </w:rPr>
        <w:footnoteRef/>
      </w:r>
      <w:r w:rsidRPr="00E9461A">
        <w:rPr>
          <w:rFonts w:ascii="Verdana" w:hAnsi="Verdana"/>
          <w:sz w:val="14"/>
          <w:szCs w:val="14"/>
          <w:lang w:val="pt-BR"/>
        </w:rPr>
        <w:t xml:space="preserve"> </w:t>
      </w:r>
      <w:r w:rsidRPr="00E9461A">
        <w:rPr>
          <w:rFonts w:ascii="Verdana" w:hAnsi="Verdana" w:cs="Arial"/>
          <w:sz w:val="14"/>
          <w:szCs w:val="14"/>
          <w:lang w:val="pt-BR"/>
        </w:rPr>
        <w:t xml:space="preserve">Corte Constitucional. Sentencia T-1039 de 2006. M.P. Humberto </w:t>
      </w:r>
      <w:r w:rsidRPr="00E9461A">
        <w:rPr>
          <w:rFonts w:ascii="Verdana" w:hAnsi="Verdana" w:cs="Arial"/>
          <w:sz w:val="14"/>
          <w:szCs w:val="14"/>
          <w:lang w:val="pt-BR"/>
        </w:rPr>
        <w:t xml:space="preserve">Sierra Porto. </w:t>
      </w:r>
      <w:r w:rsidRPr="00E9461A">
        <w:rPr>
          <w:rFonts w:ascii="Verdana" w:hAnsi="Verdana" w:cs="Arial"/>
          <w:sz w:val="14"/>
          <w:szCs w:val="14"/>
          <w:lang w:val="es-ES"/>
        </w:rPr>
        <w:t xml:space="preserve">La Corte Constitucional ha mantenido este criterio en las sentencias: C-903 de 2008. M.P. Jaime Araujo Rentería; C-101 de 2018. M.P. Gloria Stella Ortiz Delgado; entre otras. </w:t>
      </w:r>
    </w:p>
    <w:p w14:paraId="4844B910" w14:textId="77777777" w:rsidR="00BC11AD" w:rsidRPr="00E9461A" w:rsidRDefault="00BC11AD" w:rsidP="00BC11AD">
      <w:pPr>
        <w:pStyle w:val="Textonotapie"/>
        <w:jc w:val="both"/>
        <w:rPr>
          <w:rFonts w:ascii="Verdana" w:hAnsi="Verdana" w:cs="Arial"/>
          <w:sz w:val="14"/>
          <w:szCs w:val="14"/>
          <w:lang w:val="es-ES"/>
        </w:rPr>
      </w:pPr>
    </w:p>
  </w:footnote>
  <w:footnote w:id="10">
    <w:p w14:paraId="0F7C74F4" w14:textId="77777777" w:rsidR="00BC11AD" w:rsidRPr="00E9461A" w:rsidRDefault="00BC11AD" w:rsidP="00BC11AD">
      <w:pPr>
        <w:pStyle w:val="Textonotapie"/>
        <w:ind w:firstLine="708"/>
        <w:jc w:val="both"/>
        <w:rPr>
          <w:rFonts w:ascii="Verdana" w:hAnsi="Verdana" w:cs="Arial"/>
          <w:sz w:val="14"/>
          <w:szCs w:val="14"/>
          <w:lang w:val="es-ES"/>
        </w:rPr>
      </w:pPr>
      <w:r w:rsidRPr="00E9461A">
        <w:rPr>
          <w:rStyle w:val="Refdenotaalpie"/>
          <w:rFonts w:ascii="Verdana" w:hAnsi="Verdana"/>
          <w:sz w:val="14"/>
          <w:szCs w:val="14"/>
        </w:rPr>
        <w:footnoteRef/>
      </w:r>
      <w:r w:rsidRPr="00E9461A">
        <w:rPr>
          <w:rFonts w:ascii="Verdana" w:hAnsi="Verdana"/>
          <w:sz w:val="14"/>
          <w:szCs w:val="14"/>
        </w:rPr>
        <w:t xml:space="preserve"> </w:t>
      </w:r>
      <w:r w:rsidRPr="00E9461A">
        <w:rPr>
          <w:rFonts w:ascii="Verdana" w:hAnsi="Verdana" w:cs="Arial"/>
          <w:sz w:val="14"/>
          <w:szCs w:val="14"/>
          <w:lang w:val="es-ES"/>
        </w:rPr>
        <w:t xml:space="preserve">Consejo de Estado. Sala de Consulta y Servicio Civil. Concepto del 30 de abril de 2015. Radicado: </w:t>
      </w:r>
      <w:r w:rsidRPr="00E9461A">
        <w:rPr>
          <w:rFonts w:ascii="Verdana" w:hAnsi="Verdana" w:cs="Arial"/>
          <w:sz w:val="14"/>
          <w:szCs w:val="14"/>
          <w:lang w:val="es-CO"/>
        </w:rPr>
        <w:t>11001-03-06-000-2015-00058-00</w:t>
      </w:r>
      <w:r w:rsidRPr="00E9461A">
        <w:rPr>
          <w:rFonts w:ascii="Verdana" w:hAnsi="Verdana" w:cs="Arial"/>
          <w:sz w:val="14"/>
          <w:szCs w:val="14"/>
          <w:lang w:val="es-ES"/>
        </w:rPr>
        <w:t xml:space="preserve"> (2251). C.P. Álvaro </w:t>
      </w:r>
      <w:r w:rsidRPr="00E9461A">
        <w:rPr>
          <w:rFonts w:ascii="Verdana" w:hAnsi="Verdana" w:cs="Arial"/>
          <w:sz w:val="14"/>
          <w:szCs w:val="14"/>
          <w:lang w:val="es-ES"/>
        </w:rPr>
        <w:t>Namén Vargas.</w:t>
      </w:r>
    </w:p>
    <w:p w14:paraId="349F7BD3" w14:textId="77777777" w:rsidR="00BC11AD" w:rsidRPr="00E9461A" w:rsidRDefault="00BC11AD" w:rsidP="00BC11AD">
      <w:pPr>
        <w:pStyle w:val="Textonotapie"/>
        <w:jc w:val="both"/>
        <w:rPr>
          <w:rFonts w:ascii="Verdana" w:hAnsi="Verdana"/>
          <w:sz w:val="14"/>
          <w:szCs w:val="14"/>
          <w:lang w:val="es-ES_tradnl"/>
        </w:rPr>
      </w:pPr>
    </w:p>
  </w:footnote>
  <w:footnote w:id="11">
    <w:p w14:paraId="655E168E" w14:textId="77777777" w:rsidR="00BC11AD" w:rsidRPr="00E9461A" w:rsidRDefault="00BC11AD" w:rsidP="00BC11AD">
      <w:pPr>
        <w:pStyle w:val="Textonotapie"/>
        <w:ind w:firstLine="708"/>
        <w:jc w:val="both"/>
        <w:rPr>
          <w:rFonts w:ascii="Verdana" w:hAnsi="Verdana" w:cs="Arial"/>
          <w:sz w:val="14"/>
          <w:szCs w:val="14"/>
        </w:rPr>
      </w:pPr>
      <w:r w:rsidRPr="00E9461A">
        <w:rPr>
          <w:rStyle w:val="Refdenotaalpie"/>
          <w:rFonts w:ascii="Verdana" w:hAnsi="Verdana"/>
          <w:sz w:val="14"/>
          <w:szCs w:val="14"/>
        </w:rPr>
        <w:footnoteRef/>
      </w:r>
      <w:r w:rsidRPr="00E9461A">
        <w:rPr>
          <w:rFonts w:ascii="Verdana" w:hAnsi="Verdana"/>
          <w:sz w:val="14"/>
          <w:szCs w:val="14"/>
        </w:rPr>
        <w:t xml:space="preserve"> </w:t>
      </w:r>
      <w:r w:rsidRPr="00E9461A">
        <w:rPr>
          <w:rFonts w:ascii="Verdana" w:hAnsi="Verdana" w:cs="Arial"/>
          <w:sz w:val="14"/>
          <w:szCs w:val="14"/>
        </w:rPr>
        <w:t>C</w:t>
      </w:r>
      <w:r>
        <w:rPr>
          <w:rFonts w:ascii="Verdana" w:hAnsi="Verdana" w:cs="Arial"/>
          <w:sz w:val="14"/>
          <w:szCs w:val="14"/>
        </w:rPr>
        <w:t>onsejo de Estado</w:t>
      </w:r>
      <w:r w:rsidRPr="00E9461A">
        <w:rPr>
          <w:rFonts w:ascii="Verdana" w:hAnsi="Verdana" w:cs="Arial"/>
          <w:sz w:val="14"/>
          <w:szCs w:val="14"/>
        </w:rPr>
        <w:t>.</w:t>
      </w:r>
      <w:r>
        <w:rPr>
          <w:rFonts w:ascii="Verdana" w:hAnsi="Verdana" w:cs="Arial"/>
          <w:sz w:val="14"/>
          <w:szCs w:val="14"/>
        </w:rPr>
        <w:t xml:space="preserve"> Sala de lo Contencioso Administrativo.</w:t>
      </w:r>
      <w:r w:rsidRPr="00E9461A">
        <w:rPr>
          <w:rFonts w:ascii="Verdana" w:hAnsi="Verdana" w:cs="Arial"/>
          <w:sz w:val="14"/>
          <w:szCs w:val="14"/>
        </w:rPr>
        <w:t xml:space="preserve"> Sección Tercera. Subsección A. Sentencia del 24 de junio de 2015.</w:t>
      </w:r>
      <w:r>
        <w:rPr>
          <w:rFonts w:ascii="Verdana" w:hAnsi="Verdana" w:cs="Arial"/>
          <w:sz w:val="14"/>
          <w:szCs w:val="14"/>
        </w:rPr>
        <w:t xml:space="preserve"> Radicado: </w:t>
      </w:r>
      <w:r w:rsidRPr="00E9461A">
        <w:rPr>
          <w:rFonts w:ascii="Verdana" w:hAnsi="Verdana" w:cs="Arial"/>
          <w:sz w:val="14"/>
          <w:szCs w:val="14"/>
          <w:lang w:val="es-CO"/>
        </w:rPr>
        <w:t>05001-23-31-000-1997-02636-01</w:t>
      </w:r>
      <w:r>
        <w:rPr>
          <w:rFonts w:ascii="Verdana" w:hAnsi="Verdana" w:cs="Arial"/>
          <w:sz w:val="14"/>
          <w:szCs w:val="14"/>
          <w:lang w:val="es-CO"/>
        </w:rPr>
        <w:t xml:space="preserve"> (</w:t>
      </w:r>
      <w:r w:rsidRPr="00E9461A">
        <w:rPr>
          <w:rFonts w:ascii="Verdana" w:hAnsi="Verdana" w:cs="Arial"/>
          <w:sz w:val="14"/>
          <w:szCs w:val="14"/>
        </w:rPr>
        <w:t>40635</w:t>
      </w:r>
      <w:r>
        <w:rPr>
          <w:rFonts w:ascii="Verdana" w:hAnsi="Verdana" w:cs="Arial"/>
          <w:sz w:val="14"/>
          <w:szCs w:val="14"/>
        </w:rPr>
        <w:t>)</w:t>
      </w:r>
      <w:r w:rsidRPr="00E9461A">
        <w:rPr>
          <w:rFonts w:ascii="Verdana" w:hAnsi="Verdana" w:cs="Arial"/>
          <w:sz w:val="14"/>
          <w:szCs w:val="14"/>
        </w:rPr>
        <w:t>. C.P. Hernán Andrade Rincón (E).</w:t>
      </w:r>
    </w:p>
    <w:p w14:paraId="65943BAC" w14:textId="77777777" w:rsidR="00BC11AD" w:rsidRPr="00E9461A" w:rsidRDefault="00BC11AD" w:rsidP="00BC11AD">
      <w:pPr>
        <w:pStyle w:val="Textonotapie"/>
        <w:jc w:val="both"/>
        <w:rPr>
          <w:rFonts w:ascii="Verdana" w:hAnsi="Verdana"/>
          <w:sz w:val="14"/>
          <w:szCs w:val="14"/>
          <w:lang w:val="es-ES_tradnl"/>
        </w:rPr>
      </w:pPr>
    </w:p>
  </w:footnote>
  <w:footnote w:id="12">
    <w:p w14:paraId="02C21985" w14:textId="77777777" w:rsidR="00BC11AD" w:rsidRPr="002140C0" w:rsidRDefault="00BC11AD" w:rsidP="00BC11AD">
      <w:pPr>
        <w:pStyle w:val="Textonotapie"/>
        <w:ind w:firstLine="708"/>
        <w:jc w:val="both"/>
        <w:rPr>
          <w:rFonts w:ascii="Verdana" w:hAnsi="Verdana" w:cs="Arial"/>
          <w:sz w:val="14"/>
          <w:szCs w:val="14"/>
        </w:rPr>
      </w:pPr>
      <w:r w:rsidRPr="002140C0">
        <w:rPr>
          <w:rStyle w:val="Refdenotaalpie"/>
          <w:rFonts w:ascii="Verdana" w:hAnsi="Verdana"/>
          <w:sz w:val="14"/>
          <w:szCs w:val="14"/>
        </w:rPr>
        <w:footnoteRef/>
      </w:r>
      <w:r w:rsidRPr="002140C0">
        <w:rPr>
          <w:rFonts w:ascii="Verdana" w:hAnsi="Verdana"/>
          <w:sz w:val="14"/>
          <w:szCs w:val="14"/>
        </w:rPr>
        <w:t xml:space="preserve"> </w:t>
      </w:r>
      <w:r w:rsidRPr="002140C0">
        <w:rPr>
          <w:rFonts w:ascii="Verdana" w:hAnsi="Verdana" w:cs="Arial"/>
          <w:sz w:val="14"/>
          <w:szCs w:val="14"/>
        </w:rPr>
        <w:t xml:space="preserve">Consejo de Estado. Sala de lo Contencioso Administrativo. Sección Tercera. Subsección C. Sentencia del 22 de mayo de 2013. Radicado: </w:t>
      </w:r>
      <w:r w:rsidRPr="002140C0">
        <w:rPr>
          <w:rFonts w:ascii="Verdana" w:hAnsi="Verdana" w:cs="Arial"/>
          <w:sz w:val="14"/>
          <w:szCs w:val="14"/>
          <w:lang w:val="es-CO"/>
        </w:rPr>
        <w:t>68001-23-15-000-1995-00152-01 (</w:t>
      </w:r>
      <w:r w:rsidRPr="002140C0">
        <w:rPr>
          <w:rFonts w:ascii="Verdana" w:hAnsi="Verdana" w:cs="Arial"/>
          <w:sz w:val="14"/>
          <w:szCs w:val="14"/>
        </w:rPr>
        <w:t xml:space="preserve">24057). C.P. Olga Mélida Valle De </w:t>
      </w:r>
      <w:r w:rsidRPr="002140C0">
        <w:rPr>
          <w:rFonts w:ascii="Verdana" w:hAnsi="Verdana" w:cs="Arial"/>
          <w:sz w:val="14"/>
          <w:szCs w:val="14"/>
        </w:rPr>
        <w:t>De La Hoz.</w:t>
      </w:r>
    </w:p>
    <w:p w14:paraId="6B59A33C" w14:textId="77777777" w:rsidR="00BC11AD" w:rsidRPr="002140C0" w:rsidRDefault="00BC11AD" w:rsidP="00BC11AD">
      <w:pPr>
        <w:pStyle w:val="Textonotapie"/>
        <w:ind w:firstLine="708"/>
        <w:jc w:val="both"/>
        <w:rPr>
          <w:rFonts w:ascii="Verdana" w:hAnsi="Verdana"/>
          <w:sz w:val="14"/>
          <w:szCs w:val="14"/>
          <w:lang w:val="es-ES_tradnl"/>
        </w:rPr>
      </w:pPr>
    </w:p>
  </w:footnote>
  <w:footnote w:id="13">
    <w:p w14:paraId="68D81D2C" w14:textId="77777777" w:rsidR="00BC11AD" w:rsidRPr="002140C0" w:rsidRDefault="00BC11AD" w:rsidP="00BC11AD">
      <w:pPr>
        <w:pStyle w:val="Textonotapie"/>
        <w:ind w:firstLine="708"/>
        <w:jc w:val="both"/>
        <w:rPr>
          <w:rFonts w:ascii="Verdana" w:hAnsi="Verdana" w:cs="Arial"/>
          <w:sz w:val="14"/>
          <w:szCs w:val="14"/>
          <w:lang w:val="pt-BR"/>
        </w:rPr>
      </w:pPr>
      <w:r w:rsidRPr="002140C0">
        <w:rPr>
          <w:rStyle w:val="Refdenotaalpie"/>
          <w:rFonts w:ascii="Verdana" w:hAnsi="Verdana"/>
          <w:sz w:val="14"/>
          <w:szCs w:val="14"/>
        </w:rPr>
        <w:footnoteRef/>
      </w:r>
      <w:r w:rsidRPr="002140C0">
        <w:rPr>
          <w:rFonts w:ascii="Verdana" w:hAnsi="Verdana"/>
          <w:sz w:val="14"/>
          <w:szCs w:val="14"/>
          <w:lang w:val="pt-BR"/>
        </w:rPr>
        <w:t xml:space="preserve"> </w:t>
      </w:r>
      <w:r w:rsidRPr="002140C0">
        <w:rPr>
          <w:rFonts w:ascii="Verdana" w:hAnsi="Verdana" w:cs="Arial"/>
          <w:sz w:val="14"/>
          <w:szCs w:val="14"/>
          <w:lang w:val="pt-BR"/>
        </w:rPr>
        <w:t xml:space="preserve">Corte Constitucional. Sentencia C-415 de 1994. M.P. Eduardo </w:t>
      </w:r>
      <w:r w:rsidRPr="002140C0">
        <w:rPr>
          <w:rFonts w:ascii="Verdana" w:hAnsi="Verdana" w:cs="Arial"/>
          <w:sz w:val="14"/>
          <w:szCs w:val="14"/>
          <w:lang w:val="pt-BR"/>
        </w:rPr>
        <w:t>Cifuentes Muñoz.</w:t>
      </w:r>
    </w:p>
    <w:p w14:paraId="45E412CD" w14:textId="77777777" w:rsidR="00BC11AD" w:rsidRPr="002140C0" w:rsidRDefault="00BC11AD" w:rsidP="00BC11AD">
      <w:pPr>
        <w:pStyle w:val="Textonotapie"/>
        <w:jc w:val="both"/>
        <w:rPr>
          <w:rFonts w:ascii="Verdana" w:hAnsi="Verdana"/>
          <w:sz w:val="14"/>
          <w:szCs w:val="14"/>
          <w:lang w:val="pt-BR"/>
        </w:rPr>
      </w:pPr>
    </w:p>
  </w:footnote>
  <w:footnote w:id="14">
    <w:p w14:paraId="59B218F0" w14:textId="77777777" w:rsidR="00BC11AD" w:rsidRDefault="00BC11AD" w:rsidP="00BC11AD">
      <w:pPr>
        <w:pStyle w:val="Textonotapie"/>
        <w:ind w:firstLine="709"/>
        <w:jc w:val="both"/>
        <w:rPr>
          <w:rFonts w:ascii="Verdana" w:hAnsi="Verdana" w:cs="Arial"/>
          <w:color w:val="000000"/>
          <w:sz w:val="14"/>
          <w:szCs w:val="14"/>
        </w:rPr>
      </w:pPr>
      <w:r w:rsidRPr="00E03F1D">
        <w:rPr>
          <w:rStyle w:val="Refdenotaalpie"/>
          <w:rFonts w:ascii="Verdana" w:hAnsi="Verdana"/>
          <w:sz w:val="14"/>
          <w:szCs w:val="14"/>
        </w:rPr>
        <w:footnoteRef/>
      </w:r>
      <w:r w:rsidRPr="00E03F1D">
        <w:rPr>
          <w:rFonts w:ascii="Verdana" w:hAnsi="Verdana"/>
          <w:sz w:val="14"/>
          <w:szCs w:val="14"/>
        </w:rPr>
        <w:t xml:space="preserve"> </w:t>
      </w:r>
      <w:r w:rsidRPr="00E03F1D">
        <w:rPr>
          <w:rFonts w:ascii="Verdana" w:hAnsi="Verdana" w:cs="Arial"/>
          <w:color w:val="000000"/>
          <w:sz w:val="14"/>
          <w:szCs w:val="14"/>
        </w:rPr>
        <w:t>Consejo de Estado. Sala de Consulta y de Servicio Civil. Concepto del 23 de marzo de 2011. Rad. 2.045. C.P. Enrique José Arboleda Perdomo.</w:t>
      </w:r>
    </w:p>
    <w:p w14:paraId="2073A08E" w14:textId="77777777" w:rsidR="00BC11AD" w:rsidRPr="00E03F1D" w:rsidRDefault="00BC11AD" w:rsidP="00BC11AD">
      <w:pPr>
        <w:pStyle w:val="Textonotapie"/>
        <w:ind w:firstLine="709"/>
        <w:jc w:val="both"/>
        <w:rPr>
          <w:rFonts w:ascii="Verdana" w:hAnsi="Verdana"/>
          <w:sz w:val="14"/>
          <w:szCs w:val="14"/>
          <w:lang w:val="es-CO"/>
        </w:rPr>
      </w:pPr>
    </w:p>
  </w:footnote>
  <w:footnote w:id="15">
    <w:p w14:paraId="0EE33A9C" w14:textId="77777777" w:rsidR="00BC11AD" w:rsidRPr="00B94E7E" w:rsidRDefault="00BC11AD" w:rsidP="00BC11AD">
      <w:pPr>
        <w:pStyle w:val="Textonotapie"/>
        <w:ind w:firstLine="708"/>
        <w:jc w:val="both"/>
        <w:rPr>
          <w:rFonts w:ascii="Verdana" w:hAnsi="Verdana" w:cs="Arial"/>
          <w:color w:val="000000" w:themeColor="text1"/>
          <w:sz w:val="14"/>
          <w:szCs w:val="14"/>
        </w:rPr>
      </w:pPr>
      <w:r w:rsidRPr="00B94E7E">
        <w:rPr>
          <w:rStyle w:val="Refdenotaalpie"/>
          <w:rFonts w:ascii="Verdana" w:hAnsi="Verdana" w:cs="Arial"/>
          <w:sz w:val="14"/>
          <w:szCs w:val="14"/>
        </w:rPr>
        <w:footnoteRef/>
      </w:r>
      <w:r w:rsidRPr="00B94E7E">
        <w:rPr>
          <w:rFonts w:ascii="Verdana" w:hAnsi="Verdana" w:cs="Arial"/>
          <w:sz w:val="14"/>
          <w:szCs w:val="14"/>
        </w:rPr>
        <w:t xml:space="preserve"> C</w:t>
      </w:r>
      <w:r>
        <w:rPr>
          <w:rFonts w:ascii="Verdana" w:hAnsi="Verdana" w:cs="Arial"/>
          <w:sz w:val="14"/>
          <w:szCs w:val="14"/>
        </w:rPr>
        <w:t>onsejo de Estado.</w:t>
      </w:r>
      <w:r w:rsidRPr="00B94E7E">
        <w:rPr>
          <w:rFonts w:ascii="Verdana" w:hAnsi="Verdana" w:cs="Arial"/>
          <w:sz w:val="14"/>
          <w:szCs w:val="14"/>
        </w:rPr>
        <w:t xml:space="preserve"> Sala de Consulta y Servicio Civil. Concepto del </w:t>
      </w:r>
      <w:r w:rsidRPr="00B94E7E">
        <w:rPr>
          <w:rFonts w:ascii="Verdana" w:hAnsi="Verdana" w:cs="Arial"/>
          <w:color w:val="000000" w:themeColor="text1"/>
          <w:sz w:val="14"/>
          <w:szCs w:val="14"/>
        </w:rPr>
        <w:t xml:space="preserve">10 de agosto de 2006. </w:t>
      </w:r>
      <w:r w:rsidRPr="00B94E7E">
        <w:rPr>
          <w:rFonts w:ascii="Verdana" w:hAnsi="Verdana" w:cs="Arial"/>
          <w:color w:val="000000" w:themeColor="text1"/>
          <w:sz w:val="14"/>
          <w:szCs w:val="14"/>
        </w:rPr>
        <w:t>Exp. 1.767. C.P. Luis Fernando Álvarez Jaramillo.</w:t>
      </w:r>
    </w:p>
    <w:p w14:paraId="3E4C300A" w14:textId="77777777" w:rsidR="00BC11AD" w:rsidRPr="00B94E7E" w:rsidRDefault="00BC11AD" w:rsidP="00BC11AD">
      <w:pPr>
        <w:pStyle w:val="Textonotapie"/>
        <w:ind w:firstLine="708"/>
        <w:jc w:val="both"/>
        <w:rPr>
          <w:rFonts w:ascii="Verdana" w:hAnsi="Verdana" w:cs="Arial"/>
          <w:sz w:val="14"/>
          <w:szCs w:val="14"/>
          <w:lang w:val="es-CO"/>
        </w:rPr>
      </w:pPr>
    </w:p>
  </w:footnote>
  <w:footnote w:id="16">
    <w:p w14:paraId="0BDBC069" w14:textId="77777777" w:rsidR="00BC11AD" w:rsidRPr="00B94E7E" w:rsidRDefault="00BC11AD" w:rsidP="00BC11AD">
      <w:pPr>
        <w:pStyle w:val="Textonotapie"/>
        <w:ind w:firstLine="708"/>
        <w:jc w:val="both"/>
        <w:rPr>
          <w:rFonts w:ascii="Verdana" w:eastAsia="Calibri" w:hAnsi="Verdana" w:cs="Arial"/>
          <w:sz w:val="14"/>
          <w:szCs w:val="14"/>
          <w:lang w:val="es-CO"/>
        </w:rPr>
      </w:pPr>
      <w:r w:rsidRPr="00B94E7E">
        <w:rPr>
          <w:rStyle w:val="Refdenotaalpie"/>
          <w:rFonts w:ascii="Verdana" w:hAnsi="Verdana" w:cs="Arial"/>
          <w:sz w:val="14"/>
          <w:szCs w:val="14"/>
        </w:rPr>
        <w:footnoteRef/>
      </w:r>
      <w:r w:rsidRPr="00B94E7E">
        <w:rPr>
          <w:rFonts w:ascii="Verdana" w:hAnsi="Verdana" w:cs="Arial"/>
          <w:sz w:val="14"/>
          <w:szCs w:val="14"/>
        </w:rPr>
        <w:t xml:space="preserve"> Como expresa DÁVILA: «[…] </w:t>
      </w:r>
      <w:r w:rsidRPr="00B94E7E">
        <w:rPr>
          <w:rFonts w:ascii="Verdana" w:eastAsia="Calibri" w:hAnsi="Verdana" w:cs="Arial"/>
          <w:sz w:val="14"/>
          <w:szCs w:val="14"/>
          <w:lang w:val="es-CO"/>
        </w:rPr>
        <w:t xml:space="preserve">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w:t>
      </w:r>
      <w:r w:rsidRPr="00B94E7E">
        <w:rPr>
          <w:rFonts w:ascii="Verdana" w:eastAsia="Calibri" w:hAnsi="Verdana" w:cs="Arial"/>
          <w:sz w:val="14"/>
          <w:szCs w:val="14"/>
          <w:lang w:val="es-CO"/>
        </w:rPr>
        <w:t>Op. Cit., p. 151.</w:t>
      </w:r>
    </w:p>
    <w:p w14:paraId="08712848" w14:textId="77777777" w:rsidR="00BC11AD" w:rsidRPr="00B94E7E" w:rsidRDefault="00BC11AD" w:rsidP="00BC11AD">
      <w:pPr>
        <w:pStyle w:val="Textonotapie"/>
        <w:ind w:firstLine="708"/>
        <w:jc w:val="both"/>
        <w:rPr>
          <w:rFonts w:ascii="Verdana" w:hAnsi="Verdana" w:cs="Arial"/>
          <w:sz w:val="14"/>
          <w:szCs w:val="14"/>
          <w:lang w:val="es-CO"/>
        </w:rPr>
      </w:pPr>
    </w:p>
  </w:footnote>
  <w:footnote w:id="17">
    <w:p w14:paraId="7823051B" w14:textId="77777777" w:rsidR="00BC11AD" w:rsidRDefault="00BC11AD" w:rsidP="00BC11AD">
      <w:pPr>
        <w:pStyle w:val="Textonotapie"/>
        <w:ind w:firstLine="709"/>
        <w:jc w:val="both"/>
        <w:rPr>
          <w:rFonts w:ascii="Verdana" w:hAnsi="Verdana"/>
          <w:sz w:val="14"/>
          <w:szCs w:val="14"/>
        </w:rPr>
      </w:pPr>
      <w:r w:rsidRPr="00491645">
        <w:rPr>
          <w:rStyle w:val="Refdenotaalpie"/>
          <w:rFonts w:ascii="Verdana" w:hAnsi="Verdana"/>
          <w:sz w:val="14"/>
          <w:szCs w:val="14"/>
        </w:rPr>
        <w:footnoteRef/>
      </w:r>
      <w:r w:rsidRPr="00491645">
        <w:rPr>
          <w:rFonts w:ascii="Verdana" w:hAnsi="Verdana"/>
          <w:sz w:val="14"/>
          <w:szCs w:val="14"/>
        </w:rPr>
        <w:t xml:space="preserve"> En </w:t>
      </w:r>
      <w:hyperlink r:id="rId1" w:history="1">
        <w:r w:rsidRPr="00491645">
          <w:rPr>
            <w:rStyle w:val="Hipervnculo"/>
            <w:rFonts w:ascii="Verdana" w:hAnsi="Verdana"/>
            <w:sz w:val="14"/>
            <w:szCs w:val="14"/>
            <w:lang w:val="es-CO"/>
          </w:rPr>
          <w:t>cce-eicp-gi-23_guia_contratacion_prestacion_de_servicios_v1_11-07-2023_def_1_1.pdf</w:t>
        </w:r>
      </w:hyperlink>
    </w:p>
    <w:p w14:paraId="177CB124" w14:textId="77777777" w:rsidR="00491645" w:rsidRPr="00491645" w:rsidRDefault="00491645" w:rsidP="00BC11AD">
      <w:pPr>
        <w:pStyle w:val="Textonotapie"/>
        <w:ind w:firstLine="709"/>
        <w:jc w:val="both"/>
        <w:rPr>
          <w:rFonts w:ascii="Verdana" w:hAnsi="Verdana"/>
          <w:sz w:val="14"/>
          <w:szCs w:val="14"/>
          <w:lang w:val="es-ES"/>
        </w:rPr>
      </w:pPr>
    </w:p>
  </w:footnote>
  <w:footnote w:id="18">
    <w:p w14:paraId="7287CA6D" w14:textId="77777777" w:rsidR="00BC11AD" w:rsidRDefault="00BC11AD" w:rsidP="00491645">
      <w:pPr>
        <w:pStyle w:val="Textonotapie"/>
        <w:ind w:firstLine="709"/>
        <w:jc w:val="both"/>
        <w:rPr>
          <w:rFonts w:ascii="Verdana" w:hAnsi="Verdana"/>
          <w:sz w:val="14"/>
          <w:szCs w:val="14"/>
          <w:lang w:val="es-ES"/>
        </w:rPr>
      </w:pPr>
      <w:r w:rsidRPr="00491645">
        <w:rPr>
          <w:rStyle w:val="Refdenotaalpie"/>
          <w:rFonts w:ascii="Verdana" w:hAnsi="Verdana"/>
          <w:sz w:val="14"/>
          <w:szCs w:val="14"/>
        </w:rPr>
        <w:footnoteRef/>
      </w:r>
      <w:r w:rsidRPr="00491645">
        <w:rPr>
          <w:rFonts w:ascii="Verdana" w:hAnsi="Verdana"/>
          <w:sz w:val="14"/>
          <w:szCs w:val="14"/>
        </w:rPr>
        <w:t xml:space="preserve"> </w:t>
      </w:r>
      <w:r w:rsidRPr="00491645">
        <w:rPr>
          <w:rFonts w:ascii="Verdana" w:hAnsi="Verdana"/>
          <w:sz w:val="14"/>
          <w:szCs w:val="14"/>
          <w:lang w:val="es-ES"/>
        </w:rPr>
        <w:t xml:space="preserve">En </w:t>
      </w:r>
      <w:hyperlink r:id="rId2" w:history="1">
        <w:r w:rsidRPr="00491645">
          <w:rPr>
            <w:rStyle w:val="Hipervnculo"/>
            <w:rFonts w:ascii="Verdana" w:hAnsi="Verdana"/>
            <w:sz w:val="14"/>
            <w:szCs w:val="14"/>
            <w:lang w:val="es-CO"/>
          </w:rPr>
          <w:t>Procedimiento para la gestión preventiva de conflictos de intereses en entidades del sector público</w:t>
        </w:r>
      </w:hyperlink>
    </w:p>
    <w:p w14:paraId="2E297226" w14:textId="77777777" w:rsidR="00491645" w:rsidRPr="00491645" w:rsidRDefault="00491645" w:rsidP="00491645">
      <w:pPr>
        <w:pStyle w:val="Textonotapie"/>
        <w:ind w:firstLine="709"/>
        <w:jc w:val="both"/>
        <w:rPr>
          <w:rFonts w:ascii="Verdana" w:hAnsi="Verdana"/>
          <w:sz w:val="14"/>
          <w:szCs w:val="14"/>
          <w:lang w:val="es-ES"/>
        </w:rPr>
      </w:pPr>
    </w:p>
  </w:footnote>
  <w:footnote w:id="19">
    <w:p w14:paraId="5E6DADE8" w14:textId="77777777" w:rsidR="00BC11AD" w:rsidRPr="00491645" w:rsidRDefault="00BC11AD" w:rsidP="00491645">
      <w:pPr>
        <w:pStyle w:val="Textonotapie"/>
        <w:ind w:firstLine="709"/>
        <w:jc w:val="both"/>
        <w:rPr>
          <w:rFonts w:ascii="Verdana" w:hAnsi="Verdana"/>
          <w:sz w:val="14"/>
          <w:szCs w:val="14"/>
          <w:lang w:val="es-ES"/>
        </w:rPr>
      </w:pPr>
      <w:r w:rsidRPr="00491645">
        <w:rPr>
          <w:rStyle w:val="Refdenotaalpie"/>
          <w:rFonts w:ascii="Verdana" w:hAnsi="Verdana"/>
          <w:sz w:val="14"/>
          <w:szCs w:val="14"/>
        </w:rPr>
        <w:footnoteRef/>
      </w:r>
      <w:r w:rsidRPr="00491645">
        <w:rPr>
          <w:rFonts w:ascii="Verdana" w:hAnsi="Verdana"/>
          <w:sz w:val="14"/>
          <w:szCs w:val="14"/>
        </w:rPr>
        <w:t xml:space="preserve"> En </w:t>
      </w:r>
      <w:hyperlink r:id="rId3" w:history="1">
        <w:r w:rsidRPr="00491645">
          <w:rPr>
            <w:rStyle w:val="Hipervnculo"/>
            <w:rFonts w:ascii="Verdana" w:hAnsi="Verdana"/>
            <w:sz w:val="14"/>
            <w:szCs w:val="14"/>
            <w:lang w:val="es-CO"/>
          </w:rPr>
          <w:t>Bienvenido - Aplicativo por la Integridad Pública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F00E28"/>
    <w:multiLevelType w:val="hybridMultilevel"/>
    <w:tmpl w:val="4AA891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1063902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0EAF"/>
    <w:rsid w:val="00082362"/>
    <w:rsid w:val="000A683E"/>
    <w:rsid w:val="000B19B9"/>
    <w:rsid w:val="000D0334"/>
    <w:rsid w:val="000E7E43"/>
    <w:rsid w:val="000F4B4E"/>
    <w:rsid w:val="000F6486"/>
    <w:rsid w:val="00120A54"/>
    <w:rsid w:val="00125105"/>
    <w:rsid w:val="00127233"/>
    <w:rsid w:val="001511A0"/>
    <w:rsid w:val="001E4177"/>
    <w:rsid w:val="001F7DC6"/>
    <w:rsid w:val="00221C83"/>
    <w:rsid w:val="002421BB"/>
    <w:rsid w:val="0025475D"/>
    <w:rsid w:val="0025796E"/>
    <w:rsid w:val="00267D51"/>
    <w:rsid w:val="002707A2"/>
    <w:rsid w:val="00282408"/>
    <w:rsid w:val="002951A0"/>
    <w:rsid w:val="002962BC"/>
    <w:rsid w:val="002A093D"/>
    <w:rsid w:val="002A0DD0"/>
    <w:rsid w:val="002A3B7C"/>
    <w:rsid w:val="002A49AC"/>
    <w:rsid w:val="002A64FD"/>
    <w:rsid w:val="002C7A84"/>
    <w:rsid w:val="002E4FD9"/>
    <w:rsid w:val="00322A85"/>
    <w:rsid w:val="00324168"/>
    <w:rsid w:val="003448F4"/>
    <w:rsid w:val="00374F5E"/>
    <w:rsid w:val="00377E3E"/>
    <w:rsid w:val="003A779E"/>
    <w:rsid w:val="003C3BD1"/>
    <w:rsid w:val="003D0F4D"/>
    <w:rsid w:val="003D5B0D"/>
    <w:rsid w:val="003E0499"/>
    <w:rsid w:val="003F3941"/>
    <w:rsid w:val="00406575"/>
    <w:rsid w:val="00414C74"/>
    <w:rsid w:val="0042722E"/>
    <w:rsid w:val="0044528D"/>
    <w:rsid w:val="00491645"/>
    <w:rsid w:val="00492B76"/>
    <w:rsid w:val="004A1847"/>
    <w:rsid w:val="004A305D"/>
    <w:rsid w:val="004F21C4"/>
    <w:rsid w:val="004F685F"/>
    <w:rsid w:val="00511EED"/>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96D4A"/>
    <w:rsid w:val="007B268C"/>
    <w:rsid w:val="007B7171"/>
    <w:rsid w:val="007C0C0F"/>
    <w:rsid w:val="007C3DC2"/>
    <w:rsid w:val="007E5497"/>
    <w:rsid w:val="00806F5F"/>
    <w:rsid w:val="00820278"/>
    <w:rsid w:val="00867F95"/>
    <w:rsid w:val="008843B6"/>
    <w:rsid w:val="00891928"/>
    <w:rsid w:val="008A446D"/>
    <w:rsid w:val="008D180B"/>
    <w:rsid w:val="008F0EA7"/>
    <w:rsid w:val="008F6983"/>
    <w:rsid w:val="00923EEF"/>
    <w:rsid w:val="009419F9"/>
    <w:rsid w:val="00953694"/>
    <w:rsid w:val="0095685E"/>
    <w:rsid w:val="00961B09"/>
    <w:rsid w:val="00965334"/>
    <w:rsid w:val="00965AF8"/>
    <w:rsid w:val="0097093E"/>
    <w:rsid w:val="00985F39"/>
    <w:rsid w:val="00986AC5"/>
    <w:rsid w:val="009A0DFA"/>
    <w:rsid w:val="009B2D26"/>
    <w:rsid w:val="009C71FA"/>
    <w:rsid w:val="009C72E7"/>
    <w:rsid w:val="009D3058"/>
    <w:rsid w:val="009F3A13"/>
    <w:rsid w:val="00A02107"/>
    <w:rsid w:val="00A122D3"/>
    <w:rsid w:val="00A17F13"/>
    <w:rsid w:val="00A20739"/>
    <w:rsid w:val="00A2535E"/>
    <w:rsid w:val="00A33C78"/>
    <w:rsid w:val="00AA6B72"/>
    <w:rsid w:val="00AB0ADB"/>
    <w:rsid w:val="00B01B1A"/>
    <w:rsid w:val="00B66319"/>
    <w:rsid w:val="00B70D25"/>
    <w:rsid w:val="00B72CD3"/>
    <w:rsid w:val="00B72FFF"/>
    <w:rsid w:val="00B9696F"/>
    <w:rsid w:val="00BA7F59"/>
    <w:rsid w:val="00BC11AD"/>
    <w:rsid w:val="00BC3D36"/>
    <w:rsid w:val="00BD7232"/>
    <w:rsid w:val="00BD7CF8"/>
    <w:rsid w:val="00BD7F72"/>
    <w:rsid w:val="00BF3E41"/>
    <w:rsid w:val="00C04FB3"/>
    <w:rsid w:val="00C330EB"/>
    <w:rsid w:val="00C41061"/>
    <w:rsid w:val="00C65371"/>
    <w:rsid w:val="00C754BE"/>
    <w:rsid w:val="00C76B1C"/>
    <w:rsid w:val="00CB3A93"/>
    <w:rsid w:val="00CB6357"/>
    <w:rsid w:val="00CB682D"/>
    <w:rsid w:val="00CC1B26"/>
    <w:rsid w:val="00D046FD"/>
    <w:rsid w:val="00D423A2"/>
    <w:rsid w:val="00D520D8"/>
    <w:rsid w:val="00D63AC2"/>
    <w:rsid w:val="00D7383B"/>
    <w:rsid w:val="00DA231B"/>
    <w:rsid w:val="00DC39FC"/>
    <w:rsid w:val="00DF5254"/>
    <w:rsid w:val="00E0609C"/>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401B"/>
    <w:rsid w:val="00F31EDC"/>
    <w:rsid w:val="00F462B3"/>
    <w:rsid w:val="00F5664F"/>
    <w:rsid w:val="00F666C4"/>
    <w:rsid w:val="00F76AFC"/>
    <w:rsid w:val="00F85C5B"/>
    <w:rsid w:val="00FA47C0"/>
    <w:rsid w:val="00FB5DD1"/>
    <w:rsid w:val="00FC2B5D"/>
    <w:rsid w:val="00FD1DCE"/>
    <w:rsid w:val="00FF1449"/>
    <w:rsid w:val="165E9519"/>
    <w:rsid w:val="382536D9"/>
    <w:rsid w:val="4C6BD99A"/>
    <w:rsid w:val="4F979C2F"/>
    <w:rsid w:val="517118EA"/>
    <w:rsid w:val="548E5064"/>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C11A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C11AD"/>
    <w:rPr>
      <w:rFonts w:ascii="Geomanist Light" w:hAnsi="Geomanist Light"/>
      <w:lang w:val="es-ES"/>
    </w:rPr>
  </w:style>
  <w:style w:type="character" w:customStyle="1" w:styleId="NormalWebCar">
    <w:name w:val="Normal (Web) Car"/>
    <w:link w:val="NormalWeb"/>
    <w:uiPriority w:val="99"/>
    <w:locked/>
    <w:rsid w:val="00BC11A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1.funcionpublica.gov.co/documents/36031014/36151539/2022-10-05_Procedimiento_para_gestionar_conflictos_de_intereses.pdf/42e98eda-da75-c68c-01f1-94e2523eb21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wp-content/uploads/2024/08/cce-eicp-gi-23_guia_contratacion_prestacion_de_servicios_v1_11-07-2023_def_1_1.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antilla9@gmail.com" TargetMode="External"/><Relationship Id="rId5" Type="http://schemas.openxmlformats.org/officeDocument/2006/relationships/styles" Target="styles.xml"/><Relationship Id="rId15" Type="http://schemas.openxmlformats.org/officeDocument/2006/relationships/hyperlink" Target="https://www.colombiacompra.gov.co/normativa-y-relatoria/conoce-la-relatoria"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fdc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fdci/" TargetMode="External"/><Relationship Id="rId2" Type="http://schemas.openxmlformats.org/officeDocument/2006/relationships/hyperlink" Target="https://www1.funcionpublica.gov.co/documents/36031014/36151539/2022-10-05_Procedimiento_para_gestionar_conflictos_de_intereses.pdf/42e98eda-da75-c68c-01f1-94e2523eb21f" TargetMode="External"/><Relationship Id="rId1" Type="http://schemas.openxmlformats.org/officeDocument/2006/relationships/hyperlink" Target="https://www.colombiacompra.gov.co/wp-content/uploads/2024/08/cce-eicp-gi-23_guia_contratacion_prestacion_de_servicios_v1_11-07-2023_def_1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CFAF7-3C71-469E-B600-264E78CA0C24}"/>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21</Pages>
  <Words>6562</Words>
  <Characters>36095</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42572</CharactersWithSpaces>
  <SharedDoc>false</SharedDoc>
  <HLinks>
    <vt:vector size="54" baseType="variant">
      <vt:variant>
        <vt:i4>6029407</vt:i4>
      </vt:variant>
      <vt:variant>
        <vt:i4>15</vt:i4>
      </vt:variant>
      <vt:variant>
        <vt:i4>0</vt:i4>
      </vt:variant>
      <vt:variant>
        <vt:i4>5</vt:i4>
      </vt:variant>
      <vt:variant>
        <vt:lpwstr>http://www.colombiacompra.gov.co/</vt:lpwstr>
      </vt:variant>
      <vt:variant>
        <vt:lpwstr/>
      </vt:variant>
      <vt:variant>
        <vt:i4>6488184</vt:i4>
      </vt:variant>
      <vt:variant>
        <vt:i4>12</vt:i4>
      </vt:variant>
      <vt:variant>
        <vt:i4>0</vt:i4>
      </vt:variant>
      <vt:variant>
        <vt:i4>5</vt:i4>
      </vt:variant>
      <vt:variant>
        <vt:lpwstr>https://www.colombiacompra.gov.co/normativa-y-relatoria/conoce-la-relatoria</vt:lpwstr>
      </vt:variant>
      <vt:variant>
        <vt:lpwstr/>
      </vt:variant>
      <vt:variant>
        <vt:i4>8060976</vt:i4>
      </vt:variant>
      <vt:variant>
        <vt:i4>9</vt:i4>
      </vt:variant>
      <vt:variant>
        <vt:i4>0</vt:i4>
      </vt:variant>
      <vt:variant>
        <vt:i4>5</vt:i4>
      </vt:variant>
      <vt:variant>
        <vt:lpwstr>https://www.funcionpublica.gov.co/fdci/</vt:lpwstr>
      </vt:variant>
      <vt:variant>
        <vt:lpwstr/>
      </vt:variant>
      <vt:variant>
        <vt:i4>1441817</vt:i4>
      </vt:variant>
      <vt:variant>
        <vt:i4>6</vt:i4>
      </vt:variant>
      <vt:variant>
        <vt:i4>0</vt:i4>
      </vt:variant>
      <vt:variant>
        <vt:i4>5</vt:i4>
      </vt:variant>
      <vt:variant>
        <vt:lpwstr>https://www1.funcionpublica.gov.co/documents/36031014/36151539/2022-10-05_Procedimiento_para_gestionar_conflictos_de_intereses.pdf/42e98eda-da75-c68c-01f1-94e2523eb21f</vt:lpwstr>
      </vt:variant>
      <vt:variant>
        <vt:lpwstr/>
      </vt:variant>
      <vt:variant>
        <vt:i4>720970</vt:i4>
      </vt:variant>
      <vt:variant>
        <vt:i4>3</vt:i4>
      </vt:variant>
      <vt:variant>
        <vt:i4>0</vt:i4>
      </vt:variant>
      <vt:variant>
        <vt:i4>5</vt:i4>
      </vt:variant>
      <vt:variant>
        <vt:lpwstr>https://www.colombiacompra.gov.co/wp-content/uploads/2024/08/cce-eicp-gi-23_guia_contratacion_prestacion_de_servicios_v1_11-07-2023_def_1_1.pdf</vt:lpwstr>
      </vt:variant>
      <vt:variant>
        <vt:lpwstr/>
      </vt:variant>
      <vt:variant>
        <vt:i4>1704060</vt:i4>
      </vt:variant>
      <vt:variant>
        <vt:i4>0</vt:i4>
      </vt:variant>
      <vt:variant>
        <vt:i4>0</vt:i4>
      </vt:variant>
      <vt:variant>
        <vt:i4>5</vt:i4>
      </vt:variant>
      <vt:variant>
        <vt:lpwstr>mailto:emantilla9@gmail.com</vt:lpwstr>
      </vt:variant>
      <vt:variant>
        <vt:lpwstr/>
      </vt:variant>
      <vt:variant>
        <vt:i4>8060976</vt:i4>
      </vt:variant>
      <vt:variant>
        <vt:i4>6</vt:i4>
      </vt:variant>
      <vt:variant>
        <vt:i4>0</vt:i4>
      </vt:variant>
      <vt:variant>
        <vt:i4>5</vt:i4>
      </vt:variant>
      <vt:variant>
        <vt:lpwstr>https://www.funcionpublica.gov.co/fdci/</vt:lpwstr>
      </vt:variant>
      <vt:variant>
        <vt:lpwstr/>
      </vt:variant>
      <vt:variant>
        <vt:i4>1441817</vt:i4>
      </vt:variant>
      <vt:variant>
        <vt:i4>3</vt:i4>
      </vt:variant>
      <vt:variant>
        <vt:i4>0</vt:i4>
      </vt:variant>
      <vt:variant>
        <vt:i4>5</vt:i4>
      </vt:variant>
      <vt:variant>
        <vt:lpwstr>https://www1.funcionpublica.gov.co/documents/36031014/36151539/2022-10-05_Procedimiento_para_gestionar_conflictos_de_intereses.pdf/42e98eda-da75-c68c-01f1-94e2523eb21f</vt:lpwstr>
      </vt:variant>
      <vt:variant>
        <vt:lpwstr/>
      </vt:variant>
      <vt:variant>
        <vt:i4>720970</vt:i4>
      </vt:variant>
      <vt:variant>
        <vt:i4>0</vt:i4>
      </vt:variant>
      <vt:variant>
        <vt:i4>0</vt:i4>
      </vt:variant>
      <vt:variant>
        <vt:i4>5</vt:i4>
      </vt:variant>
      <vt:variant>
        <vt:lpwstr>https://www.colombiacompra.gov.co/wp-content/uploads/2024/08/cce-eicp-gi-23_guia_contratacion_prestacion_de_servicios_v1_11-07-2023_def_1_1.pdf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2025-07-25T18:58:00Z</dcterms:created>
  <dcterms:modified xsi:type="dcterms:W3CDTF">2025-07-25T20:30:00Z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