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98BD9" w14:textId="77777777" w:rsidR="009E3415" w:rsidRPr="00787C7C" w:rsidRDefault="009E3415" w:rsidP="009E3415">
      <w:pPr>
        <w:spacing w:line="276" w:lineRule="auto"/>
        <w:jc w:val="both"/>
        <w:rPr>
          <w:rFonts w:ascii="Verdana" w:eastAsia="Calibri" w:hAnsi="Verdana" w:cs="Arial"/>
          <w:b/>
          <w:lang w:val="es-MX"/>
        </w:rPr>
      </w:pPr>
      <w:bookmarkStart w:id="0" w:name="_Hlk143780582"/>
      <w:r w:rsidRPr="00787C7C">
        <w:rPr>
          <w:rFonts w:ascii="Verdana" w:eastAsia="Calibri" w:hAnsi="Verdana" w:cs="Arial"/>
          <w:b/>
          <w:lang w:val="es-MX"/>
        </w:rPr>
        <w:t xml:space="preserve">ACTA DE INICIO – Definición – Marco normativo </w:t>
      </w:r>
    </w:p>
    <w:p w14:paraId="5EA6BD4D" w14:textId="77777777" w:rsidR="009E3415" w:rsidRPr="00787C7C" w:rsidRDefault="009E3415" w:rsidP="009E3415">
      <w:pPr>
        <w:spacing w:after="0"/>
        <w:ind w:firstLine="708"/>
        <w:jc w:val="both"/>
        <w:rPr>
          <w:rFonts w:ascii="Verdana" w:eastAsia="Calibri" w:hAnsi="Verdana" w:cs="Arial"/>
          <w:lang w:val="es-ES" w:eastAsia="es-ES"/>
        </w:rPr>
      </w:pPr>
    </w:p>
    <w:p w14:paraId="3DB91907" w14:textId="77777777" w:rsidR="009E3415" w:rsidRPr="00787C7C" w:rsidRDefault="009E3415" w:rsidP="009E3415">
      <w:pPr>
        <w:spacing w:line="276" w:lineRule="auto"/>
        <w:jc w:val="both"/>
        <w:rPr>
          <w:rFonts w:ascii="Verdana" w:eastAsia="Calibri" w:hAnsi="Verdana" w:cs="Arial"/>
          <w:lang w:val="es-ES" w:eastAsia="es-ES"/>
        </w:rPr>
      </w:pPr>
      <w:r w:rsidRPr="00787C7C">
        <w:rPr>
          <w:rFonts w:ascii="Verdana" w:eastAsia="Calibri" w:hAnsi="Verdana" w:cs="Arial"/>
          <w:lang w:val="es-ES" w:eastAsia="es-ES"/>
        </w:rPr>
        <w:t>El acta de inicio constituye un requisito de ejecución convencional, que se pacta en la minuta del contrato o que el contratista acepta, adhiriéndose al clausulado del pliego de condiciones o documento equivalente. Sin embargo, en el lenguaje de la contratación estatal, el acta de inicio es un documento en el que se fija la fecha en la que comienza el cómputo del plazo 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El fundamento legal que habilita a las partes para establecer la suscripción del acta de inicio como un requisito de ejecución convencional, se encuentra en el segundo inciso del artículo 40 de la Ley 80 de 1993</w:t>
      </w:r>
      <w:r>
        <w:rPr>
          <w:rFonts w:ascii="Verdana" w:eastAsia="Calibri" w:hAnsi="Verdana" w:cs="Arial"/>
          <w:lang w:val="es-ES" w:eastAsia="es-ES"/>
        </w:rPr>
        <w:t>.</w:t>
      </w:r>
    </w:p>
    <w:p w14:paraId="0101E429" w14:textId="77777777" w:rsidR="009E3415" w:rsidRPr="00787C7C" w:rsidRDefault="009E3415" w:rsidP="009E3415">
      <w:pPr>
        <w:spacing w:after="0"/>
        <w:ind w:firstLine="708"/>
        <w:jc w:val="both"/>
        <w:rPr>
          <w:rFonts w:ascii="Verdana" w:eastAsia="Calibri" w:hAnsi="Verdana" w:cs="Arial"/>
          <w:b/>
          <w:lang w:val="es-ES" w:eastAsia="es-ES"/>
        </w:rPr>
      </w:pPr>
    </w:p>
    <w:p w14:paraId="409A985D" w14:textId="77777777" w:rsidR="009E3415" w:rsidRPr="00787C7C" w:rsidRDefault="009E3415" w:rsidP="009E3415">
      <w:pPr>
        <w:spacing w:line="276" w:lineRule="auto"/>
        <w:jc w:val="both"/>
        <w:rPr>
          <w:rFonts w:ascii="Verdana" w:eastAsia="Calibri" w:hAnsi="Verdana" w:cs="Arial"/>
          <w:b/>
          <w:lang w:val="es-MX"/>
        </w:rPr>
      </w:pPr>
      <w:r w:rsidRPr="00787C7C">
        <w:rPr>
          <w:rFonts w:ascii="Verdana" w:eastAsia="Calibri" w:hAnsi="Verdana" w:cs="Arial"/>
          <w:b/>
          <w:lang w:val="es-MX"/>
        </w:rPr>
        <w:t>REQUISITOS DE EJECUCIÓN – Diferencias entre requisitos de perfeccionamiento y ejecución – Requisitos de ejecución legales y convencionales.</w:t>
      </w:r>
    </w:p>
    <w:p w14:paraId="05D40CB8" w14:textId="77777777" w:rsidR="009E3415" w:rsidRPr="00787C7C" w:rsidRDefault="009E3415" w:rsidP="009E3415">
      <w:pPr>
        <w:spacing w:after="0"/>
        <w:jc w:val="both"/>
        <w:rPr>
          <w:rFonts w:ascii="Verdana" w:eastAsia="Calibri" w:hAnsi="Verdana" w:cs="Arial"/>
          <w:lang w:val="es-ES" w:eastAsia="es-ES"/>
        </w:rPr>
      </w:pPr>
      <w:r w:rsidRPr="00787C7C">
        <w:rPr>
          <w:rFonts w:ascii="Verdana" w:eastAsia="Calibri" w:hAnsi="Verdana" w:cs="Arial"/>
          <w:lang w:val="es-ES" w:eastAsia="es-ES"/>
        </w:rPr>
        <w:t xml:space="preserve">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32F8A11F" w14:textId="77777777" w:rsidR="009E3415" w:rsidRPr="00787C7C" w:rsidRDefault="009E3415" w:rsidP="009E3415">
      <w:pPr>
        <w:spacing w:after="0"/>
        <w:jc w:val="both"/>
        <w:rPr>
          <w:rFonts w:ascii="Verdana" w:eastAsia="Calibri" w:hAnsi="Verdana" w:cs="Arial"/>
          <w:lang w:val="es-ES" w:eastAsia="es-ES"/>
        </w:rPr>
      </w:pPr>
    </w:p>
    <w:p w14:paraId="0749F789" w14:textId="77777777" w:rsidR="009E3415" w:rsidRPr="00787C7C" w:rsidRDefault="009E3415" w:rsidP="009E3415">
      <w:pPr>
        <w:spacing w:after="0"/>
        <w:jc w:val="both"/>
        <w:rPr>
          <w:rFonts w:ascii="Verdana" w:eastAsia="Calibri" w:hAnsi="Verdana" w:cs="Arial"/>
          <w:lang w:val="es-ES" w:eastAsia="es-ES"/>
        </w:rPr>
      </w:pPr>
      <w:r w:rsidRPr="00787C7C">
        <w:rPr>
          <w:rFonts w:ascii="Verdana" w:eastAsia="Calibri" w:hAnsi="Verdana" w:cs="Arial"/>
          <w:lang w:val="es-ES" w:eastAsia="es-ES"/>
        </w:rPr>
        <w:t>Además, el artículo 6 de la Constitución dispone que «Los particulares sólo son responsables ante las autoridades por infringir la Constitución y las leyes» y que «Los servidores públicos lo son por la misma causa y por omisión o extralimitación en el ejercicio de sus funciones».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3BA9EB02" w14:textId="77777777" w:rsidR="009E3415" w:rsidRPr="0012268B" w:rsidRDefault="009E3415" w:rsidP="009E3415">
      <w:pPr>
        <w:spacing w:after="0"/>
        <w:ind w:firstLine="708"/>
        <w:jc w:val="both"/>
        <w:rPr>
          <w:rFonts w:ascii="Verdana" w:eastAsia="Calibri" w:hAnsi="Verdana" w:cs="Arial"/>
          <w:lang w:val="es-ES" w:eastAsia="es-ES"/>
        </w:rPr>
      </w:pPr>
    </w:p>
    <w:p w14:paraId="61B91863" w14:textId="77777777" w:rsidR="009E3415" w:rsidRDefault="009E3415" w:rsidP="00E245AB">
      <w:pPr>
        <w:spacing w:after="0"/>
        <w:rPr>
          <w:rFonts w:ascii="Verdana" w:hAnsi="Verdana"/>
        </w:rPr>
      </w:pPr>
    </w:p>
    <w:p w14:paraId="3FE2184B" w14:textId="51A561D4" w:rsidR="00E245AB" w:rsidRPr="0044528D" w:rsidRDefault="00E245AB" w:rsidP="00E245AB">
      <w:pPr>
        <w:spacing w:after="0"/>
        <w:rPr>
          <w:rFonts w:ascii="Verdana" w:hAnsi="Verdana"/>
        </w:rPr>
      </w:pPr>
      <w:r w:rsidRPr="0044528D">
        <w:rPr>
          <w:rFonts w:ascii="Verdana" w:hAnsi="Verdana"/>
        </w:rPr>
        <w:t xml:space="preserve">Bogotá D.C., </w:t>
      </w:r>
      <w:r w:rsidR="00692448">
        <w:rPr>
          <w:rFonts w:ascii="Verdana" w:hAnsi="Verdana"/>
        </w:rPr>
        <w:t>4 de agosto de 2025</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747EF0A1" w14:textId="77777777" w:rsidR="00E53848" w:rsidRPr="00E53848" w:rsidRDefault="00E53848" w:rsidP="00E53848">
      <w:pPr>
        <w:spacing w:after="0" w:line="240" w:lineRule="auto"/>
        <w:rPr>
          <w:rFonts w:ascii="Verdana" w:eastAsia="Calibri" w:hAnsi="Verdana" w:cs="Arial"/>
          <w:b/>
          <w:lang w:val="es-ES" w:eastAsia="es-ES"/>
        </w:rPr>
      </w:pPr>
      <w:r w:rsidRPr="00E53848">
        <w:rPr>
          <w:rFonts w:ascii="Verdana" w:eastAsia="Calibri" w:hAnsi="Verdana" w:cs="Arial"/>
          <w:b/>
          <w:lang w:val="es-ES" w:eastAsia="es-ES"/>
        </w:rPr>
        <w:t>Reynel Andrés Galindo Cárdenas</w:t>
      </w:r>
    </w:p>
    <w:p w14:paraId="44E24168" w14:textId="66B6495D" w:rsidR="00E53848" w:rsidRPr="00E53848" w:rsidRDefault="00E53848" w:rsidP="00E53848">
      <w:pPr>
        <w:spacing w:after="0" w:line="240" w:lineRule="auto"/>
        <w:rPr>
          <w:rFonts w:ascii="Verdana" w:eastAsia="Calibri" w:hAnsi="Verdana" w:cs="Arial"/>
          <w:color w:val="000000"/>
          <w:u w:val="single"/>
          <w:lang w:val="es-ES"/>
        </w:rPr>
      </w:pPr>
      <w:r w:rsidRPr="1916222D">
        <w:rPr>
          <w:rFonts w:ascii="Verdana" w:eastAsia="Calibri" w:hAnsi="Verdana" w:cs="Arial"/>
          <w:color w:val="000000" w:themeColor="text1"/>
          <w:u w:val="single"/>
          <w:lang w:val="es-ES"/>
        </w:rPr>
        <w:t>reynelandres.galindocardenas @yahoo.com</w:t>
      </w:r>
      <w:r w:rsidR="00CA683E" w:rsidRPr="1916222D">
        <w:rPr>
          <w:rFonts w:ascii="Verdana" w:eastAsia="Calibri" w:hAnsi="Verdana" w:cs="Arial"/>
          <w:color w:val="000000" w:themeColor="text1"/>
          <w:u w:val="single"/>
          <w:lang w:val="es-ES"/>
        </w:rPr>
        <w:t xml:space="preserve"> </w:t>
      </w:r>
    </w:p>
    <w:p w14:paraId="36F4026E" w14:textId="77777777" w:rsidR="00E53848" w:rsidRPr="00E53848" w:rsidRDefault="00E53848" w:rsidP="00E53848">
      <w:pPr>
        <w:spacing w:after="0" w:line="240" w:lineRule="auto"/>
        <w:rPr>
          <w:rFonts w:ascii="Verdana" w:eastAsia="Calibri" w:hAnsi="Verdana" w:cs="Arial"/>
          <w:color w:val="000000"/>
          <w:lang w:val="es-ES"/>
        </w:rPr>
      </w:pPr>
      <w:r w:rsidRPr="00E53848">
        <w:rPr>
          <w:rFonts w:ascii="Verdana" w:eastAsia="Calibri" w:hAnsi="Verdana" w:cs="Arial"/>
          <w:color w:val="000000"/>
          <w:lang w:val="es-ES"/>
        </w:rPr>
        <w:t>Bogotá D.C.</w:t>
      </w:r>
    </w:p>
    <w:p w14:paraId="4A0E1306" w14:textId="77777777" w:rsidR="00E53848" w:rsidRDefault="00E53848" w:rsidP="00E53848">
      <w:pPr>
        <w:spacing w:after="0" w:line="240" w:lineRule="auto"/>
        <w:rPr>
          <w:rFonts w:ascii="Verdana" w:eastAsia="Geomanist Light" w:hAnsi="Verdana" w:cs="Arial"/>
          <w:color w:val="000000" w:themeColor="text1"/>
          <w:lang w:val="es-MX"/>
        </w:rPr>
      </w:pPr>
    </w:p>
    <w:p w14:paraId="2AF01BC8" w14:textId="77777777" w:rsidR="00BF6F40" w:rsidRDefault="00BF6F40" w:rsidP="00E53848">
      <w:pPr>
        <w:spacing w:after="0" w:line="240" w:lineRule="auto"/>
        <w:rPr>
          <w:rFonts w:ascii="Verdana" w:eastAsia="Geomanist Light" w:hAnsi="Verdana" w:cs="Arial"/>
          <w:color w:val="000000" w:themeColor="text1"/>
          <w:lang w:val="es-MX"/>
        </w:rPr>
      </w:pPr>
    </w:p>
    <w:p w14:paraId="0C76CDCF" w14:textId="7DB3FCF3" w:rsidR="00BF6F40" w:rsidRPr="00E53848" w:rsidRDefault="00BF6F40" w:rsidP="00BF6F40">
      <w:pPr>
        <w:spacing w:after="0" w:line="240" w:lineRule="auto"/>
        <w:jc w:val="right"/>
        <w:rPr>
          <w:rFonts w:ascii="Verdana" w:eastAsia="Geomanist Light" w:hAnsi="Verdana" w:cs="Arial"/>
          <w:color w:val="000000" w:themeColor="text1"/>
          <w:lang w:val="es-MX"/>
        </w:rPr>
      </w:pPr>
      <w:r w:rsidRPr="00BF6F40">
        <w:rPr>
          <w:rFonts w:ascii="Verdana" w:eastAsia="Geomanist Light" w:hAnsi="Verdana" w:cs="Arial"/>
          <w:color w:val="000000" w:themeColor="text1"/>
          <w:lang w:val="es-MX"/>
        </w:rPr>
        <w:drawing>
          <wp:inline distT="0" distB="0" distL="0" distR="0" wp14:anchorId="7CFBEC36" wp14:editId="67A1D039">
            <wp:extent cx="2690093" cy="777307"/>
            <wp:effectExtent l="0" t="0" r="0" b="3810"/>
            <wp:docPr id="12940063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06323" name=""/>
                    <pic:cNvPicPr/>
                  </pic:nvPicPr>
                  <pic:blipFill>
                    <a:blip r:embed="rId11"/>
                    <a:stretch>
                      <a:fillRect/>
                    </a:stretch>
                  </pic:blipFill>
                  <pic:spPr>
                    <a:xfrm>
                      <a:off x="0" y="0"/>
                      <a:ext cx="2690093" cy="777307"/>
                    </a:xfrm>
                    <a:prstGeom prst="rect">
                      <a:avLst/>
                    </a:prstGeom>
                  </pic:spPr>
                </pic:pic>
              </a:graphicData>
            </a:graphic>
          </wp:inline>
        </w:drawing>
      </w:r>
    </w:p>
    <w:p w14:paraId="18FC9796" w14:textId="77777777" w:rsidR="00E53848" w:rsidRPr="00E53848" w:rsidRDefault="00E53848" w:rsidP="00E53848">
      <w:pPr>
        <w:spacing w:after="0" w:line="240" w:lineRule="auto"/>
        <w:rPr>
          <w:rFonts w:ascii="Verdana" w:eastAsia="Calibri" w:hAnsi="Verdana" w:cs="Arial"/>
          <w:b/>
          <w:bCs/>
          <w:lang w:val="es-ES_tradnl" w:eastAsia="es-ES_tradnl"/>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38"/>
        <w:gridCol w:w="6100"/>
      </w:tblGrid>
      <w:tr w:rsidR="00E53848" w:rsidRPr="00E53848" w14:paraId="120C29BA" w14:textId="77777777" w:rsidTr="1916222D">
        <w:trPr>
          <w:trHeight w:val="300"/>
        </w:trPr>
        <w:tc>
          <w:tcPr>
            <w:tcW w:w="2738" w:type="dxa"/>
          </w:tcPr>
          <w:p w14:paraId="2D501721" w14:textId="77777777" w:rsidR="00E53848" w:rsidRPr="00E53848" w:rsidRDefault="00E53848" w:rsidP="00E53848">
            <w:pPr>
              <w:jc w:val="both"/>
              <w:rPr>
                <w:rFonts w:ascii="Verdana" w:eastAsia="Calibri" w:hAnsi="Verdana" w:cs="Arial"/>
                <w:b/>
                <w:bCs/>
                <w:lang w:val="es-ES_tradnl" w:eastAsia="es-ES_tradnl"/>
              </w:rPr>
            </w:pPr>
          </w:p>
        </w:tc>
        <w:tc>
          <w:tcPr>
            <w:tcW w:w="6100" w:type="dxa"/>
          </w:tcPr>
          <w:p w14:paraId="74942B52" w14:textId="77777777" w:rsidR="00E53848" w:rsidRPr="00E53848" w:rsidRDefault="00E53848" w:rsidP="00E53848">
            <w:pPr>
              <w:jc w:val="both"/>
              <w:rPr>
                <w:rFonts w:ascii="Verdana" w:eastAsia="Calibri" w:hAnsi="Verdana" w:cs="Arial"/>
                <w:b/>
                <w:bCs/>
                <w:lang w:val="es-ES" w:eastAsia="es-ES"/>
              </w:rPr>
            </w:pPr>
            <w:r w:rsidRPr="00E53848">
              <w:rPr>
                <w:rFonts w:ascii="Verdana" w:eastAsia="Calibri" w:hAnsi="Verdana" w:cs="Arial"/>
                <w:b/>
                <w:bCs/>
                <w:lang w:val="es-ES" w:eastAsia="es-ES"/>
              </w:rPr>
              <w:t>Concepto C- 835 de 2025</w:t>
            </w:r>
          </w:p>
          <w:p w14:paraId="337E5EEB" w14:textId="77777777" w:rsidR="00E53848" w:rsidRPr="00E53848" w:rsidRDefault="00E53848" w:rsidP="00E53848">
            <w:pPr>
              <w:jc w:val="both"/>
              <w:rPr>
                <w:rFonts w:ascii="Verdana" w:eastAsia="Calibri" w:hAnsi="Verdana" w:cs="Arial"/>
                <w:b/>
                <w:bCs/>
                <w:lang w:val="es-ES" w:eastAsia="es-ES"/>
              </w:rPr>
            </w:pPr>
          </w:p>
        </w:tc>
      </w:tr>
      <w:tr w:rsidR="00E53848" w:rsidRPr="00E53848" w14:paraId="2F2F8D3D" w14:textId="77777777" w:rsidTr="1916222D">
        <w:trPr>
          <w:trHeight w:val="300"/>
        </w:trPr>
        <w:tc>
          <w:tcPr>
            <w:tcW w:w="2738" w:type="dxa"/>
          </w:tcPr>
          <w:p w14:paraId="77A97B91" w14:textId="77777777" w:rsidR="00E53848" w:rsidRPr="00E53848" w:rsidRDefault="00E53848" w:rsidP="00E53848">
            <w:pPr>
              <w:jc w:val="both"/>
              <w:rPr>
                <w:rFonts w:ascii="Verdana" w:eastAsia="Calibri" w:hAnsi="Verdana" w:cs="Arial"/>
                <w:lang w:val="es-ES_tradnl" w:eastAsia="es-ES_tradnl"/>
              </w:rPr>
            </w:pPr>
            <w:r w:rsidRPr="00E53848">
              <w:rPr>
                <w:rFonts w:ascii="Verdana" w:eastAsia="Calibri" w:hAnsi="Verdana" w:cs="Arial"/>
                <w:b/>
                <w:lang w:val="es-ES_tradnl" w:eastAsia="es-ES_tradnl"/>
              </w:rPr>
              <w:t>Temas:</w:t>
            </w:r>
            <w:r w:rsidRPr="00E53848">
              <w:rPr>
                <w:rFonts w:ascii="Verdana" w:eastAsia="Calibri" w:hAnsi="Verdana" w:cs="Arial"/>
                <w:lang w:val="es-ES_tradnl" w:eastAsia="es-ES_tradnl"/>
              </w:rPr>
              <w:t xml:space="preserve">                   </w:t>
            </w:r>
          </w:p>
        </w:tc>
        <w:tc>
          <w:tcPr>
            <w:tcW w:w="6100" w:type="dxa"/>
          </w:tcPr>
          <w:p w14:paraId="3BF64FF4" w14:textId="6CC9CAF1" w:rsidR="00E53848" w:rsidRPr="00BF13E7" w:rsidRDefault="003A38D0" w:rsidP="00E53848">
            <w:pPr>
              <w:spacing w:line="276" w:lineRule="auto"/>
              <w:jc w:val="both"/>
              <w:rPr>
                <w:rFonts w:ascii="Verdana" w:eastAsia="Calibri" w:hAnsi="Verdana" w:cs="Arial"/>
                <w:lang w:val="es-MX"/>
              </w:rPr>
            </w:pPr>
            <w:r w:rsidRPr="1916222D">
              <w:rPr>
                <w:rFonts w:ascii="Verdana" w:eastAsia="Calibri" w:hAnsi="Verdana" w:cs="Arial"/>
                <w:lang w:val="es-ES"/>
              </w:rPr>
              <w:t>REQUISITOS DE PERFECCIONAMIENTO – Contrato estatal – Solemne / REQUISITOS DE EJECUCIÓN – Contrato estatal – Legales y convencionales /</w:t>
            </w:r>
            <w:r w:rsidR="00287888" w:rsidRPr="1916222D">
              <w:rPr>
                <w:rFonts w:ascii="Verdana" w:eastAsia="Calibri" w:hAnsi="Verdana" w:cs="Arial"/>
                <w:lang w:val="es-ES"/>
              </w:rPr>
              <w:t xml:space="preserve"> APROBACIÓN DE GARANTÍAS – Requisito de ejecución / </w:t>
            </w:r>
            <w:r w:rsidR="00E53848" w:rsidRPr="1916222D">
              <w:rPr>
                <w:rFonts w:ascii="Verdana" w:eastAsia="Calibri" w:hAnsi="Verdana" w:cs="Arial"/>
                <w:lang w:val="es-MX"/>
              </w:rPr>
              <w:t xml:space="preserve">ACTA DE INICIO – Definición – Marco normativo </w:t>
            </w:r>
            <w:r w:rsidR="00287888" w:rsidRPr="1916222D">
              <w:rPr>
                <w:rFonts w:ascii="Verdana" w:eastAsia="Calibri" w:hAnsi="Verdana" w:cs="Arial"/>
                <w:lang w:val="es-MX"/>
              </w:rPr>
              <w:t xml:space="preserve">/ </w:t>
            </w:r>
            <w:r w:rsidR="00F74789" w:rsidRPr="1916222D">
              <w:rPr>
                <w:rFonts w:ascii="Verdana" w:eastAsia="Calibri" w:hAnsi="Verdana" w:cs="Arial"/>
                <w:lang w:val="es-MX"/>
              </w:rPr>
              <w:t xml:space="preserve">REQUISITOS DE </w:t>
            </w:r>
            <w:r w:rsidR="0041490C" w:rsidRPr="1916222D">
              <w:rPr>
                <w:rFonts w:ascii="Verdana" w:eastAsia="Calibri" w:hAnsi="Verdana" w:cs="Arial"/>
                <w:lang w:val="es-MX"/>
              </w:rPr>
              <w:t xml:space="preserve">EJECUCIÓN </w:t>
            </w:r>
            <w:r w:rsidR="0041490C" w:rsidRPr="0041490C">
              <w:rPr>
                <w:rFonts w:ascii="Verdana" w:eastAsia="Calibri" w:hAnsi="Verdana" w:cs="Arial"/>
                <w:bCs/>
                <w:lang w:val="es-MX"/>
              </w:rPr>
              <w:t>-</w:t>
            </w:r>
            <w:r w:rsidR="00F74789" w:rsidRPr="1916222D">
              <w:rPr>
                <w:rFonts w:ascii="Verdana" w:eastAsia="Calibri" w:hAnsi="Verdana" w:cs="Arial"/>
                <w:lang w:val="es-MX"/>
              </w:rPr>
              <w:t xml:space="preserve"> </w:t>
            </w:r>
            <w:r w:rsidR="00E53848" w:rsidRPr="1916222D">
              <w:rPr>
                <w:rFonts w:ascii="Verdana" w:eastAsia="Calibri" w:hAnsi="Verdana" w:cs="Arial"/>
                <w:lang w:val="es-MX"/>
              </w:rPr>
              <w:t>legales y convencionales</w:t>
            </w:r>
            <w:r w:rsidR="00F74789" w:rsidRPr="1916222D">
              <w:rPr>
                <w:rFonts w:ascii="Verdana" w:eastAsia="Calibri" w:hAnsi="Verdana" w:cs="Arial"/>
                <w:lang w:val="es-MX"/>
              </w:rPr>
              <w:t xml:space="preserve"> – Aprobación de garantías – Acta de inicio</w:t>
            </w:r>
          </w:p>
          <w:p w14:paraId="73661B3B" w14:textId="77777777" w:rsidR="00E53848" w:rsidRPr="00E53848" w:rsidRDefault="00E53848" w:rsidP="00E53848">
            <w:pPr>
              <w:spacing w:line="276" w:lineRule="auto"/>
              <w:jc w:val="both"/>
              <w:rPr>
                <w:rFonts w:ascii="Verdana" w:eastAsia="Calibri" w:hAnsi="Verdana" w:cs="Arial"/>
                <w:lang w:val="es-ES" w:eastAsia="es-ES"/>
              </w:rPr>
            </w:pPr>
          </w:p>
        </w:tc>
      </w:tr>
      <w:tr w:rsidR="00E53848" w:rsidRPr="00E53848" w14:paraId="1A95A00C" w14:textId="77777777" w:rsidTr="1916222D">
        <w:trPr>
          <w:trHeight w:val="300"/>
        </w:trPr>
        <w:tc>
          <w:tcPr>
            <w:tcW w:w="2738" w:type="dxa"/>
          </w:tcPr>
          <w:p w14:paraId="4E4A18BA" w14:textId="77777777" w:rsidR="00E53848" w:rsidRPr="00E53848" w:rsidRDefault="00E53848" w:rsidP="00E53848">
            <w:pPr>
              <w:jc w:val="both"/>
              <w:rPr>
                <w:rFonts w:ascii="Verdana" w:eastAsia="Calibri" w:hAnsi="Verdana" w:cs="Arial"/>
                <w:b/>
                <w:lang w:val="es-ES_tradnl" w:eastAsia="es-ES_tradnl"/>
              </w:rPr>
            </w:pPr>
            <w:r w:rsidRPr="00E53848">
              <w:rPr>
                <w:rFonts w:ascii="Verdana" w:eastAsia="Calibri" w:hAnsi="Verdana" w:cs="Arial"/>
                <w:b/>
                <w:lang w:val="es-ES_tradnl" w:eastAsia="es-ES_tradnl"/>
              </w:rPr>
              <w:t>Radicación:</w:t>
            </w:r>
            <w:r w:rsidRPr="00E53848">
              <w:rPr>
                <w:rFonts w:ascii="Verdana" w:eastAsia="Calibri" w:hAnsi="Verdana" w:cs="Arial"/>
                <w:lang w:val="es-ES_tradnl" w:eastAsia="es-ES_tradnl"/>
              </w:rPr>
              <w:t xml:space="preserve">               </w:t>
            </w:r>
          </w:p>
        </w:tc>
        <w:tc>
          <w:tcPr>
            <w:tcW w:w="6100" w:type="dxa"/>
          </w:tcPr>
          <w:p w14:paraId="0BA380EC" w14:textId="1F5E1C23" w:rsidR="00E53848" w:rsidRPr="00E53848" w:rsidRDefault="00E53848" w:rsidP="00E53848">
            <w:pPr>
              <w:jc w:val="both"/>
              <w:rPr>
                <w:rFonts w:ascii="Verdana" w:eastAsia="Calibri" w:hAnsi="Verdana" w:cs="Arial"/>
                <w:lang w:val="es-ES_tradnl" w:eastAsia="es-ES_tradnl"/>
              </w:rPr>
            </w:pPr>
            <w:r w:rsidRPr="00E53848">
              <w:rPr>
                <w:rFonts w:ascii="Verdana" w:eastAsia="Calibri" w:hAnsi="Verdana" w:cs="Arial"/>
                <w:lang w:val="es-ES_tradnl" w:eastAsia="es-ES_tradnl"/>
              </w:rPr>
              <w:t>Respuesta a consulta con radicado No.</w:t>
            </w:r>
            <w:r w:rsidRPr="00E53848">
              <w:rPr>
                <w:rFonts w:ascii="Verdana" w:hAnsi="Verdana"/>
              </w:rPr>
              <w:t xml:space="preserve"> </w:t>
            </w:r>
            <w:r w:rsidRPr="00E53848">
              <w:rPr>
                <w:rFonts w:ascii="Verdana" w:eastAsia="Calibri" w:hAnsi="Verdana" w:cs="Arial"/>
                <w:lang w:val="es-ES_tradnl" w:eastAsia="es-ES_tradnl"/>
              </w:rPr>
              <w:t>1_2025_06_25_006325</w:t>
            </w:r>
          </w:p>
        </w:tc>
      </w:tr>
    </w:tbl>
    <w:p w14:paraId="7929BCAE" w14:textId="77777777" w:rsidR="00E53848" w:rsidRPr="00E53848" w:rsidRDefault="00E53848" w:rsidP="00E53848">
      <w:pPr>
        <w:spacing w:after="0" w:line="240" w:lineRule="auto"/>
        <w:jc w:val="both"/>
        <w:rPr>
          <w:rFonts w:ascii="Verdana" w:eastAsia="Calibri" w:hAnsi="Verdana" w:cs="Arial"/>
          <w:lang w:val="es-ES_tradnl" w:eastAsia="es-ES_tradnl"/>
        </w:rPr>
      </w:pPr>
    </w:p>
    <w:p w14:paraId="5138549F" w14:textId="77777777" w:rsidR="00E53848" w:rsidRPr="00E53848" w:rsidRDefault="00E53848" w:rsidP="00E53848">
      <w:pPr>
        <w:spacing w:after="0" w:line="240" w:lineRule="auto"/>
        <w:jc w:val="both"/>
        <w:rPr>
          <w:rFonts w:ascii="Verdana" w:eastAsia="Calibri" w:hAnsi="Verdana" w:cs="Arial"/>
          <w:lang w:val="es-ES_tradnl" w:eastAsia="es-ES_tradnl"/>
        </w:rPr>
      </w:pPr>
    </w:p>
    <w:p w14:paraId="791349E0" w14:textId="77777777" w:rsidR="00E53848" w:rsidRPr="00E53848" w:rsidRDefault="00E53848" w:rsidP="00E53848">
      <w:pPr>
        <w:spacing w:after="0" w:line="276" w:lineRule="auto"/>
        <w:jc w:val="both"/>
        <w:rPr>
          <w:rFonts w:ascii="Verdana" w:eastAsia="Calibri" w:hAnsi="Verdana" w:cs="Arial"/>
          <w:lang w:val="es-ES" w:eastAsia="es-ES"/>
        </w:rPr>
      </w:pPr>
      <w:r w:rsidRPr="00E53848">
        <w:rPr>
          <w:rFonts w:ascii="Verdana" w:eastAsia="Calibri" w:hAnsi="Verdana" w:cs="Arial"/>
          <w:lang w:val="es-ES" w:eastAsia="es-ES"/>
        </w:rPr>
        <w:t xml:space="preserve">Estimado señor Galindo: </w:t>
      </w:r>
    </w:p>
    <w:p w14:paraId="740608B6" w14:textId="77777777" w:rsidR="00E53848" w:rsidRPr="00E53848" w:rsidRDefault="00E53848" w:rsidP="00E53848">
      <w:pPr>
        <w:tabs>
          <w:tab w:val="left" w:pos="3768"/>
        </w:tabs>
        <w:spacing w:after="0" w:line="276" w:lineRule="auto"/>
        <w:jc w:val="both"/>
        <w:rPr>
          <w:rFonts w:ascii="Verdana" w:eastAsia="Calibri" w:hAnsi="Verdana" w:cs="Arial"/>
          <w:lang w:val="es-ES" w:eastAsia="es-ES"/>
        </w:rPr>
      </w:pPr>
      <w:r w:rsidRPr="00E53848">
        <w:rPr>
          <w:rFonts w:ascii="Verdana" w:eastAsia="Calibri" w:hAnsi="Verdana" w:cs="Arial"/>
          <w:lang w:val="es-ES" w:eastAsia="es-ES"/>
        </w:rPr>
        <w:tab/>
      </w:r>
    </w:p>
    <w:p w14:paraId="26893584" w14:textId="3C52947C" w:rsidR="00E53848" w:rsidRPr="00E53848" w:rsidRDefault="00E53848" w:rsidP="1916222D">
      <w:pPr>
        <w:spacing w:after="0" w:line="276" w:lineRule="auto"/>
        <w:jc w:val="both"/>
        <w:rPr>
          <w:rFonts w:ascii="Verdana" w:eastAsia="Calibri" w:hAnsi="Verdana" w:cs="Arial"/>
          <w:lang w:val="es-ES" w:eastAsia="es-ES"/>
        </w:rPr>
      </w:pPr>
      <w:r w:rsidRPr="00E53848">
        <w:rPr>
          <w:rFonts w:ascii="Verdana" w:eastAsia="Calibri" w:hAnsi="Verdana" w:cs="Arial"/>
          <w:lang w:val="es-ES" w:eastAsia="es-ES"/>
        </w:rPr>
        <w:t>En ejercicio de la competencia otorgada por los artículos 3, numeral 5º, y 11, numeral 8º, del Decreto Ley 4170 de 2011,</w:t>
      </w:r>
      <w:r w:rsidRPr="00E53848">
        <w:rPr>
          <w:rFonts w:ascii="Verdana" w:eastAsia="Arial MT" w:hAnsi="Verdana" w:cs="Arial MT"/>
          <w:lang w:val="es-ES" w:eastAsia="es-ES"/>
        </w:rPr>
        <w:t xml:space="preserve"> </w:t>
      </w:r>
      <w:r w:rsidRPr="00E53848">
        <w:rPr>
          <w:rFonts w:ascii="Verdana" w:hAnsi="Verdana" w:cs="Arial"/>
        </w:rPr>
        <w:t xml:space="preserve">así como lo establecido en el artículo 4 de la Resolución 1707 de 2018 expedida por esta Entidad, </w:t>
      </w:r>
      <w:r w:rsidRPr="00E53848">
        <w:rPr>
          <w:rFonts w:ascii="Verdana" w:eastAsia="Calibri" w:hAnsi="Verdana" w:cs="Arial"/>
          <w:lang w:val="es-ES" w:eastAsia="es-ES"/>
        </w:rPr>
        <w:t>la Agencia Nacional de Contratación Pública – Colombia Compra Eficiente– responde su solicitud de consulta</w:t>
      </w:r>
      <w:r w:rsidR="00E321C4" w:rsidRPr="1916222D">
        <w:rPr>
          <w:rFonts w:ascii="Verdana" w:eastAsia="Calibri" w:hAnsi="Verdana" w:cs="Arial"/>
          <w:lang w:val="es-ES" w:eastAsia="es-ES"/>
        </w:rPr>
        <w:t>, remitida por el Departamento Nacional</w:t>
      </w:r>
      <w:r w:rsidRPr="00E53848">
        <w:rPr>
          <w:rFonts w:ascii="Verdana" w:eastAsia="Calibri" w:hAnsi="Verdana" w:cs="Arial"/>
          <w:lang w:val="es-ES" w:eastAsia="es-ES"/>
        </w:rPr>
        <w:t xml:space="preserve"> de </w:t>
      </w:r>
      <w:r w:rsidR="00E321C4" w:rsidRPr="1916222D">
        <w:rPr>
          <w:rFonts w:ascii="Verdana" w:eastAsia="Calibri" w:hAnsi="Verdana" w:cs="Arial"/>
          <w:lang w:val="es-ES" w:eastAsia="es-ES"/>
        </w:rPr>
        <w:t>Función Pública, el</w:t>
      </w:r>
      <w:r w:rsidRPr="00E53848">
        <w:rPr>
          <w:rFonts w:ascii="Verdana" w:eastAsia="Calibri" w:hAnsi="Verdana" w:cs="Arial"/>
          <w:lang w:val="es-ES" w:eastAsia="es-ES"/>
        </w:rPr>
        <w:t xml:space="preserve"> 25 de junio de 2025, en la cual manifiesta lo siguiente:</w:t>
      </w:r>
    </w:p>
    <w:p w14:paraId="78D6C51E" w14:textId="77777777" w:rsidR="00E53848" w:rsidRPr="00E53848" w:rsidRDefault="00E53848" w:rsidP="1916222D">
      <w:pPr>
        <w:spacing w:after="0" w:line="276" w:lineRule="auto"/>
        <w:jc w:val="both"/>
        <w:rPr>
          <w:rFonts w:ascii="Verdana" w:eastAsia="Calibri" w:hAnsi="Verdana" w:cs="Arial"/>
          <w:lang w:val="es-ES" w:eastAsia="es-ES"/>
        </w:rPr>
      </w:pPr>
    </w:p>
    <w:p w14:paraId="62550AA1" w14:textId="7D938979" w:rsidR="00E53848" w:rsidRPr="00BF13E7" w:rsidRDefault="00E53848" w:rsidP="00945DA1">
      <w:pPr>
        <w:spacing w:after="0" w:line="240" w:lineRule="auto"/>
        <w:ind w:left="567" w:right="618"/>
        <w:jc w:val="both"/>
        <w:rPr>
          <w:rFonts w:ascii="Verdana" w:hAnsi="Verdana"/>
          <w:sz w:val="20"/>
          <w:szCs w:val="20"/>
        </w:rPr>
      </w:pPr>
      <w:r w:rsidRPr="1916222D">
        <w:rPr>
          <w:rFonts w:ascii="Verdana" w:eastAsia="Calibri" w:hAnsi="Verdana" w:cs="Arial"/>
          <w:sz w:val="20"/>
          <w:szCs w:val="20"/>
          <w:lang w:val="es-ES" w:eastAsia="es-ES"/>
        </w:rPr>
        <w:t>“</w:t>
      </w:r>
      <w:r w:rsidRPr="1916222D">
        <w:rPr>
          <w:rFonts w:ascii="Verdana" w:hAnsi="Verdana"/>
          <w:sz w:val="20"/>
          <w:szCs w:val="20"/>
        </w:rPr>
        <w:t xml:space="preserve">¿En el marco de los procesos contractuales, un elemento fundamental para proceder con dar inicio a los contratos estatales son las pólizas de garantías. ahora tendiendo en cuenta que para los procesos de contratación se dispone de la plataforma del Secop II, como instrumento para garantizar </w:t>
      </w:r>
      <w:r w:rsidRPr="1916222D">
        <w:rPr>
          <w:rFonts w:ascii="Verdana" w:hAnsi="Verdana"/>
          <w:sz w:val="20"/>
          <w:szCs w:val="20"/>
        </w:rPr>
        <w:lastRenderedPageBreak/>
        <w:t>transparencia en los tramites contractuales y en line se suscriben los contratos y normalmente posterior a ello, se emiten actas de inicio.</w:t>
      </w:r>
    </w:p>
    <w:p w14:paraId="53A66E4F" w14:textId="77777777" w:rsidR="00EC389F" w:rsidRPr="00BF13E7" w:rsidRDefault="00EC389F" w:rsidP="1916222D">
      <w:pPr>
        <w:spacing w:after="0" w:line="240" w:lineRule="auto"/>
        <w:ind w:left="567" w:right="618"/>
        <w:jc w:val="both"/>
        <w:rPr>
          <w:rFonts w:ascii="Verdana" w:hAnsi="Verdana"/>
          <w:sz w:val="20"/>
          <w:szCs w:val="20"/>
        </w:rPr>
      </w:pPr>
    </w:p>
    <w:p w14:paraId="7385B0B4" w14:textId="77777777" w:rsidR="00E53848" w:rsidRPr="00BF13E7" w:rsidRDefault="00E53848" w:rsidP="00945DA1">
      <w:pPr>
        <w:spacing w:after="0" w:line="240" w:lineRule="auto"/>
        <w:ind w:left="567" w:right="618"/>
        <w:jc w:val="both"/>
        <w:rPr>
          <w:rFonts w:ascii="Verdana" w:hAnsi="Verdana"/>
          <w:sz w:val="20"/>
          <w:szCs w:val="20"/>
        </w:rPr>
      </w:pPr>
      <w:r w:rsidRPr="1916222D">
        <w:rPr>
          <w:rFonts w:ascii="Verdana" w:hAnsi="Verdana"/>
          <w:sz w:val="20"/>
          <w:szCs w:val="20"/>
        </w:rPr>
        <w:t>En ese orden me permito preguntar;</w:t>
      </w:r>
    </w:p>
    <w:p w14:paraId="03581914" w14:textId="77777777" w:rsidR="00EC389F" w:rsidRPr="00BF13E7" w:rsidRDefault="00EC389F" w:rsidP="1916222D">
      <w:pPr>
        <w:spacing w:after="0" w:line="240" w:lineRule="auto"/>
        <w:ind w:left="567" w:right="618"/>
        <w:jc w:val="both"/>
        <w:rPr>
          <w:rFonts w:ascii="Verdana" w:hAnsi="Verdana"/>
          <w:sz w:val="20"/>
          <w:szCs w:val="20"/>
        </w:rPr>
      </w:pPr>
    </w:p>
    <w:p w14:paraId="6AD8F102" w14:textId="77777777" w:rsidR="00E53848" w:rsidRPr="00BF13E7" w:rsidRDefault="00E53848" w:rsidP="00945DA1">
      <w:pPr>
        <w:spacing w:after="0" w:line="240" w:lineRule="auto"/>
        <w:ind w:left="567" w:right="618"/>
        <w:jc w:val="both"/>
        <w:rPr>
          <w:rFonts w:ascii="Verdana" w:hAnsi="Verdana"/>
          <w:sz w:val="20"/>
          <w:szCs w:val="20"/>
        </w:rPr>
      </w:pPr>
      <w:r w:rsidRPr="1916222D">
        <w:rPr>
          <w:rFonts w:ascii="Verdana" w:hAnsi="Verdana"/>
          <w:sz w:val="20"/>
          <w:szCs w:val="20"/>
        </w:rPr>
        <w:t>1. Las Pólizas de garantías de los contratos Estatales entran en vigencia a partir del momento en el que se suscribe el contrato? es decir, los tiempos establecidos para la garantías del contrato se cuentan desde el mismo momento en que se suscribió el contrato, o, a partir del momento en el que se da acta de inicio al contrato Estatal?</w:t>
      </w:r>
    </w:p>
    <w:p w14:paraId="50D5D7F2" w14:textId="77777777" w:rsidR="00EC389F" w:rsidRPr="00BF13E7" w:rsidRDefault="00EC389F" w:rsidP="1916222D">
      <w:pPr>
        <w:spacing w:after="0" w:line="240" w:lineRule="auto"/>
        <w:ind w:left="567" w:right="618"/>
        <w:jc w:val="both"/>
        <w:rPr>
          <w:rFonts w:ascii="Verdana" w:hAnsi="Verdana"/>
          <w:sz w:val="20"/>
          <w:szCs w:val="20"/>
        </w:rPr>
      </w:pPr>
    </w:p>
    <w:p w14:paraId="1FA2D13D" w14:textId="77777777" w:rsidR="00E53848" w:rsidRPr="00BF13E7" w:rsidRDefault="00E53848" w:rsidP="1916222D">
      <w:pPr>
        <w:spacing w:after="0" w:line="240" w:lineRule="auto"/>
        <w:ind w:left="567" w:right="618"/>
        <w:jc w:val="both"/>
        <w:rPr>
          <w:rFonts w:ascii="Verdana" w:hAnsi="Verdana"/>
          <w:sz w:val="20"/>
          <w:szCs w:val="20"/>
        </w:rPr>
      </w:pPr>
      <w:r w:rsidRPr="1916222D">
        <w:rPr>
          <w:rFonts w:ascii="Verdana" w:hAnsi="Verdana"/>
          <w:sz w:val="20"/>
          <w:szCs w:val="20"/>
        </w:rPr>
        <w:t>2. El acta de inicio tiene valides jurídica en el marco de los procesos contractuales?” [sic].</w:t>
      </w:r>
    </w:p>
    <w:p w14:paraId="4441E036" w14:textId="77777777" w:rsidR="00E53848" w:rsidRPr="00E53848" w:rsidRDefault="00E53848" w:rsidP="1916222D">
      <w:pPr>
        <w:spacing w:after="0" w:line="276" w:lineRule="auto"/>
        <w:jc w:val="both"/>
        <w:rPr>
          <w:rFonts w:ascii="Verdana" w:hAnsi="Verdana"/>
          <w:i/>
          <w:iCs/>
        </w:rPr>
      </w:pPr>
    </w:p>
    <w:p w14:paraId="2E43434C" w14:textId="09E1A5AC" w:rsidR="00E53848" w:rsidRPr="00E53848" w:rsidRDefault="00E53848" w:rsidP="00E53848">
      <w:pPr>
        <w:spacing w:after="120" w:line="276" w:lineRule="auto"/>
        <w:jc w:val="both"/>
        <w:rPr>
          <w:rFonts w:ascii="Verdana" w:eastAsia="Calibri" w:hAnsi="Verdana" w:cs="Arial"/>
          <w:lang w:val="es-ES" w:eastAsia="es-ES"/>
        </w:rPr>
      </w:pPr>
      <w:r w:rsidRPr="00E53848">
        <w:rPr>
          <w:rFonts w:ascii="Verdana" w:eastAsia="Century Gothic" w:hAnsi="Verdana" w:cs="Century Gothic"/>
          <w:b/>
          <w:bCs/>
        </w:rPr>
        <w:tab/>
      </w:r>
      <w:r w:rsidRPr="00E5384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27550C">
        <w:rPr>
          <w:rFonts w:ascii="Verdana" w:eastAsia="Calibri" w:hAnsi="Verdana" w:cs="Arial"/>
          <w:lang w:val="es-ES" w:eastAsia="es-ES"/>
        </w:rPr>
        <w:t>la Agencia Nacional de Contratación Pública –</w:t>
      </w:r>
      <w:r w:rsidRPr="00E53848">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3848">
        <w:rPr>
          <w:rFonts w:ascii="Verdana" w:eastAsia="Calibri" w:hAnsi="Verdana" w:cs="Arial"/>
          <w:szCs w:val="24"/>
          <w:lang w:val="es-ES_tradnl" w:eastAsia="es-ES_tradnl"/>
        </w:rPr>
        <w:tab/>
      </w:r>
    </w:p>
    <w:p w14:paraId="0121B568" w14:textId="7C777B66" w:rsidR="00E53848" w:rsidRPr="00E53848" w:rsidRDefault="00E53848" w:rsidP="1916222D">
      <w:pPr>
        <w:spacing w:after="120" w:line="276" w:lineRule="auto"/>
        <w:jc w:val="both"/>
        <w:rPr>
          <w:rFonts w:ascii="Verdana" w:eastAsia="Calibri" w:hAnsi="Verdana" w:cs="Arial"/>
          <w:lang w:val="es-ES" w:eastAsia="es-ES"/>
        </w:rPr>
      </w:pPr>
      <w:r w:rsidRPr="00E5384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47573D" w:rsidRPr="1916222D">
        <w:rPr>
          <w:rFonts w:ascii="Verdana" w:eastAsia="Calibri" w:hAnsi="Verdana" w:cs="Arial"/>
          <w:lang w:val="es-ES" w:eastAsia="es-ES"/>
        </w:rPr>
        <w:t>señalando alg</w:t>
      </w:r>
      <w:r w:rsidRPr="1916222D">
        <w:rPr>
          <w:rFonts w:ascii="Verdana" w:eastAsia="Calibri" w:hAnsi="Verdana" w:cs="Arial"/>
          <w:lang w:val="es-ES" w:eastAsia="es-ES"/>
        </w:rPr>
        <w:t>unas</w:t>
      </w:r>
      <w:r w:rsidRPr="00E53848">
        <w:rPr>
          <w:rFonts w:ascii="Verdana" w:eastAsia="Calibri" w:hAnsi="Verdana" w:cs="Arial"/>
          <w:lang w:val="es-ES" w:eastAsia="es-ES"/>
        </w:rPr>
        <w:t xml:space="preserve"> consideraciones sobre las normas generales relacionadas con el problema jurídico de su consulta. </w:t>
      </w:r>
    </w:p>
    <w:p w14:paraId="05390491" w14:textId="77777777" w:rsidR="00E53848" w:rsidRPr="00E53848" w:rsidRDefault="00E53848" w:rsidP="00E53848">
      <w:pPr>
        <w:spacing w:after="0" w:line="276" w:lineRule="auto"/>
        <w:jc w:val="both"/>
        <w:rPr>
          <w:rFonts w:ascii="Verdana" w:eastAsia="Calibri" w:hAnsi="Verdana" w:cs="Arial"/>
          <w:lang w:val="es-ES" w:eastAsia="es-ES"/>
        </w:rPr>
      </w:pPr>
    </w:p>
    <w:p w14:paraId="7770E17A" w14:textId="49728C84" w:rsidR="00E53848" w:rsidRPr="00E53848" w:rsidRDefault="0079034F" w:rsidP="00945DA1">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1. </w:t>
      </w:r>
      <w:r w:rsidR="00E53848" w:rsidRPr="00E53848">
        <w:rPr>
          <w:rFonts w:ascii="Verdana" w:eastAsia="Century Gothic" w:hAnsi="Verdana" w:cs="Century Gothic"/>
          <w:b/>
          <w:bCs/>
          <w:lang w:val="es-ES"/>
        </w:rPr>
        <w:t>Problema planteado:</w:t>
      </w:r>
    </w:p>
    <w:p w14:paraId="4086F080" w14:textId="77777777" w:rsidR="00E53848" w:rsidRPr="00E53848" w:rsidRDefault="00E53848" w:rsidP="00E53848">
      <w:pPr>
        <w:spacing w:after="0" w:line="276" w:lineRule="auto"/>
        <w:jc w:val="both"/>
        <w:rPr>
          <w:rFonts w:ascii="Verdana" w:eastAsia="Calibri" w:hAnsi="Verdana" w:cs="Arial"/>
          <w:lang w:val="es-ES" w:eastAsia="es-ES"/>
        </w:rPr>
      </w:pPr>
    </w:p>
    <w:p w14:paraId="13C53DBD" w14:textId="592380B0" w:rsidR="00E53848" w:rsidRPr="00E53848" w:rsidRDefault="00E53848" w:rsidP="00E53848">
      <w:pPr>
        <w:spacing w:after="0" w:line="276" w:lineRule="auto"/>
        <w:jc w:val="both"/>
        <w:rPr>
          <w:rFonts w:ascii="Verdana" w:eastAsia="Calibri" w:hAnsi="Verdana" w:cs="Arial"/>
          <w:lang w:val="es-ES" w:eastAsia="es-ES"/>
        </w:rPr>
      </w:pPr>
      <w:r w:rsidRPr="00E53848">
        <w:rPr>
          <w:rFonts w:ascii="Verdana" w:eastAsia="Century Gothic" w:hAnsi="Verdana" w:cs="Century Gothic"/>
        </w:rPr>
        <w:t xml:space="preserve">De acuerdo con el contenido de su solicitud, esta Agencia resolverá los siguientes problemas jurídicos: </w:t>
      </w:r>
      <w:r w:rsidR="001455C5" w:rsidRPr="1916222D">
        <w:rPr>
          <w:rFonts w:ascii="Verdana" w:eastAsia="Century Gothic" w:hAnsi="Verdana" w:cs="Century Gothic"/>
        </w:rPr>
        <w:t xml:space="preserve">i) </w:t>
      </w:r>
      <w:r w:rsidR="001455C5" w:rsidRPr="1916222D">
        <w:rPr>
          <w:rFonts w:ascii="Verdana" w:hAnsi="Verdana"/>
        </w:rPr>
        <w:t>¿</w:t>
      </w:r>
      <w:r w:rsidR="001455C5" w:rsidRPr="1916222D">
        <w:rPr>
          <w:rFonts w:ascii="Verdana" w:eastAsia="Calibri" w:hAnsi="Verdana" w:cs="Arial"/>
          <w:lang w:val="es-ES" w:eastAsia="es-ES"/>
        </w:rPr>
        <w:t xml:space="preserve">Cuáles </w:t>
      </w:r>
      <w:r w:rsidR="00936465" w:rsidRPr="1916222D">
        <w:rPr>
          <w:rFonts w:ascii="Verdana" w:eastAsia="Calibri" w:hAnsi="Verdana" w:cs="Arial"/>
          <w:lang w:val="es-ES" w:eastAsia="es-ES"/>
        </w:rPr>
        <w:t>es la naturaleza de la obligación de constituir garantías en el marco de los contratos estatales</w:t>
      </w:r>
      <w:r w:rsidR="002353D6" w:rsidRPr="1916222D">
        <w:rPr>
          <w:rFonts w:ascii="Verdana" w:eastAsia="Calibri" w:hAnsi="Verdana" w:cs="Arial"/>
          <w:lang w:val="es-ES" w:eastAsia="es-ES"/>
        </w:rPr>
        <w:t xml:space="preserve"> y a partir de qué momento se </w:t>
      </w:r>
      <w:r w:rsidR="002353D6" w:rsidRPr="1916222D">
        <w:rPr>
          <w:rFonts w:ascii="Verdana" w:eastAsia="Calibri" w:hAnsi="Verdana" w:cs="Arial"/>
          <w:lang w:val="es-ES" w:eastAsia="es-ES"/>
        </w:rPr>
        <w:lastRenderedPageBreak/>
        <w:t>entiende que empieza su vigencia</w:t>
      </w:r>
      <w:r w:rsidR="001455C5" w:rsidRPr="1916222D">
        <w:rPr>
          <w:rFonts w:ascii="Verdana" w:hAnsi="Verdana"/>
        </w:rPr>
        <w:t>?</w:t>
      </w:r>
      <w:r w:rsidR="00936465" w:rsidRPr="1916222D">
        <w:rPr>
          <w:rFonts w:ascii="Verdana" w:hAnsi="Verdana"/>
        </w:rPr>
        <w:t xml:space="preserve">; </w:t>
      </w:r>
      <w:r w:rsidR="001455C5" w:rsidRPr="1916222D">
        <w:rPr>
          <w:rFonts w:ascii="Verdana" w:hAnsi="Verdana"/>
        </w:rPr>
        <w:t xml:space="preserve">ii) </w:t>
      </w:r>
      <w:r w:rsidRPr="1916222D">
        <w:rPr>
          <w:rFonts w:ascii="Verdana" w:hAnsi="Verdana"/>
        </w:rPr>
        <w:t>¿</w:t>
      </w:r>
      <w:r w:rsidR="00433EDE" w:rsidRPr="1916222D">
        <w:rPr>
          <w:rFonts w:ascii="Verdana" w:hAnsi="Verdana"/>
        </w:rPr>
        <w:t>E</w:t>
      </w:r>
      <w:r w:rsidRPr="1916222D">
        <w:rPr>
          <w:rFonts w:ascii="Verdana" w:hAnsi="Verdana"/>
        </w:rPr>
        <w:t>s</w:t>
      </w:r>
      <w:r w:rsidRPr="00E53848">
        <w:rPr>
          <w:rFonts w:ascii="Verdana" w:hAnsi="Verdana"/>
        </w:rPr>
        <w:t xml:space="preserve"> obligatorio la suscripción del acta de inicio</w:t>
      </w:r>
      <w:r w:rsidR="00433EDE" w:rsidRPr="1916222D">
        <w:rPr>
          <w:rFonts w:ascii="Verdana" w:hAnsi="Verdana"/>
        </w:rPr>
        <w:t xml:space="preserve"> </w:t>
      </w:r>
      <w:r w:rsidR="002A6EF1" w:rsidRPr="1916222D">
        <w:rPr>
          <w:rFonts w:ascii="Verdana" w:hAnsi="Verdana"/>
        </w:rPr>
        <w:t>como requisito de ejecución de los contratos estatales</w:t>
      </w:r>
      <w:r w:rsidRPr="1916222D">
        <w:rPr>
          <w:rFonts w:ascii="Verdana" w:hAnsi="Verdana"/>
        </w:rPr>
        <w:t xml:space="preserve">? </w:t>
      </w:r>
    </w:p>
    <w:p w14:paraId="10DE29F8" w14:textId="77777777" w:rsidR="00E53848" w:rsidRPr="00E53848" w:rsidRDefault="00E53848" w:rsidP="00E53848">
      <w:pPr>
        <w:spacing w:after="0" w:line="276" w:lineRule="auto"/>
        <w:jc w:val="both"/>
        <w:rPr>
          <w:rFonts w:ascii="Verdana" w:eastAsia="Calibri" w:hAnsi="Verdana" w:cs="Arial"/>
          <w:lang w:val="es-ES"/>
        </w:rPr>
      </w:pPr>
    </w:p>
    <w:p w14:paraId="35FCCC50" w14:textId="5DC0D36E" w:rsidR="00E53848" w:rsidRPr="00E53848" w:rsidRDefault="0079034F" w:rsidP="0079034F">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2. </w:t>
      </w:r>
      <w:r w:rsidR="00E53848" w:rsidRPr="00E53848">
        <w:rPr>
          <w:rFonts w:ascii="Verdana" w:eastAsia="Century Gothic" w:hAnsi="Verdana" w:cs="Century Gothic"/>
          <w:b/>
          <w:bCs/>
          <w:lang w:val="es-ES"/>
        </w:rPr>
        <w:t>Respuesta:</w:t>
      </w:r>
    </w:p>
    <w:p w14:paraId="3E36DBE6" w14:textId="77777777" w:rsidR="00E53848" w:rsidRPr="00E53848" w:rsidRDefault="00E53848" w:rsidP="00E5384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3848" w:rsidRPr="00E53848" w14:paraId="10AD0164" w14:textId="77777777" w:rsidTr="00EE7118">
        <w:tc>
          <w:tcPr>
            <w:tcW w:w="8828" w:type="dxa"/>
          </w:tcPr>
          <w:p w14:paraId="6A68DBF3" w14:textId="3B73D956" w:rsidR="00936465" w:rsidRPr="00E53848" w:rsidRDefault="0056264E" w:rsidP="1916222D">
            <w:pPr>
              <w:spacing w:after="120" w:line="276" w:lineRule="auto"/>
              <w:jc w:val="both"/>
              <w:rPr>
                <w:rFonts w:ascii="Verdana" w:eastAsia="Calibri" w:hAnsi="Verdana" w:cs="Arial"/>
                <w:lang w:val="es-ES" w:eastAsia="es-ES"/>
              </w:rPr>
            </w:pPr>
            <w:r w:rsidRPr="1916222D">
              <w:rPr>
                <w:rFonts w:ascii="Verdana" w:eastAsia="Calibri" w:hAnsi="Verdana" w:cs="Arial"/>
                <w:lang w:val="es-ES" w:eastAsia="es-ES"/>
              </w:rPr>
              <w:t xml:space="preserve">i) </w:t>
            </w:r>
            <w:r w:rsidR="002353D6" w:rsidRPr="1916222D">
              <w:rPr>
                <w:rFonts w:ascii="Verdana" w:eastAsia="Calibri" w:hAnsi="Verdana" w:cs="Arial"/>
                <w:lang w:val="es-ES" w:eastAsia="es-ES"/>
              </w:rPr>
              <w:t>E</w:t>
            </w:r>
            <w:r w:rsidR="00936465" w:rsidRPr="1916222D">
              <w:rPr>
                <w:rFonts w:ascii="Verdana" w:eastAsia="Calibri" w:hAnsi="Verdana" w:cs="Arial"/>
                <w:lang w:val="es-ES" w:eastAsia="es-ES"/>
              </w:rPr>
              <w:t>l artículo 41 de la Ley 80 de 1993 establece que los requisitos legales de ejecución de los contratos estatales son</w:t>
            </w:r>
            <w:r w:rsidR="002D5ACC" w:rsidRPr="1916222D">
              <w:rPr>
                <w:rFonts w:ascii="Verdana" w:eastAsia="Calibri" w:hAnsi="Verdana" w:cs="Arial"/>
                <w:lang w:val="es-ES" w:eastAsia="es-ES"/>
              </w:rPr>
              <w:t>:</w:t>
            </w:r>
            <w:r w:rsidR="00936465" w:rsidRPr="1916222D">
              <w:rPr>
                <w:rFonts w:ascii="Verdana" w:eastAsia="Calibri" w:hAnsi="Verdana" w:cs="Arial"/>
                <w:lang w:val="es-ES" w:eastAsia="es-ES"/>
              </w:rPr>
              <w:t xml:space="preserve"> i) la aprobación de las garantías, ii) la apropiación presupuestal y iii) la acreditación del cumplimiento de las obligaciones con el Sistema de Seguridad Social Integral</w:t>
            </w:r>
            <w:r w:rsidR="0036282B" w:rsidRPr="1916222D">
              <w:rPr>
                <w:rFonts w:ascii="Verdana" w:eastAsia="Calibri" w:hAnsi="Verdana" w:cs="Arial"/>
                <w:lang w:val="es-ES" w:eastAsia="es-ES"/>
              </w:rPr>
              <w:t xml:space="preserve">. </w:t>
            </w:r>
            <w:r w:rsidR="00E53848" w:rsidRPr="1916222D">
              <w:rPr>
                <w:rFonts w:ascii="Verdana" w:eastAsia="Calibri" w:hAnsi="Verdana" w:cs="Arial"/>
                <w:lang w:val="es-ES" w:eastAsia="es-ES"/>
              </w:rPr>
              <w:t xml:space="preserve">En </w:t>
            </w:r>
            <w:r w:rsidR="0036282B" w:rsidRPr="1916222D">
              <w:rPr>
                <w:rFonts w:ascii="Verdana" w:eastAsia="Calibri" w:hAnsi="Verdana" w:cs="Arial"/>
                <w:lang w:val="es-ES" w:eastAsia="es-ES"/>
              </w:rPr>
              <w:t>ese contexto,</w:t>
            </w:r>
            <w:r w:rsidR="00936465" w:rsidRPr="1916222D">
              <w:rPr>
                <w:rFonts w:ascii="Verdana" w:eastAsia="Calibri" w:hAnsi="Verdana" w:cs="Arial"/>
                <w:lang w:val="es-ES" w:eastAsia="es-ES"/>
              </w:rPr>
              <w:t xml:space="preserve"> las partes no pueden establecer que el contrato estatal comenzará su ejecución cuando se firme el acta de inicio omitiendo las tres exigencias legales.</w:t>
            </w:r>
          </w:p>
          <w:p w14:paraId="7FDB2752" w14:textId="77777777" w:rsidR="0036282B" w:rsidRDefault="0036282B"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lang w:eastAsia="es-ES"/>
              </w:rPr>
              <w:t>Así las cosas, e</w:t>
            </w:r>
            <w:r w:rsidR="00450C26" w:rsidRPr="1916222D">
              <w:rPr>
                <w:rFonts w:ascii="Verdana" w:eastAsia="Calibri" w:hAnsi="Verdana" w:cs="Arial"/>
                <w:lang w:eastAsia="es-ES"/>
              </w:rPr>
              <w:t>n relación con</w:t>
            </w:r>
            <w:r w:rsidR="008517C1" w:rsidRPr="1916222D">
              <w:rPr>
                <w:rFonts w:ascii="Verdana" w:eastAsia="Calibri" w:hAnsi="Verdana" w:cs="Arial"/>
                <w:lang w:eastAsia="es-ES"/>
              </w:rPr>
              <w:t xml:space="preserve"> </w:t>
            </w:r>
            <w:r w:rsidR="00450C26" w:rsidRPr="1916222D">
              <w:rPr>
                <w:rFonts w:ascii="Verdana" w:eastAsia="Calibri" w:hAnsi="Verdana" w:cs="Arial"/>
                <w:lang w:eastAsia="es-ES"/>
              </w:rPr>
              <w:t xml:space="preserve">el primer problema jurídico debe señalarse que, </w:t>
            </w:r>
            <w:r w:rsidR="008517C1" w:rsidRPr="1916222D">
              <w:rPr>
                <w:rFonts w:ascii="Verdana" w:eastAsia="Calibri" w:hAnsi="Verdana" w:cs="Arial"/>
                <w:lang w:eastAsia="es-ES"/>
              </w:rPr>
              <w:t xml:space="preserve">la aprobación de las garantías </w:t>
            </w:r>
            <w:r w:rsidR="002E28BF" w:rsidRPr="1916222D">
              <w:rPr>
                <w:rFonts w:ascii="Verdana" w:eastAsia="Calibri" w:hAnsi="Verdana" w:cs="Arial"/>
                <w:lang w:eastAsia="es-ES"/>
              </w:rPr>
              <w:t xml:space="preserve">es </w:t>
            </w:r>
            <w:r w:rsidR="002E28BF" w:rsidRPr="1916222D">
              <w:rPr>
                <w:rFonts w:ascii="Verdana" w:eastAsia="Calibri" w:hAnsi="Verdana" w:cs="Arial"/>
                <w:color w:val="000000" w:themeColor="text1"/>
                <w:lang w:val="es-ES" w:eastAsia="en-GB"/>
              </w:rPr>
              <w:t>uno de los requisitos de ejecución de orden legal, establecido en el artículo 41 de la Ley 80 de 1993</w:t>
            </w:r>
            <w:r w:rsidR="006D061B" w:rsidRPr="1916222D">
              <w:rPr>
                <w:rFonts w:ascii="Verdana" w:eastAsia="Calibri" w:hAnsi="Verdana" w:cs="Arial"/>
                <w:color w:val="000000" w:themeColor="text1"/>
                <w:lang w:val="es-ES" w:eastAsia="en-GB"/>
              </w:rPr>
              <w:t xml:space="preserve">. Este requisito de ejecución del contrato estatal no se cumple con la simple expedición de la garantía por parte del contratista, sino que la formalidad se configura en el momento en que la garantía ha sido aprobada por parte de la entidad pública contratante. </w:t>
            </w:r>
          </w:p>
          <w:p w14:paraId="362DF01E" w14:textId="7C847075" w:rsidR="00450C26" w:rsidRPr="008F791E" w:rsidRDefault="006D061B" w:rsidP="1916222D">
            <w:pPr>
              <w:spacing w:after="120" w:line="276" w:lineRule="auto"/>
              <w:ind w:firstLine="709"/>
              <w:jc w:val="both"/>
              <w:rPr>
                <w:rFonts w:ascii="Verdana" w:eastAsia="Calibri" w:hAnsi="Verdana" w:cs="Arial"/>
                <w:lang w:eastAsia="es-ES"/>
              </w:rPr>
            </w:pPr>
            <w:r w:rsidRPr="1916222D">
              <w:rPr>
                <w:rFonts w:ascii="Verdana" w:eastAsia="Calibri" w:hAnsi="Verdana" w:cs="Arial"/>
                <w:color w:val="000000" w:themeColor="text1"/>
                <w:lang w:val="es-ES" w:eastAsia="en-GB"/>
              </w:rPr>
              <w:t xml:space="preserve">Ahora bien, </w:t>
            </w:r>
            <w:r w:rsidR="00450C26" w:rsidRPr="1916222D">
              <w:rPr>
                <w:rFonts w:ascii="Verdana" w:eastAsia="Calibri" w:hAnsi="Verdana" w:cs="Arial"/>
                <w:lang w:eastAsia="es-ES"/>
              </w:rPr>
              <w:t xml:space="preserve">la vigencia de las garantías en los contratos estatales no comienza necesariamente desde el momento en que se suscribe el contrato. Esto en la medida que la vigencia de las </w:t>
            </w:r>
            <w:r w:rsidRPr="1916222D">
              <w:rPr>
                <w:rFonts w:ascii="Verdana" w:eastAsia="Calibri" w:hAnsi="Verdana" w:cs="Arial"/>
                <w:lang w:eastAsia="es-ES"/>
              </w:rPr>
              <w:t>mismas</w:t>
            </w:r>
            <w:r w:rsidR="00450C26" w:rsidRPr="1916222D">
              <w:rPr>
                <w:rFonts w:ascii="Verdana" w:eastAsia="Calibri" w:hAnsi="Verdana" w:cs="Arial"/>
                <w:lang w:eastAsia="es-ES"/>
              </w:rPr>
              <w:t xml:space="preserve"> dependerá del momento y las condiciones en las cuales se constituyeron. En este punto se reitera que las garantías constituyen un requisito de ejecución del contrato, más no de perfeccionamiento, por lo cual no es necesario que estén vigentes al momento de la suscripción del contrato para que este se entienda perfeccionado. </w:t>
            </w:r>
          </w:p>
          <w:p w14:paraId="1B6181EC" w14:textId="013A2E0F" w:rsidR="00450C26" w:rsidRDefault="00450C26" w:rsidP="1916222D">
            <w:pPr>
              <w:spacing w:line="276" w:lineRule="auto"/>
              <w:ind w:firstLine="709"/>
              <w:jc w:val="both"/>
              <w:rPr>
                <w:rFonts w:ascii="Verdana" w:eastAsia="Calibri" w:hAnsi="Verdana" w:cs="Arial"/>
                <w:color w:val="000000"/>
                <w:lang w:val="es-ES" w:eastAsia="en-GB"/>
              </w:rPr>
            </w:pPr>
            <w:r w:rsidRPr="1916222D">
              <w:rPr>
                <w:rFonts w:ascii="Verdana" w:eastAsia="Calibri" w:hAnsi="Verdana" w:cs="Arial"/>
                <w:lang w:eastAsia="es-ES"/>
              </w:rPr>
              <w:t>Por el contrario,</w:t>
            </w:r>
            <w:r w:rsidR="008800BC" w:rsidRPr="1916222D">
              <w:rPr>
                <w:rFonts w:ascii="Verdana" w:eastAsia="Calibri" w:hAnsi="Verdana" w:cs="Arial"/>
                <w:lang w:eastAsia="es-ES"/>
              </w:rPr>
              <w:t xml:space="preserve"> si son necesarias</w:t>
            </w:r>
            <w:r w:rsidRPr="1916222D">
              <w:rPr>
                <w:rFonts w:ascii="Verdana" w:eastAsia="Calibri" w:hAnsi="Verdana" w:cs="Arial"/>
                <w:lang w:eastAsia="es-ES"/>
              </w:rPr>
              <w:t xml:space="preserve"> </w:t>
            </w:r>
            <w:r w:rsidRPr="1916222D">
              <w:rPr>
                <w:rFonts w:ascii="Verdana" w:eastAsia="Calibri" w:hAnsi="Verdana" w:cs="Arial"/>
                <w:color w:val="000000" w:themeColor="text1"/>
                <w:lang w:val="es-ES" w:eastAsia="en-GB"/>
              </w:rPr>
              <w:t xml:space="preserve">para que el contrato pueda iniciar su ejecución, </w:t>
            </w:r>
            <w:r w:rsidR="008800BC" w:rsidRPr="1916222D">
              <w:rPr>
                <w:rFonts w:ascii="Verdana" w:eastAsia="Calibri" w:hAnsi="Verdana" w:cs="Arial"/>
                <w:color w:val="000000" w:themeColor="text1"/>
                <w:lang w:val="es-ES" w:eastAsia="en-GB"/>
              </w:rPr>
              <w:t xml:space="preserve">por lo que </w:t>
            </w:r>
            <w:r w:rsidRPr="1916222D">
              <w:rPr>
                <w:rFonts w:ascii="Verdana" w:eastAsia="Calibri" w:hAnsi="Verdana" w:cs="Arial"/>
                <w:color w:val="000000" w:themeColor="text1"/>
                <w:lang w:val="es-ES" w:eastAsia="en-GB"/>
              </w:rPr>
              <w:t xml:space="preserve">el servidor público competente al interior de la entidad estatal debe haber impartido la aprobación de la garantía. Esta manifestación de voluntad debe estar precedida de un completo análisis de las condiciones de expedición de la garantía, según el mecanismo de cobertura del riesgo de que se trate –póliza de seguro, contrato de fiducia mercantil o garantía bancaria–. De manera que, para emitir el acto de aprobación de la garantía el funcionario encargado de ello debe cerciorarse de que la descripción de los amparos, el valor, la vigencia y los demás datos del documento, cumplen las exigencias normativas y contractuales. </w:t>
            </w:r>
          </w:p>
          <w:p w14:paraId="70D92336" w14:textId="77777777" w:rsidR="008800BC" w:rsidRPr="00FA729E" w:rsidRDefault="008800BC" w:rsidP="1916222D">
            <w:pPr>
              <w:spacing w:line="276" w:lineRule="auto"/>
              <w:ind w:firstLine="709"/>
              <w:jc w:val="both"/>
              <w:rPr>
                <w:rFonts w:ascii="Verdana" w:eastAsia="Calibri" w:hAnsi="Verdana" w:cs="Arial"/>
                <w:color w:val="000000"/>
                <w:lang w:val="es-ES" w:eastAsia="en-GB"/>
              </w:rPr>
            </w:pPr>
          </w:p>
          <w:p w14:paraId="599EE14B" w14:textId="3B025366" w:rsidR="00E53848" w:rsidRPr="00E53848" w:rsidRDefault="0056264E" w:rsidP="1916222D">
            <w:pPr>
              <w:spacing w:after="120" w:line="276" w:lineRule="auto"/>
              <w:jc w:val="both"/>
              <w:rPr>
                <w:rFonts w:ascii="Verdana" w:eastAsia="Calibri" w:hAnsi="Verdana" w:cs="Arial"/>
                <w:lang w:val="es-ES" w:eastAsia="es-ES"/>
              </w:rPr>
            </w:pPr>
            <w:r w:rsidRPr="1916222D">
              <w:rPr>
                <w:rFonts w:ascii="Verdana" w:eastAsia="Calibri" w:hAnsi="Verdana" w:cs="Arial"/>
                <w:lang w:val="es-ES" w:eastAsia="en-GB"/>
              </w:rPr>
              <w:lastRenderedPageBreak/>
              <w:t>ii) En relación con el segundo problema jurídico</w:t>
            </w:r>
            <w:r w:rsidR="00E53848" w:rsidRPr="1916222D">
              <w:rPr>
                <w:rFonts w:ascii="Verdana" w:eastAsia="Calibri" w:hAnsi="Verdana" w:cs="Arial"/>
                <w:lang w:val="es-ES" w:eastAsia="en-GB"/>
              </w:rPr>
              <w:t xml:space="preserve"> cabe mencionar que el acta de inicio constituye un requisito de ejecución </w:t>
            </w:r>
            <w:r w:rsidR="00E53848" w:rsidRPr="1916222D">
              <w:rPr>
                <w:rFonts w:ascii="Verdana" w:eastAsia="Calibri" w:hAnsi="Verdana" w:cs="Arial"/>
                <w:i/>
                <w:lang w:val="es-ES" w:eastAsia="en-GB"/>
              </w:rPr>
              <w:t>convencional</w:t>
            </w:r>
            <w:r w:rsidR="00E53848" w:rsidRPr="00E53848">
              <w:rPr>
                <w:rFonts w:ascii="Verdana" w:eastAsia="Calibri" w:hAnsi="Verdana" w:cs="Arial"/>
                <w:lang w:val="es-ES" w:eastAsia="es-ES"/>
              </w:rPr>
              <w:t xml:space="preserve">, que se pacta en la minuta del contrato o que el contratista acepta, adhiriéndose al clausulado del pliego de condiciones o documento equivalente. </w:t>
            </w:r>
            <w:r w:rsidR="008800BC" w:rsidRPr="1916222D">
              <w:rPr>
                <w:rFonts w:ascii="Verdana" w:eastAsia="Calibri" w:hAnsi="Verdana" w:cs="Arial"/>
                <w:lang w:val="es-ES" w:eastAsia="es-ES"/>
              </w:rPr>
              <w:t>E</w:t>
            </w:r>
            <w:r w:rsidR="00E53848" w:rsidRPr="1916222D">
              <w:rPr>
                <w:rFonts w:ascii="Verdana" w:eastAsia="Calibri" w:hAnsi="Verdana" w:cs="Arial"/>
                <w:lang w:val="es-ES" w:eastAsia="es-ES"/>
              </w:rPr>
              <w:t>n</w:t>
            </w:r>
            <w:r w:rsidR="00E53848" w:rsidRPr="00E53848">
              <w:rPr>
                <w:rFonts w:ascii="Verdana" w:eastAsia="Calibri" w:hAnsi="Verdana" w:cs="Arial"/>
                <w:lang w:val="es-ES" w:eastAsia="es-ES"/>
              </w:rPr>
              <w:t xml:space="preserve"> el lenguaje de la contratación estatal, el acta de inicio es un documento en el que se fija la fecha en la que comienza el cómputo del plazo 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w:t>
            </w:r>
          </w:p>
          <w:p w14:paraId="0EE543DE" w14:textId="425D58F7" w:rsidR="00E53848" w:rsidRPr="00E53848" w:rsidRDefault="00E53848" w:rsidP="1916222D">
            <w:pPr>
              <w:spacing w:after="120" w:line="276" w:lineRule="auto"/>
              <w:ind w:firstLine="709"/>
              <w:jc w:val="both"/>
              <w:rPr>
                <w:rFonts w:ascii="Verdana" w:eastAsia="Calibri" w:hAnsi="Verdana" w:cs="Arial"/>
                <w:lang w:val="es-ES" w:eastAsia="es-ES"/>
              </w:rPr>
            </w:pPr>
            <w:r w:rsidRPr="00E53848">
              <w:rPr>
                <w:rFonts w:ascii="Verdana" w:eastAsia="Calibri" w:hAnsi="Verdana" w:cs="Arial"/>
                <w:lang w:val="es-ES" w:eastAsia="es-ES"/>
              </w:rPr>
              <w:t xml:space="preserve">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Por ejemplo, si las garantías no han sido aprobadas por la </w:t>
            </w:r>
            <w:r w:rsidR="002D66A7" w:rsidRPr="00E53848">
              <w:rPr>
                <w:rFonts w:ascii="Verdana" w:eastAsia="Calibri" w:hAnsi="Verdana" w:cs="Arial"/>
                <w:lang w:val="es-ES" w:eastAsia="es-ES"/>
              </w:rPr>
              <w:t>entidad estatal</w:t>
            </w:r>
            <w:r w:rsidRPr="00E53848">
              <w:rPr>
                <w:rFonts w:ascii="Verdana" w:eastAsia="Calibri" w:hAnsi="Verdana" w:cs="Arial"/>
                <w:lang w:val="es-ES" w:eastAsia="es-ES"/>
              </w:rPr>
              <w:t>, aún no se puede suscribir el acta de inicio, pues de lo contrario las partes estarían contrariando normas de orden público.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3DFC3C95" w14:textId="122AD7D2" w:rsidR="00E53848" w:rsidRPr="00E53848" w:rsidRDefault="00E53848" w:rsidP="1916222D">
            <w:pPr>
              <w:spacing w:line="276" w:lineRule="auto"/>
              <w:ind w:firstLine="709"/>
              <w:jc w:val="both"/>
              <w:rPr>
                <w:rFonts w:ascii="Verdana" w:eastAsia="Calibri" w:hAnsi="Verdana" w:cs="Arial"/>
                <w:lang w:val="es-ES" w:eastAsia="es-ES"/>
              </w:rPr>
            </w:pPr>
            <w:r w:rsidRPr="00E53848">
              <w:rPr>
                <w:rFonts w:ascii="Verdana" w:eastAsia="Calibri" w:hAnsi="Verdana" w:cs="Arial"/>
                <w:lang w:val="es-ES" w:eastAsia="es-ES"/>
              </w:rPr>
              <w:t>En consecuencia, si se cumplen los requisitos legales consagrados en el artículo 41 de la Ley 80 de 1993 y se inicia la ejecución sin firmar el acta de inicio, bajo una justa causa, nada obsta para que la entidad contratante determine según sean las circunstancias del caso concreto, omitir el requisito y continuar con la ejecución. Lo anterior, en atención a que se trata de un requisito que más que exigir una condición o calidad adicional por parte del contratista, sólo pretende dar claridad del momento en que inicia la ejecución del contrato, esto, respecto de sus efectos jurídicos y prácticos, lo cual también cuenta con otros medios de prueba.</w:t>
            </w:r>
          </w:p>
        </w:tc>
      </w:tr>
    </w:tbl>
    <w:p w14:paraId="581B03F6" w14:textId="77777777" w:rsidR="00E53848" w:rsidRPr="00E53848" w:rsidRDefault="00E53848" w:rsidP="00E53848">
      <w:pPr>
        <w:tabs>
          <w:tab w:val="left" w:pos="142"/>
          <w:tab w:val="left" w:pos="284"/>
        </w:tabs>
        <w:spacing w:after="0" w:line="276" w:lineRule="auto"/>
        <w:jc w:val="both"/>
        <w:rPr>
          <w:rFonts w:ascii="Verdana" w:eastAsia="Century Gothic" w:hAnsi="Verdana" w:cs="Century Gothic"/>
          <w:b/>
          <w:bCs/>
          <w:lang w:val="es-ES"/>
        </w:rPr>
      </w:pPr>
    </w:p>
    <w:p w14:paraId="1F73DBC5" w14:textId="2089CC99" w:rsidR="00E53848" w:rsidRPr="00E53848" w:rsidRDefault="0079034F" w:rsidP="0079034F">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3. </w:t>
      </w:r>
      <w:r w:rsidR="00E53848" w:rsidRPr="00E53848">
        <w:rPr>
          <w:rFonts w:ascii="Verdana" w:eastAsia="Century Gothic" w:hAnsi="Verdana" w:cs="Century Gothic"/>
          <w:b/>
          <w:bCs/>
          <w:lang w:val="es-ES"/>
        </w:rPr>
        <w:t>Razones de la respuesta:</w:t>
      </w:r>
    </w:p>
    <w:p w14:paraId="3AC2E185" w14:textId="77777777" w:rsidR="00E53848" w:rsidRPr="00E53848" w:rsidRDefault="00E53848" w:rsidP="00E53848">
      <w:pPr>
        <w:spacing w:after="0" w:line="276" w:lineRule="auto"/>
        <w:jc w:val="both"/>
        <w:rPr>
          <w:rFonts w:ascii="Verdana" w:eastAsia="Calibri" w:hAnsi="Verdana" w:cs="Arial"/>
          <w:lang w:val="es-ES"/>
        </w:rPr>
      </w:pPr>
    </w:p>
    <w:p w14:paraId="615273B2" w14:textId="77777777" w:rsidR="00E53848" w:rsidRPr="00E53848" w:rsidRDefault="00E53848" w:rsidP="00E53848">
      <w:pPr>
        <w:spacing w:after="0" w:line="276" w:lineRule="auto"/>
        <w:jc w:val="both"/>
        <w:rPr>
          <w:rFonts w:ascii="Verdana" w:eastAsia="Calibri" w:hAnsi="Verdana" w:cs="Arial"/>
          <w:lang w:val="es-ES"/>
        </w:rPr>
      </w:pPr>
      <w:r w:rsidRPr="00E53848">
        <w:rPr>
          <w:rFonts w:ascii="Verdana" w:eastAsia="Calibri" w:hAnsi="Verdana" w:cs="Arial"/>
          <w:lang w:val="es-ES"/>
        </w:rPr>
        <w:t xml:space="preserve">Lo anterior se sustenta en las siguientes consideraciones: </w:t>
      </w:r>
    </w:p>
    <w:p w14:paraId="332D5F56" w14:textId="77777777" w:rsidR="00E53848" w:rsidRPr="00E53848" w:rsidRDefault="00E53848" w:rsidP="00E53848">
      <w:pPr>
        <w:spacing w:after="0" w:line="276" w:lineRule="auto"/>
        <w:jc w:val="both"/>
        <w:rPr>
          <w:rFonts w:ascii="Verdana" w:eastAsia="Calibri" w:hAnsi="Verdana" w:cs="Arial"/>
          <w:lang w:val="es-ES"/>
        </w:rPr>
      </w:pPr>
    </w:p>
    <w:p w14:paraId="6F65066E" w14:textId="0478ADC2" w:rsidR="007E0104" w:rsidRPr="00BF13E7" w:rsidRDefault="00085D79" w:rsidP="1916222D">
      <w:pPr>
        <w:spacing w:after="120" w:line="276" w:lineRule="auto"/>
        <w:jc w:val="both"/>
        <w:rPr>
          <w:rFonts w:ascii="Verdana" w:eastAsia="Calibri" w:hAnsi="Verdana" w:cs="Arial"/>
          <w:color w:val="000000"/>
          <w:lang w:val="es-ES" w:eastAsia="en-GB"/>
        </w:rPr>
      </w:pPr>
      <w:r w:rsidRPr="1916222D">
        <w:rPr>
          <w:rFonts w:ascii="Verdana" w:eastAsia="Calibri" w:hAnsi="Verdana" w:cs="Arial"/>
          <w:color w:val="000000" w:themeColor="text1"/>
          <w:lang w:val="es-ES" w:eastAsia="en-GB"/>
        </w:rPr>
        <w:lastRenderedPageBreak/>
        <w:t xml:space="preserve">i) </w:t>
      </w:r>
      <w:r w:rsidR="007E0104" w:rsidRPr="1916222D">
        <w:rPr>
          <w:rFonts w:ascii="Verdana" w:eastAsia="Calibri" w:hAnsi="Verdana" w:cs="Arial"/>
          <w:color w:val="000000" w:themeColor="text1"/>
          <w:lang w:val="es-ES" w:eastAsia="en-GB"/>
        </w:rPr>
        <w:t>El Estatuto General de Contratación de la Administración Pública</w:t>
      </w:r>
      <w:r w:rsidR="00244227" w:rsidRPr="1916222D">
        <w:rPr>
          <w:rFonts w:ascii="Verdana" w:eastAsia="Calibri" w:hAnsi="Verdana" w:cs="Arial"/>
          <w:color w:val="000000" w:themeColor="text1"/>
          <w:lang w:val="es-ES" w:eastAsia="en-GB"/>
        </w:rPr>
        <w:t xml:space="preserve"> – en adelante EGCAP –</w:t>
      </w:r>
      <w:r w:rsidR="007E0104" w:rsidRPr="1916222D">
        <w:rPr>
          <w:rFonts w:ascii="Verdana" w:eastAsia="Calibri" w:hAnsi="Verdana" w:cs="Arial"/>
          <w:color w:val="000000" w:themeColor="text1"/>
          <w:lang w:val="es-ES" w:eastAsia="en-GB"/>
        </w:rPr>
        <w:t xml:space="preserve"> prevé</w:t>
      </w:r>
      <w:r w:rsidR="00244227" w:rsidRPr="1916222D">
        <w:rPr>
          <w:rFonts w:ascii="Verdana" w:eastAsia="Calibri" w:hAnsi="Verdana" w:cs="Arial"/>
          <w:color w:val="000000" w:themeColor="text1"/>
          <w:lang w:val="es-ES" w:eastAsia="en-GB"/>
        </w:rPr>
        <w:t xml:space="preserve"> </w:t>
      </w:r>
      <w:r w:rsidR="007E0104" w:rsidRPr="1916222D">
        <w:rPr>
          <w:rFonts w:ascii="Verdana" w:eastAsia="Calibri" w:hAnsi="Verdana" w:cs="Arial"/>
          <w:color w:val="000000" w:themeColor="text1"/>
          <w:lang w:val="es-ES" w:eastAsia="en-GB"/>
        </w:rPr>
        <w:t xml:space="preserve">dos tipos de exigencias en relación con los contratos estatales: i) las relacionadas con el perfeccionamiento y ii) las que tienen que ver con la ejecución. Si bien ambas se complementan y marcan el origen de la fase contractual –o de ejecución–, es importante distinguirlas, ya que las consecuencias jurídicas que generan son diferentes. </w:t>
      </w:r>
    </w:p>
    <w:p w14:paraId="11B49F87" w14:textId="77777777"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Los </w:t>
      </w:r>
      <w:r w:rsidRPr="1916222D">
        <w:rPr>
          <w:rFonts w:ascii="Verdana" w:eastAsia="Calibri" w:hAnsi="Verdana" w:cs="Arial"/>
          <w:i/>
          <w:iCs/>
          <w:color w:val="000000"/>
          <w:lang w:val="es-ES" w:eastAsia="en-GB"/>
        </w:rPr>
        <w:t>requisitos de perfeccionamiento</w:t>
      </w:r>
      <w:r w:rsidRPr="1916222D">
        <w:rPr>
          <w:rFonts w:ascii="Verdana" w:eastAsia="Calibri" w:hAnsi="Verdana" w:cs="Arial"/>
          <w:color w:val="000000"/>
          <w:lang w:val="es-ES" w:eastAsia="en-GB"/>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elementos: los de la esencia, los de la naturaleza y los accidentales. Los de la esencia son aquellos que, al cumplirse, marcan la existencia del contrato y le otorgan su identidad o tipología, permitiendo que no se confunda con otro contrato. Los de la naturaleza son aquellos que, no siendo esenciales al contrato, se entienden incorporados por ministerio de la ley, aun ante el silencio de las partes. Y los accidentales son los que las partes agregan en ejercicio de su autonomía de la voluntad, ya que no son ni esenciales, ni de la naturaleza del contrato</w:t>
      </w:r>
      <w:r w:rsidRPr="00BF13E7">
        <w:rPr>
          <w:rStyle w:val="Refdenotaalpie"/>
          <w:rFonts w:ascii="Verdana" w:eastAsia="Calibri" w:hAnsi="Verdana" w:cs="Arial"/>
          <w:color w:val="000000"/>
          <w:lang w:val="es-ES_tradnl" w:eastAsia="en-GB"/>
        </w:rPr>
        <w:footnoteReference w:id="1"/>
      </w:r>
      <w:r w:rsidRPr="1916222D">
        <w:rPr>
          <w:rFonts w:ascii="Verdana" w:eastAsia="Calibri" w:hAnsi="Verdana" w:cs="Arial"/>
          <w:color w:val="000000"/>
          <w:lang w:val="es-ES" w:eastAsia="en-GB"/>
        </w:rPr>
        <w:t>. Los requisitos de perfeccionamiento del contrato estatal ingresan dentro de los elementos de la esencia.</w:t>
      </w:r>
    </w:p>
    <w:p w14:paraId="5958B15E" w14:textId="178CD109"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00545DB3">
        <w:rPr>
          <w:rFonts w:ascii="Verdana" w:eastAsia="Calibri" w:hAnsi="Verdana" w:cs="Arial"/>
          <w:color w:val="000000"/>
          <w:lang w:val="es-ES" w:eastAsia="en-GB"/>
        </w:rPr>
        <w:t xml:space="preserve">Por otra parte, los contratos –en términos generales– pueden ser: consensuales, reales o solemnes. Son </w:t>
      </w:r>
      <w:r w:rsidRPr="1916222D">
        <w:rPr>
          <w:rFonts w:ascii="Verdana" w:eastAsia="Calibri" w:hAnsi="Verdana" w:cs="Arial"/>
          <w:i/>
          <w:iCs/>
          <w:color w:val="000000"/>
          <w:lang w:val="es-ES" w:eastAsia="en-GB"/>
        </w:rPr>
        <w:t>consensuales</w:t>
      </w:r>
      <w:r w:rsidRPr="00545DB3">
        <w:rPr>
          <w:rFonts w:ascii="Verdana" w:eastAsia="Calibri" w:hAnsi="Verdana" w:cs="Arial"/>
          <w:color w:val="000000"/>
          <w:lang w:val="es-ES" w:eastAsia="en-GB"/>
        </w:rPr>
        <w:t xml:space="preserve"> los que se perfeccionan con el consentimiento informal, pues no requieren de formalidades especiales. Son </w:t>
      </w:r>
      <w:r w:rsidRPr="1916222D">
        <w:rPr>
          <w:rFonts w:ascii="Verdana" w:eastAsia="Calibri" w:hAnsi="Verdana" w:cs="Arial"/>
          <w:i/>
          <w:iCs/>
          <w:color w:val="000000"/>
          <w:lang w:val="es-ES" w:eastAsia="en-GB"/>
        </w:rPr>
        <w:t>reales</w:t>
      </w:r>
      <w:r w:rsidRPr="00545DB3">
        <w:rPr>
          <w:rFonts w:ascii="Verdana" w:eastAsia="Calibri" w:hAnsi="Verdana" w:cs="Arial"/>
          <w:color w:val="000000"/>
          <w:lang w:val="es-ES" w:eastAsia="en-GB"/>
        </w:rPr>
        <w:t xml:space="preserve"> aquellos que existen solo con la tradición o entrega de una cosa. Por su parte, son </w:t>
      </w:r>
      <w:r w:rsidRPr="1916222D">
        <w:rPr>
          <w:rFonts w:ascii="Verdana" w:eastAsia="Calibri" w:hAnsi="Verdana" w:cs="Arial"/>
          <w:i/>
          <w:iCs/>
          <w:color w:val="000000"/>
          <w:lang w:val="es-ES" w:eastAsia="en-GB"/>
        </w:rPr>
        <w:t>solemnes</w:t>
      </w:r>
      <w:r w:rsidRPr="00545DB3">
        <w:rPr>
          <w:rFonts w:ascii="Verdana" w:eastAsia="Calibri" w:hAnsi="Verdana" w:cs="Arial"/>
          <w:color w:val="000000"/>
          <w:lang w:val="es-ES" w:eastAsia="en-GB"/>
        </w:rPr>
        <w:t>, en cambio, aquellos contratos cuyo perfeccionamiento está revestido del cumplimiento de exigencias formales o ritualidades específicas</w:t>
      </w:r>
      <w:r w:rsidRPr="00BF13E7">
        <w:rPr>
          <w:rStyle w:val="Refdenotaalpie"/>
          <w:rFonts w:ascii="Verdana" w:eastAsia="Calibri" w:hAnsi="Verdana" w:cs="Arial"/>
          <w:color w:val="000000"/>
          <w:lang w:val="es-ES" w:eastAsia="en-GB"/>
        </w:rPr>
        <w:footnoteReference w:id="2"/>
      </w:r>
      <w:r w:rsidRPr="00545DB3">
        <w:rPr>
          <w:rFonts w:ascii="Verdana" w:eastAsia="Calibri" w:hAnsi="Verdana" w:cs="Arial"/>
          <w:color w:val="000000"/>
          <w:lang w:val="es-ES" w:eastAsia="en-GB"/>
        </w:rPr>
        <w:t xml:space="preserve">. Pues bien, los contratos estatales regulados por el </w:t>
      </w:r>
      <w:r w:rsidR="0022587C" w:rsidRPr="00545DB3">
        <w:rPr>
          <w:rFonts w:ascii="Verdana" w:eastAsia="Calibri" w:hAnsi="Verdana" w:cs="Arial"/>
          <w:color w:val="000000"/>
          <w:lang w:val="es-ES" w:eastAsia="en-GB"/>
        </w:rPr>
        <w:t>ECGAP</w:t>
      </w:r>
      <w:r w:rsidRPr="00545DB3">
        <w:rPr>
          <w:rFonts w:ascii="Verdana" w:eastAsia="Calibri" w:hAnsi="Verdana" w:cs="Arial"/>
          <w:color w:val="000000"/>
          <w:lang w:val="es-ES" w:eastAsia="en-GB"/>
        </w:rPr>
        <w:t xml:space="preserve">, por regla general, son </w:t>
      </w:r>
      <w:r w:rsidRPr="00545DB3">
        <w:rPr>
          <w:rFonts w:ascii="Verdana" w:eastAsia="Calibri" w:hAnsi="Verdana" w:cs="Arial"/>
          <w:color w:val="000000"/>
          <w:lang w:val="es-ES" w:eastAsia="en-GB"/>
        </w:rPr>
        <w:lastRenderedPageBreak/>
        <w:t>solemnes, ya que solo se entienden celebrados si se cumplen ciertas formalidades. Esta regla general solo tiene una excepción, como se explicará.</w:t>
      </w:r>
    </w:p>
    <w:p w14:paraId="3A994D3F" w14:textId="42F30DFA"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En efecto, el primer inciso del artículo 41 de la Ley 80 de 1993 establece que </w:t>
      </w:r>
      <w:r w:rsidR="00D105AF"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Los contratos del Estado se perfeccionan cuando se logre acuerdo sobre el objeto y la contraprestación y éste se eleve a escrito</w:t>
      </w:r>
      <w:r w:rsidR="00D105AF"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 xml:space="preserve">. Como se advierte, el legislador dispuso que para que el contrato estatal exista, no solo debe haber un acuerdo sobra la obligación principal del negocio –es decir, sobre el </w:t>
      </w:r>
      <w:r w:rsidR="00D105AF"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objeto</w:t>
      </w:r>
      <w:r w:rsidR="00D105AF"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 xml:space="preserve">– y sobre la contraprestación, sino que se debe plasmar por escrito. Tal circunstancia le ha permitido a la doctrina concluir que el contrato estatal regulado en el </w:t>
      </w:r>
      <w:r w:rsidR="00C47D7A" w:rsidRPr="1916222D">
        <w:rPr>
          <w:rFonts w:ascii="Verdana" w:eastAsia="Calibri" w:hAnsi="Verdana" w:cs="Arial"/>
          <w:color w:val="000000"/>
          <w:lang w:val="es-ES" w:eastAsia="en-GB"/>
        </w:rPr>
        <w:t xml:space="preserve">EGCAP </w:t>
      </w:r>
      <w:r w:rsidRPr="1916222D">
        <w:rPr>
          <w:rFonts w:ascii="Verdana" w:eastAsia="Calibri" w:hAnsi="Verdana" w:cs="Arial"/>
          <w:color w:val="000000"/>
          <w:lang w:val="es-ES" w:eastAsia="en-GB"/>
        </w:rPr>
        <w:t xml:space="preserve">es </w:t>
      </w:r>
      <w:r w:rsidR="00C47D7A"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 xml:space="preserve">[…] principalmente, </w:t>
      </w:r>
      <w:r w:rsidRPr="1916222D">
        <w:rPr>
          <w:rFonts w:ascii="Verdana" w:eastAsia="Calibri" w:hAnsi="Verdana" w:cs="Arial"/>
          <w:i/>
          <w:iCs/>
          <w:color w:val="000000"/>
          <w:lang w:val="es-ES" w:eastAsia="en-GB"/>
        </w:rPr>
        <w:t>solemne,</w:t>
      </w:r>
      <w:r w:rsidRPr="1916222D">
        <w:rPr>
          <w:rFonts w:ascii="Verdana" w:eastAsia="Calibri" w:hAnsi="Verdana" w:cs="Arial"/>
          <w:color w:val="000000"/>
          <w:lang w:val="es-ES" w:eastAsia="en-GB"/>
        </w:rPr>
        <w:t xml:space="preserve"> ya que la manifestación de voluntad, si no se expresa bajo la forma </w:t>
      </w:r>
      <w:r w:rsidRPr="1916222D">
        <w:rPr>
          <w:rFonts w:ascii="Verdana" w:eastAsia="Calibri" w:hAnsi="Verdana" w:cs="Arial"/>
          <w:i/>
          <w:iCs/>
          <w:color w:val="000000"/>
          <w:lang w:val="es-ES" w:eastAsia="en-GB"/>
        </w:rPr>
        <w:t>ad solemnitatem</w:t>
      </w:r>
      <w:r w:rsidRPr="1916222D">
        <w:rPr>
          <w:rFonts w:ascii="Verdana" w:eastAsia="Calibri" w:hAnsi="Verdana" w:cs="Arial"/>
          <w:color w:val="000000"/>
          <w:lang w:val="es-ES" w:eastAsia="en-GB"/>
        </w:rPr>
        <w:t xml:space="preserve"> o </w:t>
      </w:r>
      <w:r w:rsidRPr="1916222D">
        <w:rPr>
          <w:rFonts w:ascii="Verdana" w:eastAsia="Calibri" w:hAnsi="Verdana" w:cs="Arial"/>
          <w:i/>
          <w:iCs/>
          <w:color w:val="000000"/>
          <w:lang w:val="es-ES" w:eastAsia="en-GB"/>
        </w:rPr>
        <w:t>ad substantiam actus</w:t>
      </w:r>
      <w:r w:rsidRPr="1916222D">
        <w:rPr>
          <w:rFonts w:ascii="Verdana" w:eastAsia="Calibri" w:hAnsi="Verdana" w:cs="Arial"/>
          <w:color w:val="000000"/>
          <w:lang w:val="es-ES" w:eastAsia="en-GB"/>
        </w:rPr>
        <w:t xml:space="preserve"> exigida por la ley, es inexistente, es decir, se entiende que el contrato jamás ha sido creado para el mundo jurídico</w:t>
      </w:r>
      <w:r w:rsidR="00C47D7A" w:rsidRPr="1916222D">
        <w:rPr>
          <w:rFonts w:ascii="Verdana" w:eastAsia="Calibri" w:hAnsi="Verdana" w:cs="Arial"/>
          <w:color w:val="000000"/>
          <w:lang w:val="es-ES" w:eastAsia="en-GB"/>
        </w:rPr>
        <w:t>”</w:t>
      </w:r>
      <w:r w:rsidRPr="00BF13E7">
        <w:rPr>
          <w:rStyle w:val="Refdenotaalpie"/>
          <w:rFonts w:ascii="Verdana" w:eastAsia="Calibri" w:hAnsi="Verdana" w:cs="Arial"/>
          <w:color w:val="000000"/>
          <w:lang w:val="es-ES_tradnl" w:eastAsia="en-GB"/>
        </w:rPr>
        <w:footnoteReference w:id="3"/>
      </w:r>
      <w:r w:rsidRPr="1916222D">
        <w:rPr>
          <w:rFonts w:ascii="Verdana" w:eastAsia="Calibri" w:hAnsi="Verdana" w:cs="Arial"/>
          <w:color w:val="000000"/>
          <w:lang w:val="es-ES" w:eastAsia="en-GB"/>
        </w:rPr>
        <w:t xml:space="preserve">. </w:t>
      </w:r>
    </w:p>
    <w:p w14:paraId="26354B85" w14:textId="2C210C78"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La excepción a esta regla se encuentra en el cuarto inciso del mismo artículo, según el cual, </w:t>
      </w:r>
      <w:r w:rsidR="00C47D7A"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En caso de situaciones de urgencia manifiesta a que se refiere el artículo</w:t>
      </w:r>
      <w:r w:rsidR="00C47D7A" w:rsidRPr="1916222D">
        <w:rPr>
          <w:rFonts w:ascii="Verdana" w:eastAsia="Calibri" w:hAnsi="Verdana" w:cs="Arial"/>
          <w:color w:val="000000"/>
          <w:lang w:val="es-ES" w:eastAsia="en-GB"/>
        </w:rPr>
        <w:t xml:space="preserve"> </w:t>
      </w:r>
      <w:hyperlink r:id="rId12" w:anchor="42" w:history="1">
        <w:r w:rsidRPr="1916222D">
          <w:rPr>
            <w:rFonts w:ascii="Verdana" w:hAnsi="Verdana" w:cs="Arial"/>
            <w:color w:val="000000"/>
            <w:lang w:val="es-ES" w:eastAsia="en-GB"/>
          </w:rPr>
          <w:t>42</w:t>
        </w:r>
      </w:hyperlink>
      <w:r w:rsidR="00C47D7A" w:rsidRPr="1916222D">
        <w:rPr>
          <w:rFonts w:ascii="Verdana" w:eastAsia="Calibri" w:hAnsi="Verdana" w:cs="Arial"/>
          <w:color w:val="000000"/>
          <w:lang w:val="es-ES" w:eastAsia="en-GB"/>
        </w:rPr>
        <w:t xml:space="preserve"> </w:t>
      </w:r>
      <w:r w:rsidRPr="1916222D">
        <w:rPr>
          <w:rFonts w:ascii="Verdana" w:eastAsia="Calibri" w:hAnsi="Verdana" w:cs="Arial"/>
          <w:color w:val="000000"/>
          <w:lang w:val="es-ES" w:eastAsia="en-GB"/>
        </w:rPr>
        <w:t>de esta ley que no permitan la suscripción de contrato escrito, se prescindirá de éste y aún del acuerdo acerca de la remuneración, no obstante, deberá dejarse constancia escrita de la autorización impartida por la entidad estatal contratante</w:t>
      </w:r>
      <w:r w:rsidR="00C47D7A"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 xml:space="preserve">. </w:t>
      </w:r>
      <w:r w:rsidRPr="1916222D">
        <w:rPr>
          <w:rFonts w:ascii="Verdana" w:eastAsia="Calibri" w:hAnsi="Verdana" w:cs="Arial"/>
          <w:color w:val="000000" w:themeColor="text1"/>
          <w:lang w:val="es-ES" w:eastAsia="en-GB"/>
        </w:rPr>
        <w:t>En otras palabras, por regla general, los contratos estatales deben constar por escrito, salvo que se presente una situación de urgencia manifiesta en la que no haya tiempo de cumplir con esta formalidad.</w:t>
      </w:r>
    </w:p>
    <w:p w14:paraId="659EFACA" w14:textId="07D44991"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themeColor="text1"/>
          <w:lang w:val="es-ES" w:eastAsia="en-GB"/>
        </w:rPr>
        <w:t xml:space="preserve">Analizados con anterioridad los requisitos para el perfeccionamiento del contrato estatal, es necesario diferenciarlos, por tanto, de los </w:t>
      </w:r>
      <w:r w:rsidRPr="1916222D">
        <w:rPr>
          <w:rFonts w:ascii="Verdana" w:eastAsia="Calibri" w:hAnsi="Verdana" w:cs="Arial"/>
          <w:i/>
          <w:iCs/>
          <w:color w:val="000000" w:themeColor="text1"/>
          <w:lang w:val="es-ES" w:eastAsia="en-GB"/>
        </w:rPr>
        <w:t>requisitos de ejecución</w:t>
      </w:r>
      <w:r w:rsidRPr="1916222D">
        <w:rPr>
          <w:rFonts w:ascii="Verdana" w:eastAsia="Calibri" w:hAnsi="Verdana" w:cs="Arial"/>
          <w:color w:val="000000" w:themeColor="text1"/>
          <w:lang w:val="es-ES" w:eastAsia="en-GB"/>
        </w:rPr>
        <w:t xml:space="preserve">, e indicar cuáles son las exigencias de esta segunda clase establecidas en el </w:t>
      </w:r>
      <w:r w:rsidR="00691EE5" w:rsidRPr="1916222D">
        <w:rPr>
          <w:rFonts w:ascii="Verdana" w:eastAsia="Calibri" w:hAnsi="Verdana" w:cs="Arial"/>
          <w:color w:val="000000" w:themeColor="text1"/>
          <w:lang w:val="es-ES" w:eastAsia="en-GB"/>
        </w:rPr>
        <w:t>EGCAP</w:t>
      </w:r>
      <w:r w:rsidRPr="1916222D">
        <w:rPr>
          <w:rFonts w:ascii="Verdana" w:eastAsia="Calibri" w:hAnsi="Verdana" w:cs="Arial"/>
          <w:color w:val="000000" w:themeColor="text1"/>
          <w:lang w:val="es-ES" w:eastAsia="en-GB"/>
        </w:rPr>
        <w:t xml:space="preserve">. Si el cumplimiento de los requisitos de perfeccionamiento permite que el contrato exista, la observancia de los requisitos de ejecución posibilita el inicio de la fase de realización de las actividades pactadas en el contrato, es decir, el cumplimiento del objeto del negocio jurídico. A partir de esta distinción, es posible encontrar contratos estatales –perfeccionados–, que hayan cumplido con los requisitos de ejecución y contratos estatales respecto de los cuales aún falte satisfacer uno o varios requisitos de ejecución. </w:t>
      </w:r>
    </w:p>
    <w:p w14:paraId="1F08108B" w14:textId="5D23BB83" w:rsidR="007E0104" w:rsidRPr="00BF13E7" w:rsidRDefault="007E0104" w:rsidP="1916222D">
      <w:pPr>
        <w:spacing w:after="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themeColor="text1"/>
          <w:lang w:val="es-ES" w:eastAsia="en-GB"/>
        </w:rPr>
        <w:t xml:space="preserve">Los requisitos de ejecución de los contratos estatales pueden ser </w:t>
      </w:r>
      <w:r w:rsidR="00CB44AA" w:rsidRPr="1916222D">
        <w:rPr>
          <w:rFonts w:ascii="Verdana" w:eastAsia="Calibri" w:hAnsi="Verdana" w:cs="Arial"/>
          <w:color w:val="000000" w:themeColor="text1"/>
          <w:lang w:val="es-ES" w:eastAsia="en-GB"/>
        </w:rPr>
        <w:t>“</w:t>
      </w:r>
      <w:r w:rsidRPr="1916222D">
        <w:rPr>
          <w:rFonts w:ascii="Verdana" w:eastAsia="Calibri" w:hAnsi="Verdana" w:cs="Arial"/>
          <w:color w:val="000000" w:themeColor="text1"/>
          <w:lang w:val="es-ES" w:eastAsia="en-GB"/>
        </w:rPr>
        <w:t>legales</w:t>
      </w:r>
      <w:r w:rsidR="00CB44AA" w:rsidRPr="1916222D">
        <w:rPr>
          <w:rFonts w:ascii="Verdana" w:eastAsia="Calibri" w:hAnsi="Verdana" w:cs="Arial"/>
          <w:color w:val="000000" w:themeColor="text1"/>
          <w:lang w:val="es-ES" w:eastAsia="en-GB"/>
        </w:rPr>
        <w:t>”</w:t>
      </w:r>
      <w:r w:rsidRPr="1916222D">
        <w:rPr>
          <w:rFonts w:ascii="Verdana" w:eastAsia="Calibri" w:hAnsi="Verdana" w:cs="Arial"/>
          <w:color w:val="000000" w:themeColor="text1"/>
          <w:lang w:val="es-ES" w:eastAsia="en-GB"/>
        </w:rPr>
        <w:t xml:space="preserve"> o </w:t>
      </w:r>
      <w:r w:rsidR="00CB44AA" w:rsidRPr="1916222D">
        <w:rPr>
          <w:rFonts w:ascii="Verdana" w:eastAsia="Calibri" w:hAnsi="Verdana" w:cs="Arial"/>
          <w:color w:val="000000" w:themeColor="text1"/>
          <w:lang w:val="es-ES" w:eastAsia="en-GB"/>
        </w:rPr>
        <w:t>“</w:t>
      </w:r>
      <w:r w:rsidRPr="1916222D">
        <w:rPr>
          <w:rFonts w:ascii="Verdana" w:eastAsia="Calibri" w:hAnsi="Verdana" w:cs="Arial"/>
          <w:color w:val="000000" w:themeColor="text1"/>
          <w:lang w:val="es-ES" w:eastAsia="en-GB"/>
        </w:rPr>
        <w:t>convencionales</w:t>
      </w:r>
      <w:r w:rsidR="00CB44AA" w:rsidRPr="1916222D">
        <w:rPr>
          <w:rFonts w:ascii="Verdana" w:eastAsia="Calibri" w:hAnsi="Verdana" w:cs="Arial"/>
          <w:color w:val="000000" w:themeColor="text1"/>
          <w:lang w:val="es-ES" w:eastAsia="en-GB"/>
        </w:rPr>
        <w:t>”</w:t>
      </w:r>
      <w:r w:rsidRPr="1916222D">
        <w:rPr>
          <w:rFonts w:ascii="Verdana" w:eastAsia="Calibri" w:hAnsi="Verdana" w:cs="Arial"/>
          <w:color w:val="000000" w:themeColor="text1"/>
          <w:lang w:val="es-ES" w:eastAsia="en-GB"/>
        </w:rPr>
        <w:t xml:space="preserve">. Los primeros son aquellos que se encuentran previstos en </w:t>
      </w:r>
      <w:r w:rsidRPr="1916222D">
        <w:rPr>
          <w:rFonts w:ascii="Verdana" w:eastAsia="Calibri" w:hAnsi="Verdana" w:cs="Arial"/>
          <w:color w:val="000000" w:themeColor="text1"/>
          <w:lang w:val="es-ES" w:eastAsia="en-GB"/>
        </w:rPr>
        <w:lastRenderedPageBreak/>
        <w:t>la ley. Los segundos son estipulados por las partes. En otros términos, los requisitos legales de ejecución son elementos de la naturaleza, mientras que los requisitos convencionales de ejecución son elementos accidentales. Teniendo en cuenta que en la consulta se indaga por el acta de inicio y por las garantías, es importante precisar si se trata de requisitos de ejecución legales o convencionales. Para dilucidar lo anterior, conviene hacer referencia al segundo inciso del artículo 41 de la Ley 80 de 1993</w:t>
      </w:r>
      <w:r w:rsidRPr="1916222D">
        <w:rPr>
          <w:rFonts w:ascii="Verdana" w:eastAsia="Calibri" w:hAnsi="Verdana" w:cs="Arial"/>
          <w:color w:val="000000" w:themeColor="text1"/>
          <w:lang w:eastAsia="en-GB"/>
        </w:rPr>
        <w:t>, modificado por el artículo 23 de la Ley 1150 de 2007</w:t>
      </w:r>
      <w:r w:rsidRPr="1916222D">
        <w:rPr>
          <w:rFonts w:ascii="Verdana" w:eastAsia="Calibri" w:hAnsi="Verdana" w:cs="Arial"/>
          <w:color w:val="000000" w:themeColor="text1"/>
          <w:lang w:val="es-ES" w:eastAsia="en-GB"/>
        </w:rPr>
        <w:t>. Esta disposición normativa establece:</w:t>
      </w:r>
    </w:p>
    <w:p w14:paraId="136F7353" w14:textId="77777777" w:rsidR="007E0104" w:rsidRPr="00BF13E7" w:rsidRDefault="007E0104" w:rsidP="1916222D">
      <w:pPr>
        <w:spacing w:after="0"/>
        <w:ind w:left="709" w:right="709"/>
        <w:jc w:val="both"/>
        <w:rPr>
          <w:rFonts w:ascii="Verdana" w:eastAsia="Calibri" w:hAnsi="Verdana" w:cs="Arial"/>
          <w:color w:val="000000"/>
          <w:sz w:val="21"/>
          <w:szCs w:val="21"/>
          <w:lang w:eastAsia="en-GB"/>
        </w:rPr>
      </w:pPr>
    </w:p>
    <w:p w14:paraId="35A7EDED" w14:textId="4613E934" w:rsidR="007E0104" w:rsidRPr="00BF13E7" w:rsidRDefault="00556299" w:rsidP="1916222D">
      <w:pPr>
        <w:spacing w:after="0" w:line="240" w:lineRule="auto"/>
        <w:ind w:left="709" w:right="709"/>
        <w:jc w:val="both"/>
        <w:rPr>
          <w:rFonts w:ascii="Verdana" w:eastAsia="Calibri" w:hAnsi="Verdana" w:cs="Arial"/>
          <w:color w:val="000000"/>
          <w:sz w:val="20"/>
          <w:szCs w:val="20"/>
          <w:lang w:val="es-ES" w:eastAsia="en-GB"/>
        </w:rPr>
      </w:pPr>
      <w:r w:rsidRPr="1916222D">
        <w:rPr>
          <w:rFonts w:ascii="Verdana" w:eastAsia="Calibri" w:hAnsi="Verdana" w:cs="Arial"/>
          <w:color w:val="000000" w:themeColor="text1"/>
          <w:sz w:val="20"/>
          <w:szCs w:val="20"/>
          <w:lang w:eastAsia="en-GB"/>
        </w:rPr>
        <w:t>“</w:t>
      </w:r>
      <w:r w:rsidR="007E0104" w:rsidRPr="1916222D">
        <w:rPr>
          <w:rFonts w:ascii="Verdana" w:eastAsia="Calibri" w:hAnsi="Verdana" w:cs="Arial"/>
          <w:color w:val="000000" w:themeColor="text1"/>
          <w:sz w:val="20"/>
          <w:szCs w:val="20"/>
          <w:lang w:eastAsia="en-GB"/>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r w:rsidRPr="1916222D">
        <w:rPr>
          <w:rFonts w:ascii="Verdana" w:eastAsia="Calibri" w:hAnsi="Verdana" w:cs="Arial"/>
          <w:color w:val="000000" w:themeColor="text1"/>
          <w:sz w:val="20"/>
          <w:szCs w:val="20"/>
          <w:lang w:eastAsia="en-GB"/>
        </w:rPr>
        <w:t>”</w:t>
      </w:r>
      <w:r w:rsidR="007E0104" w:rsidRPr="1916222D">
        <w:rPr>
          <w:rFonts w:ascii="Verdana" w:eastAsia="Calibri" w:hAnsi="Verdana" w:cs="Arial"/>
          <w:color w:val="000000" w:themeColor="text1"/>
          <w:sz w:val="20"/>
          <w:szCs w:val="20"/>
          <w:lang w:eastAsia="en-GB"/>
        </w:rPr>
        <w:t>.</w:t>
      </w:r>
    </w:p>
    <w:p w14:paraId="065F6E79" w14:textId="77777777" w:rsidR="007E0104" w:rsidRPr="00BF13E7" w:rsidRDefault="007E0104" w:rsidP="1916222D">
      <w:pPr>
        <w:spacing w:after="0" w:line="276" w:lineRule="auto"/>
        <w:ind w:firstLine="709"/>
        <w:jc w:val="both"/>
        <w:rPr>
          <w:rFonts w:ascii="Verdana" w:eastAsia="Calibri" w:hAnsi="Verdana" w:cs="Arial"/>
          <w:color w:val="000000"/>
          <w:lang w:val="es-ES" w:eastAsia="en-GB"/>
        </w:rPr>
      </w:pPr>
    </w:p>
    <w:p w14:paraId="161DD57A" w14:textId="77777777"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themeColor="text1"/>
          <w:lang w:val="es-ES" w:eastAsia="en-GB"/>
        </w:rPr>
        <w:t xml:space="preserve">Como puede observarse, los requisitos legales de ejecución son: i) la aprobación de las garantías exigidas en el contrato, ii) la existencia de la apropiación presupuestal correspondiente y iii) la acreditación del cumplimiento de las obligaciones con el Sistema de Seguridad Social Integral. </w:t>
      </w:r>
    </w:p>
    <w:p w14:paraId="119361AB" w14:textId="583F532B" w:rsidR="007E0104" w:rsidRPr="00BF13E7" w:rsidRDefault="007E0104" w:rsidP="1916222D">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themeColor="text1"/>
          <w:lang w:val="es-ES" w:eastAsia="en-GB"/>
        </w:rPr>
        <w:t xml:space="preserve">Lo que tienen en común tales requisitos es que deben cumplirse para que inicie el contrato, sin que por ello puedan considerarse elementos de la esencia –de perfeccionamiento– del negocio jurídico, ni de validez del mismo. En otras palabras, un contrato estatal existe, así no se haya aprobado las garantías, o expedido el registro presupuestal, o a pesar de que el contratista no esté al día en el cumplimiento de sus obligaciones con el Sistema de Seguridad Social Integral, pero no puede comenzar a ejecutarse. Si </w:t>
      </w:r>
      <w:r w:rsidR="00085D79" w:rsidRPr="1916222D">
        <w:rPr>
          <w:rFonts w:ascii="Verdana" w:eastAsia="Calibri" w:hAnsi="Verdana" w:cs="Arial"/>
          <w:color w:val="000000" w:themeColor="text1"/>
          <w:lang w:val="es-ES" w:eastAsia="en-GB"/>
        </w:rPr>
        <w:t>aun</w:t>
      </w:r>
      <w:r w:rsidRPr="1916222D">
        <w:rPr>
          <w:rFonts w:ascii="Verdana" w:eastAsia="Calibri" w:hAnsi="Verdana" w:cs="Arial"/>
          <w:color w:val="000000" w:themeColor="text1"/>
          <w:lang w:val="es-ES" w:eastAsia="en-GB"/>
        </w:rPr>
        <w:t xml:space="preserve">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p>
    <w:p w14:paraId="5E16A760" w14:textId="77777777" w:rsidR="007E0104" w:rsidRPr="00BF13E7" w:rsidRDefault="007E0104" w:rsidP="1916222D">
      <w:pPr>
        <w:spacing w:after="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A esta conclusión llegó la Sección Tercera del Consejo de Estado 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w:t>
      </w:r>
      <w:r w:rsidRPr="1916222D">
        <w:rPr>
          <w:rFonts w:ascii="Verdana" w:eastAsia="Calibri" w:hAnsi="Verdana" w:cs="Arial"/>
          <w:color w:val="000000"/>
          <w:lang w:val="es-ES" w:eastAsia="en-GB"/>
        </w:rPr>
        <w:lastRenderedPageBreak/>
        <w:t>un contrato de prestación de servicios profesionales se considerara inexistente o viciado de nulidad absoluta. La respuesta del alto tribunal es que no se genera inexistencia ni vicio de nulidad absoluta, sino una eventual responsabilidad en los servidores públicos que incumplieron tal requisito presupuestal</w:t>
      </w:r>
      <w:r w:rsidRPr="00BF13E7">
        <w:rPr>
          <w:rStyle w:val="Refdenotaalpie"/>
          <w:rFonts w:ascii="Verdana" w:eastAsia="Calibri" w:hAnsi="Verdana" w:cs="Arial"/>
          <w:color w:val="000000"/>
          <w:lang w:val="es-ES_tradnl" w:eastAsia="en-GB"/>
        </w:rPr>
        <w:footnoteReference w:id="4"/>
      </w:r>
      <w:r w:rsidRPr="1916222D">
        <w:rPr>
          <w:rFonts w:ascii="Verdana" w:eastAsia="Calibri" w:hAnsi="Verdana" w:cs="Arial"/>
          <w:color w:val="000000"/>
          <w:lang w:val="es-ES" w:eastAsia="en-GB"/>
        </w:rPr>
        <w:t>.</w:t>
      </w:r>
    </w:p>
    <w:p w14:paraId="6B523A50" w14:textId="77777777" w:rsidR="00085D79" w:rsidRPr="00BF13E7" w:rsidRDefault="00085D79" w:rsidP="1916222D">
      <w:pPr>
        <w:spacing w:after="0" w:line="276" w:lineRule="auto"/>
        <w:jc w:val="both"/>
        <w:rPr>
          <w:rFonts w:ascii="Verdana" w:eastAsia="Calibri" w:hAnsi="Verdana" w:cs="Arial"/>
          <w:color w:val="000000"/>
          <w:lang w:val="es-ES" w:eastAsia="en-GB"/>
        </w:rPr>
      </w:pPr>
    </w:p>
    <w:p w14:paraId="7CC13BA8" w14:textId="5D59EBBC" w:rsidR="00085D79" w:rsidRPr="00BF13E7" w:rsidRDefault="00085D79" w:rsidP="1916222D">
      <w:pPr>
        <w:spacing w:after="120" w:line="276" w:lineRule="auto"/>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ii) Según se indicó, </w:t>
      </w:r>
      <w:r w:rsidR="00C67275" w:rsidRPr="1916222D">
        <w:rPr>
          <w:rFonts w:ascii="Verdana" w:eastAsia="Calibri" w:hAnsi="Verdana" w:cs="Arial"/>
          <w:color w:val="000000"/>
          <w:lang w:val="es-ES" w:eastAsia="en-GB"/>
        </w:rPr>
        <w:t>uno de los</w:t>
      </w:r>
      <w:r w:rsidRPr="1916222D">
        <w:rPr>
          <w:rFonts w:ascii="Verdana" w:eastAsia="Calibri" w:hAnsi="Verdana" w:cs="Arial"/>
          <w:color w:val="000000"/>
          <w:lang w:val="es-ES" w:eastAsia="en-GB"/>
        </w:rPr>
        <w:t xml:space="preserve"> requisito</w:t>
      </w:r>
      <w:r w:rsidR="00C67275" w:rsidRPr="1916222D">
        <w:rPr>
          <w:rFonts w:ascii="Verdana" w:eastAsia="Calibri" w:hAnsi="Verdana" w:cs="Arial"/>
          <w:color w:val="000000"/>
          <w:lang w:val="es-ES" w:eastAsia="en-GB"/>
        </w:rPr>
        <w:t>s</w:t>
      </w:r>
      <w:r w:rsidRPr="1916222D">
        <w:rPr>
          <w:rFonts w:ascii="Verdana" w:eastAsia="Calibri" w:hAnsi="Verdana" w:cs="Arial"/>
          <w:color w:val="000000"/>
          <w:lang w:val="es-ES" w:eastAsia="en-GB"/>
        </w:rPr>
        <w:t xml:space="preserve"> de ejecución de orden legal, establecido en el artículo 41 de la Ley 80 de 1993, es la aprobación de las garantías. </w:t>
      </w:r>
      <w:r w:rsidR="002D53EF" w:rsidRPr="1916222D">
        <w:rPr>
          <w:rFonts w:ascii="Verdana" w:eastAsia="Calibri" w:hAnsi="Verdana" w:cs="Arial"/>
          <w:color w:val="000000"/>
          <w:lang w:val="es-ES" w:eastAsia="en-GB"/>
        </w:rPr>
        <w:t>C</w:t>
      </w:r>
      <w:r w:rsidRPr="1916222D">
        <w:rPr>
          <w:rFonts w:ascii="Verdana" w:eastAsia="Calibri" w:hAnsi="Verdana" w:cs="Arial"/>
          <w:color w:val="000000"/>
          <w:lang w:val="es-ES" w:eastAsia="en-GB"/>
        </w:rPr>
        <w:t>omo lo ha explicado la doctrina,</w:t>
      </w:r>
      <w:r w:rsidR="002D53EF" w:rsidRPr="1916222D">
        <w:rPr>
          <w:rFonts w:ascii="Verdana" w:eastAsia="Calibri" w:hAnsi="Verdana" w:cs="Arial"/>
          <w:color w:val="000000"/>
          <w:lang w:val="es-ES" w:eastAsia="en-GB"/>
        </w:rPr>
        <w:t xml:space="preserve"> atendiendo a la consulta</w:t>
      </w:r>
      <w:r w:rsidR="009B141D" w:rsidRPr="1916222D">
        <w:rPr>
          <w:rFonts w:ascii="Verdana" w:eastAsia="Calibri" w:hAnsi="Verdana" w:cs="Arial"/>
          <w:color w:val="000000"/>
          <w:lang w:val="es-ES" w:eastAsia="en-GB"/>
        </w:rPr>
        <w:t xml:space="preserve"> planteada,</w:t>
      </w:r>
      <w:r w:rsidRPr="1916222D">
        <w:rPr>
          <w:rFonts w:ascii="Verdana" w:eastAsia="Calibri" w:hAnsi="Verdana" w:cs="Arial"/>
          <w:color w:val="000000"/>
          <w:lang w:val="es-ES" w:eastAsia="en-GB"/>
        </w:rPr>
        <w:t xml:space="preserve"> este </w:t>
      </w:r>
      <w:r w:rsidR="002D53EF" w:rsidRPr="1916222D">
        <w:rPr>
          <w:rFonts w:ascii="Verdana" w:eastAsia="Calibri" w:hAnsi="Verdana" w:cs="Arial"/>
          <w:color w:val="000000"/>
          <w:lang w:val="es-ES" w:eastAsia="en-GB"/>
        </w:rPr>
        <w:t>“</w:t>
      </w:r>
      <w:r w:rsidRPr="1916222D">
        <w:rPr>
          <w:rFonts w:ascii="Verdana" w:eastAsia="Calibri" w:hAnsi="Verdana" w:cs="Arial"/>
          <w:color w:val="000000"/>
          <w:lang w:val="es-ES" w:eastAsia="en-GB"/>
        </w:rPr>
        <w:t>requisito de ejecución del contrato estatal no se cumple con la simple expedición de la garantía única por parte del contratista, sino que la formalidad se configura en el momento en que la garantía ha sido aprobada por parte de la entidad pública contratante</w:t>
      </w:r>
      <w:r w:rsidR="00E27164" w:rsidRPr="1916222D">
        <w:rPr>
          <w:rFonts w:ascii="Verdana" w:eastAsia="Calibri" w:hAnsi="Verdana" w:cs="Arial"/>
          <w:color w:val="000000"/>
          <w:lang w:val="es-ES" w:eastAsia="en-GB"/>
        </w:rPr>
        <w:t>”</w:t>
      </w:r>
      <w:r w:rsidRPr="00BF13E7">
        <w:rPr>
          <w:rStyle w:val="Refdenotaalpie"/>
          <w:rFonts w:ascii="Verdana" w:eastAsia="Calibri" w:hAnsi="Verdana" w:cs="Arial"/>
          <w:color w:val="000000"/>
          <w:lang w:val="es-ES_tradnl" w:eastAsia="en-GB"/>
        </w:rPr>
        <w:footnoteReference w:id="5"/>
      </w:r>
      <w:r w:rsidRPr="1916222D">
        <w:rPr>
          <w:rFonts w:ascii="Verdana" w:eastAsia="Calibri" w:hAnsi="Verdana" w:cs="Arial"/>
          <w:color w:val="000000"/>
          <w:lang w:val="es-ES" w:eastAsia="en-GB"/>
        </w:rPr>
        <w:t>. Así también lo ha considerado de tiempo atrás la Sección Tercera del Consejo de Estado, señalando que el inicio de la ejecución del contrato estatal se encuentra supeditado a la aprobación de las garantías exigidas</w:t>
      </w:r>
      <w:r w:rsidRPr="00BF13E7">
        <w:rPr>
          <w:rStyle w:val="Refdenotaalpie"/>
          <w:rFonts w:ascii="Verdana" w:eastAsia="Calibri" w:hAnsi="Verdana" w:cs="Arial"/>
          <w:color w:val="000000"/>
          <w:lang w:val="es-ES_tradnl" w:eastAsia="en-GB"/>
        </w:rPr>
        <w:footnoteReference w:id="6"/>
      </w:r>
      <w:r w:rsidRPr="1916222D">
        <w:rPr>
          <w:rFonts w:ascii="Verdana" w:eastAsia="Calibri" w:hAnsi="Verdana" w:cs="Arial"/>
          <w:color w:val="000000"/>
          <w:lang w:val="es-ES" w:eastAsia="en-GB"/>
        </w:rPr>
        <w:t>.</w:t>
      </w:r>
    </w:p>
    <w:p w14:paraId="1C1AA5AD" w14:textId="77777777" w:rsidR="00085D79" w:rsidRPr="00BF13E7" w:rsidRDefault="00085D79" w:rsidP="1916222D">
      <w:pPr>
        <w:spacing w:after="0" w:line="276" w:lineRule="auto"/>
        <w:ind w:firstLine="709"/>
        <w:jc w:val="both"/>
        <w:rPr>
          <w:rFonts w:ascii="Verdana" w:eastAsia="Calibri" w:hAnsi="Verdana" w:cs="Arial"/>
          <w:color w:val="000000"/>
          <w:lang w:val="es-ES" w:eastAsia="en-GB"/>
        </w:rPr>
      </w:pPr>
      <w:r w:rsidRPr="00545DB3">
        <w:rPr>
          <w:rFonts w:ascii="Verdana" w:eastAsia="Calibri" w:hAnsi="Verdana" w:cs="Arial"/>
          <w:color w:val="000000"/>
          <w:lang w:val="es-ES" w:eastAsia="en-GB"/>
        </w:rPr>
        <w:t>Las garantías en la contratación estatal son obligaciones adquiridas por terceros –compañías aseguradoras o financieras–, ante eventos nocivos para la entidad pública, que puedan acaecer durante las fases pre-contractual, contractual o post-contractual, según el análisis de riesgos efectuado dentro de los estudios previos. En la fase pre-contractual, la garantía que, por regla general, debe exigirse es la de seriedad de la oferta. Para las dos fases posteriores, el ordenamiento prevé la garantía única de cumplimiento y la garantía de responsabilidad civil extracontractual, cuya procedencia, así como la inclusión de sus amparos depende de las circunstancias previstas en el artículo 7 de la Ley 1150 de 2007</w:t>
      </w:r>
      <w:r w:rsidRPr="00BF13E7">
        <w:rPr>
          <w:rStyle w:val="Refdenotaalpie"/>
          <w:rFonts w:ascii="Verdana" w:eastAsia="Calibri" w:hAnsi="Verdana" w:cs="Arial"/>
          <w:color w:val="000000"/>
          <w:lang w:val="es-ES" w:eastAsia="en-GB"/>
        </w:rPr>
        <w:footnoteReference w:id="7"/>
      </w:r>
      <w:r w:rsidRPr="1916222D">
        <w:rPr>
          <w:rFonts w:ascii="Verdana" w:eastAsia="Calibri" w:hAnsi="Verdana" w:cs="Arial"/>
          <w:color w:val="000000" w:themeColor="text1"/>
          <w:lang w:val="es-ES" w:eastAsia="en-GB"/>
        </w:rPr>
        <w:t xml:space="preserve"> y en la Subsección 3 del Decreto 1082 de 2015. </w:t>
      </w:r>
      <w:r w:rsidRPr="00545DB3">
        <w:rPr>
          <w:rFonts w:ascii="Verdana" w:eastAsia="Calibri" w:hAnsi="Verdana" w:cs="Arial"/>
          <w:color w:val="000000"/>
          <w:lang w:val="es-ES" w:eastAsia="en-GB"/>
        </w:rPr>
        <w:t xml:space="preserve">Tales </w:t>
      </w:r>
      <w:r w:rsidRPr="1916222D">
        <w:rPr>
          <w:rFonts w:ascii="Verdana" w:eastAsia="Calibri" w:hAnsi="Verdana" w:cs="Arial"/>
          <w:color w:val="000000" w:themeColor="text1"/>
          <w:lang w:val="es-ES" w:eastAsia="en-GB"/>
        </w:rPr>
        <w:lastRenderedPageBreak/>
        <w:t>disposiciones normativas establecen los contratos en los que resultan obligatorias tales garantías, la suficiencia de sus amparos y la manera de hacerlas efectivas.</w:t>
      </w:r>
      <w:r w:rsidRPr="00545DB3">
        <w:rPr>
          <w:rFonts w:ascii="Verdana" w:eastAsia="Calibri" w:hAnsi="Verdana" w:cs="Arial"/>
          <w:color w:val="000000"/>
          <w:lang w:val="es-ES" w:eastAsia="en-GB"/>
        </w:rPr>
        <w:t xml:space="preserve"> Las partes, por autonomía de la voluntad, y según las características del contrato, podrían exigir garantías adicionales.</w:t>
      </w:r>
    </w:p>
    <w:p w14:paraId="5CDE62A9" w14:textId="77777777" w:rsidR="00085D79" w:rsidRPr="00BF13E7" w:rsidRDefault="00085D79" w:rsidP="1916222D">
      <w:pPr>
        <w:spacing w:after="0"/>
        <w:jc w:val="both"/>
        <w:rPr>
          <w:rFonts w:ascii="Verdana" w:eastAsia="Calibri" w:hAnsi="Verdana" w:cs="Arial"/>
          <w:lang w:val="es-MX" w:eastAsia="es-ES"/>
        </w:rPr>
      </w:pPr>
    </w:p>
    <w:p w14:paraId="6EAF40C1" w14:textId="3A175AA6" w:rsidR="00E53848" w:rsidRPr="00BF13E7" w:rsidRDefault="00CC62B4" w:rsidP="1916222D">
      <w:pPr>
        <w:spacing w:after="120" w:line="276" w:lineRule="auto"/>
        <w:jc w:val="both"/>
        <w:rPr>
          <w:rFonts w:ascii="Verdana" w:eastAsia="Calibri" w:hAnsi="Verdana" w:cs="Arial"/>
          <w:lang w:val="es-MX" w:eastAsia="es-ES"/>
        </w:rPr>
      </w:pPr>
      <w:r w:rsidRPr="1916222D">
        <w:rPr>
          <w:rFonts w:ascii="Verdana" w:eastAsia="Calibri" w:hAnsi="Verdana" w:cs="Arial"/>
          <w:lang w:val="es-MX" w:eastAsia="es-ES"/>
        </w:rPr>
        <w:t xml:space="preserve">iii) Ahora bien, en relación con el acta de inicio, </w:t>
      </w:r>
      <w:r w:rsidRPr="1916222D">
        <w:rPr>
          <w:rFonts w:ascii="Verdana" w:eastAsia="Calibri" w:hAnsi="Verdana" w:cs="Arial"/>
          <w:lang w:val="es-ES" w:eastAsia="es-ES"/>
        </w:rPr>
        <w:t>a</w:t>
      </w:r>
      <w:r w:rsidR="00E53848" w:rsidRPr="1916222D">
        <w:rPr>
          <w:rFonts w:ascii="Verdana" w:eastAsia="Calibri" w:hAnsi="Verdana" w:cs="Arial"/>
          <w:lang w:val="es-ES" w:eastAsia="es-ES"/>
        </w:rPr>
        <w:t>l</w:t>
      </w:r>
      <w:r w:rsidR="00E53848" w:rsidRPr="00E53848">
        <w:rPr>
          <w:rFonts w:ascii="Verdana" w:eastAsia="Calibri" w:hAnsi="Verdana" w:cs="Arial"/>
          <w:lang w:val="es-ES" w:eastAsia="es-ES"/>
        </w:rPr>
        <w:t xml:space="preserve"> no ser un requisito legal de ejecución de los contratos estatales –pues no se encuentra consagrado en la ley–, el acta de inicio constituye un requisito de ejecución convencional, que se pacta en la minuta del contrato o que el contratista acepta, adhiriéndose al clausulado del pliego de condiciones o documento equivalente. </w:t>
      </w:r>
    </w:p>
    <w:p w14:paraId="38E21774" w14:textId="77777777" w:rsidR="00E53848" w:rsidRPr="00E53848" w:rsidRDefault="00E53848" w:rsidP="1916222D">
      <w:pPr>
        <w:spacing w:after="120" w:line="276" w:lineRule="auto"/>
        <w:ind w:firstLine="708"/>
        <w:jc w:val="both"/>
        <w:rPr>
          <w:rFonts w:ascii="Verdana" w:eastAsia="Calibri" w:hAnsi="Verdana" w:cs="Arial"/>
          <w:lang w:val="es-ES" w:eastAsia="es-ES"/>
        </w:rPr>
      </w:pPr>
      <w:r w:rsidRPr="00E53848">
        <w:rPr>
          <w:rFonts w:ascii="Verdana" w:eastAsia="Calibri" w:hAnsi="Verdana" w:cs="Arial"/>
          <w:lang w:val="es-ES" w:eastAsia="es-ES"/>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2F3E0F0E" w14:textId="680029DB" w:rsidR="00E53848" w:rsidRPr="00E53848" w:rsidRDefault="00E53848" w:rsidP="1916222D">
      <w:pPr>
        <w:spacing w:after="120" w:line="276" w:lineRule="auto"/>
        <w:ind w:firstLine="708"/>
        <w:jc w:val="both"/>
        <w:rPr>
          <w:rFonts w:ascii="Verdana" w:eastAsia="Calibri" w:hAnsi="Verdana" w:cs="Arial"/>
          <w:lang w:val="es-ES" w:eastAsia="es-ES"/>
        </w:rPr>
      </w:pPr>
      <w:r w:rsidRPr="00E53848">
        <w:rPr>
          <w:rFonts w:ascii="Verdana" w:eastAsia="Calibri" w:hAnsi="Verdana" w:cs="Arial"/>
          <w:lang w:val="es-ES" w:eastAsia="es-ES"/>
        </w:rPr>
        <w:t xml:space="preserve">El fundamento legal que habilita a las partes para establecer la suscripción del acta de inicio como un requisito de ejecución convencional se encuentra en el segundo inciso del artículo 40 de la Ley 80 de 1993, el cual indica que </w:t>
      </w:r>
      <w:r w:rsidR="006A388D" w:rsidRPr="1916222D">
        <w:rPr>
          <w:rFonts w:ascii="Verdana" w:eastAsia="Calibri" w:hAnsi="Verdana" w:cs="Arial"/>
          <w:lang w:val="es-ES" w:eastAsia="es-ES"/>
        </w:rPr>
        <w:t>“</w:t>
      </w:r>
      <w:r w:rsidRPr="00E53848">
        <w:rPr>
          <w:rFonts w:ascii="Verdana" w:eastAsia="Calibri" w:hAnsi="Verdana" w:cs="Arial"/>
          <w:lang w:val="es-ES" w:eastAsia="es-ES"/>
        </w:rPr>
        <w:t>Las entidades podrán celebrar los contratos y acuerdos que permitan la autonomía de la voluntad y requieran el cumplimiento de los fines estatales</w:t>
      </w:r>
      <w:r w:rsidR="006A388D" w:rsidRPr="1916222D">
        <w:rPr>
          <w:rFonts w:ascii="Verdana" w:eastAsia="Calibri" w:hAnsi="Verdana" w:cs="Arial"/>
          <w:lang w:val="es-ES" w:eastAsia="es-ES"/>
        </w:rPr>
        <w:t>”</w:t>
      </w:r>
      <w:r w:rsidRPr="1916222D">
        <w:rPr>
          <w:rFonts w:ascii="Verdana" w:eastAsia="Calibri" w:hAnsi="Verdana" w:cs="Arial"/>
          <w:lang w:val="es-ES" w:eastAsia="es-ES"/>
        </w:rPr>
        <w:t>.</w:t>
      </w:r>
      <w:r w:rsidRPr="00E53848">
        <w:rPr>
          <w:rFonts w:ascii="Verdana" w:eastAsia="Calibri" w:hAnsi="Verdana" w:cs="Arial"/>
          <w:lang w:val="es-ES" w:eastAsia="es-ES"/>
        </w:rPr>
        <w:t xml:space="preserve"> Sin embargo, en el ejercicio de la autonomía de la voluntad las partes del contrato deben respetar las normas de orden público. En consecuencia, a pesar de que están facultadas para acordar cláusulas accidentales en el negocio jurídico, estas no </w:t>
      </w:r>
      <w:r w:rsidRPr="00E53848">
        <w:rPr>
          <w:rFonts w:ascii="Verdana" w:eastAsia="Calibri" w:hAnsi="Verdana" w:cs="Arial"/>
          <w:lang w:val="es-ES" w:eastAsia="es-ES"/>
        </w:rPr>
        <w:lastRenderedPageBreak/>
        <w:t xml:space="preserve">pueden ir en contra de los mandatos contenidos en el </w:t>
      </w:r>
      <w:r w:rsidR="006A388D" w:rsidRPr="1916222D">
        <w:rPr>
          <w:rFonts w:ascii="Verdana" w:eastAsia="Calibri" w:hAnsi="Verdana" w:cs="Arial"/>
          <w:lang w:val="es-ES" w:eastAsia="es-ES"/>
        </w:rPr>
        <w:t>EGCAP</w:t>
      </w:r>
      <w:r w:rsidRPr="1916222D">
        <w:rPr>
          <w:rFonts w:ascii="Verdana" w:eastAsia="Calibri" w:hAnsi="Verdana" w:cs="Arial"/>
          <w:lang w:val="es-ES" w:eastAsia="es-ES"/>
        </w:rPr>
        <w:t>.</w:t>
      </w:r>
      <w:r w:rsidRPr="00E53848">
        <w:rPr>
          <w:rFonts w:ascii="Verdana" w:eastAsia="Calibri" w:hAnsi="Verdana" w:cs="Arial"/>
          <w:lang w:val="es-ES" w:eastAsia="es-ES"/>
        </w:rPr>
        <w:t xml:space="preserve">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w:t>
      </w:r>
      <w:r w:rsidR="006A388D" w:rsidRPr="1916222D">
        <w:rPr>
          <w:rFonts w:ascii="Verdana" w:eastAsia="Calibri" w:hAnsi="Verdana" w:cs="Arial"/>
          <w:lang w:val="es-ES" w:eastAsia="es-ES"/>
        </w:rPr>
        <w:t xml:space="preserve"> antes señaladas</w:t>
      </w:r>
      <w:r w:rsidRPr="1916222D">
        <w:rPr>
          <w:rFonts w:ascii="Verdana" w:eastAsia="Calibri" w:hAnsi="Verdana" w:cs="Arial"/>
          <w:lang w:val="es-ES" w:eastAsia="es-ES"/>
        </w:rPr>
        <w:t xml:space="preserve">. </w:t>
      </w:r>
    </w:p>
    <w:p w14:paraId="4045F30E" w14:textId="77777777" w:rsidR="00E53848" w:rsidRPr="00E53848" w:rsidRDefault="00E53848" w:rsidP="1916222D">
      <w:pPr>
        <w:spacing w:after="120" w:line="276" w:lineRule="auto"/>
        <w:ind w:firstLine="708"/>
        <w:jc w:val="both"/>
        <w:rPr>
          <w:rFonts w:ascii="Verdana" w:eastAsia="Calibri" w:hAnsi="Verdana" w:cs="Arial"/>
          <w:lang w:val="es-ES" w:eastAsia="es-ES"/>
        </w:rPr>
      </w:pPr>
      <w:r w:rsidRPr="00E53848">
        <w:rPr>
          <w:rFonts w:ascii="Verdana" w:eastAsia="Calibri" w:hAnsi="Verdana" w:cs="Arial"/>
          <w:lang w:val="es-ES" w:eastAsia="es-ES"/>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10FC7DD7" w14:textId="51F49EED" w:rsidR="00E53848" w:rsidRPr="00E53848" w:rsidRDefault="00E53848" w:rsidP="1916222D">
      <w:pPr>
        <w:spacing w:after="120" w:line="276" w:lineRule="auto"/>
        <w:ind w:firstLine="708"/>
        <w:jc w:val="both"/>
        <w:rPr>
          <w:rFonts w:ascii="Verdana" w:eastAsia="Calibri" w:hAnsi="Verdana" w:cs="Arial"/>
          <w:lang w:val="es-ES" w:eastAsia="es-ES"/>
        </w:rPr>
      </w:pPr>
      <w:r w:rsidRPr="00E53848">
        <w:rPr>
          <w:rFonts w:ascii="Verdana" w:eastAsia="Calibri" w:hAnsi="Verdana" w:cs="Arial"/>
          <w:lang w:val="es-ES" w:eastAsia="es-ES"/>
        </w:rPr>
        <w:t xml:space="preserve">Además, el artículo 6 de la Constitución dispone que </w:t>
      </w:r>
      <w:r w:rsidR="00FF5F3E" w:rsidRPr="1916222D">
        <w:rPr>
          <w:rFonts w:ascii="Verdana" w:eastAsia="Calibri" w:hAnsi="Verdana" w:cs="Arial"/>
          <w:lang w:val="es-ES" w:eastAsia="es-ES"/>
        </w:rPr>
        <w:t>“</w:t>
      </w:r>
      <w:r w:rsidRPr="00E53848">
        <w:rPr>
          <w:rFonts w:ascii="Verdana" w:eastAsia="Calibri" w:hAnsi="Verdana" w:cs="Arial"/>
          <w:lang w:val="es-ES" w:eastAsia="es-ES"/>
        </w:rPr>
        <w:t>Los particulares sólo son responsables ante las autoridades por infringir la Constitución y las leyes</w:t>
      </w:r>
      <w:r w:rsidR="00FF5F3E" w:rsidRPr="1916222D">
        <w:rPr>
          <w:rFonts w:ascii="Verdana" w:eastAsia="Calibri" w:hAnsi="Verdana" w:cs="Arial"/>
          <w:lang w:val="es-ES" w:eastAsia="es-ES"/>
        </w:rPr>
        <w:t>”</w:t>
      </w:r>
      <w:r w:rsidRPr="00E53848">
        <w:rPr>
          <w:rFonts w:ascii="Verdana" w:eastAsia="Calibri" w:hAnsi="Verdana" w:cs="Arial"/>
          <w:lang w:val="es-ES" w:eastAsia="es-ES"/>
        </w:rPr>
        <w:t xml:space="preserve"> y que </w:t>
      </w:r>
      <w:r w:rsidR="00FF5F3E" w:rsidRPr="1916222D">
        <w:rPr>
          <w:rFonts w:ascii="Verdana" w:eastAsia="Calibri" w:hAnsi="Verdana" w:cs="Arial"/>
          <w:lang w:val="es-ES" w:eastAsia="es-ES"/>
        </w:rPr>
        <w:t>“</w:t>
      </w:r>
      <w:r w:rsidRPr="00E53848">
        <w:rPr>
          <w:rFonts w:ascii="Verdana" w:eastAsia="Calibri" w:hAnsi="Verdana" w:cs="Arial"/>
          <w:lang w:val="es-ES" w:eastAsia="es-ES"/>
        </w:rPr>
        <w:t>Los servidores públicos lo son por la misma causa y por omisión o extralimitación en el ejercicio de sus funciones</w:t>
      </w:r>
      <w:r w:rsidR="00FF5F3E" w:rsidRPr="1916222D">
        <w:rPr>
          <w:rFonts w:ascii="Verdana" w:eastAsia="Calibri" w:hAnsi="Verdana" w:cs="Arial"/>
          <w:lang w:val="es-ES" w:eastAsia="es-ES"/>
        </w:rPr>
        <w:t>”</w:t>
      </w:r>
      <w:r w:rsidRPr="1916222D">
        <w:rPr>
          <w:rFonts w:ascii="Verdana" w:eastAsia="Calibri" w:hAnsi="Verdana" w:cs="Arial"/>
          <w:lang w:val="es-ES" w:eastAsia="es-ES"/>
        </w:rPr>
        <w:t>.</w:t>
      </w:r>
      <w:r w:rsidRPr="00E53848">
        <w:rPr>
          <w:rFonts w:ascii="Verdana" w:eastAsia="Calibri" w:hAnsi="Verdana" w:cs="Arial"/>
          <w:lang w:val="es-ES" w:eastAsia="es-ES"/>
        </w:rPr>
        <w:t xml:space="preserve">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2847D982" w14:textId="77777777" w:rsidR="00E53848" w:rsidRPr="00E53848" w:rsidRDefault="00E53848" w:rsidP="1916222D">
      <w:pPr>
        <w:spacing w:after="120" w:line="276" w:lineRule="auto"/>
        <w:ind w:firstLine="708"/>
        <w:jc w:val="both"/>
        <w:rPr>
          <w:rFonts w:ascii="Verdana" w:eastAsia="Calibri" w:hAnsi="Verdana" w:cs="Arial"/>
          <w:lang w:val="es-ES" w:eastAsia="es-ES"/>
        </w:rPr>
      </w:pPr>
      <w:r w:rsidRPr="00E53848">
        <w:rPr>
          <w:rFonts w:ascii="Verdana" w:eastAsia="Calibri" w:hAnsi="Verdana" w:cs="Arial"/>
          <w:lang w:val="es-ES" w:eastAsia="es-ES"/>
        </w:rPr>
        <w:t>Finalmente, a juicio del Consejo de Estado, una vez se pacte el acta de inicio como requisito de ejecución del contrato, su ausencia tiene como consecuencia la falta de autorización para desplegar cualquier actividad contractual. Por ende, concluye el alto tribunal en sentencia del 3 de abril de 2020</w:t>
      </w:r>
      <w:r w:rsidRPr="00E53848">
        <w:rPr>
          <w:rFonts w:ascii="Verdana" w:eastAsia="Calibri" w:hAnsi="Verdana"/>
          <w:lang w:val="es-ES" w:eastAsia="es-ES"/>
        </w:rPr>
        <w:footnoteReference w:id="8"/>
      </w:r>
      <w:r w:rsidRPr="00E53848">
        <w:rPr>
          <w:rFonts w:ascii="Verdana" w:eastAsia="Calibri" w:hAnsi="Verdana" w:cs="Arial"/>
          <w:lang w:val="es-ES" w:eastAsia="es-ES"/>
        </w:rPr>
        <w:t>, la eventual ejecución del contrato en estos casos no merecería reconocimiento pecuniario:</w:t>
      </w:r>
    </w:p>
    <w:p w14:paraId="67701515" w14:textId="77777777" w:rsidR="00E53848" w:rsidRPr="00E53848" w:rsidRDefault="00E53848" w:rsidP="1916222D">
      <w:pPr>
        <w:spacing w:after="0" w:line="276" w:lineRule="auto"/>
        <w:ind w:firstLine="708"/>
        <w:jc w:val="both"/>
        <w:rPr>
          <w:rFonts w:ascii="Verdana" w:eastAsia="Calibri" w:hAnsi="Verdana" w:cs="Arial"/>
          <w:lang w:val="es-ES" w:eastAsia="es-ES"/>
        </w:rPr>
      </w:pPr>
    </w:p>
    <w:p w14:paraId="51E5C40F" w14:textId="77777777" w:rsidR="00E53848" w:rsidRPr="00BF13E7" w:rsidRDefault="00E53848" w:rsidP="1916222D">
      <w:pPr>
        <w:spacing w:after="0" w:line="240" w:lineRule="auto"/>
        <w:ind w:left="708" w:right="709"/>
        <w:jc w:val="both"/>
        <w:rPr>
          <w:rFonts w:ascii="Verdana" w:eastAsia="Calibri" w:hAnsi="Verdana" w:cs="Arial"/>
          <w:sz w:val="20"/>
          <w:szCs w:val="20"/>
          <w:lang w:val="es-ES" w:eastAsia="es-ES"/>
        </w:rPr>
      </w:pPr>
      <w:r w:rsidRPr="1916222D">
        <w:rPr>
          <w:rFonts w:ascii="Verdana" w:eastAsia="Calibri" w:hAnsi="Verdana" w:cs="Arial"/>
          <w:sz w:val="20"/>
          <w:szCs w:val="20"/>
          <w:lang w:val="es-ES" w:eastAsia="es-ES"/>
        </w:rPr>
        <w:lastRenderedPageBreak/>
        <w:t>“Pese a declararse en esta oportunidad la nulidad del acto de terminación unilateral del convenio, la Sala encuentra que no está llamada a prosperar la pretensión de incumplimiento ni el consecuencial reconocimiento de los perjuicios reclamados por la parte demandante […] [L]as partes no suscribieron el acta para dar inicio a la ejecución del convenio y la entidad demandada no impartió autorización que avalara las actividades de la fundación cooperante encaminadas a la ejecución prematura de sus obligaciones. En razón de lo anterior, pese a la declaratoria de nulidad del acta de terminación unilateral del convenio 497 de 2007, no es dable acceder a la pretensión de incumplimiento, en tanto no se suscribió el acta de inicio convenida por las partes como requisito para su ejecución, lo cual significa que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p>
    <w:p w14:paraId="769F4FD5" w14:textId="77777777" w:rsidR="00E53848" w:rsidRPr="00E53848" w:rsidRDefault="00E53848" w:rsidP="1916222D">
      <w:pPr>
        <w:spacing w:after="0" w:line="276" w:lineRule="auto"/>
        <w:jc w:val="both"/>
        <w:rPr>
          <w:rFonts w:ascii="Verdana" w:eastAsia="Calibri" w:hAnsi="Verdana" w:cs="Arial"/>
          <w:lang w:val="es-ES" w:eastAsia="es-ES"/>
        </w:rPr>
      </w:pPr>
    </w:p>
    <w:p w14:paraId="58C69D28" w14:textId="7E4204E8" w:rsidR="00E53848" w:rsidRPr="00E53848" w:rsidRDefault="00E53848" w:rsidP="1916222D">
      <w:pPr>
        <w:spacing w:after="0" w:line="276" w:lineRule="auto"/>
        <w:ind w:firstLine="708"/>
        <w:jc w:val="both"/>
        <w:rPr>
          <w:rFonts w:ascii="Verdana" w:eastAsia="Calibri" w:hAnsi="Verdana" w:cs="Arial"/>
          <w:lang w:val="es-ES" w:eastAsia="es-ES"/>
        </w:rPr>
      </w:pPr>
      <w:r w:rsidRPr="00E53848">
        <w:rPr>
          <w:rFonts w:ascii="Verdana" w:eastAsia="Calibri" w:hAnsi="Verdana" w:cs="Arial"/>
          <w:lang w:val="es-ES" w:eastAsia="es-ES"/>
        </w:rPr>
        <w:t xml:space="preserve">No obstante, lo anterior, si se cumplen los requisitos legales consagrados en el mencionado el artículo 41 y se inicia la ejecución sin firmar el acta de inicio, bajo una justa causa, nada obsta para que la entidad contratante determine según sean las circunstancias del caso concreto, omitir el requisito y continuar con la ejecución. Lo anterior, en atención a que se trata de un requisito que más que exigir una condición o calidad adicional por parte del contratista, solo pretende dar claridad del momento en que inicia la ejecución del contrato de cara a sus efectos jurídicos y prácticos, lo cual también cuenta con otros medios de prueba. </w:t>
      </w:r>
      <w:r w:rsidRPr="1916222D">
        <w:rPr>
          <w:rFonts w:ascii="Verdana" w:eastAsia="Calibri" w:hAnsi="Verdana" w:cs="Arial"/>
          <w:lang w:val="es-ES" w:eastAsia="es-ES"/>
        </w:rPr>
        <w:t xml:space="preserve">Será la </w:t>
      </w:r>
      <w:r w:rsidR="00513B46" w:rsidRPr="1916222D">
        <w:rPr>
          <w:rFonts w:ascii="Verdana" w:eastAsia="Calibri" w:hAnsi="Verdana" w:cs="Arial"/>
          <w:lang w:val="es-ES" w:eastAsia="es-ES"/>
        </w:rPr>
        <w:t>entidad estatal</w:t>
      </w:r>
      <w:r w:rsidRPr="00E53848">
        <w:rPr>
          <w:rFonts w:ascii="Verdana" w:eastAsia="Calibri" w:hAnsi="Verdana" w:cs="Arial"/>
          <w:lang w:val="es-ES" w:eastAsia="es-ES"/>
        </w:rPr>
        <w:t xml:space="preserve"> entonces la que en principio defina, conforme a las circunstancias del caso en concreto, si el incumplimiento es relevante y si es susceptible de alguna medida sancionatoria que se encuentre previamente pactada.</w:t>
      </w:r>
    </w:p>
    <w:p w14:paraId="39E9D392" w14:textId="77777777" w:rsidR="00437BD6" w:rsidRPr="00BF13E7" w:rsidRDefault="00437BD6" w:rsidP="1916222D">
      <w:pPr>
        <w:spacing w:after="0" w:line="276" w:lineRule="auto"/>
        <w:jc w:val="both"/>
        <w:rPr>
          <w:rFonts w:ascii="Verdana" w:eastAsia="Calibri" w:hAnsi="Verdana" w:cs="Arial"/>
          <w:b/>
          <w:bCs/>
          <w:color w:val="000000" w:themeColor="text1"/>
          <w:lang w:val="es-ES"/>
        </w:rPr>
      </w:pPr>
    </w:p>
    <w:p w14:paraId="130B4DB9" w14:textId="2F3F5124" w:rsidR="008F791E" w:rsidRPr="008F791E" w:rsidRDefault="00513B46" w:rsidP="1916222D">
      <w:pPr>
        <w:spacing w:after="120" w:line="276" w:lineRule="auto"/>
        <w:jc w:val="both"/>
        <w:rPr>
          <w:rFonts w:ascii="Verdana" w:eastAsia="Calibri" w:hAnsi="Verdana" w:cs="Arial"/>
          <w:lang w:eastAsia="es-ES"/>
        </w:rPr>
      </w:pPr>
      <w:r w:rsidRPr="1916222D">
        <w:rPr>
          <w:rFonts w:ascii="Verdana" w:eastAsia="Calibri" w:hAnsi="Verdana" w:cs="Arial"/>
          <w:lang w:val="es-ES" w:eastAsia="es-ES"/>
        </w:rPr>
        <w:t xml:space="preserve">iv) Se concluye de lo expuesto que, </w:t>
      </w:r>
      <w:r w:rsidR="004869B2" w:rsidRPr="1916222D">
        <w:rPr>
          <w:rFonts w:ascii="Verdana" w:eastAsia="Calibri" w:hAnsi="Verdana" w:cs="Arial"/>
          <w:lang w:eastAsia="es-ES"/>
        </w:rPr>
        <w:t>la vigencia de las garantía</w:t>
      </w:r>
      <w:r w:rsidR="00474021" w:rsidRPr="1916222D">
        <w:rPr>
          <w:rFonts w:ascii="Verdana" w:eastAsia="Calibri" w:hAnsi="Verdana" w:cs="Arial"/>
          <w:lang w:eastAsia="es-ES"/>
        </w:rPr>
        <w:t>s</w:t>
      </w:r>
      <w:r w:rsidR="004869B2" w:rsidRPr="1916222D">
        <w:rPr>
          <w:rFonts w:ascii="Verdana" w:eastAsia="Calibri" w:hAnsi="Verdana" w:cs="Arial"/>
          <w:lang w:eastAsia="es-ES"/>
        </w:rPr>
        <w:t xml:space="preserve"> en los contratos estatales no comienza necesariamente desde el momento en que se suscribe el contrato.</w:t>
      </w:r>
      <w:r w:rsidR="00BC1C71" w:rsidRPr="1916222D">
        <w:rPr>
          <w:rFonts w:ascii="Verdana" w:eastAsia="Calibri" w:hAnsi="Verdana" w:cs="Arial"/>
          <w:lang w:eastAsia="es-ES"/>
        </w:rPr>
        <w:t xml:space="preserve"> Esto en la medida que la vigencia de la</w:t>
      </w:r>
      <w:r w:rsidR="00474021" w:rsidRPr="1916222D">
        <w:rPr>
          <w:rFonts w:ascii="Verdana" w:eastAsia="Calibri" w:hAnsi="Verdana" w:cs="Arial"/>
          <w:lang w:eastAsia="es-ES"/>
        </w:rPr>
        <w:t xml:space="preserve">s </w:t>
      </w:r>
      <w:r w:rsidR="003E0C5E" w:rsidRPr="1916222D">
        <w:rPr>
          <w:rFonts w:ascii="Verdana" w:eastAsia="Calibri" w:hAnsi="Verdana" w:cs="Arial"/>
          <w:lang w:eastAsia="es-ES"/>
        </w:rPr>
        <w:t>garantías</w:t>
      </w:r>
      <w:r w:rsidR="00474021" w:rsidRPr="1916222D">
        <w:rPr>
          <w:rFonts w:ascii="Verdana" w:eastAsia="Calibri" w:hAnsi="Verdana" w:cs="Arial"/>
          <w:lang w:eastAsia="es-ES"/>
        </w:rPr>
        <w:t xml:space="preserve"> </w:t>
      </w:r>
      <w:r w:rsidR="00BC1C71" w:rsidRPr="1916222D">
        <w:rPr>
          <w:rFonts w:ascii="Verdana" w:eastAsia="Calibri" w:hAnsi="Verdana" w:cs="Arial"/>
          <w:lang w:eastAsia="es-ES"/>
        </w:rPr>
        <w:t>dependerá de</w:t>
      </w:r>
      <w:r w:rsidR="00474021" w:rsidRPr="1916222D">
        <w:rPr>
          <w:rFonts w:ascii="Verdana" w:eastAsia="Calibri" w:hAnsi="Verdana" w:cs="Arial"/>
          <w:lang w:eastAsia="es-ES"/>
        </w:rPr>
        <w:t>l</w:t>
      </w:r>
      <w:r w:rsidR="00BC1C71" w:rsidRPr="1916222D">
        <w:rPr>
          <w:rFonts w:ascii="Verdana" w:eastAsia="Calibri" w:hAnsi="Verdana" w:cs="Arial"/>
          <w:lang w:eastAsia="es-ES"/>
        </w:rPr>
        <w:t xml:space="preserve"> </w:t>
      </w:r>
      <w:r w:rsidR="00474021" w:rsidRPr="1916222D">
        <w:rPr>
          <w:rFonts w:ascii="Verdana" w:eastAsia="Calibri" w:hAnsi="Verdana" w:cs="Arial"/>
          <w:lang w:eastAsia="es-ES"/>
        </w:rPr>
        <w:t>momento y las condiciones en las cuales se constituyeron.</w:t>
      </w:r>
      <w:r w:rsidR="004869B2" w:rsidRPr="1916222D">
        <w:rPr>
          <w:rFonts w:ascii="Verdana" w:eastAsia="Calibri" w:hAnsi="Verdana" w:cs="Arial"/>
          <w:lang w:eastAsia="es-ES"/>
        </w:rPr>
        <w:t xml:space="preserve"> </w:t>
      </w:r>
      <w:r w:rsidR="00474021" w:rsidRPr="1916222D">
        <w:rPr>
          <w:rFonts w:ascii="Verdana" w:eastAsia="Calibri" w:hAnsi="Verdana" w:cs="Arial"/>
          <w:lang w:eastAsia="es-ES"/>
        </w:rPr>
        <w:t xml:space="preserve">En este punto se reitera que las garantías </w:t>
      </w:r>
      <w:r w:rsidR="003E0C5E" w:rsidRPr="1916222D">
        <w:rPr>
          <w:rFonts w:ascii="Verdana" w:eastAsia="Calibri" w:hAnsi="Verdana" w:cs="Arial"/>
          <w:lang w:eastAsia="es-ES"/>
        </w:rPr>
        <w:t>son</w:t>
      </w:r>
      <w:r w:rsidR="00474021" w:rsidRPr="1916222D">
        <w:rPr>
          <w:rFonts w:ascii="Verdana" w:eastAsia="Calibri" w:hAnsi="Verdana" w:cs="Arial"/>
          <w:lang w:eastAsia="es-ES"/>
        </w:rPr>
        <w:t xml:space="preserve"> un requisito de ejecución del contrato, más no de perfeccionamiento, por lo cual no es </w:t>
      </w:r>
      <w:r w:rsidR="008F791E" w:rsidRPr="1916222D">
        <w:rPr>
          <w:rFonts w:ascii="Verdana" w:eastAsia="Calibri" w:hAnsi="Verdana" w:cs="Arial"/>
          <w:lang w:eastAsia="es-ES"/>
        </w:rPr>
        <w:t>necesario</w:t>
      </w:r>
      <w:r w:rsidR="00474021" w:rsidRPr="1916222D">
        <w:rPr>
          <w:rFonts w:ascii="Verdana" w:eastAsia="Calibri" w:hAnsi="Verdana" w:cs="Arial"/>
          <w:lang w:eastAsia="es-ES"/>
        </w:rPr>
        <w:t xml:space="preserve"> </w:t>
      </w:r>
      <w:r w:rsidR="008F791E" w:rsidRPr="1916222D">
        <w:rPr>
          <w:rFonts w:ascii="Verdana" w:eastAsia="Calibri" w:hAnsi="Verdana" w:cs="Arial"/>
          <w:lang w:eastAsia="es-ES"/>
        </w:rPr>
        <w:t>que</w:t>
      </w:r>
      <w:r w:rsidR="00474021" w:rsidRPr="1916222D">
        <w:rPr>
          <w:rFonts w:ascii="Verdana" w:eastAsia="Calibri" w:hAnsi="Verdana" w:cs="Arial"/>
          <w:lang w:eastAsia="es-ES"/>
        </w:rPr>
        <w:t xml:space="preserve"> estén vigentes al momento de la </w:t>
      </w:r>
      <w:r w:rsidR="008F791E" w:rsidRPr="1916222D">
        <w:rPr>
          <w:rFonts w:ascii="Verdana" w:eastAsia="Calibri" w:hAnsi="Verdana" w:cs="Arial"/>
          <w:lang w:eastAsia="es-ES"/>
        </w:rPr>
        <w:t>suscripción</w:t>
      </w:r>
      <w:r w:rsidR="00474021" w:rsidRPr="1916222D">
        <w:rPr>
          <w:rFonts w:ascii="Verdana" w:eastAsia="Calibri" w:hAnsi="Verdana" w:cs="Arial"/>
          <w:lang w:eastAsia="es-ES"/>
        </w:rPr>
        <w:t xml:space="preserve"> del contrato para que este se entienda perfeccionado. </w:t>
      </w:r>
    </w:p>
    <w:p w14:paraId="5C5FB4D3" w14:textId="14DE299C" w:rsidR="00513B46" w:rsidRPr="00BF13E7" w:rsidRDefault="008F791E" w:rsidP="1916222D">
      <w:pPr>
        <w:spacing w:after="120" w:line="276" w:lineRule="auto"/>
        <w:jc w:val="both"/>
        <w:rPr>
          <w:rFonts w:ascii="Verdana" w:eastAsia="Calibri" w:hAnsi="Verdana" w:cs="Arial"/>
          <w:color w:val="000000"/>
          <w:lang w:val="es-ES" w:eastAsia="en-GB"/>
        </w:rPr>
      </w:pPr>
      <w:r w:rsidRPr="008F791E">
        <w:rPr>
          <w:rFonts w:ascii="Verdana" w:eastAsia="Calibri" w:hAnsi="Verdana" w:cs="Arial"/>
          <w:lang w:eastAsia="es-ES"/>
        </w:rPr>
        <w:tab/>
        <w:t>Por el contrario,</w:t>
      </w:r>
      <w:r w:rsidR="00474021" w:rsidRPr="008F791E">
        <w:rPr>
          <w:rFonts w:ascii="Verdana" w:eastAsia="Calibri" w:hAnsi="Verdana" w:cs="Arial"/>
          <w:lang w:eastAsia="es-ES"/>
        </w:rPr>
        <w:t xml:space="preserve"> </w:t>
      </w:r>
      <w:r w:rsidR="00513B46" w:rsidRPr="1916222D">
        <w:rPr>
          <w:rFonts w:ascii="Verdana" w:eastAsia="Calibri" w:hAnsi="Verdana" w:cs="Arial"/>
          <w:color w:val="000000" w:themeColor="text1"/>
          <w:lang w:val="es-ES" w:eastAsia="en-GB"/>
        </w:rPr>
        <w:t xml:space="preserve">para que el contrato pueda iniciar su ejecución, el servidor público competente al interior de la entidad estatal debe haber impartido la aprobación de la garantía. Esta manifestación de voluntad debe estar precedida </w:t>
      </w:r>
      <w:r w:rsidR="00513B46" w:rsidRPr="1916222D">
        <w:rPr>
          <w:rFonts w:ascii="Verdana" w:eastAsia="Calibri" w:hAnsi="Verdana" w:cs="Arial"/>
          <w:color w:val="000000" w:themeColor="text1"/>
          <w:lang w:val="es-ES" w:eastAsia="en-GB"/>
        </w:rPr>
        <w:lastRenderedPageBreak/>
        <w:t>de un completo análisis de las condiciones de expedición de la garantía, según el mecanismo de cobertura del riesgo de que se trate –póliza de seguro, contrato de fiducia mercantil o garantía bancaria–. De manera que, para emitir el acto de aprobación de la garantía el funcionario encargado de ello debe cerciorarse de que la descripción de los amparos, el valor, la vigencia y los demás datos del documento, cumplen las exigencias normativas y contractuales.</w:t>
      </w:r>
      <w:r w:rsidR="00513B46" w:rsidRPr="1916222D">
        <w:rPr>
          <w:rFonts w:ascii="Verdana" w:eastAsia="Calibri" w:hAnsi="Verdana" w:cs="Arial"/>
          <w:color w:val="000000"/>
          <w:lang w:val="es-ES" w:eastAsia="en-GB"/>
        </w:rPr>
        <w:t xml:space="preserve"> </w:t>
      </w:r>
    </w:p>
    <w:p w14:paraId="5EA8E1A9" w14:textId="77777777" w:rsidR="00513B46" w:rsidRPr="00FA729E" w:rsidRDefault="00513B46" w:rsidP="00513B46">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themeColor="text1"/>
          <w:lang w:val="es-ES" w:eastAsia="en-GB"/>
        </w:rPr>
        <w:t>Es por eso que no se puede suscribir el acta de inicio antes de la aprobación de las garantías contractuales por parte de la entidad estatal. En efecto, para que el contrato estatal comience a ejecutarse, los riesgos detectados en los estudios previos deben estar adecuadamente amparados por las garantías que la entidad estatal ha considerado óptimas para cubrirlos. Y si la entidad estatal no ha aprobado la garantía, pero, a pesar de ello, la ejecución del contrato inicia, existe la posibilidad de que se concrete algún riesgo y que no haya garantías que puedan cubrirlo, pues no han sido aprobadas. Ello, por supuesto, resultaría sumamente nocivo para las entidades estatales, y sobre todo para el cumplimiento de los fines asociados al contrato estatal.</w:t>
      </w:r>
    </w:p>
    <w:p w14:paraId="5687EE42" w14:textId="77777777" w:rsidR="00E53848" w:rsidRPr="00E53848" w:rsidRDefault="00E53848" w:rsidP="00E53848">
      <w:pPr>
        <w:spacing w:after="0" w:line="276" w:lineRule="auto"/>
        <w:jc w:val="both"/>
        <w:rPr>
          <w:rFonts w:ascii="Verdana" w:eastAsia="Calibri" w:hAnsi="Verdana" w:cs="Arial"/>
          <w:lang w:val="es-ES" w:eastAsia="es-ES"/>
        </w:rPr>
      </w:pPr>
    </w:p>
    <w:p w14:paraId="37CC34F1" w14:textId="16276297" w:rsidR="00E53848" w:rsidRPr="00E53848" w:rsidRDefault="008F791E" w:rsidP="1916222D">
      <w:pPr>
        <w:tabs>
          <w:tab w:val="left" w:pos="142"/>
          <w:tab w:val="left" w:pos="284"/>
        </w:tabs>
        <w:spacing w:after="0" w:line="276" w:lineRule="auto"/>
        <w:jc w:val="both"/>
        <w:rPr>
          <w:rFonts w:ascii="Verdana" w:eastAsia="Century Gothic" w:hAnsi="Verdana" w:cs="Century Gothic"/>
          <w:b/>
          <w:bCs/>
          <w:lang w:val="es-ES"/>
        </w:rPr>
      </w:pPr>
      <w:r w:rsidRPr="1916222D">
        <w:rPr>
          <w:rFonts w:ascii="Verdana" w:eastAsia="Century Gothic" w:hAnsi="Verdana" w:cs="Century Gothic"/>
          <w:b/>
          <w:bCs/>
          <w:lang w:val="es-ES"/>
        </w:rPr>
        <w:t xml:space="preserve">4. </w:t>
      </w:r>
      <w:r w:rsidR="00E53848" w:rsidRPr="00E53848">
        <w:rPr>
          <w:rFonts w:ascii="Verdana" w:eastAsia="Century Gothic" w:hAnsi="Verdana" w:cs="Century Gothic"/>
          <w:b/>
          <w:bCs/>
          <w:lang w:val="es-ES"/>
        </w:rPr>
        <w:t>Referencias normativas, jurisprudenciales y otras fuentes:</w:t>
      </w:r>
    </w:p>
    <w:p w14:paraId="3017C8A9" w14:textId="77777777" w:rsidR="00E53848" w:rsidRPr="00E53848" w:rsidRDefault="00E53848" w:rsidP="00E5384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53848" w:rsidRPr="00E53848" w14:paraId="39190E66" w14:textId="77777777" w:rsidTr="00EE7118">
        <w:trPr>
          <w:trHeight w:val="870"/>
        </w:trPr>
        <w:tc>
          <w:tcPr>
            <w:tcW w:w="8647" w:type="dxa"/>
          </w:tcPr>
          <w:p w14:paraId="096746D0" w14:textId="160AB4F9" w:rsidR="00E53848" w:rsidRPr="00E53848" w:rsidRDefault="007B07A2" w:rsidP="1916222D">
            <w:pPr>
              <w:widowControl w:val="0"/>
              <w:numPr>
                <w:ilvl w:val="0"/>
                <w:numId w:val="17"/>
              </w:numPr>
              <w:tabs>
                <w:tab w:val="left" w:pos="822"/>
              </w:tabs>
              <w:autoSpaceDE w:val="0"/>
              <w:autoSpaceDN w:val="0"/>
              <w:spacing w:before="117" w:line="237" w:lineRule="auto"/>
              <w:rPr>
                <w:rFonts w:ascii="Verdana" w:eastAsia="Verdana" w:hAnsi="Verdana" w:cs="Verdana"/>
                <w:lang w:val="es-ES"/>
              </w:rPr>
            </w:pPr>
            <w:r w:rsidRPr="1916222D">
              <w:rPr>
                <w:rFonts w:ascii="Verdana" w:eastAsia="Times New Roman" w:hAnsi="Verdana" w:cs="Arial"/>
                <w:lang w:val="es-ES" w:eastAsia="es-ES"/>
              </w:rPr>
              <w:t xml:space="preserve">Ley 80 de 1993.Articulo 40 y 41. Disponible en: </w:t>
            </w:r>
            <w:hyperlink r:id="rId13">
              <w:r w:rsidRPr="1916222D">
                <w:rPr>
                  <w:rFonts w:ascii="Verdana" w:eastAsia="Times New Roman" w:hAnsi="Verdana" w:cs="Arial"/>
                  <w:color w:val="0000FF"/>
                  <w:u w:val="single"/>
                  <w:lang w:val="es-ES" w:eastAsia="es-ES"/>
                </w:rPr>
                <w:t>https://relatoria.colombiacompra.gov.co/normativa/ley-80-de-1993/</w:t>
              </w:r>
            </w:hyperlink>
          </w:p>
          <w:p w14:paraId="286139BA" w14:textId="77777777" w:rsidR="00E53848" w:rsidRPr="00E53848" w:rsidRDefault="00E53848" w:rsidP="00E53848">
            <w:pPr>
              <w:widowControl w:val="0"/>
              <w:numPr>
                <w:ilvl w:val="0"/>
                <w:numId w:val="17"/>
              </w:numPr>
              <w:tabs>
                <w:tab w:val="left" w:pos="816"/>
              </w:tabs>
              <w:autoSpaceDE w:val="0"/>
              <w:autoSpaceDN w:val="0"/>
              <w:spacing w:before="120" w:line="237" w:lineRule="auto"/>
              <w:ind w:left="816" w:right="106"/>
              <w:rPr>
                <w:rFonts w:ascii="Verdana" w:eastAsia="Verdana" w:hAnsi="Verdana" w:cs="Verdana"/>
                <w:lang w:val="es-ES"/>
              </w:rPr>
            </w:pPr>
            <w:r w:rsidRPr="00E53848">
              <w:rPr>
                <w:rFonts w:ascii="Verdana" w:eastAsia="Times New Roman" w:hAnsi="Verdana" w:cs="Arial"/>
                <w:lang w:val="es-ES" w:eastAsia="es-ES_tradnl"/>
              </w:rPr>
              <w:t>Ley 1150 de 2007.</w:t>
            </w:r>
            <w:r w:rsidRPr="00E53848">
              <w:rPr>
                <w:rFonts w:ascii="Verdana" w:eastAsia="Times New Roman" w:hAnsi="Verdana" w:cs="Arial"/>
                <w:lang w:val="es-ES_tradnl" w:eastAsia="es-ES_tradnl"/>
              </w:rPr>
              <w:t xml:space="preserve"> </w:t>
            </w:r>
            <w:r w:rsidRPr="00E53848">
              <w:rPr>
                <w:rFonts w:ascii="Verdana" w:eastAsia="Times New Roman" w:hAnsi="Verdana" w:cs="Arial"/>
                <w:lang w:val="es-ES" w:eastAsia="es-ES_tradnl"/>
              </w:rPr>
              <w:t xml:space="preserve">Artículo 23. Disponible en: </w:t>
            </w:r>
            <w:hyperlink r:id="rId14" w:history="1">
              <w:r w:rsidRPr="00E53848">
                <w:rPr>
                  <w:rFonts w:ascii="Verdana" w:eastAsia="Times New Roman" w:hAnsi="Verdana" w:cs="Arial"/>
                  <w:color w:val="0000FF"/>
                  <w:u w:val="single"/>
                  <w:lang w:val="es-ES" w:eastAsia="es-ES_tradnl"/>
                </w:rPr>
                <w:t>https://relatoria.colombiacompra.gov.co/normativa/ley-1150-de-2007/</w:t>
              </w:r>
            </w:hyperlink>
          </w:p>
          <w:p w14:paraId="34F051DD" w14:textId="77777777" w:rsidR="00E53848" w:rsidRPr="00E53848" w:rsidRDefault="00E53848" w:rsidP="00E53848">
            <w:pPr>
              <w:widowControl w:val="0"/>
              <w:tabs>
                <w:tab w:val="left" w:pos="816"/>
              </w:tabs>
              <w:autoSpaceDE w:val="0"/>
              <w:autoSpaceDN w:val="0"/>
              <w:spacing w:before="120" w:line="237" w:lineRule="auto"/>
              <w:ind w:left="459" w:right="106"/>
              <w:rPr>
                <w:rFonts w:ascii="Verdana" w:eastAsia="Verdana" w:hAnsi="Verdana" w:cs="Verdana"/>
                <w:lang w:val="es-ES"/>
              </w:rPr>
            </w:pPr>
          </w:p>
          <w:p w14:paraId="36AA29F9" w14:textId="77777777" w:rsidR="00E53848" w:rsidRPr="00E53848" w:rsidRDefault="00E53848" w:rsidP="1916222D">
            <w:pPr>
              <w:widowControl w:val="0"/>
              <w:numPr>
                <w:ilvl w:val="0"/>
                <w:numId w:val="17"/>
              </w:numPr>
              <w:tabs>
                <w:tab w:val="left" w:pos="816"/>
              </w:tabs>
              <w:autoSpaceDE w:val="0"/>
              <w:autoSpaceDN w:val="0"/>
              <w:spacing w:before="120" w:line="237" w:lineRule="auto"/>
              <w:ind w:right="106"/>
              <w:rPr>
                <w:rFonts w:ascii="Verdana" w:eastAsia="Times New Roman" w:hAnsi="Verdana" w:cs="Arial"/>
                <w:color w:val="0000FF"/>
                <w:u w:val="single"/>
                <w:lang w:val="es-ES" w:eastAsia="es-ES"/>
              </w:rPr>
            </w:pPr>
          </w:p>
        </w:tc>
      </w:tr>
    </w:tbl>
    <w:p w14:paraId="114A40D7" w14:textId="77777777" w:rsidR="00E53848" w:rsidRPr="00E53848" w:rsidRDefault="00E53848" w:rsidP="00E53848">
      <w:pPr>
        <w:widowControl w:val="0"/>
        <w:autoSpaceDE w:val="0"/>
        <w:autoSpaceDN w:val="0"/>
        <w:spacing w:after="0" w:line="276" w:lineRule="auto"/>
        <w:jc w:val="both"/>
        <w:rPr>
          <w:rFonts w:ascii="Verdana" w:hAnsi="Verdana" w:cs="Arial"/>
        </w:rPr>
      </w:pPr>
    </w:p>
    <w:p w14:paraId="68A62D27" w14:textId="5CD2D3DE" w:rsidR="00E53848" w:rsidRPr="00E53848" w:rsidRDefault="008F791E" w:rsidP="0079034F">
      <w:pPr>
        <w:tabs>
          <w:tab w:val="left" w:pos="142"/>
          <w:tab w:val="left" w:pos="284"/>
        </w:tabs>
        <w:spacing w:after="0" w:line="276" w:lineRule="auto"/>
        <w:jc w:val="both"/>
        <w:rPr>
          <w:rFonts w:ascii="Verdana" w:eastAsia="Century Gothic" w:hAnsi="Verdana" w:cs="Century Gothic"/>
          <w:b/>
          <w:bCs/>
          <w:lang w:val="es-ES"/>
        </w:rPr>
      </w:pPr>
      <w:r w:rsidRPr="1916222D">
        <w:rPr>
          <w:rFonts w:ascii="Verdana" w:eastAsia="Century Gothic" w:hAnsi="Verdana" w:cs="Century Gothic"/>
          <w:b/>
          <w:bCs/>
          <w:lang w:val="es-ES"/>
        </w:rPr>
        <w:t>5</w:t>
      </w:r>
      <w:r w:rsidR="0079034F">
        <w:rPr>
          <w:rFonts w:ascii="Verdana" w:eastAsia="Century Gothic" w:hAnsi="Verdana" w:cs="Century Gothic"/>
          <w:b/>
          <w:bCs/>
          <w:lang w:val="es-ES"/>
        </w:rPr>
        <w:t xml:space="preserve">. </w:t>
      </w:r>
      <w:r w:rsidR="00E53848" w:rsidRPr="00E53848">
        <w:rPr>
          <w:rFonts w:ascii="Verdana" w:eastAsia="Century Gothic" w:hAnsi="Verdana" w:cs="Century Gothic"/>
          <w:b/>
          <w:bCs/>
          <w:lang w:val="es-ES"/>
        </w:rPr>
        <w:t>Doctrina de la Agencia Nacional de Contratación Pública:</w:t>
      </w:r>
    </w:p>
    <w:p w14:paraId="4A1F2216" w14:textId="77777777" w:rsidR="00E53848" w:rsidRPr="00E53848" w:rsidRDefault="00E53848" w:rsidP="00E53848">
      <w:pPr>
        <w:tabs>
          <w:tab w:val="left" w:pos="142"/>
          <w:tab w:val="left" w:pos="284"/>
        </w:tabs>
        <w:spacing w:after="0" w:line="276" w:lineRule="auto"/>
        <w:contextualSpacing/>
        <w:jc w:val="both"/>
        <w:rPr>
          <w:rFonts w:ascii="Verdana" w:eastAsia="Century Gothic" w:hAnsi="Verdana" w:cs="Century Gothic"/>
          <w:b/>
          <w:bCs/>
          <w:lang w:val="es-ES"/>
        </w:rPr>
      </w:pPr>
    </w:p>
    <w:p w14:paraId="276B7591" w14:textId="1F810BEF" w:rsidR="00E53848" w:rsidRPr="00E53848" w:rsidRDefault="00E53848" w:rsidP="0079034F">
      <w:pPr>
        <w:widowControl w:val="0"/>
        <w:autoSpaceDE w:val="0"/>
        <w:autoSpaceDN w:val="0"/>
        <w:spacing w:after="0" w:line="276" w:lineRule="auto"/>
        <w:ind w:right="49"/>
        <w:jc w:val="both"/>
        <w:rPr>
          <w:rFonts w:ascii="Verdana" w:eastAsia="Verdana" w:hAnsi="Verdana" w:cs="Verdana"/>
          <w:color w:val="FF0000"/>
          <w:spacing w:val="-2"/>
          <w:lang w:val="es-ES"/>
        </w:rPr>
      </w:pPr>
      <w:r w:rsidRPr="00E53848">
        <w:rPr>
          <w:rFonts w:ascii="Verdana" w:eastAsia="Verdana" w:hAnsi="Verdana" w:cs="Verdana"/>
          <w:lang w:val="es-ES"/>
        </w:rPr>
        <w:t xml:space="preserve">La Agencia Nacional de Contratación Pública – Colombia Compra Eficiente analizó el acta de inicio como requisito de ejecución convencional del contrato Estatal en los conceptos </w:t>
      </w:r>
      <w:r w:rsidRPr="00E53848">
        <w:rPr>
          <w:rFonts w:ascii="Verdana" w:eastAsia="Calibri" w:hAnsi="Verdana" w:cs="Arial"/>
          <w:bCs/>
        </w:rPr>
        <w:t>C- 053 del 7 de mayo de 2024, C – 638 de 2022, C-797 del 22 de enero de 2021, C-797 de 2020 638 de 10 de octubre de 2022, 053 del 13 de mayo de 2024</w:t>
      </w:r>
      <w:r w:rsidRPr="1916222D">
        <w:rPr>
          <w:rFonts w:ascii="Verdana" w:eastAsia="Calibri" w:hAnsi="Verdana" w:cs="Arial"/>
        </w:rPr>
        <w:t>.</w:t>
      </w:r>
      <w:r w:rsidRPr="00E53848">
        <w:rPr>
          <w:rFonts w:ascii="Verdana" w:eastAsia="Verdana" w:hAnsi="Verdana" w:cs="Verdana"/>
          <w:lang w:val="es-ES"/>
        </w:rPr>
        <w:t xml:space="preserve"> Estos y otros conceptos se encuentran disponibles para consulta en el Sistema de relatoría de la Agencia, al cual se puede acceder </w:t>
      </w:r>
      <w:r w:rsidRPr="00E53848">
        <w:rPr>
          <w:rFonts w:ascii="Verdana" w:eastAsia="Verdana" w:hAnsi="Verdana" w:cs="Verdana"/>
          <w:lang w:val="es-ES"/>
        </w:rPr>
        <w:lastRenderedPageBreak/>
        <w:t xml:space="preserve">a través del siguiente enlace: </w:t>
      </w:r>
      <w:hyperlink r:id="rId15">
        <w:r w:rsidRPr="00E53848">
          <w:rPr>
            <w:rFonts w:ascii="Verdana" w:eastAsia="Verdana" w:hAnsi="Verdana" w:cs="Verdana"/>
            <w:color w:val="0000FF"/>
            <w:spacing w:val="-2"/>
            <w:u w:val="single" w:color="0000FF"/>
            <w:lang w:val="es-ES"/>
          </w:rPr>
          <w:t>https://relatoria.colombiacompra.gov.co/busqueda/conceptos</w:t>
        </w:r>
      </w:hyperlink>
      <w:r w:rsidRPr="1916222D">
        <w:rPr>
          <w:rFonts w:ascii="Verdana" w:eastAsia="Verdana" w:hAnsi="Verdana" w:cs="Verdana"/>
          <w:color w:val="FF0000"/>
          <w:lang w:val="es-ES"/>
        </w:rPr>
        <w:t>.</w:t>
      </w:r>
    </w:p>
    <w:p w14:paraId="608A11C4" w14:textId="77777777" w:rsidR="00E53848" w:rsidRPr="00E53848" w:rsidRDefault="00E53848" w:rsidP="00E53848">
      <w:pPr>
        <w:spacing w:after="0" w:line="276" w:lineRule="auto"/>
        <w:jc w:val="both"/>
        <w:rPr>
          <w:rFonts w:ascii="Verdana" w:hAnsi="Verdana"/>
        </w:rPr>
      </w:pPr>
    </w:p>
    <w:p w14:paraId="2BD88118" w14:textId="77777777" w:rsidR="00E53848" w:rsidRPr="00E53848" w:rsidRDefault="00E53848" w:rsidP="00E53848">
      <w:pPr>
        <w:spacing w:after="0" w:line="276" w:lineRule="auto"/>
        <w:jc w:val="both"/>
        <w:rPr>
          <w:rFonts w:ascii="Verdana" w:hAnsi="Verdana"/>
        </w:rPr>
      </w:pPr>
      <w:r w:rsidRPr="00E53848">
        <w:rPr>
          <w:rFonts w:ascii="Verdana" w:hAnsi="Verdana"/>
        </w:rPr>
        <w:t xml:space="preserve">Por último, lo invitamos a seguirnos en las redes sociales en las cuales se difunde información institucional: </w:t>
      </w:r>
    </w:p>
    <w:p w14:paraId="2BDD36FC" w14:textId="77777777" w:rsidR="00E53848" w:rsidRPr="00E53848" w:rsidRDefault="00E53848" w:rsidP="1916222D">
      <w:pPr>
        <w:spacing w:after="0" w:line="276" w:lineRule="auto"/>
        <w:jc w:val="both"/>
        <w:rPr>
          <w:rFonts w:ascii="Verdana" w:hAnsi="Verdana"/>
        </w:rPr>
      </w:pPr>
    </w:p>
    <w:p w14:paraId="60931D0A" w14:textId="77777777" w:rsidR="00E53848" w:rsidRPr="00E53848" w:rsidRDefault="00E53848" w:rsidP="1916222D">
      <w:pPr>
        <w:spacing w:after="0" w:line="276" w:lineRule="auto"/>
        <w:jc w:val="both"/>
        <w:rPr>
          <w:rFonts w:ascii="Verdana" w:hAnsi="Verdana"/>
        </w:rPr>
      </w:pPr>
      <w:r w:rsidRPr="00E53848">
        <w:rPr>
          <w:rFonts w:ascii="Verdana" w:hAnsi="Verdana"/>
        </w:rPr>
        <w:t xml:space="preserve">Twitter: </w:t>
      </w:r>
      <w:r w:rsidRPr="00E53848">
        <w:rPr>
          <w:rFonts w:ascii="Verdana" w:hAnsi="Verdana"/>
          <w:color w:val="0000FF"/>
          <w:u w:val="single"/>
        </w:rPr>
        <w:t>@colombiacompra</w:t>
      </w:r>
      <w:r w:rsidRPr="00E53848">
        <w:rPr>
          <w:rFonts w:ascii="Verdana" w:hAnsi="Verdana"/>
        </w:rPr>
        <w:t xml:space="preserve"> </w:t>
      </w:r>
    </w:p>
    <w:p w14:paraId="06CDEB04" w14:textId="77777777" w:rsidR="00E53848" w:rsidRPr="00E53848" w:rsidRDefault="00E53848" w:rsidP="1916222D">
      <w:pPr>
        <w:spacing w:after="0" w:line="276" w:lineRule="auto"/>
        <w:jc w:val="both"/>
        <w:rPr>
          <w:rFonts w:ascii="Verdana" w:hAnsi="Verdana"/>
        </w:rPr>
      </w:pPr>
      <w:r w:rsidRPr="00E53848">
        <w:rPr>
          <w:rFonts w:ascii="Verdana" w:hAnsi="Verdana"/>
        </w:rPr>
        <w:t xml:space="preserve">Facebook: </w:t>
      </w:r>
      <w:r w:rsidRPr="00E53848">
        <w:rPr>
          <w:rFonts w:ascii="Verdana" w:hAnsi="Verdana"/>
          <w:color w:val="0000FF"/>
          <w:u w:val="single"/>
        </w:rPr>
        <w:t>ColombiaCompraEficiente</w:t>
      </w:r>
    </w:p>
    <w:p w14:paraId="24BDBEE3" w14:textId="77777777" w:rsidR="00E53848" w:rsidRPr="00E53848" w:rsidRDefault="00E53848" w:rsidP="1916222D">
      <w:pPr>
        <w:spacing w:after="0" w:line="276" w:lineRule="auto"/>
        <w:jc w:val="both"/>
        <w:rPr>
          <w:rFonts w:ascii="Verdana" w:hAnsi="Verdana"/>
        </w:rPr>
      </w:pPr>
      <w:r w:rsidRPr="00E53848">
        <w:rPr>
          <w:rFonts w:ascii="Verdana" w:hAnsi="Verdana"/>
        </w:rPr>
        <w:t xml:space="preserve">LinkedIn: </w:t>
      </w:r>
      <w:r w:rsidRPr="00E53848">
        <w:rPr>
          <w:rFonts w:ascii="Verdana" w:hAnsi="Verdana"/>
          <w:color w:val="0000FF"/>
          <w:u w:val="single"/>
        </w:rPr>
        <w:t>Agencia Nacional de Contratación Pública - Colombia Compra Eficiente</w:t>
      </w:r>
      <w:r w:rsidRPr="00E53848">
        <w:rPr>
          <w:rFonts w:ascii="Verdana" w:hAnsi="Verdana"/>
        </w:rPr>
        <w:t xml:space="preserve"> Instagram: </w:t>
      </w:r>
      <w:r w:rsidRPr="00E53848">
        <w:rPr>
          <w:rFonts w:ascii="Verdana" w:hAnsi="Verdana"/>
          <w:color w:val="0000FF"/>
          <w:u w:val="single"/>
        </w:rPr>
        <w:t>@colombiacompraeficiente_cce</w:t>
      </w:r>
    </w:p>
    <w:p w14:paraId="1E50DA6A" w14:textId="77777777" w:rsidR="00E53848" w:rsidRPr="00E53848" w:rsidRDefault="00E53848" w:rsidP="00E53848">
      <w:pPr>
        <w:widowControl w:val="0"/>
        <w:autoSpaceDE w:val="0"/>
        <w:autoSpaceDN w:val="0"/>
        <w:spacing w:after="0" w:line="276" w:lineRule="auto"/>
        <w:jc w:val="both"/>
        <w:rPr>
          <w:rFonts w:ascii="Verdana" w:hAnsi="Verdana" w:cs="Arial"/>
        </w:rPr>
      </w:pPr>
    </w:p>
    <w:p w14:paraId="1ED7E715" w14:textId="77777777" w:rsidR="00E53848" w:rsidRPr="00E53848" w:rsidRDefault="00E53848" w:rsidP="00E53848">
      <w:pPr>
        <w:widowControl w:val="0"/>
        <w:autoSpaceDE w:val="0"/>
        <w:autoSpaceDN w:val="0"/>
        <w:spacing w:after="0" w:line="276" w:lineRule="auto"/>
        <w:jc w:val="both"/>
        <w:rPr>
          <w:rFonts w:ascii="Verdana" w:hAnsi="Verdana" w:cs="Arial"/>
          <w:lang w:val="es-ES_tradnl"/>
        </w:rPr>
      </w:pPr>
      <w:r w:rsidRPr="00E53848">
        <w:rPr>
          <w:rFonts w:ascii="Verdana" w:hAnsi="Verdana" w:cs="Arial"/>
        </w:rPr>
        <w:t xml:space="preserve">Este concepto tiene el alcance previsto en el artículo 28 del Código de Procedimiento Administrativo y de lo Contencioso Administrativo </w:t>
      </w:r>
      <w:r w:rsidRPr="00E53848">
        <w:rPr>
          <w:rFonts w:ascii="Verdana" w:hAnsi="Verdana" w:cs="Arial"/>
          <w:lang w:val="es-ES_tradnl"/>
        </w:rPr>
        <w:t>y las expresiones aquí utilizadas con mayúscula inicial deben ser entendidas con el significado que les otorga el artículo 2.2.1.1.1.3.1. del Decreto 1082 de 2015.</w:t>
      </w:r>
    </w:p>
    <w:p w14:paraId="5BC8CA8C" w14:textId="77777777" w:rsidR="00E53848" w:rsidRPr="00E53848" w:rsidRDefault="00E53848" w:rsidP="00E53848">
      <w:pPr>
        <w:widowControl w:val="0"/>
        <w:autoSpaceDE w:val="0"/>
        <w:autoSpaceDN w:val="0"/>
        <w:spacing w:after="0" w:line="276" w:lineRule="auto"/>
        <w:jc w:val="both"/>
        <w:rPr>
          <w:rFonts w:ascii="Verdana" w:hAnsi="Verdana" w:cs="Arial"/>
        </w:rPr>
      </w:pPr>
    </w:p>
    <w:p w14:paraId="410F465C" w14:textId="77777777" w:rsidR="00E53848" w:rsidRPr="00E53848" w:rsidRDefault="00E53848" w:rsidP="1916222D">
      <w:pPr>
        <w:spacing w:after="0" w:line="276" w:lineRule="auto"/>
        <w:rPr>
          <w:rFonts w:ascii="Verdana" w:hAnsi="Verdana" w:cs="Arial"/>
          <w:lang w:eastAsia="es-CO"/>
        </w:rPr>
      </w:pPr>
      <w:r w:rsidRPr="00E53848">
        <w:rPr>
          <w:rFonts w:ascii="Verdana" w:eastAsia="Times New Roman" w:hAnsi="Verdana" w:cs="Arial"/>
          <w:lang w:eastAsia="es-CO"/>
        </w:rPr>
        <w:t>Atentamente,</w:t>
      </w:r>
      <w:r w:rsidRPr="00E53848">
        <w:rPr>
          <w:rFonts w:ascii="Verdana" w:hAnsi="Verdana" w:cs="Arial"/>
          <w:lang w:eastAsia="es-CO"/>
        </w:rPr>
        <w:t xml:space="preserve"> </w:t>
      </w:r>
    </w:p>
    <w:p w14:paraId="7525A801" w14:textId="5744E0B5" w:rsidR="523CCAED" w:rsidRDefault="001510A0" w:rsidP="00815405">
      <w:pPr>
        <w:spacing w:after="0" w:line="276" w:lineRule="auto"/>
        <w:jc w:val="center"/>
      </w:pPr>
      <w:r w:rsidRPr="001510A0">
        <w:drawing>
          <wp:inline distT="0" distB="0" distL="0" distR="0" wp14:anchorId="086D516F" wp14:editId="64D9B2FD">
            <wp:extent cx="3817951" cy="1577477"/>
            <wp:effectExtent l="0" t="0" r="0" b="3810"/>
            <wp:docPr id="1261523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23629" name=""/>
                    <pic:cNvPicPr/>
                  </pic:nvPicPr>
                  <pic:blipFill>
                    <a:blip r:embed="rId16"/>
                    <a:stretch>
                      <a:fillRect/>
                    </a:stretch>
                  </pic:blipFill>
                  <pic:spPr>
                    <a:xfrm>
                      <a:off x="0" y="0"/>
                      <a:ext cx="3817951" cy="1577477"/>
                    </a:xfrm>
                    <a:prstGeom prst="rect">
                      <a:avLst/>
                    </a:prstGeom>
                  </pic:spPr>
                </pic:pic>
              </a:graphicData>
            </a:graphic>
          </wp:inline>
        </w:drawing>
      </w:r>
    </w:p>
    <w:p w14:paraId="290B9F7A" w14:textId="77777777" w:rsidR="00E53848" w:rsidRPr="00BF13E7" w:rsidRDefault="00E53848" w:rsidP="1916222D">
      <w:pPr>
        <w:spacing w:after="0" w:line="276" w:lineRule="auto"/>
        <w:rPr>
          <w:rFonts w:ascii="Verdana" w:hAnsi="Verdana" w:cs="Arial"/>
          <w:lang w:val="es-ES" w:eastAsia="es-CO"/>
        </w:rPr>
      </w:pPr>
    </w:p>
    <w:p w14:paraId="04362477" w14:textId="77777777" w:rsidR="00E53848" w:rsidRPr="00E53848" w:rsidRDefault="00E53848" w:rsidP="00E53848">
      <w:pPr>
        <w:spacing w:after="0" w:line="276" w:lineRule="auto"/>
        <w:jc w:val="center"/>
        <w:rPr>
          <w:rFonts w:ascii="Verdana" w:hAnsi="Verdana"/>
          <w:lang w:val="es-ES_tradn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53848" w:rsidRPr="00E53848" w14:paraId="4F0B7DB7" w14:textId="77777777" w:rsidTr="1916222D">
        <w:trPr>
          <w:trHeight w:val="315"/>
        </w:trPr>
        <w:tc>
          <w:tcPr>
            <w:tcW w:w="893" w:type="dxa"/>
            <w:vAlign w:val="center"/>
            <w:hideMark/>
          </w:tcPr>
          <w:p w14:paraId="2C21AC71" w14:textId="7777777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Elaboró:</w:t>
            </w:r>
          </w:p>
        </w:tc>
        <w:tc>
          <w:tcPr>
            <w:tcW w:w="5628" w:type="dxa"/>
            <w:tcBorders>
              <w:top w:val="nil"/>
              <w:left w:val="nil"/>
              <w:bottom w:val="dotted" w:sz="4" w:space="0" w:color="7F7F7F" w:themeColor="text1" w:themeTint="80"/>
              <w:right w:val="nil"/>
            </w:tcBorders>
            <w:vAlign w:val="center"/>
            <w:hideMark/>
          </w:tcPr>
          <w:p w14:paraId="22E14245" w14:textId="7777777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 xml:space="preserve">Diana Carolina Blanco Rodriguez </w:t>
            </w:r>
          </w:p>
          <w:p w14:paraId="36B81507" w14:textId="7777777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Contratista de la Subdirección de Gestión Contractual</w:t>
            </w:r>
          </w:p>
        </w:tc>
      </w:tr>
      <w:tr w:rsidR="00E53848" w:rsidRPr="00E53848" w14:paraId="4269BD1B" w14:textId="77777777" w:rsidTr="1916222D">
        <w:trPr>
          <w:trHeight w:val="330"/>
        </w:trPr>
        <w:tc>
          <w:tcPr>
            <w:tcW w:w="893" w:type="dxa"/>
            <w:vAlign w:val="center"/>
            <w:hideMark/>
          </w:tcPr>
          <w:p w14:paraId="06E2BCF6" w14:textId="7777777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77D6EC" w14:textId="4656299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 xml:space="preserve">Diana </w:t>
            </w:r>
            <w:r w:rsidR="008F791E" w:rsidRPr="1916222D">
              <w:rPr>
                <w:rFonts w:ascii="Verdana" w:hAnsi="Verdana"/>
                <w:sz w:val="16"/>
                <w:szCs w:val="16"/>
              </w:rPr>
              <w:t xml:space="preserve">Lucia </w:t>
            </w:r>
            <w:r w:rsidRPr="00E53848">
              <w:rPr>
                <w:rFonts w:ascii="Verdana" w:hAnsi="Verdana"/>
                <w:sz w:val="16"/>
                <w:szCs w:val="16"/>
              </w:rPr>
              <w:t xml:space="preserve">Saavedra </w:t>
            </w:r>
            <w:r w:rsidR="008F791E" w:rsidRPr="1916222D">
              <w:rPr>
                <w:rFonts w:ascii="Verdana" w:hAnsi="Verdana"/>
                <w:sz w:val="16"/>
                <w:szCs w:val="16"/>
              </w:rPr>
              <w:t>Castañeda</w:t>
            </w:r>
            <w:r w:rsidRPr="1916222D">
              <w:rPr>
                <w:rFonts w:ascii="Verdana" w:hAnsi="Verdana"/>
                <w:sz w:val="16"/>
                <w:szCs w:val="16"/>
              </w:rPr>
              <w:t xml:space="preserve"> </w:t>
            </w:r>
          </w:p>
          <w:p w14:paraId="677D065B" w14:textId="7777777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Contratista de la Subdirección de Gestión Contractual </w:t>
            </w:r>
          </w:p>
        </w:tc>
      </w:tr>
      <w:tr w:rsidR="00E53848" w:rsidRPr="00E53848" w14:paraId="06C7CD24" w14:textId="77777777" w:rsidTr="1916222D">
        <w:trPr>
          <w:trHeight w:val="300"/>
        </w:trPr>
        <w:tc>
          <w:tcPr>
            <w:tcW w:w="893" w:type="dxa"/>
            <w:vAlign w:val="center"/>
            <w:hideMark/>
          </w:tcPr>
          <w:p w14:paraId="6D888BCC" w14:textId="77777777" w:rsidR="00E53848" w:rsidRPr="00E53848" w:rsidRDefault="00E53848" w:rsidP="00E53848">
            <w:pPr>
              <w:spacing w:line="276" w:lineRule="auto"/>
              <w:jc w:val="both"/>
              <w:rPr>
                <w:rFonts w:ascii="Verdana" w:hAnsi="Verdana"/>
                <w:sz w:val="16"/>
                <w:szCs w:val="16"/>
              </w:rPr>
            </w:pPr>
            <w:r w:rsidRPr="00E53848">
              <w:rPr>
                <w:rFonts w:ascii="Verdana" w:hAnsi="Verdana"/>
                <w:sz w:val="16"/>
                <w:szCs w:val="16"/>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680CE4" w14:textId="77777777" w:rsidR="00E53848" w:rsidRPr="00E53848" w:rsidRDefault="00E53848" w:rsidP="00E53848">
            <w:pPr>
              <w:spacing w:line="276" w:lineRule="auto"/>
              <w:jc w:val="both"/>
              <w:rPr>
                <w:rFonts w:ascii="Verdana" w:hAnsi="Verdana"/>
                <w:sz w:val="16"/>
                <w:szCs w:val="16"/>
                <w:lang w:val="pt-BR"/>
              </w:rPr>
            </w:pPr>
            <w:r w:rsidRPr="00E53848">
              <w:rPr>
                <w:rFonts w:ascii="Verdana" w:hAnsi="Verdana"/>
                <w:sz w:val="16"/>
                <w:szCs w:val="16"/>
                <w:lang w:val="pt-BR"/>
              </w:rPr>
              <w:t>Ana María Tolosa Rico</w:t>
            </w:r>
          </w:p>
          <w:p w14:paraId="74C3635D" w14:textId="3349AE7E" w:rsidR="00E53848" w:rsidRPr="00E53848" w:rsidRDefault="00E53848" w:rsidP="00E53848">
            <w:pPr>
              <w:spacing w:line="276" w:lineRule="auto"/>
              <w:jc w:val="both"/>
              <w:rPr>
                <w:rFonts w:ascii="Verdana" w:hAnsi="Verdana"/>
                <w:sz w:val="16"/>
                <w:szCs w:val="16"/>
                <w:lang w:val="pt-BR"/>
              </w:rPr>
            </w:pPr>
            <w:r w:rsidRPr="00E53848">
              <w:rPr>
                <w:rFonts w:ascii="Verdana" w:hAnsi="Verdana"/>
                <w:sz w:val="16"/>
                <w:szCs w:val="16"/>
              </w:rPr>
              <w:t>Subdirectora</w:t>
            </w:r>
            <w:r w:rsidRPr="00E53848">
              <w:rPr>
                <w:rFonts w:ascii="Verdana" w:hAnsi="Verdana"/>
                <w:sz w:val="16"/>
                <w:szCs w:val="16"/>
                <w:lang w:val="pt-BR"/>
              </w:rPr>
              <w:t xml:space="preserve"> de Gestión Contratual (</w:t>
            </w:r>
            <w:r w:rsidR="008F791E" w:rsidRPr="1916222D">
              <w:rPr>
                <w:rFonts w:ascii="Verdana" w:hAnsi="Verdana"/>
                <w:sz w:val="16"/>
                <w:szCs w:val="16"/>
                <w:lang w:val="pt-BR"/>
              </w:rPr>
              <w:t>E</w:t>
            </w:r>
            <w:r w:rsidRPr="00E53848">
              <w:rPr>
                <w:rFonts w:ascii="Verdana" w:hAnsi="Verdana"/>
                <w:sz w:val="16"/>
                <w:szCs w:val="16"/>
                <w:lang w:val="pt-BR"/>
              </w:rPr>
              <w:t xml:space="preserve">) </w:t>
            </w:r>
          </w:p>
        </w:tc>
      </w:tr>
      <w:bookmarkEnd w:id="0"/>
    </w:tbl>
    <w:p w14:paraId="3900974D" w14:textId="77777777" w:rsidR="003D5B0D" w:rsidRPr="0044528D" w:rsidRDefault="003D5B0D" w:rsidP="1916222D">
      <w:pPr>
        <w:spacing w:after="0" w:line="240" w:lineRule="auto"/>
        <w:jc w:val="both"/>
        <w:textAlignment w:val="baseline"/>
        <w:rPr>
          <w:rStyle w:val="Hipervnculo"/>
          <w:rFonts w:ascii="Verdana" w:hAnsi="Verdana"/>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C0C54" w14:textId="77777777" w:rsidR="0009028A" w:rsidRDefault="0009028A" w:rsidP="004A1847">
      <w:pPr>
        <w:spacing w:after="0" w:line="240" w:lineRule="auto"/>
      </w:pPr>
      <w:r>
        <w:separator/>
      </w:r>
    </w:p>
  </w:endnote>
  <w:endnote w:type="continuationSeparator" w:id="0">
    <w:p w14:paraId="6ECDD52E" w14:textId="77777777" w:rsidR="0009028A" w:rsidRDefault="0009028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BE258" w14:textId="77777777" w:rsidR="0009028A" w:rsidRDefault="0009028A" w:rsidP="004A1847">
      <w:pPr>
        <w:spacing w:after="0" w:line="240" w:lineRule="auto"/>
      </w:pPr>
      <w:r>
        <w:separator/>
      </w:r>
    </w:p>
  </w:footnote>
  <w:footnote w:type="continuationSeparator" w:id="0">
    <w:p w14:paraId="40BD87CB" w14:textId="77777777" w:rsidR="0009028A" w:rsidRDefault="0009028A" w:rsidP="004A1847">
      <w:pPr>
        <w:spacing w:after="0" w:line="240" w:lineRule="auto"/>
      </w:pPr>
      <w:r>
        <w:continuationSeparator/>
      </w:r>
    </w:p>
  </w:footnote>
  <w:footnote w:id="1">
    <w:p w14:paraId="261FE7F1" w14:textId="2A61CC3E" w:rsidR="007E0104" w:rsidRPr="00BF13E7" w:rsidRDefault="007E0104" w:rsidP="1916222D">
      <w:pPr>
        <w:spacing w:after="0" w:line="240" w:lineRule="auto"/>
        <w:ind w:firstLine="709"/>
        <w:jc w:val="both"/>
        <w:rPr>
          <w:rFonts w:ascii="Verdana" w:hAnsi="Verdana" w:cs="Arial"/>
          <w:sz w:val="16"/>
          <w:szCs w:val="16"/>
          <w:lang w:val="es-ES"/>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w:t>
      </w:r>
      <w:r w:rsidR="1916222D" w:rsidRPr="00D50090">
        <w:rPr>
          <w:rFonts w:ascii="Verdana" w:hAnsi="Verdana" w:cs="Arial"/>
          <w:sz w:val="16"/>
          <w:szCs w:val="16"/>
          <w:lang w:val="es-ES"/>
        </w:rPr>
        <w:t xml:space="preserve">En efecto, este enunciado normativo establece: </w:t>
      </w:r>
      <w:r w:rsidR="1916222D">
        <w:rPr>
          <w:rFonts w:ascii="Verdana" w:hAnsi="Verdana" w:cs="Arial"/>
          <w:sz w:val="16"/>
          <w:szCs w:val="16"/>
          <w:lang w:val="es-ES"/>
        </w:rPr>
        <w:t>“</w:t>
      </w:r>
      <w:r w:rsidR="1916222D" w:rsidRPr="00D50090">
        <w:rPr>
          <w:rFonts w:ascii="Verdana" w:hAnsi="Verdana" w:cs="Arial"/>
          <w:sz w:val="16"/>
          <w:szCs w:val="16"/>
          <w:lang w:val="es-ES"/>
        </w:rPr>
        <w:t>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r w:rsidR="1916222D">
        <w:rPr>
          <w:rFonts w:ascii="Verdana" w:hAnsi="Verdana" w:cs="Arial"/>
          <w:sz w:val="16"/>
          <w:szCs w:val="16"/>
          <w:lang w:val="es-ES"/>
        </w:rPr>
        <w:t>”</w:t>
      </w:r>
      <w:r w:rsidR="1916222D" w:rsidRPr="00D50090">
        <w:rPr>
          <w:rFonts w:ascii="Verdana" w:hAnsi="Verdana" w:cs="Arial"/>
          <w:sz w:val="16"/>
          <w:szCs w:val="16"/>
          <w:lang w:val="es-ES"/>
        </w:rPr>
        <w:t>.</w:t>
      </w:r>
    </w:p>
    <w:p w14:paraId="3111C8C4" w14:textId="77777777" w:rsidR="007E0104" w:rsidRPr="00BF13E7" w:rsidRDefault="007E0104" w:rsidP="0041490C">
      <w:pPr>
        <w:pStyle w:val="Textonotapie"/>
        <w:ind w:firstLine="709"/>
        <w:jc w:val="both"/>
        <w:rPr>
          <w:rFonts w:ascii="Verdana" w:hAnsi="Verdana" w:cs="Arial"/>
          <w:sz w:val="16"/>
          <w:szCs w:val="16"/>
          <w:lang w:val="es-CO"/>
        </w:rPr>
      </w:pPr>
    </w:p>
  </w:footnote>
  <w:footnote w:id="2">
    <w:p w14:paraId="124FD43C" w14:textId="53B5AA0E" w:rsidR="007E0104" w:rsidRPr="00BF13E7" w:rsidRDefault="007E0104" w:rsidP="1916222D">
      <w:pPr>
        <w:spacing w:after="0" w:line="240" w:lineRule="auto"/>
        <w:ind w:firstLine="709"/>
        <w:jc w:val="both"/>
        <w:rPr>
          <w:rFonts w:ascii="Verdana" w:hAnsi="Verdana" w:cs="Arial"/>
          <w:sz w:val="16"/>
          <w:szCs w:val="16"/>
          <w:lang w:val="es-ES"/>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w:t>
      </w:r>
      <w:r w:rsidR="1916222D" w:rsidRPr="00D50090">
        <w:rPr>
          <w:rFonts w:ascii="Verdana" w:hAnsi="Verdana" w:cs="Arial"/>
          <w:sz w:val="16"/>
          <w:szCs w:val="16"/>
          <w:lang w:val="es-ES"/>
        </w:rPr>
        <w:t xml:space="preserve">En efecto, el artículo 1.500 del Código Civil expresa: </w:t>
      </w:r>
      <w:r w:rsidR="1916222D">
        <w:rPr>
          <w:rFonts w:ascii="Verdana" w:hAnsi="Verdana" w:cs="Arial"/>
          <w:sz w:val="16"/>
          <w:szCs w:val="16"/>
          <w:lang w:val="es-ES"/>
        </w:rPr>
        <w:t>“</w:t>
      </w:r>
      <w:r w:rsidR="1916222D" w:rsidRPr="00D50090">
        <w:rPr>
          <w:rFonts w:ascii="Verdana" w:hAnsi="Verdana" w:cs="Arial"/>
          <w:sz w:val="16"/>
          <w:szCs w:val="16"/>
          <w:lang w:val="es-ES"/>
        </w:rPr>
        <w:t>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r w:rsidR="1916222D">
        <w:rPr>
          <w:rFonts w:ascii="Verdana" w:hAnsi="Verdana" w:cs="Arial"/>
          <w:sz w:val="16"/>
          <w:szCs w:val="16"/>
          <w:lang w:val="es-ES"/>
        </w:rPr>
        <w:t>”</w:t>
      </w:r>
      <w:r w:rsidR="1916222D" w:rsidRPr="00D50090">
        <w:rPr>
          <w:rFonts w:ascii="Verdana" w:hAnsi="Verdana" w:cs="Arial"/>
          <w:sz w:val="16"/>
          <w:szCs w:val="16"/>
          <w:lang w:val="es-ES"/>
        </w:rPr>
        <w:t>.</w:t>
      </w:r>
    </w:p>
    <w:p w14:paraId="1B8DAAC9" w14:textId="77777777" w:rsidR="007E0104" w:rsidRPr="00BF13E7" w:rsidRDefault="007E0104" w:rsidP="0041490C">
      <w:pPr>
        <w:pStyle w:val="Textonotapie"/>
        <w:ind w:firstLine="709"/>
        <w:jc w:val="both"/>
        <w:rPr>
          <w:rFonts w:ascii="Verdana" w:hAnsi="Verdana" w:cs="Arial"/>
          <w:sz w:val="16"/>
          <w:szCs w:val="16"/>
          <w:lang w:val="es-CO"/>
        </w:rPr>
      </w:pPr>
    </w:p>
  </w:footnote>
  <w:footnote w:id="3">
    <w:p w14:paraId="24DDA236" w14:textId="77777777" w:rsidR="007E0104" w:rsidRDefault="007E0104" w:rsidP="0041490C">
      <w:pPr>
        <w:pStyle w:val="Textonotapie"/>
        <w:ind w:firstLine="709"/>
        <w:jc w:val="both"/>
        <w:rPr>
          <w:rFonts w:ascii="Verdana" w:hAnsi="Verdana" w:cs="Arial"/>
          <w:sz w:val="16"/>
          <w:szCs w:val="16"/>
          <w:lang w:val="es-ES"/>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w:t>
      </w:r>
      <w:r w:rsidR="1916222D" w:rsidRPr="00D50090">
        <w:rPr>
          <w:rFonts w:ascii="Verdana" w:hAnsi="Verdana" w:cs="Arial"/>
          <w:sz w:val="16"/>
          <w:szCs w:val="16"/>
          <w:lang w:val="es-ES"/>
        </w:rPr>
        <w:t>EXPÓSITO VÉLEZ, Juan Carlos. Forma y contenido del contrato estatal. Bogotá: Universidad Externado de Colombia, 2013. pp. 28-29.</w:t>
      </w:r>
    </w:p>
    <w:p w14:paraId="43C16E0E" w14:textId="77777777" w:rsidR="0041490C" w:rsidRPr="00BF13E7" w:rsidRDefault="0041490C" w:rsidP="0041490C">
      <w:pPr>
        <w:pStyle w:val="Textonotapie"/>
        <w:ind w:firstLine="709"/>
        <w:jc w:val="both"/>
        <w:rPr>
          <w:rFonts w:ascii="Verdana" w:hAnsi="Verdana" w:cs="Arial"/>
          <w:sz w:val="16"/>
          <w:szCs w:val="16"/>
          <w:lang w:val="es-ES"/>
        </w:rPr>
      </w:pPr>
    </w:p>
  </w:footnote>
  <w:footnote w:id="4">
    <w:p w14:paraId="65A4A624" w14:textId="77777777" w:rsidR="007E0104" w:rsidRPr="00BF13E7" w:rsidRDefault="007E0104" w:rsidP="1916222D">
      <w:pPr>
        <w:pStyle w:val="Textonotapie"/>
        <w:ind w:firstLine="709"/>
        <w:jc w:val="both"/>
        <w:rPr>
          <w:rFonts w:ascii="Verdana" w:hAnsi="Verdana" w:cs="Arial"/>
          <w:iCs/>
          <w:sz w:val="16"/>
          <w:szCs w:val="16"/>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w:t>
      </w:r>
      <w:r w:rsidR="1916222D" w:rsidRPr="00D50090">
        <w:rPr>
          <w:rFonts w:ascii="Verdana" w:hAnsi="Verdana" w:cs="Arial"/>
          <w:sz w:val="16"/>
          <w:szCs w:val="16"/>
          <w:lang w:val="es-ES"/>
        </w:rPr>
        <w:t xml:space="preserve">Consejo de Estado. Sección Tercera. Subsección C. Sentencia del 12 de agosto de 2014. Consejero Ponente: Enrique Gil Botero. Expediente: </w:t>
      </w:r>
      <w:r w:rsidR="1916222D" w:rsidRPr="1916222D">
        <w:rPr>
          <w:rFonts w:ascii="Verdana" w:hAnsi="Verdana" w:cs="Arial"/>
          <w:sz w:val="16"/>
          <w:szCs w:val="16"/>
        </w:rPr>
        <w:t>28.565.</w:t>
      </w:r>
    </w:p>
    <w:p w14:paraId="78869994" w14:textId="77777777" w:rsidR="007E0104" w:rsidRPr="00BF13E7" w:rsidRDefault="007E0104" w:rsidP="0041490C">
      <w:pPr>
        <w:pStyle w:val="Textonotapie"/>
        <w:ind w:firstLine="709"/>
        <w:jc w:val="both"/>
        <w:rPr>
          <w:rFonts w:ascii="Verdana" w:hAnsi="Verdana" w:cs="Arial"/>
          <w:sz w:val="16"/>
          <w:szCs w:val="16"/>
          <w:lang w:val="es-ES"/>
        </w:rPr>
      </w:pPr>
    </w:p>
  </w:footnote>
  <w:footnote w:id="5">
    <w:p w14:paraId="7B0CEB20" w14:textId="77777777" w:rsidR="00085D79" w:rsidRPr="00BF13E7" w:rsidRDefault="00085D79" w:rsidP="0041490C">
      <w:pPr>
        <w:pStyle w:val="Textonotapie"/>
        <w:ind w:firstLine="709"/>
        <w:jc w:val="both"/>
        <w:rPr>
          <w:rFonts w:ascii="Verdana" w:hAnsi="Verdana" w:cs="Arial"/>
          <w:sz w:val="16"/>
          <w:szCs w:val="16"/>
          <w:lang w:val="es-ES"/>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w:t>
      </w:r>
      <w:r w:rsidR="1916222D" w:rsidRPr="00D50090">
        <w:rPr>
          <w:rFonts w:ascii="Verdana" w:hAnsi="Verdana" w:cs="Arial"/>
          <w:sz w:val="16"/>
          <w:szCs w:val="16"/>
          <w:lang w:val="es-ES"/>
        </w:rPr>
        <w:t>Expósito, Op.cit., p. 79.</w:t>
      </w:r>
    </w:p>
    <w:p w14:paraId="39A52941" w14:textId="77777777" w:rsidR="00085D79" w:rsidRPr="00BF13E7" w:rsidRDefault="00085D79" w:rsidP="0041490C">
      <w:pPr>
        <w:pStyle w:val="Textonotapie"/>
        <w:ind w:firstLine="709"/>
        <w:jc w:val="both"/>
        <w:rPr>
          <w:rFonts w:ascii="Verdana" w:hAnsi="Verdana" w:cs="Arial"/>
          <w:sz w:val="16"/>
          <w:szCs w:val="16"/>
          <w:lang w:val="es-ES"/>
        </w:rPr>
      </w:pPr>
    </w:p>
  </w:footnote>
  <w:footnote w:id="6">
    <w:p w14:paraId="102C7B8E" w14:textId="77777777" w:rsidR="00085D79" w:rsidRPr="00BF13E7" w:rsidRDefault="00085D79" w:rsidP="0041490C">
      <w:pPr>
        <w:pStyle w:val="Textonotapie"/>
        <w:ind w:firstLine="709"/>
        <w:jc w:val="both"/>
        <w:rPr>
          <w:rFonts w:ascii="Verdana" w:hAnsi="Verdana" w:cs="Arial"/>
          <w:sz w:val="16"/>
          <w:szCs w:val="16"/>
          <w:lang w:val="es-ES"/>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w:t>
      </w:r>
      <w:r w:rsidR="1916222D" w:rsidRPr="00D50090">
        <w:rPr>
          <w:rFonts w:ascii="Verdana" w:hAnsi="Verdana" w:cs="Arial"/>
          <w:sz w:val="16"/>
          <w:szCs w:val="16"/>
          <w:lang w:val="es-ES"/>
        </w:rPr>
        <w:t>Consejo de Estado. Sección Tercera. Subsección A. Sentencia del 10 de julio de 2013. Consejero Ponente: Mauricio Fajardo Gómez. Expediente: 27.816.</w:t>
      </w:r>
    </w:p>
    <w:p w14:paraId="158CC15E" w14:textId="77777777" w:rsidR="00085D79" w:rsidRPr="00BF13E7" w:rsidRDefault="00085D79" w:rsidP="0041490C">
      <w:pPr>
        <w:pStyle w:val="Textonotapie"/>
        <w:ind w:firstLine="709"/>
        <w:jc w:val="both"/>
        <w:rPr>
          <w:rFonts w:ascii="Verdana" w:hAnsi="Verdana" w:cs="Arial"/>
          <w:sz w:val="16"/>
          <w:szCs w:val="16"/>
          <w:lang w:val="es-ES"/>
        </w:rPr>
      </w:pPr>
    </w:p>
  </w:footnote>
  <w:footnote w:id="7">
    <w:p w14:paraId="53E2F143" w14:textId="277B326A" w:rsidR="00085D79" w:rsidRPr="00BF13E7" w:rsidRDefault="00085D79" w:rsidP="0041490C">
      <w:pPr>
        <w:pStyle w:val="Textonotapie"/>
        <w:ind w:firstLine="709"/>
        <w:jc w:val="both"/>
        <w:rPr>
          <w:rFonts w:ascii="Verdana" w:hAnsi="Verdana" w:cs="Arial"/>
          <w:sz w:val="16"/>
          <w:szCs w:val="16"/>
        </w:rPr>
      </w:pPr>
      <w:r w:rsidRPr="00BF13E7">
        <w:rPr>
          <w:rStyle w:val="Refdenotaalpie"/>
          <w:rFonts w:ascii="Verdana" w:hAnsi="Verdana" w:cs="Arial"/>
          <w:sz w:val="16"/>
          <w:szCs w:val="16"/>
        </w:rPr>
        <w:footnoteRef/>
      </w:r>
      <w:r w:rsidR="1916222D" w:rsidRPr="00D50090">
        <w:rPr>
          <w:rFonts w:ascii="Verdana" w:hAnsi="Verdana" w:cs="Arial"/>
          <w:sz w:val="16"/>
          <w:szCs w:val="16"/>
        </w:rPr>
        <w:t xml:space="preserve"> Este artículo dispone: </w:t>
      </w:r>
      <w:r w:rsidR="1916222D">
        <w:rPr>
          <w:rFonts w:ascii="Verdana" w:hAnsi="Verdana" w:cs="Arial"/>
          <w:sz w:val="16"/>
          <w:szCs w:val="16"/>
        </w:rPr>
        <w:t>“</w:t>
      </w:r>
      <w:r w:rsidR="1916222D" w:rsidRPr="00D50090">
        <w:rPr>
          <w:rFonts w:ascii="Verdana" w:hAnsi="Verdana" w:cs="Arial"/>
          <w:sz w:val="16"/>
          <w:szCs w:val="16"/>
        </w:rPr>
        <w:t>Los contratistas prestarán garantía única para el cumplimiento de las obligaciones surgidas del contrato. Los proponentes prestarán garantía de seriedad de los ofrecimientos hechos.</w:t>
      </w:r>
    </w:p>
    <w:p w14:paraId="444E876F" w14:textId="6CB6B26D" w:rsidR="00085D79" w:rsidRPr="00BF13E7" w:rsidRDefault="1916222D" w:rsidP="0041490C">
      <w:pPr>
        <w:pStyle w:val="Textonotapie"/>
        <w:ind w:firstLine="709"/>
        <w:jc w:val="both"/>
        <w:rPr>
          <w:rFonts w:ascii="Verdana" w:hAnsi="Verdana" w:cs="Arial"/>
          <w:sz w:val="16"/>
          <w:szCs w:val="16"/>
        </w:rPr>
      </w:pPr>
      <w:r w:rsidRPr="1916222D">
        <w:rPr>
          <w:rFonts w:ascii="Verdana" w:hAnsi="Verdana" w:cs="Arial"/>
          <w:sz w:val="16"/>
          <w:szCs w:val="16"/>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14:paraId="13AE7CFA" w14:textId="5DF08838" w:rsidR="00085D79" w:rsidRPr="00BF13E7" w:rsidRDefault="1916222D" w:rsidP="0041490C">
      <w:pPr>
        <w:pStyle w:val="Textonotapie"/>
        <w:ind w:firstLine="709"/>
        <w:jc w:val="both"/>
        <w:rPr>
          <w:rFonts w:ascii="Verdana" w:hAnsi="Verdana" w:cs="Arial"/>
          <w:sz w:val="16"/>
          <w:szCs w:val="16"/>
        </w:rPr>
      </w:pPr>
      <w:r w:rsidRPr="1916222D">
        <w:rPr>
          <w:rFonts w:ascii="Verdana" w:hAnsi="Verdana" w:cs="Arial"/>
          <w:sz w:val="16"/>
          <w:szCs w:val="16"/>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27FD3985" w14:textId="0EDA9C68" w:rsidR="00085D79" w:rsidRPr="00BF13E7" w:rsidRDefault="1916222D" w:rsidP="0041490C">
      <w:pPr>
        <w:pStyle w:val="Textonotapie"/>
        <w:ind w:firstLine="709"/>
        <w:jc w:val="both"/>
        <w:rPr>
          <w:rFonts w:ascii="Verdana" w:hAnsi="Verdana" w:cs="Arial"/>
          <w:sz w:val="16"/>
          <w:szCs w:val="16"/>
        </w:rPr>
      </w:pPr>
      <w:r w:rsidRPr="1916222D">
        <w:rPr>
          <w:rFonts w:ascii="Verdana" w:hAnsi="Verdana" w:cs="Arial"/>
          <w:sz w:val="16"/>
          <w:szCs w:val="16"/>
        </w:rPr>
        <w:t>El acaecimiento del siniestro que amparan las garantías será comunicado por la entidad pública al respectivo asegurador mediante la notificación del acto administrativo que así lo declare.</w:t>
      </w:r>
    </w:p>
    <w:p w14:paraId="38946DB9" w14:textId="3DD43834" w:rsidR="00085D79" w:rsidRPr="00BF13E7" w:rsidRDefault="1916222D" w:rsidP="0041490C">
      <w:pPr>
        <w:pStyle w:val="Textonotapie"/>
        <w:ind w:firstLine="709"/>
        <w:jc w:val="both"/>
        <w:rPr>
          <w:rFonts w:ascii="Verdana" w:hAnsi="Verdana" w:cs="Arial"/>
          <w:sz w:val="16"/>
          <w:szCs w:val="16"/>
        </w:rPr>
      </w:pPr>
      <w:r w:rsidRPr="1916222D">
        <w:rPr>
          <w:rFonts w:ascii="Verdana" w:hAnsi="Verdana" w:cs="Arial"/>
          <w:sz w:val="16"/>
          <w:szCs w:val="16"/>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314213D8" w14:textId="5465F75F" w:rsidR="00085D79" w:rsidRDefault="1916222D" w:rsidP="0041490C">
      <w:pPr>
        <w:pStyle w:val="Textonotapie"/>
        <w:ind w:firstLine="709"/>
        <w:jc w:val="both"/>
        <w:rPr>
          <w:rFonts w:ascii="Verdana" w:hAnsi="Verdana" w:cs="Arial"/>
          <w:sz w:val="16"/>
          <w:szCs w:val="16"/>
        </w:rPr>
      </w:pPr>
      <w:r w:rsidRPr="1916222D">
        <w:rPr>
          <w:rFonts w:ascii="Verdana" w:hAnsi="Verdana" w:cs="Arial"/>
          <w:sz w:val="16"/>
          <w:szCs w:val="16"/>
        </w:rPr>
        <w:t>PARÁGRAFO TRANSITORIO. Durante el período que transcurra entre la entrada en vigencia de la reforma contenida en la presente ley y la expedición del decreto reglamentario a que se refiere este artículo, las entidades estatales continuarán aplicando las normas legales y reglamentarias vigentes”.</w:t>
      </w:r>
    </w:p>
    <w:p w14:paraId="41BB8702" w14:textId="77777777" w:rsidR="0041490C" w:rsidRPr="00BF13E7" w:rsidRDefault="0041490C" w:rsidP="0041490C">
      <w:pPr>
        <w:pStyle w:val="Textonotapie"/>
        <w:ind w:firstLine="709"/>
        <w:jc w:val="both"/>
        <w:rPr>
          <w:rFonts w:ascii="Verdana" w:hAnsi="Verdana" w:cs="Arial"/>
          <w:sz w:val="16"/>
          <w:szCs w:val="16"/>
          <w:lang w:val="es-CO"/>
        </w:rPr>
      </w:pPr>
    </w:p>
  </w:footnote>
  <w:footnote w:id="8">
    <w:p w14:paraId="3A15965A" w14:textId="77777777" w:rsidR="00E53848" w:rsidRDefault="00E53848" w:rsidP="0041490C">
      <w:pPr>
        <w:pStyle w:val="Textonotapie"/>
        <w:ind w:firstLine="709"/>
        <w:rPr>
          <w:rFonts w:ascii="Verdana" w:hAnsi="Verdana" w:cs="Arial"/>
          <w:sz w:val="16"/>
          <w:szCs w:val="16"/>
          <w:lang w:val="es-ES"/>
        </w:rPr>
      </w:pPr>
      <w:r w:rsidRPr="00D50090">
        <w:rPr>
          <w:rStyle w:val="Refdenotaalpie"/>
          <w:rFonts w:ascii="Verdana" w:hAnsi="Verdana" w:cs="Arial"/>
          <w:sz w:val="16"/>
          <w:szCs w:val="16"/>
        </w:rPr>
        <w:footnoteRef/>
      </w:r>
      <w:r w:rsidRPr="00D50090">
        <w:rPr>
          <w:rFonts w:ascii="Verdana" w:hAnsi="Verdana" w:cs="Arial"/>
          <w:sz w:val="16"/>
          <w:szCs w:val="16"/>
        </w:rPr>
        <w:t xml:space="preserve"> </w:t>
      </w:r>
      <w:r w:rsidRPr="00D50090">
        <w:rPr>
          <w:rFonts w:ascii="Verdana" w:hAnsi="Verdana" w:cs="Arial"/>
          <w:sz w:val="16"/>
          <w:szCs w:val="16"/>
          <w:lang w:val="es-ES"/>
        </w:rPr>
        <w:t>Consejo de Estado. Sección Tercera. Subsección B. Sentencia del 3 de abril de 2020. Consejero Ponente: Ramiro Pazos Guerrero. Expediente: 46.963.</w:t>
      </w:r>
    </w:p>
    <w:p w14:paraId="777F2799" w14:textId="77777777" w:rsidR="00E53848" w:rsidRPr="00BF13E7" w:rsidRDefault="00E53848" w:rsidP="00E53848">
      <w:pPr>
        <w:pStyle w:val="Textonotapie"/>
        <w:ind w:firstLine="709"/>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1B13"/>
      </v:shape>
    </w:pict>
  </w:numPicBullet>
  <w:abstractNum w:abstractNumId="0" w15:restartNumberingAfterBreak="0">
    <w:nsid w:val="00160D2C"/>
    <w:multiLevelType w:val="hybridMultilevel"/>
    <w:tmpl w:val="2954F268"/>
    <w:lvl w:ilvl="0" w:tplc="1644B04E">
      <w:numFmt w:val="bullet"/>
      <w:lvlText w:val=""/>
      <w:lvlJc w:val="left"/>
      <w:pPr>
        <w:ind w:left="1208" w:hanging="357"/>
      </w:pPr>
      <w:rPr>
        <w:rFonts w:ascii="Symbol" w:eastAsia="Symbol" w:hAnsi="Symbol" w:cs="Symbol" w:hint="default"/>
        <w:b w:val="0"/>
        <w:bCs w:val="0"/>
        <w:i w:val="0"/>
        <w:iCs w:val="0"/>
        <w:spacing w:val="0"/>
        <w:w w:val="99"/>
        <w:sz w:val="22"/>
        <w:szCs w:val="22"/>
        <w:lang w:val="es-ES" w:eastAsia="en-US" w:bidi="ar-SA"/>
      </w:rPr>
    </w:lvl>
    <w:lvl w:ilvl="1" w:tplc="38965FC0">
      <w:numFmt w:val="bullet"/>
      <w:lvlText w:val="•"/>
      <w:lvlJc w:val="left"/>
      <w:pPr>
        <w:ind w:left="2019" w:hanging="357"/>
      </w:pPr>
      <w:rPr>
        <w:rFonts w:hint="default"/>
        <w:lang w:val="es-ES" w:eastAsia="en-US" w:bidi="ar-SA"/>
      </w:rPr>
    </w:lvl>
    <w:lvl w:ilvl="2" w:tplc="E6422182">
      <w:numFmt w:val="bullet"/>
      <w:lvlText w:val="•"/>
      <w:lvlJc w:val="left"/>
      <w:pPr>
        <w:ind w:left="2827" w:hanging="357"/>
      </w:pPr>
      <w:rPr>
        <w:rFonts w:hint="default"/>
        <w:lang w:val="es-ES" w:eastAsia="en-US" w:bidi="ar-SA"/>
      </w:rPr>
    </w:lvl>
    <w:lvl w:ilvl="3" w:tplc="E67E1574">
      <w:numFmt w:val="bullet"/>
      <w:lvlText w:val="•"/>
      <w:lvlJc w:val="left"/>
      <w:pPr>
        <w:ind w:left="3636" w:hanging="357"/>
      </w:pPr>
      <w:rPr>
        <w:rFonts w:hint="default"/>
        <w:lang w:val="es-ES" w:eastAsia="en-US" w:bidi="ar-SA"/>
      </w:rPr>
    </w:lvl>
    <w:lvl w:ilvl="4" w:tplc="6CD49046">
      <w:numFmt w:val="bullet"/>
      <w:lvlText w:val="•"/>
      <w:lvlJc w:val="left"/>
      <w:pPr>
        <w:ind w:left="4444" w:hanging="357"/>
      </w:pPr>
      <w:rPr>
        <w:rFonts w:hint="default"/>
        <w:lang w:val="es-ES" w:eastAsia="en-US" w:bidi="ar-SA"/>
      </w:rPr>
    </w:lvl>
    <w:lvl w:ilvl="5" w:tplc="6BDEBFF2">
      <w:numFmt w:val="bullet"/>
      <w:lvlText w:val="•"/>
      <w:lvlJc w:val="left"/>
      <w:pPr>
        <w:ind w:left="5253" w:hanging="357"/>
      </w:pPr>
      <w:rPr>
        <w:rFonts w:hint="default"/>
        <w:lang w:val="es-ES" w:eastAsia="en-US" w:bidi="ar-SA"/>
      </w:rPr>
    </w:lvl>
    <w:lvl w:ilvl="6" w:tplc="21CA8784">
      <w:numFmt w:val="bullet"/>
      <w:lvlText w:val="•"/>
      <w:lvlJc w:val="left"/>
      <w:pPr>
        <w:ind w:left="6061" w:hanging="357"/>
      </w:pPr>
      <w:rPr>
        <w:rFonts w:hint="default"/>
        <w:lang w:val="es-ES" w:eastAsia="en-US" w:bidi="ar-SA"/>
      </w:rPr>
    </w:lvl>
    <w:lvl w:ilvl="7" w:tplc="6FB03E80">
      <w:numFmt w:val="bullet"/>
      <w:lvlText w:val="•"/>
      <w:lvlJc w:val="left"/>
      <w:pPr>
        <w:ind w:left="6869" w:hanging="357"/>
      </w:pPr>
      <w:rPr>
        <w:rFonts w:hint="default"/>
        <w:lang w:val="es-ES" w:eastAsia="en-US" w:bidi="ar-SA"/>
      </w:rPr>
    </w:lvl>
    <w:lvl w:ilvl="8" w:tplc="3A60D3AC">
      <w:numFmt w:val="bullet"/>
      <w:lvlText w:val="•"/>
      <w:lvlJc w:val="left"/>
      <w:pPr>
        <w:ind w:left="7678" w:hanging="357"/>
      </w:pPr>
      <w:rPr>
        <w:rFonts w:hint="default"/>
        <w:lang w:val="es-ES" w:eastAsia="en-US" w:bidi="ar-SA"/>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2"/>
  </w:num>
  <w:num w:numId="13" w16cid:durableId="1512908409">
    <w:abstractNumId w:val="4"/>
  </w:num>
  <w:num w:numId="14" w16cid:durableId="895897244">
    <w:abstractNumId w:val="14"/>
  </w:num>
  <w:num w:numId="15" w16cid:durableId="390349800">
    <w:abstractNumId w:val="10"/>
  </w:num>
  <w:num w:numId="16" w16cid:durableId="341274352">
    <w:abstractNumId w:val="1"/>
  </w:num>
  <w:num w:numId="17" w16cid:durableId="961032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D19"/>
    <w:rsid w:val="00016F78"/>
    <w:rsid w:val="0003112B"/>
    <w:rsid w:val="00046945"/>
    <w:rsid w:val="00061B2A"/>
    <w:rsid w:val="00082362"/>
    <w:rsid w:val="00085D79"/>
    <w:rsid w:val="0009028A"/>
    <w:rsid w:val="000A683E"/>
    <w:rsid w:val="000B19B9"/>
    <w:rsid w:val="000D0334"/>
    <w:rsid w:val="000F6486"/>
    <w:rsid w:val="00125105"/>
    <w:rsid w:val="00127233"/>
    <w:rsid w:val="001455C5"/>
    <w:rsid w:val="001510A0"/>
    <w:rsid w:val="001511A0"/>
    <w:rsid w:val="001667D6"/>
    <w:rsid w:val="00182231"/>
    <w:rsid w:val="001E4177"/>
    <w:rsid w:val="001F7DC6"/>
    <w:rsid w:val="0022587C"/>
    <w:rsid w:val="002353D6"/>
    <w:rsid w:val="002421BB"/>
    <w:rsid w:val="00244227"/>
    <w:rsid w:val="00247B08"/>
    <w:rsid w:val="0025796E"/>
    <w:rsid w:val="002707A2"/>
    <w:rsid w:val="0027550C"/>
    <w:rsid w:val="00287888"/>
    <w:rsid w:val="002951A0"/>
    <w:rsid w:val="002962BC"/>
    <w:rsid w:val="002A093D"/>
    <w:rsid w:val="002A0DD0"/>
    <w:rsid w:val="002A49AC"/>
    <w:rsid w:val="002A64FD"/>
    <w:rsid w:val="002A6EF1"/>
    <w:rsid w:val="002C7A84"/>
    <w:rsid w:val="002D1FA1"/>
    <w:rsid w:val="002D53EF"/>
    <w:rsid w:val="002D5ACC"/>
    <w:rsid w:val="002D66A7"/>
    <w:rsid w:val="002E28BF"/>
    <w:rsid w:val="002E4FD9"/>
    <w:rsid w:val="00315310"/>
    <w:rsid w:val="00322A85"/>
    <w:rsid w:val="00324168"/>
    <w:rsid w:val="003448F4"/>
    <w:rsid w:val="0036282B"/>
    <w:rsid w:val="00366462"/>
    <w:rsid w:val="00374F5E"/>
    <w:rsid w:val="00377E3E"/>
    <w:rsid w:val="003A38D0"/>
    <w:rsid w:val="003A779E"/>
    <w:rsid w:val="003D0F4D"/>
    <w:rsid w:val="003D5B0D"/>
    <w:rsid w:val="003E0499"/>
    <w:rsid w:val="003E0C5E"/>
    <w:rsid w:val="003F3941"/>
    <w:rsid w:val="00406575"/>
    <w:rsid w:val="0041490C"/>
    <w:rsid w:val="00414C74"/>
    <w:rsid w:val="0042722E"/>
    <w:rsid w:val="00433EDE"/>
    <w:rsid w:val="00437BD6"/>
    <w:rsid w:val="0044528D"/>
    <w:rsid w:val="00450C26"/>
    <w:rsid w:val="00452A72"/>
    <w:rsid w:val="00474021"/>
    <w:rsid w:val="0047573D"/>
    <w:rsid w:val="004869B2"/>
    <w:rsid w:val="004A1847"/>
    <w:rsid w:val="004A1EFD"/>
    <w:rsid w:val="004A305D"/>
    <w:rsid w:val="004B46D3"/>
    <w:rsid w:val="004D3002"/>
    <w:rsid w:val="004E2A1C"/>
    <w:rsid w:val="004F21C4"/>
    <w:rsid w:val="004F685F"/>
    <w:rsid w:val="004F79BE"/>
    <w:rsid w:val="00513B46"/>
    <w:rsid w:val="00545DB3"/>
    <w:rsid w:val="00556299"/>
    <w:rsid w:val="005566E8"/>
    <w:rsid w:val="0056264E"/>
    <w:rsid w:val="00574867"/>
    <w:rsid w:val="00591460"/>
    <w:rsid w:val="005A3B11"/>
    <w:rsid w:val="005B2370"/>
    <w:rsid w:val="005B3816"/>
    <w:rsid w:val="005C3777"/>
    <w:rsid w:val="005C5CDC"/>
    <w:rsid w:val="005D476C"/>
    <w:rsid w:val="005E269E"/>
    <w:rsid w:val="005E298E"/>
    <w:rsid w:val="006219F8"/>
    <w:rsid w:val="00665D70"/>
    <w:rsid w:val="00680B7E"/>
    <w:rsid w:val="006900D9"/>
    <w:rsid w:val="00691EE5"/>
    <w:rsid w:val="00692448"/>
    <w:rsid w:val="006A388D"/>
    <w:rsid w:val="006D061B"/>
    <w:rsid w:val="00700352"/>
    <w:rsid w:val="00706C16"/>
    <w:rsid w:val="00756841"/>
    <w:rsid w:val="007649AB"/>
    <w:rsid w:val="00771D0C"/>
    <w:rsid w:val="007833AC"/>
    <w:rsid w:val="0079034F"/>
    <w:rsid w:val="007B07A2"/>
    <w:rsid w:val="007B268C"/>
    <w:rsid w:val="007B7171"/>
    <w:rsid w:val="007C0C0F"/>
    <w:rsid w:val="007C3DC2"/>
    <w:rsid w:val="007E0104"/>
    <w:rsid w:val="007E5497"/>
    <w:rsid w:val="00806F5F"/>
    <w:rsid w:val="00815405"/>
    <w:rsid w:val="00820278"/>
    <w:rsid w:val="008517C1"/>
    <w:rsid w:val="00864027"/>
    <w:rsid w:val="00867F95"/>
    <w:rsid w:val="008800BC"/>
    <w:rsid w:val="008843B6"/>
    <w:rsid w:val="00891928"/>
    <w:rsid w:val="008A446D"/>
    <w:rsid w:val="008D180B"/>
    <w:rsid w:val="008E7A2C"/>
    <w:rsid w:val="008F0EA7"/>
    <w:rsid w:val="008F791E"/>
    <w:rsid w:val="00923EEF"/>
    <w:rsid w:val="00936465"/>
    <w:rsid w:val="009419F9"/>
    <w:rsid w:val="00945DA1"/>
    <w:rsid w:val="0095685E"/>
    <w:rsid w:val="009616DE"/>
    <w:rsid w:val="00961B09"/>
    <w:rsid w:val="00965334"/>
    <w:rsid w:val="0097093E"/>
    <w:rsid w:val="00986AC5"/>
    <w:rsid w:val="009A0DFA"/>
    <w:rsid w:val="009A303A"/>
    <w:rsid w:val="009B141D"/>
    <w:rsid w:val="009B2D26"/>
    <w:rsid w:val="009C3949"/>
    <w:rsid w:val="009C71FA"/>
    <w:rsid w:val="009C72E7"/>
    <w:rsid w:val="009D3058"/>
    <w:rsid w:val="009E3415"/>
    <w:rsid w:val="009F3A13"/>
    <w:rsid w:val="00A122D3"/>
    <w:rsid w:val="00A17F13"/>
    <w:rsid w:val="00A20739"/>
    <w:rsid w:val="00A33C78"/>
    <w:rsid w:val="00AB0ADB"/>
    <w:rsid w:val="00B01B1A"/>
    <w:rsid w:val="00B66319"/>
    <w:rsid w:val="00B72CD3"/>
    <w:rsid w:val="00B72FFF"/>
    <w:rsid w:val="00BC1C71"/>
    <w:rsid w:val="00BC3D36"/>
    <w:rsid w:val="00BD7F72"/>
    <w:rsid w:val="00BF13E7"/>
    <w:rsid w:val="00BF6F40"/>
    <w:rsid w:val="00C04FB3"/>
    <w:rsid w:val="00C330EB"/>
    <w:rsid w:val="00C41061"/>
    <w:rsid w:val="00C445F1"/>
    <w:rsid w:val="00C47D7A"/>
    <w:rsid w:val="00C67275"/>
    <w:rsid w:val="00C754BE"/>
    <w:rsid w:val="00C76B1C"/>
    <w:rsid w:val="00CA683E"/>
    <w:rsid w:val="00CB44AA"/>
    <w:rsid w:val="00CB6357"/>
    <w:rsid w:val="00CC1B26"/>
    <w:rsid w:val="00CC62B4"/>
    <w:rsid w:val="00D105AF"/>
    <w:rsid w:val="00D423A2"/>
    <w:rsid w:val="00D50090"/>
    <w:rsid w:val="00D520D8"/>
    <w:rsid w:val="00D63AC2"/>
    <w:rsid w:val="00D7383B"/>
    <w:rsid w:val="00D87AA7"/>
    <w:rsid w:val="00DA231B"/>
    <w:rsid w:val="00DC39FC"/>
    <w:rsid w:val="00DF5254"/>
    <w:rsid w:val="00E16408"/>
    <w:rsid w:val="00E20894"/>
    <w:rsid w:val="00E245AB"/>
    <w:rsid w:val="00E27164"/>
    <w:rsid w:val="00E2764C"/>
    <w:rsid w:val="00E27F2E"/>
    <w:rsid w:val="00E321C4"/>
    <w:rsid w:val="00E50AFE"/>
    <w:rsid w:val="00E53848"/>
    <w:rsid w:val="00E715DE"/>
    <w:rsid w:val="00E75C92"/>
    <w:rsid w:val="00E771DC"/>
    <w:rsid w:val="00E8772A"/>
    <w:rsid w:val="00E90F6B"/>
    <w:rsid w:val="00E92C27"/>
    <w:rsid w:val="00EA0E3D"/>
    <w:rsid w:val="00EC389F"/>
    <w:rsid w:val="00EC38A7"/>
    <w:rsid w:val="00ED7384"/>
    <w:rsid w:val="00EE1AA8"/>
    <w:rsid w:val="00EE419F"/>
    <w:rsid w:val="00F31EDC"/>
    <w:rsid w:val="00F462B3"/>
    <w:rsid w:val="00F5664F"/>
    <w:rsid w:val="00F666C4"/>
    <w:rsid w:val="00F74789"/>
    <w:rsid w:val="00F76257"/>
    <w:rsid w:val="00F76AFC"/>
    <w:rsid w:val="00FA42DF"/>
    <w:rsid w:val="00FA47C0"/>
    <w:rsid w:val="00FB5DD1"/>
    <w:rsid w:val="00FC2B5D"/>
    <w:rsid w:val="00FF1449"/>
    <w:rsid w:val="00FF5F3E"/>
    <w:rsid w:val="165E9519"/>
    <w:rsid w:val="1916222D"/>
    <w:rsid w:val="1ECBDC57"/>
    <w:rsid w:val="382536D9"/>
    <w:rsid w:val="523CCAED"/>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53848"/>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DB8670C-53A4-41A4-A39B-AD69422CA540}"/>
</file>

<file path=customXml/itemProps3.xml><?xml version="1.0" encoding="utf-8"?>
<ds:datastoreItem xmlns:ds="http://schemas.openxmlformats.org/officeDocument/2006/customXml" ds:itemID="{66C0200C-7F18-4B15-AF6A-4FB5B3A4B30C}">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14</Pages>
  <Words>4636</Words>
  <Characters>25504</Characters>
  <Application>Microsoft Office Word</Application>
  <DocSecurity>0</DocSecurity>
  <Lines>212</Lines>
  <Paragraphs>60</Paragraphs>
  <ScaleCrop>false</ScaleCrop>
  <Company/>
  <LinksUpToDate>false</LinksUpToDate>
  <CharactersWithSpaces>30080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6</cp:revision>
  <cp:lastPrinted>2023-01-10T21:18:00Z</cp:lastPrinted>
  <dcterms:created xsi:type="dcterms:W3CDTF">2025-08-04T22:58:00Z</dcterms:created>
  <dcterms:modified xsi:type="dcterms:W3CDTF">2025-08-05T03:35:00Z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