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65FE0" w14:textId="77777777" w:rsidR="00874AD3" w:rsidRPr="00874AD3" w:rsidRDefault="00874AD3" w:rsidP="00874AD3">
      <w:pPr>
        <w:spacing w:after="0" w:line="240" w:lineRule="auto"/>
        <w:jc w:val="both"/>
        <w:rPr>
          <w:rFonts w:ascii="Arial" w:eastAsia="Calibri" w:hAnsi="Arial" w:cs="Arial"/>
          <w:b/>
          <w:bCs/>
          <w:sz w:val="20"/>
          <w:szCs w:val="20"/>
          <w:lang w:val="es-ES"/>
        </w:rPr>
      </w:pPr>
      <w:r w:rsidRPr="00874AD3">
        <w:rPr>
          <w:rFonts w:ascii="Arial" w:eastAsia="Calibri" w:hAnsi="Arial" w:cs="Arial"/>
          <w:b/>
          <w:bCs/>
          <w:sz w:val="20"/>
          <w:szCs w:val="20"/>
          <w:lang w:val="es-ES"/>
        </w:rPr>
        <w:t>CAPACIDAD FINANCIERA Y ORGANIZACIONAL – Conceptos – Requisitos habilitantes</w:t>
      </w:r>
    </w:p>
    <w:p w14:paraId="0EE901D9" w14:textId="77777777" w:rsidR="00874AD3" w:rsidRPr="00874AD3" w:rsidRDefault="00874AD3" w:rsidP="00874AD3">
      <w:pPr>
        <w:spacing w:after="0" w:line="240" w:lineRule="auto"/>
        <w:jc w:val="both"/>
        <w:rPr>
          <w:rFonts w:ascii="Arial" w:eastAsia="Calibri" w:hAnsi="Arial" w:cs="Arial"/>
          <w:sz w:val="20"/>
          <w:szCs w:val="20"/>
          <w:lang w:val="es-ES_tradnl"/>
        </w:rPr>
      </w:pPr>
    </w:p>
    <w:p w14:paraId="1BF8A3C5" w14:textId="77777777" w:rsidR="00874AD3" w:rsidRPr="00874AD3" w:rsidRDefault="00874AD3" w:rsidP="00874AD3">
      <w:pPr>
        <w:spacing w:after="0" w:line="240" w:lineRule="auto"/>
        <w:jc w:val="both"/>
        <w:rPr>
          <w:rFonts w:ascii="Arial" w:eastAsia="Calibri" w:hAnsi="Arial" w:cs="Arial"/>
          <w:i/>
          <w:iCs/>
          <w:color w:val="000000"/>
          <w:sz w:val="20"/>
          <w:szCs w:val="20"/>
          <w:lang w:val="es-ES_tradnl"/>
        </w:rPr>
      </w:pPr>
      <w:r w:rsidRPr="00874AD3">
        <w:rPr>
          <w:rFonts w:ascii="Arial" w:eastAsia="Calibri" w:hAnsi="Arial" w:cs="Arial"/>
          <w:color w:val="000000"/>
          <w:sz w:val="20"/>
          <w:szCs w:val="20"/>
          <w:lang w:val="es-MX"/>
        </w:rPr>
        <w:t xml:space="preserve">La capacidad financiera se deriva del comportamiento contable de la empresa, su liquidez y endeudamiento, para determinar que sus recursos y solidez financiera le permita cumplir los compromisos que adquiera. </w:t>
      </w:r>
      <w:r w:rsidRPr="00874AD3">
        <w:rPr>
          <w:rFonts w:ascii="Arial" w:eastAsia="Calibri" w:hAnsi="Arial" w:cs="Arial"/>
          <w:color w:val="000000"/>
          <w:sz w:val="20"/>
          <w:szCs w:val="20"/>
          <w:lang w:val="es-ES_tradnl"/>
        </w:rPr>
        <w:t>Como explica la Agencia Nacional de Contratación Pública – Colombia Compra Eficiente en el «</w:t>
      </w:r>
      <w:r w:rsidRPr="00874AD3">
        <w:rPr>
          <w:rFonts w:ascii="Arial" w:eastAsia="Calibri" w:hAnsi="Arial" w:cs="Arial"/>
          <w:i/>
          <w:iCs/>
          <w:color w:val="000000"/>
          <w:sz w:val="20"/>
          <w:szCs w:val="20"/>
          <w:lang w:val="es-ES_tradnl"/>
        </w:rPr>
        <w:t>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874AD3">
        <w:rPr>
          <w:rFonts w:ascii="Arial" w:eastAsia="Calibri" w:hAnsi="Arial" w:cs="Arial"/>
          <w:color w:val="000000"/>
          <w:sz w:val="20"/>
          <w:szCs w:val="20"/>
          <w:lang w:val="es-ES_tradnl"/>
        </w:rPr>
        <w:t xml:space="preserve"> La capacidad organizacional, por su parte, </w:t>
      </w:r>
      <w:r w:rsidRPr="00874AD3">
        <w:rPr>
          <w:rFonts w:ascii="Arial" w:eastAsia="Calibri" w:hAnsi="Arial" w:cs="Arial"/>
          <w:i/>
          <w:iCs/>
          <w:color w:val="000000"/>
          <w:sz w:val="20"/>
          <w:szCs w:val="20"/>
          <w:lang w:val="es-ES_tradnl"/>
        </w:rPr>
        <w:t>«[…]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2CAF906A" w14:textId="77777777" w:rsidR="00874AD3" w:rsidRPr="00874AD3" w:rsidRDefault="00874AD3" w:rsidP="00874AD3">
      <w:pPr>
        <w:spacing w:after="0" w:line="240" w:lineRule="auto"/>
        <w:jc w:val="both"/>
        <w:rPr>
          <w:rFonts w:ascii="Arial" w:eastAsia="Calibri" w:hAnsi="Arial" w:cs="Arial"/>
          <w:b/>
          <w:sz w:val="20"/>
          <w:szCs w:val="20"/>
          <w:lang w:val="es-ES_tradnl"/>
        </w:rPr>
      </w:pPr>
    </w:p>
    <w:p w14:paraId="6643EFCC" w14:textId="77777777" w:rsidR="00874AD3" w:rsidRPr="00874AD3" w:rsidRDefault="00874AD3" w:rsidP="00874AD3">
      <w:pPr>
        <w:spacing w:after="0" w:line="240" w:lineRule="auto"/>
        <w:jc w:val="both"/>
        <w:rPr>
          <w:rFonts w:ascii="Arial" w:eastAsia="Calibri" w:hAnsi="Arial" w:cs="Arial"/>
          <w:b/>
          <w:color w:val="000000"/>
          <w:sz w:val="20"/>
          <w:szCs w:val="20"/>
          <w:lang w:val="es-ES_tradnl"/>
        </w:rPr>
      </w:pPr>
      <w:r w:rsidRPr="00874AD3">
        <w:rPr>
          <w:rFonts w:ascii="Arial" w:eastAsia="Calibri" w:hAnsi="Arial" w:cs="Arial"/>
          <w:b/>
          <w:color w:val="000000"/>
          <w:sz w:val="20"/>
          <w:szCs w:val="20"/>
          <w:lang w:val="es-ES_tradnl"/>
        </w:rPr>
        <w:t xml:space="preserve">MANUAL PARA DETERMINAR REQUISITOS HABILITANTES </w:t>
      </w:r>
      <w:r w:rsidRPr="00874AD3">
        <w:rPr>
          <w:rFonts w:ascii="Arial" w:eastAsia="Calibri" w:hAnsi="Arial" w:cs="Arial"/>
          <w:b/>
          <w:bCs/>
          <w:sz w:val="20"/>
          <w:szCs w:val="20"/>
          <w:lang w:val="es-ES"/>
        </w:rPr>
        <w:t xml:space="preserve">– Capacidad financiera y organizacional </w:t>
      </w:r>
    </w:p>
    <w:p w14:paraId="57535547" w14:textId="77777777" w:rsidR="00874AD3" w:rsidRPr="00874AD3" w:rsidRDefault="00874AD3" w:rsidP="00874AD3">
      <w:pPr>
        <w:spacing w:after="0" w:line="240" w:lineRule="auto"/>
        <w:jc w:val="both"/>
        <w:rPr>
          <w:rFonts w:ascii="Arial" w:eastAsia="Calibri" w:hAnsi="Arial" w:cs="Arial"/>
          <w:b/>
          <w:color w:val="000000"/>
          <w:sz w:val="20"/>
          <w:szCs w:val="20"/>
          <w:lang w:val="es-ES_tradnl"/>
        </w:rPr>
      </w:pPr>
    </w:p>
    <w:p w14:paraId="03DCE10E" w14:textId="2D1D8DA7" w:rsidR="00874AD3" w:rsidRDefault="00874AD3" w:rsidP="00B51011">
      <w:pPr>
        <w:spacing w:after="0" w:line="240" w:lineRule="auto"/>
        <w:jc w:val="both"/>
        <w:rPr>
          <w:rFonts w:ascii="Arial" w:eastAsia="Calibri" w:hAnsi="Arial" w:cs="Arial"/>
          <w:color w:val="000000"/>
          <w:sz w:val="20"/>
          <w:szCs w:val="20"/>
          <w:lang w:val="es-ES_tradnl"/>
        </w:rPr>
      </w:pPr>
      <w:r w:rsidRPr="00874AD3">
        <w:rPr>
          <w:rFonts w:ascii="Arial" w:eastAsia="Calibri" w:hAnsi="Arial" w:cs="Arial"/>
          <w:color w:val="000000"/>
          <w:sz w:val="20"/>
          <w:szCs w:val="20"/>
          <w:lang w:val="es-ES_tradnl"/>
        </w:rPr>
        <w:t xml:space="preserve">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 Igualmente, la capacidad organizacional se mide mediante los siguientes indicadores: i) rentabilidad del patrimonio y </w:t>
      </w:r>
      <w:proofErr w:type="spellStart"/>
      <w:r w:rsidRPr="00874AD3">
        <w:rPr>
          <w:rFonts w:ascii="Arial" w:eastAsia="Calibri" w:hAnsi="Arial" w:cs="Arial"/>
          <w:color w:val="000000"/>
          <w:sz w:val="20"/>
          <w:szCs w:val="20"/>
          <w:lang w:val="es-ES_tradnl"/>
        </w:rPr>
        <w:t>ii</w:t>
      </w:r>
      <w:proofErr w:type="spellEnd"/>
      <w:r w:rsidRPr="00874AD3">
        <w:rPr>
          <w:rFonts w:ascii="Arial" w:eastAsia="Calibri" w:hAnsi="Arial" w:cs="Arial"/>
          <w:color w:val="000000"/>
          <w:sz w:val="20"/>
          <w:szCs w:val="20"/>
          <w:lang w:val="es-ES_tradnl"/>
        </w:rPr>
        <w:t>)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61D00640" w14:textId="77777777" w:rsidR="00B51011" w:rsidRPr="00B51011" w:rsidRDefault="00B51011" w:rsidP="00B51011">
      <w:pPr>
        <w:spacing w:after="0" w:line="240" w:lineRule="auto"/>
        <w:jc w:val="both"/>
        <w:rPr>
          <w:rFonts w:ascii="Arial" w:eastAsia="Calibri" w:hAnsi="Arial" w:cs="Arial"/>
          <w:color w:val="000000"/>
          <w:sz w:val="20"/>
          <w:szCs w:val="20"/>
          <w:lang w:val="es-ES_tradnl"/>
        </w:rPr>
      </w:pPr>
    </w:p>
    <w:p w14:paraId="1D623352" w14:textId="58EEB0C6" w:rsidR="00874AD3" w:rsidRDefault="00B51011" w:rsidP="00B51011">
      <w:pPr>
        <w:contextualSpacing/>
        <w:jc w:val="both"/>
        <w:rPr>
          <w:rFonts w:ascii="Arial" w:eastAsia="Calibri" w:hAnsi="Arial" w:cs="Arial"/>
          <w:b/>
          <w:bCs/>
          <w:color w:val="000000"/>
          <w:sz w:val="20"/>
          <w:szCs w:val="20"/>
          <w:lang w:val="es-ES_tradnl"/>
        </w:rPr>
      </w:pPr>
      <w:r w:rsidRPr="00B51011">
        <w:rPr>
          <w:rFonts w:ascii="Arial" w:hAnsi="Arial" w:cs="Arial"/>
          <w:b/>
          <w:bCs/>
          <w:sz w:val="20"/>
          <w:szCs w:val="20"/>
          <w:lang w:val="es-ES_tradnl"/>
        </w:rPr>
        <w:t>SOCIEDADES NUEVAS – Capacidad financiera – Capacidad organizacional</w:t>
      </w:r>
    </w:p>
    <w:p w14:paraId="580076F7" w14:textId="77777777" w:rsidR="00B51011" w:rsidRPr="00B51011" w:rsidRDefault="00B51011" w:rsidP="00B51011">
      <w:pPr>
        <w:spacing w:line="240" w:lineRule="auto"/>
        <w:contextualSpacing/>
        <w:jc w:val="both"/>
        <w:rPr>
          <w:rFonts w:ascii="Arial" w:eastAsia="Calibri" w:hAnsi="Arial" w:cs="Arial"/>
          <w:b/>
          <w:bCs/>
          <w:color w:val="000000"/>
          <w:sz w:val="20"/>
          <w:szCs w:val="20"/>
          <w:lang w:val="es-ES_tradnl"/>
        </w:rPr>
      </w:pPr>
    </w:p>
    <w:p w14:paraId="5F564DBA" w14:textId="1F4A3C77" w:rsidR="00B51011" w:rsidRPr="00B51011" w:rsidRDefault="00B51011" w:rsidP="00B51011">
      <w:pPr>
        <w:spacing w:before="120" w:line="240" w:lineRule="auto"/>
        <w:jc w:val="both"/>
        <w:rPr>
          <w:rFonts w:ascii="Arial" w:hAnsi="Arial" w:cs="Arial"/>
          <w:color w:val="000000" w:themeColor="text1"/>
          <w:sz w:val="20"/>
          <w:szCs w:val="20"/>
        </w:rPr>
      </w:pPr>
      <w:r w:rsidRPr="00B51011">
        <w:rPr>
          <w:rFonts w:ascii="Arial" w:eastAsia="Calibri" w:hAnsi="Arial" w:cs="Arial"/>
          <w:color w:val="000000"/>
          <w:sz w:val="20"/>
          <w:szCs w:val="20"/>
          <w:lang w:val="es-ES_tradnl"/>
        </w:rPr>
        <w:t>[…] debe señalarse que,</w:t>
      </w:r>
      <w:r w:rsidRPr="00B51011">
        <w:rPr>
          <w:rFonts w:ascii="Arial" w:hAnsi="Arial" w:cs="Arial"/>
          <w:color w:val="000000" w:themeColor="text1"/>
          <w:sz w:val="20"/>
          <w:szCs w:val="20"/>
        </w:rPr>
        <w:t xml:space="preserve"> armonizándose el artículo 5 de la Ley 1150 de 2007 con lo prescrito en el artículo 6 </w:t>
      </w:r>
      <w:r w:rsidRPr="00B51011">
        <w:rPr>
          <w:rFonts w:ascii="Arial" w:hAnsi="Arial" w:cs="Arial"/>
          <w:i/>
          <w:iCs/>
          <w:color w:val="000000" w:themeColor="text1"/>
          <w:sz w:val="20"/>
          <w:szCs w:val="20"/>
        </w:rPr>
        <w:t>ibidem</w:t>
      </w:r>
      <w:r w:rsidRPr="00B51011">
        <w:rPr>
          <w:rFonts w:ascii="Arial" w:hAnsi="Arial" w:cs="Arial"/>
          <w:color w:val="000000" w:themeColor="text1"/>
          <w:sz w:val="20"/>
          <w:szCs w:val="20"/>
        </w:rPr>
        <w:t>, es posible afirmar que los requisitos habilitantes deben ser verificados y acreditados mediante el RUP, en los procesos en que resulte aplicable. En desarrollo de lo anterior, en relación con la información para la inscripción o renovación del RUP, los interesados en inscribirse o renovar el registro deben aportar ante las cámaras de comercio la información enlistada en el artículo 2.2.1.1.1.5.2 del Decreto 1082 de 2015, el cual señala que las sociedades pueden acreditar estados financieros de apertura o con corte trimestral, si el interesado no tiene antigüedad suficiente para tener estados financieros auditados a 31 de diciembre. En tales supuestos el RUP reflejará dichos indicadores financieros y organizacionales que son los que la entidad debe tener en cuenta para evaluar la oferta del proponente que participa en el procedimiento de selección.</w:t>
      </w:r>
      <w:r w:rsidRPr="00B51011">
        <w:rPr>
          <w:rStyle w:val="normaltextrun"/>
          <w:rFonts w:ascii="Arial" w:hAnsi="Arial" w:cs="Arial"/>
          <w:color w:val="000000" w:themeColor="text1"/>
          <w:sz w:val="20"/>
          <w:szCs w:val="20"/>
        </w:rPr>
        <w:t xml:space="preserve"> </w:t>
      </w:r>
      <w:r w:rsidRPr="00B51011">
        <w:rPr>
          <w:rFonts w:ascii="Arial" w:hAnsi="Arial" w:cs="Arial"/>
          <w:color w:val="000000" w:themeColor="text1"/>
          <w:sz w:val="20"/>
          <w:szCs w:val="20"/>
        </w:rPr>
        <w:t>De esta disposición se concluye que es posible que una sociedad que tenga poco tiempo de constitución, participe en licitaciones públicas u otros Procedimientos de Selección con los estados financieros trimestrales o de apertura, pero los mismos deben estar reportados en el RUP, toda vez que la inscripción en el registro es una exigencia de participación en procesos de contratación estatal.</w:t>
      </w:r>
    </w:p>
    <w:p w14:paraId="495FC085" w14:textId="796981C9" w:rsidR="00874AD3" w:rsidRPr="00B51011" w:rsidRDefault="00874AD3" w:rsidP="001A63AA">
      <w:pPr>
        <w:spacing w:line="276" w:lineRule="auto"/>
        <w:rPr>
          <w:rFonts w:ascii="Arial" w:eastAsia="Calibri" w:hAnsi="Arial" w:cs="Arial"/>
          <w:b/>
          <w:color w:val="000000"/>
          <w:sz w:val="20"/>
          <w:szCs w:val="20"/>
        </w:rPr>
      </w:pPr>
    </w:p>
    <w:p w14:paraId="5FA4E332" w14:textId="53ACD3A6" w:rsidR="00874AD3" w:rsidRPr="00874AD3" w:rsidRDefault="00874AD3" w:rsidP="001A63AA">
      <w:pPr>
        <w:spacing w:line="276" w:lineRule="auto"/>
        <w:rPr>
          <w:rFonts w:ascii="Arial" w:eastAsia="Calibri" w:hAnsi="Arial" w:cs="Arial"/>
          <w:b/>
          <w:color w:val="000000"/>
          <w:sz w:val="20"/>
          <w:szCs w:val="20"/>
          <w:lang w:val="es-ES_tradnl"/>
        </w:rPr>
      </w:pPr>
    </w:p>
    <w:p w14:paraId="28406305" w14:textId="492376E1" w:rsidR="00874AD3" w:rsidRPr="00874AD3" w:rsidRDefault="00874AD3" w:rsidP="001A63AA">
      <w:pPr>
        <w:spacing w:line="276" w:lineRule="auto"/>
        <w:rPr>
          <w:rFonts w:ascii="Arial" w:eastAsia="Calibri" w:hAnsi="Arial" w:cs="Arial"/>
          <w:b/>
          <w:color w:val="000000"/>
          <w:sz w:val="20"/>
          <w:szCs w:val="20"/>
          <w:lang w:val="es-ES_tradnl"/>
        </w:rPr>
      </w:pPr>
    </w:p>
    <w:p w14:paraId="70947B30" w14:textId="0B46DE65" w:rsidR="00874AD3" w:rsidRPr="00874AD3" w:rsidRDefault="00874AD3" w:rsidP="001A63AA">
      <w:pPr>
        <w:spacing w:line="276" w:lineRule="auto"/>
        <w:rPr>
          <w:rFonts w:ascii="Arial" w:eastAsia="Calibri" w:hAnsi="Arial" w:cs="Arial"/>
          <w:b/>
          <w:color w:val="000000"/>
          <w:sz w:val="20"/>
          <w:szCs w:val="20"/>
          <w:lang w:val="es-ES_tradnl"/>
        </w:rPr>
      </w:pPr>
    </w:p>
    <w:p w14:paraId="38CE8935" w14:textId="667278CA" w:rsidR="00874AD3" w:rsidRPr="00874AD3" w:rsidRDefault="00874AD3" w:rsidP="001A63AA">
      <w:pPr>
        <w:spacing w:line="276" w:lineRule="auto"/>
        <w:rPr>
          <w:rFonts w:ascii="Arial" w:eastAsia="Calibri" w:hAnsi="Arial" w:cs="Arial"/>
          <w:b/>
          <w:color w:val="000000"/>
          <w:sz w:val="20"/>
          <w:szCs w:val="20"/>
          <w:lang w:val="es-ES_tradnl"/>
        </w:rPr>
      </w:pPr>
    </w:p>
    <w:p w14:paraId="5090C29C" w14:textId="4F353922" w:rsidR="00874AD3" w:rsidRPr="00874AD3" w:rsidRDefault="00524A0F" w:rsidP="00524A0F">
      <w:pPr>
        <w:spacing w:line="276" w:lineRule="auto"/>
        <w:jc w:val="right"/>
        <w:rPr>
          <w:rFonts w:ascii="Arial" w:eastAsia="Calibri" w:hAnsi="Arial" w:cs="Arial"/>
          <w:b/>
          <w:color w:val="000000"/>
          <w:sz w:val="20"/>
          <w:szCs w:val="20"/>
          <w:lang w:val="es-ES_tradnl"/>
        </w:rPr>
      </w:pPr>
      <w:r w:rsidRPr="00524A0F">
        <w:rPr>
          <w:rFonts w:ascii="Arial" w:eastAsia="Calibri" w:hAnsi="Arial" w:cs="Arial"/>
          <w:b/>
          <w:noProof/>
          <w:color w:val="000000"/>
          <w:sz w:val="20"/>
          <w:szCs w:val="20"/>
          <w:lang w:val="es-ES_tradnl"/>
        </w:rPr>
        <w:drawing>
          <wp:inline distT="0" distB="0" distL="0" distR="0" wp14:anchorId="47DDAD56" wp14:editId="3CB96299">
            <wp:extent cx="3134360" cy="934720"/>
            <wp:effectExtent l="0" t="0" r="254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34360" cy="934720"/>
                    </a:xfrm>
                    <a:prstGeom prst="rect">
                      <a:avLst/>
                    </a:prstGeom>
                  </pic:spPr>
                </pic:pic>
              </a:graphicData>
            </a:graphic>
          </wp:inline>
        </w:drawing>
      </w:r>
    </w:p>
    <w:p w14:paraId="390F5D02" w14:textId="1D6FF689" w:rsidR="00874AD3" w:rsidRPr="00874AD3" w:rsidRDefault="00874AD3" w:rsidP="001A63AA">
      <w:pPr>
        <w:spacing w:line="276" w:lineRule="auto"/>
        <w:rPr>
          <w:rFonts w:ascii="Arial" w:eastAsia="Calibri" w:hAnsi="Arial" w:cs="Arial"/>
          <w:b/>
          <w:color w:val="000000"/>
          <w:sz w:val="20"/>
          <w:szCs w:val="20"/>
          <w:lang w:val="es-ES_tradnl"/>
        </w:rPr>
      </w:pPr>
    </w:p>
    <w:p w14:paraId="6B51B351" w14:textId="77777777" w:rsidR="00874AD3" w:rsidRPr="00874AD3" w:rsidRDefault="00874AD3" w:rsidP="001A63AA">
      <w:pPr>
        <w:spacing w:line="276" w:lineRule="auto"/>
        <w:rPr>
          <w:rFonts w:ascii="Arial" w:eastAsia="Calibri" w:hAnsi="Arial" w:cs="Arial"/>
        </w:rPr>
      </w:pPr>
    </w:p>
    <w:p w14:paraId="1C7DD6A2" w14:textId="4DDE4673" w:rsidR="001A63AA" w:rsidRPr="009C5DA8" w:rsidRDefault="001A63AA" w:rsidP="00B51011">
      <w:pPr>
        <w:spacing w:after="0" w:line="240" w:lineRule="auto"/>
        <w:contextualSpacing/>
        <w:rPr>
          <w:rFonts w:ascii="Arial" w:eastAsia="Calibri" w:hAnsi="Arial" w:cs="Arial"/>
        </w:rPr>
      </w:pPr>
      <w:r w:rsidRPr="009C5DA8">
        <w:rPr>
          <w:rFonts w:ascii="Arial" w:eastAsia="Calibri" w:hAnsi="Arial" w:cs="Arial"/>
        </w:rPr>
        <w:t xml:space="preserve">Bogotá D.C., </w:t>
      </w:r>
    </w:p>
    <w:p w14:paraId="229FB8A1" w14:textId="38BEFCF8" w:rsidR="001A63AA" w:rsidRDefault="001A63AA" w:rsidP="009C5DA8">
      <w:pPr>
        <w:spacing w:after="0" w:line="240" w:lineRule="auto"/>
        <w:contextualSpacing/>
        <w:rPr>
          <w:rFonts w:ascii="Arial" w:eastAsia="Calibri" w:hAnsi="Arial" w:cs="Arial"/>
        </w:rPr>
      </w:pPr>
    </w:p>
    <w:p w14:paraId="11FB81ED" w14:textId="717EB3F9" w:rsidR="009C5DA8" w:rsidRDefault="009C5DA8" w:rsidP="009C5DA8">
      <w:pPr>
        <w:spacing w:after="0" w:line="240" w:lineRule="auto"/>
        <w:contextualSpacing/>
        <w:rPr>
          <w:rFonts w:ascii="Arial" w:eastAsia="Calibri" w:hAnsi="Arial" w:cs="Arial"/>
        </w:rPr>
      </w:pPr>
    </w:p>
    <w:p w14:paraId="24CB5EC8" w14:textId="49841BCA" w:rsidR="009C5DA8" w:rsidRDefault="009C5DA8" w:rsidP="009C5DA8">
      <w:pPr>
        <w:spacing w:after="0" w:line="240" w:lineRule="auto"/>
        <w:contextualSpacing/>
        <w:rPr>
          <w:rFonts w:ascii="Arial" w:eastAsia="Calibri" w:hAnsi="Arial" w:cs="Arial"/>
        </w:rPr>
      </w:pPr>
    </w:p>
    <w:p w14:paraId="6C2AF45D" w14:textId="4CD268A5" w:rsidR="009C5DA8" w:rsidRDefault="009C5DA8" w:rsidP="009C5DA8">
      <w:pPr>
        <w:spacing w:after="0" w:line="240" w:lineRule="auto"/>
        <w:contextualSpacing/>
        <w:rPr>
          <w:rFonts w:ascii="Arial" w:eastAsia="Calibri" w:hAnsi="Arial" w:cs="Arial"/>
        </w:rPr>
      </w:pPr>
    </w:p>
    <w:p w14:paraId="3F05660C" w14:textId="77777777" w:rsidR="009C5DA8" w:rsidRPr="009C5DA8" w:rsidRDefault="009C5DA8" w:rsidP="00B51011">
      <w:pPr>
        <w:spacing w:after="0" w:line="240" w:lineRule="auto"/>
        <w:contextualSpacing/>
        <w:rPr>
          <w:rFonts w:ascii="Arial" w:eastAsia="Calibri" w:hAnsi="Arial" w:cs="Arial"/>
        </w:rPr>
      </w:pPr>
    </w:p>
    <w:p w14:paraId="647ABFAB" w14:textId="2F0A340E" w:rsidR="001A63AA" w:rsidRPr="009C5DA8" w:rsidRDefault="001A63AA" w:rsidP="00B51011">
      <w:pPr>
        <w:spacing w:after="0" w:line="240" w:lineRule="auto"/>
        <w:contextualSpacing/>
        <w:rPr>
          <w:rFonts w:ascii="Arial" w:eastAsia="Calibri" w:hAnsi="Arial" w:cs="Arial"/>
        </w:rPr>
      </w:pPr>
      <w:r w:rsidRPr="009C5DA8">
        <w:rPr>
          <w:rFonts w:ascii="Arial" w:eastAsia="Calibri" w:hAnsi="Arial" w:cs="Arial"/>
        </w:rPr>
        <w:t>Señor</w:t>
      </w:r>
    </w:p>
    <w:p w14:paraId="357BD102" w14:textId="08C5171A" w:rsidR="001A63AA" w:rsidRPr="009C5DA8" w:rsidRDefault="009C5DA8" w:rsidP="00B51011">
      <w:pPr>
        <w:spacing w:after="0" w:line="240" w:lineRule="auto"/>
        <w:contextualSpacing/>
        <w:rPr>
          <w:rFonts w:ascii="Arial" w:eastAsia="Calibri" w:hAnsi="Arial" w:cs="Arial"/>
          <w:b/>
          <w:bCs/>
        </w:rPr>
      </w:pPr>
      <w:r w:rsidRPr="009C5DA8">
        <w:rPr>
          <w:rFonts w:ascii="Arial" w:eastAsia="Calibri" w:hAnsi="Arial" w:cs="Arial"/>
          <w:b/>
          <w:bCs/>
        </w:rPr>
        <w:t xml:space="preserve">JAVIER RODRÍGUEZ MUÑOZ </w:t>
      </w:r>
    </w:p>
    <w:p w14:paraId="454FA29E" w14:textId="5D2CCDC0" w:rsidR="001A63AA" w:rsidRPr="009C5DA8" w:rsidRDefault="00F7590C" w:rsidP="00B51011">
      <w:pPr>
        <w:spacing w:after="0" w:line="240" w:lineRule="auto"/>
        <w:contextualSpacing/>
        <w:rPr>
          <w:rFonts w:ascii="Arial" w:eastAsia="Calibri" w:hAnsi="Arial" w:cs="Arial"/>
        </w:rPr>
      </w:pPr>
      <w:r>
        <w:rPr>
          <w:rFonts w:ascii="Arial" w:eastAsia="Calibri" w:hAnsi="Arial" w:cs="Arial"/>
        </w:rPr>
        <w:t>Ciudad</w:t>
      </w:r>
    </w:p>
    <w:p w14:paraId="75485665" w14:textId="77777777" w:rsidR="001A63AA" w:rsidRPr="009C5DA8" w:rsidRDefault="001A63AA" w:rsidP="00B51011">
      <w:pPr>
        <w:spacing w:after="0" w:line="240" w:lineRule="auto"/>
        <w:contextualSpacing/>
        <w:rPr>
          <w:rFonts w:ascii="Arial" w:eastAsia="Calibri" w:hAnsi="Arial" w:cs="Arial"/>
        </w:rPr>
      </w:pPr>
    </w:p>
    <w:p w14:paraId="7CC4E2A7" w14:textId="77777777" w:rsidR="00F7590C" w:rsidRDefault="00F7590C" w:rsidP="009C5DA8">
      <w:pPr>
        <w:spacing w:after="0" w:line="240" w:lineRule="auto"/>
        <w:contextualSpacing/>
        <w:rPr>
          <w:rFonts w:ascii="Arial" w:eastAsia="Calibri" w:hAnsi="Arial" w:cs="Arial"/>
          <w:b/>
        </w:rPr>
      </w:pPr>
    </w:p>
    <w:p w14:paraId="73274910" w14:textId="0BF2CD91" w:rsidR="001A63AA" w:rsidRPr="009C5DA8" w:rsidRDefault="001A63AA" w:rsidP="00B51011">
      <w:pPr>
        <w:spacing w:after="0" w:line="240" w:lineRule="auto"/>
        <w:contextualSpacing/>
        <w:rPr>
          <w:rFonts w:ascii="Arial" w:eastAsia="Calibri" w:hAnsi="Arial" w:cs="Arial"/>
          <w:b/>
        </w:rPr>
      </w:pPr>
      <w:r w:rsidRPr="009C5DA8">
        <w:rPr>
          <w:rFonts w:ascii="Arial" w:eastAsia="Calibri" w:hAnsi="Arial" w:cs="Arial"/>
          <w:b/>
        </w:rPr>
        <w:t xml:space="preserve">                                       Concepto C – </w:t>
      </w:r>
      <w:r w:rsidR="00274B11" w:rsidRPr="009C5DA8">
        <w:rPr>
          <w:rFonts w:ascii="Arial" w:eastAsia="Calibri" w:hAnsi="Arial" w:cs="Arial"/>
          <w:b/>
        </w:rPr>
        <w:t>837</w:t>
      </w:r>
      <w:r w:rsidRPr="009C5DA8">
        <w:rPr>
          <w:rFonts w:ascii="Arial" w:eastAsia="Calibri" w:hAnsi="Arial" w:cs="Arial"/>
          <w:b/>
        </w:rPr>
        <w:t xml:space="preserve"> de 2022 </w:t>
      </w:r>
    </w:p>
    <w:p w14:paraId="452AEC10" w14:textId="77777777" w:rsidR="001A63AA" w:rsidRPr="009C5DA8" w:rsidRDefault="001A63AA" w:rsidP="00B51011">
      <w:pPr>
        <w:spacing w:after="0" w:line="240" w:lineRule="auto"/>
        <w:contextualSpacing/>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1A63AA" w:rsidRPr="009C5DA8" w14:paraId="279EF7C5" w14:textId="77777777" w:rsidTr="00270873">
        <w:trPr>
          <w:trHeight w:val="823"/>
        </w:trPr>
        <w:tc>
          <w:tcPr>
            <w:tcW w:w="2410" w:type="dxa"/>
          </w:tcPr>
          <w:p w14:paraId="1AAF0864" w14:textId="5F506915" w:rsidR="001A63AA" w:rsidRPr="009C5DA8" w:rsidRDefault="001A63AA" w:rsidP="00B51011">
            <w:pPr>
              <w:contextualSpacing/>
              <w:rPr>
                <w:rFonts w:ascii="Arial" w:eastAsia="Calibri" w:hAnsi="Arial" w:cs="Arial"/>
              </w:rPr>
            </w:pPr>
            <w:r w:rsidRPr="009C5DA8">
              <w:rPr>
                <w:rFonts w:ascii="Arial" w:eastAsia="Calibri" w:hAnsi="Arial" w:cs="Arial"/>
                <w:b/>
              </w:rPr>
              <w:t>Temas:</w:t>
            </w:r>
            <w:r w:rsidRPr="009C5DA8">
              <w:rPr>
                <w:rFonts w:ascii="Arial" w:eastAsia="Calibri" w:hAnsi="Arial" w:cs="Arial"/>
              </w:rPr>
              <w:t xml:space="preserve">                                     </w:t>
            </w:r>
          </w:p>
        </w:tc>
        <w:tc>
          <w:tcPr>
            <w:tcW w:w="6516" w:type="dxa"/>
          </w:tcPr>
          <w:p w14:paraId="14CE3185" w14:textId="453F03A7" w:rsidR="00874AD3" w:rsidRPr="00B51011" w:rsidRDefault="00874AD3" w:rsidP="00B51011">
            <w:pPr>
              <w:contextualSpacing/>
              <w:jc w:val="both"/>
              <w:rPr>
                <w:rFonts w:ascii="Arial" w:eastAsia="Calibri" w:hAnsi="Arial" w:cs="Arial"/>
                <w:color w:val="000000"/>
                <w:lang w:val="es-ES_tradnl"/>
              </w:rPr>
            </w:pPr>
            <w:r w:rsidRPr="00B51011">
              <w:rPr>
                <w:rFonts w:ascii="Arial" w:eastAsia="Calibri" w:hAnsi="Arial" w:cs="Arial"/>
                <w:lang w:val="es-ES"/>
              </w:rPr>
              <w:t xml:space="preserve">CAPACIDAD FINANCIERA Y ORGANIZACIONAL – Conceptos – Requisitos habilitantes / </w:t>
            </w:r>
            <w:r w:rsidRPr="00B51011">
              <w:rPr>
                <w:rFonts w:ascii="Arial" w:eastAsia="Calibri" w:hAnsi="Arial" w:cs="Arial"/>
                <w:color w:val="000000"/>
                <w:lang w:val="es-ES_tradnl"/>
              </w:rPr>
              <w:t xml:space="preserve">MANUAL PARA DETERMINAR REQUISITOS HABILITANTES </w:t>
            </w:r>
            <w:r w:rsidRPr="00B51011">
              <w:rPr>
                <w:rFonts w:ascii="Arial" w:eastAsia="Calibri" w:hAnsi="Arial" w:cs="Arial"/>
                <w:lang w:val="es-ES"/>
              </w:rPr>
              <w:t xml:space="preserve">– Capacidad financiera y organizacional </w:t>
            </w:r>
            <w:r w:rsidR="00912533">
              <w:rPr>
                <w:rFonts w:ascii="Arial" w:eastAsia="Calibri" w:hAnsi="Arial" w:cs="Arial"/>
                <w:lang w:val="es-ES"/>
              </w:rPr>
              <w:t xml:space="preserve">/ </w:t>
            </w:r>
            <w:r w:rsidR="00912533" w:rsidRPr="004B42B6">
              <w:rPr>
                <w:rFonts w:ascii="Arial" w:hAnsi="Arial" w:cs="Arial"/>
                <w:lang w:val="es-ES_tradnl"/>
              </w:rPr>
              <w:t>SOCIEDADES NUEVAS – Capacidad financiera – Capacidad organizacional</w:t>
            </w:r>
          </w:p>
          <w:p w14:paraId="7F84E054" w14:textId="1A1FF21A" w:rsidR="001A63AA" w:rsidRPr="009C5DA8" w:rsidRDefault="001A63AA" w:rsidP="00B51011">
            <w:pPr>
              <w:contextualSpacing/>
              <w:jc w:val="both"/>
              <w:rPr>
                <w:rFonts w:ascii="Segoe UI" w:hAnsi="Segoe UI" w:cs="Segoe UI"/>
                <w:bCs/>
                <w:lang w:val="es-ES"/>
              </w:rPr>
            </w:pPr>
          </w:p>
        </w:tc>
      </w:tr>
      <w:tr w:rsidR="001A63AA" w:rsidRPr="009C5DA8" w14:paraId="632299EC" w14:textId="77777777" w:rsidTr="00270873">
        <w:tc>
          <w:tcPr>
            <w:tcW w:w="2410" w:type="dxa"/>
          </w:tcPr>
          <w:p w14:paraId="189400C8" w14:textId="77777777" w:rsidR="001A63AA" w:rsidRPr="009C5DA8" w:rsidRDefault="001A63AA" w:rsidP="00B51011">
            <w:pPr>
              <w:contextualSpacing/>
              <w:rPr>
                <w:rFonts w:ascii="Arial" w:eastAsia="Calibri" w:hAnsi="Arial" w:cs="Arial"/>
              </w:rPr>
            </w:pPr>
            <w:r w:rsidRPr="009C5DA8">
              <w:rPr>
                <w:rFonts w:ascii="Arial" w:eastAsia="Calibri" w:hAnsi="Arial" w:cs="Arial"/>
                <w:b/>
              </w:rPr>
              <w:t>Radicación:</w:t>
            </w:r>
            <w:r w:rsidRPr="009C5DA8">
              <w:rPr>
                <w:rFonts w:ascii="Arial" w:eastAsia="Calibri" w:hAnsi="Arial" w:cs="Arial"/>
              </w:rPr>
              <w:t xml:space="preserve">                              </w:t>
            </w:r>
          </w:p>
        </w:tc>
        <w:tc>
          <w:tcPr>
            <w:tcW w:w="6516" w:type="dxa"/>
          </w:tcPr>
          <w:p w14:paraId="00EEC5B0" w14:textId="33781F3B" w:rsidR="001A63AA" w:rsidRPr="009C5DA8" w:rsidRDefault="001A63AA" w:rsidP="00B51011">
            <w:pPr>
              <w:contextualSpacing/>
              <w:jc w:val="both"/>
              <w:rPr>
                <w:rFonts w:ascii="Arial" w:hAnsi="Arial" w:cs="Arial"/>
              </w:rPr>
            </w:pPr>
            <w:r w:rsidRPr="009C5DA8">
              <w:rPr>
                <w:rFonts w:ascii="Arial" w:eastAsia="Calibri" w:hAnsi="Arial" w:cs="Arial"/>
              </w:rPr>
              <w:t xml:space="preserve">Respuesta a la consulta </w:t>
            </w:r>
            <w:r w:rsidR="00274B11" w:rsidRPr="009C5DA8">
              <w:rPr>
                <w:rFonts w:ascii="Arial" w:eastAsia="Calibri" w:hAnsi="Arial" w:cs="Arial"/>
                <w:bCs/>
              </w:rPr>
              <w:t>P20221021010629</w:t>
            </w:r>
            <w:r w:rsidRPr="009C5DA8">
              <w:rPr>
                <w:rFonts w:ascii="Arial" w:eastAsia="Calibri" w:hAnsi="Arial" w:cs="Arial"/>
              </w:rPr>
              <w:t xml:space="preserve"> </w:t>
            </w:r>
          </w:p>
        </w:tc>
      </w:tr>
    </w:tbl>
    <w:p w14:paraId="4177DA49" w14:textId="77777777" w:rsidR="001A63AA" w:rsidRPr="009C5DA8" w:rsidRDefault="001A63AA" w:rsidP="00B51011">
      <w:pPr>
        <w:spacing w:after="0" w:line="276" w:lineRule="auto"/>
        <w:contextualSpacing/>
        <w:rPr>
          <w:rFonts w:ascii="Arial" w:eastAsia="Calibri" w:hAnsi="Arial" w:cs="Arial"/>
        </w:rPr>
      </w:pPr>
    </w:p>
    <w:p w14:paraId="2DFE08DF" w14:textId="77777777" w:rsidR="001A63AA" w:rsidRPr="009C5DA8" w:rsidRDefault="001A63AA" w:rsidP="00B51011">
      <w:pPr>
        <w:spacing w:after="0" w:line="276" w:lineRule="auto"/>
        <w:contextualSpacing/>
        <w:rPr>
          <w:rFonts w:ascii="Arial" w:eastAsia="Calibri" w:hAnsi="Arial" w:cs="Arial"/>
        </w:rPr>
      </w:pPr>
    </w:p>
    <w:p w14:paraId="7A22B0D9" w14:textId="6B167508" w:rsidR="001A63AA" w:rsidRDefault="001A63AA" w:rsidP="009C5DA8">
      <w:pPr>
        <w:tabs>
          <w:tab w:val="left" w:pos="3736"/>
        </w:tabs>
        <w:spacing w:after="0" w:line="276" w:lineRule="auto"/>
        <w:contextualSpacing/>
        <w:rPr>
          <w:rFonts w:ascii="Arial" w:eastAsia="Calibri" w:hAnsi="Arial" w:cs="Arial"/>
        </w:rPr>
      </w:pPr>
      <w:r w:rsidRPr="00874AD3">
        <w:rPr>
          <w:rFonts w:ascii="Arial" w:eastAsia="Calibri" w:hAnsi="Arial" w:cs="Arial"/>
        </w:rPr>
        <w:t xml:space="preserve">Estimado señor </w:t>
      </w:r>
      <w:r w:rsidR="00874AD3" w:rsidRPr="00874AD3">
        <w:rPr>
          <w:rFonts w:ascii="Arial" w:eastAsia="Calibri" w:hAnsi="Arial" w:cs="Arial"/>
        </w:rPr>
        <w:t>Rodríguez</w:t>
      </w:r>
      <w:r w:rsidRPr="00874AD3">
        <w:rPr>
          <w:rFonts w:ascii="Arial" w:eastAsia="Calibri" w:hAnsi="Arial" w:cs="Arial"/>
        </w:rPr>
        <w:t>:</w:t>
      </w:r>
    </w:p>
    <w:p w14:paraId="57949E87" w14:textId="77777777" w:rsidR="009C5DA8" w:rsidRPr="00874AD3" w:rsidRDefault="009C5DA8" w:rsidP="00B51011">
      <w:pPr>
        <w:tabs>
          <w:tab w:val="left" w:pos="3736"/>
        </w:tabs>
        <w:spacing w:after="0" w:line="276" w:lineRule="auto"/>
        <w:contextualSpacing/>
        <w:rPr>
          <w:rFonts w:ascii="Arial" w:eastAsia="Calibri" w:hAnsi="Arial" w:cs="Arial"/>
        </w:rPr>
      </w:pPr>
    </w:p>
    <w:p w14:paraId="09A4D882" w14:textId="36B77B86" w:rsidR="001A63AA" w:rsidRPr="00874AD3" w:rsidRDefault="009C5DA8" w:rsidP="00B51011">
      <w:pPr>
        <w:spacing w:after="0" w:line="276" w:lineRule="auto"/>
        <w:contextualSpacing/>
        <w:jc w:val="both"/>
        <w:rPr>
          <w:rFonts w:ascii="Arial" w:eastAsia="Calibri" w:hAnsi="Arial" w:cs="Arial"/>
        </w:rPr>
      </w:pPr>
      <w:r>
        <w:rPr>
          <w:rFonts w:ascii="Arial" w:eastAsia="Calibri" w:hAnsi="Arial" w:cs="Arial"/>
        </w:rPr>
        <w:t>E</w:t>
      </w:r>
      <w:r w:rsidR="001A63AA" w:rsidRPr="00874AD3">
        <w:rPr>
          <w:rFonts w:ascii="Arial" w:eastAsia="Calibri" w:hAnsi="Arial" w:cs="Arial"/>
        </w:rPr>
        <w:t>n ejercicio de la competencia otorgada por el numeral 8 del artículo 11 y el numeral 5 del artículo 3 del Decreto Ley 4170 de 2011</w:t>
      </w:r>
      <w:r>
        <w:rPr>
          <w:rFonts w:ascii="Arial" w:eastAsia="Calibri" w:hAnsi="Arial" w:cs="Arial"/>
        </w:rPr>
        <w:t>,</w:t>
      </w:r>
      <w:r w:rsidRPr="009C5DA8">
        <w:rPr>
          <w:rFonts w:ascii="Arial" w:eastAsia="Calibri" w:hAnsi="Arial" w:cs="Arial"/>
        </w:rPr>
        <w:t xml:space="preserve"> </w:t>
      </w:r>
      <w:r>
        <w:rPr>
          <w:rFonts w:ascii="Arial" w:eastAsia="Calibri" w:hAnsi="Arial" w:cs="Arial"/>
        </w:rPr>
        <w:t>l</w:t>
      </w:r>
      <w:r w:rsidRPr="00874AD3">
        <w:rPr>
          <w:rFonts w:ascii="Arial" w:eastAsia="Calibri" w:hAnsi="Arial" w:cs="Arial"/>
        </w:rPr>
        <w:t>a Agencia Nacional de Contratación Pública – Colombia Compra Eficiente</w:t>
      </w:r>
      <w:r w:rsidR="001A63AA" w:rsidRPr="00874AD3">
        <w:rPr>
          <w:rFonts w:ascii="Arial" w:eastAsia="Calibri" w:hAnsi="Arial" w:cs="Arial"/>
        </w:rPr>
        <w:t xml:space="preserve"> responde su consulta remitida</w:t>
      </w:r>
      <w:r w:rsidR="00F7590C">
        <w:rPr>
          <w:rFonts w:ascii="Arial" w:eastAsia="Calibri" w:hAnsi="Arial" w:cs="Arial"/>
        </w:rPr>
        <w:t xml:space="preserve"> el 21 de octubre de 2022</w:t>
      </w:r>
      <w:r w:rsidR="00274B11" w:rsidRPr="00874AD3">
        <w:rPr>
          <w:rFonts w:ascii="Arial" w:eastAsia="Calibri" w:hAnsi="Arial" w:cs="Arial"/>
        </w:rPr>
        <w:t xml:space="preserve">. </w:t>
      </w:r>
    </w:p>
    <w:p w14:paraId="10EB5A71" w14:textId="77777777" w:rsidR="001A63AA" w:rsidRPr="00874AD3" w:rsidRDefault="001A63AA" w:rsidP="00B51011">
      <w:pPr>
        <w:spacing w:after="0" w:line="276" w:lineRule="auto"/>
        <w:contextualSpacing/>
        <w:jc w:val="both"/>
        <w:rPr>
          <w:rFonts w:ascii="Arial" w:eastAsia="Calibri" w:hAnsi="Arial" w:cs="Arial"/>
        </w:rPr>
      </w:pPr>
    </w:p>
    <w:p w14:paraId="2B4730EB" w14:textId="5F1C9952" w:rsidR="001A63AA" w:rsidRDefault="001A63AA" w:rsidP="00F7590C">
      <w:pPr>
        <w:tabs>
          <w:tab w:val="left" w:pos="0"/>
        </w:tabs>
        <w:spacing w:after="0" w:line="276" w:lineRule="auto"/>
        <w:contextualSpacing/>
        <w:jc w:val="both"/>
        <w:rPr>
          <w:rFonts w:ascii="Arial" w:eastAsia="Calibri" w:hAnsi="Arial" w:cs="Arial"/>
          <w:b/>
        </w:rPr>
      </w:pPr>
      <w:r w:rsidRPr="00874AD3">
        <w:rPr>
          <w:rFonts w:ascii="Arial" w:eastAsia="Calibri" w:hAnsi="Arial" w:cs="Arial"/>
          <w:b/>
        </w:rPr>
        <w:t>1. Problema planteado</w:t>
      </w:r>
    </w:p>
    <w:p w14:paraId="6732D6BF" w14:textId="77777777" w:rsidR="009C5DA8" w:rsidRPr="00874AD3" w:rsidRDefault="009C5DA8" w:rsidP="00B51011">
      <w:pPr>
        <w:tabs>
          <w:tab w:val="left" w:pos="0"/>
        </w:tabs>
        <w:spacing w:after="0" w:line="276" w:lineRule="auto"/>
        <w:contextualSpacing/>
        <w:jc w:val="both"/>
        <w:rPr>
          <w:rFonts w:ascii="Arial" w:eastAsia="Calibri" w:hAnsi="Arial" w:cs="Arial"/>
          <w:b/>
        </w:rPr>
      </w:pPr>
    </w:p>
    <w:p w14:paraId="652C6350" w14:textId="77777777" w:rsidR="001A63AA" w:rsidRPr="00874AD3" w:rsidRDefault="001A63AA" w:rsidP="00B51011">
      <w:pPr>
        <w:pStyle w:val="gmail-msonospacing"/>
        <w:spacing w:before="0" w:beforeAutospacing="0" w:after="0" w:afterAutospacing="0" w:line="276" w:lineRule="auto"/>
        <w:ind w:right="900"/>
        <w:contextualSpacing/>
        <w:jc w:val="both"/>
        <w:rPr>
          <w:rFonts w:ascii="Arial" w:eastAsia="Calibri" w:hAnsi="Arial" w:cs="Arial"/>
          <w:lang w:val="es-ES_tradnl"/>
        </w:rPr>
      </w:pPr>
      <w:r w:rsidRPr="00874AD3">
        <w:rPr>
          <w:rFonts w:ascii="Arial" w:eastAsia="Calibri" w:hAnsi="Arial" w:cs="Arial"/>
          <w:lang w:val="es-ES_tradnl"/>
        </w:rPr>
        <w:lastRenderedPageBreak/>
        <w:t xml:space="preserve">Usted realiza la siguiente pregunta: </w:t>
      </w:r>
    </w:p>
    <w:p w14:paraId="72EAD9E3" w14:textId="77777777" w:rsidR="001A63AA" w:rsidRPr="00874AD3" w:rsidRDefault="001A63AA" w:rsidP="00B51011">
      <w:pPr>
        <w:pStyle w:val="gmail-msonospacing"/>
        <w:spacing w:before="0" w:beforeAutospacing="0" w:after="0" w:afterAutospacing="0" w:line="276" w:lineRule="auto"/>
        <w:ind w:right="900"/>
        <w:contextualSpacing/>
        <w:jc w:val="both"/>
        <w:rPr>
          <w:rFonts w:ascii="Arial" w:eastAsia="Calibri" w:hAnsi="Arial" w:cs="Arial"/>
          <w:lang w:val="es-ES_tradnl"/>
        </w:rPr>
      </w:pPr>
    </w:p>
    <w:p w14:paraId="0127DCEC" w14:textId="20786B9B" w:rsidR="00F7590C" w:rsidRPr="00F7590C" w:rsidRDefault="001A63AA" w:rsidP="00B51011">
      <w:pPr>
        <w:autoSpaceDE w:val="0"/>
        <w:autoSpaceDN w:val="0"/>
        <w:adjustRightInd w:val="0"/>
        <w:spacing w:after="0" w:line="240" w:lineRule="auto"/>
        <w:ind w:left="708"/>
        <w:contextualSpacing/>
        <w:jc w:val="both"/>
        <w:rPr>
          <w:rFonts w:ascii="Arial" w:hAnsi="Arial" w:cs="Arial"/>
          <w:sz w:val="21"/>
          <w:szCs w:val="21"/>
        </w:rPr>
      </w:pPr>
      <w:r w:rsidRPr="00F7590C">
        <w:rPr>
          <w:rFonts w:ascii="Arial" w:hAnsi="Arial" w:cs="Arial"/>
          <w:sz w:val="21"/>
          <w:szCs w:val="21"/>
        </w:rPr>
        <w:t>«</w:t>
      </w:r>
      <w:r w:rsidR="00F7590C" w:rsidRPr="00B51011">
        <w:rPr>
          <w:rFonts w:ascii="Arial" w:hAnsi="Arial" w:cs="Arial"/>
          <w:color w:val="000000"/>
          <w:sz w:val="21"/>
          <w:szCs w:val="21"/>
        </w:rPr>
        <w:t xml:space="preserve">Agradezco me puedan asesorar respecto a la forma en la cual una empresa recién constituida puede participar en proceso de licitación pública, teniendo en cuenta que dentro de los requisitos mínimos habilitantes del proceso es exigible contar con el cumplimiento de unos indicadores financieros, en donde por su </w:t>
      </w:r>
      <w:proofErr w:type="spellStart"/>
      <w:r w:rsidR="00F7590C" w:rsidRPr="00B51011">
        <w:rPr>
          <w:rFonts w:ascii="Arial" w:hAnsi="Arial" w:cs="Arial"/>
          <w:color w:val="000000"/>
          <w:sz w:val="21"/>
          <w:szCs w:val="21"/>
        </w:rPr>
        <w:t>formula</w:t>
      </w:r>
      <w:proofErr w:type="spellEnd"/>
      <w:r w:rsidR="00F7590C" w:rsidRPr="00B51011">
        <w:rPr>
          <w:rFonts w:ascii="Arial" w:hAnsi="Arial" w:cs="Arial"/>
          <w:color w:val="000000"/>
          <w:sz w:val="21"/>
          <w:szCs w:val="21"/>
        </w:rPr>
        <w:t xml:space="preserve"> de </w:t>
      </w:r>
      <w:proofErr w:type="spellStart"/>
      <w:r w:rsidR="00F7590C" w:rsidRPr="00B51011">
        <w:rPr>
          <w:rFonts w:ascii="Arial" w:hAnsi="Arial" w:cs="Arial"/>
          <w:color w:val="000000"/>
          <w:sz w:val="21"/>
          <w:szCs w:val="21"/>
        </w:rPr>
        <w:t>calculo</w:t>
      </w:r>
      <w:proofErr w:type="spellEnd"/>
      <w:r w:rsidR="00F7590C" w:rsidRPr="00B51011">
        <w:rPr>
          <w:rFonts w:ascii="Arial" w:hAnsi="Arial" w:cs="Arial"/>
          <w:color w:val="000000"/>
          <w:sz w:val="21"/>
          <w:szCs w:val="21"/>
        </w:rPr>
        <w:t xml:space="preserve"> es indispensable presentar utilidad operacional. Lo anterior es inviable de cumplir ya que la empresa aún no ha registrado facturación alguna que soporte una utilidad operacional a nivel de estados financieros.</w:t>
      </w:r>
    </w:p>
    <w:p w14:paraId="039F30AF" w14:textId="77777777" w:rsidR="00F7590C" w:rsidRDefault="00F7590C" w:rsidP="00B51011">
      <w:pPr>
        <w:autoSpaceDE w:val="0"/>
        <w:autoSpaceDN w:val="0"/>
        <w:adjustRightInd w:val="0"/>
        <w:spacing w:after="0" w:line="240" w:lineRule="auto"/>
        <w:ind w:left="708"/>
        <w:contextualSpacing/>
        <w:jc w:val="both"/>
        <w:rPr>
          <w:rFonts w:ascii="Arial" w:hAnsi="Arial" w:cs="Arial"/>
          <w:sz w:val="21"/>
          <w:szCs w:val="21"/>
        </w:rPr>
      </w:pPr>
    </w:p>
    <w:p w14:paraId="4451C842" w14:textId="7C91CFCB" w:rsidR="001A63AA" w:rsidRDefault="004C34A0" w:rsidP="00B51011">
      <w:pPr>
        <w:autoSpaceDE w:val="0"/>
        <w:autoSpaceDN w:val="0"/>
        <w:adjustRightInd w:val="0"/>
        <w:spacing w:after="0" w:line="240" w:lineRule="auto"/>
        <w:ind w:left="708"/>
        <w:contextualSpacing/>
        <w:jc w:val="both"/>
        <w:rPr>
          <w:rFonts w:ascii="Arial" w:hAnsi="Arial" w:cs="Arial"/>
          <w:sz w:val="21"/>
          <w:szCs w:val="21"/>
        </w:rPr>
      </w:pPr>
      <w:r w:rsidRPr="00F7590C">
        <w:rPr>
          <w:rFonts w:ascii="Arial" w:hAnsi="Arial" w:cs="Arial"/>
          <w:sz w:val="21"/>
          <w:szCs w:val="21"/>
        </w:rPr>
        <w:t>¿Existe desde la normatividad alguna herramienta que le permita a empresas nuevas poder presentarse a procesos públicos sin la exigencia de cumplir con estos indicadores financieros de capacidad organizacional?</w:t>
      </w:r>
      <w:r w:rsidR="00F7590C">
        <w:rPr>
          <w:rFonts w:ascii="Arial" w:hAnsi="Arial" w:cs="Arial"/>
          <w:sz w:val="21"/>
          <w:szCs w:val="21"/>
        </w:rPr>
        <w:t xml:space="preserve"> [SIC]</w:t>
      </w:r>
      <w:r w:rsidR="001A63AA" w:rsidRPr="00F7590C">
        <w:rPr>
          <w:rFonts w:ascii="Arial" w:hAnsi="Arial" w:cs="Arial"/>
          <w:sz w:val="21"/>
          <w:szCs w:val="21"/>
        </w:rPr>
        <w:t>»</w:t>
      </w:r>
    </w:p>
    <w:p w14:paraId="5DA02088" w14:textId="77777777" w:rsidR="00F7590C" w:rsidRPr="00B51011" w:rsidRDefault="00F7590C" w:rsidP="00B51011">
      <w:pPr>
        <w:autoSpaceDE w:val="0"/>
        <w:autoSpaceDN w:val="0"/>
        <w:adjustRightInd w:val="0"/>
        <w:spacing w:after="0" w:line="276" w:lineRule="auto"/>
        <w:ind w:left="708"/>
        <w:contextualSpacing/>
        <w:jc w:val="both"/>
        <w:rPr>
          <w:rFonts w:ascii="Arial" w:hAnsi="Arial" w:cs="Arial"/>
        </w:rPr>
      </w:pPr>
    </w:p>
    <w:p w14:paraId="107C690A" w14:textId="77777777" w:rsidR="001A63AA" w:rsidRPr="00874AD3" w:rsidRDefault="001A63AA" w:rsidP="001A63AA">
      <w:pPr>
        <w:pStyle w:val="NormalWeb"/>
        <w:spacing w:before="0" w:beforeAutospacing="0" w:after="0" w:afterAutospacing="0" w:line="276" w:lineRule="auto"/>
        <w:ind w:right="51"/>
        <w:contextualSpacing/>
        <w:jc w:val="both"/>
        <w:rPr>
          <w:rFonts w:ascii="Arial" w:eastAsia="Calibri" w:hAnsi="Arial" w:cs="Arial"/>
          <w:b/>
          <w:sz w:val="22"/>
          <w:szCs w:val="22"/>
        </w:rPr>
      </w:pPr>
      <w:r w:rsidRPr="00874AD3">
        <w:rPr>
          <w:rFonts w:ascii="Arial" w:eastAsia="Calibri" w:hAnsi="Arial" w:cs="Arial"/>
          <w:b/>
          <w:sz w:val="22"/>
          <w:szCs w:val="22"/>
        </w:rPr>
        <w:t>2. Consideraciones</w:t>
      </w:r>
    </w:p>
    <w:p w14:paraId="0FD66F0A" w14:textId="77777777" w:rsidR="001A63AA" w:rsidRPr="00874AD3" w:rsidRDefault="001A63AA" w:rsidP="001A63AA">
      <w:pPr>
        <w:pStyle w:val="NormalWeb"/>
        <w:spacing w:before="0" w:beforeAutospacing="0" w:after="0" w:afterAutospacing="0" w:line="276" w:lineRule="auto"/>
        <w:ind w:right="51"/>
        <w:contextualSpacing/>
        <w:jc w:val="both"/>
        <w:rPr>
          <w:rFonts w:ascii="Arial" w:eastAsia="Calibri" w:hAnsi="Arial" w:cs="Arial"/>
          <w:b/>
          <w:sz w:val="22"/>
          <w:szCs w:val="22"/>
        </w:rPr>
      </w:pPr>
    </w:p>
    <w:p w14:paraId="306E9445" w14:textId="0459A3B3" w:rsidR="001A63AA" w:rsidRPr="00874AD3" w:rsidRDefault="001A63AA" w:rsidP="001A63AA">
      <w:pPr>
        <w:spacing w:after="120" w:line="276" w:lineRule="auto"/>
        <w:jc w:val="both"/>
        <w:rPr>
          <w:rFonts w:ascii="Arial" w:hAnsi="Arial" w:cs="Arial"/>
        </w:rPr>
      </w:pPr>
      <w:r w:rsidRPr="00874AD3">
        <w:rPr>
          <w:rFonts w:ascii="Arial" w:hAnsi="Arial" w:cs="Arial"/>
          <w:bCs/>
        </w:rPr>
        <w:t xml:space="preserve">En ejercicio de las competencias establecidas en </w:t>
      </w:r>
      <w:r w:rsidR="004C473F">
        <w:rPr>
          <w:rFonts w:ascii="Arial" w:hAnsi="Arial" w:cs="Arial"/>
          <w:bCs/>
        </w:rPr>
        <w:t>el numeral 5° del</w:t>
      </w:r>
      <w:r w:rsidRPr="00874AD3">
        <w:rPr>
          <w:rFonts w:ascii="Arial" w:hAnsi="Arial" w:cs="Arial"/>
          <w:bCs/>
        </w:rPr>
        <w:t xml:space="preserve"> artículo 3 y</w:t>
      </w:r>
      <w:r w:rsidR="004C473F">
        <w:rPr>
          <w:rFonts w:ascii="Arial" w:hAnsi="Arial" w:cs="Arial"/>
          <w:bCs/>
        </w:rPr>
        <w:t xml:space="preserve"> el numeral</w:t>
      </w:r>
      <w:r w:rsidRPr="00874AD3">
        <w:rPr>
          <w:rFonts w:ascii="Arial" w:hAnsi="Arial" w:cs="Arial"/>
          <w:bCs/>
        </w:rPr>
        <w:t xml:space="preserve"> </w:t>
      </w:r>
      <w:r w:rsidR="004C473F">
        <w:rPr>
          <w:rFonts w:ascii="Arial" w:hAnsi="Arial" w:cs="Arial"/>
          <w:bCs/>
        </w:rPr>
        <w:t xml:space="preserve">8° del artículo </w:t>
      </w:r>
      <w:r w:rsidRPr="00874AD3">
        <w:rPr>
          <w:rFonts w:ascii="Arial" w:hAnsi="Arial" w:cs="Arial"/>
          <w:bCs/>
        </w:rPr>
        <w:t xml:space="preserve">11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0" w:name="_Hlk61701014"/>
      <w:bookmarkStart w:id="1" w:name="_Hlk62136649"/>
      <w:r w:rsidRPr="00874AD3">
        <w:rPr>
          <w:rFonts w:ascii="Arial" w:hAnsi="Arial" w:cs="Arial"/>
        </w:rPr>
        <w:t xml:space="preserve">Es necesario tener en cuenta que </w:t>
      </w:r>
      <w:bookmarkStart w:id="2" w:name="_Hlk61026958"/>
      <w:r w:rsidRPr="00874AD3">
        <w:rPr>
          <w:rFonts w:ascii="Arial" w:hAnsi="Arial" w:cs="Aria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74AD3">
        <w:rPr>
          <w:rFonts w:ascii="Arial" w:hAnsi="Arial" w:cs="Arial"/>
          <w:bCs/>
        </w:rPr>
        <w:t xml:space="preserve"> de todos los partícipes de la contratación estatal.</w:t>
      </w:r>
    </w:p>
    <w:p w14:paraId="1D3AF967" w14:textId="785AD300" w:rsidR="001A63AA" w:rsidRPr="00874AD3" w:rsidRDefault="001A63AA" w:rsidP="001A63AA">
      <w:pPr>
        <w:spacing w:after="120" w:line="276" w:lineRule="auto"/>
        <w:ind w:firstLine="708"/>
        <w:jc w:val="both"/>
        <w:rPr>
          <w:rFonts w:ascii="Arial" w:hAnsi="Arial" w:cs="Arial"/>
        </w:rPr>
      </w:pPr>
      <w:r w:rsidRPr="00874AD3">
        <w:rPr>
          <w:rFonts w:ascii="Arial" w:hAnsi="Arial" w:cs="Ari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74AD3">
        <w:rPr>
          <w:rFonts w:ascii="Arial" w:hAnsi="Arial" w:cs="Arial"/>
          <w:vertAlign w:val="superscript"/>
        </w:rPr>
        <w:footnoteReference w:id="1"/>
      </w:r>
      <w:r w:rsidRPr="00874AD3">
        <w:rPr>
          <w:rFonts w:ascii="Arial" w:hAnsi="Arial" w:cs="Arial"/>
        </w:rPr>
        <w:t xml:space="preserve">. Esta competencia de interpretación de normas generales, por definición, no puede extenderse a la resolución de controversias, ni a brindar asesorías sobre casos puntuales. </w:t>
      </w:r>
      <w:bookmarkEnd w:id="0"/>
      <w:bookmarkEnd w:id="2"/>
    </w:p>
    <w:p w14:paraId="0A69608A" w14:textId="2B3516C3" w:rsidR="0027292B" w:rsidRPr="00874AD3" w:rsidRDefault="0082604A" w:rsidP="0082604A">
      <w:pPr>
        <w:spacing w:before="120" w:line="276" w:lineRule="auto"/>
        <w:jc w:val="both"/>
        <w:rPr>
          <w:rFonts w:ascii="Arial" w:hAnsi="Arial" w:cs="Arial"/>
          <w:b/>
          <w:bCs/>
          <w:color w:val="000000" w:themeColor="text1"/>
        </w:rPr>
      </w:pPr>
      <w:r>
        <w:rPr>
          <w:rFonts w:ascii="Arial" w:hAnsi="Arial" w:cs="Arial"/>
        </w:rPr>
        <w:lastRenderedPageBreak/>
        <w:tab/>
        <w:t>En atención a lo anterior, esta Subdirección -dentro de los limites de su competencia- responderá su consulta, pata lo cual</w:t>
      </w:r>
      <w:r w:rsidR="00185094" w:rsidRPr="00874AD3">
        <w:rPr>
          <w:rFonts w:ascii="Arial" w:eastAsia="Calibri" w:hAnsi="Arial" w:cs="Arial"/>
          <w:color w:val="000000" w:themeColor="text1"/>
          <w:lang w:eastAsia="es-ES_tradnl"/>
        </w:rPr>
        <w:t xml:space="preserve"> </w:t>
      </w:r>
      <w:r w:rsidR="00185094" w:rsidRPr="00874AD3">
        <w:rPr>
          <w:rFonts w:ascii="Arial" w:eastAsia="Calibri" w:hAnsi="Arial" w:cs="Arial"/>
          <w:color w:val="000000" w:themeColor="text1"/>
          <w:lang w:val="es-ES" w:eastAsia="es-ES_tradnl"/>
        </w:rPr>
        <w:t>se analizará</w:t>
      </w:r>
      <w:r w:rsidR="00874AD3" w:rsidRPr="00874AD3">
        <w:rPr>
          <w:rFonts w:ascii="Arial" w:eastAsia="Calibri" w:hAnsi="Arial" w:cs="Arial"/>
          <w:color w:val="000000" w:themeColor="text1"/>
          <w:lang w:val="es-ES" w:eastAsia="es-ES_tradnl"/>
        </w:rPr>
        <w:t xml:space="preserve"> el siguiente tema: </w:t>
      </w:r>
      <w:bookmarkStart w:id="3" w:name="_Hlk38448224"/>
      <w:r w:rsidR="00874AD3" w:rsidRPr="00874AD3">
        <w:rPr>
          <w:rFonts w:ascii="Arial" w:hAnsi="Arial" w:cs="Arial"/>
          <w:color w:val="000000" w:themeColor="text1"/>
        </w:rPr>
        <w:t xml:space="preserve">Requisitos habilitantes de la capacidad financiera y organizacional. </w:t>
      </w:r>
    </w:p>
    <w:p w14:paraId="7CB9280F" w14:textId="2EB6F269" w:rsidR="001A63AA" w:rsidRDefault="00874AD3" w:rsidP="004B3AC3">
      <w:pPr>
        <w:spacing w:before="120" w:after="0" w:line="276" w:lineRule="auto"/>
        <w:ind w:firstLine="709"/>
        <w:jc w:val="both"/>
        <w:rPr>
          <w:rFonts w:ascii="Arial" w:hAnsi="Arial" w:cs="Arial"/>
          <w:color w:val="000000" w:themeColor="text1"/>
        </w:rPr>
      </w:pPr>
      <w:r w:rsidRPr="00874AD3">
        <w:rPr>
          <w:rFonts w:ascii="Arial" w:eastAsia="Calibri" w:hAnsi="Arial" w:cs="Arial"/>
          <w:lang w:val="es-ES"/>
        </w:rPr>
        <w:t xml:space="preserve">La Agencia Nacional de Contratación Pública – Colombia Compra Eficiente, se pronunció </w:t>
      </w:r>
      <w:r w:rsidRPr="00874AD3">
        <w:rPr>
          <w:rStyle w:val="normaltextrun"/>
          <w:rFonts w:ascii="Arial" w:hAnsi="Arial" w:cs="Arial"/>
          <w:shd w:val="clear" w:color="auto" w:fill="FFFFFF"/>
          <w:lang w:val="es-ES"/>
        </w:rPr>
        <w:t xml:space="preserve">sobre </w:t>
      </w:r>
      <w:r w:rsidRPr="00874AD3">
        <w:rPr>
          <w:rFonts w:ascii="Arial" w:hAnsi="Arial" w:cs="Arial"/>
          <w:lang w:val="es-ES"/>
        </w:rPr>
        <w:t xml:space="preserve">la acreditación de los indicadores de la capacidad financiera y organizacional, entre otros, </w:t>
      </w:r>
      <w:r w:rsidRPr="00874AD3">
        <w:rPr>
          <w:rFonts w:ascii="Arial" w:eastAsia="Calibri" w:hAnsi="Arial" w:cs="Arial"/>
          <w:lang w:val="es-ES"/>
        </w:rPr>
        <w:t xml:space="preserve">en los conceptos No. 4201912000006798 del 24 de octubre de 2019, C-002 del 12 de febrero de 2020, C-089 del 4 de marzo de 2020, C-099 del 06 de abril de 2020, C-166 del 14 de abril de 2020, C-233 del 16 de abril de 2020, C-326 del 9 de junio de 2020, C-140 del 9 de abril de 2021, C-439 del </w:t>
      </w:r>
      <w:r w:rsidRPr="00874AD3">
        <w:rPr>
          <w:rFonts w:ascii="Arial" w:eastAsia="Calibri" w:hAnsi="Arial" w:cs="Arial"/>
          <w:color w:val="000000" w:themeColor="text1"/>
          <w:lang w:val="es-ES_tradnl"/>
        </w:rPr>
        <w:t>5 de julio de 2022</w:t>
      </w:r>
      <w:r w:rsidRPr="00874AD3">
        <w:rPr>
          <w:rFonts w:ascii="Arial" w:eastAsia="Calibri" w:hAnsi="Arial" w:cs="Arial"/>
          <w:lang w:val="es-ES"/>
        </w:rPr>
        <w:t xml:space="preserve"> y C-673 del 19 de octubre de 2022. </w:t>
      </w:r>
      <w:r w:rsidR="001A63AA" w:rsidRPr="00874AD3">
        <w:rPr>
          <w:rFonts w:ascii="Arial" w:hAnsi="Arial" w:cs="Arial"/>
          <w:color w:val="000000" w:themeColor="text1"/>
        </w:rPr>
        <w:t>Las tesis expuestas en estos conceptos se desarrollan y se complementan en lo pertinente a continuación.</w:t>
      </w:r>
      <w:bookmarkEnd w:id="3"/>
    </w:p>
    <w:p w14:paraId="27D29494" w14:textId="77777777" w:rsidR="004B3AC3" w:rsidRPr="00B51011" w:rsidRDefault="004B3AC3" w:rsidP="00B51011">
      <w:pPr>
        <w:spacing w:after="0" w:line="276" w:lineRule="auto"/>
        <w:ind w:firstLine="709"/>
        <w:contextualSpacing/>
        <w:jc w:val="both"/>
        <w:rPr>
          <w:rFonts w:ascii="Arial" w:hAnsi="Arial" w:cs="Arial"/>
        </w:rPr>
      </w:pPr>
    </w:p>
    <w:bookmarkEnd w:id="1"/>
    <w:p w14:paraId="2CBE3BFC" w14:textId="2697EA53" w:rsidR="004C34A0" w:rsidRPr="004B3AC3" w:rsidRDefault="004C34A0" w:rsidP="00B51011">
      <w:pPr>
        <w:spacing w:after="0" w:line="276" w:lineRule="auto"/>
        <w:contextualSpacing/>
        <w:jc w:val="both"/>
        <w:rPr>
          <w:rFonts w:ascii="Arial" w:hAnsi="Arial" w:cs="Arial"/>
          <w:b/>
          <w:color w:val="000000" w:themeColor="text1"/>
          <w:lang w:val="es-ES_tradnl"/>
        </w:rPr>
      </w:pPr>
      <w:r w:rsidRPr="004B3AC3">
        <w:rPr>
          <w:rFonts w:ascii="Arial" w:hAnsi="Arial" w:cs="Arial"/>
          <w:b/>
          <w:color w:val="000000" w:themeColor="text1"/>
          <w:lang w:val="es-ES_tradnl"/>
        </w:rPr>
        <w:t xml:space="preserve">2.1. Requisitos habilitantes de la capacidad financiera y organizacional </w:t>
      </w:r>
    </w:p>
    <w:p w14:paraId="4BDC0A1F" w14:textId="77777777" w:rsidR="004B3AC3" w:rsidRPr="004B3AC3" w:rsidRDefault="004B3AC3" w:rsidP="00B51011">
      <w:pPr>
        <w:spacing w:after="0" w:line="276" w:lineRule="auto"/>
        <w:contextualSpacing/>
        <w:jc w:val="both"/>
        <w:rPr>
          <w:rFonts w:ascii="Arial" w:eastAsia="Calibri" w:hAnsi="Arial" w:cs="Arial"/>
          <w:color w:val="000000" w:themeColor="text1"/>
          <w:lang w:val="es-ES_tradnl"/>
        </w:rPr>
      </w:pPr>
    </w:p>
    <w:p w14:paraId="76E5AFBD" w14:textId="612D70F4" w:rsidR="004C34A0" w:rsidRPr="00874AD3" w:rsidRDefault="004C34A0" w:rsidP="004C34A0">
      <w:pPr>
        <w:spacing w:after="120" w:line="276" w:lineRule="auto"/>
        <w:jc w:val="both"/>
        <w:rPr>
          <w:rFonts w:ascii="Arial" w:eastAsia="Calibri" w:hAnsi="Arial" w:cs="Arial"/>
          <w:color w:val="000000" w:themeColor="text1"/>
          <w:lang w:val="es-ES_tradnl"/>
        </w:rPr>
      </w:pPr>
      <w:r w:rsidRPr="00874AD3">
        <w:rPr>
          <w:rFonts w:ascii="Arial" w:eastAsia="Calibri" w:hAnsi="Arial" w:cs="Arial"/>
          <w:color w:val="000000" w:themeColor="text1"/>
          <w:lang w:val="es-ES_tradnl"/>
        </w:rPr>
        <w:t xml:space="preserve">Los </w:t>
      </w:r>
      <w:r w:rsidRPr="00874AD3">
        <w:rPr>
          <w:rFonts w:ascii="Arial" w:eastAsia="Calibri" w:hAnsi="Arial" w:cs="Arial"/>
          <w:i/>
          <w:iCs/>
          <w:color w:val="000000" w:themeColor="text1"/>
          <w:lang w:val="es-ES_tradnl"/>
        </w:rPr>
        <w:t>requisitos habilitantes</w:t>
      </w:r>
      <w:r w:rsidRPr="00874AD3">
        <w:rPr>
          <w:rFonts w:ascii="Arial" w:eastAsia="Calibri" w:hAnsi="Arial" w:cs="Arial"/>
          <w:color w:val="000000" w:themeColor="text1"/>
          <w:lang w:val="es-ES_tradnl"/>
        </w:rPr>
        <w:t xml:space="preserve"> se definen como exigencias de participación en los </w:t>
      </w:r>
      <w:r w:rsidR="00024717" w:rsidRPr="00874AD3">
        <w:rPr>
          <w:rFonts w:ascii="Arial" w:eastAsia="Calibri" w:hAnsi="Arial" w:cs="Arial"/>
          <w:color w:val="000000" w:themeColor="text1"/>
          <w:lang w:val="es-ES_tradnl"/>
        </w:rPr>
        <w:t xml:space="preserve">Procedimientos </w:t>
      </w:r>
      <w:r w:rsidRPr="00874AD3">
        <w:rPr>
          <w:rFonts w:ascii="Arial" w:eastAsia="Calibri" w:hAnsi="Arial" w:cs="Arial"/>
          <w:color w:val="000000" w:themeColor="text1"/>
          <w:lang w:val="es-ES_tradnl"/>
        </w:rPr>
        <w:t xml:space="preserve">de </w:t>
      </w:r>
      <w:r w:rsidR="00024717">
        <w:rPr>
          <w:rFonts w:ascii="Arial" w:eastAsia="Calibri" w:hAnsi="Arial" w:cs="Arial"/>
          <w:color w:val="000000" w:themeColor="text1"/>
          <w:lang w:val="es-ES_tradnl"/>
        </w:rPr>
        <w:t>Contratación</w:t>
      </w:r>
      <w:r w:rsidRPr="00874AD3">
        <w:rPr>
          <w:rFonts w:ascii="Arial" w:eastAsia="Calibri" w:hAnsi="Arial" w:cs="Arial"/>
          <w:color w:val="000000" w:themeColor="text1"/>
          <w:lang w:val="es-ES_tradnl"/>
        </w:rPr>
        <w:t xml:space="preserve">, establecidos en disposiciones normativas, de carácter legal o reglamentario, o contenidas en el acto administrativo que regula las reglas de la convocatoria, es decir, en el pliego de condiciones o el documento equivalente a este. Se diferencian de los </w:t>
      </w:r>
      <w:r w:rsidRPr="00874AD3">
        <w:rPr>
          <w:rFonts w:ascii="Arial" w:eastAsia="Calibri" w:hAnsi="Arial" w:cs="Arial"/>
          <w:i/>
          <w:iCs/>
          <w:color w:val="000000" w:themeColor="text1"/>
          <w:lang w:val="es-ES_tradnl"/>
        </w:rPr>
        <w:t>criterios de evaluación</w:t>
      </w:r>
      <w:r w:rsidRPr="00874AD3">
        <w:rPr>
          <w:rFonts w:ascii="Arial" w:eastAsia="Calibri" w:hAnsi="Arial" w:cs="Arial"/>
          <w:color w:val="000000" w:themeColor="text1"/>
          <w:lang w:val="es-ES_tradnl"/>
        </w:rPr>
        <w:t xml:space="preserve"> –también conocidos como </w:t>
      </w:r>
      <w:r w:rsidRPr="00874AD3">
        <w:rPr>
          <w:rFonts w:ascii="Arial" w:eastAsia="Calibri" w:hAnsi="Arial" w:cs="Arial"/>
          <w:i/>
          <w:iCs/>
          <w:color w:val="000000" w:themeColor="text1"/>
          <w:lang w:val="es-ES_tradnl"/>
        </w:rPr>
        <w:t>criterios de calificación</w:t>
      </w:r>
      <w:r w:rsidRPr="00874AD3">
        <w:rPr>
          <w:rFonts w:ascii="Arial" w:eastAsia="Calibri" w:hAnsi="Arial"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493E08A" w14:textId="3D76B865" w:rsidR="004C34A0" w:rsidRPr="00874AD3" w:rsidRDefault="004C34A0" w:rsidP="004C34A0">
      <w:pPr>
        <w:spacing w:after="120" w:line="276" w:lineRule="auto"/>
        <w:ind w:firstLine="708"/>
        <w:jc w:val="both"/>
        <w:rPr>
          <w:rFonts w:ascii="Arial" w:eastAsia="Calibri" w:hAnsi="Arial" w:cs="Arial"/>
          <w:color w:val="000000" w:themeColor="text1"/>
          <w:lang w:val="es-ES_tradnl"/>
        </w:rPr>
      </w:pPr>
      <w:r w:rsidRPr="00874AD3">
        <w:rPr>
          <w:rFonts w:ascii="Arial" w:eastAsia="Calibri" w:hAnsi="Arial" w:cs="Arial"/>
          <w:color w:val="000000" w:themeColor="text1"/>
          <w:lang w:val="es-ES_tradnl"/>
        </w:rPr>
        <w:t xml:space="preserve">A partir de lo dicho se deduce que los requisitos habilitantes, si bien constituyen obligaciones que los proponentes deben cumplir y acreditar para participar en el </w:t>
      </w:r>
      <w:r w:rsidR="00043636" w:rsidRPr="00874AD3">
        <w:rPr>
          <w:rFonts w:ascii="Arial" w:eastAsia="Calibri" w:hAnsi="Arial" w:cs="Arial"/>
          <w:color w:val="000000" w:themeColor="text1"/>
          <w:lang w:val="es-ES_tradnl"/>
        </w:rPr>
        <w:t xml:space="preserve">Procedimiento </w:t>
      </w:r>
      <w:r w:rsidRPr="00874AD3">
        <w:rPr>
          <w:rFonts w:ascii="Arial" w:eastAsia="Calibri" w:hAnsi="Arial" w:cs="Arial"/>
          <w:color w:val="000000" w:themeColor="text1"/>
          <w:lang w:val="es-ES_tradnl"/>
        </w:rPr>
        <w:t xml:space="preserve">de </w:t>
      </w:r>
      <w:r w:rsidR="00043636" w:rsidRPr="00874AD3">
        <w:rPr>
          <w:rFonts w:ascii="Arial" w:eastAsia="Calibri" w:hAnsi="Arial" w:cs="Arial"/>
          <w:color w:val="000000" w:themeColor="text1"/>
          <w:lang w:val="es-ES_tradnl"/>
        </w:rPr>
        <w:t>Selección</w:t>
      </w:r>
      <w:r w:rsidRPr="00874AD3">
        <w:rPr>
          <w:rFonts w:ascii="Arial" w:eastAsia="Calibri" w:hAnsi="Arial" w:cs="Arial"/>
          <w:color w:val="000000" w:themeColor="text1"/>
          <w:lang w:val="es-ES_tradnl"/>
        </w:rPr>
        <w:t>,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181A0A24" w14:textId="1CE4FD95" w:rsidR="004C34A0" w:rsidRDefault="004C34A0" w:rsidP="00043636">
      <w:pPr>
        <w:spacing w:after="0" w:line="276" w:lineRule="auto"/>
        <w:ind w:firstLine="709"/>
        <w:jc w:val="both"/>
        <w:rPr>
          <w:rFonts w:ascii="Arial" w:eastAsia="Calibri" w:hAnsi="Arial" w:cs="Arial"/>
          <w:color w:val="000000" w:themeColor="text1"/>
          <w:lang w:val="es-ES_tradnl"/>
        </w:rPr>
      </w:pPr>
      <w:r w:rsidRPr="00874AD3">
        <w:rPr>
          <w:rFonts w:ascii="Arial" w:eastAsia="Calibri" w:hAnsi="Arial" w:cs="Arial"/>
          <w:color w:val="000000" w:themeColor="text1"/>
          <w:lang w:val="es-ES_tradnl"/>
        </w:rPr>
        <w:t>El mencionado artículo dispone que se considera «</w:t>
      </w:r>
      <w:r w:rsidRPr="00874AD3">
        <w:rPr>
          <w:rFonts w:ascii="Arial" w:eastAsia="Calibri" w:hAnsi="Arial" w:cs="Arial"/>
          <w:i/>
          <w:iCs/>
          <w:color w:val="000000" w:themeColor="text1"/>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Pr="00874AD3">
        <w:rPr>
          <w:rFonts w:ascii="Arial" w:eastAsia="Calibri" w:hAnsi="Arial" w:cs="Arial"/>
          <w:color w:val="000000" w:themeColor="text1"/>
          <w:lang w:val="es-ES_tradnl"/>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874AD3">
        <w:rPr>
          <w:rFonts w:ascii="Arial" w:eastAsia="Calibri" w:hAnsi="Arial" w:cs="Arial"/>
          <w:i/>
          <w:iCs/>
          <w:color w:val="000000" w:themeColor="text1"/>
          <w:lang w:val="es-ES_tradnl"/>
        </w:rPr>
        <w:t>entre otros</w:t>
      </w:r>
      <w:r w:rsidRPr="00874AD3">
        <w:rPr>
          <w:rFonts w:ascii="Arial" w:eastAsia="Calibri" w:hAnsi="Arial" w:cs="Arial"/>
          <w:color w:val="000000" w:themeColor="text1"/>
          <w:lang w:val="es-ES_tradnl"/>
        </w:rPr>
        <w:t xml:space="preserve">, los siguientes: i) la capacidad </w:t>
      </w:r>
      <w:r w:rsidRPr="00874AD3">
        <w:rPr>
          <w:rFonts w:ascii="Arial" w:eastAsia="Calibri" w:hAnsi="Arial" w:cs="Arial"/>
          <w:color w:val="000000" w:themeColor="text1"/>
          <w:lang w:val="es-ES_tradnl"/>
        </w:rPr>
        <w:lastRenderedPageBreak/>
        <w:t xml:space="preserve">jurídica; </w:t>
      </w:r>
      <w:proofErr w:type="spellStart"/>
      <w:r w:rsidRPr="00874AD3">
        <w:rPr>
          <w:rFonts w:ascii="Arial" w:eastAsia="Calibri" w:hAnsi="Arial" w:cs="Arial"/>
          <w:color w:val="000000" w:themeColor="text1"/>
          <w:lang w:val="es-ES_tradnl"/>
        </w:rPr>
        <w:t>ii</w:t>
      </w:r>
      <w:proofErr w:type="spellEnd"/>
      <w:r w:rsidRPr="00874AD3">
        <w:rPr>
          <w:rFonts w:ascii="Arial" w:eastAsia="Calibri" w:hAnsi="Arial" w:cs="Arial"/>
          <w:color w:val="000000" w:themeColor="text1"/>
          <w:lang w:val="es-ES_tradnl"/>
        </w:rPr>
        <w:t xml:space="preserve">) la experiencia; </w:t>
      </w:r>
      <w:proofErr w:type="spellStart"/>
      <w:r w:rsidRPr="00874AD3">
        <w:rPr>
          <w:rFonts w:ascii="Arial" w:eastAsia="Calibri" w:hAnsi="Arial" w:cs="Arial"/>
          <w:color w:val="000000" w:themeColor="text1"/>
          <w:lang w:val="es-ES_tradnl"/>
        </w:rPr>
        <w:t>iii</w:t>
      </w:r>
      <w:proofErr w:type="spellEnd"/>
      <w:r w:rsidRPr="00874AD3">
        <w:rPr>
          <w:rFonts w:ascii="Arial" w:eastAsia="Calibri" w:hAnsi="Arial" w:cs="Arial"/>
          <w:color w:val="000000" w:themeColor="text1"/>
          <w:lang w:val="es-ES_tradnl"/>
        </w:rPr>
        <w:t xml:space="preserve">) la capacidad financiera y </w:t>
      </w:r>
      <w:proofErr w:type="spellStart"/>
      <w:r w:rsidRPr="00874AD3">
        <w:rPr>
          <w:rFonts w:ascii="Arial" w:eastAsia="Calibri" w:hAnsi="Arial" w:cs="Arial"/>
          <w:color w:val="000000" w:themeColor="text1"/>
          <w:lang w:val="es-ES_tradnl"/>
        </w:rPr>
        <w:t>iv</w:t>
      </w:r>
      <w:proofErr w:type="spellEnd"/>
      <w:r w:rsidRPr="00874AD3">
        <w:rPr>
          <w:rFonts w:ascii="Arial" w:eastAsia="Calibri" w:hAnsi="Arial" w:cs="Arial"/>
          <w:color w:val="000000" w:themeColor="text1"/>
          <w:lang w:val="es-ES_tradnl"/>
        </w:rPr>
        <w:t xml:space="preserve">) la capacidad de organización. En efecto, la normativa citada prescribe lo siguiente: </w:t>
      </w:r>
    </w:p>
    <w:p w14:paraId="17E10D01" w14:textId="77777777" w:rsidR="00043636" w:rsidRPr="00874AD3" w:rsidRDefault="00043636" w:rsidP="00B51011">
      <w:pPr>
        <w:spacing w:after="0" w:line="276" w:lineRule="auto"/>
        <w:ind w:firstLine="709"/>
        <w:jc w:val="both"/>
        <w:rPr>
          <w:rFonts w:ascii="Arial" w:eastAsia="Calibri" w:hAnsi="Arial" w:cs="Arial"/>
          <w:color w:val="000000" w:themeColor="text1"/>
          <w:lang w:val="es-ES_tradnl"/>
        </w:rPr>
      </w:pPr>
    </w:p>
    <w:p w14:paraId="3FA22285" w14:textId="77777777" w:rsidR="004C34A0" w:rsidRPr="00B51011" w:rsidRDefault="004C34A0" w:rsidP="00B51011">
      <w:pPr>
        <w:spacing w:after="0" w:line="240" w:lineRule="auto"/>
        <w:ind w:left="709" w:right="709"/>
        <w:contextualSpacing/>
        <w:jc w:val="both"/>
        <w:rPr>
          <w:rFonts w:ascii="Arial" w:eastAsia="Calibri" w:hAnsi="Arial" w:cs="Arial"/>
          <w:i/>
          <w:iCs/>
          <w:color w:val="000000" w:themeColor="text1"/>
          <w:sz w:val="21"/>
          <w:szCs w:val="21"/>
          <w:lang w:val="es-ES_tradnl"/>
        </w:rPr>
      </w:pPr>
      <w:r w:rsidRPr="00B51011">
        <w:rPr>
          <w:rFonts w:ascii="Arial" w:eastAsia="Calibri" w:hAnsi="Arial" w:cs="Arial"/>
          <w:i/>
          <w:iCs/>
          <w:color w:val="000000" w:themeColor="text1"/>
          <w:sz w:val="21"/>
          <w:szCs w:val="21"/>
          <w:lang w:val="es-ES_tradnl"/>
        </w:rPr>
        <w:t xml:space="preserve">«Artículo 5. De la Selección Objetiva. </w:t>
      </w:r>
    </w:p>
    <w:p w14:paraId="619B749A" w14:textId="77777777" w:rsidR="00043636" w:rsidRDefault="00043636" w:rsidP="00043636">
      <w:pPr>
        <w:spacing w:after="0" w:line="240" w:lineRule="auto"/>
        <w:ind w:left="709" w:right="709"/>
        <w:contextualSpacing/>
        <w:jc w:val="both"/>
        <w:rPr>
          <w:rFonts w:ascii="Arial" w:eastAsia="Calibri" w:hAnsi="Arial" w:cs="Arial"/>
          <w:i/>
          <w:iCs/>
          <w:color w:val="000000" w:themeColor="text1"/>
          <w:sz w:val="21"/>
          <w:szCs w:val="21"/>
          <w:lang w:val="es-ES_tradnl"/>
        </w:rPr>
      </w:pPr>
    </w:p>
    <w:p w14:paraId="4A1327ED" w14:textId="318BF750" w:rsidR="004C34A0" w:rsidRPr="00B51011" w:rsidRDefault="004C34A0" w:rsidP="00B51011">
      <w:pPr>
        <w:spacing w:after="0" w:line="240" w:lineRule="auto"/>
        <w:ind w:left="709" w:right="709"/>
        <w:contextualSpacing/>
        <w:jc w:val="both"/>
        <w:rPr>
          <w:rFonts w:ascii="Arial" w:eastAsia="Calibri" w:hAnsi="Arial" w:cs="Arial"/>
          <w:i/>
          <w:iCs/>
          <w:color w:val="000000" w:themeColor="text1"/>
          <w:sz w:val="21"/>
          <w:szCs w:val="21"/>
          <w:lang w:val="es-ES_tradnl"/>
        </w:rPr>
      </w:pPr>
      <w:r w:rsidRPr="00B51011">
        <w:rPr>
          <w:rFonts w:ascii="Arial" w:eastAsia="Calibri" w:hAnsi="Arial" w:cs="Arial"/>
          <w:i/>
          <w:iCs/>
          <w:color w:val="000000" w:themeColor="text1"/>
          <w:sz w:val="21"/>
          <w:szCs w:val="21"/>
          <w:lang w:val="es-ES_tradnl"/>
        </w:rPr>
        <w:t>[…]</w:t>
      </w:r>
    </w:p>
    <w:p w14:paraId="7033C6EB" w14:textId="77777777" w:rsidR="00043636" w:rsidRDefault="00043636" w:rsidP="00043636">
      <w:pPr>
        <w:pStyle w:val="Prrafodelista"/>
        <w:spacing w:after="0" w:line="240" w:lineRule="auto"/>
        <w:ind w:left="709" w:right="709"/>
        <w:rPr>
          <w:rFonts w:ascii="Arial" w:eastAsia="Calibri" w:hAnsi="Arial" w:cs="Arial"/>
          <w:i/>
          <w:iCs/>
          <w:color w:val="000000" w:themeColor="text1"/>
          <w:sz w:val="21"/>
          <w:szCs w:val="21"/>
          <w:lang w:val="es-ES_tradnl"/>
        </w:rPr>
      </w:pPr>
    </w:p>
    <w:p w14:paraId="0E17BFDD" w14:textId="33DAE945" w:rsidR="004C34A0" w:rsidRPr="00B51011" w:rsidRDefault="004C34A0" w:rsidP="00B51011">
      <w:pPr>
        <w:pStyle w:val="Prrafodelista"/>
        <w:spacing w:after="0" w:line="240" w:lineRule="auto"/>
        <w:ind w:left="709" w:right="709"/>
        <w:rPr>
          <w:rFonts w:ascii="Arial" w:eastAsia="Calibri" w:hAnsi="Arial" w:cs="Arial"/>
          <w:i/>
          <w:iCs/>
          <w:color w:val="000000" w:themeColor="text1"/>
          <w:sz w:val="21"/>
          <w:szCs w:val="21"/>
          <w:lang w:val="es-ES_tradnl"/>
        </w:rPr>
      </w:pPr>
      <w:r w:rsidRPr="00B51011">
        <w:rPr>
          <w:rFonts w:ascii="Arial" w:eastAsia="Calibri" w:hAnsi="Arial" w:cs="Arial"/>
          <w:i/>
          <w:iCs/>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5FC13177" w14:textId="77777777" w:rsidR="00043636" w:rsidRDefault="00043636" w:rsidP="00B51011">
      <w:pPr>
        <w:spacing w:after="0" w:line="276" w:lineRule="auto"/>
        <w:ind w:firstLine="709"/>
        <w:jc w:val="both"/>
        <w:rPr>
          <w:rFonts w:ascii="Arial" w:hAnsi="Arial" w:cs="Arial"/>
          <w:color w:val="000000" w:themeColor="text1"/>
          <w:lang w:val="es-ES_tradnl"/>
        </w:rPr>
      </w:pPr>
    </w:p>
    <w:p w14:paraId="402845FF" w14:textId="27532AAA" w:rsidR="004C34A0" w:rsidRPr="00874AD3" w:rsidRDefault="004C34A0" w:rsidP="004C34A0">
      <w:pPr>
        <w:spacing w:after="120" w:line="276" w:lineRule="auto"/>
        <w:ind w:firstLine="708"/>
        <w:jc w:val="both"/>
        <w:rPr>
          <w:rFonts w:ascii="Arial" w:hAnsi="Arial" w:cs="Arial"/>
          <w:b/>
          <w:bCs/>
          <w:color w:val="000000"/>
          <w:bdr w:val="none" w:sz="0" w:space="0" w:color="auto" w:frame="1"/>
          <w:lang w:eastAsia="es-MX"/>
        </w:rPr>
      </w:pPr>
      <w:r w:rsidRPr="00874AD3">
        <w:rPr>
          <w:rFonts w:ascii="Arial" w:hAnsi="Arial" w:cs="Arial"/>
          <w:color w:val="000000" w:themeColor="text1"/>
          <w:lang w:val="es-ES_tradnl"/>
        </w:rPr>
        <w:t xml:space="preserve">Una vez fijados los requisitos habilitantes por la </w:t>
      </w:r>
      <w:r w:rsidR="00043636" w:rsidRPr="00874AD3">
        <w:rPr>
          <w:rFonts w:ascii="Arial" w:hAnsi="Arial" w:cs="Arial"/>
          <w:color w:val="000000" w:themeColor="text1"/>
          <w:lang w:val="es-ES_tradnl"/>
        </w:rPr>
        <w:t>entidad estatal</w:t>
      </w:r>
      <w:r w:rsidRPr="00874AD3">
        <w:rPr>
          <w:rFonts w:ascii="Arial" w:hAnsi="Arial" w:cs="Arial"/>
          <w:color w:val="000000" w:themeColor="text1"/>
          <w:lang w:val="es-ES_tradnl"/>
        </w:rPr>
        <w:t xml:space="preserve">, quienes presenten ofertas deben </w:t>
      </w:r>
      <w:r w:rsidRPr="00874AD3">
        <w:rPr>
          <w:rFonts w:ascii="Arial" w:hAnsi="Arial" w:cs="Arial"/>
          <w:bCs/>
          <w:i/>
          <w:iCs/>
          <w:color w:val="000000" w:themeColor="text1"/>
          <w:lang w:val="es-ES_tradnl"/>
        </w:rPr>
        <w:t>acreditar</w:t>
      </w:r>
      <w:r w:rsidRPr="00874AD3">
        <w:rPr>
          <w:rFonts w:ascii="Arial" w:hAnsi="Arial" w:cs="Arial"/>
          <w:color w:val="000000" w:themeColor="text1"/>
          <w:lang w:val="es-ES_tradnl"/>
        </w:rPr>
        <w:t xml:space="preserve"> que cumplen con los mismos, so pena de rechazo. </w:t>
      </w:r>
      <w:r w:rsidRPr="00874AD3">
        <w:rPr>
          <w:rFonts w:ascii="Arial" w:eastAsia="Calibri" w:hAnsi="Arial" w:cs="Arial"/>
          <w:color w:val="000000" w:themeColor="text1"/>
          <w:lang w:val="es-ES_tradnl"/>
        </w:rPr>
        <w:t>El ente encargado de verificar el cumplimiento por parte de los proponentes sobre los requisitos que haya considerado la entidad como habilitantes será la Cámara de Comercio, esto en la medida en que, mediante el Registro Único de Proponentes –</w:t>
      </w:r>
      <w:r w:rsidR="00F03FC6">
        <w:rPr>
          <w:rFonts w:ascii="Arial" w:eastAsia="Calibri" w:hAnsi="Arial" w:cs="Arial"/>
          <w:color w:val="000000" w:themeColor="text1"/>
          <w:lang w:val="es-ES_tradnl"/>
        </w:rPr>
        <w:t xml:space="preserve">en adelante </w:t>
      </w:r>
      <w:r w:rsidRPr="00874AD3">
        <w:rPr>
          <w:rFonts w:ascii="Arial" w:eastAsia="Calibri" w:hAnsi="Arial" w:cs="Arial"/>
          <w:color w:val="000000" w:themeColor="text1"/>
          <w:lang w:val="es-ES_tradnl"/>
        </w:rPr>
        <w:t>RUP–, se pondrá de presente toda la información relacionada con la experiencia, capacidad jurídica, capacidad financiera y organizacional, así como la clasificación del proponente</w:t>
      </w:r>
      <w:r w:rsidRPr="00874AD3">
        <w:rPr>
          <w:rStyle w:val="Refdenotaalpie"/>
          <w:rFonts w:ascii="Arial" w:eastAsia="Calibri" w:hAnsi="Arial" w:cs="Arial"/>
          <w:color w:val="000000" w:themeColor="text1"/>
          <w:lang w:val="es-ES_tradnl"/>
        </w:rPr>
        <w:footnoteReference w:id="2"/>
      </w:r>
      <w:r w:rsidRPr="00874AD3">
        <w:rPr>
          <w:rFonts w:ascii="Arial" w:eastAsia="Calibri" w:hAnsi="Arial" w:cs="Arial"/>
          <w:color w:val="000000" w:themeColor="text1"/>
          <w:lang w:val="es-ES_tradnl"/>
        </w:rPr>
        <w:t xml:space="preserve">. De la misma manera es pertinente mencionar que existen determinados procesos donde se excepciona el mencionado registro y la clasificación del proponente, siendo estos los siguientes: contratación directa, contratos para la prestación de servicios de salud, entre otros, conforme </w:t>
      </w:r>
      <w:r w:rsidR="00F03FC6">
        <w:rPr>
          <w:rFonts w:ascii="Arial" w:eastAsia="Calibri" w:hAnsi="Arial" w:cs="Arial"/>
          <w:color w:val="000000" w:themeColor="text1"/>
          <w:lang w:val="es-ES_tradnl"/>
        </w:rPr>
        <w:t>lo dispuesto en e</w:t>
      </w:r>
      <w:r w:rsidRPr="00874AD3">
        <w:rPr>
          <w:rFonts w:ascii="Arial" w:eastAsia="Calibri" w:hAnsi="Arial" w:cs="Arial"/>
          <w:color w:val="000000" w:themeColor="text1"/>
          <w:lang w:val="es-ES_tradnl"/>
        </w:rPr>
        <w:t>l artículo 6 de la Ley 1150 de 2007</w:t>
      </w:r>
      <w:r w:rsidRPr="00874AD3">
        <w:rPr>
          <w:rStyle w:val="Refdenotaalpie"/>
          <w:rFonts w:ascii="Arial" w:eastAsia="Calibri" w:hAnsi="Arial" w:cs="Arial"/>
          <w:color w:val="000000" w:themeColor="text1"/>
          <w:lang w:val="es-ES_tradnl"/>
        </w:rPr>
        <w:footnoteReference w:id="3"/>
      </w:r>
      <w:r w:rsidRPr="00874AD3">
        <w:rPr>
          <w:rFonts w:ascii="Arial" w:eastAsia="Calibri" w:hAnsi="Arial" w:cs="Arial"/>
          <w:color w:val="000000" w:themeColor="text1"/>
          <w:lang w:val="es-ES_tradnl"/>
        </w:rPr>
        <w:t xml:space="preserve">. </w:t>
      </w:r>
    </w:p>
    <w:p w14:paraId="641210C4" w14:textId="77777777" w:rsidR="004C34A0" w:rsidRPr="00874AD3" w:rsidRDefault="004C34A0" w:rsidP="004C34A0">
      <w:pPr>
        <w:spacing w:before="120" w:after="120" w:line="276" w:lineRule="auto"/>
        <w:ind w:firstLine="567"/>
        <w:jc w:val="both"/>
        <w:rPr>
          <w:rFonts w:ascii="Arial" w:eastAsia="Calibri" w:hAnsi="Arial" w:cs="Arial"/>
          <w:color w:val="000000"/>
          <w:lang w:val="es-MX" w:eastAsia="es-ES_tradnl"/>
        </w:rPr>
      </w:pPr>
      <w:r w:rsidRPr="00874AD3">
        <w:rPr>
          <w:rFonts w:ascii="Arial" w:eastAsia="Calibri" w:hAnsi="Arial" w:cs="Arial"/>
          <w:color w:val="000000"/>
        </w:rPr>
        <w:lastRenderedPageBreak/>
        <w:t>Dentro de los requisitos habilitantes se destaca la capacidad financiera y organizacional del proponente. Al respecto, la entidad, como responsable de la estructuración de su procedimiento de selección, 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w:t>
      </w:r>
      <w:r w:rsidRPr="00874AD3">
        <w:rPr>
          <w:rFonts w:ascii="Arial" w:eastAsia="Calibri" w:hAnsi="Arial" w:cs="Arial"/>
          <w:color w:val="000000"/>
          <w:vertAlign w:val="superscript"/>
        </w:rPr>
        <w:footnoteReference w:id="4"/>
      </w:r>
      <w:r w:rsidRPr="00874AD3">
        <w:rPr>
          <w:rFonts w:ascii="Arial" w:eastAsia="Calibri" w:hAnsi="Arial" w:cs="Arial"/>
          <w:color w:val="000000"/>
        </w:rPr>
        <w:t>.</w:t>
      </w:r>
    </w:p>
    <w:p w14:paraId="241A13D5" w14:textId="3C98966C" w:rsidR="004C34A0" w:rsidRPr="00874AD3" w:rsidRDefault="004C34A0" w:rsidP="004C34A0">
      <w:pPr>
        <w:spacing w:before="120" w:after="120" w:line="276" w:lineRule="auto"/>
        <w:ind w:firstLine="708"/>
        <w:jc w:val="both"/>
        <w:rPr>
          <w:rFonts w:ascii="Arial" w:eastAsia="Calibri" w:hAnsi="Arial" w:cs="Arial"/>
          <w:i/>
          <w:iCs/>
          <w:color w:val="000000"/>
          <w:lang w:val="es-ES_tradnl"/>
        </w:rPr>
      </w:pPr>
      <w:r w:rsidRPr="00874AD3">
        <w:rPr>
          <w:rFonts w:ascii="Arial" w:eastAsia="Calibri" w:hAnsi="Arial" w:cs="Arial"/>
          <w:color w:val="000000"/>
        </w:rPr>
        <w:t xml:space="preserve">La capacidad financiera se deriva del comportamiento contable de la empresa, su liquidez y endeudamiento, para determinar que sus recursos y solidez financiera le permita cumplir los compromisos que adquiera. </w:t>
      </w:r>
      <w:r w:rsidRPr="00874AD3">
        <w:rPr>
          <w:rFonts w:ascii="Arial" w:eastAsia="Calibri" w:hAnsi="Arial" w:cs="Arial"/>
          <w:color w:val="000000"/>
          <w:lang w:val="es-ES_tradnl"/>
        </w:rPr>
        <w:t xml:space="preserve">Como explica la Agencia Nacional de Contratación Pública – Colombia Compra Eficiente en el </w:t>
      </w:r>
      <w:r w:rsidR="00F03FC6" w:rsidRPr="00B51011">
        <w:rPr>
          <w:rFonts w:ascii="Arial" w:eastAsia="Calibri" w:hAnsi="Arial" w:cs="Arial"/>
          <w:color w:val="000000"/>
          <w:lang w:val="es-ES_tradnl"/>
        </w:rPr>
        <w:t>«</w:t>
      </w:r>
      <w:r w:rsidRPr="00B51011">
        <w:rPr>
          <w:rFonts w:ascii="Arial" w:eastAsia="Calibri" w:hAnsi="Arial" w:cs="Arial"/>
          <w:color w:val="000000"/>
          <w:lang w:val="es-ES_tradnl"/>
        </w:rPr>
        <w:t>Manual para determinar y verificar los requisitos habilitantes en los Procesos de Contratación</w:t>
      </w:r>
      <w:r w:rsidR="00F03FC6" w:rsidRPr="00B51011">
        <w:rPr>
          <w:rFonts w:ascii="Arial" w:eastAsia="Calibri" w:hAnsi="Arial" w:cs="Arial"/>
          <w:color w:val="000000"/>
          <w:lang w:val="es-ES_tradnl"/>
        </w:rPr>
        <w:t>»</w:t>
      </w:r>
      <w:r w:rsidR="00F03FC6">
        <w:rPr>
          <w:rFonts w:ascii="Arial" w:eastAsia="Calibri" w:hAnsi="Arial" w:cs="Arial"/>
          <w:color w:val="000000"/>
          <w:lang w:val="es-ES_tradnl"/>
        </w:rPr>
        <w:t>:</w:t>
      </w:r>
      <w:r w:rsidRPr="00874AD3">
        <w:rPr>
          <w:rFonts w:ascii="Arial" w:eastAsia="Calibri" w:hAnsi="Arial" w:cs="Arial"/>
          <w:color w:val="000000"/>
          <w:lang w:val="es-ES_tradnl"/>
        </w:rPr>
        <w:t xml:space="preserve"> </w:t>
      </w:r>
      <w:r w:rsidRPr="00874AD3">
        <w:rPr>
          <w:rFonts w:ascii="Arial" w:eastAsia="Calibri" w:hAnsi="Arial" w:cs="Arial"/>
          <w:i/>
          <w:iCs/>
          <w:color w:val="000000"/>
          <w:lang w:val="es-ES_tradnl"/>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874AD3">
        <w:rPr>
          <w:rFonts w:ascii="Arial" w:eastAsia="Calibri" w:hAnsi="Arial" w:cs="Arial"/>
          <w:i/>
          <w:iCs/>
          <w:color w:val="000000"/>
          <w:vertAlign w:val="superscript"/>
          <w:lang w:val="es-ES_tradnl"/>
        </w:rPr>
        <w:footnoteReference w:id="5"/>
      </w:r>
      <w:r w:rsidRPr="00874AD3">
        <w:rPr>
          <w:rFonts w:ascii="Arial" w:eastAsia="Calibri" w:hAnsi="Arial" w:cs="Arial"/>
          <w:i/>
          <w:iCs/>
          <w:color w:val="000000"/>
          <w:lang w:val="es-ES_tradnl"/>
        </w:rPr>
        <w:t>.</w:t>
      </w:r>
      <w:r w:rsidRPr="00874AD3">
        <w:rPr>
          <w:rFonts w:ascii="Arial" w:eastAsia="Calibri" w:hAnsi="Arial" w:cs="Arial"/>
          <w:color w:val="000000"/>
          <w:lang w:val="es-ES_tradnl"/>
        </w:rPr>
        <w:t xml:space="preserve"> La capacidad organizacional, por su parte, </w:t>
      </w:r>
      <w:r w:rsidRPr="00874AD3">
        <w:rPr>
          <w:rFonts w:ascii="Arial" w:eastAsia="Calibri" w:hAnsi="Arial" w:cs="Arial"/>
          <w:i/>
          <w:iCs/>
          <w:color w:val="000000"/>
          <w:lang w:val="es-ES_tradnl"/>
        </w:rPr>
        <w:t>«[…]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Pr="00874AD3">
        <w:rPr>
          <w:rFonts w:ascii="Arial" w:eastAsia="Calibri" w:hAnsi="Arial" w:cs="Arial"/>
          <w:i/>
          <w:iCs/>
          <w:color w:val="000000"/>
          <w:vertAlign w:val="superscript"/>
          <w:lang w:val="es-ES_tradnl"/>
        </w:rPr>
        <w:footnoteReference w:id="6"/>
      </w:r>
      <w:r w:rsidRPr="00874AD3">
        <w:rPr>
          <w:rFonts w:ascii="Arial" w:eastAsia="Calibri" w:hAnsi="Arial" w:cs="Arial"/>
          <w:i/>
          <w:iCs/>
          <w:color w:val="000000"/>
          <w:lang w:val="es-ES_tradnl"/>
        </w:rPr>
        <w:t xml:space="preserve">. </w:t>
      </w:r>
    </w:p>
    <w:p w14:paraId="1777AA0C" w14:textId="77777777" w:rsidR="004C34A0" w:rsidRPr="00874AD3" w:rsidRDefault="004C34A0" w:rsidP="004C34A0">
      <w:pPr>
        <w:spacing w:before="120" w:after="120" w:line="276" w:lineRule="auto"/>
        <w:ind w:firstLine="709"/>
        <w:jc w:val="both"/>
        <w:rPr>
          <w:rFonts w:ascii="Arial" w:eastAsia="Calibri" w:hAnsi="Arial" w:cs="Arial"/>
          <w:color w:val="000000"/>
          <w:lang w:val="es-ES_tradnl"/>
        </w:rPr>
      </w:pPr>
      <w:r w:rsidRPr="00874AD3">
        <w:rPr>
          <w:rFonts w:ascii="Arial" w:eastAsia="Calibri" w:hAnsi="Arial" w:cs="Arial"/>
          <w:color w:val="000000"/>
          <w:lang w:val="es-ES_tradnl"/>
        </w:rPr>
        <w:t>Respecto a la capacidad financiera, esta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del artículo 2.2.1.1.1.5.3 del Decreto 1082 de 2015.</w:t>
      </w:r>
    </w:p>
    <w:p w14:paraId="64C355C4" w14:textId="29AA0CF3" w:rsidR="004C34A0" w:rsidRPr="00874AD3" w:rsidRDefault="004C34A0" w:rsidP="004C34A0">
      <w:pPr>
        <w:spacing w:before="120" w:after="120" w:line="276" w:lineRule="auto"/>
        <w:ind w:firstLine="708"/>
        <w:jc w:val="both"/>
        <w:rPr>
          <w:rFonts w:ascii="Arial" w:eastAsia="Calibri" w:hAnsi="Arial" w:cs="Arial"/>
          <w:color w:val="000000"/>
          <w:lang w:val="es-ES_tradnl"/>
        </w:rPr>
      </w:pPr>
      <w:r w:rsidRPr="00874AD3">
        <w:rPr>
          <w:rFonts w:ascii="Arial" w:eastAsia="Calibri" w:hAnsi="Arial" w:cs="Arial"/>
          <w:color w:val="000000"/>
          <w:lang w:val="es-ES_tradnl"/>
        </w:rPr>
        <w:lastRenderedPageBreak/>
        <w:t xml:space="preserve">La Agencia Nacional de Contratación Pública – Colombia Compra Eficiente puso a disposición de los interesados el «Manual para determinar y verificar los requisitos habilitantes en los Procesos de Contratación» que plantea definiciones para cada requisito habilitante e indica lineamientos orientadores que las entidades pueden considerar para establecerlos, en este caso, para exigir la capacidad financiera y la capacidad organizacional. En ese sentido, la capacidad financiera que la entidad requiera para un </w:t>
      </w:r>
      <w:r w:rsidR="00A93756" w:rsidRPr="00874AD3">
        <w:rPr>
          <w:rFonts w:ascii="Arial" w:eastAsia="Calibri" w:hAnsi="Arial" w:cs="Arial"/>
          <w:color w:val="000000"/>
          <w:lang w:val="es-ES_tradnl"/>
        </w:rPr>
        <w:t xml:space="preserve">Proceso </w:t>
      </w:r>
      <w:r w:rsidRPr="00874AD3">
        <w:rPr>
          <w:rFonts w:ascii="Arial" w:eastAsia="Calibri" w:hAnsi="Arial" w:cs="Arial"/>
          <w:color w:val="000000"/>
          <w:lang w:val="es-ES_tradnl"/>
        </w:rPr>
        <w:t xml:space="preserve">de </w:t>
      </w:r>
      <w:r w:rsidR="00A93756" w:rsidRPr="00874AD3">
        <w:rPr>
          <w:rFonts w:ascii="Arial" w:eastAsia="Calibri" w:hAnsi="Arial" w:cs="Arial"/>
          <w:color w:val="000000"/>
          <w:lang w:val="es-ES_tradnl"/>
        </w:rPr>
        <w:t xml:space="preserve">Contratación </w:t>
      </w:r>
      <w:r w:rsidRPr="00874AD3">
        <w:rPr>
          <w:rFonts w:ascii="Arial" w:eastAsia="Calibri" w:hAnsi="Arial" w:cs="Arial"/>
          <w:color w:val="000000"/>
          <w:lang w:val="es-ES_tradnl"/>
        </w:rPr>
        <w:t>debe ser adecuada y proporcional a la naturaleza y al valor del contrato. Además, los requisitos de capacidad financiera deben ser establecidos con fundamento en los Estudios del Sector.</w:t>
      </w:r>
    </w:p>
    <w:p w14:paraId="34BE1E04" w14:textId="77777777" w:rsidR="004C34A0" w:rsidRPr="00874AD3" w:rsidRDefault="004C34A0" w:rsidP="004C34A0">
      <w:pPr>
        <w:spacing w:before="120" w:after="120" w:line="276" w:lineRule="auto"/>
        <w:ind w:firstLine="709"/>
        <w:jc w:val="both"/>
        <w:rPr>
          <w:rFonts w:ascii="Arial" w:eastAsia="Calibri" w:hAnsi="Arial" w:cs="Arial"/>
          <w:color w:val="000000"/>
          <w:lang w:val="es-ES_tradnl"/>
        </w:rPr>
      </w:pPr>
      <w:r w:rsidRPr="00874AD3">
        <w:rPr>
          <w:rFonts w:ascii="Arial" w:eastAsia="Calibri" w:hAnsi="Arial" w:cs="Arial"/>
          <w:color w:val="000000"/>
          <w:lang w:val="es-ES_tradnl"/>
        </w:rPr>
        <w:t xml:space="preserve">En atención a la naturaleza del contrato a suscribir y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874AD3">
        <w:rPr>
          <w:rFonts w:ascii="Arial" w:eastAsia="Calibri" w:hAnsi="Arial" w:cs="Arial"/>
          <w:i/>
          <w:iCs/>
          <w:color w:val="000000"/>
          <w:lang w:val="es-ES_tradnl"/>
        </w:rPr>
        <w:t>índice de liquidez</w:t>
      </w:r>
      <w:r w:rsidRPr="00874AD3">
        <w:rPr>
          <w:rFonts w:ascii="Arial" w:eastAsia="Calibri" w:hAnsi="Arial" w:cs="Arial"/>
          <w:color w:val="000000"/>
          <w:lang w:val="es-ES_tradnl"/>
        </w:rPr>
        <w:t xml:space="preserve">, que corresponde a la división entre el activo corriente y el pasivo corriente, y que determina la capacidad que tiene el proponente para cumplir con sus obligaciones de corto plazo; </w:t>
      </w:r>
      <w:proofErr w:type="spellStart"/>
      <w:r w:rsidRPr="00874AD3">
        <w:rPr>
          <w:rFonts w:ascii="Arial" w:eastAsia="Calibri" w:hAnsi="Arial" w:cs="Arial"/>
          <w:color w:val="000000"/>
          <w:lang w:val="es-ES_tradnl"/>
        </w:rPr>
        <w:t>ii</w:t>
      </w:r>
      <w:proofErr w:type="spellEnd"/>
      <w:r w:rsidRPr="00874AD3">
        <w:rPr>
          <w:rFonts w:ascii="Arial" w:eastAsia="Calibri" w:hAnsi="Arial" w:cs="Arial"/>
          <w:color w:val="000000"/>
          <w:lang w:val="es-ES_tradnl"/>
        </w:rPr>
        <w:t xml:space="preserve">) el </w:t>
      </w:r>
      <w:r w:rsidRPr="00874AD3">
        <w:rPr>
          <w:rFonts w:ascii="Arial" w:eastAsia="Calibri" w:hAnsi="Arial" w:cs="Arial"/>
          <w:i/>
          <w:iCs/>
          <w:color w:val="000000"/>
          <w:lang w:val="es-ES_tradnl"/>
        </w:rPr>
        <w:t>índice de endeudamiento</w:t>
      </w:r>
      <w:r w:rsidRPr="00874AD3">
        <w:rPr>
          <w:rFonts w:ascii="Arial" w:eastAsia="Calibri" w:hAnsi="Arial" w:cs="Arial"/>
          <w:color w:val="000000"/>
          <w:lang w:val="es-ES_tradnl"/>
        </w:rPr>
        <w:t xml:space="preserve">, que se calcula dividiendo el pasivo total por el activo total, el cual determina el grado de endeudamiento en la estructura de financiación del proponente; y </w:t>
      </w:r>
      <w:proofErr w:type="spellStart"/>
      <w:r w:rsidRPr="00874AD3">
        <w:rPr>
          <w:rFonts w:ascii="Arial" w:eastAsia="Calibri" w:hAnsi="Arial" w:cs="Arial"/>
          <w:color w:val="000000"/>
          <w:lang w:val="es-ES_tradnl"/>
        </w:rPr>
        <w:t>iii</w:t>
      </w:r>
      <w:proofErr w:type="spellEnd"/>
      <w:r w:rsidRPr="00874AD3">
        <w:rPr>
          <w:rFonts w:ascii="Arial" w:eastAsia="Calibri" w:hAnsi="Arial" w:cs="Arial"/>
          <w:color w:val="000000"/>
          <w:lang w:val="es-ES_tradnl"/>
        </w:rPr>
        <w:t xml:space="preserve">) la </w:t>
      </w:r>
      <w:r w:rsidRPr="00874AD3">
        <w:rPr>
          <w:rFonts w:ascii="Arial" w:eastAsia="Calibri" w:hAnsi="Arial" w:cs="Arial"/>
          <w:i/>
          <w:iCs/>
          <w:color w:val="000000"/>
          <w:lang w:val="es-ES_tradnl"/>
        </w:rPr>
        <w:t>razón de cobertura de intereses</w:t>
      </w:r>
      <w:r w:rsidRPr="00874AD3">
        <w:rPr>
          <w:rFonts w:ascii="Arial" w:eastAsia="Calibri" w:hAnsi="Arial" w:cs="Arial"/>
          <w:color w:val="000000"/>
          <w:lang w:val="es-ES_tradnl"/>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874AD3">
        <w:rPr>
          <w:rFonts w:ascii="Arial" w:eastAsia="Calibri" w:hAnsi="Arial" w:cs="Arial"/>
          <w:i/>
          <w:iCs/>
          <w:color w:val="000000"/>
          <w:lang w:val="es-ES_tradnl"/>
        </w:rPr>
        <w:t>capital de trabajo</w:t>
      </w:r>
      <w:r w:rsidRPr="00874AD3">
        <w:rPr>
          <w:rFonts w:ascii="Arial" w:eastAsia="Calibri" w:hAnsi="Arial" w:cs="Arial"/>
          <w:color w:val="000000"/>
          <w:lang w:val="es-ES_tradnl"/>
        </w:rPr>
        <w:t xml:space="preserve">, la </w:t>
      </w:r>
      <w:r w:rsidRPr="00874AD3">
        <w:rPr>
          <w:rFonts w:ascii="Arial" w:eastAsia="Calibri" w:hAnsi="Arial" w:cs="Arial"/>
          <w:i/>
          <w:iCs/>
          <w:color w:val="000000"/>
          <w:lang w:val="es-ES_tradnl"/>
        </w:rPr>
        <w:t>razón de efectivo</w:t>
      </w:r>
      <w:r w:rsidRPr="00874AD3">
        <w:rPr>
          <w:rFonts w:ascii="Arial" w:eastAsia="Calibri" w:hAnsi="Arial" w:cs="Arial"/>
          <w:color w:val="000000"/>
          <w:lang w:val="es-ES_tradnl"/>
        </w:rPr>
        <w:t xml:space="preserve">, la denominada </w:t>
      </w:r>
      <w:r w:rsidRPr="00874AD3">
        <w:rPr>
          <w:rFonts w:ascii="Arial" w:eastAsia="Calibri" w:hAnsi="Arial" w:cs="Arial"/>
          <w:i/>
          <w:iCs/>
          <w:color w:val="000000"/>
          <w:lang w:val="es-ES_tradnl"/>
        </w:rPr>
        <w:t>prueba ácida</w:t>
      </w:r>
      <w:r w:rsidRPr="00874AD3">
        <w:rPr>
          <w:rFonts w:ascii="Arial" w:eastAsia="Calibri" w:hAnsi="Arial" w:cs="Arial"/>
          <w:color w:val="000000"/>
          <w:vertAlign w:val="superscript"/>
          <w:lang w:val="es-ES_tradnl"/>
        </w:rPr>
        <w:footnoteReference w:id="7"/>
      </w:r>
      <w:r w:rsidRPr="00874AD3">
        <w:rPr>
          <w:rFonts w:ascii="Arial" w:eastAsia="Calibri" w:hAnsi="Arial" w:cs="Arial"/>
          <w:color w:val="000000"/>
          <w:lang w:val="es-ES_tradnl"/>
        </w:rPr>
        <w:t xml:space="preserve">, la </w:t>
      </w:r>
      <w:r w:rsidRPr="00874AD3">
        <w:rPr>
          <w:rFonts w:ascii="Arial" w:eastAsia="Calibri" w:hAnsi="Arial" w:cs="Arial"/>
          <w:i/>
          <w:iCs/>
          <w:color w:val="000000"/>
          <w:lang w:val="es-ES_tradnl"/>
        </w:rPr>
        <w:t xml:space="preserve">concentración de endeudamiento a corto </w:t>
      </w:r>
      <w:r w:rsidRPr="00874AD3">
        <w:rPr>
          <w:rFonts w:ascii="Arial" w:eastAsia="Calibri" w:hAnsi="Arial" w:cs="Arial"/>
          <w:color w:val="000000"/>
          <w:lang w:val="es-ES_tradnl"/>
        </w:rPr>
        <w:t>y</w:t>
      </w:r>
      <w:r w:rsidRPr="00874AD3">
        <w:rPr>
          <w:rFonts w:ascii="Arial" w:eastAsia="Calibri" w:hAnsi="Arial" w:cs="Arial"/>
          <w:i/>
          <w:iCs/>
          <w:color w:val="000000"/>
          <w:lang w:val="es-ES_tradnl"/>
        </w:rPr>
        <w:t xml:space="preserve"> a largo plazo</w:t>
      </w:r>
      <w:r w:rsidRPr="00874AD3">
        <w:rPr>
          <w:rFonts w:ascii="Arial" w:eastAsia="Calibri" w:hAnsi="Arial" w:cs="Arial"/>
          <w:color w:val="000000"/>
          <w:lang w:val="es-ES_tradnl"/>
        </w:rPr>
        <w:t xml:space="preserve"> y el </w:t>
      </w:r>
      <w:r w:rsidRPr="00874AD3">
        <w:rPr>
          <w:rFonts w:ascii="Arial" w:eastAsia="Calibri" w:hAnsi="Arial" w:cs="Arial"/>
          <w:i/>
          <w:iCs/>
          <w:color w:val="000000"/>
          <w:lang w:val="es-ES_tradnl"/>
        </w:rPr>
        <w:t>patrimonio</w:t>
      </w:r>
      <w:r w:rsidRPr="00874AD3">
        <w:rPr>
          <w:rStyle w:val="Refdenotaalpie"/>
          <w:rFonts w:ascii="Arial" w:eastAsia="Calibri" w:hAnsi="Arial" w:cs="Arial"/>
          <w:i/>
          <w:iCs/>
          <w:color w:val="000000"/>
          <w:lang w:val="es-ES_tradnl"/>
        </w:rPr>
        <w:footnoteReference w:id="8"/>
      </w:r>
      <w:r w:rsidRPr="00874AD3">
        <w:rPr>
          <w:rFonts w:ascii="Arial" w:eastAsia="Calibri" w:hAnsi="Arial" w:cs="Arial"/>
          <w:color w:val="000000"/>
          <w:lang w:val="es-ES_tradnl"/>
        </w:rPr>
        <w:t>.</w:t>
      </w:r>
    </w:p>
    <w:p w14:paraId="7C9242CF" w14:textId="77777777" w:rsidR="004C34A0" w:rsidRPr="00874AD3" w:rsidRDefault="004C34A0" w:rsidP="004C34A0">
      <w:pPr>
        <w:spacing w:before="120" w:after="120" w:line="276" w:lineRule="auto"/>
        <w:ind w:firstLine="709"/>
        <w:jc w:val="both"/>
        <w:rPr>
          <w:rFonts w:ascii="Arial" w:eastAsia="Calibri" w:hAnsi="Arial" w:cs="Arial"/>
          <w:color w:val="000000"/>
          <w:lang w:val="es-ES_tradnl"/>
        </w:rPr>
      </w:pPr>
      <w:r w:rsidRPr="00874AD3">
        <w:rPr>
          <w:rFonts w:ascii="Arial" w:eastAsia="Calibri" w:hAnsi="Arial" w:cs="Arial"/>
          <w:color w:val="000000"/>
          <w:lang w:val="es-ES_tradnl"/>
        </w:rPr>
        <w:t xml:space="preserve">La </w:t>
      </w:r>
      <w:r w:rsidRPr="00874AD3">
        <w:rPr>
          <w:rFonts w:ascii="Arial" w:eastAsia="Calibri" w:hAnsi="Arial" w:cs="Arial"/>
          <w:bCs/>
          <w:i/>
          <w:iCs/>
          <w:color w:val="000000"/>
          <w:lang w:val="es-ES_tradnl"/>
        </w:rPr>
        <w:t>capacidad de organización</w:t>
      </w:r>
      <w:r w:rsidRPr="00874AD3">
        <w:rPr>
          <w:rFonts w:ascii="Arial" w:eastAsia="Calibri" w:hAnsi="Arial" w:cs="Arial"/>
          <w:color w:val="000000"/>
          <w:lang w:val="es-ES_tradnl"/>
        </w:rPr>
        <w:t xml:space="preserve">, según el </w:t>
      </w:r>
      <w:r w:rsidRPr="00B51011">
        <w:rPr>
          <w:rFonts w:ascii="Arial" w:eastAsia="Calibri" w:hAnsi="Arial" w:cs="Arial"/>
          <w:color w:val="000000"/>
          <w:lang w:val="es-ES_tradnl"/>
        </w:rPr>
        <w:t>«Manual para determinar y verificar los requisitos habilitantes en los Procesos de Contratación»,</w:t>
      </w:r>
      <w:r w:rsidRPr="00A93756">
        <w:rPr>
          <w:rFonts w:ascii="Arial" w:eastAsia="Calibri" w:hAnsi="Arial" w:cs="Arial"/>
          <w:color w:val="000000"/>
          <w:lang w:val="es-ES_tradnl"/>
        </w:rPr>
        <w:t xml:space="preserve"> elaborado por esta Agencia, es «</w:t>
      </w:r>
      <w:r w:rsidRPr="00B51011">
        <w:rPr>
          <w:rFonts w:ascii="Arial" w:eastAsia="Calibri" w:hAnsi="Arial" w:cs="Arial"/>
          <w:color w:val="000000"/>
          <w:lang w:val="es-ES_tradnl"/>
        </w:rPr>
        <w:t>la aptitud de un proponente para cumplir oportuna y cabalmente el objeto del contrato en función de su organización interna»</w:t>
      </w:r>
      <w:r w:rsidRPr="00874AD3">
        <w:rPr>
          <w:rFonts w:ascii="Arial" w:eastAsia="Calibri" w:hAnsi="Arial" w:cs="Arial"/>
          <w:i/>
          <w:iCs/>
          <w:color w:val="000000"/>
          <w:lang w:val="es-ES_tradnl"/>
        </w:rPr>
        <w:t>.</w:t>
      </w:r>
      <w:r w:rsidRPr="00874AD3">
        <w:rPr>
          <w:rFonts w:ascii="Arial" w:eastAsia="Calibri" w:hAnsi="Arial" w:cs="Arial"/>
          <w:color w:val="000000"/>
          <w:lang w:val="es-ES_tradnl"/>
        </w:rPr>
        <w:t xml:space="preserve"> Según el artículo 2.2.1.1.1.5.3., numeral 4, del Decreto 1082 de 2015, los indicadores para medir la capacidad organizacional de un proponente son: por un lado, la </w:t>
      </w:r>
      <w:r w:rsidRPr="00874AD3">
        <w:rPr>
          <w:rFonts w:ascii="Arial" w:eastAsia="Calibri" w:hAnsi="Arial" w:cs="Arial"/>
          <w:i/>
          <w:iCs/>
          <w:color w:val="000000"/>
          <w:lang w:val="es-ES_tradnl"/>
        </w:rPr>
        <w:t>rentabilidad del patrimonio</w:t>
      </w:r>
      <w:r w:rsidRPr="00874AD3">
        <w:rPr>
          <w:rFonts w:ascii="Arial" w:eastAsia="Calibri" w:hAnsi="Arial" w:cs="Arial"/>
          <w:color w:val="000000"/>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w:t>
      </w:r>
      <w:r w:rsidRPr="00874AD3">
        <w:rPr>
          <w:rFonts w:ascii="Arial" w:eastAsia="Calibri" w:hAnsi="Arial" w:cs="Arial"/>
          <w:color w:val="000000"/>
          <w:lang w:val="es-ES_tradnl"/>
        </w:rPr>
        <w:lastRenderedPageBreak/>
        <w:t xml:space="preserve">mayor rentabilidad sobre el patrimonio, mayor es la rentabilidad de los accionistas y mejor la capacidad organizacional del proponente. </w:t>
      </w:r>
    </w:p>
    <w:p w14:paraId="121A0AB8" w14:textId="77777777" w:rsidR="004C34A0" w:rsidRPr="00874AD3" w:rsidRDefault="004C34A0" w:rsidP="004C34A0">
      <w:pPr>
        <w:spacing w:before="120" w:after="120" w:line="276" w:lineRule="auto"/>
        <w:ind w:firstLine="709"/>
        <w:jc w:val="both"/>
        <w:rPr>
          <w:rFonts w:ascii="Arial" w:eastAsia="Calibri" w:hAnsi="Arial" w:cs="Arial"/>
          <w:color w:val="000000"/>
          <w:lang w:val="es-ES_tradnl"/>
        </w:rPr>
      </w:pPr>
      <w:r w:rsidRPr="00874AD3">
        <w:rPr>
          <w:rFonts w:ascii="Arial" w:eastAsia="Calibri" w:hAnsi="Arial" w:cs="Arial"/>
          <w:color w:val="000000"/>
          <w:lang w:val="es-ES_tradnl"/>
        </w:rPr>
        <w:t xml:space="preserve">Por el otro, la </w:t>
      </w:r>
      <w:r w:rsidRPr="00874AD3">
        <w:rPr>
          <w:rFonts w:ascii="Arial" w:eastAsia="Calibri" w:hAnsi="Arial" w:cs="Arial"/>
          <w:i/>
          <w:iCs/>
          <w:color w:val="000000"/>
          <w:lang w:val="es-ES_tradnl"/>
        </w:rPr>
        <w:t>rentabilidad del activo</w:t>
      </w:r>
      <w:r w:rsidRPr="00874AD3">
        <w:rPr>
          <w:rFonts w:ascii="Arial" w:eastAsia="Calibri" w:hAnsi="Arial" w:cs="Arial"/>
          <w:color w:val="000000"/>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0C19F0B7" w14:textId="77777777" w:rsidR="004C34A0" w:rsidRPr="00874AD3" w:rsidRDefault="004C34A0" w:rsidP="004C34A0">
      <w:pPr>
        <w:spacing w:before="120" w:after="120" w:line="276" w:lineRule="auto"/>
        <w:ind w:firstLine="709"/>
        <w:jc w:val="both"/>
        <w:rPr>
          <w:rFonts w:ascii="Arial" w:eastAsia="Calibri" w:hAnsi="Arial" w:cs="Arial"/>
          <w:color w:val="000000"/>
          <w:lang w:val="es-ES_tradnl"/>
        </w:rPr>
      </w:pPr>
      <w:r w:rsidRPr="00874AD3">
        <w:rPr>
          <w:rFonts w:ascii="Arial" w:eastAsia="Calibri" w:hAnsi="Arial" w:cs="Arial"/>
          <w:color w:val="000000"/>
          <w:lang w:val="es-ES_tradnl"/>
        </w:rPr>
        <w:t xml:space="preserve">A juicio de esta Agencia, también son relevantes los siguientes indicadores, pero únicamente en aquellos casos en los que, por las características del objeto a contratar, la naturaleza o la complejidad del proceso de contratación, se requieran: i) margen bruto; </w:t>
      </w:r>
      <w:proofErr w:type="spellStart"/>
      <w:r w:rsidRPr="00874AD3">
        <w:rPr>
          <w:rFonts w:ascii="Arial" w:eastAsia="Calibri" w:hAnsi="Arial" w:cs="Arial"/>
          <w:color w:val="000000"/>
          <w:lang w:val="es-ES_tradnl"/>
        </w:rPr>
        <w:t>ii</w:t>
      </w:r>
      <w:proofErr w:type="spellEnd"/>
      <w:r w:rsidRPr="00874AD3">
        <w:rPr>
          <w:rFonts w:ascii="Arial" w:eastAsia="Calibri" w:hAnsi="Arial" w:cs="Arial"/>
          <w:color w:val="000000"/>
          <w:lang w:val="es-ES_tradnl"/>
        </w:rPr>
        <w:t xml:space="preserve">) margen operacional; </w:t>
      </w:r>
      <w:proofErr w:type="spellStart"/>
      <w:r w:rsidRPr="00874AD3">
        <w:rPr>
          <w:rFonts w:ascii="Arial" w:eastAsia="Calibri" w:hAnsi="Arial" w:cs="Arial"/>
          <w:color w:val="000000"/>
          <w:lang w:val="es-ES_tradnl"/>
        </w:rPr>
        <w:t>iii</w:t>
      </w:r>
      <w:proofErr w:type="spellEnd"/>
      <w:r w:rsidRPr="00874AD3">
        <w:rPr>
          <w:rFonts w:ascii="Arial" w:eastAsia="Calibri" w:hAnsi="Arial" w:cs="Arial"/>
          <w:color w:val="000000"/>
          <w:lang w:val="es-ES_tradnl"/>
        </w:rPr>
        <w:t xml:space="preserve">) margen neto; </w:t>
      </w:r>
      <w:proofErr w:type="spellStart"/>
      <w:r w:rsidRPr="00874AD3">
        <w:rPr>
          <w:rFonts w:ascii="Arial" w:eastAsia="Calibri" w:hAnsi="Arial" w:cs="Arial"/>
          <w:color w:val="000000"/>
          <w:lang w:val="es-ES_tradnl"/>
        </w:rPr>
        <w:t>iv</w:t>
      </w:r>
      <w:proofErr w:type="spellEnd"/>
      <w:r w:rsidRPr="00874AD3">
        <w:rPr>
          <w:rFonts w:ascii="Arial" w:eastAsia="Calibri" w:hAnsi="Arial" w:cs="Arial"/>
          <w:color w:val="000000"/>
          <w:lang w:val="es-ES_tradnl"/>
        </w:rPr>
        <w:t xml:space="preserve">) retorno sobre capital invertido; v) rotación de activos totales; vi) rotación de activos fijos; y </w:t>
      </w:r>
      <w:proofErr w:type="spellStart"/>
      <w:r w:rsidRPr="00874AD3">
        <w:rPr>
          <w:rFonts w:ascii="Arial" w:eastAsia="Calibri" w:hAnsi="Arial" w:cs="Arial"/>
          <w:color w:val="000000"/>
          <w:lang w:val="es-ES_tradnl"/>
        </w:rPr>
        <w:t>vii</w:t>
      </w:r>
      <w:proofErr w:type="spellEnd"/>
      <w:r w:rsidRPr="00874AD3">
        <w:rPr>
          <w:rFonts w:ascii="Arial" w:eastAsia="Calibri" w:hAnsi="Arial" w:cs="Arial"/>
          <w:color w:val="000000"/>
          <w:lang w:val="es-ES_tradnl"/>
        </w:rPr>
        <w:t>) rotación de inventarios</w:t>
      </w:r>
      <w:r w:rsidRPr="00874AD3">
        <w:rPr>
          <w:rStyle w:val="Refdenotaalpie"/>
          <w:rFonts w:ascii="Arial" w:eastAsia="Calibri" w:hAnsi="Arial" w:cs="Arial"/>
          <w:color w:val="000000"/>
          <w:lang w:val="es-ES_tradnl"/>
        </w:rPr>
        <w:footnoteReference w:id="9"/>
      </w:r>
      <w:r w:rsidRPr="00874AD3">
        <w:rPr>
          <w:rFonts w:ascii="Arial" w:eastAsia="Calibri" w:hAnsi="Arial" w:cs="Arial"/>
          <w:color w:val="000000"/>
          <w:lang w:val="es-ES_tradnl"/>
        </w:rPr>
        <w:t>.</w:t>
      </w:r>
    </w:p>
    <w:p w14:paraId="5A3454FA" w14:textId="77777777" w:rsidR="004C34A0" w:rsidRPr="00874AD3" w:rsidRDefault="004C34A0" w:rsidP="004C34A0">
      <w:pPr>
        <w:spacing w:before="120" w:line="276" w:lineRule="auto"/>
        <w:ind w:firstLine="708"/>
        <w:jc w:val="both"/>
        <w:rPr>
          <w:rFonts w:ascii="Arial" w:eastAsia="Calibri" w:hAnsi="Arial" w:cs="Arial"/>
          <w:color w:val="000000"/>
          <w:lang w:val="es-ES_tradnl"/>
        </w:rPr>
      </w:pPr>
      <w:r w:rsidRPr="00874AD3">
        <w:rPr>
          <w:rFonts w:ascii="Arial" w:eastAsia="Calibri" w:hAnsi="Arial" w:cs="Arial"/>
          <w:color w:val="000000"/>
          <w:lang w:val="es-ES_tradnl"/>
        </w:rPr>
        <w:t>Sobre la capacidad financiera, como requisito habilitante, el Manual señala que sus indicadores deben establecerse de acuerdo con el estudio del sector que le permitió a la entidad conocer cómo se debe ejecutar el objeto contractual, y que es necesario analizar cada fórmula para que la interpretación no sea operativa, sino que su aplicación se base en el entendimiento del resultado y sus implicaciones para el procedimiento contractual</w:t>
      </w:r>
      <w:r w:rsidRPr="00874AD3">
        <w:rPr>
          <w:rFonts w:ascii="Arial" w:eastAsia="Calibri" w:hAnsi="Arial" w:cs="Arial"/>
          <w:color w:val="000000"/>
          <w:vertAlign w:val="superscript"/>
          <w:lang w:val="es-ES_tradnl"/>
        </w:rPr>
        <w:footnoteReference w:id="10"/>
      </w:r>
      <w:r w:rsidRPr="00874AD3">
        <w:rPr>
          <w:rFonts w:ascii="Arial" w:eastAsia="Calibri" w:hAnsi="Arial" w:cs="Arial"/>
          <w:color w:val="000000"/>
          <w:lang w:val="es-ES_tradnl"/>
        </w:rPr>
        <w:t xml:space="preserve">. Igualmente, la capacidad organizacional se mide mediante los siguientes indicadores: i) rentabilidad del patrimonio y </w:t>
      </w:r>
      <w:proofErr w:type="spellStart"/>
      <w:r w:rsidRPr="00874AD3">
        <w:rPr>
          <w:rFonts w:ascii="Arial" w:eastAsia="Calibri" w:hAnsi="Arial" w:cs="Arial"/>
          <w:color w:val="000000"/>
          <w:lang w:val="es-ES_tradnl"/>
        </w:rPr>
        <w:t>ii</w:t>
      </w:r>
      <w:proofErr w:type="spellEnd"/>
      <w:r w:rsidRPr="00874AD3">
        <w:rPr>
          <w:rFonts w:ascii="Arial" w:eastAsia="Calibri" w:hAnsi="Arial" w:cs="Arial"/>
          <w:color w:val="000000"/>
          <w:lang w:val="es-ES_tradnl"/>
        </w:rPr>
        <w:t>)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Pr="00874AD3">
        <w:rPr>
          <w:rFonts w:ascii="Arial" w:eastAsia="Calibri" w:hAnsi="Arial" w:cs="Arial"/>
          <w:color w:val="000000"/>
          <w:vertAlign w:val="superscript"/>
          <w:lang w:val="es-ES_tradnl"/>
        </w:rPr>
        <w:footnoteReference w:id="11"/>
      </w:r>
      <w:r w:rsidRPr="00874AD3">
        <w:rPr>
          <w:rFonts w:ascii="Arial" w:eastAsia="Calibri" w:hAnsi="Arial" w:cs="Arial"/>
          <w:color w:val="000000"/>
          <w:lang w:val="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24ACD303" w14:textId="44CF7ED5" w:rsidR="004C34A0" w:rsidRDefault="00A93756" w:rsidP="004C34A0">
      <w:pPr>
        <w:spacing w:before="120" w:line="276" w:lineRule="auto"/>
        <w:ind w:firstLine="708"/>
        <w:jc w:val="both"/>
        <w:rPr>
          <w:rFonts w:ascii="Arial" w:eastAsia="Calibri" w:hAnsi="Arial" w:cs="Arial"/>
        </w:rPr>
      </w:pPr>
      <w:bookmarkStart w:id="4" w:name="_Hlk115871885"/>
      <w:r>
        <w:rPr>
          <w:rFonts w:ascii="Arial" w:eastAsia="Calibri" w:hAnsi="Arial" w:cs="Arial"/>
        </w:rPr>
        <w:t>P</w:t>
      </w:r>
      <w:r w:rsidR="004C34A0" w:rsidRPr="00874AD3">
        <w:rPr>
          <w:rFonts w:ascii="Arial" w:eastAsia="Calibri" w:hAnsi="Arial" w:cs="Arial"/>
        </w:rPr>
        <w:t>ara efectos de fijar los indicadores de capacidad financiera y organizacional, la sección VI del Manual indica que la Entidad Estatal «</w:t>
      </w:r>
      <w:r w:rsidR="004C34A0" w:rsidRPr="00874AD3">
        <w:rPr>
          <w:rFonts w:ascii="Arial" w:eastAsia="Calibri" w:hAnsi="Arial" w:cs="Arial"/>
          <w:lang w:val="es-ES_tradnl"/>
        </w:rPr>
        <w:t xml:space="preserve">debe establecer el límite para los indicadores de capacidad financiera y organizacional como resultado del análisis de los criterios previstos en la </w:t>
      </w:r>
      <w:r w:rsidR="004C34A0" w:rsidRPr="00874AD3">
        <w:rPr>
          <w:rFonts w:ascii="Arial" w:eastAsia="Calibri" w:hAnsi="Arial" w:cs="Arial"/>
          <w:lang w:val="es-ES_tradnl"/>
        </w:rPr>
        <w:lastRenderedPageBreak/>
        <w:t>sección I.B. y evitar hacerlo de manera mecánica, pues cada Proceso de Contratación tiene una naturaleza distinta y está asociado a Riesgos particulares</w:t>
      </w:r>
      <w:r w:rsidR="004C34A0" w:rsidRPr="00874AD3">
        <w:rPr>
          <w:rFonts w:ascii="Arial" w:eastAsia="Calibri" w:hAnsi="Arial" w:cs="Arial"/>
        </w:rPr>
        <w:t>»</w:t>
      </w:r>
      <w:r w:rsidR="004C34A0" w:rsidRPr="00874AD3">
        <w:rPr>
          <w:rFonts w:ascii="Arial" w:eastAsia="Calibri" w:hAnsi="Arial" w:cs="Arial"/>
          <w:lang w:val="es-ES_tradnl"/>
        </w:rPr>
        <w:t>.</w:t>
      </w:r>
      <w:bookmarkEnd w:id="4"/>
      <w:r w:rsidR="004C34A0" w:rsidRPr="00874AD3">
        <w:rPr>
          <w:rFonts w:ascii="Arial" w:eastAsia="Calibri" w:hAnsi="Arial" w:cs="Arial"/>
          <w:lang w:val="es-ES_tradnl"/>
        </w:rPr>
        <w:t xml:space="preserve"> En tal sentido, </w:t>
      </w:r>
      <w:r w:rsidR="004C34A0" w:rsidRPr="00874AD3">
        <w:rPr>
          <w:rFonts w:ascii="Arial" w:eastAsia="Calibri" w:hAnsi="Arial" w:cs="Arial"/>
        </w:rPr>
        <w:t>la entidad debe determinar los indicadores de capacidad financiera y organizacional, así como la relación de dependencia entre cada indicador y la ejecución del contrato, de manera que entre más fuerte sea este nexo, con mayor rigurosidad debe ser el análisis de los datos para establecer los límites de los requisitos habilitantes y los indicadores previstos deben ser más exigentes.</w:t>
      </w:r>
    </w:p>
    <w:p w14:paraId="068BD5F0" w14:textId="14BC2E6A" w:rsidR="00A93756" w:rsidRPr="00F32CDB" w:rsidRDefault="00A93756" w:rsidP="00B51011">
      <w:pPr>
        <w:spacing w:before="120" w:line="276" w:lineRule="auto"/>
        <w:ind w:firstLine="708"/>
        <w:jc w:val="both"/>
        <w:rPr>
          <w:rStyle w:val="normaltextrun"/>
          <w:rFonts w:ascii="Arial" w:hAnsi="Arial" w:cs="Arial"/>
          <w:color w:val="000000" w:themeColor="text1"/>
        </w:rPr>
      </w:pPr>
      <w:r>
        <w:rPr>
          <w:rFonts w:ascii="Arial" w:eastAsia="Calibri" w:hAnsi="Arial" w:cs="Arial"/>
          <w:color w:val="000000"/>
          <w:lang w:val="es-ES_tradnl"/>
        </w:rPr>
        <w:t>Finalmente, teniendo en cuenta el objeto de la consulta planteada, debe señalarse que,</w:t>
      </w:r>
      <w:r w:rsidRPr="00F62E53">
        <w:rPr>
          <w:rFonts w:ascii="Arial" w:hAnsi="Arial" w:cs="Arial"/>
          <w:color w:val="000000" w:themeColor="text1"/>
        </w:rPr>
        <w:t xml:space="preserve"> </w:t>
      </w:r>
      <w:r>
        <w:rPr>
          <w:rFonts w:ascii="Arial" w:hAnsi="Arial" w:cs="Arial"/>
          <w:color w:val="000000" w:themeColor="text1"/>
        </w:rPr>
        <w:t xml:space="preserve">armonizándose el artículo 5 de la Ley 1150 de 2007 con lo prescrito en el artículo 6 </w:t>
      </w:r>
      <w:r w:rsidRPr="00B51011">
        <w:rPr>
          <w:rFonts w:ascii="Arial" w:hAnsi="Arial" w:cs="Arial"/>
          <w:i/>
          <w:iCs/>
          <w:color w:val="000000" w:themeColor="text1"/>
        </w:rPr>
        <w:t>ibidem</w:t>
      </w:r>
      <w:r>
        <w:rPr>
          <w:rFonts w:ascii="Arial" w:hAnsi="Arial" w:cs="Arial"/>
          <w:color w:val="000000" w:themeColor="text1"/>
        </w:rPr>
        <w:t xml:space="preserve">, </w:t>
      </w:r>
      <w:r w:rsidR="006819A8">
        <w:rPr>
          <w:rFonts w:ascii="Arial" w:hAnsi="Arial" w:cs="Arial"/>
          <w:color w:val="000000" w:themeColor="text1"/>
        </w:rPr>
        <w:t>es posible afirmar</w:t>
      </w:r>
      <w:r w:rsidRPr="00F62E53">
        <w:rPr>
          <w:rFonts w:ascii="Arial" w:hAnsi="Arial" w:cs="Arial"/>
          <w:color w:val="000000" w:themeColor="text1"/>
        </w:rPr>
        <w:t xml:space="preserve"> que </w:t>
      </w:r>
      <w:r>
        <w:rPr>
          <w:rFonts w:ascii="Arial" w:hAnsi="Arial" w:cs="Arial"/>
          <w:color w:val="000000" w:themeColor="text1"/>
        </w:rPr>
        <w:t>los requisitos habilitantes</w:t>
      </w:r>
      <w:r w:rsidRPr="00F62E53">
        <w:rPr>
          <w:rFonts w:ascii="Arial" w:hAnsi="Arial" w:cs="Arial"/>
          <w:color w:val="000000" w:themeColor="text1"/>
        </w:rPr>
        <w:t xml:space="preserve"> deben ser verificados </w:t>
      </w:r>
      <w:r>
        <w:rPr>
          <w:rFonts w:ascii="Arial" w:hAnsi="Arial" w:cs="Arial"/>
          <w:color w:val="000000" w:themeColor="text1"/>
        </w:rPr>
        <w:t>y acreditados mediante</w:t>
      </w:r>
      <w:r w:rsidRPr="00F62E53">
        <w:rPr>
          <w:rFonts w:ascii="Arial" w:hAnsi="Arial" w:cs="Arial"/>
          <w:color w:val="000000" w:themeColor="text1"/>
        </w:rPr>
        <w:t xml:space="preserve"> el RUP,</w:t>
      </w:r>
      <w:r>
        <w:rPr>
          <w:rFonts w:ascii="Arial" w:hAnsi="Arial" w:cs="Arial"/>
          <w:color w:val="000000" w:themeColor="text1"/>
        </w:rPr>
        <w:t xml:space="preserve"> en los procesos en que resulte aplicable. En desarrollo de lo anterior, en relación con la información para la inscripción o renovación del RUP, los interesados en inscribirse o renovar el registro deben aportar ante las cámaras de comercio</w:t>
      </w:r>
      <w:r w:rsidRPr="00F62E53">
        <w:rPr>
          <w:rFonts w:ascii="Arial" w:hAnsi="Arial" w:cs="Arial"/>
          <w:color w:val="000000" w:themeColor="text1"/>
        </w:rPr>
        <w:t xml:space="preserve"> la información enlistada en el artículo 2.2.1.1.1.5.2 del Decreto 1082 de 2015, el cual señala que las sociedades pueden acreditar estados financieros de apertura o con corte trimestral, </w:t>
      </w:r>
      <w:r>
        <w:rPr>
          <w:rFonts w:ascii="Arial" w:hAnsi="Arial" w:cs="Arial"/>
          <w:color w:val="000000" w:themeColor="text1"/>
        </w:rPr>
        <w:t>s</w:t>
      </w:r>
      <w:r w:rsidRPr="000E332A">
        <w:rPr>
          <w:rFonts w:ascii="Arial" w:hAnsi="Arial" w:cs="Arial"/>
          <w:color w:val="000000" w:themeColor="text1"/>
        </w:rPr>
        <w:t>i el interesado no tiene antigüedad suficiente para tener estados financieros auditados a 31 de diciembre</w:t>
      </w:r>
      <w:r>
        <w:rPr>
          <w:rFonts w:ascii="Arial" w:hAnsi="Arial" w:cs="Arial"/>
          <w:color w:val="000000" w:themeColor="text1"/>
        </w:rPr>
        <w:t xml:space="preserve">. En tales supuestos </w:t>
      </w:r>
      <w:r w:rsidRPr="00F62E53">
        <w:rPr>
          <w:rFonts w:ascii="Arial" w:hAnsi="Arial" w:cs="Arial"/>
          <w:color w:val="000000" w:themeColor="text1"/>
        </w:rPr>
        <w:t xml:space="preserve">el RUP reflejará </w:t>
      </w:r>
      <w:r>
        <w:rPr>
          <w:rFonts w:ascii="Arial" w:hAnsi="Arial" w:cs="Arial"/>
          <w:color w:val="000000" w:themeColor="text1"/>
        </w:rPr>
        <w:t xml:space="preserve">dichos </w:t>
      </w:r>
      <w:r w:rsidRPr="00F62E53">
        <w:rPr>
          <w:rFonts w:ascii="Arial" w:hAnsi="Arial" w:cs="Arial"/>
          <w:color w:val="000000" w:themeColor="text1"/>
        </w:rPr>
        <w:t xml:space="preserve">indicadores financieros y organizacionales </w:t>
      </w:r>
      <w:r>
        <w:rPr>
          <w:rFonts w:ascii="Arial" w:hAnsi="Arial" w:cs="Arial"/>
          <w:color w:val="000000" w:themeColor="text1"/>
        </w:rPr>
        <w:t>que son los que la</w:t>
      </w:r>
      <w:r w:rsidRPr="00F62E53">
        <w:rPr>
          <w:rFonts w:ascii="Arial" w:hAnsi="Arial" w:cs="Arial"/>
          <w:color w:val="000000" w:themeColor="text1"/>
        </w:rPr>
        <w:t xml:space="preserve"> entidad debe tener en cuenta para evaluar la oferta del proponente que participa en el procedimiento </w:t>
      </w:r>
      <w:r>
        <w:rPr>
          <w:rFonts w:ascii="Arial" w:hAnsi="Arial" w:cs="Arial"/>
          <w:color w:val="000000" w:themeColor="text1"/>
        </w:rPr>
        <w:t>de selección</w:t>
      </w:r>
      <w:r>
        <w:rPr>
          <w:rStyle w:val="Refdenotaalpie"/>
          <w:rFonts w:ascii="Arial" w:hAnsi="Arial" w:cs="Arial"/>
          <w:color w:val="000000" w:themeColor="text1"/>
        </w:rPr>
        <w:footnoteReference w:id="12"/>
      </w:r>
      <w:r w:rsidRPr="00F62E53">
        <w:rPr>
          <w:rFonts w:ascii="Arial" w:hAnsi="Arial" w:cs="Arial"/>
          <w:color w:val="000000" w:themeColor="text1"/>
        </w:rPr>
        <w:t>.</w:t>
      </w:r>
    </w:p>
    <w:p w14:paraId="3D9B14A8" w14:textId="734748C7" w:rsidR="00A93756" w:rsidRPr="00DA2DA3" w:rsidRDefault="00A93756" w:rsidP="00B51011">
      <w:pPr>
        <w:spacing w:before="120" w:after="0" w:line="276" w:lineRule="auto"/>
        <w:ind w:firstLine="709"/>
        <w:jc w:val="both"/>
        <w:rPr>
          <w:rFonts w:ascii="Arial" w:hAnsi="Arial" w:cs="Arial"/>
          <w:color w:val="000000" w:themeColor="text1"/>
        </w:rPr>
      </w:pPr>
      <w:r>
        <w:rPr>
          <w:rFonts w:ascii="Arial" w:hAnsi="Arial" w:cs="Arial"/>
          <w:color w:val="000000" w:themeColor="text1"/>
        </w:rPr>
        <w:t xml:space="preserve">De esta disposición se concluye que es posible que una sociedad que tenga poco tiempo de constitución, participe en licitaciones públicas u otros </w:t>
      </w:r>
      <w:r w:rsidR="006819A8">
        <w:rPr>
          <w:rFonts w:ascii="Arial" w:hAnsi="Arial" w:cs="Arial"/>
          <w:color w:val="000000" w:themeColor="text1"/>
        </w:rPr>
        <w:t xml:space="preserve">Procedimientos </w:t>
      </w:r>
      <w:r>
        <w:rPr>
          <w:rFonts w:ascii="Arial" w:hAnsi="Arial" w:cs="Arial"/>
          <w:color w:val="000000" w:themeColor="text1"/>
        </w:rPr>
        <w:t xml:space="preserve">de </w:t>
      </w:r>
      <w:r w:rsidR="006819A8">
        <w:rPr>
          <w:rFonts w:ascii="Arial" w:hAnsi="Arial" w:cs="Arial"/>
          <w:color w:val="000000" w:themeColor="text1"/>
        </w:rPr>
        <w:t xml:space="preserve">Selección </w:t>
      </w:r>
      <w:r>
        <w:rPr>
          <w:rFonts w:ascii="Arial" w:hAnsi="Arial" w:cs="Arial"/>
          <w:color w:val="000000" w:themeColor="text1"/>
        </w:rPr>
        <w:t xml:space="preserve">con los estados financieros trimestrales o de apertura, pero los mismos deben estar reportados en el </w:t>
      </w:r>
      <w:r w:rsidR="006819A8">
        <w:rPr>
          <w:rFonts w:ascii="Arial" w:hAnsi="Arial" w:cs="Arial"/>
          <w:color w:val="000000" w:themeColor="text1"/>
        </w:rPr>
        <w:t>RUP,</w:t>
      </w:r>
      <w:r>
        <w:rPr>
          <w:rFonts w:ascii="Arial" w:hAnsi="Arial" w:cs="Arial"/>
          <w:color w:val="000000" w:themeColor="text1"/>
        </w:rPr>
        <w:t xml:space="preserve"> toda vez que la inscripción en el registro es una exigencia de participación en procesos de </w:t>
      </w:r>
      <w:r w:rsidR="006819A8">
        <w:rPr>
          <w:rFonts w:ascii="Arial" w:hAnsi="Arial" w:cs="Arial"/>
          <w:color w:val="000000" w:themeColor="text1"/>
        </w:rPr>
        <w:t>contratación</w:t>
      </w:r>
      <w:r>
        <w:rPr>
          <w:rFonts w:ascii="Arial" w:hAnsi="Arial" w:cs="Arial"/>
          <w:color w:val="000000" w:themeColor="text1"/>
        </w:rPr>
        <w:t xml:space="preserve"> estatal.</w:t>
      </w:r>
    </w:p>
    <w:p w14:paraId="7C77CF5C" w14:textId="01743AEA" w:rsidR="001A63AA" w:rsidRPr="00874AD3" w:rsidRDefault="001A63AA" w:rsidP="00B51011">
      <w:pPr>
        <w:spacing w:after="0" w:line="276" w:lineRule="auto"/>
        <w:ind w:firstLine="708"/>
        <w:contextualSpacing/>
        <w:jc w:val="both"/>
        <w:rPr>
          <w:rFonts w:ascii="Arial" w:eastAsia="Times New Roman" w:hAnsi="Arial" w:cs="Arial"/>
          <w:bCs/>
          <w:color w:val="000000" w:themeColor="text1"/>
          <w:lang w:eastAsia="es-ES_tradnl"/>
        </w:rPr>
      </w:pPr>
    </w:p>
    <w:p w14:paraId="458B8EA7" w14:textId="77777777" w:rsidR="001A63AA" w:rsidRPr="00874AD3" w:rsidRDefault="001A63AA" w:rsidP="00B51011">
      <w:pPr>
        <w:tabs>
          <w:tab w:val="left" w:pos="709"/>
        </w:tabs>
        <w:spacing w:after="0" w:line="276" w:lineRule="auto"/>
        <w:contextualSpacing/>
        <w:jc w:val="both"/>
        <w:rPr>
          <w:rFonts w:ascii="Arial" w:eastAsia="Calibri" w:hAnsi="Arial" w:cs="Arial"/>
          <w:b/>
        </w:rPr>
      </w:pPr>
      <w:r w:rsidRPr="00874AD3">
        <w:rPr>
          <w:rFonts w:ascii="Arial" w:eastAsia="Calibri" w:hAnsi="Arial" w:cs="Arial"/>
          <w:b/>
        </w:rPr>
        <w:t>3. Respuesta</w:t>
      </w:r>
    </w:p>
    <w:p w14:paraId="15EC7B01" w14:textId="77777777" w:rsidR="001A63AA" w:rsidRPr="00874AD3" w:rsidRDefault="001A63AA" w:rsidP="00B51011">
      <w:pPr>
        <w:tabs>
          <w:tab w:val="left" w:pos="709"/>
        </w:tabs>
        <w:spacing w:after="0" w:line="276" w:lineRule="auto"/>
        <w:contextualSpacing/>
        <w:jc w:val="both"/>
        <w:rPr>
          <w:rFonts w:ascii="Arial" w:eastAsia="Calibri" w:hAnsi="Arial" w:cs="Arial"/>
          <w:b/>
        </w:rPr>
      </w:pPr>
    </w:p>
    <w:p w14:paraId="23025447" w14:textId="184139F5" w:rsidR="006819A8" w:rsidRPr="00F7590C" w:rsidRDefault="006E4580" w:rsidP="00B51011">
      <w:pPr>
        <w:autoSpaceDE w:val="0"/>
        <w:autoSpaceDN w:val="0"/>
        <w:adjustRightInd w:val="0"/>
        <w:spacing w:after="0" w:line="240" w:lineRule="auto"/>
        <w:ind w:left="708" w:right="709"/>
        <w:contextualSpacing/>
        <w:jc w:val="both"/>
        <w:rPr>
          <w:rFonts w:ascii="Arial" w:hAnsi="Arial" w:cs="Arial"/>
          <w:sz w:val="21"/>
          <w:szCs w:val="21"/>
        </w:rPr>
      </w:pPr>
      <w:r w:rsidRPr="00874AD3">
        <w:rPr>
          <w:rFonts w:ascii="Arial" w:hAnsi="Arial" w:cs="Arial"/>
          <w:sz w:val="21"/>
          <w:szCs w:val="21"/>
        </w:rPr>
        <w:t>«</w:t>
      </w:r>
      <w:r w:rsidR="006819A8" w:rsidRPr="00662566">
        <w:rPr>
          <w:rFonts w:ascii="Arial" w:hAnsi="Arial" w:cs="Arial"/>
          <w:color w:val="000000"/>
          <w:sz w:val="21"/>
          <w:szCs w:val="21"/>
        </w:rPr>
        <w:t xml:space="preserve">Agradezco me puedan asesorar respecto a la forma en la cual una empresa recién constituida puede participar en proceso de licitación pública, teniendo en cuenta que dentro de los requisitos mínimos habilitantes del proceso es exigible contar con el cumplimiento de unos indicadores financieros, en donde por su </w:t>
      </w:r>
      <w:proofErr w:type="spellStart"/>
      <w:r w:rsidR="006819A8" w:rsidRPr="00662566">
        <w:rPr>
          <w:rFonts w:ascii="Arial" w:hAnsi="Arial" w:cs="Arial"/>
          <w:color w:val="000000"/>
          <w:sz w:val="21"/>
          <w:szCs w:val="21"/>
        </w:rPr>
        <w:t>formula</w:t>
      </w:r>
      <w:proofErr w:type="spellEnd"/>
      <w:r w:rsidR="006819A8" w:rsidRPr="00662566">
        <w:rPr>
          <w:rFonts w:ascii="Arial" w:hAnsi="Arial" w:cs="Arial"/>
          <w:color w:val="000000"/>
          <w:sz w:val="21"/>
          <w:szCs w:val="21"/>
        </w:rPr>
        <w:t xml:space="preserve"> de </w:t>
      </w:r>
      <w:proofErr w:type="spellStart"/>
      <w:r w:rsidR="006819A8" w:rsidRPr="00662566">
        <w:rPr>
          <w:rFonts w:ascii="Arial" w:hAnsi="Arial" w:cs="Arial"/>
          <w:color w:val="000000"/>
          <w:sz w:val="21"/>
          <w:szCs w:val="21"/>
        </w:rPr>
        <w:t>calculo</w:t>
      </w:r>
      <w:proofErr w:type="spellEnd"/>
      <w:r w:rsidR="006819A8" w:rsidRPr="00662566">
        <w:rPr>
          <w:rFonts w:ascii="Arial" w:hAnsi="Arial" w:cs="Arial"/>
          <w:color w:val="000000"/>
          <w:sz w:val="21"/>
          <w:szCs w:val="21"/>
        </w:rPr>
        <w:t xml:space="preserve"> es indispensable presentar utilidad operacional. Lo anterior es inviable de cumplir ya que la empresa aún no ha registrado facturación alguna que soporte una utilidad operacional a nivel de estados financieros.</w:t>
      </w:r>
    </w:p>
    <w:p w14:paraId="2B67EFCD" w14:textId="77777777" w:rsidR="006819A8" w:rsidRDefault="006819A8" w:rsidP="00B51011">
      <w:pPr>
        <w:autoSpaceDE w:val="0"/>
        <w:autoSpaceDN w:val="0"/>
        <w:adjustRightInd w:val="0"/>
        <w:spacing w:after="0" w:line="240" w:lineRule="auto"/>
        <w:ind w:left="708" w:right="709"/>
        <w:contextualSpacing/>
        <w:jc w:val="both"/>
        <w:rPr>
          <w:rFonts w:ascii="Arial" w:hAnsi="Arial" w:cs="Arial"/>
          <w:sz w:val="21"/>
          <w:szCs w:val="21"/>
        </w:rPr>
      </w:pPr>
    </w:p>
    <w:p w14:paraId="38DC7E2D" w14:textId="48F25EF0" w:rsidR="006E4580" w:rsidRDefault="006E4580" w:rsidP="00B51011">
      <w:pPr>
        <w:autoSpaceDE w:val="0"/>
        <w:autoSpaceDN w:val="0"/>
        <w:adjustRightInd w:val="0"/>
        <w:spacing w:after="0"/>
        <w:ind w:left="708" w:right="709"/>
        <w:contextualSpacing/>
        <w:jc w:val="both"/>
        <w:rPr>
          <w:rFonts w:ascii="Arial" w:hAnsi="Arial" w:cs="Arial"/>
          <w:sz w:val="21"/>
          <w:szCs w:val="21"/>
        </w:rPr>
      </w:pPr>
      <w:r w:rsidRPr="00874AD3">
        <w:rPr>
          <w:rFonts w:ascii="Arial" w:hAnsi="Arial" w:cs="Arial"/>
          <w:sz w:val="21"/>
          <w:szCs w:val="21"/>
        </w:rPr>
        <w:lastRenderedPageBreak/>
        <w:t>¿Existe desde la normatividad alguna herramienta que le permita a empresas nuevas poder presentarse a procesos públicos sin la exigencia de cumplir con estos indicadores financieros de capacidad organizacional?</w:t>
      </w:r>
      <w:r w:rsidR="006819A8">
        <w:rPr>
          <w:rFonts w:ascii="Arial" w:hAnsi="Arial" w:cs="Arial"/>
          <w:sz w:val="21"/>
          <w:szCs w:val="21"/>
        </w:rPr>
        <w:t xml:space="preserve"> [SIC]</w:t>
      </w:r>
      <w:r w:rsidRPr="00874AD3">
        <w:rPr>
          <w:rFonts w:ascii="Arial" w:hAnsi="Arial" w:cs="Arial"/>
          <w:sz w:val="21"/>
          <w:szCs w:val="21"/>
        </w:rPr>
        <w:t>»</w:t>
      </w:r>
    </w:p>
    <w:p w14:paraId="1530F7EE" w14:textId="77777777" w:rsidR="006819A8" w:rsidRPr="00B51011" w:rsidRDefault="006819A8" w:rsidP="00B51011">
      <w:pPr>
        <w:autoSpaceDE w:val="0"/>
        <w:autoSpaceDN w:val="0"/>
        <w:adjustRightInd w:val="0"/>
        <w:spacing w:after="0" w:line="276" w:lineRule="auto"/>
        <w:ind w:left="708"/>
        <w:contextualSpacing/>
        <w:jc w:val="both"/>
        <w:rPr>
          <w:rFonts w:ascii="Arial" w:hAnsi="Arial" w:cs="Arial"/>
        </w:rPr>
      </w:pPr>
    </w:p>
    <w:p w14:paraId="01D81AC3" w14:textId="77777777" w:rsidR="00810AFD" w:rsidRPr="00874AD3" w:rsidRDefault="00810AFD" w:rsidP="00B51011">
      <w:pPr>
        <w:spacing w:line="276" w:lineRule="auto"/>
        <w:jc w:val="both"/>
        <w:rPr>
          <w:rFonts w:ascii="Arial" w:eastAsia="Calibri" w:hAnsi="Arial" w:cs="Arial"/>
          <w:color w:val="000000" w:themeColor="text1"/>
          <w:lang w:val="es-ES_tradnl"/>
        </w:rPr>
      </w:pPr>
      <w:r w:rsidRPr="00874AD3">
        <w:rPr>
          <w:rFonts w:ascii="Arial" w:hAnsi="Arial" w:cs="Arial"/>
        </w:rPr>
        <w:t xml:space="preserve">De acuerdo con las anteriores consideraciones, los requisitos habilitantes, </w:t>
      </w:r>
      <w:r w:rsidRPr="00874AD3">
        <w:rPr>
          <w:rFonts w:ascii="Arial" w:eastAsia="Calibri" w:hAnsi="Arial" w:cs="Arial"/>
          <w:color w:val="000000" w:themeColor="text1"/>
          <w:lang w:val="es-ES_tradnl"/>
        </w:rPr>
        <w:t>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w:t>
      </w:r>
    </w:p>
    <w:p w14:paraId="15A781B3" w14:textId="00A25B55" w:rsidR="00810AFD" w:rsidRPr="00874AD3" w:rsidRDefault="00810AFD" w:rsidP="00B51011">
      <w:pPr>
        <w:spacing w:line="276" w:lineRule="auto"/>
        <w:ind w:firstLine="708"/>
        <w:jc w:val="both"/>
        <w:rPr>
          <w:rFonts w:ascii="Arial" w:eastAsia="Calibri" w:hAnsi="Arial" w:cs="Arial"/>
          <w:color w:val="000000" w:themeColor="text1"/>
          <w:lang w:val="es-ES_tradnl"/>
        </w:rPr>
      </w:pPr>
      <w:r w:rsidRPr="00874AD3">
        <w:rPr>
          <w:rFonts w:ascii="Arial" w:eastAsia="Calibri" w:hAnsi="Arial" w:cs="Arial"/>
          <w:color w:val="000000" w:themeColor="text1"/>
          <w:lang w:val="es-ES_tradnl"/>
        </w:rPr>
        <w:t xml:space="preserve">Ahora bien, la entidad, como responsable de la estructuración de su procedimiento de selección, </w:t>
      </w:r>
      <w:r w:rsidRPr="00874AD3">
        <w:rPr>
          <w:rFonts w:ascii="Arial" w:eastAsia="Calibri" w:hAnsi="Arial" w:cs="Arial"/>
          <w:color w:val="000000"/>
        </w:rPr>
        <w:t xml:space="preserve">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 </w:t>
      </w:r>
      <w:r w:rsidRPr="00874AD3">
        <w:rPr>
          <w:rFonts w:ascii="Arial" w:eastAsia="Calibri" w:hAnsi="Arial" w:cs="Arial"/>
          <w:color w:val="000000" w:themeColor="text1"/>
          <w:lang w:val="es-ES_tradnl"/>
        </w:rPr>
        <w:t xml:space="preserve"> </w:t>
      </w:r>
    </w:p>
    <w:p w14:paraId="51EF85BF" w14:textId="124D5607" w:rsidR="006E4580" w:rsidRDefault="00810AFD" w:rsidP="006819A8">
      <w:pPr>
        <w:spacing w:line="276" w:lineRule="auto"/>
        <w:ind w:firstLine="708"/>
        <w:jc w:val="both"/>
        <w:rPr>
          <w:rFonts w:ascii="Arial" w:eastAsia="Calibri" w:hAnsi="Arial" w:cs="Arial"/>
          <w:color w:val="000000" w:themeColor="text1"/>
          <w:lang w:val="es-ES_tradnl"/>
        </w:rPr>
      </w:pPr>
      <w:r w:rsidRPr="00874AD3">
        <w:rPr>
          <w:rFonts w:ascii="Arial" w:eastAsia="Calibri" w:hAnsi="Arial" w:cs="Arial"/>
          <w:color w:val="000000" w:themeColor="text1"/>
          <w:lang w:val="es-ES_tradnl"/>
        </w:rPr>
        <w:t xml:space="preserve">Por lo tanto, las </w:t>
      </w:r>
      <w:r w:rsidR="006819A8" w:rsidRPr="00874AD3">
        <w:rPr>
          <w:rFonts w:ascii="Arial" w:eastAsia="Calibri" w:hAnsi="Arial" w:cs="Arial"/>
          <w:color w:val="000000" w:themeColor="text1"/>
          <w:lang w:val="es-ES_tradnl"/>
        </w:rPr>
        <w:t xml:space="preserve">entidades estatales </w:t>
      </w:r>
      <w:r w:rsidRPr="00874AD3">
        <w:rPr>
          <w:rFonts w:ascii="Arial" w:eastAsia="Calibri" w:hAnsi="Arial" w:cs="Arial"/>
          <w:color w:val="000000" w:themeColor="text1"/>
          <w:lang w:val="es-ES_tradnl"/>
        </w:rPr>
        <w:t>son autónomas en la estructuración de los procedimientos contractuales y</w:t>
      </w:r>
      <w:r w:rsidR="006819A8">
        <w:rPr>
          <w:rFonts w:ascii="Arial" w:eastAsia="Calibri" w:hAnsi="Arial" w:cs="Arial"/>
          <w:color w:val="000000" w:themeColor="text1"/>
          <w:lang w:val="es-ES_tradnl"/>
        </w:rPr>
        <w:t>,</w:t>
      </w:r>
      <w:r w:rsidRPr="00874AD3">
        <w:rPr>
          <w:rFonts w:ascii="Arial" w:eastAsia="Calibri" w:hAnsi="Arial" w:cs="Arial"/>
          <w:color w:val="000000" w:themeColor="text1"/>
          <w:lang w:val="es-ES_tradnl"/>
        </w:rPr>
        <w:t xml:space="preserve"> en atención</w:t>
      </w:r>
      <w:r w:rsidR="006819A8">
        <w:rPr>
          <w:rFonts w:ascii="Arial" w:eastAsia="Calibri" w:hAnsi="Arial" w:cs="Arial"/>
          <w:color w:val="000000" w:themeColor="text1"/>
          <w:lang w:val="es-ES_tradnl"/>
        </w:rPr>
        <w:t>,</w:t>
      </w:r>
      <w:r w:rsidRPr="00874AD3">
        <w:rPr>
          <w:rFonts w:ascii="Arial" w:eastAsia="Calibri" w:hAnsi="Arial" w:cs="Arial"/>
          <w:color w:val="000000" w:themeColor="text1"/>
          <w:lang w:val="es-ES_tradnl"/>
        </w:rPr>
        <w:t xml:space="preserve"> a la naturaleza del contrato a suscribir y su valor, plazo y forma de pago, la entidad debe usar los indicadores que considere adecuados respecto del objeto del proceso de contratación</w:t>
      </w:r>
      <w:r w:rsidR="00874AD3">
        <w:rPr>
          <w:rFonts w:ascii="Arial" w:eastAsia="Calibri" w:hAnsi="Arial" w:cs="Arial"/>
          <w:color w:val="000000" w:themeColor="text1"/>
          <w:lang w:val="es-ES_tradnl"/>
        </w:rPr>
        <w:t xml:space="preserve">, entonces, </w:t>
      </w:r>
      <w:r w:rsidRPr="00874AD3">
        <w:rPr>
          <w:rFonts w:ascii="Arial" w:eastAsia="Calibri" w:hAnsi="Arial" w:cs="Arial"/>
          <w:color w:val="000000" w:themeColor="text1"/>
          <w:lang w:val="es-ES_tradnl"/>
        </w:rPr>
        <w:t xml:space="preserve">serán las </w:t>
      </w:r>
      <w:r w:rsidR="006819A8" w:rsidRPr="00874AD3">
        <w:rPr>
          <w:rFonts w:ascii="Arial" w:eastAsia="Calibri" w:hAnsi="Arial" w:cs="Arial"/>
          <w:color w:val="000000" w:themeColor="text1"/>
          <w:lang w:val="es-ES_tradnl"/>
        </w:rPr>
        <w:t xml:space="preserve">entidades </w:t>
      </w:r>
      <w:r w:rsidRPr="00874AD3">
        <w:rPr>
          <w:rFonts w:ascii="Arial" w:eastAsia="Calibri" w:hAnsi="Arial" w:cs="Arial"/>
          <w:color w:val="000000" w:themeColor="text1"/>
          <w:lang w:val="es-ES_tradnl"/>
        </w:rPr>
        <w:t xml:space="preserve">las responsables en establecer en sus pliegos de condiciones o documentos equivalentes los indicadores financieros y organizacionales necesarios, siempre que estos sean proporcionales al objeto </w:t>
      </w:r>
      <w:r w:rsidR="00874AD3">
        <w:rPr>
          <w:rFonts w:ascii="Arial" w:eastAsia="Calibri" w:hAnsi="Arial" w:cs="Arial"/>
          <w:color w:val="000000" w:themeColor="text1"/>
          <w:lang w:val="es-ES_tradnl"/>
        </w:rPr>
        <w:t xml:space="preserve">y </w:t>
      </w:r>
      <w:r w:rsidRPr="00874AD3">
        <w:rPr>
          <w:rFonts w:ascii="Arial" w:eastAsia="Calibri" w:hAnsi="Arial" w:cs="Arial"/>
          <w:color w:val="000000" w:themeColor="text1"/>
          <w:lang w:val="es-ES_tradnl"/>
        </w:rPr>
        <w:t xml:space="preserve">valor del contrato. </w:t>
      </w:r>
    </w:p>
    <w:p w14:paraId="3B0B211B" w14:textId="2774094E" w:rsidR="006819A8" w:rsidRPr="00B51011" w:rsidRDefault="006819A8" w:rsidP="00B51011">
      <w:pPr>
        <w:spacing w:line="276" w:lineRule="auto"/>
        <w:ind w:firstLine="708"/>
        <w:jc w:val="both"/>
        <w:rPr>
          <w:rFonts w:ascii="Arial" w:hAnsi="Arial" w:cs="Arial"/>
          <w:lang w:val="es-ES_tradnl"/>
        </w:rPr>
      </w:pPr>
      <w:r>
        <w:rPr>
          <w:rFonts w:ascii="Arial" w:eastAsia="Calibri" w:hAnsi="Arial" w:cs="Arial"/>
          <w:color w:val="000000" w:themeColor="text1"/>
          <w:lang w:val="es-ES_tradnl"/>
        </w:rPr>
        <w:t>Ahora bien, en atención a la consulta planeada, debe mencionarse que, l</w:t>
      </w:r>
      <w:r w:rsidRPr="004B42B6">
        <w:rPr>
          <w:rFonts w:ascii="Arial" w:hAnsi="Arial" w:cs="Arial"/>
          <w:lang w:val="es-ES_tradnl"/>
        </w:rPr>
        <w:t xml:space="preserve">as personas jurídicas recién constituidas pueden hacer parte de </w:t>
      </w:r>
      <w:r>
        <w:rPr>
          <w:rFonts w:ascii="Arial" w:hAnsi="Arial" w:cs="Arial"/>
          <w:lang w:val="es-ES_tradnl"/>
        </w:rPr>
        <w:t>procesos de selección contractual,</w:t>
      </w:r>
      <w:r w:rsidRPr="004B42B6">
        <w:rPr>
          <w:rFonts w:ascii="Arial" w:hAnsi="Arial" w:cs="Arial"/>
          <w:lang w:val="es-ES_tradnl"/>
        </w:rPr>
        <w:t xml:space="preserve"> si cumplen con las </w:t>
      </w:r>
      <w:r>
        <w:rPr>
          <w:rFonts w:ascii="Arial" w:hAnsi="Arial" w:cs="Arial"/>
          <w:lang w:val="es-ES_tradnl"/>
        </w:rPr>
        <w:t>exigencias</w:t>
      </w:r>
      <w:r w:rsidRPr="004B42B6">
        <w:rPr>
          <w:rFonts w:ascii="Arial" w:hAnsi="Arial" w:cs="Arial"/>
          <w:lang w:val="es-ES_tradnl"/>
        </w:rPr>
        <w:t xml:space="preserve"> de los pliegos de </w:t>
      </w:r>
      <w:r>
        <w:rPr>
          <w:rFonts w:ascii="Arial" w:hAnsi="Arial" w:cs="Arial"/>
          <w:lang w:val="es-ES_tradnl"/>
        </w:rPr>
        <w:t>condiciones</w:t>
      </w:r>
      <w:r w:rsidRPr="004B42B6">
        <w:rPr>
          <w:rFonts w:ascii="Arial" w:hAnsi="Arial" w:cs="Arial"/>
          <w:lang w:val="es-ES_tradnl"/>
        </w:rPr>
        <w:t xml:space="preserve">. </w:t>
      </w:r>
      <w:r>
        <w:rPr>
          <w:rFonts w:ascii="Arial" w:hAnsi="Arial" w:cs="Arial"/>
          <w:lang w:val="es-ES_tradnl"/>
        </w:rPr>
        <w:t>En tal sentido, el</w:t>
      </w:r>
      <w:r w:rsidRPr="004B42B6">
        <w:rPr>
          <w:rFonts w:ascii="Arial" w:hAnsi="Arial" w:cs="Arial"/>
          <w:lang w:val="es-ES_tradnl"/>
        </w:rPr>
        <w:t xml:space="preserve"> legislador </w:t>
      </w:r>
      <w:r>
        <w:rPr>
          <w:rFonts w:ascii="Arial" w:hAnsi="Arial" w:cs="Arial"/>
          <w:lang w:val="es-ES_tradnl"/>
        </w:rPr>
        <w:t>permite</w:t>
      </w:r>
      <w:r w:rsidRPr="004B42B6">
        <w:rPr>
          <w:rFonts w:ascii="Arial" w:hAnsi="Arial" w:cs="Arial"/>
          <w:lang w:val="es-ES_tradnl"/>
        </w:rPr>
        <w:t xml:space="preserve"> que </w:t>
      </w:r>
      <w:r>
        <w:rPr>
          <w:rFonts w:ascii="Arial" w:hAnsi="Arial" w:cs="Arial"/>
          <w:lang w:val="es-ES_tradnl"/>
        </w:rPr>
        <w:t>los proponentes, incluyendo las sociedades recién constituidas,</w:t>
      </w:r>
      <w:r w:rsidRPr="004B42B6">
        <w:rPr>
          <w:rFonts w:ascii="Arial" w:hAnsi="Arial" w:cs="Arial"/>
          <w:lang w:val="es-ES_tradnl"/>
        </w:rPr>
        <w:t xml:space="preserve"> puedan presentarse a procesos de licitación p</w:t>
      </w:r>
      <w:r>
        <w:rPr>
          <w:rFonts w:ascii="Arial" w:hAnsi="Arial" w:cs="Arial"/>
          <w:lang w:val="es-ES_tradnl"/>
        </w:rPr>
        <w:t>ú</w:t>
      </w:r>
      <w:r w:rsidRPr="004B42B6">
        <w:rPr>
          <w:rFonts w:ascii="Arial" w:hAnsi="Arial" w:cs="Arial"/>
          <w:lang w:val="es-ES_tradnl"/>
        </w:rPr>
        <w:t xml:space="preserve">blica haciendo parte </w:t>
      </w:r>
      <w:r>
        <w:rPr>
          <w:rFonts w:ascii="Arial" w:hAnsi="Arial" w:cs="Arial"/>
          <w:lang w:val="es-ES_tradnl"/>
        </w:rPr>
        <w:t>de proponentes plurales,</w:t>
      </w:r>
      <w:r w:rsidRPr="004B42B6">
        <w:rPr>
          <w:rFonts w:ascii="Arial" w:hAnsi="Arial" w:cs="Arial"/>
          <w:lang w:val="es-ES_tradnl"/>
        </w:rPr>
        <w:t xml:space="preserve"> como </w:t>
      </w:r>
      <w:r>
        <w:rPr>
          <w:rFonts w:ascii="Arial" w:hAnsi="Arial" w:cs="Arial"/>
          <w:lang w:val="es-ES_tradnl"/>
        </w:rPr>
        <w:t xml:space="preserve">son los </w:t>
      </w:r>
      <w:r w:rsidRPr="004B42B6">
        <w:rPr>
          <w:rFonts w:ascii="Arial" w:hAnsi="Arial" w:cs="Arial"/>
          <w:lang w:val="es-ES_tradnl"/>
        </w:rPr>
        <w:t>conso</w:t>
      </w:r>
      <w:r>
        <w:rPr>
          <w:rFonts w:ascii="Arial" w:hAnsi="Arial" w:cs="Arial"/>
          <w:lang w:val="es-ES_tradnl"/>
        </w:rPr>
        <w:t>r</w:t>
      </w:r>
      <w:r w:rsidRPr="004B42B6">
        <w:rPr>
          <w:rFonts w:ascii="Arial" w:hAnsi="Arial" w:cs="Arial"/>
          <w:lang w:val="es-ES_tradnl"/>
        </w:rPr>
        <w:t>cios o uniones temporales</w:t>
      </w:r>
      <w:r>
        <w:rPr>
          <w:rFonts w:ascii="Arial" w:hAnsi="Arial" w:cs="Arial"/>
          <w:lang w:val="es-ES_tradnl"/>
        </w:rPr>
        <w:t>, los que les facilita cumplir con los requisitos establecidos en los pliegos de condiciones</w:t>
      </w:r>
      <w:r w:rsidRPr="004B42B6">
        <w:rPr>
          <w:rFonts w:ascii="Arial" w:hAnsi="Arial" w:cs="Arial"/>
          <w:lang w:val="es-ES_tradnl"/>
        </w:rPr>
        <w:t>.</w:t>
      </w:r>
      <w:r>
        <w:rPr>
          <w:rFonts w:ascii="Arial" w:hAnsi="Arial" w:cs="Arial"/>
          <w:lang w:val="es-ES_tradnl"/>
        </w:rPr>
        <w:t xml:space="preserve"> C</w:t>
      </w:r>
      <w:proofErr w:type="spellStart"/>
      <w:r>
        <w:rPr>
          <w:rFonts w:ascii="Arial" w:hAnsi="Arial" w:cs="Arial"/>
          <w:color w:val="000000" w:themeColor="text1"/>
        </w:rPr>
        <w:t>abe</w:t>
      </w:r>
      <w:proofErr w:type="spellEnd"/>
      <w:r>
        <w:rPr>
          <w:rFonts w:ascii="Arial" w:hAnsi="Arial" w:cs="Arial"/>
          <w:color w:val="000000" w:themeColor="text1"/>
        </w:rPr>
        <w:t xml:space="preserve"> aclarar que l</w:t>
      </w:r>
      <w:r w:rsidRPr="00F62E53">
        <w:rPr>
          <w:rFonts w:ascii="Arial" w:hAnsi="Arial" w:cs="Arial"/>
          <w:color w:val="000000" w:themeColor="text1"/>
        </w:rPr>
        <w:t xml:space="preserve">a capacidad financiera y la capacidad organizacional son requisitos habilitantes enunciados en el artículo 5 de la Ley 1150 de 2007, </w:t>
      </w:r>
      <w:r>
        <w:rPr>
          <w:rFonts w:ascii="Arial" w:hAnsi="Arial" w:cs="Arial"/>
          <w:color w:val="000000" w:themeColor="text1"/>
        </w:rPr>
        <w:t>armonizándose dicha disposición con lo prescrito en el artículo 6, para concluir</w:t>
      </w:r>
      <w:r w:rsidRPr="00F62E53">
        <w:rPr>
          <w:rFonts w:ascii="Arial" w:hAnsi="Arial" w:cs="Arial"/>
          <w:color w:val="000000" w:themeColor="text1"/>
        </w:rPr>
        <w:t xml:space="preserve"> que estos deben ser verificados </w:t>
      </w:r>
      <w:r>
        <w:rPr>
          <w:rFonts w:ascii="Arial" w:hAnsi="Arial" w:cs="Arial"/>
          <w:color w:val="000000" w:themeColor="text1"/>
        </w:rPr>
        <w:t>y acreditados mediante</w:t>
      </w:r>
      <w:r w:rsidRPr="00F62E53">
        <w:rPr>
          <w:rFonts w:ascii="Arial" w:hAnsi="Arial" w:cs="Arial"/>
          <w:color w:val="000000" w:themeColor="text1"/>
        </w:rPr>
        <w:t xml:space="preserve"> el RUP,</w:t>
      </w:r>
      <w:r>
        <w:rPr>
          <w:rFonts w:ascii="Arial" w:hAnsi="Arial" w:cs="Arial"/>
          <w:color w:val="000000" w:themeColor="text1"/>
        </w:rPr>
        <w:t xml:space="preserve"> en los procesos en que resulte aplicable. En desarrollo de lo anterior, en relación con la información para la inscripción o renovación del RUP, los interesados en inscribirse o renovar el registro deben aportar ante las cámaras de comercio</w:t>
      </w:r>
      <w:r w:rsidRPr="00F62E53">
        <w:rPr>
          <w:rFonts w:ascii="Arial" w:hAnsi="Arial" w:cs="Arial"/>
          <w:color w:val="000000" w:themeColor="text1"/>
        </w:rPr>
        <w:t xml:space="preserve"> la información enlistada en el artículo 2.2.1.1.1.5.2 del Decreto 1082 de 2015, el cual señala</w:t>
      </w:r>
      <w:r>
        <w:rPr>
          <w:rFonts w:ascii="Arial" w:hAnsi="Arial" w:cs="Arial"/>
          <w:color w:val="000000" w:themeColor="text1"/>
        </w:rPr>
        <w:t>, entre otras cosas,</w:t>
      </w:r>
      <w:r w:rsidRPr="00F62E53">
        <w:rPr>
          <w:rFonts w:ascii="Arial" w:hAnsi="Arial" w:cs="Arial"/>
          <w:color w:val="000000" w:themeColor="text1"/>
        </w:rPr>
        <w:t xml:space="preserve"> que las sociedades pueden acreditar estados financieros de apertura o con corte trimestral, </w:t>
      </w:r>
      <w:r>
        <w:rPr>
          <w:rFonts w:ascii="Arial" w:hAnsi="Arial" w:cs="Arial"/>
          <w:color w:val="000000" w:themeColor="text1"/>
        </w:rPr>
        <w:t>s</w:t>
      </w:r>
      <w:r w:rsidRPr="000E332A">
        <w:rPr>
          <w:rFonts w:ascii="Arial" w:hAnsi="Arial" w:cs="Arial"/>
          <w:color w:val="000000" w:themeColor="text1"/>
        </w:rPr>
        <w:t xml:space="preserve">i el interesado no tiene antigüedad suficiente para tener estados financieros auditados a 31 de </w:t>
      </w:r>
      <w:r w:rsidRPr="000E332A">
        <w:rPr>
          <w:rFonts w:ascii="Arial" w:hAnsi="Arial" w:cs="Arial"/>
          <w:color w:val="000000" w:themeColor="text1"/>
        </w:rPr>
        <w:lastRenderedPageBreak/>
        <w:t>diciembre</w:t>
      </w:r>
      <w:r>
        <w:rPr>
          <w:rFonts w:ascii="Arial" w:hAnsi="Arial" w:cs="Arial"/>
          <w:color w:val="000000" w:themeColor="text1"/>
        </w:rPr>
        <w:t xml:space="preserve">. En tales supuestos </w:t>
      </w:r>
      <w:r w:rsidRPr="00F62E53">
        <w:rPr>
          <w:rFonts w:ascii="Arial" w:hAnsi="Arial" w:cs="Arial"/>
          <w:color w:val="000000" w:themeColor="text1"/>
        </w:rPr>
        <w:t xml:space="preserve">el RUP reflejará </w:t>
      </w:r>
      <w:r>
        <w:rPr>
          <w:rFonts w:ascii="Arial" w:hAnsi="Arial" w:cs="Arial"/>
          <w:color w:val="000000" w:themeColor="text1"/>
        </w:rPr>
        <w:t xml:space="preserve">dichos </w:t>
      </w:r>
      <w:r w:rsidRPr="00F62E53">
        <w:rPr>
          <w:rFonts w:ascii="Arial" w:hAnsi="Arial" w:cs="Arial"/>
          <w:color w:val="000000" w:themeColor="text1"/>
        </w:rPr>
        <w:t xml:space="preserve">indicadores financieros y organizacionales </w:t>
      </w:r>
      <w:r>
        <w:rPr>
          <w:rFonts w:ascii="Arial" w:hAnsi="Arial" w:cs="Arial"/>
          <w:color w:val="000000" w:themeColor="text1"/>
        </w:rPr>
        <w:t>que son los que la</w:t>
      </w:r>
      <w:r w:rsidRPr="00F62E53">
        <w:rPr>
          <w:rFonts w:ascii="Arial" w:hAnsi="Arial" w:cs="Arial"/>
          <w:color w:val="000000" w:themeColor="text1"/>
        </w:rPr>
        <w:t xml:space="preserve"> entidad </w:t>
      </w:r>
      <w:r>
        <w:rPr>
          <w:rFonts w:ascii="Arial" w:hAnsi="Arial" w:cs="Arial"/>
          <w:color w:val="000000" w:themeColor="text1"/>
        </w:rPr>
        <w:t xml:space="preserve">estatal </w:t>
      </w:r>
      <w:r w:rsidRPr="00F62E53">
        <w:rPr>
          <w:rFonts w:ascii="Arial" w:hAnsi="Arial" w:cs="Arial"/>
          <w:color w:val="000000" w:themeColor="text1"/>
        </w:rPr>
        <w:t xml:space="preserve">debe tener en cuenta para evaluar la oferta del proponente que participa en el procedimiento </w:t>
      </w:r>
      <w:r>
        <w:rPr>
          <w:rFonts w:ascii="Arial" w:hAnsi="Arial" w:cs="Arial"/>
          <w:color w:val="000000" w:themeColor="text1"/>
        </w:rPr>
        <w:t>de selección. En este sentido, las entidades estatales deben evaluar las ofertas con la información registrada en el RUP.</w:t>
      </w:r>
    </w:p>
    <w:p w14:paraId="3501E6C5" w14:textId="3036B32A" w:rsidR="006819A8" w:rsidRPr="00DA2DA3" w:rsidRDefault="006819A8" w:rsidP="00B51011">
      <w:pPr>
        <w:spacing w:before="120" w:after="0" w:line="276" w:lineRule="auto"/>
        <w:ind w:firstLine="709"/>
        <w:jc w:val="both"/>
        <w:rPr>
          <w:rFonts w:ascii="Arial" w:hAnsi="Arial" w:cs="Arial"/>
          <w:color w:val="000000" w:themeColor="text1"/>
        </w:rPr>
      </w:pPr>
      <w:r>
        <w:rPr>
          <w:rFonts w:ascii="Arial" w:hAnsi="Arial" w:cs="Arial"/>
          <w:color w:val="000000" w:themeColor="text1"/>
        </w:rPr>
        <w:t xml:space="preserve">Se aclara que es posible que una sociedad que tenga poco tiempo de constitución participe en licitaciones públicas con los estados financieros trimestrales o de apertura, pero los mismos deben estar reportados en el RUP, toda vez que el mismo es una exigencia de participación en procesos de contratación estatal. Finalmente, se reitera que, sin perjuicio del deber de cumplir con todas las exigencias, requisitos habilitantes y condiciones establecidas en los pliegos de condiciones, las normas que regulan la contratación estatal y los procesos de licitación pública, en particular, no exigen un tiempo o antigüedad mínima de inscripción en el RUP de forma general para que sea posible participar </w:t>
      </w:r>
      <w:r w:rsidRPr="00DA2DA3">
        <w:rPr>
          <w:rFonts w:ascii="Arial" w:hAnsi="Arial" w:cs="Arial"/>
          <w:color w:val="000000" w:themeColor="text1"/>
        </w:rPr>
        <w:t>en pr</w:t>
      </w:r>
      <w:r>
        <w:rPr>
          <w:rFonts w:ascii="Arial" w:hAnsi="Arial" w:cs="Arial"/>
          <w:color w:val="000000" w:themeColor="text1"/>
        </w:rPr>
        <w:t>ocesos</w:t>
      </w:r>
      <w:r w:rsidRPr="00DA2DA3">
        <w:rPr>
          <w:rFonts w:ascii="Arial" w:hAnsi="Arial" w:cs="Arial"/>
          <w:color w:val="000000" w:themeColor="text1"/>
        </w:rPr>
        <w:t xml:space="preserve"> de selección</w:t>
      </w:r>
      <w:r>
        <w:rPr>
          <w:rFonts w:ascii="Arial" w:hAnsi="Arial" w:cs="Arial"/>
          <w:color w:val="000000" w:themeColor="text1"/>
        </w:rPr>
        <w:t>.</w:t>
      </w:r>
    </w:p>
    <w:p w14:paraId="08D1E532" w14:textId="77777777" w:rsidR="006819A8" w:rsidRDefault="006819A8" w:rsidP="00B51011">
      <w:pPr>
        <w:spacing w:after="0" w:line="276" w:lineRule="auto"/>
        <w:ind w:firstLine="708"/>
        <w:contextualSpacing/>
        <w:jc w:val="both"/>
        <w:rPr>
          <w:rFonts w:ascii="Arial" w:eastAsia="Calibri" w:hAnsi="Arial" w:cs="Arial"/>
          <w:color w:val="000000" w:themeColor="text1"/>
          <w:lang w:val="es-ES_tradnl"/>
        </w:rPr>
      </w:pPr>
    </w:p>
    <w:p w14:paraId="34966B0D" w14:textId="069E5DD5" w:rsidR="004F0C28" w:rsidRPr="004F0C28" w:rsidRDefault="004F0C28" w:rsidP="00B51011">
      <w:pPr>
        <w:spacing w:after="0" w:line="276" w:lineRule="auto"/>
        <w:contextualSpacing/>
        <w:jc w:val="both"/>
        <w:rPr>
          <w:rFonts w:ascii="Arial" w:eastAsia="Calibri" w:hAnsi="Arial" w:cs="Arial"/>
          <w:color w:val="1A1A1A" w:themeColor="background1" w:themeShade="1A"/>
          <w:lang w:val="es-ES_tradnl"/>
        </w:rPr>
      </w:pPr>
      <w:r w:rsidRPr="00E96F17">
        <w:rPr>
          <w:rFonts w:ascii="Arial" w:eastAsia="Calibri" w:hAnsi="Arial" w:cs="Arial"/>
          <w:color w:val="1A1A1A" w:themeColor="background1" w:themeShade="1A"/>
          <w:lang w:val="es-ES_tradnl"/>
        </w:rPr>
        <w:t>Este concepto tiene el alcance previsto en el artículo 28 del Código de Procedimiento Administrativo y de lo Contencioso Administrativo</w:t>
      </w:r>
      <w:r w:rsidR="006819A8">
        <w:rPr>
          <w:rFonts w:ascii="Arial" w:eastAsia="Calibri" w:hAnsi="Arial" w:cs="Arial"/>
          <w:color w:val="1A1A1A" w:themeColor="background1" w:themeShade="1A"/>
          <w:lang w:val="es-ES_tradnl"/>
        </w:rPr>
        <w:t xml:space="preserve"> </w:t>
      </w:r>
      <w:r w:rsidR="006819A8" w:rsidRPr="004F4179">
        <w:rPr>
          <w:rFonts w:ascii="Arial" w:hAnsi="Arial" w:cs="Arial"/>
          <w:bCs/>
          <w:color w:val="000000" w:themeColor="text1"/>
        </w:rPr>
        <w:t xml:space="preserve">y </w:t>
      </w:r>
      <w:r w:rsidR="006819A8" w:rsidRPr="004F4179">
        <w:rPr>
          <w:rFonts w:ascii="Arial" w:hAnsi="Arial" w:cs="Arial"/>
        </w:rPr>
        <w:t>las expresiones aquí utilizadas con mayúscula inicial deben ser entendidas con el significado que les otorga el artículo 2.2.1.1.1.3.1. del Decreto 1082 de 2015</w:t>
      </w:r>
      <w:r w:rsidRPr="00E96F17">
        <w:rPr>
          <w:rFonts w:ascii="Arial" w:eastAsia="Calibri" w:hAnsi="Arial" w:cs="Arial"/>
          <w:color w:val="1A1A1A" w:themeColor="background1" w:themeShade="1A"/>
          <w:lang w:val="es-ES_tradnl"/>
        </w:rPr>
        <w:t>.</w:t>
      </w:r>
    </w:p>
    <w:p w14:paraId="3424AB0C" w14:textId="77777777" w:rsidR="001A63AA" w:rsidRPr="00874AD3" w:rsidRDefault="001A63AA" w:rsidP="001A63AA">
      <w:pPr>
        <w:spacing w:line="276" w:lineRule="auto"/>
        <w:contextualSpacing/>
        <w:jc w:val="both"/>
        <w:rPr>
          <w:rFonts w:ascii="Arial" w:eastAsia="Calibri" w:hAnsi="Arial" w:cs="Arial"/>
          <w:lang w:val="es-ES_tradnl"/>
        </w:rPr>
      </w:pPr>
    </w:p>
    <w:p w14:paraId="7DC2AF64" w14:textId="77777777" w:rsidR="001A63AA" w:rsidRPr="00874AD3" w:rsidRDefault="001A63AA" w:rsidP="001A63AA">
      <w:pPr>
        <w:spacing w:line="276" w:lineRule="auto"/>
        <w:contextualSpacing/>
        <w:jc w:val="both"/>
        <w:rPr>
          <w:rFonts w:ascii="Arial" w:hAnsi="Arial" w:cs="Arial"/>
          <w:lang w:eastAsia="es-CO"/>
        </w:rPr>
      </w:pPr>
      <w:r w:rsidRPr="00874AD3">
        <w:rPr>
          <w:rFonts w:ascii="Arial" w:hAnsi="Arial" w:cs="Arial"/>
          <w:lang w:eastAsia="es-CO"/>
        </w:rPr>
        <w:t>Atentamente,</w:t>
      </w:r>
    </w:p>
    <w:p w14:paraId="2257A277" w14:textId="77777777" w:rsidR="001A63AA" w:rsidRPr="00874AD3" w:rsidRDefault="001A63AA" w:rsidP="001A63AA">
      <w:pPr>
        <w:spacing w:line="276" w:lineRule="auto"/>
        <w:jc w:val="both"/>
        <w:rPr>
          <w:rFonts w:ascii="Arial" w:eastAsia="Arial" w:hAnsi="Arial" w:cs="Arial"/>
          <w:color w:val="000000"/>
          <w:lang w:eastAsia="es-ES_tradnl"/>
        </w:rPr>
      </w:pPr>
    </w:p>
    <w:p w14:paraId="06363BA7" w14:textId="6DE08133" w:rsidR="001A63AA" w:rsidRDefault="001A63AA" w:rsidP="0027292B">
      <w:pPr>
        <w:spacing w:line="276" w:lineRule="auto"/>
        <w:jc w:val="center"/>
        <w:rPr>
          <w:rFonts w:ascii="Arial" w:eastAsia="Arial" w:hAnsi="Arial" w:cs="Arial"/>
          <w:color w:val="000000"/>
          <w:lang w:eastAsia="es-ES_tradnl"/>
        </w:rPr>
      </w:pPr>
    </w:p>
    <w:p w14:paraId="58C98014" w14:textId="29BC6A98" w:rsidR="00524A0F" w:rsidRPr="00874AD3" w:rsidRDefault="00524A0F" w:rsidP="0027292B">
      <w:pPr>
        <w:spacing w:line="276" w:lineRule="auto"/>
        <w:jc w:val="center"/>
        <w:rPr>
          <w:rFonts w:ascii="Arial" w:eastAsia="Arial" w:hAnsi="Arial" w:cs="Arial"/>
          <w:color w:val="000000"/>
          <w:lang w:eastAsia="es-ES_tradnl"/>
        </w:rPr>
      </w:pPr>
      <w:r>
        <w:rPr>
          <w:noProof/>
        </w:rPr>
        <w:drawing>
          <wp:inline distT="0" distB="0" distL="0" distR="0" wp14:anchorId="3C521BE7" wp14:editId="3505447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699B24A5" w14:textId="77777777" w:rsidR="001A63AA" w:rsidRPr="00874AD3" w:rsidRDefault="001A63AA" w:rsidP="001A63AA">
      <w:pPr>
        <w:spacing w:line="276" w:lineRule="auto"/>
        <w:jc w:val="center"/>
        <w:rPr>
          <w:rFonts w:ascii="Arial" w:hAnsi="Arial" w:cs="Arial"/>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A63AA" w:rsidRPr="00874AD3" w14:paraId="66FF2EA2" w14:textId="77777777" w:rsidTr="00270873">
        <w:trPr>
          <w:trHeight w:val="315"/>
        </w:trPr>
        <w:tc>
          <w:tcPr>
            <w:tcW w:w="812" w:type="dxa"/>
            <w:vAlign w:val="center"/>
            <w:hideMark/>
          </w:tcPr>
          <w:p w14:paraId="7FD9C9DF" w14:textId="77777777" w:rsidR="001A63AA" w:rsidRPr="00874AD3" w:rsidRDefault="001A63AA" w:rsidP="00270873">
            <w:pPr>
              <w:jc w:val="both"/>
              <w:rPr>
                <w:rFonts w:ascii="Arial" w:hAnsi="Arial" w:cs="Arial"/>
                <w:sz w:val="15"/>
                <w:szCs w:val="15"/>
                <w:lang w:eastAsia="es-ES"/>
              </w:rPr>
            </w:pPr>
            <w:r w:rsidRPr="00874AD3">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61225A7C" w14:textId="77777777" w:rsidR="001A63AA" w:rsidRPr="00874AD3" w:rsidRDefault="001A63AA" w:rsidP="00270873">
            <w:pPr>
              <w:rPr>
                <w:rFonts w:ascii="Arial" w:hAnsi="Arial" w:cs="Arial"/>
                <w:sz w:val="15"/>
                <w:szCs w:val="15"/>
                <w:lang w:eastAsia="es-ES"/>
              </w:rPr>
            </w:pPr>
            <w:r w:rsidRPr="00874AD3">
              <w:rPr>
                <w:rFonts w:ascii="Arial" w:hAnsi="Arial" w:cs="Arial"/>
                <w:sz w:val="15"/>
                <w:szCs w:val="15"/>
                <w:lang w:eastAsia="es-ES"/>
              </w:rPr>
              <w:t xml:space="preserve">Álvaro </w:t>
            </w:r>
            <w:proofErr w:type="spellStart"/>
            <w:r w:rsidRPr="00874AD3">
              <w:rPr>
                <w:rFonts w:ascii="Arial" w:hAnsi="Arial" w:cs="Arial"/>
                <w:sz w:val="15"/>
                <w:szCs w:val="15"/>
                <w:lang w:eastAsia="es-ES"/>
              </w:rPr>
              <w:t>Namén</w:t>
            </w:r>
            <w:proofErr w:type="spellEnd"/>
            <w:r w:rsidRPr="00874AD3">
              <w:rPr>
                <w:rFonts w:ascii="Arial" w:hAnsi="Arial" w:cs="Arial"/>
                <w:sz w:val="15"/>
                <w:szCs w:val="15"/>
                <w:lang w:eastAsia="es-ES"/>
              </w:rPr>
              <w:t xml:space="preserve"> Vargas</w:t>
            </w:r>
          </w:p>
          <w:p w14:paraId="7DF6253A" w14:textId="77777777" w:rsidR="001A63AA" w:rsidRPr="00874AD3" w:rsidRDefault="001A63AA" w:rsidP="00270873">
            <w:pPr>
              <w:jc w:val="both"/>
              <w:rPr>
                <w:rFonts w:ascii="Arial" w:hAnsi="Arial" w:cs="Arial"/>
                <w:sz w:val="15"/>
                <w:szCs w:val="15"/>
                <w:lang w:eastAsia="es-ES"/>
              </w:rPr>
            </w:pPr>
            <w:r w:rsidRPr="00874AD3">
              <w:rPr>
                <w:rFonts w:ascii="Arial" w:hAnsi="Arial" w:cs="Arial"/>
                <w:sz w:val="15"/>
                <w:szCs w:val="15"/>
                <w:lang w:eastAsia="es-ES"/>
              </w:rPr>
              <w:t xml:space="preserve">Contratista de la Subdirección de Gestión Contractual  </w:t>
            </w:r>
          </w:p>
        </w:tc>
      </w:tr>
      <w:tr w:rsidR="001A63AA" w:rsidRPr="00874AD3" w14:paraId="1ED443BC" w14:textId="77777777" w:rsidTr="00270873">
        <w:trPr>
          <w:trHeight w:val="330"/>
        </w:trPr>
        <w:tc>
          <w:tcPr>
            <w:tcW w:w="812" w:type="dxa"/>
            <w:vAlign w:val="center"/>
            <w:hideMark/>
          </w:tcPr>
          <w:p w14:paraId="66ACF3C3" w14:textId="77777777" w:rsidR="001A63AA" w:rsidRPr="00874AD3" w:rsidRDefault="001A63AA" w:rsidP="00270873">
            <w:pPr>
              <w:jc w:val="both"/>
              <w:rPr>
                <w:rFonts w:ascii="Arial" w:hAnsi="Arial" w:cs="Arial"/>
                <w:sz w:val="15"/>
                <w:szCs w:val="15"/>
                <w:lang w:eastAsia="es-ES"/>
              </w:rPr>
            </w:pPr>
            <w:r w:rsidRPr="00874AD3">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1063CC" w14:textId="48CF91B5" w:rsidR="001A63AA" w:rsidRPr="00874AD3" w:rsidRDefault="001A63AA" w:rsidP="00270873">
            <w:pPr>
              <w:jc w:val="both"/>
              <w:rPr>
                <w:rFonts w:ascii="Arial" w:hAnsi="Arial" w:cs="Arial"/>
                <w:sz w:val="15"/>
                <w:szCs w:val="15"/>
                <w:lang w:eastAsia="es-ES"/>
              </w:rPr>
            </w:pPr>
            <w:r w:rsidRPr="00874AD3">
              <w:rPr>
                <w:rFonts w:ascii="Arial" w:hAnsi="Arial" w:cs="Arial"/>
                <w:sz w:val="15"/>
                <w:szCs w:val="15"/>
                <w:lang w:eastAsia="es-ES"/>
              </w:rPr>
              <w:t xml:space="preserve">Diana </w:t>
            </w:r>
            <w:r w:rsidR="006819A8">
              <w:rPr>
                <w:rFonts w:ascii="Arial" w:hAnsi="Arial" w:cs="Arial"/>
                <w:sz w:val="15"/>
                <w:szCs w:val="15"/>
                <w:lang w:eastAsia="es-ES"/>
              </w:rPr>
              <w:t xml:space="preserve">Lucia </w:t>
            </w:r>
            <w:r w:rsidRPr="00874AD3">
              <w:rPr>
                <w:rFonts w:ascii="Arial" w:hAnsi="Arial" w:cs="Arial"/>
                <w:sz w:val="15"/>
                <w:szCs w:val="15"/>
                <w:lang w:eastAsia="es-ES"/>
              </w:rPr>
              <w:t>Saavedra</w:t>
            </w:r>
            <w:r w:rsidR="006819A8">
              <w:rPr>
                <w:rFonts w:ascii="Arial" w:hAnsi="Arial" w:cs="Arial"/>
                <w:sz w:val="15"/>
                <w:szCs w:val="15"/>
                <w:lang w:eastAsia="es-ES"/>
              </w:rPr>
              <w:t xml:space="preserve"> Castañeda</w:t>
            </w:r>
            <w:r w:rsidRPr="00874AD3">
              <w:rPr>
                <w:rFonts w:ascii="Arial" w:hAnsi="Arial" w:cs="Arial"/>
                <w:sz w:val="15"/>
                <w:szCs w:val="15"/>
                <w:lang w:eastAsia="es-ES"/>
              </w:rPr>
              <w:t xml:space="preserve"> </w:t>
            </w:r>
          </w:p>
          <w:p w14:paraId="53D1486C" w14:textId="3BEA02E4" w:rsidR="001A63AA" w:rsidRPr="00874AD3" w:rsidRDefault="006819A8" w:rsidP="00270873">
            <w:pPr>
              <w:jc w:val="both"/>
              <w:rPr>
                <w:rFonts w:ascii="Arial" w:hAnsi="Arial" w:cs="Arial"/>
                <w:sz w:val="15"/>
                <w:szCs w:val="15"/>
                <w:lang w:eastAsia="es-ES"/>
              </w:rPr>
            </w:pPr>
            <w:r>
              <w:rPr>
                <w:rFonts w:ascii="Arial" w:hAnsi="Arial" w:cs="Arial"/>
                <w:sz w:val="15"/>
                <w:szCs w:val="15"/>
                <w:lang w:eastAsia="es-ES"/>
              </w:rPr>
              <w:t>Contratista</w:t>
            </w:r>
            <w:r w:rsidR="001A63AA" w:rsidRPr="00874AD3">
              <w:rPr>
                <w:rFonts w:ascii="Arial" w:hAnsi="Arial" w:cs="Arial"/>
                <w:sz w:val="15"/>
                <w:szCs w:val="15"/>
                <w:lang w:eastAsia="es-ES"/>
              </w:rPr>
              <w:t xml:space="preserve"> de la Subdirección de Gestión Contractual</w:t>
            </w:r>
          </w:p>
        </w:tc>
      </w:tr>
      <w:tr w:rsidR="001A63AA" w:rsidRPr="00790B08" w14:paraId="11A07F2B" w14:textId="77777777" w:rsidTr="00270873">
        <w:trPr>
          <w:trHeight w:val="300"/>
        </w:trPr>
        <w:tc>
          <w:tcPr>
            <w:tcW w:w="812" w:type="dxa"/>
            <w:vAlign w:val="center"/>
            <w:hideMark/>
          </w:tcPr>
          <w:p w14:paraId="5037375F" w14:textId="77777777" w:rsidR="001A63AA" w:rsidRPr="00874AD3" w:rsidRDefault="001A63AA" w:rsidP="00270873">
            <w:pPr>
              <w:jc w:val="both"/>
              <w:rPr>
                <w:rFonts w:ascii="Arial" w:hAnsi="Arial" w:cs="Arial"/>
                <w:sz w:val="15"/>
                <w:szCs w:val="15"/>
                <w:lang w:eastAsia="es-ES"/>
              </w:rPr>
            </w:pPr>
            <w:r w:rsidRPr="00874AD3">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541A90" w14:textId="77777777" w:rsidR="001A63AA" w:rsidRPr="00874AD3" w:rsidRDefault="001A63AA" w:rsidP="00270873">
            <w:pPr>
              <w:jc w:val="both"/>
              <w:rPr>
                <w:rFonts w:ascii="Arial" w:hAnsi="Arial" w:cs="Arial"/>
                <w:sz w:val="15"/>
                <w:szCs w:val="15"/>
                <w:lang w:eastAsia="es-ES"/>
              </w:rPr>
            </w:pPr>
            <w:r w:rsidRPr="00874AD3">
              <w:rPr>
                <w:rFonts w:ascii="Arial" w:hAnsi="Arial" w:cs="Arial"/>
                <w:sz w:val="15"/>
                <w:szCs w:val="15"/>
                <w:lang w:eastAsia="es-ES"/>
              </w:rPr>
              <w:t xml:space="preserve">Nohelia del Carmen Zawady Palacio </w:t>
            </w:r>
          </w:p>
          <w:p w14:paraId="428C0B76" w14:textId="77777777" w:rsidR="001A63AA" w:rsidRPr="00790B08" w:rsidRDefault="001A63AA" w:rsidP="00270873">
            <w:pPr>
              <w:jc w:val="both"/>
              <w:rPr>
                <w:rFonts w:ascii="Arial" w:hAnsi="Arial" w:cs="Arial"/>
                <w:sz w:val="15"/>
                <w:szCs w:val="15"/>
                <w:lang w:eastAsia="es-ES"/>
              </w:rPr>
            </w:pPr>
            <w:r w:rsidRPr="00874AD3">
              <w:rPr>
                <w:rFonts w:ascii="Arial" w:hAnsi="Arial" w:cs="Arial"/>
                <w:sz w:val="15"/>
                <w:szCs w:val="15"/>
                <w:lang w:eastAsia="es-ES"/>
              </w:rPr>
              <w:t>Subdirectora de Gestión Contractual</w:t>
            </w:r>
            <w:r w:rsidRPr="00790B08">
              <w:rPr>
                <w:rFonts w:ascii="Arial" w:hAnsi="Arial" w:cs="Arial"/>
                <w:sz w:val="15"/>
                <w:szCs w:val="15"/>
                <w:lang w:eastAsia="es-ES"/>
              </w:rPr>
              <w:t xml:space="preserve"> </w:t>
            </w:r>
          </w:p>
        </w:tc>
      </w:tr>
    </w:tbl>
    <w:p w14:paraId="553B4B2B" w14:textId="77777777" w:rsidR="001A63AA" w:rsidRPr="00790B08" w:rsidRDefault="001A63AA" w:rsidP="001A63AA">
      <w:pPr>
        <w:spacing w:after="120" w:line="276" w:lineRule="auto"/>
        <w:jc w:val="both"/>
        <w:rPr>
          <w:rFonts w:ascii="Arial" w:hAnsi="Arial" w:cs="Arial"/>
        </w:rPr>
      </w:pPr>
    </w:p>
    <w:p w14:paraId="5EBF9373" w14:textId="77777777" w:rsidR="001A63AA" w:rsidRPr="002728D0" w:rsidRDefault="001A63AA" w:rsidP="001A63AA">
      <w:pPr>
        <w:spacing w:after="120" w:line="276" w:lineRule="auto"/>
        <w:jc w:val="both"/>
      </w:pPr>
    </w:p>
    <w:p w14:paraId="7D54A0D3" w14:textId="77777777" w:rsidR="00833452" w:rsidRPr="001A63AA" w:rsidRDefault="00833452" w:rsidP="00526E9D">
      <w:pPr>
        <w:rPr>
          <w:rFonts w:ascii="Geomanist Light" w:eastAsia="Times New Roman" w:hAnsi="Geomanist Light" w:cs="Arial"/>
          <w:b/>
          <w:bCs/>
          <w:lang w:eastAsia="es-CO"/>
        </w:rPr>
      </w:pPr>
    </w:p>
    <w:sectPr w:rsidR="00833452" w:rsidRPr="001A63AA"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7151B" w14:textId="77777777" w:rsidR="00AB627D" w:rsidRDefault="00AB627D" w:rsidP="004A1847">
      <w:pPr>
        <w:spacing w:after="0" w:line="240" w:lineRule="auto"/>
      </w:pPr>
      <w:r>
        <w:separator/>
      </w:r>
    </w:p>
  </w:endnote>
  <w:endnote w:type="continuationSeparator" w:id="0">
    <w:p w14:paraId="57A5BF54" w14:textId="77777777" w:rsidR="00AB627D" w:rsidRDefault="00AB627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74AD3" w:rsidRPr="00080DA3" w14:paraId="0534DA7F" w14:textId="77777777" w:rsidTr="00874AD3">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56EB1" w14:textId="77777777" w:rsidR="00AB627D" w:rsidRDefault="00AB627D" w:rsidP="004A1847">
      <w:pPr>
        <w:spacing w:after="0" w:line="240" w:lineRule="auto"/>
      </w:pPr>
      <w:r>
        <w:separator/>
      </w:r>
    </w:p>
  </w:footnote>
  <w:footnote w:type="continuationSeparator" w:id="0">
    <w:p w14:paraId="7BC540D9" w14:textId="77777777" w:rsidR="00AB627D" w:rsidRDefault="00AB627D" w:rsidP="004A1847">
      <w:pPr>
        <w:spacing w:after="0" w:line="240" w:lineRule="auto"/>
      </w:pPr>
      <w:r>
        <w:continuationSeparator/>
      </w:r>
    </w:p>
  </w:footnote>
  <w:footnote w:id="1">
    <w:p w14:paraId="071EB851" w14:textId="77777777" w:rsidR="001A63AA" w:rsidRPr="00B142DA" w:rsidRDefault="001A63AA" w:rsidP="001A63AA">
      <w:pPr>
        <w:pStyle w:val="Textonotapie"/>
        <w:ind w:firstLine="708"/>
        <w:jc w:val="both"/>
        <w:rPr>
          <w:rFonts w:ascii="Arial" w:hAnsi="Arial" w:cs="Arial"/>
          <w:sz w:val="19"/>
          <w:szCs w:val="19"/>
          <w:lang w:val="es-ES"/>
        </w:rPr>
      </w:pPr>
      <w:r w:rsidRPr="00B142DA">
        <w:rPr>
          <w:rStyle w:val="Refdenotaalpie"/>
          <w:rFonts w:ascii="Arial" w:hAnsi="Arial" w:cs="Arial"/>
          <w:sz w:val="19"/>
          <w:szCs w:val="19"/>
        </w:rPr>
        <w:footnoteRef/>
      </w:r>
      <w:r w:rsidRPr="00B142DA">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142DA">
        <w:rPr>
          <w:rFonts w:ascii="Arial" w:hAnsi="Arial" w:cs="Arial"/>
          <w:i/>
          <w:iCs/>
          <w:sz w:val="19"/>
          <w:szCs w:val="19"/>
        </w:rPr>
        <w:t xml:space="preserve">ibidem </w:t>
      </w:r>
      <w:r w:rsidRPr="00B142DA">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0E0BE065" w14:textId="77777777" w:rsidR="004C34A0" w:rsidRPr="00587A1E" w:rsidRDefault="004C34A0" w:rsidP="004C34A0">
      <w:pPr>
        <w:pStyle w:val="NormalWeb"/>
        <w:spacing w:before="0" w:beforeAutospacing="0" w:after="0" w:afterAutospacing="0"/>
        <w:ind w:firstLine="708"/>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Pr>
          <w:rFonts w:ascii="Arial" w:hAnsi="Arial" w:cs="Arial"/>
          <w:sz w:val="18"/>
          <w:szCs w:val="18"/>
          <w:lang w:val="es-ES"/>
        </w:rPr>
        <w:t xml:space="preserve">Art 6 Ley 1150 de 2007 </w:t>
      </w:r>
      <w:r w:rsidRPr="00587A1E">
        <w:rPr>
          <w:rFonts w:ascii="Arial" w:hAnsi="Arial" w:cs="Arial"/>
          <w:sz w:val="18"/>
          <w:szCs w:val="18"/>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8AC2BE6" w14:textId="77777777" w:rsidR="004C34A0" w:rsidRPr="00587A1E" w:rsidRDefault="004C34A0" w:rsidP="004C34A0">
      <w:pPr>
        <w:pStyle w:val="NormalWeb"/>
        <w:spacing w:before="0" w:beforeAutospacing="0" w:after="0" w:afterAutospacing="0"/>
        <w:ind w:firstLine="708"/>
        <w:rPr>
          <w:rFonts w:ascii="Arial" w:hAnsi="Arial" w:cs="Arial"/>
          <w:sz w:val="18"/>
          <w:szCs w:val="18"/>
        </w:rPr>
      </w:pPr>
      <w:r w:rsidRPr="00587A1E">
        <w:rPr>
          <w:rFonts w:ascii="Arial" w:hAnsi="Arial"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01D1304" w14:textId="77777777" w:rsidR="004C34A0" w:rsidRPr="00587A1E" w:rsidRDefault="004C34A0" w:rsidP="004C34A0">
      <w:pPr>
        <w:pStyle w:val="NormalWeb"/>
        <w:spacing w:before="0" w:beforeAutospacing="0" w:after="0" w:afterAutospacing="0"/>
        <w:ind w:firstLine="708"/>
        <w:rPr>
          <w:rFonts w:ascii="Arial" w:hAnsi="Arial" w:cs="Arial"/>
          <w:sz w:val="18"/>
          <w:szCs w:val="18"/>
        </w:rPr>
      </w:pPr>
      <w:r w:rsidRPr="00587A1E">
        <w:rPr>
          <w:rFonts w:ascii="Arial" w:hAnsi="Arial" w:cs="Arial"/>
          <w:sz w:val="18"/>
          <w:szCs w:val="18"/>
        </w:rPr>
        <w:t>«En dicho registro constará la información relacionada con la experiencia, capacidad jurídica, financiera y de organización del proponente y su clasificación».</w:t>
      </w:r>
    </w:p>
    <w:p w14:paraId="766F28B0" w14:textId="77777777" w:rsidR="004C34A0" w:rsidRPr="00587A1E" w:rsidRDefault="004C34A0" w:rsidP="004C34A0">
      <w:pPr>
        <w:pStyle w:val="NormalWeb"/>
        <w:spacing w:before="0" w:beforeAutospacing="0" w:after="0" w:afterAutospacing="0"/>
        <w:ind w:firstLine="708"/>
        <w:rPr>
          <w:rFonts w:ascii="Arial" w:hAnsi="Arial" w:cs="Arial"/>
          <w:sz w:val="18"/>
          <w:szCs w:val="18"/>
        </w:rPr>
      </w:pPr>
    </w:p>
  </w:footnote>
  <w:footnote w:id="3">
    <w:p w14:paraId="2178D689" w14:textId="77777777" w:rsidR="004C34A0" w:rsidRPr="00587A1E" w:rsidRDefault="004C34A0" w:rsidP="004C34A0">
      <w:pPr>
        <w:ind w:firstLine="708"/>
        <w:jc w:val="both"/>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33CB0B87" w14:textId="77777777" w:rsidR="004C34A0" w:rsidRPr="00587A1E" w:rsidRDefault="004C34A0" w:rsidP="004C34A0">
      <w:pPr>
        <w:pStyle w:val="Textonotapie"/>
        <w:rPr>
          <w:rFonts w:ascii="Arial" w:hAnsi="Arial" w:cs="Arial"/>
          <w:sz w:val="18"/>
          <w:szCs w:val="18"/>
          <w:lang w:val="es-ES"/>
        </w:rPr>
      </w:pPr>
    </w:p>
  </w:footnote>
  <w:footnote w:id="4">
    <w:p w14:paraId="0F861802" w14:textId="77777777" w:rsidR="004C34A0" w:rsidRPr="00587A1E" w:rsidRDefault="004C34A0" w:rsidP="004C34A0">
      <w:pPr>
        <w:pStyle w:val="Textonotapie"/>
        <w:ind w:firstLine="708"/>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653AFAA" w14:textId="77777777" w:rsidR="004C34A0" w:rsidRPr="00587A1E" w:rsidRDefault="004C34A0" w:rsidP="004C34A0">
      <w:pPr>
        <w:pStyle w:val="Textonotapie"/>
        <w:ind w:firstLine="708"/>
        <w:rPr>
          <w:rFonts w:ascii="Arial" w:hAnsi="Arial" w:cs="Arial"/>
          <w:sz w:val="18"/>
          <w:szCs w:val="18"/>
          <w:lang w:val="es-ES"/>
        </w:rPr>
      </w:pPr>
    </w:p>
  </w:footnote>
  <w:footnote w:id="5">
    <w:p w14:paraId="7386C34E" w14:textId="77777777" w:rsidR="004C34A0" w:rsidRPr="00587A1E" w:rsidRDefault="004C34A0" w:rsidP="004C34A0">
      <w:pPr>
        <w:pStyle w:val="Textonotapie"/>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Pr>
          <w:rFonts w:ascii="Arial" w:hAnsi="Arial" w:cs="Arial"/>
          <w:sz w:val="18"/>
          <w:szCs w:val="18"/>
          <w:lang w:val="es-ES"/>
        </w:rPr>
        <w:t xml:space="preserve">Disponible en: </w:t>
      </w:r>
      <w:hyperlink r:id="rId1" w:history="1">
        <w:r w:rsidRPr="00587A1E">
          <w:rPr>
            <w:rStyle w:val="Hipervnculo"/>
            <w:rFonts w:ascii="Arial" w:hAnsi="Arial" w:cs="Arial"/>
            <w:sz w:val="18"/>
            <w:szCs w:val="18"/>
          </w:rPr>
          <w:t>https://www.colombiacompra.gov.co/sites/cce_public/files/cce_documents/cce_manual_requisitos_habilitantes.pdf</w:t>
        </w:r>
      </w:hyperlink>
      <w:r w:rsidRPr="00587A1E">
        <w:rPr>
          <w:rFonts w:ascii="Arial" w:hAnsi="Arial" w:cs="Arial"/>
          <w:sz w:val="18"/>
          <w:szCs w:val="18"/>
          <w:lang w:val="es-ES"/>
        </w:rPr>
        <w:t xml:space="preserve">. </w:t>
      </w:r>
    </w:p>
  </w:footnote>
  <w:footnote w:id="6">
    <w:p w14:paraId="13FF6A2B" w14:textId="77777777" w:rsidR="004C34A0" w:rsidRPr="00587A1E" w:rsidRDefault="004C34A0" w:rsidP="004C34A0">
      <w:pPr>
        <w:pStyle w:val="Textonotapie"/>
        <w:ind w:firstLine="709"/>
        <w:rPr>
          <w:rFonts w:ascii="Arial" w:hAnsi="Arial" w:cs="Arial"/>
          <w:sz w:val="18"/>
          <w:szCs w:val="18"/>
        </w:rPr>
      </w:pPr>
    </w:p>
    <w:p w14:paraId="4898BD93" w14:textId="77777777" w:rsidR="004C34A0" w:rsidRPr="00587A1E" w:rsidRDefault="004C34A0" w:rsidP="004C34A0">
      <w:pPr>
        <w:pStyle w:val="Textonotapie"/>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A61DDC">
        <w:rPr>
          <w:rFonts w:ascii="Arial" w:hAnsi="Arial" w:cs="Arial"/>
          <w:sz w:val="18"/>
          <w:szCs w:val="18"/>
          <w:lang w:val="es-ES"/>
        </w:rPr>
        <w:t>Ibid</w:t>
      </w:r>
      <w:r>
        <w:rPr>
          <w:rFonts w:ascii="Arial" w:hAnsi="Arial" w:cs="Arial"/>
          <w:sz w:val="18"/>
          <w:szCs w:val="18"/>
          <w:lang w:val="es-ES"/>
        </w:rPr>
        <w:t>em</w:t>
      </w:r>
      <w:r w:rsidRPr="00587A1E">
        <w:rPr>
          <w:rFonts w:ascii="Arial" w:hAnsi="Arial" w:cs="Arial"/>
          <w:sz w:val="18"/>
          <w:szCs w:val="18"/>
          <w:lang w:val="es-ES"/>
        </w:rPr>
        <w:t>.</w:t>
      </w:r>
    </w:p>
  </w:footnote>
  <w:footnote w:id="7">
    <w:p w14:paraId="26AD94F5" w14:textId="77777777" w:rsidR="004C34A0" w:rsidRPr="00587A1E" w:rsidRDefault="004C34A0" w:rsidP="004C34A0">
      <w:pPr>
        <w:pStyle w:val="Textonotapie"/>
        <w:ind w:firstLine="708"/>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6C384BB3" w14:textId="77777777" w:rsidR="004C34A0" w:rsidRPr="00587A1E" w:rsidRDefault="004C34A0" w:rsidP="004C34A0">
      <w:pPr>
        <w:pStyle w:val="Textonotapie"/>
        <w:ind w:firstLine="708"/>
        <w:rPr>
          <w:rFonts w:ascii="Arial" w:hAnsi="Arial" w:cs="Arial"/>
          <w:sz w:val="18"/>
          <w:szCs w:val="18"/>
          <w:lang w:val="es-ES"/>
        </w:rPr>
      </w:pPr>
    </w:p>
  </w:footnote>
  <w:footnote w:id="8">
    <w:p w14:paraId="46BD03EB" w14:textId="77777777" w:rsidR="004C34A0" w:rsidRPr="00587A1E" w:rsidRDefault="004C34A0" w:rsidP="004C34A0">
      <w:pPr>
        <w:pStyle w:val="Textonotapie"/>
        <w:ind w:firstLine="708"/>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w:t>
      </w:r>
      <w:r w:rsidRPr="00587A1E">
        <w:rPr>
          <w:rFonts w:ascii="Arial" w:hAnsi="Arial" w:cs="Arial"/>
          <w:sz w:val="18"/>
          <w:szCs w:val="18"/>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r:id="rId2" w:history="1">
        <w:r w:rsidRPr="00587A1E">
          <w:rPr>
            <w:rStyle w:val="Hipervnculo"/>
            <w:rFonts w:ascii="Arial" w:hAnsi="Arial" w:cs="Arial"/>
            <w:sz w:val="18"/>
            <w:szCs w:val="18"/>
          </w:rPr>
          <w:t>https://colombiacompra.gov.co/sites/default/files/manuales/20140901_manual_requisitos_habilitantes_4_web.pdf</w:t>
        </w:r>
      </w:hyperlink>
      <w:r w:rsidRPr="00587A1E">
        <w:rPr>
          <w:rFonts w:ascii="Arial" w:hAnsi="Arial" w:cs="Arial"/>
          <w:sz w:val="18"/>
          <w:szCs w:val="18"/>
          <w:lang w:val="es-ES"/>
        </w:rPr>
        <w:t xml:space="preserve">. </w:t>
      </w:r>
    </w:p>
    <w:p w14:paraId="5C4C2BCE" w14:textId="77777777" w:rsidR="004C34A0" w:rsidRPr="00587A1E" w:rsidRDefault="004C34A0" w:rsidP="004C34A0">
      <w:pPr>
        <w:pStyle w:val="Textonotapie"/>
        <w:ind w:firstLine="567"/>
        <w:rPr>
          <w:rFonts w:ascii="Arial" w:hAnsi="Arial" w:cs="Arial"/>
          <w:sz w:val="18"/>
          <w:szCs w:val="18"/>
          <w:lang w:val="es-ES"/>
        </w:rPr>
      </w:pPr>
    </w:p>
  </w:footnote>
  <w:footnote w:id="9">
    <w:p w14:paraId="71396B14" w14:textId="77777777" w:rsidR="004C34A0" w:rsidRPr="00587A1E" w:rsidRDefault="004C34A0" w:rsidP="004C34A0">
      <w:pPr>
        <w:pStyle w:val="Textonotapie"/>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Ibídem.</w:t>
      </w:r>
    </w:p>
  </w:footnote>
  <w:footnote w:id="10">
    <w:p w14:paraId="42CDD806" w14:textId="77777777" w:rsidR="004C34A0" w:rsidRPr="00587A1E" w:rsidRDefault="004C34A0" w:rsidP="004C34A0">
      <w:pPr>
        <w:pStyle w:val="Textonotapie"/>
        <w:ind w:firstLine="709"/>
        <w:rPr>
          <w:rFonts w:ascii="Arial" w:hAnsi="Arial" w:cs="Arial"/>
          <w:sz w:val="18"/>
          <w:szCs w:val="18"/>
        </w:rPr>
      </w:pPr>
      <w:r w:rsidRPr="00587A1E">
        <w:rPr>
          <w:rStyle w:val="Refdenotaalpie"/>
          <w:rFonts w:ascii="Arial" w:hAnsi="Arial" w:cs="Arial"/>
          <w:sz w:val="18"/>
          <w:szCs w:val="18"/>
        </w:rPr>
        <w:footnoteRef/>
      </w:r>
      <w:r w:rsidRPr="00587A1E">
        <w:rPr>
          <w:rFonts w:ascii="Arial" w:hAnsi="Arial" w:cs="Arial"/>
          <w:sz w:val="18"/>
          <w:szCs w:val="18"/>
        </w:rPr>
        <w:t xml:space="preserve"> Dice el Manual que: «[...] En atención a la naturaleza del contrato a suscribir y de su valor, plazo y forma de pago, la Entidad Estatal debe hacer uso de los indicadores que considere adecuados respecto al objeto del Proceso de Contratación.</w:t>
      </w:r>
    </w:p>
    <w:p w14:paraId="6DE53E76" w14:textId="77777777" w:rsidR="004C34A0" w:rsidRPr="00587A1E" w:rsidRDefault="004C34A0" w:rsidP="004C34A0">
      <w:pPr>
        <w:pStyle w:val="Textonotapie"/>
        <w:ind w:firstLine="709"/>
        <w:rPr>
          <w:rFonts w:ascii="Arial" w:hAnsi="Arial" w:cs="Arial"/>
          <w:sz w:val="18"/>
          <w:szCs w:val="18"/>
        </w:rPr>
      </w:pPr>
      <w:r w:rsidRPr="00587A1E">
        <w:rPr>
          <w:rFonts w:ascii="Arial" w:hAnsi="Arial" w:cs="Arial"/>
          <w:sz w:val="18"/>
          <w:szCs w:val="18"/>
        </w:rPr>
        <w:t>«Las Entidades Estatales no deben limitarse a determinar y aplicar de forma mecánica fórmulas financieras para determinar los indicadores. Deben conocer cada indicador, sus fórmulas de cálculo y su interpretación».</w:t>
      </w:r>
    </w:p>
  </w:footnote>
  <w:footnote w:id="11">
    <w:p w14:paraId="0E9A1E5F" w14:textId="77777777" w:rsidR="004C34A0" w:rsidRPr="00587A1E" w:rsidRDefault="004C34A0" w:rsidP="004C34A0">
      <w:pPr>
        <w:pStyle w:val="Textonotapie"/>
        <w:ind w:firstLine="709"/>
        <w:rPr>
          <w:rFonts w:ascii="Arial" w:hAnsi="Arial" w:cs="Arial"/>
          <w:sz w:val="18"/>
          <w:szCs w:val="18"/>
          <w:lang w:val="es-ES"/>
        </w:rPr>
      </w:pPr>
      <w:r w:rsidRPr="00587A1E">
        <w:rPr>
          <w:rStyle w:val="Refdenotaalpie"/>
          <w:rFonts w:ascii="Arial" w:hAnsi="Arial" w:cs="Arial"/>
          <w:sz w:val="18"/>
          <w:szCs w:val="18"/>
        </w:rPr>
        <w:footnoteRef/>
      </w:r>
      <w:r w:rsidRPr="00587A1E">
        <w:rPr>
          <w:rFonts w:ascii="Arial" w:hAnsi="Arial" w:cs="Arial"/>
          <w:sz w:val="18"/>
          <w:szCs w:val="18"/>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12">
    <w:p w14:paraId="6304DA3A" w14:textId="77777777" w:rsidR="00A93756" w:rsidRPr="009A11EC" w:rsidRDefault="00A93756" w:rsidP="00A93756">
      <w:pPr>
        <w:spacing w:before="120"/>
        <w:ind w:firstLine="708"/>
        <w:jc w:val="both"/>
        <w:rPr>
          <w:rFonts w:ascii="Arial" w:hAnsi="Arial" w:cs="Arial"/>
          <w:color w:val="000000" w:themeColor="text1"/>
          <w:sz w:val="21"/>
          <w:szCs w:val="21"/>
        </w:rPr>
      </w:pPr>
      <w:r w:rsidRPr="009A11EC">
        <w:rPr>
          <w:rStyle w:val="Refdenotaalpie"/>
          <w:rFonts w:ascii="Arial" w:hAnsi="Arial" w:cs="Arial"/>
          <w:sz w:val="21"/>
          <w:szCs w:val="21"/>
        </w:rPr>
        <w:footnoteRef/>
      </w:r>
      <w:r w:rsidRPr="009A11EC">
        <w:rPr>
          <w:rFonts w:ascii="Arial" w:hAnsi="Arial" w:cs="Arial"/>
          <w:sz w:val="21"/>
          <w:szCs w:val="21"/>
        </w:rPr>
        <w:t xml:space="preserve"> </w:t>
      </w:r>
      <w:r w:rsidRPr="009A11EC">
        <w:rPr>
          <w:rFonts w:ascii="Arial" w:hAnsi="Arial" w:cs="Arial"/>
          <w:sz w:val="21"/>
          <w:szCs w:val="21"/>
          <w:lang w:val="es-ES_tradnl"/>
        </w:rPr>
        <w:t>«</w:t>
      </w:r>
      <w:bookmarkStart w:id="5" w:name="_Hlk68872675"/>
      <w:r w:rsidRPr="009A11EC">
        <w:rPr>
          <w:rFonts w:ascii="Arial" w:hAnsi="Arial" w:cs="Arial"/>
          <w:color w:val="000000" w:themeColor="text1"/>
          <w:sz w:val="21"/>
          <w:szCs w:val="21"/>
        </w:rPr>
        <w:t>Si el interesado no tiene antigüedad suficiente para tener estados financieros auditados a 31 de diciembre</w:t>
      </w:r>
      <w:bookmarkEnd w:id="5"/>
      <w:r w:rsidRPr="009A11EC">
        <w:rPr>
          <w:rFonts w:ascii="Arial" w:hAnsi="Arial" w:cs="Arial"/>
          <w:color w:val="000000" w:themeColor="text1"/>
          <w:sz w:val="21"/>
          <w:szCs w:val="21"/>
        </w:rPr>
        <w:t>, debe inscribirse con estados financieros de corte trimestral, suscritos por el representante legal y el auditor o contador o estados financieros de apertura</w:t>
      </w:r>
      <w:r w:rsidRPr="009A11EC">
        <w:rPr>
          <w:rFonts w:ascii="Arial" w:hAnsi="Arial" w:cs="Arial"/>
          <w:sz w:val="21"/>
          <w:szCs w:val="21"/>
          <w:lang w:val="es-ES_tradnl"/>
        </w:rPr>
        <w:t>».</w:t>
      </w:r>
      <w:r w:rsidRPr="009A11EC">
        <w:rPr>
          <w:rFonts w:ascii="Arial" w:hAnsi="Arial" w:cs="Arial"/>
          <w:color w:val="000000" w:themeColor="text1"/>
          <w:sz w:val="21"/>
          <w:szCs w:val="21"/>
        </w:rPr>
        <w:t xml:space="preserve"> </w:t>
      </w:r>
    </w:p>
    <w:p w14:paraId="4C34DE41" w14:textId="77777777" w:rsidR="00A93756" w:rsidRPr="009A11EC" w:rsidRDefault="00A93756" w:rsidP="00A93756">
      <w:pPr>
        <w:pStyle w:val="Textonotapie"/>
        <w:rPr>
          <w:sz w:val="21"/>
          <w:szCs w:val="2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7728"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8992"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874AD3" w:rsidRDefault="004A1847" w:rsidP="00906B3C">
    <w:pPr>
      <w:pStyle w:val="Encabezado"/>
      <w:tabs>
        <w:tab w:val="clear" w:pos="4419"/>
        <w:tab w:val="clear" w:pos="8838"/>
      </w:tabs>
      <w:ind w:left="3545" w:firstLine="709"/>
      <w:rPr>
        <w:b/>
        <w:bCs/>
        <w:color w:val="DBDBD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CEA10B4"/>
    <w:multiLevelType w:val="hybridMultilevel"/>
    <w:tmpl w:val="166C8A8E"/>
    <w:lvl w:ilvl="0" w:tplc="3370B248">
      <w:start w:val="1"/>
      <w:numFmt w:val="decimal"/>
      <w:lvlText w:val="%1."/>
      <w:lvlJc w:val="left"/>
      <w:pPr>
        <w:ind w:left="765" w:hanging="360"/>
      </w:pPr>
      <w:rPr>
        <w:rFonts w:hint="default"/>
      </w:rPr>
    </w:lvl>
    <w:lvl w:ilvl="1" w:tplc="240A0019" w:tentative="1">
      <w:start w:val="1"/>
      <w:numFmt w:val="lowerLetter"/>
      <w:lvlText w:val="%2."/>
      <w:lvlJc w:val="left"/>
      <w:pPr>
        <w:ind w:left="1485" w:hanging="360"/>
      </w:pPr>
    </w:lvl>
    <w:lvl w:ilvl="2" w:tplc="240A001B" w:tentative="1">
      <w:start w:val="1"/>
      <w:numFmt w:val="lowerRoman"/>
      <w:lvlText w:val="%3."/>
      <w:lvlJc w:val="right"/>
      <w:pPr>
        <w:ind w:left="2205" w:hanging="180"/>
      </w:pPr>
    </w:lvl>
    <w:lvl w:ilvl="3" w:tplc="240A000F" w:tentative="1">
      <w:start w:val="1"/>
      <w:numFmt w:val="decimal"/>
      <w:lvlText w:val="%4."/>
      <w:lvlJc w:val="left"/>
      <w:pPr>
        <w:ind w:left="2925" w:hanging="360"/>
      </w:pPr>
    </w:lvl>
    <w:lvl w:ilvl="4" w:tplc="240A0019" w:tentative="1">
      <w:start w:val="1"/>
      <w:numFmt w:val="lowerLetter"/>
      <w:lvlText w:val="%5."/>
      <w:lvlJc w:val="left"/>
      <w:pPr>
        <w:ind w:left="3645" w:hanging="360"/>
      </w:pPr>
    </w:lvl>
    <w:lvl w:ilvl="5" w:tplc="240A001B" w:tentative="1">
      <w:start w:val="1"/>
      <w:numFmt w:val="lowerRoman"/>
      <w:lvlText w:val="%6."/>
      <w:lvlJc w:val="right"/>
      <w:pPr>
        <w:ind w:left="4365" w:hanging="180"/>
      </w:pPr>
    </w:lvl>
    <w:lvl w:ilvl="6" w:tplc="240A000F" w:tentative="1">
      <w:start w:val="1"/>
      <w:numFmt w:val="decimal"/>
      <w:lvlText w:val="%7."/>
      <w:lvlJc w:val="left"/>
      <w:pPr>
        <w:ind w:left="5085" w:hanging="360"/>
      </w:pPr>
    </w:lvl>
    <w:lvl w:ilvl="7" w:tplc="240A0019" w:tentative="1">
      <w:start w:val="1"/>
      <w:numFmt w:val="lowerLetter"/>
      <w:lvlText w:val="%8."/>
      <w:lvlJc w:val="left"/>
      <w:pPr>
        <w:ind w:left="5805" w:hanging="360"/>
      </w:pPr>
    </w:lvl>
    <w:lvl w:ilvl="8" w:tplc="240A001B" w:tentative="1">
      <w:start w:val="1"/>
      <w:numFmt w:val="lowerRoman"/>
      <w:lvlText w:val="%9."/>
      <w:lvlJc w:val="right"/>
      <w:pPr>
        <w:ind w:left="6525" w:hanging="180"/>
      </w:p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500395951">
    <w:abstractNumId w:val="3"/>
  </w:num>
  <w:num w:numId="2" w16cid:durableId="1408454564">
    <w:abstractNumId w:val="0"/>
  </w:num>
  <w:num w:numId="3" w16cid:durableId="1897622572">
    <w:abstractNumId w:val="2"/>
  </w:num>
  <w:num w:numId="4" w16cid:durableId="888800856">
    <w:abstractNumId w:val="4"/>
  </w:num>
  <w:num w:numId="5" w16cid:durableId="1434668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3BED"/>
    <w:rsid w:val="00024717"/>
    <w:rsid w:val="00043636"/>
    <w:rsid w:val="000766AC"/>
    <w:rsid w:val="00083334"/>
    <w:rsid w:val="000956CF"/>
    <w:rsid w:val="000A683E"/>
    <w:rsid w:val="000D51A7"/>
    <w:rsid w:val="0011595A"/>
    <w:rsid w:val="001220C5"/>
    <w:rsid w:val="00124339"/>
    <w:rsid w:val="001267F7"/>
    <w:rsid w:val="00127233"/>
    <w:rsid w:val="00130999"/>
    <w:rsid w:val="00164D81"/>
    <w:rsid w:val="00185094"/>
    <w:rsid w:val="001A1011"/>
    <w:rsid w:val="001A48D0"/>
    <w:rsid w:val="001A63AA"/>
    <w:rsid w:val="00215EFE"/>
    <w:rsid w:val="002653C1"/>
    <w:rsid w:val="0027292B"/>
    <w:rsid w:val="00274B11"/>
    <w:rsid w:val="002951A0"/>
    <w:rsid w:val="002A64FD"/>
    <w:rsid w:val="002B4449"/>
    <w:rsid w:val="002F257A"/>
    <w:rsid w:val="00310B9B"/>
    <w:rsid w:val="0036461C"/>
    <w:rsid w:val="00367884"/>
    <w:rsid w:val="0039439C"/>
    <w:rsid w:val="003B69E7"/>
    <w:rsid w:val="003C013B"/>
    <w:rsid w:val="003C3A1B"/>
    <w:rsid w:val="003D0F4D"/>
    <w:rsid w:val="003F58A1"/>
    <w:rsid w:val="00410DD6"/>
    <w:rsid w:val="004134C9"/>
    <w:rsid w:val="00433A7D"/>
    <w:rsid w:val="00462A59"/>
    <w:rsid w:val="004973F5"/>
    <w:rsid w:val="004A1847"/>
    <w:rsid w:val="004B3AC3"/>
    <w:rsid w:val="004B6B0E"/>
    <w:rsid w:val="004C34A0"/>
    <w:rsid w:val="004C473F"/>
    <w:rsid w:val="004D25B3"/>
    <w:rsid w:val="004F0C28"/>
    <w:rsid w:val="00511405"/>
    <w:rsid w:val="00524A0F"/>
    <w:rsid w:val="00526E9D"/>
    <w:rsid w:val="00547A74"/>
    <w:rsid w:val="005566E8"/>
    <w:rsid w:val="005746AB"/>
    <w:rsid w:val="005C7E07"/>
    <w:rsid w:val="005D65C8"/>
    <w:rsid w:val="006219F8"/>
    <w:rsid w:val="006819A8"/>
    <w:rsid w:val="00681FDB"/>
    <w:rsid w:val="00687760"/>
    <w:rsid w:val="00690464"/>
    <w:rsid w:val="006A3E98"/>
    <w:rsid w:val="006A7DAD"/>
    <w:rsid w:val="006B4754"/>
    <w:rsid w:val="006D70BA"/>
    <w:rsid w:val="006E4580"/>
    <w:rsid w:val="00712D6E"/>
    <w:rsid w:val="007411FA"/>
    <w:rsid w:val="007566FE"/>
    <w:rsid w:val="0077144B"/>
    <w:rsid w:val="00793403"/>
    <w:rsid w:val="007B1432"/>
    <w:rsid w:val="007F2B7C"/>
    <w:rsid w:val="00810AFD"/>
    <w:rsid w:val="00820F5B"/>
    <w:rsid w:val="0082604A"/>
    <w:rsid w:val="00833452"/>
    <w:rsid w:val="008614E5"/>
    <w:rsid w:val="008678EB"/>
    <w:rsid w:val="00874AD3"/>
    <w:rsid w:val="00881C10"/>
    <w:rsid w:val="008B6646"/>
    <w:rsid w:val="008D5C70"/>
    <w:rsid w:val="009025AF"/>
    <w:rsid w:val="00904F23"/>
    <w:rsid w:val="00906B3C"/>
    <w:rsid w:val="00912533"/>
    <w:rsid w:val="009C5DA8"/>
    <w:rsid w:val="009D3937"/>
    <w:rsid w:val="009F33F2"/>
    <w:rsid w:val="00A07532"/>
    <w:rsid w:val="00A1085C"/>
    <w:rsid w:val="00A14146"/>
    <w:rsid w:val="00A309E2"/>
    <w:rsid w:val="00A8066E"/>
    <w:rsid w:val="00A93756"/>
    <w:rsid w:val="00AA4B8A"/>
    <w:rsid w:val="00AA6BF7"/>
    <w:rsid w:val="00AB627D"/>
    <w:rsid w:val="00B01ED6"/>
    <w:rsid w:val="00B06D09"/>
    <w:rsid w:val="00B51011"/>
    <w:rsid w:val="00B771A9"/>
    <w:rsid w:val="00B809BB"/>
    <w:rsid w:val="00B8248A"/>
    <w:rsid w:val="00C30461"/>
    <w:rsid w:val="00C754BE"/>
    <w:rsid w:val="00C9405D"/>
    <w:rsid w:val="00C94138"/>
    <w:rsid w:val="00C960B9"/>
    <w:rsid w:val="00CC1B26"/>
    <w:rsid w:val="00CD284F"/>
    <w:rsid w:val="00CF23AA"/>
    <w:rsid w:val="00D01921"/>
    <w:rsid w:val="00D752B7"/>
    <w:rsid w:val="00DA1854"/>
    <w:rsid w:val="00DC3A09"/>
    <w:rsid w:val="00E20894"/>
    <w:rsid w:val="00E26B7C"/>
    <w:rsid w:val="00E36AE8"/>
    <w:rsid w:val="00E90498"/>
    <w:rsid w:val="00EB3C91"/>
    <w:rsid w:val="00EB66DA"/>
    <w:rsid w:val="00ED2035"/>
    <w:rsid w:val="00F03FC6"/>
    <w:rsid w:val="00F605F2"/>
    <w:rsid w:val="00F7590C"/>
    <w:rsid w:val="00F76AFC"/>
    <w:rsid w:val="00FA5516"/>
    <w:rsid w:val="00FD6F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A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A63AA"/>
    <w:rPr>
      <w:rFonts w:ascii="Geomanist Light" w:hAnsi="Geomanist Light"/>
      <w:lang w:val="es-ES"/>
    </w:rPr>
  </w:style>
  <w:style w:type="paragraph" w:styleId="Textoindependiente">
    <w:name w:val="Body Text"/>
    <w:basedOn w:val="Normal"/>
    <w:link w:val="TextoindependienteCar"/>
    <w:uiPriority w:val="1"/>
    <w:qFormat/>
    <w:rsid w:val="001A63AA"/>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1A63AA"/>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1A63AA"/>
    <w:pPr>
      <w:spacing w:line="240" w:lineRule="exact"/>
    </w:pPr>
    <w:rPr>
      <w:vertAlign w:val="superscript"/>
    </w:rPr>
  </w:style>
  <w:style w:type="character" w:styleId="Hipervnculo">
    <w:name w:val="Hyperlink"/>
    <w:basedOn w:val="Fuentedeprrafopredeter"/>
    <w:uiPriority w:val="99"/>
    <w:unhideWhenUsed/>
    <w:rsid w:val="001A63AA"/>
    <w:rPr>
      <w:color w:val="0000FF"/>
      <w:u w:val="single"/>
    </w:rPr>
  </w:style>
  <w:style w:type="paragraph" w:styleId="NormalWeb">
    <w:name w:val="Normal (Web)"/>
    <w:basedOn w:val="Normal"/>
    <w:link w:val="NormalWebCar"/>
    <w:uiPriority w:val="99"/>
    <w:unhideWhenUsed/>
    <w:rsid w:val="001A63AA"/>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character" w:customStyle="1" w:styleId="NormalWebCar">
    <w:name w:val="Normal (Web) Car"/>
    <w:link w:val="NormalWeb"/>
    <w:uiPriority w:val="99"/>
    <w:rsid w:val="001A63AA"/>
    <w:rPr>
      <w:rFonts w:ascii="Times New Roman" w:eastAsia="Times New Roman" w:hAnsi="Times New Roman" w:cs="Times New Roman"/>
      <w:sz w:val="24"/>
      <w:szCs w:val="24"/>
      <w:lang w:val="es-ES_tradnl" w:eastAsia="es-MX"/>
    </w:rPr>
  </w:style>
  <w:style w:type="paragraph" w:customStyle="1" w:styleId="gmail-msonospacing">
    <w:name w:val="gmail-msonospacing"/>
    <w:basedOn w:val="Normal"/>
    <w:rsid w:val="001A63AA"/>
    <w:pPr>
      <w:spacing w:before="100" w:beforeAutospacing="1" w:after="100" w:afterAutospacing="1" w:line="240" w:lineRule="auto"/>
    </w:pPr>
    <w:rPr>
      <w:rFonts w:ascii="Calibri" w:hAnsi="Calibri" w:cs="Calibri"/>
      <w:lang w:val="es-ES" w:eastAsia="es-ES"/>
    </w:rPr>
  </w:style>
  <w:style w:type="table" w:customStyle="1" w:styleId="Tablaconcuadrcula1">
    <w:name w:val="Tabla con cuadrícula1"/>
    <w:basedOn w:val="Tablanormal"/>
    <w:next w:val="Tablaconcuadrcula"/>
    <w:uiPriority w:val="59"/>
    <w:rsid w:val="001A6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1A63AA"/>
    <w:rPr>
      <w:b/>
      <w:bCs/>
    </w:rPr>
  </w:style>
  <w:style w:type="character" w:styleId="nfasis">
    <w:name w:val="Emphasis"/>
    <w:basedOn w:val="Fuentedeprrafopredeter"/>
    <w:uiPriority w:val="20"/>
    <w:qFormat/>
    <w:rsid w:val="001A63AA"/>
    <w:rPr>
      <w:i/>
      <w:iCs/>
    </w:rPr>
  </w:style>
  <w:style w:type="character" w:styleId="Hipervnculovisitado">
    <w:name w:val="FollowedHyperlink"/>
    <w:basedOn w:val="Fuentedeprrafopredeter"/>
    <w:uiPriority w:val="99"/>
    <w:semiHidden/>
    <w:unhideWhenUsed/>
    <w:rsid w:val="002729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default/files/manuales/20140901_manual_requisitos_habilitantes_4_web.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http://purl.org/dc/elements/1.1/"/>
    <ds:schemaRef ds:uri="http://schemas.microsoft.com/office/2006/metadata/properties"/>
    <ds:schemaRef ds:uri="http://purl.org/dc/terms/"/>
    <ds:schemaRef ds:uri="http://schemas.openxmlformats.org/package/2006/metadata/core-properties"/>
    <ds:schemaRef ds:uri="9d85dbaf-23eb-4e57-a637-93dcacc8b1a1"/>
    <ds:schemaRef ds:uri="http://schemas.microsoft.com/office/infopath/2007/PartnerControls"/>
    <ds:schemaRef ds:uri="a6cb9e4b-f1d1-4245-83ec-6cad768d538a"/>
    <ds:schemaRef ds:uri="http://www.w3.org/XML/1998/namespace"/>
  </ds:schemaRefs>
</ds:datastoreItem>
</file>

<file path=customXml/itemProps3.xml><?xml version="1.0" encoding="utf-8"?>
<ds:datastoreItem xmlns:ds="http://schemas.openxmlformats.org/officeDocument/2006/customXml" ds:itemID="{EC74D43A-1A0F-44CA-98C7-0A8AF4EBB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4139</Words>
  <Characters>22767</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2023-02-20T16:10:00Z</dcterms:created>
  <dcterms:modified xsi:type="dcterms:W3CDTF">2023-02-20T16:10:00Z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