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1D4B" w14:textId="77777777" w:rsidR="004A09CE" w:rsidRPr="004A09CE" w:rsidRDefault="004A09CE" w:rsidP="004A09CE">
      <w:pPr>
        <w:spacing w:after="0" w:line="240" w:lineRule="auto"/>
        <w:jc w:val="both"/>
        <w:rPr>
          <w:rFonts w:ascii="Verdana" w:eastAsia="Calibri" w:hAnsi="Verdana" w:cs="Arial"/>
          <w:b/>
          <w:bCs/>
          <w:lang w:val="es-ES_tradnl" w:eastAsia="es-ES_tradnl"/>
        </w:rPr>
      </w:pPr>
      <w:r w:rsidRPr="004A09CE">
        <w:rPr>
          <w:rFonts w:ascii="Verdana" w:eastAsia="Calibri" w:hAnsi="Verdana" w:cs="Arial"/>
          <w:b/>
          <w:bCs/>
          <w:lang w:val="es-ES_tradnl" w:eastAsia="es-ES_tradnl"/>
        </w:rPr>
        <w:t>CONTRATO DE CORRETAJE DE SEGUROS – Noción – Objeto de la intermediación – Obligaciones gratuitas – Obligaciones por comisión</w:t>
      </w:r>
    </w:p>
    <w:p w14:paraId="659AB4B0" w14:textId="77777777" w:rsidR="004A09CE" w:rsidRPr="004A09CE" w:rsidRDefault="004A09CE" w:rsidP="004A09CE">
      <w:pPr>
        <w:spacing w:after="0" w:line="240" w:lineRule="auto"/>
        <w:jc w:val="both"/>
        <w:rPr>
          <w:rFonts w:ascii="Verdana" w:eastAsia="Calibri" w:hAnsi="Verdana" w:cs="Arial"/>
          <w:b/>
          <w:bCs/>
          <w:sz w:val="20"/>
          <w:szCs w:val="20"/>
          <w:highlight w:val="yellow"/>
          <w:lang w:val="es-ES_tradnl" w:eastAsia="es-ES_tradnl"/>
        </w:rPr>
      </w:pPr>
    </w:p>
    <w:p w14:paraId="7B12BA19" w14:textId="77777777" w:rsidR="004A09CE" w:rsidRPr="004A09CE" w:rsidRDefault="004A09CE" w:rsidP="004A09CE">
      <w:pPr>
        <w:spacing w:after="0" w:line="240" w:lineRule="auto"/>
        <w:jc w:val="both"/>
        <w:rPr>
          <w:rFonts w:ascii="Verdana" w:eastAsia="Calibri" w:hAnsi="Verdana" w:cs="Arial"/>
          <w:sz w:val="20"/>
          <w:szCs w:val="20"/>
        </w:rPr>
      </w:pPr>
      <w:r w:rsidRPr="004A09CE">
        <w:rPr>
          <w:rFonts w:ascii="Verdana" w:eastAsia="Aptos" w:hAnsi="Verdana" w:cs="Times New Roman"/>
          <w:sz w:val="20"/>
          <w:szCs w:val="20"/>
        </w:rPr>
        <w:t>[…] el contrato de corretaje de seguros es un contrato típico de carácter comercial que supone la celebración de varios contratos entre el corredor y el asegurador y el tomador de seguros. […]</w:t>
      </w:r>
    </w:p>
    <w:p w14:paraId="187A3C15" w14:textId="77777777" w:rsidR="004A09CE" w:rsidRPr="004A09CE" w:rsidRDefault="004A09CE" w:rsidP="004A09CE">
      <w:pPr>
        <w:spacing w:after="0" w:line="240" w:lineRule="auto"/>
        <w:jc w:val="both"/>
        <w:rPr>
          <w:rFonts w:ascii="Verdana" w:eastAsia="Calibri" w:hAnsi="Verdana" w:cs="Arial"/>
          <w:sz w:val="20"/>
          <w:szCs w:val="20"/>
        </w:rPr>
      </w:pPr>
      <w:r w:rsidRPr="004A09CE">
        <w:rPr>
          <w:rFonts w:ascii="Verdana" w:eastAsia="Calibri" w:hAnsi="Verdana" w:cs="Arial"/>
          <w:sz w:val="20"/>
          <w:szCs w:val="20"/>
        </w:rPr>
        <w:t>[…]</w:t>
      </w:r>
    </w:p>
    <w:p w14:paraId="245FB3CB" w14:textId="77777777" w:rsidR="004A09CE" w:rsidRPr="004A09CE" w:rsidRDefault="004A09CE" w:rsidP="004A09CE">
      <w:pPr>
        <w:spacing w:after="0" w:line="240" w:lineRule="auto"/>
        <w:jc w:val="both"/>
        <w:rPr>
          <w:rFonts w:ascii="Verdana" w:eastAsia="Calibri" w:hAnsi="Verdana" w:cs="Arial"/>
          <w:sz w:val="20"/>
          <w:szCs w:val="20"/>
        </w:rPr>
      </w:pPr>
      <w:r w:rsidRPr="004A09CE">
        <w:rPr>
          <w:rFonts w:ascii="Verdana" w:eastAsia="Calibri" w:hAnsi="Verdana" w:cs="Arial"/>
          <w:sz w:val="20"/>
          <w:szCs w:val="20"/>
        </w:rPr>
        <w:t>[…] el Alto Tribunal Administrativo, señaló adicionalmente que el contrato de corretaje es autónomo y puede sobrevivir sin perjuicio de la no celebración del contrato de seguro, además, que el objeto de la intermediación del corredor es el ofrecimiento de seguros, la promoción de su celebración y la obtención de la renovación de los mismos. En efecto, esta Corporación indicó que: “[E]l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06813523" w14:textId="77777777" w:rsidR="004A09CE" w:rsidRPr="004A09CE" w:rsidRDefault="004A09CE" w:rsidP="004A09CE">
      <w:pPr>
        <w:spacing w:after="0" w:line="276" w:lineRule="auto"/>
        <w:jc w:val="both"/>
        <w:rPr>
          <w:rFonts w:ascii="Verdana" w:eastAsia="Calibri" w:hAnsi="Verdana" w:cs="Arial"/>
          <w:sz w:val="20"/>
          <w:szCs w:val="20"/>
        </w:rPr>
      </w:pPr>
    </w:p>
    <w:p w14:paraId="25E030A5" w14:textId="77777777" w:rsidR="004A09CE" w:rsidRPr="004A09CE" w:rsidRDefault="004A09CE" w:rsidP="004A09CE">
      <w:pPr>
        <w:spacing w:after="0" w:line="240" w:lineRule="auto"/>
        <w:jc w:val="both"/>
        <w:rPr>
          <w:rFonts w:ascii="Verdana" w:eastAsia="Calibri" w:hAnsi="Verdana" w:cs="Arial"/>
          <w:b/>
          <w:bCs/>
          <w:lang w:val="es-ES_tradnl" w:eastAsia="es-ES_tradnl"/>
        </w:rPr>
      </w:pPr>
      <w:r w:rsidRPr="004A09CE">
        <w:rPr>
          <w:rFonts w:ascii="Verdana" w:eastAsia="Calibri" w:hAnsi="Verdana" w:cs="Arial"/>
          <w:b/>
          <w:bCs/>
          <w:lang w:val="es-ES_tradnl" w:eastAsia="es-ES_tradnl"/>
        </w:rPr>
        <w:t xml:space="preserve">CONVOCATORIAS LIMITADAS A MIPYMES – Requisitos </w:t>
      </w:r>
    </w:p>
    <w:p w14:paraId="24B6F4DF" w14:textId="77777777" w:rsidR="004A09CE" w:rsidRPr="004A09CE" w:rsidRDefault="004A09CE" w:rsidP="004A09CE">
      <w:pPr>
        <w:spacing w:after="0" w:line="240" w:lineRule="auto"/>
        <w:jc w:val="both"/>
        <w:rPr>
          <w:rFonts w:ascii="Verdana" w:eastAsia="Calibri" w:hAnsi="Verdana" w:cs="Arial"/>
          <w:b/>
          <w:bCs/>
          <w:sz w:val="20"/>
          <w:szCs w:val="20"/>
          <w:highlight w:val="yellow"/>
          <w:lang w:val="es-ES_tradnl" w:eastAsia="es-ES_tradnl"/>
        </w:rPr>
      </w:pPr>
    </w:p>
    <w:p w14:paraId="19DCDB11" w14:textId="77777777" w:rsidR="004A09CE" w:rsidRPr="004A09CE" w:rsidRDefault="004A09CE" w:rsidP="004A09CE">
      <w:pPr>
        <w:spacing w:after="0" w:line="240" w:lineRule="auto"/>
        <w:jc w:val="both"/>
        <w:rPr>
          <w:rFonts w:ascii="Verdana" w:eastAsia="Aptos" w:hAnsi="Verdana" w:cs="Times New Roman"/>
          <w:sz w:val="20"/>
          <w:szCs w:val="20"/>
        </w:rPr>
      </w:pPr>
      <w:r w:rsidRPr="004A09CE">
        <w:rPr>
          <w:rFonts w:ascii="Verdana" w:eastAsia="Aptos" w:hAnsi="Verdana" w:cs="Times New Roman"/>
          <w:sz w:val="20"/>
          <w:szCs w:val="20"/>
        </w:rPr>
        <w:t>[…] el artículo 2.2.1.2.4.2.2 del Decreto 1082 de 2015 establece los requisitos que se deben atender para que procedan las “convocatorias limitadas a Mipymes”, estos son:</w:t>
      </w:r>
    </w:p>
    <w:p w14:paraId="48CCDCAA" w14:textId="77777777" w:rsidR="004A09CE" w:rsidRPr="004A09CE" w:rsidRDefault="004A09CE" w:rsidP="004A09CE">
      <w:pPr>
        <w:spacing w:after="0" w:line="240" w:lineRule="auto"/>
        <w:jc w:val="both"/>
        <w:rPr>
          <w:rFonts w:ascii="Verdana" w:eastAsia="Aptos" w:hAnsi="Verdana" w:cs="Times New Roman"/>
          <w:sz w:val="20"/>
          <w:szCs w:val="20"/>
        </w:rPr>
      </w:pPr>
      <w:r w:rsidRPr="004A09CE">
        <w:rPr>
          <w:rFonts w:ascii="Verdana" w:eastAsia="Aptos" w:hAnsi="Verdana" w:cs="Times New Roman"/>
          <w:sz w:val="20"/>
          <w:szCs w:val="20"/>
        </w:rPr>
        <w:t>i) El primer inciso de la referida norma, estable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 […]. ii) El numeral primero de dicho artículo, limita cuantitativamente los procesos contractuales en los que se puede hacer esa “convocatoria limitada a Mipymes”, en la medida en que el valor del proceso tendrá que ser “menor a ciento veinticinco mil dólares de los Estados unidos de América” […]. iii) Y por último, el numeral segundo de la precitada norma,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w:t>
      </w:r>
      <w:r w:rsidRPr="004A09CE">
        <w:rPr>
          <w:rFonts w:ascii="Calibri" w:eastAsia="Calibri" w:hAnsi="Calibri" w:cs="Times New Roman"/>
        </w:rPr>
        <w:t xml:space="preserve"> </w:t>
      </w:r>
      <w:r w:rsidRPr="004A09CE">
        <w:rPr>
          <w:rFonts w:ascii="Verdana" w:eastAsia="Aptos" w:hAnsi="Verdana" w:cs="Times New Roman"/>
          <w:sz w:val="20"/>
          <w:szCs w:val="20"/>
        </w:rPr>
        <w:t>Adicionalmente, el segundo inciso del numeral 2 de la norma indica que, tratándose de personas jurídicas, las solicitudes solo podrán realizarla las “[…] Mipyme, cuyo objeto social les permita ejecutar el contrato relacionado con el proceso contractual”.</w:t>
      </w:r>
    </w:p>
    <w:p w14:paraId="763A3627" w14:textId="77777777" w:rsidR="004A09CE" w:rsidRPr="004A09CE" w:rsidRDefault="004A09CE" w:rsidP="004A09CE">
      <w:pPr>
        <w:spacing w:after="0" w:line="276" w:lineRule="auto"/>
        <w:jc w:val="both"/>
        <w:rPr>
          <w:rFonts w:ascii="Verdana" w:eastAsia="Calibri" w:hAnsi="Verdana" w:cs="Arial"/>
          <w:sz w:val="20"/>
          <w:szCs w:val="20"/>
        </w:rPr>
      </w:pPr>
    </w:p>
    <w:p w14:paraId="323C728D" w14:textId="77777777" w:rsidR="004A09CE" w:rsidRPr="004A09CE" w:rsidRDefault="004A09CE" w:rsidP="004A09CE">
      <w:pPr>
        <w:spacing w:after="0" w:line="240" w:lineRule="auto"/>
        <w:jc w:val="both"/>
        <w:rPr>
          <w:rFonts w:ascii="Verdana" w:eastAsia="Calibri" w:hAnsi="Verdana" w:cs="Arial"/>
          <w:b/>
          <w:bCs/>
          <w:lang w:val="es-ES_tradnl" w:eastAsia="es-ES_tradnl"/>
        </w:rPr>
      </w:pPr>
      <w:r w:rsidRPr="004A09CE">
        <w:rPr>
          <w:rFonts w:ascii="Verdana" w:eastAsia="Calibri" w:hAnsi="Verdana" w:cs="Arial"/>
          <w:b/>
          <w:bCs/>
          <w:lang w:val="es-ES_tradnl" w:eastAsia="es-ES_tradnl"/>
        </w:rPr>
        <w:lastRenderedPageBreak/>
        <w:t xml:space="preserve">CONVOCATORIAS LIMITADAS A MIPYMES – Procedencia – Contratos de corretaje de seguros – Contrato sin erogación económica </w:t>
      </w:r>
    </w:p>
    <w:p w14:paraId="540352C7" w14:textId="77777777" w:rsidR="004A09CE" w:rsidRPr="004A09CE" w:rsidRDefault="004A09CE" w:rsidP="004A09CE">
      <w:pPr>
        <w:spacing w:after="0" w:line="276" w:lineRule="auto"/>
        <w:jc w:val="both"/>
        <w:rPr>
          <w:rFonts w:ascii="Verdana" w:eastAsia="Calibri" w:hAnsi="Verdana" w:cs="Arial"/>
          <w:sz w:val="20"/>
          <w:szCs w:val="20"/>
        </w:rPr>
      </w:pPr>
    </w:p>
    <w:p w14:paraId="1E8B880B" w14:textId="77777777" w:rsidR="004A09CE" w:rsidRPr="004A09CE" w:rsidRDefault="004A09CE" w:rsidP="004A09CE">
      <w:pPr>
        <w:spacing w:after="0" w:line="240" w:lineRule="auto"/>
        <w:jc w:val="both"/>
        <w:rPr>
          <w:rFonts w:ascii="Verdana" w:eastAsia="Calibri" w:hAnsi="Verdana" w:cs="Arial"/>
          <w:sz w:val="20"/>
          <w:szCs w:val="20"/>
        </w:rPr>
      </w:pPr>
      <w:r w:rsidRPr="004A09CE">
        <w:rPr>
          <w:rFonts w:ascii="Verdana" w:eastAsia="Calibri" w:hAnsi="Verdana" w:cs="Arial"/>
          <w:sz w:val="20"/>
          <w:szCs w:val="20"/>
        </w:rPr>
        <w:t>[…] para que una Entidad Estatal pueda limitar un proceso de selección a Mipymes, deberán cumplirse de manera integral cada uno de los supuestos en el artículo 2.2.1.2.4.2.2 del Decreto 1082 de 2015, pues en caso contrario, no será factible que se realice tal limitación. Sin embargo, en lo que respecta a los procesos de selección donde se pretenda la suscripción de contratos de corretaje de seguros, debe precisarse que la total observancia de los referidos requisitos, dependerá de si este genera o no erogación económica a la Entidad Estatal que lo suscribe, pues en el marco de la autonomía que le asiste, puede determinar en su pliego de condiciones o documento equivalente, la destinación o no de recursos económicos para la celebración de este tipo de contratos. Imposibilitando la última opción –esto es, la decisión de no asignar recursos económicos y celebrarlo a título gratuito–, el cumplimiento del requisito correspondiente al valor del contrato para que proceda la limitación de la convocatoria a Mipymes.</w:t>
      </w:r>
    </w:p>
    <w:p w14:paraId="69EEC91D" w14:textId="77777777" w:rsidR="004A09CE" w:rsidRPr="004A09CE" w:rsidRDefault="004A09CE" w:rsidP="004A09CE">
      <w:pPr>
        <w:spacing w:after="0" w:line="240" w:lineRule="auto"/>
        <w:rPr>
          <w:rFonts w:ascii="Verdana" w:eastAsia="Geomanist Light" w:hAnsi="Verdana" w:cs="Arial"/>
          <w:sz w:val="20"/>
          <w:szCs w:val="20"/>
          <w:lang w:val="es-MX"/>
        </w:rPr>
      </w:pPr>
    </w:p>
    <w:p w14:paraId="08A64371" w14:textId="77777777" w:rsidR="004A09CE" w:rsidRPr="004A09CE" w:rsidRDefault="004A09CE" w:rsidP="004A09CE">
      <w:pPr>
        <w:spacing w:after="0" w:line="240" w:lineRule="auto"/>
        <w:jc w:val="both"/>
        <w:rPr>
          <w:rFonts w:ascii="Verdana" w:eastAsia="Geomanist Light" w:hAnsi="Verdana" w:cs="Arial"/>
          <w:sz w:val="20"/>
          <w:szCs w:val="20"/>
          <w:lang w:val="es-MX"/>
        </w:rPr>
      </w:pPr>
      <w:r w:rsidRPr="004A09CE">
        <w:rPr>
          <w:rFonts w:ascii="Verdana" w:eastAsia="Geomanist Light" w:hAnsi="Verdana" w:cs="Arial"/>
          <w:sz w:val="20"/>
          <w:szCs w:val="20"/>
          <w:lang w:val="es-MX"/>
        </w:rPr>
        <w:t>Lo anterior en razón a que, tal y como se indicó en los párrafos precedentes, el corredor de seguros celebra los contratos de intermediación con el tomador –que en este caso sería la Entidad Estatal– y con el asegurador, adquiriendo obligaciones que cumple, en el primer caso, de manera gratuita, y en el segundo, a cambio de una comisión aleatoria condicionada a la celebración del contrato de seguro objeto de su mediación.</w:t>
      </w:r>
    </w:p>
    <w:p w14:paraId="6D75FAB9" w14:textId="77777777" w:rsidR="004A09CE" w:rsidRPr="004A09CE" w:rsidRDefault="004A09CE" w:rsidP="004A09CE">
      <w:pPr>
        <w:spacing w:after="0" w:line="240" w:lineRule="auto"/>
        <w:rPr>
          <w:rFonts w:ascii="Verdana" w:eastAsia="Geomanist Light" w:hAnsi="Verdana" w:cs="Arial"/>
          <w:sz w:val="20"/>
          <w:szCs w:val="20"/>
          <w:lang w:val="es-MX"/>
        </w:rPr>
      </w:pPr>
    </w:p>
    <w:p w14:paraId="62207FA5" w14:textId="77777777" w:rsidR="004A09CE" w:rsidRPr="004A09CE" w:rsidRDefault="004A09CE" w:rsidP="004A09CE">
      <w:pPr>
        <w:spacing w:after="0" w:line="240" w:lineRule="auto"/>
        <w:rPr>
          <w:rFonts w:ascii="Verdana" w:eastAsia="Geomanist Light" w:hAnsi="Verdana" w:cs="Arial"/>
          <w:sz w:val="20"/>
          <w:szCs w:val="20"/>
          <w:lang w:val="es-MX"/>
        </w:rPr>
      </w:pPr>
    </w:p>
    <w:p w14:paraId="13CDC146" w14:textId="77777777" w:rsidR="004A09CE" w:rsidRPr="004A09CE" w:rsidRDefault="004A09CE" w:rsidP="004A09CE">
      <w:pPr>
        <w:spacing w:after="0" w:line="240" w:lineRule="auto"/>
        <w:rPr>
          <w:rFonts w:ascii="Verdana" w:eastAsia="Geomanist Light" w:hAnsi="Verdana" w:cs="Arial"/>
          <w:sz w:val="20"/>
          <w:szCs w:val="20"/>
          <w:lang w:val="es-MX"/>
        </w:rPr>
      </w:pPr>
    </w:p>
    <w:p w14:paraId="577C5639" w14:textId="77777777" w:rsidR="004A09CE" w:rsidRPr="004A09CE" w:rsidRDefault="004A09CE" w:rsidP="004A09CE">
      <w:pPr>
        <w:spacing w:after="0" w:line="240" w:lineRule="auto"/>
        <w:rPr>
          <w:rFonts w:ascii="Verdana" w:eastAsia="Geomanist Light" w:hAnsi="Verdana" w:cs="Arial"/>
          <w:sz w:val="20"/>
          <w:szCs w:val="20"/>
          <w:lang w:val="es-MX"/>
        </w:rPr>
      </w:pPr>
    </w:p>
    <w:p w14:paraId="5804A099" w14:textId="77777777" w:rsidR="004A09CE" w:rsidRPr="004A09CE" w:rsidRDefault="004A09CE" w:rsidP="004A09CE">
      <w:pPr>
        <w:spacing w:after="0" w:line="240" w:lineRule="auto"/>
        <w:rPr>
          <w:rFonts w:ascii="Verdana" w:eastAsia="Geomanist Light" w:hAnsi="Verdana" w:cs="Arial"/>
          <w:sz w:val="20"/>
          <w:szCs w:val="20"/>
          <w:lang w:val="es-MX"/>
        </w:rPr>
      </w:pPr>
    </w:p>
    <w:p w14:paraId="4491E9E5" w14:textId="77777777" w:rsidR="004A09CE" w:rsidRPr="004A09CE" w:rsidRDefault="004A09CE" w:rsidP="004A09CE">
      <w:pPr>
        <w:spacing w:after="0" w:line="240" w:lineRule="auto"/>
        <w:rPr>
          <w:rFonts w:ascii="Verdana" w:eastAsia="Geomanist Light" w:hAnsi="Verdana" w:cs="Arial"/>
          <w:sz w:val="20"/>
          <w:szCs w:val="20"/>
          <w:lang w:val="es-MX"/>
        </w:rPr>
      </w:pPr>
    </w:p>
    <w:p w14:paraId="2CC6C7A4" w14:textId="77777777" w:rsidR="004A09CE" w:rsidRPr="004A09CE" w:rsidRDefault="004A09CE" w:rsidP="004A09CE">
      <w:pPr>
        <w:spacing w:after="0" w:line="240" w:lineRule="auto"/>
        <w:rPr>
          <w:rFonts w:ascii="Verdana" w:eastAsia="Geomanist Light" w:hAnsi="Verdana" w:cs="Arial"/>
          <w:sz w:val="20"/>
          <w:szCs w:val="20"/>
          <w:lang w:val="es-MX"/>
        </w:rPr>
      </w:pPr>
    </w:p>
    <w:p w14:paraId="60E5A310" w14:textId="77777777" w:rsidR="004A09CE" w:rsidRPr="004A09CE" w:rsidRDefault="004A09CE" w:rsidP="004A09CE">
      <w:pPr>
        <w:spacing w:after="0" w:line="240" w:lineRule="auto"/>
        <w:rPr>
          <w:rFonts w:ascii="Verdana" w:eastAsia="Geomanist Light" w:hAnsi="Verdana" w:cs="Arial"/>
          <w:sz w:val="20"/>
          <w:szCs w:val="20"/>
          <w:lang w:val="es-MX"/>
        </w:rPr>
      </w:pPr>
    </w:p>
    <w:p w14:paraId="64AD7766" w14:textId="77777777" w:rsidR="004A09CE" w:rsidRPr="004A09CE" w:rsidRDefault="004A09CE" w:rsidP="004A09CE">
      <w:pPr>
        <w:spacing w:after="0" w:line="240" w:lineRule="auto"/>
        <w:rPr>
          <w:rFonts w:ascii="Verdana" w:eastAsia="Geomanist Light" w:hAnsi="Verdana" w:cs="Arial"/>
          <w:sz w:val="20"/>
          <w:szCs w:val="20"/>
          <w:lang w:val="es-MX"/>
        </w:rPr>
      </w:pPr>
    </w:p>
    <w:p w14:paraId="6DCA750B" w14:textId="77777777" w:rsidR="004A09CE" w:rsidRPr="004A09CE" w:rsidRDefault="004A09CE" w:rsidP="004A09CE">
      <w:pPr>
        <w:spacing w:after="0" w:line="240" w:lineRule="auto"/>
        <w:rPr>
          <w:rFonts w:ascii="Verdana" w:eastAsia="Geomanist Light" w:hAnsi="Verdana" w:cs="Arial"/>
          <w:sz w:val="20"/>
          <w:szCs w:val="20"/>
          <w:lang w:val="es-MX"/>
        </w:rPr>
      </w:pPr>
    </w:p>
    <w:p w14:paraId="0AF923E8" w14:textId="77777777" w:rsidR="004A09CE" w:rsidRPr="004A09CE" w:rsidRDefault="004A09CE" w:rsidP="004A09CE">
      <w:pPr>
        <w:spacing w:after="0" w:line="240" w:lineRule="auto"/>
        <w:rPr>
          <w:rFonts w:ascii="Verdana" w:eastAsia="Geomanist Light" w:hAnsi="Verdana" w:cs="Arial"/>
          <w:sz w:val="20"/>
          <w:szCs w:val="20"/>
          <w:lang w:val="es-MX"/>
        </w:rPr>
      </w:pPr>
    </w:p>
    <w:p w14:paraId="12E326F8" w14:textId="77777777" w:rsidR="004A09CE" w:rsidRPr="004A09CE" w:rsidRDefault="004A09CE" w:rsidP="004A09CE">
      <w:pPr>
        <w:spacing w:after="0" w:line="240" w:lineRule="auto"/>
        <w:rPr>
          <w:rFonts w:ascii="Verdana" w:eastAsia="Geomanist Light" w:hAnsi="Verdana" w:cs="Arial"/>
          <w:sz w:val="20"/>
          <w:szCs w:val="20"/>
          <w:lang w:val="es-MX"/>
        </w:rPr>
      </w:pPr>
    </w:p>
    <w:p w14:paraId="2F5AA79A" w14:textId="77777777" w:rsidR="004A09CE" w:rsidRPr="004A09CE" w:rsidRDefault="004A09CE" w:rsidP="004A09CE">
      <w:pPr>
        <w:spacing w:after="0" w:line="240" w:lineRule="auto"/>
        <w:rPr>
          <w:rFonts w:ascii="Verdana" w:eastAsia="Geomanist Light" w:hAnsi="Verdana" w:cs="Arial"/>
          <w:sz w:val="20"/>
          <w:szCs w:val="20"/>
          <w:lang w:val="es-MX"/>
        </w:rPr>
      </w:pPr>
    </w:p>
    <w:p w14:paraId="43DC7891" w14:textId="77777777" w:rsidR="004A09CE" w:rsidRPr="004A09CE" w:rsidRDefault="004A09CE" w:rsidP="004A09CE">
      <w:pPr>
        <w:spacing w:after="0" w:line="240" w:lineRule="auto"/>
        <w:rPr>
          <w:rFonts w:ascii="Verdana" w:eastAsia="Geomanist Light" w:hAnsi="Verdana" w:cs="Arial"/>
          <w:sz w:val="20"/>
          <w:szCs w:val="20"/>
          <w:lang w:val="es-MX"/>
        </w:rPr>
      </w:pPr>
    </w:p>
    <w:p w14:paraId="7C0A204C" w14:textId="77777777" w:rsidR="004A09CE" w:rsidRPr="004A09CE" w:rsidRDefault="004A09CE" w:rsidP="004A09CE">
      <w:pPr>
        <w:spacing w:after="0" w:line="240" w:lineRule="auto"/>
        <w:rPr>
          <w:rFonts w:ascii="Verdana" w:eastAsia="Geomanist Light" w:hAnsi="Verdana" w:cs="Arial"/>
          <w:sz w:val="20"/>
          <w:szCs w:val="20"/>
          <w:lang w:val="es-MX"/>
        </w:rPr>
      </w:pPr>
    </w:p>
    <w:p w14:paraId="2B860AB5" w14:textId="77777777" w:rsidR="004A09CE" w:rsidRPr="004A09CE" w:rsidRDefault="004A09CE" w:rsidP="004A09CE">
      <w:pPr>
        <w:spacing w:after="0" w:line="240" w:lineRule="auto"/>
        <w:rPr>
          <w:rFonts w:ascii="Verdana" w:eastAsia="Geomanist Light" w:hAnsi="Verdana" w:cs="Arial"/>
          <w:sz w:val="20"/>
          <w:szCs w:val="20"/>
          <w:lang w:val="es-MX"/>
        </w:rPr>
      </w:pPr>
    </w:p>
    <w:p w14:paraId="50558869" w14:textId="77777777" w:rsidR="004A09CE" w:rsidRPr="004A09CE" w:rsidRDefault="004A09CE" w:rsidP="004A09CE">
      <w:pPr>
        <w:spacing w:after="0" w:line="240" w:lineRule="auto"/>
        <w:rPr>
          <w:rFonts w:ascii="Verdana" w:eastAsia="Geomanist Light" w:hAnsi="Verdana" w:cs="Arial"/>
          <w:sz w:val="20"/>
          <w:szCs w:val="20"/>
          <w:lang w:val="es-MX"/>
        </w:rPr>
      </w:pPr>
    </w:p>
    <w:p w14:paraId="7C5F08FF" w14:textId="77777777" w:rsidR="004A09CE" w:rsidRPr="004A09CE" w:rsidRDefault="004A09CE" w:rsidP="004A09CE">
      <w:pPr>
        <w:spacing w:after="0" w:line="240" w:lineRule="auto"/>
        <w:rPr>
          <w:rFonts w:ascii="Verdana" w:eastAsia="Geomanist Light" w:hAnsi="Verdana" w:cs="Arial"/>
          <w:sz w:val="20"/>
          <w:szCs w:val="20"/>
          <w:lang w:val="es-MX"/>
        </w:rPr>
      </w:pPr>
    </w:p>
    <w:p w14:paraId="64E90B35" w14:textId="77777777" w:rsidR="004A09CE" w:rsidRPr="004A09CE" w:rsidRDefault="004A09CE" w:rsidP="004A09CE">
      <w:pPr>
        <w:spacing w:after="0" w:line="240" w:lineRule="auto"/>
        <w:rPr>
          <w:rFonts w:ascii="Verdana" w:eastAsia="Geomanist Light" w:hAnsi="Verdana" w:cs="Arial"/>
          <w:sz w:val="20"/>
          <w:szCs w:val="20"/>
          <w:lang w:val="es-MX"/>
        </w:rPr>
      </w:pPr>
    </w:p>
    <w:p w14:paraId="5B5FD1BC" w14:textId="77777777" w:rsidR="004A09CE" w:rsidRPr="004A09CE" w:rsidRDefault="004A09CE" w:rsidP="004A09CE">
      <w:pPr>
        <w:spacing w:after="0" w:line="240" w:lineRule="auto"/>
        <w:rPr>
          <w:rFonts w:ascii="Verdana" w:eastAsia="Geomanist Light" w:hAnsi="Verdana" w:cs="Arial"/>
          <w:sz w:val="20"/>
          <w:szCs w:val="20"/>
          <w:lang w:val="es-MX"/>
        </w:rPr>
      </w:pPr>
    </w:p>
    <w:p w14:paraId="05FDFF34" w14:textId="77777777" w:rsidR="004A09CE" w:rsidRPr="004A09CE" w:rsidRDefault="004A09CE" w:rsidP="004A09CE">
      <w:pPr>
        <w:spacing w:after="0" w:line="240" w:lineRule="auto"/>
        <w:rPr>
          <w:rFonts w:ascii="Verdana" w:eastAsia="Geomanist Light" w:hAnsi="Verdana" w:cs="Arial"/>
          <w:sz w:val="20"/>
          <w:szCs w:val="20"/>
          <w:lang w:val="es-MX"/>
        </w:rPr>
      </w:pPr>
    </w:p>
    <w:p w14:paraId="7C342290" w14:textId="77777777" w:rsidR="004A09CE" w:rsidRPr="004A09CE" w:rsidRDefault="004A09CE" w:rsidP="004A09CE">
      <w:pPr>
        <w:spacing w:after="0" w:line="240" w:lineRule="auto"/>
        <w:rPr>
          <w:rFonts w:ascii="Verdana" w:eastAsia="Geomanist Light" w:hAnsi="Verdana" w:cs="Arial"/>
          <w:sz w:val="20"/>
          <w:szCs w:val="20"/>
          <w:lang w:val="es-MX"/>
        </w:rPr>
      </w:pPr>
    </w:p>
    <w:p w14:paraId="771EE2BF" w14:textId="77777777" w:rsidR="004A09CE" w:rsidRPr="004A09CE" w:rsidRDefault="004A09CE" w:rsidP="004A09CE">
      <w:pPr>
        <w:spacing w:after="0" w:line="240" w:lineRule="auto"/>
        <w:rPr>
          <w:rFonts w:ascii="Verdana" w:eastAsia="Geomanist Light" w:hAnsi="Verdana" w:cs="Arial"/>
          <w:sz w:val="20"/>
          <w:szCs w:val="20"/>
          <w:lang w:val="es-MX"/>
        </w:rPr>
      </w:pPr>
    </w:p>
    <w:p w14:paraId="76EDC413" w14:textId="77777777" w:rsidR="004A09CE" w:rsidRPr="004A09CE" w:rsidRDefault="004A09CE" w:rsidP="004A09CE">
      <w:pPr>
        <w:spacing w:after="0" w:line="240" w:lineRule="auto"/>
        <w:rPr>
          <w:rFonts w:ascii="Verdana" w:eastAsia="Geomanist Light" w:hAnsi="Verdana" w:cs="Arial"/>
          <w:sz w:val="20"/>
          <w:szCs w:val="20"/>
          <w:lang w:val="es-MX"/>
        </w:rPr>
      </w:pPr>
    </w:p>
    <w:p w14:paraId="1A881580" w14:textId="77777777" w:rsidR="004A09CE" w:rsidRPr="004A09CE" w:rsidRDefault="004A09CE" w:rsidP="004A09CE">
      <w:pPr>
        <w:spacing w:after="0" w:line="240" w:lineRule="auto"/>
        <w:rPr>
          <w:rFonts w:ascii="Verdana" w:eastAsia="Geomanist Light" w:hAnsi="Verdana" w:cs="Arial"/>
          <w:sz w:val="20"/>
          <w:szCs w:val="20"/>
          <w:lang w:val="es-MX"/>
        </w:rPr>
      </w:pPr>
    </w:p>
    <w:p w14:paraId="71AD8811" w14:textId="77777777" w:rsidR="004A09CE" w:rsidRPr="004A09CE" w:rsidRDefault="004A09CE" w:rsidP="004A09CE">
      <w:pPr>
        <w:spacing w:after="0" w:line="240" w:lineRule="auto"/>
        <w:rPr>
          <w:rFonts w:ascii="Verdana" w:eastAsia="Geomanist Light" w:hAnsi="Verdana" w:cs="Arial"/>
          <w:sz w:val="20"/>
          <w:szCs w:val="20"/>
          <w:lang w:val="es-MX"/>
        </w:rPr>
      </w:pPr>
    </w:p>
    <w:p w14:paraId="2949F9B3" w14:textId="355A0FD0" w:rsidR="004A09CE" w:rsidRPr="004A09CE" w:rsidRDefault="004A09CE" w:rsidP="004A09CE">
      <w:pPr>
        <w:spacing w:after="0" w:line="240" w:lineRule="auto"/>
        <w:rPr>
          <w:rFonts w:ascii="Verdana" w:eastAsia="Geomanist Light" w:hAnsi="Verdana" w:cs="Arial"/>
          <w:lang w:val="es-MX"/>
        </w:rPr>
      </w:pPr>
      <w:r w:rsidRPr="004A09CE">
        <w:rPr>
          <w:rFonts w:ascii="Verdana" w:eastAsia="Geomanist Light" w:hAnsi="Verdana" w:cs="Arial"/>
          <w:lang w:val="es-MX"/>
        </w:rPr>
        <w:lastRenderedPageBreak/>
        <w:t>Bogotá D.C., </w:t>
      </w:r>
      <w:r w:rsidR="002068C1">
        <w:rPr>
          <w:rFonts w:ascii="Verdana" w:eastAsia="Geomanist Light" w:hAnsi="Verdana" w:cs="Arial"/>
          <w:lang w:val="es-MX"/>
        </w:rPr>
        <w:t>28</w:t>
      </w:r>
      <w:r w:rsidR="002164F9">
        <w:rPr>
          <w:rFonts w:ascii="Verdana" w:eastAsia="Geomanist Light" w:hAnsi="Verdana" w:cs="Arial"/>
          <w:lang w:val="es-MX"/>
        </w:rPr>
        <w:t xml:space="preserve"> de julio de 2025</w:t>
      </w:r>
    </w:p>
    <w:p w14:paraId="15FD15E1" w14:textId="77777777" w:rsidR="004A09CE" w:rsidRPr="004A09CE" w:rsidRDefault="004A09CE" w:rsidP="004A09CE">
      <w:pPr>
        <w:spacing w:after="0" w:line="240" w:lineRule="auto"/>
        <w:jc w:val="both"/>
        <w:rPr>
          <w:rFonts w:ascii="Verdana" w:eastAsia="Calibri" w:hAnsi="Verdana" w:cs="Arial"/>
          <w:lang w:val="es-ES"/>
        </w:rPr>
      </w:pPr>
    </w:p>
    <w:p w14:paraId="293D2804" w14:textId="1DD5BB8D" w:rsidR="004A09CE" w:rsidRPr="004A09CE" w:rsidRDefault="00392666" w:rsidP="004A09CE">
      <w:pPr>
        <w:spacing w:after="0" w:line="240" w:lineRule="auto"/>
        <w:jc w:val="right"/>
        <w:rPr>
          <w:rFonts w:ascii="Verdana" w:eastAsia="Calibri" w:hAnsi="Verdana" w:cs="Arial"/>
          <w:lang w:val="es-ES"/>
        </w:rPr>
      </w:pPr>
      <w:r w:rsidRPr="00392666">
        <w:rPr>
          <w:rFonts w:ascii="Verdana" w:eastAsia="Calibri" w:hAnsi="Verdana" w:cs="Arial"/>
          <w:lang w:val="es-ES"/>
        </w:rPr>
        <w:drawing>
          <wp:inline distT="0" distB="0" distL="0" distR="0" wp14:anchorId="2B88C067" wp14:editId="0A24283B">
            <wp:extent cx="2457793" cy="685896"/>
            <wp:effectExtent l="0" t="0" r="0" b="0"/>
            <wp:docPr id="1815491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9112" name="Imagen 1" descr="Texto&#10;&#10;El contenido generado por IA puede ser incorrecto."/>
                    <pic:cNvPicPr/>
                  </pic:nvPicPr>
                  <pic:blipFill>
                    <a:blip r:embed="rId10"/>
                    <a:stretch>
                      <a:fillRect/>
                    </a:stretch>
                  </pic:blipFill>
                  <pic:spPr>
                    <a:xfrm>
                      <a:off x="0" y="0"/>
                      <a:ext cx="2457793" cy="685896"/>
                    </a:xfrm>
                    <a:prstGeom prst="rect">
                      <a:avLst/>
                    </a:prstGeom>
                  </pic:spPr>
                </pic:pic>
              </a:graphicData>
            </a:graphic>
          </wp:inline>
        </w:drawing>
      </w:r>
    </w:p>
    <w:p w14:paraId="2A34DBAD" w14:textId="77777777" w:rsidR="004A09CE" w:rsidRPr="004A09CE" w:rsidRDefault="004A09CE" w:rsidP="004A09CE">
      <w:pPr>
        <w:spacing w:after="0" w:line="240" w:lineRule="auto"/>
        <w:jc w:val="both"/>
        <w:rPr>
          <w:rFonts w:ascii="Verdana" w:eastAsia="Calibri" w:hAnsi="Verdana" w:cs="Arial"/>
          <w:lang w:val="es-ES"/>
        </w:rPr>
      </w:pPr>
    </w:p>
    <w:p w14:paraId="48DC347E" w14:textId="77777777" w:rsidR="004A09CE" w:rsidRPr="004A09CE" w:rsidRDefault="004A09CE" w:rsidP="004A09CE">
      <w:pPr>
        <w:spacing w:after="0" w:line="240" w:lineRule="auto"/>
        <w:jc w:val="both"/>
        <w:rPr>
          <w:rFonts w:ascii="Verdana" w:eastAsia="Calibri" w:hAnsi="Verdana" w:cs="Arial"/>
          <w:lang w:val="es-ES" w:eastAsia="es-ES"/>
        </w:rPr>
      </w:pPr>
      <w:r w:rsidRPr="004A09CE">
        <w:rPr>
          <w:rFonts w:ascii="Verdana" w:eastAsia="Calibri" w:hAnsi="Verdana" w:cs="Arial"/>
          <w:lang w:val="es-ES" w:eastAsia="es-ES"/>
        </w:rPr>
        <w:t>Señor</w:t>
      </w:r>
    </w:p>
    <w:p w14:paraId="42D6ABE7" w14:textId="77777777" w:rsidR="004A09CE" w:rsidRPr="004A09CE" w:rsidRDefault="004A09CE" w:rsidP="004A09CE">
      <w:pPr>
        <w:spacing w:after="0" w:line="240" w:lineRule="auto"/>
        <w:rPr>
          <w:rFonts w:ascii="Verdana" w:eastAsia="Calibri" w:hAnsi="Verdana" w:cs="Arial"/>
          <w:b/>
          <w:lang w:val="es-ES" w:eastAsia="es-ES"/>
        </w:rPr>
      </w:pPr>
      <w:r w:rsidRPr="004A09CE">
        <w:rPr>
          <w:rFonts w:ascii="Verdana" w:eastAsia="Calibri" w:hAnsi="Verdana" w:cs="Arial"/>
          <w:b/>
          <w:lang w:val="es-ES" w:eastAsia="es-ES"/>
        </w:rPr>
        <w:t>Giancarlo Mijail Baena Rubio</w:t>
      </w:r>
    </w:p>
    <w:p w14:paraId="408D867F" w14:textId="77777777" w:rsidR="004A09CE" w:rsidRPr="004A09CE" w:rsidRDefault="004A09CE" w:rsidP="004A09CE">
      <w:pPr>
        <w:spacing w:after="0" w:line="240" w:lineRule="auto"/>
        <w:rPr>
          <w:rFonts w:ascii="Verdana" w:eastAsia="Aptos" w:hAnsi="Verdana" w:cs="Times New Roman"/>
        </w:rPr>
      </w:pPr>
      <w:hyperlink r:id="rId11" w:history="1">
        <w:r w:rsidRPr="004A09CE">
          <w:rPr>
            <w:rFonts w:ascii="Verdana" w:eastAsia="Aptos" w:hAnsi="Verdana" w:cs="Times New Roman"/>
            <w:color w:val="0000FF"/>
            <w:u w:val="single"/>
          </w:rPr>
          <w:t>gmbaena50@gmail.com</w:t>
        </w:r>
      </w:hyperlink>
      <w:r w:rsidRPr="004A09CE">
        <w:rPr>
          <w:rFonts w:ascii="Verdana" w:eastAsia="Aptos" w:hAnsi="Verdana" w:cs="Times New Roman"/>
        </w:rPr>
        <w:t xml:space="preserve"> </w:t>
      </w:r>
    </w:p>
    <w:p w14:paraId="106D9E37" w14:textId="77777777" w:rsidR="004A09CE" w:rsidRPr="004A09CE" w:rsidRDefault="004A09CE" w:rsidP="004A09CE">
      <w:pPr>
        <w:spacing w:after="0" w:line="240" w:lineRule="auto"/>
        <w:rPr>
          <w:rFonts w:ascii="Verdana" w:eastAsia="Calibri" w:hAnsi="Verdana" w:cs="Arial"/>
          <w:b/>
          <w:bCs/>
          <w:lang w:val="es-ES" w:eastAsia="es-ES"/>
        </w:rPr>
      </w:pPr>
      <w:r w:rsidRPr="004A09CE">
        <w:rPr>
          <w:rFonts w:ascii="Verdana" w:eastAsia="Calibri" w:hAnsi="Verdana" w:cs="Arial"/>
          <w:lang w:val="es-ES" w:eastAsia="es-ES"/>
        </w:rPr>
        <w:t>Ciudad</w:t>
      </w:r>
    </w:p>
    <w:p w14:paraId="585B62EB" w14:textId="77777777" w:rsidR="004A09CE" w:rsidRPr="004A09CE" w:rsidRDefault="004A09CE" w:rsidP="004A09CE">
      <w:pPr>
        <w:spacing w:after="0" w:line="240" w:lineRule="auto"/>
        <w:rPr>
          <w:rFonts w:ascii="Verdana" w:eastAsia="Calibri" w:hAnsi="Verdana" w:cs="Arial"/>
          <w:b/>
          <w:bCs/>
          <w:lang w:val="es-ES_tradnl" w:eastAsia="es-ES_tradnl"/>
        </w:rPr>
      </w:pPr>
    </w:p>
    <w:p w14:paraId="44EEC164" w14:textId="77777777" w:rsidR="004A09CE" w:rsidRPr="004A09CE" w:rsidRDefault="004A09CE" w:rsidP="004A09C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09CE" w:rsidRPr="004A09CE" w14:paraId="1A577FAD" w14:textId="77777777" w:rsidTr="007220F2">
        <w:trPr>
          <w:trHeight w:val="884"/>
        </w:trPr>
        <w:tc>
          <w:tcPr>
            <w:tcW w:w="2689" w:type="dxa"/>
          </w:tcPr>
          <w:p w14:paraId="167DE203" w14:textId="77777777" w:rsidR="004A09CE" w:rsidRPr="004A09CE" w:rsidRDefault="004A09CE" w:rsidP="004A09CE">
            <w:pPr>
              <w:spacing w:line="240" w:lineRule="auto"/>
              <w:jc w:val="both"/>
              <w:rPr>
                <w:rFonts w:ascii="Verdana" w:eastAsia="Calibri" w:hAnsi="Verdana" w:cs="Arial"/>
                <w:b/>
                <w:bCs/>
                <w:lang w:val="es-ES_tradnl" w:eastAsia="es-ES_tradnl"/>
              </w:rPr>
            </w:pPr>
          </w:p>
        </w:tc>
        <w:tc>
          <w:tcPr>
            <w:tcW w:w="6100" w:type="dxa"/>
          </w:tcPr>
          <w:p w14:paraId="765447E8" w14:textId="025047D7" w:rsidR="004A09CE" w:rsidRPr="004A09CE" w:rsidRDefault="004A09CE" w:rsidP="004A09CE">
            <w:pPr>
              <w:spacing w:line="240" w:lineRule="auto"/>
              <w:jc w:val="both"/>
              <w:rPr>
                <w:rFonts w:ascii="Verdana" w:eastAsia="Calibri" w:hAnsi="Verdana" w:cs="Arial"/>
                <w:b/>
                <w:bCs/>
                <w:lang w:val="es-ES" w:eastAsia="es-ES"/>
              </w:rPr>
            </w:pPr>
            <w:r w:rsidRPr="004A09CE">
              <w:rPr>
                <w:rFonts w:ascii="Verdana" w:eastAsia="Calibri" w:hAnsi="Verdana" w:cs="Arial"/>
                <w:b/>
                <w:bCs/>
                <w:lang w:val="es-ES" w:eastAsia="es-ES"/>
              </w:rPr>
              <w:t>Concepto C-83</w:t>
            </w:r>
            <w:r w:rsidR="005F1EBA">
              <w:rPr>
                <w:rFonts w:ascii="Verdana" w:eastAsia="Calibri" w:hAnsi="Verdana" w:cs="Arial"/>
                <w:b/>
                <w:bCs/>
                <w:lang w:val="es-ES" w:eastAsia="es-ES"/>
              </w:rPr>
              <w:t>7</w:t>
            </w:r>
            <w:r w:rsidRPr="004A09CE">
              <w:rPr>
                <w:rFonts w:ascii="Verdana" w:eastAsia="Calibri" w:hAnsi="Verdana" w:cs="Arial"/>
                <w:b/>
                <w:bCs/>
                <w:lang w:val="es-ES" w:eastAsia="es-ES"/>
              </w:rPr>
              <w:t xml:space="preserve"> de 2025</w:t>
            </w:r>
          </w:p>
        </w:tc>
      </w:tr>
      <w:tr w:rsidR="004A09CE" w:rsidRPr="004A09CE" w14:paraId="3379D413" w14:textId="77777777" w:rsidTr="007220F2">
        <w:trPr>
          <w:trHeight w:val="884"/>
        </w:trPr>
        <w:tc>
          <w:tcPr>
            <w:tcW w:w="2689" w:type="dxa"/>
          </w:tcPr>
          <w:p w14:paraId="29C9D502" w14:textId="77777777" w:rsidR="004A09CE" w:rsidRPr="004A09CE" w:rsidRDefault="004A09CE" w:rsidP="004A09CE">
            <w:pPr>
              <w:spacing w:line="240" w:lineRule="auto"/>
              <w:jc w:val="both"/>
              <w:rPr>
                <w:rFonts w:ascii="Verdana" w:eastAsia="Calibri" w:hAnsi="Verdana" w:cs="Arial"/>
                <w:lang w:val="es-ES_tradnl" w:eastAsia="es-ES_tradnl"/>
              </w:rPr>
            </w:pPr>
            <w:r w:rsidRPr="004A09CE">
              <w:rPr>
                <w:rFonts w:ascii="Verdana" w:eastAsia="Calibri" w:hAnsi="Verdana" w:cs="Arial"/>
                <w:b/>
                <w:lang w:val="es-ES_tradnl" w:eastAsia="es-ES_tradnl"/>
              </w:rPr>
              <w:t>Temas:</w:t>
            </w:r>
            <w:r w:rsidRPr="004A09CE">
              <w:rPr>
                <w:rFonts w:ascii="Verdana" w:eastAsia="Calibri" w:hAnsi="Verdana" w:cs="Arial"/>
                <w:lang w:val="es-ES_tradnl" w:eastAsia="es-ES_tradnl"/>
              </w:rPr>
              <w:t xml:space="preserve">                   </w:t>
            </w:r>
          </w:p>
        </w:tc>
        <w:tc>
          <w:tcPr>
            <w:tcW w:w="6100" w:type="dxa"/>
          </w:tcPr>
          <w:p w14:paraId="3EFD7A4E" w14:textId="77777777" w:rsidR="004A09CE" w:rsidRPr="004A09CE" w:rsidRDefault="004A09CE" w:rsidP="004A09CE">
            <w:pPr>
              <w:spacing w:line="276" w:lineRule="auto"/>
              <w:jc w:val="both"/>
              <w:rPr>
                <w:rFonts w:ascii="Verdana" w:eastAsia="Calibri" w:hAnsi="Verdana" w:cs="Arial"/>
                <w:lang w:val="es-ES" w:eastAsia="es-ES"/>
              </w:rPr>
            </w:pPr>
            <w:r w:rsidRPr="004A09CE">
              <w:rPr>
                <w:rFonts w:ascii="Verdana" w:eastAsia="Calibri" w:hAnsi="Verdana" w:cs="Arial"/>
                <w:lang w:val="es-ES" w:eastAsia="es-ES"/>
              </w:rPr>
              <w:t>CONTRATO DE CORRETAJE DE SEGUROS – Noción – Objeto de la intermediación – Obligaciones gratuitas – Obligaciones por comisión / CONVOCATORIAS LIMITADAS A MIPYMES – Requisitos / CONVOCATORIAS LIMITADAS A MIPYMES – Procedencia – Contratos de corretaje de seguros – Contrato sin erogación económica</w:t>
            </w:r>
          </w:p>
          <w:p w14:paraId="1D49CE3E" w14:textId="77777777" w:rsidR="004A09CE" w:rsidRPr="004A09CE" w:rsidRDefault="004A09CE" w:rsidP="004A09CE">
            <w:pPr>
              <w:spacing w:line="276" w:lineRule="auto"/>
              <w:jc w:val="both"/>
              <w:rPr>
                <w:rFonts w:ascii="Verdana" w:eastAsia="Calibri" w:hAnsi="Verdana" w:cs="Arial"/>
                <w:lang w:val="es-ES" w:eastAsia="es-ES"/>
              </w:rPr>
            </w:pPr>
          </w:p>
        </w:tc>
      </w:tr>
      <w:tr w:rsidR="004A09CE" w:rsidRPr="004A09CE" w14:paraId="447AAFCE" w14:textId="77777777" w:rsidTr="007220F2">
        <w:tc>
          <w:tcPr>
            <w:tcW w:w="2689" w:type="dxa"/>
          </w:tcPr>
          <w:p w14:paraId="63C9B58A" w14:textId="77777777" w:rsidR="004A09CE" w:rsidRPr="004A09CE" w:rsidRDefault="004A09CE" w:rsidP="004A09CE">
            <w:pPr>
              <w:spacing w:line="240" w:lineRule="auto"/>
              <w:jc w:val="both"/>
              <w:rPr>
                <w:rFonts w:ascii="Verdana" w:eastAsia="Calibri" w:hAnsi="Verdana" w:cs="Arial"/>
                <w:b/>
                <w:lang w:val="es-ES_tradnl" w:eastAsia="es-ES_tradnl"/>
              </w:rPr>
            </w:pPr>
            <w:r w:rsidRPr="004A09CE">
              <w:rPr>
                <w:rFonts w:ascii="Verdana" w:eastAsia="Calibri" w:hAnsi="Verdana" w:cs="Arial"/>
                <w:b/>
                <w:lang w:val="es-ES_tradnl" w:eastAsia="es-ES_tradnl"/>
              </w:rPr>
              <w:t>Radicación:</w:t>
            </w:r>
            <w:r w:rsidRPr="004A09CE">
              <w:rPr>
                <w:rFonts w:ascii="Verdana" w:eastAsia="Calibri" w:hAnsi="Verdana" w:cs="Arial"/>
                <w:lang w:val="es-ES_tradnl" w:eastAsia="es-ES_tradnl"/>
              </w:rPr>
              <w:t xml:space="preserve">               </w:t>
            </w:r>
          </w:p>
        </w:tc>
        <w:tc>
          <w:tcPr>
            <w:tcW w:w="6100" w:type="dxa"/>
          </w:tcPr>
          <w:p w14:paraId="4C466AC4" w14:textId="77777777" w:rsidR="004A09CE" w:rsidRPr="004A09CE" w:rsidRDefault="004A09CE" w:rsidP="004A09CE">
            <w:pPr>
              <w:spacing w:line="240" w:lineRule="auto"/>
              <w:jc w:val="both"/>
              <w:rPr>
                <w:rFonts w:ascii="Verdana" w:eastAsia="Calibri" w:hAnsi="Verdana" w:cs="Arial"/>
                <w:lang w:val="es-ES_tradnl" w:eastAsia="es-ES_tradnl"/>
              </w:rPr>
            </w:pPr>
            <w:r w:rsidRPr="004A09CE">
              <w:rPr>
                <w:rFonts w:ascii="Verdana" w:eastAsia="Calibri" w:hAnsi="Verdana" w:cs="Arial"/>
                <w:lang w:val="es-ES_tradnl" w:eastAsia="es-ES_tradnl"/>
              </w:rPr>
              <w:t>Respuesta a consulta con radicado No. 1_2025_06_24_006317</w:t>
            </w:r>
          </w:p>
        </w:tc>
      </w:tr>
    </w:tbl>
    <w:p w14:paraId="31B73A11" w14:textId="77777777" w:rsidR="004A09CE" w:rsidRPr="004A09CE" w:rsidRDefault="004A09CE" w:rsidP="004A09CE">
      <w:pPr>
        <w:spacing w:after="0" w:line="240" w:lineRule="auto"/>
        <w:jc w:val="both"/>
        <w:rPr>
          <w:rFonts w:ascii="Verdana" w:eastAsia="Calibri" w:hAnsi="Verdana" w:cs="Arial"/>
          <w:lang w:val="es-ES_tradnl" w:eastAsia="es-ES_tradnl"/>
        </w:rPr>
      </w:pPr>
    </w:p>
    <w:p w14:paraId="5D3B7BE9" w14:textId="77777777" w:rsidR="004A09CE" w:rsidRPr="004A09CE" w:rsidRDefault="004A09CE" w:rsidP="004A09CE">
      <w:pPr>
        <w:spacing w:after="0" w:line="240" w:lineRule="auto"/>
        <w:jc w:val="both"/>
        <w:rPr>
          <w:rFonts w:ascii="Verdana" w:eastAsia="Calibri" w:hAnsi="Verdana" w:cs="Arial"/>
          <w:lang w:val="es-ES_tradnl" w:eastAsia="es-ES_tradnl"/>
        </w:rPr>
      </w:pPr>
    </w:p>
    <w:p w14:paraId="4E0D7C66" w14:textId="77777777" w:rsidR="004A09CE" w:rsidRPr="004A09CE" w:rsidRDefault="004A09CE" w:rsidP="004A09CE">
      <w:pPr>
        <w:spacing w:after="0" w:line="276" w:lineRule="auto"/>
        <w:jc w:val="both"/>
        <w:rPr>
          <w:rFonts w:ascii="Verdana" w:eastAsia="Calibri" w:hAnsi="Verdana" w:cs="Arial"/>
          <w:lang w:val="es-ES" w:eastAsia="es-ES"/>
        </w:rPr>
      </w:pPr>
      <w:r w:rsidRPr="004A09CE">
        <w:rPr>
          <w:rFonts w:ascii="Verdana" w:eastAsia="Calibri" w:hAnsi="Verdana" w:cs="Arial"/>
          <w:lang w:val="es-ES" w:eastAsia="es-ES"/>
        </w:rPr>
        <w:t xml:space="preserve">Estimado señor Baena: </w:t>
      </w:r>
    </w:p>
    <w:p w14:paraId="766A3E53" w14:textId="77777777" w:rsidR="004A09CE" w:rsidRPr="004A09CE" w:rsidRDefault="004A09CE" w:rsidP="004A09CE">
      <w:pPr>
        <w:tabs>
          <w:tab w:val="left" w:pos="3768"/>
        </w:tabs>
        <w:spacing w:after="0" w:line="276" w:lineRule="auto"/>
        <w:jc w:val="both"/>
        <w:rPr>
          <w:rFonts w:ascii="Verdana" w:eastAsia="Calibri" w:hAnsi="Verdana" w:cs="Arial"/>
          <w:lang w:val="es-ES" w:eastAsia="es-ES"/>
        </w:rPr>
      </w:pPr>
      <w:r w:rsidRPr="004A09CE">
        <w:rPr>
          <w:rFonts w:ascii="Verdana" w:eastAsia="Calibri" w:hAnsi="Verdana" w:cs="Arial"/>
          <w:lang w:val="es-ES" w:eastAsia="es-ES"/>
        </w:rPr>
        <w:tab/>
      </w:r>
    </w:p>
    <w:p w14:paraId="64E5FE38" w14:textId="77777777" w:rsidR="004A09CE" w:rsidRPr="004A09CE" w:rsidRDefault="004A09CE" w:rsidP="004A09CE">
      <w:pPr>
        <w:spacing w:after="0" w:line="276" w:lineRule="auto"/>
        <w:jc w:val="both"/>
        <w:rPr>
          <w:rFonts w:ascii="Verdana" w:eastAsia="Calibri" w:hAnsi="Verdana" w:cs="Arial"/>
          <w:lang w:val="es-ES" w:eastAsia="es-ES"/>
        </w:rPr>
      </w:pPr>
      <w:r w:rsidRPr="004A09CE">
        <w:rPr>
          <w:rFonts w:ascii="Verdana" w:eastAsia="Calibri" w:hAnsi="Verdana" w:cs="Arial"/>
          <w:lang w:val="es-ES" w:eastAsia="es-ES"/>
        </w:rPr>
        <w:t>En ejercicio de la competencia otorgada por los artículos 3, numeral 5º, y 11, numeral 8º, del Decreto Ley 4170 de 2011,</w:t>
      </w:r>
      <w:r w:rsidRPr="004A09CE">
        <w:rPr>
          <w:rFonts w:ascii="Verdana" w:eastAsia="Arial MT" w:hAnsi="Verdana" w:cs="Arial MT"/>
          <w:lang w:val="es-ES" w:eastAsia="es-ES"/>
        </w:rPr>
        <w:t xml:space="preserve"> </w:t>
      </w:r>
      <w:r w:rsidRPr="004A09CE">
        <w:rPr>
          <w:rFonts w:ascii="Verdana" w:eastAsia="Aptos" w:hAnsi="Verdana" w:cs="Arial"/>
        </w:rPr>
        <w:t xml:space="preserve">así como lo establecido en el artículo 4 de la Resolución 1707 de 2018 expedida por esta Entidad, </w:t>
      </w:r>
      <w:r w:rsidRPr="004A09CE">
        <w:rPr>
          <w:rFonts w:ascii="Verdana" w:eastAsia="Calibri" w:hAnsi="Verdana" w:cs="Arial"/>
          <w:lang w:val="es-ES" w:eastAsia="es-ES"/>
        </w:rPr>
        <w:t xml:space="preserve">la Agencia Nacional de Contratación Pública – Colombia Compra Eficiente– responde su solicitud de consulta de fecha del 24 de junio de 2025, en la que realiza la siguiente consulta: </w:t>
      </w:r>
    </w:p>
    <w:p w14:paraId="6656A526" w14:textId="77777777" w:rsidR="004A09CE" w:rsidRPr="004A09CE" w:rsidRDefault="004A09CE" w:rsidP="004A09CE">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50A97D8" w14:textId="77777777" w:rsidR="004A09CE" w:rsidRPr="004A09CE" w:rsidRDefault="004A09CE" w:rsidP="004A09CE">
      <w:pPr>
        <w:tabs>
          <w:tab w:val="left" w:pos="709"/>
        </w:tabs>
        <w:spacing w:after="0" w:line="240" w:lineRule="auto"/>
        <w:ind w:left="709" w:right="709"/>
        <w:jc w:val="both"/>
        <w:rPr>
          <w:rFonts w:ascii="Verdana" w:eastAsia="Calibri" w:hAnsi="Verdana" w:cs="Arial"/>
          <w:sz w:val="20"/>
          <w:szCs w:val="20"/>
          <w:lang w:val="es-MX"/>
        </w:rPr>
      </w:pPr>
      <w:r w:rsidRPr="004A09CE">
        <w:rPr>
          <w:rFonts w:ascii="Verdana" w:eastAsia="Calibri" w:hAnsi="Verdana" w:cs="Arial"/>
          <w:sz w:val="20"/>
          <w:szCs w:val="20"/>
          <w:lang w:val="es-MX"/>
        </w:rPr>
        <w:t xml:space="preserve">“Teniendo en cuenta que en los procesos contractuales para la selección de intermediarios o corredores de seguros mediante concurso de méritos no existe erogación económica por parte de la entidad estatal contratante, ya que la remuneración del intermediario es asumida directamente por las compañías aseguradoras conforme a lo establecido en el artículo 1341 de </w:t>
      </w:r>
      <w:r w:rsidRPr="004A09CE">
        <w:rPr>
          <w:rFonts w:ascii="Verdana" w:eastAsia="Calibri" w:hAnsi="Verdana" w:cs="Arial"/>
          <w:sz w:val="20"/>
          <w:szCs w:val="20"/>
          <w:lang w:val="es-MX"/>
        </w:rPr>
        <w:lastRenderedPageBreak/>
        <w:t>Código de Comercio, y que dicha comisión es producto de otro proceso de selección, […]</w:t>
      </w:r>
    </w:p>
    <w:p w14:paraId="227008AC" w14:textId="77777777" w:rsidR="004A09CE" w:rsidRPr="004A09CE" w:rsidRDefault="004A09CE" w:rsidP="004A09CE">
      <w:pPr>
        <w:tabs>
          <w:tab w:val="left" w:pos="709"/>
        </w:tabs>
        <w:spacing w:after="0" w:line="240" w:lineRule="auto"/>
        <w:ind w:left="709" w:right="709"/>
        <w:jc w:val="both"/>
        <w:rPr>
          <w:rFonts w:ascii="Verdana" w:eastAsia="Calibri" w:hAnsi="Verdana" w:cs="Arial"/>
          <w:sz w:val="20"/>
          <w:szCs w:val="20"/>
          <w:lang w:val="es-MX"/>
        </w:rPr>
      </w:pPr>
      <w:r w:rsidRPr="004A09CE">
        <w:rPr>
          <w:rFonts w:ascii="Verdana" w:eastAsia="Calibri" w:hAnsi="Verdana" w:cs="Arial"/>
          <w:b/>
          <w:bCs/>
          <w:sz w:val="20"/>
          <w:szCs w:val="20"/>
          <w:lang w:val="es-MX"/>
        </w:rPr>
        <w:t>¿Es jurídicamente viable que las entidades estatales limiten la participan en los concursos de méritos para la selección de corredores o intermediarios de seguros exclusivamente a empresas con calidad de MiPymes, cuando el proceso carece de valor económico o, en su defecto, el proceso no tiene erogación, considerando que el artículo 2.2.1.2.4.2.2 del Decreto 1082 de 2015 exige como requisito que el valor del proceso sea inferior a ciento veinticinco mil dólares estadounidenses (US$123.000)?</w:t>
      </w:r>
      <w:r w:rsidRPr="004A09CE">
        <w:rPr>
          <w:rFonts w:ascii="Verdana" w:eastAsia="Calibri" w:hAnsi="Verdana" w:cs="Arial"/>
          <w:sz w:val="20"/>
          <w:szCs w:val="20"/>
          <w:lang w:val="es-MX"/>
        </w:rPr>
        <w:t>” [sic] [Negrillas propias]</w:t>
      </w:r>
    </w:p>
    <w:p w14:paraId="3F0961BC" w14:textId="77777777" w:rsidR="004A09CE" w:rsidRPr="004A09CE" w:rsidRDefault="004A09CE" w:rsidP="004A09CE">
      <w:pPr>
        <w:tabs>
          <w:tab w:val="left" w:pos="142"/>
          <w:tab w:val="left" w:pos="284"/>
        </w:tabs>
        <w:spacing w:line="276" w:lineRule="auto"/>
        <w:contextualSpacing/>
        <w:jc w:val="both"/>
        <w:rPr>
          <w:rFonts w:ascii="Verdana" w:eastAsia="Century Gothic" w:hAnsi="Verdana" w:cs="Century Gothic"/>
          <w:b/>
          <w:bCs/>
          <w:lang w:val="es-ES"/>
        </w:rPr>
      </w:pPr>
    </w:p>
    <w:p w14:paraId="65F74C6D" w14:textId="77777777" w:rsidR="004A09CE" w:rsidRPr="004A09CE" w:rsidRDefault="004A09CE" w:rsidP="004A09CE">
      <w:pPr>
        <w:spacing w:after="120" w:line="276" w:lineRule="auto"/>
        <w:ind w:firstLine="709"/>
        <w:jc w:val="both"/>
        <w:rPr>
          <w:rFonts w:ascii="Verdana" w:eastAsia="Calibri" w:hAnsi="Verdana" w:cs="Arial"/>
          <w:szCs w:val="24"/>
          <w:lang w:val="es-ES_tradnl" w:eastAsia="es-ES_tradnl"/>
        </w:rPr>
      </w:pPr>
      <w:r w:rsidRPr="004A09C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A09CE">
        <w:rPr>
          <w:rFonts w:ascii="Verdana" w:eastAsia="Calibri" w:hAnsi="Verdana" w:cs="Arial"/>
          <w:szCs w:val="24"/>
          <w:lang w:val="es-ES_tradnl" w:eastAsia="es-ES_tradnl"/>
        </w:rPr>
        <w:tab/>
      </w:r>
    </w:p>
    <w:p w14:paraId="5B3BD759" w14:textId="77777777" w:rsidR="004A09CE" w:rsidRPr="004A09CE" w:rsidRDefault="004A09CE" w:rsidP="004A09CE">
      <w:pPr>
        <w:spacing w:after="0" w:line="276" w:lineRule="auto"/>
        <w:ind w:firstLine="709"/>
        <w:jc w:val="both"/>
        <w:rPr>
          <w:rFonts w:ascii="Verdana" w:eastAsia="Calibri" w:hAnsi="Verdana" w:cs="Arial"/>
          <w:lang w:val="es-ES" w:eastAsia="es-ES"/>
        </w:rPr>
      </w:pPr>
      <w:r w:rsidRPr="004A09C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1C164CC" w14:textId="77777777" w:rsidR="004A09CE" w:rsidRPr="004A09CE" w:rsidRDefault="004A09CE" w:rsidP="004A09CE">
      <w:pPr>
        <w:spacing w:after="0" w:line="276" w:lineRule="auto"/>
        <w:ind w:firstLine="709"/>
        <w:jc w:val="both"/>
        <w:rPr>
          <w:rFonts w:ascii="Verdana" w:eastAsia="Calibri" w:hAnsi="Verdana" w:cs="Arial"/>
          <w:lang w:val="es-ES" w:eastAsia="es-ES"/>
        </w:rPr>
      </w:pPr>
    </w:p>
    <w:p w14:paraId="1344BC6E" w14:textId="77777777" w:rsidR="004A09CE" w:rsidRPr="004A09CE" w:rsidRDefault="004A09CE" w:rsidP="004A09CE">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4A09CE">
        <w:rPr>
          <w:rFonts w:ascii="Verdana" w:eastAsia="Arial" w:hAnsi="Verdana" w:cs="Arial"/>
          <w:b/>
          <w:bCs/>
          <w:lang w:val="es-ES"/>
        </w:rPr>
        <w:t>1. Problema planteado:</w:t>
      </w:r>
    </w:p>
    <w:p w14:paraId="4EFD8507" w14:textId="77777777" w:rsidR="004A09CE" w:rsidRPr="004A09CE" w:rsidRDefault="004A09CE" w:rsidP="004A09CE">
      <w:pPr>
        <w:tabs>
          <w:tab w:val="left" w:pos="426"/>
        </w:tabs>
        <w:spacing w:after="0" w:line="276" w:lineRule="auto"/>
        <w:jc w:val="both"/>
        <w:rPr>
          <w:rFonts w:ascii="Verdana" w:eastAsia="Century Gothic" w:hAnsi="Verdana" w:cs="Century Gothic"/>
          <w:lang w:val="es-ES"/>
        </w:rPr>
      </w:pPr>
    </w:p>
    <w:p w14:paraId="6EE538CE" w14:textId="77777777" w:rsidR="004A09CE" w:rsidRPr="004A09CE" w:rsidRDefault="004A09CE" w:rsidP="004A09CE">
      <w:pPr>
        <w:spacing w:after="0" w:line="276" w:lineRule="auto"/>
        <w:jc w:val="both"/>
        <w:rPr>
          <w:rFonts w:ascii="Verdana" w:eastAsia="Century Gothic" w:hAnsi="Verdana" w:cs="Century Gothic"/>
        </w:rPr>
      </w:pPr>
      <w:r w:rsidRPr="004A09CE">
        <w:rPr>
          <w:rFonts w:ascii="Verdana" w:eastAsia="Century Gothic" w:hAnsi="Verdana" w:cs="Century Gothic"/>
        </w:rPr>
        <w:t>De acuerdo con el contenido de su solicitud, le informamos que la misma será atendida desde el siguiente interrogante: Conforme a lo dispuesto en el artículo 2.2.1.2.4.2.2 del Decreto 1082 de 2015, ¿es factible que en los procesos de selección para la suscripción de contratos de corretaje de seguros se limite la participación a Mipymes?</w:t>
      </w:r>
    </w:p>
    <w:p w14:paraId="6AC119D0" w14:textId="77777777" w:rsidR="004A09CE" w:rsidRPr="004A09CE" w:rsidRDefault="004A09CE" w:rsidP="004A09CE">
      <w:pPr>
        <w:spacing w:after="0" w:line="276" w:lineRule="auto"/>
        <w:jc w:val="both"/>
        <w:rPr>
          <w:rFonts w:ascii="Verdana" w:eastAsia="Calibri" w:hAnsi="Verdana" w:cs="Arial"/>
          <w:lang w:val="es-ES"/>
        </w:rPr>
      </w:pPr>
      <w:bookmarkStart w:id="0" w:name="_Hlk171070029"/>
    </w:p>
    <w:bookmarkEnd w:id="0"/>
    <w:p w14:paraId="0D083ED2" w14:textId="77777777" w:rsidR="004A09CE" w:rsidRPr="004A09CE" w:rsidRDefault="004A09CE" w:rsidP="004A09CE">
      <w:pPr>
        <w:widowControl w:val="0"/>
        <w:autoSpaceDE w:val="0"/>
        <w:autoSpaceDN w:val="0"/>
        <w:spacing w:before="1" w:after="0" w:line="240" w:lineRule="auto"/>
        <w:jc w:val="both"/>
        <w:outlineLvl w:val="0"/>
        <w:rPr>
          <w:rFonts w:ascii="Verdana" w:eastAsia="Arial" w:hAnsi="Verdana" w:cs="Arial"/>
          <w:b/>
          <w:bCs/>
          <w:lang w:val="es-ES"/>
        </w:rPr>
      </w:pPr>
      <w:r w:rsidRPr="004A09CE">
        <w:rPr>
          <w:rFonts w:ascii="Verdana" w:eastAsia="Arial" w:hAnsi="Verdana" w:cs="Arial"/>
          <w:b/>
          <w:bCs/>
          <w:lang w:val="es-ES"/>
        </w:rPr>
        <w:lastRenderedPageBreak/>
        <w:t>2. Respuesta:</w:t>
      </w:r>
    </w:p>
    <w:p w14:paraId="105EB43E" w14:textId="77777777" w:rsidR="004A09CE" w:rsidRPr="004A09CE" w:rsidRDefault="004A09CE" w:rsidP="004A09CE">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09CE" w:rsidRPr="004A09CE" w14:paraId="7BF9175E" w14:textId="77777777" w:rsidTr="007220F2">
        <w:tc>
          <w:tcPr>
            <w:tcW w:w="8828" w:type="dxa"/>
          </w:tcPr>
          <w:p w14:paraId="1C35599C" w14:textId="0AE6BE50" w:rsidR="004A09CE" w:rsidRPr="004A09CE" w:rsidRDefault="004A09CE" w:rsidP="004A09CE">
            <w:pPr>
              <w:spacing w:line="276" w:lineRule="auto"/>
              <w:jc w:val="both"/>
              <w:rPr>
                <w:rFonts w:ascii="Verdana" w:eastAsia="Calibri" w:hAnsi="Verdana" w:cs="Arial"/>
              </w:rPr>
            </w:pPr>
            <w:bookmarkStart w:id="1" w:name="_Hlk171067516"/>
            <w:r w:rsidRPr="004A09CE">
              <w:rPr>
                <w:rFonts w:ascii="Verdana" w:eastAsia="Calibri" w:hAnsi="Verdana" w:cs="Arial"/>
              </w:rPr>
              <w:t>Inicialmente es pertinente precisar que, para que proceda la limitación de convocatorias a Mipymes de acuerdo con lo dispuesto el artículo 2.2.1.2.4.2.2 del Decreto 1082 de 2015, deben cumplirse los siguientes requisitos o supuestos: i) El primer inciso de la referida norma, estable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 ii) Por otra parte, el numeral primero de dicho artículo, limita cuantitativamente los procesos contractuales en los que se puede hacer esa “convocatoria limitada a Mipymes”, en la medida en que el valor del proceso tendrá que ser “menor a ciento veinticinco mil dólares de los Estados unidos de América”. iii) Y por último, el numeral segundo de la precitada norma,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w:t>
            </w:r>
          </w:p>
          <w:p w14:paraId="45BB7A28" w14:textId="58D15413" w:rsidR="004A09CE" w:rsidRPr="004A09CE" w:rsidRDefault="004A09CE" w:rsidP="004A09CE">
            <w:pPr>
              <w:spacing w:before="120" w:line="276" w:lineRule="auto"/>
              <w:ind w:firstLine="709"/>
              <w:jc w:val="both"/>
              <w:rPr>
                <w:rFonts w:ascii="Verdana" w:eastAsia="Calibri" w:hAnsi="Verdana" w:cs="Arial"/>
              </w:rPr>
            </w:pPr>
            <w:r w:rsidRPr="004A09CE">
              <w:rPr>
                <w:rFonts w:ascii="Verdana" w:eastAsia="Calibri" w:hAnsi="Verdana" w:cs="Arial"/>
              </w:rPr>
              <w:t>De esta forma, para que una Entidad Estatal pueda limitar un proceso de selección a Mipymes, deberán cumplirse de manera integral cada uno de los supuestos establecidos e</w:t>
            </w:r>
            <w:r w:rsidR="00CE2709">
              <w:rPr>
                <w:rFonts w:ascii="Verdana" w:eastAsia="Calibri" w:hAnsi="Verdana" w:cs="Arial"/>
              </w:rPr>
              <w:t>n e</w:t>
            </w:r>
            <w:r w:rsidRPr="004A09CE">
              <w:rPr>
                <w:rFonts w:ascii="Verdana" w:eastAsia="Calibri" w:hAnsi="Verdana" w:cs="Arial"/>
              </w:rPr>
              <w:t>l artículo 2.2.1.2.4.2.2 del Decreto 1082 de 2015</w:t>
            </w:r>
            <w:r w:rsidRPr="004A09CE">
              <w:rPr>
                <w:rFonts w:ascii="Verdana" w:eastAsia="Calibri" w:hAnsi="Verdana" w:cs="Arial"/>
                <w:sz w:val="20"/>
                <w:szCs w:val="20"/>
              </w:rPr>
              <w:t xml:space="preserve">, </w:t>
            </w:r>
            <w:r w:rsidRPr="004A09CE">
              <w:rPr>
                <w:rFonts w:ascii="Verdana" w:eastAsia="Calibri" w:hAnsi="Verdana" w:cs="Arial"/>
              </w:rPr>
              <w:t>pues en caso contrario, no será factible que se realice tal limitación. Sin embargo, en lo que respecta a los procesos de selección donde se pretenda la suscripción de contratos de corretaje de seguros, debe precisarse que la total observancia de los referidos requisitos, dependerá de si este genera o no erogación económica a la Entidad Estatal que lo suscribe, pues en el marco de la autonomía que le asiste, puede determinar en su pliego de condiciones o documento equivalentes, la destinación o no de recursos económicos para la celebración de este tipo de contratos. Imposibilitando la última opción –esto es, la decisión de no asignar recursos económicos y celebrarlo a título gratuito–, el cumplimiento del requisito correspondiente al valor del contrato para que proceda la limitación de la convocatoria a Mipymes.</w:t>
            </w:r>
          </w:p>
          <w:p w14:paraId="444A2B1F" w14:textId="77777777" w:rsidR="004A09CE" w:rsidRPr="004A09CE" w:rsidRDefault="004A09CE" w:rsidP="004A09CE">
            <w:pPr>
              <w:spacing w:before="120" w:line="276" w:lineRule="auto"/>
              <w:jc w:val="both"/>
              <w:rPr>
                <w:rFonts w:ascii="Verdana" w:eastAsia="Calibri" w:hAnsi="Verdana" w:cs="Arial"/>
              </w:rPr>
            </w:pPr>
            <w:r w:rsidRPr="004A09CE">
              <w:rPr>
                <w:rFonts w:ascii="Verdana" w:eastAsia="Calibri" w:hAnsi="Verdana" w:cs="Arial"/>
              </w:rPr>
              <w:lastRenderedPageBreak/>
              <w:tab/>
              <w:t xml:space="preserve">Lo anterior, en razón a que, de acuerdo con la naturaleza jurídica del contrato de corretaje de seguros y las precisiones realizadas por la jurisprudencia del Consejo de Estado, el corredor de seguros celebra los contratos de intermediación con el tomador –que en este caso sería la Entidad Estatal– y con el asegurador, adquiriendo obligaciones que cumple, en el primer caso, de manera </w:t>
            </w:r>
            <w:r w:rsidRPr="004A09CE">
              <w:rPr>
                <w:rFonts w:ascii="Verdana" w:eastAsia="Calibri" w:hAnsi="Verdana" w:cs="Arial"/>
                <w:i/>
                <w:iCs/>
              </w:rPr>
              <w:t>gratuita</w:t>
            </w:r>
            <w:r w:rsidRPr="004A09CE">
              <w:rPr>
                <w:rFonts w:ascii="Verdana" w:eastAsia="Calibri" w:hAnsi="Verdana" w:cs="Arial"/>
              </w:rPr>
              <w:t>, y en el segundo, a cambio de una comisión aleatoria condicionada a la celebración del contrato de seguro objeto de su mediación.</w:t>
            </w:r>
          </w:p>
          <w:p w14:paraId="6C650EE3" w14:textId="77777777" w:rsidR="004A09CE" w:rsidRPr="004A09CE" w:rsidRDefault="004A09CE" w:rsidP="004A09CE">
            <w:pPr>
              <w:spacing w:before="120" w:line="276" w:lineRule="auto"/>
              <w:ind w:firstLine="709"/>
              <w:jc w:val="both"/>
              <w:rPr>
                <w:rFonts w:ascii="Aptos" w:eastAsia="Aptos" w:hAnsi="Aptos" w:cs="Times New Roman"/>
              </w:rPr>
            </w:pPr>
            <w:r w:rsidRPr="004A09CE">
              <w:rPr>
                <w:rFonts w:ascii="Verdana" w:eastAsia="Calibri" w:hAnsi="Verdana" w:cs="Arial"/>
              </w:rPr>
              <w:t>Finalmente, debe advertirse que, el análisis requerido para resolver problemas específicos en torno a la limitación de convocatorias a Mipymes y la celebración de contratos de corretaje,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1"/>
    </w:tbl>
    <w:p w14:paraId="1E026990" w14:textId="77777777" w:rsidR="004A09CE" w:rsidRPr="004A09CE" w:rsidRDefault="004A09CE" w:rsidP="004A09CE">
      <w:pPr>
        <w:tabs>
          <w:tab w:val="left" w:pos="142"/>
          <w:tab w:val="left" w:pos="967"/>
        </w:tabs>
        <w:spacing w:after="0" w:line="276" w:lineRule="auto"/>
        <w:jc w:val="both"/>
        <w:rPr>
          <w:rFonts w:ascii="Verdana" w:eastAsia="Century Gothic" w:hAnsi="Verdana" w:cs="Century Gothic"/>
          <w:b/>
          <w:bCs/>
          <w:lang w:val="es-ES"/>
        </w:rPr>
      </w:pPr>
    </w:p>
    <w:p w14:paraId="5D9868E4" w14:textId="77777777" w:rsidR="004A09CE" w:rsidRPr="004A09CE" w:rsidRDefault="004A09CE" w:rsidP="004A09CE">
      <w:pPr>
        <w:widowControl w:val="0"/>
        <w:autoSpaceDE w:val="0"/>
        <w:autoSpaceDN w:val="0"/>
        <w:spacing w:before="1" w:after="0" w:line="240" w:lineRule="auto"/>
        <w:ind w:left="360" w:hanging="360"/>
        <w:outlineLvl w:val="0"/>
        <w:rPr>
          <w:rFonts w:ascii="Verdana" w:eastAsia="Arial" w:hAnsi="Verdana" w:cs="Arial"/>
          <w:b/>
          <w:bCs/>
          <w:lang w:val="es-ES"/>
        </w:rPr>
      </w:pPr>
      <w:r w:rsidRPr="004A09CE">
        <w:rPr>
          <w:rFonts w:ascii="Verdana" w:eastAsia="Arial" w:hAnsi="Verdana" w:cs="Arial"/>
          <w:b/>
          <w:bCs/>
          <w:lang w:val="es-ES"/>
        </w:rPr>
        <w:t>3. Razones de la respuesta</w:t>
      </w:r>
    </w:p>
    <w:p w14:paraId="3AFCD9C8" w14:textId="77777777" w:rsidR="004A09CE" w:rsidRPr="004A09CE" w:rsidRDefault="004A09CE" w:rsidP="004A09CE">
      <w:pPr>
        <w:spacing w:after="0" w:line="276" w:lineRule="auto"/>
        <w:jc w:val="both"/>
        <w:rPr>
          <w:rFonts w:ascii="Verdana" w:eastAsia="Calibri" w:hAnsi="Verdana" w:cs="Arial"/>
          <w:lang w:val="es-ES"/>
        </w:rPr>
      </w:pPr>
    </w:p>
    <w:p w14:paraId="113B972A" w14:textId="77777777" w:rsidR="004A09CE" w:rsidRPr="004A09CE" w:rsidRDefault="004A09CE" w:rsidP="004A09CE">
      <w:pPr>
        <w:spacing w:after="0" w:line="276" w:lineRule="auto"/>
        <w:jc w:val="both"/>
        <w:rPr>
          <w:rFonts w:ascii="Verdana" w:eastAsia="Calibri" w:hAnsi="Verdana" w:cs="Arial"/>
          <w:lang w:val="es-ES"/>
        </w:rPr>
      </w:pPr>
      <w:r w:rsidRPr="004A09CE">
        <w:rPr>
          <w:rFonts w:ascii="Verdana" w:eastAsia="Calibri" w:hAnsi="Verdana" w:cs="Arial"/>
          <w:lang w:val="es-ES"/>
        </w:rPr>
        <w:t xml:space="preserve">La respuesta anterior se sustenta en las siguientes consideraciones: </w:t>
      </w:r>
    </w:p>
    <w:p w14:paraId="3622E101" w14:textId="77777777" w:rsidR="004A09CE" w:rsidRPr="004A09CE" w:rsidRDefault="004A09CE" w:rsidP="004A09CE">
      <w:pPr>
        <w:spacing w:after="0" w:line="276" w:lineRule="auto"/>
        <w:jc w:val="both"/>
        <w:rPr>
          <w:rFonts w:ascii="Verdana" w:eastAsia="Calibri" w:hAnsi="Verdana" w:cs="Arial"/>
          <w:lang w:val="es-ES"/>
        </w:rPr>
      </w:pPr>
    </w:p>
    <w:p w14:paraId="731EA66C" w14:textId="77777777" w:rsidR="004A09CE" w:rsidRPr="004A09CE" w:rsidRDefault="004A09CE" w:rsidP="004A09CE">
      <w:pPr>
        <w:spacing w:after="0" w:line="276" w:lineRule="auto"/>
        <w:jc w:val="both"/>
        <w:rPr>
          <w:rFonts w:ascii="Verdana" w:eastAsia="Calibri" w:hAnsi="Verdana" w:cs="Arial"/>
          <w:lang w:val="es-ES"/>
        </w:rPr>
      </w:pPr>
      <w:r w:rsidRPr="004A09CE">
        <w:rPr>
          <w:rFonts w:ascii="Verdana" w:eastAsia="Calibri" w:hAnsi="Verdana" w:cs="Arial"/>
          <w:lang w:val="es-ES"/>
        </w:rPr>
        <w:t xml:space="preserve">El contrato de corretaje de seguros está previsto en la sección segunda del título XIV del Código de Comercio, que en su artículo 1347 establece que: </w:t>
      </w:r>
    </w:p>
    <w:p w14:paraId="79E36CE0" w14:textId="77777777" w:rsidR="004A09CE" w:rsidRPr="004A09CE" w:rsidRDefault="004A09CE" w:rsidP="004A09CE">
      <w:pPr>
        <w:spacing w:after="0" w:line="276" w:lineRule="auto"/>
        <w:jc w:val="both"/>
        <w:rPr>
          <w:rFonts w:ascii="Verdana" w:eastAsia="Calibri" w:hAnsi="Verdana" w:cs="Arial"/>
          <w:lang w:val="es-ES"/>
        </w:rPr>
      </w:pPr>
    </w:p>
    <w:p w14:paraId="24D4C018" w14:textId="77777777" w:rsidR="004A09CE" w:rsidRPr="004A09CE" w:rsidRDefault="004A09CE" w:rsidP="004A09CE">
      <w:pPr>
        <w:spacing w:after="0" w:line="240" w:lineRule="auto"/>
        <w:ind w:left="709" w:right="709"/>
        <w:jc w:val="both"/>
        <w:rPr>
          <w:rFonts w:ascii="Verdana" w:eastAsia="Calibri" w:hAnsi="Verdana" w:cs="Arial"/>
          <w:sz w:val="20"/>
          <w:szCs w:val="20"/>
          <w:lang w:val="es-ES"/>
        </w:rPr>
      </w:pPr>
      <w:r w:rsidRPr="004A09CE">
        <w:rPr>
          <w:rFonts w:ascii="Verdana" w:eastAsia="Calibri" w:hAnsi="Verdana" w:cs="Arial"/>
          <w:sz w:val="20"/>
          <w:szCs w:val="20"/>
          <w:lang w:val="es-ES"/>
        </w:rPr>
        <w:t>“Son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Esta misma definición se encuentra en el artículo 40 del Estatuto Orgánico del Sistema Financiero”</w:t>
      </w:r>
      <w:r w:rsidRPr="004A09CE">
        <w:rPr>
          <w:rFonts w:ascii="Verdana" w:eastAsia="Aptos" w:hAnsi="Verdana" w:cs="Times New Roman"/>
          <w:sz w:val="20"/>
          <w:szCs w:val="20"/>
          <w:vertAlign w:val="superscript"/>
          <w:lang w:val="es-ES_tradnl"/>
        </w:rPr>
        <w:footnoteReference w:id="1"/>
      </w:r>
      <w:r w:rsidRPr="004A09CE">
        <w:rPr>
          <w:rFonts w:ascii="Verdana" w:eastAsia="Aptos" w:hAnsi="Verdana" w:cs="Arial"/>
          <w:color w:val="000000"/>
          <w:sz w:val="20"/>
          <w:szCs w:val="20"/>
          <w:lang w:val="es-ES_tradnl"/>
        </w:rPr>
        <w:t>.</w:t>
      </w:r>
    </w:p>
    <w:p w14:paraId="10DA0FCB" w14:textId="77777777" w:rsidR="004A09CE" w:rsidRPr="004A09CE" w:rsidRDefault="004A09CE" w:rsidP="004A09CE">
      <w:pPr>
        <w:spacing w:after="0" w:line="276" w:lineRule="auto"/>
        <w:ind w:firstLine="708"/>
        <w:jc w:val="both"/>
        <w:rPr>
          <w:rFonts w:ascii="Verdana" w:eastAsia="Aptos" w:hAnsi="Verdana" w:cs="Arial"/>
          <w:color w:val="000000"/>
          <w:lang w:val="es-ES"/>
        </w:rPr>
      </w:pPr>
      <w:r w:rsidRPr="004A09CE">
        <w:rPr>
          <w:rFonts w:ascii="Verdana" w:eastAsia="Aptos" w:hAnsi="Verdana" w:cs="Arial"/>
          <w:color w:val="000000"/>
          <w:lang w:val="es-ES_tradnl"/>
        </w:rPr>
        <w:lastRenderedPageBreak/>
        <w:t>En ese contexto, la jurisprudencia del Consejo de Estado mediante Sentencia del 30 de abril de 2014</w:t>
      </w:r>
      <w:r w:rsidRPr="004A09CE">
        <w:rPr>
          <w:rFonts w:ascii="Verdana" w:eastAsia="Aptos" w:hAnsi="Verdana" w:cs="Arial"/>
          <w:color w:val="000000"/>
          <w:vertAlign w:val="superscript"/>
          <w:lang w:val="es-ES"/>
        </w:rPr>
        <w:footnoteReference w:id="2"/>
      </w:r>
      <w:r w:rsidRPr="004A09CE">
        <w:rPr>
          <w:rFonts w:ascii="Verdana" w:eastAsia="Aptos" w:hAnsi="Verdana" w:cs="Arial"/>
          <w:color w:val="000000"/>
          <w:lang w:val="es-ES"/>
        </w:rPr>
        <w:t>, ha identificado las siguientes características del contrato de corretaje:</w:t>
      </w:r>
    </w:p>
    <w:p w14:paraId="189CA5A2" w14:textId="77777777" w:rsidR="004A09CE" w:rsidRPr="004A09CE" w:rsidRDefault="004A09CE" w:rsidP="004A09CE">
      <w:pPr>
        <w:spacing w:after="0" w:line="276" w:lineRule="auto"/>
        <w:jc w:val="both"/>
        <w:rPr>
          <w:rFonts w:ascii="Verdana" w:eastAsia="Aptos" w:hAnsi="Verdana" w:cs="Arial"/>
          <w:color w:val="000000"/>
          <w:lang w:val="es-ES"/>
        </w:rPr>
      </w:pPr>
    </w:p>
    <w:p w14:paraId="4C8AE4E2"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r w:rsidRPr="004A09CE">
        <w:rPr>
          <w:rFonts w:ascii="Verdana" w:eastAsia="Calibri" w:hAnsi="Verdana" w:cs="Arial"/>
          <w:color w:val="000000"/>
          <w:sz w:val="20"/>
          <w:szCs w:val="20"/>
          <w:lang w:val="es-ES"/>
        </w:rPr>
        <w:t>“i) La presencia de un profesional en la intermediación que posee conocimientos especializados del mercado cuya intermediación va a realizar;</w:t>
      </w:r>
    </w:p>
    <w:p w14:paraId="077B9250"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p>
    <w:p w14:paraId="2AA8C33B"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r w:rsidRPr="004A09CE">
        <w:rPr>
          <w:rFonts w:ascii="Verdana" w:eastAsia="Calibri" w:hAnsi="Verdana" w:cs="Arial"/>
          <w:color w:val="000000"/>
          <w:sz w:val="20"/>
          <w:szCs w:val="20"/>
          <w:lang w:val="es-ES"/>
        </w:rPr>
        <w:t>ii) El mencionado profesional se encarga de realizar la promoción o ambientación para la celebración de un contrato, por lo cual debe contactar a las posibles partes e inducirlas a la celebración del negocio.</w:t>
      </w:r>
    </w:p>
    <w:p w14:paraId="275682CE"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p>
    <w:p w14:paraId="3CE4E08B"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r w:rsidRPr="004A09CE">
        <w:rPr>
          <w:rFonts w:ascii="Verdana" w:eastAsia="Calibri" w:hAnsi="Verdana" w:cs="Arial"/>
          <w:color w:val="000000"/>
          <w:sz w:val="20"/>
          <w:szCs w:val="20"/>
          <w:lang w:val="es-ES"/>
        </w:rPr>
        <w:t>iii) El profesional no es quien concluye el contrato, por cuanto su actividad no constituye la realización de actos jurídicos por cuenta de terceros, como sucede en el mandato.</w:t>
      </w:r>
    </w:p>
    <w:p w14:paraId="338707D1"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p>
    <w:p w14:paraId="5E43B62A" w14:textId="77777777" w:rsidR="004A09CE" w:rsidRPr="004A09CE" w:rsidRDefault="004A09CE" w:rsidP="004A09CE">
      <w:pPr>
        <w:spacing w:after="0" w:line="240" w:lineRule="auto"/>
        <w:ind w:left="709" w:right="709"/>
        <w:jc w:val="both"/>
        <w:rPr>
          <w:rFonts w:ascii="Verdana" w:eastAsia="Calibri" w:hAnsi="Verdana" w:cs="Arial"/>
          <w:i/>
          <w:color w:val="000000"/>
          <w:sz w:val="20"/>
          <w:szCs w:val="20"/>
          <w:lang w:val="es-ES"/>
        </w:rPr>
      </w:pPr>
      <w:r w:rsidRPr="004A09CE">
        <w:rPr>
          <w:rFonts w:ascii="Verdana" w:eastAsia="Calibri" w:hAnsi="Verdana" w:cs="Arial"/>
          <w:color w:val="000000"/>
          <w:sz w:val="20"/>
          <w:szCs w:val="20"/>
          <w:lang w:val="es-ES"/>
        </w:rPr>
        <w:t xml:space="preserve">iv) El encargo recibido no es permanente, se considera </w:t>
      </w:r>
      <w:r w:rsidRPr="004A09CE">
        <w:rPr>
          <w:rFonts w:ascii="Verdana" w:eastAsia="Calibri" w:hAnsi="Verdana" w:cs="Arial"/>
          <w:i/>
          <w:color w:val="000000"/>
          <w:sz w:val="20"/>
          <w:szCs w:val="20"/>
          <w:lang w:val="es-ES"/>
        </w:rPr>
        <w:t xml:space="preserve">“un intermediario de momento”. </w:t>
      </w:r>
      <w:r w:rsidRPr="004A09CE">
        <w:rPr>
          <w:rFonts w:ascii="Verdana" w:eastAsia="Calibri" w:hAnsi="Verdana" w:cs="Arial"/>
          <w:color w:val="000000"/>
          <w:sz w:val="20"/>
          <w:szCs w:val="20"/>
          <w:lang w:val="es-ES"/>
        </w:rPr>
        <w:t xml:space="preserve">Al respecto sostiene Arrubla Paucar que </w:t>
      </w:r>
      <w:r w:rsidRPr="004A09CE">
        <w:rPr>
          <w:rFonts w:ascii="Verdana" w:eastAsia="Calibri" w:hAnsi="Verdana" w:cs="Arial"/>
          <w:i/>
          <w:color w:val="000000"/>
          <w:sz w:val="20"/>
          <w:szCs w:val="20"/>
          <w:lang w:val="es-ES"/>
        </w:rPr>
        <w:t>“El corredor recibe un encargo concreto para un negocio concreto y luego que lo promociona y contacta a las partes se despide: ‘Pero mientras el agente se caracteriza por la nota de permanencia, la mediación constituye una simple actividad esporádica”.</w:t>
      </w:r>
    </w:p>
    <w:p w14:paraId="66B04FE8"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p>
    <w:p w14:paraId="14F671A4" w14:textId="77777777" w:rsidR="004A09CE" w:rsidRPr="004A09CE" w:rsidRDefault="004A09CE" w:rsidP="004A09CE">
      <w:pPr>
        <w:spacing w:after="0" w:line="240" w:lineRule="auto"/>
        <w:ind w:left="709" w:right="709"/>
        <w:jc w:val="both"/>
        <w:rPr>
          <w:rFonts w:ascii="Verdana" w:eastAsia="Calibri" w:hAnsi="Verdana" w:cs="Arial"/>
          <w:color w:val="000000"/>
          <w:sz w:val="20"/>
          <w:szCs w:val="20"/>
          <w:lang w:val="es-ES"/>
        </w:rPr>
      </w:pPr>
      <w:r w:rsidRPr="004A09CE">
        <w:rPr>
          <w:rFonts w:ascii="Verdana" w:eastAsia="Calibri" w:hAnsi="Verdana" w:cs="Arial"/>
          <w:color w:val="000000"/>
          <w:sz w:val="20"/>
          <w:szCs w:val="20"/>
          <w:lang w:val="es-ES"/>
        </w:rPr>
        <w:t>v) El contrato de corretaje es remunerado, en razón de su actividad promocional”.</w:t>
      </w:r>
    </w:p>
    <w:p w14:paraId="4D726BCE" w14:textId="77777777" w:rsidR="004A09CE" w:rsidRPr="004A09CE" w:rsidRDefault="004A09CE" w:rsidP="004A09CE">
      <w:pPr>
        <w:spacing w:after="0" w:line="276" w:lineRule="auto"/>
        <w:contextualSpacing/>
        <w:jc w:val="both"/>
        <w:rPr>
          <w:rFonts w:ascii="Verdana" w:eastAsia="Calibri" w:hAnsi="Verdana" w:cs="Arial"/>
          <w:lang w:val="es-ES"/>
        </w:rPr>
      </w:pPr>
    </w:p>
    <w:p w14:paraId="399EA5C3" w14:textId="77777777" w:rsidR="004A09CE" w:rsidRPr="004A09CE" w:rsidRDefault="004A09CE" w:rsidP="004A09CE">
      <w:pPr>
        <w:spacing w:after="0" w:line="276" w:lineRule="auto"/>
        <w:contextualSpacing/>
        <w:jc w:val="both"/>
        <w:rPr>
          <w:rFonts w:ascii="Verdana" w:eastAsia="Calibri" w:hAnsi="Verdana" w:cs="Arial"/>
          <w:lang w:val="es-ES"/>
        </w:rPr>
      </w:pPr>
      <w:r w:rsidRPr="004A09CE">
        <w:rPr>
          <w:rFonts w:ascii="Verdana" w:eastAsia="Calibri" w:hAnsi="Verdana" w:cs="Arial"/>
          <w:lang w:val="es-ES"/>
        </w:rPr>
        <w:t>De lo anterior, podría colegirse entonces, que el contrato de corretaje de seguros es un contrato típico de carácter comercial que supone la celebración de varios contratos entre el corredor y el asegurador y el tomador de seguros. Sobre el particular, el Consejo de Estado en Sentencia del 22 de marzo de 2001</w:t>
      </w:r>
      <w:r w:rsidRPr="004A09CE">
        <w:rPr>
          <w:rFonts w:ascii="Verdana" w:eastAsia="Aptos" w:hAnsi="Verdana" w:cs="Arial"/>
          <w:color w:val="000000"/>
          <w:vertAlign w:val="superscript"/>
          <w:lang w:val="es-ES"/>
        </w:rPr>
        <w:footnoteReference w:id="3"/>
      </w:r>
      <w:r w:rsidRPr="004A09CE">
        <w:rPr>
          <w:rFonts w:ascii="Verdana" w:eastAsia="Calibri" w:hAnsi="Verdana" w:cs="Arial"/>
          <w:lang w:val="es-ES"/>
        </w:rPr>
        <w:t>, precisa que:</w:t>
      </w:r>
    </w:p>
    <w:p w14:paraId="164A0136" w14:textId="77777777" w:rsidR="004A09CE" w:rsidRPr="004A09CE" w:rsidRDefault="004A09CE" w:rsidP="004A09CE">
      <w:pPr>
        <w:spacing w:after="0" w:line="276" w:lineRule="auto"/>
        <w:contextualSpacing/>
        <w:jc w:val="both"/>
        <w:rPr>
          <w:rFonts w:ascii="Verdana" w:eastAsia="Calibri" w:hAnsi="Verdana" w:cs="Arial"/>
          <w:lang w:val="es-ES"/>
        </w:rPr>
      </w:pPr>
    </w:p>
    <w:p w14:paraId="301D2027" w14:textId="77777777" w:rsidR="004A09CE" w:rsidRPr="004A09CE" w:rsidRDefault="004A09CE" w:rsidP="004A09CE">
      <w:pPr>
        <w:spacing w:after="0" w:line="240" w:lineRule="auto"/>
        <w:ind w:left="709" w:right="709"/>
        <w:contextualSpacing/>
        <w:jc w:val="both"/>
        <w:rPr>
          <w:rFonts w:ascii="Verdana" w:eastAsia="Calibri" w:hAnsi="Verdana" w:cs="Arial"/>
          <w:color w:val="000000"/>
          <w:sz w:val="20"/>
          <w:szCs w:val="20"/>
          <w:lang w:val="es-ES"/>
        </w:rPr>
      </w:pPr>
      <w:r w:rsidRPr="004A09CE">
        <w:rPr>
          <w:rFonts w:ascii="Verdana" w:eastAsia="Calibri" w:hAnsi="Verdana" w:cs="Arial"/>
          <w:color w:val="000000"/>
          <w:sz w:val="20"/>
          <w:szCs w:val="20"/>
          <w:lang w:val="es-ES"/>
        </w:rPr>
        <w:t xml:space="preserve">“[E]s evidente que la actuación del corredor de seguros supone la celebración previa de sendos contratos por parte de éste con el asegurador </w:t>
      </w:r>
      <w:r w:rsidRPr="004A09CE">
        <w:rPr>
          <w:rFonts w:ascii="Verdana" w:eastAsia="Calibri" w:hAnsi="Verdana" w:cs="Arial"/>
          <w:color w:val="000000"/>
          <w:sz w:val="20"/>
          <w:szCs w:val="20"/>
          <w:lang w:val="es-ES"/>
        </w:rPr>
        <w:lastRenderedPageBreak/>
        <w:t>y el tomador del seguro, y si bien éste último, en la práctica, no está obligado, en ningún caso, a pagarle el valor de la comisión, sí adquiere otra serie de obligaciones en relación con él, como lo es la de poner a su disposición oportunamente la información que requiera para el cabal ejercicio de sus funciones. A su vez, los corredores pueden comprometer su responsabilidad ante el tomador, por no cumplir debidamente y de buena fe la labor de intermediación”.</w:t>
      </w:r>
    </w:p>
    <w:p w14:paraId="68674019" w14:textId="77777777" w:rsidR="004A09CE" w:rsidRPr="004A09CE" w:rsidRDefault="004A09CE" w:rsidP="004A09CE">
      <w:pPr>
        <w:spacing w:after="0" w:line="276" w:lineRule="auto"/>
        <w:ind w:left="709" w:right="709"/>
        <w:contextualSpacing/>
        <w:jc w:val="both"/>
        <w:rPr>
          <w:rFonts w:ascii="Verdana" w:eastAsia="Calibri" w:hAnsi="Verdana" w:cs="Arial"/>
          <w:color w:val="000000"/>
          <w:sz w:val="20"/>
          <w:szCs w:val="20"/>
          <w:lang w:val="es-ES"/>
        </w:rPr>
      </w:pPr>
    </w:p>
    <w:p w14:paraId="5C12E74E" w14:textId="77777777" w:rsidR="004A09CE" w:rsidRPr="004A09CE" w:rsidRDefault="004A09CE" w:rsidP="004A09CE">
      <w:pPr>
        <w:spacing w:after="0" w:line="276" w:lineRule="auto"/>
        <w:ind w:firstLine="708"/>
        <w:contextualSpacing/>
        <w:jc w:val="both"/>
        <w:rPr>
          <w:rFonts w:ascii="Verdana" w:eastAsia="Calibri" w:hAnsi="Verdana" w:cs="Arial"/>
          <w:lang w:val="es-ES"/>
        </w:rPr>
      </w:pPr>
      <w:r w:rsidRPr="004A09CE">
        <w:rPr>
          <w:rFonts w:ascii="Verdana" w:eastAsia="Calibri" w:hAnsi="Verdana" w:cs="Arial"/>
          <w:lang w:val="es-ES"/>
        </w:rPr>
        <w:t>En la misma sentencia el Alto Tribunal Administrativo, señaló adicionalmente que el contrato de corretaje es autónomo y puede sobrevivir sin perjuicio de la no celebración del contrato de seguro, además, que el objeto de la intermediación del corredor es el ofrecimiento de seguros, la promoción de su celebración y la obtención de la renovación de los mismos. En efecto, esta Corporación indicó que:</w:t>
      </w:r>
    </w:p>
    <w:p w14:paraId="5C408E93" w14:textId="77777777" w:rsidR="004A09CE" w:rsidRPr="004A09CE" w:rsidRDefault="004A09CE" w:rsidP="004A09CE">
      <w:pPr>
        <w:spacing w:after="0" w:line="276" w:lineRule="auto"/>
        <w:ind w:left="709" w:right="709"/>
        <w:contextualSpacing/>
        <w:jc w:val="both"/>
        <w:rPr>
          <w:rFonts w:ascii="Verdana" w:eastAsia="Calibri" w:hAnsi="Verdana" w:cs="Arial"/>
          <w:lang w:val="es-ES"/>
        </w:rPr>
      </w:pPr>
    </w:p>
    <w:p w14:paraId="33AA852E" w14:textId="77777777" w:rsidR="004A09CE" w:rsidRPr="004A09CE" w:rsidRDefault="004A09CE" w:rsidP="004A09CE">
      <w:pPr>
        <w:spacing w:after="0" w:line="240" w:lineRule="auto"/>
        <w:ind w:left="709" w:right="709"/>
        <w:contextualSpacing/>
        <w:jc w:val="both"/>
        <w:rPr>
          <w:rFonts w:ascii="Verdana" w:eastAsia="Calibri" w:hAnsi="Verdana" w:cs="Arial"/>
          <w:sz w:val="20"/>
          <w:szCs w:val="20"/>
          <w:lang w:val="es-ES"/>
        </w:rPr>
      </w:pPr>
      <w:r w:rsidRPr="004A09CE">
        <w:rPr>
          <w:rFonts w:ascii="Verdana" w:eastAsia="Calibri" w:hAnsi="Verdana" w:cs="Arial"/>
          <w:sz w:val="20"/>
          <w:szCs w:val="20"/>
          <w:lang w:val="es-ES"/>
        </w:rPr>
        <w:t xml:space="preserve">“[E]l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w:t>
      </w:r>
      <w:r w:rsidRPr="004A09CE">
        <w:rPr>
          <w:rFonts w:ascii="Verdana" w:eastAsia="Calibri" w:hAnsi="Verdana" w:cs="Arial"/>
          <w:i/>
          <w:iCs/>
          <w:sz w:val="20"/>
          <w:szCs w:val="20"/>
          <w:u w:val="single"/>
          <w:lang w:val="es-ES"/>
        </w:rPr>
        <w:t>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r w:rsidRPr="004A09CE">
        <w:rPr>
          <w:rFonts w:ascii="Verdana" w:eastAsia="Calibri" w:hAnsi="Verdana" w:cs="Arial"/>
          <w:sz w:val="20"/>
          <w:szCs w:val="20"/>
          <w:lang w:val="es-ES"/>
        </w:rPr>
        <w:t>”. [Énfasis fuera de texto].</w:t>
      </w:r>
    </w:p>
    <w:p w14:paraId="2FC3FF24" w14:textId="77777777" w:rsidR="004A09CE" w:rsidRPr="004A09CE" w:rsidRDefault="004A09CE" w:rsidP="004A09CE">
      <w:pPr>
        <w:spacing w:after="0" w:line="276" w:lineRule="auto"/>
        <w:ind w:left="709" w:right="709"/>
        <w:contextualSpacing/>
        <w:jc w:val="both"/>
        <w:rPr>
          <w:rFonts w:ascii="Verdana" w:eastAsia="Calibri" w:hAnsi="Verdana" w:cs="Arial"/>
          <w:lang w:val="es-ES"/>
        </w:rPr>
      </w:pPr>
    </w:p>
    <w:p w14:paraId="0D1FE238" w14:textId="77777777" w:rsidR="004A09CE" w:rsidRPr="004A09CE" w:rsidRDefault="004A09CE" w:rsidP="004A09CE">
      <w:pPr>
        <w:jc w:val="both"/>
        <w:rPr>
          <w:rFonts w:ascii="Verdana" w:eastAsia="Calibri" w:hAnsi="Verdana" w:cs="Arial"/>
          <w:lang w:val="es-ES"/>
        </w:rPr>
      </w:pPr>
      <w:r w:rsidRPr="004A09CE">
        <w:rPr>
          <w:rFonts w:ascii="Verdana" w:eastAsia="Calibri" w:hAnsi="Verdana" w:cs="Arial"/>
          <w:lang w:val="es-ES"/>
        </w:rPr>
        <w:t>Ahora bien, y con el fin de atender el objeto bajo consulta, resulta bien resaltar que el artículo 2.2.1.2.4.2.2 del Decreto 1082 de 2015 establece los requisitos que se deben atender para que procedan las “convocatorias limitadas a Mipymes”, estos son:</w:t>
      </w:r>
    </w:p>
    <w:p w14:paraId="1B364587" w14:textId="77777777" w:rsidR="004A09CE" w:rsidRPr="004A09CE" w:rsidRDefault="004A09CE" w:rsidP="004A09CE">
      <w:pPr>
        <w:spacing w:line="276" w:lineRule="auto"/>
        <w:ind w:firstLine="708"/>
        <w:jc w:val="both"/>
        <w:rPr>
          <w:rFonts w:ascii="Verdana" w:eastAsia="Calibri" w:hAnsi="Verdana" w:cs="Arial"/>
        </w:rPr>
      </w:pPr>
      <w:r w:rsidRPr="004A09CE">
        <w:rPr>
          <w:rFonts w:ascii="Verdana" w:eastAsia="Calibri" w:hAnsi="Verdana" w:cs="Arial"/>
        </w:rPr>
        <w:t>i) El primer inciso de la referida norma, estable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[…]”.Esta redacción obedece a un cambio introducido por el Decreto 1860 de 2021, el cual solo permitía la limitación a Mipymes nacionales en los procedimientos de licitación pública, selección abreviada y concurso de méritos.</w:t>
      </w:r>
    </w:p>
    <w:p w14:paraId="0C1614F4" w14:textId="77777777" w:rsidR="004A09CE" w:rsidRPr="004A09CE" w:rsidRDefault="004A09CE" w:rsidP="004A09CE">
      <w:pPr>
        <w:spacing w:line="276" w:lineRule="auto"/>
        <w:ind w:firstLine="708"/>
        <w:jc w:val="both"/>
        <w:rPr>
          <w:rFonts w:ascii="Verdana" w:eastAsia="Calibri" w:hAnsi="Verdana" w:cs="Arial"/>
        </w:rPr>
      </w:pPr>
      <w:r w:rsidRPr="004A09CE">
        <w:rPr>
          <w:rFonts w:ascii="Verdana" w:eastAsia="Calibri" w:hAnsi="Verdana" w:cs="Arial"/>
        </w:rPr>
        <w:lastRenderedPageBreak/>
        <w:t>ii) El numeral primero de dicho artículo, limita cuantitativamente los procesos contractuales en los que se puede hacer esa “convocatoria limitada a Mipymes”, en la medida en que el valor del proceso tendrá que ser “menor a ciento veinticinco mil dólares de los Estados unidos de América”.</w:t>
      </w:r>
      <w:r w:rsidRPr="004A09CE">
        <w:rPr>
          <w:rFonts w:ascii="Calibri" w:eastAsia="Calibri" w:hAnsi="Calibri" w:cs="Times New Roman"/>
        </w:rPr>
        <w:t xml:space="preserve"> </w:t>
      </w:r>
      <w:r w:rsidRPr="004A09CE">
        <w:rPr>
          <w:rFonts w:ascii="Verdana" w:eastAsia="Calibri" w:hAnsi="Verdana" w:cs="Arial"/>
        </w:rPr>
        <w:t>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462E7E00" w14:textId="77777777" w:rsidR="004A09CE" w:rsidRPr="004A09CE" w:rsidRDefault="004A09CE" w:rsidP="004A09CE">
      <w:pPr>
        <w:spacing w:line="276" w:lineRule="auto"/>
        <w:ind w:firstLine="708"/>
        <w:jc w:val="both"/>
        <w:rPr>
          <w:rFonts w:ascii="Verdana" w:eastAsia="Calibri" w:hAnsi="Verdana" w:cs="Arial"/>
        </w:rPr>
      </w:pPr>
      <w:r w:rsidRPr="004A09CE">
        <w:rPr>
          <w:rFonts w:ascii="Verdana" w:eastAsia="Calibri" w:hAnsi="Verdana" w:cs="Arial"/>
        </w:rPr>
        <w:t>iii) Y por último, el numeral segundo de la precitada norma,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w:t>
      </w:r>
      <w:r w:rsidRPr="004A09CE">
        <w:rPr>
          <w:rFonts w:ascii="Calibri" w:eastAsia="Calibri" w:hAnsi="Calibri" w:cs="Times New Roman"/>
        </w:rPr>
        <w:t xml:space="preserve"> </w:t>
      </w:r>
      <w:r w:rsidRPr="004A09CE">
        <w:rPr>
          <w:rFonts w:ascii="Verdana" w:eastAsia="Calibri" w:hAnsi="Verdana" w:cs="Arial"/>
        </w:rPr>
        <w:t>Adicionalmente, el segundo inciso del numeral 2 de la norma indica que, tratándose de personas jurídicas, las solicitudes solo podrán realizarla las “[…] Mipyme, cuyo objeto social les permita ejecutar el contrato relacionado con el proceso contractual”.</w:t>
      </w:r>
    </w:p>
    <w:p w14:paraId="00A4AA09" w14:textId="77777777" w:rsidR="004A09CE" w:rsidRPr="004A09CE" w:rsidRDefault="004A09CE" w:rsidP="004A09CE">
      <w:pPr>
        <w:spacing w:line="276" w:lineRule="auto"/>
        <w:ind w:firstLine="708"/>
        <w:jc w:val="both"/>
        <w:rPr>
          <w:rFonts w:ascii="Verdana" w:eastAsia="Calibri" w:hAnsi="Verdana" w:cs="Arial"/>
        </w:rPr>
      </w:pPr>
      <w:r w:rsidRPr="004A09CE">
        <w:rPr>
          <w:rFonts w:ascii="Verdana" w:eastAsia="Calibri" w:hAnsi="Verdana" w:cs="Arial"/>
        </w:rPr>
        <w:t xml:space="preserve">De esta forma, para que una Entidad Estatal pueda limitar un proceso de selección a Mipymes, deberán cumplirse de manera integral cada uno de los supuestos establecidos en el articulo </w:t>
      </w:r>
      <w:r w:rsidRPr="004A09CE">
        <w:rPr>
          <w:rFonts w:ascii="Verdana" w:eastAsia="Calibri" w:hAnsi="Verdana" w:cs="Arial"/>
          <w:lang w:val="es-ES"/>
        </w:rPr>
        <w:t>2.2.1.2.4.2.2 del Decreto 1082 de 2015</w:t>
      </w:r>
      <w:r w:rsidRPr="004A09CE">
        <w:rPr>
          <w:rFonts w:ascii="Verdana" w:eastAsia="Calibri" w:hAnsi="Verdana" w:cs="Arial"/>
        </w:rPr>
        <w:t>, pues en caso contrario, no será factible que se realice tal limitación. Sin embargo, en lo que respecta a los procesos de selección donde se pretenda la suscripción de contratos de corretaje de seguros, debe precisarse que la total observancia de los referidos requisitos, dependerá de si este genera o no erogación económica a la Entidad Estatal que lo suscribe, pues en el marco de la autonomía que le asiste, puede determinar en su pliego de condiciones o documento equivalente, la destinación o no de recursos económicos para la celebración de este tipo de contratos. Imposibilitando la última opción –esto es, la decisión de no asignar recursos económicos y celebrarlo a título gratuito–, el cumplimiento del requisito correspondiente al valor del contrato para que proceda la limitación de la convocatoria a Mipymes.</w:t>
      </w:r>
    </w:p>
    <w:p w14:paraId="481BBB30" w14:textId="77777777" w:rsidR="004A09CE" w:rsidRPr="004A09CE" w:rsidRDefault="004A09CE" w:rsidP="004A09CE">
      <w:pPr>
        <w:spacing w:line="276" w:lineRule="auto"/>
        <w:ind w:firstLine="708"/>
        <w:jc w:val="both"/>
        <w:rPr>
          <w:rFonts w:ascii="Verdana" w:eastAsia="Calibri" w:hAnsi="Verdana" w:cs="Arial"/>
        </w:rPr>
      </w:pPr>
      <w:r w:rsidRPr="004A09CE">
        <w:rPr>
          <w:rFonts w:ascii="Verdana" w:eastAsia="Calibri" w:hAnsi="Verdana" w:cs="Arial"/>
        </w:rPr>
        <w:t xml:space="preserve">Lo anterior en razón a que, tal y como se indicó en los párrafos precedentes, el corredor de seguros celebra los contratos de intermediación con </w:t>
      </w:r>
      <w:r w:rsidRPr="004A09CE">
        <w:rPr>
          <w:rFonts w:ascii="Verdana" w:eastAsia="Calibri" w:hAnsi="Verdana" w:cs="Arial"/>
        </w:rPr>
        <w:lastRenderedPageBreak/>
        <w:t xml:space="preserve">el tomador –que en este caso sería la Entidad Estatal– y con el asegurador, adquiriendo obligaciones que cumple, en el primer caso, de manera </w:t>
      </w:r>
      <w:r w:rsidRPr="004A09CE">
        <w:rPr>
          <w:rFonts w:ascii="Verdana" w:eastAsia="Calibri" w:hAnsi="Verdana" w:cs="Arial"/>
          <w:i/>
          <w:iCs/>
        </w:rPr>
        <w:t>gratuita</w:t>
      </w:r>
      <w:r w:rsidRPr="004A09CE">
        <w:rPr>
          <w:rFonts w:ascii="Verdana" w:eastAsia="Calibri" w:hAnsi="Verdana" w:cs="Arial"/>
        </w:rPr>
        <w:t>, y en el segundo, a cambio de una comisión aleatoria condicionada a la celebración del contrato de seguro objeto de su mediación.</w:t>
      </w:r>
    </w:p>
    <w:p w14:paraId="6AE908D0" w14:textId="77777777" w:rsidR="004A09CE" w:rsidRPr="004A09CE" w:rsidRDefault="004A09CE" w:rsidP="004A09CE">
      <w:pPr>
        <w:spacing w:after="120" w:line="276" w:lineRule="auto"/>
        <w:ind w:firstLine="708"/>
        <w:jc w:val="both"/>
        <w:rPr>
          <w:rFonts w:ascii="Verdana" w:eastAsia="Calibri" w:hAnsi="Verdana" w:cs="Arial"/>
        </w:rPr>
      </w:pPr>
      <w:r w:rsidRPr="004A09CE">
        <w:rPr>
          <w:rFonts w:ascii="Verdana" w:eastAsia="Calibri" w:hAnsi="Verdana" w:cs="Arial"/>
        </w:rPr>
        <w:t xml:space="preserve">Finalmente, debe advertirse que el análisis requerido para resolver problemas específicos en torno a la limitación de convocatorias a Mipymes y la presentación de las ofertas en un respectivo proceso de contratación,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0903F9D8" w14:textId="77777777" w:rsidR="004A09CE" w:rsidRPr="004A09CE" w:rsidRDefault="004A09CE" w:rsidP="004A09CE">
      <w:pPr>
        <w:spacing w:after="120" w:line="276" w:lineRule="auto"/>
        <w:ind w:firstLine="708"/>
        <w:jc w:val="both"/>
        <w:rPr>
          <w:rFonts w:ascii="Verdana" w:eastAsia="Calibri" w:hAnsi="Verdana" w:cs="Arial"/>
        </w:rPr>
      </w:pPr>
      <w:r w:rsidRPr="004A09C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789484B2" w14:textId="77777777" w:rsidR="004A09CE" w:rsidRPr="004A09CE" w:rsidRDefault="004A09CE" w:rsidP="004A09CE">
      <w:pPr>
        <w:widowControl w:val="0"/>
        <w:autoSpaceDE w:val="0"/>
        <w:autoSpaceDN w:val="0"/>
        <w:spacing w:after="0" w:line="276" w:lineRule="auto"/>
        <w:contextualSpacing/>
        <w:jc w:val="both"/>
        <w:rPr>
          <w:rFonts w:ascii="Verdana" w:eastAsia="Aptos" w:hAnsi="Verdana" w:cs="Arial"/>
        </w:rPr>
      </w:pPr>
    </w:p>
    <w:p w14:paraId="74B38776" w14:textId="77777777" w:rsidR="004A09CE" w:rsidRPr="004A09CE" w:rsidRDefault="004A09CE" w:rsidP="004A09CE">
      <w:pPr>
        <w:widowControl w:val="0"/>
        <w:autoSpaceDE w:val="0"/>
        <w:autoSpaceDN w:val="0"/>
        <w:spacing w:before="1" w:after="0" w:line="240" w:lineRule="auto"/>
        <w:outlineLvl w:val="0"/>
        <w:rPr>
          <w:rFonts w:ascii="Arial" w:eastAsia="Arial" w:hAnsi="Arial" w:cs="Arial"/>
          <w:b/>
          <w:bCs/>
          <w:lang w:val="es-ES"/>
        </w:rPr>
      </w:pPr>
      <w:r w:rsidRPr="004A09CE">
        <w:rPr>
          <w:rFonts w:ascii="Arial" w:eastAsia="Arial" w:hAnsi="Arial" w:cs="Arial"/>
          <w:b/>
          <w:bCs/>
          <w:lang w:val="es-ES"/>
        </w:rPr>
        <w:t xml:space="preserve">4. </w:t>
      </w:r>
      <w:r w:rsidRPr="004A09CE">
        <w:rPr>
          <w:rFonts w:ascii="Verdana" w:eastAsia="Arial" w:hAnsi="Verdana" w:cs="Arial"/>
          <w:b/>
          <w:bCs/>
          <w:lang w:val="es-ES"/>
        </w:rPr>
        <w:t>Referencias normativas, jurisprudenciales y otras fuentes:</w:t>
      </w:r>
    </w:p>
    <w:p w14:paraId="2660C22A" w14:textId="77777777" w:rsidR="004A09CE" w:rsidRPr="004A09CE" w:rsidRDefault="004A09CE" w:rsidP="004A09C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09CE" w:rsidRPr="004A09CE" w14:paraId="098E80F0" w14:textId="77777777" w:rsidTr="007220F2">
        <w:trPr>
          <w:trHeight w:val="870"/>
        </w:trPr>
        <w:tc>
          <w:tcPr>
            <w:tcW w:w="8647" w:type="dxa"/>
          </w:tcPr>
          <w:p w14:paraId="69058851" w14:textId="77777777" w:rsidR="004A09CE" w:rsidRPr="004A09CE" w:rsidRDefault="004A09CE" w:rsidP="004A09CE">
            <w:pPr>
              <w:widowControl w:val="0"/>
              <w:numPr>
                <w:ilvl w:val="0"/>
                <w:numId w:val="1"/>
              </w:numPr>
              <w:autoSpaceDE w:val="0"/>
              <w:autoSpaceDN w:val="0"/>
              <w:spacing w:after="120" w:line="276" w:lineRule="auto"/>
              <w:contextualSpacing/>
              <w:jc w:val="both"/>
              <w:rPr>
                <w:rFonts w:ascii="Verdana" w:eastAsia="Aptos" w:hAnsi="Verdana" w:cs="Arial"/>
              </w:rPr>
            </w:pPr>
            <w:r w:rsidRPr="004A09CE">
              <w:rPr>
                <w:rFonts w:ascii="Verdana" w:eastAsia="Aptos" w:hAnsi="Verdana" w:cs="Arial"/>
                <w:color w:val="000000"/>
                <w:lang w:val="es-ES_tradnl"/>
              </w:rPr>
              <w:t>Código de Comercio: Artículo 1347</w:t>
            </w:r>
          </w:p>
          <w:p w14:paraId="144B7B12" w14:textId="77777777" w:rsidR="004A09CE" w:rsidRPr="004A09CE" w:rsidRDefault="004A09CE" w:rsidP="004A09CE">
            <w:pPr>
              <w:widowControl w:val="0"/>
              <w:numPr>
                <w:ilvl w:val="0"/>
                <w:numId w:val="1"/>
              </w:numPr>
              <w:autoSpaceDE w:val="0"/>
              <w:autoSpaceDN w:val="0"/>
              <w:spacing w:after="120" w:line="276" w:lineRule="auto"/>
              <w:contextualSpacing/>
              <w:jc w:val="both"/>
              <w:rPr>
                <w:rFonts w:ascii="Verdana" w:eastAsia="Aptos" w:hAnsi="Verdana" w:cs="Arial"/>
              </w:rPr>
            </w:pPr>
            <w:r w:rsidRPr="004A09CE">
              <w:rPr>
                <w:rFonts w:ascii="Verdana" w:eastAsia="Calibri" w:hAnsi="Verdana" w:cs="Arial"/>
                <w:lang w:val="es-ES"/>
              </w:rPr>
              <w:t>Decreto 1082. Artículo 2.2.1.2.4.2.2</w:t>
            </w:r>
            <w:r w:rsidRPr="004A09CE">
              <w:rPr>
                <w:rFonts w:ascii="Verdana" w:eastAsia="Calibri" w:hAnsi="Verdana" w:cs="Times New Roman"/>
                <w:lang w:val="es-ES"/>
              </w:rPr>
              <w:t xml:space="preserve"> </w:t>
            </w:r>
          </w:p>
          <w:p w14:paraId="2EBD2DBE" w14:textId="77777777" w:rsidR="004A09CE" w:rsidRPr="004A09CE" w:rsidRDefault="004A09CE" w:rsidP="004A09CE">
            <w:pPr>
              <w:widowControl w:val="0"/>
              <w:numPr>
                <w:ilvl w:val="0"/>
                <w:numId w:val="1"/>
              </w:numPr>
              <w:autoSpaceDE w:val="0"/>
              <w:autoSpaceDN w:val="0"/>
              <w:spacing w:line="276" w:lineRule="auto"/>
              <w:contextualSpacing/>
              <w:jc w:val="both"/>
              <w:rPr>
                <w:rFonts w:ascii="Verdana" w:eastAsia="Aptos" w:hAnsi="Verdana" w:cs="Arial"/>
              </w:rPr>
            </w:pPr>
            <w:r w:rsidRPr="004A09CE">
              <w:rPr>
                <w:rFonts w:ascii="Verdana" w:eastAsia="Aptos" w:hAnsi="Verdana" w:cs="Arial"/>
              </w:rPr>
              <w:t>Consejo de Estado. Sección Tercera. Subsección A. Sentencia del 30 de abril de 2014. M.P. Hernán Andrade Rincón. Rad. 25000-23-26-000-1996-13326-01(26967).</w:t>
            </w:r>
          </w:p>
          <w:p w14:paraId="2A90A173" w14:textId="77777777" w:rsidR="004A09CE" w:rsidRPr="004A09CE" w:rsidRDefault="004A09CE" w:rsidP="004A09CE">
            <w:pPr>
              <w:widowControl w:val="0"/>
              <w:numPr>
                <w:ilvl w:val="0"/>
                <w:numId w:val="1"/>
              </w:numPr>
              <w:autoSpaceDE w:val="0"/>
              <w:autoSpaceDN w:val="0"/>
              <w:spacing w:line="276" w:lineRule="auto"/>
              <w:contextualSpacing/>
              <w:jc w:val="both"/>
              <w:rPr>
                <w:rFonts w:ascii="Verdana" w:eastAsia="Aptos" w:hAnsi="Verdana" w:cs="Arial"/>
              </w:rPr>
            </w:pPr>
            <w:r w:rsidRPr="004A09CE">
              <w:rPr>
                <w:rFonts w:ascii="Verdana" w:eastAsia="Aptos" w:hAnsi="Verdana" w:cs="Arial"/>
              </w:rPr>
              <w:t>Consejo de Estado. Sección Tercera. Sentencia del 22 de marzo de 2001. M.P. Alier Eduardo Hernández Enríquez. Rad. 11001-03-26-000-1994-9840-01(9840).</w:t>
            </w:r>
          </w:p>
        </w:tc>
      </w:tr>
    </w:tbl>
    <w:p w14:paraId="3AF52798" w14:textId="77777777" w:rsidR="004A09CE" w:rsidRPr="004A09CE" w:rsidRDefault="004A09CE" w:rsidP="004A09CE">
      <w:pPr>
        <w:widowControl w:val="0"/>
        <w:autoSpaceDE w:val="0"/>
        <w:autoSpaceDN w:val="0"/>
        <w:spacing w:after="0" w:line="276" w:lineRule="auto"/>
        <w:jc w:val="both"/>
        <w:rPr>
          <w:rFonts w:ascii="Verdana" w:eastAsia="Aptos" w:hAnsi="Verdana" w:cs="Arial"/>
        </w:rPr>
      </w:pPr>
    </w:p>
    <w:p w14:paraId="69FCB2BB" w14:textId="77777777" w:rsidR="004A09CE" w:rsidRPr="004A09CE" w:rsidRDefault="004A09CE" w:rsidP="004A09CE">
      <w:pPr>
        <w:widowControl w:val="0"/>
        <w:autoSpaceDE w:val="0"/>
        <w:autoSpaceDN w:val="0"/>
        <w:spacing w:before="1" w:after="0" w:line="240" w:lineRule="auto"/>
        <w:outlineLvl w:val="0"/>
        <w:rPr>
          <w:rFonts w:ascii="Verdana" w:eastAsia="Arial" w:hAnsi="Verdana" w:cs="Arial"/>
          <w:b/>
          <w:bCs/>
          <w:lang w:val="es-ES"/>
        </w:rPr>
      </w:pPr>
      <w:r w:rsidRPr="004A09CE">
        <w:rPr>
          <w:rFonts w:ascii="Verdana" w:eastAsia="Arial" w:hAnsi="Verdana" w:cs="Arial"/>
          <w:b/>
          <w:bCs/>
          <w:lang w:val="es-ES"/>
        </w:rPr>
        <w:t>5. Doctrina de la Agencia Nacional de Contratación Pública:</w:t>
      </w:r>
    </w:p>
    <w:p w14:paraId="1E6198D6" w14:textId="77777777" w:rsidR="004A09CE" w:rsidRPr="004A09CE" w:rsidRDefault="004A09CE" w:rsidP="004A09CE">
      <w:pPr>
        <w:widowControl w:val="0"/>
        <w:autoSpaceDE w:val="0"/>
        <w:autoSpaceDN w:val="0"/>
        <w:spacing w:after="0" w:line="276" w:lineRule="auto"/>
        <w:jc w:val="both"/>
        <w:rPr>
          <w:rFonts w:ascii="Verdana" w:eastAsia="Aptos" w:hAnsi="Verdana" w:cs="Arial"/>
        </w:rPr>
      </w:pPr>
    </w:p>
    <w:p w14:paraId="2131089C" w14:textId="77777777" w:rsidR="004A09CE" w:rsidRPr="004A09CE" w:rsidRDefault="004A09CE" w:rsidP="004A09CE">
      <w:pPr>
        <w:widowControl w:val="0"/>
        <w:autoSpaceDE w:val="0"/>
        <w:autoSpaceDN w:val="0"/>
        <w:spacing w:after="0" w:line="276" w:lineRule="auto"/>
        <w:jc w:val="both"/>
        <w:rPr>
          <w:rFonts w:ascii="Verdana" w:eastAsia="Aptos" w:hAnsi="Verdana" w:cs="Arial"/>
          <w:shd w:val="clear" w:color="auto" w:fill="FFFFFF"/>
          <w:lang w:val="es-ES"/>
        </w:rPr>
      </w:pPr>
      <w:r w:rsidRPr="004A09CE">
        <w:rPr>
          <w:rFonts w:ascii="Verdana" w:eastAsia="Aptos" w:hAnsi="Verdana" w:cs="Arial"/>
          <w:shd w:val="clear" w:color="auto" w:fill="FFFFFF"/>
          <w:lang w:val="es-ES"/>
        </w:rPr>
        <w:lastRenderedPageBreak/>
        <w:t>Sobre el contrato de corretaje esta Subdirección se ha pronunciado en el Concepto C-199 del 16 de agosto de 2024, igualmente respecto de las limitaciones de convocatorias a Mipymes, se ha manifestado en los conceptos concepto C-705 del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C-758 del 10 de noviembre de 2022, C-089 del 28 de abril de 2023, C-251 del 9 de agosto de 2024, C-417 del 15 de mayo de 2025, C-483 del 20 de mayo de 2025, entre otros. Es</w:t>
      </w:r>
      <w:r w:rsidRPr="004A09CE">
        <w:rPr>
          <w:rFonts w:ascii="Verdana" w:eastAsia="Aptos" w:hAnsi="Verdana" w:cs="Times New Roman"/>
        </w:rPr>
        <w:t>tos y otros conceptos se encuentran disponibles para consulta en el Sistema de relatoría de la Agencia, al cual se puede acceder a través del siguiente enlace:</w:t>
      </w:r>
      <w:r w:rsidRPr="004A09CE">
        <w:rPr>
          <w:rFonts w:ascii="Verdana" w:eastAsia="Aptos" w:hAnsi="Verdana" w:cs="Arial"/>
          <w:shd w:val="clear" w:color="auto" w:fill="FFFFFF"/>
          <w:lang w:val="es-ES"/>
        </w:rPr>
        <w:t xml:space="preserve"> </w:t>
      </w:r>
      <w:hyperlink r:id="rId12" w:history="1">
        <w:r w:rsidRPr="004A09CE">
          <w:rPr>
            <w:rFonts w:ascii="Verdana" w:eastAsia="Aptos" w:hAnsi="Verdana" w:cs="Arial"/>
            <w:color w:val="467886"/>
            <w:u w:val="single"/>
            <w:shd w:val="clear" w:color="auto" w:fill="FFFFFF"/>
            <w:lang w:val="es-ES"/>
          </w:rPr>
          <w:t>https://relatoria.colombiacompra.gov.co/busqueda/conceptos</w:t>
        </w:r>
      </w:hyperlink>
      <w:r w:rsidRPr="004A09CE">
        <w:rPr>
          <w:rFonts w:ascii="Verdana" w:eastAsia="Aptos" w:hAnsi="Verdana" w:cs="Arial"/>
          <w:color w:val="FF0000"/>
          <w:shd w:val="clear" w:color="auto" w:fill="FFFFFF"/>
          <w:lang w:val="es-ES"/>
        </w:rPr>
        <w:t>.</w:t>
      </w:r>
    </w:p>
    <w:p w14:paraId="71240B5B" w14:textId="77777777" w:rsidR="004A09CE" w:rsidRPr="004A09CE" w:rsidRDefault="004A09CE" w:rsidP="004A09CE">
      <w:pPr>
        <w:widowControl w:val="0"/>
        <w:autoSpaceDE w:val="0"/>
        <w:autoSpaceDN w:val="0"/>
        <w:spacing w:after="0" w:line="276" w:lineRule="auto"/>
        <w:jc w:val="both"/>
        <w:rPr>
          <w:rFonts w:ascii="Verdana" w:eastAsia="Aptos" w:hAnsi="Verdana" w:cs="Arial"/>
          <w:shd w:val="clear" w:color="auto" w:fill="FFFFFF"/>
          <w:lang w:val="es-ES"/>
        </w:rPr>
      </w:pPr>
    </w:p>
    <w:p w14:paraId="0ED4953A" w14:textId="77777777" w:rsidR="004A09CE" w:rsidRPr="004A09CE" w:rsidRDefault="004A09CE" w:rsidP="004A09CE">
      <w:pPr>
        <w:spacing w:after="0" w:line="240" w:lineRule="auto"/>
        <w:jc w:val="both"/>
        <w:rPr>
          <w:rFonts w:ascii="Verdana" w:eastAsia="Aptos" w:hAnsi="Verdana" w:cs="Times New Roman"/>
        </w:rPr>
      </w:pPr>
      <w:r w:rsidRPr="004A09CE">
        <w:rPr>
          <w:rFonts w:ascii="Verdana" w:eastAsia="Aptos" w:hAnsi="Verdana" w:cs="Times New Roman"/>
        </w:rPr>
        <w:t xml:space="preserve">Por último, lo invitamos a seguirnos en las redes sociales en las cuales se difunde información institucional: </w:t>
      </w:r>
    </w:p>
    <w:p w14:paraId="0C6D8C98" w14:textId="77777777" w:rsidR="004A09CE" w:rsidRPr="004A09CE" w:rsidRDefault="004A09CE" w:rsidP="004A09CE">
      <w:pPr>
        <w:spacing w:after="0" w:line="240" w:lineRule="auto"/>
        <w:jc w:val="both"/>
        <w:rPr>
          <w:rFonts w:ascii="Verdana" w:eastAsia="Aptos" w:hAnsi="Verdana" w:cs="Times New Roman"/>
        </w:rPr>
      </w:pPr>
    </w:p>
    <w:p w14:paraId="61B7515F" w14:textId="77777777" w:rsidR="004A09CE" w:rsidRPr="004A09CE" w:rsidRDefault="004A09CE" w:rsidP="004A09CE">
      <w:pPr>
        <w:spacing w:after="0" w:line="240" w:lineRule="auto"/>
        <w:jc w:val="both"/>
        <w:rPr>
          <w:rFonts w:ascii="Verdana" w:eastAsia="Aptos" w:hAnsi="Verdana" w:cs="Times New Roman"/>
        </w:rPr>
      </w:pPr>
      <w:r w:rsidRPr="004A09CE">
        <w:rPr>
          <w:rFonts w:ascii="Verdana" w:eastAsia="Aptos" w:hAnsi="Verdana" w:cs="Times New Roman"/>
        </w:rPr>
        <w:t xml:space="preserve">Twitter: </w:t>
      </w:r>
      <w:r w:rsidRPr="004A09CE">
        <w:rPr>
          <w:rFonts w:ascii="Verdana" w:eastAsia="Aptos" w:hAnsi="Verdana" w:cs="Times New Roman"/>
          <w:color w:val="156082"/>
          <w:u w:val="single"/>
        </w:rPr>
        <w:t>@colombiacompra</w:t>
      </w:r>
      <w:r w:rsidRPr="004A09CE">
        <w:rPr>
          <w:rFonts w:ascii="Verdana" w:eastAsia="Aptos" w:hAnsi="Verdana" w:cs="Times New Roman"/>
          <w:color w:val="156082"/>
        </w:rPr>
        <w:t xml:space="preserve"> </w:t>
      </w:r>
    </w:p>
    <w:p w14:paraId="50B9A584" w14:textId="77777777" w:rsidR="004A09CE" w:rsidRPr="004A09CE" w:rsidRDefault="004A09CE" w:rsidP="004A09CE">
      <w:pPr>
        <w:spacing w:after="0" w:line="240" w:lineRule="auto"/>
        <w:jc w:val="both"/>
        <w:rPr>
          <w:rFonts w:ascii="Verdana" w:eastAsia="Aptos" w:hAnsi="Verdana" w:cs="Times New Roman"/>
        </w:rPr>
      </w:pPr>
      <w:r w:rsidRPr="004A09CE">
        <w:rPr>
          <w:rFonts w:ascii="Verdana" w:eastAsia="Aptos" w:hAnsi="Verdana" w:cs="Times New Roman"/>
        </w:rPr>
        <w:t xml:space="preserve">Facebook: </w:t>
      </w:r>
      <w:r w:rsidRPr="004A09CE">
        <w:rPr>
          <w:rFonts w:ascii="Verdana" w:eastAsia="Aptos" w:hAnsi="Verdana" w:cs="Times New Roman"/>
          <w:color w:val="156082"/>
          <w:u w:val="single"/>
        </w:rPr>
        <w:t>ColombiaCompraEficiente</w:t>
      </w:r>
    </w:p>
    <w:p w14:paraId="7D0FAA64" w14:textId="77777777" w:rsidR="004A09CE" w:rsidRPr="004A09CE" w:rsidRDefault="004A09CE" w:rsidP="004A09CE">
      <w:pPr>
        <w:spacing w:after="0" w:line="240" w:lineRule="auto"/>
        <w:jc w:val="both"/>
        <w:rPr>
          <w:rFonts w:ascii="Verdana" w:eastAsia="Aptos" w:hAnsi="Verdana" w:cs="Times New Roman"/>
        </w:rPr>
      </w:pPr>
      <w:r w:rsidRPr="004A09CE">
        <w:rPr>
          <w:rFonts w:ascii="Verdana" w:eastAsia="Aptos" w:hAnsi="Verdana" w:cs="Times New Roman"/>
        </w:rPr>
        <w:t xml:space="preserve">LinkedIn: </w:t>
      </w:r>
      <w:r w:rsidRPr="004A09CE">
        <w:rPr>
          <w:rFonts w:ascii="Verdana" w:eastAsia="Aptos" w:hAnsi="Verdana" w:cs="Times New Roman"/>
          <w:color w:val="156082"/>
          <w:u w:val="single"/>
        </w:rPr>
        <w:t>Agencia Nacional de Contratación Pública - Colombia Compra Eficiente</w:t>
      </w:r>
      <w:r w:rsidRPr="004A09CE">
        <w:rPr>
          <w:rFonts w:ascii="Verdana" w:eastAsia="Aptos" w:hAnsi="Verdana" w:cs="Times New Roman"/>
          <w:color w:val="156082"/>
        </w:rPr>
        <w:t xml:space="preserve"> </w:t>
      </w:r>
      <w:r w:rsidRPr="004A09CE">
        <w:rPr>
          <w:rFonts w:ascii="Verdana" w:eastAsia="Aptos" w:hAnsi="Verdana" w:cs="Times New Roman"/>
        </w:rPr>
        <w:t xml:space="preserve">Instagram: </w:t>
      </w:r>
      <w:r w:rsidRPr="004A09CE">
        <w:rPr>
          <w:rFonts w:ascii="Verdana" w:eastAsia="Aptos" w:hAnsi="Verdana" w:cs="Times New Roman"/>
          <w:color w:val="156082"/>
          <w:u w:val="single"/>
        </w:rPr>
        <w:t>@colombiacompraeficiente_cce</w:t>
      </w:r>
    </w:p>
    <w:p w14:paraId="5D08BEAE" w14:textId="77777777" w:rsidR="004A09CE" w:rsidRPr="004A09CE" w:rsidRDefault="004A09CE" w:rsidP="004A09CE">
      <w:pPr>
        <w:widowControl w:val="0"/>
        <w:autoSpaceDE w:val="0"/>
        <w:autoSpaceDN w:val="0"/>
        <w:spacing w:after="0" w:line="276" w:lineRule="auto"/>
        <w:jc w:val="both"/>
        <w:rPr>
          <w:rFonts w:ascii="Verdana" w:eastAsia="Aptos" w:hAnsi="Verdana" w:cs="Arial"/>
        </w:rPr>
      </w:pPr>
    </w:p>
    <w:p w14:paraId="3387F8E5" w14:textId="77777777" w:rsidR="004A09CE" w:rsidRPr="004A09CE" w:rsidRDefault="004A09CE" w:rsidP="004A09CE">
      <w:pPr>
        <w:widowControl w:val="0"/>
        <w:autoSpaceDE w:val="0"/>
        <w:autoSpaceDN w:val="0"/>
        <w:spacing w:after="0" w:line="276" w:lineRule="auto"/>
        <w:jc w:val="both"/>
        <w:rPr>
          <w:rFonts w:ascii="Verdana" w:eastAsia="Aptos" w:hAnsi="Verdana" w:cs="Arial"/>
          <w:lang w:val="es-ES_tradnl"/>
        </w:rPr>
      </w:pPr>
      <w:r w:rsidRPr="004A09CE">
        <w:rPr>
          <w:rFonts w:ascii="Verdana" w:eastAsia="Aptos" w:hAnsi="Verdana" w:cs="Arial"/>
        </w:rPr>
        <w:t xml:space="preserve">Este concepto tiene el alcance previsto en el artículo 28 del Código de Procedimiento Administrativo y de lo Contencioso Administrativo </w:t>
      </w:r>
      <w:r w:rsidRPr="004A09CE">
        <w:rPr>
          <w:rFonts w:ascii="Verdana" w:eastAsia="Aptos" w:hAnsi="Verdana" w:cs="Arial"/>
          <w:lang w:val="es-ES_tradnl"/>
        </w:rPr>
        <w:t>y las expresiones aquí utilizadas con mayúscula inicial deben ser entendidas con el significado que les otorga el artículo 2.2.1.1.1.3.1. del Decreto 1082 de 2015.</w:t>
      </w:r>
    </w:p>
    <w:p w14:paraId="02644150" w14:textId="77777777" w:rsidR="004A09CE" w:rsidRPr="004A09CE" w:rsidRDefault="004A09CE" w:rsidP="004A09CE">
      <w:pPr>
        <w:widowControl w:val="0"/>
        <w:autoSpaceDE w:val="0"/>
        <w:autoSpaceDN w:val="0"/>
        <w:spacing w:after="0" w:line="276" w:lineRule="auto"/>
        <w:jc w:val="both"/>
        <w:rPr>
          <w:rFonts w:ascii="Verdana" w:eastAsia="Aptos" w:hAnsi="Verdana" w:cs="Arial"/>
        </w:rPr>
      </w:pPr>
    </w:p>
    <w:p w14:paraId="5B2A3E8D" w14:textId="77777777" w:rsidR="004A09CE" w:rsidRPr="004A09CE" w:rsidRDefault="004A09CE" w:rsidP="004A09CE">
      <w:pPr>
        <w:spacing w:after="0" w:line="240" w:lineRule="auto"/>
        <w:rPr>
          <w:rFonts w:ascii="Verdana" w:eastAsia="Aptos" w:hAnsi="Verdana" w:cs="Arial"/>
          <w:lang w:eastAsia="es-CO"/>
        </w:rPr>
      </w:pPr>
      <w:r w:rsidRPr="004A09CE">
        <w:rPr>
          <w:rFonts w:ascii="Verdana" w:eastAsia="Times New Roman" w:hAnsi="Verdana" w:cs="Arial"/>
          <w:lang w:eastAsia="es-CO"/>
        </w:rPr>
        <w:t>Atentamente,</w:t>
      </w:r>
      <w:r w:rsidRPr="004A09CE">
        <w:rPr>
          <w:rFonts w:ascii="Verdana" w:eastAsia="Aptos" w:hAnsi="Verdana" w:cs="Arial"/>
          <w:lang w:eastAsia="es-CO"/>
        </w:rPr>
        <w:t xml:space="preserve"> </w:t>
      </w:r>
    </w:p>
    <w:p w14:paraId="0A18DD00" w14:textId="54AC1EA4" w:rsidR="004A09CE" w:rsidRPr="00D71286" w:rsidRDefault="00D71286" w:rsidP="00D71286">
      <w:pPr>
        <w:spacing w:line="276" w:lineRule="auto"/>
        <w:jc w:val="center"/>
        <w:rPr>
          <w:rFonts w:ascii="Verdana" w:eastAsia="Aptos" w:hAnsi="Verdana" w:cs="Times New Roman"/>
          <w:noProof/>
          <w:lang w:eastAsia="es-CO"/>
        </w:rPr>
      </w:pPr>
      <w:r w:rsidRPr="00D71286">
        <w:rPr>
          <w:rFonts w:ascii="Verdana" w:eastAsia="Aptos" w:hAnsi="Verdana" w:cs="Times New Roman"/>
          <w:noProof/>
          <w:lang w:eastAsia="es-CO"/>
        </w:rPr>
        <w:drawing>
          <wp:inline distT="0" distB="0" distL="0" distR="0" wp14:anchorId="68115852" wp14:editId="5A7BFC3F">
            <wp:extent cx="4201111" cy="1419423"/>
            <wp:effectExtent l="0" t="0" r="9525" b="9525"/>
            <wp:docPr id="165406948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69487" name="Imagen 1" descr="Texto, Carta&#10;&#10;El contenido generado por IA puede ser incorrecto."/>
                    <pic:cNvPicPr/>
                  </pic:nvPicPr>
                  <pic:blipFill>
                    <a:blip r:embed="rId13"/>
                    <a:stretch>
                      <a:fillRect/>
                    </a:stretch>
                  </pic:blipFill>
                  <pic:spPr>
                    <a:xfrm>
                      <a:off x="0" y="0"/>
                      <a:ext cx="4201111" cy="1419423"/>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4A09CE" w:rsidRPr="004A09CE" w14:paraId="37F9404A" w14:textId="77777777" w:rsidTr="007220F2">
        <w:trPr>
          <w:trHeight w:val="286"/>
        </w:trPr>
        <w:tc>
          <w:tcPr>
            <w:tcW w:w="901" w:type="dxa"/>
            <w:vAlign w:val="center"/>
            <w:hideMark/>
          </w:tcPr>
          <w:p w14:paraId="76E2FEDF"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7D58A1DA"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Nasly Yeana Mosquera Rivas</w:t>
            </w:r>
          </w:p>
          <w:p w14:paraId="4C461750"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Analista T2–06 de la Subdirección de Gestión Contractual</w:t>
            </w:r>
          </w:p>
        </w:tc>
      </w:tr>
      <w:tr w:rsidR="004A09CE" w:rsidRPr="004A09CE" w14:paraId="66DE6401" w14:textId="77777777" w:rsidTr="007220F2">
        <w:trPr>
          <w:trHeight w:val="299"/>
        </w:trPr>
        <w:tc>
          <w:tcPr>
            <w:tcW w:w="901" w:type="dxa"/>
            <w:vAlign w:val="center"/>
          </w:tcPr>
          <w:p w14:paraId="702423C2"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357CB141"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Alejandro Sarmiento Cantillo</w:t>
            </w:r>
          </w:p>
          <w:p w14:paraId="0BA8D41F"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Gestor T1 – 15 de la Subdirección de Gestión Contractual</w:t>
            </w:r>
          </w:p>
        </w:tc>
      </w:tr>
      <w:tr w:rsidR="004A09CE" w:rsidRPr="004A09CE" w14:paraId="44456A9C" w14:textId="77777777" w:rsidTr="007220F2">
        <w:trPr>
          <w:trHeight w:val="272"/>
        </w:trPr>
        <w:tc>
          <w:tcPr>
            <w:tcW w:w="901" w:type="dxa"/>
            <w:vAlign w:val="center"/>
            <w:hideMark/>
          </w:tcPr>
          <w:p w14:paraId="7CAF63C9"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F9405A9"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Ana María Tolosa Rico</w:t>
            </w:r>
          </w:p>
          <w:p w14:paraId="1CAA171D" w14:textId="77777777" w:rsidR="004A09CE" w:rsidRPr="004A09CE" w:rsidRDefault="004A09CE" w:rsidP="004A09CE">
            <w:pPr>
              <w:spacing w:line="240" w:lineRule="auto"/>
              <w:rPr>
                <w:rFonts w:ascii="Verdana" w:eastAsia="Aptos" w:hAnsi="Verdana" w:cs="Arial"/>
                <w:sz w:val="14"/>
                <w:szCs w:val="14"/>
                <w:lang w:eastAsia="es-ES"/>
              </w:rPr>
            </w:pPr>
            <w:r w:rsidRPr="004A09CE">
              <w:rPr>
                <w:rFonts w:ascii="Verdana" w:eastAsia="Aptos" w:hAnsi="Verdana" w:cs="Arial"/>
                <w:sz w:val="14"/>
                <w:szCs w:val="14"/>
                <w:lang w:eastAsia="es-ES"/>
              </w:rPr>
              <w:t>Subdirectora de Gestión Contractual (E) ANCP – CCE</w:t>
            </w:r>
          </w:p>
        </w:tc>
      </w:tr>
    </w:tbl>
    <w:p w14:paraId="3617A98E" w14:textId="77777777" w:rsidR="004A09CE" w:rsidRPr="004A09CE" w:rsidRDefault="004A09CE" w:rsidP="004A09CE">
      <w:pPr>
        <w:spacing w:after="0" w:line="240" w:lineRule="auto"/>
        <w:rPr>
          <w:rFonts w:ascii="Verdana" w:eastAsia="Times New Roman" w:hAnsi="Verdana" w:cs="Arial"/>
          <w:sz w:val="24"/>
          <w:szCs w:val="24"/>
          <w:lang w:eastAsia="es-ES"/>
        </w:rPr>
      </w:pPr>
    </w:p>
    <w:p w14:paraId="44D07FFB" w14:textId="77777777" w:rsidR="004A09CE" w:rsidRPr="004A09CE" w:rsidRDefault="004A09CE" w:rsidP="004A09CE">
      <w:pPr>
        <w:rPr>
          <w:rFonts w:ascii="Aptos" w:eastAsia="Aptos" w:hAnsi="Aptos" w:cs="Times New Roman"/>
        </w:rPr>
      </w:pPr>
    </w:p>
    <w:p w14:paraId="0DCAA065" w14:textId="77777777" w:rsidR="004A09CE" w:rsidRPr="004A09CE" w:rsidRDefault="004A09CE" w:rsidP="004A09CE">
      <w:pPr>
        <w:spacing w:after="0"/>
        <w:jc w:val="both"/>
        <w:rPr>
          <w:rFonts w:ascii="Verdana" w:eastAsia="Aptos" w:hAnsi="Verdana" w:cs="Times New Roman"/>
        </w:rPr>
      </w:pPr>
    </w:p>
    <w:sectPr w:rsidR="004A09CE" w:rsidRPr="004A09CE" w:rsidSect="00DB712D">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8CFCC" w14:textId="77777777" w:rsidR="00D87412" w:rsidRDefault="00D87412" w:rsidP="00DB712D">
      <w:pPr>
        <w:spacing w:after="0" w:line="240" w:lineRule="auto"/>
      </w:pPr>
      <w:r>
        <w:separator/>
      </w:r>
    </w:p>
  </w:endnote>
  <w:endnote w:type="continuationSeparator" w:id="0">
    <w:p w14:paraId="6B7D3B3D" w14:textId="77777777" w:rsidR="00D87412" w:rsidRDefault="00D87412" w:rsidP="00DB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96B6" w14:textId="77777777" w:rsidR="00DB712D" w:rsidRDefault="00DB712D">
    <w:pPr>
      <w:pStyle w:val="Piedepgina"/>
    </w:pPr>
  </w:p>
  <w:p w14:paraId="53C6A5AC" w14:textId="77777777" w:rsidR="00DB712D" w:rsidRPr="00174B77" w:rsidRDefault="00DB712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4A09CE">
      <w:rPr>
        <w:rFonts w:ascii="Verdana" w:eastAsia="Times New Roman" w:hAnsi="Verdana" w:cs="Times New Roman"/>
        <w:b/>
        <w:bCs/>
        <w:sz w:val="16"/>
        <w:szCs w:val="16"/>
        <w:lang w:val="es-ES"/>
      </w:rPr>
      <w:t xml:space="preserve">pág. </w:t>
    </w:r>
    <w:r w:rsidRPr="004A09C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4A09CE">
      <w:rPr>
        <w:rFonts w:ascii="Verdana" w:eastAsia="Times New Roman" w:hAnsi="Verdana"/>
        <w:b/>
        <w:bCs/>
        <w:sz w:val="16"/>
        <w:szCs w:val="16"/>
      </w:rPr>
      <w:fldChar w:fldCharType="separate"/>
    </w:r>
    <w:r w:rsidRPr="004A09CE">
      <w:rPr>
        <w:rFonts w:ascii="Verdana" w:eastAsia="Times New Roman" w:hAnsi="Verdana"/>
        <w:b/>
        <w:bCs/>
        <w:sz w:val="16"/>
        <w:szCs w:val="16"/>
      </w:rPr>
      <w:t>1</w:t>
    </w:r>
    <w:r w:rsidRPr="004A09C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6CEA45C" w14:textId="77777777" w:rsidR="00DB712D" w:rsidRDefault="00DB712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840DFA" w14:textId="77777777" w:rsidR="00DB712D" w:rsidRPr="00E41027" w:rsidRDefault="00DB712D" w:rsidP="00D520D8">
    <w:pPr>
      <w:spacing w:after="0"/>
      <w:jc w:val="both"/>
      <w:rPr>
        <w:rFonts w:ascii="Verdana" w:hAnsi="Verdana"/>
        <w:sz w:val="18"/>
        <w:szCs w:val="18"/>
      </w:rPr>
    </w:pPr>
    <w:r w:rsidRPr="00E41027">
      <w:rPr>
        <w:rFonts w:ascii="Verdana" w:hAnsi="Verdana"/>
        <w:sz w:val="18"/>
        <w:szCs w:val="18"/>
      </w:rPr>
      <w:t>Mesa de servicio: (+57) 601 7456788</w:t>
    </w:r>
  </w:p>
  <w:p w14:paraId="2518FE46" w14:textId="77777777" w:rsidR="00DB712D" w:rsidRDefault="00DB712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FD1FD" w14:textId="77777777" w:rsidR="00D87412" w:rsidRDefault="00D87412" w:rsidP="00DB712D">
      <w:pPr>
        <w:spacing w:after="0" w:line="240" w:lineRule="auto"/>
      </w:pPr>
      <w:r>
        <w:separator/>
      </w:r>
    </w:p>
  </w:footnote>
  <w:footnote w:type="continuationSeparator" w:id="0">
    <w:p w14:paraId="73141B98" w14:textId="77777777" w:rsidR="00D87412" w:rsidRDefault="00D87412" w:rsidP="00DB712D">
      <w:pPr>
        <w:spacing w:after="0" w:line="240" w:lineRule="auto"/>
      </w:pPr>
      <w:r>
        <w:continuationSeparator/>
      </w:r>
    </w:p>
  </w:footnote>
  <w:footnote w:id="1">
    <w:p w14:paraId="3177FEDC" w14:textId="77777777" w:rsidR="004A09CE" w:rsidRPr="008D53AE" w:rsidRDefault="004A09CE" w:rsidP="004A09CE">
      <w:pPr>
        <w:pStyle w:val="Textonotapie"/>
        <w:ind w:firstLine="709"/>
        <w:jc w:val="both"/>
        <w:rPr>
          <w:rFonts w:ascii="Verdana" w:hAnsi="Verdana" w:cs="Arial"/>
          <w:color w:val="000000"/>
          <w:sz w:val="18"/>
          <w:szCs w:val="18"/>
          <w:lang w:val="es-ES_tradnl"/>
        </w:rPr>
      </w:pPr>
      <w:r w:rsidRPr="005E49DA">
        <w:rPr>
          <w:rStyle w:val="Refdenotaalpie"/>
          <w:rFonts w:ascii="Verdana" w:hAnsi="Verdana" w:cs="Arial"/>
          <w:sz w:val="18"/>
          <w:szCs w:val="18"/>
        </w:rPr>
        <w:footnoteRef/>
      </w:r>
      <w:r w:rsidRPr="005E49DA">
        <w:rPr>
          <w:rFonts w:ascii="Verdana" w:hAnsi="Verdana" w:cs="Arial"/>
          <w:sz w:val="18"/>
          <w:szCs w:val="18"/>
        </w:rPr>
        <w:t xml:space="preserve"> </w:t>
      </w:r>
      <w:r w:rsidRPr="008D53AE">
        <w:rPr>
          <w:rFonts w:ascii="Verdana" w:hAnsi="Verdana" w:cs="Arial"/>
          <w:color w:val="000000"/>
          <w:sz w:val="18"/>
          <w:szCs w:val="18"/>
          <w:lang w:val="es-ES_tradnl"/>
        </w:rPr>
        <w:t>“</w:t>
      </w:r>
      <w:r w:rsidRPr="005E49DA">
        <w:rPr>
          <w:rFonts w:ascii="Verdana" w:hAnsi="Verdana" w:cs="Arial"/>
          <w:bCs/>
          <w:iCs/>
          <w:sz w:val="18"/>
          <w:szCs w:val="18"/>
        </w:rPr>
        <w:t>Artículo 40.- Sociedades Corredoras de seguros. 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r w:rsidRPr="008D53AE">
        <w:rPr>
          <w:rFonts w:ascii="Verdana" w:hAnsi="Verdana" w:cs="Arial"/>
          <w:color w:val="000000"/>
          <w:sz w:val="18"/>
          <w:szCs w:val="18"/>
          <w:lang w:val="es-ES_tradnl"/>
        </w:rPr>
        <w:t xml:space="preserve">”. </w:t>
      </w:r>
    </w:p>
    <w:p w14:paraId="6379124A" w14:textId="77777777" w:rsidR="004A09CE" w:rsidRPr="008D53AE" w:rsidRDefault="004A09CE" w:rsidP="004A09CE">
      <w:pPr>
        <w:pStyle w:val="Textonotapie"/>
        <w:ind w:firstLine="709"/>
        <w:jc w:val="both"/>
        <w:rPr>
          <w:rFonts w:ascii="Verdana" w:hAnsi="Verdana" w:cs="Arial"/>
          <w:color w:val="000000"/>
          <w:sz w:val="18"/>
          <w:szCs w:val="18"/>
          <w:lang w:val="es-ES_tradnl"/>
        </w:rPr>
      </w:pPr>
    </w:p>
    <w:p w14:paraId="36BF8EF4" w14:textId="77777777" w:rsidR="004A09CE" w:rsidRPr="005E49DA" w:rsidRDefault="004A09CE" w:rsidP="004A09CE">
      <w:pPr>
        <w:pStyle w:val="Textonotapie"/>
        <w:ind w:firstLine="708"/>
        <w:jc w:val="both"/>
        <w:rPr>
          <w:rFonts w:ascii="Verdana" w:hAnsi="Verdana" w:cs="Arial"/>
          <w:sz w:val="18"/>
          <w:szCs w:val="18"/>
        </w:rPr>
      </w:pPr>
      <w:r w:rsidRPr="005E49DA">
        <w:rPr>
          <w:rFonts w:ascii="Verdana" w:hAnsi="Verdana" w:cs="Arial"/>
          <w:sz w:val="18"/>
          <w:szCs w:val="18"/>
        </w:rPr>
        <w:t>El artículo 101 de la Ley 510 de 1999 modificó esta disposición, al establecer que los corredores de seguros deben constituirse como sociedades anónimas e indicar dentro de su denominación las palabras “corredor de seguros” o “corredores de seguros”, las que serán de uso exclusivo de tales sociedades.  Esta ley fijó un plazo de seis meses, a partir de su entrada en vigencia, para que las empresas corredoras de seguros acreditaran su transformación en sociedades anónimas.</w:t>
      </w:r>
    </w:p>
    <w:p w14:paraId="6DDBF9F5" w14:textId="77777777" w:rsidR="004A09CE" w:rsidRPr="005E49DA" w:rsidRDefault="004A09CE" w:rsidP="004A09CE">
      <w:pPr>
        <w:pStyle w:val="Textonotapie"/>
        <w:jc w:val="both"/>
        <w:rPr>
          <w:rFonts w:ascii="Verdana" w:hAnsi="Verdana" w:cs="Arial"/>
          <w:sz w:val="18"/>
          <w:szCs w:val="18"/>
        </w:rPr>
      </w:pPr>
    </w:p>
  </w:footnote>
  <w:footnote w:id="2">
    <w:p w14:paraId="2B112B9C" w14:textId="77777777" w:rsidR="004A09CE" w:rsidRDefault="004A09CE" w:rsidP="004A09CE">
      <w:pPr>
        <w:pStyle w:val="Sinespaciado1"/>
        <w:ind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Consejo de Estado</w:t>
      </w:r>
      <w:r>
        <w:rPr>
          <w:rFonts w:ascii="Verdana" w:hAnsi="Verdana" w:cs="Arial"/>
          <w:sz w:val="18"/>
          <w:szCs w:val="18"/>
        </w:rPr>
        <w:t>.</w:t>
      </w:r>
      <w:r w:rsidRPr="005E49DA">
        <w:rPr>
          <w:rFonts w:ascii="Verdana" w:hAnsi="Verdana" w:cs="Arial"/>
          <w:sz w:val="18"/>
          <w:szCs w:val="18"/>
        </w:rPr>
        <w:t xml:space="preserve"> Sección Tercera. Subsección A. Sentencia del 30 de abril de 2014. M.P. Hernán Andrade Rincón. Rad. 25000-23-26-000-1996-13326-01(26967)</w:t>
      </w:r>
      <w:r>
        <w:rPr>
          <w:rFonts w:ascii="Verdana" w:hAnsi="Verdana" w:cs="Arial"/>
          <w:sz w:val="18"/>
          <w:szCs w:val="18"/>
        </w:rPr>
        <w:t xml:space="preserve">. </w:t>
      </w:r>
    </w:p>
    <w:p w14:paraId="4CC2C009" w14:textId="77777777" w:rsidR="004A09CE" w:rsidRPr="005E49DA" w:rsidRDefault="004A09CE" w:rsidP="004A09CE">
      <w:pPr>
        <w:pStyle w:val="Sinespaciado1"/>
        <w:ind w:firstLine="708"/>
        <w:jc w:val="both"/>
        <w:rPr>
          <w:rFonts w:ascii="Verdana" w:hAnsi="Verdana" w:cs="Arial"/>
          <w:b/>
          <w:bCs/>
          <w:sz w:val="18"/>
          <w:szCs w:val="18"/>
        </w:rPr>
      </w:pPr>
    </w:p>
  </w:footnote>
  <w:footnote w:id="3">
    <w:p w14:paraId="664DF43B" w14:textId="77777777" w:rsidR="004A09CE" w:rsidRPr="005E49DA" w:rsidRDefault="004A09CE" w:rsidP="004A09CE">
      <w:pPr>
        <w:pStyle w:val="Textonotapie"/>
        <w:ind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Consejo de Estado</w:t>
      </w:r>
      <w:r>
        <w:rPr>
          <w:rFonts w:ascii="Verdana" w:hAnsi="Verdana" w:cs="Arial"/>
          <w:sz w:val="18"/>
          <w:szCs w:val="18"/>
        </w:rPr>
        <w:t>.</w:t>
      </w:r>
      <w:r w:rsidRPr="005E49DA">
        <w:rPr>
          <w:rFonts w:ascii="Verdana" w:hAnsi="Verdana" w:cs="Arial"/>
          <w:sz w:val="18"/>
          <w:szCs w:val="18"/>
        </w:rPr>
        <w:t xml:space="preserve"> Sección Tercera. Sentencia del 22 de marzo de 2001. M.P. Alier Eduardo Hernández Enríquez. Rad. </w:t>
      </w:r>
      <w:r w:rsidRPr="005E49DA">
        <w:rPr>
          <w:rFonts w:ascii="Verdana" w:hAnsi="Verdana" w:cs="Arial"/>
          <w:sz w:val="18"/>
          <w:szCs w:val="18"/>
          <w:lang w:val="es-ES"/>
        </w:rPr>
        <w:t>11001-03-26-000-1994-9840-01(9840)</w:t>
      </w:r>
      <w:r>
        <w:rPr>
          <w:rFonts w:ascii="Verdana" w:hAnsi="Verdana" w:cs="Arial"/>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36B86" w14:textId="77777777" w:rsidR="00DB712D" w:rsidRDefault="00DB712D">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91993E" wp14:editId="14B0C6C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5CC67F4E" wp14:editId="460ECA5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A80C547" w14:textId="77777777" w:rsidR="00DB712D" w:rsidRDefault="00DB712D">
    <w:pPr>
      <w:pStyle w:val="Encabezado"/>
    </w:pPr>
  </w:p>
  <w:p w14:paraId="591D0736" w14:textId="77777777" w:rsidR="00DB712D" w:rsidRDefault="00DB712D" w:rsidP="004A305D">
    <w:pPr>
      <w:spacing w:after="0"/>
      <w:rPr>
        <w:rFonts w:ascii="Verdana" w:hAnsi="Verdana"/>
        <w:b/>
        <w:bCs/>
      </w:rPr>
    </w:pPr>
  </w:p>
  <w:p w14:paraId="49AA9B54" w14:textId="77777777" w:rsidR="00DB712D" w:rsidRPr="00DC39FC" w:rsidRDefault="00DB712D" w:rsidP="004A305D">
    <w:pPr>
      <w:spacing w:after="0"/>
      <w:rPr>
        <w:rFonts w:ascii="Verdana" w:hAnsi="Verdana"/>
        <w:b/>
        <w:bCs/>
      </w:rPr>
    </w:pPr>
    <w:r w:rsidRPr="00DC39FC">
      <w:rPr>
        <w:rFonts w:ascii="Verdana" w:hAnsi="Verdana"/>
        <w:b/>
        <w:bCs/>
      </w:rPr>
      <w:t>FORMATO PQRSD</w:t>
    </w:r>
  </w:p>
  <w:p w14:paraId="3115B0E5" w14:textId="77777777" w:rsidR="00DB712D" w:rsidRPr="004A305D" w:rsidRDefault="00DB712D" w:rsidP="00B01B1A">
    <w:pPr>
      <w:spacing w:after="0" w:line="120" w:lineRule="auto"/>
      <w:rPr>
        <w:rFonts w:ascii="Century Gothic" w:eastAsia="Geo" w:hAnsi="Century Gothic" w:cs="Geo"/>
        <w:sz w:val="16"/>
        <w:szCs w:val="16"/>
        <w:lang w:eastAsia="es-CO"/>
      </w:rPr>
    </w:pPr>
  </w:p>
  <w:p w14:paraId="283010B1" w14:textId="77777777" w:rsidR="00DB712D" w:rsidRDefault="00DB712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182679F"/>
    <w:multiLevelType w:val="hybridMultilevel"/>
    <w:tmpl w:val="2E70F0C0"/>
    <w:lvl w:ilvl="0" w:tplc="1E423240">
      <w:start w:val="2"/>
      <w:numFmt w:val="bullet"/>
      <w:lvlText w:val="-"/>
      <w:lvlJc w:val="left"/>
      <w:pPr>
        <w:ind w:left="720" w:hanging="360"/>
      </w:pPr>
      <w:rPr>
        <w:rFonts w:ascii="Verdana" w:eastAsia="Calibr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0"/>
  </w:num>
  <w:num w:numId="2" w16cid:durableId="937059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12D"/>
    <w:rsid w:val="00032208"/>
    <w:rsid w:val="00037359"/>
    <w:rsid w:val="000414E0"/>
    <w:rsid w:val="00044C79"/>
    <w:rsid w:val="00051CC2"/>
    <w:rsid w:val="00070290"/>
    <w:rsid w:val="00081162"/>
    <w:rsid w:val="00097117"/>
    <w:rsid w:val="000A3FD6"/>
    <w:rsid w:val="000C496A"/>
    <w:rsid w:val="000E576F"/>
    <w:rsid w:val="000E64FA"/>
    <w:rsid w:val="000F77B8"/>
    <w:rsid w:val="001128AC"/>
    <w:rsid w:val="001138C9"/>
    <w:rsid w:val="0014064A"/>
    <w:rsid w:val="00144426"/>
    <w:rsid w:val="0015165D"/>
    <w:rsid w:val="001661C7"/>
    <w:rsid w:val="0018226D"/>
    <w:rsid w:val="00187F0F"/>
    <w:rsid w:val="00195983"/>
    <w:rsid w:val="001A3205"/>
    <w:rsid w:val="001B1B55"/>
    <w:rsid w:val="001B3EB4"/>
    <w:rsid w:val="001C4706"/>
    <w:rsid w:val="001C4FDC"/>
    <w:rsid w:val="001C572E"/>
    <w:rsid w:val="001D3307"/>
    <w:rsid w:val="001E09A2"/>
    <w:rsid w:val="001E1652"/>
    <w:rsid w:val="001F253F"/>
    <w:rsid w:val="001F4F57"/>
    <w:rsid w:val="001F6FF7"/>
    <w:rsid w:val="00205D8A"/>
    <w:rsid w:val="002068C1"/>
    <w:rsid w:val="00207FAB"/>
    <w:rsid w:val="0021450B"/>
    <w:rsid w:val="0021645F"/>
    <w:rsid w:val="002164F9"/>
    <w:rsid w:val="00221733"/>
    <w:rsid w:val="00226CF7"/>
    <w:rsid w:val="00237B30"/>
    <w:rsid w:val="00241EF6"/>
    <w:rsid w:val="00246A72"/>
    <w:rsid w:val="002738BD"/>
    <w:rsid w:val="00282260"/>
    <w:rsid w:val="002864AB"/>
    <w:rsid w:val="0028699F"/>
    <w:rsid w:val="002878D1"/>
    <w:rsid w:val="00297DDD"/>
    <w:rsid w:val="002A3D22"/>
    <w:rsid w:val="002A6DB4"/>
    <w:rsid w:val="002B074B"/>
    <w:rsid w:val="002E1613"/>
    <w:rsid w:val="00302A8B"/>
    <w:rsid w:val="0031210A"/>
    <w:rsid w:val="00320C4B"/>
    <w:rsid w:val="003217A9"/>
    <w:rsid w:val="00333EDE"/>
    <w:rsid w:val="00337E7C"/>
    <w:rsid w:val="00340B0E"/>
    <w:rsid w:val="003518EF"/>
    <w:rsid w:val="00354FBB"/>
    <w:rsid w:val="003670D0"/>
    <w:rsid w:val="00381592"/>
    <w:rsid w:val="00392666"/>
    <w:rsid w:val="003C18B8"/>
    <w:rsid w:val="003D06C3"/>
    <w:rsid w:val="003E70A3"/>
    <w:rsid w:val="004124C3"/>
    <w:rsid w:val="00413583"/>
    <w:rsid w:val="00422F37"/>
    <w:rsid w:val="00442FFE"/>
    <w:rsid w:val="004525A5"/>
    <w:rsid w:val="00460BDC"/>
    <w:rsid w:val="00471F00"/>
    <w:rsid w:val="004806B3"/>
    <w:rsid w:val="00481E79"/>
    <w:rsid w:val="004A09CE"/>
    <w:rsid w:val="004A64AC"/>
    <w:rsid w:val="004E021B"/>
    <w:rsid w:val="00511341"/>
    <w:rsid w:val="00511B0A"/>
    <w:rsid w:val="00517A93"/>
    <w:rsid w:val="00520A0F"/>
    <w:rsid w:val="00531BCA"/>
    <w:rsid w:val="00557AC0"/>
    <w:rsid w:val="00583429"/>
    <w:rsid w:val="00590B88"/>
    <w:rsid w:val="005A7360"/>
    <w:rsid w:val="005E5681"/>
    <w:rsid w:val="005E7224"/>
    <w:rsid w:val="005F1EBA"/>
    <w:rsid w:val="005F24AF"/>
    <w:rsid w:val="006075F3"/>
    <w:rsid w:val="00612B32"/>
    <w:rsid w:val="00612F33"/>
    <w:rsid w:val="0062579B"/>
    <w:rsid w:val="006365E6"/>
    <w:rsid w:val="00671FD8"/>
    <w:rsid w:val="00672B54"/>
    <w:rsid w:val="00672DAE"/>
    <w:rsid w:val="006A6BC5"/>
    <w:rsid w:val="006C15D0"/>
    <w:rsid w:val="006E4CE0"/>
    <w:rsid w:val="006E6639"/>
    <w:rsid w:val="00702326"/>
    <w:rsid w:val="007266A7"/>
    <w:rsid w:val="007275E6"/>
    <w:rsid w:val="007347A5"/>
    <w:rsid w:val="00742273"/>
    <w:rsid w:val="007430BE"/>
    <w:rsid w:val="00750349"/>
    <w:rsid w:val="0079028B"/>
    <w:rsid w:val="00791809"/>
    <w:rsid w:val="007921C5"/>
    <w:rsid w:val="007A1EAD"/>
    <w:rsid w:val="007B4465"/>
    <w:rsid w:val="007D2AAD"/>
    <w:rsid w:val="007D4CE6"/>
    <w:rsid w:val="007E1293"/>
    <w:rsid w:val="007E2503"/>
    <w:rsid w:val="007E4249"/>
    <w:rsid w:val="007F720C"/>
    <w:rsid w:val="008016E8"/>
    <w:rsid w:val="00821795"/>
    <w:rsid w:val="00835142"/>
    <w:rsid w:val="00836E55"/>
    <w:rsid w:val="00841FF7"/>
    <w:rsid w:val="0085266D"/>
    <w:rsid w:val="008549F6"/>
    <w:rsid w:val="00856E74"/>
    <w:rsid w:val="00871F55"/>
    <w:rsid w:val="008754FE"/>
    <w:rsid w:val="0088622D"/>
    <w:rsid w:val="00893B94"/>
    <w:rsid w:val="008A1E7F"/>
    <w:rsid w:val="008B01F7"/>
    <w:rsid w:val="008C2DAC"/>
    <w:rsid w:val="008E19D2"/>
    <w:rsid w:val="008E3FC5"/>
    <w:rsid w:val="008E5C9D"/>
    <w:rsid w:val="008E7CE9"/>
    <w:rsid w:val="008F2491"/>
    <w:rsid w:val="008F71AC"/>
    <w:rsid w:val="0090341F"/>
    <w:rsid w:val="00904D93"/>
    <w:rsid w:val="00906B00"/>
    <w:rsid w:val="00916F26"/>
    <w:rsid w:val="00927B0A"/>
    <w:rsid w:val="00932D02"/>
    <w:rsid w:val="00936C74"/>
    <w:rsid w:val="0094775E"/>
    <w:rsid w:val="00950559"/>
    <w:rsid w:val="00957F44"/>
    <w:rsid w:val="00960F1C"/>
    <w:rsid w:val="009638D1"/>
    <w:rsid w:val="00973C49"/>
    <w:rsid w:val="00977963"/>
    <w:rsid w:val="0099695F"/>
    <w:rsid w:val="009B1576"/>
    <w:rsid w:val="009B5003"/>
    <w:rsid w:val="009B51EA"/>
    <w:rsid w:val="009C49A9"/>
    <w:rsid w:val="009E5703"/>
    <w:rsid w:val="009F67A7"/>
    <w:rsid w:val="00A0355A"/>
    <w:rsid w:val="00A10A1A"/>
    <w:rsid w:val="00A2457A"/>
    <w:rsid w:val="00A266E5"/>
    <w:rsid w:val="00A372D6"/>
    <w:rsid w:val="00A419EC"/>
    <w:rsid w:val="00A650E5"/>
    <w:rsid w:val="00A74832"/>
    <w:rsid w:val="00A77D7C"/>
    <w:rsid w:val="00AA2B52"/>
    <w:rsid w:val="00AA49E0"/>
    <w:rsid w:val="00AA6C72"/>
    <w:rsid w:val="00AB4DEB"/>
    <w:rsid w:val="00AC0C03"/>
    <w:rsid w:val="00AE554D"/>
    <w:rsid w:val="00B05899"/>
    <w:rsid w:val="00B063F4"/>
    <w:rsid w:val="00B17E7A"/>
    <w:rsid w:val="00B225F6"/>
    <w:rsid w:val="00B259E5"/>
    <w:rsid w:val="00B2643A"/>
    <w:rsid w:val="00B32696"/>
    <w:rsid w:val="00B35A65"/>
    <w:rsid w:val="00B37E11"/>
    <w:rsid w:val="00B4068D"/>
    <w:rsid w:val="00B44A08"/>
    <w:rsid w:val="00B611CB"/>
    <w:rsid w:val="00B7218D"/>
    <w:rsid w:val="00B85775"/>
    <w:rsid w:val="00B8678C"/>
    <w:rsid w:val="00B87CEB"/>
    <w:rsid w:val="00B925F8"/>
    <w:rsid w:val="00B96D0F"/>
    <w:rsid w:val="00BA3432"/>
    <w:rsid w:val="00BA4621"/>
    <w:rsid w:val="00BC6CF2"/>
    <w:rsid w:val="00BD2802"/>
    <w:rsid w:val="00BD6E51"/>
    <w:rsid w:val="00BF2704"/>
    <w:rsid w:val="00C021CA"/>
    <w:rsid w:val="00C234AE"/>
    <w:rsid w:val="00C23830"/>
    <w:rsid w:val="00C35D26"/>
    <w:rsid w:val="00C51A24"/>
    <w:rsid w:val="00C94A86"/>
    <w:rsid w:val="00CA67FE"/>
    <w:rsid w:val="00CC4856"/>
    <w:rsid w:val="00CD427B"/>
    <w:rsid w:val="00CD4BF8"/>
    <w:rsid w:val="00CE2709"/>
    <w:rsid w:val="00CE7D7E"/>
    <w:rsid w:val="00CE7F66"/>
    <w:rsid w:val="00CF1148"/>
    <w:rsid w:val="00CF159A"/>
    <w:rsid w:val="00D00421"/>
    <w:rsid w:val="00D12506"/>
    <w:rsid w:val="00D62F3A"/>
    <w:rsid w:val="00D71286"/>
    <w:rsid w:val="00D72FE4"/>
    <w:rsid w:val="00D87412"/>
    <w:rsid w:val="00D9367D"/>
    <w:rsid w:val="00D94606"/>
    <w:rsid w:val="00DA05F1"/>
    <w:rsid w:val="00DB3571"/>
    <w:rsid w:val="00DB712D"/>
    <w:rsid w:val="00DC0724"/>
    <w:rsid w:val="00DD63F8"/>
    <w:rsid w:val="00DE02B6"/>
    <w:rsid w:val="00E058CB"/>
    <w:rsid w:val="00E07456"/>
    <w:rsid w:val="00E24250"/>
    <w:rsid w:val="00E31583"/>
    <w:rsid w:val="00E34EDF"/>
    <w:rsid w:val="00E61431"/>
    <w:rsid w:val="00E7582C"/>
    <w:rsid w:val="00E9247F"/>
    <w:rsid w:val="00EA42D5"/>
    <w:rsid w:val="00EA7599"/>
    <w:rsid w:val="00EB56E8"/>
    <w:rsid w:val="00EB68FC"/>
    <w:rsid w:val="00ED16A3"/>
    <w:rsid w:val="00EF4971"/>
    <w:rsid w:val="00F03E27"/>
    <w:rsid w:val="00F078F3"/>
    <w:rsid w:val="00F557E8"/>
    <w:rsid w:val="00F649AE"/>
    <w:rsid w:val="00F72207"/>
    <w:rsid w:val="00F739B3"/>
    <w:rsid w:val="00F83F4D"/>
    <w:rsid w:val="00F86917"/>
    <w:rsid w:val="00FA4F7E"/>
    <w:rsid w:val="00FA7E2B"/>
    <w:rsid w:val="00FB1D84"/>
    <w:rsid w:val="00FD0C47"/>
    <w:rsid w:val="00FE3BE1"/>
    <w:rsid w:val="00FF06B1"/>
    <w:rsid w:val="47B4DE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E3A8"/>
  <w15:chartTrackingRefBased/>
  <w15:docId w15:val="{5ABADFDF-10CC-4F46-A1DC-CACCBE39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2D"/>
    <w:pPr>
      <w:spacing w:line="259" w:lineRule="auto"/>
    </w:pPr>
    <w:rPr>
      <w:kern w:val="0"/>
      <w:sz w:val="22"/>
      <w:szCs w:val="22"/>
      <w14:ligatures w14:val="none"/>
    </w:rPr>
  </w:style>
  <w:style w:type="paragraph" w:styleId="Ttulo1">
    <w:name w:val="heading 1"/>
    <w:basedOn w:val="Normal"/>
    <w:next w:val="Normal"/>
    <w:link w:val="Ttulo1Car"/>
    <w:uiPriority w:val="9"/>
    <w:qFormat/>
    <w:rsid w:val="00DB7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7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71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71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71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71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71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71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71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71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71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71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71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71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71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71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71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712D"/>
    <w:rPr>
      <w:rFonts w:eastAsiaTheme="majorEastAsia" w:cstheme="majorBidi"/>
      <w:color w:val="272727" w:themeColor="text1" w:themeTint="D8"/>
    </w:rPr>
  </w:style>
  <w:style w:type="paragraph" w:styleId="Ttulo">
    <w:name w:val="Title"/>
    <w:basedOn w:val="Normal"/>
    <w:next w:val="Normal"/>
    <w:link w:val="TtuloCar"/>
    <w:uiPriority w:val="10"/>
    <w:qFormat/>
    <w:rsid w:val="00DB7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71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71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71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712D"/>
    <w:pPr>
      <w:spacing w:before="160"/>
      <w:jc w:val="center"/>
    </w:pPr>
    <w:rPr>
      <w:i/>
      <w:iCs/>
      <w:color w:val="404040" w:themeColor="text1" w:themeTint="BF"/>
    </w:rPr>
  </w:style>
  <w:style w:type="character" w:customStyle="1" w:styleId="CitaCar">
    <w:name w:val="Cita Car"/>
    <w:basedOn w:val="Fuentedeprrafopredeter"/>
    <w:link w:val="Cita"/>
    <w:uiPriority w:val="29"/>
    <w:rsid w:val="00DB712D"/>
    <w:rPr>
      <w:i/>
      <w:iCs/>
      <w:color w:val="404040" w:themeColor="text1" w:themeTint="BF"/>
    </w:rPr>
  </w:style>
  <w:style w:type="paragraph" w:styleId="Prrafodelista">
    <w:name w:val="List Paragraph"/>
    <w:basedOn w:val="Normal"/>
    <w:uiPriority w:val="34"/>
    <w:qFormat/>
    <w:rsid w:val="00DB712D"/>
    <w:pPr>
      <w:ind w:left="720"/>
      <w:contextualSpacing/>
    </w:pPr>
  </w:style>
  <w:style w:type="character" w:styleId="nfasisintenso">
    <w:name w:val="Intense Emphasis"/>
    <w:basedOn w:val="Fuentedeprrafopredeter"/>
    <w:uiPriority w:val="21"/>
    <w:qFormat/>
    <w:rsid w:val="00DB712D"/>
    <w:rPr>
      <w:i/>
      <w:iCs/>
      <w:color w:val="0F4761" w:themeColor="accent1" w:themeShade="BF"/>
    </w:rPr>
  </w:style>
  <w:style w:type="paragraph" w:styleId="Citadestacada">
    <w:name w:val="Intense Quote"/>
    <w:basedOn w:val="Normal"/>
    <w:next w:val="Normal"/>
    <w:link w:val="CitadestacadaCar"/>
    <w:uiPriority w:val="30"/>
    <w:qFormat/>
    <w:rsid w:val="00DB7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712D"/>
    <w:rPr>
      <w:i/>
      <w:iCs/>
      <w:color w:val="0F4761" w:themeColor="accent1" w:themeShade="BF"/>
    </w:rPr>
  </w:style>
  <w:style w:type="character" w:styleId="Referenciaintensa">
    <w:name w:val="Intense Reference"/>
    <w:basedOn w:val="Fuentedeprrafopredeter"/>
    <w:uiPriority w:val="32"/>
    <w:qFormat/>
    <w:rsid w:val="00DB712D"/>
    <w:rPr>
      <w:b/>
      <w:bCs/>
      <w:smallCaps/>
      <w:color w:val="0F4761" w:themeColor="accent1" w:themeShade="BF"/>
      <w:spacing w:val="5"/>
    </w:rPr>
  </w:style>
  <w:style w:type="paragraph" w:styleId="Encabezado">
    <w:name w:val="header"/>
    <w:basedOn w:val="Normal"/>
    <w:link w:val="EncabezadoCar"/>
    <w:uiPriority w:val="99"/>
    <w:unhideWhenUsed/>
    <w:rsid w:val="00DB71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712D"/>
    <w:rPr>
      <w:kern w:val="0"/>
      <w:sz w:val="22"/>
      <w:szCs w:val="22"/>
      <w14:ligatures w14:val="none"/>
    </w:rPr>
  </w:style>
  <w:style w:type="paragraph" w:styleId="Piedepgina">
    <w:name w:val="footer"/>
    <w:basedOn w:val="Normal"/>
    <w:link w:val="PiedepginaCar"/>
    <w:uiPriority w:val="99"/>
    <w:unhideWhenUsed/>
    <w:rsid w:val="00DB71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712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B712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B712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B712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B712D"/>
    <w:rPr>
      <w:vertAlign w:val="superscript"/>
    </w:rPr>
  </w:style>
  <w:style w:type="table" w:styleId="Tablaconcuadrcula">
    <w:name w:val="Table Grid"/>
    <w:basedOn w:val="Tablanormal"/>
    <w:uiPriority w:val="39"/>
    <w:qFormat/>
    <w:rsid w:val="00DB712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B712D"/>
    <w:rPr>
      <w:color w:val="0000FF"/>
      <w:u w:val="single"/>
    </w:rPr>
  </w:style>
  <w:style w:type="paragraph" w:customStyle="1" w:styleId="Appelnotedebasde">
    <w:name w:val="Appel note de bas de..."/>
    <w:basedOn w:val="Normal"/>
    <w:link w:val="Refdenotaalpie"/>
    <w:uiPriority w:val="99"/>
    <w:rsid w:val="00DB712D"/>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DB712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037359"/>
    <w:rPr>
      <w:color w:val="605E5C"/>
      <w:shd w:val="clear" w:color="auto" w:fill="E1DFDD"/>
    </w:rPr>
  </w:style>
  <w:style w:type="paragraph" w:styleId="Sinespaciado">
    <w:name w:val="No Spacing"/>
    <w:uiPriority w:val="1"/>
    <w:qFormat/>
    <w:rsid w:val="00E07456"/>
    <w:pPr>
      <w:spacing w:after="0" w:line="240" w:lineRule="auto"/>
    </w:pPr>
    <w:rPr>
      <w:kern w:val="0"/>
      <w:sz w:val="22"/>
      <w:szCs w:val="22"/>
      <w14:ligatures w14:val="none"/>
    </w:rPr>
  </w:style>
  <w:style w:type="paragraph" w:customStyle="1" w:styleId="Sinespaciado1">
    <w:name w:val="Sin espaciado1"/>
    <w:next w:val="Sinespaciado"/>
    <w:uiPriority w:val="1"/>
    <w:qFormat/>
    <w:rsid w:val="004A09CE"/>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mbaena50@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195F3-824A-44F8-A327-92B553BAD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F9A07F-23B5-4C4F-80E7-3BD52CCB903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4266301-098C-4C24-B677-3035046154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3678</Words>
  <Characters>20231</Characters>
  <Application>Microsoft Office Word</Application>
  <DocSecurity>0</DocSecurity>
  <Lines>168</Lines>
  <Paragraphs>47</Paragraphs>
  <ScaleCrop>false</ScaleCrop>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9</cp:revision>
  <dcterms:created xsi:type="dcterms:W3CDTF">2025-07-28T19:35:00Z</dcterms:created>
  <dcterms:modified xsi:type="dcterms:W3CDTF">2025-07-28T19:51:00Z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