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EAACB" w14:textId="77777777" w:rsidR="00AF3F48" w:rsidRDefault="00AF3F48">
      <w:pPr>
        <w:spacing w:after="200" w:line="276" w:lineRule="auto"/>
        <w:rPr>
          <w:rFonts w:ascii="Arial" w:hAnsi="Arial" w:cs="Arial"/>
          <w:b/>
          <w:bCs/>
          <w:color w:val="000000" w:themeColor="text1"/>
          <w:sz w:val="22"/>
          <w:lang w:val="es-ES_tradnl"/>
        </w:rPr>
      </w:pPr>
      <w:bookmarkStart w:id="0" w:name="_Hlk28946138"/>
      <w:bookmarkStart w:id="1" w:name="_Hlk29548183"/>
    </w:p>
    <w:p w14:paraId="5C81227E" w14:textId="77777777" w:rsidR="00624E06" w:rsidRPr="00692DC1" w:rsidRDefault="00624E06" w:rsidP="00624E06">
      <w:pPr>
        <w:jc w:val="both"/>
        <w:rPr>
          <w:rFonts w:ascii="Arial" w:hAnsi="Arial" w:cs="Arial"/>
          <w:b/>
          <w:bCs/>
          <w:color w:val="000000" w:themeColor="text1"/>
          <w:sz w:val="22"/>
        </w:rPr>
      </w:pPr>
      <w:r w:rsidRPr="2FA44EFA">
        <w:rPr>
          <w:rFonts w:ascii="Arial" w:hAnsi="Arial" w:cs="Arial"/>
          <w:b/>
          <w:bCs/>
          <w:color w:val="000000" w:themeColor="text1"/>
          <w:sz w:val="22"/>
        </w:rPr>
        <w:t xml:space="preserve">GARANTÍA ÚNICA DE CUMPLIMIENTO </w:t>
      </w:r>
      <w:r w:rsidRPr="2FA44EFA">
        <w:rPr>
          <w:rFonts w:ascii="Arial" w:eastAsia="Calibri" w:hAnsi="Arial" w:cs="Arial"/>
          <w:b/>
          <w:bCs/>
          <w:color w:val="000000" w:themeColor="text1"/>
          <w:sz w:val="22"/>
        </w:rPr>
        <w:t xml:space="preserve">– Aprobación – </w:t>
      </w:r>
      <w:r w:rsidRPr="2FA44EFA">
        <w:rPr>
          <w:rFonts w:ascii="Arial" w:hAnsi="Arial" w:cs="Arial"/>
          <w:b/>
          <w:bCs/>
          <w:color w:val="000000" w:themeColor="text1"/>
          <w:sz w:val="22"/>
        </w:rPr>
        <w:t xml:space="preserve">Término </w:t>
      </w:r>
    </w:p>
    <w:p w14:paraId="22C76465" w14:textId="77777777" w:rsidR="00624E06" w:rsidRDefault="00624E06" w:rsidP="00624E06">
      <w:pPr>
        <w:spacing w:after="200"/>
        <w:jc w:val="both"/>
        <w:rPr>
          <w:rFonts w:ascii="Arial" w:hAnsi="Arial" w:cs="Arial"/>
          <w:color w:val="000000" w:themeColor="text1"/>
          <w:sz w:val="20"/>
          <w:szCs w:val="22"/>
        </w:rPr>
      </w:pPr>
    </w:p>
    <w:p w14:paraId="36C3671D" w14:textId="3782D87E" w:rsidR="00624E06" w:rsidRPr="00624E06" w:rsidRDefault="00624E06" w:rsidP="00624E06">
      <w:pPr>
        <w:spacing w:after="200"/>
        <w:jc w:val="both"/>
        <w:rPr>
          <w:rFonts w:ascii="Arial" w:hAnsi="Arial" w:cs="Arial"/>
          <w:color w:val="000000" w:themeColor="text1"/>
          <w:sz w:val="20"/>
          <w:szCs w:val="22"/>
        </w:rPr>
      </w:pPr>
      <w:r w:rsidRPr="00624E06">
        <w:rPr>
          <w:rFonts w:ascii="Arial" w:hAnsi="Arial" w:cs="Arial"/>
          <w:color w:val="000000" w:themeColor="text1"/>
          <w:sz w:val="20"/>
          <w:szCs w:val="22"/>
        </w:rPr>
        <w:t>Los contratos estatales deben contar con una garantía, y para ello el artículo 7 de la Ley 1150 de 2007 establece que es obligación de los contratistas prestar garantía única para el cumplimiento de las obligaciones surgidas del contrato, pudiendo consistir las mismas en pólizas expedidas por compañías aseguradoras, garantías bancarías u otros mecanismos permitidos por la ley y el reglamento. Las condiciones en las que debe cumplirse esta obligación fueron reglamentadas por el Decreto 1082 de 2015, el cual entre sus artículos 2.2.1.2.3.1.1. y 2.2.1.2.3.1.19 se refiere a asuntos como las clases de garantías permitidas, la indivisibilidad de las mismas,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w:t>
      </w:r>
      <w:r w:rsidR="00DD59D7">
        <w:rPr>
          <w:rFonts w:ascii="Arial" w:hAnsi="Arial" w:cs="Arial"/>
          <w:color w:val="000000" w:themeColor="text1"/>
          <w:sz w:val="20"/>
          <w:szCs w:val="22"/>
        </w:rPr>
        <w:t xml:space="preserve"> </w:t>
      </w:r>
      <w:r w:rsidRPr="00624E06">
        <w:rPr>
          <w:rFonts w:ascii="Arial" w:hAnsi="Arial" w:cs="Arial"/>
          <w:color w:val="000000" w:themeColor="text1"/>
          <w:sz w:val="20"/>
          <w:szCs w:val="22"/>
        </w:rPr>
        <w:t>El artículo 2.2.1.2.3.1.3, por ejemplo, establece que la «garantía de cobertura del Riesgo es indivisible», además de la obligación de los contratantes de establecer en los pliegos de condiciones las garantías exigidas para cada periodo contractual . Seguidamente el artículo 2.2.1.2.3.1.7 prescribe que la garantía de cumplimiento debe cubrir: i) el buen manejo y correcta inversión del anticipo; ii) la devolución del pago anticipado; iii) cumplimiento del contrato; iv) pago de salarios, prestaciones sociales legales e indemnizaciones laborales; v) estabilidad y calidad de la obra; vi) calidad del servicio; vii) calidad y correcto funcionamiento de los bienes; y viii) los demás incumplimientos de las obligaciones que la entidad estatal considere deben ser amparados</w:t>
      </w:r>
    </w:p>
    <w:p w14:paraId="6BF2FC81" w14:textId="77777777" w:rsidR="00031FA4" w:rsidRPr="0064028E" w:rsidRDefault="00031FA4" w:rsidP="00031FA4">
      <w:pPr>
        <w:jc w:val="right"/>
        <w:rPr>
          <w:rFonts w:ascii="Arial" w:hAnsi="Arial" w:cs="Arial"/>
          <w:b/>
          <w:sz w:val="16"/>
          <w:szCs w:val="16"/>
          <w:lang w:eastAsia="es-ES"/>
        </w:rPr>
      </w:pPr>
    </w:p>
    <w:p w14:paraId="63CDC5CA" w14:textId="65E9782D" w:rsidR="00031FA4" w:rsidRDefault="00031FA4" w:rsidP="00031FA4">
      <w:pPr>
        <w:jc w:val="both"/>
        <w:rPr>
          <w:rFonts w:ascii="Arial" w:hAnsi="Arial" w:cs="Arial"/>
          <w:b/>
          <w:bCs/>
          <w:color w:val="000000" w:themeColor="text1"/>
          <w:sz w:val="22"/>
        </w:rPr>
      </w:pPr>
      <w:r w:rsidRPr="2FA44EFA">
        <w:rPr>
          <w:rFonts w:ascii="Arial" w:hAnsi="Arial" w:cs="Arial"/>
          <w:b/>
          <w:bCs/>
          <w:color w:val="000000" w:themeColor="text1"/>
          <w:sz w:val="22"/>
        </w:rPr>
        <w:t xml:space="preserve">EJECUCIÓN DEL CONTRATO </w:t>
      </w:r>
      <w:r w:rsidRPr="2FA44EFA">
        <w:rPr>
          <w:rFonts w:ascii="Arial" w:eastAsia="Calibri" w:hAnsi="Arial" w:cs="Arial"/>
          <w:b/>
          <w:bCs/>
          <w:color w:val="000000" w:themeColor="text1"/>
          <w:sz w:val="22"/>
        </w:rPr>
        <w:t xml:space="preserve">– Requisitos – Garantía única de cumplimiento – </w:t>
      </w:r>
      <w:r w:rsidRPr="2FA44EFA">
        <w:rPr>
          <w:rFonts w:ascii="Arial" w:hAnsi="Arial" w:cs="Arial"/>
          <w:b/>
          <w:bCs/>
          <w:color w:val="000000" w:themeColor="text1"/>
          <w:sz w:val="22"/>
        </w:rPr>
        <w:t xml:space="preserve">Aprobación </w:t>
      </w:r>
      <w:r>
        <w:rPr>
          <w:rFonts w:ascii="Arial" w:hAnsi="Arial" w:cs="Arial"/>
          <w:b/>
          <w:bCs/>
          <w:color w:val="000000" w:themeColor="text1"/>
          <w:sz w:val="22"/>
        </w:rPr>
        <w:t xml:space="preserve">– Vigencia </w:t>
      </w:r>
    </w:p>
    <w:p w14:paraId="48B43C7A" w14:textId="4580DDE6" w:rsidR="00624E06" w:rsidRDefault="00624E06" w:rsidP="00031FA4">
      <w:pPr>
        <w:jc w:val="both"/>
        <w:rPr>
          <w:rFonts w:ascii="Arial" w:hAnsi="Arial" w:cs="Arial"/>
          <w:b/>
          <w:bCs/>
          <w:color w:val="000000" w:themeColor="text1"/>
          <w:sz w:val="22"/>
        </w:rPr>
      </w:pPr>
    </w:p>
    <w:p w14:paraId="1BCB0DCB" w14:textId="02D6CCA1" w:rsidR="00624E06" w:rsidRPr="00624E06" w:rsidRDefault="00624E06" w:rsidP="00624E06">
      <w:pPr>
        <w:tabs>
          <w:tab w:val="left" w:pos="0"/>
        </w:tabs>
        <w:jc w:val="both"/>
        <w:rPr>
          <w:rFonts w:ascii="Arial" w:eastAsia="Calibri" w:hAnsi="Arial" w:cs="Arial"/>
          <w:color w:val="000000"/>
          <w:sz w:val="20"/>
          <w:szCs w:val="22"/>
          <w:lang w:val="es-ES_tradnl" w:eastAsia="en-GB"/>
        </w:rPr>
      </w:pPr>
      <w:r w:rsidRPr="00624E06">
        <w:rPr>
          <w:rFonts w:ascii="Arial" w:eastAsia="Calibri" w:hAnsi="Arial" w:cs="Arial"/>
          <w:color w:val="000000"/>
          <w:sz w:val="20"/>
          <w:szCs w:val="22"/>
          <w:lang w:val="es-ES_tradnl" w:eastAsia="en-GB"/>
        </w:rPr>
        <w:t>Un requisito de orden legal, establecido en el artículo 41 de la Ley 80 de 1993, para la ejecución de los contratos estatales, es la aprobación de las garantías. En otras palabras, como lo ha explicado la doctrina, este «requisito de ejecución del contrato estatal no se cumple con la simple expedición de la garantía única por parte del contratista, sino que la formalidad se configura en el momento en que la garantía ha sido aprobada por parte de la entidad pública contratante». Así también lo ha considerado de tiempo atrás la Sección Tercera del Consejo de Estado, señalando que el inicio de la ejecución del contrato estatal se encuentra supeditado a la aprobación de las garantías exigidas.</w:t>
      </w:r>
    </w:p>
    <w:p w14:paraId="7BCDA8A0" w14:textId="683F966F" w:rsidR="00624E06" w:rsidRPr="00624E06" w:rsidRDefault="00624E06" w:rsidP="00624E06">
      <w:pPr>
        <w:jc w:val="both"/>
        <w:rPr>
          <w:rFonts w:ascii="Arial" w:hAnsi="Arial" w:cs="Arial"/>
          <w:color w:val="000000" w:themeColor="text1"/>
          <w:sz w:val="18"/>
          <w:szCs w:val="18"/>
          <w:lang w:eastAsia="es-CO"/>
        </w:rPr>
      </w:pPr>
      <w:r w:rsidRPr="00624E06">
        <w:rPr>
          <w:rFonts w:ascii="Arial" w:eastAsia="Calibri" w:hAnsi="Arial" w:cs="Arial"/>
          <w:color w:val="000000"/>
          <w:sz w:val="20"/>
          <w:szCs w:val="22"/>
          <w:lang w:val="es-ES_tradnl" w:eastAsia="en-GB"/>
        </w:rPr>
        <w:t>Las garantías en la contratación estatal son obligaciones adquiridas por terceros –compañías aseguradoras o financieras–, ante eventos nocivos para la entidad pública, que puedan acaecer durante las fases pre-contractual, contractual o post-contractual, según el análisis de riesgos efectuado dentro de los estudios previos. En la fase pre-contractual, la garantía que, por regla general, debe exigirse es la de seriedad de la oferta. Para las dos fases posteriores, el ordenamiento prevé la garantía única de cumplimiento y la garantía de responsabilidad civil extracontractual, cuya procedencia, así como la inclusión de sus amparos depende de las circunstancias previstas en el artículo 7 de la Ley 1150 de 2007 y en la Subsección 3 del Decreto 1082 de 2015. Tales disposiciones normativas establecen los contratos en los que resultan obligatorias tales garantías, la suficiencia de sus amparos y la manera de hacerlas efectivas. Las partes, por autonomía de la voluntad, y según las características del contrato, podrían exigir garantías adicionales</w:t>
      </w:r>
    </w:p>
    <w:p w14:paraId="7AB0CE9B" w14:textId="77777777" w:rsidR="00031FA4" w:rsidRDefault="00031FA4">
      <w:pPr>
        <w:spacing w:after="200" w:line="276" w:lineRule="auto"/>
        <w:rPr>
          <w:rFonts w:ascii="Arial" w:hAnsi="Arial" w:cs="Arial"/>
          <w:b/>
          <w:bCs/>
          <w:color w:val="000000" w:themeColor="text1"/>
          <w:sz w:val="22"/>
          <w:lang w:val="es-ES_tradnl"/>
        </w:rPr>
      </w:pPr>
    </w:p>
    <w:p w14:paraId="51DAAF13" w14:textId="27CEBC38" w:rsidR="00AF3F48" w:rsidRDefault="00AF3F48">
      <w:pPr>
        <w:spacing w:after="200" w:line="276" w:lineRule="auto"/>
        <w:rPr>
          <w:rFonts w:ascii="Arial" w:hAnsi="Arial" w:cs="Arial"/>
          <w:color w:val="000000" w:themeColor="text1"/>
          <w:sz w:val="20"/>
          <w:szCs w:val="20"/>
          <w:lang w:val="es-ES_tradnl"/>
        </w:rPr>
      </w:pPr>
      <w:r>
        <w:rPr>
          <w:rFonts w:ascii="Arial" w:hAnsi="Arial" w:cs="Arial"/>
          <w:color w:val="000000" w:themeColor="text1"/>
          <w:sz w:val="20"/>
          <w:szCs w:val="20"/>
          <w:lang w:val="es-ES_tradnl"/>
        </w:rPr>
        <w:br w:type="page"/>
      </w:r>
    </w:p>
    <w:p w14:paraId="52FDD2D2" w14:textId="2382ACD2" w:rsidR="00057093" w:rsidRPr="00F62F6D" w:rsidRDefault="00057093" w:rsidP="00A82C41">
      <w:pPr>
        <w:jc w:val="both"/>
        <w:rPr>
          <w:rFonts w:ascii="Arial" w:hAnsi="Arial" w:cs="Arial"/>
          <w:color w:val="000000" w:themeColor="text1"/>
          <w:sz w:val="20"/>
          <w:szCs w:val="20"/>
          <w:lang w:val="es-ES_tradnl"/>
        </w:rPr>
      </w:pPr>
    </w:p>
    <w:p w14:paraId="23180E7F" w14:textId="672CB001" w:rsidR="00F62F6D" w:rsidRPr="003A6D10" w:rsidRDefault="00F62F6D" w:rsidP="00A82C41">
      <w:pPr>
        <w:jc w:val="both"/>
        <w:rPr>
          <w:rFonts w:ascii="Arial" w:hAnsi="Arial" w:cs="Arial"/>
          <w:color w:val="000000" w:themeColor="text1"/>
          <w:sz w:val="20"/>
          <w:szCs w:val="20"/>
        </w:rPr>
      </w:pPr>
      <w:r>
        <w:rPr>
          <w:noProof/>
        </w:rPr>
        <w:drawing>
          <wp:anchor distT="0" distB="0" distL="114300" distR="114300" simplePos="0" relativeHeight="251658240" behindDoc="1" locked="0" layoutInCell="1" allowOverlap="1" wp14:anchorId="48E46598" wp14:editId="433D3B60">
            <wp:simplePos x="0" y="0"/>
            <wp:positionH relativeFrom="column">
              <wp:posOffset>3192972</wp:posOffset>
            </wp:positionH>
            <wp:positionV relativeFrom="paragraph">
              <wp:posOffset>130485</wp:posOffset>
            </wp:positionV>
            <wp:extent cx="2781300" cy="781050"/>
            <wp:effectExtent l="0" t="0" r="0" b="0"/>
            <wp:wrapTight wrapText="bothSides">
              <wp:wrapPolygon edited="0">
                <wp:start x="0" y="0"/>
                <wp:lineTo x="0" y="21073"/>
                <wp:lineTo x="21452" y="21073"/>
                <wp:lineTo x="21452" y="0"/>
                <wp:lineTo x="0" y="0"/>
              </wp:wrapPolygon>
            </wp:wrapTight>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781300" cy="781050"/>
                    </a:xfrm>
                    <a:prstGeom prst="rect">
                      <a:avLst/>
                    </a:prstGeom>
                  </pic:spPr>
                </pic:pic>
              </a:graphicData>
            </a:graphic>
          </wp:anchor>
        </w:drawing>
      </w:r>
    </w:p>
    <w:p w14:paraId="713283DF" w14:textId="77777777" w:rsidR="00F62F6D" w:rsidRDefault="00F62F6D" w:rsidP="007C7B47">
      <w:pPr>
        <w:autoSpaceDE w:val="0"/>
        <w:autoSpaceDN w:val="0"/>
        <w:adjustRightInd w:val="0"/>
        <w:rPr>
          <w:rFonts w:ascii="Arial" w:hAnsi="Arial" w:cs="Arial"/>
          <w:color w:val="000000" w:themeColor="text1"/>
          <w:sz w:val="22"/>
        </w:rPr>
      </w:pPr>
      <w:bookmarkStart w:id="2" w:name="_Hlk109047182"/>
    </w:p>
    <w:p w14:paraId="3C33256A" w14:textId="05463381" w:rsidR="007C7B47" w:rsidRPr="00692DC1" w:rsidRDefault="007C7B47" w:rsidP="007C7B47">
      <w:pPr>
        <w:autoSpaceDE w:val="0"/>
        <w:autoSpaceDN w:val="0"/>
        <w:adjustRightInd w:val="0"/>
        <w:rPr>
          <w:rFonts w:ascii="Arial" w:hAnsi="Arial" w:cs="Arial"/>
          <w:color w:val="000000" w:themeColor="text1"/>
          <w:sz w:val="22"/>
        </w:rPr>
      </w:pPr>
      <w:r w:rsidRPr="00692DC1">
        <w:rPr>
          <w:rFonts w:ascii="Arial" w:hAnsi="Arial" w:cs="Arial"/>
          <w:color w:val="000000" w:themeColor="text1"/>
          <w:sz w:val="22"/>
        </w:rPr>
        <w:t>Bogotá D.C.,</w:t>
      </w:r>
      <w:r w:rsidR="00F62F6D">
        <w:rPr>
          <w:rFonts w:ascii="Arial" w:hAnsi="Arial" w:cs="Arial"/>
          <w:color w:val="000000" w:themeColor="text1"/>
          <w:sz w:val="22"/>
        </w:rPr>
        <w:t>6 de diciembre de 2022</w:t>
      </w:r>
    </w:p>
    <w:p w14:paraId="112F2F26" w14:textId="77777777" w:rsidR="007C7B47" w:rsidRPr="00692DC1" w:rsidRDefault="007C7B47" w:rsidP="007C7B47">
      <w:pPr>
        <w:rPr>
          <w:rFonts w:ascii="Arial" w:hAnsi="Arial" w:cs="Arial"/>
          <w:b/>
          <w:bCs/>
          <w:color w:val="000000" w:themeColor="text1"/>
          <w:sz w:val="22"/>
        </w:rPr>
      </w:pPr>
    </w:p>
    <w:p w14:paraId="5A307DE6" w14:textId="14B65EF7" w:rsidR="007C7B47" w:rsidRDefault="007C7B47" w:rsidP="007C7B47">
      <w:pPr>
        <w:rPr>
          <w:rFonts w:ascii="Arial" w:hAnsi="Arial" w:cs="Arial"/>
          <w:b/>
          <w:bCs/>
          <w:color w:val="000000" w:themeColor="text1"/>
          <w:sz w:val="22"/>
        </w:rPr>
      </w:pPr>
    </w:p>
    <w:p w14:paraId="3365E5AD" w14:textId="6728DD4F" w:rsidR="00F62F6D" w:rsidRDefault="00F62F6D" w:rsidP="007C7B47">
      <w:pPr>
        <w:rPr>
          <w:rFonts w:ascii="Arial" w:hAnsi="Arial" w:cs="Arial"/>
          <w:b/>
          <w:bCs/>
          <w:color w:val="000000" w:themeColor="text1"/>
          <w:sz w:val="22"/>
        </w:rPr>
      </w:pPr>
    </w:p>
    <w:p w14:paraId="25BF1A22" w14:textId="2F5A5C8D" w:rsidR="00F62F6D" w:rsidRDefault="00F62F6D" w:rsidP="007C7B47">
      <w:pPr>
        <w:rPr>
          <w:rFonts w:ascii="Arial" w:hAnsi="Arial" w:cs="Arial"/>
          <w:b/>
          <w:bCs/>
          <w:color w:val="000000" w:themeColor="text1"/>
          <w:sz w:val="22"/>
        </w:rPr>
      </w:pPr>
    </w:p>
    <w:p w14:paraId="389D4AAA" w14:textId="77777777" w:rsidR="00F62F6D" w:rsidRDefault="00F62F6D" w:rsidP="007C7B47">
      <w:pPr>
        <w:rPr>
          <w:rFonts w:ascii="Arial" w:hAnsi="Arial" w:cs="Arial"/>
          <w:b/>
          <w:bCs/>
          <w:color w:val="000000" w:themeColor="text1"/>
          <w:sz w:val="22"/>
        </w:rPr>
      </w:pPr>
    </w:p>
    <w:p w14:paraId="636A9D5D" w14:textId="77777777" w:rsidR="00F62F6D" w:rsidRPr="00692DC1" w:rsidRDefault="00F62F6D" w:rsidP="007C7B47">
      <w:pPr>
        <w:rPr>
          <w:rFonts w:ascii="Arial" w:hAnsi="Arial" w:cs="Arial"/>
          <w:b/>
          <w:bCs/>
          <w:color w:val="000000" w:themeColor="text1"/>
          <w:sz w:val="22"/>
        </w:rPr>
      </w:pPr>
    </w:p>
    <w:p w14:paraId="115ACA22" w14:textId="77777777" w:rsidR="007C7B47" w:rsidRPr="00692DC1" w:rsidRDefault="007C7B47" w:rsidP="007C7B47">
      <w:pPr>
        <w:rPr>
          <w:rFonts w:ascii="Arial" w:eastAsia="Calibri" w:hAnsi="Arial" w:cs="Arial"/>
          <w:color w:val="000000" w:themeColor="text1"/>
          <w:sz w:val="22"/>
        </w:rPr>
      </w:pPr>
      <w:r w:rsidRPr="00692DC1">
        <w:rPr>
          <w:rFonts w:ascii="Arial" w:eastAsia="Calibri" w:hAnsi="Arial" w:cs="Arial"/>
          <w:color w:val="000000" w:themeColor="text1"/>
          <w:sz w:val="22"/>
        </w:rPr>
        <w:t>Señor</w:t>
      </w:r>
    </w:p>
    <w:p w14:paraId="63092B34" w14:textId="77777777" w:rsidR="007C7B47" w:rsidRPr="00692DC1" w:rsidRDefault="007C7B47" w:rsidP="007C7B47">
      <w:pPr>
        <w:rPr>
          <w:rFonts w:ascii="Arial" w:eastAsia="Calibri" w:hAnsi="Arial" w:cs="Arial"/>
          <w:b/>
          <w:color w:val="000000" w:themeColor="text1"/>
          <w:sz w:val="22"/>
        </w:rPr>
      </w:pPr>
      <w:r>
        <w:rPr>
          <w:rFonts w:ascii="Arial" w:eastAsia="Calibri" w:hAnsi="Arial" w:cs="Arial"/>
          <w:b/>
          <w:color w:val="000000" w:themeColor="text1"/>
          <w:sz w:val="22"/>
        </w:rPr>
        <w:t>Gabriel Fernando Pastran Villamil</w:t>
      </w:r>
    </w:p>
    <w:p w14:paraId="71CB5436" w14:textId="7EBD8DFC" w:rsidR="007C7B47" w:rsidRDefault="007C7B47" w:rsidP="007C7B47">
      <w:pPr>
        <w:rPr>
          <w:rFonts w:ascii="Arial" w:eastAsia="Calibri" w:hAnsi="Arial" w:cs="Arial"/>
          <w:color w:val="000000" w:themeColor="text1"/>
          <w:sz w:val="22"/>
        </w:rPr>
      </w:pPr>
      <w:r w:rsidRPr="00692DC1">
        <w:rPr>
          <w:rFonts w:ascii="Arial" w:eastAsia="Calibri" w:hAnsi="Arial" w:cs="Arial"/>
          <w:color w:val="000000" w:themeColor="text1"/>
          <w:sz w:val="22"/>
        </w:rPr>
        <w:t>Ciudad</w:t>
      </w:r>
    </w:p>
    <w:p w14:paraId="48FCF6D4" w14:textId="2B960DA4" w:rsidR="00F62F6D" w:rsidRDefault="00F62F6D" w:rsidP="007C7B47">
      <w:pPr>
        <w:rPr>
          <w:rFonts w:ascii="Arial" w:eastAsia="Calibri" w:hAnsi="Arial" w:cs="Arial"/>
          <w:color w:val="000000" w:themeColor="text1"/>
          <w:sz w:val="22"/>
        </w:rPr>
      </w:pPr>
    </w:p>
    <w:p w14:paraId="36961243" w14:textId="77777777" w:rsidR="00F62F6D" w:rsidRPr="00692DC1" w:rsidRDefault="00F62F6D" w:rsidP="007C7B47">
      <w:pPr>
        <w:rPr>
          <w:rFonts w:ascii="Arial" w:eastAsia="Calibri" w:hAnsi="Arial" w:cs="Arial"/>
          <w:color w:val="000000" w:themeColor="text1"/>
          <w:sz w:val="22"/>
        </w:rPr>
      </w:pPr>
    </w:p>
    <w:p w14:paraId="206A9228" w14:textId="77777777" w:rsidR="007C7B47" w:rsidRPr="00692DC1" w:rsidRDefault="007C7B47" w:rsidP="007C7B47">
      <w:pPr>
        <w:rPr>
          <w:rFonts w:ascii="Arial" w:eastAsia="Calibri" w:hAnsi="Arial" w:cs="Arial"/>
          <w:color w:val="000000" w:themeColor="text1"/>
          <w:sz w:val="22"/>
        </w:rPr>
      </w:pPr>
    </w:p>
    <w:p w14:paraId="3375C9CB" w14:textId="77777777" w:rsidR="007C7B47" w:rsidRPr="00692DC1" w:rsidRDefault="007C7B47" w:rsidP="007C7B47">
      <w:pPr>
        <w:jc w:val="center"/>
        <w:rPr>
          <w:rFonts w:ascii="Arial" w:eastAsia="Calibri" w:hAnsi="Arial" w:cs="Arial"/>
          <w:b/>
          <w:color w:val="000000" w:themeColor="text1"/>
          <w:sz w:val="22"/>
        </w:rPr>
      </w:pPr>
      <w:r w:rsidRPr="00692DC1">
        <w:rPr>
          <w:rFonts w:ascii="Arial" w:eastAsia="Calibri" w:hAnsi="Arial" w:cs="Arial"/>
          <w:b/>
          <w:color w:val="000000" w:themeColor="text1"/>
          <w:sz w:val="22"/>
        </w:rPr>
        <w:t xml:space="preserve">Concepto C ― </w:t>
      </w:r>
      <w:r>
        <w:rPr>
          <w:rFonts w:ascii="Arial" w:eastAsia="Calibri" w:hAnsi="Arial" w:cs="Arial"/>
          <w:b/>
          <w:color w:val="000000" w:themeColor="text1"/>
          <w:sz w:val="22"/>
        </w:rPr>
        <w:t>839</w:t>
      </w:r>
      <w:r w:rsidRPr="00692DC1">
        <w:rPr>
          <w:rFonts w:ascii="Arial" w:eastAsia="Calibri" w:hAnsi="Arial" w:cs="Arial"/>
          <w:b/>
          <w:color w:val="000000" w:themeColor="text1"/>
          <w:sz w:val="22"/>
        </w:rPr>
        <w:t xml:space="preserve"> de 202</w:t>
      </w:r>
      <w:r>
        <w:rPr>
          <w:rFonts w:ascii="Arial" w:eastAsia="Calibri" w:hAnsi="Arial" w:cs="Arial"/>
          <w:b/>
          <w:color w:val="000000" w:themeColor="text1"/>
          <w:sz w:val="22"/>
        </w:rPr>
        <w:t>2</w:t>
      </w:r>
    </w:p>
    <w:p w14:paraId="48CB529A" w14:textId="77777777" w:rsidR="007C7B47" w:rsidRPr="00692DC1" w:rsidRDefault="007C7B47" w:rsidP="007C7B47">
      <w:pPr>
        <w:jc w:val="center"/>
        <w:rPr>
          <w:rFonts w:ascii="Arial" w:eastAsia="Calibri" w:hAnsi="Arial" w:cs="Arial"/>
          <w:b/>
          <w:color w:val="000000" w:themeColor="text1"/>
          <w:sz w:val="22"/>
        </w:rPr>
      </w:pPr>
    </w:p>
    <w:p w14:paraId="3B2CC054" w14:textId="77777777" w:rsidR="007C7B47" w:rsidRPr="00692DC1" w:rsidRDefault="007C7B47" w:rsidP="007C7B47">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C7B47" w:rsidRPr="00692DC1" w14:paraId="17082103" w14:textId="77777777" w:rsidTr="771DAC43">
        <w:tc>
          <w:tcPr>
            <w:tcW w:w="2689" w:type="dxa"/>
            <w:hideMark/>
          </w:tcPr>
          <w:p w14:paraId="3EDB1CF3" w14:textId="77777777" w:rsidR="007C7B47" w:rsidRPr="00692DC1" w:rsidRDefault="007C7B47" w:rsidP="00785849">
            <w:pPr>
              <w:rPr>
                <w:rFonts w:ascii="Arial" w:eastAsia="Calibri" w:hAnsi="Arial" w:cs="Arial"/>
                <w:color w:val="000000" w:themeColor="text1"/>
                <w:sz w:val="22"/>
              </w:rPr>
            </w:pPr>
            <w:r w:rsidRPr="00692DC1">
              <w:rPr>
                <w:rFonts w:ascii="Arial" w:eastAsia="Calibri" w:hAnsi="Arial" w:cs="Arial"/>
                <w:b/>
                <w:color w:val="000000" w:themeColor="text1"/>
                <w:sz w:val="22"/>
              </w:rPr>
              <w:t>Temas:</w:t>
            </w:r>
            <w:r w:rsidRPr="00692DC1">
              <w:rPr>
                <w:rFonts w:ascii="Arial" w:eastAsia="Calibri" w:hAnsi="Arial" w:cs="Arial"/>
                <w:color w:val="000000" w:themeColor="text1"/>
                <w:sz w:val="22"/>
              </w:rPr>
              <w:t xml:space="preserve">              </w:t>
            </w:r>
          </w:p>
        </w:tc>
        <w:tc>
          <w:tcPr>
            <w:tcW w:w="6237" w:type="dxa"/>
            <w:hideMark/>
          </w:tcPr>
          <w:p w14:paraId="4386E526" w14:textId="59EEF883" w:rsidR="007C7B47" w:rsidRDefault="00624E06" w:rsidP="00624E06">
            <w:pPr>
              <w:jc w:val="both"/>
              <w:rPr>
                <w:rFonts w:ascii="Arial" w:eastAsia="Calibri" w:hAnsi="Arial" w:cs="Arial"/>
                <w:color w:val="000000" w:themeColor="text1"/>
                <w:sz w:val="22"/>
              </w:rPr>
            </w:pPr>
            <w:r w:rsidRPr="00624E06">
              <w:rPr>
                <w:rFonts w:ascii="Arial" w:eastAsia="Calibri" w:hAnsi="Arial" w:cs="Arial"/>
                <w:color w:val="000000" w:themeColor="text1"/>
                <w:sz w:val="22"/>
              </w:rPr>
              <w:t xml:space="preserve">GARANTÍA ÚNICA DE CUMPLIMIENTO – Aprobación – Término </w:t>
            </w:r>
            <w:r w:rsidR="00CD5F1D">
              <w:rPr>
                <w:rFonts w:ascii="Arial" w:eastAsia="Calibri" w:hAnsi="Arial" w:cs="Arial"/>
                <w:color w:val="000000" w:themeColor="text1"/>
                <w:sz w:val="22"/>
              </w:rPr>
              <w:t xml:space="preserve">/ </w:t>
            </w:r>
            <w:r w:rsidRPr="00624E06">
              <w:rPr>
                <w:rFonts w:ascii="Arial" w:eastAsia="Calibri" w:hAnsi="Arial" w:cs="Arial"/>
                <w:color w:val="000000" w:themeColor="text1"/>
                <w:sz w:val="22"/>
              </w:rPr>
              <w:t xml:space="preserve">EJECUCIÓN DEL CONTRATO – Requisitos – Garantía única de cumplimiento – Aprobación – Vigencia </w:t>
            </w:r>
          </w:p>
          <w:p w14:paraId="3FC09E12" w14:textId="77777777" w:rsidR="00E438ED" w:rsidRDefault="00E438ED" w:rsidP="00624E06">
            <w:pPr>
              <w:jc w:val="both"/>
              <w:rPr>
                <w:rFonts w:ascii="Arial" w:eastAsia="Calibri" w:hAnsi="Arial" w:cs="Arial"/>
                <w:color w:val="000000" w:themeColor="text1"/>
                <w:sz w:val="22"/>
              </w:rPr>
            </w:pPr>
          </w:p>
          <w:p w14:paraId="4C4891A4" w14:textId="39852270" w:rsidR="00CD5F1D" w:rsidRPr="00692DC1" w:rsidRDefault="00CD5F1D" w:rsidP="00624E06">
            <w:pPr>
              <w:jc w:val="both"/>
              <w:rPr>
                <w:rFonts w:ascii="Arial" w:eastAsia="Calibri" w:hAnsi="Arial" w:cs="Arial"/>
                <w:color w:val="000000" w:themeColor="text1"/>
                <w:sz w:val="22"/>
              </w:rPr>
            </w:pPr>
          </w:p>
        </w:tc>
      </w:tr>
      <w:tr w:rsidR="007C7B47" w:rsidRPr="00692DC1" w14:paraId="0A65E989" w14:textId="77777777" w:rsidTr="771DAC43">
        <w:trPr>
          <w:trHeight w:val="106"/>
        </w:trPr>
        <w:tc>
          <w:tcPr>
            <w:tcW w:w="2689" w:type="dxa"/>
          </w:tcPr>
          <w:p w14:paraId="2DE7412A" w14:textId="77777777" w:rsidR="007C7B47" w:rsidRPr="00692DC1" w:rsidRDefault="007C7B47" w:rsidP="00785849">
            <w:pPr>
              <w:rPr>
                <w:rFonts w:ascii="Arial" w:eastAsia="Calibri" w:hAnsi="Arial" w:cs="Arial"/>
                <w:b/>
                <w:color w:val="000000" w:themeColor="text1"/>
                <w:sz w:val="22"/>
              </w:rPr>
            </w:pPr>
            <w:r w:rsidRPr="00692DC1">
              <w:rPr>
                <w:rFonts w:ascii="Arial" w:eastAsia="Calibri" w:hAnsi="Arial" w:cs="Arial"/>
                <w:b/>
                <w:color w:val="000000" w:themeColor="text1"/>
                <w:sz w:val="22"/>
              </w:rPr>
              <w:t>Radicación:</w:t>
            </w:r>
            <w:r w:rsidRPr="00692DC1">
              <w:rPr>
                <w:rFonts w:ascii="Arial" w:eastAsia="Calibri" w:hAnsi="Arial" w:cs="Arial"/>
                <w:color w:val="000000" w:themeColor="text1"/>
                <w:sz w:val="22"/>
              </w:rPr>
              <w:t xml:space="preserve">                              </w:t>
            </w:r>
          </w:p>
        </w:tc>
        <w:tc>
          <w:tcPr>
            <w:tcW w:w="6237" w:type="dxa"/>
          </w:tcPr>
          <w:p w14:paraId="1BBBB044" w14:textId="047B5D44" w:rsidR="007C7B47" w:rsidRPr="00692DC1" w:rsidRDefault="007C7B47" w:rsidP="771DAC43">
            <w:pPr>
              <w:jc w:val="both"/>
              <w:rPr>
                <w:rFonts w:ascii="Arial" w:eastAsia="Calibri" w:hAnsi="Arial" w:cs="Arial"/>
                <w:color w:val="000000" w:themeColor="text1"/>
                <w:sz w:val="22"/>
                <w:szCs w:val="22"/>
              </w:rPr>
            </w:pPr>
            <w:r w:rsidRPr="771DAC43">
              <w:rPr>
                <w:rFonts w:ascii="Arial" w:eastAsia="Calibri" w:hAnsi="Arial" w:cs="Arial"/>
                <w:color w:val="000000" w:themeColor="text1"/>
                <w:sz w:val="22"/>
                <w:szCs w:val="22"/>
              </w:rPr>
              <w:t xml:space="preserve">Respuesta a consulta # </w:t>
            </w:r>
            <w:r w:rsidR="3A769121" w:rsidRPr="771DAC43">
              <w:rPr>
                <w:rFonts w:ascii="Arial" w:eastAsia="Calibri" w:hAnsi="Arial" w:cs="Arial"/>
                <w:color w:val="000000" w:themeColor="text1"/>
                <w:sz w:val="22"/>
                <w:szCs w:val="22"/>
              </w:rPr>
              <w:t>P20221021010618</w:t>
            </w:r>
          </w:p>
        </w:tc>
      </w:tr>
    </w:tbl>
    <w:p w14:paraId="6AEA1AE6" w14:textId="36476B55" w:rsidR="00A37FB6" w:rsidRDefault="00A37FB6" w:rsidP="00F23E3A">
      <w:pPr>
        <w:spacing w:line="276" w:lineRule="auto"/>
        <w:rPr>
          <w:rFonts w:ascii="Arial" w:eastAsia="Calibri" w:hAnsi="Arial" w:cs="Arial"/>
          <w:color w:val="000000" w:themeColor="text1"/>
          <w:sz w:val="22"/>
          <w:lang w:val="es-ES_tradnl"/>
        </w:rPr>
      </w:pPr>
    </w:p>
    <w:p w14:paraId="6CED714B" w14:textId="6C204D25" w:rsidR="00F62F6D" w:rsidRDefault="00F62F6D" w:rsidP="00F23E3A">
      <w:pPr>
        <w:spacing w:line="276" w:lineRule="auto"/>
        <w:rPr>
          <w:rFonts w:ascii="Arial" w:eastAsia="Calibri" w:hAnsi="Arial" w:cs="Arial"/>
          <w:color w:val="000000" w:themeColor="text1"/>
          <w:sz w:val="22"/>
          <w:lang w:val="es-ES_tradnl"/>
        </w:rPr>
      </w:pPr>
    </w:p>
    <w:p w14:paraId="2E3C6ADF" w14:textId="5EDCAC2D" w:rsidR="00F62F6D" w:rsidRDefault="00F62F6D" w:rsidP="00F23E3A">
      <w:pPr>
        <w:spacing w:line="276" w:lineRule="auto"/>
        <w:rPr>
          <w:rFonts w:ascii="Arial" w:eastAsia="Calibri" w:hAnsi="Arial" w:cs="Arial"/>
          <w:color w:val="000000" w:themeColor="text1"/>
          <w:sz w:val="22"/>
          <w:lang w:val="es-ES_tradnl"/>
        </w:rPr>
      </w:pPr>
    </w:p>
    <w:p w14:paraId="52C618E8" w14:textId="77777777" w:rsidR="00F62F6D" w:rsidRDefault="00F62F6D" w:rsidP="00F23E3A">
      <w:pPr>
        <w:spacing w:line="276" w:lineRule="auto"/>
        <w:rPr>
          <w:rFonts w:ascii="Arial" w:eastAsia="Calibri" w:hAnsi="Arial" w:cs="Arial"/>
          <w:color w:val="000000" w:themeColor="text1"/>
          <w:sz w:val="22"/>
          <w:lang w:val="es-ES_tradnl"/>
        </w:rPr>
      </w:pPr>
    </w:p>
    <w:p w14:paraId="2B05D842" w14:textId="77777777" w:rsidR="00C71D90" w:rsidRPr="003A6D10" w:rsidRDefault="00C71D90" w:rsidP="00F23E3A">
      <w:pPr>
        <w:spacing w:line="276" w:lineRule="auto"/>
        <w:rPr>
          <w:rFonts w:ascii="Arial" w:eastAsia="Calibri" w:hAnsi="Arial" w:cs="Arial"/>
          <w:color w:val="000000" w:themeColor="text1"/>
          <w:sz w:val="22"/>
          <w:lang w:val="es-ES_tradnl"/>
        </w:rPr>
      </w:pPr>
    </w:p>
    <w:p w14:paraId="2F0DA2F5" w14:textId="1DE04BBA" w:rsidR="00A37FB6" w:rsidRPr="003A6D10" w:rsidRDefault="006C1C9E" w:rsidP="00F23E3A">
      <w:pPr>
        <w:spacing w:line="276" w:lineRule="auto"/>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Estimad</w:t>
      </w:r>
      <w:r w:rsidR="00C16393">
        <w:rPr>
          <w:rFonts w:ascii="Arial" w:eastAsia="Calibri" w:hAnsi="Arial" w:cs="Arial"/>
          <w:color w:val="000000" w:themeColor="text1"/>
          <w:sz w:val="22"/>
          <w:lang w:val="es-ES_tradnl"/>
        </w:rPr>
        <w:t>o</w:t>
      </w:r>
      <w:r w:rsidRPr="003A6D10">
        <w:rPr>
          <w:rFonts w:ascii="Arial" w:eastAsia="Calibri" w:hAnsi="Arial" w:cs="Arial"/>
          <w:color w:val="000000" w:themeColor="text1"/>
          <w:sz w:val="22"/>
          <w:lang w:val="es-ES_tradnl"/>
        </w:rPr>
        <w:t xml:space="preserve"> señor </w:t>
      </w:r>
      <w:r w:rsidR="007C7B47" w:rsidRPr="007C7B47">
        <w:rPr>
          <w:rFonts w:ascii="Arial" w:eastAsia="Calibri" w:hAnsi="Arial" w:cs="Arial"/>
          <w:color w:val="000000" w:themeColor="text1"/>
          <w:sz w:val="22"/>
          <w:lang w:val="es-ES_tradnl"/>
        </w:rPr>
        <w:t>Pastran Villamil</w:t>
      </w:r>
      <w:r w:rsidR="00D07D17">
        <w:rPr>
          <w:rFonts w:ascii="Arial" w:eastAsia="Calibri" w:hAnsi="Arial" w:cs="Arial"/>
          <w:color w:val="000000" w:themeColor="text1"/>
          <w:sz w:val="22"/>
          <w:lang w:val="es-ES_tradnl"/>
        </w:rPr>
        <w:t>:</w:t>
      </w:r>
    </w:p>
    <w:p w14:paraId="6E7A2F77" w14:textId="77777777" w:rsidR="00C71D90" w:rsidRPr="003A6D10" w:rsidRDefault="00C71D90" w:rsidP="00F23E3A">
      <w:pPr>
        <w:spacing w:line="276" w:lineRule="auto"/>
        <w:rPr>
          <w:rFonts w:ascii="Arial" w:eastAsia="Calibri" w:hAnsi="Arial" w:cs="Arial"/>
          <w:color w:val="000000" w:themeColor="text1"/>
          <w:sz w:val="22"/>
          <w:lang w:val="es-ES_tradnl"/>
        </w:rPr>
      </w:pPr>
    </w:p>
    <w:p w14:paraId="24BD3F0B" w14:textId="627CA9BA" w:rsidR="008A1E11" w:rsidRPr="00810952" w:rsidRDefault="008A1E11" w:rsidP="008A1E11">
      <w:pPr>
        <w:spacing w:line="276" w:lineRule="auto"/>
        <w:ind w:right="4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La Agencia Nacional de Contratación Pública </w:t>
      </w:r>
      <w:r>
        <w:rPr>
          <w:rFonts w:ascii="Arial" w:eastAsia="Calibri" w:hAnsi="Arial" w:cs="Arial"/>
          <w:color w:val="000000" w:themeColor="text1"/>
          <w:sz w:val="22"/>
          <w:lang w:val="es-ES_tradnl"/>
        </w:rPr>
        <w:t>–</w:t>
      </w:r>
      <w:r w:rsidRPr="00810952">
        <w:rPr>
          <w:rFonts w:ascii="Arial" w:eastAsia="Calibri" w:hAnsi="Arial" w:cs="Arial"/>
          <w:color w:val="000000" w:themeColor="text1"/>
          <w:sz w:val="22"/>
          <w:lang w:val="es-ES_tradnl"/>
        </w:rPr>
        <w:t xml:space="preserve"> Colombia Compra Eficiente, en ejercicio de la competencia otorgada por el numeral 8 del artículo 11 y el numeral 5 del artículo 3 del Decreto Ley 4170 de 2011</w:t>
      </w:r>
      <w:r>
        <w:rPr>
          <w:rFonts w:ascii="Arial" w:eastAsia="Calibri" w:hAnsi="Arial" w:cs="Arial"/>
          <w:color w:val="000000" w:themeColor="text1"/>
          <w:sz w:val="22"/>
          <w:lang w:val="es-ES_tradnl"/>
        </w:rPr>
        <w:t>,</w:t>
      </w:r>
      <w:r w:rsidRPr="00810952">
        <w:rPr>
          <w:rFonts w:ascii="Arial" w:eastAsia="Calibri" w:hAnsi="Arial" w:cs="Arial"/>
          <w:color w:val="000000" w:themeColor="text1"/>
          <w:sz w:val="22"/>
          <w:lang w:val="es-ES_tradnl"/>
        </w:rPr>
        <w:t xml:space="preserve"> responde su consulta </w:t>
      </w:r>
      <w:r w:rsidRPr="004A7436">
        <w:rPr>
          <w:rFonts w:ascii="Arial" w:eastAsia="Calibri" w:hAnsi="Arial" w:cs="Arial"/>
          <w:color w:val="000000" w:themeColor="text1"/>
          <w:sz w:val="22"/>
          <w:lang w:val="es-ES_tradnl"/>
        </w:rPr>
        <w:t xml:space="preserve">del </w:t>
      </w:r>
      <w:r w:rsidR="005270A9">
        <w:rPr>
          <w:rFonts w:ascii="Arial" w:eastAsia="Calibri" w:hAnsi="Arial" w:cs="Arial"/>
          <w:color w:val="000000" w:themeColor="text1"/>
          <w:sz w:val="22"/>
          <w:lang w:val="es-ES_tradnl"/>
        </w:rPr>
        <w:t>21</w:t>
      </w:r>
      <w:r>
        <w:rPr>
          <w:rFonts w:ascii="Arial" w:eastAsia="Calibri" w:hAnsi="Arial" w:cs="Arial"/>
          <w:color w:val="000000" w:themeColor="text1"/>
          <w:sz w:val="22"/>
          <w:lang w:val="es-ES_tradnl"/>
        </w:rPr>
        <w:t xml:space="preserve"> </w:t>
      </w:r>
      <w:r w:rsidRPr="004A7436">
        <w:rPr>
          <w:rFonts w:ascii="Arial" w:eastAsia="Calibri" w:hAnsi="Arial" w:cs="Arial"/>
          <w:color w:val="000000" w:themeColor="text1"/>
          <w:sz w:val="22"/>
          <w:lang w:val="es-ES_tradnl"/>
        </w:rPr>
        <w:t xml:space="preserve">de </w:t>
      </w:r>
      <w:r w:rsidR="005270A9">
        <w:rPr>
          <w:rFonts w:ascii="Arial" w:eastAsia="Calibri" w:hAnsi="Arial" w:cs="Arial"/>
          <w:color w:val="000000" w:themeColor="text1"/>
          <w:sz w:val="22"/>
          <w:lang w:val="es-ES_tradnl"/>
        </w:rPr>
        <w:t>octubre</w:t>
      </w:r>
      <w:r>
        <w:rPr>
          <w:rFonts w:ascii="Arial" w:eastAsia="Calibri" w:hAnsi="Arial" w:cs="Arial"/>
          <w:color w:val="000000" w:themeColor="text1"/>
          <w:sz w:val="22"/>
          <w:lang w:val="es-ES_tradnl"/>
        </w:rPr>
        <w:t xml:space="preserve"> </w:t>
      </w:r>
      <w:r w:rsidRPr="004A7436">
        <w:rPr>
          <w:rFonts w:ascii="Arial" w:eastAsia="Calibri" w:hAnsi="Arial" w:cs="Arial"/>
          <w:color w:val="000000" w:themeColor="text1"/>
          <w:sz w:val="22"/>
          <w:lang w:val="es-ES_tradnl"/>
        </w:rPr>
        <w:t>de 2022.</w:t>
      </w:r>
      <w:r w:rsidRPr="00810952">
        <w:rPr>
          <w:rFonts w:ascii="Arial" w:eastAsia="Calibri" w:hAnsi="Arial" w:cs="Arial"/>
          <w:color w:val="000000" w:themeColor="text1"/>
          <w:sz w:val="22"/>
          <w:lang w:val="es-ES_tradnl"/>
        </w:rPr>
        <w:t xml:space="preserve"> </w:t>
      </w:r>
    </w:p>
    <w:p w14:paraId="0B363D5C" w14:textId="77777777" w:rsidR="00FE3BCC" w:rsidRPr="003A6D10" w:rsidRDefault="00FE3BCC" w:rsidP="00544348">
      <w:pPr>
        <w:tabs>
          <w:tab w:val="left" w:pos="426"/>
        </w:tabs>
        <w:spacing w:line="276" w:lineRule="auto"/>
        <w:jc w:val="both"/>
        <w:rPr>
          <w:rFonts w:ascii="Arial" w:eastAsia="Calibri" w:hAnsi="Arial" w:cs="Arial"/>
          <w:color w:val="000000" w:themeColor="text1"/>
          <w:sz w:val="22"/>
          <w:lang w:val="es-ES_tradnl"/>
        </w:rPr>
      </w:pPr>
    </w:p>
    <w:bookmarkEnd w:id="0"/>
    <w:bookmarkEnd w:id="1"/>
    <w:p w14:paraId="039A07AE" w14:textId="77777777" w:rsidR="00901E75" w:rsidRPr="00692DC1" w:rsidRDefault="00901E75" w:rsidP="00901E75">
      <w:pPr>
        <w:pStyle w:val="Prrafodelista"/>
        <w:numPr>
          <w:ilvl w:val="0"/>
          <w:numId w:val="12"/>
        </w:numPr>
        <w:tabs>
          <w:tab w:val="left" w:pos="284"/>
        </w:tabs>
        <w:spacing w:line="276" w:lineRule="auto"/>
        <w:ind w:left="0" w:firstLine="0"/>
        <w:rPr>
          <w:rFonts w:ascii="Arial" w:eastAsia="Calibri" w:hAnsi="Arial" w:cs="Arial"/>
          <w:b/>
          <w:color w:val="000000" w:themeColor="text1"/>
          <w:sz w:val="22"/>
        </w:rPr>
      </w:pPr>
      <w:r w:rsidRPr="00692DC1">
        <w:rPr>
          <w:rFonts w:ascii="Arial" w:eastAsia="Calibri" w:hAnsi="Arial" w:cs="Arial"/>
          <w:b/>
          <w:color w:val="000000" w:themeColor="text1"/>
          <w:sz w:val="22"/>
        </w:rPr>
        <w:t>Problemas planteados</w:t>
      </w:r>
    </w:p>
    <w:p w14:paraId="472545B3" w14:textId="77777777" w:rsidR="00901E75" w:rsidRPr="00692DC1" w:rsidRDefault="00901E75" w:rsidP="00901E75">
      <w:pPr>
        <w:spacing w:before="120" w:line="276" w:lineRule="auto"/>
        <w:jc w:val="both"/>
        <w:rPr>
          <w:rFonts w:ascii="Arial" w:eastAsia="Calibri" w:hAnsi="Arial" w:cs="Arial"/>
          <w:color w:val="000000" w:themeColor="text1"/>
          <w:sz w:val="22"/>
        </w:rPr>
      </w:pPr>
      <w:r w:rsidRPr="00692DC1">
        <w:rPr>
          <w:rFonts w:ascii="Arial" w:eastAsia="Calibri" w:hAnsi="Arial" w:cs="Arial"/>
          <w:color w:val="000000" w:themeColor="text1"/>
          <w:sz w:val="22"/>
        </w:rPr>
        <w:t xml:space="preserve">Revisado el contenido de su petición, se advierte que el objeto de la consulta elevada consiste en la absolución de los siguientes interrogantes: </w:t>
      </w:r>
    </w:p>
    <w:p w14:paraId="7BEFB34C" w14:textId="77777777" w:rsidR="00901E75" w:rsidRPr="00692DC1" w:rsidRDefault="00901E75" w:rsidP="00901E75">
      <w:pPr>
        <w:spacing w:line="276" w:lineRule="auto"/>
        <w:ind w:left="709" w:right="709"/>
        <w:jc w:val="both"/>
        <w:rPr>
          <w:rFonts w:ascii="Arial" w:eastAsia="Calibri" w:hAnsi="Arial" w:cs="Arial"/>
          <w:color w:val="000000" w:themeColor="text1"/>
          <w:sz w:val="21"/>
          <w:szCs w:val="21"/>
        </w:rPr>
      </w:pPr>
    </w:p>
    <w:p w14:paraId="35BE718E" w14:textId="1188AD07" w:rsidR="00901E75" w:rsidRPr="00692DC1" w:rsidRDefault="00901E75" w:rsidP="00F62F6D">
      <w:pPr>
        <w:ind w:left="709" w:right="709"/>
        <w:jc w:val="both"/>
        <w:rPr>
          <w:rFonts w:ascii="Arial" w:eastAsia="Calibri" w:hAnsi="Arial" w:cs="Arial"/>
          <w:color w:val="000000" w:themeColor="text1"/>
          <w:sz w:val="21"/>
          <w:szCs w:val="21"/>
        </w:rPr>
      </w:pPr>
      <w:r w:rsidRPr="00692DC1">
        <w:rPr>
          <w:rFonts w:ascii="Arial" w:eastAsia="Calibri" w:hAnsi="Arial" w:cs="Arial"/>
          <w:color w:val="000000" w:themeColor="text1"/>
          <w:sz w:val="21"/>
          <w:szCs w:val="21"/>
        </w:rPr>
        <w:t xml:space="preserve">i) </w:t>
      </w:r>
      <w:r w:rsidR="00DF6D95">
        <w:rPr>
          <w:rFonts w:ascii="Arial" w:eastAsia="Calibri" w:hAnsi="Arial" w:cs="Arial"/>
          <w:color w:val="000000" w:themeColor="text1"/>
          <w:sz w:val="21"/>
          <w:szCs w:val="21"/>
        </w:rPr>
        <w:t>[…] «</w:t>
      </w:r>
      <w:r w:rsidR="00DF6D95" w:rsidRPr="00DF6D95">
        <w:rPr>
          <w:rFonts w:ascii="Arial" w:eastAsia="Calibri" w:hAnsi="Arial" w:cs="Arial"/>
          <w:color w:val="000000" w:themeColor="text1"/>
          <w:sz w:val="21"/>
          <w:szCs w:val="21"/>
        </w:rPr>
        <w:t>¿es oportuno que se realicen aprobación de pólizas cuyos amparos han expirado o las cuales ya se encuentra vencidas?</w:t>
      </w:r>
      <w:r w:rsidR="00DF6D95">
        <w:rPr>
          <w:rFonts w:ascii="Arial" w:eastAsia="Calibri" w:hAnsi="Arial" w:cs="Arial"/>
          <w:color w:val="000000" w:themeColor="text1"/>
          <w:sz w:val="21"/>
          <w:szCs w:val="21"/>
        </w:rPr>
        <w:t>»</w:t>
      </w:r>
    </w:p>
    <w:p w14:paraId="661733AB" w14:textId="77777777" w:rsidR="00901E75" w:rsidRPr="00692DC1" w:rsidRDefault="00901E75" w:rsidP="00901E75">
      <w:pPr>
        <w:spacing w:line="276" w:lineRule="auto"/>
        <w:ind w:left="567"/>
        <w:jc w:val="both"/>
        <w:rPr>
          <w:rFonts w:ascii="Arial" w:eastAsia="Calibri" w:hAnsi="Arial" w:cs="Arial"/>
          <w:color w:val="000000" w:themeColor="text1"/>
          <w:sz w:val="21"/>
          <w:szCs w:val="21"/>
        </w:rPr>
      </w:pPr>
    </w:p>
    <w:p w14:paraId="23261438" w14:textId="4026D5F7" w:rsidR="00901E75" w:rsidRDefault="00901E75" w:rsidP="00901E75">
      <w:pPr>
        <w:pStyle w:val="Prrafodelista"/>
        <w:numPr>
          <w:ilvl w:val="0"/>
          <w:numId w:val="12"/>
        </w:numPr>
        <w:tabs>
          <w:tab w:val="left" w:pos="284"/>
        </w:tabs>
        <w:spacing w:line="276" w:lineRule="auto"/>
        <w:ind w:left="0" w:firstLine="0"/>
        <w:rPr>
          <w:rFonts w:ascii="Arial" w:eastAsia="Calibri" w:hAnsi="Arial" w:cs="Arial"/>
          <w:b/>
          <w:color w:val="000000" w:themeColor="text1"/>
          <w:sz w:val="22"/>
        </w:rPr>
      </w:pPr>
      <w:r w:rsidRPr="00692DC1">
        <w:rPr>
          <w:rFonts w:ascii="Arial" w:eastAsia="Calibri" w:hAnsi="Arial" w:cs="Arial"/>
          <w:b/>
          <w:color w:val="000000" w:themeColor="text1"/>
          <w:sz w:val="22"/>
        </w:rPr>
        <w:t>Consideraciones</w:t>
      </w:r>
    </w:p>
    <w:p w14:paraId="2CEB4D68" w14:textId="77777777" w:rsidR="00E113F1" w:rsidRPr="00692DC1" w:rsidRDefault="00E113F1" w:rsidP="00E113F1">
      <w:pPr>
        <w:pStyle w:val="Prrafodelista"/>
        <w:tabs>
          <w:tab w:val="left" w:pos="284"/>
        </w:tabs>
        <w:spacing w:line="276" w:lineRule="auto"/>
        <w:ind w:left="0"/>
        <w:rPr>
          <w:rFonts w:ascii="Arial" w:eastAsia="Calibri" w:hAnsi="Arial" w:cs="Arial"/>
          <w:b/>
          <w:color w:val="000000" w:themeColor="text1"/>
          <w:sz w:val="22"/>
        </w:rPr>
      </w:pPr>
    </w:p>
    <w:p w14:paraId="6F07098E" w14:textId="0D12DAE3" w:rsidR="00C71D90" w:rsidRPr="00F62F6D" w:rsidRDefault="00901E75" w:rsidP="00F62F6D">
      <w:pPr>
        <w:spacing w:after="120" w:line="276" w:lineRule="auto"/>
        <w:jc w:val="both"/>
        <w:rPr>
          <w:rFonts w:ascii="Arial" w:hAnsi="Arial" w:cs="Arial"/>
          <w:bCs/>
          <w:sz w:val="22"/>
          <w:szCs w:val="22"/>
          <w:lang w:val="es-ES_tradnl"/>
        </w:rPr>
      </w:pPr>
      <w:bookmarkStart w:id="3" w:name="_Hlk61701014"/>
      <w:bookmarkStart w:id="4" w:name="_Hlk62136649"/>
      <w:r w:rsidRPr="00F62F6D">
        <w:rPr>
          <w:rFonts w:ascii="Arial" w:eastAsia="Calibri" w:hAnsi="Arial" w:cs="Arial"/>
          <w:color w:val="000000" w:themeColor="text1"/>
          <w:sz w:val="22"/>
          <w:szCs w:val="22"/>
          <w:lang w:val="es-ES_tradnl"/>
        </w:rPr>
        <w:t xml:space="preserve">De manera preliminar, </w:t>
      </w:r>
      <w:r w:rsidRPr="00F62F6D">
        <w:rPr>
          <w:rFonts w:ascii="Arial" w:hAnsi="Arial" w:cs="Arial"/>
          <w:bCs/>
          <w:sz w:val="22"/>
          <w:szCs w:val="22"/>
          <w:lang w:val="es-ES_tradnl"/>
        </w:rPr>
        <w:t xml:space="preserve">es pertinente señalar que, en ejercicio de las competencias establecidas en </w:t>
      </w:r>
      <w:r w:rsidR="00C71D90" w:rsidRPr="00C71D90">
        <w:rPr>
          <w:rFonts w:ascii="Arial" w:hAnsi="Arial" w:cs="Arial"/>
          <w:bCs/>
          <w:sz w:val="22"/>
          <w:szCs w:val="22"/>
          <w:lang w:val="es-ES_tradnl"/>
        </w:rPr>
        <w:t>el numeral 5 del</w:t>
      </w:r>
      <w:r w:rsidRPr="00F62F6D">
        <w:rPr>
          <w:rFonts w:ascii="Arial" w:hAnsi="Arial" w:cs="Arial"/>
          <w:bCs/>
          <w:sz w:val="22"/>
          <w:szCs w:val="22"/>
          <w:lang w:val="es-ES_tradnl"/>
        </w:rPr>
        <w:t xml:space="preserve"> artículo 3 y </w:t>
      </w:r>
      <w:r w:rsidR="00C71D90" w:rsidRPr="00C71D90">
        <w:rPr>
          <w:rFonts w:ascii="Arial" w:hAnsi="Arial" w:cs="Arial"/>
          <w:bCs/>
          <w:sz w:val="22"/>
          <w:szCs w:val="22"/>
          <w:lang w:val="es-ES_tradnl"/>
        </w:rPr>
        <w:t xml:space="preserve">el numeral 8 del artículo </w:t>
      </w:r>
      <w:r w:rsidRPr="00F62F6D">
        <w:rPr>
          <w:rFonts w:ascii="Arial" w:hAnsi="Arial" w:cs="Arial"/>
          <w:bCs/>
          <w:sz w:val="22"/>
          <w:szCs w:val="22"/>
          <w:lang w:val="es-ES_tradnl"/>
        </w:rPr>
        <w:t>11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00C71D90" w:rsidRPr="00C71D90">
        <w:rPr>
          <w:rFonts w:ascii="Arial" w:hAnsi="Arial" w:cs="Arial"/>
          <w:sz w:val="22"/>
          <w:szCs w:val="22"/>
          <w:lang w:val="es-ES_tradnl"/>
        </w:rPr>
        <w:tab/>
      </w:r>
    </w:p>
    <w:p w14:paraId="0BB01BDA" w14:textId="3E85BA8F" w:rsidR="00C71D90" w:rsidRPr="00F62F6D" w:rsidRDefault="00C71D90" w:rsidP="00F62F6D">
      <w:pPr>
        <w:spacing w:after="120" w:line="276" w:lineRule="auto"/>
        <w:jc w:val="both"/>
        <w:rPr>
          <w:rFonts w:ascii="Arial" w:hAnsi="Arial" w:cs="Arial"/>
          <w:bCs/>
          <w:sz w:val="22"/>
          <w:szCs w:val="22"/>
          <w:lang w:val="es-ES_tradnl"/>
        </w:rPr>
      </w:pPr>
      <w:r w:rsidRPr="00C71D90">
        <w:rPr>
          <w:rFonts w:ascii="Arial" w:hAnsi="Arial" w:cs="Arial"/>
          <w:bCs/>
          <w:sz w:val="22"/>
          <w:szCs w:val="22"/>
          <w:lang w:val="es-ES_tradnl"/>
        </w:rPr>
        <w:tab/>
      </w:r>
      <w:r w:rsidR="00901E75" w:rsidRPr="00F62F6D">
        <w:rPr>
          <w:rFonts w:ascii="Arial" w:hAnsi="Arial" w:cs="Arial"/>
          <w:sz w:val="22"/>
          <w:szCs w:val="22"/>
          <w:lang w:val="es-ES_tradnl"/>
        </w:rPr>
        <w:t xml:space="preserve">Es necesario tener en cuenta que </w:t>
      </w:r>
      <w:bookmarkStart w:id="5" w:name="_Hlk61026958"/>
      <w:r w:rsidR="00901E75" w:rsidRPr="00F62F6D">
        <w:rPr>
          <w:rFonts w:ascii="Arial" w:hAnsi="Arial" w:cs="Arial"/>
          <w:sz w:val="22"/>
          <w:szCs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901E75" w:rsidRPr="00F62F6D">
        <w:rPr>
          <w:rFonts w:ascii="Arial" w:hAnsi="Arial" w:cs="Arial"/>
          <w:bCs/>
          <w:sz w:val="22"/>
          <w:szCs w:val="22"/>
          <w:lang w:val="es-ES_tradnl"/>
        </w:rPr>
        <w:t xml:space="preserve"> de todos los partícipes de la contratación estatal.</w:t>
      </w:r>
    </w:p>
    <w:p w14:paraId="1DC0B31F" w14:textId="25ECBB60" w:rsidR="00C71D90" w:rsidRPr="00F62F6D" w:rsidRDefault="00C71D90" w:rsidP="00F62F6D">
      <w:pPr>
        <w:spacing w:after="120" w:line="276" w:lineRule="auto"/>
        <w:jc w:val="both"/>
        <w:rPr>
          <w:rFonts w:ascii="Arial" w:hAnsi="Arial" w:cs="Arial"/>
          <w:sz w:val="22"/>
          <w:szCs w:val="22"/>
          <w:lang w:val="es-ES_tradnl"/>
        </w:rPr>
      </w:pPr>
      <w:r w:rsidRPr="00C71D90">
        <w:rPr>
          <w:rFonts w:ascii="Arial" w:hAnsi="Arial" w:cs="Arial"/>
          <w:sz w:val="22"/>
          <w:szCs w:val="22"/>
          <w:lang w:val="es-ES_tradnl"/>
        </w:rPr>
        <w:tab/>
      </w:r>
      <w:r w:rsidR="00901E75" w:rsidRPr="00F62F6D">
        <w:rPr>
          <w:rFonts w:ascii="Arial" w:hAnsi="Arial" w:cs="Arial"/>
          <w:sz w:val="22"/>
          <w:szCs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901E75" w:rsidRPr="00F62F6D">
        <w:rPr>
          <w:rFonts w:ascii="Arial" w:hAnsi="Arial" w:cs="Arial"/>
          <w:sz w:val="22"/>
          <w:szCs w:val="22"/>
          <w:vertAlign w:val="superscript"/>
          <w:lang w:val="es-ES_tradnl"/>
        </w:rPr>
        <w:footnoteReference w:id="1"/>
      </w:r>
      <w:r w:rsidR="00901E75" w:rsidRPr="00F62F6D">
        <w:rPr>
          <w:rFonts w:ascii="Arial" w:hAnsi="Arial" w:cs="Arial"/>
          <w:sz w:val="22"/>
          <w:szCs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00901E75" w:rsidRPr="00F62F6D">
        <w:rPr>
          <w:rFonts w:ascii="Arial" w:hAnsi="Arial" w:cs="Arial"/>
          <w:sz w:val="22"/>
          <w:szCs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3"/>
      <w:bookmarkEnd w:id="4"/>
      <w:r w:rsidRPr="00C71D90">
        <w:rPr>
          <w:rFonts w:ascii="Arial" w:eastAsia="Calibri" w:hAnsi="Arial" w:cs="Arial"/>
          <w:sz w:val="22"/>
          <w:szCs w:val="22"/>
          <w:lang w:val="es-ES_tradnl"/>
        </w:rPr>
        <w:tab/>
      </w:r>
    </w:p>
    <w:p w14:paraId="3219A4B2" w14:textId="0BE3B6B5" w:rsidR="00901E75" w:rsidRDefault="00C71D90" w:rsidP="00F62F6D">
      <w:pPr>
        <w:spacing w:after="120" w:line="276" w:lineRule="auto"/>
        <w:jc w:val="both"/>
        <w:rPr>
          <w:rFonts w:ascii="Arial" w:hAnsi="Arial" w:cs="Arial"/>
          <w:color w:val="000000" w:themeColor="text1"/>
          <w:sz w:val="22"/>
        </w:rPr>
      </w:pPr>
      <w:r>
        <w:rPr>
          <w:rFonts w:ascii="Arial" w:hAnsi="Arial" w:cs="Arial"/>
          <w:sz w:val="22"/>
          <w:lang w:val="es-ES_tradnl"/>
        </w:rPr>
        <w:tab/>
      </w:r>
      <w:r w:rsidR="00901E75" w:rsidRPr="00F62F6D">
        <w:rPr>
          <w:rFonts w:ascii="Arial" w:eastAsia="Calibri" w:hAnsi="Arial" w:cs="Arial"/>
          <w:sz w:val="22"/>
          <w:szCs w:val="22"/>
          <w:lang w:val="es-ES_tradnl"/>
        </w:rPr>
        <w:t>Sin perjuicio de lo anterior, la Agencia dentro de los límites de sus atribuciones, resolverá la consulta conforme a las normas generales del sistema de compras públicas</w:t>
      </w:r>
      <w:r>
        <w:rPr>
          <w:rFonts w:ascii="Arial" w:eastAsia="Calibri" w:hAnsi="Arial" w:cs="Arial"/>
          <w:sz w:val="22"/>
          <w:szCs w:val="22"/>
          <w:lang w:val="es-ES_tradnl"/>
        </w:rPr>
        <w:t xml:space="preserve">, previo análisis de los siguientes temas: i) </w:t>
      </w:r>
      <w:r w:rsidRPr="00F62F6D">
        <w:rPr>
          <w:rFonts w:ascii="Arial" w:hAnsi="Arial" w:cs="Arial"/>
          <w:color w:val="000000" w:themeColor="text1"/>
          <w:sz w:val="22"/>
        </w:rPr>
        <w:t>La aprobación de la garantía única de cumplimiento como requisito de ejecución del contrato</w:t>
      </w:r>
      <w:r>
        <w:rPr>
          <w:rFonts w:ascii="Arial" w:hAnsi="Arial" w:cs="Arial"/>
          <w:color w:val="000000" w:themeColor="text1"/>
          <w:sz w:val="22"/>
        </w:rPr>
        <w:t xml:space="preserve"> y ii) </w:t>
      </w:r>
      <w:r w:rsidRPr="00F62F6D">
        <w:rPr>
          <w:rFonts w:ascii="Arial" w:hAnsi="Arial" w:cs="Arial"/>
          <w:color w:val="000000" w:themeColor="text1"/>
          <w:sz w:val="22"/>
          <w:lang w:val="es-ES_tradnl"/>
        </w:rPr>
        <w:t>La garantía única de cumplimiento: noción y vigencia como presupuesto de la liquidación de los contratos estatales</w:t>
      </w:r>
      <w:r>
        <w:rPr>
          <w:rFonts w:ascii="Arial" w:hAnsi="Arial" w:cs="Arial"/>
          <w:color w:val="000000" w:themeColor="text1"/>
          <w:sz w:val="22"/>
        </w:rPr>
        <w:t xml:space="preserve">. </w:t>
      </w:r>
    </w:p>
    <w:p w14:paraId="0CE901AD" w14:textId="5A60247D" w:rsidR="00C71D90" w:rsidRPr="00C71D90" w:rsidRDefault="00C71D90" w:rsidP="00C71D90">
      <w:pPr>
        <w:spacing w:line="276" w:lineRule="auto"/>
        <w:ind w:firstLine="709"/>
        <w:jc w:val="both"/>
        <w:rPr>
          <w:rFonts w:ascii="Arial" w:hAnsi="Arial" w:cs="Arial"/>
          <w:color w:val="000000" w:themeColor="text1"/>
          <w:sz w:val="22"/>
          <w:szCs w:val="22"/>
          <w:lang w:val="es-ES" w:eastAsia="en-US"/>
        </w:rPr>
      </w:pPr>
      <w:r w:rsidRPr="00F62F6D">
        <w:rPr>
          <w:rFonts w:ascii="Arial" w:hAnsi="Arial" w:cs="Arial"/>
          <w:color w:val="000000" w:themeColor="text1"/>
          <w:sz w:val="22"/>
          <w:szCs w:val="22"/>
          <w:lang w:val="es-ES"/>
        </w:rPr>
        <w:lastRenderedPageBreak/>
        <w:t xml:space="preserve">La Agencia Nacional de Contratación Pública – Colombia Compra Eficiente se pronunció en términos generales de las garantías en la contratación estatal en los conceptos 2201913000009075 del 9 de diciembre de 2012 y C-080 del 8 de abril de 2021, C-525 del 24 de septiembre de 2021, </w:t>
      </w:r>
      <w:r w:rsidR="00972E83">
        <w:rPr>
          <w:rFonts w:ascii="Arial" w:hAnsi="Arial" w:cs="Arial"/>
          <w:color w:val="000000" w:themeColor="text1"/>
          <w:sz w:val="22"/>
          <w:szCs w:val="22"/>
          <w:lang w:val="es-ES"/>
        </w:rPr>
        <w:t xml:space="preserve">C-584 del 26 de septiembre de 2022, </w:t>
      </w:r>
      <w:r w:rsidRPr="00F62F6D">
        <w:rPr>
          <w:rFonts w:ascii="Arial" w:hAnsi="Arial" w:cs="Arial"/>
          <w:color w:val="000000" w:themeColor="text1"/>
          <w:sz w:val="22"/>
          <w:szCs w:val="22"/>
          <w:lang w:val="es-ES"/>
        </w:rPr>
        <w:t>entre otros</w:t>
      </w:r>
      <w:r w:rsidR="00972E83">
        <w:rPr>
          <w:rStyle w:val="Refdenotaalpie"/>
          <w:rFonts w:ascii="Arial" w:hAnsi="Arial" w:cs="Arial"/>
          <w:color w:val="000000" w:themeColor="text1"/>
          <w:sz w:val="22"/>
          <w:szCs w:val="22"/>
          <w:lang w:val="es-ES"/>
        </w:rPr>
        <w:footnoteReference w:id="2"/>
      </w:r>
      <w:r w:rsidRPr="00F62F6D">
        <w:rPr>
          <w:rFonts w:ascii="Arial" w:hAnsi="Arial" w:cs="Arial"/>
          <w:color w:val="000000" w:themeColor="text1"/>
          <w:sz w:val="22"/>
          <w:szCs w:val="22"/>
          <w:lang w:val="es-ES"/>
        </w:rPr>
        <w:t>. En lo pertinente, algunas de las consideraciones realizadas en dichos conceptos se reiteran a continuación.</w:t>
      </w:r>
    </w:p>
    <w:p w14:paraId="1CD00B12" w14:textId="77777777" w:rsidR="00901E75" w:rsidRDefault="00901E75" w:rsidP="00901E75">
      <w:pPr>
        <w:pStyle w:val="Prrafodelista"/>
        <w:spacing w:line="276" w:lineRule="auto"/>
        <w:ind w:left="0"/>
        <w:jc w:val="both"/>
        <w:rPr>
          <w:rFonts w:ascii="Arial" w:eastAsia="Calibri" w:hAnsi="Arial" w:cs="Arial"/>
          <w:color w:val="000000" w:themeColor="text1"/>
          <w:sz w:val="22"/>
        </w:rPr>
      </w:pPr>
    </w:p>
    <w:p w14:paraId="37DCFE6D" w14:textId="77777777" w:rsidR="00901E75" w:rsidRPr="00692DC1" w:rsidRDefault="00901E75" w:rsidP="00901E75">
      <w:pPr>
        <w:pStyle w:val="Prrafodelista"/>
        <w:spacing w:line="276" w:lineRule="auto"/>
        <w:ind w:left="0"/>
        <w:jc w:val="both"/>
        <w:rPr>
          <w:rFonts w:ascii="Arial" w:hAnsi="Arial" w:cs="Arial"/>
          <w:b/>
          <w:bCs/>
          <w:color w:val="000000" w:themeColor="text1"/>
          <w:sz w:val="22"/>
        </w:rPr>
      </w:pPr>
      <w:r w:rsidRPr="00692DC1">
        <w:rPr>
          <w:rFonts w:ascii="Arial" w:hAnsi="Arial" w:cs="Arial"/>
          <w:b/>
          <w:bCs/>
          <w:color w:val="000000" w:themeColor="text1"/>
          <w:sz w:val="22"/>
        </w:rPr>
        <w:t>2.1. La aprobación de la garantía única de cumplimiento como requisito de ejecución del contrato</w:t>
      </w:r>
    </w:p>
    <w:p w14:paraId="34196ADF" w14:textId="77777777" w:rsidR="00901E75" w:rsidRPr="00692DC1" w:rsidRDefault="00901E75" w:rsidP="00901E75">
      <w:pPr>
        <w:spacing w:line="276" w:lineRule="auto"/>
        <w:contextualSpacing/>
        <w:jc w:val="both"/>
        <w:rPr>
          <w:rFonts w:ascii="Arial" w:hAnsi="Arial" w:cs="Arial"/>
          <w:color w:val="000000" w:themeColor="text1"/>
          <w:sz w:val="22"/>
        </w:rPr>
      </w:pPr>
    </w:p>
    <w:p w14:paraId="4E25CD98" w14:textId="77777777" w:rsidR="00901E75" w:rsidRPr="00692DC1" w:rsidRDefault="00901E75" w:rsidP="00901E75">
      <w:pPr>
        <w:spacing w:line="276" w:lineRule="auto"/>
        <w:jc w:val="both"/>
        <w:rPr>
          <w:rFonts w:ascii="Arial" w:hAnsi="Arial" w:cs="Arial"/>
          <w:color w:val="000000" w:themeColor="text1"/>
          <w:sz w:val="22"/>
        </w:rPr>
      </w:pPr>
      <w:r w:rsidRPr="00692DC1">
        <w:rPr>
          <w:rFonts w:ascii="Arial" w:hAnsi="Arial" w:cs="Arial"/>
          <w:color w:val="000000" w:themeColor="text1"/>
          <w:sz w:val="22"/>
        </w:rPr>
        <w:t xml:space="preserve">Los contratos estatales deben contar con una garantía, y para ello el artículo 7 de la Ley 1150 de 2007 establece que es obligación de los contratistas prestar garantía única para el cumplimiento de las obligaciones surgidas del contrato, pudiendo consistir las mismas en pólizas expedidas por compañías aseguradoras, garantías bancarías u otros mecanismos permitidos por la ley y el reglamento. </w:t>
      </w:r>
    </w:p>
    <w:p w14:paraId="1B4D1F3B" w14:textId="77777777" w:rsidR="00901E75" w:rsidRPr="00692DC1" w:rsidRDefault="00901E75" w:rsidP="00901E75">
      <w:pPr>
        <w:spacing w:line="276" w:lineRule="auto"/>
        <w:jc w:val="both"/>
        <w:rPr>
          <w:rFonts w:ascii="Arial" w:hAnsi="Arial" w:cs="Arial"/>
          <w:color w:val="000000" w:themeColor="text1"/>
          <w:sz w:val="22"/>
        </w:rPr>
      </w:pPr>
    </w:p>
    <w:p w14:paraId="78B3DA32"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Style w:val="Textoennegrita"/>
          <w:rFonts w:ascii="Arial" w:hAnsi="Arial" w:cs="Arial"/>
          <w:b w:val="0"/>
          <w:bCs w:val="0"/>
          <w:color w:val="000000" w:themeColor="text1"/>
          <w:sz w:val="21"/>
          <w:szCs w:val="21"/>
        </w:rPr>
        <w:t>Artículo 7</w:t>
      </w:r>
      <w:r w:rsidRPr="00692DC1">
        <w:rPr>
          <w:rFonts w:ascii="Arial" w:hAnsi="Arial" w:cs="Arial"/>
          <w:color w:val="000000" w:themeColor="text1"/>
          <w:sz w:val="21"/>
          <w:szCs w:val="21"/>
        </w:rPr>
        <w:t>. Los contratistas prestarán garantía única para el cumplimiento de las obligaciones surgidas del contrato. Los proponentes prestarán garantía de seriedad de los ofrecimientos hechos. </w:t>
      </w:r>
    </w:p>
    <w:p w14:paraId="26C6A01C"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2CF91409"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6A826A25"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282EF538"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2C822EC6"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19493C12"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El acaecimiento del siniestro que amparan las garantías será comunicado por la entidad pública al respectivo asegurador mediante la notificación del acto administrativo que así lo declare. </w:t>
      </w:r>
    </w:p>
    <w:p w14:paraId="299245B9"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6B89931C" w14:textId="77777777" w:rsidR="00901E75" w:rsidRPr="00692DC1" w:rsidRDefault="00901E75" w:rsidP="00C71D90">
      <w:pPr>
        <w:pStyle w:val="NormalWeb"/>
        <w:spacing w:before="0" w:beforeAutospacing="0" w:after="0" w:afterAutospacing="0"/>
        <w:ind w:left="709" w:right="709"/>
        <w:contextualSpacing/>
        <w:jc w:val="both"/>
        <w:rPr>
          <w:rFonts w:ascii="Arial" w:hAnsi="Arial" w:cs="Arial"/>
          <w:color w:val="000000" w:themeColor="text1"/>
          <w:sz w:val="21"/>
          <w:szCs w:val="21"/>
        </w:rPr>
      </w:pPr>
      <w:r w:rsidRPr="00692DC1">
        <w:rPr>
          <w:rFonts w:ascii="Arial" w:hAnsi="Arial" w:cs="Arial"/>
          <w:color w:val="000000" w:themeColor="text1"/>
          <w:sz w:val="21"/>
          <w:szCs w:val="21"/>
        </w:rPr>
        <w:t xml:space="preserve">Las garantías no serán obligatorias en los contratos de empréstito, en los interadministrativos, en los de seguro y en los contratos cuyo valor sea inferior al 10% de la menor cuantía a que se refiere esta ley, caso en el cual </w:t>
      </w:r>
      <w:r w:rsidRPr="00692DC1">
        <w:rPr>
          <w:rFonts w:ascii="Arial" w:hAnsi="Arial" w:cs="Arial"/>
          <w:color w:val="000000" w:themeColor="text1"/>
          <w:sz w:val="21"/>
          <w:szCs w:val="21"/>
        </w:rPr>
        <w:lastRenderedPageBreak/>
        <w:t>corresponderá a la entidad determinar la necesidad de exigirla, atendiendo a la naturaleza del objeto del contrato y a la forma de pago, así como en los demás que señale el reglamento.</w:t>
      </w:r>
    </w:p>
    <w:p w14:paraId="17DD8F43" w14:textId="77777777" w:rsidR="00901E75" w:rsidRPr="00692DC1" w:rsidRDefault="00901E75" w:rsidP="00901E75">
      <w:pPr>
        <w:spacing w:line="276" w:lineRule="auto"/>
        <w:jc w:val="both"/>
        <w:rPr>
          <w:rFonts w:ascii="Arial" w:hAnsi="Arial" w:cs="Arial"/>
          <w:color w:val="000000" w:themeColor="text1"/>
          <w:sz w:val="22"/>
        </w:rPr>
      </w:pPr>
    </w:p>
    <w:p w14:paraId="29CDBB02" w14:textId="77777777" w:rsidR="00901E75" w:rsidRPr="00692DC1" w:rsidRDefault="00901E75" w:rsidP="00F62F6D">
      <w:pPr>
        <w:spacing w:after="120" w:line="276" w:lineRule="auto"/>
        <w:ind w:firstLine="708"/>
        <w:jc w:val="both"/>
        <w:rPr>
          <w:rFonts w:ascii="Arial" w:hAnsi="Arial" w:cs="Arial"/>
          <w:color w:val="000000" w:themeColor="text1"/>
          <w:sz w:val="22"/>
        </w:rPr>
      </w:pPr>
      <w:r w:rsidRPr="00692DC1">
        <w:rPr>
          <w:rFonts w:ascii="Arial" w:hAnsi="Arial" w:cs="Arial"/>
          <w:color w:val="000000" w:themeColor="text1"/>
          <w:sz w:val="22"/>
        </w:rPr>
        <w:t xml:space="preserve">Las condiciones en las que debe cumplirse esta obligación fueron reglamentadas por el Decreto 1082 de 2015, el cual entre sus artículos 2.2.1.2.3.1.1. y 2.2.1.2.3.1.19 se refiere a asuntos como las clases de garantías permitidas, la indivisibilidad de las mismas,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548C0202" w14:textId="61777676" w:rsidR="00901E75" w:rsidRPr="00692DC1" w:rsidRDefault="00901E75" w:rsidP="00901E75">
      <w:pPr>
        <w:spacing w:before="120" w:after="120" w:line="276" w:lineRule="auto"/>
        <w:ind w:firstLine="708"/>
        <w:jc w:val="both"/>
        <w:rPr>
          <w:rFonts w:ascii="Arial" w:hAnsi="Arial" w:cs="Arial"/>
          <w:color w:val="000000" w:themeColor="text1"/>
          <w:sz w:val="22"/>
          <w:lang w:eastAsia="es-CO"/>
        </w:rPr>
      </w:pPr>
      <w:r w:rsidRPr="00692DC1">
        <w:rPr>
          <w:rFonts w:ascii="Arial" w:hAnsi="Arial" w:cs="Arial"/>
          <w:color w:val="000000" w:themeColor="text1"/>
          <w:sz w:val="22"/>
        </w:rPr>
        <w:t>El artículo 2.2.1.2.3.1.3, por ejemplo, establece que la «garantía de cobertura del Riesgo es indivisible», además de la obligación de los contratantes de establecer en los pliegos de condiciones las garantías exigidas para cada periodo contractual</w:t>
      </w:r>
      <w:r w:rsidRPr="00692DC1">
        <w:rPr>
          <w:rStyle w:val="Refdenotaalpie"/>
          <w:rFonts w:ascii="Arial" w:hAnsi="Arial" w:cs="Arial"/>
          <w:color w:val="000000" w:themeColor="text1"/>
          <w:sz w:val="22"/>
        </w:rPr>
        <w:footnoteReference w:id="3"/>
      </w:r>
      <w:r w:rsidRPr="00692DC1">
        <w:rPr>
          <w:rFonts w:ascii="Arial" w:hAnsi="Arial" w:cs="Arial"/>
          <w:color w:val="000000" w:themeColor="text1"/>
          <w:sz w:val="22"/>
        </w:rPr>
        <w:t>. Seguidamente el artículo 2.2.1.</w:t>
      </w:r>
      <w:r w:rsidR="00EA38CA">
        <w:rPr>
          <w:rFonts w:ascii="Arial" w:hAnsi="Arial" w:cs="Arial"/>
          <w:color w:val="000000" w:themeColor="text1"/>
          <w:sz w:val="22"/>
        </w:rPr>
        <w:t>2.</w:t>
      </w:r>
      <w:r w:rsidRPr="00692DC1">
        <w:rPr>
          <w:rFonts w:ascii="Arial" w:hAnsi="Arial" w:cs="Arial"/>
          <w:color w:val="000000" w:themeColor="text1"/>
          <w:sz w:val="22"/>
        </w:rPr>
        <w:t xml:space="preserve">3.1.7 prescribe que la garantía de cumplimiento debe cubrir: i) el buen manejo y correcta inversión del anticipo; ii) la devolución del pago anticipado; iii) cumplimiento del contrato; iv) pago de salarios, prestaciones sociales legales e indemnizaciones laborales; v) estabilidad y calidad de la obra; vi) </w:t>
      </w:r>
      <w:r w:rsidRPr="00692DC1">
        <w:rPr>
          <w:rFonts w:ascii="Arial" w:hAnsi="Arial" w:cs="Arial"/>
          <w:color w:val="000000" w:themeColor="text1"/>
          <w:sz w:val="22"/>
          <w:lang w:eastAsia="es-CO"/>
        </w:rPr>
        <w:t>calidad del servicio; vii) calidad y correcto funcionamiento de los bienes; y viii) los demás incumplimientos de las obligaciones que la entidad estatal considere deben ser amparados</w:t>
      </w:r>
      <w:r w:rsidRPr="00692DC1">
        <w:rPr>
          <w:rStyle w:val="Refdenotaalpie"/>
          <w:rFonts w:ascii="Arial" w:hAnsi="Arial" w:cs="Arial"/>
          <w:color w:val="000000" w:themeColor="text1"/>
          <w:sz w:val="22"/>
          <w:lang w:eastAsia="es-CO"/>
        </w:rPr>
        <w:footnoteReference w:id="4"/>
      </w:r>
      <w:r w:rsidRPr="00692DC1">
        <w:rPr>
          <w:rFonts w:ascii="Arial" w:hAnsi="Arial" w:cs="Arial"/>
          <w:color w:val="000000" w:themeColor="text1"/>
          <w:sz w:val="22"/>
          <w:lang w:eastAsia="es-CO"/>
        </w:rPr>
        <w:t xml:space="preserve">. </w:t>
      </w:r>
    </w:p>
    <w:p w14:paraId="1A35EF1B" w14:textId="77777777" w:rsidR="00901E75" w:rsidRPr="00692DC1" w:rsidRDefault="00901E75" w:rsidP="00901E75">
      <w:pPr>
        <w:spacing w:before="120" w:after="120" w:line="276" w:lineRule="auto"/>
        <w:ind w:firstLine="708"/>
        <w:jc w:val="both"/>
        <w:rPr>
          <w:rFonts w:ascii="Arial" w:hAnsi="Arial" w:cs="Arial"/>
          <w:color w:val="000000" w:themeColor="text1"/>
          <w:sz w:val="22"/>
          <w:lang w:eastAsia="es-CO"/>
        </w:rPr>
      </w:pPr>
      <w:r w:rsidRPr="00692DC1">
        <w:rPr>
          <w:rFonts w:ascii="Arial" w:hAnsi="Arial" w:cs="Arial"/>
          <w:color w:val="000000" w:themeColor="text1"/>
          <w:sz w:val="22"/>
          <w:lang w:eastAsia="es-CO"/>
        </w:rPr>
        <w:lastRenderedPageBreak/>
        <w:t>Por su parte, el artículo 2.2.1.2.3.1.12 regula la suficiencia de la garantía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w:t>
      </w:r>
      <w:r w:rsidRPr="00692DC1">
        <w:rPr>
          <w:rStyle w:val="Refdenotaalpie"/>
          <w:rFonts w:ascii="Arial" w:hAnsi="Arial" w:cs="Arial"/>
          <w:color w:val="000000" w:themeColor="text1"/>
          <w:sz w:val="22"/>
          <w:lang w:eastAsia="es-CO"/>
        </w:rPr>
        <w:footnoteReference w:id="5"/>
      </w:r>
      <w:r w:rsidRPr="00692DC1">
        <w:rPr>
          <w:rFonts w:ascii="Arial" w:hAnsi="Arial" w:cs="Arial"/>
          <w:color w:val="000000" w:themeColor="text1"/>
          <w:sz w:val="22"/>
          <w:lang w:eastAsia="es-CO"/>
        </w:rPr>
        <w:t xml:space="preserve">.   </w:t>
      </w:r>
    </w:p>
    <w:p w14:paraId="22229343" w14:textId="77777777" w:rsidR="00901E75" w:rsidRPr="00692DC1" w:rsidRDefault="00901E75" w:rsidP="00901E75">
      <w:pPr>
        <w:spacing w:before="120" w:after="120" w:line="276" w:lineRule="auto"/>
        <w:ind w:firstLine="708"/>
        <w:jc w:val="both"/>
        <w:rPr>
          <w:rFonts w:ascii="Arial" w:hAnsi="Arial" w:cs="Arial"/>
          <w:color w:val="000000" w:themeColor="text1"/>
          <w:sz w:val="22"/>
          <w:lang w:eastAsia="es-CO"/>
        </w:rPr>
      </w:pPr>
      <w:r w:rsidRPr="00692DC1">
        <w:rPr>
          <w:rFonts w:ascii="Arial" w:hAnsi="Arial" w:cs="Arial"/>
          <w:color w:val="000000" w:themeColor="text1"/>
          <w:sz w:val="22"/>
        </w:rPr>
        <w:t xml:space="preserve">Los anteriores y otros aspectos desarrollados por el Decreto 1082 de 2015 deben ser verificados por las entidades estatales, para determinar si los amparos constituidos por </w:t>
      </w:r>
      <w:r w:rsidRPr="00692DC1">
        <w:rPr>
          <w:rFonts w:ascii="Arial" w:hAnsi="Arial" w:cs="Arial"/>
          <w:color w:val="000000" w:themeColor="text1"/>
          <w:sz w:val="22"/>
        </w:rPr>
        <w:lastRenderedPageBreak/>
        <w:t>sus contratistas en cumplimiento de la obligación derivada del artículo 7 de la Ley 1150 de 2007 se ajustan o no a lo exigido por el reglamento respecto del objeto y valor del contrato.</w:t>
      </w:r>
      <w:r w:rsidRPr="00692DC1">
        <w:rPr>
          <w:rFonts w:ascii="Arial" w:hAnsi="Arial" w:cs="Arial"/>
          <w:color w:val="000000" w:themeColor="text1"/>
          <w:sz w:val="22"/>
          <w:lang w:eastAsia="es-CO"/>
        </w:rPr>
        <w:t xml:space="preserve"> </w:t>
      </w:r>
    </w:p>
    <w:p w14:paraId="23782A83" w14:textId="77777777" w:rsidR="00901E75" w:rsidRPr="00692DC1" w:rsidRDefault="00901E75" w:rsidP="00901E75">
      <w:pPr>
        <w:spacing w:before="120" w:after="120" w:line="276" w:lineRule="auto"/>
        <w:ind w:firstLine="708"/>
        <w:jc w:val="both"/>
        <w:rPr>
          <w:rFonts w:ascii="Arial" w:hAnsi="Arial" w:cs="Arial"/>
          <w:color w:val="000000" w:themeColor="text1"/>
          <w:sz w:val="22"/>
        </w:rPr>
      </w:pPr>
      <w:r w:rsidRPr="00692DC1">
        <w:rPr>
          <w:rFonts w:ascii="Arial" w:hAnsi="Arial" w:cs="Arial"/>
          <w:color w:val="000000" w:themeColor="text1"/>
          <w:sz w:val="22"/>
        </w:rPr>
        <w:t>Ahora bien, revisadas las leyes 80 de 1993 y 1150 de 2007, al igual que el Decreto 1082 de 2015 y demás normas integrantes del Estatuto General de Contratación de la Administración Pública, no se advierte la existencia de un término legal dentro del cual las entidades estatales tengan que realizar la verificación y aprobación de las garantías presentadas por el contratista. No obstante,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692DC1">
        <w:rPr>
          <w:rStyle w:val="Refdenotaalpie"/>
          <w:rFonts w:ascii="Arial" w:hAnsi="Arial" w:cs="Arial"/>
          <w:color w:val="000000" w:themeColor="text1"/>
          <w:sz w:val="22"/>
          <w:lang w:eastAsia="es-CO"/>
        </w:rPr>
        <w:footnoteReference w:id="6"/>
      </w:r>
      <w:r w:rsidRPr="00692DC1">
        <w:rPr>
          <w:rFonts w:ascii="Arial" w:hAnsi="Arial" w:cs="Arial"/>
          <w:color w:val="000000" w:themeColor="text1"/>
          <w:sz w:val="22"/>
        </w:rPr>
        <w:t xml:space="preserve">. </w:t>
      </w:r>
    </w:p>
    <w:p w14:paraId="5403ADC5" w14:textId="77777777" w:rsidR="00901E75" w:rsidRPr="00692DC1" w:rsidRDefault="00901E75" w:rsidP="00901E75">
      <w:pPr>
        <w:spacing w:before="120" w:after="120" w:line="276" w:lineRule="auto"/>
        <w:ind w:firstLine="708"/>
        <w:jc w:val="both"/>
        <w:rPr>
          <w:rFonts w:ascii="Arial" w:hAnsi="Arial" w:cs="Arial"/>
          <w:color w:val="000000" w:themeColor="text1"/>
          <w:sz w:val="22"/>
          <w:lang w:eastAsia="es-CO"/>
        </w:rPr>
      </w:pPr>
      <w:r w:rsidRPr="00692DC1">
        <w:rPr>
          <w:rFonts w:ascii="Arial" w:hAnsi="Arial" w:cs="Arial"/>
          <w:color w:val="000000" w:themeColor="text1"/>
          <w:sz w:val="22"/>
        </w:rPr>
        <w:t>El referido artículo establece en su inciso primero que los contratos estatales se perfeccionan «</w:t>
      </w:r>
      <w:r w:rsidRPr="00692DC1">
        <w:rPr>
          <w:rFonts w:ascii="Arial" w:hAnsi="Arial" w:cs="Arial"/>
          <w:color w:val="000000" w:themeColor="text1"/>
          <w:sz w:val="22"/>
          <w:lang w:eastAsia="es-CO"/>
        </w:rPr>
        <w:t>cuando se logre acuerdo sobre el objeto y la contraprestación y éste se eleve a escrito</w:t>
      </w:r>
      <w:r w:rsidRPr="00692DC1">
        <w:rPr>
          <w:rFonts w:ascii="Arial" w:hAnsi="Arial" w:cs="Arial"/>
          <w:color w:val="000000" w:themeColor="text1"/>
          <w:sz w:val="22"/>
        </w:rPr>
        <w:t>». Por su parte el inciso segundo establece que «[</w:t>
      </w:r>
      <w:r w:rsidRPr="00692DC1">
        <w:rPr>
          <w:rFonts w:ascii="Arial" w:hAnsi="Arial" w:cs="Arial"/>
          <w:color w:val="000000" w:themeColor="text1"/>
          <w:sz w:val="22"/>
          <w:lang w:eastAsia="es-CO"/>
        </w:rPr>
        <w:t>p]ara la ejecución se requerirá de la aprobación de la garantía», lo que se traduce en que, sin perjuicio del perfeccionamiento del contrato, no podrá ejecutarse sin que se hayan aprobado las garantías.</w:t>
      </w:r>
    </w:p>
    <w:p w14:paraId="2C2E31AA" w14:textId="77777777" w:rsidR="00901E75" w:rsidRPr="00692DC1" w:rsidRDefault="00901E75" w:rsidP="00901E75">
      <w:pPr>
        <w:spacing w:before="120" w:line="276" w:lineRule="auto"/>
        <w:ind w:firstLine="708"/>
        <w:jc w:val="both"/>
        <w:rPr>
          <w:rFonts w:ascii="Arial" w:hAnsi="Arial" w:cs="Arial"/>
          <w:color w:val="000000" w:themeColor="text1"/>
          <w:sz w:val="22"/>
        </w:rPr>
      </w:pPr>
      <w:r w:rsidRPr="00692DC1">
        <w:rPr>
          <w:rFonts w:ascii="Arial" w:hAnsi="Arial" w:cs="Arial"/>
          <w:color w:val="000000" w:themeColor="text1"/>
          <w:sz w:val="22"/>
          <w:lang w:eastAsia="es-CO"/>
        </w:rPr>
        <w:t xml:space="preserve">Al interpretar la regulación del precitado artículo 41,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692DC1">
        <w:rPr>
          <w:rFonts w:ascii="Arial" w:hAnsi="Arial" w:cs="Arial"/>
          <w:color w:val="000000" w:themeColor="text1"/>
          <w:sz w:val="22"/>
        </w:rPr>
        <w:t>en un reconocimiento por parte de la Administración de que el contratista ha cumplido con la obligación de la garantía requerida por la ley. Así lo expresó la Sección Tercera del Consejo de Estado en sentencia de 28 de junio de 2012:</w:t>
      </w:r>
    </w:p>
    <w:p w14:paraId="03340B19" w14:textId="77777777" w:rsidR="00901E75" w:rsidRPr="00692DC1" w:rsidRDefault="00901E75" w:rsidP="00F62F6D">
      <w:pPr>
        <w:spacing w:line="276" w:lineRule="auto"/>
        <w:ind w:firstLine="709"/>
        <w:jc w:val="both"/>
        <w:rPr>
          <w:rFonts w:ascii="Arial" w:hAnsi="Arial" w:cs="Arial"/>
          <w:color w:val="000000" w:themeColor="text1"/>
          <w:sz w:val="22"/>
          <w:lang w:eastAsia="es-CO"/>
        </w:rPr>
      </w:pPr>
    </w:p>
    <w:p w14:paraId="7E9A645E" w14:textId="77777777" w:rsidR="00901E75" w:rsidRPr="00692DC1" w:rsidRDefault="00901E75" w:rsidP="00901E75">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w:t>
      </w:r>
      <w:r w:rsidRPr="00692DC1">
        <w:rPr>
          <w:rFonts w:ascii="Arial" w:hAnsi="Arial" w:cs="Arial"/>
          <w:color w:val="000000" w:themeColor="text1"/>
          <w:sz w:val="21"/>
          <w:szCs w:val="21"/>
        </w:rPr>
        <w:lastRenderedPageBreak/>
        <w:t xml:space="preserve">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04096364" w14:textId="77777777" w:rsidR="00901E75" w:rsidRPr="00692DC1" w:rsidRDefault="00901E75" w:rsidP="00901E75">
      <w:pPr>
        <w:ind w:left="709" w:right="709"/>
        <w:jc w:val="both"/>
        <w:rPr>
          <w:rFonts w:ascii="Arial" w:hAnsi="Arial" w:cs="Arial"/>
          <w:color w:val="000000" w:themeColor="text1"/>
          <w:sz w:val="21"/>
          <w:szCs w:val="21"/>
        </w:rPr>
      </w:pPr>
    </w:p>
    <w:p w14:paraId="77369378" w14:textId="77777777" w:rsidR="00901E75" w:rsidRPr="00692DC1" w:rsidRDefault="00901E75" w:rsidP="00901E75">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entonces, no tiene alcance diferente al reconocimiento de parte de la administración sobre que el contratista cumplió con la obligación de la garantía en orden a la ejecución del contrato y el registro presupuestal comporta que la contratante hizo lo propio. </w:t>
      </w:r>
    </w:p>
    <w:p w14:paraId="03C45FE1" w14:textId="77777777" w:rsidR="00901E75" w:rsidRPr="00692DC1" w:rsidRDefault="00901E75" w:rsidP="00901E75">
      <w:pPr>
        <w:ind w:left="709" w:right="709"/>
        <w:jc w:val="both"/>
        <w:rPr>
          <w:rFonts w:ascii="Arial" w:hAnsi="Arial" w:cs="Arial"/>
          <w:color w:val="000000" w:themeColor="text1"/>
          <w:sz w:val="21"/>
          <w:szCs w:val="21"/>
        </w:rPr>
      </w:pPr>
    </w:p>
    <w:p w14:paraId="1F9EE2D4" w14:textId="77777777" w:rsidR="00901E75" w:rsidRPr="00692DC1" w:rsidRDefault="00901E75" w:rsidP="00901E75">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En ese orden de ideas, 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p>
    <w:p w14:paraId="2D709950" w14:textId="77777777" w:rsidR="00901E75" w:rsidRPr="00692DC1" w:rsidRDefault="00901E75" w:rsidP="00901E75">
      <w:pPr>
        <w:ind w:left="709" w:right="709"/>
        <w:jc w:val="both"/>
        <w:rPr>
          <w:rFonts w:ascii="Arial" w:hAnsi="Arial" w:cs="Arial"/>
          <w:color w:val="000000" w:themeColor="text1"/>
          <w:sz w:val="21"/>
          <w:szCs w:val="21"/>
        </w:rPr>
      </w:pPr>
    </w:p>
    <w:p w14:paraId="53B651AD" w14:textId="77777777" w:rsidR="00901E75" w:rsidRPr="00692DC1" w:rsidRDefault="00901E75" w:rsidP="00901E75">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Para el caso concreto, aunque el contrato n.° 3812 de 1997 nació a la vida jurídica en tanto se suscribió […], acorde con la contraprestación convenida y las estipulaciones que gobernarían la relación negocial, la garantía no fue aprobada por la entidad contratante, si se considera que ésta guardó silencio sobre el particular. Siendo así no se entró en la fase de ejecución, dado que no se avinieron las condiciones previstas en el inciso 2º del artículo 41 de la Ley 80 de 1993</w:t>
      </w:r>
      <w:r w:rsidRPr="00692DC1">
        <w:rPr>
          <w:rStyle w:val="Refdenotaalpie"/>
          <w:rFonts w:ascii="Arial" w:hAnsi="Arial" w:cs="Arial"/>
          <w:color w:val="000000" w:themeColor="text1"/>
          <w:sz w:val="21"/>
          <w:szCs w:val="21"/>
        </w:rPr>
        <w:footnoteReference w:id="7"/>
      </w:r>
      <w:r w:rsidRPr="00692DC1">
        <w:rPr>
          <w:rFonts w:ascii="Arial" w:hAnsi="Arial" w:cs="Arial"/>
          <w:color w:val="000000" w:themeColor="text1"/>
          <w:sz w:val="21"/>
          <w:szCs w:val="21"/>
        </w:rPr>
        <w:t>.</w:t>
      </w:r>
    </w:p>
    <w:p w14:paraId="14683BDB" w14:textId="77777777" w:rsidR="00901E75" w:rsidRPr="00692DC1" w:rsidRDefault="00901E75" w:rsidP="00901E75">
      <w:pPr>
        <w:spacing w:line="276" w:lineRule="auto"/>
        <w:ind w:firstLine="708"/>
        <w:jc w:val="both"/>
        <w:rPr>
          <w:rFonts w:ascii="Arial" w:hAnsi="Arial" w:cs="Arial"/>
          <w:color w:val="000000" w:themeColor="text1"/>
          <w:sz w:val="22"/>
          <w:lang w:eastAsia="es-CO"/>
        </w:rPr>
      </w:pPr>
    </w:p>
    <w:p w14:paraId="7DCD0A82" w14:textId="77777777" w:rsidR="00901E75" w:rsidRPr="00692DC1" w:rsidRDefault="00901E75" w:rsidP="00901E75">
      <w:pPr>
        <w:spacing w:after="120" w:line="276" w:lineRule="auto"/>
        <w:jc w:val="both"/>
        <w:rPr>
          <w:rFonts w:ascii="Arial" w:hAnsi="Arial" w:cs="Arial"/>
          <w:color w:val="000000" w:themeColor="text1"/>
          <w:sz w:val="22"/>
          <w:lang w:eastAsia="es-CO"/>
        </w:rPr>
      </w:pPr>
      <w:r w:rsidRPr="00692DC1">
        <w:rPr>
          <w:rFonts w:ascii="Arial" w:hAnsi="Arial" w:cs="Arial"/>
          <w:color w:val="000000" w:themeColor="text1"/>
          <w:sz w:val="22"/>
          <w:lang w:eastAsia="es-CO"/>
        </w:rPr>
        <w:t>En ese orden, para proceder a ejecutar el contrato el contratista debe cumplir con la obligación de constituir la garantía de cumplimiento, para lo cual deberá presentar el respectivo instrumento para la verificación por parte de la entidad estatal, quien procederá a su aprobación siempre que se cumplan con las condiciones del Decreto 1082 de 2015 y lo pactado en el contrato. Aprobada la garantía estará acreditado el cumplimiento de la obligación del artículo 7 de la Ley 1150 de 2007, la cual, de conformidad con el artículo 41 de la Ley 80 de 1993, es una carga asignada al contratista en orden a dar paso a la fase de ejecución del contrato.</w:t>
      </w:r>
    </w:p>
    <w:p w14:paraId="3E192825" w14:textId="77777777" w:rsidR="00901E75" w:rsidRPr="00692DC1" w:rsidRDefault="00901E75" w:rsidP="00901E75">
      <w:pPr>
        <w:spacing w:before="120" w:after="120" w:line="276" w:lineRule="auto"/>
        <w:ind w:firstLine="709"/>
        <w:jc w:val="both"/>
        <w:rPr>
          <w:rFonts w:ascii="Arial" w:hAnsi="Arial" w:cs="Arial"/>
          <w:color w:val="000000" w:themeColor="text1"/>
          <w:sz w:val="22"/>
        </w:rPr>
      </w:pPr>
      <w:r w:rsidRPr="00692DC1">
        <w:rPr>
          <w:rFonts w:ascii="Arial" w:hAnsi="Arial" w:cs="Arial"/>
          <w:color w:val="000000" w:themeColor="text1"/>
          <w:sz w:val="22"/>
          <w:lang w:eastAsia="es-CO"/>
        </w:rPr>
        <w:t xml:space="preserve">Si bien no existe una norma que establezca un término dentro del cual debe realizarse la aprobación de las garantías presentadas por el contratista, al ser esta una condición para la ejecución del contrato, las entidades públicas tienen el deber de aprobar de las garantías con arreglo a los principios de transparencia, celeridad y responsabilidad </w:t>
      </w:r>
      <w:r w:rsidRPr="00692DC1">
        <w:rPr>
          <w:rFonts w:ascii="Arial" w:hAnsi="Arial" w:cs="Arial"/>
          <w:color w:val="000000" w:themeColor="text1"/>
          <w:sz w:val="22"/>
          <w:lang w:eastAsia="es-CO"/>
        </w:rPr>
        <w:lastRenderedPageBreak/>
        <w:t xml:space="preserve">que rigen el ejercicio la función administrativa, así como con el principio de economía que en el marco de la aplicación del Estatuto General de Contratación de la Administración Pública supone que el adelantamiento de los </w:t>
      </w:r>
      <w:r w:rsidRPr="00692DC1">
        <w:rPr>
          <w:rFonts w:ascii="Arial" w:hAnsi="Arial" w:cs="Arial"/>
          <w:color w:val="000000" w:themeColor="text1"/>
          <w:sz w:val="22"/>
        </w:rPr>
        <w:t>trámites relativos al contrato se realicen con austeridad de tiempo, medios y gastos, para impedir retardos en la ejecución</w:t>
      </w:r>
      <w:r w:rsidRPr="00692DC1">
        <w:rPr>
          <w:rStyle w:val="Refdenotaalpie"/>
          <w:rFonts w:ascii="Arial" w:hAnsi="Arial" w:cs="Arial"/>
          <w:color w:val="000000" w:themeColor="text1"/>
          <w:sz w:val="22"/>
        </w:rPr>
        <w:footnoteReference w:id="8"/>
      </w:r>
      <w:r w:rsidRPr="00692DC1">
        <w:rPr>
          <w:rFonts w:ascii="Arial" w:hAnsi="Arial" w:cs="Arial"/>
          <w:color w:val="000000" w:themeColor="text1"/>
          <w:sz w:val="22"/>
        </w:rPr>
        <w:t>.</w:t>
      </w:r>
    </w:p>
    <w:p w14:paraId="6625E449" w14:textId="77777777" w:rsidR="00901E75" w:rsidRPr="00692DC1" w:rsidRDefault="00901E75" w:rsidP="00F62F6D">
      <w:pPr>
        <w:spacing w:before="120" w:after="120" w:line="276" w:lineRule="auto"/>
        <w:ind w:firstLine="709"/>
        <w:jc w:val="both"/>
        <w:rPr>
          <w:rFonts w:ascii="Arial" w:hAnsi="Arial" w:cs="Arial"/>
          <w:color w:val="000000" w:themeColor="text1"/>
          <w:sz w:val="22"/>
        </w:rPr>
      </w:pPr>
      <w:r w:rsidRPr="00692DC1">
        <w:rPr>
          <w:rFonts w:ascii="Arial" w:hAnsi="Arial" w:cs="Arial"/>
          <w:color w:val="000000" w:themeColor="text1"/>
          <w:sz w:val="22"/>
        </w:rPr>
        <w:t xml:space="preserve">Así pues, la inexistencia de un término legal para la aprobación de las garantías no puede interpretarse en el sentido que ello es un asunto dejado por la ley al libre arbitrio de la entidad contratante, máxime cuando tal aprobación se encuentra limitada a la verificación del cumplimiento de los requisitos establecidos en el contrato, que deben guardar armonía con el Decreto 1082 de 2015 y el artículo 7 de la Ley 1150 de 2007, por lo que una vez acreditado el cumplimiento de los requisitos del caso la entidad contratante debe aprobar la correspondiente garantía, proceder que además se impone en virtud del principio constitucional de la buena fe. </w:t>
      </w:r>
    </w:p>
    <w:p w14:paraId="49805F86" w14:textId="77777777" w:rsidR="00901E75" w:rsidRPr="00692DC1" w:rsidRDefault="00901E75" w:rsidP="00F62F6D">
      <w:pPr>
        <w:spacing w:after="120" w:line="276" w:lineRule="auto"/>
        <w:ind w:firstLine="708"/>
        <w:jc w:val="both"/>
        <w:rPr>
          <w:rFonts w:ascii="Arial" w:hAnsi="Arial" w:cs="Arial"/>
          <w:color w:val="000000" w:themeColor="text1"/>
          <w:sz w:val="22"/>
        </w:rPr>
      </w:pPr>
      <w:r w:rsidRPr="00692DC1">
        <w:rPr>
          <w:rFonts w:ascii="Arial" w:eastAsia="Calibri" w:hAnsi="Arial" w:cs="Arial"/>
          <w:color w:val="000000" w:themeColor="text1"/>
          <w:sz w:val="22"/>
        </w:rPr>
        <w:t>Conforme a las anteriores consideraciones, ni en las leyes 80 de 1993 y 1150 de 2007, ni el Decreto 1082 de 2015, se establece un plazo para la aprobación de las garantías constituidas por los contratistas en cumplimiento del artículo 7 de la Ley 1150 de 2007. Sin embargo, dado que según el inciso segundo del artículo 41 de la Ley 80 de 1993, la aprobación de las garantías es un requisito de ejecución del contrato,</w:t>
      </w:r>
      <w:r w:rsidRPr="00692DC1">
        <w:rPr>
          <w:rFonts w:ascii="Arial" w:hAnsi="Arial" w:cs="Arial"/>
          <w:color w:val="000000" w:themeColor="text1"/>
          <w:sz w:val="22"/>
        </w:rPr>
        <w:t xml:space="preserve"> la inexistencia de un término legal para la aprobación de las garantías no hace que esta quede al libre arbitrio de la entidad contratante, quien una vez verificado el cumplimiento de los requisitos de la garantía, conforme a lo pactado en el contrato y las normas citadas, debe aprobarla, sin lo cual no podrá iniciarse la ejecución del contrato. </w:t>
      </w:r>
    </w:p>
    <w:p w14:paraId="5CDD85AC" w14:textId="77777777" w:rsidR="00901E75" w:rsidRDefault="00901E75" w:rsidP="00F62F6D">
      <w:pPr>
        <w:spacing w:before="120" w:after="100" w:afterAutospacing="1" w:line="276" w:lineRule="auto"/>
        <w:contextualSpacing/>
        <w:jc w:val="both"/>
        <w:rPr>
          <w:rFonts w:ascii="Arial" w:hAnsi="Arial" w:cs="Arial"/>
          <w:color w:val="000000" w:themeColor="text1"/>
          <w:sz w:val="22"/>
        </w:rPr>
      </w:pPr>
      <w:r w:rsidRPr="00692DC1">
        <w:rPr>
          <w:rFonts w:ascii="Arial" w:hAnsi="Arial" w:cs="Arial"/>
          <w:color w:val="000000" w:themeColor="text1"/>
          <w:sz w:val="22"/>
        </w:rPr>
        <w:tab/>
        <w:t xml:space="preserve">La aprobación de la garantía previamente presentada a través del SECOP II, también puede ser objeto del ejercicio del derecho de petición, por lo que el contratista está facultado para presentar solicitudes en dicho sentido, las cuales pueden generar actos fictos o presuntos de no ser respondidas dentro del correspondiente término; no obstante los efectos de dichos actos serán los del silencio administrativo negativo previsto en el artículo 83 de la  Ley 1437 de 2011, ya que sin iniciar el periodo de ejecución del contrato no resulta posible aplicar el silencio administrativo positivo regulado por el artículo 25-16 de la Ley 80 de 1993. </w:t>
      </w:r>
    </w:p>
    <w:p w14:paraId="395E0A33" w14:textId="77777777" w:rsidR="00901E75" w:rsidRDefault="00901E75" w:rsidP="00F62F6D">
      <w:pPr>
        <w:spacing w:line="276" w:lineRule="auto"/>
        <w:contextualSpacing/>
        <w:jc w:val="both"/>
        <w:rPr>
          <w:rFonts w:ascii="Arial" w:hAnsi="Arial" w:cs="Arial"/>
          <w:color w:val="000000" w:themeColor="text1"/>
          <w:sz w:val="22"/>
        </w:rPr>
      </w:pPr>
    </w:p>
    <w:p w14:paraId="67BA23E3" w14:textId="5D4B46EB" w:rsidR="00901E75" w:rsidRPr="00952D37" w:rsidRDefault="00901E75" w:rsidP="00F62F6D">
      <w:pPr>
        <w:spacing w:line="276" w:lineRule="auto"/>
        <w:contextualSpacing/>
        <w:jc w:val="both"/>
        <w:rPr>
          <w:rFonts w:ascii="Arial" w:hAnsi="Arial" w:cs="Arial"/>
          <w:b/>
          <w:bCs/>
          <w:color w:val="000000" w:themeColor="text1"/>
          <w:sz w:val="22"/>
          <w:lang w:val="es-ES_tradnl"/>
        </w:rPr>
      </w:pPr>
      <w:r w:rsidRPr="00952D37">
        <w:rPr>
          <w:rFonts w:ascii="Arial" w:hAnsi="Arial" w:cs="Arial"/>
          <w:b/>
          <w:bCs/>
          <w:color w:val="000000" w:themeColor="text1"/>
          <w:sz w:val="22"/>
          <w:lang w:val="es-ES_tradnl"/>
        </w:rPr>
        <w:t>2.</w:t>
      </w:r>
      <w:r w:rsidR="00624E06">
        <w:rPr>
          <w:rFonts w:ascii="Arial" w:hAnsi="Arial" w:cs="Arial"/>
          <w:b/>
          <w:bCs/>
          <w:color w:val="000000" w:themeColor="text1"/>
          <w:sz w:val="22"/>
          <w:lang w:val="es-ES_tradnl"/>
        </w:rPr>
        <w:t>2</w:t>
      </w:r>
      <w:r w:rsidRPr="00952D37">
        <w:rPr>
          <w:rFonts w:ascii="Arial" w:hAnsi="Arial" w:cs="Arial"/>
          <w:b/>
          <w:bCs/>
          <w:color w:val="000000" w:themeColor="text1"/>
          <w:sz w:val="22"/>
          <w:lang w:val="es-ES_tradnl"/>
        </w:rPr>
        <w:t xml:space="preserve">. La garantía única de cumplimiento: noción y vigencia como presupuesto de la liquidación de los contratos estatales </w:t>
      </w:r>
    </w:p>
    <w:p w14:paraId="6AFFA1BD" w14:textId="77777777" w:rsidR="00901E75" w:rsidRPr="00952D37" w:rsidRDefault="00901E75" w:rsidP="00F62F6D">
      <w:pPr>
        <w:spacing w:line="276" w:lineRule="auto"/>
        <w:contextualSpacing/>
        <w:jc w:val="both"/>
        <w:rPr>
          <w:rFonts w:ascii="Arial" w:hAnsi="Arial" w:cs="Arial"/>
          <w:b/>
          <w:bCs/>
          <w:color w:val="000000" w:themeColor="text1"/>
          <w:sz w:val="22"/>
          <w:lang w:val="es-ES_tradnl"/>
        </w:rPr>
      </w:pPr>
    </w:p>
    <w:p w14:paraId="6BECCD8A" w14:textId="77777777" w:rsidR="00901E75" w:rsidRPr="00952D37" w:rsidRDefault="00901E75" w:rsidP="00901E75">
      <w:pPr>
        <w:tabs>
          <w:tab w:val="left" w:pos="0"/>
        </w:tabs>
        <w:spacing w:line="276" w:lineRule="auto"/>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 xml:space="preserve">Un requisito de orden legal, establecido en el artículo 41 de la Ley 80 de 1993, para la ejecución de los contratos estatales, es la aprobación de las garantías. En otras palabras, </w:t>
      </w:r>
      <w:r w:rsidRPr="00952D37">
        <w:rPr>
          <w:rFonts w:ascii="Arial" w:eastAsia="Calibri" w:hAnsi="Arial" w:cs="Arial"/>
          <w:color w:val="000000"/>
          <w:sz w:val="22"/>
          <w:lang w:val="es-ES_tradnl" w:eastAsia="en-GB"/>
        </w:rPr>
        <w:lastRenderedPageBreak/>
        <w:t>como lo ha explicado la doctrina, este «requisito de ejecución del contrato estatal no se cumple con la simple expedición de la garantía única por parte del contratista, sino que la formalidad se configura en el momento en que la garantía ha sido aprobada por parte de la entidad pública contratante»</w:t>
      </w:r>
      <w:r w:rsidRPr="00952D37">
        <w:rPr>
          <w:rStyle w:val="Refdenotaalpie"/>
          <w:rFonts w:ascii="Arial" w:eastAsia="Calibri" w:hAnsi="Arial" w:cs="Arial"/>
          <w:color w:val="000000"/>
          <w:sz w:val="22"/>
          <w:lang w:val="es-ES_tradnl" w:eastAsia="en-GB"/>
        </w:rPr>
        <w:footnoteReference w:id="9"/>
      </w:r>
      <w:r w:rsidRPr="00952D37">
        <w:rPr>
          <w:rFonts w:ascii="Arial" w:eastAsia="Calibri" w:hAnsi="Arial" w:cs="Arial"/>
          <w:color w:val="000000"/>
          <w:sz w:val="22"/>
          <w:lang w:val="es-ES_tradnl" w:eastAsia="en-GB"/>
        </w:rPr>
        <w:t>. Así también lo ha considerado de tiempo atrás la Sección Tercera del Consejo de Estado, señalando que el inicio de la ejecución del contrato estatal se encuentra supeditado a la aprobación de las garantías exigidas</w:t>
      </w:r>
      <w:r w:rsidRPr="00952D37">
        <w:rPr>
          <w:rStyle w:val="Refdenotaalpie"/>
          <w:rFonts w:ascii="Arial" w:eastAsia="Calibri" w:hAnsi="Arial" w:cs="Arial"/>
          <w:color w:val="000000"/>
          <w:sz w:val="22"/>
          <w:lang w:val="es-ES_tradnl" w:eastAsia="en-GB"/>
        </w:rPr>
        <w:footnoteReference w:id="10"/>
      </w:r>
      <w:r w:rsidRPr="00952D37">
        <w:rPr>
          <w:rFonts w:ascii="Arial" w:eastAsia="Calibri" w:hAnsi="Arial" w:cs="Arial"/>
          <w:color w:val="000000"/>
          <w:sz w:val="22"/>
          <w:lang w:val="es-ES_tradnl" w:eastAsia="en-GB"/>
        </w:rPr>
        <w:t>.</w:t>
      </w:r>
    </w:p>
    <w:p w14:paraId="769606F7" w14:textId="77777777" w:rsidR="00901E75" w:rsidRPr="00952D37" w:rsidRDefault="00901E75" w:rsidP="00901E75">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Las garantías en la contratación estatal son obligaciones adquiridas por terceros –compañías aseguradoras o financieras–, ante eventos nocivos para la entidad pública, que puedan acaecer durante las fases pre-contractual, contractual o post-contractual, según el análisis de riesgos efectuado dentro de los estudios previos. En la fase pre-contractual, la garantía que, por regla general, debe exigirse es la de seriedad de la oferta. Para las dos fases posteriores, el ordenamiento prevé la garantía única de cumplimiento y la garantía de responsabilidad civil extracontractual, cuya procedencia, así como la inclusión de sus amparos depende de las circunstancias previstas en el artículo 7 de la Ley 1150 de 2007</w:t>
      </w:r>
      <w:r w:rsidRPr="00952D37">
        <w:rPr>
          <w:rStyle w:val="Refdenotaalpie"/>
          <w:rFonts w:ascii="Arial" w:eastAsia="Calibri" w:hAnsi="Arial" w:cs="Arial"/>
          <w:color w:val="000000"/>
          <w:sz w:val="22"/>
          <w:lang w:val="es-ES_tradnl" w:eastAsia="en-GB"/>
        </w:rPr>
        <w:footnoteReference w:id="11"/>
      </w:r>
      <w:r w:rsidRPr="00952D37">
        <w:rPr>
          <w:rFonts w:ascii="Arial" w:eastAsia="Calibri" w:hAnsi="Arial" w:cs="Arial"/>
          <w:color w:val="000000"/>
          <w:sz w:val="22"/>
          <w:lang w:val="es-ES_tradnl" w:eastAsia="en-GB"/>
        </w:rPr>
        <w:t xml:space="preserve"> y en la Subsección 3 del Decreto 1082 de 2015. Tales disposiciones normativas establecen los contratos en los que resultan obligatorias tales garantías, la suficiencia de sus amparos y la manera de hacerlas efectivas. Las partes, por autonomía de la voluntad, y según las características del contrato, podrían exigir garantías adicionales.</w:t>
      </w:r>
    </w:p>
    <w:p w14:paraId="749617DB" w14:textId="77777777" w:rsidR="00901E75" w:rsidRPr="00952D37" w:rsidRDefault="00901E75" w:rsidP="00901E75">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lastRenderedPageBreak/>
        <w:t xml:space="preserve">Por lo tanto, para que el contrato pueda iniciar su ejecución, el servidor público competente al interior de la entidad estatal debe haber impartido la aprobación de la garantía. Esta manifestación de voluntad debe estar precedida de un completo análisis de las condiciones de expedición de la garantía, según el mecanismo de cobertura del riesgo de que se trate –póliza de seguro, contrato de fiducia mercantil o garantía bancaria–. De manera que, para emitir el acto de aprobación de la garantía el funcionario encargado de ello debe cerciorarse de que la descripción de los amparos, el valor, la vigencia y los demás datos del documento, cumplen las exigencias normativas y contractuales. </w:t>
      </w:r>
    </w:p>
    <w:p w14:paraId="3D1E1C94" w14:textId="77777777" w:rsidR="00901E75" w:rsidRPr="00952D37" w:rsidRDefault="00901E75" w:rsidP="00901E75">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Es por eso que no se puede suscribir el acta de inicio antes de la aprobación de las garantías contractuales por parte de la entidad estatal. En efecto, para que el contrato estatal comience a ejecutarse, los riesgos detectados en los estudios previos deben estar adecuadamente amparados por las garantías que la entidad estatal ha considerado óptimas para cubrirlos. Y si la entidad estatal no ha aprobado la garantía, pero, a pesar de ello, la ejecución del contrato inicia, existe la posibilidad de que se concrete algún riesgo y que no haya garantías que puedan cubrirlo, pues no han sido aprobadas. Ello, por supuesto, resultaría sumamente nocivo para las entidades estatales, y sobre todo para el cumplimiento de los fines asociados al contrato estatal.</w:t>
      </w:r>
    </w:p>
    <w:p w14:paraId="473B2285" w14:textId="1058E39C" w:rsidR="00901E75" w:rsidRPr="00952D37" w:rsidRDefault="00901E75" w:rsidP="00901E75">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hAnsi="Arial" w:cs="Arial"/>
          <w:bCs/>
          <w:color w:val="000000" w:themeColor="text1"/>
          <w:sz w:val="22"/>
          <w:lang w:val="es-ES_tradnl"/>
        </w:rPr>
        <w:t xml:space="preserve">La </w:t>
      </w:r>
      <w:r w:rsidR="00C71D90" w:rsidRPr="00952D37">
        <w:rPr>
          <w:rFonts w:ascii="Arial" w:hAnsi="Arial" w:cs="Arial"/>
          <w:bCs/>
          <w:color w:val="000000" w:themeColor="text1"/>
          <w:sz w:val="22"/>
          <w:szCs w:val="22"/>
          <w:lang w:val="es-ES_tradnl"/>
        </w:rPr>
        <w:t>«</w:t>
      </w:r>
      <w:r w:rsidRPr="00952D37">
        <w:rPr>
          <w:rFonts w:ascii="Arial" w:hAnsi="Arial" w:cs="Arial"/>
          <w:bCs/>
          <w:color w:val="000000" w:themeColor="text1"/>
          <w:sz w:val="22"/>
          <w:lang w:val="es-ES_tradnl"/>
        </w:rPr>
        <w:t>Guía de Garantías en procesos de Contratación</w:t>
      </w:r>
      <w:r w:rsidR="00C71D90" w:rsidRPr="00952D37">
        <w:rPr>
          <w:rFonts w:ascii="Arial" w:hAnsi="Arial" w:cs="Arial"/>
          <w:bCs/>
          <w:color w:val="000000" w:themeColor="text1"/>
          <w:sz w:val="22"/>
          <w:szCs w:val="22"/>
          <w:lang w:val="es-ES_tradnl"/>
        </w:rPr>
        <w:t>»</w:t>
      </w:r>
      <w:r w:rsidRPr="00952D37">
        <w:rPr>
          <w:rFonts w:ascii="Arial" w:hAnsi="Arial" w:cs="Arial"/>
          <w:bCs/>
          <w:color w:val="000000" w:themeColor="text1"/>
          <w:sz w:val="22"/>
          <w:lang w:val="es-ES_tradnl"/>
        </w:rPr>
        <w:t xml:space="preserve"> señala que </w:t>
      </w:r>
      <w:r w:rsidRPr="00952D37">
        <w:rPr>
          <w:rFonts w:ascii="Arial" w:hAnsi="Arial" w:cs="Arial"/>
          <w:bCs/>
          <w:color w:val="000000" w:themeColor="text1"/>
          <w:sz w:val="22"/>
          <w:szCs w:val="22"/>
          <w:lang w:val="es-ES_tradnl"/>
        </w:rPr>
        <w:t>«Las garantías son instrumentos de cobertura de algunos Riesgos comunes en Procesos de Contratación»</w:t>
      </w:r>
      <w:r w:rsidRPr="00952D37">
        <w:rPr>
          <w:rStyle w:val="Refdenotaalpie"/>
          <w:rFonts w:ascii="Arial" w:hAnsi="Arial" w:cs="Arial"/>
          <w:color w:val="000000" w:themeColor="text1"/>
          <w:sz w:val="21"/>
          <w:szCs w:val="21"/>
          <w:lang w:val="es-ES_tradnl"/>
        </w:rPr>
        <w:footnoteReference w:id="12"/>
      </w:r>
      <w:r w:rsidRPr="00952D37">
        <w:rPr>
          <w:rFonts w:ascii="Arial" w:hAnsi="Arial" w:cs="Arial"/>
          <w:bCs/>
          <w:color w:val="000000" w:themeColor="text1"/>
          <w:sz w:val="21"/>
          <w:szCs w:val="21"/>
          <w:lang w:val="es-ES_tradnl"/>
        </w:rPr>
        <w:t xml:space="preserve">. </w:t>
      </w:r>
      <w:r w:rsidRPr="00952D37">
        <w:rPr>
          <w:rFonts w:ascii="Arial" w:hAnsi="Arial" w:cs="Arial"/>
          <w:bCs/>
          <w:color w:val="000000" w:themeColor="text1"/>
          <w:sz w:val="22"/>
          <w:lang w:val="es-ES_tradnl"/>
        </w:rPr>
        <w:t xml:space="preserve"> Sobre la garantía de cumplimiento, la Agencia Nacional de Contratación Pública ha sostenido lo siguiente:</w:t>
      </w:r>
    </w:p>
    <w:p w14:paraId="42A83078" w14:textId="77777777" w:rsidR="00901E75" w:rsidRPr="00952D37" w:rsidRDefault="00901E75" w:rsidP="00901E75">
      <w:pPr>
        <w:ind w:left="709" w:right="758"/>
        <w:jc w:val="both"/>
        <w:rPr>
          <w:rFonts w:ascii="Arial" w:hAnsi="Arial" w:cs="Arial"/>
          <w:bCs/>
          <w:color w:val="000000" w:themeColor="text1"/>
          <w:sz w:val="21"/>
          <w:szCs w:val="21"/>
          <w:lang w:val="es-ES_tradnl"/>
        </w:rPr>
      </w:pPr>
    </w:p>
    <w:p w14:paraId="49583180" w14:textId="6ACC3B20" w:rsidR="00901E75" w:rsidRPr="00952D37" w:rsidRDefault="00C71D90" w:rsidP="00901E75">
      <w:pPr>
        <w:ind w:left="709" w:right="758"/>
        <w:jc w:val="both"/>
        <w:rPr>
          <w:rFonts w:ascii="Arial" w:hAnsi="Arial" w:cs="Arial"/>
          <w:bCs/>
          <w:color w:val="000000" w:themeColor="text1"/>
          <w:sz w:val="21"/>
          <w:szCs w:val="21"/>
          <w:lang w:val="es-ES_tradnl"/>
        </w:rPr>
      </w:pPr>
      <w:r w:rsidRPr="00952D37">
        <w:rPr>
          <w:rFonts w:ascii="Arial" w:hAnsi="Arial" w:cs="Arial"/>
          <w:bCs/>
          <w:color w:val="000000" w:themeColor="text1"/>
          <w:sz w:val="22"/>
          <w:szCs w:val="22"/>
          <w:lang w:val="es-ES_tradnl"/>
        </w:rPr>
        <w:t>«</w:t>
      </w:r>
      <w:r w:rsidR="00901E75" w:rsidRPr="00952D37">
        <w:rPr>
          <w:rFonts w:ascii="Arial" w:hAnsi="Arial" w:cs="Arial"/>
          <w:bCs/>
          <w:color w:val="000000" w:themeColor="text1"/>
          <w:sz w:val="21"/>
          <w:szCs w:val="21"/>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576FE765" w14:textId="77777777" w:rsidR="00901E75" w:rsidRPr="00952D37" w:rsidRDefault="00901E75" w:rsidP="00901E75">
      <w:pPr>
        <w:ind w:left="709" w:right="758"/>
        <w:jc w:val="both"/>
        <w:rPr>
          <w:rFonts w:ascii="Arial" w:hAnsi="Arial" w:cs="Arial"/>
          <w:bCs/>
          <w:color w:val="000000" w:themeColor="text1"/>
          <w:sz w:val="21"/>
          <w:szCs w:val="21"/>
          <w:lang w:val="es-ES_tradnl"/>
        </w:rPr>
      </w:pPr>
    </w:p>
    <w:p w14:paraId="7B0CFD1B" w14:textId="07B1E05C" w:rsidR="00901E75" w:rsidRPr="00952D37" w:rsidRDefault="00901E75" w:rsidP="00901E75">
      <w:pPr>
        <w:ind w:left="709" w:right="758"/>
        <w:jc w:val="both"/>
        <w:rPr>
          <w:rFonts w:ascii="Arial" w:hAnsi="Arial" w:cs="Arial"/>
          <w:bCs/>
          <w:color w:val="000000" w:themeColor="text1"/>
          <w:sz w:val="21"/>
          <w:szCs w:val="21"/>
          <w:lang w:val="es-ES_tradnl"/>
        </w:rPr>
      </w:pPr>
      <w:r w:rsidRPr="00952D37">
        <w:rPr>
          <w:rFonts w:ascii="Arial" w:hAnsi="Arial" w:cs="Arial"/>
          <w:bCs/>
          <w:color w:val="000000" w:themeColor="text1"/>
          <w:sz w:val="21"/>
          <w:szCs w:val="21"/>
          <w:lang w:val="es-ES_tradnl"/>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00C71D90" w:rsidRPr="00952D37">
        <w:rPr>
          <w:rFonts w:ascii="Arial" w:hAnsi="Arial" w:cs="Arial"/>
          <w:bCs/>
          <w:color w:val="000000" w:themeColor="text1"/>
          <w:sz w:val="22"/>
          <w:szCs w:val="22"/>
          <w:lang w:val="es-ES_tradnl"/>
        </w:rPr>
        <w:t>»</w:t>
      </w:r>
      <w:r w:rsidRPr="00952D37">
        <w:rPr>
          <w:rStyle w:val="Refdenotaalpie"/>
          <w:rFonts w:ascii="Arial" w:hAnsi="Arial" w:cs="Arial"/>
          <w:color w:val="000000" w:themeColor="text1"/>
          <w:sz w:val="21"/>
          <w:szCs w:val="21"/>
          <w:lang w:val="es-ES_tradnl"/>
        </w:rPr>
        <w:footnoteReference w:id="13"/>
      </w:r>
      <w:r w:rsidRPr="00952D37">
        <w:rPr>
          <w:rFonts w:ascii="Arial" w:hAnsi="Arial" w:cs="Arial"/>
          <w:bCs/>
          <w:color w:val="000000" w:themeColor="text1"/>
          <w:sz w:val="21"/>
          <w:szCs w:val="21"/>
          <w:lang w:val="es-ES_tradnl"/>
        </w:rPr>
        <w:t>.</w:t>
      </w:r>
    </w:p>
    <w:p w14:paraId="3C56F8D5" w14:textId="77777777" w:rsidR="00901E75" w:rsidRPr="00952D37" w:rsidRDefault="00901E75" w:rsidP="00901E75">
      <w:pPr>
        <w:spacing w:line="276" w:lineRule="auto"/>
        <w:jc w:val="both"/>
        <w:rPr>
          <w:rFonts w:ascii="Arial" w:hAnsi="Arial" w:cs="Arial"/>
          <w:bCs/>
          <w:color w:val="000000" w:themeColor="text1"/>
          <w:sz w:val="22"/>
          <w:lang w:val="es-ES_tradnl"/>
        </w:rPr>
      </w:pPr>
    </w:p>
    <w:p w14:paraId="6F94DF50" w14:textId="77777777" w:rsidR="00901E75" w:rsidRPr="00952D37" w:rsidRDefault="00901E75" w:rsidP="00901E75">
      <w:pPr>
        <w:spacing w:after="120" w:line="276" w:lineRule="auto"/>
        <w:ind w:firstLine="709"/>
        <w:jc w:val="both"/>
        <w:rPr>
          <w:rFonts w:ascii="Arial" w:hAnsi="Arial" w:cs="Arial"/>
          <w:bCs/>
          <w:color w:val="000000" w:themeColor="text1"/>
          <w:sz w:val="22"/>
          <w:lang w:val="es-ES_tradnl"/>
        </w:rPr>
      </w:pPr>
      <w:r w:rsidRPr="00952D37">
        <w:rPr>
          <w:rFonts w:ascii="Arial" w:hAnsi="Arial" w:cs="Arial"/>
          <w:bCs/>
          <w:color w:val="000000" w:themeColor="text1"/>
          <w:sz w:val="22"/>
          <w:lang w:val="es-ES_tradnl"/>
        </w:rPr>
        <w:lastRenderedPageBreak/>
        <w:t xml:space="preserve">Como puede verse,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Según el </w:t>
      </w:r>
      <w:r>
        <w:rPr>
          <w:rFonts w:ascii="Arial" w:hAnsi="Arial" w:cs="Arial"/>
          <w:bCs/>
          <w:color w:val="000000" w:themeColor="text1"/>
          <w:sz w:val="22"/>
          <w:lang w:val="es-ES_tradnl"/>
        </w:rPr>
        <w:t xml:space="preserve">artículo </w:t>
      </w:r>
      <w:r w:rsidRPr="00952D37">
        <w:rPr>
          <w:rFonts w:ascii="Arial" w:hAnsi="Arial" w:cs="Arial"/>
          <w:bCs/>
          <w:color w:val="000000" w:themeColor="text1"/>
          <w:sz w:val="22"/>
          <w:lang w:val="es-ES_tradnl"/>
        </w:rPr>
        <w:t>2.2.1.2.3.1.7. del Decreto 1082 de 2015, la garantía única de cumplimiento cuenta con varios amparos que incluyen el de buen manejo y correcta inversión del anticipo, la devolución del pago anticipado, el amparo de cumplimiento del contrato, la garantía de pago de salarios, entre otros.</w:t>
      </w:r>
    </w:p>
    <w:p w14:paraId="3D47FB65" w14:textId="77777777" w:rsidR="00901E75" w:rsidRPr="00952D37" w:rsidRDefault="00901E75" w:rsidP="00901E75">
      <w:pPr>
        <w:spacing w:after="120" w:line="276" w:lineRule="auto"/>
        <w:ind w:firstLine="709"/>
        <w:jc w:val="both"/>
        <w:rPr>
          <w:rFonts w:ascii="Arial" w:hAnsi="Arial" w:cs="Arial"/>
          <w:bCs/>
          <w:color w:val="000000" w:themeColor="text1"/>
          <w:sz w:val="22"/>
          <w:lang w:val="es-ES_tradnl"/>
        </w:rPr>
      </w:pPr>
      <w:r w:rsidRPr="00952D37">
        <w:rPr>
          <w:rFonts w:ascii="Arial" w:hAnsi="Arial" w:cs="Arial"/>
          <w:bCs/>
          <w:color w:val="000000" w:themeColor="text1"/>
          <w:sz w:val="22"/>
          <w:lang w:val="es-ES_tradnl"/>
        </w:rPr>
        <w:t xml:space="preserve">El amparo de cumplimiento, que constituye el objeto central de este concepto, es uno de los múltiples amparos que conforman la garantía única de cumplimiento. Al tenor de lo establecido en el artículo 2.2.1.2.3.1.7. </w:t>
      </w:r>
      <w:r w:rsidRPr="00952D37">
        <w:rPr>
          <w:rFonts w:ascii="Arial" w:hAnsi="Arial" w:cs="Arial"/>
          <w:bCs/>
          <w:i/>
          <w:iCs/>
          <w:color w:val="000000" w:themeColor="text1"/>
          <w:sz w:val="22"/>
          <w:lang w:val="es-ES_tradnl"/>
        </w:rPr>
        <w:t>Ibídem</w:t>
      </w:r>
      <w:r w:rsidRPr="00952D37">
        <w:rPr>
          <w:rFonts w:ascii="Arial" w:hAnsi="Arial" w:cs="Arial"/>
          <w:bCs/>
          <w:color w:val="000000" w:themeColor="text1"/>
          <w:sz w:val="22"/>
          <w:lang w:val="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materializarse durante la etapa de ejecución del contrato y, más claramente, aquellos derivados de incumplimientos o conductas imputables al contratista. </w:t>
      </w:r>
    </w:p>
    <w:p w14:paraId="0D842AEF" w14:textId="6E2EE63D" w:rsidR="00901E75" w:rsidRDefault="00901E75" w:rsidP="00F62F6D">
      <w:pPr>
        <w:spacing w:after="120" w:line="276" w:lineRule="auto"/>
        <w:ind w:firstLine="709"/>
        <w:jc w:val="both"/>
        <w:rPr>
          <w:rFonts w:ascii="Arial" w:hAnsi="Arial" w:cs="Arial"/>
          <w:bCs/>
          <w:color w:val="000000" w:themeColor="text1"/>
          <w:sz w:val="22"/>
          <w:lang w:val="es-ES_tradnl"/>
        </w:rPr>
      </w:pPr>
      <w:r w:rsidRPr="00952D37">
        <w:rPr>
          <w:rFonts w:ascii="Arial" w:hAnsi="Arial" w:cs="Arial"/>
          <w:bCs/>
          <w:color w:val="000000" w:themeColor="text1"/>
          <w:sz w:val="22"/>
          <w:lang w:val="es-ES_tradnl"/>
        </w:rPr>
        <w:t xml:space="preserve">De otra parte, en relación con la vigencia de las garantías, el artículo 2.2.1.2.3.1.12. del citado Decreto señala que «La garantía de cumplimiento del contrato debe tener una vigencia mínima hasta la liquidación del contrato». Lo primero que debe ponerse de presente es que esta disposición no se refiere a la garantía única de cumplimiento en su totalidad, sino exclusivamente al amparo de cumplimiento al que se ha venido haciendo referencia. Ello explica que los artículos anteriores y subsiguientes establezcan términos diferentes para los demás amparos que conforman la garantía única de cumplimiento. Así, por ejemplo, el artículo 2.2.1.2.3.1.13 </w:t>
      </w:r>
      <w:r w:rsidRPr="00952D37">
        <w:rPr>
          <w:rFonts w:ascii="Arial" w:hAnsi="Arial" w:cs="Arial"/>
          <w:bCs/>
          <w:i/>
          <w:iCs/>
          <w:color w:val="000000" w:themeColor="text1"/>
          <w:sz w:val="22"/>
          <w:lang w:val="es-ES_tradnl"/>
        </w:rPr>
        <w:t>Ibídem</w:t>
      </w:r>
      <w:r w:rsidRPr="00952D37">
        <w:rPr>
          <w:rFonts w:ascii="Arial" w:hAnsi="Arial" w:cs="Arial"/>
          <w:bCs/>
          <w:color w:val="000000" w:themeColor="text1"/>
          <w:sz w:val="22"/>
          <w:lang w:val="es-ES_tradnl"/>
        </w:rPr>
        <w:t xml:space="preserve"> prescribe que la garantía de pago de salarios y prestaciones sociales debe estar vigente por el plazo del contrato y 3 años adicionales y, a su vez, el artículo 2.2.1.2.3.1.14 establece un término no inferior a 5 años para la garantía de estabilidad de la obra.</w:t>
      </w:r>
    </w:p>
    <w:p w14:paraId="63083465" w14:textId="77777777" w:rsidR="00972E83" w:rsidRDefault="00972E83" w:rsidP="00972E83">
      <w:pPr>
        <w:spacing w:after="120" w:line="276" w:lineRule="auto"/>
        <w:ind w:firstLine="709"/>
        <w:jc w:val="both"/>
        <w:rPr>
          <w:rFonts w:ascii="Arial" w:hAnsi="Arial" w:cs="Arial"/>
          <w:bCs/>
          <w:color w:val="000000" w:themeColor="text1"/>
          <w:sz w:val="22"/>
          <w:lang w:val="es-ES_tradnl" w:eastAsia="es-MX"/>
        </w:rPr>
      </w:pPr>
      <w:r>
        <w:rPr>
          <w:rFonts w:ascii="Arial" w:hAnsi="Arial" w:cs="Arial"/>
          <w:bCs/>
          <w:color w:val="000000" w:themeColor="text1"/>
          <w:sz w:val="22"/>
          <w:lang w:val="es-ES_tradnl"/>
        </w:rPr>
        <w:t xml:space="preserve">Ahora bien, volviendo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4CCEF4C3" w14:textId="77777777" w:rsidR="00972E83" w:rsidRDefault="00972E83" w:rsidP="00972E83">
      <w:pPr>
        <w:spacing w:line="276" w:lineRule="auto"/>
        <w:ind w:firstLine="708"/>
        <w:jc w:val="both"/>
        <w:rPr>
          <w:rFonts w:ascii="Arial" w:hAnsi="Arial" w:cs="Arial"/>
          <w:bCs/>
          <w:color w:val="000000" w:themeColor="text1"/>
          <w:sz w:val="22"/>
          <w:lang w:val="es-ES_tradnl"/>
        </w:rPr>
      </w:pPr>
      <w:r>
        <w:rPr>
          <w:rFonts w:ascii="Arial" w:hAnsi="Arial" w:cs="Arial"/>
          <w:bCs/>
          <w:color w:val="000000" w:themeColor="text1"/>
          <w:sz w:val="22"/>
          <w:lang w:val="es-ES_tradnl"/>
        </w:rPr>
        <w:t xml:space="preserve">Por lo tanto, la vigencia de dicha garantía no entra dentro del ámbito de discrecionalidad de la entidad contratante y, de este modo, es necesario concluir que la </w:t>
      </w:r>
      <w:r>
        <w:rPr>
          <w:rFonts w:ascii="Arial" w:hAnsi="Arial" w:cs="Arial"/>
          <w:bCs/>
          <w:color w:val="000000" w:themeColor="text1"/>
          <w:sz w:val="22"/>
          <w:lang w:val="es-ES_tradnl"/>
        </w:rPr>
        <w:lastRenderedPageBreak/>
        <w:t>garantía debe mantenerse vigente durante los plazos dispuestos para la liquidación desarrollados en el numeral anterior o hasta que esta efectivamente se realice.</w:t>
      </w:r>
    </w:p>
    <w:p w14:paraId="226FD31D" w14:textId="77777777" w:rsidR="00901E75" w:rsidRPr="00692DC1" w:rsidRDefault="00901E75" w:rsidP="00F62F6D">
      <w:pPr>
        <w:spacing w:line="276" w:lineRule="auto"/>
        <w:contextualSpacing/>
        <w:jc w:val="both"/>
        <w:rPr>
          <w:rFonts w:ascii="Arial" w:hAnsi="Arial" w:cs="Arial"/>
          <w:color w:val="000000" w:themeColor="text1"/>
          <w:sz w:val="22"/>
        </w:rPr>
      </w:pPr>
    </w:p>
    <w:p w14:paraId="3702D388" w14:textId="14EB7C16" w:rsidR="00901E75" w:rsidRPr="00D02FA9" w:rsidRDefault="00637BEC" w:rsidP="00F62F6D">
      <w:pPr>
        <w:pStyle w:val="Prrafodelista"/>
        <w:numPr>
          <w:ilvl w:val="0"/>
          <w:numId w:val="12"/>
        </w:numPr>
        <w:spacing w:line="276" w:lineRule="auto"/>
        <w:jc w:val="both"/>
        <w:rPr>
          <w:rFonts w:ascii="Arial" w:hAnsi="Arial" w:cs="Arial"/>
          <w:b/>
          <w:bCs/>
          <w:color w:val="000000" w:themeColor="text1"/>
          <w:sz w:val="22"/>
        </w:rPr>
      </w:pPr>
      <w:r w:rsidRPr="00D02FA9">
        <w:rPr>
          <w:rFonts w:ascii="Arial" w:hAnsi="Arial" w:cs="Arial"/>
          <w:b/>
          <w:bCs/>
          <w:color w:val="000000" w:themeColor="text1"/>
          <w:sz w:val="22"/>
        </w:rPr>
        <w:t>Respuesta</w:t>
      </w:r>
    </w:p>
    <w:p w14:paraId="08B6B303" w14:textId="48F6F93B" w:rsidR="00901E75" w:rsidRDefault="00901E75" w:rsidP="00F62F6D">
      <w:pPr>
        <w:spacing w:line="276" w:lineRule="auto"/>
        <w:contextualSpacing/>
        <w:jc w:val="both"/>
        <w:rPr>
          <w:rFonts w:ascii="Arial" w:hAnsi="Arial" w:cs="Arial"/>
          <w:color w:val="000000" w:themeColor="text1"/>
          <w:sz w:val="18"/>
          <w:szCs w:val="20"/>
          <w:lang w:eastAsia="es-CO"/>
        </w:rPr>
      </w:pPr>
    </w:p>
    <w:p w14:paraId="2CD30103" w14:textId="77777777" w:rsidR="00320DC3" w:rsidRPr="00692DC1" w:rsidRDefault="00320DC3" w:rsidP="00F62F6D">
      <w:pPr>
        <w:ind w:left="709" w:right="709"/>
        <w:jc w:val="both"/>
        <w:rPr>
          <w:rFonts w:ascii="Arial" w:eastAsia="Calibri" w:hAnsi="Arial" w:cs="Arial"/>
          <w:color w:val="000000" w:themeColor="text1"/>
          <w:sz w:val="21"/>
          <w:szCs w:val="21"/>
        </w:rPr>
      </w:pPr>
      <w:r w:rsidRPr="00692DC1">
        <w:rPr>
          <w:rFonts w:ascii="Arial" w:eastAsia="Calibri" w:hAnsi="Arial" w:cs="Arial"/>
          <w:color w:val="000000" w:themeColor="text1"/>
          <w:sz w:val="21"/>
          <w:szCs w:val="21"/>
        </w:rPr>
        <w:t xml:space="preserve">i) </w:t>
      </w:r>
      <w:r>
        <w:rPr>
          <w:rFonts w:ascii="Arial" w:eastAsia="Calibri" w:hAnsi="Arial" w:cs="Arial"/>
          <w:color w:val="000000" w:themeColor="text1"/>
          <w:sz w:val="21"/>
          <w:szCs w:val="21"/>
        </w:rPr>
        <w:t>[…] «</w:t>
      </w:r>
      <w:r w:rsidRPr="00DF6D95">
        <w:rPr>
          <w:rFonts w:ascii="Arial" w:eastAsia="Calibri" w:hAnsi="Arial" w:cs="Arial"/>
          <w:color w:val="000000" w:themeColor="text1"/>
          <w:sz w:val="21"/>
          <w:szCs w:val="21"/>
        </w:rPr>
        <w:t>¿es oportuno que se realicen aprobación de pólizas cuyos amparos han expirado o las cuales ya se encuentra vencidas?</w:t>
      </w:r>
      <w:r>
        <w:rPr>
          <w:rFonts w:ascii="Arial" w:eastAsia="Calibri" w:hAnsi="Arial" w:cs="Arial"/>
          <w:color w:val="000000" w:themeColor="text1"/>
          <w:sz w:val="21"/>
          <w:szCs w:val="21"/>
        </w:rPr>
        <w:t>»</w:t>
      </w:r>
    </w:p>
    <w:p w14:paraId="63FE20AD" w14:textId="4801324C" w:rsidR="00901E75" w:rsidRDefault="00901E75" w:rsidP="004E09F4">
      <w:pPr>
        <w:spacing w:after="18"/>
        <w:rPr>
          <w:rFonts w:ascii="Arial" w:hAnsi="Arial" w:cs="Arial"/>
          <w:color w:val="000000" w:themeColor="text1"/>
          <w:sz w:val="18"/>
          <w:szCs w:val="20"/>
          <w:lang w:eastAsia="es-CO"/>
        </w:rPr>
      </w:pPr>
    </w:p>
    <w:p w14:paraId="1E95AEE2" w14:textId="07424DBA" w:rsidR="00C57CDC" w:rsidRDefault="002D59A8" w:rsidP="00F62F6D">
      <w:pPr>
        <w:tabs>
          <w:tab w:val="left" w:pos="0"/>
        </w:tabs>
        <w:spacing w:before="120" w:after="120" w:line="276" w:lineRule="auto"/>
        <w:ind w:firstLine="709"/>
        <w:jc w:val="both"/>
        <w:rPr>
          <w:rFonts w:ascii="Arial" w:eastAsia="Calibri" w:hAnsi="Arial" w:cs="Arial"/>
          <w:color w:val="000000"/>
          <w:sz w:val="22"/>
          <w:lang w:val="es-ES_tradnl" w:eastAsia="en-GB"/>
        </w:rPr>
      </w:pPr>
      <w:r w:rsidRPr="002D59A8">
        <w:rPr>
          <w:rFonts w:ascii="Arial" w:eastAsia="Calibri" w:hAnsi="Arial" w:cs="Arial"/>
          <w:color w:val="000000"/>
          <w:sz w:val="22"/>
          <w:lang w:val="es-ES_tradnl" w:eastAsia="en-GB"/>
        </w:rPr>
        <w:t>De conformidad con las consideraciones expuestas, es necesario resaltar y reiterar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Por consiguiente, no puede emitir pronunciamientos con el propósito de resolver situaciones propias que se presentan con ocasión del trámite de los procesos de contratación estatal a cargo de las entidades públicas. En tal sentido, tampoco puede realizar un juicio de valor sobre la validez de las decisiones que debe adoptar una entidad pública en sus trámites administrativos de naturaleza contractual.</w:t>
      </w:r>
    </w:p>
    <w:p w14:paraId="4E8310B3" w14:textId="39E4E937" w:rsidR="004E09F4" w:rsidRDefault="00C248EE" w:rsidP="00F62F6D">
      <w:pPr>
        <w:tabs>
          <w:tab w:val="left" w:pos="0"/>
        </w:tabs>
        <w:spacing w:before="120" w:after="120" w:line="276" w:lineRule="auto"/>
        <w:ind w:firstLine="709"/>
        <w:jc w:val="both"/>
        <w:rPr>
          <w:rFonts w:ascii="Arial" w:eastAsia="Calibri" w:hAnsi="Arial" w:cs="Arial"/>
          <w:color w:val="000000"/>
          <w:sz w:val="22"/>
          <w:lang w:val="es-ES_tradnl" w:eastAsia="en-GB"/>
        </w:rPr>
      </w:pPr>
      <w:r w:rsidRPr="00C248EE">
        <w:rPr>
          <w:rFonts w:ascii="Arial" w:eastAsia="Calibri" w:hAnsi="Arial" w:cs="Arial"/>
          <w:color w:val="000000" w:themeColor="text1"/>
          <w:sz w:val="22"/>
        </w:rPr>
        <w:t>Sin perjuicio de lo anterior, es preciso mencionar</w:t>
      </w:r>
      <w:r w:rsidR="004E09F4" w:rsidRPr="00952D37">
        <w:rPr>
          <w:rFonts w:ascii="Arial" w:eastAsia="Calibri" w:hAnsi="Arial" w:cs="Arial"/>
          <w:color w:val="000000"/>
          <w:sz w:val="22"/>
          <w:lang w:val="es-ES_tradnl" w:eastAsia="en-GB"/>
        </w:rPr>
        <w:t>,</w:t>
      </w:r>
      <w:r w:rsidR="001A759A">
        <w:rPr>
          <w:rFonts w:ascii="Arial" w:eastAsia="Calibri" w:hAnsi="Arial" w:cs="Arial"/>
          <w:color w:val="000000"/>
          <w:sz w:val="22"/>
          <w:lang w:val="es-ES_tradnl" w:eastAsia="en-GB"/>
        </w:rPr>
        <w:t xml:space="preserve"> que conforme a los establecido en las consideraciones, para que</w:t>
      </w:r>
      <w:r w:rsidR="004E09F4" w:rsidRPr="00952D37">
        <w:rPr>
          <w:rFonts w:ascii="Arial" w:eastAsia="Calibri" w:hAnsi="Arial" w:cs="Arial"/>
          <w:color w:val="000000"/>
          <w:sz w:val="22"/>
          <w:lang w:val="es-ES_tradnl" w:eastAsia="en-GB"/>
        </w:rPr>
        <w:t xml:space="preserve"> </w:t>
      </w:r>
      <w:r w:rsidR="001A759A">
        <w:rPr>
          <w:rFonts w:ascii="Arial" w:eastAsia="Calibri" w:hAnsi="Arial" w:cs="Arial"/>
          <w:color w:val="000000"/>
          <w:sz w:val="22"/>
          <w:lang w:val="es-ES_tradnl" w:eastAsia="en-GB"/>
        </w:rPr>
        <w:t xml:space="preserve">el </w:t>
      </w:r>
      <w:r w:rsidR="004E09F4" w:rsidRPr="00952D37">
        <w:rPr>
          <w:rFonts w:ascii="Arial" w:eastAsia="Calibri" w:hAnsi="Arial" w:cs="Arial"/>
          <w:color w:val="000000"/>
          <w:sz w:val="22"/>
          <w:lang w:val="es-ES_tradnl" w:eastAsia="en-GB"/>
        </w:rPr>
        <w:t>contrato pueda iniciar su ejecución, el servidor público competente al interior de la entidad estatal debe haber impartido la aprobación de la garantía</w:t>
      </w:r>
      <w:r w:rsidR="000774D7">
        <w:rPr>
          <w:rFonts w:ascii="Arial" w:eastAsia="Calibri" w:hAnsi="Arial" w:cs="Arial"/>
          <w:color w:val="000000"/>
          <w:sz w:val="22"/>
          <w:lang w:val="es-ES_tradnl" w:eastAsia="en-GB"/>
        </w:rPr>
        <w:t>, la cual d</w:t>
      </w:r>
      <w:r w:rsidR="004845F2">
        <w:rPr>
          <w:rFonts w:ascii="Arial" w:eastAsia="Calibri" w:hAnsi="Arial" w:cs="Arial"/>
          <w:color w:val="000000"/>
          <w:sz w:val="22"/>
          <w:lang w:val="es-ES_tradnl" w:eastAsia="en-GB"/>
        </w:rPr>
        <w:t xml:space="preserve">ebe cumplir con la suficiencia </w:t>
      </w:r>
      <w:r w:rsidR="00E07332">
        <w:rPr>
          <w:rFonts w:ascii="Arial" w:eastAsia="Calibri" w:hAnsi="Arial" w:cs="Arial"/>
          <w:color w:val="000000"/>
          <w:sz w:val="22"/>
          <w:lang w:val="es-ES_tradnl" w:eastAsia="en-GB"/>
        </w:rPr>
        <w:t xml:space="preserve">en virtud de lo que indica el Decreto 1082 de 2015, por lo tanto </w:t>
      </w:r>
      <w:r w:rsidR="00033940">
        <w:rPr>
          <w:rFonts w:ascii="Arial" w:eastAsia="Calibri" w:hAnsi="Arial" w:cs="Arial"/>
          <w:color w:val="000000"/>
          <w:sz w:val="22"/>
          <w:lang w:val="es-ES_tradnl" w:eastAsia="en-GB"/>
        </w:rPr>
        <w:t xml:space="preserve">las entidades públicas gozan de toda la autonomía para revisar y aprobar </w:t>
      </w:r>
      <w:r w:rsidR="00B76DBC">
        <w:rPr>
          <w:rFonts w:ascii="Arial" w:eastAsia="Calibri" w:hAnsi="Arial" w:cs="Arial"/>
          <w:color w:val="000000"/>
          <w:sz w:val="22"/>
          <w:lang w:val="es-ES_tradnl" w:eastAsia="en-GB"/>
        </w:rPr>
        <w:t xml:space="preserve">las garantías, si estas cumplen con lo establecido en la norma. </w:t>
      </w:r>
      <w:r w:rsidR="004E09F4" w:rsidRPr="00952D37">
        <w:rPr>
          <w:rFonts w:ascii="Arial" w:eastAsia="Calibri" w:hAnsi="Arial" w:cs="Arial"/>
          <w:color w:val="000000"/>
          <w:sz w:val="22"/>
          <w:lang w:val="es-ES_tradnl" w:eastAsia="en-GB"/>
        </w:rPr>
        <w:t>Esta manifestación de voluntad debe estar precedida de un completo análisis de las condiciones de expedición de la garantía, según el mecanismo de cobertura del riesgo de que se trate –póliza de seguro, contrato de fiducia mercantil o garantía bancaria–. De manera que, para emitir el acto de aprobación de la garantía el funcionario encargado de ello debe cerciorarse de que la descripción de los amparos, el valor, la vigencia y los demás datos del documento, cumplen las exigencias normativas y contractuales</w:t>
      </w:r>
      <w:r w:rsidR="00972E83">
        <w:rPr>
          <w:rFonts w:ascii="Arial" w:eastAsia="Calibri" w:hAnsi="Arial" w:cs="Arial"/>
          <w:color w:val="000000"/>
          <w:sz w:val="22"/>
          <w:lang w:val="es-ES_tradnl" w:eastAsia="en-GB"/>
        </w:rPr>
        <w:t xml:space="preserve">. </w:t>
      </w:r>
    </w:p>
    <w:p w14:paraId="5E9782DE" w14:textId="1DD3A3F2" w:rsidR="00972E83" w:rsidRDefault="00972E83" w:rsidP="00972E83">
      <w:pPr>
        <w:spacing w:after="120" w:line="276" w:lineRule="auto"/>
        <w:ind w:firstLine="709"/>
        <w:jc w:val="both"/>
        <w:rPr>
          <w:rFonts w:ascii="Arial" w:hAnsi="Arial" w:cs="Arial"/>
          <w:bCs/>
          <w:color w:val="000000" w:themeColor="text1"/>
          <w:sz w:val="22"/>
          <w:lang w:val="es-ES_tradnl" w:eastAsia="es-MX"/>
        </w:rPr>
      </w:pPr>
      <w:r>
        <w:rPr>
          <w:rFonts w:ascii="Arial" w:hAnsi="Arial" w:cs="Arial"/>
          <w:bCs/>
          <w:color w:val="000000" w:themeColor="text1"/>
          <w:sz w:val="22"/>
          <w:lang w:val="es-ES_tradnl"/>
        </w:rPr>
        <w:t xml:space="preserve">Ahora bien, tratándose de la vigencia de la garantía </w:t>
      </w:r>
      <w:r w:rsidR="00DD59D7">
        <w:rPr>
          <w:rFonts w:ascii="Arial" w:hAnsi="Arial" w:cs="Arial"/>
          <w:bCs/>
          <w:color w:val="000000" w:themeColor="text1"/>
          <w:sz w:val="22"/>
          <w:lang w:val="es-ES_tradnl"/>
        </w:rPr>
        <w:t>relacionada con el</w:t>
      </w:r>
      <w:r>
        <w:rPr>
          <w:rFonts w:ascii="Arial" w:hAnsi="Arial" w:cs="Arial"/>
          <w:bCs/>
          <w:color w:val="000000" w:themeColor="text1"/>
          <w:sz w:val="22"/>
          <w:lang w:val="es-ES_tradnl"/>
        </w:rPr>
        <w:t xml:space="preserve">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758456D6" w14:textId="77777777" w:rsidR="00972E83" w:rsidRDefault="00972E83" w:rsidP="00972E83">
      <w:pPr>
        <w:spacing w:line="276" w:lineRule="auto"/>
        <w:ind w:firstLine="708"/>
        <w:jc w:val="both"/>
        <w:rPr>
          <w:rFonts w:ascii="Arial" w:hAnsi="Arial" w:cs="Arial"/>
          <w:bCs/>
          <w:color w:val="000000" w:themeColor="text1"/>
          <w:sz w:val="22"/>
          <w:lang w:val="es-ES_tradnl"/>
        </w:rPr>
      </w:pPr>
      <w:r>
        <w:rPr>
          <w:rFonts w:ascii="Arial" w:hAnsi="Arial" w:cs="Arial"/>
          <w:bCs/>
          <w:color w:val="000000" w:themeColor="text1"/>
          <w:sz w:val="22"/>
          <w:lang w:val="es-ES_tradnl"/>
        </w:rPr>
        <w:t xml:space="preserve">Por lo tanto, la vigencia de dicha garantía no entra dentro del ámbito de discrecionalidad de la entidad contratante y, de este modo, es necesario concluir que la </w:t>
      </w:r>
      <w:r>
        <w:rPr>
          <w:rFonts w:ascii="Arial" w:hAnsi="Arial" w:cs="Arial"/>
          <w:bCs/>
          <w:color w:val="000000" w:themeColor="text1"/>
          <w:sz w:val="22"/>
          <w:lang w:val="es-ES_tradnl"/>
        </w:rPr>
        <w:lastRenderedPageBreak/>
        <w:t>garantía debe mantenerse vigente durante los plazos dispuestos para la liquidación desarrollados en el numeral anterior o hasta que esta efectivamente se realice.</w:t>
      </w:r>
    </w:p>
    <w:p w14:paraId="68021A7F" w14:textId="33BF7B17" w:rsidR="00B11081" w:rsidRDefault="00B11081" w:rsidP="00F62F6D">
      <w:pPr>
        <w:tabs>
          <w:tab w:val="left" w:pos="0"/>
        </w:tabs>
        <w:spacing w:line="276" w:lineRule="auto"/>
        <w:ind w:firstLine="709"/>
        <w:contextualSpacing/>
        <w:jc w:val="both"/>
        <w:rPr>
          <w:rFonts w:ascii="Arial" w:eastAsia="Calibri" w:hAnsi="Arial" w:cs="Arial"/>
          <w:color w:val="000000"/>
          <w:sz w:val="22"/>
          <w:lang w:val="es-ES_tradnl" w:eastAsia="en-GB"/>
        </w:rPr>
      </w:pPr>
    </w:p>
    <w:p w14:paraId="47DEA7AA" w14:textId="46B1D7CC" w:rsidR="00A37FB6" w:rsidRPr="00346CB5" w:rsidRDefault="00A37FB6" w:rsidP="00F62F6D">
      <w:pPr>
        <w:spacing w:line="276" w:lineRule="auto"/>
        <w:contextualSpacing/>
        <w:jc w:val="both"/>
        <w:rPr>
          <w:rFonts w:ascii="Arial" w:eastAsia="Calibri" w:hAnsi="Arial" w:cs="Arial"/>
          <w:color w:val="000000" w:themeColor="text1"/>
          <w:sz w:val="22"/>
          <w:szCs w:val="22"/>
          <w:lang w:val="es-ES_tradnl"/>
        </w:rPr>
      </w:pPr>
      <w:r w:rsidRPr="00346CB5">
        <w:rPr>
          <w:rFonts w:ascii="Arial" w:eastAsia="Calibri" w:hAnsi="Arial" w:cs="Arial"/>
          <w:color w:val="000000" w:themeColor="text1"/>
          <w:sz w:val="22"/>
          <w:szCs w:val="22"/>
          <w:lang w:val="es-ES_tradnl"/>
        </w:rPr>
        <w:t>Este concepto tiene el alcance previsto en el artículo 28 del Código de Procedimiento Administrativo y de lo Contencioso Administrativo</w:t>
      </w:r>
      <w:r w:rsidR="00346CB5" w:rsidRPr="00346CB5">
        <w:rPr>
          <w:rFonts w:ascii="Arial" w:eastAsia="Calibri" w:hAnsi="Arial" w:cs="Arial"/>
          <w:color w:val="000000" w:themeColor="text1"/>
          <w:sz w:val="22"/>
          <w:szCs w:val="22"/>
          <w:lang w:val="es-ES_tradnl"/>
        </w:rPr>
        <w:t xml:space="preserve"> </w:t>
      </w:r>
      <w:r w:rsidR="00346CB5" w:rsidRPr="00F62F6D">
        <w:rPr>
          <w:rFonts w:ascii="Arial" w:hAnsi="Arial" w:cs="Arial"/>
          <w:bCs/>
          <w:color w:val="000000" w:themeColor="text1"/>
          <w:sz w:val="22"/>
          <w:szCs w:val="22"/>
        </w:rPr>
        <w:t xml:space="preserve">y </w:t>
      </w:r>
      <w:r w:rsidR="00346CB5" w:rsidRPr="00F62F6D">
        <w:rPr>
          <w:rFonts w:ascii="Arial" w:hAnsi="Arial" w:cs="Arial"/>
          <w:sz w:val="22"/>
          <w:szCs w:val="22"/>
        </w:rPr>
        <w:t>las expresiones aquí utilizadas con mayúscula inicial deben ser entendidas con el significado que les otorga el artículo 2.2.1.1.1.3.1. del Decreto 1082 de 2015</w:t>
      </w:r>
      <w:r w:rsidRPr="00346CB5">
        <w:rPr>
          <w:rFonts w:ascii="Arial" w:eastAsia="Calibri" w:hAnsi="Arial" w:cs="Arial"/>
          <w:color w:val="000000" w:themeColor="text1"/>
          <w:sz w:val="22"/>
          <w:szCs w:val="22"/>
          <w:lang w:val="es-ES_tradnl"/>
        </w:rPr>
        <w:t>.</w:t>
      </w:r>
    </w:p>
    <w:p w14:paraId="43D2F84E" w14:textId="77777777" w:rsidR="00A37FB6" w:rsidRPr="003A6D10" w:rsidRDefault="00A37FB6" w:rsidP="00F62F6D">
      <w:pPr>
        <w:spacing w:line="276" w:lineRule="auto"/>
        <w:contextualSpacing/>
        <w:jc w:val="both"/>
        <w:rPr>
          <w:rFonts w:ascii="Arial" w:eastAsia="Calibri" w:hAnsi="Arial" w:cs="Arial"/>
          <w:color w:val="000000" w:themeColor="text1"/>
          <w:sz w:val="22"/>
          <w:lang w:val="es-ES_tradnl"/>
        </w:rPr>
      </w:pPr>
    </w:p>
    <w:p w14:paraId="45BCEF60" w14:textId="638358C3" w:rsidR="008A1E11" w:rsidRDefault="008A1E11" w:rsidP="008A1E11">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04597">
        <w:rPr>
          <w:rFonts w:ascii="Arial" w:hAnsi="Arial" w:cs="Arial"/>
          <w:color w:val="000000" w:themeColor="text1"/>
          <w:sz w:val="22"/>
          <w:szCs w:val="22"/>
          <w:lang w:val="es-ES_tradnl"/>
        </w:rPr>
        <w:t>Atentamente,</w:t>
      </w:r>
    </w:p>
    <w:p w14:paraId="40F122BB" w14:textId="7DCE3D5E" w:rsidR="00B353A4" w:rsidRDefault="00B353A4" w:rsidP="008A1E11">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C152C64" w14:textId="1FB46C77" w:rsidR="00B353A4" w:rsidRPr="00504597" w:rsidRDefault="00F62F6D" w:rsidP="00B353A4">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7B1D33D" wp14:editId="2C01CC57">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0D640A68" w14:textId="298C7915" w:rsidR="002739B6" w:rsidRPr="005873AF" w:rsidRDefault="002739B6" w:rsidP="002739B6">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51EFE7BC" w14:textId="77777777" w:rsidR="002739B6" w:rsidRPr="005873AF" w:rsidRDefault="002739B6" w:rsidP="002739B6">
      <w:pPr>
        <w:pStyle w:val="NormalWeb"/>
        <w:spacing w:before="0" w:beforeAutospacing="0" w:after="0" w:afterAutospacing="0" w:line="276" w:lineRule="auto"/>
        <w:jc w:val="center"/>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2739B6" w:rsidRPr="005873AF" w14:paraId="0E9922FC" w14:textId="77777777" w:rsidTr="00AD43A7">
        <w:trPr>
          <w:trHeight w:val="315"/>
        </w:trPr>
        <w:tc>
          <w:tcPr>
            <w:tcW w:w="812" w:type="dxa"/>
            <w:vAlign w:val="center"/>
            <w:hideMark/>
          </w:tcPr>
          <w:p w14:paraId="7B99FAB9" w14:textId="77777777" w:rsidR="002739B6" w:rsidRPr="005873AF" w:rsidRDefault="002739B6" w:rsidP="00AD43A7">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4B74D6E9" w14:textId="77777777" w:rsidR="00B34B7E" w:rsidRPr="004C6743" w:rsidRDefault="00B34B7E" w:rsidP="00B34B7E">
            <w:pPr>
              <w:jc w:val="both"/>
              <w:rPr>
                <w:rFonts w:ascii="Arial" w:hAnsi="Arial" w:cs="Arial"/>
                <w:color w:val="000000" w:themeColor="text1"/>
                <w:sz w:val="16"/>
                <w:szCs w:val="16"/>
                <w:lang w:val="es-ES_tradnl" w:eastAsia="es-ES"/>
              </w:rPr>
            </w:pPr>
            <w:r w:rsidRPr="004C6743">
              <w:rPr>
                <w:rFonts w:ascii="Arial" w:hAnsi="Arial" w:cs="Arial"/>
                <w:color w:val="000000" w:themeColor="text1"/>
                <w:sz w:val="16"/>
                <w:szCs w:val="16"/>
                <w:lang w:val="es-ES_tradnl" w:eastAsia="es-ES"/>
              </w:rPr>
              <w:t>Edwin Johan Chocontá Quintero</w:t>
            </w:r>
          </w:p>
          <w:p w14:paraId="440BAA82" w14:textId="5C658867" w:rsidR="002739B6" w:rsidRPr="00E21A8A" w:rsidRDefault="00B34B7E" w:rsidP="00B34B7E">
            <w:pPr>
              <w:jc w:val="both"/>
              <w:rPr>
                <w:rFonts w:ascii="Arial" w:hAnsi="Arial" w:cs="Arial"/>
                <w:color w:val="000000" w:themeColor="text1"/>
                <w:sz w:val="16"/>
                <w:szCs w:val="16"/>
                <w:lang w:val="es-ES_tradnl" w:eastAsia="es-ES"/>
              </w:rPr>
            </w:pPr>
            <w:r w:rsidRPr="004C6743">
              <w:rPr>
                <w:rFonts w:ascii="Arial" w:hAnsi="Arial" w:cs="Arial"/>
                <w:color w:val="000000" w:themeColor="text1"/>
                <w:sz w:val="16"/>
                <w:szCs w:val="16"/>
                <w:lang w:val="es-ES_tradnl" w:eastAsia="es-ES"/>
              </w:rPr>
              <w:t>Analista T2 – 02 de la Subdirección de Gestión Contractual</w:t>
            </w:r>
          </w:p>
        </w:tc>
      </w:tr>
      <w:tr w:rsidR="002739B6" w:rsidRPr="005873AF" w14:paraId="441DBE3F" w14:textId="77777777" w:rsidTr="00AD43A7">
        <w:trPr>
          <w:trHeight w:val="330"/>
        </w:trPr>
        <w:tc>
          <w:tcPr>
            <w:tcW w:w="812" w:type="dxa"/>
            <w:vAlign w:val="center"/>
            <w:hideMark/>
          </w:tcPr>
          <w:p w14:paraId="23DFC449" w14:textId="77777777" w:rsidR="002739B6" w:rsidRPr="005873AF" w:rsidRDefault="002739B6" w:rsidP="00AD43A7">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321A3F5C" w14:textId="5B4540E5" w:rsidR="00320DC3" w:rsidRPr="00320DC3" w:rsidRDefault="00C71D90" w:rsidP="00320DC3">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Diana Lucia Saavedra Castañeda</w:t>
            </w:r>
          </w:p>
          <w:p w14:paraId="1498C72D" w14:textId="0AD7840F" w:rsidR="002739B6" w:rsidRPr="00E21A8A" w:rsidRDefault="00C71D90" w:rsidP="00320DC3">
            <w:pPr>
              <w:jc w:val="both"/>
              <w:rPr>
                <w:rFonts w:ascii="Arial" w:hAnsi="Arial" w:cs="Arial"/>
                <w:color w:val="000000" w:themeColor="text1"/>
                <w:sz w:val="16"/>
                <w:szCs w:val="16"/>
                <w:highlight w:val="yellow"/>
                <w:lang w:val="es-ES_tradnl" w:eastAsia="es-ES"/>
              </w:rPr>
            </w:pPr>
            <w:r>
              <w:rPr>
                <w:rFonts w:ascii="Arial" w:hAnsi="Arial" w:cs="Arial"/>
                <w:color w:val="000000" w:themeColor="text1"/>
                <w:sz w:val="16"/>
                <w:szCs w:val="16"/>
                <w:lang w:val="es-ES_tradnl" w:eastAsia="es-ES"/>
              </w:rPr>
              <w:t>Contratista</w:t>
            </w:r>
            <w:r w:rsidR="00320DC3" w:rsidRPr="00320DC3">
              <w:rPr>
                <w:rFonts w:ascii="Arial" w:hAnsi="Arial" w:cs="Arial"/>
                <w:color w:val="000000" w:themeColor="text1"/>
                <w:sz w:val="16"/>
                <w:szCs w:val="16"/>
                <w:lang w:val="es-ES_tradnl" w:eastAsia="es-ES"/>
              </w:rPr>
              <w:t xml:space="preserve"> de la Subdirección de Gestión Contractual</w:t>
            </w:r>
          </w:p>
        </w:tc>
      </w:tr>
      <w:tr w:rsidR="002739B6" w:rsidRPr="006A6B87" w14:paraId="7D64580B" w14:textId="77777777" w:rsidTr="00AD43A7">
        <w:trPr>
          <w:trHeight w:val="300"/>
        </w:trPr>
        <w:tc>
          <w:tcPr>
            <w:tcW w:w="812" w:type="dxa"/>
            <w:vAlign w:val="center"/>
            <w:hideMark/>
          </w:tcPr>
          <w:p w14:paraId="441859DE" w14:textId="77777777" w:rsidR="002739B6" w:rsidRPr="005873AF" w:rsidRDefault="002739B6" w:rsidP="00AD43A7">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5432A610" w14:textId="77777777" w:rsidR="00103EB6" w:rsidRPr="00103EB6" w:rsidRDefault="00103EB6" w:rsidP="00103EB6">
            <w:pPr>
              <w:rPr>
                <w:rFonts w:ascii="Arial" w:eastAsia="Calibri" w:hAnsi="Arial" w:cs="Arial"/>
                <w:sz w:val="16"/>
                <w:szCs w:val="16"/>
                <w:lang w:val="pt-BR" w:eastAsia="es-ES"/>
              </w:rPr>
            </w:pPr>
            <w:r w:rsidRPr="00103EB6">
              <w:rPr>
                <w:rFonts w:ascii="Arial" w:eastAsia="Calibri" w:hAnsi="Arial" w:cs="Arial"/>
                <w:sz w:val="16"/>
                <w:szCs w:val="16"/>
                <w:lang w:val="pt-BR" w:eastAsia="es-ES"/>
              </w:rPr>
              <w:t>Nohelia del Carmen Zawady Palacio</w:t>
            </w:r>
          </w:p>
          <w:p w14:paraId="2AD9B793" w14:textId="3619905A" w:rsidR="002739B6" w:rsidRPr="00E21A8A" w:rsidRDefault="00103EB6" w:rsidP="00103EB6">
            <w:pPr>
              <w:jc w:val="both"/>
              <w:rPr>
                <w:rFonts w:ascii="Arial" w:hAnsi="Arial" w:cs="Arial"/>
                <w:color w:val="000000" w:themeColor="text1"/>
                <w:sz w:val="16"/>
                <w:szCs w:val="16"/>
                <w:lang w:val="es-ES_tradnl" w:eastAsia="es-ES"/>
              </w:rPr>
            </w:pPr>
            <w:r w:rsidRPr="00103EB6">
              <w:rPr>
                <w:rFonts w:ascii="Arial" w:eastAsia="Calibri" w:hAnsi="Arial" w:cs="Arial"/>
                <w:sz w:val="16"/>
                <w:szCs w:val="16"/>
                <w:lang w:val="pt-BR" w:eastAsia="es-ES"/>
              </w:rPr>
              <w:t>Subdirectora de Gestión Contractual</w:t>
            </w:r>
          </w:p>
        </w:tc>
      </w:tr>
    </w:tbl>
    <w:p w14:paraId="6C79F76F" w14:textId="77777777" w:rsidR="008A1E11" w:rsidRPr="00227F7A" w:rsidRDefault="008A1E11" w:rsidP="008A1E11">
      <w:pPr>
        <w:jc w:val="both"/>
        <w:rPr>
          <w:rFonts w:ascii="Arial" w:hAnsi="Arial" w:cs="Arial"/>
          <w:color w:val="000000" w:themeColor="text1"/>
        </w:rPr>
      </w:pPr>
    </w:p>
    <w:bookmarkEnd w:id="2"/>
    <w:p w14:paraId="35B56F46" w14:textId="77777777" w:rsidR="00746E08" w:rsidRPr="003A6D10" w:rsidRDefault="00746E08" w:rsidP="008A1E11">
      <w:pPr>
        <w:spacing w:line="276" w:lineRule="auto"/>
        <w:rPr>
          <w:rFonts w:ascii="Arial" w:hAnsi="Arial" w:cs="Arial"/>
          <w:color w:val="000000" w:themeColor="text1"/>
          <w:sz w:val="16"/>
          <w:szCs w:val="16"/>
          <w:lang w:val="es-ES_tradnl" w:eastAsia="es-ES"/>
        </w:rPr>
      </w:pPr>
    </w:p>
    <w:sectPr w:rsidR="00746E08" w:rsidRPr="003A6D10" w:rsidSect="00F62F6D">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301A1" w14:textId="77777777" w:rsidR="00C3266E" w:rsidRDefault="00C3266E">
      <w:r>
        <w:separator/>
      </w:r>
    </w:p>
  </w:endnote>
  <w:endnote w:type="continuationSeparator" w:id="0">
    <w:p w14:paraId="0C6CBCBA" w14:textId="77777777" w:rsidR="00C3266E" w:rsidRDefault="00C32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C42FB" w:rsidRDefault="001C42FB" w:rsidP="00322937">
    <w:pPr>
      <w:pStyle w:val="Sinespaciado"/>
      <w:jc w:val="right"/>
      <w:rPr>
        <w:rFonts w:ascii="Arial" w:hAnsi="Arial" w:cs="Arial"/>
        <w:sz w:val="18"/>
        <w:szCs w:val="18"/>
      </w:rPr>
    </w:pPr>
  </w:p>
  <w:p w14:paraId="7A3785F3" w14:textId="1A8E0FDC" w:rsidR="001C42FB" w:rsidRPr="008217B7" w:rsidRDefault="001C42F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74DD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74DD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1C42FB" w:rsidRDefault="001C42FB" w:rsidP="00322937">
    <w:pPr>
      <w:pStyle w:val="Piedepgina"/>
      <w:jc w:val="center"/>
      <w:rPr>
        <w:lang w:val="es-ES"/>
      </w:rPr>
    </w:pPr>
    <w:r>
      <w:rPr>
        <w:noProof/>
        <w:lang w:val="en-US" w:eastAsia="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C42FB" w:rsidRDefault="001C42FB" w:rsidP="007B0854">
    <w:pPr>
      <w:pStyle w:val="Piedepgina"/>
      <w:jc w:val="center"/>
      <w:rPr>
        <w:lang w:val="es-ES"/>
      </w:rPr>
    </w:pPr>
  </w:p>
  <w:p w14:paraId="6C0EFC49" w14:textId="77777777" w:rsidR="001C42FB" w:rsidRPr="007B0854" w:rsidRDefault="001C42F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E9353" w14:textId="77777777" w:rsidR="00C3266E" w:rsidRDefault="00C3266E">
      <w:r>
        <w:separator/>
      </w:r>
    </w:p>
  </w:footnote>
  <w:footnote w:type="continuationSeparator" w:id="0">
    <w:p w14:paraId="120962E8" w14:textId="77777777" w:rsidR="00C3266E" w:rsidRDefault="00C3266E">
      <w:r>
        <w:continuationSeparator/>
      </w:r>
    </w:p>
  </w:footnote>
  <w:footnote w:id="1">
    <w:p w14:paraId="07BA912C" w14:textId="574A7E31" w:rsidR="00901E75" w:rsidRDefault="00901E75" w:rsidP="00901E75">
      <w:pPr>
        <w:pStyle w:val="Textonotapie"/>
        <w:ind w:firstLine="708"/>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F677F">
        <w:rPr>
          <w:rFonts w:ascii="Arial" w:hAnsi="Arial" w:cs="Arial"/>
          <w:i/>
          <w:iCs/>
          <w:color w:val="000000" w:themeColor="text1"/>
          <w:sz w:val="19"/>
          <w:szCs w:val="19"/>
        </w:rPr>
        <w:t xml:space="preserve">ibidem </w:t>
      </w:r>
      <w:r w:rsidRPr="009F677F">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FD81250" w14:textId="77777777" w:rsidR="00972E83" w:rsidRPr="009F677F" w:rsidRDefault="00972E83" w:rsidP="00901E75">
      <w:pPr>
        <w:pStyle w:val="Textonotapie"/>
        <w:ind w:firstLine="708"/>
        <w:jc w:val="both"/>
        <w:rPr>
          <w:rFonts w:ascii="Arial" w:hAnsi="Arial" w:cs="Arial"/>
          <w:color w:val="000000" w:themeColor="text1"/>
          <w:sz w:val="19"/>
          <w:szCs w:val="19"/>
          <w:lang w:val="es-ES"/>
        </w:rPr>
      </w:pPr>
    </w:p>
  </w:footnote>
  <w:footnote w:id="2">
    <w:p w14:paraId="03EB8CF2" w14:textId="77777777" w:rsidR="00972E83" w:rsidRPr="008338E8" w:rsidRDefault="00972E83" w:rsidP="00972E83">
      <w:pPr>
        <w:pStyle w:val="Textonotapie"/>
        <w:ind w:firstLine="709"/>
        <w:contextualSpacing/>
        <w:jc w:val="both"/>
        <w:rPr>
          <w:rFonts w:ascii="Arial" w:hAnsi="Arial" w:cs="Arial"/>
          <w:sz w:val="18"/>
          <w:szCs w:val="18"/>
        </w:rPr>
      </w:pPr>
      <w:r w:rsidRPr="00F62F6D">
        <w:rPr>
          <w:rStyle w:val="Refdenotaalpie"/>
          <w:rFonts w:ascii="Arial" w:hAnsi="Arial" w:cs="Arial"/>
        </w:rPr>
        <w:footnoteRef/>
      </w:r>
      <w:r>
        <w:t xml:space="preserve"> </w:t>
      </w:r>
      <w:r w:rsidRPr="008338E8">
        <w:rPr>
          <w:rFonts w:ascii="Arial" w:hAnsi="Arial" w:cs="Arial"/>
          <w:sz w:val="18"/>
          <w:szCs w:val="18"/>
        </w:rPr>
        <w:t xml:space="preserve">Estos conceptos pueden ser consultados en: </w:t>
      </w:r>
      <w:hyperlink r:id="rId1" w:history="1">
        <w:r w:rsidRPr="0020696C">
          <w:rPr>
            <w:rStyle w:val="Hipervnculo"/>
            <w:rFonts w:ascii="Arial" w:hAnsi="Arial" w:cs="Arial"/>
            <w:sz w:val="18"/>
            <w:szCs w:val="18"/>
          </w:rPr>
          <w:t>https://relatoria.colombiacompra.gov.co/busqueda/conceptos#</w:t>
        </w:r>
      </w:hyperlink>
    </w:p>
    <w:p w14:paraId="3564B217" w14:textId="7E8ADC9A" w:rsidR="00972E83" w:rsidRPr="00F62F6D" w:rsidRDefault="00972E83">
      <w:pPr>
        <w:pStyle w:val="Textonotapie"/>
        <w:rPr>
          <w:lang w:val="es-MX"/>
        </w:rPr>
      </w:pPr>
    </w:p>
  </w:footnote>
  <w:footnote w:id="3">
    <w:p w14:paraId="1B5FFE15"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4CA32ED7"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»En consecuencia, la Entidad Estatal en los pliegos de condiciones para la Contratación debe indicar las garantías que exige en cada Etapa del Contrato o cada Periodo Contractual así: </w:t>
      </w:r>
    </w:p>
    <w:p w14:paraId="2B48C553"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21C6C51D"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6184B9B5"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3BD53C3B"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p w14:paraId="7E74775A" w14:textId="77777777" w:rsidR="00901E75" w:rsidRPr="00692DC1" w:rsidRDefault="00901E75" w:rsidP="00901E75">
      <w:pPr>
        <w:pStyle w:val="Textonotapie"/>
        <w:jc w:val="both"/>
        <w:rPr>
          <w:rFonts w:ascii="Arial" w:hAnsi="Arial" w:cs="Arial"/>
          <w:color w:val="000000" w:themeColor="text1"/>
          <w:sz w:val="18"/>
          <w:szCs w:val="18"/>
        </w:rPr>
      </w:pPr>
    </w:p>
  </w:footnote>
  <w:footnote w:id="4">
    <w:p w14:paraId="5513A251"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«Artículo 2.2.1.2.3.1.7. Garantía de cumplimiento. La garantía de cumplimiento del contrato debe cubrir: </w:t>
      </w:r>
    </w:p>
    <w:p w14:paraId="6D46E98B" w14:textId="77777777" w:rsidR="00901E75" w:rsidRPr="00692DC1" w:rsidRDefault="00901E75" w:rsidP="00901E75">
      <w:pPr>
        <w:pStyle w:val="Textonotapie"/>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547A7DD2"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»2. Devolución del pago anticipado. Este amparo cubre los perjuicios sufridos por la Entidad Estatal por la no devolución total o parcial del dinero entregado al contratista a título de pago anticipado, cuando a ello hubiere lugar. </w:t>
      </w:r>
    </w:p>
    <w:p w14:paraId="7A39B2BC"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»3. Cumplimiento del contrato. Este amparo cubre a la Entidad Estatal de los perjuicios derivados de: </w:t>
      </w:r>
    </w:p>
    <w:p w14:paraId="128AC126" w14:textId="77777777" w:rsidR="00901E75" w:rsidRPr="00692DC1" w:rsidRDefault="00901E75" w:rsidP="00901E75">
      <w:pPr>
        <w:pStyle w:val="Textonotapie"/>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ab/>
        <w:t xml:space="preserve">»3.1. El incumplimiento total o parcial del contrato, cuando el incumplimiento es imputable al contratista; </w:t>
      </w:r>
    </w:p>
    <w:p w14:paraId="7020832D" w14:textId="77777777" w:rsidR="00901E75" w:rsidRPr="00692DC1" w:rsidRDefault="00901E75" w:rsidP="00901E75">
      <w:pPr>
        <w:pStyle w:val="Textonotapie"/>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ab/>
        <w:t xml:space="preserve">»3.2. El cumplimiento tardío o defectuoso del contrato, cuando el incumplimiento es imputable al contratista; </w:t>
      </w:r>
    </w:p>
    <w:p w14:paraId="2A555447"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»3.3. Los daños imputables al contratista por entregas parciales de la obra, cuando el contrato no prevé entregas parciales; y </w:t>
      </w:r>
    </w:p>
    <w:p w14:paraId="268EF63F"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»3.4. El pago del valor de las multas y de la cláusula penal pecuniaria. </w:t>
      </w:r>
    </w:p>
    <w:p w14:paraId="5589892E"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18608FB1"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»La Entidad Estatal no debe exigir una garantía para cubrir este Riesgo en los contratos que se ejecuten fuera del territorio nacional con personal contratado bajo un régimen jurídico distinto al colombiano. </w:t>
      </w:r>
    </w:p>
    <w:p w14:paraId="4B7534F1"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»5. Estabilidad y calidad de la obra. Este amparo cubre a la Entidad Estatal de los perjuicios ocasionados por cualquier tipo de daño o deterioro, imputable al contratista, sufrido por la obra entregada a satisfacción. </w:t>
      </w:r>
    </w:p>
    <w:p w14:paraId="6A7CF1DE"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»6. Calidad del servicio. Este amparo cubre a la Entidad Estatal por los perjuicios derivados de la deficiente calidad del servicio prestado. </w:t>
      </w:r>
    </w:p>
    <w:p w14:paraId="5657B633"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»7. Calidad y correcto funcionamiento de los bienes. Este amparo debe cubrir la calidad y el correcto funcionamiento de los bienes que recibe la Entidad Estatal en cumplimiento de un contrato. </w:t>
      </w:r>
    </w:p>
    <w:p w14:paraId="7DF5B996"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»8. Los demás incumplimientos de obligaciones que la Entidad Estatal considere deben ser amparados de manera proporcional y acorde a la naturaleza del contrato».</w:t>
      </w:r>
    </w:p>
    <w:p w14:paraId="56DDA162" w14:textId="77777777" w:rsidR="00901E75" w:rsidRPr="00692DC1" w:rsidRDefault="00901E75" w:rsidP="00901E75">
      <w:pPr>
        <w:pStyle w:val="Textonotapie"/>
        <w:ind w:firstLine="708"/>
        <w:jc w:val="both"/>
        <w:rPr>
          <w:rFonts w:ascii="Arial" w:hAnsi="Arial" w:cs="Arial"/>
          <w:color w:val="000000" w:themeColor="text1"/>
          <w:sz w:val="18"/>
          <w:szCs w:val="18"/>
        </w:rPr>
      </w:pPr>
    </w:p>
  </w:footnote>
  <w:footnote w:id="5">
    <w:p w14:paraId="0F850A0A"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7DDEE883"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»1. Si el valor del contrato es superior a un millón (1.000.000) de smmlv y hasta cinco millones (5.000.000) de smmlv, la Entidad Estatal puede aceptar garantías que cubran al menos el dos punto cinco por ciento (2,5%) del valor del contrato. </w:t>
      </w:r>
    </w:p>
    <w:p w14:paraId="6B8AE359"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»2. Si el valor del contrato es superior a cinco millones (5.000.000) de smmlv y hasta diez millones (10.000.000) de smmlv, la Entidad Estatal puede aceptar garantías que cubran al menos el uno por ciento (1%) del valor del contrato. </w:t>
      </w:r>
    </w:p>
    <w:p w14:paraId="4A40AD9D"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»3. Si el valor del contrato es superior a diez millones (10.000.000) de smmlv, la Entidad Estatal puede aceptar garantías que cubran al menos el cero punto cinco por ciento (0,5%) del valor del contrato.</w:t>
      </w:r>
    </w:p>
    <w:p w14:paraId="2E51499C"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»4. Colombia Compra Eficiente debe determinar el valor de la garantía única de cumplimiento del Acuerdo Marco de Precios de acuerdo con el objeto, el valor, la naturaleza y las obligaciones contenidas en este».</w:t>
      </w:r>
    </w:p>
  </w:footnote>
  <w:footnote w:id="6">
    <w:p w14:paraId="7F81BCE3" w14:textId="77777777" w:rsidR="00901E75" w:rsidRPr="00692DC1" w:rsidRDefault="00901E75" w:rsidP="00901E75">
      <w:pPr>
        <w:pStyle w:val="NormalWeb"/>
        <w:spacing w:before="0" w:beforeAutospacing="0" w:after="0" w:afterAutospacing="0"/>
        <w:ind w:firstLine="708"/>
        <w:jc w:val="both"/>
        <w:rPr>
          <w:rFonts w:ascii="Arial" w:hAnsi="Arial" w:cs="Arial"/>
          <w:color w:val="000000" w:themeColor="text1"/>
          <w:sz w:val="18"/>
          <w:szCs w:val="18"/>
        </w:rPr>
      </w:pPr>
    </w:p>
    <w:p w14:paraId="2F383ACA" w14:textId="77777777" w:rsidR="00901E75" w:rsidRPr="00692DC1" w:rsidRDefault="00901E75" w:rsidP="00901E75">
      <w:pPr>
        <w:pStyle w:val="NormalWeb"/>
        <w:spacing w:before="0" w:beforeAutospacing="0" w:after="0" w:afterAutospacing="0"/>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w:t>
      </w:r>
      <w:r w:rsidRPr="00692DC1">
        <w:rPr>
          <w:rStyle w:val="Textoennegrita"/>
          <w:rFonts w:ascii="Arial" w:hAnsi="Arial" w:cs="Arial"/>
          <w:b w:val="0"/>
          <w:bCs w:val="0"/>
          <w:color w:val="000000" w:themeColor="text1"/>
          <w:sz w:val="18"/>
          <w:szCs w:val="18"/>
        </w:rPr>
        <w:t>Artículo 41.</w:t>
      </w:r>
      <w:r w:rsidRPr="00692DC1">
        <w:rPr>
          <w:rFonts w:ascii="Arial" w:hAnsi="Arial" w:cs="Arial"/>
          <w:color w:val="000000" w:themeColor="text1"/>
          <w:sz w:val="18"/>
          <w:szCs w:val="18"/>
        </w:rPr>
        <w:t> Los contratos del Estado se perfeccionan cuando se logre acuerdo sobre el objeto y la contraprestación y éste se eleve a escrito. </w:t>
      </w:r>
    </w:p>
    <w:p w14:paraId="1B3427A2" w14:textId="77777777" w:rsidR="00901E75" w:rsidRPr="00692DC1" w:rsidRDefault="00901E75" w:rsidP="00901E75">
      <w:pPr>
        <w:pStyle w:val="NormalWeb"/>
        <w:spacing w:before="0" w:beforeAutospacing="0" w:after="0" w:afterAutospacing="0"/>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3AE139EF" w14:textId="77777777" w:rsidR="00901E75" w:rsidRPr="00692DC1" w:rsidRDefault="00901E75" w:rsidP="00901E75">
      <w:pPr>
        <w:pStyle w:val="NormalWeb"/>
        <w:spacing w:before="0" w:beforeAutospacing="0" w:after="0" w:afterAutospacing="0"/>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»Los contratos estatales son </w:t>
      </w:r>
      <w:r w:rsidRPr="00692DC1">
        <w:rPr>
          <w:rStyle w:val="nfasis"/>
          <w:rFonts w:ascii="Arial" w:hAnsi="Arial" w:cs="Arial"/>
          <w:color w:val="000000" w:themeColor="text1"/>
          <w:sz w:val="18"/>
          <w:szCs w:val="18"/>
        </w:rPr>
        <w:t>intuito personae</w:t>
      </w:r>
      <w:r w:rsidRPr="00692DC1">
        <w:rPr>
          <w:rFonts w:ascii="Arial" w:hAnsi="Arial" w:cs="Arial"/>
          <w:color w:val="000000" w:themeColor="text1"/>
          <w:sz w:val="18"/>
          <w:szCs w:val="18"/>
        </w:rPr>
        <w:t> y, en consecuencia, una vez celebrados no podrán cederse sin previa autorización escrita de la entidad contratante. […]».</w:t>
      </w:r>
    </w:p>
    <w:p w14:paraId="6D78559F" w14:textId="77777777" w:rsidR="00901E75" w:rsidRPr="00692DC1" w:rsidRDefault="00901E75" w:rsidP="00901E75">
      <w:pPr>
        <w:pStyle w:val="NormalWeb"/>
        <w:spacing w:before="0" w:beforeAutospacing="0" w:after="0" w:afterAutospacing="0"/>
        <w:jc w:val="both"/>
        <w:rPr>
          <w:rFonts w:ascii="Arial" w:hAnsi="Arial" w:cs="Arial"/>
          <w:color w:val="000000" w:themeColor="text1"/>
          <w:sz w:val="18"/>
          <w:szCs w:val="18"/>
        </w:rPr>
      </w:pPr>
    </w:p>
  </w:footnote>
  <w:footnote w:id="7">
    <w:p w14:paraId="3C799FC3"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Consejo de Estado, Sección Tercera, Subsección B. Sentencia de 28 de junio de 2012. Radicación número: 25000-23-26-000-1997-05346-01(23966). C.P: Stella Conto Diaz Del Castillo.</w:t>
      </w:r>
    </w:p>
    <w:p w14:paraId="20F2BE01" w14:textId="77777777" w:rsidR="00901E75" w:rsidRPr="00692DC1" w:rsidRDefault="00901E75" w:rsidP="00901E75">
      <w:pPr>
        <w:pStyle w:val="Textonotapie"/>
        <w:ind w:firstLine="708"/>
        <w:jc w:val="both"/>
        <w:rPr>
          <w:rFonts w:ascii="Arial" w:hAnsi="Arial" w:cs="Arial"/>
          <w:color w:val="000000" w:themeColor="text1"/>
          <w:sz w:val="18"/>
          <w:szCs w:val="18"/>
        </w:rPr>
      </w:pPr>
    </w:p>
  </w:footnote>
  <w:footnote w:id="8">
    <w:p w14:paraId="1B6FEEC1"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«Artículo 25. Del principio de economía. En virtud de este principio: </w:t>
      </w:r>
    </w:p>
    <w:p w14:paraId="3027130B"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p>
    <w:p w14:paraId="661257EC" w14:textId="77777777" w:rsidR="00901E75" w:rsidRPr="00692DC1" w:rsidRDefault="00901E75" w:rsidP="00901E75">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  4o. Los trámites se adelantarán con austeridad de tiempo, medios y gastos y se impedirán las dilaciones y los retardos en la ejecución del contrato». </w:t>
      </w:r>
    </w:p>
  </w:footnote>
  <w:footnote w:id="9">
    <w:p w14:paraId="68C3EB26" w14:textId="77777777" w:rsidR="00901E75" w:rsidRPr="007B456A" w:rsidRDefault="00901E75" w:rsidP="00901E75">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w:t>
      </w:r>
      <w:r w:rsidRPr="007B456A">
        <w:rPr>
          <w:rFonts w:ascii="Arial" w:hAnsi="Arial" w:cs="Arial"/>
          <w:sz w:val="19"/>
          <w:szCs w:val="19"/>
          <w:lang w:val="es-ES"/>
        </w:rPr>
        <w:t>Expósito, Op.cit., p. 79.</w:t>
      </w:r>
    </w:p>
    <w:p w14:paraId="3F20F8A8" w14:textId="77777777" w:rsidR="00901E75" w:rsidRPr="007B456A" w:rsidRDefault="00901E75" w:rsidP="00901E75">
      <w:pPr>
        <w:pStyle w:val="Textonotapie"/>
        <w:ind w:firstLine="709"/>
        <w:jc w:val="both"/>
        <w:rPr>
          <w:rFonts w:ascii="Arial" w:hAnsi="Arial" w:cs="Arial"/>
          <w:sz w:val="19"/>
          <w:szCs w:val="19"/>
          <w:lang w:val="es-ES"/>
        </w:rPr>
      </w:pPr>
    </w:p>
  </w:footnote>
  <w:footnote w:id="10">
    <w:p w14:paraId="6EF0156D" w14:textId="77777777" w:rsidR="00901E75" w:rsidRPr="007B456A" w:rsidRDefault="00901E75" w:rsidP="00901E75">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w:t>
      </w:r>
      <w:r w:rsidRPr="007B456A">
        <w:rPr>
          <w:rFonts w:ascii="Arial" w:hAnsi="Arial" w:cs="Arial"/>
          <w:sz w:val="19"/>
          <w:szCs w:val="19"/>
          <w:lang w:val="es-ES"/>
        </w:rPr>
        <w:t>Consejo de Estado. Sección Tercera. Subsección A. Sentencia del 10 de julio de 2013. Consejero Ponente: Mauricio Fajardo Gómez. Expediente: 27.816.</w:t>
      </w:r>
    </w:p>
    <w:p w14:paraId="0B72F2FB" w14:textId="77777777" w:rsidR="00901E75" w:rsidRPr="007B456A" w:rsidRDefault="00901E75" w:rsidP="00901E75">
      <w:pPr>
        <w:pStyle w:val="Textonotapie"/>
        <w:ind w:firstLine="709"/>
        <w:jc w:val="both"/>
        <w:rPr>
          <w:rFonts w:ascii="Arial" w:hAnsi="Arial" w:cs="Arial"/>
          <w:sz w:val="19"/>
          <w:szCs w:val="19"/>
          <w:lang w:val="es-ES"/>
        </w:rPr>
      </w:pPr>
    </w:p>
  </w:footnote>
  <w:footnote w:id="11">
    <w:p w14:paraId="53E04EBD" w14:textId="77777777" w:rsidR="00901E75" w:rsidRPr="007B456A" w:rsidRDefault="00901E75" w:rsidP="00901E75">
      <w:pPr>
        <w:pStyle w:val="Textonotapie"/>
        <w:ind w:firstLine="709"/>
        <w:jc w:val="both"/>
        <w:rPr>
          <w:rFonts w:ascii="Arial" w:hAnsi="Arial" w:cs="Arial"/>
          <w:sz w:val="19"/>
          <w:szCs w:val="19"/>
        </w:rPr>
      </w:pPr>
      <w:r w:rsidRPr="007B456A">
        <w:rPr>
          <w:rStyle w:val="Refdenotaalpie"/>
          <w:rFonts w:ascii="Arial" w:hAnsi="Arial" w:cs="Arial"/>
          <w:sz w:val="19"/>
          <w:szCs w:val="19"/>
        </w:rPr>
        <w:footnoteRef/>
      </w:r>
      <w:r w:rsidRPr="007B456A">
        <w:rPr>
          <w:rFonts w:ascii="Arial" w:hAnsi="Arial" w:cs="Arial"/>
          <w:sz w:val="19"/>
          <w:szCs w:val="19"/>
        </w:rPr>
        <w:t xml:space="preserve"> Este artículo dispone: «Los contratistas prestarán garantía única para el cumplimiento de las obligaciones surgidas del contrato. Los proponentes prestarán garantía de seriedad de los ofrecimientos hechos.</w:t>
      </w:r>
    </w:p>
    <w:p w14:paraId="5F399468" w14:textId="77777777" w:rsidR="00901E75" w:rsidRPr="007B456A" w:rsidRDefault="00901E75" w:rsidP="00901E75">
      <w:pPr>
        <w:pStyle w:val="Textonotapie"/>
        <w:ind w:firstLine="709"/>
        <w:jc w:val="both"/>
        <w:rPr>
          <w:rFonts w:ascii="Arial" w:hAnsi="Arial" w:cs="Arial"/>
          <w:sz w:val="19"/>
          <w:szCs w:val="19"/>
        </w:rPr>
      </w:pPr>
      <w:r w:rsidRPr="007B456A">
        <w:rPr>
          <w:rFonts w:ascii="Arial" w:hAnsi="Arial" w:cs="Arial"/>
          <w:sz w:val="19"/>
          <w:szCs w:val="19"/>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14:paraId="3EFF3B43" w14:textId="77777777" w:rsidR="00901E75" w:rsidRPr="007B456A" w:rsidRDefault="00901E75" w:rsidP="00901E75">
      <w:pPr>
        <w:pStyle w:val="Textonotapie"/>
        <w:ind w:firstLine="709"/>
        <w:jc w:val="both"/>
        <w:rPr>
          <w:rFonts w:ascii="Arial" w:hAnsi="Arial" w:cs="Arial"/>
          <w:sz w:val="19"/>
          <w:szCs w:val="19"/>
        </w:rPr>
      </w:pPr>
      <w:r w:rsidRPr="007B456A">
        <w:rPr>
          <w:rFonts w:ascii="Arial" w:hAnsi="Arial" w:cs="Arial"/>
          <w:sz w:val="19"/>
          <w:szCs w:val="19"/>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60915F3E" w14:textId="77777777" w:rsidR="00901E75" w:rsidRPr="007B456A" w:rsidRDefault="00901E75" w:rsidP="00901E75">
      <w:pPr>
        <w:pStyle w:val="Textonotapie"/>
        <w:ind w:firstLine="709"/>
        <w:jc w:val="both"/>
        <w:rPr>
          <w:rFonts w:ascii="Arial" w:hAnsi="Arial" w:cs="Arial"/>
          <w:sz w:val="19"/>
          <w:szCs w:val="19"/>
        </w:rPr>
      </w:pPr>
      <w:r w:rsidRPr="007B456A">
        <w:rPr>
          <w:rFonts w:ascii="Arial" w:hAnsi="Arial" w:cs="Arial"/>
          <w:sz w:val="19"/>
          <w:szCs w:val="19"/>
        </w:rPr>
        <w:t>»El acaecimiento del siniestro que amparan las garantías será comunicado por la entidad pública al respectivo asegurador mediante la notificación del acto administrativo que así lo declare.</w:t>
      </w:r>
    </w:p>
    <w:p w14:paraId="43FFA890" w14:textId="77777777" w:rsidR="00901E75" w:rsidRPr="007B456A" w:rsidRDefault="00901E75" w:rsidP="00901E75">
      <w:pPr>
        <w:pStyle w:val="Textonotapie"/>
        <w:ind w:firstLine="709"/>
        <w:jc w:val="both"/>
        <w:rPr>
          <w:rFonts w:ascii="Arial" w:hAnsi="Arial" w:cs="Arial"/>
          <w:sz w:val="19"/>
          <w:szCs w:val="19"/>
        </w:rPr>
      </w:pPr>
      <w:r w:rsidRPr="007B456A">
        <w:rPr>
          <w:rFonts w:ascii="Arial" w:hAnsi="Arial" w:cs="Arial"/>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41F26A63" w14:textId="77777777" w:rsidR="00901E75" w:rsidRPr="007B456A" w:rsidRDefault="00901E75" w:rsidP="00901E75">
      <w:pPr>
        <w:pStyle w:val="Textonotapie"/>
        <w:ind w:firstLine="709"/>
        <w:jc w:val="both"/>
        <w:rPr>
          <w:rFonts w:ascii="Arial" w:hAnsi="Arial" w:cs="Arial"/>
          <w:sz w:val="19"/>
          <w:szCs w:val="19"/>
        </w:rPr>
      </w:pPr>
      <w:r w:rsidRPr="007B456A">
        <w:rPr>
          <w:rFonts w:ascii="Arial" w:hAnsi="Arial" w:cs="Arial"/>
          <w:sz w:val="19"/>
          <w:szCs w:val="19"/>
        </w:rPr>
        <w:t>»PARÁGRAFO TRANSITORIO. Durante el período que transcurra entre la entrada en vigencia de la reforma contenida en la presente ley y la expedición del decreto reglamentario a que se refiere este artículo, las entidades estatales continuarán aplicando las normas legales y reglamentarias vigentes».</w:t>
      </w:r>
    </w:p>
  </w:footnote>
  <w:footnote w:id="12">
    <w:p w14:paraId="0BE83C26" w14:textId="77777777" w:rsidR="00901E75" w:rsidRPr="007B456A" w:rsidRDefault="00901E75" w:rsidP="00901E75">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w:t>
      </w:r>
      <w:r w:rsidRPr="007B456A">
        <w:rPr>
          <w:rFonts w:ascii="Arial" w:hAnsi="Arial" w:cs="Arial"/>
          <w:color w:val="000000" w:themeColor="text1"/>
          <w:sz w:val="19"/>
          <w:szCs w:val="19"/>
          <w:lang w:val="es-ES"/>
        </w:rPr>
        <w:t xml:space="preserve">COLOMBIA COMPRA EFICIENTE. Guía de Garantías en Proceso de Contratación. Disponible en: </w:t>
      </w:r>
      <w:hyperlink r:id="rId2" w:history="1">
        <w:r w:rsidRPr="007B456A">
          <w:rPr>
            <w:rStyle w:val="Hipervnculo"/>
            <w:rFonts w:ascii="Arial" w:hAnsi="Arial" w:cs="Arial"/>
            <w:color w:val="000000" w:themeColor="text1"/>
            <w:sz w:val="19"/>
            <w:szCs w:val="19"/>
            <w:lang w:val="es-ES"/>
          </w:rPr>
          <w:t>https://www.colombiacompra.gov.co/sites/cce_public/files/cce_documents/cce_guia_garantias.pdf</w:t>
        </w:r>
      </w:hyperlink>
      <w:r w:rsidRPr="007B456A">
        <w:rPr>
          <w:rFonts w:ascii="Arial" w:hAnsi="Arial" w:cs="Arial"/>
          <w:color w:val="000000" w:themeColor="text1"/>
          <w:sz w:val="19"/>
          <w:szCs w:val="19"/>
          <w:lang w:val="es-ES"/>
        </w:rPr>
        <w:t xml:space="preserve"> </w:t>
      </w:r>
    </w:p>
    <w:p w14:paraId="67582BA9" w14:textId="77777777" w:rsidR="00901E75" w:rsidRPr="007B456A" w:rsidRDefault="00901E75" w:rsidP="00901E75">
      <w:pPr>
        <w:pStyle w:val="Textonotapie"/>
        <w:ind w:firstLine="709"/>
        <w:jc w:val="both"/>
        <w:rPr>
          <w:rFonts w:ascii="Arial" w:hAnsi="Arial" w:cs="Arial"/>
          <w:color w:val="000000" w:themeColor="text1"/>
          <w:sz w:val="19"/>
          <w:szCs w:val="19"/>
        </w:rPr>
      </w:pPr>
    </w:p>
  </w:footnote>
  <w:footnote w:id="13">
    <w:p w14:paraId="3C8FD287" w14:textId="77777777" w:rsidR="00901E75" w:rsidRPr="007B456A" w:rsidRDefault="00901E75" w:rsidP="00901E75">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w:t>
      </w:r>
      <w:r w:rsidRPr="007B456A">
        <w:rPr>
          <w:rFonts w:ascii="Arial" w:hAnsi="Arial" w:cs="Arial"/>
          <w:color w:val="000000" w:themeColor="text1"/>
          <w:sz w:val="19"/>
          <w:szCs w:val="19"/>
          <w:lang w:val="es-ES"/>
        </w:rPr>
        <w:t xml:space="preserve">COLOMBIA COMPRA EFICIENTE. Síntesis: 8. Etapa precontractual: Garantía de cumplimiento del contrato estatal. </w:t>
      </w:r>
    </w:p>
    <w:p w14:paraId="748C609A" w14:textId="77777777" w:rsidR="00901E75" w:rsidRPr="007B456A" w:rsidRDefault="00901E75" w:rsidP="00901E75">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26FB7" w14:textId="77777777" w:rsidR="002D6961" w:rsidRDefault="002D6961" w:rsidP="002D6961">
    <w:pPr>
      <w:rPr>
        <w:rFonts w:ascii="Geomanist Light" w:hAnsi="Geomanist Light"/>
        <w:color w:val="002060"/>
        <w:sz w:val="16"/>
        <w:szCs w:val="16"/>
      </w:rPr>
    </w:pPr>
  </w:p>
  <w:p w14:paraId="3D203A4A" w14:textId="77777777" w:rsidR="002D6961" w:rsidRDefault="002D6961" w:rsidP="002D6961">
    <w:pPr>
      <w:rPr>
        <w:rFonts w:ascii="Geomanist Light" w:hAnsi="Geomanist Light"/>
        <w:color w:val="002060"/>
        <w:sz w:val="16"/>
        <w:szCs w:val="16"/>
      </w:rPr>
    </w:pPr>
  </w:p>
  <w:p w14:paraId="107A7ACB" w14:textId="77777777" w:rsidR="002D6961" w:rsidRDefault="002D6961" w:rsidP="002D6961">
    <w:pPr>
      <w:rPr>
        <w:rFonts w:ascii="Geomanist Light" w:hAnsi="Geomanist Light"/>
        <w:color w:val="002060"/>
        <w:sz w:val="16"/>
        <w:szCs w:val="16"/>
      </w:rPr>
    </w:pPr>
  </w:p>
  <w:p w14:paraId="6870ABBC" w14:textId="18690892" w:rsidR="002D6961" w:rsidRPr="007566FE" w:rsidRDefault="002D6961" w:rsidP="002D6961">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7BBD50CD" wp14:editId="28D1C9A7">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45793A91" w14:textId="77777777" w:rsidR="002D6961" w:rsidRPr="007566FE" w:rsidRDefault="002D6961" w:rsidP="002D6961">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56C89C66" w14:textId="77777777" w:rsidR="002D6961" w:rsidRDefault="002D6961" w:rsidP="002D6961">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1331C4D7" wp14:editId="77593648">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6924D915" w14:textId="77777777" w:rsidR="002D6961" w:rsidRPr="007566FE" w:rsidRDefault="002D6961" w:rsidP="002D6961">
    <w:pPr>
      <w:rPr>
        <w:rFonts w:ascii="Geomanist Light" w:hAnsi="Geomanist Light"/>
        <w:color w:val="002060"/>
        <w:sz w:val="16"/>
        <w:szCs w:val="16"/>
      </w:rPr>
    </w:pPr>
  </w:p>
  <w:p w14:paraId="45A8E746" w14:textId="77777777" w:rsidR="002D6961" w:rsidRPr="00906B3C" w:rsidRDefault="002D6961" w:rsidP="002D6961">
    <w:pPr>
      <w:pStyle w:val="Encabezado"/>
      <w:ind w:left="3545" w:firstLine="709"/>
      <w:rPr>
        <w:b/>
        <w:bCs/>
        <w:color w:val="DBDBDB" w:themeColor="accent3"/>
        <w:sz w:val="18"/>
        <w:szCs w:val="18"/>
      </w:rPr>
    </w:pPr>
  </w:p>
  <w:p w14:paraId="6520770B" w14:textId="37B651E6" w:rsidR="001C42FB" w:rsidRDefault="001C42F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F2983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3"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542127754">
    <w:abstractNumId w:val="6"/>
  </w:num>
  <w:num w:numId="2" w16cid:durableId="1654530737">
    <w:abstractNumId w:val="5"/>
  </w:num>
  <w:num w:numId="3" w16cid:durableId="1716199652">
    <w:abstractNumId w:val="7"/>
  </w:num>
  <w:num w:numId="4" w16cid:durableId="1037775327">
    <w:abstractNumId w:val="9"/>
  </w:num>
  <w:num w:numId="5" w16cid:durableId="1236821590">
    <w:abstractNumId w:val="11"/>
  </w:num>
  <w:num w:numId="6" w16cid:durableId="12235626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7659346">
    <w:abstractNumId w:val="10"/>
  </w:num>
  <w:num w:numId="8" w16cid:durableId="1703507058">
    <w:abstractNumId w:val="2"/>
  </w:num>
  <w:num w:numId="9" w16cid:durableId="1457287083">
    <w:abstractNumId w:val="8"/>
  </w:num>
  <w:num w:numId="10" w16cid:durableId="2064056871">
    <w:abstractNumId w:val="4"/>
  </w:num>
  <w:num w:numId="11" w16cid:durableId="1853302095">
    <w:abstractNumId w:val="3"/>
  </w:num>
  <w:num w:numId="12" w16cid:durableId="244656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0781E"/>
    <w:rsid w:val="00010B10"/>
    <w:rsid w:val="00012514"/>
    <w:rsid w:val="000130B5"/>
    <w:rsid w:val="000139DD"/>
    <w:rsid w:val="00016848"/>
    <w:rsid w:val="0002400D"/>
    <w:rsid w:val="0002798A"/>
    <w:rsid w:val="00027C8A"/>
    <w:rsid w:val="00027EE8"/>
    <w:rsid w:val="0003193F"/>
    <w:rsid w:val="00031FA4"/>
    <w:rsid w:val="000338E3"/>
    <w:rsid w:val="00033940"/>
    <w:rsid w:val="000350CC"/>
    <w:rsid w:val="00040A6B"/>
    <w:rsid w:val="00041061"/>
    <w:rsid w:val="00042A3B"/>
    <w:rsid w:val="000434C7"/>
    <w:rsid w:val="00052B6E"/>
    <w:rsid w:val="00052E6D"/>
    <w:rsid w:val="00052F15"/>
    <w:rsid w:val="00053125"/>
    <w:rsid w:val="00053564"/>
    <w:rsid w:val="00057093"/>
    <w:rsid w:val="00057807"/>
    <w:rsid w:val="000578F3"/>
    <w:rsid w:val="00060B02"/>
    <w:rsid w:val="00062363"/>
    <w:rsid w:val="00063E76"/>
    <w:rsid w:val="000665C6"/>
    <w:rsid w:val="00072A53"/>
    <w:rsid w:val="00073B9F"/>
    <w:rsid w:val="00075060"/>
    <w:rsid w:val="00075BCA"/>
    <w:rsid w:val="00076389"/>
    <w:rsid w:val="000774D7"/>
    <w:rsid w:val="000818A5"/>
    <w:rsid w:val="00084A7B"/>
    <w:rsid w:val="00084AA0"/>
    <w:rsid w:val="00084B97"/>
    <w:rsid w:val="00085147"/>
    <w:rsid w:val="00086E70"/>
    <w:rsid w:val="00091BA4"/>
    <w:rsid w:val="00091BB9"/>
    <w:rsid w:val="000921C6"/>
    <w:rsid w:val="000942EB"/>
    <w:rsid w:val="0009525E"/>
    <w:rsid w:val="00096EE0"/>
    <w:rsid w:val="000975B0"/>
    <w:rsid w:val="000A0E2E"/>
    <w:rsid w:val="000A1341"/>
    <w:rsid w:val="000A2643"/>
    <w:rsid w:val="000A3B0F"/>
    <w:rsid w:val="000A47E4"/>
    <w:rsid w:val="000A7240"/>
    <w:rsid w:val="000A78CA"/>
    <w:rsid w:val="000B103F"/>
    <w:rsid w:val="000B173D"/>
    <w:rsid w:val="000B2134"/>
    <w:rsid w:val="000B4EEE"/>
    <w:rsid w:val="000B548C"/>
    <w:rsid w:val="000B6F0F"/>
    <w:rsid w:val="000B785C"/>
    <w:rsid w:val="000C0C50"/>
    <w:rsid w:val="000C0D40"/>
    <w:rsid w:val="000C3738"/>
    <w:rsid w:val="000C6017"/>
    <w:rsid w:val="000C781D"/>
    <w:rsid w:val="000C7BF0"/>
    <w:rsid w:val="000D568B"/>
    <w:rsid w:val="000D5857"/>
    <w:rsid w:val="000D6A76"/>
    <w:rsid w:val="000E1D29"/>
    <w:rsid w:val="000E3712"/>
    <w:rsid w:val="000E3936"/>
    <w:rsid w:val="000E5EF4"/>
    <w:rsid w:val="000E60DD"/>
    <w:rsid w:val="000E72E5"/>
    <w:rsid w:val="000E7F34"/>
    <w:rsid w:val="000F0EC8"/>
    <w:rsid w:val="000F14E8"/>
    <w:rsid w:val="000F3DDC"/>
    <w:rsid w:val="000F3EBC"/>
    <w:rsid w:val="000F4D6A"/>
    <w:rsid w:val="000F5854"/>
    <w:rsid w:val="00100285"/>
    <w:rsid w:val="00102376"/>
    <w:rsid w:val="0010298F"/>
    <w:rsid w:val="00103915"/>
    <w:rsid w:val="00103EB6"/>
    <w:rsid w:val="00106194"/>
    <w:rsid w:val="00106AFE"/>
    <w:rsid w:val="001153DC"/>
    <w:rsid w:val="001154BE"/>
    <w:rsid w:val="00116128"/>
    <w:rsid w:val="00117BBC"/>
    <w:rsid w:val="00121F63"/>
    <w:rsid w:val="00122B23"/>
    <w:rsid w:val="00122D70"/>
    <w:rsid w:val="00125012"/>
    <w:rsid w:val="001263F6"/>
    <w:rsid w:val="00130C64"/>
    <w:rsid w:val="00132207"/>
    <w:rsid w:val="001347ED"/>
    <w:rsid w:val="00134CFA"/>
    <w:rsid w:val="00135E40"/>
    <w:rsid w:val="00137FFA"/>
    <w:rsid w:val="001404D8"/>
    <w:rsid w:val="00141239"/>
    <w:rsid w:val="0014335D"/>
    <w:rsid w:val="00145D8C"/>
    <w:rsid w:val="0015046E"/>
    <w:rsid w:val="00150BAE"/>
    <w:rsid w:val="00155152"/>
    <w:rsid w:val="00157A04"/>
    <w:rsid w:val="00160A52"/>
    <w:rsid w:val="0016393C"/>
    <w:rsid w:val="001659D9"/>
    <w:rsid w:val="00165E0F"/>
    <w:rsid w:val="00166931"/>
    <w:rsid w:val="00166C87"/>
    <w:rsid w:val="00166F08"/>
    <w:rsid w:val="0016755F"/>
    <w:rsid w:val="001704FF"/>
    <w:rsid w:val="00171C8E"/>
    <w:rsid w:val="00172D04"/>
    <w:rsid w:val="00173322"/>
    <w:rsid w:val="00174C64"/>
    <w:rsid w:val="001751AB"/>
    <w:rsid w:val="001762A6"/>
    <w:rsid w:val="00177C7A"/>
    <w:rsid w:val="00177FB6"/>
    <w:rsid w:val="00181317"/>
    <w:rsid w:val="001821AC"/>
    <w:rsid w:val="00186AFF"/>
    <w:rsid w:val="00191551"/>
    <w:rsid w:val="00191592"/>
    <w:rsid w:val="0019166A"/>
    <w:rsid w:val="00192031"/>
    <w:rsid w:val="00192CFB"/>
    <w:rsid w:val="001936F0"/>
    <w:rsid w:val="0019424E"/>
    <w:rsid w:val="00196D5A"/>
    <w:rsid w:val="001975FF"/>
    <w:rsid w:val="001A0222"/>
    <w:rsid w:val="001A040D"/>
    <w:rsid w:val="001A1C00"/>
    <w:rsid w:val="001A22AC"/>
    <w:rsid w:val="001A24CC"/>
    <w:rsid w:val="001A3F0C"/>
    <w:rsid w:val="001A4995"/>
    <w:rsid w:val="001A4EB9"/>
    <w:rsid w:val="001A644A"/>
    <w:rsid w:val="001A7081"/>
    <w:rsid w:val="001A759A"/>
    <w:rsid w:val="001A79E5"/>
    <w:rsid w:val="001B0062"/>
    <w:rsid w:val="001B0444"/>
    <w:rsid w:val="001B2A80"/>
    <w:rsid w:val="001B3138"/>
    <w:rsid w:val="001C04FF"/>
    <w:rsid w:val="001C39F7"/>
    <w:rsid w:val="001C3B7E"/>
    <w:rsid w:val="001C3E04"/>
    <w:rsid w:val="001C42FB"/>
    <w:rsid w:val="001C5A2D"/>
    <w:rsid w:val="001C76E7"/>
    <w:rsid w:val="001C7A22"/>
    <w:rsid w:val="001C7FD3"/>
    <w:rsid w:val="001D07F1"/>
    <w:rsid w:val="001D1E0A"/>
    <w:rsid w:val="001D3BFA"/>
    <w:rsid w:val="001D5063"/>
    <w:rsid w:val="001D5C3D"/>
    <w:rsid w:val="001D756D"/>
    <w:rsid w:val="001E081B"/>
    <w:rsid w:val="001E0EA6"/>
    <w:rsid w:val="001E6049"/>
    <w:rsid w:val="001E60CB"/>
    <w:rsid w:val="001F34D4"/>
    <w:rsid w:val="001F39E6"/>
    <w:rsid w:val="001F48ED"/>
    <w:rsid w:val="001F7B70"/>
    <w:rsid w:val="001F7D57"/>
    <w:rsid w:val="001F7FF1"/>
    <w:rsid w:val="00205839"/>
    <w:rsid w:val="00206278"/>
    <w:rsid w:val="0020632A"/>
    <w:rsid w:val="002110EB"/>
    <w:rsid w:val="00211338"/>
    <w:rsid w:val="002117E9"/>
    <w:rsid w:val="0021415B"/>
    <w:rsid w:val="00220B18"/>
    <w:rsid w:val="002233B1"/>
    <w:rsid w:val="002264E2"/>
    <w:rsid w:val="00227F7A"/>
    <w:rsid w:val="00230C8E"/>
    <w:rsid w:val="00231820"/>
    <w:rsid w:val="00232C4B"/>
    <w:rsid w:val="002345CE"/>
    <w:rsid w:val="00234B84"/>
    <w:rsid w:val="00236952"/>
    <w:rsid w:val="00236A01"/>
    <w:rsid w:val="00240130"/>
    <w:rsid w:val="0024057C"/>
    <w:rsid w:val="00240A65"/>
    <w:rsid w:val="00240C72"/>
    <w:rsid w:val="00244E3A"/>
    <w:rsid w:val="00251F5C"/>
    <w:rsid w:val="00253927"/>
    <w:rsid w:val="00254705"/>
    <w:rsid w:val="0025616F"/>
    <w:rsid w:val="002562EA"/>
    <w:rsid w:val="00260F08"/>
    <w:rsid w:val="00261C7F"/>
    <w:rsid w:val="00270AEA"/>
    <w:rsid w:val="00270EBF"/>
    <w:rsid w:val="002739B6"/>
    <w:rsid w:val="00277FC6"/>
    <w:rsid w:val="00280D72"/>
    <w:rsid w:val="00283229"/>
    <w:rsid w:val="002908A4"/>
    <w:rsid w:val="00290BBC"/>
    <w:rsid w:val="00291F29"/>
    <w:rsid w:val="0029408B"/>
    <w:rsid w:val="00295356"/>
    <w:rsid w:val="00295BCB"/>
    <w:rsid w:val="002974FA"/>
    <w:rsid w:val="002A01F3"/>
    <w:rsid w:val="002A11F2"/>
    <w:rsid w:val="002B071B"/>
    <w:rsid w:val="002B0CC2"/>
    <w:rsid w:val="002B2622"/>
    <w:rsid w:val="002B3685"/>
    <w:rsid w:val="002B37A4"/>
    <w:rsid w:val="002B45E1"/>
    <w:rsid w:val="002B5265"/>
    <w:rsid w:val="002B5441"/>
    <w:rsid w:val="002B6112"/>
    <w:rsid w:val="002C4C0C"/>
    <w:rsid w:val="002C5B2A"/>
    <w:rsid w:val="002C6B79"/>
    <w:rsid w:val="002C7F9C"/>
    <w:rsid w:val="002D0005"/>
    <w:rsid w:val="002D039A"/>
    <w:rsid w:val="002D55B9"/>
    <w:rsid w:val="002D57F6"/>
    <w:rsid w:val="002D59A8"/>
    <w:rsid w:val="002D6961"/>
    <w:rsid w:val="002D6C6B"/>
    <w:rsid w:val="002E1B07"/>
    <w:rsid w:val="002E1E84"/>
    <w:rsid w:val="002E2033"/>
    <w:rsid w:val="002E2C53"/>
    <w:rsid w:val="002E688C"/>
    <w:rsid w:val="002E6D7C"/>
    <w:rsid w:val="002F0DDD"/>
    <w:rsid w:val="002F2E70"/>
    <w:rsid w:val="002F454C"/>
    <w:rsid w:val="002F45E8"/>
    <w:rsid w:val="002F730B"/>
    <w:rsid w:val="002F7B2F"/>
    <w:rsid w:val="003019BD"/>
    <w:rsid w:val="003033BA"/>
    <w:rsid w:val="003035E9"/>
    <w:rsid w:val="00303B47"/>
    <w:rsid w:val="00305687"/>
    <w:rsid w:val="003074AE"/>
    <w:rsid w:val="0031120C"/>
    <w:rsid w:val="00311679"/>
    <w:rsid w:val="00311931"/>
    <w:rsid w:val="00311D93"/>
    <w:rsid w:val="00312837"/>
    <w:rsid w:val="00316FD4"/>
    <w:rsid w:val="00320DC3"/>
    <w:rsid w:val="00322937"/>
    <w:rsid w:val="00323221"/>
    <w:rsid w:val="0032544F"/>
    <w:rsid w:val="00325861"/>
    <w:rsid w:val="00325E6F"/>
    <w:rsid w:val="003275CE"/>
    <w:rsid w:val="003300C4"/>
    <w:rsid w:val="00336972"/>
    <w:rsid w:val="003379EA"/>
    <w:rsid w:val="0034177C"/>
    <w:rsid w:val="00343D80"/>
    <w:rsid w:val="00344104"/>
    <w:rsid w:val="00345306"/>
    <w:rsid w:val="0034680A"/>
    <w:rsid w:val="00346CB5"/>
    <w:rsid w:val="00353999"/>
    <w:rsid w:val="00353DD5"/>
    <w:rsid w:val="00356546"/>
    <w:rsid w:val="003569CC"/>
    <w:rsid w:val="00356A7C"/>
    <w:rsid w:val="003637A1"/>
    <w:rsid w:val="0036601C"/>
    <w:rsid w:val="003675B0"/>
    <w:rsid w:val="00367703"/>
    <w:rsid w:val="00370080"/>
    <w:rsid w:val="00370A95"/>
    <w:rsid w:val="00373DED"/>
    <w:rsid w:val="00375DD3"/>
    <w:rsid w:val="00377B5F"/>
    <w:rsid w:val="0038015A"/>
    <w:rsid w:val="00381478"/>
    <w:rsid w:val="00382787"/>
    <w:rsid w:val="00386368"/>
    <w:rsid w:val="00386456"/>
    <w:rsid w:val="00387C4C"/>
    <w:rsid w:val="00390882"/>
    <w:rsid w:val="003961EB"/>
    <w:rsid w:val="003A0725"/>
    <w:rsid w:val="003A0878"/>
    <w:rsid w:val="003A2753"/>
    <w:rsid w:val="003A312F"/>
    <w:rsid w:val="003A32C6"/>
    <w:rsid w:val="003A4DC8"/>
    <w:rsid w:val="003A581E"/>
    <w:rsid w:val="003A5AEB"/>
    <w:rsid w:val="003A6D10"/>
    <w:rsid w:val="003B1933"/>
    <w:rsid w:val="003B48C5"/>
    <w:rsid w:val="003B5017"/>
    <w:rsid w:val="003B5CE2"/>
    <w:rsid w:val="003B7B4B"/>
    <w:rsid w:val="003C0F89"/>
    <w:rsid w:val="003C1386"/>
    <w:rsid w:val="003C23D4"/>
    <w:rsid w:val="003C3041"/>
    <w:rsid w:val="003C32BF"/>
    <w:rsid w:val="003C63A9"/>
    <w:rsid w:val="003C7720"/>
    <w:rsid w:val="003D2E2C"/>
    <w:rsid w:val="003D3DB7"/>
    <w:rsid w:val="003D44D1"/>
    <w:rsid w:val="003D4F83"/>
    <w:rsid w:val="003D5905"/>
    <w:rsid w:val="003D7B9E"/>
    <w:rsid w:val="003E315A"/>
    <w:rsid w:val="003E5136"/>
    <w:rsid w:val="003E68A6"/>
    <w:rsid w:val="003F28A8"/>
    <w:rsid w:val="003F324A"/>
    <w:rsid w:val="003F5D1F"/>
    <w:rsid w:val="003F68B1"/>
    <w:rsid w:val="003F7CC8"/>
    <w:rsid w:val="004016D9"/>
    <w:rsid w:val="00403576"/>
    <w:rsid w:val="00403D6D"/>
    <w:rsid w:val="00403EF8"/>
    <w:rsid w:val="004059C4"/>
    <w:rsid w:val="00405CAB"/>
    <w:rsid w:val="00405F8D"/>
    <w:rsid w:val="0040627D"/>
    <w:rsid w:val="00407A05"/>
    <w:rsid w:val="00410CE2"/>
    <w:rsid w:val="0041112A"/>
    <w:rsid w:val="00412B57"/>
    <w:rsid w:val="00413E2D"/>
    <w:rsid w:val="004146D0"/>
    <w:rsid w:val="00415EB9"/>
    <w:rsid w:val="00416062"/>
    <w:rsid w:val="00416F65"/>
    <w:rsid w:val="00420891"/>
    <w:rsid w:val="004215AE"/>
    <w:rsid w:val="00422FA3"/>
    <w:rsid w:val="00423F9F"/>
    <w:rsid w:val="00424073"/>
    <w:rsid w:val="00425A56"/>
    <w:rsid w:val="00425D9C"/>
    <w:rsid w:val="00427331"/>
    <w:rsid w:val="00431D17"/>
    <w:rsid w:val="0043301A"/>
    <w:rsid w:val="00435EE4"/>
    <w:rsid w:val="00440622"/>
    <w:rsid w:val="00440794"/>
    <w:rsid w:val="004422D6"/>
    <w:rsid w:val="00442798"/>
    <w:rsid w:val="00443283"/>
    <w:rsid w:val="00447183"/>
    <w:rsid w:val="00454BC6"/>
    <w:rsid w:val="004569DB"/>
    <w:rsid w:val="0045721D"/>
    <w:rsid w:val="00457CBB"/>
    <w:rsid w:val="004602CA"/>
    <w:rsid w:val="00460333"/>
    <w:rsid w:val="00462BD6"/>
    <w:rsid w:val="004638DC"/>
    <w:rsid w:val="00463A8F"/>
    <w:rsid w:val="00463E5E"/>
    <w:rsid w:val="00463FE5"/>
    <w:rsid w:val="00467A7A"/>
    <w:rsid w:val="00471B5B"/>
    <w:rsid w:val="00473979"/>
    <w:rsid w:val="00476328"/>
    <w:rsid w:val="00480080"/>
    <w:rsid w:val="00480229"/>
    <w:rsid w:val="00480DE6"/>
    <w:rsid w:val="004813A4"/>
    <w:rsid w:val="00483E68"/>
    <w:rsid w:val="004845F2"/>
    <w:rsid w:val="00486AEC"/>
    <w:rsid w:val="00487E2E"/>
    <w:rsid w:val="0049067B"/>
    <w:rsid w:val="004908F9"/>
    <w:rsid w:val="0049094E"/>
    <w:rsid w:val="0049241A"/>
    <w:rsid w:val="0049493D"/>
    <w:rsid w:val="00494AF1"/>
    <w:rsid w:val="004A1610"/>
    <w:rsid w:val="004A2C25"/>
    <w:rsid w:val="004A34C6"/>
    <w:rsid w:val="004A34D2"/>
    <w:rsid w:val="004A4D5F"/>
    <w:rsid w:val="004A4E6F"/>
    <w:rsid w:val="004A6242"/>
    <w:rsid w:val="004A66B8"/>
    <w:rsid w:val="004A7552"/>
    <w:rsid w:val="004B19A9"/>
    <w:rsid w:val="004B3AEA"/>
    <w:rsid w:val="004B4FDA"/>
    <w:rsid w:val="004B5181"/>
    <w:rsid w:val="004B57D3"/>
    <w:rsid w:val="004C0D30"/>
    <w:rsid w:val="004C2883"/>
    <w:rsid w:val="004C2D8C"/>
    <w:rsid w:val="004C58FF"/>
    <w:rsid w:val="004C7B57"/>
    <w:rsid w:val="004D63BC"/>
    <w:rsid w:val="004D6EC7"/>
    <w:rsid w:val="004D7FD1"/>
    <w:rsid w:val="004E06CC"/>
    <w:rsid w:val="004E09F4"/>
    <w:rsid w:val="004E15B5"/>
    <w:rsid w:val="004E2B21"/>
    <w:rsid w:val="004E2C3E"/>
    <w:rsid w:val="004E4065"/>
    <w:rsid w:val="004E523A"/>
    <w:rsid w:val="004E5BBA"/>
    <w:rsid w:val="004F0556"/>
    <w:rsid w:val="004F2045"/>
    <w:rsid w:val="004F2806"/>
    <w:rsid w:val="004F4E88"/>
    <w:rsid w:val="004F5324"/>
    <w:rsid w:val="004F57B1"/>
    <w:rsid w:val="004F61DE"/>
    <w:rsid w:val="004F7D4B"/>
    <w:rsid w:val="0050012F"/>
    <w:rsid w:val="00500526"/>
    <w:rsid w:val="00500A84"/>
    <w:rsid w:val="00500C9C"/>
    <w:rsid w:val="00502AA3"/>
    <w:rsid w:val="00505819"/>
    <w:rsid w:val="0051074C"/>
    <w:rsid w:val="00510FD0"/>
    <w:rsid w:val="00511AA8"/>
    <w:rsid w:val="0051220A"/>
    <w:rsid w:val="00513210"/>
    <w:rsid w:val="00513343"/>
    <w:rsid w:val="00513496"/>
    <w:rsid w:val="00513AF2"/>
    <w:rsid w:val="00513C06"/>
    <w:rsid w:val="00514171"/>
    <w:rsid w:val="005157F0"/>
    <w:rsid w:val="00515C3A"/>
    <w:rsid w:val="005178B0"/>
    <w:rsid w:val="00520695"/>
    <w:rsid w:val="00520EEB"/>
    <w:rsid w:val="00523BA0"/>
    <w:rsid w:val="00526438"/>
    <w:rsid w:val="00526AA0"/>
    <w:rsid w:val="005270A9"/>
    <w:rsid w:val="00530375"/>
    <w:rsid w:val="00531CCF"/>
    <w:rsid w:val="00533486"/>
    <w:rsid w:val="005413A0"/>
    <w:rsid w:val="00541E25"/>
    <w:rsid w:val="00543142"/>
    <w:rsid w:val="00543803"/>
    <w:rsid w:val="0054413A"/>
    <w:rsid w:val="00544348"/>
    <w:rsid w:val="00546D12"/>
    <w:rsid w:val="00550869"/>
    <w:rsid w:val="00554811"/>
    <w:rsid w:val="005564CA"/>
    <w:rsid w:val="0055703D"/>
    <w:rsid w:val="0055716D"/>
    <w:rsid w:val="00557247"/>
    <w:rsid w:val="0056182B"/>
    <w:rsid w:val="00561855"/>
    <w:rsid w:val="00563935"/>
    <w:rsid w:val="0056527A"/>
    <w:rsid w:val="00565DEC"/>
    <w:rsid w:val="0057212D"/>
    <w:rsid w:val="005738C4"/>
    <w:rsid w:val="0057496C"/>
    <w:rsid w:val="005756AA"/>
    <w:rsid w:val="00575D80"/>
    <w:rsid w:val="005763B6"/>
    <w:rsid w:val="00581FA7"/>
    <w:rsid w:val="00582643"/>
    <w:rsid w:val="00582A60"/>
    <w:rsid w:val="00590192"/>
    <w:rsid w:val="00590FCE"/>
    <w:rsid w:val="00593A09"/>
    <w:rsid w:val="005941C1"/>
    <w:rsid w:val="00595122"/>
    <w:rsid w:val="00596405"/>
    <w:rsid w:val="0059772E"/>
    <w:rsid w:val="005979D2"/>
    <w:rsid w:val="00597B75"/>
    <w:rsid w:val="005A3F5F"/>
    <w:rsid w:val="005A4EB9"/>
    <w:rsid w:val="005A62F6"/>
    <w:rsid w:val="005A7615"/>
    <w:rsid w:val="005B2A2E"/>
    <w:rsid w:val="005B478A"/>
    <w:rsid w:val="005B4835"/>
    <w:rsid w:val="005B72DC"/>
    <w:rsid w:val="005C0F65"/>
    <w:rsid w:val="005C326B"/>
    <w:rsid w:val="005C6201"/>
    <w:rsid w:val="005C7856"/>
    <w:rsid w:val="005C797B"/>
    <w:rsid w:val="005D09E1"/>
    <w:rsid w:val="005D0F03"/>
    <w:rsid w:val="005D31E9"/>
    <w:rsid w:val="005D3341"/>
    <w:rsid w:val="005D3580"/>
    <w:rsid w:val="005D51CE"/>
    <w:rsid w:val="005D51FA"/>
    <w:rsid w:val="005D560F"/>
    <w:rsid w:val="005D6D4F"/>
    <w:rsid w:val="005D791B"/>
    <w:rsid w:val="005E11B2"/>
    <w:rsid w:val="005E3050"/>
    <w:rsid w:val="005E3E9F"/>
    <w:rsid w:val="005E495C"/>
    <w:rsid w:val="005E643C"/>
    <w:rsid w:val="005E73B2"/>
    <w:rsid w:val="005F088A"/>
    <w:rsid w:val="005F1772"/>
    <w:rsid w:val="005F1A12"/>
    <w:rsid w:val="005F20C0"/>
    <w:rsid w:val="005F2387"/>
    <w:rsid w:val="005F2CA1"/>
    <w:rsid w:val="005F59D5"/>
    <w:rsid w:val="005F5C19"/>
    <w:rsid w:val="005F60CF"/>
    <w:rsid w:val="005F7880"/>
    <w:rsid w:val="00600D98"/>
    <w:rsid w:val="00600EDA"/>
    <w:rsid w:val="00604E01"/>
    <w:rsid w:val="00604E4B"/>
    <w:rsid w:val="00605F9E"/>
    <w:rsid w:val="006064AD"/>
    <w:rsid w:val="00611A83"/>
    <w:rsid w:val="00611B77"/>
    <w:rsid w:val="00614817"/>
    <w:rsid w:val="00614BA7"/>
    <w:rsid w:val="00615173"/>
    <w:rsid w:val="006175EE"/>
    <w:rsid w:val="00617FF2"/>
    <w:rsid w:val="006222F7"/>
    <w:rsid w:val="0062239E"/>
    <w:rsid w:val="00624E06"/>
    <w:rsid w:val="006256B5"/>
    <w:rsid w:val="006315C5"/>
    <w:rsid w:val="006318C6"/>
    <w:rsid w:val="00633DBF"/>
    <w:rsid w:val="006344B7"/>
    <w:rsid w:val="006349E9"/>
    <w:rsid w:val="0063578A"/>
    <w:rsid w:val="006357D5"/>
    <w:rsid w:val="0063671B"/>
    <w:rsid w:val="00637BCB"/>
    <w:rsid w:val="00637BEC"/>
    <w:rsid w:val="00640AEF"/>
    <w:rsid w:val="006426BC"/>
    <w:rsid w:val="006426E7"/>
    <w:rsid w:val="00643033"/>
    <w:rsid w:val="006449A7"/>
    <w:rsid w:val="00644BDA"/>
    <w:rsid w:val="00644C0A"/>
    <w:rsid w:val="006468FD"/>
    <w:rsid w:val="00647D77"/>
    <w:rsid w:val="00651B30"/>
    <w:rsid w:val="00651E65"/>
    <w:rsid w:val="00652412"/>
    <w:rsid w:val="006528F5"/>
    <w:rsid w:val="00652B70"/>
    <w:rsid w:val="006549D4"/>
    <w:rsid w:val="0065501A"/>
    <w:rsid w:val="00655371"/>
    <w:rsid w:val="006568AC"/>
    <w:rsid w:val="0065708A"/>
    <w:rsid w:val="00660B1A"/>
    <w:rsid w:val="00663062"/>
    <w:rsid w:val="006634A4"/>
    <w:rsid w:val="006639FE"/>
    <w:rsid w:val="00666BE3"/>
    <w:rsid w:val="00666C67"/>
    <w:rsid w:val="0066776B"/>
    <w:rsid w:val="00667BC5"/>
    <w:rsid w:val="00672A02"/>
    <w:rsid w:val="00673049"/>
    <w:rsid w:val="00673340"/>
    <w:rsid w:val="00674072"/>
    <w:rsid w:val="006754DA"/>
    <w:rsid w:val="00676C5B"/>
    <w:rsid w:val="00676DF4"/>
    <w:rsid w:val="006802B9"/>
    <w:rsid w:val="006836A9"/>
    <w:rsid w:val="006840CA"/>
    <w:rsid w:val="00684C63"/>
    <w:rsid w:val="00684CF0"/>
    <w:rsid w:val="00685ECC"/>
    <w:rsid w:val="00690034"/>
    <w:rsid w:val="00690116"/>
    <w:rsid w:val="006904A9"/>
    <w:rsid w:val="006911AD"/>
    <w:rsid w:val="00691414"/>
    <w:rsid w:val="00692366"/>
    <w:rsid w:val="00694173"/>
    <w:rsid w:val="0069645C"/>
    <w:rsid w:val="006967F3"/>
    <w:rsid w:val="00697322"/>
    <w:rsid w:val="006974CA"/>
    <w:rsid w:val="00697665"/>
    <w:rsid w:val="006A18A8"/>
    <w:rsid w:val="006A1EEE"/>
    <w:rsid w:val="006A1EF8"/>
    <w:rsid w:val="006A3D38"/>
    <w:rsid w:val="006A7CB5"/>
    <w:rsid w:val="006A7FD0"/>
    <w:rsid w:val="006B1690"/>
    <w:rsid w:val="006B22D5"/>
    <w:rsid w:val="006B5CD1"/>
    <w:rsid w:val="006B60C8"/>
    <w:rsid w:val="006C0A8A"/>
    <w:rsid w:val="006C1C9E"/>
    <w:rsid w:val="006C2A68"/>
    <w:rsid w:val="006C6AEF"/>
    <w:rsid w:val="006C77A2"/>
    <w:rsid w:val="006D07A5"/>
    <w:rsid w:val="006D2F17"/>
    <w:rsid w:val="006D504C"/>
    <w:rsid w:val="006D6321"/>
    <w:rsid w:val="006D6B0B"/>
    <w:rsid w:val="006D7687"/>
    <w:rsid w:val="006E0572"/>
    <w:rsid w:val="006E146D"/>
    <w:rsid w:val="006E1FB8"/>
    <w:rsid w:val="006E3332"/>
    <w:rsid w:val="006E482D"/>
    <w:rsid w:val="006F337A"/>
    <w:rsid w:val="006F36DF"/>
    <w:rsid w:val="006F3DA9"/>
    <w:rsid w:val="006F52DF"/>
    <w:rsid w:val="006F541A"/>
    <w:rsid w:val="006F7F4C"/>
    <w:rsid w:val="007029C7"/>
    <w:rsid w:val="00704190"/>
    <w:rsid w:val="00705631"/>
    <w:rsid w:val="00706357"/>
    <w:rsid w:val="00706619"/>
    <w:rsid w:val="00707D7A"/>
    <w:rsid w:val="00710F76"/>
    <w:rsid w:val="00714537"/>
    <w:rsid w:val="00715001"/>
    <w:rsid w:val="0071513E"/>
    <w:rsid w:val="00715EAA"/>
    <w:rsid w:val="00716151"/>
    <w:rsid w:val="007177BE"/>
    <w:rsid w:val="00722152"/>
    <w:rsid w:val="00722776"/>
    <w:rsid w:val="0072398E"/>
    <w:rsid w:val="0072499A"/>
    <w:rsid w:val="007266B4"/>
    <w:rsid w:val="007267ED"/>
    <w:rsid w:val="00727FE7"/>
    <w:rsid w:val="00742DD2"/>
    <w:rsid w:val="007430CD"/>
    <w:rsid w:val="00743F5F"/>
    <w:rsid w:val="007455D3"/>
    <w:rsid w:val="007458F7"/>
    <w:rsid w:val="00746E08"/>
    <w:rsid w:val="00747C96"/>
    <w:rsid w:val="0075050A"/>
    <w:rsid w:val="0075094E"/>
    <w:rsid w:val="00750C7C"/>
    <w:rsid w:val="00751284"/>
    <w:rsid w:val="00751504"/>
    <w:rsid w:val="00751B6C"/>
    <w:rsid w:val="007522E8"/>
    <w:rsid w:val="0075252C"/>
    <w:rsid w:val="00752D5C"/>
    <w:rsid w:val="0075341A"/>
    <w:rsid w:val="0075477E"/>
    <w:rsid w:val="00755090"/>
    <w:rsid w:val="0075647A"/>
    <w:rsid w:val="00760E12"/>
    <w:rsid w:val="007634AD"/>
    <w:rsid w:val="00764971"/>
    <w:rsid w:val="00765260"/>
    <w:rsid w:val="00765F3B"/>
    <w:rsid w:val="00766EE5"/>
    <w:rsid w:val="0076740F"/>
    <w:rsid w:val="007744B6"/>
    <w:rsid w:val="00776A1A"/>
    <w:rsid w:val="0077795B"/>
    <w:rsid w:val="00777BB2"/>
    <w:rsid w:val="00780FD5"/>
    <w:rsid w:val="0078122E"/>
    <w:rsid w:val="007822B9"/>
    <w:rsid w:val="007823A6"/>
    <w:rsid w:val="00785FD2"/>
    <w:rsid w:val="00786ECE"/>
    <w:rsid w:val="00790122"/>
    <w:rsid w:val="007918B3"/>
    <w:rsid w:val="00791FB4"/>
    <w:rsid w:val="00793DF8"/>
    <w:rsid w:val="00795647"/>
    <w:rsid w:val="007A15D8"/>
    <w:rsid w:val="007A4609"/>
    <w:rsid w:val="007A4940"/>
    <w:rsid w:val="007A5294"/>
    <w:rsid w:val="007A587B"/>
    <w:rsid w:val="007A6053"/>
    <w:rsid w:val="007A7CCE"/>
    <w:rsid w:val="007B0854"/>
    <w:rsid w:val="007B0EB5"/>
    <w:rsid w:val="007B1505"/>
    <w:rsid w:val="007B6DB7"/>
    <w:rsid w:val="007B6F1D"/>
    <w:rsid w:val="007B7964"/>
    <w:rsid w:val="007B7B35"/>
    <w:rsid w:val="007C20AD"/>
    <w:rsid w:val="007C4A00"/>
    <w:rsid w:val="007C6B93"/>
    <w:rsid w:val="007C74FF"/>
    <w:rsid w:val="007C7B47"/>
    <w:rsid w:val="007D0341"/>
    <w:rsid w:val="007D035D"/>
    <w:rsid w:val="007D0F9A"/>
    <w:rsid w:val="007D19ED"/>
    <w:rsid w:val="007D6137"/>
    <w:rsid w:val="007D6853"/>
    <w:rsid w:val="007D68C9"/>
    <w:rsid w:val="007D6FBB"/>
    <w:rsid w:val="007D7BD9"/>
    <w:rsid w:val="007E2207"/>
    <w:rsid w:val="007E34A9"/>
    <w:rsid w:val="007E3875"/>
    <w:rsid w:val="007E3D92"/>
    <w:rsid w:val="007E4A8A"/>
    <w:rsid w:val="007E527C"/>
    <w:rsid w:val="007E5C68"/>
    <w:rsid w:val="007E77BD"/>
    <w:rsid w:val="007F1531"/>
    <w:rsid w:val="007F1615"/>
    <w:rsid w:val="007F2DD2"/>
    <w:rsid w:val="007F4562"/>
    <w:rsid w:val="007F4CD9"/>
    <w:rsid w:val="007F6B46"/>
    <w:rsid w:val="007F6DC2"/>
    <w:rsid w:val="007F72CB"/>
    <w:rsid w:val="007F7757"/>
    <w:rsid w:val="00801ADE"/>
    <w:rsid w:val="008026E9"/>
    <w:rsid w:val="00803AF8"/>
    <w:rsid w:val="00803BD6"/>
    <w:rsid w:val="008043F3"/>
    <w:rsid w:val="00804B14"/>
    <w:rsid w:val="00811C91"/>
    <w:rsid w:val="00813126"/>
    <w:rsid w:val="0081537B"/>
    <w:rsid w:val="0081695E"/>
    <w:rsid w:val="00816C2C"/>
    <w:rsid w:val="00817CEC"/>
    <w:rsid w:val="008217B7"/>
    <w:rsid w:val="008224C7"/>
    <w:rsid w:val="00822E14"/>
    <w:rsid w:val="00824EE9"/>
    <w:rsid w:val="00826234"/>
    <w:rsid w:val="0083119B"/>
    <w:rsid w:val="00831F66"/>
    <w:rsid w:val="00833389"/>
    <w:rsid w:val="0083487C"/>
    <w:rsid w:val="00836EAB"/>
    <w:rsid w:val="00836F38"/>
    <w:rsid w:val="00840187"/>
    <w:rsid w:val="00843CEC"/>
    <w:rsid w:val="008441F0"/>
    <w:rsid w:val="00844A03"/>
    <w:rsid w:val="008464F2"/>
    <w:rsid w:val="00846F6D"/>
    <w:rsid w:val="00847010"/>
    <w:rsid w:val="00850863"/>
    <w:rsid w:val="0085092D"/>
    <w:rsid w:val="00850F79"/>
    <w:rsid w:val="00851420"/>
    <w:rsid w:val="008529E3"/>
    <w:rsid w:val="00854ABB"/>
    <w:rsid w:val="00854E4B"/>
    <w:rsid w:val="00862C14"/>
    <w:rsid w:val="008646C8"/>
    <w:rsid w:val="00864F88"/>
    <w:rsid w:val="008654F7"/>
    <w:rsid w:val="00867608"/>
    <w:rsid w:val="00870F20"/>
    <w:rsid w:val="00871783"/>
    <w:rsid w:val="00871FD2"/>
    <w:rsid w:val="00873B63"/>
    <w:rsid w:val="00874556"/>
    <w:rsid w:val="00874B73"/>
    <w:rsid w:val="00874BD9"/>
    <w:rsid w:val="00877268"/>
    <w:rsid w:val="0088063D"/>
    <w:rsid w:val="00880FE3"/>
    <w:rsid w:val="0088146E"/>
    <w:rsid w:val="00881CF4"/>
    <w:rsid w:val="00882264"/>
    <w:rsid w:val="0088768C"/>
    <w:rsid w:val="00887E46"/>
    <w:rsid w:val="0089245A"/>
    <w:rsid w:val="008926EF"/>
    <w:rsid w:val="0089774F"/>
    <w:rsid w:val="00897ECB"/>
    <w:rsid w:val="008A14E0"/>
    <w:rsid w:val="008A1649"/>
    <w:rsid w:val="008A1E11"/>
    <w:rsid w:val="008A4057"/>
    <w:rsid w:val="008A55BC"/>
    <w:rsid w:val="008A616F"/>
    <w:rsid w:val="008B0746"/>
    <w:rsid w:val="008B223E"/>
    <w:rsid w:val="008B56B2"/>
    <w:rsid w:val="008B5B04"/>
    <w:rsid w:val="008C3DCC"/>
    <w:rsid w:val="008C3ECD"/>
    <w:rsid w:val="008C41AA"/>
    <w:rsid w:val="008C44C1"/>
    <w:rsid w:val="008C4502"/>
    <w:rsid w:val="008C567E"/>
    <w:rsid w:val="008D0C7F"/>
    <w:rsid w:val="008D1490"/>
    <w:rsid w:val="008D167C"/>
    <w:rsid w:val="008D5BFC"/>
    <w:rsid w:val="008D685A"/>
    <w:rsid w:val="008D6DE0"/>
    <w:rsid w:val="008D7242"/>
    <w:rsid w:val="008D7A35"/>
    <w:rsid w:val="008D7A98"/>
    <w:rsid w:val="008E06CA"/>
    <w:rsid w:val="008E1C15"/>
    <w:rsid w:val="008E36A0"/>
    <w:rsid w:val="008E3EC9"/>
    <w:rsid w:val="008E50DA"/>
    <w:rsid w:val="008E6AA9"/>
    <w:rsid w:val="008F0C30"/>
    <w:rsid w:val="008F101D"/>
    <w:rsid w:val="008F148D"/>
    <w:rsid w:val="008F24BA"/>
    <w:rsid w:val="008F436F"/>
    <w:rsid w:val="008F538E"/>
    <w:rsid w:val="008F5FB7"/>
    <w:rsid w:val="00901850"/>
    <w:rsid w:val="00901E75"/>
    <w:rsid w:val="009032EB"/>
    <w:rsid w:val="009038D7"/>
    <w:rsid w:val="00903C4D"/>
    <w:rsid w:val="00904572"/>
    <w:rsid w:val="009047C5"/>
    <w:rsid w:val="009058E3"/>
    <w:rsid w:val="0091590E"/>
    <w:rsid w:val="0091629D"/>
    <w:rsid w:val="00916B31"/>
    <w:rsid w:val="00916C0F"/>
    <w:rsid w:val="0091759B"/>
    <w:rsid w:val="009210D9"/>
    <w:rsid w:val="009221F8"/>
    <w:rsid w:val="00922EA7"/>
    <w:rsid w:val="00923F5C"/>
    <w:rsid w:val="009256D5"/>
    <w:rsid w:val="009259F2"/>
    <w:rsid w:val="00925F52"/>
    <w:rsid w:val="00931B0D"/>
    <w:rsid w:val="00931D56"/>
    <w:rsid w:val="00933989"/>
    <w:rsid w:val="009347C0"/>
    <w:rsid w:val="0093616F"/>
    <w:rsid w:val="009425DF"/>
    <w:rsid w:val="0094362D"/>
    <w:rsid w:val="009451B1"/>
    <w:rsid w:val="00946957"/>
    <w:rsid w:val="00947B7A"/>
    <w:rsid w:val="00950188"/>
    <w:rsid w:val="009502CF"/>
    <w:rsid w:val="009522F7"/>
    <w:rsid w:val="00952DF1"/>
    <w:rsid w:val="0095385A"/>
    <w:rsid w:val="00955483"/>
    <w:rsid w:val="0095765C"/>
    <w:rsid w:val="00957C11"/>
    <w:rsid w:val="00957D1A"/>
    <w:rsid w:val="00957DDA"/>
    <w:rsid w:val="009627E0"/>
    <w:rsid w:val="00962E23"/>
    <w:rsid w:val="0096318D"/>
    <w:rsid w:val="00965C7C"/>
    <w:rsid w:val="009679B3"/>
    <w:rsid w:val="00967D81"/>
    <w:rsid w:val="00971BD0"/>
    <w:rsid w:val="00972B52"/>
    <w:rsid w:val="00972E83"/>
    <w:rsid w:val="00972E95"/>
    <w:rsid w:val="009731F5"/>
    <w:rsid w:val="00973C42"/>
    <w:rsid w:val="00974426"/>
    <w:rsid w:val="00974CA6"/>
    <w:rsid w:val="00974DD4"/>
    <w:rsid w:val="00976325"/>
    <w:rsid w:val="00976945"/>
    <w:rsid w:val="00977B0E"/>
    <w:rsid w:val="009803F0"/>
    <w:rsid w:val="0098264A"/>
    <w:rsid w:val="0099504B"/>
    <w:rsid w:val="0099513A"/>
    <w:rsid w:val="0099575F"/>
    <w:rsid w:val="0099640A"/>
    <w:rsid w:val="0099786A"/>
    <w:rsid w:val="00997BBF"/>
    <w:rsid w:val="009A0195"/>
    <w:rsid w:val="009A1817"/>
    <w:rsid w:val="009A1AC5"/>
    <w:rsid w:val="009A1DFD"/>
    <w:rsid w:val="009A228F"/>
    <w:rsid w:val="009A390F"/>
    <w:rsid w:val="009A4374"/>
    <w:rsid w:val="009A46F3"/>
    <w:rsid w:val="009A570E"/>
    <w:rsid w:val="009A5FCB"/>
    <w:rsid w:val="009A6CA7"/>
    <w:rsid w:val="009A6D1D"/>
    <w:rsid w:val="009A7824"/>
    <w:rsid w:val="009B0F32"/>
    <w:rsid w:val="009B19DF"/>
    <w:rsid w:val="009B215F"/>
    <w:rsid w:val="009B34DB"/>
    <w:rsid w:val="009B4886"/>
    <w:rsid w:val="009C35AC"/>
    <w:rsid w:val="009C373B"/>
    <w:rsid w:val="009C650A"/>
    <w:rsid w:val="009C7881"/>
    <w:rsid w:val="009D02C2"/>
    <w:rsid w:val="009D0BBF"/>
    <w:rsid w:val="009D13E8"/>
    <w:rsid w:val="009D1B2F"/>
    <w:rsid w:val="009D1F09"/>
    <w:rsid w:val="009E05AB"/>
    <w:rsid w:val="009E1923"/>
    <w:rsid w:val="009E1BE1"/>
    <w:rsid w:val="009E25C4"/>
    <w:rsid w:val="009E2A3C"/>
    <w:rsid w:val="009E43F7"/>
    <w:rsid w:val="009E6186"/>
    <w:rsid w:val="009E667F"/>
    <w:rsid w:val="009E6929"/>
    <w:rsid w:val="009E6A3E"/>
    <w:rsid w:val="009E7671"/>
    <w:rsid w:val="009F0BB6"/>
    <w:rsid w:val="009F0E95"/>
    <w:rsid w:val="009F237C"/>
    <w:rsid w:val="009F59C2"/>
    <w:rsid w:val="009F5D34"/>
    <w:rsid w:val="009F677F"/>
    <w:rsid w:val="00A0210B"/>
    <w:rsid w:val="00A03406"/>
    <w:rsid w:val="00A04A6D"/>
    <w:rsid w:val="00A06176"/>
    <w:rsid w:val="00A1023E"/>
    <w:rsid w:val="00A112D9"/>
    <w:rsid w:val="00A114A5"/>
    <w:rsid w:val="00A114CB"/>
    <w:rsid w:val="00A117E3"/>
    <w:rsid w:val="00A13D6C"/>
    <w:rsid w:val="00A13DD6"/>
    <w:rsid w:val="00A13F2F"/>
    <w:rsid w:val="00A22E8B"/>
    <w:rsid w:val="00A230AD"/>
    <w:rsid w:val="00A23990"/>
    <w:rsid w:val="00A24560"/>
    <w:rsid w:val="00A26396"/>
    <w:rsid w:val="00A263E3"/>
    <w:rsid w:val="00A26F88"/>
    <w:rsid w:val="00A278BD"/>
    <w:rsid w:val="00A27F23"/>
    <w:rsid w:val="00A3092B"/>
    <w:rsid w:val="00A31686"/>
    <w:rsid w:val="00A32894"/>
    <w:rsid w:val="00A33893"/>
    <w:rsid w:val="00A34538"/>
    <w:rsid w:val="00A346CD"/>
    <w:rsid w:val="00A35513"/>
    <w:rsid w:val="00A3761A"/>
    <w:rsid w:val="00A37C1B"/>
    <w:rsid w:val="00A37ECE"/>
    <w:rsid w:val="00A37FB6"/>
    <w:rsid w:val="00A4189D"/>
    <w:rsid w:val="00A43778"/>
    <w:rsid w:val="00A43E49"/>
    <w:rsid w:val="00A455ED"/>
    <w:rsid w:val="00A46B01"/>
    <w:rsid w:val="00A50376"/>
    <w:rsid w:val="00A52AB9"/>
    <w:rsid w:val="00A52EEF"/>
    <w:rsid w:val="00A53B8C"/>
    <w:rsid w:val="00A54F69"/>
    <w:rsid w:val="00A5651E"/>
    <w:rsid w:val="00A572E2"/>
    <w:rsid w:val="00A572E4"/>
    <w:rsid w:val="00A578AC"/>
    <w:rsid w:val="00A63AB4"/>
    <w:rsid w:val="00A63F94"/>
    <w:rsid w:val="00A65FDC"/>
    <w:rsid w:val="00A71455"/>
    <w:rsid w:val="00A7306E"/>
    <w:rsid w:val="00A754E3"/>
    <w:rsid w:val="00A76BEC"/>
    <w:rsid w:val="00A80076"/>
    <w:rsid w:val="00A8097A"/>
    <w:rsid w:val="00A82C41"/>
    <w:rsid w:val="00A858CC"/>
    <w:rsid w:val="00A879EB"/>
    <w:rsid w:val="00A9362B"/>
    <w:rsid w:val="00A93C3A"/>
    <w:rsid w:val="00A94168"/>
    <w:rsid w:val="00A95E6B"/>
    <w:rsid w:val="00A97C83"/>
    <w:rsid w:val="00AA0106"/>
    <w:rsid w:val="00AA01A7"/>
    <w:rsid w:val="00AA08E7"/>
    <w:rsid w:val="00AA37EA"/>
    <w:rsid w:val="00AA442B"/>
    <w:rsid w:val="00AA5938"/>
    <w:rsid w:val="00AA59E2"/>
    <w:rsid w:val="00AA6612"/>
    <w:rsid w:val="00AA669D"/>
    <w:rsid w:val="00AA6912"/>
    <w:rsid w:val="00AA71A5"/>
    <w:rsid w:val="00AA7BC8"/>
    <w:rsid w:val="00AB0F67"/>
    <w:rsid w:val="00AB136C"/>
    <w:rsid w:val="00AB19D9"/>
    <w:rsid w:val="00AB2098"/>
    <w:rsid w:val="00AB2D94"/>
    <w:rsid w:val="00AB3EF0"/>
    <w:rsid w:val="00AB508E"/>
    <w:rsid w:val="00AB6CB0"/>
    <w:rsid w:val="00AB7B91"/>
    <w:rsid w:val="00AC04C9"/>
    <w:rsid w:val="00AC1027"/>
    <w:rsid w:val="00AC1406"/>
    <w:rsid w:val="00AC6C4D"/>
    <w:rsid w:val="00AC7720"/>
    <w:rsid w:val="00AD0790"/>
    <w:rsid w:val="00AD0DAD"/>
    <w:rsid w:val="00AD3BE5"/>
    <w:rsid w:val="00AD4117"/>
    <w:rsid w:val="00AD44E1"/>
    <w:rsid w:val="00AD7079"/>
    <w:rsid w:val="00AE1CDB"/>
    <w:rsid w:val="00AE248C"/>
    <w:rsid w:val="00AE42D3"/>
    <w:rsid w:val="00AE70B1"/>
    <w:rsid w:val="00AF0EB0"/>
    <w:rsid w:val="00AF25B8"/>
    <w:rsid w:val="00AF3F48"/>
    <w:rsid w:val="00AF447E"/>
    <w:rsid w:val="00AF6276"/>
    <w:rsid w:val="00AF6B55"/>
    <w:rsid w:val="00AF6DAE"/>
    <w:rsid w:val="00B00D12"/>
    <w:rsid w:val="00B01569"/>
    <w:rsid w:val="00B01619"/>
    <w:rsid w:val="00B02235"/>
    <w:rsid w:val="00B02632"/>
    <w:rsid w:val="00B02A47"/>
    <w:rsid w:val="00B030B1"/>
    <w:rsid w:val="00B0510D"/>
    <w:rsid w:val="00B05A55"/>
    <w:rsid w:val="00B073F3"/>
    <w:rsid w:val="00B075F3"/>
    <w:rsid w:val="00B1069D"/>
    <w:rsid w:val="00B10D9B"/>
    <w:rsid w:val="00B11081"/>
    <w:rsid w:val="00B12193"/>
    <w:rsid w:val="00B13EC0"/>
    <w:rsid w:val="00B173E1"/>
    <w:rsid w:val="00B205FF"/>
    <w:rsid w:val="00B22024"/>
    <w:rsid w:val="00B224E1"/>
    <w:rsid w:val="00B22E22"/>
    <w:rsid w:val="00B23041"/>
    <w:rsid w:val="00B25ADA"/>
    <w:rsid w:val="00B27676"/>
    <w:rsid w:val="00B32BAB"/>
    <w:rsid w:val="00B3418C"/>
    <w:rsid w:val="00B34B7E"/>
    <w:rsid w:val="00B353A4"/>
    <w:rsid w:val="00B353C1"/>
    <w:rsid w:val="00B37166"/>
    <w:rsid w:val="00B40DD7"/>
    <w:rsid w:val="00B42606"/>
    <w:rsid w:val="00B448AA"/>
    <w:rsid w:val="00B44975"/>
    <w:rsid w:val="00B460E5"/>
    <w:rsid w:val="00B466B9"/>
    <w:rsid w:val="00B46D74"/>
    <w:rsid w:val="00B5148E"/>
    <w:rsid w:val="00B525CB"/>
    <w:rsid w:val="00B547D2"/>
    <w:rsid w:val="00B55FF4"/>
    <w:rsid w:val="00B62917"/>
    <w:rsid w:val="00B63797"/>
    <w:rsid w:val="00B63872"/>
    <w:rsid w:val="00B63CB2"/>
    <w:rsid w:val="00B64277"/>
    <w:rsid w:val="00B64EDB"/>
    <w:rsid w:val="00B67729"/>
    <w:rsid w:val="00B70788"/>
    <w:rsid w:val="00B72172"/>
    <w:rsid w:val="00B72946"/>
    <w:rsid w:val="00B7315F"/>
    <w:rsid w:val="00B73C90"/>
    <w:rsid w:val="00B73D1C"/>
    <w:rsid w:val="00B74AC9"/>
    <w:rsid w:val="00B75424"/>
    <w:rsid w:val="00B76DBC"/>
    <w:rsid w:val="00B7709A"/>
    <w:rsid w:val="00B80B7F"/>
    <w:rsid w:val="00B80F8F"/>
    <w:rsid w:val="00B81C2B"/>
    <w:rsid w:val="00B825AB"/>
    <w:rsid w:val="00B83BDE"/>
    <w:rsid w:val="00B84367"/>
    <w:rsid w:val="00B8475B"/>
    <w:rsid w:val="00B87866"/>
    <w:rsid w:val="00B90D33"/>
    <w:rsid w:val="00B913A7"/>
    <w:rsid w:val="00B91B8E"/>
    <w:rsid w:val="00B92156"/>
    <w:rsid w:val="00B92EC6"/>
    <w:rsid w:val="00B94AF0"/>
    <w:rsid w:val="00B960EE"/>
    <w:rsid w:val="00BA1266"/>
    <w:rsid w:val="00BA1820"/>
    <w:rsid w:val="00BA3464"/>
    <w:rsid w:val="00BA7081"/>
    <w:rsid w:val="00BA71D6"/>
    <w:rsid w:val="00BA7847"/>
    <w:rsid w:val="00BA7F43"/>
    <w:rsid w:val="00BB3457"/>
    <w:rsid w:val="00BB378B"/>
    <w:rsid w:val="00BB3D86"/>
    <w:rsid w:val="00BB7F8B"/>
    <w:rsid w:val="00BC0E07"/>
    <w:rsid w:val="00BC2A98"/>
    <w:rsid w:val="00BC3394"/>
    <w:rsid w:val="00BC418B"/>
    <w:rsid w:val="00BC4EE5"/>
    <w:rsid w:val="00BC5511"/>
    <w:rsid w:val="00BC553A"/>
    <w:rsid w:val="00BD3D51"/>
    <w:rsid w:val="00BD5DA2"/>
    <w:rsid w:val="00BD6A96"/>
    <w:rsid w:val="00BD71C2"/>
    <w:rsid w:val="00BD78FE"/>
    <w:rsid w:val="00BD7ABD"/>
    <w:rsid w:val="00BE0A83"/>
    <w:rsid w:val="00BE0B4C"/>
    <w:rsid w:val="00BE194E"/>
    <w:rsid w:val="00BE1A4F"/>
    <w:rsid w:val="00BE2245"/>
    <w:rsid w:val="00BE33E3"/>
    <w:rsid w:val="00BE3F55"/>
    <w:rsid w:val="00BE54E9"/>
    <w:rsid w:val="00BE7299"/>
    <w:rsid w:val="00BF4090"/>
    <w:rsid w:val="00BF568B"/>
    <w:rsid w:val="00BF5C9A"/>
    <w:rsid w:val="00BF7691"/>
    <w:rsid w:val="00C00250"/>
    <w:rsid w:val="00C0136D"/>
    <w:rsid w:val="00C040D8"/>
    <w:rsid w:val="00C04D43"/>
    <w:rsid w:val="00C05055"/>
    <w:rsid w:val="00C10177"/>
    <w:rsid w:val="00C12D2F"/>
    <w:rsid w:val="00C16393"/>
    <w:rsid w:val="00C21CA8"/>
    <w:rsid w:val="00C23738"/>
    <w:rsid w:val="00C24648"/>
    <w:rsid w:val="00C248EE"/>
    <w:rsid w:val="00C26DA0"/>
    <w:rsid w:val="00C3024A"/>
    <w:rsid w:val="00C31E4F"/>
    <w:rsid w:val="00C3266E"/>
    <w:rsid w:val="00C35C82"/>
    <w:rsid w:val="00C37066"/>
    <w:rsid w:val="00C40E3E"/>
    <w:rsid w:val="00C44430"/>
    <w:rsid w:val="00C449F1"/>
    <w:rsid w:val="00C44E66"/>
    <w:rsid w:val="00C45FF9"/>
    <w:rsid w:val="00C51F3E"/>
    <w:rsid w:val="00C5234D"/>
    <w:rsid w:val="00C531C9"/>
    <w:rsid w:val="00C53B55"/>
    <w:rsid w:val="00C548B1"/>
    <w:rsid w:val="00C55BC3"/>
    <w:rsid w:val="00C57CDC"/>
    <w:rsid w:val="00C60259"/>
    <w:rsid w:val="00C60414"/>
    <w:rsid w:val="00C6185D"/>
    <w:rsid w:val="00C61D16"/>
    <w:rsid w:val="00C634EA"/>
    <w:rsid w:val="00C653AC"/>
    <w:rsid w:val="00C6596C"/>
    <w:rsid w:val="00C6614A"/>
    <w:rsid w:val="00C663A4"/>
    <w:rsid w:val="00C71D90"/>
    <w:rsid w:val="00C74C3D"/>
    <w:rsid w:val="00C75BEA"/>
    <w:rsid w:val="00C7616C"/>
    <w:rsid w:val="00C821BC"/>
    <w:rsid w:val="00C849F5"/>
    <w:rsid w:val="00C867D7"/>
    <w:rsid w:val="00C91FB2"/>
    <w:rsid w:val="00C92374"/>
    <w:rsid w:val="00C93443"/>
    <w:rsid w:val="00C94E35"/>
    <w:rsid w:val="00C96C77"/>
    <w:rsid w:val="00C96D43"/>
    <w:rsid w:val="00C97575"/>
    <w:rsid w:val="00CA026B"/>
    <w:rsid w:val="00CA0995"/>
    <w:rsid w:val="00CA3230"/>
    <w:rsid w:val="00CA7DA5"/>
    <w:rsid w:val="00CA7FCD"/>
    <w:rsid w:val="00CA7FF0"/>
    <w:rsid w:val="00CB0591"/>
    <w:rsid w:val="00CB60B1"/>
    <w:rsid w:val="00CB6443"/>
    <w:rsid w:val="00CC00CD"/>
    <w:rsid w:val="00CC2112"/>
    <w:rsid w:val="00CC4B72"/>
    <w:rsid w:val="00CC5BB7"/>
    <w:rsid w:val="00CC668E"/>
    <w:rsid w:val="00CD078A"/>
    <w:rsid w:val="00CD0C65"/>
    <w:rsid w:val="00CD1717"/>
    <w:rsid w:val="00CD3168"/>
    <w:rsid w:val="00CD4DEB"/>
    <w:rsid w:val="00CD4E6A"/>
    <w:rsid w:val="00CD5F1D"/>
    <w:rsid w:val="00CE1842"/>
    <w:rsid w:val="00CE3557"/>
    <w:rsid w:val="00CE6353"/>
    <w:rsid w:val="00CE78C8"/>
    <w:rsid w:val="00CF1834"/>
    <w:rsid w:val="00CF1B1A"/>
    <w:rsid w:val="00CF3DB4"/>
    <w:rsid w:val="00CF5708"/>
    <w:rsid w:val="00D01760"/>
    <w:rsid w:val="00D02290"/>
    <w:rsid w:val="00D02FA9"/>
    <w:rsid w:val="00D0438F"/>
    <w:rsid w:val="00D04D02"/>
    <w:rsid w:val="00D066C6"/>
    <w:rsid w:val="00D07D17"/>
    <w:rsid w:val="00D100F1"/>
    <w:rsid w:val="00D10B3F"/>
    <w:rsid w:val="00D11104"/>
    <w:rsid w:val="00D13158"/>
    <w:rsid w:val="00D1355F"/>
    <w:rsid w:val="00D14E4C"/>
    <w:rsid w:val="00D16E39"/>
    <w:rsid w:val="00D2059C"/>
    <w:rsid w:val="00D223B6"/>
    <w:rsid w:val="00D223BF"/>
    <w:rsid w:val="00D2477E"/>
    <w:rsid w:val="00D25858"/>
    <w:rsid w:val="00D26A74"/>
    <w:rsid w:val="00D27347"/>
    <w:rsid w:val="00D31D03"/>
    <w:rsid w:val="00D31D3A"/>
    <w:rsid w:val="00D335A1"/>
    <w:rsid w:val="00D339FA"/>
    <w:rsid w:val="00D361BF"/>
    <w:rsid w:val="00D4100E"/>
    <w:rsid w:val="00D444D4"/>
    <w:rsid w:val="00D45895"/>
    <w:rsid w:val="00D45B57"/>
    <w:rsid w:val="00D47753"/>
    <w:rsid w:val="00D47D94"/>
    <w:rsid w:val="00D500DB"/>
    <w:rsid w:val="00D509AE"/>
    <w:rsid w:val="00D51B23"/>
    <w:rsid w:val="00D51F79"/>
    <w:rsid w:val="00D54817"/>
    <w:rsid w:val="00D5721C"/>
    <w:rsid w:val="00D57FAA"/>
    <w:rsid w:val="00D60327"/>
    <w:rsid w:val="00D6044C"/>
    <w:rsid w:val="00D629E0"/>
    <w:rsid w:val="00D63052"/>
    <w:rsid w:val="00D652A7"/>
    <w:rsid w:val="00D66CC3"/>
    <w:rsid w:val="00D6791C"/>
    <w:rsid w:val="00D67A53"/>
    <w:rsid w:val="00D72E9D"/>
    <w:rsid w:val="00D8008F"/>
    <w:rsid w:val="00D80641"/>
    <w:rsid w:val="00D82897"/>
    <w:rsid w:val="00D82CE5"/>
    <w:rsid w:val="00D83908"/>
    <w:rsid w:val="00D85F27"/>
    <w:rsid w:val="00D86256"/>
    <w:rsid w:val="00D87DD1"/>
    <w:rsid w:val="00D90FE4"/>
    <w:rsid w:val="00D91951"/>
    <w:rsid w:val="00D94598"/>
    <w:rsid w:val="00D94962"/>
    <w:rsid w:val="00D95B43"/>
    <w:rsid w:val="00D96337"/>
    <w:rsid w:val="00DA2E69"/>
    <w:rsid w:val="00DA32A3"/>
    <w:rsid w:val="00DA395F"/>
    <w:rsid w:val="00DA520C"/>
    <w:rsid w:val="00DA54D1"/>
    <w:rsid w:val="00DA5AB1"/>
    <w:rsid w:val="00DA5D71"/>
    <w:rsid w:val="00DA7706"/>
    <w:rsid w:val="00DB04D4"/>
    <w:rsid w:val="00DB156C"/>
    <w:rsid w:val="00DB259A"/>
    <w:rsid w:val="00DB6633"/>
    <w:rsid w:val="00DC13B7"/>
    <w:rsid w:val="00DC2B8C"/>
    <w:rsid w:val="00DC39BB"/>
    <w:rsid w:val="00DC3DD9"/>
    <w:rsid w:val="00DC4CB8"/>
    <w:rsid w:val="00DC5871"/>
    <w:rsid w:val="00DC62E5"/>
    <w:rsid w:val="00DC6929"/>
    <w:rsid w:val="00DD04F2"/>
    <w:rsid w:val="00DD1C32"/>
    <w:rsid w:val="00DD32C5"/>
    <w:rsid w:val="00DD3FA2"/>
    <w:rsid w:val="00DD5605"/>
    <w:rsid w:val="00DD59D7"/>
    <w:rsid w:val="00DD6ABE"/>
    <w:rsid w:val="00DD735D"/>
    <w:rsid w:val="00DE1F24"/>
    <w:rsid w:val="00DE3119"/>
    <w:rsid w:val="00DE6E0C"/>
    <w:rsid w:val="00DE74A8"/>
    <w:rsid w:val="00DF236B"/>
    <w:rsid w:val="00DF6D95"/>
    <w:rsid w:val="00E01821"/>
    <w:rsid w:val="00E04179"/>
    <w:rsid w:val="00E04DE3"/>
    <w:rsid w:val="00E05991"/>
    <w:rsid w:val="00E06A99"/>
    <w:rsid w:val="00E06E08"/>
    <w:rsid w:val="00E07332"/>
    <w:rsid w:val="00E10A7E"/>
    <w:rsid w:val="00E113F1"/>
    <w:rsid w:val="00E11C35"/>
    <w:rsid w:val="00E12BC3"/>
    <w:rsid w:val="00E13AB8"/>
    <w:rsid w:val="00E211E2"/>
    <w:rsid w:val="00E22816"/>
    <w:rsid w:val="00E22F43"/>
    <w:rsid w:val="00E230FD"/>
    <w:rsid w:val="00E24E1A"/>
    <w:rsid w:val="00E25CB3"/>
    <w:rsid w:val="00E26303"/>
    <w:rsid w:val="00E263C0"/>
    <w:rsid w:val="00E30C68"/>
    <w:rsid w:val="00E323A4"/>
    <w:rsid w:val="00E33B62"/>
    <w:rsid w:val="00E3604F"/>
    <w:rsid w:val="00E37727"/>
    <w:rsid w:val="00E378A8"/>
    <w:rsid w:val="00E4010D"/>
    <w:rsid w:val="00E4143A"/>
    <w:rsid w:val="00E41DA5"/>
    <w:rsid w:val="00E42F18"/>
    <w:rsid w:val="00E4341D"/>
    <w:rsid w:val="00E438ED"/>
    <w:rsid w:val="00E4540B"/>
    <w:rsid w:val="00E45982"/>
    <w:rsid w:val="00E471D7"/>
    <w:rsid w:val="00E47E94"/>
    <w:rsid w:val="00E516F9"/>
    <w:rsid w:val="00E52AE6"/>
    <w:rsid w:val="00E53C0C"/>
    <w:rsid w:val="00E551B1"/>
    <w:rsid w:val="00E56D69"/>
    <w:rsid w:val="00E57224"/>
    <w:rsid w:val="00E6039E"/>
    <w:rsid w:val="00E6049C"/>
    <w:rsid w:val="00E60A8C"/>
    <w:rsid w:val="00E61AEE"/>
    <w:rsid w:val="00E62D5F"/>
    <w:rsid w:val="00E642B5"/>
    <w:rsid w:val="00E667E7"/>
    <w:rsid w:val="00E673D1"/>
    <w:rsid w:val="00E67555"/>
    <w:rsid w:val="00E67FC7"/>
    <w:rsid w:val="00E75248"/>
    <w:rsid w:val="00E77DDF"/>
    <w:rsid w:val="00E8165D"/>
    <w:rsid w:val="00E82BF8"/>
    <w:rsid w:val="00E83676"/>
    <w:rsid w:val="00E8759D"/>
    <w:rsid w:val="00E87C04"/>
    <w:rsid w:val="00E95221"/>
    <w:rsid w:val="00EA0B3F"/>
    <w:rsid w:val="00EA1DFE"/>
    <w:rsid w:val="00EA38CA"/>
    <w:rsid w:val="00EA3908"/>
    <w:rsid w:val="00EA3A6A"/>
    <w:rsid w:val="00EA5F0A"/>
    <w:rsid w:val="00EA62BE"/>
    <w:rsid w:val="00EA76CC"/>
    <w:rsid w:val="00EB49E9"/>
    <w:rsid w:val="00EB4E04"/>
    <w:rsid w:val="00EB52EB"/>
    <w:rsid w:val="00EB673D"/>
    <w:rsid w:val="00EB7BAF"/>
    <w:rsid w:val="00EC02E9"/>
    <w:rsid w:val="00EC07B9"/>
    <w:rsid w:val="00EC55B4"/>
    <w:rsid w:val="00EC5DE4"/>
    <w:rsid w:val="00EC6C6C"/>
    <w:rsid w:val="00ED030F"/>
    <w:rsid w:val="00ED069A"/>
    <w:rsid w:val="00ED137B"/>
    <w:rsid w:val="00ED66AF"/>
    <w:rsid w:val="00EE59B5"/>
    <w:rsid w:val="00EE5DF7"/>
    <w:rsid w:val="00EE6F2B"/>
    <w:rsid w:val="00EE7B55"/>
    <w:rsid w:val="00EF0430"/>
    <w:rsid w:val="00EF3228"/>
    <w:rsid w:val="00F02DE3"/>
    <w:rsid w:val="00F032A9"/>
    <w:rsid w:val="00F03A97"/>
    <w:rsid w:val="00F1003E"/>
    <w:rsid w:val="00F12C0B"/>
    <w:rsid w:val="00F132C2"/>
    <w:rsid w:val="00F13DC5"/>
    <w:rsid w:val="00F14845"/>
    <w:rsid w:val="00F1742F"/>
    <w:rsid w:val="00F23B21"/>
    <w:rsid w:val="00F23E3A"/>
    <w:rsid w:val="00F24412"/>
    <w:rsid w:val="00F26523"/>
    <w:rsid w:val="00F27FB1"/>
    <w:rsid w:val="00F30C87"/>
    <w:rsid w:val="00F31A6E"/>
    <w:rsid w:val="00F32B08"/>
    <w:rsid w:val="00F32E6C"/>
    <w:rsid w:val="00F3318F"/>
    <w:rsid w:val="00F34399"/>
    <w:rsid w:val="00F358DD"/>
    <w:rsid w:val="00F376A3"/>
    <w:rsid w:val="00F37829"/>
    <w:rsid w:val="00F378FF"/>
    <w:rsid w:val="00F37CC3"/>
    <w:rsid w:val="00F41307"/>
    <w:rsid w:val="00F42770"/>
    <w:rsid w:val="00F431BE"/>
    <w:rsid w:val="00F44920"/>
    <w:rsid w:val="00F44E08"/>
    <w:rsid w:val="00F45492"/>
    <w:rsid w:val="00F45C5C"/>
    <w:rsid w:val="00F50FAB"/>
    <w:rsid w:val="00F51397"/>
    <w:rsid w:val="00F5291B"/>
    <w:rsid w:val="00F545CE"/>
    <w:rsid w:val="00F561C2"/>
    <w:rsid w:val="00F562FB"/>
    <w:rsid w:val="00F56935"/>
    <w:rsid w:val="00F56E9D"/>
    <w:rsid w:val="00F57D9D"/>
    <w:rsid w:val="00F603CC"/>
    <w:rsid w:val="00F611E6"/>
    <w:rsid w:val="00F62DFF"/>
    <w:rsid w:val="00F62F6D"/>
    <w:rsid w:val="00F6417E"/>
    <w:rsid w:val="00F673F5"/>
    <w:rsid w:val="00F676FB"/>
    <w:rsid w:val="00F7036D"/>
    <w:rsid w:val="00F71603"/>
    <w:rsid w:val="00F72043"/>
    <w:rsid w:val="00F74CF2"/>
    <w:rsid w:val="00F7523B"/>
    <w:rsid w:val="00F806CC"/>
    <w:rsid w:val="00F8082A"/>
    <w:rsid w:val="00F84899"/>
    <w:rsid w:val="00F84D74"/>
    <w:rsid w:val="00F85099"/>
    <w:rsid w:val="00F859F0"/>
    <w:rsid w:val="00F8669E"/>
    <w:rsid w:val="00F86F03"/>
    <w:rsid w:val="00F87AEE"/>
    <w:rsid w:val="00F902D7"/>
    <w:rsid w:val="00F90481"/>
    <w:rsid w:val="00F909ED"/>
    <w:rsid w:val="00F93217"/>
    <w:rsid w:val="00F935FB"/>
    <w:rsid w:val="00F95890"/>
    <w:rsid w:val="00F96D0E"/>
    <w:rsid w:val="00F97ECF"/>
    <w:rsid w:val="00FA039C"/>
    <w:rsid w:val="00FA071D"/>
    <w:rsid w:val="00FA12FD"/>
    <w:rsid w:val="00FA19FB"/>
    <w:rsid w:val="00FA1C94"/>
    <w:rsid w:val="00FA20E6"/>
    <w:rsid w:val="00FA2863"/>
    <w:rsid w:val="00FB03EE"/>
    <w:rsid w:val="00FB1417"/>
    <w:rsid w:val="00FB4F3F"/>
    <w:rsid w:val="00FB6A61"/>
    <w:rsid w:val="00FC1D2E"/>
    <w:rsid w:val="00FC3C98"/>
    <w:rsid w:val="00FC53F2"/>
    <w:rsid w:val="00FC6841"/>
    <w:rsid w:val="00FD1B9A"/>
    <w:rsid w:val="00FD25AA"/>
    <w:rsid w:val="00FD29A3"/>
    <w:rsid w:val="00FD385C"/>
    <w:rsid w:val="00FD61AC"/>
    <w:rsid w:val="00FD630C"/>
    <w:rsid w:val="00FD71E5"/>
    <w:rsid w:val="00FD75E0"/>
    <w:rsid w:val="00FE01B6"/>
    <w:rsid w:val="00FE141E"/>
    <w:rsid w:val="00FE3BCC"/>
    <w:rsid w:val="00FE3E0A"/>
    <w:rsid w:val="00FE42ED"/>
    <w:rsid w:val="00FE455B"/>
    <w:rsid w:val="00FE5D3C"/>
    <w:rsid w:val="00FE6D4C"/>
    <w:rsid w:val="00FE7555"/>
    <w:rsid w:val="00FF0706"/>
    <w:rsid w:val="00FF208F"/>
    <w:rsid w:val="00FF29B6"/>
    <w:rsid w:val="00FF2F4B"/>
    <w:rsid w:val="00FF49F5"/>
    <w:rsid w:val="00FF69D5"/>
    <w:rsid w:val="3A769121"/>
    <w:rsid w:val="771DAC4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861"/>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customStyle="1" w:styleId="Default">
    <w:name w:val="Default"/>
    <w:rsid w:val="004E06CC"/>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0975B0"/>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0975B0"/>
    <w:rPr>
      <w:rFonts w:ascii="Arial" w:eastAsia="Arial" w:hAnsi="Arial" w:cs="Arial"/>
      <w:lang w:val="es-ES"/>
    </w:rPr>
  </w:style>
  <w:style w:type="paragraph" w:customStyle="1" w:styleId="Appelnotedebasde">
    <w:name w:val="Appel note de bas de..."/>
    <w:basedOn w:val="Normal"/>
    <w:link w:val="Refdenotaalpie"/>
    <w:uiPriority w:val="99"/>
    <w:rsid w:val="004B57D3"/>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8A1E11"/>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37CC3"/>
  </w:style>
  <w:style w:type="paragraph" w:styleId="Revisin">
    <w:name w:val="Revision"/>
    <w:hidden/>
    <w:uiPriority w:val="99"/>
    <w:semiHidden/>
    <w:rsid w:val="002739B6"/>
    <w:pPr>
      <w:spacing w:after="0" w:line="240" w:lineRule="auto"/>
    </w:pPr>
    <w:rPr>
      <w:rFonts w:ascii="Times New Roman" w:eastAsia="Times New Roman" w:hAnsi="Times New Roman" w:cs="Times New Roman"/>
      <w:sz w:val="24"/>
      <w:szCs w:val="24"/>
      <w:lang w:eastAsia="es-ES_tradnl"/>
    </w:rPr>
  </w:style>
  <w:style w:type="character" w:styleId="nfasis">
    <w:name w:val="Emphasis"/>
    <w:basedOn w:val="Fuentedeprrafopredeter"/>
    <w:uiPriority w:val="20"/>
    <w:qFormat/>
    <w:rsid w:val="00901E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1920923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6418164">
      <w:bodyDiv w:val="1"/>
      <w:marLeft w:val="0"/>
      <w:marRight w:val="0"/>
      <w:marTop w:val="0"/>
      <w:marBottom w:val="0"/>
      <w:divBdr>
        <w:top w:val="none" w:sz="0" w:space="0" w:color="auto"/>
        <w:left w:val="none" w:sz="0" w:space="0" w:color="auto"/>
        <w:bottom w:val="none" w:sz="0" w:space="0" w:color="auto"/>
        <w:right w:val="none" w:sz="0" w:space="0" w:color="auto"/>
      </w:divBdr>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4636362">
      <w:bodyDiv w:val="1"/>
      <w:marLeft w:val="0"/>
      <w:marRight w:val="0"/>
      <w:marTop w:val="0"/>
      <w:marBottom w:val="0"/>
      <w:divBdr>
        <w:top w:val="none" w:sz="0" w:space="0" w:color="auto"/>
        <w:left w:val="none" w:sz="0" w:space="0" w:color="auto"/>
        <w:bottom w:val="none" w:sz="0" w:space="0" w:color="auto"/>
        <w:right w:val="none" w:sz="0" w:space="0" w:color="auto"/>
      </w:divBdr>
    </w:div>
    <w:div w:id="192815725">
      <w:bodyDiv w:val="1"/>
      <w:marLeft w:val="0"/>
      <w:marRight w:val="0"/>
      <w:marTop w:val="0"/>
      <w:marBottom w:val="0"/>
      <w:divBdr>
        <w:top w:val="none" w:sz="0" w:space="0" w:color="auto"/>
        <w:left w:val="none" w:sz="0" w:space="0" w:color="auto"/>
        <w:bottom w:val="none" w:sz="0" w:space="0" w:color="auto"/>
        <w:right w:val="none" w:sz="0" w:space="0" w:color="auto"/>
      </w:divBdr>
    </w:div>
    <w:div w:id="194779448">
      <w:bodyDiv w:val="1"/>
      <w:marLeft w:val="0"/>
      <w:marRight w:val="0"/>
      <w:marTop w:val="0"/>
      <w:marBottom w:val="0"/>
      <w:divBdr>
        <w:top w:val="none" w:sz="0" w:space="0" w:color="auto"/>
        <w:left w:val="none" w:sz="0" w:space="0" w:color="auto"/>
        <w:bottom w:val="none" w:sz="0" w:space="0" w:color="auto"/>
        <w:right w:val="none" w:sz="0" w:space="0" w:color="auto"/>
      </w:divBdr>
    </w:div>
    <w:div w:id="201871922">
      <w:bodyDiv w:val="1"/>
      <w:marLeft w:val="0"/>
      <w:marRight w:val="0"/>
      <w:marTop w:val="0"/>
      <w:marBottom w:val="0"/>
      <w:divBdr>
        <w:top w:val="none" w:sz="0" w:space="0" w:color="auto"/>
        <w:left w:val="none" w:sz="0" w:space="0" w:color="auto"/>
        <w:bottom w:val="none" w:sz="0" w:space="0" w:color="auto"/>
        <w:right w:val="none" w:sz="0" w:space="0" w:color="auto"/>
      </w:divBdr>
    </w:div>
    <w:div w:id="274561817">
      <w:bodyDiv w:val="1"/>
      <w:marLeft w:val="0"/>
      <w:marRight w:val="0"/>
      <w:marTop w:val="0"/>
      <w:marBottom w:val="0"/>
      <w:divBdr>
        <w:top w:val="none" w:sz="0" w:space="0" w:color="auto"/>
        <w:left w:val="none" w:sz="0" w:space="0" w:color="auto"/>
        <w:bottom w:val="none" w:sz="0" w:space="0" w:color="auto"/>
        <w:right w:val="none" w:sz="0" w:space="0" w:color="auto"/>
      </w:divBdr>
    </w:div>
    <w:div w:id="27911855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1007427">
      <w:bodyDiv w:val="1"/>
      <w:marLeft w:val="0"/>
      <w:marRight w:val="0"/>
      <w:marTop w:val="0"/>
      <w:marBottom w:val="0"/>
      <w:divBdr>
        <w:top w:val="none" w:sz="0" w:space="0" w:color="auto"/>
        <w:left w:val="none" w:sz="0" w:space="0" w:color="auto"/>
        <w:bottom w:val="none" w:sz="0" w:space="0" w:color="auto"/>
        <w:right w:val="none" w:sz="0" w:space="0" w:color="auto"/>
      </w:divBdr>
    </w:div>
    <w:div w:id="30875189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83333820">
      <w:bodyDiv w:val="1"/>
      <w:marLeft w:val="0"/>
      <w:marRight w:val="0"/>
      <w:marTop w:val="0"/>
      <w:marBottom w:val="0"/>
      <w:divBdr>
        <w:top w:val="none" w:sz="0" w:space="0" w:color="auto"/>
        <w:left w:val="none" w:sz="0" w:space="0" w:color="auto"/>
        <w:bottom w:val="none" w:sz="0" w:space="0" w:color="auto"/>
        <w:right w:val="none" w:sz="0" w:space="0" w:color="auto"/>
      </w:divBdr>
    </w:div>
    <w:div w:id="45652657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1380794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2376328">
      <w:bodyDiv w:val="1"/>
      <w:marLeft w:val="0"/>
      <w:marRight w:val="0"/>
      <w:marTop w:val="0"/>
      <w:marBottom w:val="0"/>
      <w:divBdr>
        <w:top w:val="none" w:sz="0" w:space="0" w:color="auto"/>
        <w:left w:val="none" w:sz="0" w:space="0" w:color="auto"/>
        <w:bottom w:val="none" w:sz="0" w:space="0" w:color="auto"/>
        <w:right w:val="none" w:sz="0" w:space="0" w:color="auto"/>
      </w:divBdr>
    </w:div>
    <w:div w:id="562378393">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960505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0201273">
      <w:bodyDiv w:val="1"/>
      <w:marLeft w:val="0"/>
      <w:marRight w:val="0"/>
      <w:marTop w:val="0"/>
      <w:marBottom w:val="0"/>
      <w:divBdr>
        <w:top w:val="none" w:sz="0" w:space="0" w:color="auto"/>
        <w:left w:val="none" w:sz="0" w:space="0" w:color="auto"/>
        <w:bottom w:val="none" w:sz="0" w:space="0" w:color="auto"/>
        <w:right w:val="none" w:sz="0" w:space="0" w:color="auto"/>
      </w:divBdr>
    </w:div>
    <w:div w:id="731776948">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07015787">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3737">
      <w:bodyDiv w:val="1"/>
      <w:marLeft w:val="0"/>
      <w:marRight w:val="0"/>
      <w:marTop w:val="0"/>
      <w:marBottom w:val="0"/>
      <w:divBdr>
        <w:top w:val="none" w:sz="0" w:space="0" w:color="auto"/>
        <w:left w:val="none" w:sz="0" w:space="0" w:color="auto"/>
        <w:bottom w:val="none" w:sz="0" w:space="0" w:color="auto"/>
        <w:right w:val="none" w:sz="0" w:space="0" w:color="auto"/>
      </w:divBdr>
    </w:div>
    <w:div w:id="826092302">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481560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36933697">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064373246">
      <w:bodyDiv w:val="1"/>
      <w:marLeft w:val="0"/>
      <w:marRight w:val="0"/>
      <w:marTop w:val="0"/>
      <w:marBottom w:val="0"/>
      <w:divBdr>
        <w:top w:val="none" w:sz="0" w:space="0" w:color="auto"/>
        <w:left w:val="none" w:sz="0" w:space="0" w:color="auto"/>
        <w:bottom w:val="none" w:sz="0" w:space="0" w:color="auto"/>
        <w:right w:val="none" w:sz="0" w:space="0" w:color="auto"/>
      </w:divBdr>
    </w:div>
    <w:div w:id="1080909071">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3990039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52275215">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55164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514035118">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00868">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589314528">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06765275">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24985918">
      <w:bodyDiv w:val="1"/>
      <w:marLeft w:val="0"/>
      <w:marRight w:val="0"/>
      <w:marTop w:val="0"/>
      <w:marBottom w:val="0"/>
      <w:divBdr>
        <w:top w:val="none" w:sz="0" w:space="0" w:color="auto"/>
        <w:left w:val="none" w:sz="0" w:space="0" w:color="auto"/>
        <w:bottom w:val="none" w:sz="0" w:space="0" w:color="auto"/>
        <w:right w:val="none" w:sz="0" w:space="0" w:color="auto"/>
      </w:divBdr>
    </w:div>
    <w:div w:id="1725717940">
      <w:bodyDiv w:val="1"/>
      <w:marLeft w:val="0"/>
      <w:marRight w:val="0"/>
      <w:marTop w:val="0"/>
      <w:marBottom w:val="0"/>
      <w:divBdr>
        <w:top w:val="none" w:sz="0" w:space="0" w:color="auto"/>
        <w:left w:val="none" w:sz="0" w:space="0" w:color="auto"/>
        <w:bottom w:val="none" w:sz="0" w:space="0" w:color="auto"/>
        <w:right w:val="none" w:sz="0" w:space="0" w:color="auto"/>
      </w:divBdr>
    </w:div>
    <w:div w:id="1769495870">
      <w:bodyDiv w:val="1"/>
      <w:marLeft w:val="0"/>
      <w:marRight w:val="0"/>
      <w:marTop w:val="0"/>
      <w:marBottom w:val="0"/>
      <w:divBdr>
        <w:top w:val="none" w:sz="0" w:space="0" w:color="auto"/>
        <w:left w:val="none" w:sz="0" w:space="0" w:color="auto"/>
        <w:bottom w:val="none" w:sz="0" w:space="0" w:color="auto"/>
        <w:right w:val="none" w:sz="0" w:space="0" w:color="auto"/>
      </w:divBdr>
    </w:div>
    <w:div w:id="1779374041">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57425859">
      <w:bodyDiv w:val="1"/>
      <w:marLeft w:val="0"/>
      <w:marRight w:val="0"/>
      <w:marTop w:val="0"/>
      <w:marBottom w:val="0"/>
      <w:divBdr>
        <w:top w:val="none" w:sz="0" w:space="0" w:color="auto"/>
        <w:left w:val="none" w:sz="0" w:space="0" w:color="auto"/>
        <w:bottom w:val="none" w:sz="0" w:space="0" w:color="auto"/>
        <w:right w:val="none" w:sz="0" w:space="0" w:color="auto"/>
      </w:divBdr>
    </w:div>
    <w:div w:id="1865512947">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72372657">
      <w:bodyDiv w:val="1"/>
      <w:marLeft w:val="0"/>
      <w:marRight w:val="0"/>
      <w:marTop w:val="0"/>
      <w:marBottom w:val="0"/>
      <w:divBdr>
        <w:top w:val="none" w:sz="0" w:space="0" w:color="auto"/>
        <w:left w:val="none" w:sz="0" w:space="0" w:color="auto"/>
        <w:bottom w:val="none" w:sz="0" w:space="0" w:color="auto"/>
        <w:right w:val="none" w:sz="0" w:space="0" w:color="auto"/>
      </w:divBdr>
    </w:div>
    <w:div w:id="1878351594">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849060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0406775">
      <w:bodyDiv w:val="1"/>
      <w:marLeft w:val="0"/>
      <w:marRight w:val="0"/>
      <w:marTop w:val="0"/>
      <w:marBottom w:val="0"/>
      <w:divBdr>
        <w:top w:val="none" w:sz="0" w:space="0" w:color="auto"/>
        <w:left w:val="none" w:sz="0" w:space="0" w:color="auto"/>
        <w:bottom w:val="none" w:sz="0" w:space="0" w:color="auto"/>
        <w:right w:val="none" w:sz="0" w:space="0" w:color="auto"/>
      </w:divBdr>
    </w:div>
    <w:div w:id="1955398971">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78475021">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26653552">
      <w:bodyDiv w:val="1"/>
      <w:marLeft w:val="0"/>
      <w:marRight w:val="0"/>
      <w:marTop w:val="0"/>
      <w:marBottom w:val="0"/>
      <w:divBdr>
        <w:top w:val="none" w:sz="0" w:space="0" w:color="auto"/>
        <w:left w:val="none" w:sz="0" w:space="0" w:color="auto"/>
        <w:bottom w:val="none" w:sz="0" w:space="0" w:color="auto"/>
        <w:right w:val="none" w:sz="0" w:space="0" w:color="auto"/>
      </w:divBdr>
    </w:div>
    <w:div w:id="21343202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592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garantia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B3DA9-057E-4CF2-80A3-42083050370E}">
  <ds:schemaRefs>
    <ds:schemaRef ds:uri="http://purl.org/dc/elements/1.1/"/>
    <ds:schemaRef ds:uri="http://schemas.microsoft.com/office/2006/documentManagement/types"/>
    <ds:schemaRef ds:uri="http://www.w3.org/XML/1998/namespace"/>
    <ds:schemaRef ds:uri="http://schemas.microsoft.com/office/2006/metadata/properties"/>
    <ds:schemaRef ds:uri="9d85dbaf-23eb-4e57-a637-93dcacc8b1a1"/>
    <ds:schemaRef ds:uri="http://purl.org/dc/dcmitype/"/>
    <ds:schemaRef ds:uri="http://purl.org/dc/terms/"/>
    <ds:schemaRef ds:uri="http://schemas.microsoft.com/office/infopath/2007/PartnerControls"/>
    <ds:schemaRef ds:uri="http://schemas.openxmlformats.org/package/2006/metadata/core-properties"/>
    <ds:schemaRef ds:uri="a6cb9e4b-f1d1-4245-83ec-6cad768d538a"/>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EEFA398-65E6-44C9-8558-C4F216682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35BCAB-85C6-4E11-BC03-8A57F8D3F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4651</Words>
  <Characters>25586</Characters>
  <Application>Microsoft Office Word</Application>
  <DocSecurity>0</DocSecurity>
  <Lines>213</Lines>
  <Paragraphs>60</Paragraphs>
  <ScaleCrop>false</ScaleCrop>
  <Company/>
  <LinksUpToDate>false</LinksUpToDate>
  <CharactersWithSpaces>30177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Ana Maria Velez Arteaga</cp:lastModifiedBy>
  <cp:revision>2</cp:revision>
  <cp:lastPrinted>2020-01-30T15:05:00Z</cp:lastPrinted>
  <dcterms:created xsi:type="dcterms:W3CDTF">2023-02-27T19:17:00Z</dcterms:created>
  <dcterms:modified xsi:type="dcterms:W3CDTF">2023-02-27T19:17:00Z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