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36078" w14:textId="77777777" w:rsidR="00E75F33" w:rsidRPr="00E75F33" w:rsidRDefault="00E75F33" w:rsidP="00E75F33">
      <w:pPr>
        <w:spacing w:after="0" w:line="240" w:lineRule="auto"/>
        <w:jc w:val="both"/>
        <w:rPr>
          <w:rFonts w:ascii="Verdana" w:eastAsia="Verdana" w:hAnsi="Verdana" w:cs="Verdana"/>
        </w:rPr>
      </w:pPr>
      <w:bookmarkStart w:id="0" w:name="_Hlk143780582"/>
      <w:r w:rsidRPr="00E75F33">
        <w:rPr>
          <w:rFonts w:ascii="Verdana" w:eastAsia="Times New Roman" w:hAnsi="Verdana" w:cs="Arial"/>
          <w:b/>
          <w:bCs/>
          <w:lang w:eastAsia="es-ES_tradnl"/>
        </w:rPr>
        <w:t xml:space="preserve">DOCUMENTOS TIPO – Fundamento normativo – Obligatoriedad – Ámbito de aplicación – Entidades sometidas  </w:t>
      </w:r>
    </w:p>
    <w:p w14:paraId="7638D520" w14:textId="77777777" w:rsidR="00E75F33" w:rsidRPr="00E75F33" w:rsidRDefault="00E75F33" w:rsidP="00E75F33">
      <w:pPr>
        <w:spacing w:after="0" w:line="240" w:lineRule="auto"/>
        <w:jc w:val="both"/>
        <w:rPr>
          <w:rFonts w:ascii="Verdana" w:eastAsia="Times New Roman" w:hAnsi="Verdana" w:cs="Arial"/>
          <w:b/>
          <w:bCs/>
          <w:sz w:val="20"/>
          <w:szCs w:val="20"/>
          <w:lang w:eastAsia="es-ES_tradnl"/>
        </w:rPr>
      </w:pPr>
    </w:p>
    <w:p w14:paraId="7D551E4A" w14:textId="77777777" w:rsidR="00E75F33" w:rsidRPr="00E75F33" w:rsidRDefault="00E75F33" w:rsidP="00E75F33">
      <w:pPr>
        <w:spacing w:after="0" w:line="240" w:lineRule="auto"/>
        <w:jc w:val="both"/>
        <w:rPr>
          <w:rFonts w:ascii="Verdana" w:eastAsia="Calibri" w:hAnsi="Verdana" w:cs="Arial"/>
          <w:sz w:val="20"/>
          <w:szCs w:val="20"/>
          <w:lang w:val="es-ES_tradnl" w:eastAsia="es-ES"/>
        </w:rPr>
      </w:pPr>
      <w:r w:rsidRPr="00E75F33">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E75F33">
        <w:rPr>
          <w:rFonts w:ascii="Verdana" w:eastAsia="Calibri" w:hAnsi="Verdana" w:cs="Arial"/>
          <w:bCs/>
          <w:sz w:val="20"/>
          <w:szCs w:val="20"/>
          <w:lang w:val="es-ES_tradnl" w:eastAsia="es-ES_tradnl"/>
        </w:rPr>
        <w:t>EGCAP</w:t>
      </w:r>
      <w:r w:rsidRPr="00E75F33">
        <w:rPr>
          <w:rFonts w:ascii="Verdana" w:eastAsia="Calibri" w:hAnsi="Verdana" w:cs="Arial"/>
          <w:sz w:val="20"/>
          <w:szCs w:val="20"/>
          <w:lang w:val="es-ES_tradnl" w:eastAsia="es-ES"/>
        </w:rPr>
        <w:t xml:space="preserve">, se atribuyó a la </w:t>
      </w:r>
      <w:r w:rsidRPr="00E75F33">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4577EBDA" w14:textId="77777777" w:rsidR="00E75F33" w:rsidRPr="00E75F33" w:rsidRDefault="00E75F33" w:rsidP="00E75F33">
      <w:pPr>
        <w:spacing w:after="0" w:line="240" w:lineRule="auto"/>
        <w:jc w:val="both"/>
        <w:rPr>
          <w:rFonts w:ascii="Verdana" w:eastAsia="Calibri" w:hAnsi="Verdana" w:cs="Arial"/>
          <w:sz w:val="20"/>
          <w:szCs w:val="20"/>
          <w:lang w:val="es-ES_tradnl" w:eastAsia="es-ES"/>
        </w:rPr>
      </w:pPr>
    </w:p>
    <w:p w14:paraId="249FE47C" w14:textId="77777777" w:rsidR="00E75F33" w:rsidRPr="00E75F33" w:rsidRDefault="00E75F33" w:rsidP="00E75F33">
      <w:pPr>
        <w:spacing w:after="0" w:line="240" w:lineRule="auto"/>
        <w:jc w:val="both"/>
        <w:rPr>
          <w:rFonts w:ascii="Verdana" w:eastAsia="Calibri" w:hAnsi="Verdana" w:cs="Arial"/>
          <w:sz w:val="20"/>
          <w:szCs w:val="20"/>
          <w:lang w:eastAsia="es-MX"/>
        </w:rPr>
      </w:pPr>
      <w:r w:rsidRPr="00E75F33">
        <w:rPr>
          <w:rFonts w:ascii="Verdana" w:eastAsia="Calibri" w:hAnsi="Verdana" w:cs="Arial"/>
          <w:sz w:val="20"/>
          <w:szCs w:val="20"/>
          <w:lang w:eastAsia="es-ES_tradnl"/>
        </w:rPr>
        <w:t xml:space="preserve">De acuerdo con lo expuesto, </w:t>
      </w:r>
      <w:r w:rsidRPr="00E75F33">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E75F33">
        <w:rPr>
          <w:rFonts w:ascii="Verdana" w:eastAsia="Calibri" w:hAnsi="Verdana" w:cs="Arial"/>
          <w:bCs/>
          <w:sz w:val="20"/>
          <w:szCs w:val="20"/>
          <w:lang w:val="es-ES_tradnl" w:eastAsia="es-ES_tradnl"/>
        </w:rPr>
        <w:t>EGCAP</w:t>
      </w:r>
      <w:r w:rsidRPr="00E75F33">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E75F33">
        <w:rPr>
          <w:rFonts w:ascii="Verdana" w:eastAsia="Calibri" w:hAnsi="Verdana" w:cs="Arial"/>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250D3E2B" w14:textId="77777777" w:rsidR="00E75F33" w:rsidRPr="00E75F33" w:rsidRDefault="00E75F33" w:rsidP="00E75F33">
      <w:pPr>
        <w:spacing w:after="0" w:line="240" w:lineRule="auto"/>
        <w:jc w:val="both"/>
        <w:rPr>
          <w:rFonts w:ascii="Verdana" w:eastAsia="Times New Roman" w:hAnsi="Verdana" w:cs="Arial"/>
          <w:b/>
          <w:bCs/>
          <w:sz w:val="24"/>
          <w:szCs w:val="24"/>
          <w:lang w:eastAsia="es-ES_tradnl"/>
        </w:rPr>
      </w:pPr>
    </w:p>
    <w:p w14:paraId="0816B84A" w14:textId="77777777" w:rsidR="00E75F33" w:rsidRPr="00E75F33" w:rsidRDefault="00E75F33" w:rsidP="00E75F33">
      <w:pPr>
        <w:spacing w:after="0" w:line="240" w:lineRule="auto"/>
        <w:jc w:val="both"/>
        <w:rPr>
          <w:rFonts w:ascii="Verdana" w:eastAsia="Calibri" w:hAnsi="Verdana" w:cs="Arial"/>
          <w:b/>
          <w:color w:val="000000"/>
          <w:lang w:val="es-ES_tradnl" w:eastAsia="es-ES_tradnl"/>
        </w:rPr>
      </w:pPr>
      <w:r w:rsidRPr="00E75F33">
        <w:rPr>
          <w:rFonts w:ascii="Verdana" w:eastAsia="Calibri" w:hAnsi="Verdana" w:cs="Arial"/>
          <w:b/>
          <w:color w:val="000000"/>
          <w:lang w:val="es-ES_tradnl" w:eastAsia="es-ES_tradnl"/>
        </w:rPr>
        <w:t>LEY 2195 DE 2022 – Artículo 56 – Personas jurídicas de derecho privado – Documentos tipo – Estatuto General de Contratación de la Administración Pública</w:t>
      </w:r>
    </w:p>
    <w:p w14:paraId="6AA898FE" w14:textId="77777777" w:rsidR="00E75F33" w:rsidRPr="00E75F33" w:rsidRDefault="00E75F33" w:rsidP="00E75F33">
      <w:pPr>
        <w:spacing w:after="0" w:line="240" w:lineRule="auto"/>
        <w:jc w:val="both"/>
        <w:rPr>
          <w:rFonts w:ascii="Verdana" w:eastAsia="Calibri" w:hAnsi="Verdana" w:cs="Arial"/>
          <w:b/>
          <w:color w:val="000000"/>
          <w:sz w:val="24"/>
          <w:szCs w:val="24"/>
          <w:lang w:val="es-ES_tradnl" w:eastAsia="es-ES_tradnl"/>
        </w:rPr>
      </w:pPr>
    </w:p>
    <w:p w14:paraId="61022542" w14:textId="77777777" w:rsidR="00E75F33" w:rsidRPr="00E75F33" w:rsidRDefault="00E75F33" w:rsidP="00E75F33">
      <w:pPr>
        <w:spacing w:after="0" w:line="240" w:lineRule="auto"/>
        <w:jc w:val="both"/>
        <w:rPr>
          <w:rFonts w:ascii="Verdana" w:eastAsia="Times New Roman" w:hAnsi="Verdana" w:cs="Arial"/>
          <w:noProof/>
          <w:color w:val="000000"/>
          <w:sz w:val="20"/>
          <w:szCs w:val="20"/>
          <w:lang w:val="es-ES_tradnl" w:eastAsia="es-ES_tradnl"/>
        </w:rPr>
      </w:pPr>
      <w:r w:rsidRPr="00E75F33">
        <w:rPr>
          <w:rFonts w:ascii="Verdana" w:eastAsia="Calibri" w:hAnsi="Verdana" w:cs="Arial"/>
          <w:sz w:val="20"/>
          <w:szCs w:val="20"/>
          <w:lang w:val="es-ES_tradnl" w:eastAsia="es-ES"/>
        </w:rPr>
        <w:t xml:space="preserve">[…] </w:t>
      </w:r>
      <w:r w:rsidRPr="00E75F33">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2A5C3EC7" w14:textId="77777777" w:rsidR="00E75F33" w:rsidRPr="00E75F33" w:rsidRDefault="00E75F33" w:rsidP="00E75F33">
      <w:pPr>
        <w:spacing w:after="0" w:line="240" w:lineRule="auto"/>
        <w:jc w:val="both"/>
        <w:rPr>
          <w:rFonts w:ascii="Verdana" w:eastAsia="Times New Roman" w:hAnsi="Verdana" w:cs="Arial"/>
          <w:noProof/>
          <w:color w:val="000000"/>
          <w:sz w:val="24"/>
          <w:szCs w:val="24"/>
          <w:lang w:val="es-ES_tradnl" w:eastAsia="es-ES_tradnl"/>
        </w:rPr>
      </w:pPr>
    </w:p>
    <w:p w14:paraId="2FE11E0D" w14:textId="77777777" w:rsidR="00E75F33" w:rsidRPr="00E75F33" w:rsidRDefault="00E75F33" w:rsidP="00E75F33">
      <w:pPr>
        <w:tabs>
          <w:tab w:val="left" w:pos="0"/>
        </w:tabs>
        <w:spacing w:after="0" w:line="240" w:lineRule="auto"/>
        <w:jc w:val="both"/>
        <w:rPr>
          <w:rFonts w:ascii="Verdana" w:eastAsia="Calibri" w:hAnsi="Verdana" w:cs="Arial"/>
          <w:b/>
          <w:color w:val="000000"/>
          <w:lang w:val="es-ES_tradnl" w:eastAsia="es-ES_tradnl"/>
        </w:rPr>
      </w:pPr>
      <w:r w:rsidRPr="00E75F33">
        <w:rPr>
          <w:rFonts w:ascii="Verdana" w:eastAsia="Calibri" w:hAnsi="Verdana" w:cs="Arial"/>
          <w:b/>
          <w:color w:val="000000"/>
          <w:lang w:val="es-ES_tradnl" w:eastAsia="es-ES_tradnl"/>
        </w:rPr>
        <w:t xml:space="preserve">LEY 2195 DE 2022 – Artículo 56 – Parágrafo – Alcance </w:t>
      </w:r>
    </w:p>
    <w:p w14:paraId="6A4AB6AE" w14:textId="77777777" w:rsidR="00E75F33" w:rsidRPr="00E75F33" w:rsidRDefault="00E75F33" w:rsidP="00E75F33">
      <w:pPr>
        <w:tabs>
          <w:tab w:val="left" w:pos="0"/>
        </w:tabs>
        <w:spacing w:after="0" w:line="240" w:lineRule="auto"/>
        <w:jc w:val="both"/>
        <w:rPr>
          <w:rFonts w:ascii="Arial" w:eastAsia="Times New Roman" w:hAnsi="Arial" w:cs="Arial"/>
          <w:noProof/>
          <w:color w:val="000000"/>
          <w:sz w:val="24"/>
          <w:szCs w:val="24"/>
          <w:lang w:val="es-ES_tradnl" w:eastAsia="es-ES_tradnl"/>
        </w:rPr>
      </w:pPr>
    </w:p>
    <w:p w14:paraId="4F4F28DF" w14:textId="77777777" w:rsidR="00E75F33" w:rsidRPr="00E75F33" w:rsidRDefault="00E75F33" w:rsidP="00E75F33">
      <w:pPr>
        <w:tabs>
          <w:tab w:val="left" w:pos="0"/>
        </w:tabs>
        <w:spacing w:after="0" w:line="240" w:lineRule="auto"/>
        <w:jc w:val="both"/>
        <w:rPr>
          <w:rFonts w:ascii="Arial" w:eastAsia="Calibri" w:hAnsi="Arial" w:cs="Arial"/>
          <w:bCs/>
          <w:sz w:val="20"/>
          <w:szCs w:val="20"/>
          <w:lang w:val="es-ES_tradnl" w:eastAsia="es-MX"/>
        </w:rPr>
      </w:pPr>
      <w:r w:rsidRPr="00E75F33">
        <w:rPr>
          <w:rFonts w:ascii="Verdana" w:eastAsia="Times New Roman" w:hAnsi="Verdana" w:cs="Arial"/>
          <w:color w:val="000000"/>
          <w:sz w:val="20"/>
          <w:szCs w:val="20"/>
          <w:lang w:eastAsia="es-MX"/>
        </w:rPr>
        <w:t xml:space="preserve">En este contexto, </w:t>
      </w:r>
      <w:r w:rsidRPr="00E75F33">
        <w:rPr>
          <w:rFonts w:ascii="Verdana" w:eastAsia="Calibri" w:hAnsi="Verdana" w:cs="Arial"/>
          <w:bCs/>
          <w:sz w:val="20"/>
          <w:szCs w:val="20"/>
          <w:lang w:val="es-ES_tradnl" w:eastAsia="es-ES_tradnl"/>
        </w:rPr>
        <w:t>de la lectura conjunta de los incisos primero y segundo</w:t>
      </w:r>
      <w:r w:rsidRPr="00E75F33">
        <w:rPr>
          <w:rFonts w:ascii="Verdana" w:eastAsia="Calibri" w:hAnsi="Verdana" w:cs="Arial"/>
          <w:bCs/>
          <w:sz w:val="20"/>
          <w:szCs w:val="20"/>
          <w:lang w:eastAsia="es-ES_tradnl"/>
        </w:rPr>
        <w:t xml:space="preserve"> del artículo 56 de la Ley 2195 de 2022,</w:t>
      </w:r>
      <w:r w:rsidRPr="00E75F33">
        <w:rPr>
          <w:rFonts w:ascii="Verdana" w:eastAsia="Calibri" w:hAnsi="Verdana" w:cs="Arial"/>
          <w:bCs/>
          <w:sz w:val="20"/>
          <w:szCs w:val="20"/>
          <w:lang w:val="es-ES_tradnl" w:eastAsia="es-ES_tradnl"/>
        </w:rPr>
        <w:t xml:space="preserve"> se desprende que </w:t>
      </w:r>
      <w:r w:rsidRPr="00E75F33">
        <w:rPr>
          <w:rFonts w:ascii="Verdana" w:eastAsia="Calibri" w:hAnsi="Verdana" w:cs="Arial"/>
          <w:bCs/>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E75F33">
        <w:rPr>
          <w:rFonts w:ascii="Arial" w:eastAsia="Calibri" w:hAnsi="Arial" w:cs="Arial"/>
          <w:bCs/>
          <w:sz w:val="20"/>
          <w:szCs w:val="20"/>
          <w:lang w:val="es-ES_tradnl" w:eastAsia="es-MX"/>
        </w:rPr>
        <w:t xml:space="preserve"> </w:t>
      </w:r>
      <w:r w:rsidRPr="00E75F33">
        <w:rPr>
          <w:rFonts w:ascii="Verdana" w:eastAsia="Calibri" w:hAnsi="Verdana" w:cs="Arial"/>
          <w:bCs/>
          <w:sz w:val="20"/>
          <w:szCs w:val="20"/>
          <w:lang w:val="es-ES_tradnl" w:eastAsia="es-MX"/>
        </w:rPr>
        <w:t xml:space="preserve">siempre </w:t>
      </w:r>
      <w:r w:rsidRPr="00E75F33">
        <w:rPr>
          <w:rFonts w:ascii="Verdana" w:eastAsia="Calibri" w:hAnsi="Verdana" w:cs="Arial"/>
          <w:bCs/>
          <w:sz w:val="20"/>
          <w:szCs w:val="20"/>
          <w:lang w:val="es-ES_tradnl" w:eastAsia="es-MX"/>
        </w:rPr>
        <w:lastRenderedPageBreak/>
        <w:t xml:space="preserve">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2ADFCFED" w14:textId="77777777" w:rsidR="00E75F33" w:rsidRPr="00E75F33" w:rsidRDefault="00E75F33" w:rsidP="00E75F33">
      <w:pPr>
        <w:tabs>
          <w:tab w:val="left" w:pos="0"/>
        </w:tabs>
        <w:spacing w:after="0" w:line="240" w:lineRule="auto"/>
        <w:jc w:val="both"/>
        <w:rPr>
          <w:rFonts w:ascii="Verdana" w:eastAsia="Calibri" w:hAnsi="Verdana" w:cs="Arial"/>
          <w:bCs/>
          <w:sz w:val="20"/>
          <w:szCs w:val="20"/>
          <w:lang w:val="es-ES_tradnl" w:eastAsia="es-ES_tradnl"/>
        </w:rPr>
      </w:pPr>
    </w:p>
    <w:p w14:paraId="67387390" w14:textId="77777777" w:rsidR="00E75F33" w:rsidRPr="00E75F33" w:rsidRDefault="00E75F33" w:rsidP="00E75F33">
      <w:pPr>
        <w:tabs>
          <w:tab w:val="left" w:pos="0"/>
        </w:tabs>
        <w:spacing w:after="0" w:line="240" w:lineRule="auto"/>
        <w:jc w:val="both"/>
        <w:rPr>
          <w:rFonts w:ascii="Verdana" w:eastAsia="Calibri" w:hAnsi="Verdana" w:cs="Arial"/>
          <w:bCs/>
          <w:color w:val="000000"/>
          <w:sz w:val="20"/>
          <w:szCs w:val="20"/>
          <w:lang w:val="es-ES_tradnl" w:eastAsia="es-ES_tradnl"/>
        </w:rPr>
      </w:pPr>
      <w:r w:rsidRPr="00E75F33">
        <w:rPr>
          <w:rFonts w:ascii="Verdana" w:eastAsia="Calibri" w:hAnsi="Verdana" w:cs="Arial"/>
          <w:bCs/>
          <w:sz w:val="20"/>
          <w:szCs w:val="20"/>
          <w:lang w:val="es-ES_tradnl" w:eastAsia="es-ES_tradnl"/>
        </w:rPr>
        <w:t>Sin perjuicio de lo anterior</w:t>
      </w:r>
      <w:r w:rsidRPr="00E75F33">
        <w:rPr>
          <w:rFonts w:ascii="Verdana" w:eastAsia="Times New Roman" w:hAnsi="Verdana" w:cs="Arial"/>
          <w:sz w:val="20"/>
          <w:szCs w:val="20"/>
          <w:lang w:eastAsia="es-ES_tradnl"/>
        </w:rPr>
        <w:t xml:space="preserve">, </w:t>
      </w:r>
      <w:r w:rsidRPr="00E75F33">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E75F33">
        <w:rPr>
          <w:rFonts w:ascii="Verdana" w:eastAsia="Calibri" w:hAnsi="Verdana" w:cs="Arial"/>
          <w:bCs/>
          <w:i/>
          <w:iCs/>
          <w:sz w:val="20"/>
          <w:szCs w:val="20"/>
          <w:lang w:val="es-ES_tradnl" w:eastAsia="es-ES_tradnl"/>
        </w:rPr>
        <w:t>giro ordinario</w:t>
      </w:r>
      <w:r w:rsidRPr="00E75F33">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E75F33">
        <w:rPr>
          <w:rFonts w:ascii="Verdana" w:eastAsia="Calibri" w:hAnsi="Verdana" w:cs="Arial"/>
          <w:bCs/>
          <w:sz w:val="20"/>
          <w:szCs w:val="20"/>
          <w:lang w:val="es-ES_tradnl" w:eastAsia="es-ES_tradnl"/>
        </w:rPr>
        <w:t>ii</w:t>
      </w:r>
      <w:proofErr w:type="spellEnd"/>
      <w:r w:rsidRPr="00E75F33">
        <w:rPr>
          <w:rFonts w:ascii="Verdana" w:eastAsia="Calibri" w:hAnsi="Verdana" w:cs="Arial"/>
          <w:bCs/>
          <w:sz w:val="20"/>
          <w:szCs w:val="20"/>
          <w:lang w:val="es-ES_tradnl" w:eastAsia="es-ES_tradnl"/>
        </w:rPr>
        <w:t xml:space="preserve">) las </w:t>
      </w:r>
      <w:r w:rsidRPr="00E75F33">
        <w:rPr>
          <w:rFonts w:ascii="Verdana" w:eastAsia="Calibri" w:hAnsi="Verdana" w:cs="Arial"/>
          <w:bCs/>
          <w:i/>
          <w:iCs/>
          <w:sz w:val="20"/>
          <w:szCs w:val="20"/>
          <w:lang w:val="es-ES_tradnl" w:eastAsia="es-ES_tradnl"/>
        </w:rPr>
        <w:t>empresas sociales del Estado</w:t>
      </w:r>
      <w:r w:rsidRPr="00E75F33">
        <w:rPr>
          <w:rFonts w:ascii="Verdana" w:eastAsia="Calibri" w:hAnsi="Verdana" w:cs="Arial"/>
          <w:bCs/>
          <w:sz w:val="20"/>
          <w:szCs w:val="20"/>
          <w:lang w:val="es-ES_tradnl" w:eastAsia="es-ES_tradnl"/>
        </w:rPr>
        <w:t xml:space="preserve">, </w:t>
      </w:r>
      <w:proofErr w:type="spellStart"/>
      <w:r w:rsidRPr="00E75F33">
        <w:rPr>
          <w:rFonts w:ascii="Verdana" w:eastAsia="Calibri" w:hAnsi="Verdana" w:cs="Arial"/>
          <w:bCs/>
          <w:sz w:val="20"/>
          <w:szCs w:val="20"/>
          <w:lang w:val="es-ES_tradnl" w:eastAsia="es-ES_tradnl"/>
        </w:rPr>
        <w:t>iii</w:t>
      </w:r>
      <w:proofErr w:type="spellEnd"/>
      <w:r w:rsidRPr="00E75F33">
        <w:rPr>
          <w:rFonts w:ascii="Verdana" w:eastAsia="Calibri" w:hAnsi="Verdana" w:cs="Arial"/>
          <w:bCs/>
          <w:sz w:val="20"/>
          <w:szCs w:val="20"/>
          <w:lang w:val="es-ES_tradnl" w:eastAsia="es-ES_tradnl"/>
        </w:rPr>
        <w:t xml:space="preserve">) las sociedades de economía mixta y </w:t>
      </w:r>
      <w:proofErr w:type="spellStart"/>
      <w:r w:rsidRPr="00E75F33">
        <w:rPr>
          <w:rFonts w:ascii="Verdana" w:eastAsia="Calibri" w:hAnsi="Verdana" w:cs="Arial"/>
          <w:bCs/>
          <w:sz w:val="20"/>
          <w:szCs w:val="20"/>
          <w:lang w:val="es-ES_tradnl" w:eastAsia="es-ES_tradnl"/>
        </w:rPr>
        <w:t>iv</w:t>
      </w:r>
      <w:proofErr w:type="spellEnd"/>
      <w:r w:rsidRPr="00E75F33">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E75F33">
        <w:rPr>
          <w:rFonts w:ascii="Verdana" w:eastAsia="Calibri" w:hAnsi="Verdana" w:cs="Arial"/>
          <w:bCs/>
          <w:i/>
          <w:iCs/>
          <w:sz w:val="20"/>
          <w:szCs w:val="20"/>
          <w:lang w:val="es-ES_tradnl" w:eastAsia="es-ES_tradnl"/>
        </w:rPr>
        <w:t>giro ordinario.</w:t>
      </w:r>
      <w:r w:rsidRPr="00E75F33">
        <w:rPr>
          <w:rFonts w:ascii="Verdana" w:eastAsia="Calibri" w:hAnsi="Verdana" w:cs="Arial"/>
          <w:bCs/>
          <w:sz w:val="20"/>
          <w:szCs w:val="20"/>
          <w:lang w:val="es-ES_tradnl" w:eastAsia="es-ES_tradnl"/>
        </w:rPr>
        <w:t xml:space="preserve"> Esto significa que, en la contratación asociada a su </w:t>
      </w:r>
      <w:r w:rsidRPr="00E75F33">
        <w:rPr>
          <w:rFonts w:ascii="Verdana" w:eastAsia="Calibri" w:hAnsi="Verdana" w:cs="Arial"/>
          <w:bCs/>
          <w:i/>
          <w:iCs/>
          <w:sz w:val="20"/>
          <w:szCs w:val="20"/>
          <w:lang w:val="es-ES_tradnl" w:eastAsia="es-ES_tradnl"/>
        </w:rPr>
        <w:t xml:space="preserve">giro ordinario, </w:t>
      </w:r>
      <w:r w:rsidRPr="00E75F33">
        <w:rPr>
          <w:rFonts w:ascii="Verdana" w:eastAsia="Calibri" w:hAnsi="Verdana" w:cs="Arial"/>
          <w:bCs/>
          <w:sz w:val="20"/>
          <w:szCs w:val="20"/>
          <w:lang w:val="es-ES_tradnl" w:eastAsia="es-ES_tradnl"/>
        </w:rPr>
        <w:t>estos tipos de entidades no tendrían que aplicar, de manera obligatoria, los Documentos Tipo, ni tampoco el EGCAP.</w:t>
      </w:r>
      <w:r w:rsidRPr="00E75F33">
        <w:rPr>
          <w:rFonts w:ascii="Verdana" w:eastAsia="Times New Roman" w:hAnsi="Verdana" w:cs="Arial"/>
          <w:sz w:val="20"/>
          <w:szCs w:val="20"/>
          <w:lang w:eastAsia="es-ES_tradnl"/>
        </w:rPr>
        <w:t xml:space="preserve"> </w:t>
      </w:r>
      <w:r w:rsidRPr="00E75F33">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E75F33">
        <w:rPr>
          <w:rFonts w:ascii="Verdana" w:eastAsia="Calibri" w:hAnsi="Verdana" w:cs="Arial"/>
          <w:bCs/>
          <w:color w:val="000000"/>
          <w:sz w:val="20"/>
          <w:szCs w:val="20"/>
          <w:lang w:val="es-ES_tradnl" w:eastAsia="es-ES_tradnl"/>
        </w:rPr>
        <w:t xml:space="preserve"> </w:t>
      </w:r>
    </w:p>
    <w:p w14:paraId="7BB64B8D" w14:textId="77777777" w:rsidR="00E75F33" w:rsidRPr="00E75F33" w:rsidRDefault="00E75F33" w:rsidP="00E75F33">
      <w:pPr>
        <w:spacing w:after="0" w:line="240" w:lineRule="auto"/>
        <w:jc w:val="both"/>
        <w:rPr>
          <w:rFonts w:ascii="Verdana" w:eastAsia="Calibri" w:hAnsi="Verdana" w:cs="Arial"/>
          <w:b/>
          <w:bCs/>
          <w:lang w:val="es-ES_tradnl" w:eastAsia="es-MX"/>
        </w:rPr>
      </w:pPr>
    </w:p>
    <w:p w14:paraId="1B7D642D" w14:textId="12A55CBA" w:rsidR="00E75F33" w:rsidRPr="00E75F33" w:rsidRDefault="00E75F33" w:rsidP="00E75F33">
      <w:pPr>
        <w:tabs>
          <w:tab w:val="left" w:pos="840"/>
        </w:tabs>
        <w:spacing w:after="0" w:line="240" w:lineRule="auto"/>
        <w:jc w:val="both"/>
        <w:rPr>
          <w:rFonts w:ascii="Verdana" w:eastAsia="Calibri" w:hAnsi="Verdana" w:cs="Arial"/>
          <w:b/>
          <w:bCs/>
          <w:color w:val="000000"/>
          <w:kern w:val="2"/>
          <w:lang w:val="es-ES_tradnl"/>
          <w14:ligatures w14:val="standardContextual"/>
        </w:rPr>
      </w:pPr>
      <w:r w:rsidRPr="00E75F33">
        <w:rPr>
          <w:rFonts w:ascii="Verdana" w:eastAsia="Calibri" w:hAnsi="Verdana" w:cs="Arial"/>
          <w:b/>
          <w:bCs/>
          <w:color w:val="000000"/>
          <w:kern w:val="2"/>
          <w:lang w:val="es-ES_tradnl"/>
          <w14:ligatures w14:val="standardContextual"/>
        </w:rPr>
        <w:t xml:space="preserve">FIDUCIA MERCANTIL </w:t>
      </w:r>
      <w:r w:rsidR="00711D3C" w:rsidRPr="00711D3C">
        <w:rPr>
          <w:rFonts w:ascii="Verdana" w:eastAsia="Calibri" w:hAnsi="Verdana" w:cs="Arial"/>
          <w:b/>
          <w:bCs/>
          <w:color w:val="000000"/>
          <w:kern w:val="2"/>
          <w:lang w:val="es-ES"/>
          <w14:ligatures w14:val="standardContextual"/>
        </w:rPr>
        <w:t>–</w:t>
      </w:r>
      <w:r w:rsidRPr="00E75F33">
        <w:rPr>
          <w:rFonts w:ascii="Verdana" w:eastAsia="Calibri" w:hAnsi="Verdana" w:cs="Arial"/>
          <w:b/>
          <w:bCs/>
          <w:color w:val="000000"/>
          <w:kern w:val="2"/>
          <w:lang w:val="es-ES_tradnl"/>
          <w14:ligatures w14:val="standardContextual"/>
        </w:rPr>
        <w:t xml:space="preserve"> Concepto </w:t>
      </w:r>
      <w:r w:rsidR="00711D3C" w:rsidRPr="00711D3C">
        <w:rPr>
          <w:rFonts w:ascii="Verdana" w:eastAsia="Calibri" w:hAnsi="Verdana" w:cs="Arial"/>
          <w:b/>
          <w:bCs/>
          <w:color w:val="000000"/>
          <w:kern w:val="2"/>
          <w:lang w:val="es-ES"/>
          <w14:ligatures w14:val="standardContextual"/>
        </w:rPr>
        <w:t>–</w:t>
      </w:r>
      <w:r w:rsidRPr="00E75F33">
        <w:rPr>
          <w:rFonts w:ascii="Verdana" w:eastAsia="Calibri" w:hAnsi="Verdana" w:cs="Arial"/>
          <w:b/>
          <w:bCs/>
          <w:color w:val="000000"/>
          <w:kern w:val="2"/>
          <w:lang w:val="es-ES_tradnl"/>
          <w14:ligatures w14:val="standardContextual"/>
        </w:rPr>
        <w:t xml:space="preserve"> Características</w:t>
      </w:r>
    </w:p>
    <w:p w14:paraId="3478C0E1" w14:textId="77777777" w:rsidR="00E75F33" w:rsidRPr="00E75F33" w:rsidRDefault="00E75F33" w:rsidP="00E75F33">
      <w:pPr>
        <w:spacing w:after="0" w:line="240" w:lineRule="auto"/>
        <w:jc w:val="both"/>
        <w:rPr>
          <w:rFonts w:ascii="Verdana" w:eastAsia="Calibri" w:hAnsi="Verdana" w:cs="Arial"/>
          <w:b/>
          <w:bCs/>
          <w:color w:val="000000"/>
          <w:kern w:val="2"/>
          <w:sz w:val="20"/>
          <w:szCs w:val="20"/>
          <w:lang w:val="es-ES_tradnl"/>
          <w14:ligatures w14:val="standardContextual"/>
        </w:rPr>
      </w:pPr>
    </w:p>
    <w:p w14:paraId="178C49DD" w14:textId="77777777" w:rsidR="00E75F33" w:rsidRPr="00E75F33" w:rsidRDefault="00E75F33" w:rsidP="00E75F33">
      <w:pPr>
        <w:tabs>
          <w:tab w:val="left" w:pos="709"/>
        </w:tabs>
        <w:spacing w:after="0" w:line="240" w:lineRule="auto"/>
        <w:jc w:val="both"/>
        <w:rPr>
          <w:rFonts w:ascii="Verdana" w:eastAsia="Aptos" w:hAnsi="Verdana" w:cs="Arial"/>
          <w:color w:val="000000"/>
          <w:kern w:val="2"/>
          <w:sz w:val="20"/>
          <w:szCs w:val="20"/>
          <w:lang w:val="es-ES"/>
          <w14:ligatures w14:val="standardContextual"/>
        </w:rPr>
      </w:pPr>
      <w:r w:rsidRPr="00E75F33">
        <w:rPr>
          <w:rFonts w:ascii="Verdana" w:eastAsia="Aptos" w:hAnsi="Verdana" w:cs="Arial"/>
          <w:color w:val="000000"/>
          <w:kern w:val="2"/>
          <w:sz w:val="20"/>
          <w:szCs w:val="20"/>
          <w:lang w:val="es-ES"/>
          <w14:ligatures w14:val="standardContextual"/>
        </w:rPr>
        <w:t xml:space="preserve">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w:t>
      </w:r>
      <w:proofErr w:type="spellStart"/>
      <w:r w:rsidRPr="00E75F33">
        <w:rPr>
          <w:rFonts w:ascii="Verdana" w:eastAsia="Aptos" w:hAnsi="Verdana" w:cs="Arial"/>
          <w:color w:val="000000"/>
          <w:kern w:val="2"/>
          <w:sz w:val="20"/>
          <w:szCs w:val="20"/>
          <w:lang w:val="es-ES"/>
          <w14:ligatures w14:val="standardContextual"/>
        </w:rPr>
        <w:t>ii</w:t>
      </w:r>
      <w:proofErr w:type="spellEnd"/>
      <w:r w:rsidRPr="00E75F33">
        <w:rPr>
          <w:rFonts w:ascii="Verdana" w:eastAsia="Aptos" w:hAnsi="Verdana" w:cs="Arial"/>
          <w:color w:val="000000"/>
          <w:kern w:val="2"/>
          <w:sz w:val="20"/>
          <w:szCs w:val="20"/>
          <w:lang w:val="es-ES"/>
          <w14:ligatures w14:val="standardContextual"/>
        </w:rPr>
        <w:t>) la transferencia de los bienes fideicomitidos.</w:t>
      </w:r>
    </w:p>
    <w:p w14:paraId="7BFA59C1" w14:textId="77777777" w:rsidR="00E75F33" w:rsidRPr="00E75F33" w:rsidRDefault="00E75F33" w:rsidP="00E75F33">
      <w:pPr>
        <w:tabs>
          <w:tab w:val="left" w:pos="709"/>
        </w:tabs>
        <w:spacing w:after="0" w:line="240" w:lineRule="auto"/>
        <w:jc w:val="both"/>
        <w:rPr>
          <w:rFonts w:ascii="Verdana" w:eastAsia="Arial" w:hAnsi="Verdana" w:cs="Arial"/>
          <w:kern w:val="2"/>
          <w:sz w:val="20"/>
          <w:szCs w:val="20"/>
          <w:lang w:val="es-ES_tradnl"/>
          <w14:ligatures w14:val="standardContextual"/>
        </w:rPr>
      </w:pPr>
    </w:p>
    <w:p w14:paraId="4E524357" w14:textId="2FA79A39" w:rsidR="00E75F33" w:rsidRPr="00E75F33" w:rsidRDefault="00E75F33" w:rsidP="00E75F33">
      <w:pPr>
        <w:spacing w:after="0" w:line="240" w:lineRule="auto"/>
        <w:jc w:val="both"/>
        <w:rPr>
          <w:rFonts w:ascii="Verdana" w:eastAsia="Calibri" w:hAnsi="Verdana" w:cs="Arial"/>
          <w:b/>
          <w:bCs/>
          <w:color w:val="000000"/>
          <w:kern w:val="2"/>
          <w:lang w:val="es-ES_tradnl"/>
          <w14:ligatures w14:val="standardContextual"/>
        </w:rPr>
      </w:pPr>
      <w:r w:rsidRPr="00E75F33">
        <w:rPr>
          <w:rFonts w:ascii="Verdana" w:eastAsia="Calibri" w:hAnsi="Verdana" w:cs="Arial"/>
          <w:b/>
          <w:bCs/>
          <w:color w:val="000000"/>
          <w:kern w:val="2"/>
          <w:lang w:val="es-ES_tradnl"/>
          <w14:ligatures w14:val="standardContextual"/>
        </w:rPr>
        <w:t xml:space="preserve">FIDUCIA MERCANTIL </w:t>
      </w:r>
      <w:r w:rsidR="00711D3C" w:rsidRPr="00711D3C">
        <w:rPr>
          <w:rFonts w:ascii="Verdana" w:eastAsia="Calibri" w:hAnsi="Verdana" w:cs="Arial"/>
          <w:b/>
          <w:bCs/>
          <w:color w:val="000000"/>
          <w:kern w:val="2"/>
          <w:lang w:val="es-ES"/>
          <w14:ligatures w14:val="standardContextual"/>
        </w:rPr>
        <w:t>–</w:t>
      </w:r>
      <w:r w:rsidRPr="00E75F33">
        <w:rPr>
          <w:rFonts w:ascii="Verdana" w:eastAsia="Calibri" w:hAnsi="Verdana" w:cs="Arial"/>
          <w:b/>
          <w:bCs/>
          <w:color w:val="000000"/>
          <w:kern w:val="2"/>
          <w:lang w:val="es-ES_tradnl"/>
          <w14:ligatures w14:val="standardContextual"/>
        </w:rPr>
        <w:t xml:space="preserve"> Fiducia pública </w:t>
      </w:r>
      <w:r w:rsidR="00711D3C" w:rsidRPr="00711D3C">
        <w:rPr>
          <w:rFonts w:ascii="Verdana" w:eastAsia="Calibri" w:hAnsi="Verdana" w:cs="Arial"/>
          <w:b/>
          <w:bCs/>
          <w:color w:val="000000"/>
          <w:kern w:val="2"/>
          <w:lang w:val="es-ES"/>
          <w14:ligatures w14:val="standardContextual"/>
        </w:rPr>
        <w:t>–</w:t>
      </w:r>
      <w:r w:rsidRPr="00E75F33">
        <w:rPr>
          <w:rFonts w:ascii="Verdana" w:eastAsia="Calibri" w:hAnsi="Verdana" w:cs="Arial"/>
          <w:b/>
          <w:bCs/>
          <w:color w:val="000000"/>
          <w:kern w:val="2"/>
          <w:lang w:val="es-ES_tradnl"/>
          <w14:ligatures w14:val="standardContextual"/>
        </w:rPr>
        <w:t xml:space="preserve"> Patrimonio autónomo </w:t>
      </w:r>
      <w:r w:rsidR="00711D3C" w:rsidRPr="00711D3C">
        <w:rPr>
          <w:rFonts w:ascii="Verdana" w:eastAsia="Calibri" w:hAnsi="Verdana" w:cs="Arial"/>
          <w:b/>
          <w:bCs/>
          <w:color w:val="000000"/>
          <w:kern w:val="2"/>
          <w:lang w:val="es-ES"/>
          <w14:ligatures w14:val="standardContextual"/>
        </w:rPr>
        <w:t>–</w:t>
      </w:r>
      <w:r w:rsidRPr="00E75F33">
        <w:rPr>
          <w:rFonts w:ascii="Verdana" w:eastAsia="Calibri" w:hAnsi="Verdana" w:cs="Arial"/>
          <w:b/>
          <w:bCs/>
          <w:color w:val="000000"/>
          <w:kern w:val="2"/>
          <w:lang w:val="es-ES_tradnl"/>
          <w14:ligatures w14:val="standardContextual"/>
        </w:rPr>
        <w:t xml:space="preserve"> Diferencias</w:t>
      </w:r>
    </w:p>
    <w:p w14:paraId="44EE2E9B" w14:textId="77777777" w:rsidR="00E75F33" w:rsidRPr="00E75F33" w:rsidRDefault="00E75F33" w:rsidP="00E75F3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p>
    <w:p w14:paraId="007ECD86" w14:textId="77777777" w:rsidR="00E75F33" w:rsidRPr="00E75F33" w:rsidRDefault="00E75F33" w:rsidP="00E75F3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r w:rsidRPr="00E75F33">
        <w:rPr>
          <w:rFonts w:ascii="Verdana" w:eastAsia="Aptos" w:hAnsi="Verdana" w:cs="Arial"/>
          <w:color w:val="000000"/>
          <w:kern w:val="2"/>
          <w:sz w:val="20"/>
          <w:szCs w:val="20"/>
          <w:lang w:val="es-ES_tradnl"/>
          <w14:ligatures w14:val="standardContextual"/>
        </w:rPr>
        <w:t>Dadas estas características particulares, 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oficial”. Así lo consideró la Corte Constitucional, en la sentencia C-086 de 1995 –expedida con ponencia del Magistrado Vladimiro Naranjo Mesa–, al señalar que la Ley 80 de 1993 creó un contrato nuevo y autónomo al del Código de Comercio.</w:t>
      </w:r>
    </w:p>
    <w:p w14:paraId="1B9F3FA9" w14:textId="77777777" w:rsidR="00E75F33" w:rsidRPr="00E75F33" w:rsidRDefault="00E75F33" w:rsidP="00E75F3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p>
    <w:p w14:paraId="4759EFCA" w14:textId="77777777" w:rsidR="00E75F33" w:rsidRPr="00E75F33" w:rsidRDefault="00E75F33" w:rsidP="00E75F3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r w:rsidRPr="00E75F33">
        <w:rPr>
          <w:rFonts w:ascii="Verdana" w:eastAsia="Aptos" w:hAnsi="Verdana" w:cs="Arial"/>
          <w:color w:val="000000"/>
          <w:kern w:val="2"/>
          <w:sz w:val="20"/>
          <w:szCs w:val="20"/>
          <w:lang w:val="es-ES_tradnl"/>
          <w14:ligatures w14:val="standardContextual"/>
        </w:rPr>
        <w:t xml:space="preserve">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 que: “Es posible que una entidad estatal celebre un contrato de fiducia mercantil y con él se constituya un patrimonio autónomo, siempre que una norma especial lo autorice. Esta fiducia mercantil es diferente a la fiducia pública definida en el artículo 32 de la Ley 80 </w:t>
      </w:r>
      <w:r w:rsidRPr="00E75F33">
        <w:rPr>
          <w:rFonts w:ascii="Verdana" w:eastAsia="Aptos" w:hAnsi="Verdana" w:cs="Arial"/>
          <w:color w:val="000000"/>
          <w:kern w:val="2"/>
          <w:sz w:val="20"/>
          <w:szCs w:val="20"/>
          <w:lang w:val="es-ES_tradnl"/>
          <w14:ligatures w14:val="standardContextual"/>
        </w:rPr>
        <w:lastRenderedPageBreak/>
        <w:t>de 1993 y se rige por las disposiciones comerciales y civiles pertinentes, salvo en los aspectos particularmente regulados en la Ley 80 de 1993”.</w:t>
      </w:r>
    </w:p>
    <w:p w14:paraId="605102F7" w14:textId="77777777" w:rsidR="00E75F33" w:rsidRPr="00E75F33" w:rsidRDefault="00E75F33" w:rsidP="00E75F33">
      <w:pPr>
        <w:spacing w:after="0" w:line="276" w:lineRule="auto"/>
        <w:jc w:val="both"/>
        <w:rPr>
          <w:rFonts w:ascii="Verdana" w:eastAsia="Times New Roman" w:hAnsi="Verdana" w:cs="Arial"/>
          <w:lang w:val="es-ES" w:eastAsia="es-CO"/>
        </w:rPr>
      </w:pPr>
    </w:p>
    <w:p w14:paraId="1EEBB984" w14:textId="77777777" w:rsidR="00E75F33" w:rsidRPr="00E75F33" w:rsidRDefault="00E75F33" w:rsidP="00E75F33">
      <w:pPr>
        <w:spacing w:after="0" w:line="276" w:lineRule="auto"/>
        <w:rPr>
          <w:rFonts w:ascii="Verdana" w:eastAsia="Times New Roman" w:hAnsi="Verdana" w:cs="Arial"/>
          <w:b/>
          <w:bCs/>
          <w:lang w:val="es-ES" w:eastAsia="es-CO"/>
        </w:rPr>
      </w:pPr>
      <w:r w:rsidRPr="00E75F33">
        <w:rPr>
          <w:rFonts w:ascii="Verdana" w:eastAsia="Times New Roman" w:hAnsi="Verdana" w:cs="Arial"/>
          <w:b/>
          <w:bCs/>
          <w:lang w:val="es-ES" w:eastAsia="es-CO"/>
        </w:rPr>
        <w:t xml:space="preserve">FONTUR – Fondo Nacional de Turismo – Patrimonio autónomo </w:t>
      </w:r>
    </w:p>
    <w:p w14:paraId="5438B320" w14:textId="77777777" w:rsidR="00E75F33" w:rsidRPr="00E75F33" w:rsidRDefault="00E75F33" w:rsidP="00E75F33">
      <w:pPr>
        <w:spacing w:after="0" w:line="276" w:lineRule="auto"/>
        <w:rPr>
          <w:rFonts w:ascii="Verdana" w:eastAsia="Times New Roman" w:hAnsi="Verdana" w:cs="Arial"/>
          <w:lang w:val="es-ES" w:eastAsia="es-CO"/>
        </w:rPr>
      </w:pPr>
    </w:p>
    <w:p w14:paraId="1E3CB8FB" w14:textId="77777777" w:rsidR="00E75F33" w:rsidRPr="00E75F33" w:rsidRDefault="00E75F33" w:rsidP="00E75F33">
      <w:pPr>
        <w:spacing w:after="0" w:line="240" w:lineRule="auto"/>
        <w:jc w:val="both"/>
        <w:rPr>
          <w:rFonts w:ascii="Verdana" w:eastAsia="Aptos" w:hAnsi="Verdana" w:cs="Arial"/>
          <w:kern w:val="2"/>
          <w:sz w:val="20"/>
          <w:szCs w:val="20"/>
          <w14:ligatures w14:val="standardContextual"/>
        </w:rPr>
      </w:pPr>
      <w:r w:rsidRPr="00E75F33">
        <w:rPr>
          <w:rFonts w:ascii="Verdana" w:eastAsia="Aptos" w:hAnsi="Verdana" w:cs="Times New Roman"/>
          <w:kern w:val="2"/>
          <w:sz w:val="20"/>
          <w:szCs w:val="20"/>
          <w14:ligatures w14:val="standardContextual"/>
        </w:rPr>
        <w:t>En desarrollo de las consideraciones anteriores y dada su relevancia para el supuesto planteado por el peticionario, debe tenerse en cuenta que otro de los casos previstos por el legislador en los que se autoriza a una entidad estatal para constituir patrimonios autónomos es el relacionado con el Fondo Nacional de Turismo (FONTUR). Este fue establecido como un patrimonio autónomo sin personería jurídica, regido por normas de derecho privado y administrado por la Fiduciaria Colombiana de Comercio Exterior S. A. o por la sociedad fiduciaria que determine el Ministerio de Comercio, Industria y Turismo, de conformidad con los lineamientos que este establezca, en los términos previstos en el artículo 21 de la Ley 1558 de 2012, modificado por el artículo 307 de la Ley 2294 de 2023.</w:t>
      </w:r>
      <w:r w:rsidRPr="00E75F33">
        <w:rPr>
          <w:rFonts w:ascii="Verdana" w:eastAsia="Aptos" w:hAnsi="Verdana" w:cs="Arial"/>
          <w:kern w:val="2"/>
          <w:sz w:val="20"/>
          <w:szCs w:val="20"/>
          <w14:ligatures w14:val="standardContextual"/>
        </w:rPr>
        <w:t xml:space="preserve"> Este patrimonio autónomo tiene la función de administrar los recursos señalados en los artículos 1 y 8 de la Ley 1101 de 2006, así como los asignados en el Presupuesto General de la Nación para la infraestructura turística, promoción y la competitividad turística, el recaudo del impuesto 01 turismo, la contribución parafiscal para la promoción del turismo y las demás fuentes de recursos que señale la ley.</w:t>
      </w:r>
    </w:p>
    <w:p w14:paraId="1A912D4F" w14:textId="77777777" w:rsidR="00E75F33" w:rsidRPr="00E75F33" w:rsidRDefault="00E75F33" w:rsidP="00E75F33">
      <w:pPr>
        <w:spacing w:after="0" w:line="276" w:lineRule="auto"/>
        <w:jc w:val="both"/>
        <w:rPr>
          <w:rFonts w:ascii="Verdana" w:eastAsia="Calibri" w:hAnsi="Verdana" w:cs="Arial"/>
          <w:color w:val="000000"/>
          <w:kern w:val="2"/>
          <w:sz w:val="20"/>
          <w:szCs w:val="20"/>
          <w:lang w:val="es-ES"/>
          <w14:ligatures w14:val="standardContextual"/>
        </w:rPr>
      </w:pPr>
    </w:p>
    <w:p w14:paraId="4E83E50C" w14:textId="0D040677" w:rsidR="00E75F33" w:rsidRPr="00E75F33" w:rsidRDefault="00E75F33" w:rsidP="00E75F33">
      <w:pPr>
        <w:spacing w:after="0" w:line="276" w:lineRule="auto"/>
        <w:jc w:val="both"/>
        <w:rPr>
          <w:rFonts w:ascii="Verdana" w:eastAsia="Calibri" w:hAnsi="Verdana" w:cs="Arial"/>
          <w:b/>
          <w:bCs/>
          <w:color w:val="000000"/>
          <w:kern w:val="2"/>
          <w14:ligatures w14:val="standardContextual"/>
        </w:rPr>
      </w:pPr>
      <w:r w:rsidRPr="00E75F33">
        <w:rPr>
          <w:rFonts w:ascii="Verdana" w:eastAsia="Calibri" w:hAnsi="Verdana" w:cs="Arial"/>
          <w:b/>
          <w:bCs/>
          <w:color w:val="000000"/>
          <w:kern w:val="2"/>
          <w14:ligatures w14:val="standardContextual"/>
        </w:rPr>
        <w:t>PATRIMONIO AUTÓNOMO –</w:t>
      </w:r>
      <w:r w:rsidR="00711D3C">
        <w:rPr>
          <w:rFonts w:ascii="Verdana" w:eastAsia="Calibri" w:hAnsi="Verdana" w:cs="Arial"/>
          <w:b/>
          <w:bCs/>
          <w:color w:val="000000"/>
          <w:kern w:val="2"/>
          <w14:ligatures w14:val="standardContextual"/>
        </w:rPr>
        <w:t xml:space="preserve"> </w:t>
      </w:r>
      <w:proofErr w:type="spellStart"/>
      <w:r w:rsidRPr="00E75F33">
        <w:rPr>
          <w:rFonts w:ascii="Verdana" w:eastAsia="Calibri" w:hAnsi="Verdana" w:cs="Arial"/>
          <w:b/>
          <w:bCs/>
          <w:color w:val="000000"/>
          <w:kern w:val="2"/>
          <w14:ligatures w14:val="standardContextual"/>
        </w:rPr>
        <w:t>Fontur</w:t>
      </w:r>
      <w:proofErr w:type="spellEnd"/>
      <w:r w:rsidRPr="00E75F33">
        <w:rPr>
          <w:rFonts w:ascii="Verdana" w:eastAsia="Calibri" w:hAnsi="Verdana" w:cs="Arial"/>
          <w:b/>
          <w:bCs/>
          <w:color w:val="000000"/>
          <w:kern w:val="2"/>
          <w14:ligatures w14:val="standardContextual"/>
        </w:rPr>
        <w:t xml:space="preserve"> – Aplicación – Documentos tipo</w:t>
      </w:r>
    </w:p>
    <w:p w14:paraId="34F6E3CA" w14:textId="77777777" w:rsidR="00E75F33" w:rsidRPr="00E75F33" w:rsidRDefault="00E75F33" w:rsidP="00E75F33">
      <w:pPr>
        <w:spacing w:after="0" w:line="276" w:lineRule="auto"/>
        <w:jc w:val="both"/>
        <w:rPr>
          <w:rFonts w:ascii="Verdana" w:eastAsia="Calibri" w:hAnsi="Verdana" w:cs="Arial"/>
          <w:color w:val="000000"/>
          <w:kern w:val="2"/>
          <w:sz w:val="20"/>
          <w:szCs w:val="20"/>
          <w14:ligatures w14:val="standardContextual"/>
        </w:rPr>
      </w:pPr>
    </w:p>
    <w:p w14:paraId="7E8D7B78" w14:textId="77777777" w:rsidR="00E75F33" w:rsidRPr="00E75F33" w:rsidRDefault="00E75F33" w:rsidP="00E75F33">
      <w:pPr>
        <w:tabs>
          <w:tab w:val="left" w:pos="0"/>
        </w:tabs>
        <w:spacing w:after="0" w:line="240" w:lineRule="auto"/>
        <w:jc w:val="both"/>
        <w:rPr>
          <w:rFonts w:ascii="Verdana" w:eastAsia="Times New Roman" w:hAnsi="Verdana" w:cs="Arial"/>
          <w:i/>
          <w:iCs/>
          <w:sz w:val="20"/>
          <w:szCs w:val="20"/>
          <w:lang w:val="es-ES" w:eastAsia="es-ES"/>
        </w:rPr>
      </w:pPr>
      <w:r w:rsidRPr="00E75F33">
        <w:rPr>
          <w:rFonts w:ascii="Verdana" w:eastAsia="Calibri" w:hAnsi="Verdana" w:cs="Arial"/>
          <w:color w:val="000000"/>
          <w:sz w:val="20"/>
          <w:szCs w:val="20"/>
          <w:lang w:val="es-ES" w:eastAsia="es-CO"/>
        </w:rPr>
        <w:t xml:space="preserve">Ahora bien, en la medida que, en la consulta </w:t>
      </w:r>
      <w:r w:rsidRPr="00E75F33">
        <w:rPr>
          <w:rFonts w:ascii="Verdana" w:eastAsia="Times New Roman" w:hAnsi="Verdana" w:cs="Arial"/>
          <w:sz w:val="20"/>
          <w:szCs w:val="20"/>
          <w:lang w:val="es-ES" w:eastAsia="es-ES"/>
        </w:rPr>
        <w:t xml:space="preserve">realizada por Usted, trata de si los patrimonios autónomos, particularmente el </w:t>
      </w:r>
      <w:r w:rsidRPr="00E75F33">
        <w:rPr>
          <w:rFonts w:ascii="Verdana" w:eastAsia="Aptos" w:hAnsi="Verdana" w:cs="Arial"/>
          <w:kern w:val="2"/>
          <w:sz w:val="20"/>
          <w:szCs w:val="20"/>
          <w14:ligatures w14:val="standardContextual"/>
        </w:rPr>
        <w:t>Fondo Nacional de Turismo (FONTUR)</w:t>
      </w:r>
      <w:r w:rsidRPr="00E75F33">
        <w:rPr>
          <w:rFonts w:ascii="Verdana" w:eastAsia="Times New Roman" w:hAnsi="Verdana" w:cs="Arial"/>
          <w:sz w:val="20"/>
          <w:szCs w:val="20"/>
          <w:lang w:val="es-ES" w:eastAsia="es-ES"/>
        </w:rPr>
        <w:t xml:space="preserve">, les es aplicable o no los pliegos tipo adoptados por la Agencia Nacional de Contratación Pública – Colombia Compra Eficiente para los objetos contractuales que sean cobijados por aquellos. Sobre el particular le indicamos que, las resoluciones  </w:t>
      </w:r>
      <w:r w:rsidRPr="00E75F33">
        <w:rPr>
          <w:rFonts w:ascii="Verdana" w:eastAsia="Aptos" w:hAnsi="Verdana" w:cs="Times New Roman"/>
          <w:sz w:val="20"/>
          <w:szCs w:val="20"/>
          <w:lang w:eastAsia="es-MX"/>
        </w:rPr>
        <w:t>539, 540 y 541 del 21 de agosto de 2025, así como las Resoluciones 952 y 953 del 15 de diciembre de 2025, adoptadas en el sector de infraestructura social, que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75F33">
        <w:rPr>
          <w:rFonts w:ascii="Verdana" w:eastAsia="Calibri" w:hAnsi="Verdana" w:cs="Arial"/>
          <w:sz w:val="20"/>
          <w:szCs w:val="20"/>
          <w:lang w:eastAsia="es-MX"/>
        </w:rPr>
        <w:t>, en el artículo 3 disponen que</w:t>
      </w:r>
      <w:r w:rsidRPr="00E75F33">
        <w:rPr>
          <w:rFonts w:ascii="Verdana" w:eastAsia="Times New Roman" w:hAnsi="Verdana" w:cs="Arial"/>
          <w:i/>
          <w:iCs/>
          <w:sz w:val="20"/>
          <w:szCs w:val="20"/>
          <w:lang w:val="es-ES" w:eastAsia="es-ES"/>
        </w:rPr>
        <w:t xml:space="preserve"> “(…)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14C6A88D" w14:textId="77777777" w:rsidR="00E75F33" w:rsidRPr="00E75F33" w:rsidRDefault="00E75F33" w:rsidP="00E75F33">
      <w:pPr>
        <w:tabs>
          <w:tab w:val="left" w:pos="0"/>
        </w:tabs>
        <w:spacing w:after="0" w:line="240" w:lineRule="auto"/>
        <w:jc w:val="both"/>
        <w:rPr>
          <w:rFonts w:ascii="Verdana" w:eastAsia="Times New Roman" w:hAnsi="Verdana" w:cs="Arial"/>
          <w:i/>
          <w:iCs/>
          <w:sz w:val="20"/>
          <w:szCs w:val="20"/>
          <w:lang w:val="es-ES" w:eastAsia="es-ES"/>
        </w:rPr>
      </w:pPr>
    </w:p>
    <w:p w14:paraId="243CE9BD" w14:textId="77777777" w:rsidR="00E75F33" w:rsidRPr="00E75F33" w:rsidRDefault="00E75F33" w:rsidP="00E75F33">
      <w:pPr>
        <w:spacing w:after="0" w:line="240" w:lineRule="auto"/>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w:t>
      </w:r>
    </w:p>
    <w:p w14:paraId="4FDFBA32" w14:textId="77777777" w:rsidR="00E75F33" w:rsidRPr="00E75F33" w:rsidRDefault="00E75F33" w:rsidP="00E75F33">
      <w:pPr>
        <w:spacing w:after="0" w:line="240" w:lineRule="auto"/>
        <w:jc w:val="both"/>
        <w:rPr>
          <w:rFonts w:ascii="Verdana" w:eastAsia="Aptos" w:hAnsi="Verdana" w:cs="Times New Roman"/>
          <w:kern w:val="2"/>
          <w:sz w:val="20"/>
          <w:szCs w:val="20"/>
          <w14:ligatures w14:val="standardContextual"/>
        </w:rPr>
      </w:pPr>
    </w:p>
    <w:p w14:paraId="2130E661" w14:textId="6E78C730" w:rsidR="00E75F33" w:rsidRPr="00711D3C" w:rsidRDefault="00E75F33" w:rsidP="00711D3C">
      <w:pPr>
        <w:tabs>
          <w:tab w:val="left" w:pos="0"/>
        </w:tabs>
        <w:spacing w:line="278" w:lineRule="auto"/>
        <w:jc w:val="both"/>
        <w:rPr>
          <w:rFonts w:ascii="Verdana" w:eastAsia="Times New Roman" w:hAnsi="Verdana" w:cs="Arial"/>
          <w:kern w:val="2"/>
          <w:sz w:val="20"/>
          <w:szCs w:val="20"/>
          <w:lang w:val="es-ES" w:eastAsia="es-ES"/>
          <w14:ligatures w14:val="standardContextual"/>
        </w:rPr>
      </w:pPr>
      <w:r w:rsidRPr="00E75F33">
        <w:rPr>
          <w:rFonts w:ascii="Verdana" w:eastAsia="Times New Roman" w:hAnsi="Verdana" w:cs="Arial"/>
          <w:sz w:val="20"/>
          <w:szCs w:val="20"/>
          <w:lang w:val="es-ES" w:eastAsia="es-ES"/>
        </w:rPr>
        <w:t xml:space="preserve">En efecto, el artículo 3 de las resoluciones señaladas, reconoce que los documentos tipo pueden resultar obligatorios no solo para las entidades sometidas al Estatuto General de Contratación de la Administración Pública – EGCAP, sino también para patrimonios autónomos y demás sujetos de derecho público y privado, siempre que exista un </w:t>
      </w:r>
      <w:r w:rsidRPr="00E75F33">
        <w:rPr>
          <w:rFonts w:ascii="Verdana" w:eastAsia="Times New Roman" w:hAnsi="Verdana" w:cs="Arial"/>
          <w:sz w:val="20"/>
          <w:szCs w:val="20"/>
          <w:lang w:val="es-ES" w:eastAsia="es-ES"/>
        </w:rPr>
        <w:lastRenderedPageBreak/>
        <w:t xml:space="preserve">mandato legal que imponga dicha obligación. Es así como, la expresión </w:t>
      </w:r>
      <w:r w:rsidRPr="00E75F33">
        <w:rPr>
          <w:rFonts w:ascii="Verdana" w:eastAsia="Times New Roman" w:hAnsi="Verdana" w:cs="Arial"/>
          <w:i/>
          <w:iCs/>
          <w:sz w:val="20"/>
          <w:szCs w:val="20"/>
          <w:lang w:val="es-ES" w:eastAsia="es-ES"/>
        </w:rPr>
        <w:t xml:space="preserve">“(…) que por mandato legal estén obligados a su aplicación (…)” </w:t>
      </w:r>
      <w:r w:rsidRPr="00E75F33">
        <w:rPr>
          <w:rFonts w:ascii="Verdana" w:eastAsia="Times New Roman" w:hAnsi="Verdana" w:cs="Arial"/>
          <w:sz w:val="20"/>
          <w:szCs w:val="20"/>
          <w:lang w:val="es-ES" w:eastAsia="es-ES"/>
        </w:rPr>
        <w:t>se relaciona directamente con el contenido del artículo 56 de la Ley 2195 de 2022, que como se señaló, amplió el ámbito de aplicación de los documentos tipo y del EGCAP a determinados supuesto que allí se establecen.</w:t>
      </w:r>
    </w:p>
    <w:p w14:paraId="6C02E40A"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r w:rsidRPr="00E75F33">
        <w:rPr>
          <w:rFonts w:ascii="Verdana" w:eastAsia="Times New Roman" w:hAnsi="Verdana" w:cs="Arial"/>
          <w:sz w:val="20"/>
          <w:szCs w:val="20"/>
          <w:lang w:val="es-ES" w:eastAsia="es-ES"/>
        </w:rPr>
        <w:t>Así las cosas, de conformidad con el inciso primero del artículo 56 de la Ley 2195 de 2022, cuando una entidad sometida al EGCAP celebre un contrato o convenio interadministrativo o de cualquier índole con un patrimonio autónomo, tendrá que aplicar los documentos tipo, siempre que el objeto contractual corresponda a bienes, obras o servicios cobijados por estos.</w:t>
      </w:r>
    </w:p>
    <w:p w14:paraId="45F33471"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1E2FA09B"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24310DB6"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08E7C9D3"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3F365ACD"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23463853"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57EB976D"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041D112F"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6A28F0B8"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3FA7A8F9"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1E0A220A"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05C89B59" w14:textId="77777777" w:rsidR="00E75F33" w:rsidRPr="00E75F33" w:rsidRDefault="00E75F33" w:rsidP="00E75F33">
      <w:pPr>
        <w:tabs>
          <w:tab w:val="left" w:pos="0"/>
        </w:tabs>
        <w:spacing w:line="278" w:lineRule="auto"/>
        <w:jc w:val="both"/>
        <w:rPr>
          <w:rFonts w:ascii="Verdana" w:eastAsia="Times New Roman" w:hAnsi="Verdana" w:cs="Arial"/>
          <w:kern w:val="2"/>
          <w:sz w:val="20"/>
          <w:szCs w:val="20"/>
          <w:lang w:val="es-ES" w:eastAsia="es-ES"/>
          <w14:ligatures w14:val="standardContextual"/>
        </w:rPr>
      </w:pPr>
    </w:p>
    <w:p w14:paraId="7BFC6445" w14:textId="77777777" w:rsidR="00E75F33" w:rsidRPr="00E75F33" w:rsidRDefault="00E75F33" w:rsidP="00E75F33">
      <w:pPr>
        <w:tabs>
          <w:tab w:val="left" w:pos="0"/>
        </w:tabs>
        <w:spacing w:after="0" w:line="240" w:lineRule="auto"/>
        <w:jc w:val="both"/>
        <w:rPr>
          <w:rFonts w:ascii="Verdana" w:eastAsia="Times New Roman" w:hAnsi="Verdana" w:cs="Arial"/>
          <w:sz w:val="20"/>
          <w:szCs w:val="20"/>
          <w:lang w:val="es-ES" w:eastAsia="es-ES"/>
        </w:rPr>
      </w:pPr>
    </w:p>
    <w:p w14:paraId="1C9F9B16"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r>
    </w:p>
    <w:p w14:paraId="320D63C0" w14:textId="77777777" w:rsidR="00E75F33" w:rsidRPr="00E75F33" w:rsidRDefault="00E75F33" w:rsidP="00E75F33">
      <w:pPr>
        <w:spacing w:after="0" w:line="276" w:lineRule="auto"/>
        <w:jc w:val="both"/>
        <w:rPr>
          <w:rFonts w:ascii="Verdana" w:eastAsia="Aptos" w:hAnsi="Verdana" w:cs="Times New Roman"/>
          <w:kern w:val="2"/>
          <w:lang w:val="es-ES"/>
          <w14:ligatures w14:val="standardContextual"/>
        </w:rPr>
      </w:pPr>
    </w:p>
    <w:p w14:paraId="46B87E89" w14:textId="77777777" w:rsidR="00E75F33" w:rsidRPr="00E75F33" w:rsidRDefault="00E75F33" w:rsidP="00E75F33">
      <w:pPr>
        <w:spacing w:after="0" w:line="276" w:lineRule="auto"/>
        <w:jc w:val="both"/>
        <w:rPr>
          <w:rFonts w:ascii="Verdana" w:eastAsia="Calibri" w:hAnsi="Verdana" w:cs="Arial"/>
          <w:color w:val="000000"/>
          <w:kern w:val="2"/>
          <w:sz w:val="20"/>
          <w:szCs w:val="20"/>
          <w14:ligatures w14:val="standardContextual"/>
        </w:rPr>
      </w:pPr>
    </w:p>
    <w:p w14:paraId="2EDB3A0B"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2B4E7D88"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7D329375"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184FF388"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4E3E5DD4"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49A27B69" w14:textId="77777777" w:rsidR="00E75F33" w:rsidRPr="00E75F33" w:rsidRDefault="00E75F33" w:rsidP="00E75F33">
      <w:pPr>
        <w:spacing w:after="0" w:line="240" w:lineRule="auto"/>
        <w:rPr>
          <w:rFonts w:ascii="Verdana" w:eastAsia="Calibri" w:hAnsi="Verdana" w:cs="Arial"/>
          <w:color w:val="000000"/>
          <w:sz w:val="20"/>
          <w:szCs w:val="20"/>
          <w:lang w:val="es-ES" w:eastAsia="es-CO"/>
        </w:rPr>
      </w:pPr>
    </w:p>
    <w:p w14:paraId="79654C79" w14:textId="0B04F310" w:rsidR="00E75F33" w:rsidRPr="00C55C39" w:rsidRDefault="00E75F33" w:rsidP="00E75F33">
      <w:pPr>
        <w:spacing w:after="0" w:line="240" w:lineRule="auto"/>
        <w:rPr>
          <w:rFonts w:ascii="Verdana" w:eastAsia="Calibri" w:hAnsi="Verdana" w:cs="Vrinda"/>
          <w:kern w:val="2"/>
          <w:lang w:eastAsia="es-MX"/>
          <w14:ligatures w14:val="standardContextual"/>
        </w:rPr>
      </w:pPr>
      <w:r w:rsidRPr="00C55C39">
        <w:rPr>
          <w:rFonts w:ascii="Verdana" w:eastAsia="Calibri" w:hAnsi="Verdana" w:cs="Vrinda"/>
          <w:kern w:val="2"/>
          <w:lang w:eastAsia="es-MX"/>
          <w14:ligatures w14:val="standardContextual"/>
        </w:rPr>
        <w:lastRenderedPageBreak/>
        <w:t xml:space="preserve">Bogotá D.C., </w:t>
      </w:r>
      <w:r w:rsidR="00C55C39" w:rsidRPr="00C55C39">
        <w:rPr>
          <w:rFonts w:ascii="Verdana" w:eastAsia="Calibri" w:hAnsi="Verdana" w:cs="Vrinda"/>
          <w:kern w:val="2"/>
          <w:lang w:eastAsia="es-MX"/>
          <w14:ligatures w14:val="standardContextual"/>
        </w:rPr>
        <w:t>30 de junio de 2026</w:t>
      </w:r>
    </w:p>
    <w:p w14:paraId="47380F32" w14:textId="77777777" w:rsidR="00C55C39" w:rsidRDefault="00C55C39" w:rsidP="00E75F33">
      <w:pPr>
        <w:spacing w:after="0" w:line="240" w:lineRule="auto"/>
        <w:rPr>
          <w:rFonts w:ascii="Verdana" w:eastAsia="Calibri" w:hAnsi="Verdana" w:cs="Vrinda"/>
          <w:kern w:val="2"/>
          <w:sz w:val="24"/>
          <w:szCs w:val="24"/>
          <w:lang w:eastAsia="es-MX"/>
          <w14:ligatures w14:val="standardContextual"/>
        </w:rPr>
      </w:pPr>
    </w:p>
    <w:p w14:paraId="779D1FC1" w14:textId="23B58876" w:rsidR="00C55C39" w:rsidRPr="00E75F33" w:rsidRDefault="00C55C39" w:rsidP="00C55C39">
      <w:pPr>
        <w:spacing w:after="0" w:line="240" w:lineRule="auto"/>
        <w:jc w:val="right"/>
        <w:rPr>
          <w:rFonts w:ascii="Verdana" w:eastAsia="Calibri" w:hAnsi="Verdana" w:cs="Vrinda"/>
          <w:kern w:val="2"/>
          <w:sz w:val="24"/>
          <w:szCs w:val="24"/>
          <w:lang w:eastAsia="es-MX"/>
          <w14:ligatures w14:val="standardContextual"/>
        </w:rPr>
      </w:pPr>
      <w:r w:rsidRPr="00C55C39">
        <w:rPr>
          <w:rFonts w:ascii="Verdana" w:eastAsia="Calibri" w:hAnsi="Verdana" w:cs="Vrinda"/>
          <w:noProof/>
          <w:kern w:val="2"/>
          <w:sz w:val="24"/>
          <w:szCs w:val="24"/>
          <w:lang w:eastAsia="es-MX"/>
          <w14:ligatures w14:val="standardContextual"/>
        </w:rPr>
        <w:drawing>
          <wp:inline distT="0" distB="0" distL="0" distR="0" wp14:anchorId="0640E219" wp14:editId="7CB9795C">
            <wp:extent cx="2960545" cy="1003922"/>
            <wp:effectExtent l="0" t="0" r="0" b="0"/>
            <wp:docPr id="364425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25872" name=""/>
                    <pic:cNvPicPr/>
                  </pic:nvPicPr>
                  <pic:blipFill>
                    <a:blip r:embed="rId10"/>
                    <a:stretch>
                      <a:fillRect/>
                    </a:stretch>
                  </pic:blipFill>
                  <pic:spPr>
                    <a:xfrm>
                      <a:off x="0" y="0"/>
                      <a:ext cx="3042229" cy="1031621"/>
                    </a:xfrm>
                    <a:prstGeom prst="rect">
                      <a:avLst/>
                    </a:prstGeom>
                  </pic:spPr>
                </pic:pic>
              </a:graphicData>
            </a:graphic>
          </wp:inline>
        </w:drawing>
      </w:r>
    </w:p>
    <w:p w14:paraId="3E33BC49" w14:textId="77777777" w:rsidR="00E75F33" w:rsidRPr="00E75F33" w:rsidRDefault="00E75F33" w:rsidP="00E75F33">
      <w:pPr>
        <w:spacing w:after="0" w:line="240" w:lineRule="auto"/>
        <w:rPr>
          <w:rFonts w:ascii="Verdana" w:eastAsia="Calibri" w:hAnsi="Verdana" w:cs="Arial"/>
          <w:lang w:val="es-ES" w:eastAsia="es-ES"/>
        </w:rPr>
      </w:pPr>
    </w:p>
    <w:p w14:paraId="61CB1FCC" w14:textId="77777777" w:rsidR="00E75F33" w:rsidRPr="00E75F33" w:rsidRDefault="00E75F33" w:rsidP="00E75F33">
      <w:pPr>
        <w:spacing w:after="0" w:line="240" w:lineRule="auto"/>
        <w:rPr>
          <w:rFonts w:ascii="Verdana" w:eastAsia="Calibri" w:hAnsi="Verdana" w:cs="Arial"/>
          <w:lang w:val="es-ES" w:eastAsia="es-ES"/>
        </w:rPr>
      </w:pPr>
      <w:r w:rsidRPr="00E75F33">
        <w:rPr>
          <w:rFonts w:ascii="Verdana" w:eastAsia="Calibri" w:hAnsi="Verdana" w:cs="Arial"/>
          <w:lang w:val="es-ES" w:eastAsia="es-ES"/>
        </w:rPr>
        <w:t xml:space="preserve">Señor </w:t>
      </w:r>
    </w:p>
    <w:p w14:paraId="488FC8CC" w14:textId="77777777" w:rsidR="00E75F33" w:rsidRPr="00E75F33" w:rsidRDefault="00E75F33" w:rsidP="00E75F33">
      <w:pPr>
        <w:spacing w:after="0" w:line="240" w:lineRule="auto"/>
        <w:rPr>
          <w:rFonts w:ascii="Verdana" w:eastAsia="Calibri" w:hAnsi="Verdana" w:cs="Arial"/>
          <w:b/>
          <w:bCs/>
          <w:lang w:val="es-ES" w:eastAsia="es-ES"/>
        </w:rPr>
      </w:pPr>
      <w:r w:rsidRPr="00E75F33">
        <w:rPr>
          <w:rFonts w:ascii="Verdana" w:eastAsia="Calibri" w:hAnsi="Verdana" w:cs="Arial"/>
          <w:b/>
          <w:bCs/>
          <w:lang w:val="es-ES" w:eastAsia="es-ES"/>
        </w:rPr>
        <w:t>Juan Sebastián López Fuertes</w:t>
      </w:r>
    </w:p>
    <w:p w14:paraId="4F172555" w14:textId="77777777" w:rsidR="00E75F33" w:rsidRPr="00E75F33" w:rsidRDefault="00E75F33" w:rsidP="00E75F33">
      <w:pPr>
        <w:spacing w:after="0" w:line="240" w:lineRule="auto"/>
        <w:rPr>
          <w:rFonts w:ascii="Verdana" w:eastAsia="Calibri" w:hAnsi="Verdana" w:cs="Arial"/>
          <w:lang w:val="es-ES" w:eastAsia="es-ES"/>
        </w:rPr>
      </w:pPr>
      <w:r w:rsidRPr="00E75F33">
        <w:rPr>
          <w:rFonts w:ascii="Verdana" w:eastAsia="Calibri" w:hAnsi="Verdana" w:cs="Arial"/>
          <w:lang w:val="es-ES" w:eastAsia="es-ES"/>
        </w:rPr>
        <w:t>Bogotá D.C</w:t>
      </w:r>
    </w:p>
    <w:p w14:paraId="460004F2" w14:textId="77777777" w:rsidR="00E75F33" w:rsidRPr="00E75F33" w:rsidRDefault="00E75F33" w:rsidP="00E75F33">
      <w:pPr>
        <w:spacing w:after="0" w:line="240" w:lineRule="auto"/>
        <w:rPr>
          <w:rFonts w:ascii="Verdana" w:eastAsia="Calibri" w:hAnsi="Verdana" w:cs="Arial"/>
          <w:lang w:val="es-ES" w:eastAsia="es-ES"/>
        </w:rPr>
      </w:pPr>
    </w:p>
    <w:p w14:paraId="09CA944E" w14:textId="77777777" w:rsidR="00E75F33" w:rsidRPr="00E75F33" w:rsidRDefault="00E75F33" w:rsidP="00E75F33">
      <w:pPr>
        <w:spacing w:after="0" w:line="240" w:lineRule="auto"/>
        <w:rPr>
          <w:rFonts w:ascii="Verdana" w:eastAsia="Calibri" w:hAnsi="Verdana" w:cs="Arial"/>
          <w:lang w:val="es-ES" w:eastAsia="es-ES"/>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75F33" w:rsidRPr="00E75F33" w14:paraId="31568ED0" w14:textId="77777777" w:rsidTr="00A46F1D">
        <w:trPr>
          <w:trHeight w:val="229"/>
        </w:trPr>
        <w:tc>
          <w:tcPr>
            <w:tcW w:w="2268" w:type="dxa"/>
          </w:tcPr>
          <w:p w14:paraId="3BA82663" w14:textId="77777777" w:rsidR="00E75F33" w:rsidRPr="00E75F33" w:rsidRDefault="00E75F33" w:rsidP="00E75F33">
            <w:pPr>
              <w:jc w:val="both"/>
              <w:rPr>
                <w:rFonts w:ascii="Verdana" w:eastAsia="Calibri" w:hAnsi="Verdana" w:cs="Arial"/>
                <w:b/>
                <w:bCs/>
                <w:lang w:val="es-ES_tradnl" w:eastAsia="es-ES_tradnl"/>
              </w:rPr>
            </w:pPr>
          </w:p>
        </w:tc>
        <w:tc>
          <w:tcPr>
            <w:tcW w:w="6100" w:type="dxa"/>
          </w:tcPr>
          <w:p w14:paraId="3CD58AB1" w14:textId="77777777" w:rsidR="00E75F33" w:rsidRPr="00E75F33" w:rsidRDefault="00E75F33" w:rsidP="00E75F33">
            <w:pPr>
              <w:jc w:val="both"/>
              <w:rPr>
                <w:rFonts w:ascii="Verdana" w:eastAsia="Calibri" w:hAnsi="Verdana" w:cs="Arial"/>
                <w:b/>
                <w:bCs/>
                <w:lang w:val="es-ES" w:eastAsia="es-ES"/>
              </w:rPr>
            </w:pPr>
            <w:r w:rsidRPr="00E75F33">
              <w:rPr>
                <w:rFonts w:ascii="Verdana" w:eastAsia="Calibri" w:hAnsi="Verdana" w:cs="Arial"/>
                <w:b/>
                <w:bCs/>
                <w:lang w:val="es-ES" w:eastAsia="es-ES"/>
              </w:rPr>
              <w:t xml:space="preserve">Concepto </w:t>
            </w:r>
            <w:bookmarkStart w:id="1" w:name="OLE_LINK1"/>
            <w:r w:rsidRPr="00E75F33">
              <w:rPr>
                <w:rFonts w:ascii="Verdana" w:eastAsia="Calibri" w:hAnsi="Verdana" w:cs="Arial"/>
                <w:b/>
                <w:bCs/>
                <w:lang w:val="es-ES" w:eastAsia="es-ES"/>
              </w:rPr>
              <w:t>C-840 de 2026</w:t>
            </w:r>
            <w:bookmarkEnd w:id="1"/>
          </w:p>
          <w:p w14:paraId="67368343" w14:textId="77777777" w:rsidR="00E75F33" w:rsidRPr="00E75F33" w:rsidRDefault="00E75F33" w:rsidP="00E75F33">
            <w:pPr>
              <w:jc w:val="both"/>
              <w:rPr>
                <w:rFonts w:ascii="Verdana" w:eastAsia="Calibri" w:hAnsi="Verdana" w:cs="Arial"/>
                <w:b/>
                <w:bCs/>
                <w:lang w:val="es-ES" w:eastAsia="es-ES"/>
              </w:rPr>
            </w:pPr>
          </w:p>
        </w:tc>
      </w:tr>
      <w:tr w:rsidR="00E75F33" w:rsidRPr="00E75F33" w14:paraId="48DACBEE" w14:textId="77777777" w:rsidTr="00A46F1D">
        <w:trPr>
          <w:trHeight w:val="884"/>
        </w:trPr>
        <w:tc>
          <w:tcPr>
            <w:tcW w:w="2268" w:type="dxa"/>
          </w:tcPr>
          <w:p w14:paraId="60B1837F" w14:textId="77777777" w:rsidR="00E75F33" w:rsidRPr="00E75F33" w:rsidRDefault="00E75F33" w:rsidP="00E75F33">
            <w:pPr>
              <w:jc w:val="both"/>
              <w:rPr>
                <w:rFonts w:ascii="Verdana" w:eastAsia="Calibri" w:hAnsi="Verdana" w:cs="Arial"/>
                <w:lang w:val="es-ES_tradnl" w:eastAsia="es-ES_tradnl"/>
              </w:rPr>
            </w:pPr>
            <w:r w:rsidRPr="00E75F33">
              <w:rPr>
                <w:rFonts w:ascii="Verdana" w:eastAsia="Calibri" w:hAnsi="Verdana" w:cs="Arial"/>
                <w:b/>
                <w:lang w:val="es-ES_tradnl" w:eastAsia="es-ES_tradnl"/>
              </w:rPr>
              <w:t>Temas:</w:t>
            </w:r>
            <w:r w:rsidRPr="00E75F33">
              <w:rPr>
                <w:rFonts w:ascii="Verdana" w:eastAsia="Calibri" w:hAnsi="Verdana" w:cs="Arial"/>
                <w:lang w:val="es-ES_tradnl" w:eastAsia="es-ES_tradnl"/>
              </w:rPr>
              <w:t xml:space="preserve">                   </w:t>
            </w:r>
          </w:p>
        </w:tc>
        <w:tc>
          <w:tcPr>
            <w:tcW w:w="6100" w:type="dxa"/>
          </w:tcPr>
          <w:p w14:paraId="150E9959" w14:textId="77777777" w:rsidR="00E75F33" w:rsidRPr="00E75F33" w:rsidRDefault="00E75F33" w:rsidP="00E75F33">
            <w:pPr>
              <w:spacing w:line="276" w:lineRule="auto"/>
              <w:jc w:val="both"/>
              <w:rPr>
                <w:rFonts w:ascii="Verdana" w:eastAsia="Times New Roman" w:hAnsi="Verdana" w:cs="Arial"/>
                <w:lang w:val="es-ES" w:eastAsia="es-CO"/>
              </w:rPr>
            </w:pPr>
            <w:r w:rsidRPr="00E75F33">
              <w:rPr>
                <w:rFonts w:ascii="Verdana" w:eastAsia="Times New Roman" w:hAnsi="Verdana" w:cs="Arial"/>
                <w:lang w:eastAsia="es-ES_tradnl"/>
              </w:rPr>
              <w:t xml:space="preserve">DOCUMENTOS TIPO – Fundamento normativo – Obligatoriedad – Ámbito de aplicación – Entidades sometidas / </w:t>
            </w:r>
            <w:r w:rsidRPr="00E75F33">
              <w:rPr>
                <w:rFonts w:ascii="Verdana" w:eastAsia="Calibri" w:hAnsi="Verdana" w:cs="Arial"/>
                <w:color w:val="000000"/>
                <w:lang w:val="es-ES_tradnl" w:eastAsia="es-ES_tradnl"/>
              </w:rPr>
              <w:t xml:space="preserve">LEY 2195 DE 2022 – Artículo 56 – Personas jurídicas de derecho privado – Documentos tipo – Estatuto General de Contratación de la Administración Pública / LEY 2195 DE 2022 – Artículo 56 – Parágrafo – Alcance  / </w:t>
            </w:r>
            <w:r w:rsidRPr="00E75F33">
              <w:rPr>
                <w:rFonts w:ascii="Verdana" w:eastAsia="Calibri" w:hAnsi="Verdana" w:cs="Arial"/>
                <w:color w:val="000000"/>
                <w:lang w:val="es-ES_tradnl"/>
              </w:rPr>
              <w:t xml:space="preserve">FIDUCIA MERCANTIL ― Concepto ― Características / FIDUCIA MERCANTIL ― Fiducia pública ― Patrimonio autónomo ― Diferencias / </w:t>
            </w:r>
            <w:r w:rsidRPr="00E75F33">
              <w:rPr>
                <w:rFonts w:ascii="Verdana" w:eastAsia="Times New Roman" w:hAnsi="Verdana" w:cs="Arial"/>
                <w:lang w:val="es-ES" w:eastAsia="es-CO"/>
              </w:rPr>
              <w:t xml:space="preserve">FONTUR – Fondo Nacional de Turismo – Patrimonio autónomo / </w:t>
            </w:r>
            <w:r w:rsidRPr="00E75F33">
              <w:rPr>
                <w:rFonts w:ascii="Verdana" w:eastAsia="Calibri" w:hAnsi="Verdana" w:cs="Arial"/>
                <w:color w:val="000000"/>
              </w:rPr>
              <w:t>PATRIMONIO AUTÓNOMO –</w:t>
            </w:r>
            <w:proofErr w:type="spellStart"/>
            <w:r w:rsidRPr="00E75F33">
              <w:rPr>
                <w:rFonts w:ascii="Verdana" w:eastAsia="Calibri" w:hAnsi="Verdana" w:cs="Arial"/>
                <w:color w:val="000000"/>
              </w:rPr>
              <w:t>Fontur</w:t>
            </w:r>
            <w:proofErr w:type="spellEnd"/>
            <w:r w:rsidRPr="00E75F33">
              <w:rPr>
                <w:rFonts w:ascii="Verdana" w:eastAsia="Calibri" w:hAnsi="Verdana" w:cs="Arial"/>
                <w:color w:val="000000"/>
              </w:rPr>
              <w:t xml:space="preserve"> – Aplicación – Documentos tipo</w:t>
            </w:r>
          </w:p>
          <w:p w14:paraId="6C1DA89F" w14:textId="77777777" w:rsidR="00E75F33" w:rsidRPr="00E75F33" w:rsidRDefault="00E75F33" w:rsidP="00E75F33">
            <w:pPr>
              <w:jc w:val="both"/>
              <w:rPr>
                <w:rFonts w:ascii="Verdana" w:eastAsia="Calibri" w:hAnsi="Verdana" w:cs="Arial"/>
                <w:bCs/>
                <w:lang w:eastAsia="es-ES"/>
              </w:rPr>
            </w:pPr>
          </w:p>
        </w:tc>
      </w:tr>
      <w:tr w:rsidR="00E75F33" w:rsidRPr="00E75F33" w14:paraId="4B5CDDEC" w14:textId="77777777" w:rsidTr="00A46F1D">
        <w:tc>
          <w:tcPr>
            <w:tcW w:w="2268" w:type="dxa"/>
          </w:tcPr>
          <w:p w14:paraId="0CCE4028" w14:textId="77777777" w:rsidR="00E75F33" w:rsidRPr="00E75F33" w:rsidRDefault="00E75F33" w:rsidP="00E75F33">
            <w:pPr>
              <w:jc w:val="both"/>
              <w:rPr>
                <w:rFonts w:ascii="Verdana" w:eastAsia="Calibri" w:hAnsi="Verdana" w:cs="Arial"/>
                <w:b/>
                <w:lang w:val="es-ES_tradnl" w:eastAsia="es-ES_tradnl"/>
              </w:rPr>
            </w:pPr>
            <w:r w:rsidRPr="00E75F33">
              <w:rPr>
                <w:rFonts w:ascii="Verdana" w:eastAsia="Calibri" w:hAnsi="Verdana" w:cs="Arial"/>
                <w:b/>
                <w:lang w:val="es-ES_tradnl" w:eastAsia="es-ES_tradnl"/>
              </w:rPr>
              <w:t>Radicación:</w:t>
            </w:r>
            <w:r w:rsidRPr="00E75F33">
              <w:rPr>
                <w:rFonts w:ascii="Verdana" w:eastAsia="Calibri" w:hAnsi="Verdana" w:cs="Arial"/>
                <w:lang w:val="es-ES_tradnl" w:eastAsia="es-ES_tradnl"/>
              </w:rPr>
              <w:t xml:space="preserve">               </w:t>
            </w:r>
          </w:p>
        </w:tc>
        <w:tc>
          <w:tcPr>
            <w:tcW w:w="6100" w:type="dxa"/>
          </w:tcPr>
          <w:p w14:paraId="5F7FF813" w14:textId="77777777" w:rsidR="00E75F33" w:rsidRPr="00E75F33" w:rsidRDefault="00E75F33" w:rsidP="00E75F33">
            <w:pPr>
              <w:ind w:left="3" w:hanging="3"/>
              <w:jc w:val="both"/>
              <w:rPr>
                <w:rFonts w:ascii="Verdana" w:eastAsia="Calibri" w:hAnsi="Verdana" w:cs="Arial"/>
                <w:lang w:val="es-ES_tradnl" w:eastAsia="es-ES_tradnl"/>
              </w:rPr>
            </w:pPr>
            <w:r w:rsidRPr="00E75F33">
              <w:rPr>
                <w:rFonts w:ascii="Verdana" w:eastAsia="Calibri" w:hAnsi="Verdana" w:cs="Arial"/>
                <w:lang w:val="es-ES_tradnl" w:eastAsia="es-ES_tradnl"/>
              </w:rPr>
              <w:t>Respuesta a consulta con radicado No. 1_2026_05_20_006805</w:t>
            </w:r>
          </w:p>
        </w:tc>
      </w:tr>
    </w:tbl>
    <w:p w14:paraId="44BA8B97" w14:textId="77777777" w:rsidR="00E75F33" w:rsidRPr="00E75F33" w:rsidRDefault="00E75F33" w:rsidP="00E75F33">
      <w:pPr>
        <w:spacing w:after="0" w:line="240" w:lineRule="auto"/>
        <w:jc w:val="both"/>
        <w:rPr>
          <w:rFonts w:ascii="Verdana" w:eastAsia="Calibri" w:hAnsi="Verdana" w:cs="Arial"/>
          <w:lang w:val="es-ES_tradnl" w:eastAsia="es-ES_tradnl"/>
        </w:rPr>
      </w:pPr>
    </w:p>
    <w:p w14:paraId="4389E610" w14:textId="77777777" w:rsidR="00E75F33" w:rsidRPr="00E75F33" w:rsidRDefault="00E75F33" w:rsidP="00E75F33">
      <w:pPr>
        <w:spacing w:after="0" w:line="240" w:lineRule="auto"/>
        <w:rPr>
          <w:rFonts w:ascii="Verdana" w:eastAsia="Calibri" w:hAnsi="Verdana" w:cs="Arial"/>
          <w:lang w:val="es-ES" w:eastAsia="es-ES"/>
        </w:rPr>
      </w:pPr>
      <w:r w:rsidRPr="00E75F33">
        <w:rPr>
          <w:rFonts w:ascii="Verdana" w:eastAsia="Calibri" w:hAnsi="Verdana" w:cs="Arial"/>
          <w:lang w:val="es-ES" w:eastAsia="es-ES"/>
        </w:rPr>
        <w:t xml:space="preserve">Estimado señor López Fuertes: </w:t>
      </w:r>
    </w:p>
    <w:p w14:paraId="1C4BD539" w14:textId="77777777" w:rsidR="00E75F33" w:rsidRPr="00E75F33" w:rsidRDefault="00E75F33" w:rsidP="00E75F33">
      <w:pPr>
        <w:tabs>
          <w:tab w:val="left" w:pos="3768"/>
        </w:tabs>
        <w:spacing w:after="0" w:line="276" w:lineRule="auto"/>
        <w:jc w:val="both"/>
        <w:rPr>
          <w:rFonts w:ascii="Verdana" w:eastAsia="Calibri" w:hAnsi="Verdana" w:cs="Arial"/>
          <w:lang w:val="es-ES" w:eastAsia="es-ES"/>
        </w:rPr>
      </w:pPr>
      <w:r w:rsidRPr="00E75F33">
        <w:rPr>
          <w:rFonts w:ascii="Verdana" w:eastAsia="Calibri" w:hAnsi="Verdana" w:cs="Arial"/>
          <w:lang w:val="es-ES" w:eastAsia="es-ES"/>
        </w:rPr>
        <w:tab/>
      </w:r>
    </w:p>
    <w:p w14:paraId="243FA448" w14:textId="77777777" w:rsidR="00E75F33" w:rsidRPr="00E75F33" w:rsidRDefault="00E75F33" w:rsidP="00E75F33">
      <w:pPr>
        <w:spacing w:after="0" w:line="276" w:lineRule="auto"/>
        <w:jc w:val="both"/>
        <w:rPr>
          <w:rFonts w:ascii="Verdana" w:eastAsia="Calibri" w:hAnsi="Verdana" w:cs="Arial"/>
          <w:lang w:val="es-ES" w:eastAsia="es-ES"/>
        </w:rPr>
      </w:pPr>
      <w:r w:rsidRPr="00E75F33">
        <w:rPr>
          <w:rFonts w:ascii="Verdana" w:eastAsia="Calibri" w:hAnsi="Verdana" w:cs="Arial"/>
          <w:lang w:val="es-ES" w:eastAsia="es-ES"/>
        </w:rPr>
        <w:t>En ejercicio de la competencia otorgada por los artículos 3, numeral 5º, y 11, numeral 8º, del Decreto Ley 4170 de 2011,</w:t>
      </w:r>
      <w:r w:rsidRPr="00E75F33">
        <w:rPr>
          <w:rFonts w:ascii="Verdana" w:eastAsia="Arial MT" w:hAnsi="Verdana" w:cs="Arial MT"/>
          <w:lang w:val="es-ES" w:eastAsia="es-ES"/>
        </w:rPr>
        <w:t xml:space="preserve"> </w:t>
      </w:r>
      <w:r w:rsidRPr="00E75F33">
        <w:rPr>
          <w:rFonts w:ascii="Verdana" w:eastAsia="Calibri" w:hAnsi="Verdana" w:cs="Arial"/>
          <w:lang w:eastAsia="es-MX"/>
        </w:rPr>
        <w:t xml:space="preserve">así como lo establecido por la </w:t>
      </w:r>
      <w:r w:rsidRPr="00E75F33">
        <w:rPr>
          <w:rFonts w:ascii="Verdana" w:eastAsia="Aptos" w:hAnsi="Verdana" w:cs="Arial"/>
          <w:bCs/>
          <w:lang w:eastAsia="es-ES" w:bidi="es-ES"/>
        </w:rPr>
        <w:t>Resolución 469 de 2025 expedida por esta Entidad</w:t>
      </w:r>
      <w:r w:rsidRPr="00E75F33">
        <w:rPr>
          <w:rFonts w:ascii="Verdana" w:eastAsia="Calibri" w:hAnsi="Verdana" w:cs="Arial"/>
          <w:lang w:eastAsia="es-MX"/>
        </w:rPr>
        <w:t xml:space="preserve">, </w:t>
      </w:r>
      <w:r w:rsidRPr="00E75F33">
        <w:rPr>
          <w:rFonts w:ascii="Verdana" w:eastAsia="Calibri" w:hAnsi="Verdana" w:cs="Arial"/>
          <w:lang w:val="es-ES" w:eastAsia="es-ES"/>
        </w:rPr>
        <w:t xml:space="preserve">la Agencia Nacional de Contratación Pública – Colombia Compra Eficiente– responde su solicitud de consulta del 19 de mayo de 2026, en la cual manifiesta lo siguiente: </w:t>
      </w:r>
    </w:p>
    <w:p w14:paraId="388E16F4" w14:textId="77777777" w:rsidR="00E75F33" w:rsidRPr="00E75F33" w:rsidRDefault="00E75F33" w:rsidP="00E75F33">
      <w:pPr>
        <w:tabs>
          <w:tab w:val="left" w:pos="142"/>
          <w:tab w:val="left" w:pos="284"/>
        </w:tabs>
        <w:spacing w:after="0" w:line="276" w:lineRule="auto"/>
        <w:ind w:left="709" w:right="709"/>
        <w:jc w:val="both"/>
        <w:rPr>
          <w:rFonts w:ascii="Verdana" w:eastAsia="Century Gothic" w:hAnsi="Verdana" w:cs="Century Gothic"/>
          <w:b/>
          <w:bCs/>
          <w:sz w:val="20"/>
          <w:szCs w:val="20"/>
          <w:lang w:val="es-ES" w:eastAsia="es-MX"/>
        </w:rPr>
      </w:pPr>
    </w:p>
    <w:p w14:paraId="3E135C57"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Times New Roman" w:hAnsi="Verdana" w:cs="Times New Roman"/>
          <w:color w:val="242424"/>
          <w:sz w:val="20"/>
          <w:szCs w:val="20"/>
          <w:lang w:eastAsia="es-MX"/>
        </w:rPr>
        <w:t>“</w:t>
      </w:r>
      <w:r w:rsidRPr="00E75F33">
        <w:rPr>
          <w:rFonts w:ascii="Verdana" w:eastAsia="Aptos" w:hAnsi="Verdana" w:cs="Times New Roman"/>
          <w:kern w:val="2"/>
          <w:sz w:val="20"/>
          <w:szCs w:val="20"/>
          <w14:ligatures w14:val="standardContextual"/>
        </w:rPr>
        <w:t xml:space="preserve">De manera atenta nos permitimos solicitar concepto jurídico respecto de la aplicabilidad al Patrimonio Autónomo Fondo Nacional de Turismo – P.A. FONTUR del deber previsto en el artículo 56 de la Ley 2195 de 2022, relacionado con la obligación de adoptar los documentos tipo expedidos por la Agencia Nacional de Contratación Pública – Colombia Compra Eficiente. </w:t>
      </w:r>
    </w:p>
    <w:p w14:paraId="07CA5D4F"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Lo anterior, teniendo en cuenta que el artículo 56 de la Ley 2195 de 2022 dispuso: </w:t>
      </w:r>
    </w:p>
    <w:p w14:paraId="796A6228"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“Para la adquisición de bienes, obras o servicios, las entidades estatales sometidas al Estatuto General de Contratación de la Administración </w:t>
      </w:r>
      <w:proofErr w:type="spellStart"/>
      <w:r w:rsidRPr="00E75F33">
        <w:rPr>
          <w:rFonts w:ascii="Verdana" w:eastAsia="Aptos" w:hAnsi="Verdana" w:cs="Times New Roman"/>
          <w:kern w:val="2"/>
          <w:sz w:val="20"/>
          <w:szCs w:val="20"/>
          <w14:ligatures w14:val="standardContextual"/>
        </w:rPr>
        <w:t>Publica</w:t>
      </w:r>
      <w:proofErr w:type="spellEnd"/>
      <w:r w:rsidRPr="00E75F33">
        <w:rPr>
          <w:rFonts w:ascii="Verdana" w:eastAsia="Aptos" w:hAnsi="Verdana" w:cs="Times New Roman"/>
          <w:kern w:val="2"/>
          <w:sz w:val="20"/>
          <w:szCs w:val="20"/>
          <w14:ligatures w14:val="standardContextual"/>
        </w:rPr>
        <w:t xml:space="preserve">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w:t>
      </w:r>
      <w:proofErr w:type="spellStart"/>
      <w:r w:rsidRPr="00E75F33">
        <w:rPr>
          <w:rFonts w:ascii="Verdana" w:eastAsia="Aptos" w:hAnsi="Verdana" w:cs="Times New Roman"/>
          <w:kern w:val="2"/>
          <w:sz w:val="20"/>
          <w:szCs w:val="20"/>
          <w14:ligatures w14:val="standardContextual"/>
        </w:rPr>
        <w:t>Publica</w:t>
      </w:r>
      <w:proofErr w:type="spellEnd"/>
      <w:r w:rsidRPr="00E75F33">
        <w:rPr>
          <w:rFonts w:ascii="Verdana" w:eastAsia="Aptos" w:hAnsi="Verdana" w:cs="Times New Roman"/>
          <w:kern w:val="2"/>
          <w:sz w:val="20"/>
          <w:szCs w:val="20"/>
          <w14:ligatures w14:val="standardContextual"/>
        </w:rPr>
        <w:t xml:space="preserve"> - Colombia Compra Eficiente o quien haga sus veces, conforme al parágrafo 7 del Artículo 2 de la Ley 1150 de 2007 o las normas que lo modifiquen o sustituyan. </w:t>
      </w:r>
    </w:p>
    <w:p w14:paraId="01449D29"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Los procedimientos de selección y los contratos que realicen en desarrollo de los anteriores negocios jurídicos, donde apliquen los documentos tipo se regirán por el Estatuto General de Contratación de la Administración </w:t>
      </w:r>
      <w:proofErr w:type="spellStart"/>
      <w:r w:rsidRPr="00E75F33">
        <w:rPr>
          <w:rFonts w:ascii="Verdana" w:eastAsia="Aptos" w:hAnsi="Verdana" w:cs="Times New Roman"/>
          <w:kern w:val="2"/>
          <w:sz w:val="20"/>
          <w:szCs w:val="20"/>
          <w14:ligatures w14:val="standardContextual"/>
        </w:rPr>
        <w:t>Publica</w:t>
      </w:r>
      <w:proofErr w:type="spellEnd"/>
      <w:r w:rsidRPr="00E75F33">
        <w:rPr>
          <w:rFonts w:ascii="Verdana" w:eastAsia="Aptos" w:hAnsi="Verdana" w:cs="Times New Roman"/>
          <w:kern w:val="2"/>
          <w:sz w:val="20"/>
          <w:szCs w:val="20"/>
          <w14:ligatures w14:val="standardContextual"/>
        </w:rPr>
        <w:t xml:space="preserve">. (...)”. </w:t>
      </w:r>
    </w:p>
    <w:p w14:paraId="404DCE57"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En ese sentido, la presente consulta surge debido a la naturaleza jurídica particular del P.A. FONTUR, el cual corresponde a un patrimonio autónomo constituido mediante contrato de fiducia mercantil, administrado por una sociedad fiduciaria y sometido a un régimen contractual especial contenido principalmente en: </w:t>
      </w:r>
    </w:p>
    <w:p w14:paraId="03F1AC0A"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 la Ley 300 de 1996, </w:t>
      </w:r>
    </w:p>
    <w:p w14:paraId="69619EB2"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la Ley 1101 de 2006,</w:t>
      </w:r>
    </w:p>
    <w:p w14:paraId="6112132A"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 la Ley 2068 de 2020, </w:t>
      </w:r>
    </w:p>
    <w:p w14:paraId="0D761FCE"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 así como en su Manual de Contratación. Particularmente, se solicita concepto respecto de los siguientes interrogantes: </w:t>
      </w:r>
    </w:p>
    <w:p w14:paraId="07AEEABF"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1. ¿El P.A. FONTUR, atendiendo su naturaleza jurídica y régimen especial de contratación, se encuentra comprendido dentro del ámbito subjetivo de aplicación del artículo 56 de la Ley 2195 de 2022? </w:t>
      </w:r>
    </w:p>
    <w:p w14:paraId="5C704ABF"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 xml:space="preserve">2. ¿La remisión a principios de la contratación estatal o la utilización de recursos públicos implica, por sí misma, la obligatoriedad de adoptar documentos tipo expedidos por la Agencia Nacional de Contratación Pública – Colombia Compra Eficiente? </w:t>
      </w:r>
    </w:p>
    <w:p w14:paraId="5AF0656A"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lastRenderedPageBreak/>
        <w:t xml:space="preserve">3. En caso de considerarse aplicables los documentos tipo al P.A. FONTUR, ¿dicha aplicación tendría carácter obligatorio o meramente referencial/orientador, considerando el régimen excepcional y autónomo de contratación del patrimonio autónomo? </w:t>
      </w:r>
    </w:p>
    <w:p w14:paraId="536F8027" w14:textId="77777777" w:rsidR="00E75F33" w:rsidRPr="00E75F33" w:rsidRDefault="00E75F33" w:rsidP="00E75F3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75F33">
        <w:rPr>
          <w:rFonts w:ascii="Verdana" w:eastAsia="Aptos" w:hAnsi="Verdana" w:cs="Times New Roman"/>
          <w:kern w:val="2"/>
          <w:sz w:val="20"/>
          <w:szCs w:val="20"/>
          <w14:ligatures w14:val="standardContextual"/>
        </w:rPr>
        <w:t>4. ¿Existe actualmente doctrina, lineamiento o antecedente emitido por Agencia Nacional de Contratación Pública – Colombia Compra Eficiente relacionado con la aplicabilidad de documentos tipo a patrimonios autónomos con régimen especial de contratación?</w:t>
      </w:r>
    </w:p>
    <w:p w14:paraId="7794408A" w14:textId="77777777" w:rsidR="00E75F33" w:rsidRPr="00E75F33" w:rsidRDefault="00E75F33" w:rsidP="00E75F33">
      <w:pPr>
        <w:shd w:val="clear" w:color="auto" w:fill="FFFFFF"/>
        <w:spacing w:after="0" w:line="240" w:lineRule="auto"/>
        <w:ind w:left="709" w:right="709"/>
        <w:jc w:val="both"/>
        <w:rPr>
          <w:rFonts w:ascii="Verdana" w:eastAsia="Aptos" w:hAnsi="Verdana" w:cs="Arial"/>
          <w:sz w:val="20"/>
          <w:szCs w:val="20"/>
          <w:lang w:eastAsia="es-MX"/>
        </w:rPr>
      </w:pPr>
      <w:r w:rsidRPr="00E75F33">
        <w:rPr>
          <w:rFonts w:ascii="Verdana" w:eastAsia="Aptos" w:hAnsi="Verdana" w:cs="Times New Roman"/>
          <w:kern w:val="2"/>
          <w:sz w:val="20"/>
          <w:szCs w:val="20"/>
          <w14:ligatures w14:val="standardContextual"/>
        </w:rPr>
        <w:t>La presente solicitud tiene como finalidad obtener claridad jurídica respecto del alcance normativo del artículo 56 de la Ley 2195 de 2022 frente a entidades con régimen contractual especial, particularmente en el marco de los procesos de selección adelantados por el P.A. FONTUR”.</w:t>
      </w:r>
    </w:p>
    <w:p w14:paraId="0D7CEF50" w14:textId="77777777" w:rsidR="00E75F33" w:rsidRPr="00E75F33" w:rsidRDefault="00E75F33" w:rsidP="00E75F33">
      <w:pPr>
        <w:spacing w:after="0" w:line="240" w:lineRule="auto"/>
        <w:ind w:left="1068" w:right="709"/>
        <w:contextualSpacing/>
        <w:jc w:val="both"/>
        <w:rPr>
          <w:rFonts w:ascii="Arial" w:eastAsia="Aptos" w:hAnsi="Arial" w:cs="Arial"/>
          <w:sz w:val="21"/>
          <w:szCs w:val="21"/>
          <w:lang w:eastAsia="es-MX"/>
        </w:rPr>
      </w:pPr>
    </w:p>
    <w:p w14:paraId="0CF5893C" w14:textId="77777777" w:rsidR="00E75F33" w:rsidRPr="00E75F33" w:rsidRDefault="00E75F33" w:rsidP="00E75F33">
      <w:pPr>
        <w:spacing w:after="120" w:line="276" w:lineRule="auto"/>
        <w:ind w:firstLine="709"/>
        <w:jc w:val="both"/>
        <w:rPr>
          <w:rFonts w:ascii="Verdana" w:eastAsia="Calibri" w:hAnsi="Verdana" w:cs="Arial"/>
          <w:color w:val="000000"/>
          <w:lang w:val="es-ES" w:eastAsia="es-ES"/>
        </w:rPr>
      </w:pPr>
      <w:r w:rsidRPr="00E75F33">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5F33">
        <w:rPr>
          <w:rFonts w:ascii="Verdana" w:eastAsia="Calibri" w:hAnsi="Verdana" w:cs="Arial"/>
          <w:color w:val="000000"/>
          <w:lang w:val="es-ES_tradnl" w:eastAsia="es-ES_tradnl"/>
        </w:rPr>
        <w:tab/>
      </w:r>
    </w:p>
    <w:p w14:paraId="429E8CFA" w14:textId="77777777" w:rsidR="00E75F33" w:rsidRPr="00E75F33" w:rsidRDefault="00E75F33" w:rsidP="00E75F33">
      <w:pPr>
        <w:spacing w:after="0" w:line="276" w:lineRule="auto"/>
        <w:ind w:firstLine="709"/>
        <w:jc w:val="both"/>
        <w:rPr>
          <w:rFonts w:ascii="Verdana" w:eastAsia="Calibri" w:hAnsi="Verdana" w:cs="Arial"/>
          <w:color w:val="000000"/>
          <w:lang w:val="es-ES" w:eastAsia="es-ES"/>
        </w:rPr>
      </w:pPr>
      <w:r w:rsidRPr="00E75F3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75F33">
        <w:rPr>
          <w:rFonts w:ascii="Verdana" w:eastAsia="Calibri" w:hAnsi="Verdana" w:cs="Arial"/>
          <w:color w:val="7030A0"/>
          <w:lang w:val="es-ES" w:eastAsia="es-ES"/>
        </w:rPr>
        <w:t xml:space="preserve"> </w:t>
      </w:r>
      <w:r w:rsidRPr="00E75F33">
        <w:rPr>
          <w:rFonts w:ascii="Verdana" w:eastAsia="Calibri" w:hAnsi="Verdana" w:cs="Arial"/>
          <w:color w:val="000000"/>
          <w:lang w:val="es-ES" w:eastAsia="es-ES"/>
        </w:rPr>
        <w:t>problema</w:t>
      </w:r>
      <w:r w:rsidRPr="00E75F33">
        <w:rPr>
          <w:rFonts w:ascii="Verdana" w:eastAsia="Calibri" w:hAnsi="Verdana" w:cs="Arial"/>
          <w:color w:val="7030A0"/>
          <w:lang w:val="es-ES" w:eastAsia="es-ES"/>
        </w:rPr>
        <w:t xml:space="preserve"> </w:t>
      </w:r>
      <w:r w:rsidRPr="00E75F33">
        <w:rPr>
          <w:rFonts w:ascii="Verdana" w:eastAsia="Calibri" w:hAnsi="Verdana" w:cs="Arial"/>
          <w:color w:val="000000"/>
          <w:lang w:val="es-ES" w:eastAsia="es-ES"/>
        </w:rPr>
        <w:t>jurídico</w:t>
      </w:r>
      <w:r w:rsidRPr="00E75F33">
        <w:rPr>
          <w:rFonts w:ascii="Verdana" w:eastAsia="Calibri" w:hAnsi="Verdana" w:cs="Arial"/>
          <w:color w:val="7030A0"/>
          <w:lang w:val="es-ES" w:eastAsia="es-ES"/>
        </w:rPr>
        <w:t xml:space="preserve"> </w:t>
      </w:r>
      <w:r w:rsidRPr="00E75F33">
        <w:rPr>
          <w:rFonts w:ascii="Verdana" w:eastAsia="Calibri" w:hAnsi="Verdana" w:cs="Arial"/>
          <w:color w:val="000000"/>
          <w:lang w:val="es-ES" w:eastAsia="es-ES"/>
        </w:rPr>
        <w:t xml:space="preserve">de su consulta. </w:t>
      </w:r>
    </w:p>
    <w:p w14:paraId="579325EA" w14:textId="77777777" w:rsidR="00E75F33" w:rsidRPr="00E75F33" w:rsidRDefault="00E75F33" w:rsidP="00E75F33">
      <w:pPr>
        <w:spacing w:after="0" w:line="276" w:lineRule="auto"/>
        <w:jc w:val="both"/>
        <w:rPr>
          <w:rFonts w:ascii="Verdana" w:eastAsia="Calibri" w:hAnsi="Verdana" w:cs="Arial"/>
          <w:lang w:val="es-ES" w:eastAsia="es-ES"/>
        </w:rPr>
      </w:pPr>
    </w:p>
    <w:p w14:paraId="43226CB5" w14:textId="77777777" w:rsidR="00E75F33" w:rsidRPr="00E75F33" w:rsidRDefault="00E75F33" w:rsidP="00E75F33">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E75F33">
        <w:rPr>
          <w:rFonts w:ascii="Verdana" w:eastAsia="Century Gothic" w:hAnsi="Verdana" w:cs="Century Gothic"/>
          <w:b/>
          <w:bCs/>
          <w:lang w:eastAsia="es-MX"/>
        </w:rPr>
        <w:t>Problema planteado:</w:t>
      </w:r>
    </w:p>
    <w:p w14:paraId="1AB12868" w14:textId="77777777" w:rsidR="00E75F33" w:rsidRPr="00E75F33" w:rsidRDefault="00E75F33" w:rsidP="00E75F33">
      <w:pPr>
        <w:tabs>
          <w:tab w:val="left" w:pos="426"/>
        </w:tabs>
        <w:spacing w:after="0" w:line="276" w:lineRule="auto"/>
        <w:jc w:val="both"/>
        <w:rPr>
          <w:rFonts w:ascii="Verdana" w:eastAsia="Century Gothic" w:hAnsi="Verdana" w:cs="Century Gothic"/>
          <w:lang w:val="es-ES" w:eastAsia="es-MX"/>
        </w:rPr>
      </w:pPr>
    </w:p>
    <w:p w14:paraId="1967F0A8" w14:textId="77777777" w:rsidR="00E75F33" w:rsidRPr="00E75F33" w:rsidRDefault="00E75F33" w:rsidP="00E75F33">
      <w:pPr>
        <w:spacing w:after="0" w:line="276" w:lineRule="auto"/>
        <w:jc w:val="both"/>
        <w:rPr>
          <w:rFonts w:ascii="Verdana" w:eastAsia="Century Gothic" w:hAnsi="Verdana" w:cs="Century Gothic"/>
          <w:lang w:eastAsia="es-MX"/>
        </w:rPr>
      </w:pPr>
      <w:r w:rsidRPr="00E75F33">
        <w:rPr>
          <w:rFonts w:ascii="Verdana" w:eastAsia="Century Gothic" w:hAnsi="Verdana" w:cs="Century Gothic"/>
          <w:lang w:eastAsia="es-MX"/>
        </w:rPr>
        <w:t xml:space="preserve">De acuerdo con el contenido de su solicitud, esta Agencia resolverá los siguientes problemas jurídicos: i) </w:t>
      </w:r>
      <w:r w:rsidRPr="00E75F33">
        <w:rPr>
          <w:rFonts w:ascii="Verdana" w:eastAsia="Century Gothic" w:hAnsi="Verdana" w:cs="Century Gothic"/>
          <w:kern w:val="2"/>
          <w14:ligatures w14:val="standardContextual"/>
        </w:rPr>
        <w:t xml:space="preserve">¿Cuál es el alcance del artículo 56 de la Ley 2195 de 2022?, </w:t>
      </w:r>
      <w:proofErr w:type="spellStart"/>
      <w:r w:rsidRPr="00E75F33">
        <w:rPr>
          <w:rFonts w:ascii="Verdana" w:eastAsia="Century Gothic" w:hAnsi="Verdana" w:cs="Century Gothic"/>
          <w:kern w:val="2"/>
          <w14:ligatures w14:val="standardContextual"/>
        </w:rPr>
        <w:t>ii</w:t>
      </w:r>
      <w:proofErr w:type="spellEnd"/>
      <w:r w:rsidRPr="00E75F33">
        <w:rPr>
          <w:rFonts w:ascii="Verdana" w:eastAsia="Century Gothic" w:hAnsi="Verdana" w:cs="Century Gothic"/>
          <w:kern w:val="2"/>
          <w14:ligatures w14:val="standardContextual"/>
        </w:rPr>
        <w:t>) ¿</w:t>
      </w:r>
      <w:r w:rsidRPr="00E75F33">
        <w:rPr>
          <w:rFonts w:ascii="Verdana" w:eastAsia="Times New Roman" w:hAnsi="Verdana" w:cs="Arial"/>
          <w:lang w:eastAsia="es-ES"/>
        </w:rPr>
        <w:t>L</w:t>
      </w:r>
      <w:r w:rsidRPr="00E75F33">
        <w:rPr>
          <w:rFonts w:ascii="Verdana" w:eastAsia="Times New Roman" w:hAnsi="Verdana" w:cs="Arial"/>
          <w:lang w:val="es-ES" w:eastAsia="es-ES"/>
        </w:rPr>
        <w:t xml:space="preserve">os patrimonios autónomos, particularmente el </w:t>
      </w:r>
      <w:r w:rsidRPr="00E75F33">
        <w:rPr>
          <w:rFonts w:ascii="Verdana" w:eastAsia="Aptos" w:hAnsi="Verdana" w:cs="Arial"/>
          <w:kern w:val="2"/>
          <w14:ligatures w14:val="standardContextual"/>
        </w:rPr>
        <w:t>Fondo Nacional de Turismo (FONTUR)</w:t>
      </w:r>
      <w:r w:rsidRPr="00E75F33">
        <w:rPr>
          <w:rFonts w:ascii="Verdana" w:eastAsia="Times New Roman" w:hAnsi="Verdana" w:cs="Arial"/>
          <w:lang w:val="es-ES" w:eastAsia="es-ES"/>
        </w:rPr>
        <w:t xml:space="preserve">, debe aplicar los pliegos tipo adoptados por la Agencia </w:t>
      </w:r>
      <w:r w:rsidRPr="00E75F33">
        <w:rPr>
          <w:rFonts w:ascii="Verdana" w:eastAsia="Times New Roman" w:hAnsi="Verdana" w:cs="Arial"/>
          <w:lang w:val="es-ES" w:eastAsia="es-ES"/>
        </w:rPr>
        <w:lastRenderedPageBreak/>
        <w:t xml:space="preserve">Nacional de Contratación Pública – Colombia Compra Eficiente para los objetos contractuales que sean cobijados por aquellos? </w:t>
      </w:r>
    </w:p>
    <w:p w14:paraId="43880C76" w14:textId="77777777" w:rsidR="00E75F33" w:rsidRPr="00E75F33" w:rsidRDefault="00E75F33" w:rsidP="00E75F33">
      <w:pPr>
        <w:spacing w:after="0" w:line="276" w:lineRule="auto"/>
        <w:jc w:val="both"/>
        <w:rPr>
          <w:rFonts w:ascii="Verdana" w:eastAsia="Century Gothic" w:hAnsi="Verdana" w:cs="Century Gothic"/>
          <w:lang w:eastAsia="es-MX"/>
        </w:rPr>
      </w:pPr>
    </w:p>
    <w:p w14:paraId="5552E3E2" w14:textId="77777777" w:rsidR="00E75F33" w:rsidRPr="00E75F33" w:rsidRDefault="00E75F33" w:rsidP="00E75F33">
      <w:pPr>
        <w:tabs>
          <w:tab w:val="left" w:pos="142"/>
          <w:tab w:val="left" w:pos="284"/>
        </w:tabs>
        <w:spacing w:after="0" w:line="276" w:lineRule="auto"/>
        <w:contextualSpacing/>
        <w:jc w:val="both"/>
        <w:rPr>
          <w:rFonts w:ascii="Verdana" w:eastAsia="Century Gothic" w:hAnsi="Verdana" w:cs="Century Gothic"/>
          <w:b/>
          <w:bCs/>
          <w:lang w:val="es-ES" w:eastAsia="es-MX"/>
        </w:rPr>
      </w:pPr>
      <w:r w:rsidRPr="00E75F33">
        <w:rPr>
          <w:rFonts w:ascii="Verdana" w:eastAsia="Century Gothic" w:hAnsi="Verdana" w:cs="Century Gothic"/>
          <w:b/>
          <w:bCs/>
          <w:lang w:val="es-ES" w:eastAsia="es-MX"/>
        </w:rPr>
        <w:t>2. Respuestas:</w:t>
      </w:r>
    </w:p>
    <w:p w14:paraId="67FD26D9" w14:textId="77777777" w:rsidR="00E75F33" w:rsidRPr="00E75F33" w:rsidRDefault="00E75F33" w:rsidP="00E75F33">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5F33" w:rsidRPr="00E75F33" w14:paraId="496F4208" w14:textId="77777777" w:rsidTr="00A46F1D">
        <w:trPr>
          <w:trHeight w:val="1303"/>
        </w:trPr>
        <w:tc>
          <w:tcPr>
            <w:tcW w:w="8828" w:type="dxa"/>
            <w:tcBorders>
              <w:top w:val="dotted" w:sz="4" w:space="0" w:color="auto"/>
              <w:left w:val="dotted" w:sz="4" w:space="0" w:color="auto"/>
              <w:bottom w:val="dotted" w:sz="4" w:space="0" w:color="auto"/>
              <w:right w:val="dotted" w:sz="4" w:space="0" w:color="auto"/>
            </w:tcBorders>
          </w:tcPr>
          <w:p w14:paraId="75C83330" w14:textId="77777777" w:rsidR="00E75F33" w:rsidRPr="00E75F33" w:rsidRDefault="00E75F33" w:rsidP="00E75F33">
            <w:pPr>
              <w:spacing w:before="120" w:line="276" w:lineRule="auto"/>
              <w:jc w:val="both"/>
              <w:rPr>
                <w:rFonts w:ascii="Verdana" w:eastAsia="Calibri" w:hAnsi="Verdana" w:cs="Arial"/>
                <w:lang w:val="es-ES"/>
              </w:rPr>
            </w:pPr>
            <w:r w:rsidRPr="00E75F33">
              <w:rPr>
                <w:rFonts w:ascii="Verdana" w:eastAsia="Times New Roman" w:hAnsi="Verdana" w:cs="Arial"/>
                <w:lang w:val="es-ES" w:eastAsia="es-CO"/>
              </w:rPr>
              <w:t xml:space="preserve">i. </w:t>
            </w:r>
            <w:r w:rsidRPr="00E75F33">
              <w:rPr>
                <w:rFonts w:ascii="Verdana" w:eastAsia="Calibri" w:hAnsi="Verdana" w:cs="Arial"/>
                <w:lang w:val="es-ES"/>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75F33">
              <w:rPr>
                <w:rFonts w:ascii="Verdana" w:eastAsia="Calibri" w:hAnsi="Verdana" w:cs="Arial"/>
                <w:lang w:val="es-ES"/>
              </w:rPr>
              <w:t>ii</w:t>
            </w:r>
            <w:proofErr w:type="spellEnd"/>
            <w:r w:rsidRPr="00E75F33">
              <w:rPr>
                <w:rFonts w:ascii="Verdana" w:eastAsia="Calibri" w:hAnsi="Verdana" w:cs="Arial"/>
                <w:lang w:val="es-ES"/>
              </w:rPr>
              <w:t xml:space="preserve">) patrimonios autónomos o </w:t>
            </w:r>
            <w:proofErr w:type="spellStart"/>
            <w:r w:rsidRPr="00E75F33">
              <w:rPr>
                <w:rFonts w:ascii="Verdana" w:eastAsia="Calibri" w:hAnsi="Verdana" w:cs="Arial"/>
                <w:lang w:val="es-ES"/>
              </w:rPr>
              <w:t>iii</w:t>
            </w:r>
            <w:proofErr w:type="spellEnd"/>
            <w:r w:rsidRPr="00E75F33">
              <w:rPr>
                <w:rFonts w:ascii="Verdana" w:eastAsia="Calibri" w:hAnsi="Verdana" w:cs="Arial"/>
                <w:lang w:val="es-ES"/>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1C60A8E8" w14:textId="77777777" w:rsidR="00E75F33" w:rsidRPr="00E75F33" w:rsidRDefault="00E75F33" w:rsidP="00E75F33">
            <w:pPr>
              <w:spacing w:before="120" w:line="276" w:lineRule="auto"/>
              <w:ind w:firstLine="743"/>
              <w:jc w:val="both"/>
              <w:rPr>
                <w:rFonts w:ascii="Verdana" w:eastAsia="Calibri" w:hAnsi="Verdana" w:cs="Arial"/>
                <w:lang w:val="es-ES"/>
              </w:rPr>
            </w:pPr>
            <w:r w:rsidRPr="00E75F33">
              <w:rPr>
                <w:rFonts w:ascii="Verdana" w:eastAsia="Calibri" w:hAnsi="Verdana" w:cs="Arial"/>
                <w:lang w:val="es-ES" w:eastAsia="es-ES"/>
              </w:rPr>
              <w:t>Sin perjuicio de lo anterior, solo es posible comprender los efectos de lo dispuesto en el artículo 56 de la Ley 2195 de 2022 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w:t>
            </w:r>
          </w:p>
          <w:p w14:paraId="433C987C" w14:textId="77777777" w:rsidR="00E75F33" w:rsidRPr="00E75F33" w:rsidRDefault="00E75F33" w:rsidP="00E75F33">
            <w:pPr>
              <w:spacing w:before="120" w:line="276" w:lineRule="auto"/>
              <w:ind w:firstLine="601"/>
              <w:jc w:val="both"/>
              <w:rPr>
                <w:rFonts w:ascii="Verdana" w:eastAsia="Calibri" w:hAnsi="Verdana" w:cs="Arial"/>
                <w:bCs/>
                <w:lang w:val="es-ES_tradnl"/>
              </w:rPr>
            </w:pPr>
            <w:r w:rsidRPr="00E75F33">
              <w:rPr>
                <w:rFonts w:ascii="Verdana" w:eastAsia="Aptos" w:hAnsi="Verdana" w:cs="Arial"/>
                <w:color w:val="000000"/>
                <w:shd w:val="clear" w:color="auto" w:fill="FFFFFF"/>
                <w:lang w:val="es-ES"/>
              </w:rPr>
              <w:t xml:space="preserve">Así, </w:t>
            </w:r>
            <w:r w:rsidRPr="00E75F33">
              <w:rPr>
                <w:rFonts w:ascii="Verdana" w:eastAsia="Calibri" w:hAnsi="Verdana" w:cs="Arial"/>
                <w:bCs/>
                <w:lang w:val="es-ES_tradnl" w:eastAsia="es-ES_tradnl"/>
              </w:rPr>
              <w:t>de la lectura conjunta de los incisos primero y segundo</w:t>
            </w:r>
            <w:r w:rsidRPr="00E75F33">
              <w:rPr>
                <w:rFonts w:ascii="Verdana" w:eastAsia="Calibri" w:hAnsi="Verdana" w:cs="Arial"/>
                <w:bCs/>
                <w:lang w:eastAsia="es-ES_tradnl"/>
              </w:rPr>
              <w:t xml:space="preserve"> del artículo 56 de la Ley 2195 de 2022,</w:t>
            </w:r>
            <w:r w:rsidRPr="00E75F33">
              <w:rPr>
                <w:rFonts w:ascii="Verdana" w:eastAsia="Calibri" w:hAnsi="Verdana" w:cs="Arial"/>
                <w:bCs/>
                <w:lang w:val="es-ES_tradnl" w:eastAsia="es-ES_tradnl"/>
              </w:rPr>
              <w:t xml:space="preserve"> se desprende que </w:t>
            </w:r>
            <w:r w:rsidRPr="00E75F33">
              <w:rPr>
                <w:rFonts w:ascii="Verdana" w:eastAsia="Calibri" w:hAnsi="Verdana" w:cs="Arial"/>
                <w:bCs/>
                <w:lang w:eastAsia="es-ES_tradnl"/>
              </w:rPr>
              <w:t xml:space="preserve">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de materializar dicha contratación, </w:t>
            </w:r>
            <w:r w:rsidRPr="00E75F33">
              <w:rPr>
                <w:rFonts w:ascii="Verdana" w:eastAsia="Calibri" w:hAnsi="Verdana" w:cs="Arial"/>
                <w:bCs/>
                <w:lang w:eastAsia="es-ES_tradnl"/>
              </w:rPr>
              <w:lastRenderedPageBreak/>
              <w:t>haciendo uso obligatorio de dichos documentos</w:t>
            </w:r>
            <w:r w:rsidRPr="00E75F33">
              <w:rPr>
                <w:rFonts w:ascii="Arial" w:eastAsia="Calibri" w:hAnsi="Arial" w:cs="Arial"/>
                <w:bCs/>
                <w:lang w:val="es-ES_tradnl"/>
              </w:rPr>
              <w:t xml:space="preserve"> </w:t>
            </w:r>
            <w:r w:rsidRPr="00E75F33">
              <w:rPr>
                <w:rFonts w:ascii="Verdana" w:eastAsia="Calibri" w:hAnsi="Verdana" w:cs="Arial"/>
                <w:bCs/>
                <w:lang w:val="es-ES_tradnl"/>
              </w:rPr>
              <w:t>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w:t>
            </w:r>
            <w:r w:rsidRPr="00E75F33">
              <w:rPr>
                <w:rFonts w:ascii="Verdana" w:eastAsia="Aptos" w:hAnsi="Verdana" w:cs="Arial"/>
                <w:color w:val="000000"/>
                <w:shd w:val="clear" w:color="auto" w:fill="FFFFFF"/>
                <w:lang w:val="es-ES"/>
              </w:rPr>
              <w:t xml:space="preserve">. </w:t>
            </w:r>
          </w:p>
          <w:p w14:paraId="06B29C7A" w14:textId="77777777" w:rsidR="00E75F33" w:rsidRPr="00E75F33" w:rsidRDefault="00E75F33" w:rsidP="00E75F33">
            <w:pPr>
              <w:spacing w:before="120" w:line="276" w:lineRule="auto"/>
              <w:ind w:firstLine="601"/>
              <w:jc w:val="both"/>
              <w:rPr>
                <w:rFonts w:ascii="Verdana" w:eastAsia="Aptos" w:hAnsi="Verdana" w:cs="Arial"/>
                <w:shd w:val="clear" w:color="auto" w:fill="FFFFFF"/>
                <w:lang w:val="es-ES_tradnl"/>
              </w:rPr>
            </w:pPr>
            <w:r w:rsidRPr="00E75F33">
              <w:rPr>
                <w:rFonts w:ascii="Verdana" w:eastAsia="Aptos" w:hAnsi="Verdana" w:cs="Arial"/>
                <w:color w:val="000000"/>
                <w:shd w:val="clear" w:color="auto" w:fill="FFFFFF"/>
                <w:lang w:val="es-ES_tradnl"/>
              </w:rPr>
              <w:t xml:space="preserve">De esta manera, la obligación de aplicar documentos tipo, y en general, las disposiciones del Estatuto General de Contratación de la Administración Pública se extienden a los compromisos contractuales derivados la celebración del contrato o convenio, según lo expresamente consagrado en el segundo inciso del artículo 56 de la ley citada. </w:t>
            </w:r>
            <w:r w:rsidRPr="00E75F33">
              <w:rPr>
                <w:rFonts w:ascii="Verdana" w:eastAsia="Aptos" w:hAnsi="Verdana" w:cs="Arial"/>
                <w:shd w:val="clear" w:color="auto" w:fill="FFFFFF"/>
                <w:lang w:val="es-ES_tradnl"/>
              </w:rPr>
              <w:t xml:space="preserve">No obstante, se encuentran exceptuadas de dicha obligación </w:t>
            </w:r>
            <w:r w:rsidRPr="00E75F33">
              <w:rPr>
                <w:rFonts w:ascii="Verdana" w:eastAsia="Aptos" w:hAnsi="Verdana" w:cs="Arial"/>
                <w:shd w:val="clear" w:color="auto" w:fill="FFFFFF"/>
              </w:rPr>
              <w:t>las Instituciones de Educación Superior públicas, las empresas sociales del Estado, las sociedades de economía mixta y las empresas industriales y comerciales del Estado, únicamente en cuanto a la contratación de su g</w:t>
            </w:r>
            <w:r w:rsidRPr="00E75F33">
              <w:rPr>
                <w:rFonts w:ascii="Verdana" w:eastAsia="Aptos" w:hAnsi="Verdana" w:cs="Arial"/>
                <w:i/>
                <w:iCs/>
                <w:shd w:val="clear" w:color="auto" w:fill="FFFFFF"/>
              </w:rPr>
              <w:t>iro ordinario</w:t>
            </w:r>
            <w:r w:rsidRPr="00E75F33">
              <w:rPr>
                <w:rFonts w:ascii="Verdana" w:eastAsia="Aptos" w:hAnsi="Verdana" w:cs="Arial"/>
                <w:shd w:val="clear" w:color="auto" w:fill="FFFFFF"/>
              </w:rPr>
              <w:t>, tal como se establece en el parágrafo del artículo 56 de la Ley 2195 de 2022</w:t>
            </w:r>
            <w:r w:rsidRPr="00E75F33">
              <w:rPr>
                <w:rFonts w:ascii="Verdana" w:eastAsia="Aptos" w:hAnsi="Verdana" w:cs="Arial"/>
                <w:shd w:val="clear" w:color="auto" w:fill="FFFFFF"/>
                <w:lang w:val="es-ES_tradnl"/>
              </w:rPr>
              <w:t>.</w:t>
            </w:r>
          </w:p>
          <w:p w14:paraId="0D29961E" w14:textId="77777777" w:rsidR="00E75F33" w:rsidRPr="00E75F33" w:rsidRDefault="00E75F33" w:rsidP="00E75F33">
            <w:pPr>
              <w:spacing w:line="276" w:lineRule="auto"/>
              <w:jc w:val="both"/>
              <w:rPr>
                <w:rFonts w:ascii="Verdana" w:eastAsia="Times New Roman" w:hAnsi="Verdana" w:cs="Arial"/>
                <w:lang w:val="es-ES" w:eastAsia="es-CO"/>
              </w:rPr>
            </w:pPr>
          </w:p>
          <w:p w14:paraId="0F70AD4E" w14:textId="77777777" w:rsidR="00E75F33" w:rsidRPr="00E75F33" w:rsidRDefault="00E75F33" w:rsidP="00E75F33">
            <w:pPr>
              <w:spacing w:after="120" w:line="276" w:lineRule="auto"/>
              <w:jc w:val="both"/>
              <w:rPr>
                <w:rFonts w:ascii="Verdana" w:eastAsia="Aptos" w:hAnsi="Verdana" w:cs="Arial"/>
              </w:rPr>
            </w:pPr>
            <w:proofErr w:type="spellStart"/>
            <w:r w:rsidRPr="00E75F33">
              <w:rPr>
                <w:rFonts w:ascii="Verdana" w:eastAsia="Calibri" w:hAnsi="Verdana" w:cs="Arial"/>
                <w:color w:val="000000"/>
                <w:lang w:val="es-ES" w:eastAsia="es-CO"/>
              </w:rPr>
              <w:t>ii</w:t>
            </w:r>
            <w:proofErr w:type="spellEnd"/>
            <w:r w:rsidRPr="00E75F33">
              <w:rPr>
                <w:rFonts w:ascii="Verdana" w:eastAsia="Calibri" w:hAnsi="Verdana" w:cs="Arial"/>
                <w:color w:val="000000"/>
                <w:lang w:val="es-ES" w:eastAsia="es-CO"/>
              </w:rPr>
              <w:t>. D</w:t>
            </w:r>
            <w:proofErr w:type="spellStart"/>
            <w:r w:rsidRPr="00E75F33">
              <w:rPr>
                <w:rFonts w:ascii="Verdana" w:eastAsia="Aptos" w:hAnsi="Verdana" w:cs="Times New Roman"/>
              </w:rPr>
              <w:t>ada</w:t>
            </w:r>
            <w:proofErr w:type="spellEnd"/>
            <w:r w:rsidRPr="00E75F33">
              <w:rPr>
                <w:rFonts w:ascii="Verdana" w:eastAsia="Aptos" w:hAnsi="Verdana" w:cs="Times New Roman"/>
              </w:rPr>
              <w:t xml:space="preserve"> su relevancia para el supuesto planteado por el peticionario, debe tenerse en cuenta que uno de los casos previstos por el legislador en los que se autoriza a una entidad estatal para constituir patrimonios autónomos es el relacionado con el Fondo Nacional de Turismo (FONTUR). Este fue establecido como un patrimonio autónomo sin personería jurídica, regido por normas de derecho privado y administrado por la Fiduciaria Colombiana de Comercio Exterior S. A. o por la sociedad fiduciaria que determine el Ministerio de Comercio, Industria y Turismo, de conformidad con los lineamientos que este establezca, en los términos previstos en el artículo 21 de la Ley 1558 de 2012, modificado por el artículo 307 de la Ley 2294 de 2023.</w:t>
            </w:r>
            <w:r w:rsidRPr="00E75F33">
              <w:rPr>
                <w:rFonts w:ascii="Verdana" w:eastAsia="Aptos" w:hAnsi="Verdana" w:cs="Arial"/>
              </w:rPr>
              <w:t xml:space="preserve"> Este patrimonio autónomo tiene la función de administrar los recursos señalados en los artículos 1 y 8 de la Ley 1101 de 2006, así como los asignados en el Presupuesto General de la Nación para la infraestructura turística, promoción y la competitividad turística, el recaudo del impuesto 01 turismo, la contribución parafiscal para la promoción del turismo y las demás fuentes de recursos que señale la ley.</w:t>
            </w:r>
          </w:p>
          <w:p w14:paraId="70B549D9" w14:textId="77777777" w:rsidR="00E75F33" w:rsidRPr="00E75F33" w:rsidRDefault="00E75F33" w:rsidP="00E75F33">
            <w:pPr>
              <w:spacing w:after="120" w:line="276" w:lineRule="auto"/>
              <w:ind w:firstLine="709"/>
              <w:jc w:val="both"/>
              <w:rPr>
                <w:rFonts w:ascii="Verdana" w:eastAsia="Times New Roman" w:hAnsi="Verdana" w:cs="Arial"/>
                <w:lang w:val="es-ES" w:eastAsia="es-ES"/>
              </w:rPr>
            </w:pPr>
            <w:r w:rsidRPr="00E75F33">
              <w:rPr>
                <w:rFonts w:ascii="Verdana" w:eastAsia="Calibri" w:hAnsi="Verdana" w:cs="Arial"/>
                <w:color w:val="000000"/>
                <w:lang w:val="es-ES" w:eastAsia="es-CO"/>
              </w:rPr>
              <w:t>Ahora bien, en la medida que, en el segundo problema jurídico planteado en este concepto</w:t>
            </w:r>
            <w:r w:rsidRPr="00E75F33">
              <w:rPr>
                <w:rFonts w:ascii="Verdana" w:eastAsia="Times New Roman" w:hAnsi="Verdana" w:cs="Arial"/>
                <w:lang w:val="es-ES" w:eastAsia="es-ES"/>
              </w:rPr>
              <w:t xml:space="preserve">, trata de si los patrimonios autónomos, particularmente el </w:t>
            </w:r>
            <w:r w:rsidRPr="00E75F33">
              <w:rPr>
                <w:rFonts w:ascii="Verdana" w:eastAsia="Aptos" w:hAnsi="Verdana" w:cs="Arial"/>
              </w:rPr>
              <w:t>Fondo Nacional de Turismo (FONTUR)</w:t>
            </w:r>
            <w:r w:rsidRPr="00E75F33">
              <w:rPr>
                <w:rFonts w:ascii="Verdana" w:eastAsia="Times New Roman" w:hAnsi="Verdana" w:cs="Arial"/>
                <w:lang w:val="es-ES" w:eastAsia="es-ES"/>
              </w:rPr>
              <w:t xml:space="preserve">, les es aplicable o no </w:t>
            </w:r>
            <w:r w:rsidRPr="00E75F33">
              <w:rPr>
                <w:rFonts w:ascii="Verdana" w:eastAsia="Times New Roman" w:hAnsi="Verdana" w:cs="Arial"/>
                <w:lang w:val="es-ES" w:eastAsia="es-ES"/>
              </w:rPr>
              <w:lastRenderedPageBreak/>
              <w:t xml:space="preserve">los pliegos tipo adoptados por la Agencia Nacional de Contratación Pública – Colombia Compra Eficiente para los objetos contractuales que sean cobijados por aquellos. </w:t>
            </w:r>
          </w:p>
          <w:p w14:paraId="75DEF2BB" w14:textId="77777777" w:rsidR="00E75F33" w:rsidRPr="00E75F33" w:rsidRDefault="00E75F33" w:rsidP="00E75F33">
            <w:pPr>
              <w:spacing w:after="120" w:line="276" w:lineRule="auto"/>
              <w:ind w:firstLine="709"/>
              <w:jc w:val="both"/>
              <w:rPr>
                <w:rFonts w:ascii="Verdana" w:eastAsia="Aptos" w:hAnsi="Verdana" w:cs="Arial"/>
              </w:rPr>
            </w:pPr>
            <w:r w:rsidRPr="00E75F33">
              <w:rPr>
                <w:rFonts w:ascii="Verdana" w:eastAsia="Times New Roman" w:hAnsi="Verdana" w:cs="Arial"/>
                <w:lang w:val="es-ES" w:eastAsia="es-ES"/>
              </w:rPr>
              <w:t xml:space="preserve">Sobre el particular le indicamos que, las resoluciones  </w:t>
            </w:r>
            <w:r w:rsidRPr="00E75F33">
              <w:rPr>
                <w:rFonts w:ascii="Verdana" w:eastAsia="Aptos" w:hAnsi="Verdana" w:cs="Times New Roman"/>
                <w:lang w:eastAsia="es-MX"/>
              </w:rPr>
              <w:t>539, 540 y 541 del 21 de agosto de 2025, así como las Resoluciones 952 y 953 del 15 de diciembre de 2025, adoptadas en el sector de infraestructura social, que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75F33">
              <w:rPr>
                <w:rFonts w:ascii="Verdana" w:eastAsia="Calibri" w:hAnsi="Verdana" w:cs="Arial"/>
                <w:lang w:eastAsia="es-MX"/>
              </w:rPr>
              <w:t>, en el artículo 3 disponen que</w:t>
            </w:r>
            <w:r w:rsidRPr="00E75F33">
              <w:rPr>
                <w:rFonts w:ascii="Verdana" w:eastAsia="Times New Roman" w:hAnsi="Verdana" w:cs="Arial"/>
                <w:i/>
                <w:iCs/>
                <w:lang w:val="es-ES" w:eastAsia="es-ES"/>
              </w:rPr>
              <w:t xml:space="preserve"> “(…)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0512D52A" w14:textId="77777777" w:rsidR="00E75F33" w:rsidRPr="00E75F33" w:rsidRDefault="00E75F33" w:rsidP="00E75F33">
            <w:pPr>
              <w:spacing w:after="120" w:line="276" w:lineRule="auto"/>
              <w:ind w:firstLine="708"/>
              <w:jc w:val="both"/>
              <w:rPr>
                <w:rFonts w:ascii="Verdana" w:eastAsia="Aptos" w:hAnsi="Verdana" w:cs="Times New Roman"/>
                <w:kern w:val="2"/>
                <w:sz w:val="18"/>
                <w:szCs w:val="18"/>
                <w14:ligatures w14:val="standardContextual"/>
              </w:rPr>
            </w:pPr>
            <w:r w:rsidRPr="00E75F33">
              <w:rPr>
                <w:rFonts w:ascii="Verdana" w:eastAsia="Aptos" w:hAnsi="Verdana" w:cs="Times New Roman"/>
              </w:rPr>
              <w:t>De igual forma, debe señalarse que lo dispuesto en el párrafo precedente también se encuentra previsto en las resoluciones expedidas en el sector transporte mediante las cuales se adoptaron documentos tipo. Por ejemplo, dicha disposición está contenida en el artículo 3 de las Resoluciones 726, 725, 464, 463 y 456 de 2024</w:t>
            </w:r>
            <w:r w:rsidRPr="00E75F33">
              <w:rPr>
                <w:rFonts w:ascii="Verdana" w:eastAsia="Calibri" w:hAnsi="Verdana" w:cs="Arial"/>
                <w:bCs/>
                <w:sz w:val="18"/>
                <w:szCs w:val="18"/>
              </w:rPr>
              <w:t>.</w:t>
            </w:r>
          </w:p>
          <w:p w14:paraId="3E886F05"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i/>
                <w:iCs/>
                <w:lang w:val="es-ES" w:eastAsia="es-ES"/>
              </w:rPr>
              <w:tab/>
            </w:r>
            <w:r w:rsidRPr="00E75F33">
              <w:rPr>
                <w:rFonts w:ascii="Verdana" w:eastAsia="Times New Roman" w:hAnsi="Verdana" w:cs="Arial"/>
                <w:lang w:val="es-ES" w:eastAsia="es-ES"/>
              </w:rPr>
              <w:t xml:space="preserve">En efecto, el artículo 3 de las resoluciones señaladas, reconoce que los documentos tipo pueden resultar obligatorios no solo para las entidades sometidas al Estatuto General de Contratación de la Administración Pública – EGCAP, sino también para patrimonios autónomos y demás sujetos de derecho público y privado, siempre que exista un mandato legal que imponga dicha obligación. Es así como, la expresión </w:t>
            </w:r>
            <w:r w:rsidRPr="00E75F33">
              <w:rPr>
                <w:rFonts w:ascii="Verdana" w:eastAsia="Times New Roman" w:hAnsi="Verdana" w:cs="Arial"/>
                <w:i/>
                <w:iCs/>
                <w:lang w:val="es-ES" w:eastAsia="es-ES"/>
              </w:rPr>
              <w:t xml:space="preserve">“(…) que por mandato legal estén obligados a su aplicación (…)” </w:t>
            </w:r>
            <w:r w:rsidRPr="00E75F33">
              <w:rPr>
                <w:rFonts w:ascii="Verdana" w:eastAsia="Times New Roman" w:hAnsi="Verdana" w:cs="Arial"/>
                <w:lang w:val="es-ES" w:eastAsia="es-ES"/>
              </w:rPr>
              <w:t>se relaciona directamente con el contenido del artículo 56 de la Ley 2195 de 2022, que como se señaló, amplió el ámbito de aplicación de los documentos tipo y del EGCAP a determinados supuesto que allí se establecen.</w:t>
            </w:r>
          </w:p>
          <w:p w14:paraId="1317E697"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 xml:space="preserve">Así las cosas, de conformidad con el inciso primero del artículo 56 de la Ley 2195 de 2022, cuando una entidad sometida al EGCAP celebre un contrato o convenio interadministrativo o de cualquier índole con un patrimonio </w:t>
            </w:r>
            <w:r w:rsidRPr="00E75F33">
              <w:rPr>
                <w:rFonts w:ascii="Verdana" w:eastAsia="Times New Roman" w:hAnsi="Verdana" w:cs="Arial"/>
                <w:lang w:val="es-ES" w:eastAsia="es-ES"/>
              </w:rPr>
              <w:lastRenderedPageBreak/>
              <w:t xml:space="preserve">autónomo, </w:t>
            </w:r>
            <w:r w:rsidRPr="00F22A97">
              <w:rPr>
                <w:rFonts w:ascii="Verdana" w:eastAsia="Times New Roman" w:hAnsi="Verdana" w:cs="Arial"/>
                <w:b/>
                <w:lang w:val="es-ES" w:eastAsia="es-ES"/>
              </w:rPr>
              <w:t>tendrá que aplicar los documentos tipo</w:t>
            </w:r>
            <w:r w:rsidRPr="00E75F33">
              <w:rPr>
                <w:rFonts w:ascii="Verdana" w:eastAsia="Times New Roman" w:hAnsi="Verdana" w:cs="Arial"/>
                <w:lang w:val="es-ES" w:eastAsia="es-ES"/>
              </w:rPr>
              <w:t>, siempre que el objeto contractual corresponda a bienes, obras o servicios cobijados por estos.</w:t>
            </w:r>
          </w:p>
          <w:p w14:paraId="16F5E52E"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Ahora bien, la aplicación de los documentos tipo en el supuesto señalado no se agota en este punto, considerando que, según se desprende del segundo inciso del artículo 56 de la Ley 2195 de 2022, “</w:t>
            </w:r>
            <w:r w:rsidRPr="00E75F33">
              <w:rPr>
                <w:rFonts w:ascii="Verdana" w:eastAsia="Calibri" w:hAnsi="Verdana" w:cs="Arial"/>
                <w:lang w:val="es-ES" w:eastAsia="es-ES"/>
              </w:rPr>
              <w:t xml:space="preserve">los procedimientos de selección y contratos que realicen en desarrollo de los anteriores negocios jurídicos”, a los que se refiere el primer inciso, en los que, además de la aplicación de los documentos tipo, se dispone la aplicación del estatuto general de contratación de la administración pública – EGCAP. </w:t>
            </w:r>
          </w:p>
          <w:p w14:paraId="7265E3A2" w14:textId="77777777" w:rsidR="00E75F33" w:rsidRPr="00E75F33" w:rsidRDefault="00E75F33" w:rsidP="00E75F33">
            <w:pPr>
              <w:tabs>
                <w:tab w:val="left" w:pos="0"/>
              </w:tabs>
              <w:spacing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 xml:space="preserve">Esto significa que, el patrimonio autónomo en virtud de lo dispuesto en los incisos primero y segundo del artículo 56, si debe contratar bienes, obras o servicios en cumplimiento de un contrato o convenio interadministrativo o de cualquier otra índole celebrado con una entidad estatal sometida a la Ley 80 de 1993, </w:t>
            </w:r>
            <w:r w:rsidRPr="005B4E9B">
              <w:rPr>
                <w:rFonts w:ascii="Verdana" w:eastAsia="Times New Roman" w:hAnsi="Verdana" w:cs="Arial"/>
                <w:b/>
                <w:lang w:val="es-ES" w:eastAsia="es-ES"/>
              </w:rPr>
              <w:t>deberán adelantar el correspondiente procedimiento de selección y celebrar el respectivo contrato aplicando los documentos tipo –siempre que existan en el sector– y las disposiciones del EGCAP</w:t>
            </w:r>
            <w:r w:rsidRPr="00E75F33">
              <w:rPr>
                <w:rFonts w:ascii="Verdana" w:eastAsia="Times New Roman" w:hAnsi="Verdana" w:cs="Arial"/>
                <w:lang w:val="es-ES" w:eastAsia="es-ES"/>
              </w:rPr>
              <w:t>.</w:t>
            </w:r>
          </w:p>
          <w:p w14:paraId="49DABA75" w14:textId="77777777" w:rsidR="00E75F33" w:rsidRPr="00E75F33" w:rsidRDefault="00E75F33" w:rsidP="00E75F33">
            <w:pPr>
              <w:spacing w:line="276" w:lineRule="auto"/>
              <w:jc w:val="both"/>
              <w:rPr>
                <w:rFonts w:ascii="Verdana" w:eastAsia="Aptos" w:hAnsi="Verdana" w:cs="Times New Roman"/>
              </w:rPr>
            </w:pPr>
          </w:p>
          <w:p w14:paraId="672FF70A" w14:textId="77777777" w:rsidR="00E75F33" w:rsidRPr="00E75F33" w:rsidRDefault="00E75F33" w:rsidP="00E75F33">
            <w:pPr>
              <w:spacing w:after="120" w:line="276" w:lineRule="auto"/>
              <w:jc w:val="both"/>
              <w:rPr>
                <w:rFonts w:ascii="Verdana" w:eastAsia="Times New Roman" w:hAnsi="Verdana" w:cs="Times New Roman"/>
                <w:lang w:eastAsia="es-MX"/>
              </w:rPr>
            </w:pPr>
            <w:r w:rsidRPr="00E75F33">
              <w:rPr>
                <w:rFonts w:ascii="Verdana" w:eastAsia="Calibri" w:hAnsi="Verdana" w:cs="Arial"/>
                <w:bCs/>
                <w:color w:val="000000"/>
                <w:lang w:eastAsia="es-MX"/>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62520FC" w14:textId="77777777" w:rsidR="00E75F33" w:rsidRPr="00E75F33" w:rsidRDefault="00E75F33" w:rsidP="00E75F33">
            <w:pPr>
              <w:spacing w:after="120" w:line="276" w:lineRule="auto"/>
              <w:ind w:firstLine="708"/>
              <w:jc w:val="both"/>
              <w:rPr>
                <w:rFonts w:ascii="Verdana" w:eastAsia="Calibri" w:hAnsi="Verdana" w:cs="Arial"/>
                <w:bCs/>
                <w:color w:val="000000"/>
                <w:lang w:eastAsia="es-MX"/>
              </w:rPr>
            </w:pPr>
            <w:r w:rsidRPr="00E75F33">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E75F33">
              <w:rPr>
                <w:rFonts w:ascii="Verdana" w:eastAsia="Calibri" w:hAnsi="Verdana" w:cs="Arial"/>
                <w:bCs/>
                <w:color w:val="000000"/>
                <w:lang w:eastAsia="es-MX"/>
              </w:rPr>
              <w:lastRenderedPageBreak/>
              <w:t xml:space="preserve">definirá la forma de adelantar su gestión contractual, sin que sea atribución de Colombia Compra Eficiente validar sus actuaciones. </w:t>
            </w:r>
          </w:p>
        </w:tc>
      </w:tr>
    </w:tbl>
    <w:p w14:paraId="4C45089E" w14:textId="77777777" w:rsidR="00E75F33" w:rsidRPr="00E75F33" w:rsidRDefault="00E75F33" w:rsidP="00E75F33">
      <w:pPr>
        <w:tabs>
          <w:tab w:val="left" w:pos="142"/>
          <w:tab w:val="left" w:pos="284"/>
        </w:tabs>
        <w:spacing w:after="0" w:line="276" w:lineRule="auto"/>
        <w:jc w:val="both"/>
        <w:rPr>
          <w:rFonts w:ascii="Verdana" w:eastAsia="Century Gothic" w:hAnsi="Verdana" w:cs="Century Gothic"/>
          <w:b/>
          <w:bCs/>
          <w:lang w:val="es-ES" w:eastAsia="es-MX"/>
        </w:rPr>
      </w:pPr>
    </w:p>
    <w:p w14:paraId="0F687BD4" w14:textId="77777777" w:rsidR="00E75F33" w:rsidRPr="00E75F33" w:rsidRDefault="00E75F33" w:rsidP="00E75F33">
      <w:pPr>
        <w:tabs>
          <w:tab w:val="left" w:pos="142"/>
          <w:tab w:val="left" w:pos="284"/>
        </w:tabs>
        <w:spacing w:after="0" w:line="276" w:lineRule="auto"/>
        <w:jc w:val="both"/>
        <w:rPr>
          <w:rFonts w:ascii="Verdana" w:eastAsia="Century Gothic" w:hAnsi="Verdana" w:cs="Century Gothic"/>
          <w:b/>
          <w:bCs/>
          <w:lang w:val="es-ES" w:eastAsia="es-MX"/>
        </w:rPr>
      </w:pPr>
      <w:r w:rsidRPr="00E75F33">
        <w:rPr>
          <w:rFonts w:ascii="Verdana" w:eastAsia="Century Gothic" w:hAnsi="Verdana" w:cs="Century Gothic"/>
          <w:b/>
          <w:bCs/>
          <w:lang w:val="es-ES" w:eastAsia="es-MX"/>
        </w:rPr>
        <w:t>3. Razones de la respuesta:</w:t>
      </w:r>
    </w:p>
    <w:p w14:paraId="3663331B" w14:textId="77777777" w:rsidR="00E75F33" w:rsidRPr="00E75F33" w:rsidRDefault="00E75F33" w:rsidP="00E75F33">
      <w:pPr>
        <w:spacing w:after="0" w:line="276" w:lineRule="auto"/>
        <w:jc w:val="both"/>
        <w:rPr>
          <w:rFonts w:ascii="Verdana" w:eastAsia="Calibri" w:hAnsi="Verdana" w:cs="Arial"/>
          <w:bCs/>
        </w:rPr>
      </w:pPr>
    </w:p>
    <w:p w14:paraId="16AC6A67" w14:textId="77777777" w:rsidR="00E75F33" w:rsidRPr="00E75F33" w:rsidRDefault="00E75F33" w:rsidP="00E75F33">
      <w:pPr>
        <w:spacing w:after="120" w:line="276" w:lineRule="auto"/>
        <w:jc w:val="both"/>
        <w:rPr>
          <w:rFonts w:ascii="Verdana" w:eastAsia="Calibri" w:hAnsi="Verdana" w:cs="Arial"/>
          <w:lang w:val="es-ES_tradnl" w:eastAsia="es-ES"/>
        </w:rPr>
      </w:pPr>
      <w:bookmarkStart w:id="2" w:name="_Hlk176861190"/>
      <w:bookmarkStart w:id="3" w:name="_Hlk176877108"/>
      <w:r w:rsidRPr="00E75F33">
        <w:rPr>
          <w:rFonts w:ascii="Verdana" w:eastAsia="Calibri" w:hAnsi="Verdana" w:cs="Arial"/>
          <w:lang w:val="es-ES_tradnl" w:eastAsia="es-ES"/>
        </w:rPr>
        <w:t xml:space="preserve">i. La </w:t>
      </w:r>
      <w:bookmarkStart w:id="4" w:name="_Hlk176876754"/>
      <w:r w:rsidRPr="00E75F33">
        <w:rPr>
          <w:rFonts w:ascii="Verdana" w:eastAsia="Calibri" w:hAnsi="Verdana" w:cs="Arial"/>
          <w:lang w:val="es-ES_tradnl" w:eastAsia="es-ES"/>
        </w:rPr>
        <w:t>Ley 2022 de 2020, modificó el contenido del parágrafo 7 del artículo 2 de la Ley 1150 de 2007, que había sido adicionado por la Ley 1882 de 2018</w:t>
      </w:r>
      <w:bookmarkEnd w:id="4"/>
      <w:r w:rsidRPr="00E75F33">
        <w:rPr>
          <w:rFonts w:ascii="Verdana" w:eastAsia="Times New Roman" w:hAnsi="Verdana" w:cs="Times New Roman"/>
          <w:vertAlign w:val="superscript"/>
          <w:lang w:eastAsia="es-ES"/>
        </w:rPr>
        <w:footnoteReference w:id="2"/>
      </w:r>
      <w:r w:rsidRPr="00E75F33">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E75F33">
        <w:rPr>
          <w:rFonts w:ascii="Verdana" w:eastAsia="Calibri" w:hAnsi="Verdana" w:cs="Arial"/>
          <w:bCs/>
          <w:lang w:val="es-ES_tradnl" w:eastAsia="es-ES_tradnl"/>
        </w:rPr>
        <w:t>EGCAP</w:t>
      </w:r>
      <w:r w:rsidRPr="00E75F33">
        <w:rPr>
          <w:rFonts w:ascii="Verdana" w:eastAsia="Calibri" w:hAnsi="Verdana" w:cs="Arial"/>
          <w:lang w:val="es-ES_tradnl" w:eastAsia="es-ES"/>
        </w:rPr>
        <w:t xml:space="preserve">, se atribuyó a la </w:t>
      </w:r>
      <w:r w:rsidRPr="00E75F33">
        <w:rPr>
          <w:rFonts w:ascii="Verdana" w:eastAsia="Calibri" w:hAnsi="Verdana" w:cs="Arial"/>
          <w:lang w:val="es-ES_tradnl" w:eastAsia="es-ES_tradnl"/>
        </w:rPr>
        <w:t xml:space="preserve">Agencia Nacional de Contratación Pública – Colombia Compra Eficiente la competencia para su expedición. </w:t>
      </w:r>
    </w:p>
    <w:p w14:paraId="6F7AB1DB" w14:textId="77777777" w:rsidR="00E75F33" w:rsidRPr="00E75F33" w:rsidRDefault="00E75F33" w:rsidP="00E75F33">
      <w:pPr>
        <w:spacing w:after="120" w:line="276" w:lineRule="auto"/>
        <w:ind w:firstLine="709"/>
        <w:jc w:val="both"/>
        <w:rPr>
          <w:rFonts w:ascii="Verdana" w:eastAsia="Aptos" w:hAnsi="Verdana" w:cs="Arial"/>
          <w:lang w:val="es-ES" w:eastAsia="es-MX"/>
        </w:rPr>
      </w:pPr>
      <w:r w:rsidRPr="00E75F33">
        <w:rPr>
          <w:rFonts w:ascii="Verdana" w:eastAsia="Aptos" w:hAnsi="Verdana" w:cs="Arial"/>
          <w:lang w:val="es-ES" w:eastAsia="es-MX"/>
        </w:rPr>
        <w:lastRenderedPageBreak/>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5106007D" w14:textId="77777777" w:rsidR="00E75F33" w:rsidRPr="00E75F33" w:rsidRDefault="00E75F33" w:rsidP="00E75F33">
      <w:pPr>
        <w:spacing w:after="120" w:line="276" w:lineRule="auto"/>
        <w:ind w:firstLine="708"/>
        <w:jc w:val="both"/>
        <w:rPr>
          <w:rFonts w:ascii="Verdana" w:eastAsia="Calibri" w:hAnsi="Verdana" w:cs="Arial"/>
          <w:lang w:eastAsia="es-MX"/>
        </w:rPr>
      </w:pPr>
      <w:r w:rsidRPr="00E75F33">
        <w:rPr>
          <w:rFonts w:ascii="Verdana" w:eastAsia="Calibri" w:hAnsi="Verdana" w:cs="Arial"/>
          <w:lang w:eastAsia="es-ES_tradnl"/>
        </w:rPr>
        <w:t xml:space="preserve">De acuerdo con lo expuesto, </w:t>
      </w:r>
      <w:r w:rsidRPr="00E75F33">
        <w:rPr>
          <w:rFonts w:ascii="Verdana" w:eastAsia="Calibri" w:hAnsi="Verdana" w:cs="Arial"/>
          <w:bdr w:val="none" w:sz="0" w:space="0" w:color="auto" w:frame="1"/>
          <w:lang w:eastAsia="es-ES_tradnl"/>
        </w:rPr>
        <w:t xml:space="preserve">los Documentos Tipo adoptados son obligatorios para las Entidades Estatales regidas por el </w:t>
      </w:r>
      <w:r w:rsidRPr="00E75F33">
        <w:rPr>
          <w:rFonts w:ascii="Verdana" w:eastAsia="Calibri" w:hAnsi="Verdana" w:cs="Arial"/>
          <w:bCs/>
          <w:lang w:val="es-ES_tradnl" w:eastAsia="es-ES_tradnl"/>
        </w:rPr>
        <w:t>EGCAP</w:t>
      </w:r>
      <w:r w:rsidRPr="00E75F33">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E75F33">
        <w:rPr>
          <w:rFonts w:ascii="Verdana" w:eastAsia="Calibri" w:hAnsi="Verdana" w:cs="Arial"/>
          <w:bdr w:val="none" w:sz="0" w:space="0" w:color="auto" w:frame="1"/>
          <w:vertAlign w:val="superscript"/>
          <w:lang w:eastAsia="es-ES_tradnl"/>
        </w:rPr>
        <w:footnoteReference w:id="3"/>
      </w:r>
      <w:r w:rsidRPr="00E75F33">
        <w:rPr>
          <w:rFonts w:ascii="Verdana" w:eastAsia="Calibri" w:hAnsi="Verdana" w:cs="Arial"/>
          <w:bdr w:val="none" w:sz="0" w:space="0" w:color="auto" w:frame="1"/>
          <w:lang w:eastAsia="es-ES_tradnl"/>
        </w:rPr>
        <w:t xml:space="preserve">. </w:t>
      </w:r>
      <w:r w:rsidRPr="00E75F33">
        <w:rPr>
          <w:rFonts w:ascii="Verdana" w:eastAsia="Calibri" w:hAnsi="Verdana" w:cs="Arial"/>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6E4DA4D5" w14:textId="77777777" w:rsidR="00E75F33" w:rsidRPr="00E75F33" w:rsidRDefault="00E75F33" w:rsidP="00E75F33">
      <w:pPr>
        <w:spacing w:after="120" w:line="276" w:lineRule="auto"/>
        <w:ind w:firstLine="709"/>
        <w:jc w:val="both"/>
        <w:rPr>
          <w:rFonts w:ascii="Verdana" w:eastAsia="Calibri" w:hAnsi="Verdana" w:cs="Arial"/>
          <w:lang w:val="es-ES" w:eastAsia="es-MX"/>
        </w:rPr>
      </w:pPr>
      <w:r w:rsidRPr="00E75F33">
        <w:rPr>
          <w:rFonts w:ascii="Verdana" w:eastAsia="Calibri" w:hAnsi="Verdana" w:cs="Arial"/>
          <w:shd w:val="clear" w:color="auto" w:fill="FFFFFF"/>
          <w:lang w:val="es-ES" w:eastAsia="es-MX"/>
        </w:rPr>
        <w:t xml:space="preserve">En ese orden, </w:t>
      </w:r>
      <w:r w:rsidRPr="00E75F33">
        <w:rPr>
          <w:rFonts w:ascii="Verdana" w:eastAsia="Calibri" w:hAnsi="Verdana" w:cs="Arial"/>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w:t>
      </w:r>
      <w:r w:rsidRPr="00E75F33">
        <w:rPr>
          <w:rFonts w:ascii="Verdana" w:eastAsia="Calibri" w:hAnsi="Verdana" w:cs="Arial"/>
          <w:lang w:val="es-ES" w:eastAsia="es-MX"/>
        </w:rPr>
        <w:lastRenderedPageBreak/>
        <w:t xml:space="preserve">a la modalidad de escogencia aplicable, no será obligatorio aplicar los Pliegos Tipo. </w:t>
      </w:r>
    </w:p>
    <w:p w14:paraId="33B96F06" w14:textId="77777777" w:rsidR="00E75F33" w:rsidRPr="00E75F33" w:rsidRDefault="00E75F33" w:rsidP="00E75F33">
      <w:pPr>
        <w:spacing w:after="120" w:line="276" w:lineRule="auto"/>
        <w:ind w:firstLine="709"/>
        <w:jc w:val="both"/>
        <w:rPr>
          <w:rFonts w:ascii="Verdana" w:eastAsia="Calibri" w:hAnsi="Verdana" w:cs="Arial"/>
          <w:lang w:val="es-ES_tradnl" w:eastAsia="es-MX"/>
        </w:rPr>
      </w:pPr>
      <w:r w:rsidRPr="00E75F33">
        <w:rPr>
          <w:rFonts w:ascii="Verdana" w:eastAsia="Calibri" w:hAnsi="Verdana" w:cs="Arial"/>
          <w:lang w:val="es-ES" w:eastAsia="es-MX"/>
        </w:rPr>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E75F33">
        <w:rPr>
          <w:rFonts w:ascii="Verdana" w:eastAsia="Calibri" w:hAnsi="Verdana" w:cs="Arial"/>
          <w:vertAlign w:val="superscript"/>
          <w:lang w:val="es-ES" w:eastAsia="es-MX"/>
        </w:rPr>
        <w:footnoteReference w:id="4"/>
      </w:r>
      <w:r w:rsidRPr="00E75F33">
        <w:rPr>
          <w:rFonts w:ascii="Verdana" w:eastAsia="Calibri" w:hAnsi="Verdana" w:cs="Arial"/>
          <w:lang w:val="es-ES" w:eastAsia="es-MX"/>
        </w:rPr>
        <w:t>.</w:t>
      </w:r>
    </w:p>
    <w:p w14:paraId="6BE50561" w14:textId="77777777" w:rsidR="00E75F33" w:rsidRPr="00E75F33" w:rsidRDefault="00E75F33" w:rsidP="00E75F33">
      <w:pPr>
        <w:spacing w:after="120" w:line="276" w:lineRule="auto"/>
        <w:jc w:val="both"/>
        <w:rPr>
          <w:rFonts w:ascii="Verdana" w:eastAsia="Aptos" w:hAnsi="Verdana" w:cs="Arial"/>
          <w:lang w:val="es-ES" w:eastAsia="es-MX"/>
        </w:rPr>
      </w:pPr>
      <w:r w:rsidRPr="00E75F33">
        <w:rPr>
          <w:rFonts w:ascii="Verdana" w:eastAsia="Aptos" w:hAnsi="Verdana" w:cs="Arial"/>
          <w:lang w:val="es-ES" w:eastAsia="es-MX"/>
        </w:rPr>
        <w:tab/>
      </w:r>
      <w:bookmarkStart w:id="5" w:name="_Hlk104104535"/>
      <w:r w:rsidRPr="00E75F33">
        <w:rPr>
          <w:rFonts w:ascii="Verdana" w:eastAsia="Aptos" w:hAnsi="Verdana" w:cs="Arial"/>
          <w:lang w:val="es-ES" w:eastAsia="es-MX"/>
        </w:rPr>
        <w:t xml:space="preserve">En conclusión, la definición de si a un Proceso de Contratación le aplican los Documentos Tipo radicará en si el contrato a ejecutar </w:t>
      </w:r>
      <w:proofErr w:type="gramStart"/>
      <w:r w:rsidRPr="00E75F33">
        <w:rPr>
          <w:rFonts w:ascii="Verdana" w:eastAsia="Aptos" w:hAnsi="Verdana" w:cs="Arial"/>
          <w:lang w:val="es-ES" w:eastAsia="es-MX"/>
        </w:rPr>
        <w:t>se enmarca dentro de</w:t>
      </w:r>
      <w:proofErr w:type="gramEnd"/>
      <w:r w:rsidRPr="00E75F33">
        <w:rPr>
          <w:rFonts w:ascii="Verdana" w:eastAsia="Aptos" w:hAnsi="Verdana" w:cs="Arial"/>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5"/>
    </w:p>
    <w:p w14:paraId="4C0C5006" w14:textId="77777777" w:rsidR="00E75F33" w:rsidRPr="00E75F33" w:rsidRDefault="00E75F33" w:rsidP="00E75F33">
      <w:pPr>
        <w:spacing w:after="120" w:line="276" w:lineRule="auto"/>
        <w:ind w:firstLine="708"/>
        <w:jc w:val="both"/>
        <w:rPr>
          <w:rFonts w:ascii="Verdana" w:eastAsia="Aptos" w:hAnsi="Verdana" w:cs="Arial"/>
          <w:lang w:val="es-ES" w:eastAsia="es-MX"/>
        </w:rPr>
      </w:pPr>
      <w:r w:rsidRPr="00E75F33">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w:t>
      </w:r>
      <w:r w:rsidRPr="00E75F33">
        <w:rPr>
          <w:rFonts w:ascii="Verdana" w:eastAsia="Calibri" w:hAnsi="Verdana" w:cs="Arial"/>
          <w:bCs/>
          <w:lang w:val="es-ES_tradnl" w:eastAsia="es-ES_tradnl"/>
        </w:rPr>
        <w:lastRenderedPageBreak/>
        <w:t xml:space="preserve">de Entidades Estatales de régimen exceptuado, por lo general, sujetas al derecho privado. </w:t>
      </w:r>
    </w:p>
    <w:p w14:paraId="0F66E4B4" w14:textId="77777777" w:rsidR="00E75F33" w:rsidRPr="00E75F33" w:rsidRDefault="00E75F33" w:rsidP="00E75F33">
      <w:pPr>
        <w:spacing w:after="120" w:line="276" w:lineRule="auto"/>
        <w:jc w:val="both"/>
        <w:rPr>
          <w:rFonts w:ascii="Verdana" w:eastAsia="Calibri" w:hAnsi="Verdana" w:cs="Arial"/>
          <w:lang w:val="es-ES" w:eastAsia="es-ES"/>
        </w:rPr>
      </w:pPr>
      <w:proofErr w:type="spellStart"/>
      <w:r w:rsidRPr="00E75F33">
        <w:rPr>
          <w:rFonts w:ascii="Verdana" w:eastAsia="Calibri" w:hAnsi="Verdana" w:cs="Arial"/>
          <w:lang w:val="es-ES" w:eastAsia="es-ES"/>
        </w:rPr>
        <w:t>ii</w:t>
      </w:r>
      <w:proofErr w:type="spellEnd"/>
      <w:r w:rsidRPr="00E75F33">
        <w:rPr>
          <w:rFonts w:ascii="Verdana" w:eastAsia="Calibri" w:hAnsi="Verdana" w:cs="Arial"/>
          <w:lang w:val="es-ES" w:eastAsia="es-ES"/>
        </w:rPr>
        <w:t xml:space="preserve">. 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607DCB" w14:textId="77777777" w:rsidR="00E75F33" w:rsidRPr="00E75F33" w:rsidRDefault="00E75F33" w:rsidP="00E75F33">
      <w:pPr>
        <w:spacing w:after="0" w:line="276" w:lineRule="auto"/>
        <w:ind w:firstLine="708"/>
        <w:jc w:val="both"/>
        <w:rPr>
          <w:rFonts w:ascii="Verdana" w:eastAsia="Calibri" w:hAnsi="Verdana" w:cs="Arial"/>
          <w:bCs/>
          <w:lang w:val="es-ES_tradnl" w:eastAsia="es-ES_tradnl"/>
        </w:rPr>
      </w:pPr>
      <w:r w:rsidRPr="00E75F33">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05C6BBA0" w14:textId="77777777" w:rsidR="00E75F33" w:rsidRPr="00E75F33" w:rsidRDefault="00E75F33" w:rsidP="00E75F33">
      <w:pPr>
        <w:tabs>
          <w:tab w:val="left" w:pos="0"/>
        </w:tabs>
        <w:spacing w:after="0" w:line="276" w:lineRule="auto"/>
        <w:jc w:val="both"/>
        <w:rPr>
          <w:rFonts w:ascii="Arial" w:eastAsia="Calibri" w:hAnsi="Arial" w:cs="Arial"/>
          <w:bCs/>
          <w:szCs w:val="24"/>
          <w:lang w:val="es-ES_tradnl" w:eastAsia="es-ES_tradnl"/>
        </w:rPr>
      </w:pPr>
    </w:p>
    <w:p w14:paraId="3418ABBD" w14:textId="77777777" w:rsidR="00E75F33" w:rsidRPr="00E75F33" w:rsidRDefault="00E75F33" w:rsidP="00E75F33">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E75F33">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181377F" w14:textId="77777777" w:rsidR="00E75F33" w:rsidRPr="00E75F33" w:rsidRDefault="00E75F33" w:rsidP="00E75F33">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453AC1B4" w14:textId="77777777" w:rsidR="00E75F33" w:rsidRPr="00E75F33" w:rsidRDefault="00E75F33" w:rsidP="00E75F33">
      <w:pPr>
        <w:tabs>
          <w:tab w:val="left" w:pos="0"/>
        </w:tabs>
        <w:spacing w:after="120" w:line="240" w:lineRule="auto"/>
        <w:ind w:left="709" w:right="709"/>
        <w:jc w:val="both"/>
        <w:rPr>
          <w:rFonts w:ascii="Verdana" w:eastAsia="Times New Roman" w:hAnsi="Verdana" w:cs="Arial"/>
          <w:sz w:val="20"/>
          <w:szCs w:val="20"/>
          <w:lang w:val="es-ES_tradnl" w:eastAsia="es-ES_tradnl"/>
        </w:rPr>
      </w:pPr>
      <w:r w:rsidRPr="00E75F33">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7A25E390" w14:textId="77777777" w:rsidR="00E75F33" w:rsidRPr="00E75F33" w:rsidRDefault="00E75F33" w:rsidP="00E75F33">
      <w:pPr>
        <w:spacing w:after="0" w:line="240" w:lineRule="auto"/>
        <w:ind w:left="709" w:right="709"/>
        <w:jc w:val="both"/>
        <w:rPr>
          <w:rFonts w:ascii="Verdana" w:eastAsia="Calibri" w:hAnsi="Verdana" w:cs="Arial"/>
          <w:sz w:val="20"/>
          <w:szCs w:val="20"/>
          <w:lang w:val="es-ES" w:eastAsia="es-ES"/>
        </w:rPr>
      </w:pPr>
      <w:r w:rsidRPr="00E75F33">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75F33">
        <w:rPr>
          <w:rFonts w:ascii="Verdana" w:eastAsia="Times New Roman" w:hAnsi="Verdana" w:cs="Arial"/>
          <w:i/>
          <w:iCs/>
          <w:sz w:val="20"/>
          <w:szCs w:val="20"/>
          <w:lang w:val="es-ES" w:eastAsia="es-ES"/>
        </w:rPr>
        <w:t>giro ordinario</w:t>
      </w:r>
      <w:r w:rsidRPr="00E75F33">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1A980EF7" w14:textId="77777777" w:rsidR="00E75F33" w:rsidRPr="00E75F33" w:rsidRDefault="00E75F33" w:rsidP="00E75F33">
      <w:pPr>
        <w:tabs>
          <w:tab w:val="left" w:pos="0"/>
        </w:tabs>
        <w:spacing w:after="0" w:line="276" w:lineRule="auto"/>
        <w:jc w:val="both"/>
        <w:rPr>
          <w:rFonts w:ascii="Arial" w:eastAsia="Calibri" w:hAnsi="Arial" w:cs="Arial"/>
          <w:bCs/>
          <w:szCs w:val="24"/>
          <w:lang w:val="es-ES_tradnl" w:eastAsia="es-ES_tradnl"/>
        </w:rPr>
      </w:pPr>
    </w:p>
    <w:p w14:paraId="5682D2C0" w14:textId="77777777" w:rsidR="00E75F33" w:rsidRPr="00E75F33" w:rsidRDefault="00E75F33" w:rsidP="00E75F33">
      <w:pPr>
        <w:tabs>
          <w:tab w:val="left" w:pos="0"/>
        </w:tabs>
        <w:spacing w:after="120" w:line="276" w:lineRule="auto"/>
        <w:jc w:val="both"/>
        <w:rPr>
          <w:rFonts w:ascii="Verdana" w:eastAsia="Calibri" w:hAnsi="Verdana" w:cs="Arial"/>
          <w:color w:val="000000"/>
        </w:rPr>
      </w:pPr>
      <w:r w:rsidRPr="00E75F33">
        <w:rPr>
          <w:rFonts w:ascii="Arial" w:eastAsia="Calibri" w:hAnsi="Arial" w:cs="Arial"/>
          <w:bCs/>
          <w:szCs w:val="24"/>
          <w:lang w:val="es-ES_tradnl" w:eastAsia="es-ES_tradnl"/>
        </w:rPr>
        <w:tab/>
      </w:r>
      <w:r w:rsidRPr="00E75F33">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w:t>
      </w:r>
      <w:r w:rsidRPr="00E75F33">
        <w:rPr>
          <w:rFonts w:ascii="Verdana" w:eastAsia="Calibri" w:hAnsi="Verdana" w:cs="Arial"/>
          <w:bCs/>
          <w:szCs w:val="24"/>
          <w:lang w:val="es-ES_tradnl" w:eastAsia="es-ES_tradnl"/>
        </w:rPr>
        <w:lastRenderedPageBreak/>
        <w:t xml:space="preserve">estatales, que, como consecuencia de la entrada en vigor de la disposición en cita, ven alterado su régimen jurídico. </w:t>
      </w:r>
      <w:r w:rsidRPr="00E75F33">
        <w:rPr>
          <w:rFonts w:ascii="Verdana" w:eastAsia="Calibri" w:hAnsi="Verdana" w:cs="Arial"/>
          <w:color w:val="000000"/>
        </w:rPr>
        <w:t xml:space="preserve">En tal sentido, para efectos de dar respuesta concreta al problema jurídico planteado, es importante tener en cuenta las posturas que se han sustentado en torno al alcance del artículo 56 de la Ley 2195 de 2022. </w:t>
      </w:r>
    </w:p>
    <w:p w14:paraId="73DBF25A" w14:textId="77777777" w:rsidR="00E75F33" w:rsidRPr="00E75F33" w:rsidRDefault="00E75F33" w:rsidP="00E75F33">
      <w:pPr>
        <w:tabs>
          <w:tab w:val="left" w:pos="0"/>
        </w:tabs>
        <w:spacing w:after="120" w:line="276" w:lineRule="auto"/>
        <w:ind w:firstLine="709"/>
        <w:jc w:val="both"/>
        <w:rPr>
          <w:rFonts w:ascii="Verdana" w:eastAsia="Calibri" w:hAnsi="Verdana" w:cs="Arial"/>
          <w:bCs/>
          <w:szCs w:val="24"/>
          <w:lang w:val="es-ES_tradnl" w:eastAsia="es-ES_tradnl"/>
        </w:rPr>
      </w:pPr>
      <w:r w:rsidRPr="00E75F33">
        <w:rPr>
          <w:rFonts w:ascii="Verdana" w:eastAsia="Calibri" w:hAnsi="Verdana" w:cs="Arial"/>
          <w:color w:val="000000"/>
        </w:rPr>
        <w:t xml:space="preserve">Así, </w:t>
      </w:r>
      <w:r w:rsidRPr="00E75F33">
        <w:rPr>
          <w:rFonts w:ascii="Verdana" w:eastAsia="Times New Roman" w:hAnsi="Verdana" w:cs="Arial"/>
          <w:lang w:eastAsia="es-ES_tradnl"/>
        </w:rPr>
        <w:t>a partir del concepto C-066 del 28 de enero de 2022</w:t>
      </w:r>
      <w:r w:rsidRPr="00E75F33">
        <w:rPr>
          <w:rFonts w:ascii="Verdana" w:eastAsia="Times New Roman" w:hAnsi="Verdana" w:cs="Arial"/>
          <w:vertAlign w:val="superscript"/>
          <w:lang w:eastAsia="es-ES_tradnl"/>
        </w:rPr>
        <w:footnoteReference w:id="5"/>
      </w:r>
      <w:r w:rsidRPr="00E75F33">
        <w:rPr>
          <w:rFonts w:ascii="Verdana" w:eastAsia="Times New Roman" w:hAnsi="Verdana" w:cs="Arial"/>
          <w:lang w:eastAsia="es-ES_tradnl"/>
        </w:rPr>
        <w:t xml:space="preserve">, esta agencia consideró que </w:t>
      </w:r>
      <w:r w:rsidRPr="00E75F33">
        <w:rPr>
          <w:rFonts w:ascii="Verdana" w:eastAsia="Calibri" w:hAnsi="Verdana" w:cs="Arial"/>
          <w:bCs/>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57ED6865" w14:textId="77777777" w:rsidR="00E75F33" w:rsidRPr="00E75F33" w:rsidRDefault="00E75F33" w:rsidP="00E75F33">
      <w:pPr>
        <w:spacing w:after="120" w:line="276" w:lineRule="auto"/>
        <w:jc w:val="both"/>
        <w:rPr>
          <w:rFonts w:ascii="Verdana" w:eastAsia="Calibri" w:hAnsi="Verdana" w:cs="Arial"/>
          <w:lang w:val="es-ES"/>
        </w:rPr>
      </w:pPr>
      <w:r w:rsidRPr="00E75F33">
        <w:rPr>
          <w:rFonts w:ascii="Verdana" w:eastAsia="Calibri" w:hAnsi="Verdana" w:cs="Arial"/>
          <w:bCs/>
          <w:lang w:val="es-ES_tradnl" w:eastAsia="es-ES_tradnl"/>
        </w:rPr>
        <w:tab/>
      </w:r>
      <w:r w:rsidRPr="00E75F33">
        <w:rPr>
          <w:rFonts w:ascii="Verdana" w:eastAsia="Calibri" w:hAnsi="Verdana" w:cs="Arial"/>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49CAD4B7" w14:textId="77777777" w:rsidR="00E75F33" w:rsidRPr="00E75F33" w:rsidRDefault="00E75F33" w:rsidP="00E75F33">
      <w:pPr>
        <w:spacing w:after="120" w:line="276" w:lineRule="auto"/>
        <w:jc w:val="both"/>
        <w:rPr>
          <w:rFonts w:ascii="Verdana" w:eastAsia="Calibri" w:hAnsi="Verdana" w:cs="Arial"/>
          <w:lang w:val="es-ES"/>
        </w:rPr>
      </w:pPr>
      <w:r w:rsidRPr="00E75F33">
        <w:rPr>
          <w:rFonts w:ascii="Verdana" w:eastAsia="Calibri" w:hAnsi="Verdana" w:cs="Arial"/>
          <w:bCs/>
          <w:lang w:val="es-ES_tradnl"/>
        </w:rPr>
        <w:tab/>
      </w:r>
      <w:r w:rsidRPr="00E75F33">
        <w:rPr>
          <w:rFonts w:ascii="Verdana" w:eastAsia="Calibri" w:hAnsi="Verdana" w:cs="Arial"/>
          <w:lang w:val="es-ES"/>
        </w:rPr>
        <w:t xml:space="preserve">Antes de la expedición del artículo 56 </w:t>
      </w:r>
      <w:proofErr w:type="spellStart"/>
      <w:r w:rsidRPr="00E75F33">
        <w:rPr>
          <w:rFonts w:ascii="Verdana" w:eastAsia="Calibri" w:hAnsi="Verdana" w:cs="Arial"/>
          <w:i/>
          <w:iCs/>
          <w:lang w:val="es-ES"/>
        </w:rPr>
        <w:t>ibídem</w:t>
      </w:r>
      <w:proofErr w:type="spellEnd"/>
      <w:r w:rsidRPr="00E75F33">
        <w:rPr>
          <w:rFonts w:ascii="Verdana" w:eastAsia="Calibri" w:hAnsi="Verdana" w:cs="Arial"/>
          <w:i/>
          <w:iCs/>
          <w:lang w:val="es-ES"/>
        </w:rPr>
        <w:t>,</w:t>
      </w:r>
      <w:r w:rsidRPr="00E75F33">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w:t>
      </w:r>
      <w:r w:rsidRPr="00E75F33">
        <w:rPr>
          <w:rFonts w:ascii="Verdana" w:eastAsia="Calibri" w:hAnsi="Verdana" w:cs="Arial"/>
          <w:lang w:val="es-ES"/>
        </w:rPr>
        <w:lastRenderedPageBreak/>
        <w:t xml:space="preserve">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054F4B26" w14:textId="77777777" w:rsidR="00E75F33" w:rsidRPr="00E75F33" w:rsidRDefault="00E75F33" w:rsidP="00E75F33">
      <w:pPr>
        <w:spacing w:after="120" w:line="276" w:lineRule="auto"/>
        <w:jc w:val="both"/>
        <w:rPr>
          <w:rFonts w:ascii="Verdana" w:eastAsia="Calibri" w:hAnsi="Verdana" w:cs="Arial"/>
          <w:lang w:val="es-ES"/>
        </w:rPr>
      </w:pPr>
      <w:r w:rsidRPr="00E75F33">
        <w:rPr>
          <w:rFonts w:ascii="Verdana" w:eastAsia="Calibri" w:hAnsi="Verdana" w:cs="Arial"/>
          <w:bCs/>
          <w:lang w:val="es-ES_tradnl"/>
        </w:rPr>
        <w:tab/>
      </w:r>
      <w:r w:rsidRPr="00E75F33">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4E029C0A" w14:textId="77777777" w:rsidR="00E75F33" w:rsidRPr="00E75F33" w:rsidRDefault="00E75F33" w:rsidP="00E75F33">
      <w:pPr>
        <w:spacing w:after="120" w:line="276" w:lineRule="auto"/>
        <w:jc w:val="both"/>
        <w:rPr>
          <w:rFonts w:ascii="Verdana" w:eastAsia="Calibri" w:hAnsi="Verdana" w:cs="Arial"/>
          <w:lang w:val="es-ES"/>
        </w:rPr>
      </w:pPr>
      <w:r w:rsidRPr="00E75F33">
        <w:rPr>
          <w:rFonts w:ascii="Verdana" w:eastAsia="Calibri" w:hAnsi="Verdana" w:cs="Arial"/>
          <w:lang w:val="es-ES"/>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75F33">
        <w:rPr>
          <w:rFonts w:ascii="Verdana" w:eastAsia="Calibri" w:hAnsi="Verdana" w:cs="Arial"/>
          <w:lang w:val="es-ES"/>
        </w:rPr>
        <w:t>ii</w:t>
      </w:r>
      <w:proofErr w:type="spellEnd"/>
      <w:r w:rsidRPr="00E75F33">
        <w:rPr>
          <w:rFonts w:ascii="Verdana" w:eastAsia="Calibri" w:hAnsi="Verdana" w:cs="Arial"/>
          <w:lang w:val="es-ES"/>
        </w:rPr>
        <w:t xml:space="preserve">) patrimonios autónomos o </w:t>
      </w:r>
      <w:proofErr w:type="spellStart"/>
      <w:r w:rsidRPr="00E75F33">
        <w:rPr>
          <w:rFonts w:ascii="Verdana" w:eastAsia="Calibri" w:hAnsi="Verdana" w:cs="Arial"/>
          <w:lang w:val="es-ES"/>
        </w:rPr>
        <w:t>iii</w:t>
      </w:r>
      <w:proofErr w:type="spellEnd"/>
      <w:r w:rsidRPr="00E75F33">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p w14:paraId="5528FE0E" w14:textId="77777777" w:rsidR="00E75F33" w:rsidRPr="00E75F33" w:rsidRDefault="00E75F33" w:rsidP="00E75F33">
      <w:pPr>
        <w:tabs>
          <w:tab w:val="left" w:pos="0"/>
        </w:tabs>
        <w:spacing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lastRenderedPageBreak/>
        <w:tab/>
      </w:r>
      <w:r w:rsidRPr="00E75F33">
        <w:rPr>
          <w:rFonts w:ascii="Verdana" w:eastAsia="Calibri" w:hAnsi="Verdana" w:cs="Arial"/>
          <w:lang w:val="es-ES" w:eastAsia="es-ES"/>
        </w:rPr>
        <w:t xml:space="preserve"> Sin perjuicio de lo anterior, solo es posible comprender los efectos de lo dispuesto en el artículo 56 de la </w:t>
      </w:r>
      <w:bookmarkStart w:id="7" w:name="_Hlk205276572"/>
      <w:r w:rsidRPr="00E75F33">
        <w:rPr>
          <w:rFonts w:ascii="Verdana" w:eastAsia="Calibri" w:hAnsi="Verdana" w:cs="Arial"/>
          <w:lang w:val="es-ES" w:eastAsia="es-ES"/>
        </w:rPr>
        <w:t xml:space="preserve">Ley 2195 de 2022 </w:t>
      </w:r>
      <w:bookmarkEnd w:id="7"/>
      <w:r w:rsidRPr="00E75F33">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20A7316F" w14:textId="77777777" w:rsidR="00E75F33" w:rsidRPr="00E75F33" w:rsidRDefault="00E75F33" w:rsidP="00E75F33">
      <w:pPr>
        <w:tabs>
          <w:tab w:val="left" w:pos="0"/>
        </w:tabs>
        <w:spacing w:after="120" w:line="276" w:lineRule="auto"/>
        <w:jc w:val="both"/>
        <w:rPr>
          <w:rFonts w:ascii="Verdana" w:eastAsia="Calibri" w:hAnsi="Verdana" w:cs="Arial"/>
          <w:lang w:val="es-ES" w:eastAsia="es-ES"/>
        </w:rPr>
      </w:pPr>
      <w:r w:rsidRPr="00E75F33">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75F33">
        <w:rPr>
          <w:rFonts w:ascii="Verdana" w:eastAsia="Calibri" w:hAnsi="Verdana" w:cs="Arial"/>
          <w:lang w:val="es-ES" w:eastAsia="es-ES"/>
        </w:rPr>
        <w:t>ejusdem</w:t>
      </w:r>
      <w:proofErr w:type="spellEnd"/>
      <w:r w:rsidRPr="00E75F33">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49203AB4" w14:textId="77777777" w:rsidR="00E75F33" w:rsidRPr="00E75F33" w:rsidRDefault="00E75F33" w:rsidP="00E75F33">
      <w:pPr>
        <w:tabs>
          <w:tab w:val="left" w:pos="0"/>
        </w:tabs>
        <w:spacing w:after="0" w:line="276" w:lineRule="auto"/>
        <w:jc w:val="both"/>
        <w:rPr>
          <w:rFonts w:ascii="Verdana" w:eastAsia="Calibri" w:hAnsi="Verdana" w:cs="Arial"/>
          <w:lang w:val="es-ES" w:eastAsia="es-ES"/>
        </w:rPr>
      </w:pPr>
      <w:r w:rsidRPr="00E75F33">
        <w:rPr>
          <w:rFonts w:ascii="Arial" w:eastAsia="Calibri" w:hAnsi="Arial" w:cs="Arial"/>
          <w:bCs/>
          <w:color w:val="000000"/>
          <w:lang w:val="es-ES_tradnl"/>
        </w:rPr>
        <w:tab/>
      </w:r>
      <w:r w:rsidRPr="00E75F33">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7478DAE3" w14:textId="77777777" w:rsidR="00E75F33" w:rsidRPr="00E75F33" w:rsidRDefault="00E75F33" w:rsidP="00E75F33">
      <w:pPr>
        <w:tabs>
          <w:tab w:val="left" w:pos="0"/>
        </w:tabs>
        <w:spacing w:after="0" w:line="276" w:lineRule="auto"/>
        <w:jc w:val="both"/>
        <w:rPr>
          <w:rFonts w:ascii="Verdana" w:eastAsia="Calibri" w:hAnsi="Verdana" w:cs="Arial"/>
          <w:lang w:val="es-ES" w:eastAsia="es-ES"/>
        </w:rPr>
      </w:pPr>
    </w:p>
    <w:p w14:paraId="5B722BF3" w14:textId="77777777" w:rsidR="00E75F33" w:rsidRPr="00E75F33" w:rsidRDefault="00E75F33" w:rsidP="00E75F33">
      <w:pPr>
        <w:tabs>
          <w:tab w:val="left" w:pos="0"/>
        </w:tabs>
        <w:spacing w:after="0"/>
        <w:ind w:left="709" w:right="709"/>
        <w:jc w:val="both"/>
        <w:rPr>
          <w:rFonts w:ascii="Verdana" w:eastAsia="Calibri" w:hAnsi="Verdana" w:cs="Arial"/>
          <w:bCs/>
          <w:color w:val="000000"/>
          <w:sz w:val="20"/>
          <w:szCs w:val="20"/>
          <w:lang w:val="es-ES_tradnl"/>
        </w:rPr>
      </w:pPr>
      <w:r w:rsidRPr="00E75F33">
        <w:rPr>
          <w:rFonts w:ascii="Verdana" w:eastAsia="Calibri" w:hAnsi="Verdana" w:cs="Arial"/>
          <w:bCs/>
          <w:color w:val="000000"/>
          <w:sz w:val="20"/>
          <w:szCs w:val="20"/>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w:t>
      </w:r>
      <w:r w:rsidRPr="00E75F33">
        <w:rPr>
          <w:rFonts w:ascii="Verdana" w:eastAsia="Calibri" w:hAnsi="Verdana" w:cs="Arial"/>
          <w:bCs/>
          <w:color w:val="000000"/>
          <w:sz w:val="20"/>
          <w:szCs w:val="20"/>
          <w:lang w:val="es-ES_tradnl"/>
        </w:rPr>
        <w:lastRenderedPageBreak/>
        <w:t>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75F33">
        <w:rPr>
          <w:rFonts w:ascii="Verdana" w:eastAsia="Calibri" w:hAnsi="Verdana" w:cs="Arial"/>
          <w:color w:val="000000"/>
          <w:sz w:val="20"/>
          <w:szCs w:val="20"/>
          <w:vertAlign w:val="superscript"/>
        </w:rPr>
        <w:footnoteReference w:id="6"/>
      </w:r>
      <w:r w:rsidRPr="00E75F33">
        <w:rPr>
          <w:rFonts w:ascii="Verdana" w:eastAsia="Calibri" w:hAnsi="Verdana" w:cs="Arial"/>
          <w:bCs/>
          <w:color w:val="000000"/>
          <w:sz w:val="20"/>
          <w:szCs w:val="20"/>
          <w:lang w:val="es-ES_tradnl"/>
        </w:rPr>
        <w:t xml:space="preserve">. </w:t>
      </w:r>
    </w:p>
    <w:p w14:paraId="460D0249" w14:textId="77777777" w:rsidR="00E75F33" w:rsidRPr="00E75F33" w:rsidRDefault="00E75F33" w:rsidP="00E75F33">
      <w:pPr>
        <w:tabs>
          <w:tab w:val="left" w:pos="0"/>
        </w:tabs>
        <w:spacing w:after="0" w:line="276" w:lineRule="auto"/>
        <w:jc w:val="both"/>
        <w:rPr>
          <w:rFonts w:ascii="Arial" w:eastAsia="Calibri" w:hAnsi="Arial" w:cs="Arial"/>
          <w:bCs/>
          <w:color w:val="000000"/>
          <w:lang w:val="es-ES_tradnl"/>
        </w:rPr>
      </w:pPr>
      <w:r w:rsidRPr="00E75F33">
        <w:rPr>
          <w:rFonts w:ascii="Arial" w:eastAsia="Calibri" w:hAnsi="Arial" w:cs="Arial"/>
          <w:bCs/>
          <w:color w:val="000000"/>
          <w:lang w:val="es-ES_tradnl"/>
        </w:rPr>
        <w:tab/>
        <w:t xml:space="preserve"> </w:t>
      </w:r>
    </w:p>
    <w:p w14:paraId="7C1D91C4" w14:textId="77777777" w:rsidR="00E75F33" w:rsidRPr="00E75F33" w:rsidRDefault="00E75F33" w:rsidP="00E75F33">
      <w:pPr>
        <w:spacing w:after="120" w:line="276" w:lineRule="auto"/>
        <w:jc w:val="both"/>
        <w:rPr>
          <w:rFonts w:ascii="Verdana" w:eastAsia="Calibri" w:hAnsi="Verdana" w:cs="Arial"/>
          <w:color w:val="000000"/>
          <w:lang w:val="es-ES"/>
        </w:rPr>
      </w:pPr>
      <w:r w:rsidRPr="00E75F33">
        <w:rPr>
          <w:rFonts w:ascii="Arial" w:eastAsia="Calibri" w:hAnsi="Arial" w:cs="Arial"/>
          <w:bCs/>
          <w:color w:val="000000"/>
          <w:lang w:val="es-ES_tradnl"/>
        </w:rPr>
        <w:tab/>
      </w:r>
      <w:r w:rsidRPr="00E75F33">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156E17F3" w14:textId="77777777" w:rsidR="00E75F33" w:rsidRPr="00E75F33" w:rsidRDefault="00E75F33" w:rsidP="00E75F33">
      <w:pPr>
        <w:spacing w:after="120" w:line="276" w:lineRule="auto"/>
        <w:ind w:firstLine="709"/>
        <w:jc w:val="both"/>
        <w:rPr>
          <w:rFonts w:ascii="Verdana" w:eastAsia="Calibri" w:hAnsi="Verdana" w:cs="Arial"/>
          <w:lang w:val="es-ES" w:eastAsia="es-ES"/>
        </w:rPr>
      </w:pPr>
      <w:r w:rsidRPr="00E75F33">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3B996F9D" w14:textId="77777777" w:rsidR="00E75F33" w:rsidRPr="00E75F33" w:rsidRDefault="00E75F33" w:rsidP="00E75F33">
      <w:pPr>
        <w:spacing w:after="120" w:line="276" w:lineRule="auto"/>
        <w:ind w:firstLine="709"/>
        <w:jc w:val="both"/>
        <w:rPr>
          <w:rFonts w:ascii="Verdana" w:eastAsia="Calibri" w:hAnsi="Verdana" w:cs="Arial"/>
          <w:lang w:val="es-ES" w:eastAsia="es-ES"/>
        </w:rPr>
      </w:pPr>
      <w:r w:rsidRPr="00E75F33">
        <w:rPr>
          <w:rFonts w:ascii="Verdana" w:eastAsia="Calibri" w:hAnsi="Verdana" w:cs="Arial"/>
          <w:lang w:val="es-ES" w:eastAsia="es-ES"/>
        </w:rPr>
        <w:lastRenderedPageBreak/>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085BA591" w14:textId="77777777" w:rsidR="00E75F33" w:rsidRPr="00E75F33" w:rsidRDefault="00E75F33" w:rsidP="00E75F33">
      <w:pPr>
        <w:spacing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tab/>
      </w:r>
      <w:r w:rsidRPr="00E75F33">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3EEB62C0" w14:textId="77777777" w:rsidR="00E75F33" w:rsidRPr="00E75F33" w:rsidRDefault="00E75F33" w:rsidP="00E75F33">
      <w:pPr>
        <w:tabs>
          <w:tab w:val="left" w:pos="0"/>
        </w:tabs>
        <w:spacing w:after="120" w:line="276" w:lineRule="auto"/>
        <w:jc w:val="both"/>
        <w:rPr>
          <w:rFonts w:ascii="Verdana" w:eastAsia="Calibri" w:hAnsi="Verdana" w:cs="Arial"/>
          <w:bCs/>
          <w:lang w:val="es-ES_tradnl" w:eastAsia="es-ES_tradnl"/>
        </w:rPr>
      </w:pPr>
      <w:r w:rsidRPr="00E75F33">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673826A1" w14:textId="77777777" w:rsidR="00E75F33" w:rsidRPr="00E75F33" w:rsidRDefault="00E75F33" w:rsidP="00E75F33">
      <w:pPr>
        <w:spacing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tab/>
      </w:r>
      <w:r w:rsidRPr="00E75F33">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w:t>
      </w:r>
      <w:r w:rsidRPr="00E75F33">
        <w:rPr>
          <w:rFonts w:ascii="Verdana" w:eastAsia="Calibri" w:hAnsi="Verdana" w:cs="Arial"/>
          <w:lang w:val="es-ES" w:eastAsia="es-ES"/>
        </w:rPr>
        <w:lastRenderedPageBreak/>
        <w:t xml:space="preserve">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E75F33">
        <w:rPr>
          <w:rFonts w:ascii="Verdana" w:eastAsia="Calibri" w:hAnsi="Verdana" w:cs="Arial"/>
          <w:bCs/>
          <w:highlight w:val="yellow"/>
          <w:lang w:val="es-ES_tradnl" w:eastAsia="es-ES_tradnl"/>
        </w:rPr>
        <w:t xml:space="preserve"> </w:t>
      </w:r>
    </w:p>
    <w:p w14:paraId="702EE83E" w14:textId="77777777" w:rsidR="00E75F33" w:rsidRPr="00E75F33" w:rsidRDefault="00E75F33" w:rsidP="00E75F33">
      <w:pPr>
        <w:tabs>
          <w:tab w:val="left" w:pos="0"/>
        </w:tabs>
        <w:spacing w:after="120" w:line="276" w:lineRule="auto"/>
        <w:ind w:firstLine="709"/>
        <w:jc w:val="both"/>
        <w:rPr>
          <w:rFonts w:ascii="Arial" w:eastAsia="Calibri" w:hAnsi="Arial" w:cs="Arial"/>
          <w:bCs/>
          <w:lang w:val="es-ES_tradnl"/>
        </w:rPr>
      </w:pPr>
      <w:r w:rsidRPr="00E75F33">
        <w:rPr>
          <w:rFonts w:ascii="Verdana" w:eastAsia="Calibri" w:hAnsi="Verdana" w:cs="Arial"/>
          <w:color w:val="000000"/>
        </w:rPr>
        <w:t xml:space="preserve">En este contexto, </w:t>
      </w:r>
      <w:r w:rsidRPr="00E75F33">
        <w:rPr>
          <w:rFonts w:ascii="Verdana" w:eastAsia="Calibri" w:hAnsi="Verdana" w:cs="Arial"/>
          <w:bCs/>
          <w:lang w:val="es-ES_tradnl" w:eastAsia="es-ES_tradnl"/>
        </w:rPr>
        <w:t>de la lectura conjunta de los incisos primero y segundo</w:t>
      </w:r>
      <w:r w:rsidRPr="00E75F33">
        <w:rPr>
          <w:rFonts w:ascii="Verdana" w:eastAsia="Calibri" w:hAnsi="Verdana" w:cs="Arial"/>
          <w:bCs/>
          <w:lang w:eastAsia="es-ES_tradnl"/>
        </w:rPr>
        <w:t xml:space="preserve"> del artículo 56 de la Ley 2195 de 2022,</w:t>
      </w:r>
      <w:r w:rsidRPr="00E75F33">
        <w:rPr>
          <w:rFonts w:ascii="Verdana" w:eastAsia="Calibri" w:hAnsi="Verdana" w:cs="Arial"/>
          <w:bCs/>
          <w:lang w:val="es-ES_tradnl" w:eastAsia="es-ES_tradnl"/>
        </w:rPr>
        <w:t xml:space="preserve"> se desprende que </w:t>
      </w:r>
      <w:r w:rsidRPr="00E75F33">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E75F33">
        <w:rPr>
          <w:rFonts w:ascii="Arial" w:eastAsia="Calibri" w:hAnsi="Arial" w:cs="Arial"/>
          <w:bCs/>
          <w:lang w:val="es-ES_tradnl"/>
        </w:rPr>
        <w:t xml:space="preserve"> </w:t>
      </w:r>
      <w:r w:rsidRPr="00E75F33">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52909918" w14:textId="77777777" w:rsidR="00E75F33" w:rsidRPr="00E75F33" w:rsidRDefault="00E75F33" w:rsidP="00E75F33">
      <w:pPr>
        <w:tabs>
          <w:tab w:val="left" w:pos="0"/>
        </w:tabs>
        <w:spacing w:after="120" w:line="276" w:lineRule="auto"/>
        <w:ind w:firstLine="709"/>
        <w:jc w:val="both"/>
        <w:rPr>
          <w:rFonts w:ascii="Verdana" w:eastAsia="Calibri" w:hAnsi="Verdana" w:cs="Arial"/>
          <w:bCs/>
          <w:color w:val="000000"/>
          <w:lang w:val="es-ES_tradnl" w:eastAsia="es-ES_tradnl"/>
        </w:rPr>
      </w:pPr>
      <w:r w:rsidRPr="00E75F33">
        <w:rPr>
          <w:rFonts w:ascii="Verdana" w:eastAsia="Calibri" w:hAnsi="Verdana" w:cs="Arial"/>
          <w:bCs/>
          <w:lang w:val="es-ES_tradnl" w:eastAsia="es-ES_tradnl"/>
        </w:rPr>
        <w:t>Sin perjuicio de lo anterior</w:t>
      </w:r>
      <w:r w:rsidRPr="00E75F33">
        <w:rPr>
          <w:rFonts w:ascii="Verdana" w:eastAsia="Times New Roman" w:hAnsi="Verdana" w:cs="Arial"/>
          <w:lang w:eastAsia="es-ES_tradnl"/>
        </w:rPr>
        <w:t xml:space="preserve">, </w:t>
      </w:r>
      <w:r w:rsidRPr="00E75F33">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E75F33">
        <w:rPr>
          <w:rFonts w:ascii="Verdana" w:eastAsia="Calibri" w:hAnsi="Verdana" w:cs="Arial"/>
          <w:bCs/>
          <w:i/>
          <w:iCs/>
          <w:lang w:val="es-ES_tradnl" w:eastAsia="es-ES_tradnl"/>
        </w:rPr>
        <w:t>giro ordinario</w:t>
      </w:r>
      <w:r w:rsidRPr="00E75F33">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E75F33">
        <w:rPr>
          <w:rFonts w:ascii="Verdana" w:eastAsia="Calibri" w:hAnsi="Verdana" w:cs="Arial"/>
          <w:bCs/>
          <w:lang w:val="es-ES_tradnl" w:eastAsia="es-ES_tradnl"/>
        </w:rPr>
        <w:t>ii</w:t>
      </w:r>
      <w:proofErr w:type="spellEnd"/>
      <w:r w:rsidRPr="00E75F33">
        <w:rPr>
          <w:rFonts w:ascii="Verdana" w:eastAsia="Calibri" w:hAnsi="Verdana" w:cs="Arial"/>
          <w:bCs/>
          <w:lang w:val="es-ES_tradnl" w:eastAsia="es-ES_tradnl"/>
        </w:rPr>
        <w:t xml:space="preserve">) las empresas sociales del Estado, </w:t>
      </w:r>
      <w:proofErr w:type="spellStart"/>
      <w:r w:rsidRPr="00E75F33">
        <w:rPr>
          <w:rFonts w:ascii="Verdana" w:eastAsia="Calibri" w:hAnsi="Verdana" w:cs="Arial"/>
          <w:bCs/>
          <w:lang w:val="es-ES_tradnl" w:eastAsia="es-ES_tradnl"/>
        </w:rPr>
        <w:t>iii</w:t>
      </w:r>
      <w:proofErr w:type="spellEnd"/>
      <w:r w:rsidRPr="00E75F33">
        <w:rPr>
          <w:rFonts w:ascii="Verdana" w:eastAsia="Calibri" w:hAnsi="Verdana" w:cs="Arial"/>
          <w:bCs/>
          <w:lang w:val="es-ES_tradnl" w:eastAsia="es-ES_tradnl"/>
        </w:rPr>
        <w:t xml:space="preserve">) las sociedades de economía mixta y </w:t>
      </w:r>
      <w:proofErr w:type="spellStart"/>
      <w:r w:rsidRPr="00E75F33">
        <w:rPr>
          <w:rFonts w:ascii="Verdana" w:eastAsia="Calibri" w:hAnsi="Verdana" w:cs="Arial"/>
          <w:bCs/>
          <w:lang w:val="es-ES_tradnl" w:eastAsia="es-ES_tradnl"/>
        </w:rPr>
        <w:t>iv</w:t>
      </w:r>
      <w:proofErr w:type="spellEnd"/>
      <w:r w:rsidRPr="00E75F33">
        <w:rPr>
          <w:rFonts w:ascii="Verdana" w:eastAsia="Calibri" w:hAnsi="Verdana" w:cs="Arial"/>
          <w:bCs/>
          <w:lang w:val="es-ES_tradnl" w:eastAsia="es-ES_tradnl"/>
        </w:rPr>
        <w:t xml:space="preserve">) las empresas industriales y comerciales del Estado, únicamente, en la contratación relacionada con el </w:t>
      </w:r>
      <w:r w:rsidRPr="00E75F33">
        <w:rPr>
          <w:rFonts w:ascii="Verdana" w:eastAsia="Calibri" w:hAnsi="Verdana" w:cs="Arial"/>
          <w:bCs/>
          <w:i/>
          <w:iCs/>
          <w:lang w:val="es-ES_tradnl" w:eastAsia="es-ES_tradnl"/>
        </w:rPr>
        <w:t>giro ordinario.</w:t>
      </w:r>
      <w:r w:rsidRPr="00E75F33">
        <w:rPr>
          <w:rFonts w:ascii="Verdana" w:eastAsia="Calibri" w:hAnsi="Verdana" w:cs="Arial"/>
          <w:bCs/>
          <w:lang w:val="es-ES_tradnl" w:eastAsia="es-ES_tradnl"/>
        </w:rPr>
        <w:t xml:space="preserve"> Esto significa que, en la contratación asociada a su </w:t>
      </w:r>
      <w:r w:rsidRPr="00E75F33">
        <w:rPr>
          <w:rFonts w:ascii="Verdana" w:eastAsia="Calibri" w:hAnsi="Verdana" w:cs="Arial"/>
          <w:bCs/>
          <w:i/>
          <w:iCs/>
          <w:lang w:val="es-ES_tradnl" w:eastAsia="es-ES_tradnl"/>
        </w:rPr>
        <w:t xml:space="preserve">giro ordinario, </w:t>
      </w:r>
      <w:r w:rsidRPr="00E75F33">
        <w:rPr>
          <w:rFonts w:ascii="Verdana" w:eastAsia="Calibri" w:hAnsi="Verdana" w:cs="Arial"/>
          <w:bCs/>
          <w:lang w:val="es-ES_tradnl" w:eastAsia="es-ES_tradnl"/>
        </w:rPr>
        <w:t>estos tipos de entidades no tendrían que aplicar, de manera obligatoria, los Documentos Tipo, ni tampoco el EGCAP.</w:t>
      </w:r>
      <w:r w:rsidRPr="00E75F33">
        <w:rPr>
          <w:rFonts w:ascii="Verdana" w:eastAsia="Times New Roman" w:hAnsi="Verdana" w:cs="Arial"/>
          <w:lang w:eastAsia="es-ES_tradnl"/>
        </w:rPr>
        <w:t xml:space="preserve"> </w:t>
      </w:r>
      <w:r w:rsidRPr="00E75F33">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E75F33">
        <w:rPr>
          <w:rFonts w:ascii="Verdana" w:eastAsia="Calibri" w:hAnsi="Verdana" w:cs="Arial"/>
          <w:bCs/>
          <w:color w:val="000000"/>
          <w:lang w:val="es-ES_tradnl" w:eastAsia="es-ES_tradnl"/>
        </w:rPr>
        <w:t xml:space="preserve"> </w:t>
      </w:r>
    </w:p>
    <w:p w14:paraId="104E1041" w14:textId="77777777" w:rsidR="00E75F33" w:rsidRPr="00E75F33" w:rsidRDefault="00E75F33" w:rsidP="00E75F33">
      <w:pPr>
        <w:tabs>
          <w:tab w:val="left" w:pos="0"/>
        </w:tabs>
        <w:spacing w:after="120" w:line="276" w:lineRule="auto"/>
        <w:ind w:firstLine="709"/>
        <w:jc w:val="both"/>
        <w:rPr>
          <w:rFonts w:ascii="Verdana" w:eastAsia="Arial" w:hAnsi="Verdana" w:cs="Arial"/>
          <w:lang w:val="es-ES_tradnl" w:eastAsia="es-ES_tradnl"/>
        </w:rPr>
      </w:pPr>
      <w:r w:rsidRPr="00E75F33">
        <w:rPr>
          <w:rFonts w:ascii="Verdana" w:eastAsia="Calibri" w:hAnsi="Verdana" w:cs="Arial"/>
          <w:bCs/>
          <w:lang w:val="es-ES_tradnl" w:eastAsia="es-ES_tradnl"/>
        </w:rPr>
        <w:t xml:space="preserve">Es importante tener en cuenta que cuando la norma se refiere a la contratación del </w:t>
      </w:r>
      <w:r w:rsidRPr="00E75F33">
        <w:rPr>
          <w:rFonts w:ascii="Verdana" w:eastAsia="Calibri" w:hAnsi="Verdana" w:cs="Arial"/>
          <w:bCs/>
          <w:i/>
          <w:iCs/>
          <w:lang w:val="es-ES_tradnl" w:eastAsia="es-ES_tradnl"/>
        </w:rPr>
        <w:t>giro ordinario</w:t>
      </w:r>
      <w:r w:rsidRPr="00E75F33">
        <w:rPr>
          <w:rFonts w:ascii="Verdana" w:eastAsia="Calibri" w:hAnsi="Verdana" w:cs="Arial"/>
          <w:bCs/>
          <w:lang w:val="es-ES_tradnl" w:eastAsia="es-ES_tradnl"/>
        </w:rPr>
        <w:t>, emplea un concepto jurídico indeterminado</w:t>
      </w:r>
      <w:r w:rsidRPr="00E75F33">
        <w:rPr>
          <w:rFonts w:ascii="Verdana" w:eastAsia="Calibri" w:hAnsi="Verdana" w:cs="Arial"/>
          <w:vertAlign w:val="superscript"/>
          <w:lang w:eastAsia="es-ES_tradnl"/>
        </w:rPr>
        <w:footnoteReference w:id="7"/>
      </w:r>
      <w:r w:rsidRPr="00E75F33">
        <w:rPr>
          <w:rFonts w:ascii="Verdana" w:eastAsia="Calibri" w:hAnsi="Verdana" w:cs="Arial"/>
          <w:bCs/>
          <w:lang w:val="es-ES_tradnl" w:eastAsia="es-ES_tradnl"/>
        </w:rPr>
        <w:t xml:space="preserve">. </w:t>
      </w:r>
      <w:r w:rsidRPr="00E75F33">
        <w:rPr>
          <w:rFonts w:ascii="Verdana" w:eastAsia="Arial" w:hAnsi="Verdana" w:cs="Arial"/>
          <w:lang w:val="es-ES_tradnl" w:eastAsia="es-ES_tradnl"/>
        </w:rPr>
        <w:t xml:space="preserve">Un </w:t>
      </w:r>
      <w:r w:rsidRPr="00E75F33">
        <w:rPr>
          <w:rFonts w:ascii="Verdana" w:eastAsia="Arial" w:hAnsi="Verdana" w:cs="Arial"/>
          <w:lang w:val="es-ES_tradnl" w:eastAsia="es-ES_tradnl"/>
        </w:rPr>
        <w:lastRenderedPageBreak/>
        <w:t xml:space="preserve">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E75F33">
        <w:rPr>
          <w:rFonts w:ascii="Verdana" w:eastAsia="Arial" w:hAnsi="Verdana" w:cs="Arial"/>
          <w:i/>
          <w:iCs/>
          <w:lang w:val="es-ES_tradnl" w:eastAsia="es-ES_tradnl"/>
        </w:rPr>
        <w:t>giro ordinario</w:t>
      </w:r>
      <w:r w:rsidRPr="00E75F33">
        <w:rPr>
          <w:rFonts w:ascii="Verdana" w:eastAsia="Arial" w:hAnsi="Verdana" w:cs="Arial"/>
          <w:lang w:val="es-ES_tradnl" w:eastAsia="es-ES_tradnl"/>
        </w:rPr>
        <w:t xml:space="preserve"> de sus negocios. </w:t>
      </w:r>
    </w:p>
    <w:p w14:paraId="1DD23B9F" w14:textId="77777777" w:rsidR="00E75F33" w:rsidRPr="00E75F33" w:rsidRDefault="00E75F33" w:rsidP="00E75F33">
      <w:pPr>
        <w:tabs>
          <w:tab w:val="left" w:pos="0"/>
        </w:tabs>
        <w:spacing w:after="120" w:line="276" w:lineRule="auto"/>
        <w:ind w:firstLine="709"/>
        <w:jc w:val="both"/>
        <w:rPr>
          <w:rFonts w:ascii="Verdana" w:eastAsia="Calibri" w:hAnsi="Verdana" w:cs="Arial"/>
          <w:bCs/>
          <w:lang w:val="es-ES_tradnl" w:eastAsia="es-ES_tradnl"/>
        </w:rPr>
      </w:pPr>
      <w:r w:rsidRPr="00E75F33">
        <w:rPr>
          <w:rFonts w:ascii="Verdana" w:eastAsia="Arial" w:hAnsi="Verdana" w:cs="Arial"/>
          <w:lang w:val="es-ES_tradnl" w:eastAsia="es-ES_tradnl"/>
        </w:rPr>
        <w:t>La Corte Constitucional</w:t>
      </w:r>
      <w:r w:rsidRPr="00E75F33">
        <w:rPr>
          <w:rFonts w:ascii="Verdana" w:eastAsia="Arial" w:hAnsi="Verdana" w:cs="Arial"/>
          <w:vertAlign w:val="superscript"/>
          <w:lang w:eastAsia="es-ES_tradnl"/>
        </w:rPr>
        <w:footnoteReference w:id="8"/>
      </w:r>
      <w:r w:rsidRPr="00E75F33">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E75F33">
        <w:rPr>
          <w:rFonts w:ascii="Verdana" w:eastAsia="Calibri" w:hAnsi="Verdana" w:cs="Arial"/>
          <w:bCs/>
          <w:lang w:val="es-ES_tradnl" w:eastAsia="es-ES_tradnl"/>
        </w:rPr>
        <w:t xml:space="preserve"> </w:t>
      </w:r>
    </w:p>
    <w:p w14:paraId="25460A78" w14:textId="77777777" w:rsidR="00E75F33" w:rsidRPr="00E75F33" w:rsidRDefault="00E75F33" w:rsidP="00E75F33">
      <w:pPr>
        <w:tabs>
          <w:tab w:val="left" w:pos="0"/>
        </w:tabs>
        <w:spacing w:after="0" w:line="276" w:lineRule="auto"/>
        <w:ind w:firstLine="709"/>
        <w:jc w:val="both"/>
        <w:rPr>
          <w:rFonts w:ascii="Verdana" w:eastAsia="Calibri" w:hAnsi="Verdana" w:cs="Arial"/>
          <w:bCs/>
          <w:lang w:val="es-ES_tradnl" w:eastAsia="es-ES_tradnl"/>
        </w:rPr>
      </w:pPr>
      <w:r w:rsidRPr="00E75F33">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75F33">
        <w:rPr>
          <w:rFonts w:ascii="Verdana" w:eastAsia="Calibri" w:hAnsi="Verdana" w:cs="Arial"/>
          <w:bCs/>
          <w:i/>
          <w:iCs/>
          <w:lang w:val="es-ES_tradnl" w:eastAsia="es-ES_tradnl"/>
        </w:rPr>
        <w:t xml:space="preserve">giro ordinario </w:t>
      </w:r>
      <w:r w:rsidRPr="00E75F33">
        <w:rPr>
          <w:rFonts w:ascii="Verdana" w:eastAsia="Calibri" w:hAnsi="Verdana" w:cs="Arial"/>
          <w:bCs/>
          <w:lang w:val="es-ES_tradnl" w:eastAsia="es-ES_tradnl"/>
        </w:rPr>
        <w:t>incluida en la redacción original del parágrafo 1° del artículo 32 de la Ley 80 de 1993</w:t>
      </w:r>
      <w:r w:rsidRPr="00E75F33">
        <w:rPr>
          <w:rFonts w:ascii="Verdana" w:eastAsia="Calibri" w:hAnsi="Verdana" w:cs="Arial"/>
          <w:vertAlign w:val="superscript"/>
          <w:lang w:eastAsia="es-ES_tradnl"/>
        </w:rPr>
        <w:footnoteReference w:id="9"/>
      </w:r>
      <w:r w:rsidRPr="00E75F33">
        <w:rPr>
          <w:rFonts w:ascii="Verdana" w:eastAsia="Calibri" w:hAnsi="Verdana" w:cs="Arial"/>
          <w:bCs/>
          <w:lang w:val="es-ES_tradnl" w:eastAsia="es-ES_tradnl"/>
        </w:rPr>
        <w:t xml:space="preserve">, la Sección Tercera manifestó lo siguiente: </w:t>
      </w:r>
    </w:p>
    <w:p w14:paraId="0B0C70EB" w14:textId="77777777" w:rsidR="00E75F33" w:rsidRPr="00E75F33" w:rsidRDefault="00E75F33" w:rsidP="00E75F33">
      <w:pPr>
        <w:tabs>
          <w:tab w:val="left" w:pos="0"/>
        </w:tabs>
        <w:spacing w:after="0" w:line="276" w:lineRule="auto"/>
        <w:jc w:val="both"/>
        <w:rPr>
          <w:rFonts w:ascii="Verdana" w:eastAsia="Calibri" w:hAnsi="Verdana" w:cs="Arial"/>
          <w:bCs/>
          <w:lang w:val="es-ES_tradnl" w:eastAsia="es-ES_tradnl"/>
        </w:rPr>
      </w:pPr>
    </w:p>
    <w:p w14:paraId="77549A3F" w14:textId="77777777" w:rsidR="00E75F33" w:rsidRPr="00E75F33" w:rsidRDefault="00E75F33" w:rsidP="00E75F33">
      <w:pPr>
        <w:spacing w:after="0" w:line="240" w:lineRule="auto"/>
        <w:ind w:left="709" w:right="709"/>
        <w:jc w:val="both"/>
        <w:rPr>
          <w:rFonts w:ascii="Verdana" w:eastAsia="Times New Roman" w:hAnsi="Verdana" w:cs="Arial"/>
          <w:sz w:val="20"/>
          <w:szCs w:val="20"/>
          <w:lang w:val="es-ES_tradnl" w:eastAsia="es-CO"/>
        </w:rPr>
      </w:pPr>
      <w:r w:rsidRPr="00E75F33">
        <w:rPr>
          <w:rFonts w:ascii="Verdana" w:eastAsia="Times New Roman" w:hAnsi="Verdana" w:cs="Arial"/>
          <w:sz w:val="20"/>
          <w:szCs w:val="20"/>
          <w:lang w:val="es-ES_tradnl" w:eastAsia="es-ES_tradnl"/>
        </w:rPr>
        <w:lastRenderedPageBreak/>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75F33">
        <w:rPr>
          <w:rFonts w:ascii="Verdana" w:eastAsia="Times New Roman" w:hAnsi="Verdana" w:cs="Arial"/>
          <w:sz w:val="20"/>
          <w:szCs w:val="20"/>
          <w:lang w:val="es-ES_tradnl" w:eastAsia="es-ES_tradnl"/>
        </w:rPr>
        <w:t>Siendo</w:t>
      </w:r>
      <w:proofErr w:type="gramEnd"/>
      <w:r w:rsidRPr="00E75F33">
        <w:rPr>
          <w:rFonts w:ascii="Verdana" w:eastAsia="Times New Roman" w:hAnsi="Verdana"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75F33">
        <w:rPr>
          <w:rFonts w:ascii="Verdana" w:eastAsia="Times New Roman" w:hAnsi="Verdana" w:cs="Arial"/>
          <w:sz w:val="20"/>
          <w:szCs w:val="20"/>
          <w:vertAlign w:val="superscript"/>
          <w:lang w:eastAsia="es-ES_tradnl"/>
        </w:rPr>
        <w:footnoteReference w:id="10"/>
      </w:r>
      <w:r w:rsidRPr="00E75F33">
        <w:rPr>
          <w:rFonts w:ascii="Verdana" w:eastAsia="Times New Roman" w:hAnsi="Verdana" w:cs="Arial"/>
          <w:sz w:val="20"/>
          <w:szCs w:val="20"/>
          <w:lang w:val="es-ES_tradnl" w:eastAsia="es-ES_tradnl"/>
        </w:rPr>
        <w:t>.</w:t>
      </w:r>
    </w:p>
    <w:p w14:paraId="03AE498B" w14:textId="77777777" w:rsidR="00E75F33" w:rsidRPr="00E75F33" w:rsidRDefault="00E75F33" w:rsidP="00E75F33">
      <w:pPr>
        <w:tabs>
          <w:tab w:val="left" w:pos="0"/>
        </w:tabs>
        <w:spacing w:after="0" w:line="276" w:lineRule="auto"/>
        <w:jc w:val="both"/>
        <w:rPr>
          <w:rFonts w:ascii="Verdana" w:eastAsia="Calibri" w:hAnsi="Verdana" w:cs="Arial"/>
          <w:bCs/>
          <w:i/>
          <w:iCs/>
          <w:lang w:val="es-ES_tradnl" w:eastAsia="es-ES_tradnl"/>
        </w:rPr>
      </w:pPr>
    </w:p>
    <w:p w14:paraId="50480720" w14:textId="77777777" w:rsidR="00E75F33" w:rsidRPr="00E75F33" w:rsidRDefault="00E75F33" w:rsidP="00E75F33">
      <w:pPr>
        <w:tabs>
          <w:tab w:val="left" w:pos="0"/>
        </w:tabs>
        <w:spacing w:after="120" w:line="276" w:lineRule="auto"/>
        <w:jc w:val="both"/>
        <w:rPr>
          <w:rFonts w:ascii="Verdana" w:eastAsia="Calibri" w:hAnsi="Verdana" w:cs="Arial"/>
          <w:bCs/>
          <w:lang w:val="es-ES_tradnl" w:eastAsia="es-ES_tradnl"/>
        </w:rPr>
      </w:pPr>
      <w:r w:rsidRPr="00E75F33">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E75F33">
        <w:rPr>
          <w:rFonts w:ascii="Verdana" w:eastAsia="Calibri" w:hAnsi="Verdana" w:cs="Arial"/>
          <w:i/>
          <w:lang w:val="es-ES_tradnl" w:eastAsia="es-ES_tradnl"/>
        </w:rPr>
        <w:t xml:space="preserve">“giro ordinario de los negocios” </w:t>
      </w:r>
      <w:r w:rsidRPr="00E75F33">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E75F33">
        <w:rPr>
          <w:rFonts w:ascii="Verdana" w:eastAsia="Calibri" w:hAnsi="Verdana" w:cs="Arial"/>
          <w:vertAlign w:val="superscript"/>
          <w:lang w:eastAsia="es-ES_tradnl"/>
        </w:rPr>
        <w:footnoteReference w:id="11"/>
      </w:r>
      <w:r w:rsidRPr="00E75F33">
        <w:rPr>
          <w:rFonts w:ascii="Verdana" w:eastAsia="Calibri" w:hAnsi="Verdana" w:cs="Arial"/>
          <w:bCs/>
          <w:lang w:val="es-ES_tradnl" w:eastAsia="es-ES_tradnl"/>
        </w:rPr>
        <w:t xml:space="preserve"> y la doctrina societaria</w:t>
      </w:r>
      <w:r w:rsidRPr="00E75F33">
        <w:rPr>
          <w:rFonts w:ascii="Verdana" w:eastAsia="Calibri" w:hAnsi="Verdana" w:cs="Arial"/>
          <w:bCs/>
          <w:vertAlign w:val="superscript"/>
          <w:lang w:val="es-ES_tradnl" w:eastAsia="es-ES_tradnl"/>
        </w:rPr>
        <w:footnoteReference w:id="12"/>
      </w:r>
      <w:r w:rsidRPr="00E75F33">
        <w:rPr>
          <w:rFonts w:ascii="Verdana" w:eastAsia="Calibri" w:hAnsi="Verdana" w:cs="Arial"/>
          <w:bCs/>
          <w:lang w:val="es-ES_tradnl" w:eastAsia="es-ES_tradnl"/>
        </w:rPr>
        <w:t xml:space="preserve">. </w:t>
      </w:r>
    </w:p>
    <w:p w14:paraId="76464837" w14:textId="77777777" w:rsidR="00E75F33" w:rsidRPr="00E75F33" w:rsidRDefault="00E75F33" w:rsidP="00E75F33">
      <w:pPr>
        <w:spacing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tab/>
      </w:r>
      <w:r w:rsidRPr="00E75F33">
        <w:rPr>
          <w:rFonts w:ascii="Verdana" w:eastAsia="Calibri" w:hAnsi="Verdana" w:cs="Arial"/>
          <w:lang w:val="es-ES" w:eastAsia="es-ES"/>
        </w:rPr>
        <w:t xml:space="preserve">Conforme con lo expresado, el </w:t>
      </w:r>
      <w:r w:rsidRPr="00E75F33">
        <w:rPr>
          <w:rFonts w:ascii="Verdana" w:eastAsia="Calibri" w:hAnsi="Verdana" w:cs="Arial"/>
          <w:i/>
          <w:lang w:val="es-ES" w:eastAsia="es-ES"/>
        </w:rPr>
        <w:t xml:space="preserve">giro ordinario </w:t>
      </w:r>
      <w:r w:rsidRPr="00E75F33">
        <w:rPr>
          <w:rFonts w:ascii="Verdana" w:eastAsia="Calibri" w:hAnsi="Verdana" w:cs="Arial"/>
          <w:lang w:val="es-ES" w:eastAsia="es-ES"/>
        </w:rPr>
        <w:t xml:space="preserve">involucra los asuntos que integran el desarrollo del objeto social de una sociedad comercial, una empresa </w:t>
      </w:r>
      <w:r w:rsidRPr="00E75F33">
        <w:rPr>
          <w:rFonts w:ascii="Verdana" w:eastAsia="Calibri" w:hAnsi="Verdana" w:cs="Arial"/>
          <w:lang w:val="es-ES" w:eastAsia="es-ES"/>
        </w:rPr>
        <w:lastRenderedPageBreak/>
        <w:t>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75F33">
        <w:rPr>
          <w:rFonts w:ascii="Verdana" w:eastAsia="Times New Roman" w:hAnsi="Verdana" w:cs="Arial"/>
          <w:lang w:val="es-ES" w:eastAsia="es-ES"/>
        </w:rPr>
        <w:t>S]e</w:t>
      </w:r>
      <w:r w:rsidRPr="00E75F33">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75F33">
        <w:rPr>
          <w:rFonts w:ascii="Verdana" w:eastAsia="Calibri" w:hAnsi="Verdana" w:cs="Arial"/>
          <w:vertAlign w:val="superscript"/>
          <w:lang w:eastAsia="es-ES"/>
        </w:rPr>
        <w:footnoteReference w:id="13"/>
      </w:r>
    </w:p>
    <w:p w14:paraId="014D4DE9" w14:textId="77777777" w:rsidR="00E75F33" w:rsidRPr="00E75F33" w:rsidRDefault="00E75F33" w:rsidP="00E75F33">
      <w:pPr>
        <w:spacing w:before="120"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tab/>
      </w:r>
      <w:r w:rsidRPr="00E75F33">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E75F33">
        <w:rPr>
          <w:rFonts w:ascii="Verdana" w:eastAsia="Calibri" w:hAnsi="Verdana" w:cs="Arial"/>
          <w:i/>
          <w:lang w:val="es-ES" w:eastAsia="es-ES"/>
        </w:rPr>
        <w:t xml:space="preserve">giro ordinario </w:t>
      </w:r>
      <w:r w:rsidRPr="00E75F33">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E75F33">
        <w:rPr>
          <w:rFonts w:ascii="Verdana" w:eastAsia="Calibri" w:hAnsi="Verdana" w:cs="Arial"/>
          <w:i/>
          <w:lang w:val="es-ES" w:eastAsia="es-ES"/>
        </w:rPr>
        <w:t>giro ordinario</w:t>
      </w:r>
      <w:r w:rsidRPr="00E75F33">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75F33">
        <w:rPr>
          <w:rFonts w:ascii="Verdana" w:eastAsia="Calibri" w:hAnsi="Verdana" w:cs="Arial"/>
          <w:i/>
          <w:lang w:val="es-ES" w:eastAsia="es-ES"/>
        </w:rPr>
        <w:t>ejusdem</w:t>
      </w:r>
      <w:proofErr w:type="spellEnd"/>
      <w:r w:rsidRPr="00E75F33">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0DB294BA" w14:textId="77777777" w:rsidR="00E75F33" w:rsidRPr="00E75F33" w:rsidRDefault="00E75F33" w:rsidP="00E75F33">
      <w:pPr>
        <w:tabs>
          <w:tab w:val="left" w:pos="0"/>
        </w:tabs>
        <w:spacing w:before="120" w:after="120" w:line="276" w:lineRule="auto"/>
        <w:ind w:firstLine="709"/>
        <w:jc w:val="both"/>
        <w:rPr>
          <w:rFonts w:ascii="Verdana" w:eastAsia="Calibri" w:hAnsi="Verdana" w:cs="Arial"/>
          <w:bCs/>
          <w:lang w:val="es-ES_tradnl"/>
        </w:rPr>
      </w:pPr>
      <w:r w:rsidRPr="00E75F33">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75F33">
        <w:rPr>
          <w:rFonts w:ascii="Verdana" w:eastAsia="Calibri" w:hAnsi="Verdana" w:cs="Arial"/>
          <w:i/>
          <w:lang w:val="es-ES" w:eastAsia="es-ES"/>
        </w:rPr>
        <w:t>giro ordinario</w:t>
      </w:r>
      <w:r w:rsidRPr="00E75F33">
        <w:rPr>
          <w:rFonts w:ascii="Verdana" w:eastAsia="Calibri" w:hAnsi="Verdana" w:cs="Arial"/>
          <w:lang w:val="es-ES" w:eastAsia="es-ES"/>
        </w:rPr>
        <w:t xml:space="preserve"> debe hacerse en el caso </w:t>
      </w:r>
      <w:r w:rsidRPr="00E75F33">
        <w:rPr>
          <w:rFonts w:ascii="Verdana" w:eastAsia="Calibri" w:hAnsi="Verdana" w:cs="Arial"/>
          <w:lang w:val="es-ES" w:eastAsia="es-ES"/>
        </w:rPr>
        <w:lastRenderedPageBreak/>
        <w:t xml:space="preserve">concreto, empleando un criterio de interpretación restrictiva. Ello en la medida en que el parágrafo del artículo 56 consagra una excepción a una regla general. </w:t>
      </w:r>
      <w:r w:rsidRPr="00E75F33">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17005613" w14:textId="77777777" w:rsidR="00E75F33" w:rsidRPr="00E75F33" w:rsidRDefault="00E75F33" w:rsidP="00E75F33">
      <w:pPr>
        <w:spacing w:before="120" w:after="120" w:line="276" w:lineRule="auto"/>
        <w:jc w:val="both"/>
        <w:rPr>
          <w:rFonts w:ascii="Verdana" w:eastAsia="Calibri" w:hAnsi="Verdana" w:cs="Arial"/>
          <w:lang w:val="es-ES" w:eastAsia="es-ES"/>
        </w:rPr>
      </w:pPr>
      <w:r w:rsidRPr="00E75F33">
        <w:rPr>
          <w:rFonts w:ascii="Verdana" w:eastAsia="Calibri" w:hAnsi="Verdana" w:cs="Arial"/>
          <w:bCs/>
          <w:lang w:val="es-ES_tradnl" w:eastAsia="es-ES_tradnl"/>
        </w:rPr>
        <w:tab/>
      </w:r>
      <w:r w:rsidRPr="00E75F33">
        <w:rPr>
          <w:rFonts w:ascii="Verdana" w:eastAsia="Calibri" w:hAnsi="Verdana" w:cs="Arial"/>
          <w:color w:val="000000"/>
          <w:lang w:val="es-ES"/>
        </w:rPr>
        <w:t xml:space="preserve"> </w:t>
      </w:r>
      <w:r w:rsidRPr="00E75F33">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a excepción de aquellos casos en los que la contratación esté relacionada con el </w:t>
      </w:r>
      <w:r w:rsidRPr="00E75F33">
        <w:rPr>
          <w:rFonts w:ascii="Verdana" w:eastAsia="Calibri" w:hAnsi="Verdana" w:cs="Arial"/>
          <w:i/>
          <w:iCs/>
          <w:lang w:val="es-ES" w:eastAsia="es-ES"/>
        </w:rPr>
        <w:t xml:space="preserve">giro ordinario </w:t>
      </w:r>
      <w:r w:rsidRPr="00E75F33">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75F33">
        <w:rPr>
          <w:rFonts w:ascii="Verdana" w:eastAsia="Calibri" w:hAnsi="Verdana" w:cs="Arial"/>
          <w:i/>
          <w:iCs/>
          <w:lang w:val="es-ES" w:eastAsia="es-ES"/>
        </w:rPr>
        <w:t>su giro ordinario</w:t>
      </w:r>
      <w:r w:rsidRPr="00E75F33">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75F33">
        <w:rPr>
          <w:rFonts w:ascii="Verdana" w:eastAsia="Calibri" w:hAnsi="Verdana" w:cs="Arial"/>
          <w:i/>
          <w:iCs/>
          <w:lang w:val="es-ES" w:eastAsia="es-ES"/>
        </w:rPr>
        <w:t>giro ordinario</w:t>
      </w:r>
      <w:r w:rsidRPr="00E75F33">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02F2E638" w14:textId="77777777" w:rsidR="00E75F33" w:rsidRPr="00E75F33" w:rsidRDefault="00E75F33" w:rsidP="00E75F33">
      <w:pPr>
        <w:tabs>
          <w:tab w:val="left" w:pos="0"/>
        </w:tabs>
        <w:spacing w:before="120" w:after="120" w:line="276" w:lineRule="auto"/>
        <w:ind w:firstLine="709"/>
        <w:jc w:val="both"/>
        <w:rPr>
          <w:rFonts w:ascii="Verdana" w:eastAsia="Calibri" w:hAnsi="Verdana" w:cs="Arial"/>
          <w:bCs/>
          <w:lang w:val="es-ES" w:eastAsia="es-ES_tradnl"/>
        </w:rPr>
      </w:pPr>
      <w:r w:rsidRPr="00E75F33">
        <w:rPr>
          <w:rFonts w:ascii="Verdana" w:eastAsia="Calibri" w:hAnsi="Verdana" w:cs="Arial"/>
          <w:bCs/>
          <w:lang w:val="es-ES" w:eastAsia="es-ES_tradnl"/>
        </w:rPr>
        <w:t xml:space="preserve">Ahora bien,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w:t>
      </w:r>
      <w:r w:rsidRPr="00E75F33">
        <w:rPr>
          <w:rFonts w:ascii="Verdana" w:eastAsia="Calibri" w:hAnsi="Verdana" w:cs="Arial"/>
          <w:bCs/>
          <w:lang w:val="es-ES" w:eastAsia="es-ES_tradnl"/>
        </w:rPr>
        <w:lastRenderedPageBreak/>
        <w:t>pueda aplicarse la excepción a algún sujeto con una naturaleza jurídica distinta de las específicamente mencionadas.</w:t>
      </w:r>
    </w:p>
    <w:p w14:paraId="3B769CDE" w14:textId="77777777" w:rsidR="00E75F33" w:rsidRPr="00E75F33" w:rsidRDefault="00E75F33" w:rsidP="00E75F33">
      <w:pPr>
        <w:tabs>
          <w:tab w:val="left" w:pos="0"/>
        </w:tabs>
        <w:spacing w:before="120" w:after="120" w:line="276" w:lineRule="auto"/>
        <w:ind w:firstLine="709"/>
        <w:jc w:val="both"/>
        <w:rPr>
          <w:rFonts w:ascii="Verdana" w:eastAsia="Calibri" w:hAnsi="Verdana" w:cs="Arial"/>
          <w:bCs/>
          <w:lang w:val="es-ES" w:eastAsia="es-ES_tradnl"/>
        </w:rPr>
      </w:pPr>
      <w:r w:rsidRPr="00E75F33">
        <w:rPr>
          <w:rFonts w:ascii="Verdana" w:eastAsia="Calibri" w:hAnsi="Verdana" w:cs="Arial"/>
          <w:bCs/>
          <w:lang w:val="es-ES_tradnl" w:eastAsia="es-ES_tradnl"/>
        </w:rPr>
        <w:t>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w:t>
      </w:r>
    </w:p>
    <w:p w14:paraId="506CBA6B" w14:textId="77777777" w:rsidR="00E75F33" w:rsidRPr="00E75F33" w:rsidRDefault="00E75F33" w:rsidP="00E75F33">
      <w:pPr>
        <w:spacing w:after="0" w:line="276" w:lineRule="auto"/>
        <w:ind w:firstLine="708"/>
        <w:jc w:val="both"/>
        <w:rPr>
          <w:rFonts w:ascii="Verdana" w:eastAsia="Calibri" w:hAnsi="Verdana" w:cs="Arial"/>
          <w:kern w:val="2"/>
          <w:lang w:val="es-ES" w:eastAsia="es-ES"/>
          <w14:ligatures w14:val="standardContextual"/>
        </w:rPr>
      </w:pPr>
      <w:r w:rsidRPr="00E75F33">
        <w:rPr>
          <w:rFonts w:ascii="Verdana" w:eastAsia="Calibri" w:hAnsi="Verdana" w:cs="Arial"/>
          <w:kern w:val="2"/>
          <w:lang w:val="es-ES" w:eastAsia="es-ES"/>
          <w14:ligatures w14:val="standardContextual"/>
        </w:rPr>
        <w:t>En conclusión, a juicio de esta Agencia lo dispuesto en el parágrafo del artículo 56 de la Ley 2195 de 2022, es una manifestación de la voluntad del Legislador de excluir de la aplicación del presente artículo a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763871C9" w14:textId="77777777" w:rsidR="00E75F33" w:rsidRPr="00E75F33" w:rsidRDefault="00E75F33" w:rsidP="00E75F33">
      <w:pPr>
        <w:spacing w:after="0" w:line="276" w:lineRule="auto"/>
        <w:ind w:firstLine="708"/>
        <w:jc w:val="both"/>
        <w:rPr>
          <w:rFonts w:ascii="Verdana" w:eastAsia="Calibri" w:hAnsi="Verdana" w:cs="Arial"/>
          <w:kern w:val="2"/>
          <w:lang w:val="es-ES" w:eastAsia="es-ES"/>
          <w14:ligatures w14:val="standardContextual"/>
        </w:rPr>
      </w:pPr>
    </w:p>
    <w:p w14:paraId="6E7220D5" w14:textId="77777777" w:rsidR="00E75F33" w:rsidRPr="00E75F33" w:rsidRDefault="00E75F33" w:rsidP="00E75F33">
      <w:pPr>
        <w:spacing w:after="0" w:line="278" w:lineRule="auto"/>
        <w:jc w:val="both"/>
        <w:rPr>
          <w:rFonts w:ascii="Verdana" w:eastAsia="Times New Roman" w:hAnsi="Verdana" w:cs="Arial"/>
          <w:kern w:val="2"/>
          <w:lang w:val="es-ES_tradnl" w:eastAsia="es-CO"/>
          <w14:ligatures w14:val="standardContextual"/>
        </w:rPr>
      </w:pPr>
      <w:proofErr w:type="spellStart"/>
      <w:r w:rsidRPr="00E75F33">
        <w:rPr>
          <w:rFonts w:ascii="Verdana" w:eastAsia="Calibri" w:hAnsi="Verdana" w:cs="Arial"/>
          <w:kern w:val="2"/>
          <w:lang w:val="es-ES" w:eastAsia="es-ES"/>
          <w14:ligatures w14:val="standardContextual"/>
        </w:rPr>
        <w:t>iii</w:t>
      </w:r>
      <w:proofErr w:type="spellEnd"/>
      <w:r w:rsidRPr="00E75F33">
        <w:rPr>
          <w:rFonts w:ascii="Verdana" w:eastAsia="Calibri" w:hAnsi="Verdana" w:cs="Arial"/>
          <w:kern w:val="2"/>
          <w:lang w:val="es-ES" w:eastAsia="es-ES"/>
          <w14:ligatures w14:val="standardContextual"/>
        </w:rPr>
        <w:t xml:space="preserve">. </w:t>
      </w:r>
      <w:r w:rsidRPr="00E75F33">
        <w:rPr>
          <w:rFonts w:ascii="Verdana" w:eastAsia="Times New Roman" w:hAnsi="Verdana" w:cs="Arial"/>
          <w:kern w:val="2"/>
          <w:lang w:val="es-ES_tradnl" w:eastAsia="es-CO"/>
          <w14:ligatures w14:val="standardContextual"/>
        </w:rPr>
        <w:t xml:space="preserve">La Subdirección de Gestión Contractual de la Agencia Nacional de Contratación Pública – Colombia Compra Eficiente,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w:t>
      </w:r>
      <w:proofErr w:type="spellStart"/>
      <w:r w:rsidRPr="00E75F33">
        <w:rPr>
          <w:rFonts w:ascii="Verdana" w:eastAsia="Times New Roman" w:hAnsi="Verdana" w:cs="Arial"/>
          <w:kern w:val="2"/>
          <w:lang w:val="es-ES_tradnl" w:eastAsia="es-CO"/>
          <w14:ligatures w14:val="standardContextual"/>
        </w:rPr>
        <w:t>ii</w:t>
      </w:r>
      <w:proofErr w:type="spellEnd"/>
      <w:r w:rsidRPr="00E75F33">
        <w:rPr>
          <w:rFonts w:ascii="Verdana" w:eastAsia="Times New Roman" w:hAnsi="Verdana" w:cs="Arial"/>
          <w:kern w:val="2"/>
          <w:lang w:val="es-ES_tradnl" w:eastAsia="es-CO"/>
          <w14:ligatures w14:val="standardContextual"/>
        </w:rPr>
        <w:t>) la transferencia de los bienes fideicomitidos, con el siguiente tenor:</w:t>
      </w:r>
    </w:p>
    <w:p w14:paraId="2B626C1D" w14:textId="77777777" w:rsidR="00E75F33" w:rsidRPr="00E75F33" w:rsidRDefault="00E75F33" w:rsidP="00E75F33">
      <w:pPr>
        <w:spacing w:after="0" w:line="278" w:lineRule="auto"/>
        <w:jc w:val="both"/>
        <w:rPr>
          <w:rFonts w:ascii="Verdana" w:eastAsia="Times New Roman" w:hAnsi="Verdana" w:cs="Arial"/>
          <w:kern w:val="2"/>
          <w:sz w:val="24"/>
          <w:szCs w:val="24"/>
          <w:lang w:val="es-ES_tradnl" w:eastAsia="es-CO"/>
          <w14:ligatures w14:val="standardContextual"/>
        </w:rPr>
      </w:pPr>
    </w:p>
    <w:p w14:paraId="79DA5B30"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r w:rsidRPr="00E75F33">
        <w:rPr>
          <w:rFonts w:ascii="Verdana" w:eastAsia="Calibri" w:hAnsi="Verdana"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E75F33">
        <w:rPr>
          <w:rFonts w:ascii="Verdana" w:eastAsia="Calibri" w:hAnsi="Verdana" w:cs="Arial"/>
          <w:spacing w:val="-5"/>
          <w:sz w:val="21"/>
          <w:lang w:val="es-ES_tradnl"/>
        </w:rPr>
        <w:t xml:space="preserve"> </w:t>
      </w:r>
      <w:r w:rsidRPr="00E75F33">
        <w:rPr>
          <w:rFonts w:ascii="Verdana" w:eastAsia="Calibri" w:hAnsi="Verdana" w:cs="Arial"/>
          <w:sz w:val="21"/>
          <w:lang w:val="es-ES_tradnl"/>
        </w:rPr>
        <w:t>fideicomisario.</w:t>
      </w:r>
    </w:p>
    <w:p w14:paraId="48E94BA7"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p>
    <w:p w14:paraId="3908323D"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r w:rsidRPr="00E75F33">
        <w:rPr>
          <w:rFonts w:ascii="Verdana" w:eastAsia="Calibri" w:hAnsi="Verdana" w:cs="Arial"/>
          <w:sz w:val="21"/>
          <w:lang w:val="es-ES_tradnl"/>
        </w:rPr>
        <w:t>Una persona puede ser al mismo tiempo fiduciante y beneficiario.</w:t>
      </w:r>
    </w:p>
    <w:p w14:paraId="0A7C2F92"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p>
    <w:p w14:paraId="5939AC9C"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r w:rsidRPr="00E75F33">
        <w:rPr>
          <w:rFonts w:ascii="Verdana" w:eastAsia="Calibri" w:hAnsi="Verdana" w:cs="Arial"/>
          <w:sz w:val="21"/>
          <w:lang w:val="es-ES_tradnl"/>
        </w:rPr>
        <w:lastRenderedPageBreak/>
        <w:t>Solo los establecimientos de crédito y las sociedades fiduciarias, especialmente autorizados por la Superintendencia Bancaria, podrán tener la calidad de fiduciarios.”</w:t>
      </w:r>
    </w:p>
    <w:p w14:paraId="149FBBD5" w14:textId="77777777" w:rsidR="00E75F33" w:rsidRPr="00E75F33" w:rsidRDefault="00E75F33" w:rsidP="00E75F33">
      <w:pPr>
        <w:spacing w:after="0" w:line="240" w:lineRule="auto"/>
        <w:ind w:left="709" w:right="709"/>
        <w:jc w:val="both"/>
        <w:rPr>
          <w:rFonts w:ascii="Verdana" w:eastAsia="Calibri" w:hAnsi="Verdana" w:cs="Arial"/>
          <w:sz w:val="21"/>
          <w:lang w:val="es-ES_tradnl"/>
        </w:rPr>
      </w:pPr>
    </w:p>
    <w:p w14:paraId="4EF5A814" w14:textId="77777777" w:rsidR="00E75F33" w:rsidRPr="00E75F33" w:rsidRDefault="00E75F33" w:rsidP="00E75F33">
      <w:pPr>
        <w:spacing w:after="0" w:line="276" w:lineRule="auto"/>
        <w:ind w:firstLine="709"/>
        <w:jc w:val="both"/>
        <w:rPr>
          <w:rFonts w:ascii="Verdana" w:eastAsia="Calibri" w:hAnsi="Verdana" w:cs="Arial"/>
          <w:lang w:val="es-ES_tradnl"/>
        </w:rPr>
      </w:pPr>
      <w:r w:rsidRPr="00E75F33">
        <w:rPr>
          <w:rFonts w:ascii="Verdana" w:eastAsia="Calibri" w:hAnsi="Verdana" w:cs="Arial"/>
          <w:lang w:val="es-ES_tradnl"/>
        </w:rPr>
        <w:t>De la jurisprudencia constitucional se entiende que las entidades estatales pueden suscribir contratos de fiducia mercantil. Sin embargo, la Sala de Consulta y Servicio Civil del Consejo de Estado, en concepto del 4 de marzo de 1998,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 como es el caso de los procesos de titularización de activos e inversiones, tal como lo autoriza expresamente el parágrafo 2 del artículo 41 de la Ley 80 de 1993</w:t>
      </w:r>
      <w:r w:rsidRPr="00E75F33">
        <w:rPr>
          <w:rFonts w:ascii="Verdana" w:eastAsia="Calibri" w:hAnsi="Verdana" w:cs="Arial"/>
          <w:vertAlign w:val="superscript"/>
          <w:lang w:val="es-ES_tradnl"/>
        </w:rPr>
        <w:footnoteReference w:id="14"/>
      </w:r>
      <w:r w:rsidRPr="00E75F33">
        <w:rPr>
          <w:rFonts w:ascii="Verdana" w:eastAsia="Calibri" w:hAnsi="Verdana" w:cs="Arial"/>
          <w:lang w:val="es-ES_tradnl"/>
        </w:rPr>
        <w:t>.</w:t>
      </w:r>
    </w:p>
    <w:p w14:paraId="413DEEF7" w14:textId="77777777" w:rsidR="00E75F33" w:rsidRPr="00E75F33" w:rsidRDefault="00E75F33" w:rsidP="00E75F33">
      <w:pPr>
        <w:spacing w:before="120" w:after="0" w:line="276" w:lineRule="auto"/>
        <w:ind w:firstLine="709"/>
        <w:jc w:val="both"/>
        <w:rPr>
          <w:rFonts w:ascii="Verdana" w:eastAsia="Times New Roman" w:hAnsi="Verdana" w:cs="Arial"/>
          <w:lang w:val="es-ES_tradnl" w:eastAsia="es-CO"/>
        </w:rPr>
      </w:pPr>
      <w:r w:rsidRPr="00E75F33">
        <w:rPr>
          <w:rFonts w:ascii="Verdana" w:eastAsia="Times New Roman" w:hAnsi="Verdana" w:cs="Arial"/>
          <w:lang w:val="es-ES_tradnl" w:eastAsia="es-CO"/>
        </w:rPr>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w:t>
      </w:r>
      <w:r w:rsidRPr="00E75F33">
        <w:rPr>
          <w:rFonts w:ascii="Verdana" w:eastAsia="Times New Roman" w:hAnsi="Verdana" w:cs="Arial"/>
          <w:spacing w:val="-7"/>
          <w:lang w:val="es-ES_tradnl" w:eastAsia="es-CO"/>
        </w:rPr>
        <w:t xml:space="preserve"> </w:t>
      </w:r>
      <w:r w:rsidRPr="00E75F33">
        <w:rPr>
          <w:rFonts w:ascii="Verdana" w:eastAsia="Times New Roman" w:hAnsi="Verdana" w:cs="Arial"/>
          <w:lang w:val="es-ES_tradnl" w:eastAsia="es-CO"/>
        </w:rPr>
        <w:t xml:space="preserve">que: “Es posible que una Entidad Estatal celebre un contrato de fiducia mercantil y con él se constituya un patrimonio </w:t>
      </w:r>
      <w:r w:rsidRPr="00E75F33">
        <w:rPr>
          <w:rFonts w:ascii="Verdana" w:eastAsia="Times New Roman" w:hAnsi="Verdana" w:cs="Arial"/>
          <w:lang w:val="es-ES_tradnl" w:eastAsia="es-CO"/>
        </w:rPr>
        <w:lastRenderedPageBreak/>
        <w:t>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p>
    <w:p w14:paraId="0005628F" w14:textId="77777777" w:rsidR="00E75F33" w:rsidRPr="00E75F33" w:rsidRDefault="00E75F33" w:rsidP="00E75F33">
      <w:pPr>
        <w:spacing w:before="120" w:after="120" w:line="276" w:lineRule="auto"/>
        <w:ind w:firstLine="709"/>
        <w:jc w:val="both"/>
        <w:rPr>
          <w:rFonts w:ascii="Verdana" w:eastAsia="Times New Roman" w:hAnsi="Verdana" w:cs="Arial"/>
          <w:lang w:val="es-ES_tradnl" w:eastAsia="es-CO"/>
        </w:rPr>
      </w:pPr>
      <w:r w:rsidRPr="00E75F33">
        <w:rPr>
          <w:rFonts w:ascii="Verdana" w:eastAsia="Times New Roman" w:hAnsi="Verdana" w:cs="Arial"/>
          <w:lang w:val="es-ES_tradnl" w:eastAsia="es-CO"/>
        </w:rPr>
        <w:t>Por ello, debe destacarse que en caso de que no exista norma que autorice la fiducia mercantil, se está ante un negocio fiduciario que –en el ámbito de aplicación del EGCAP–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69A2BFD8" w14:textId="77777777" w:rsidR="00E75F33" w:rsidRPr="00E75F33" w:rsidRDefault="00E75F33" w:rsidP="00E75F33">
      <w:pPr>
        <w:spacing w:after="120" w:line="276" w:lineRule="auto"/>
        <w:ind w:firstLine="709"/>
        <w:jc w:val="both"/>
        <w:rPr>
          <w:rFonts w:ascii="Verdana" w:eastAsia="Times New Roman" w:hAnsi="Verdana" w:cs="Arial"/>
          <w:lang w:val="es-ES" w:eastAsia="es-CO"/>
        </w:rPr>
      </w:pPr>
      <w:r w:rsidRPr="00E75F33">
        <w:rPr>
          <w:rFonts w:ascii="Verdana" w:eastAsia="Times New Roman" w:hAnsi="Verdana" w:cs="Arial"/>
          <w:lang w:val="es-ES" w:eastAsia="es-CO"/>
        </w:rPr>
        <w:t>La Ley 80 de 1993 permite realizar negocios fiduciarios, siempre que tengan por objeto la administración o el manejo de los recursos vinculados a los contratos estatales. Además, la Sala Consulta y Servicio Civil del Consejo de Estado, en concepto del 4 de marzo de 1998, antes citado, también señaló otras características del negocio fiduciario que pueden celebrar autónomamente las entidades estatales, que no son otras que las del Estatuto General de Contratación y en forma supletiva el Código de Comercio</w:t>
      </w:r>
      <w:r w:rsidRPr="00E75F33">
        <w:rPr>
          <w:rFonts w:ascii="Verdana" w:eastAsia="Times New Roman" w:hAnsi="Verdana" w:cs="Arial"/>
          <w:vertAlign w:val="superscript"/>
          <w:lang w:val="es-ES" w:eastAsia="es-CO"/>
        </w:rPr>
        <w:footnoteReference w:id="15"/>
      </w:r>
      <w:r w:rsidRPr="00E75F33">
        <w:rPr>
          <w:rFonts w:ascii="Verdana" w:eastAsia="Times New Roman" w:hAnsi="Verdana" w:cs="Arial"/>
          <w:lang w:val="es-ES" w:eastAsia="es-CO"/>
        </w:rPr>
        <w:t xml:space="preserve">. </w:t>
      </w:r>
    </w:p>
    <w:p w14:paraId="23A6AEA5" w14:textId="77777777" w:rsidR="00E75F33" w:rsidRPr="00E75F33" w:rsidRDefault="00E75F33" w:rsidP="00E75F33">
      <w:pPr>
        <w:spacing w:after="0" w:line="276" w:lineRule="auto"/>
        <w:ind w:firstLine="709"/>
        <w:jc w:val="both"/>
        <w:rPr>
          <w:rFonts w:ascii="Verdana" w:eastAsia="Aptos" w:hAnsi="Verdana" w:cs="Arial"/>
          <w:kern w:val="2"/>
          <w14:ligatures w14:val="standardContextual"/>
        </w:rPr>
      </w:pPr>
      <w:r w:rsidRPr="00E75F33">
        <w:rPr>
          <w:rFonts w:ascii="Verdana" w:eastAsia="Aptos" w:hAnsi="Verdana" w:cs="Times New Roman"/>
          <w:kern w:val="2"/>
          <w14:ligatures w14:val="standardContextual"/>
        </w:rPr>
        <w:lastRenderedPageBreak/>
        <w:t>En desarrollo de las consideraciones anteriores y dada su relevancia para el supuesto planteado por el peticionario, debe tenerse en cuenta que otro de los casos previstos por el legislador en los que se autoriza a una entidad estatal para constituir patrimonios autónomos es el relacionado con el Fondo Nacional de Turismo (FONTUR). Este fue establecido como un patrimonio autónomo sin personería jurídica, regido por normas de derecho privado y administrado por la Fiduciaria Colombiana de Comercio Exterior S. A. o por la sociedad fiduciaria que determine el Ministerio de Comercio, Industria y Turismo, de conformidad con los lineamientos que este establezca, en los términos previstos en el artículo 21 de la Ley 1558 de 2012, modificado por el artículo 307 de la Ley 2294 de 2023.</w:t>
      </w:r>
      <w:r w:rsidRPr="00E75F33">
        <w:rPr>
          <w:rFonts w:ascii="Verdana" w:eastAsia="Aptos" w:hAnsi="Verdana" w:cs="Times New Roman"/>
          <w:kern w:val="2"/>
          <w:vertAlign w:val="superscript"/>
          <w14:ligatures w14:val="standardContextual"/>
        </w:rPr>
        <w:footnoteReference w:id="16"/>
      </w:r>
      <w:r w:rsidRPr="00E75F33">
        <w:rPr>
          <w:rFonts w:ascii="Verdana" w:eastAsia="Aptos" w:hAnsi="Verdana" w:cs="Arial"/>
          <w:kern w:val="2"/>
          <w:vertAlign w:val="superscript"/>
          <w14:ligatures w14:val="standardContextual"/>
        </w:rPr>
        <w:t>.</w:t>
      </w:r>
      <w:r w:rsidRPr="00E75F33">
        <w:rPr>
          <w:rFonts w:ascii="Verdana" w:eastAsia="Aptos" w:hAnsi="Verdana" w:cs="Arial"/>
          <w:kern w:val="2"/>
          <w14:ligatures w14:val="standardContextual"/>
        </w:rPr>
        <w:t xml:space="preserve"> Este patrimonio autónomo tiene la función de administrar los recursos señalados en los artículos 1 y 8 de la Ley 1101 de 2006, así como los asignados en el Presupuesto General de la Nación para la infraestructura turística, promoción y la competitividad turística, el recaudo del impuesto 01 turismo, la contribución parafiscal para la promoción del turismo y las demás fuentes de recursos que señale la ley.</w:t>
      </w:r>
    </w:p>
    <w:p w14:paraId="4C86A3DE" w14:textId="77777777" w:rsidR="00E75F33" w:rsidRPr="00E75F33" w:rsidRDefault="00E75F33" w:rsidP="00E75F33">
      <w:pPr>
        <w:spacing w:after="0" w:line="276" w:lineRule="auto"/>
        <w:ind w:firstLine="709"/>
        <w:jc w:val="both"/>
        <w:rPr>
          <w:rFonts w:ascii="Verdana" w:eastAsia="Times New Roman" w:hAnsi="Verdana" w:cs="Arial"/>
          <w:lang w:val="es-ES" w:eastAsia="es-CO"/>
        </w:rPr>
      </w:pPr>
    </w:p>
    <w:p w14:paraId="644950C4" w14:textId="77777777" w:rsidR="00E75F33" w:rsidRPr="00E75F33" w:rsidRDefault="00E75F33" w:rsidP="00E75F33">
      <w:pPr>
        <w:tabs>
          <w:tab w:val="left" w:pos="0"/>
        </w:tabs>
        <w:spacing w:after="120" w:line="276" w:lineRule="auto"/>
        <w:jc w:val="both"/>
        <w:rPr>
          <w:rFonts w:ascii="Verdana" w:eastAsia="Times New Roman" w:hAnsi="Verdana" w:cs="Arial"/>
          <w:i/>
          <w:iCs/>
          <w:lang w:val="es-ES" w:eastAsia="es-ES"/>
        </w:rPr>
      </w:pPr>
      <w:proofErr w:type="spellStart"/>
      <w:r w:rsidRPr="00E75F33">
        <w:rPr>
          <w:rFonts w:ascii="Verdana" w:eastAsia="Times New Roman" w:hAnsi="Verdana" w:cs="Arial"/>
          <w:lang w:val="es-ES" w:eastAsia="es-CO"/>
        </w:rPr>
        <w:t>iii</w:t>
      </w:r>
      <w:proofErr w:type="spellEnd"/>
      <w:r w:rsidRPr="00E75F33">
        <w:rPr>
          <w:rFonts w:ascii="Verdana" w:eastAsia="Times New Roman" w:hAnsi="Verdana" w:cs="Arial"/>
          <w:lang w:val="es-ES" w:eastAsia="es-CO"/>
        </w:rPr>
        <w:t xml:space="preserve">. </w:t>
      </w:r>
      <w:r w:rsidRPr="00E75F33">
        <w:rPr>
          <w:rFonts w:ascii="Verdana" w:eastAsia="Calibri" w:hAnsi="Verdana" w:cs="Arial"/>
          <w:color w:val="000000"/>
          <w:lang w:val="es-ES" w:eastAsia="es-CO"/>
        </w:rPr>
        <w:t xml:space="preserve">Ahora bien, en la medida que, en la consulta </w:t>
      </w:r>
      <w:r w:rsidRPr="00E75F33">
        <w:rPr>
          <w:rFonts w:ascii="Verdana" w:eastAsia="Times New Roman" w:hAnsi="Verdana" w:cs="Arial"/>
          <w:lang w:val="es-ES" w:eastAsia="es-ES"/>
        </w:rPr>
        <w:t xml:space="preserve">realizada por Usted, trata de si los patrimonios autónomos, particularmente el </w:t>
      </w:r>
      <w:r w:rsidRPr="00E75F33">
        <w:rPr>
          <w:rFonts w:ascii="Verdana" w:eastAsia="Aptos" w:hAnsi="Verdana" w:cs="Arial"/>
          <w:kern w:val="2"/>
          <w14:ligatures w14:val="standardContextual"/>
        </w:rPr>
        <w:t>Fondo Nacional de Turismo (FONTUR)</w:t>
      </w:r>
      <w:r w:rsidRPr="00E75F33">
        <w:rPr>
          <w:rFonts w:ascii="Verdana" w:eastAsia="Times New Roman" w:hAnsi="Verdana" w:cs="Arial"/>
          <w:lang w:val="es-ES" w:eastAsia="es-ES"/>
        </w:rPr>
        <w:t xml:space="preserve">, les es aplicable o no los pliegos tipo adoptados por la Agencia Nacional de Contratación Pública – Colombia Compra Eficiente para los objetos contractuales que sean cobijados por aquellos. Sobre el particular le indicamos que, las resoluciones  </w:t>
      </w:r>
      <w:r w:rsidRPr="00E75F33">
        <w:rPr>
          <w:rFonts w:ascii="Verdana" w:eastAsia="Aptos" w:hAnsi="Verdana" w:cs="Times New Roman"/>
          <w:lang w:eastAsia="es-MX"/>
        </w:rPr>
        <w:t xml:space="preserve">539, 540 y 541 del 21 de agosto de 2025, así como las Resoluciones 952 y 953 del 15 de diciembre de 2025, adoptadas en el sector de </w:t>
      </w:r>
      <w:r w:rsidRPr="00E75F33">
        <w:rPr>
          <w:rFonts w:ascii="Verdana" w:eastAsia="Aptos" w:hAnsi="Verdana" w:cs="Times New Roman"/>
          <w:lang w:eastAsia="es-MX"/>
        </w:rPr>
        <w:lastRenderedPageBreak/>
        <w:t>infraestructura social, que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75F33">
        <w:rPr>
          <w:rFonts w:ascii="Verdana" w:eastAsia="Calibri" w:hAnsi="Verdana" w:cs="Arial"/>
          <w:vertAlign w:val="superscript"/>
          <w:lang w:eastAsia="es-MX"/>
        </w:rPr>
        <w:footnoteReference w:id="17"/>
      </w:r>
      <w:r w:rsidRPr="00E75F33">
        <w:rPr>
          <w:rFonts w:ascii="Verdana" w:eastAsia="Calibri" w:hAnsi="Verdana" w:cs="Arial"/>
          <w:lang w:eastAsia="es-MX"/>
        </w:rPr>
        <w:t xml:space="preserve">, en el </w:t>
      </w:r>
      <w:r w:rsidRPr="00E75F33">
        <w:rPr>
          <w:rFonts w:ascii="Verdana" w:eastAsia="Calibri" w:hAnsi="Verdana" w:cs="Arial"/>
          <w:lang w:eastAsia="es-MX"/>
        </w:rPr>
        <w:lastRenderedPageBreak/>
        <w:t>artículo 3 disponen que</w:t>
      </w:r>
      <w:r w:rsidRPr="00E75F33">
        <w:rPr>
          <w:rFonts w:ascii="Verdana" w:eastAsia="Times New Roman" w:hAnsi="Verdana" w:cs="Arial"/>
          <w:i/>
          <w:iCs/>
          <w:lang w:val="es-ES" w:eastAsia="es-ES"/>
        </w:rPr>
        <w:t xml:space="preserve"> “(…)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6BAC563A" w14:textId="77777777" w:rsidR="00E75F33" w:rsidRPr="00E75F33" w:rsidRDefault="00E75F33" w:rsidP="00E75F33">
      <w:pPr>
        <w:spacing w:after="0" w:line="276" w:lineRule="auto"/>
        <w:ind w:firstLine="708"/>
        <w:jc w:val="both"/>
        <w:rPr>
          <w:rFonts w:ascii="Verdana" w:eastAsia="Aptos" w:hAnsi="Verdana" w:cs="Times New Roman"/>
          <w:kern w:val="2"/>
          <w:sz w:val="18"/>
          <w:szCs w:val="18"/>
          <w14:ligatures w14:val="standardContextual"/>
        </w:rPr>
      </w:pPr>
      <w:r w:rsidRPr="00E75F33">
        <w:rPr>
          <w:rFonts w:ascii="Verdana" w:eastAsia="Aptos" w:hAnsi="Verdana" w:cs="Times New Roman"/>
          <w:kern w:val="2"/>
          <w14:ligatures w14:val="standardContextual"/>
        </w:rPr>
        <w:t>De igual forma, debe señalarse que lo dispuesto en el párrafo precedente también se encuentra previsto en las resoluciones expedidas en el sector transporte mediante las cuales se adoptaron documentos tipo. Por ejemplo, dicha disposición está contenida en el artículo 3 de las Resoluciones 726, 725, 464, 463 y 456 de 2024</w:t>
      </w:r>
      <w:r w:rsidRPr="00E75F33">
        <w:rPr>
          <w:rFonts w:ascii="Verdana" w:eastAsia="Calibri" w:hAnsi="Verdana" w:cs="Arial"/>
          <w:bCs/>
          <w:kern w:val="2"/>
          <w:sz w:val="18"/>
          <w:szCs w:val="18"/>
          <w:vertAlign w:val="superscript"/>
          <w14:ligatures w14:val="standardContextual"/>
        </w:rPr>
        <w:footnoteReference w:id="18"/>
      </w:r>
      <w:r w:rsidRPr="00E75F33">
        <w:rPr>
          <w:rFonts w:ascii="Verdana" w:eastAsia="Calibri" w:hAnsi="Verdana" w:cs="Arial"/>
          <w:bCs/>
          <w:kern w:val="2"/>
          <w:sz w:val="18"/>
          <w:szCs w:val="18"/>
          <w14:ligatures w14:val="standardContextual"/>
        </w:rPr>
        <w:t>.</w:t>
      </w:r>
    </w:p>
    <w:p w14:paraId="4D74E5E8"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i/>
          <w:iCs/>
          <w:lang w:val="es-ES" w:eastAsia="es-ES"/>
        </w:rPr>
        <w:tab/>
      </w:r>
      <w:r w:rsidRPr="00E75F33">
        <w:rPr>
          <w:rFonts w:ascii="Verdana" w:eastAsia="Times New Roman" w:hAnsi="Verdana" w:cs="Arial"/>
          <w:lang w:val="es-ES" w:eastAsia="es-ES"/>
        </w:rPr>
        <w:t xml:space="preserve">En efecto, el artículo 3 de las resoluciones señaladas, reconoce que los documentos tipo pueden resultar obligatorios no solo para las entidades sometidas al Estatuto General de Contratación de la Administración Pública – EGCAP, sino también para patrimonios autónomos y demás sujetos de derecho público y privado, siempre que exista un mandato legal que imponga dicha </w:t>
      </w:r>
      <w:r w:rsidRPr="00E75F33">
        <w:rPr>
          <w:rFonts w:ascii="Verdana" w:eastAsia="Times New Roman" w:hAnsi="Verdana" w:cs="Arial"/>
          <w:lang w:val="es-ES" w:eastAsia="es-ES"/>
        </w:rPr>
        <w:lastRenderedPageBreak/>
        <w:t xml:space="preserve">obligación. Es así como, la expresión </w:t>
      </w:r>
      <w:r w:rsidRPr="00E75F33">
        <w:rPr>
          <w:rFonts w:ascii="Verdana" w:eastAsia="Times New Roman" w:hAnsi="Verdana" w:cs="Arial"/>
          <w:i/>
          <w:iCs/>
          <w:lang w:val="es-ES" w:eastAsia="es-ES"/>
        </w:rPr>
        <w:t xml:space="preserve">“(…) que por mandato legal estén obligados a su aplicación (…)” </w:t>
      </w:r>
      <w:r w:rsidRPr="00E75F33">
        <w:rPr>
          <w:rFonts w:ascii="Verdana" w:eastAsia="Times New Roman" w:hAnsi="Verdana" w:cs="Arial"/>
          <w:lang w:val="es-ES" w:eastAsia="es-ES"/>
        </w:rPr>
        <w:t>se relaciona directamente con el contenido del artículo 56 de la Ley 2195 de 2022, que como se señaló, amplió el ámbito de aplicación de los documentos tipo y del EGCAP a determinados supuesto que allí se establecen.</w:t>
      </w:r>
    </w:p>
    <w:p w14:paraId="18A4D245"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Así las cosas, de conformidad con el inciso primero del artículo 56 de la Ley 2195 de 2022, cuando una entidad sometida al EGCAP celebre un contrato o convenio interadministrativo o de cualquier índole con un patrimonio autónomo, tendrá que aplicar los documentos tipo, siempre que el objeto contractual corresponda a bienes, obras o servicios cobijados por estos.</w:t>
      </w:r>
    </w:p>
    <w:p w14:paraId="06236481" w14:textId="77777777" w:rsidR="00E75F33" w:rsidRPr="00E75F33" w:rsidRDefault="00E75F33" w:rsidP="00E75F33">
      <w:pPr>
        <w:tabs>
          <w:tab w:val="left" w:pos="0"/>
        </w:tabs>
        <w:spacing w:after="12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 xml:space="preserve">Ahora bien, la aplicación de los documentos tipo en el supuesto señalado no se </w:t>
      </w:r>
      <w:r w:rsidRPr="00E75F33">
        <w:rPr>
          <w:rFonts w:ascii="Verdana" w:eastAsia="Times New Roman" w:hAnsi="Verdana" w:cs="Arial"/>
          <w:kern w:val="2"/>
          <w:lang w:val="es-ES" w:eastAsia="es-ES"/>
          <w14:ligatures w14:val="standardContextual"/>
        </w:rPr>
        <w:t xml:space="preserve">agota </w:t>
      </w:r>
      <w:r w:rsidRPr="00E75F33">
        <w:rPr>
          <w:rFonts w:ascii="Verdana" w:eastAsia="Times New Roman" w:hAnsi="Verdana" w:cs="Arial"/>
          <w:lang w:val="es-ES" w:eastAsia="es-ES"/>
        </w:rPr>
        <w:t xml:space="preserve">en este punto, considerando que, según se desprende del segundo inciso del artículo 56 de la Ley 2195 de 2022, </w:t>
      </w:r>
      <w:r w:rsidRPr="00E75F33">
        <w:rPr>
          <w:rFonts w:ascii="Verdana" w:eastAsia="Times New Roman" w:hAnsi="Verdana" w:cs="Arial"/>
          <w:kern w:val="2"/>
          <w:lang w:val="es-ES" w:eastAsia="es-ES"/>
          <w14:ligatures w14:val="standardContextual"/>
        </w:rPr>
        <w:t>“</w:t>
      </w:r>
      <w:r w:rsidRPr="00E75F33">
        <w:rPr>
          <w:rFonts w:ascii="Verdana" w:eastAsia="Calibri" w:hAnsi="Verdana" w:cs="Arial"/>
          <w:kern w:val="2"/>
          <w:lang w:val="es-ES" w:eastAsia="es-ES"/>
          <w14:ligatures w14:val="standardContextual"/>
        </w:rPr>
        <w:t xml:space="preserve">los procedimientos de selección y contratos que realicen en desarrollo de los anteriores negocios jurídicos”, a los que se refiere el primer inciso, en los que, además de la aplicación de los documentos tipo, se dispone la aplicación del estatuto general de contratación de la administración pública – EGCAP. </w:t>
      </w:r>
    </w:p>
    <w:p w14:paraId="16D36EA0" w14:textId="77777777" w:rsidR="00E75F33" w:rsidRPr="00E75F33" w:rsidRDefault="00E75F33" w:rsidP="00E75F33">
      <w:pPr>
        <w:tabs>
          <w:tab w:val="left" w:pos="0"/>
        </w:tabs>
        <w:spacing w:after="0" w:line="276" w:lineRule="auto"/>
        <w:jc w:val="both"/>
        <w:rPr>
          <w:rFonts w:ascii="Verdana" w:eastAsia="Times New Roman" w:hAnsi="Verdana" w:cs="Arial"/>
          <w:lang w:val="es-ES" w:eastAsia="es-ES"/>
        </w:rPr>
      </w:pPr>
      <w:r w:rsidRPr="00E75F33">
        <w:rPr>
          <w:rFonts w:ascii="Verdana" w:eastAsia="Times New Roman" w:hAnsi="Verdana" w:cs="Arial"/>
          <w:lang w:val="es-ES" w:eastAsia="es-ES"/>
        </w:rPr>
        <w:tab/>
        <w:t>Esto significa que, el patrimonio autónomo en virtud de lo dispuesto en los incisos primero y segundo del artículo 56, si debe contratar bienes, obras o servicios en cumplimiento de un contrato o convenio interadministrativo o de cualquier otra índole celebrado con una entidad estatal sometida a la Ley 80 de 1993, deberán adelantar el correspondiente procedimiento de selección y celebrar el respectivo contrato aplicando los documentos tipo –siempre que existan en el sector– y las disposiciones del EGCAP.</w:t>
      </w:r>
    </w:p>
    <w:p w14:paraId="4847A7B9" w14:textId="77777777" w:rsidR="00E75F33" w:rsidRPr="00E75F33" w:rsidRDefault="00E75F33" w:rsidP="00E75F33">
      <w:pPr>
        <w:tabs>
          <w:tab w:val="left" w:pos="0"/>
        </w:tabs>
        <w:spacing w:after="0" w:line="276" w:lineRule="auto"/>
        <w:jc w:val="both"/>
        <w:rPr>
          <w:rFonts w:ascii="Verdana" w:eastAsia="Aptos" w:hAnsi="Verdana" w:cs="Times New Roman"/>
          <w:kern w:val="2"/>
          <w14:ligatures w14:val="standardContextual"/>
        </w:rPr>
      </w:pPr>
      <w:r w:rsidRPr="00E75F33">
        <w:rPr>
          <w:rFonts w:ascii="Verdana" w:eastAsia="Times New Roman" w:hAnsi="Verdana" w:cs="Arial"/>
          <w:lang w:val="es-ES" w:eastAsia="es-ES"/>
        </w:rPr>
        <w:tab/>
      </w:r>
    </w:p>
    <w:bookmarkEnd w:id="2"/>
    <w:bookmarkEnd w:id="3"/>
    <w:p w14:paraId="7FFA3580" w14:textId="77777777" w:rsidR="00E75F33" w:rsidRPr="00E75F33" w:rsidRDefault="00E75F33" w:rsidP="00E75F33">
      <w:pPr>
        <w:spacing w:after="120" w:line="276" w:lineRule="auto"/>
        <w:jc w:val="both"/>
        <w:rPr>
          <w:rFonts w:ascii="Verdana" w:eastAsia="Times New Roman" w:hAnsi="Verdana" w:cs="Times New Roman"/>
          <w:lang w:eastAsia="es-MX"/>
        </w:rPr>
      </w:pPr>
      <w:r w:rsidRPr="00E75F33">
        <w:rPr>
          <w:rFonts w:ascii="Verdana" w:eastAsia="Calibri" w:hAnsi="Verdana" w:cs="Arial"/>
          <w:lang w:eastAsia="es-MX"/>
        </w:rPr>
        <w:t xml:space="preserve">v. </w:t>
      </w:r>
      <w:r w:rsidRPr="00E75F33">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E372C6" w14:textId="77777777" w:rsidR="00E75F33" w:rsidRPr="00E75F33" w:rsidRDefault="00E75F33" w:rsidP="00E75F33">
      <w:pPr>
        <w:spacing w:after="0" w:line="276" w:lineRule="auto"/>
        <w:ind w:firstLine="708"/>
        <w:jc w:val="both"/>
        <w:rPr>
          <w:rFonts w:ascii="Verdana" w:eastAsia="Calibri" w:hAnsi="Verdana" w:cs="Arial"/>
          <w:bCs/>
          <w:color w:val="000000"/>
          <w:lang w:eastAsia="es-MX"/>
        </w:rPr>
      </w:pPr>
      <w:r w:rsidRPr="00E75F33">
        <w:rPr>
          <w:rFonts w:ascii="Verdana" w:eastAsia="Calibri" w:hAnsi="Verdana" w:cs="Arial"/>
          <w:bCs/>
          <w:color w:val="000000"/>
          <w:lang w:eastAsia="es-MX"/>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CB6F8C2" w14:textId="77777777" w:rsidR="00E75F33" w:rsidRPr="00E75F33" w:rsidRDefault="00E75F33" w:rsidP="00E75F33">
      <w:pPr>
        <w:spacing w:after="0" w:line="276" w:lineRule="auto"/>
        <w:jc w:val="both"/>
        <w:rPr>
          <w:rFonts w:ascii="Verdana" w:eastAsia="Calibri" w:hAnsi="Verdana" w:cs="Times New Roman"/>
          <w:lang w:eastAsia="es-MX"/>
        </w:rPr>
      </w:pPr>
    </w:p>
    <w:p w14:paraId="12721AB9" w14:textId="77777777" w:rsidR="00E75F33" w:rsidRPr="00E75F33" w:rsidRDefault="00E75F33" w:rsidP="00E75F33">
      <w:pPr>
        <w:tabs>
          <w:tab w:val="left" w:pos="142"/>
          <w:tab w:val="left" w:pos="284"/>
        </w:tabs>
        <w:spacing w:after="0" w:line="276" w:lineRule="auto"/>
        <w:jc w:val="both"/>
        <w:rPr>
          <w:rFonts w:ascii="Verdana" w:eastAsia="Century Gothic" w:hAnsi="Verdana" w:cs="Century Gothic"/>
          <w:b/>
          <w:bCs/>
          <w:lang w:val="es-ES_tradnl" w:eastAsia="es-MX"/>
        </w:rPr>
      </w:pPr>
      <w:r w:rsidRPr="00E75F33">
        <w:rPr>
          <w:rFonts w:ascii="Verdana" w:eastAsia="Century Gothic" w:hAnsi="Verdana" w:cs="Century Gothic"/>
          <w:b/>
          <w:bCs/>
          <w:lang w:val="es-ES_tradnl" w:eastAsia="es-MX"/>
        </w:rPr>
        <w:t>4. Referencias normativas, jurisprudenciales y otras fuentes:</w:t>
      </w:r>
    </w:p>
    <w:p w14:paraId="3E77E26E" w14:textId="77777777" w:rsidR="00E75F33" w:rsidRPr="00E75F33" w:rsidRDefault="00E75F33" w:rsidP="00E75F33">
      <w:pPr>
        <w:spacing w:after="0"/>
        <w:ind w:left="-15840"/>
        <w:jc w:val="both"/>
        <w:rPr>
          <w:rFonts w:ascii="Verdana" w:eastAsia="Calibri" w:hAnsi="Verdana" w:cs="Arial"/>
          <w:b/>
          <w:bCs/>
          <w:lang w:eastAsia="es-MX"/>
        </w:rPr>
      </w:pPr>
      <w:r w:rsidRPr="00E75F33">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75F33" w:rsidRPr="00E75F33" w14:paraId="03871BE5" w14:textId="77777777" w:rsidTr="00A46F1D">
        <w:trPr>
          <w:trHeight w:val="297"/>
        </w:trPr>
        <w:tc>
          <w:tcPr>
            <w:tcW w:w="8647" w:type="dxa"/>
            <w:tcBorders>
              <w:top w:val="dotted" w:sz="4" w:space="0" w:color="auto"/>
              <w:left w:val="dotted" w:sz="4" w:space="0" w:color="auto"/>
              <w:bottom w:val="dotted" w:sz="4" w:space="0" w:color="auto"/>
              <w:right w:val="dotted" w:sz="4" w:space="0" w:color="auto"/>
            </w:tcBorders>
          </w:tcPr>
          <w:p w14:paraId="18366AC8" w14:textId="77777777" w:rsidR="00E75F33" w:rsidRPr="00E75F33" w:rsidRDefault="00E75F33" w:rsidP="00E75F33">
            <w:pPr>
              <w:widowControl w:val="0"/>
              <w:numPr>
                <w:ilvl w:val="0"/>
                <w:numId w:val="16"/>
              </w:numPr>
              <w:autoSpaceDE w:val="0"/>
              <w:autoSpaceDN w:val="0"/>
              <w:spacing w:line="276" w:lineRule="auto"/>
              <w:contextualSpacing/>
              <w:jc w:val="both"/>
              <w:rPr>
                <w:rFonts w:ascii="Verdana" w:eastAsia="Aptos" w:hAnsi="Verdana" w:cs="Arial"/>
              </w:rPr>
            </w:pPr>
            <w:r w:rsidRPr="00E75F33">
              <w:rPr>
                <w:rFonts w:ascii="Verdana" w:eastAsia="Aptos" w:hAnsi="Verdana" w:cs="Arial"/>
              </w:rPr>
              <w:t xml:space="preserve">Ley 2022 de 202 – artículo 1. </w:t>
            </w:r>
          </w:p>
          <w:p w14:paraId="7AAB45CE" w14:textId="77777777" w:rsidR="00E75F33" w:rsidRPr="00E75F33" w:rsidRDefault="00E75F33" w:rsidP="00E75F33">
            <w:pPr>
              <w:widowControl w:val="0"/>
              <w:numPr>
                <w:ilvl w:val="0"/>
                <w:numId w:val="16"/>
              </w:numPr>
              <w:autoSpaceDE w:val="0"/>
              <w:autoSpaceDN w:val="0"/>
              <w:spacing w:line="276" w:lineRule="auto"/>
              <w:contextualSpacing/>
              <w:jc w:val="both"/>
              <w:rPr>
                <w:rFonts w:ascii="Verdana" w:eastAsia="Aptos" w:hAnsi="Verdana" w:cs="Arial"/>
              </w:rPr>
            </w:pPr>
            <w:r w:rsidRPr="00E75F33">
              <w:rPr>
                <w:rFonts w:ascii="Verdana" w:eastAsia="Aptos" w:hAnsi="Verdana" w:cs="Arial"/>
              </w:rPr>
              <w:t xml:space="preserve">Ley 1150 de 2007 - </w:t>
            </w:r>
            <w:r w:rsidRPr="00E75F33">
              <w:rPr>
                <w:rFonts w:ascii="Verdana" w:eastAsia="Calibri" w:hAnsi="Verdana" w:cs="Arial"/>
                <w:lang w:val="es-ES" w:eastAsia="es-ES"/>
              </w:rPr>
              <w:t>literal c, numeral 4, del artículo 2,</w:t>
            </w:r>
          </w:p>
          <w:p w14:paraId="17A1F729"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Ley 2195 de 2022: Artículo 56.</w:t>
            </w:r>
          </w:p>
          <w:p w14:paraId="3B939505"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Ley 388 de 1997: artículo 36.</w:t>
            </w:r>
          </w:p>
          <w:p w14:paraId="27C8B257"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 xml:space="preserve">Ley 1537 de 2012: artículo 6. </w:t>
            </w:r>
          </w:p>
          <w:p w14:paraId="596E7F0F"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color w:val="000000"/>
              </w:rPr>
              <w:t xml:space="preserve">CONGRESO DE LA REPÚBLICA. Gaceta </w:t>
            </w:r>
            <w:proofErr w:type="spellStart"/>
            <w:r w:rsidRPr="00E75F33">
              <w:rPr>
                <w:rFonts w:ascii="Verdana" w:eastAsia="Aptos" w:hAnsi="Verdana" w:cs="Arial"/>
                <w:color w:val="000000"/>
              </w:rPr>
              <w:t>Nº</w:t>
            </w:r>
            <w:proofErr w:type="spellEnd"/>
            <w:r w:rsidRPr="00E75F33">
              <w:rPr>
                <w:rFonts w:ascii="Verdana" w:eastAsia="Aptos" w:hAnsi="Verdana" w:cs="Arial"/>
                <w:color w:val="000000"/>
              </w:rPr>
              <w:t xml:space="preserve"> 1677 del 23 de noviembre de 2021</w:t>
            </w:r>
          </w:p>
          <w:p w14:paraId="7F0D38EA"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 xml:space="preserve">Consejo de Estado. Sección Tercera. Sentencia del 6 de julio de 2005. </w:t>
            </w:r>
            <w:proofErr w:type="spellStart"/>
            <w:r w:rsidRPr="00E75F33">
              <w:rPr>
                <w:rFonts w:ascii="Verdana" w:eastAsia="Aptos" w:hAnsi="Verdana" w:cs="Arial"/>
              </w:rPr>
              <w:t>Exp</w:t>
            </w:r>
            <w:proofErr w:type="spellEnd"/>
            <w:r w:rsidRPr="00E75F33">
              <w:rPr>
                <w:rFonts w:ascii="Verdana" w:eastAsia="Aptos" w:hAnsi="Verdana" w:cs="Arial"/>
              </w:rPr>
              <w:t>. No. 11575. C.P. Alier E. Hernández Enríquez</w:t>
            </w:r>
          </w:p>
          <w:p w14:paraId="394D5A60"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 xml:space="preserve">CONSEJO DE ESTADO. Sección Tercera. Subsección A. Sentencia del 3 de marzo de 2021. </w:t>
            </w:r>
            <w:proofErr w:type="spellStart"/>
            <w:r w:rsidRPr="00E75F33">
              <w:rPr>
                <w:rFonts w:ascii="Verdana" w:eastAsia="Aptos" w:hAnsi="Verdana" w:cs="Arial"/>
              </w:rPr>
              <w:t>Exp</w:t>
            </w:r>
            <w:proofErr w:type="spellEnd"/>
            <w:r w:rsidRPr="00E75F33">
              <w:rPr>
                <w:rFonts w:ascii="Verdana" w:eastAsia="Aptos" w:hAnsi="Verdana" w:cs="Arial"/>
              </w:rPr>
              <w:t>. No. 51373. C.P. José Roberto Sáchica Méndez.</w:t>
            </w:r>
          </w:p>
          <w:p w14:paraId="6790E7F8"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 xml:space="preserve">CONSEJO DE ESTADO. Sección Tercera. Subsección B. Sentencia del 12 de octubre de 2011. </w:t>
            </w:r>
            <w:proofErr w:type="spellStart"/>
            <w:r w:rsidRPr="00E75F33">
              <w:rPr>
                <w:rFonts w:ascii="Verdana" w:eastAsia="Aptos" w:hAnsi="Verdana" w:cs="Arial"/>
              </w:rPr>
              <w:t>Exp</w:t>
            </w:r>
            <w:proofErr w:type="spellEnd"/>
            <w:r w:rsidRPr="00E75F33">
              <w:rPr>
                <w:rFonts w:ascii="Verdana" w:eastAsia="Aptos" w:hAnsi="Verdana" w:cs="Arial"/>
              </w:rPr>
              <w:t>. No. 20070. C.P. Danilo Rojas Betancourt.</w:t>
            </w:r>
          </w:p>
          <w:p w14:paraId="3D1FFFCB"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CORTE CONSTITUCIONAL, Sentencia C-382 de 2019, M.P. Alejandro Linares Cantillo.</w:t>
            </w:r>
          </w:p>
          <w:p w14:paraId="0FA4DB67"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MANRIQUE NIETO, Carlos. Fiduciarias, fiducia, encargos fiduciarios y titularización, 1994.</w:t>
            </w:r>
          </w:p>
          <w:p w14:paraId="4281AAED" w14:textId="77777777" w:rsidR="00E75F33" w:rsidRPr="00E75F33" w:rsidRDefault="00E75F33" w:rsidP="00E75F33">
            <w:pPr>
              <w:widowControl w:val="0"/>
              <w:numPr>
                <w:ilvl w:val="0"/>
                <w:numId w:val="16"/>
              </w:numPr>
              <w:autoSpaceDE w:val="0"/>
              <w:autoSpaceDN w:val="0"/>
              <w:spacing w:line="276" w:lineRule="auto"/>
              <w:ind w:left="714" w:hanging="357"/>
              <w:jc w:val="both"/>
              <w:rPr>
                <w:rFonts w:ascii="Verdana" w:eastAsia="Aptos" w:hAnsi="Verdana" w:cs="Arial"/>
              </w:rPr>
            </w:pPr>
            <w:r w:rsidRPr="00E75F33">
              <w:rPr>
                <w:rFonts w:ascii="Verdana" w:eastAsia="Aptos" w:hAnsi="Verdana" w:cs="Arial"/>
              </w:rPr>
              <w:t>RENGIFO GARCÍA, Ernesto. La fiducia mercantil y pública en Colombia, tercera edición 2012.</w:t>
            </w:r>
          </w:p>
        </w:tc>
      </w:tr>
    </w:tbl>
    <w:p w14:paraId="7145D2D7" w14:textId="77777777" w:rsidR="00E75F33" w:rsidRPr="00E75F33" w:rsidRDefault="00E75F33" w:rsidP="00E75F33">
      <w:pPr>
        <w:tabs>
          <w:tab w:val="left" w:pos="142"/>
          <w:tab w:val="left" w:pos="284"/>
        </w:tabs>
        <w:spacing w:after="0" w:line="276" w:lineRule="auto"/>
        <w:jc w:val="both"/>
        <w:rPr>
          <w:rFonts w:ascii="Verdana" w:eastAsia="Calibri" w:hAnsi="Verdana" w:cs="Arial"/>
          <w:lang w:eastAsia="es-MX"/>
        </w:rPr>
      </w:pPr>
    </w:p>
    <w:p w14:paraId="1EB67A38" w14:textId="77777777" w:rsidR="00E75F33" w:rsidRPr="00E75F33" w:rsidRDefault="00E75F33" w:rsidP="00E75F33">
      <w:pPr>
        <w:tabs>
          <w:tab w:val="left" w:pos="142"/>
          <w:tab w:val="left" w:pos="284"/>
        </w:tabs>
        <w:spacing w:after="0" w:line="276" w:lineRule="auto"/>
        <w:jc w:val="both"/>
        <w:rPr>
          <w:rFonts w:ascii="Verdana" w:eastAsia="Century Gothic" w:hAnsi="Verdana" w:cs="Century Gothic"/>
          <w:b/>
          <w:bCs/>
          <w:lang w:val="es-ES" w:eastAsia="es-MX"/>
        </w:rPr>
      </w:pPr>
      <w:r w:rsidRPr="00E75F33">
        <w:rPr>
          <w:rFonts w:ascii="Verdana" w:eastAsia="Calibri" w:hAnsi="Verdana" w:cs="Arial"/>
          <w:b/>
          <w:bCs/>
          <w:lang w:eastAsia="es-MX"/>
        </w:rPr>
        <w:t>5</w:t>
      </w:r>
      <w:r w:rsidRPr="00E75F33">
        <w:rPr>
          <w:rFonts w:ascii="Verdana" w:eastAsia="Calibri" w:hAnsi="Verdana" w:cs="Arial"/>
          <w:lang w:eastAsia="es-MX"/>
        </w:rPr>
        <w:t>.</w:t>
      </w:r>
      <w:r w:rsidRPr="00E75F33">
        <w:rPr>
          <w:rFonts w:ascii="Verdana" w:eastAsia="Century Gothic" w:hAnsi="Verdana" w:cs="Century Gothic"/>
          <w:b/>
          <w:bCs/>
          <w:lang w:val="es-ES" w:eastAsia="es-MX"/>
        </w:rPr>
        <w:t>Doctrina de la Agencia Nacional de Contratación Pública:</w:t>
      </w:r>
    </w:p>
    <w:p w14:paraId="597B7069" w14:textId="77777777" w:rsidR="00E75F33" w:rsidRPr="00E75F33" w:rsidRDefault="00E75F33" w:rsidP="00E75F33">
      <w:pPr>
        <w:widowControl w:val="0"/>
        <w:autoSpaceDE w:val="0"/>
        <w:autoSpaceDN w:val="0"/>
        <w:spacing w:after="0" w:line="276" w:lineRule="auto"/>
        <w:jc w:val="both"/>
        <w:rPr>
          <w:rFonts w:ascii="Verdana" w:eastAsia="Calibri" w:hAnsi="Verdana" w:cs="Arial"/>
          <w:lang w:eastAsia="es-MX"/>
        </w:rPr>
      </w:pPr>
    </w:p>
    <w:p w14:paraId="6F946394" w14:textId="77777777" w:rsidR="00E75F33" w:rsidRPr="00E75F33" w:rsidRDefault="00E75F33" w:rsidP="00E75F33">
      <w:pPr>
        <w:widowControl w:val="0"/>
        <w:autoSpaceDE w:val="0"/>
        <w:autoSpaceDN w:val="0"/>
        <w:spacing w:after="0" w:line="276" w:lineRule="auto"/>
        <w:jc w:val="both"/>
        <w:rPr>
          <w:rFonts w:ascii="Verdana" w:eastAsia="Aptos" w:hAnsi="Verdana" w:cs="Arial"/>
          <w:kern w:val="2"/>
          <w:shd w:val="clear" w:color="auto" w:fill="FFFFFF"/>
          <w14:ligatures w14:val="standardContextual"/>
        </w:rPr>
      </w:pPr>
      <w:r w:rsidRPr="00E75F33">
        <w:rPr>
          <w:rFonts w:ascii="Verdana" w:eastAsia="Calibri" w:hAnsi="Verdana" w:cs="Arial"/>
          <w:kern w:val="2"/>
          <w:lang w:val="es-ES" w:eastAsia="es-ES_tradnl"/>
          <w14:ligatures w14:val="standardContextual"/>
        </w:rPr>
        <w:t xml:space="preserve">La </w:t>
      </w:r>
      <w:r w:rsidRPr="00E75F33">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E75F33">
        <w:rPr>
          <w:rFonts w:ascii="Verdana" w:eastAsia="Aptos" w:hAnsi="Verdana" w:cs="Arial"/>
          <w:kern w:val="2"/>
          <w:shd w:val="clear" w:color="auto" w:fill="FFFFFF"/>
          <w14:ligatures w14:val="standardContextual"/>
        </w:rPr>
        <w:t xml:space="preserve">se ha </w:t>
      </w:r>
      <w:r w:rsidRPr="00E75F33">
        <w:rPr>
          <w:rFonts w:ascii="Verdana" w:eastAsia="Aptos" w:hAnsi="Verdana" w:cs="Arial"/>
          <w:kern w:val="2"/>
          <w:shd w:val="clear" w:color="auto" w:fill="FFFFFF"/>
          <w14:ligatures w14:val="standardContextual"/>
        </w:rPr>
        <w:lastRenderedPageBreak/>
        <w:t>pronunciado sobre el régimen de contratación de las entidades exceptuadas del Estatuto General de Contratación de la Administración Pública, entre otros en los siguientes conceptos: C- 792 del 28 de noviembre de 2024, C-998 del 18 de diciembre de 2024, C- 429 del 13 de mayo de 2025, C-477 del 20 de mayo de 2025, C-1004 del 29 de agosto de 2025, C- 1012 del 4 de septiembre de 2025, C-1224 del 25 de septiembre de 2025, C-1208 del 7 de octubre de 2025, C-1368 del 5 de noviembre de 2025, C-1573 del 5 de diciembre de 2025, C-1605 del 15 de diciembre de 2026, C-1831 del 23 de diciembre de 2025, C-1851 del 21 de enero de 2026 y C-089 del 4 de marzo de 2026.</w:t>
      </w:r>
    </w:p>
    <w:p w14:paraId="2ABD1323" w14:textId="77777777" w:rsidR="00E75F33" w:rsidRPr="00E75F33" w:rsidRDefault="00E75F33" w:rsidP="00E75F33">
      <w:pPr>
        <w:widowControl w:val="0"/>
        <w:autoSpaceDE w:val="0"/>
        <w:autoSpaceDN w:val="0"/>
        <w:spacing w:after="0" w:line="276" w:lineRule="auto"/>
        <w:jc w:val="both"/>
        <w:rPr>
          <w:rFonts w:ascii="Verdana" w:eastAsia="Calibri" w:hAnsi="Verdana" w:cs="Arial"/>
          <w:kern w:val="2"/>
          <w:lang w:eastAsia="es-MX"/>
          <w14:ligatures w14:val="standardContextual"/>
        </w:rPr>
      </w:pPr>
    </w:p>
    <w:p w14:paraId="3293EE9F" w14:textId="77777777" w:rsidR="00E75F33" w:rsidRPr="00E75F33" w:rsidRDefault="00E75F33" w:rsidP="00E75F33">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r w:rsidRPr="00E75F33">
        <w:rPr>
          <w:rFonts w:ascii="Verdana" w:eastAsia="Calibri" w:hAnsi="Verdana" w:cs="Arial"/>
          <w:kern w:val="2"/>
          <w:lang w:val="es-ES" w:eastAsia="es-ES_tradnl"/>
          <w14:ligatures w14:val="standardContextual"/>
        </w:rPr>
        <w:t xml:space="preserve">La </w:t>
      </w:r>
      <w:r w:rsidRPr="00E75F33">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E75F33">
        <w:rPr>
          <w:rFonts w:ascii="Verdana" w:eastAsia="Times New Roman" w:hAnsi="Verdana" w:cs="Arial"/>
          <w:kern w:val="2"/>
          <w:lang w:val="es-ES_tradnl" w:eastAsia="es-ES_tradnl"/>
          <w14:ligatures w14:val="standardContextual"/>
        </w:rPr>
        <w:t xml:space="preserve">se ha pronunciado sobre </w:t>
      </w:r>
      <w:r w:rsidRPr="00E75F33">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se desarrolló y complementó los conceptos </w:t>
      </w:r>
      <w:r w:rsidRPr="00E75F33">
        <w:rPr>
          <w:rFonts w:ascii="Verdana" w:eastAsia="Aptos" w:hAnsi="Verdana" w:cs="Times New Roman"/>
          <w:kern w:val="2"/>
          <w14:ligatures w14:val="standardContextual"/>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2025,CU-870 del 13 de agosto de 2026, C-246 del 12 de marzo de 2026, C-464 del 5 de mayo de 2026 y C-488 del 18 de junio de 2026. </w:t>
      </w:r>
    </w:p>
    <w:p w14:paraId="7036197C" w14:textId="77777777" w:rsidR="00E75F33" w:rsidRPr="00E75F33" w:rsidRDefault="00E75F33" w:rsidP="00E75F33">
      <w:pPr>
        <w:spacing w:after="0" w:line="240" w:lineRule="auto"/>
        <w:jc w:val="both"/>
        <w:rPr>
          <w:rFonts w:ascii="Verdana" w:eastAsia="Calibri" w:hAnsi="Verdana" w:cs="Arial"/>
          <w:color w:val="000000"/>
          <w:shd w:val="clear" w:color="auto" w:fill="FFFFFF"/>
          <w:lang w:eastAsia="es-MX"/>
        </w:rPr>
      </w:pPr>
    </w:p>
    <w:p w14:paraId="667C8E13" w14:textId="77777777" w:rsidR="00E75F33" w:rsidRPr="00E75F33" w:rsidRDefault="00E75F33" w:rsidP="00E75F3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75F33">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E75F33">
          <w:rPr>
            <w:rFonts w:ascii="Verdana" w:eastAsia="Calibri" w:hAnsi="Verdana" w:cs="Arial"/>
            <w:color w:val="0000FF"/>
            <w:u w:val="single"/>
            <w:shd w:val="clear" w:color="auto" w:fill="FFFFFF"/>
            <w:lang w:eastAsia="es-MX"/>
          </w:rPr>
          <w:t>https://relatoria.colombiacompra.gov.co/</w:t>
        </w:r>
      </w:hyperlink>
      <w:r w:rsidRPr="00E75F33">
        <w:rPr>
          <w:rFonts w:ascii="Verdana" w:eastAsia="Calibri" w:hAnsi="Verdana" w:cs="Arial"/>
          <w:color w:val="0000FF"/>
          <w:u w:val="single"/>
          <w:shd w:val="clear" w:color="auto" w:fill="FFFFFF"/>
          <w:lang w:eastAsia="es-MX"/>
        </w:rPr>
        <w:t> .</w:t>
      </w:r>
    </w:p>
    <w:p w14:paraId="53635B9F" w14:textId="77777777" w:rsidR="00E75F33" w:rsidRPr="00E75F33" w:rsidRDefault="00E75F33" w:rsidP="00E75F3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25BED21B" w14:textId="77777777" w:rsidR="00E75F33" w:rsidRPr="00E75F33" w:rsidRDefault="00E75F33" w:rsidP="00E75F33">
      <w:pPr>
        <w:spacing w:after="0" w:line="276" w:lineRule="auto"/>
        <w:jc w:val="both"/>
        <w:rPr>
          <w:rFonts w:ascii="Verdana" w:eastAsia="Times New Roman" w:hAnsi="Verdana" w:cs="Arial"/>
          <w:lang w:eastAsia="es-MX"/>
        </w:rPr>
      </w:pPr>
      <w:r w:rsidRPr="00E75F33">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E75F33">
        <w:rPr>
          <w:rFonts w:ascii="Verdana" w:eastAsia="Times New Roman" w:hAnsi="Verdana" w:cs="Arial"/>
          <w:b/>
          <w:bCs/>
          <w:lang w:eastAsia="es-MX"/>
        </w:rPr>
        <w:t>Curso de Contratación Pública Sostenible y Socialmente Responsable</w:t>
      </w:r>
      <w:r w:rsidRPr="00E75F33">
        <w:rPr>
          <w:rFonts w:ascii="Verdana" w:eastAsia="Times New Roman" w:hAnsi="Verdana" w:cs="Arial"/>
          <w:lang w:eastAsia="es-MX"/>
        </w:rPr>
        <w:t xml:space="preserve">, una herramienta clave para fortalecer las capacidades de todos los compradores públicos, proveedores, servidores públicos y para generar </w:t>
      </w:r>
      <w:r w:rsidRPr="00E75F33">
        <w:rPr>
          <w:rFonts w:ascii="Verdana" w:eastAsia="Times New Roman" w:hAnsi="Verdana" w:cs="Arial"/>
          <w:lang w:eastAsia="es-MX"/>
        </w:rPr>
        <w:lastRenderedPageBreak/>
        <w:t>mayor valor público. Accede al curso y aprende como implementar criterios sociales y ambientales en las diferentes etapas del proceso de contratación:</w:t>
      </w:r>
      <w:r w:rsidRPr="00E75F33">
        <w:rPr>
          <w:rFonts w:ascii="Verdana" w:eastAsia="Times New Roman" w:hAnsi="Verdana" w:cs="Arial"/>
          <w:lang w:eastAsia="es-MX"/>
        </w:rPr>
        <w:br/>
      </w:r>
      <w:hyperlink r:id="rId12" w:tgtFrame="_new" w:history="1">
        <w:r w:rsidRPr="00E75F33">
          <w:rPr>
            <w:rFonts w:ascii="Verdana" w:eastAsia="Times New Roman" w:hAnsi="Verdana" w:cs="Arial"/>
            <w:color w:val="0000FF"/>
            <w:u w:val="single"/>
            <w:lang w:eastAsia="es-MX"/>
          </w:rPr>
          <w:t>https://formacionvirtual.colombiacompra.gov.co/mod/page/view.php?id=3718</w:t>
        </w:r>
      </w:hyperlink>
    </w:p>
    <w:p w14:paraId="248F2C81" w14:textId="77777777" w:rsidR="00E75F33" w:rsidRPr="00E75F33" w:rsidRDefault="00E75F33" w:rsidP="00E75F33">
      <w:pPr>
        <w:spacing w:after="0" w:line="276" w:lineRule="auto"/>
        <w:jc w:val="both"/>
        <w:rPr>
          <w:rFonts w:ascii="Verdana" w:eastAsia="Times New Roman" w:hAnsi="Verdana" w:cs="Arial"/>
          <w:lang w:eastAsia="es-MX"/>
        </w:rPr>
      </w:pPr>
      <w:r w:rsidRPr="00E75F33">
        <w:rPr>
          <w:rFonts w:ascii="Verdana" w:eastAsia="Times New Roman" w:hAnsi="Verdana" w:cs="Arial"/>
          <w:lang w:eastAsia="es-MX"/>
        </w:rPr>
        <w:t xml:space="preserve">De otro lado, te contamos que esta Agencia ha da un paso decisivo en la estandarización y modernización del </w:t>
      </w:r>
      <w:r w:rsidRPr="00E75F33">
        <w:rPr>
          <w:rFonts w:ascii="Verdana" w:eastAsia="Times New Roman" w:hAnsi="Verdana" w:cs="Arial"/>
          <w:b/>
          <w:bCs/>
          <w:lang w:eastAsia="es-MX"/>
        </w:rPr>
        <w:t>sector  social</w:t>
      </w:r>
      <w:r w:rsidRPr="00E75F33">
        <w:rPr>
          <w:rFonts w:ascii="Verdana" w:eastAsia="Times New Roman" w:hAnsi="Verdana" w:cs="Arial"/>
          <w:lang w:eastAsia="es-MX"/>
        </w:rPr>
        <w:t xml:space="preserve"> con la expedición de las </w:t>
      </w:r>
      <w:r w:rsidRPr="00E75F33">
        <w:rPr>
          <w:rFonts w:ascii="Verdana" w:eastAsia="Times New Roman" w:hAnsi="Verdana" w:cs="Arial"/>
          <w:b/>
          <w:bCs/>
          <w:lang w:eastAsia="es-MX"/>
        </w:rPr>
        <w:t>Resoluciones 539, 540, 541, 952 y 953 de 2025</w:t>
      </w:r>
      <w:r w:rsidRPr="00E75F33">
        <w:rPr>
          <w:rFonts w:ascii="Verdana" w:eastAsia="Times New Roman" w:hAnsi="Verdana" w:cs="Arial"/>
          <w:lang w:eastAsia="es-MX"/>
        </w:rPr>
        <w:t xml:space="preserve">, </w:t>
      </w:r>
      <w:r w:rsidRPr="00E75F33">
        <w:rPr>
          <w:rFonts w:ascii="Verdana" w:eastAsia="Times New Roman" w:hAnsi="Verdana" w:cs="Arial"/>
          <w:b/>
          <w:bCs/>
          <w:lang w:eastAsia="es-MX"/>
        </w:rPr>
        <w:t>mediante las cuales adoptó Documentos Tipo</w:t>
      </w:r>
      <w:r w:rsidRPr="00E75F33">
        <w:rPr>
          <w:rFonts w:ascii="Verdana" w:eastAsia="Times New Roman" w:hAnsi="Verdana" w:cs="Arial"/>
          <w:lang w:eastAsia="es-MX"/>
        </w:rPr>
        <w:t xml:space="preserve"> para las modalidades de selección de</w:t>
      </w:r>
      <w:r w:rsidRPr="00E75F33">
        <w:rPr>
          <w:rFonts w:ascii="Verdana" w:eastAsia="Times New Roman" w:hAnsi="Verdana" w:cs="Arial"/>
          <w:b/>
          <w:bCs/>
          <w:lang w:eastAsia="es-MX"/>
        </w:rPr>
        <w:t xml:space="preserve"> licitación pública (versión 2), selección abreviada de menor cuantía, mínima cuantía, consultoría e interventoría</w:t>
      </w:r>
      <w:r w:rsidRPr="00E75F33">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E75F33">
          <w:rPr>
            <w:rFonts w:ascii="Verdana" w:eastAsia="Times New Roman" w:hAnsi="Verdana" w:cs="Arial"/>
            <w:color w:val="0000FF"/>
            <w:u w:val="single"/>
            <w:lang w:eastAsia="es-MX"/>
          </w:rPr>
          <w:t>https://www.colombiacompra.gov.co/normativa-y-relatoria/documentos-tipo</w:t>
        </w:r>
      </w:hyperlink>
    </w:p>
    <w:p w14:paraId="23AB0A69" w14:textId="77777777" w:rsidR="00E75F33" w:rsidRPr="00E75F33" w:rsidRDefault="00E75F33" w:rsidP="00E75F33">
      <w:pPr>
        <w:spacing w:after="0" w:line="276" w:lineRule="auto"/>
        <w:jc w:val="both"/>
        <w:rPr>
          <w:rFonts w:ascii="Verdana" w:eastAsia="Times New Roman" w:hAnsi="Verdana" w:cs="Arial"/>
          <w:lang w:eastAsia="es-MX"/>
        </w:rPr>
      </w:pPr>
    </w:p>
    <w:p w14:paraId="73BB24CD" w14:textId="77777777" w:rsidR="00E75F33" w:rsidRPr="00E75F33" w:rsidRDefault="00E75F33" w:rsidP="00E75F33">
      <w:pPr>
        <w:spacing w:after="0" w:line="276" w:lineRule="auto"/>
        <w:jc w:val="both"/>
        <w:rPr>
          <w:rFonts w:ascii="Verdana" w:eastAsia="Times New Roman" w:hAnsi="Verdana" w:cs="Arial"/>
          <w:lang w:eastAsia="es-MX"/>
        </w:rPr>
      </w:pPr>
      <w:r w:rsidRPr="00E75F33">
        <w:rPr>
          <w:rFonts w:ascii="Verdana" w:eastAsia="Times New Roman" w:hAnsi="Verdana" w:cs="Arial"/>
          <w:lang w:eastAsia="es-MX"/>
        </w:rPr>
        <w:t xml:space="preserve">Si quieres conocer más sobre la aplicación de Documentos Tipo puedes consultar la última versión de la </w:t>
      </w:r>
      <w:r w:rsidRPr="00E75F33">
        <w:rPr>
          <w:rFonts w:ascii="Verdana" w:eastAsia="Times New Roman" w:hAnsi="Verdana" w:cs="Arial"/>
          <w:b/>
          <w:bCs/>
          <w:lang w:eastAsia="es-MX"/>
        </w:rPr>
        <w:t>Guía para la comprensión e implementación de los Documentos Tipo de obra pública de infraestructura de transporte</w:t>
      </w:r>
      <w:r w:rsidRPr="00E75F33">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75F33">
        <w:rPr>
          <w:rFonts w:ascii="Verdana" w:eastAsia="Times New Roman" w:hAnsi="Verdana" w:cs="Arial"/>
          <w:lang w:eastAsia="es-MX"/>
        </w:rPr>
        <w:br/>
      </w:r>
      <w:hyperlink r:id="rId14" w:tgtFrame="_new" w:history="1">
        <w:r w:rsidRPr="00E75F33">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6D7FB153" w14:textId="77777777" w:rsidR="00E75F33" w:rsidRPr="00E75F33" w:rsidRDefault="00E75F33" w:rsidP="00E75F33">
      <w:pPr>
        <w:spacing w:after="0"/>
        <w:jc w:val="both"/>
        <w:rPr>
          <w:rFonts w:ascii="Verdana" w:eastAsia="Aptos" w:hAnsi="Verdana" w:cs="Times New Roman"/>
          <w:color w:val="212121"/>
          <w:lang w:eastAsia="es-MX"/>
        </w:rPr>
      </w:pPr>
    </w:p>
    <w:p w14:paraId="56C2A9B9" w14:textId="77777777" w:rsidR="00E75F33" w:rsidRPr="00E75F33" w:rsidRDefault="00E75F33" w:rsidP="00E75F33">
      <w:pPr>
        <w:spacing w:after="0" w:line="240" w:lineRule="auto"/>
        <w:jc w:val="both"/>
        <w:rPr>
          <w:rFonts w:ascii="Verdana" w:eastAsia="Calibri" w:hAnsi="Verdana" w:cs="Times New Roman"/>
          <w:lang w:eastAsia="es-MX"/>
        </w:rPr>
      </w:pPr>
      <w:r w:rsidRPr="00E75F33">
        <w:rPr>
          <w:rFonts w:ascii="Verdana" w:eastAsia="Aptos" w:hAnsi="Verdana" w:cs="Times New Roman"/>
          <w:lang w:eastAsia="es-MX"/>
        </w:rPr>
        <w:t xml:space="preserve">Por último, lo invitamos a seguirnos en las redes sociales en las cuales se difunde información institucional: </w:t>
      </w:r>
    </w:p>
    <w:p w14:paraId="04F5FFB1" w14:textId="77777777" w:rsidR="00E75F33" w:rsidRPr="00E75F33" w:rsidRDefault="00E75F33" w:rsidP="00E75F33">
      <w:pPr>
        <w:spacing w:after="0" w:line="240" w:lineRule="auto"/>
        <w:jc w:val="both"/>
        <w:rPr>
          <w:rFonts w:ascii="Verdana" w:eastAsia="Aptos" w:hAnsi="Verdana" w:cs="Times New Roman"/>
          <w:lang w:eastAsia="es-MX"/>
        </w:rPr>
      </w:pPr>
    </w:p>
    <w:p w14:paraId="6C5EE8D6" w14:textId="77777777" w:rsidR="00E75F33" w:rsidRPr="00E75F33" w:rsidRDefault="00E75F33" w:rsidP="00E75F33">
      <w:pPr>
        <w:spacing w:after="0" w:line="240" w:lineRule="auto"/>
        <w:jc w:val="both"/>
        <w:rPr>
          <w:rFonts w:ascii="Verdana" w:eastAsia="Aptos" w:hAnsi="Verdana" w:cs="Times New Roman"/>
          <w:lang w:eastAsia="es-MX"/>
        </w:rPr>
      </w:pPr>
      <w:r w:rsidRPr="00E75F33">
        <w:rPr>
          <w:rFonts w:ascii="Verdana" w:eastAsia="Aptos" w:hAnsi="Verdana" w:cs="Times New Roman"/>
          <w:lang w:eastAsia="es-MX"/>
        </w:rPr>
        <w:t xml:space="preserve">Twitter: </w:t>
      </w:r>
      <w:r w:rsidRPr="00E75F33">
        <w:rPr>
          <w:rFonts w:ascii="Verdana" w:eastAsia="Calibri" w:hAnsi="Verdana" w:cs="Times New Roman"/>
          <w:color w:val="156082"/>
          <w:u w:val="single"/>
          <w:lang w:eastAsia="es-MX"/>
        </w:rPr>
        <w:t>@colombiacompra</w:t>
      </w:r>
      <w:r w:rsidRPr="00E75F33">
        <w:rPr>
          <w:rFonts w:ascii="Verdana" w:eastAsia="Calibri" w:hAnsi="Verdana" w:cs="Times New Roman"/>
          <w:color w:val="156082"/>
          <w:lang w:eastAsia="es-MX"/>
        </w:rPr>
        <w:t xml:space="preserve"> </w:t>
      </w:r>
    </w:p>
    <w:p w14:paraId="10175B26" w14:textId="77777777" w:rsidR="00E75F33" w:rsidRPr="00E75F33" w:rsidRDefault="00E75F33" w:rsidP="00E75F33">
      <w:pPr>
        <w:spacing w:after="0" w:line="240" w:lineRule="auto"/>
        <w:jc w:val="both"/>
        <w:rPr>
          <w:rFonts w:ascii="Verdana" w:eastAsia="Aptos" w:hAnsi="Verdana" w:cs="Times New Roman"/>
          <w:lang w:eastAsia="es-MX"/>
        </w:rPr>
      </w:pPr>
      <w:r w:rsidRPr="00E75F33">
        <w:rPr>
          <w:rFonts w:ascii="Verdana" w:eastAsia="Aptos" w:hAnsi="Verdana" w:cs="Times New Roman"/>
          <w:lang w:eastAsia="es-MX"/>
        </w:rPr>
        <w:t xml:space="preserve">Facebook: </w:t>
      </w:r>
      <w:proofErr w:type="spellStart"/>
      <w:r w:rsidRPr="00E75F33">
        <w:rPr>
          <w:rFonts w:ascii="Verdana" w:eastAsia="Calibri" w:hAnsi="Verdana" w:cs="Times New Roman"/>
          <w:color w:val="156082"/>
          <w:u w:val="single"/>
          <w:lang w:eastAsia="es-MX"/>
        </w:rPr>
        <w:t>ColombiaCompraEficiente</w:t>
      </w:r>
      <w:proofErr w:type="spellEnd"/>
    </w:p>
    <w:p w14:paraId="6B106897" w14:textId="77777777" w:rsidR="00E75F33" w:rsidRPr="00E75F33" w:rsidRDefault="00E75F33" w:rsidP="00E75F33">
      <w:pPr>
        <w:spacing w:after="0" w:line="240" w:lineRule="auto"/>
        <w:jc w:val="both"/>
        <w:rPr>
          <w:rFonts w:ascii="Verdana" w:eastAsia="Aptos" w:hAnsi="Verdana" w:cs="Times New Roman"/>
          <w:lang w:eastAsia="es-MX"/>
        </w:rPr>
      </w:pPr>
      <w:r w:rsidRPr="00E75F33">
        <w:rPr>
          <w:rFonts w:ascii="Verdana" w:eastAsia="Aptos" w:hAnsi="Verdana" w:cs="Times New Roman"/>
          <w:lang w:eastAsia="es-MX"/>
        </w:rPr>
        <w:t xml:space="preserve">LinkedIn: </w:t>
      </w:r>
      <w:r w:rsidRPr="00E75F33">
        <w:rPr>
          <w:rFonts w:ascii="Verdana" w:eastAsia="Calibri" w:hAnsi="Verdana" w:cs="Times New Roman"/>
          <w:color w:val="156082"/>
          <w:u w:val="single"/>
          <w:lang w:eastAsia="es-MX"/>
        </w:rPr>
        <w:t>Agencia Nacional de Contratación Pública - Colombia Compra Eficiente</w:t>
      </w:r>
      <w:r w:rsidRPr="00E75F33">
        <w:rPr>
          <w:rFonts w:ascii="Verdana" w:eastAsia="Calibri" w:hAnsi="Verdana" w:cs="Times New Roman"/>
          <w:color w:val="156082"/>
          <w:lang w:eastAsia="es-MX"/>
        </w:rPr>
        <w:t xml:space="preserve"> </w:t>
      </w:r>
      <w:r w:rsidRPr="00E75F33">
        <w:rPr>
          <w:rFonts w:ascii="Verdana" w:eastAsia="Aptos" w:hAnsi="Verdana" w:cs="Times New Roman"/>
          <w:lang w:eastAsia="es-MX"/>
        </w:rPr>
        <w:t xml:space="preserve">Instagram: </w:t>
      </w:r>
      <w:r w:rsidRPr="00E75F33">
        <w:rPr>
          <w:rFonts w:ascii="Verdana" w:eastAsia="Calibri" w:hAnsi="Verdana" w:cs="Times New Roman"/>
          <w:color w:val="156082"/>
          <w:u w:val="single"/>
          <w:lang w:eastAsia="es-MX"/>
        </w:rPr>
        <w:t>@colombiacompraeficiente_cce</w:t>
      </w:r>
    </w:p>
    <w:p w14:paraId="6F895400" w14:textId="77777777" w:rsidR="00E75F33" w:rsidRPr="00E75F33" w:rsidRDefault="00E75F33" w:rsidP="00E75F33">
      <w:pPr>
        <w:spacing w:after="0" w:line="276" w:lineRule="auto"/>
        <w:jc w:val="both"/>
        <w:rPr>
          <w:rFonts w:ascii="Verdana" w:eastAsia="Aptos" w:hAnsi="Verdana" w:cs="Times New Roman"/>
          <w:lang w:eastAsia="es-MX"/>
        </w:rPr>
      </w:pPr>
    </w:p>
    <w:p w14:paraId="02687A77" w14:textId="77777777" w:rsidR="00E75F33" w:rsidRPr="00E75F33" w:rsidRDefault="00E75F33" w:rsidP="00E75F33">
      <w:pPr>
        <w:spacing w:after="0" w:line="276" w:lineRule="auto"/>
        <w:jc w:val="both"/>
        <w:rPr>
          <w:rFonts w:ascii="Verdana" w:eastAsia="Calibri" w:hAnsi="Verdana" w:cs="Times New Roman"/>
          <w:bCs/>
          <w:lang w:val="es-ES_tradnl" w:eastAsia="es-MX"/>
        </w:rPr>
      </w:pPr>
      <w:r w:rsidRPr="00E75F33">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D2EE172" w14:textId="77777777" w:rsidR="00E75F33" w:rsidRPr="00E75F33" w:rsidRDefault="00E75F33" w:rsidP="00E75F33">
      <w:pPr>
        <w:spacing w:after="0" w:line="276" w:lineRule="auto"/>
        <w:jc w:val="both"/>
        <w:rPr>
          <w:rFonts w:ascii="Verdana" w:eastAsia="Calibri" w:hAnsi="Verdana" w:cs="Times New Roman"/>
          <w:lang w:eastAsia="es-MX"/>
        </w:rPr>
      </w:pPr>
    </w:p>
    <w:p w14:paraId="0A8BD7CB" w14:textId="77777777" w:rsidR="00E75F33" w:rsidRPr="00E75F33" w:rsidRDefault="00E75F33" w:rsidP="00E75F33">
      <w:pPr>
        <w:spacing w:after="0" w:line="276" w:lineRule="auto"/>
        <w:jc w:val="both"/>
        <w:rPr>
          <w:rFonts w:ascii="Verdana" w:eastAsia="Calibri" w:hAnsi="Verdana" w:cs="Times New Roman"/>
          <w:lang w:eastAsia="es-MX"/>
        </w:rPr>
      </w:pPr>
      <w:r w:rsidRPr="00E75F33">
        <w:rPr>
          <w:rFonts w:ascii="Verdana" w:eastAsia="Calibri" w:hAnsi="Verdana" w:cs="Times New Roman"/>
          <w:lang w:eastAsia="es-MX"/>
        </w:rPr>
        <w:t>Atentamente,</w:t>
      </w:r>
    </w:p>
    <w:p w14:paraId="31E23713" w14:textId="77777777" w:rsidR="00E75F33" w:rsidRPr="00E75F33" w:rsidRDefault="00E75F33" w:rsidP="00E75F33">
      <w:pPr>
        <w:tabs>
          <w:tab w:val="left" w:pos="1320"/>
        </w:tabs>
        <w:spacing w:after="0"/>
        <w:jc w:val="center"/>
        <w:rPr>
          <w:rFonts w:ascii="Century Gothic" w:eastAsia="Calibri" w:hAnsi="Century Gothic" w:cs="Times New Roman"/>
          <w:lang w:eastAsia="es-MX"/>
        </w:rPr>
      </w:pPr>
    </w:p>
    <w:p w14:paraId="4E67B3CF" w14:textId="71F12EB3" w:rsidR="00E75F33" w:rsidRPr="00E75F33" w:rsidRDefault="00043618" w:rsidP="00E75F33">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4C996F9B" wp14:editId="355B7157">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553823" cy="1096371"/>
                    </a:xfrm>
                    <a:prstGeom prst="rect">
                      <a:avLst/>
                    </a:prstGeom>
                  </pic:spPr>
                </pic:pic>
              </a:graphicData>
            </a:graphic>
          </wp:inline>
        </w:drawing>
      </w:r>
    </w:p>
    <w:p w14:paraId="7B69F937" w14:textId="77777777" w:rsidR="00E75F33" w:rsidRPr="00E75F33" w:rsidRDefault="00E75F33" w:rsidP="00E75F33">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75F33" w:rsidRPr="00E75F33" w14:paraId="2E642C50" w14:textId="77777777" w:rsidTr="00A46F1D">
        <w:trPr>
          <w:trHeight w:val="323"/>
        </w:trPr>
        <w:tc>
          <w:tcPr>
            <w:tcW w:w="1041" w:type="dxa"/>
            <w:vAlign w:val="center"/>
            <w:hideMark/>
          </w:tcPr>
          <w:p w14:paraId="2B8ABE33" w14:textId="77777777" w:rsidR="00E75F33" w:rsidRPr="00E75F33" w:rsidRDefault="00E75F33" w:rsidP="00E75F33">
            <w:pPr>
              <w:rPr>
                <w:rFonts w:ascii="Verdana" w:eastAsia="Calibri" w:hAnsi="Verdana" w:cs="Arial"/>
                <w:sz w:val="16"/>
                <w:szCs w:val="16"/>
                <w:lang w:val="es-ES_tradnl" w:eastAsia="es-ES"/>
              </w:rPr>
            </w:pPr>
            <w:r w:rsidRPr="00E75F33">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4AF70BD" w14:textId="77777777" w:rsidR="00E75F33" w:rsidRPr="00E75F33" w:rsidRDefault="00E75F33" w:rsidP="00E75F33">
            <w:pPr>
              <w:rPr>
                <w:rFonts w:ascii="Verdana" w:eastAsia="Arial" w:hAnsi="Verdana" w:cs="Arial"/>
                <w:sz w:val="16"/>
                <w:szCs w:val="16"/>
                <w:lang w:val="es-ES" w:eastAsia="es-MX"/>
              </w:rPr>
            </w:pPr>
            <w:r w:rsidRPr="00E75F33">
              <w:rPr>
                <w:rFonts w:ascii="Verdana" w:eastAsia="Arial" w:hAnsi="Verdana" w:cs="Arial"/>
                <w:sz w:val="16"/>
                <w:szCs w:val="16"/>
                <w:lang w:val="es-ES" w:eastAsia="es-MX"/>
              </w:rPr>
              <w:t xml:space="preserve">Carlos Mario Castrillón Endo </w:t>
            </w:r>
          </w:p>
          <w:p w14:paraId="5984BDB4" w14:textId="77777777" w:rsidR="00E75F33" w:rsidRPr="00E75F33" w:rsidRDefault="00E75F33" w:rsidP="00E75F33">
            <w:pPr>
              <w:rPr>
                <w:rFonts w:ascii="Verdana" w:eastAsia="Arial" w:hAnsi="Verdana" w:cs="Arial"/>
                <w:sz w:val="16"/>
                <w:szCs w:val="16"/>
                <w:lang w:val="es-ES_tradnl" w:eastAsia="es-MX"/>
              </w:rPr>
            </w:pPr>
            <w:r w:rsidRPr="00E75F33">
              <w:rPr>
                <w:rFonts w:ascii="Verdana" w:eastAsia="Arial" w:hAnsi="Verdana" w:cs="Arial"/>
                <w:sz w:val="16"/>
                <w:szCs w:val="16"/>
                <w:lang w:val="es-ES_tradnl" w:eastAsia="es-MX"/>
              </w:rPr>
              <w:t>Contratista de la Subdirección de Gestión Contractual</w:t>
            </w:r>
          </w:p>
          <w:p w14:paraId="546E8153" w14:textId="77777777" w:rsidR="00E75F33" w:rsidRPr="00E75F33" w:rsidRDefault="00E75F33" w:rsidP="00E75F33">
            <w:pPr>
              <w:rPr>
                <w:rFonts w:ascii="Verdana" w:eastAsia="Arial" w:hAnsi="Verdana" w:cs="Arial"/>
                <w:sz w:val="16"/>
                <w:szCs w:val="16"/>
                <w:lang w:val="es-ES_tradnl" w:eastAsia="es-MX"/>
              </w:rPr>
            </w:pPr>
          </w:p>
        </w:tc>
      </w:tr>
      <w:tr w:rsidR="00E75F33" w:rsidRPr="00E75F33" w14:paraId="51241143" w14:textId="77777777" w:rsidTr="00A46F1D">
        <w:trPr>
          <w:trHeight w:val="338"/>
        </w:trPr>
        <w:tc>
          <w:tcPr>
            <w:tcW w:w="1041" w:type="dxa"/>
            <w:vAlign w:val="center"/>
            <w:hideMark/>
          </w:tcPr>
          <w:p w14:paraId="5404C6C3" w14:textId="77777777" w:rsidR="00E75F33" w:rsidRPr="00E75F33" w:rsidRDefault="00E75F33" w:rsidP="00E75F33">
            <w:pPr>
              <w:rPr>
                <w:rFonts w:ascii="Verdana" w:eastAsia="Calibri" w:hAnsi="Verdana" w:cs="Arial"/>
                <w:sz w:val="16"/>
                <w:szCs w:val="16"/>
                <w:lang w:val="es-ES_tradnl" w:eastAsia="es-ES"/>
              </w:rPr>
            </w:pPr>
            <w:r w:rsidRPr="00E75F33">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64A0E8A" w14:textId="77777777" w:rsidR="00E75F33" w:rsidRPr="00E75F33" w:rsidRDefault="00E75F33" w:rsidP="00E75F33">
            <w:pPr>
              <w:rPr>
                <w:rFonts w:ascii="Verdana" w:eastAsia="Arial" w:hAnsi="Verdana" w:cs="Arial"/>
                <w:sz w:val="16"/>
                <w:szCs w:val="16"/>
                <w:lang w:val="es-ES" w:eastAsia="es-MX"/>
              </w:rPr>
            </w:pPr>
            <w:r w:rsidRPr="00E75F33">
              <w:rPr>
                <w:rFonts w:ascii="Verdana" w:eastAsia="Arial" w:hAnsi="Verdana" w:cs="Arial"/>
                <w:sz w:val="16"/>
                <w:szCs w:val="16"/>
                <w:lang w:val="es-ES" w:eastAsia="es-MX"/>
              </w:rPr>
              <w:t>Martha Alicia Romero Vargas</w:t>
            </w:r>
          </w:p>
          <w:p w14:paraId="721CACF4" w14:textId="77777777" w:rsidR="00E75F33" w:rsidRPr="00E75F33" w:rsidRDefault="00E75F33" w:rsidP="00E75F33">
            <w:pPr>
              <w:rPr>
                <w:rFonts w:ascii="Verdana" w:eastAsia="Arial" w:hAnsi="Verdana" w:cs="Arial"/>
                <w:sz w:val="16"/>
                <w:szCs w:val="16"/>
                <w:lang w:val="es-ES_tradnl" w:eastAsia="es-MX"/>
              </w:rPr>
            </w:pPr>
            <w:r w:rsidRPr="00E75F33">
              <w:rPr>
                <w:rFonts w:ascii="Verdana" w:eastAsia="Arial" w:hAnsi="Verdana" w:cs="Arial"/>
                <w:sz w:val="16"/>
                <w:szCs w:val="16"/>
                <w:lang w:val="es-ES_tradnl" w:eastAsia="es-MX"/>
              </w:rPr>
              <w:t>Gestor T1-15 de la Subdirección de Gestión Contractual</w:t>
            </w:r>
          </w:p>
        </w:tc>
      </w:tr>
      <w:tr w:rsidR="00E75F33" w:rsidRPr="00E75F33" w14:paraId="2DFF55D0" w14:textId="77777777" w:rsidTr="00A46F1D">
        <w:trPr>
          <w:trHeight w:val="308"/>
        </w:trPr>
        <w:tc>
          <w:tcPr>
            <w:tcW w:w="1041" w:type="dxa"/>
            <w:vAlign w:val="center"/>
          </w:tcPr>
          <w:p w14:paraId="6FB72482" w14:textId="77777777" w:rsidR="00E75F33" w:rsidRPr="00E75F33" w:rsidRDefault="00E75F33" w:rsidP="00E75F33">
            <w:pPr>
              <w:rPr>
                <w:rFonts w:ascii="Verdana" w:eastAsia="Calibri" w:hAnsi="Verdana" w:cs="Arial"/>
                <w:sz w:val="16"/>
                <w:szCs w:val="16"/>
                <w:lang w:val="es-ES_tradnl" w:eastAsia="es-ES"/>
              </w:rPr>
            </w:pPr>
            <w:r w:rsidRPr="00E75F33">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0008204" w14:textId="77777777" w:rsidR="00E75F33" w:rsidRPr="00E75F33" w:rsidRDefault="00E75F33" w:rsidP="00E75F33">
            <w:pPr>
              <w:rPr>
                <w:rFonts w:ascii="Verdana" w:eastAsia="Calibri" w:hAnsi="Verdana" w:cs="Arial"/>
                <w:sz w:val="16"/>
                <w:szCs w:val="16"/>
                <w:lang w:val="es-ES" w:eastAsia="es-ES"/>
              </w:rPr>
            </w:pPr>
            <w:r w:rsidRPr="00E75F33">
              <w:rPr>
                <w:rFonts w:ascii="Verdana" w:eastAsia="Calibri" w:hAnsi="Verdana" w:cs="Arial"/>
                <w:sz w:val="16"/>
                <w:szCs w:val="16"/>
                <w:lang w:val="es-ES" w:eastAsia="es-ES"/>
              </w:rPr>
              <w:t>Carolina Quintero Gacharná</w:t>
            </w:r>
          </w:p>
          <w:p w14:paraId="0E88B7C9" w14:textId="77777777" w:rsidR="00E75F33" w:rsidRPr="00E75F33" w:rsidRDefault="00E75F33" w:rsidP="00E75F33">
            <w:pPr>
              <w:rPr>
                <w:rFonts w:ascii="Verdana" w:eastAsia="Calibri" w:hAnsi="Verdana" w:cs="Arial"/>
                <w:sz w:val="16"/>
                <w:szCs w:val="16"/>
                <w:lang w:val="es-ES_tradnl" w:eastAsia="es-ES"/>
              </w:rPr>
            </w:pPr>
            <w:r w:rsidRPr="00E75F33">
              <w:rPr>
                <w:rFonts w:ascii="Verdana" w:eastAsia="Calibri" w:hAnsi="Verdana" w:cs="Arial"/>
                <w:sz w:val="16"/>
                <w:szCs w:val="16"/>
                <w:lang w:val="es-ES_tradnl" w:eastAsia="es-ES"/>
              </w:rPr>
              <w:t>Subdirectora de Gestión Contractual ANCP – CCE</w:t>
            </w:r>
          </w:p>
        </w:tc>
      </w:tr>
    </w:tbl>
    <w:p w14:paraId="378BE474" w14:textId="77777777" w:rsidR="00E75F33" w:rsidRPr="00E75F33" w:rsidRDefault="00E75F33" w:rsidP="00E75F33">
      <w:pPr>
        <w:spacing w:after="0" w:line="240" w:lineRule="auto"/>
        <w:jc w:val="both"/>
        <w:rPr>
          <w:rFonts w:ascii="Verdana" w:eastAsia="Verdana" w:hAnsi="Verdana" w:cs="Verdana"/>
          <w:b/>
          <w:bCs/>
        </w:rPr>
      </w:pPr>
    </w:p>
    <w:p w14:paraId="69BC4D14" w14:textId="3B18652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20AC" w14:textId="77777777" w:rsidR="00A93570" w:rsidRDefault="00A93570" w:rsidP="004A1847">
      <w:pPr>
        <w:spacing w:after="0" w:line="240" w:lineRule="auto"/>
      </w:pPr>
      <w:r>
        <w:separator/>
      </w:r>
    </w:p>
  </w:endnote>
  <w:endnote w:type="continuationSeparator" w:id="0">
    <w:p w14:paraId="58548D69" w14:textId="77777777" w:rsidR="00A93570" w:rsidRDefault="00A93570" w:rsidP="004A1847">
      <w:pPr>
        <w:spacing w:after="0" w:line="240" w:lineRule="auto"/>
      </w:pPr>
      <w:r>
        <w:continuationSeparator/>
      </w:r>
    </w:p>
  </w:endnote>
  <w:endnote w:type="continuationNotice" w:id="1">
    <w:p w14:paraId="2DBDF93E" w14:textId="77777777" w:rsidR="00A93570" w:rsidRDefault="00A935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E75F33">
      <w:rPr>
        <w:rFonts w:ascii="Verdana" w:eastAsia="Verdana" w:hAnsi="Verdana" w:cs="Verdana"/>
        <w:b/>
        <w:bCs/>
        <w:color w:val="000000"/>
        <w:sz w:val="18"/>
        <w:szCs w:val="18"/>
        <w:lang w:eastAsia="es-CO"/>
      </w:rPr>
      <w:t xml:space="preserve">Código: </w:t>
    </w:r>
    <w:r w:rsidRPr="00E75F33">
      <w:rPr>
        <w:rFonts w:ascii="Verdana" w:eastAsia="Verdana" w:hAnsi="Verdana" w:cs="Verdana"/>
        <w:color w:val="000000"/>
        <w:sz w:val="18"/>
        <w:szCs w:val="18"/>
        <w:lang w:eastAsia="es-CO"/>
      </w:rPr>
      <w:t xml:space="preserve">CCE-REC-FM-17 </w:t>
    </w:r>
    <w:r w:rsidRPr="00E75F33">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85EB" w14:textId="77777777" w:rsidR="00A93570" w:rsidRDefault="00A93570" w:rsidP="004A1847">
      <w:pPr>
        <w:spacing w:after="0" w:line="240" w:lineRule="auto"/>
      </w:pPr>
      <w:r>
        <w:separator/>
      </w:r>
    </w:p>
  </w:footnote>
  <w:footnote w:type="continuationSeparator" w:id="0">
    <w:p w14:paraId="17971354" w14:textId="77777777" w:rsidR="00A93570" w:rsidRDefault="00A93570" w:rsidP="004A1847">
      <w:pPr>
        <w:spacing w:after="0" w:line="240" w:lineRule="auto"/>
      </w:pPr>
      <w:r>
        <w:continuationSeparator/>
      </w:r>
    </w:p>
  </w:footnote>
  <w:footnote w:type="continuationNotice" w:id="1">
    <w:p w14:paraId="71A37D82" w14:textId="77777777" w:rsidR="00A93570" w:rsidRDefault="00A93570">
      <w:pPr>
        <w:spacing w:after="0" w:line="240" w:lineRule="auto"/>
      </w:pPr>
    </w:p>
  </w:footnote>
  <w:footnote w:id="2">
    <w:p w14:paraId="4ADBA280"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Ley 2022 de 2020: “</w:t>
      </w:r>
      <w:r w:rsidRPr="00117C65">
        <w:rPr>
          <w:rStyle w:val="Fuerte"/>
          <w:rFonts w:ascii="Verdana" w:hAnsi="Verdana" w:cs="Arial"/>
          <w:color w:val="000000"/>
          <w:sz w:val="19"/>
          <w:szCs w:val="19"/>
        </w:rPr>
        <w:t xml:space="preserve">Artículo 1º. </w:t>
      </w:r>
      <w:r w:rsidRPr="00117C65">
        <w:rPr>
          <w:rFonts w:ascii="Verdana" w:hAnsi="Verdana" w:cs="Arial"/>
          <w:color w:val="000000"/>
          <w:sz w:val="19"/>
          <w:szCs w:val="19"/>
        </w:rPr>
        <w:t>Modifíquese el artículo 4º de la Ley 1882 de 2018, el cual quedará así:</w:t>
      </w:r>
    </w:p>
    <w:p w14:paraId="66F5D620"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Style w:val="Fuerte"/>
          <w:rFonts w:ascii="Verdana" w:hAnsi="Verdana" w:cs="Arial"/>
          <w:color w:val="000000"/>
          <w:sz w:val="19"/>
          <w:szCs w:val="19"/>
        </w:rPr>
        <w:t xml:space="preserve">“Artículo 4º. </w:t>
      </w:r>
      <w:r w:rsidRPr="00117C65">
        <w:rPr>
          <w:rFonts w:ascii="Verdana" w:hAnsi="Verdana" w:cs="Arial"/>
          <w:color w:val="000000"/>
          <w:sz w:val="19"/>
          <w:szCs w:val="19"/>
        </w:rPr>
        <w:t>Adiciónese el siguiente parágrafo al artículo 2º de la Ley 1150 de 2007.</w:t>
      </w:r>
    </w:p>
    <w:p w14:paraId="002475D3"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Style w:val="Fuerte"/>
          <w:rFonts w:ascii="Verdana" w:hAnsi="Verdana" w:cs="Arial"/>
          <w:color w:val="000000"/>
          <w:sz w:val="19"/>
          <w:szCs w:val="19"/>
        </w:rPr>
        <w:t xml:space="preserve">Parágrafo 7º. </w:t>
      </w:r>
      <w:r w:rsidRPr="00117C65">
        <w:rPr>
          <w:rFonts w:ascii="Verdana" w:hAnsi="Verdana" w:cs="Arial"/>
          <w:color w:val="000000"/>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1C8DE38"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Fonts w:ascii="Verdana" w:hAnsi="Verdana"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201D785"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Fonts w:ascii="Verdana" w:hAnsi="Verdana"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BB5F4F7"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Fonts w:ascii="Verdana" w:hAnsi="Verdana"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E83B07A" w14:textId="77777777" w:rsidR="00E75F33" w:rsidRPr="00117C65" w:rsidRDefault="00E75F33" w:rsidP="00E75F33">
      <w:pPr>
        <w:pStyle w:val="NormalWeb"/>
        <w:spacing w:after="0"/>
        <w:ind w:firstLine="708"/>
        <w:contextualSpacing/>
        <w:jc w:val="both"/>
        <w:rPr>
          <w:rFonts w:ascii="Verdana" w:hAnsi="Verdana" w:cs="Arial"/>
          <w:color w:val="000000"/>
          <w:sz w:val="19"/>
          <w:szCs w:val="19"/>
        </w:rPr>
      </w:pPr>
      <w:r w:rsidRPr="00117C65">
        <w:rPr>
          <w:rFonts w:ascii="Verdana" w:hAnsi="Verdana"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6D15FED3" w14:textId="77777777" w:rsidR="00E75F33" w:rsidRPr="00117C65" w:rsidRDefault="00E75F33" w:rsidP="00E75F33">
      <w:pPr>
        <w:pStyle w:val="Textonotapie"/>
        <w:ind w:firstLine="708"/>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Los Documentos Tipo expedidos por la Agencia Nacional de Contratación Pública – Colombia Compra Eficiente pueden ser consultados en el siguiente enlace: </w:t>
      </w:r>
      <w:hyperlink r:id="rId1" w:history="1">
        <w:r w:rsidRPr="00117C65">
          <w:rPr>
            <w:rStyle w:val="Hipervnculo"/>
            <w:rFonts w:ascii="Verdana" w:hAnsi="Verdana" w:cs="Arial"/>
            <w:color w:val="000000"/>
            <w:sz w:val="19"/>
            <w:szCs w:val="19"/>
          </w:rPr>
          <w:t>https://www.colombiacompra.gov.co/documentos-tipo/documentos-tipo</w:t>
        </w:r>
      </w:hyperlink>
      <w:r w:rsidRPr="00117C65">
        <w:rPr>
          <w:rFonts w:ascii="Verdana" w:hAnsi="Verdana" w:cs="Arial"/>
          <w:color w:val="000000"/>
          <w:sz w:val="19"/>
          <w:szCs w:val="19"/>
        </w:rPr>
        <w:t xml:space="preserve"> </w:t>
      </w:r>
    </w:p>
    <w:p w14:paraId="7FDDE1EE" w14:textId="77777777" w:rsidR="00E75F33" w:rsidRPr="00117C65" w:rsidRDefault="00E75F33" w:rsidP="00E75F33">
      <w:pPr>
        <w:pStyle w:val="Textonotapie"/>
        <w:ind w:firstLine="708"/>
        <w:contextualSpacing/>
        <w:jc w:val="both"/>
        <w:rPr>
          <w:rFonts w:ascii="Verdana" w:hAnsi="Verdana" w:cs="Arial"/>
          <w:color w:val="000000"/>
          <w:sz w:val="19"/>
          <w:szCs w:val="19"/>
        </w:rPr>
      </w:pPr>
    </w:p>
  </w:footnote>
  <w:footnote w:id="4">
    <w:p w14:paraId="7E315C45" w14:textId="77777777" w:rsidR="00E75F33" w:rsidRPr="00117C65" w:rsidRDefault="00E75F33" w:rsidP="00E75F33">
      <w:pPr>
        <w:pStyle w:val="Textonotapie"/>
        <w:ind w:firstLine="708"/>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5">
    <w:p w14:paraId="46ADCA29" w14:textId="77777777" w:rsidR="00E75F33" w:rsidRPr="00117C65" w:rsidRDefault="00E75F33" w:rsidP="00E75F33">
      <w:pPr>
        <w:pStyle w:val="Textonotapie"/>
        <w:ind w:firstLine="709"/>
        <w:jc w:val="both"/>
        <w:rPr>
          <w:rFonts w:ascii="Verdana" w:hAnsi="Verdana"/>
          <w:color w:val="000000"/>
          <w:sz w:val="19"/>
          <w:szCs w:val="19"/>
          <w:lang w:val="es-ES_tradnl"/>
        </w:rPr>
      </w:pPr>
      <w:r w:rsidRPr="00117C65">
        <w:rPr>
          <w:rStyle w:val="Refdenotaalpie"/>
          <w:rFonts w:ascii="Verdana" w:hAnsi="Verdana"/>
          <w:color w:val="000000"/>
          <w:sz w:val="19"/>
          <w:szCs w:val="19"/>
        </w:rPr>
        <w:footnoteRef/>
      </w:r>
      <w:r w:rsidRPr="00117C65">
        <w:rPr>
          <w:rFonts w:ascii="Verdana" w:hAnsi="Verdana"/>
          <w:color w:val="000000"/>
          <w:sz w:val="19"/>
          <w:szCs w:val="19"/>
        </w:rPr>
        <w:t xml:space="preserve"> </w:t>
      </w:r>
      <w:r w:rsidRPr="00117C65">
        <w:rPr>
          <w:rFonts w:ascii="Verdana" w:hAnsi="Verdana"/>
          <w:color w:val="000000"/>
          <w:sz w:val="19"/>
          <w:szCs w:val="19"/>
          <w:lang w:val="es-CO"/>
        </w:rPr>
        <w:t xml:space="preserve">Esta tesis se desarrolló y complementó, entre otros, en los siguientes conceptos </w:t>
      </w:r>
      <w:bookmarkStart w:id="6" w:name="_Hlk205384358"/>
      <w:r w:rsidRPr="00117C65">
        <w:rPr>
          <w:rFonts w:ascii="Verdana" w:hAnsi="Verdana"/>
          <w:color w:val="000000"/>
          <w:sz w:val="19"/>
          <w:szCs w:val="19"/>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6"/>
    </w:p>
  </w:footnote>
  <w:footnote w:id="6">
    <w:p w14:paraId="143173EB" w14:textId="77777777" w:rsidR="00E75F33" w:rsidRPr="00117C65" w:rsidRDefault="00E75F33" w:rsidP="00E75F33">
      <w:pPr>
        <w:pStyle w:val="Textonotapie"/>
        <w:ind w:firstLine="709"/>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CONGRESO DE LA REPÚBLICA. Gaceta Nº 1677 del 23 de noviembre de 2021. Justificación jurídica del Proyecto de Ley No. 226 de 2021 Cámara. p. 15.</w:t>
      </w:r>
      <w:r w:rsidRPr="00117C65">
        <w:rPr>
          <w:rFonts w:ascii="Verdana" w:hAnsi="Verdana" w:cs="Arial"/>
          <w:color w:val="000000"/>
          <w:sz w:val="19"/>
          <w:szCs w:val="19"/>
        </w:rPr>
        <w:cr/>
      </w:r>
    </w:p>
  </w:footnote>
  <w:footnote w:id="7">
    <w:p w14:paraId="4838BCDC" w14:textId="77777777" w:rsidR="00E75F33" w:rsidRPr="00117C65" w:rsidRDefault="00E75F33" w:rsidP="00E75F33">
      <w:pPr>
        <w:pStyle w:val="Textonotapie"/>
        <w:ind w:firstLine="709"/>
        <w:contextualSpacing/>
        <w:jc w:val="both"/>
        <w:rPr>
          <w:rFonts w:ascii="Verdana" w:hAnsi="Verdana" w:cs="Arial"/>
          <w:color w:val="000000"/>
          <w:sz w:val="19"/>
          <w:szCs w:val="19"/>
          <w:lang w:val="es-ES"/>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w:t>
      </w:r>
      <w:r w:rsidRPr="00117C65">
        <w:rPr>
          <w:rFonts w:ascii="Verdana" w:hAnsi="Verdana" w:cs="Arial"/>
          <w:color w:val="000000"/>
          <w:sz w:val="19"/>
          <w:szCs w:val="19"/>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43B2307E" w14:textId="77777777" w:rsidR="00E75F33" w:rsidRPr="00117C65" w:rsidRDefault="00E75F33" w:rsidP="00E75F33">
      <w:pPr>
        <w:pStyle w:val="Textonotapie"/>
        <w:ind w:firstLine="709"/>
        <w:contextualSpacing/>
        <w:jc w:val="both"/>
        <w:rPr>
          <w:rFonts w:ascii="Verdana" w:hAnsi="Verdana" w:cs="Arial"/>
          <w:color w:val="000000"/>
          <w:sz w:val="19"/>
          <w:szCs w:val="19"/>
          <w:lang w:val="es-ES"/>
        </w:rPr>
      </w:pPr>
    </w:p>
  </w:footnote>
  <w:footnote w:id="8">
    <w:p w14:paraId="25FB332F" w14:textId="77777777" w:rsidR="00E75F33" w:rsidRPr="00117C65" w:rsidRDefault="00E75F33" w:rsidP="00E75F33">
      <w:pPr>
        <w:pStyle w:val="Textonotapie"/>
        <w:ind w:firstLine="709"/>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CORTE CONSTITUCIONAL, Sentencia C-382 de 2019, M.P. Alejandro Linares Cantillo.</w:t>
      </w:r>
    </w:p>
    <w:p w14:paraId="30E74AA5" w14:textId="77777777" w:rsidR="00E75F33" w:rsidRPr="00117C65" w:rsidRDefault="00E75F33" w:rsidP="00E75F33">
      <w:pPr>
        <w:pStyle w:val="Textonotapie"/>
        <w:ind w:firstLine="709"/>
        <w:contextualSpacing/>
        <w:jc w:val="both"/>
        <w:rPr>
          <w:rFonts w:ascii="Verdana" w:hAnsi="Verdana" w:cs="Arial"/>
          <w:color w:val="000000"/>
          <w:sz w:val="19"/>
          <w:szCs w:val="19"/>
        </w:rPr>
      </w:pPr>
    </w:p>
  </w:footnote>
  <w:footnote w:id="9">
    <w:p w14:paraId="34277B1A" w14:textId="77777777" w:rsidR="00E75F33" w:rsidRPr="00117C65" w:rsidRDefault="00E75F33" w:rsidP="00E75F33">
      <w:pPr>
        <w:pStyle w:val="Textonotapie"/>
        <w:ind w:firstLine="709"/>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69AA6225" w14:textId="77777777" w:rsidR="00E75F33" w:rsidRPr="00117C65" w:rsidRDefault="00E75F33" w:rsidP="00E75F33">
      <w:pPr>
        <w:pStyle w:val="Textonotapie"/>
        <w:ind w:firstLine="709"/>
        <w:contextualSpacing/>
        <w:jc w:val="both"/>
        <w:rPr>
          <w:rFonts w:ascii="Verdana" w:hAnsi="Verdana" w:cs="Arial"/>
          <w:color w:val="000000"/>
          <w:sz w:val="19"/>
          <w:szCs w:val="19"/>
        </w:rPr>
      </w:pPr>
    </w:p>
  </w:footnote>
  <w:footnote w:id="10">
    <w:p w14:paraId="48840D24" w14:textId="77777777" w:rsidR="00E75F33" w:rsidRPr="00117C65" w:rsidRDefault="00E75F33" w:rsidP="00E75F33">
      <w:pPr>
        <w:pStyle w:val="Textonotapie"/>
        <w:ind w:firstLine="709"/>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CONSEJO DE ESTADO. Sección Tercera. Subsección B. Sentencia del 12 de octubre de 2011. Exp. No. 20070. C.P. Danilo Rojas Betancourt.</w:t>
      </w:r>
    </w:p>
    <w:p w14:paraId="0CF906E8" w14:textId="77777777" w:rsidR="00E75F33" w:rsidRPr="00117C65" w:rsidRDefault="00E75F33" w:rsidP="00E75F33">
      <w:pPr>
        <w:pStyle w:val="Textonotapie"/>
        <w:ind w:firstLine="709"/>
        <w:contextualSpacing/>
        <w:jc w:val="both"/>
        <w:rPr>
          <w:rFonts w:ascii="Verdana" w:hAnsi="Verdana" w:cs="Arial"/>
          <w:color w:val="000000"/>
          <w:sz w:val="19"/>
          <w:szCs w:val="19"/>
        </w:rPr>
      </w:pPr>
    </w:p>
  </w:footnote>
  <w:footnote w:id="11">
    <w:p w14:paraId="488AAA2D" w14:textId="77777777" w:rsidR="00E75F33" w:rsidRPr="00117C65" w:rsidRDefault="00E75F33" w:rsidP="00E75F33">
      <w:pPr>
        <w:tabs>
          <w:tab w:val="left" w:pos="0"/>
        </w:tabs>
        <w:spacing w:line="240" w:lineRule="auto"/>
        <w:contextualSpacing/>
        <w:jc w:val="both"/>
        <w:rPr>
          <w:rFonts w:ascii="Verdana" w:eastAsia="Calibri" w:hAnsi="Verdana" w:cs="Arial"/>
          <w:color w:val="000000"/>
          <w:sz w:val="19"/>
          <w:szCs w:val="19"/>
          <w:lang w:val="es-ES_tradnl" w:eastAsia="es-ES_tradnl"/>
        </w:rPr>
      </w:pPr>
      <w:r w:rsidRPr="00117C65">
        <w:rPr>
          <w:rFonts w:ascii="Verdana" w:hAnsi="Verdana" w:cs="Arial"/>
          <w:color w:val="000000"/>
          <w:sz w:val="19"/>
          <w:szCs w:val="19"/>
        </w:rPr>
        <w:tab/>
      </w: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CONSEJO DE ESTADO. Sección Tercera. Subsección A. Sentencia del 3 de marzo de 2021. Exp. No. 51373. C.P. José Roberto Sáchica Méndez. </w:t>
      </w:r>
      <w:r w:rsidRPr="00117C65">
        <w:rPr>
          <w:rFonts w:ascii="Verdana" w:eastAsia="Calibri" w:hAnsi="Verdana" w:cs="Arial"/>
          <w:color w:val="000000"/>
          <w:sz w:val="19"/>
          <w:szCs w:val="19"/>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2">
    <w:p w14:paraId="0AAF6D86" w14:textId="77777777" w:rsidR="00E75F33" w:rsidRPr="00117C65" w:rsidRDefault="00E75F33" w:rsidP="00E75F33">
      <w:pPr>
        <w:pStyle w:val="Textonotapie"/>
        <w:ind w:firstLine="708"/>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70953BF" w14:textId="77777777" w:rsidR="00E75F33" w:rsidRPr="00117C65" w:rsidRDefault="00E75F33" w:rsidP="00E75F33">
      <w:pPr>
        <w:pStyle w:val="Textonotapie"/>
        <w:ind w:firstLine="708"/>
        <w:contextualSpacing/>
        <w:jc w:val="both"/>
        <w:rPr>
          <w:rFonts w:ascii="Verdana" w:hAnsi="Verdana" w:cs="Arial"/>
          <w:color w:val="000000"/>
          <w:sz w:val="19"/>
          <w:szCs w:val="19"/>
        </w:rPr>
      </w:pPr>
    </w:p>
  </w:footnote>
  <w:footnote w:id="13">
    <w:p w14:paraId="0BDE845B" w14:textId="77777777" w:rsidR="00E75F33" w:rsidRPr="00117C65" w:rsidRDefault="00E75F33" w:rsidP="00E75F33">
      <w:pPr>
        <w:pStyle w:val="Textonotapie"/>
        <w:ind w:firstLine="709"/>
        <w:contextualSpacing/>
        <w:jc w:val="both"/>
        <w:rPr>
          <w:rFonts w:ascii="Verdana" w:hAnsi="Verdana" w:cs="Arial"/>
          <w:color w:val="000000"/>
          <w:sz w:val="19"/>
          <w:szCs w:val="19"/>
        </w:rPr>
      </w:pPr>
      <w:r w:rsidRPr="00117C65">
        <w:rPr>
          <w:rStyle w:val="Refdenotaalpie"/>
          <w:rFonts w:ascii="Verdana" w:hAnsi="Verdana" w:cs="Arial"/>
          <w:color w:val="000000"/>
          <w:sz w:val="19"/>
          <w:szCs w:val="19"/>
        </w:rPr>
        <w:footnoteRef/>
      </w:r>
      <w:r w:rsidRPr="00117C65">
        <w:rPr>
          <w:rFonts w:ascii="Verdana" w:hAnsi="Verdana" w:cs="Arial"/>
          <w:color w:val="000000"/>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728852D9" w14:textId="77777777" w:rsidR="00E75F33" w:rsidRPr="00117C65" w:rsidRDefault="00E75F33" w:rsidP="00E75F33">
      <w:pPr>
        <w:pStyle w:val="Textonotapie"/>
        <w:ind w:firstLine="709"/>
        <w:contextualSpacing/>
        <w:jc w:val="both"/>
        <w:rPr>
          <w:rFonts w:ascii="Verdana" w:hAnsi="Verdana" w:cs="Arial"/>
          <w:color w:val="000000"/>
          <w:sz w:val="19"/>
          <w:szCs w:val="19"/>
        </w:rPr>
      </w:pPr>
      <w:r w:rsidRPr="00117C65">
        <w:rPr>
          <w:rFonts w:ascii="Verdana" w:hAnsi="Verdana" w:cs="Arial"/>
          <w:color w:val="000000"/>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4">
    <w:p w14:paraId="72DF4D15" w14:textId="77777777" w:rsidR="00E75F33" w:rsidRPr="00117C65" w:rsidRDefault="00E75F33" w:rsidP="00E75F33">
      <w:pPr>
        <w:pStyle w:val="Textoindependiente1"/>
        <w:spacing w:after="0" w:line="240" w:lineRule="auto"/>
        <w:ind w:firstLine="709"/>
        <w:jc w:val="both"/>
        <w:rPr>
          <w:rFonts w:ascii="Verdana" w:hAnsi="Verdana" w:cs="Arial"/>
          <w:sz w:val="19"/>
          <w:szCs w:val="19"/>
        </w:rPr>
      </w:pPr>
      <w:r w:rsidRPr="00117C65">
        <w:rPr>
          <w:rStyle w:val="Refdenotaalpie"/>
          <w:rFonts w:ascii="Verdana" w:hAnsi="Verdana" w:cs="Arial"/>
          <w:sz w:val="19"/>
          <w:szCs w:val="19"/>
        </w:rPr>
        <w:footnoteRef/>
      </w:r>
      <w:r w:rsidRPr="00117C65">
        <w:rPr>
          <w:rFonts w:ascii="Verdana" w:hAnsi="Verdana" w:cs="Arial"/>
          <w:sz w:val="19"/>
          <w:szCs w:val="19"/>
        </w:rPr>
        <w:t xml:space="preserve"> </w:t>
      </w:r>
      <w:r w:rsidRPr="00117C65">
        <w:rPr>
          <w:rFonts w:ascii="Verdana" w:hAnsi="Verdana" w:cs="Arial"/>
          <w:sz w:val="19"/>
          <w:szCs w:val="19"/>
          <w:lang w:val="es-ES_tradnl"/>
        </w:rPr>
        <w:t>CONSEJO DE ESTADO, la Sala de Consulta y Servicio Civil en Concepto del 4 de marzo de 1998. Radicado número 1.074, Concejero. Ponente.: Cesar Hoyos Salazar.</w:t>
      </w:r>
      <w:r w:rsidRPr="00117C65">
        <w:rPr>
          <w:rFonts w:ascii="Verdana" w:hAnsi="Verdana" w:cs="Arial"/>
          <w:sz w:val="19"/>
          <w:szCs w:val="19"/>
        </w:rPr>
        <w:t>El concepto citado</w:t>
      </w:r>
      <w:r w:rsidRPr="00117C65">
        <w:rPr>
          <w:rFonts w:ascii="Verdana" w:hAnsi="Verdana" w:cs="Arial"/>
          <w:spacing w:val="-8"/>
          <w:sz w:val="19"/>
          <w:szCs w:val="19"/>
        </w:rPr>
        <w:t xml:space="preserve"> </w:t>
      </w:r>
      <w:r w:rsidRPr="00117C65">
        <w:rPr>
          <w:rFonts w:ascii="Verdana" w:hAnsi="Verdana" w:cs="Arial"/>
          <w:sz w:val="19"/>
          <w:szCs w:val="19"/>
        </w:rPr>
        <w:t xml:space="preserve">afirmó: “No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consiguiente, no autorizó dicha ley la fiducia mercantil con aplicación de las normas de la ley 80, sino al revés, la fiducia pública con aplicación de las compatibles del Código de Comercio. </w:t>
      </w:r>
    </w:p>
    <w:p w14:paraId="7B9D2160" w14:textId="77777777" w:rsidR="00E75F33" w:rsidRPr="00117C65" w:rsidRDefault="00E75F33" w:rsidP="00E75F33">
      <w:pPr>
        <w:spacing w:after="0" w:line="240" w:lineRule="auto"/>
        <w:ind w:firstLine="709"/>
        <w:jc w:val="both"/>
        <w:rPr>
          <w:rFonts w:ascii="Verdana" w:hAnsi="Verdana" w:cs="Arial"/>
          <w:sz w:val="19"/>
          <w:szCs w:val="19"/>
        </w:rPr>
      </w:pPr>
      <w:r w:rsidRPr="00117C65">
        <w:rPr>
          <w:rFonts w:ascii="Verdana" w:hAnsi="Verdana" w:cs="Arial"/>
          <w:sz w:val="19"/>
          <w:szCs w:val="19"/>
        </w:rPr>
        <w:t>“[...] “Sin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p>
    <w:p w14:paraId="56165EBA" w14:textId="77777777" w:rsidR="00E75F33" w:rsidRPr="00117C65" w:rsidRDefault="00E75F33" w:rsidP="00E75F33">
      <w:pPr>
        <w:spacing w:after="0" w:line="240" w:lineRule="auto"/>
        <w:ind w:firstLine="709"/>
        <w:jc w:val="both"/>
        <w:rPr>
          <w:rFonts w:ascii="Verdana" w:hAnsi="Verdana" w:cs="Arial"/>
          <w:sz w:val="19"/>
          <w:szCs w:val="19"/>
        </w:rPr>
      </w:pPr>
    </w:p>
  </w:footnote>
  <w:footnote w:id="15">
    <w:p w14:paraId="333CF357" w14:textId="77777777" w:rsidR="00E75F33" w:rsidRPr="00117C65" w:rsidRDefault="00E75F33" w:rsidP="00E75F33">
      <w:pPr>
        <w:spacing w:after="0" w:line="240" w:lineRule="auto"/>
        <w:ind w:firstLine="709"/>
        <w:jc w:val="both"/>
        <w:rPr>
          <w:rFonts w:ascii="Verdana" w:hAnsi="Verdana" w:cs="Arial"/>
          <w:sz w:val="19"/>
          <w:szCs w:val="19"/>
        </w:rPr>
      </w:pPr>
      <w:r w:rsidRPr="00117C65">
        <w:rPr>
          <w:rStyle w:val="Refdenotaalpie"/>
          <w:rFonts w:ascii="Verdana" w:hAnsi="Verdana" w:cs="Arial"/>
          <w:sz w:val="19"/>
          <w:szCs w:val="19"/>
        </w:rPr>
        <w:footnoteRef/>
      </w:r>
      <w:r w:rsidRPr="00117C65">
        <w:rPr>
          <w:rFonts w:ascii="Verdana" w:hAnsi="Verdana" w:cs="Arial"/>
          <w:sz w:val="19"/>
          <w:szCs w:val="19"/>
        </w:rPr>
        <w:t xml:space="preserve"> En dicho Concepto, el Consejo de Estado señaló: “Ahora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Pr="00117C65">
        <w:rPr>
          <w:rFonts w:ascii="Verdana" w:hAnsi="Verdana" w:cs="Arial"/>
          <w:spacing w:val="-4"/>
          <w:sz w:val="19"/>
          <w:szCs w:val="19"/>
        </w:rPr>
        <w:t xml:space="preserve"> </w:t>
      </w:r>
      <w:r w:rsidRPr="00117C65">
        <w:rPr>
          <w:rFonts w:ascii="Verdana" w:hAnsi="Verdana" w:cs="Arial"/>
          <w:sz w:val="19"/>
          <w:szCs w:val="19"/>
        </w:rPr>
        <w:t>salvedades:</w:t>
      </w:r>
    </w:p>
    <w:p w14:paraId="44502E6A" w14:textId="77777777" w:rsidR="00E75F33" w:rsidRPr="00117C65" w:rsidRDefault="00E75F33" w:rsidP="00E75F33">
      <w:pPr>
        <w:widowControl w:val="0"/>
        <w:tabs>
          <w:tab w:val="left" w:pos="1273"/>
        </w:tabs>
        <w:autoSpaceDE w:val="0"/>
        <w:autoSpaceDN w:val="0"/>
        <w:spacing w:after="0" w:line="240" w:lineRule="auto"/>
        <w:ind w:firstLine="709"/>
        <w:jc w:val="both"/>
        <w:rPr>
          <w:rFonts w:ascii="Verdana" w:hAnsi="Verdana" w:cs="Arial"/>
          <w:sz w:val="19"/>
          <w:szCs w:val="19"/>
        </w:rPr>
      </w:pPr>
      <w:r w:rsidRPr="00117C65">
        <w:rPr>
          <w:rFonts w:ascii="Verdana" w:hAnsi="Verdana" w:cs="Arial"/>
          <w:sz w:val="19"/>
          <w:szCs w:val="19"/>
        </w:rPr>
        <w:t>“1) La fiducia pública no implica transferencia de la propiedad de los bienes o recursos</w:t>
      </w:r>
      <w:r w:rsidRPr="00117C65">
        <w:rPr>
          <w:rFonts w:ascii="Verdana" w:hAnsi="Verdana" w:cs="Arial"/>
          <w:spacing w:val="-2"/>
          <w:sz w:val="19"/>
          <w:szCs w:val="19"/>
        </w:rPr>
        <w:t xml:space="preserve"> </w:t>
      </w:r>
      <w:r w:rsidRPr="00117C65">
        <w:rPr>
          <w:rFonts w:ascii="Verdana" w:hAnsi="Verdana" w:cs="Arial"/>
          <w:sz w:val="19"/>
          <w:szCs w:val="19"/>
        </w:rPr>
        <w:t>fideicomitidos.</w:t>
      </w:r>
    </w:p>
    <w:p w14:paraId="5311823B" w14:textId="77777777" w:rsidR="00E75F33" w:rsidRPr="00117C65" w:rsidRDefault="00E75F33" w:rsidP="00E75F33">
      <w:pPr>
        <w:widowControl w:val="0"/>
        <w:tabs>
          <w:tab w:val="left" w:pos="1303"/>
        </w:tabs>
        <w:autoSpaceDE w:val="0"/>
        <w:autoSpaceDN w:val="0"/>
        <w:spacing w:after="0" w:line="240" w:lineRule="auto"/>
        <w:ind w:firstLine="709"/>
        <w:jc w:val="both"/>
        <w:rPr>
          <w:rFonts w:ascii="Verdana" w:hAnsi="Verdana" w:cs="Arial"/>
          <w:sz w:val="19"/>
          <w:szCs w:val="19"/>
        </w:rPr>
      </w:pPr>
      <w:r w:rsidRPr="00117C65">
        <w:rPr>
          <w:rFonts w:ascii="Verdana" w:hAnsi="Verdana" w:cs="Arial"/>
          <w:sz w:val="19"/>
          <w:szCs w:val="19"/>
        </w:rPr>
        <w:t>“2) Tampoco constituye un patrimonio autónomo afecto a la finalidad de la fiducia, en manos de la sociedad</w:t>
      </w:r>
      <w:r w:rsidRPr="00117C65">
        <w:rPr>
          <w:rFonts w:ascii="Verdana" w:hAnsi="Verdana" w:cs="Arial"/>
          <w:spacing w:val="-12"/>
          <w:sz w:val="19"/>
          <w:szCs w:val="19"/>
        </w:rPr>
        <w:t xml:space="preserve"> f</w:t>
      </w:r>
      <w:r w:rsidRPr="00117C65">
        <w:rPr>
          <w:rFonts w:ascii="Verdana" w:hAnsi="Verdana" w:cs="Arial"/>
          <w:sz w:val="19"/>
          <w:szCs w:val="19"/>
        </w:rPr>
        <w:t>iduciaria.</w:t>
      </w:r>
    </w:p>
    <w:p w14:paraId="61BDF696" w14:textId="77777777" w:rsidR="00E75F33" w:rsidRPr="00117C65" w:rsidRDefault="00E75F33" w:rsidP="00E75F33">
      <w:pPr>
        <w:widowControl w:val="0"/>
        <w:tabs>
          <w:tab w:val="left" w:pos="1316"/>
        </w:tabs>
        <w:autoSpaceDE w:val="0"/>
        <w:autoSpaceDN w:val="0"/>
        <w:spacing w:after="0" w:line="240" w:lineRule="auto"/>
        <w:ind w:firstLine="709"/>
        <w:jc w:val="both"/>
        <w:rPr>
          <w:rFonts w:ascii="Verdana" w:hAnsi="Verdana" w:cs="Arial"/>
          <w:sz w:val="19"/>
          <w:szCs w:val="19"/>
        </w:rPr>
      </w:pPr>
      <w:r w:rsidRPr="00117C65">
        <w:rPr>
          <w:rFonts w:ascii="Verdana" w:hAnsi="Verdana" w:cs="Arial"/>
          <w:sz w:val="19"/>
          <w:szCs w:val="19"/>
        </w:rPr>
        <w:t>“3) La adjudicación de los subcontratos debe ser realizada por la Entidad Estatal</w:t>
      </w:r>
      <w:r w:rsidRPr="00117C65">
        <w:rPr>
          <w:rFonts w:ascii="Verdana" w:hAnsi="Verdana" w:cs="Arial"/>
          <w:spacing w:val="-2"/>
          <w:sz w:val="19"/>
          <w:szCs w:val="19"/>
        </w:rPr>
        <w:t xml:space="preserve"> </w:t>
      </w:r>
      <w:r w:rsidRPr="00117C65">
        <w:rPr>
          <w:rFonts w:ascii="Verdana" w:hAnsi="Verdana" w:cs="Arial"/>
          <w:sz w:val="19"/>
          <w:szCs w:val="19"/>
        </w:rPr>
        <w:t>fideicomitente.</w:t>
      </w:r>
    </w:p>
    <w:p w14:paraId="4FA9BA93" w14:textId="77777777" w:rsidR="00E75F33" w:rsidRPr="00117C65" w:rsidRDefault="00E75F33" w:rsidP="00E75F33">
      <w:pPr>
        <w:widowControl w:val="0"/>
        <w:tabs>
          <w:tab w:val="left" w:pos="1256"/>
        </w:tabs>
        <w:autoSpaceDE w:val="0"/>
        <w:autoSpaceDN w:val="0"/>
        <w:spacing w:after="0" w:line="240" w:lineRule="auto"/>
        <w:ind w:firstLine="709"/>
        <w:jc w:val="both"/>
        <w:rPr>
          <w:rFonts w:ascii="Verdana" w:hAnsi="Verdana" w:cs="Arial"/>
          <w:sz w:val="19"/>
          <w:szCs w:val="19"/>
        </w:rPr>
      </w:pPr>
      <w:r w:rsidRPr="00117C65">
        <w:rPr>
          <w:rFonts w:ascii="Verdana" w:hAnsi="Verdana" w:cs="Arial"/>
          <w:sz w:val="19"/>
          <w:szCs w:val="19"/>
        </w:rPr>
        <w:t>“4) No se puede pactar que la comisión de la sociedad fiduciaria sea tomada de los rendimientos del fideicomiso, salvo que éstos se encuentren presupuestados”.</w:t>
      </w:r>
    </w:p>
    <w:p w14:paraId="3D676A53" w14:textId="77777777" w:rsidR="00E75F33" w:rsidRPr="00117C65" w:rsidRDefault="00E75F33" w:rsidP="00E75F33">
      <w:pPr>
        <w:widowControl w:val="0"/>
        <w:tabs>
          <w:tab w:val="left" w:pos="1256"/>
        </w:tabs>
        <w:autoSpaceDE w:val="0"/>
        <w:autoSpaceDN w:val="0"/>
        <w:spacing w:after="0" w:line="240" w:lineRule="auto"/>
        <w:ind w:firstLine="709"/>
        <w:jc w:val="both"/>
        <w:rPr>
          <w:rFonts w:ascii="Verdana" w:hAnsi="Verdana" w:cs="Arial"/>
          <w:sz w:val="19"/>
          <w:szCs w:val="19"/>
        </w:rPr>
      </w:pPr>
    </w:p>
  </w:footnote>
  <w:footnote w:id="16">
    <w:p w14:paraId="4366D296" w14:textId="77777777" w:rsidR="00E75F33" w:rsidRPr="00117C65" w:rsidRDefault="00E75F33" w:rsidP="00E75F33">
      <w:pPr>
        <w:pStyle w:val="Textonotapie"/>
        <w:ind w:firstLine="709"/>
        <w:jc w:val="both"/>
        <w:rPr>
          <w:rFonts w:ascii="Verdana" w:hAnsi="Verdana"/>
          <w:sz w:val="19"/>
          <w:szCs w:val="19"/>
        </w:rPr>
      </w:pPr>
      <w:r w:rsidRPr="00117C65">
        <w:rPr>
          <w:rStyle w:val="Refdenotaalpie"/>
          <w:rFonts w:ascii="Verdana" w:hAnsi="Verdana"/>
          <w:sz w:val="19"/>
          <w:szCs w:val="19"/>
        </w:rPr>
        <w:footnoteRef/>
      </w:r>
      <w:r w:rsidRPr="00117C65">
        <w:rPr>
          <w:rFonts w:ascii="Verdana" w:hAnsi="Verdana"/>
          <w:sz w:val="19"/>
          <w:szCs w:val="19"/>
        </w:rPr>
        <w:t xml:space="preserve"> “ARTÍCULO 21. &lt;Artículo modificado por el artículo 307 de la Ley 2294 de 2023. El nuevo texto es el siguiente:&gt; El Fondo Nacional de Turismo (FONTUR) es un patrimonio autónomo, sin personería jurídica, regido por normas de derecho privado, con la función de administrar los recursos señalados en los artículos 1o y 8o de la Ley 1101 de 2006, así como los asignados en el Presupuesto General de la Nación para la infraestructura turística, promoción y la competitividad turística, el recaudo del impuesto 01 &lt;sic&gt; turismo, la contribución parafiscal para la promoción del turismo y las demás fuentes de recursos que señale la ley.</w:t>
      </w:r>
    </w:p>
    <w:p w14:paraId="5AA99590" w14:textId="77777777" w:rsidR="00E75F33" w:rsidRPr="00117C65" w:rsidRDefault="00E75F33" w:rsidP="00E75F33">
      <w:pPr>
        <w:pStyle w:val="Textonotapie"/>
        <w:ind w:firstLine="709"/>
        <w:jc w:val="both"/>
        <w:rPr>
          <w:rFonts w:ascii="Verdana" w:hAnsi="Verdana"/>
          <w:sz w:val="19"/>
          <w:szCs w:val="19"/>
        </w:rPr>
      </w:pPr>
      <w:r w:rsidRPr="00117C65">
        <w:rPr>
          <w:rFonts w:ascii="Verdana" w:hAnsi="Verdana"/>
          <w:sz w:val="19"/>
          <w:szCs w:val="19"/>
        </w:rPr>
        <w:t>FONTUR será administrado por la Fiduciaria Colombiana de Comercio Exterior S. A., o la sociedad fiduciaria que determine el Ministerio de Comercio, Industria y Turismo, de acuerdo con los lineamientos que fijen este. La administración y operación del Patronio autónomo será financiada con cargo a los recursos del FONTUR.</w:t>
      </w:r>
    </w:p>
    <w:p w14:paraId="36DBA3AF" w14:textId="77777777" w:rsidR="00E75F33" w:rsidRPr="00117C65" w:rsidRDefault="00E75F33" w:rsidP="00E75F33">
      <w:pPr>
        <w:pStyle w:val="Textonotapie"/>
        <w:ind w:firstLine="709"/>
        <w:jc w:val="both"/>
        <w:rPr>
          <w:rFonts w:ascii="Verdana" w:hAnsi="Verdana"/>
          <w:sz w:val="19"/>
          <w:szCs w:val="19"/>
        </w:rPr>
      </w:pPr>
      <w:r w:rsidRPr="00117C65">
        <w:rPr>
          <w:rFonts w:ascii="Verdana" w:hAnsi="Verdana"/>
          <w:sz w:val="19"/>
          <w:szCs w:val="19"/>
        </w:rPr>
        <w:t>Los recursos del impuesto al turismo, que administra FONTUR, se presupuestarán como una transferencia en el Ministerio de Comercio, Industria y Turismo para cada vigencia”.</w:t>
      </w:r>
    </w:p>
    <w:p w14:paraId="23233968" w14:textId="77777777" w:rsidR="00E75F33" w:rsidRPr="00117C65" w:rsidRDefault="00E75F33" w:rsidP="00E75F33">
      <w:pPr>
        <w:pStyle w:val="Textonotapie"/>
        <w:ind w:firstLine="709"/>
        <w:jc w:val="both"/>
        <w:rPr>
          <w:rFonts w:ascii="Verdana" w:hAnsi="Verdana"/>
          <w:sz w:val="19"/>
          <w:szCs w:val="19"/>
        </w:rPr>
      </w:pPr>
    </w:p>
  </w:footnote>
  <w:footnote w:id="17">
    <w:p w14:paraId="195E138A"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Style w:val="Refdenotaalpie"/>
          <w:rFonts w:ascii="Verdana" w:eastAsia="Times New Roman" w:hAnsi="Verdana"/>
          <w:sz w:val="19"/>
          <w:szCs w:val="19"/>
        </w:rPr>
        <w:footnoteRef/>
      </w:r>
      <w:r w:rsidRPr="00117C65">
        <w:rPr>
          <w:rFonts w:ascii="Verdana" w:hAnsi="Verdana"/>
          <w:sz w:val="19"/>
          <w:szCs w:val="19"/>
        </w:rPr>
        <w:t xml:space="preserve"> </w:t>
      </w:r>
      <w:r w:rsidRPr="00117C65">
        <w:rPr>
          <w:rFonts w:ascii="Verdana" w:eastAsia="Aptos" w:hAnsi="Verdana" w:cs="Arial"/>
          <w:sz w:val="19"/>
          <w:szCs w:val="19"/>
          <w:lang w:eastAsia="es-MX"/>
        </w:rPr>
        <w:t xml:space="preserve">En el sector social, </w:t>
      </w:r>
      <w:r w:rsidRPr="00117C65">
        <w:rPr>
          <w:rFonts w:ascii="Verdana" w:eastAsia="Calibri" w:hAnsi="Verdana" w:cs="Arial"/>
          <w:sz w:val="19"/>
          <w:szCs w:val="19"/>
          <w:lang w:val="es-MX" w:eastAsia="es-MX"/>
        </w:rPr>
        <w:t xml:space="preserve">la Agencia Nacional de Contratación Pública – Colombia Compra </w:t>
      </w:r>
      <w:r w:rsidRPr="00117C65">
        <w:rPr>
          <w:rFonts w:ascii="Verdana" w:eastAsia="Calibri" w:hAnsi="Verdana" w:cs="Arial"/>
          <w:sz w:val="19"/>
          <w:szCs w:val="19"/>
          <w:lang w:eastAsia="es-MX"/>
        </w:rPr>
        <w:t xml:space="preserve">Eficiente </w:t>
      </w:r>
      <w:r w:rsidRPr="00117C65">
        <w:rPr>
          <w:rFonts w:ascii="Verdana" w:eastAsia="Times New Roman" w:hAnsi="Verdana" w:cs="Times New Roman"/>
          <w:color w:val="000000"/>
          <w:sz w:val="19"/>
          <w:szCs w:val="19"/>
          <w:lang w:eastAsia="es-CO"/>
        </w:rPr>
        <w:t>en el segundo semestre del año 2025 adoptó las siguientes Resoluciones para contratar obra pública y concurso de méritos:</w:t>
      </w:r>
    </w:p>
    <w:p w14:paraId="492056EB"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Fonts w:ascii="Verdana" w:eastAsia="Times New Roman" w:hAnsi="Verdana" w:cs="Times New Roman"/>
          <w:color w:val="000000"/>
          <w:sz w:val="19"/>
          <w:szCs w:val="19"/>
          <w:lang w:eastAsia="es-CO"/>
        </w:rPr>
        <w:t>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8B361A4"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Fonts w:ascii="Verdana" w:eastAsia="Times New Roman" w:hAnsi="Verdana" w:cs="Times New Roman"/>
          <w:color w:val="000000"/>
          <w:sz w:val="19"/>
          <w:szCs w:val="19"/>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4B5BC7A"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Fonts w:ascii="Verdana" w:eastAsia="Times New Roman" w:hAnsi="Verdana" w:cs="Times New Roman"/>
          <w:color w:val="000000"/>
          <w:sz w:val="19"/>
          <w:szCs w:val="19"/>
          <w:lang w:eastAsia="es-CO"/>
        </w:rPr>
        <w:t xml:space="preserve">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B0C5D61"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Fonts w:ascii="Verdana" w:eastAsia="Times New Roman" w:hAnsi="Verdana" w:cs="Times New Roman"/>
          <w:color w:val="000000"/>
          <w:sz w:val="19"/>
          <w:szCs w:val="19"/>
          <w:lang w:eastAsia="es-CO"/>
        </w:rPr>
        <w:t>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4670989" w14:textId="77777777" w:rsidR="00E75F33" w:rsidRPr="00117C65" w:rsidRDefault="00E75F33" w:rsidP="00E75F33">
      <w:pPr>
        <w:spacing w:after="120" w:line="276" w:lineRule="auto"/>
        <w:ind w:firstLine="708"/>
        <w:jc w:val="both"/>
        <w:rPr>
          <w:rFonts w:ascii="Verdana" w:eastAsia="Times New Roman" w:hAnsi="Verdana" w:cs="Times New Roman"/>
          <w:color w:val="000000"/>
          <w:sz w:val="19"/>
          <w:szCs w:val="19"/>
          <w:lang w:eastAsia="es-CO"/>
        </w:rPr>
      </w:pPr>
      <w:r w:rsidRPr="00117C65">
        <w:rPr>
          <w:rFonts w:ascii="Verdana" w:eastAsia="Times New Roman" w:hAnsi="Verdana" w:cs="Times New Roman"/>
          <w:color w:val="000000"/>
          <w:sz w:val="19"/>
          <w:szCs w:val="19"/>
          <w:lang w:eastAsia="es-CO"/>
        </w:rPr>
        <w:t>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17C65">
        <w:rPr>
          <w:rFonts w:ascii="Verdana" w:eastAsia="Aptos" w:hAnsi="Verdana" w:cs="Times New Roman"/>
          <w:sz w:val="19"/>
          <w:szCs w:val="19"/>
          <w:lang w:eastAsia="es-MX"/>
        </w:rPr>
        <w:t xml:space="preserve"> </w:t>
      </w:r>
    </w:p>
  </w:footnote>
  <w:footnote w:id="18">
    <w:p w14:paraId="3FE5A88F" w14:textId="77777777" w:rsidR="00E75F33" w:rsidRPr="00117C65" w:rsidRDefault="00E75F33" w:rsidP="00E75F33">
      <w:pPr>
        <w:spacing w:after="0" w:line="276" w:lineRule="auto"/>
        <w:ind w:firstLine="708"/>
        <w:jc w:val="both"/>
        <w:rPr>
          <w:rFonts w:ascii="Verdana" w:eastAsia="Calibri" w:hAnsi="Verdana" w:cs="Arial"/>
          <w:bCs/>
          <w:sz w:val="19"/>
          <w:szCs w:val="19"/>
        </w:rPr>
      </w:pPr>
      <w:r w:rsidRPr="00117C65">
        <w:rPr>
          <w:rStyle w:val="Refdenotaalpie"/>
          <w:rFonts w:ascii="Verdana" w:hAnsi="Verdana"/>
          <w:sz w:val="19"/>
          <w:szCs w:val="19"/>
        </w:rPr>
        <w:footnoteRef/>
      </w:r>
      <w:r w:rsidRPr="00117C65">
        <w:rPr>
          <w:rFonts w:ascii="Verdana" w:hAnsi="Verdana"/>
          <w:sz w:val="19"/>
          <w:szCs w:val="19"/>
        </w:rPr>
        <w:t xml:space="preserve"> </w:t>
      </w:r>
      <w:r w:rsidRPr="00117C65">
        <w:rPr>
          <w:rFonts w:ascii="Verdana" w:eastAsia="Calibri" w:hAnsi="Verdana" w:cs="Arial"/>
          <w:bCs/>
          <w:sz w:val="19"/>
          <w:szCs w:val="19"/>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8803CFB" w14:textId="77777777" w:rsidR="00E75F33" w:rsidRPr="00117C65" w:rsidRDefault="00E75F33" w:rsidP="00E75F33">
      <w:pPr>
        <w:spacing w:after="0" w:line="276" w:lineRule="auto"/>
        <w:ind w:firstLine="708"/>
        <w:jc w:val="both"/>
        <w:rPr>
          <w:rFonts w:ascii="Verdana" w:eastAsia="Calibri" w:hAnsi="Verdana" w:cs="Arial"/>
          <w:bCs/>
          <w:sz w:val="19"/>
          <w:szCs w:val="19"/>
        </w:rPr>
      </w:pPr>
    </w:p>
    <w:p w14:paraId="1AB04A85" w14:textId="77777777" w:rsidR="00E75F33" w:rsidRPr="00117C65" w:rsidRDefault="00E75F33" w:rsidP="00E75F33">
      <w:pPr>
        <w:spacing w:after="0" w:line="276" w:lineRule="auto"/>
        <w:ind w:firstLine="708"/>
        <w:jc w:val="both"/>
        <w:rPr>
          <w:rFonts w:ascii="Verdana" w:eastAsia="Calibri" w:hAnsi="Verdana" w:cs="Arial"/>
          <w:bCs/>
          <w:sz w:val="19"/>
          <w:szCs w:val="19"/>
        </w:rPr>
      </w:pPr>
      <w:r w:rsidRPr="00117C65">
        <w:rPr>
          <w:rFonts w:ascii="Verdana" w:eastAsia="Calibri" w:hAnsi="Verdana" w:cs="Arial"/>
          <w:bCs/>
          <w:sz w:val="19"/>
          <w:szCs w:val="19"/>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82781EA" w14:textId="77777777" w:rsidR="00E75F33" w:rsidRPr="00117C65" w:rsidRDefault="00E75F33" w:rsidP="00E75F33">
      <w:pPr>
        <w:spacing w:after="0" w:line="276" w:lineRule="auto"/>
        <w:ind w:firstLine="708"/>
        <w:jc w:val="both"/>
        <w:rPr>
          <w:rFonts w:ascii="Verdana" w:eastAsia="Calibri" w:hAnsi="Verdana" w:cs="Arial"/>
          <w:bCs/>
          <w:sz w:val="19"/>
          <w:szCs w:val="19"/>
        </w:rPr>
      </w:pPr>
    </w:p>
    <w:p w14:paraId="1EAFF7A7" w14:textId="77777777" w:rsidR="00E75F33" w:rsidRPr="00117C65" w:rsidRDefault="00E75F33" w:rsidP="00E75F33">
      <w:pPr>
        <w:spacing w:after="0" w:line="276" w:lineRule="auto"/>
        <w:ind w:firstLine="708"/>
        <w:jc w:val="both"/>
        <w:rPr>
          <w:rFonts w:ascii="Verdana" w:eastAsia="Calibri" w:hAnsi="Verdana" w:cs="Arial"/>
          <w:bCs/>
          <w:sz w:val="19"/>
          <w:szCs w:val="19"/>
        </w:rPr>
      </w:pPr>
      <w:r w:rsidRPr="00117C65">
        <w:rPr>
          <w:rFonts w:ascii="Verdana" w:eastAsia="Calibri" w:hAnsi="Verdana" w:cs="Arial"/>
          <w:bCs/>
          <w:sz w:val="19"/>
          <w:szCs w:val="19"/>
        </w:rPr>
        <w:t xml:space="preserve">Resolución 464 del 10 de septiembre de 2024: “Por la cual se actualizan los documentos tipo para los procesos de obra pública de infraestructura de transporte adelantados bajo la modalidad de mínima cuantía”. </w:t>
      </w:r>
    </w:p>
    <w:p w14:paraId="5FBC8F11" w14:textId="77777777" w:rsidR="00E75F33" w:rsidRPr="00117C65" w:rsidRDefault="00E75F33" w:rsidP="00E75F33">
      <w:pPr>
        <w:spacing w:after="0" w:line="276" w:lineRule="auto"/>
        <w:jc w:val="both"/>
        <w:rPr>
          <w:rFonts w:ascii="Verdana" w:eastAsia="Calibri" w:hAnsi="Verdana" w:cs="Arial"/>
          <w:bCs/>
          <w:sz w:val="19"/>
          <w:szCs w:val="19"/>
        </w:rPr>
      </w:pPr>
    </w:p>
    <w:p w14:paraId="5FC9715D" w14:textId="77777777" w:rsidR="00E75F33" w:rsidRPr="00117C65" w:rsidRDefault="00E75F33" w:rsidP="00E75F33">
      <w:pPr>
        <w:spacing w:after="0" w:line="276" w:lineRule="auto"/>
        <w:ind w:firstLine="708"/>
        <w:jc w:val="both"/>
        <w:rPr>
          <w:rFonts w:ascii="Verdana" w:eastAsia="Calibri" w:hAnsi="Verdana" w:cs="Arial"/>
          <w:bCs/>
          <w:sz w:val="19"/>
          <w:szCs w:val="19"/>
        </w:rPr>
      </w:pPr>
      <w:r w:rsidRPr="00117C65">
        <w:rPr>
          <w:rFonts w:ascii="Verdana" w:eastAsia="Calibri" w:hAnsi="Verdana" w:cs="Arial"/>
          <w:bCs/>
          <w:sz w:val="19"/>
          <w:szCs w:val="19"/>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E0EF618" w14:textId="77777777" w:rsidR="00E75F33" w:rsidRPr="00117C65" w:rsidRDefault="00E75F33" w:rsidP="00E75F33">
      <w:pPr>
        <w:spacing w:after="0" w:line="276" w:lineRule="auto"/>
        <w:ind w:firstLine="708"/>
        <w:jc w:val="both"/>
        <w:rPr>
          <w:rFonts w:ascii="Verdana" w:eastAsia="Calibri" w:hAnsi="Verdana" w:cs="Arial"/>
          <w:bCs/>
          <w:sz w:val="19"/>
          <w:szCs w:val="19"/>
        </w:rPr>
      </w:pPr>
    </w:p>
    <w:p w14:paraId="2F03D37B" w14:textId="77777777" w:rsidR="00E75F33" w:rsidRPr="00117C65" w:rsidRDefault="00E75F33" w:rsidP="00E75F33">
      <w:pPr>
        <w:spacing w:after="0" w:line="276" w:lineRule="auto"/>
        <w:ind w:firstLine="708"/>
        <w:jc w:val="both"/>
        <w:rPr>
          <w:rFonts w:ascii="Verdana" w:eastAsia="Calibri" w:hAnsi="Verdana" w:cs="Arial"/>
          <w:bCs/>
          <w:sz w:val="19"/>
          <w:szCs w:val="19"/>
        </w:rPr>
      </w:pPr>
      <w:r w:rsidRPr="00117C65">
        <w:rPr>
          <w:rFonts w:ascii="Verdana" w:eastAsia="Calibri" w:hAnsi="Verdana" w:cs="Arial"/>
          <w:bCs/>
          <w:sz w:val="19"/>
          <w:szCs w:val="19"/>
        </w:rPr>
        <w:t>Resolución 456 del 10 de septiembre de 2024: “Por la cual se adopta la versión 4 de los documentos tipo para los procesos de selección de licitación de obra pública de infraestructura de transporte y se deroga la Resolución 240 de 2020”.</w:t>
      </w:r>
    </w:p>
    <w:p w14:paraId="40D4EA94" w14:textId="77777777" w:rsidR="00E75F33" w:rsidRPr="00117C65" w:rsidRDefault="00E75F33" w:rsidP="00E75F33">
      <w:pPr>
        <w:pStyle w:val="Textonotapie"/>
        <w:rPr>
          <w:rFonts w:ascii="Verdana" w:hAnsi="Verdana"/>
          <w:sz w:val="19"/>
          <w:szCs w:val="19"/>
          <w:lang w:val="es-CO"/>
        </w:rPr>
      </w:pPr>
    </w:p>
    <w:p w14:paraId="433801E3" w14:textId="77777777" w:rsidR="00E75F33" w:rsidRPr="00117C65" w:rsidRDefault="00E75F33" w:rsidP="00E75F33">
      <w:pPr>
        <w:pStyle w:val="Textonotapie"/>
        <w:rPr>
          <w:rFonts w:ascii="Verdana" w:hAnsi="Verdana"/>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61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06DC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4E9B"/>
    <w:rsid w:val="005C3777"/>
    <w:rsid w:val="005C5CDC"/>
    <w:rsid w:val="005D476C"/>
    <w:rsid w:val="006200BF"/>
    <w:rsid w:val="006219F8"/>
    <w:rsid w:val="006302F7"/>
    <w:rsid w:val="00646B9F"/>
    <w:rsid w:val="00665D70"/>
    <w:rsid w:val="006900D9"/>
    <w:rsid w:val="006E46A5"/>
    <w:rsid w:val="00706C16"/>
    <w:rsid w:val="00711D3C"/>
    <w:rsid w:val="007340C3"/>
    <w:rsid w:val="0075235A"/>
    <w:rsid w:val="00756841"/>
    <w:rsid w:val="007649AB"/>
    <w:rsid w:val="00771D0C"/>
    <w:rsid w:val="00772EFE"/>
    <w:rsid w:val="007833AC"/>
    <w:rsid w:val="007B268C"/>
    <w:rsid w:val="007B7171"/>
    <w:rsid w:val="007C0C0F"/>
    <w:rsid w:val="007C3DC2"/>
    <w:rsid w:val="007E5497"/>
    <w:rsid w:val="00806F5F"/>
    <w:rsid w:val="00820278"/>
    <w:rsid w:val="008258C9"/>
    <w:rsid w:val="008333E2"/>
    <w:rsid w:val="00837F2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412"/>
    <w:rsid w:val="00A81928"/>
    <w:rsid w:val="00A93570"/>
    <w:rsid w:val="00AB0ADB"/>
    <w:rsid w:val="00B00C0E"/>
    <w:rsid w:val="00B01B1A"/>
    <w:rsid w:val="00B0381D"/>
    <w:rsid w:val="00B44A47"/>
    <w:rsid w:val="00B72CD3"/>
    <w:rsid w:val="00B72FFF"/>
    <w:rsid w:val="00B96B40"/>
    <w:rsid w:val="00BC3D36"/>
    <w:rsid w:val="00BD54A6"/>
    <w:rsid w:val="00BD7F72"/>
    <w:rsid w:val="00BF7425"/>
    <w:rsid w:val="00C04FB3"/>
    <w:rsid w:val="00C11D8B"/>
    <w:rsid w:val="00C15139"/>
    <w:rsid w:val="00C330EB"/>
    <w:rsid w:val="00C50D69"/>
    <w:rsid w:val="00C5365C"/>
    <w:rsid w:val="00C55C39"/>
    <w:rsid w:val="00C754BE"/>
    <w:rsid w:val="00C76B1C"/>
    <w:rsid w:val="00C925AC"/>
    <w:rsid w:val="00CB6357"/>
    <w:rsid w:val="00CC1B26"/>
    <w:rsid w:val="00D361FD"/>
    <w:rsid w:val="00D423A2"/>
    <w:rsid w:val="00D44E26"/>
    <w:rsid w:val="00D520D8"/>
    <w:rsid w:val="00D63AC2"/>
    <w:rsid w:val="00D63EBE"/>
    <w:rsid w:val="00D7383B"/>
    <w:rsid w:val="00D7788A"/>
    <w:rsid w:val="00DA231B"/>
    <w:rsid w:val="00DC39FC"/>
    <w:rsid w:val="00DF5254"/>
    <w:rsid w:val="00E02524"/>
    <w:rsid w:val="00E16408"/>
    <w:rsid w:val="00E20894"/>
    <w:rsid w:val="00E245AB"/>
    <w:rsid w:val="00E2764C"/>
    <w:rsid w:val="00E27F2E"/>
    <w:rsid w:val="00E50AFE"/>
    <w:rsid w:val="00E73E78"/>
    <w:rsid w:val="00E75C92"/>
    <w:rsid w:val="00E75F33"/>
    <w:rsid w:val="00E771DC"/>
    <w:rsid w:val="00E8772A"/>
    <w:rsid w:val="00E90F6B"/>
    <w:rsid w:val="00E92C27"/>
    <w:rsid w:val="00EA0E3D"/>
    <w:rsid w:val="00EC38A7"/>
    <w:rsid w:val="00ED7267"/>
    <w:rsid w:val="00EE1AA8"/>
    <w:rsid w:val="00F12438"/>
    <w:rsid w:val="00F22A97"/>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extoindependiente1">
    <w:name w:val="Texto independiente1"/>
    <w:basedOn w:val="Normal"/>
    <w:next w:val="Textoindependiente"/>
    <w:link w:val="TextoindependienteCar"/>
    <w:uiPriority w:val="99"/>
    <w:semiHidden/>
    <w:unhideWhenUsed/>
    <w:rsid w:val="00E75F33"/>
    <w:pPr>
      <w:spacing w:after="120" w:line="278" w:lineRule="auto"/>
    </w:pPr>
  </w:style>
  <w:style w:type="character" w:customStyle="1" w:styleId="TextoindependienteCar">
    <w:name w:val="Texto independiente Car"/>
    <w:basedOn w:val="Fuentedeprrafopredeter"/>
    <w:link w:val="Textoindependiente1"/>
    <w:uiPriority w:val="99"/>
    <w:semiHidden/>
    <w:rsid w:val="00E75F33"/>
  </w:style>
  <w:style w:type="table" w:customStyle="1" w:styleId="Tablaconcuadrcula1">
    <w:name w:val="Tabla con cuadrícula1"/>
    <w:basedOn w:val="Tablanormal"/>
    <w:next w:val="Tablaconcuadrcula"/>
    <w:uiPriority w:val="39"/>
    <w:qFormat/>
    <w:rsid w:val="00E75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75F33"/>
    <w:pPr>
      <w:spacing w:after="0" w:line="240" w:lineRule="exact"/>
    </w:pPr>
    <w:rPr>
      <w:vertAlign w:val="superscript"/>
    </w:rPr>
  </w:style>
  <w:style w:type="character" w:styleId="Fuerte">
    <w:name w:val="Strong"/>
    <w:basedOn w:val="Fuentedeprrafopredeter"/>
    <w:uiPriority w:val="22"/>
    <w:qFormat/>
    <w:rsid w:val="00E75F33"/>
    <w:rPr>
      <w:b/>
      <w:bCs/>
    </w:rPr>
  </w:style>
  <w:style w:type="paragraph" w:styleId="Textoindependiente">
    <w:name w:val="Body Text"/>
    <w:basedOn w:val="Normal"/>
    <w:link w:val="TextoindependienteCar1"/>
    <w:uiPriority w:val="99"/>
    <w:semiHidden/>
    <w:unhideWhenUsed/>
    <w:rsid w:val="00E75F33"/>
    <w:pPr>
      <w:spacing w:after="120"/>
    </w:pPr>
  </w:style>
  <w:style w:type="character" w:customStyle="1" w:styleId="TextoindependienteCar1">
    <w:name w:val="Texto independiente Car1"/>
    <w:basedOn w:val="Fuentedeprrafopredeter"/>
    <w:link w:val="Textoindependiente"/>
    <w:uiPriority w:val="99"/>
    <w:semiHidden/>
    <w:rsid w:val="00E75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F430152-F170-4859-A95A-D301826FC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36</Pages>
  <Words>11266</Words>
  <Characters>61963</Characters>
  <Application>Microsoft Office Word</Application>
  <DocSecurity>0</DocSecurity>
  <Lines>516</Lines>
  <Paragraphs>146</Paragraphs>
  <ScaleCrop>false</ScaleCrop>
  <Company/>
  <LinksUpToDate>false</LinksUpToDate>
  <CharactersWithSpaces>73083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2026-06-30T20:07:00Z</dcterms:created>
  <dcterms:modified xsi:type="dcterms:W3CDTF">2026-06-30T23:05:00Z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