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7E583" w14:textId="77777777" w:rsidR="0007120B" w:rsidRPr="0007120B" w:rsidRDefault="0007120B" w:rsidP="0007120B">
      <w:pPr>
        <w:jc w:val="both"/>
        <w:rPr>
          <w:rFonts w:ascii="Verdana" w:hAnsi="Verdana" w:cs="Arial"/>
          <w:b/>
          <w:bCs/>
          <w:lang w:val="es-ES" w:eastAsia="es-ES"/>
        </w:rPr>
      </w:pPr>
      <w:r w:rsidRPr="0007120B">
        <w:rPr>
          <w:rFonts w:ascii="Verdana" w:hAnsi="Verdana" w:cs="Arial"/>
          <w:b/>
          <w:bCs/>
          <w:lang w:val="es-ES" w:eastAsia="es-ES"/>
        </w:rPr>
        <w:t xml:space="preserve">PLAN ANUAL DE ADQUISICIONES – Guía para elaborar el plan anual de adquisiciones – Adquisiciones a relacionar – Reglas para actualizarlo </w:t>
      </w:r>
    </w:p>
    <w:p w14:paraId="57FEF2C4" w14:textId="62DEE821" w:rsidR="0007120B" w:rsidRPr="006878C4" w:rsidRDefault="0007120B" w:rsidP="0007120B">
      <w:pPr>
        <w:spacing w:after="120" w:line="276" w:lineRule="auto"/>
        <w:jc w:val="both"/>
        <w:rPr>
          <w:rFonts w:ascii="Verdana" w:hAnsi="Verdana" w:cs="Arial"/>
          <w:szCs w:val="24"/>
          <w:lang w:val="es-ES_tradnl" w:eastAsia="es-ES_tradnl"/>
        </w:rPr>
      </w:pPr>
      <w:r w:rsidRPr="006878C4">
        <w:rPr>
          <w:rFonts w:ascii="Verdana" w:hAnsi="Verdana" w:cs="Arial"/>
          <w:szCs w:val="24"/>
          <w:lang w:val="es-ES_tradnl" w:eastAsia="es-ES_tradnl"/>
        </w:rPr>
        <w:t xml:space="preserve">El numeral 5.7 de la Circular Externa Única “Formas y oportunidades para actualizar el Plan Anual de Adquisiciones”, expedida por Agencia Nacional de Contratación Pública – Colombia Compra Eficiente, dispone que las Entidades Estatales deben actualizar su Plan Anual de Adquisiciones </w:t>
      </w:r>
      <w:r w:rsidRPr="006878C4">
        <w:rPr>
          <w:rFonts w:ascii="Verdana" w:hAnsi="Verdana" w:cs="Arial"/>
        </w:rPr>
        <w:t>cada vez que lo requieran utilizando el formato al que se refieren los numerales 5.6. y 5.7. de dicha Circular, según el caso. La actualización debe publicarse en la página web de la Entidad y en el SECOP, de tal manera que solo será visible el Plan Anual de Adquisiciones actualizado. En todo caso, las Entidades Estatales deben actualizarlo al menos una vez durante su vigencia</w:t>
      </w:r>
      <w:r w:rsidRPr="006878C4">
        <w:rPr>
          <w:rFonts w:ascii="Verdana" w:hAnsi="Verdana" w:cs="Arial"/>
          <w:szCs w:val="24"/>
          <w:lang w:val="es-ES_tradnl" w:eastAsia="es-ES_tradnl"/>
        </w:rPr>
        <w:t>. Esto en concordancia con el artículo 2.2.1.1.1.4.4 del Decreto 1082 de 2015, el cual señala que la Entidad Estatal debe actualizar el Plan Anual de Adquisiciones por lo menos una vez durante su vigencia, en la forma y la oportunidad que para el efecto disponga Colombia Compra Eficiente.</w:t>
      </w:r>
    </w:p>
    <w:p w14:paraId="6AB425BD" w14:textId="77777777" w:rsidR="0007120B" w:rsidRPr="006878C4" w:rsidRDefault="0007120B" w:rsidP="0007120B">
      <w:pPr>
        <w:spacing w:after="120" w:line="276" w:lineRule="auto"/>
        <w:ind w:firstLine="709"/>
        <w:jc w:val="both"/>
        <w:rPr>
          <w:rFonts w:ascii="Verdana" w:hAnsi="Verdana" w:cs="Arial"/>
          <w:lang w:val="es-ES" w:eastAsia="es-ES"/>
        </w:rPr>
      </w:pPr>
      <w:r w:rsidRPr="006878C4">
        <w:rPr>
          <w:rFonts w:ascii="Verdana" w:hAnsi="Verdana" w:cs="Arial"/>
          <w:lang w:val="es-ES" w:eastAsia="es-ES"/>
        </w:rPr>
        <w:t xml:space="preserve">Con el deber de actualizar el plan, una vez al año cuando menos, implícitamente se señala que el contenido inicial no es rígido ni inmodificable y, en consecuencia, por la misma dinámica de la actividad contractual de la Administración, estos datos necesariamente tendrán que modificarse. Además, la norma no limita la actualización del plan a un tope máximo, pero estableció un número mínimo, pues indicó que debían actualizarlo por lo menos una vez durante su vigencia. </w:t>
      </w:r>
    </w:p>
    <w:p w14:paraId="58A3260B" w14:textId="78D7DED0" w:rsidR="0007120B" w:rsidRPr="0007120B" w:rsidRDefault="0007120B" w:rsidP="0007120B">
      <w:pPr>
        <w:jc w:val="both"/>
        <w:rPr>
          <w:rFonts w:ascii="Verdana" w:hAnsi="Verdana" w:cs="Arial"/>
          <w:b/>
          <w:bCs/>
          <w:lang w:val="es-ES" w:eastAsia="es-ES"/>
        </w:rPr>
      </w:pPr>
      <w:r w:rsidRPr="0007120B">
        <w:rPr>
          <w:rFonts w:ascii="Verdana" w:hAnsi="Verdana" w:cs="Arial"/>
          <w:b/>
          <w:bCs/>
          <w:lang w:val="es-ES" w:eastAsia="es-ES"/>
        </w:rPr>
        <w:t xml:space="preserve">FRACCIONAMIENTO CONTRACTUAL – Jurisprudencia – Elementos – Unidad de objeto </w:t>
      </w:r>
    </w:p>
    <w:p w14:paraId="48C5C757" w14:textId="27B84294" w:rsidR="0007120B" w:rsidRDefault="0007120B" w:rsidP="0007120B">
      <w:pPr>
        <w:spacing w:after="0" w:line="276" w:lineRule="auto"/>
        <w:jc w:val="both"/>
        <w:rPr>
          <w:rFonts w:ascii="Verdana" w:eastAsia="Century Gothic" w:hAnsi="Verdana" w:cs="Century Gothic"/>
        </w:rPr>
      </w:pPr>
      <w:r>
        <w:rPr>
          <w:rFonts w:ascii="Verdana" w:eastAsia="Century Gothic" w:hAnsi="Verdana" w:cs="Century Gothic"/>
        </w:rPr>
        <w:t>[…]</w:t>
      </w:r>
      <w:r w:rsidRPr="0049433C">
        <w:rPr>
          <w:rFonts w:ascii="Verdana" w:eastAsia="Century Gothic" w:hAnsi="Verdana" w:cs="Century Gothic"/>
        </w:rPr>
        <w:t xml:space="preserve">a la luz de la jurisprudencia solo habrá fraccionamiento del contrato cuando concurran los siguientes elementos: </w:t>
      </w:r>
      <w:r>
        <w:rPr>
          <w:rFonts w:ascii="Verdana" w:eastAsia="Century Gothic" w:hAnsi="Verdana" w:cs="Century Gothic"/>
        </w:rPr>
        <w:t>“</w:t>
      </w:r>
      <w:r w:rsidRPr="0049433C">
        <w:rPr>
          <w:rFonts w:ascii="Verdana" w:eastAsia="Century Gothic" w:hAnsi="Verdana" w:cs="Century Gothic"/>
        </w:rPr>
        <w:t xml:space="preserve">i) que exista una separación artificial de un mismo objeto contractual y </w:t>
      </w:r>
      <w:proofErr w:type="spellStart"/>
      <w:r w:rsidRPr="0049433C">
        <w:rPr>
          <w:rFonts w:ascii="Verdana" w:eastAsia="Century Gothic" w:hAnsi="Verdana" w:cs="Century Gothic"/>
        </w:rPr>
        <w:t>ii</w:t>
      </w:r>
      <w:proofErr w:type="spellEnd"/>
      <w:r w:rsidRPr="0049433C">
        <w:rPr>
          <w:rFonts w:ascii="Verdana" w:eastAsia="Century Gothic" w:hAnsi="Verdana" w:cs="Century Gothic"/>
        </w:rPr>
        <w:t>) que dicha separación tenga como objetivo evitar procedimientos de convocatoria pública y de selección objetiva</w:t>
      </w:r>
      <w:r>
        <w:rPr>
          <w:rFonts w:ascii="Verdana" w:eastAsia="Century Gothic" w:hAnsi="Verdana" w:cs="Century Gothic"/>
        </w:rPr>
        <w:t>”</w:t>
      </w:r>
      <w:r w:rsidRPr="0049433C">
        <w:rPr>
          <w:rFonts w:ascii="Verdana" w:eastAsia="Century Gothic" w:hAnsi="Verdana" w:cs="Century Gothic"/>
        </w:rPr>
        <w:t>. De manera que estos elementos deberán ser constatados por la autoridad judicial competente para declarar una eventual nulidad absoluta del contrato.</w:t>
      </w:r>
    </w:p>
    <w:p w14:paraId="667D3FD3" w14:textId="33BAFE3D" w:rsidR="0007120B" w:rsidRDefault="0007120B" w:rsidP="0007120B">
      <w:pPr>
        <w:spacing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 xml:space="preserve">En este contexto, el </w:t>
      </w:r>
      <w:r w:rsidRPr="008B6B73">
        <w:rPr>
          <w:rFonts w:ascii="Verdana" w:eastAsia="Calibri" w:hAnsi="Verdana" w:cs="Arial"/>
          <w:bCs/>
          <w:i/>
          <w:iCs/>
          <w:color w:val="000000" w:themeColor="text1"/>
        </w:rPr>
        <w:t>fraccionamiento</w:t>
      </w:r>
      <w:r>
        <w:rPr>
          <w:rFonts w:ascii="Verdana" w:eastAsia="Calibri" w:hAnsi="Verdana" w:cs="Arial"/>
          <w:bCs/>
          <w:color w:val="000000" w:themeColor="text1"/>
        </w:rPr>
        <w:t xml:space="preserve"> implica </w:t>
      </w:r>
      <w:r w:rsidRPr="000759FD">
        <w:rPr>
          <w:rFonts w:ascii="Verdana" w:eastAsia="Calibri" w:hAnsi="Verdana" w:cs="Arial"/>
          <w:bCs/>
          <w:color w:val="000000" w:themeColor="text1"/>
        </w:rPr>
        <w:t xml:space="preserve">dividir </w:t>
      </w:r>
      <w:r>
        <w:rPr>
          <w:rFonts w:ascii="Verdana" w:eastAsia="Calibri" w:hAnsi="Verdana" w:cs="Arial"/>
          <w:bCs/>
          <w:color w:val="000000" w:themeColor="text1"/>
        </w:rPr>
        <w:t xml:space="preserve">las </w:t>
      </w:r>
      <w:r w:rsidRPr="000759FD">
        <w:rPr>
          <w:rFonts w:ascii="Verdana" w:eastAsia="Calibri" w:hAnsi="Verdana" w:cs="Arial"/>
          <w:bCs/>
          <w:color w:val="000000" w:themeColor="text1"/>
        </w:rPr>
        <w:t>prestaciones en dos o más contratos que</w:t>
      </w:r>
      <w:r>
        <w:rPr>
          <w:rFonts w:ascii="Verdana" w:eastAsia="Calibri" w:hAnsi="Verdana" w:cs="Arial"/>
          <w:bCs/>
          <w:color w:val="000000" w:themeColor="text1"/>
        </w:rPr>
        <w:t xml:space="preserve"> pueden</w:t>
      </w:r>
      <w:r w:rsidRPr="000759FD">
        <w:rPr>
          <w:rFonts w:ascii="Verdana" w:eastAsia="Calibri" w:hAnsi="Verdana" w:cs="Arial"/>
          <w:bCs/>
          <w:color w:val="000000" w:themeColor="text1"/>
        </w:rPr>
        <w:t xml:space="preserve"> constituir un único </w:t>
      </w:r>
      <w:r>
        <w:rPr>
          <w:rFonts w:ascii="Verdana" w:eastAsia="Calibri" w:hAnsi="Verdana" w:cs="Arial"/>
          <w:bCs/>
          <w:color w:val="000000" w:themeColor="text1"/>
        </w:rPr>
        <w:t xml:space="preserve">negocio jurídico. </w:t>
      </w:r>
      <w:r w:rsidRPr="000759FD">
        <w:rPr>
          <w:rFonts w:ascii="Verdana" w:eastAsia="Calibri" w:hAnsi="Verdana" w:cs="Arial"/>
          <w:bCs/>
          <w:color w:val="000000" w:themeColor="text1"/>
        </w:rPr>
        <w:t>Para demostrar</w:t>
      </w:r>
      <w:r>
        <w:rPr>
          <w:rFonts w:ascii="Verdana" w:eastAsia="Calibri" w:hAnsi="Verdana" w:cs="Arial"/>
          <w:bCs/>
          <w:color w:val="000000" w:themeColor="text1"/>
        </w:rPr>
        <w:t xml:space="preserve">lo </w:t>
      </w:r>
      <w:r w:rsidRPr="000759FD">
        <w:rPr>
          <w:rFonts w:ascii="Verdana" w:eastAsia="Calibri" w:hAnsi="Verdana" w:cs="Arial"/>
          <w:bCs/>
          <w:color w:val="000000" w:themeColor="text1"/>
        </w:rPr>
        <w:t xml:space="preserve">deben concurrir las siguientes circunstancias: i) que sea posible demostrar la unidad del objeto en relación con el contrato cuya legalidad se cuestiona y, de ser así, </w:t>
      </w:r>
      <w:proofErr w:type="spellStart"/>
      <w:r w:rsidRPr="000759FD">
        <w:rPr>
          <w:rFonts w:ascii="Verdana" w:eastAsia="Calibri" w:hAnsi="Verdana" w:cs="Arial"/>
          <w:bCs/>
          <w:color w:val="000000" w:themeColor="text1"/>
        </w:rPr>
        <w:t>ii</w:t>
      </w:r>
      <w:proofErr w:type="spellEnd"/>
      <w:r w:rsidRPr="000759FD">
        <w:rPr>
          <w:rFonts w:ascii="Verdana" w:eastAsia="Calibri" w:hAnsi="Verdana" w:cs="Arial"/>
          <w:bCs/>
          <w:color w:val="000000" w:themeColor="text1"/>
        </w:rPr>
        <w:t xml:space="preserve">) determinar cuáles fueron las circunstancias que condujeron a la </w:t>
      </w:r>
      <w:r>
        <w:rPr>
          <w:rFonts w:ascii="Verdana" w:eastAsia="Calibri" w:hAnsi="Verdana" w:cs="Arial"/>
          <w:bCs/>
          <w:color w:val="000000" w:themeColor="text1"/>
        </w:rPr>
        <w:t>A</w:t>
      </w:r>
      <w:r w:rsidRPr="000759FD">
        <w:rPr>
          <w:rFonts w:ascii="Verdana" w:eastAsia="Calibri" w:hAnsi="Verdana" w:cs="Arial"/>
          <w:bCs/>
          <w:color w:val="000000" w:themeColor="text1"/>
        </w:rPr>
        <w:t>dministración a celebrar varios contratos, pues s</w:t>
      </w:r>
      <w:r>
        <w:rPr>
          <w:rFonts w:ascii="Verdana" w:eastAsia="Calibri" w:hAnsi="Verdana" w:cs="Arial"/>
          <w:bCs/>
          <w:color w:val="000000" w:themeColor="text1"/>
        </w:rPr>
        <w:t>ó</w:t>
      </w:r>
      <w:r w:rsidRPr="000759FD">
        <w:rPr>
          <w:rFonts w:ascii="Verdana" w:eastAsia="Calibri" w:hAnsi="Verdana" w:cs="Arial"/>
          <w:bCs/>
          <w:color w:val="000000" w:themeColor="text1"/>
        </w:rPr>
        <w:t xml:space="preserve">lo de esta </w:t>
      </w:r>
      <w:r w:rsidRPr="000759FD">
        <w:rPr>
          <w:rFonts w:ascii="Verdana" w:eastAsia="Calibri" w:hAnsi="Verdana" w:cs="Arial"/>
          <w:bCs/>
          <w:color w:val="000000" w:themeColor="text1"/>
        </w:rPr>
        <w:lastRenderedPageBreak/>
        <w:t>manera puede inferir</w:t>
      </w:r>
      <w:r>
        <w:rPr>
          <w:rFonts w:ascii="Verdana" w:eastAsia="Calibri" w:hAnsi="Verdana" w:cs="Arial"/>
          <w:bCs/>
          <w:color w:val="000000" w:themeColor="text1"/>
        </w:rPr>
        <w:t>se</w:t>
      </w:r>
      <w:r w:rsidRPr="000759FD">
        <w:rPr>
          <w:rFonts w:ascii="Verdana" w:eastAsia="Calibri" w:hAnsi="Verdana" w:cs="Arial"/>
          <w:bCs/>
          <w:color w:val="000000" w:themeColor="text1"/>
        </w:rPr>
        <w:t xml:space="preserve"> si el actuar se basó en criterios razonables de interés público o</w:t>
      </w:r>
      <w:r>
        <w:rPr>
          <w:rFonts w:ascii="Verdana" w:eastAsia="Calibri" w:hAnsi="Verdana" w:cs="Arial"/>
          <w:bCs/>
          <w:color w:val="000000" w:themeColor="text1"/>
        </w:rPr>
        <w:t>,</w:t>
      </w:r>
      <w:r w:rsidRPr="000759FD">
        <w:rPr>
          <w:rFonts w:ascii="Verdana" w:eastAsia="Calibri" w:hAnsi="Verdana" w:cs="Arial"/>
          <w:bCs/>
          <w:color w:val="000000" w:themeColor="text1"/>
        </w:rPr>
        <w:t xml:space="preserve"> </w:t>
      </w:r>
      <w:proofErr w:type="gramStart"/>
      <w:r w:rsidRPr="000759FD">
        <w:rPr>
          <w:rFonts w:ascii="Verdana" w:eastAsia="Calibri" w:hAnsi="Verdana" w:cs="Arial"/>
          <w:bCs/>
          <w:color w:val="000000" w:themeColor="text1"/>
        </w:rPr>
        <w:t>si</w:t>
      </w:r>
      <w:proofErr w:type="gramEnd"/>
      <w:r w:rsidRPr="000759FD">
        <w:rPr>
          <w:rFonts w:ascii="Verdana" w:eastAsia="Calibri" w:hAnsi="Verdana" w:cs="Arial"/>
          <w:bCs/>
          <w:color w:val="000000" w:themeColor="text1"/>
        </w:rPr>
        <w:t xml:space="preserve"> por el contrario, los motivos fueron simulados y orientados a infringir las normas de la contratación pública.</w:t>
      </w:r>
      <w:r>
        <w:rPr>
          <w:rFonts w:ascii="Verdana" w:eastAsia="Calibri" w:hAnsi="Verdana" w:cs="Arial"/>
          <w:bCs/>
          <w:color w:val="000000" w:themeColor="text1"/>
        </w:rPr>
        <w:t xml:space="preserve"> </w:t>
      </w:r>
    </w:p>
    <w:p w14:paraId="06E81F0D" w14:textId="77777777" w:rsidR="0007120B" w:rsidRDefault="0007120B" w:rsidP="002F6426">
      <w:pPr>
        <w:spacing w:after="0" w:line="240" w:lineRule="auto"/>
        <w:rPr>
          <w:rFonts w:ascii="Verdana" w:eastAsia="Geomanist Light" w:hAnsi="Verdana" w:cs="Arial"/>
          <w:color w:val="000000" w:themeColor="text1"/>
          <w:lang w:val="es-MX"/>
        </w:rPr>
      </w:pPr>
    </w:p>
    <w:p w14:paraId="08BDD4BD" w14:textId="77777777" w:rsidR="0007120B" w:rsidRDefault="0007120B" w:rsidP="002F6426">
      <w:pPr>
        <w:spacing w:after="0" w:line="240" w:lineRule="auto"/>
        <w:rPr>
          <w:rFonts w:ascii="Verdana" w:eastAsia="Geomanist Light" w:hAnsi="Verdana" w:cs="Arial"/>
          <w:color w:val="000000" w:themeColor="text1"/>
          <w:lang w:val="es-MX"/>
        </w:rPr>
      </w:pPr>
    </w:p>
    <w:p w14:paraId="3C394BBC" w14:textId="77777777" w:rsidR="0007120B" w:rsidRDefault="0007120B" w:rsidP="002F6426">
      <w:pPr>
        <w:spacing w:after="0" w:line="240" w:lineRule="auto"/>
        <w:rPr>
          <w:rFonts w:ascii="Verdana" w:eastAsia="Geomanist Light" w:hAnsi="Verdana" w:cs="Arial"/>
          <w:color w:val="000000" w:themeColor="text1"/>
          <w:lang w:val="es-MX"/>
        </w:rPr>
      </w:pPr>
    </w:p>
    <w:p w14:paraId="1A7D1E49" w14:textId="77777777" w:rsidR="0007120B" w:rsidRDefault="0007120B" w:rsidP="002F6426">
      <w:pPr>
        <w:spacing w:after="0" w:line="240" w:lineRule="auto"/>
        <w:rPr>
          <w:rFonts w:ascii="Verdana" w:eastAsia="Geomanist Light" w:hAnsi="Verdana" w:cs="Arial"/>
          <w:color w:val="000000" w:themeColor="text1"/>
          <w:lang w:val="es-MX"/>
        </w:rPr>
      </w:pPr>
    </w:p>
    <w:p w14:paraId="04BF31E5" w14:textId="77777777" w:rsidR="0007120B" w:rsidRDefault="0007120B" w:rsidP="002F6426">
      <w:pPr>
        <w:spacing w:after="0" w:line="240" w:lineRule="auto"/>
        <w:rPr>
          <w:rFonts w:ascii="Verdana" w:eastAsia="Geomanist Light" w:hAnsi="Verdana" w:cs="Arial"/>
          <w:color w:val="000000" w:themeColor="text1"/>
          <w:lang w:val="es-MX"/>
        </w:rPr>
      </w:pPr>
    </w:p>
    <w:p w14:paraId="67599091" w14:textId="77777777" w:rsidR="0007120B" w:rsidRDefault="0007120B" w:rsidP="002F6426">
      <w:pPr>
        <w:spacing w:after="0" w:line="240" w:lineRule="auto"/>
        <w:rPr>
          <w:rFonts w:ascii="Verdana" w:eastAsia="Geomanist Light" w:hAnsi="Verdana" w:cs="Arial"/>
          <w:color w:val="000000" w:themeColor="text1"/>
          <w:lang w:val="es-MX"/>
        </w:rPr>
      </w:pPr>
    </w:p>
    <w:p w14:paraId="4E47623E" w14:textId="77777777" w:rsidR="0007120B" w:rsidRDefault="0007120B" w:rsidP="002F6426">
      <w:pPr>
        <w:spacing w:after="0" w:line="240" w:lineRule="auto"/>
        <w:rPr>
          <w:rFonts w:ascii="Verdana" w:eastAsia="Geomanist Light" w:hAnsi="Verdana" w:cs="Arial"/>
          <w:color w:val="000000" w:themeColor="text1"/>
          <w:lang w:val="es-MX"/>
        </w:rPr>
      </w:pPr>
    </w:p>
    <w:p w14:paraId="05FD23C4" w14:textId="77777777" w:rsidR="0007120B" w:rsidRDefault="0007120B" w:rsidP="002F6426">
      <w:pPr>
        <w:spacing w:after="0" w:line="240" w:lineRule="auto"/>
        <w:rPr>
          <w:rFonts w:ascii="Verdana" w:eastAsia="Geomanist Light" w:hAnsi="Verdana" w:cs="Arial"/>
          <w:color w:val="000000" w:themeColor="text1"/>
          <w:lang w:val="es-MX"/>
        </w:rPr>
      </w:pPr>
    </w:p>
    <w:p w14:paraId="6DA71361" w14:textId="77777777" w:rsidR="0007120B" w:rsidRDefault="0007120B" w:rsidP="002F6426">
      <w:pPr>
        <w:spacing w:after="0" w:line="240" w:lineRule="auto"/>
        <w:rPr>
          <w:rFonts w:ascii="Verdana" w:eastAsia="Geomanist Light" w:hAnsi="Verdana" w:cs="Arial"/>
          <w:color w:val="000000" w:themeColor="text1"/>
          <w:lang w:val="es-MX"/>
        </w:rPr>
      </w:pPr>
    </w:p>
    <w:p w14:paraId="249E9F5B" w14:textId="77777777" w:rsidR="0007120B" w:rsidRDefault="0007120B" w:rsidP="002F6426">
      <w:pPr>
        <w:spacing w:after="0" w:line="240" w:lineRule="auto"/>
        <w:rPr>
          <w:rFonts w:ascii="Verdana" w:eastAsia="Geomanist Light" w:hAnsi="Verdana" w:cs="Arial"/>
          <w:color w:val="000000" w:themeColor="text1"/>
          <w:lang w:val="es-MX"/>
        </w:rPr>
      </w:pPr>
    </w:p>
    <w:p w14:paraId="5E3B56B3" w14:textId="77777777" w:rsidR="0007120B" w:rsidRDefault="0007120B" w:rsidP="002F6426">
      <w:pPr>
        <w:spacing w:after="0" w:line="240" w:lineRule="auto"/>
        <w:rPr>
          <w:rFonts w:ascii="Verdana" w:eastAsia="Geomanist Light" w:hAnsi="Verdana" w:cs="Arial"/>
          <w:color w:val="000000" w:themeColor="text1"/>
          <w:lang w:val="es-MX"/>
        </w:rPr>
      </w:pPr>
    </w:p>
    <w:p w14:paraId="552DAA8A" w14:textId="77777777" w:rsidR="0007120B" w:rsidRDefault="0007120B" w:rsidP="002F6426">
      <w:pPr>
        <w:spacing w:after="0" w:line="240" w:lineRule="auto"/>
        <w:rPr>
          <w:rFonts w:ascii="Verdana" w:eastAsia="Geomanist Light" w:hAnsi="Verdana" w:cs="Arial"/>
          <w:color w:val="000000" w:themeColor="text1"/>
          <w:lang w:val="es-MX"/>
        </w:rPr>
      </w:pPr>
    </w:p>
    <w:p w14:paraId="5D8D29B7" w14:textId="77777777" w:rsidR="0007120B" w:rsidRDefault="0007120B" w:rsidP="002F6426">
      <w:pPr>
        <w:spacing w:after="0" w:line="240" w:lineRule="auto"/>
        <w:rPr>
          <w:rFonts w:ascii="Verdana" w:eastAsia="Geomanist Light" w:hAnsi="Verdana" w:cs="Arial"/>
          <w:color w:val="000000" w:themeColor="text1"/>
          <w:lang w:val="es-MX"/>
        </w:rPr>
      </w:pPr>
    </w:p>
    <w:p w14:paraId="3601F169" w14:textId="77777777" w:rsidR="0007120B" w:rsidRDefault="0007120B" w:rsidP="002F6426">
      <w:pPr>
        <w:spacing w:after="0" w:line="240" w:lineRule="auto"/>
        <w:rPr>
          <w:rFonts w:ascii="Verdana" w:eastAsia="Geomanist Light" w:hAnsi="Verdana" w:cs="Arial"/>
          <w:color w:val="000000" w:themeColor="text1"/>
          <w:lang w:val="es-MX"/>
        </w:rPr>
      </w:pPr>
    </w:p>
    <w:p w14:paraId="55181265" w14:textId="77777777" w:rsidR="0007120B" w:rsidRDefault="0007120B" w:rsidP="002F6426">
      <w:pPr>
        <w:spacing w:after="0" w:line="240" w:lineRule="auto"/>
        <w:rPr>
          <w:rFonts w:ascii="Verdana" w:eastAsia="Geomanist Light" w:hAnsi="Verdana" w:cs="Arial"/>
          <w:color w:val="000000" w:themeColor="text1"/>
          <w:lang w:val="es-MX"/>
        </w:rPr>
      </w:pPr>
    </w:p>
    <w:p w14:paraId="2014935F" w14:textId="77777777" w:rsidR="0007120B" w:rsidRDefault="0007120B" w:rsidP="002F6426">
      <w:pPr>
        <w:spacing w:after="0" w:line="240" w:lineRule="auto"/>
        <w:rPr>
          <w:rFonts w:ascii="Verdana" w:eastAsia="Geomanist Light" w:hAnsi="Verdana" w:cs="Arial"/>
          <w:color w:val="000000" w:themeColor="text1"/>
          <w:lang w:val="es-MX"/>
        </w:rPr>
      </w:pPr>
    </w:p>
    <w:p w14:paraId="049951C1" w14:textId="77777777" w:rsidR="0007120B" w:rsidRDefault="0007120B" w:rsidP="002F6426">
      <w:pPr>
        <w:spacing w:after="0" w:line="240" w:lineRule="auto"/>
        <w:rPr>
          <w:rFonts w:ascii="Verdana" w:eastAsia="Geomanist Light" w:hAnsi="Verdana" w:cs="Arial"/>
          <w:color w:val="000000" w:themeColor="text1"/>
          <w:lang w:val="es-MX"/>
        </w:rPr>
      </w:pPr>
    </w:p>
    <w:p w14:paraId="627A14FE" w14:textId="77777777" w:rsidR="0007120B" w:rsidRDefault="0007120B" w:rsidP="002F6426">
      <w:pPr>
        <w:spacing w:after="0" w:line="240" w:lineRule="auto"/>
        <w:rPr>
          <w:rFonts w:ascii="Verdana" w:eastAsia="Geomanist Light" w:hAnsi="Verdana" w:cs="Arial"/>
          <w:color w:val="000000" w:themeColor="text1"/>
          <w:lang w:val="es-MX"/>
        </w:rPr>
      </w:pPr>
    </w:p>
    <w:p w14:paraId="6BFAC869" w14:textId="77777777" w:rsidR="0007120B" w:rsidRDefault="0007120B" w:rsidP="002F6426">
      <w:pPr>
        <w:spacing w:after="0" w:line="240" w:lineRule="auto"/>
        <w:rPr>
          <w:rFonts w:ascii="Verdana" w:eastAsia="Geomanist Light" w:hAnsi="Verdana" w:cs="Arial"/>
          <w:color w:val="000000" w:themeColor="text1"/>
          <w:lang w:val="es-MX"/>
        </w:rPr>
      </w:pPr>
    </w:p>
    <w:p w14:paraId="59897B17" w14:textId="77777777" w:rsidR="0007120B" w:rsidRDefault="0007120B" w:rsidP="002F6426">
      <w:pPr>
        <w:spacing w:after="0" w:line="240" w:lineRule="auto"/>
        <w:rPr>
          <w:rFonts w:ascii="Verdana" w:eastAsia="Geomanist Light" w:hAnsi="Verdana" w:cs="Arial"/>
          <w:color w:val="000000" w:themeColor="text1"/>
          <w:lang w:val="es-MX"/>
        </w:rPr>
      </w:pPr>
    </w:p>
    <w:p w14:paraId="6C7025B0" w14:textId="77777777" w:rsidR="0007120B" w:rsidRDefault="0007120B" w:rsidP="002F6426">
      <w:pPr>
        <w:spacing w:after="0" w:line="240" w:lineRule="auto"/>
        <w:rPr>
          <w:rFonts w:ascii="Verdana" w:eastAsia="Geomanist Light" w:hAnsi="Verdana" w:cs="Arial"/>
          <w:color w:val="000000" w:themeColor="text1"/>
          <w:lang w:val="es-MX"/>
        </w:rPr>
      </w:pPr>
    </w:p>
    <w:p w14:paraId="592998D4" w14:textId="77777777" w:rsidR="0007120B" w:rsidRDefault="0007120B" w:rsidP="002F6426">
      <w:pPr>
        <w:spacing w:after="0" w:line="240" w:lineRule="auto"/>
        <w:rPr>
          <w:rFonts w:ascii="Verdana" w:eastAsia="Geomanist Light" w:hAnsi="Verdana" w:cs="Arial"/>
          <w:color w:val="000000" w:themeColor="text1"/>
          <w:lang w:val="es-MX"/>
        </w:rPr>
      </w:pPr>
    </w:p>
    <w:p w14:paraId="3B946041" w14:textId="77777777" w:rsidR="0007120B" w:rsidRDefault="0007120B" w:rsidP="002F6426">
      <w:pPr>
        <w:spacing w:after="0" w:line="240" w:lineRule="auto"/>
        <w:rPr>
          <w:rFonts w:ascii="Verdana" w:eastAsia="Geomanist Light" w:hAnsi="Verdana" w:cs="Arial"/>
          <w:color w:val="000000" w:themeColor="text1"/>
          <w:lang w:val="es-MX"/>
        </w:rPr>
      </w:pPr>
    </w:p>
    <w:p w14:paraId="3CC96995" w14:textId="77777777" w:rsidR="0007120B" w:rsidRDefault="0007120B" w:rsidP="002F6426">
      <w:pPr>
        <w:spacing w:after="0" w:line="240" w:lineRule="auto"/>
        <w:rPr>
          <w:rFonts w:ascii="Verdana" w:eastAsia="Geomanist Light" w:hAnsi="Verdana" w:cs="Arial"/>
          <w:color w:val="000000" w:themeColor="text1"/>
          <w:lang w:val="es-MX"/>
        </w:rPr>
      </w:pPr>
    </w:p>
    <w:p w14:paraId="749A56E4" w14:textId="77777777" w:rsidR="0007120B" w:rsidRDefault="0007120B" w:rsidP="002F6426">
      <w:pPr>
        <w:spacing w:after="0" w:line="240" w:lineRule="auto"/>
        <w:rPr>
          <w:rFonts w:ascii="Verdana" w:eastAsia="Geomanist Light" w:hAnsi="Verdana" w:cs="Arial"/>
          <w:color w:val="000000" w:themeColor="text1"/>
          <w:lang w:val="es-MX"/>
        </w:rPr>
      </w:pPr>
    </w:p>
    <w:p w14:paraId="2224A1C4" w14:textId="77777777" w:rsidR="0007120B" w:rsidRDefault="0007120B" w:rsidP="002F6426">
      <w:pPr>
        <w:spacing w:after="0" w:line="240" w:lineRule="auto"/>
        <w:rPr>
          <w:rFonts w:ascii="Verdana" w:eastAsia="Geomanist Light" w:hAnsi="Verdana" w:cs="Arial"/>
          <w:color w:val="000000" w:themeColor="text1"/>
          <w:lang w:val="es-MX"/>
        </w:rPr>
      </w:pPr>
    </w:p>
    <w:p w14:paraId="312AF2D7" w14:textId="77777777" w:rsidR="0007120B" w:rsidRDefault="0007120B" w:rsidP="002F6426">
      <w:pPr>
        <w:spacing w:after="0" w:line="240" w:lineRule="auto"/>
        <w:rPr>
          <w:rFonts w:ascii="Verdana" w:eastAsia="Geomanist Light" w:hAnsi="Verdana" w:cs="Arial"/>
          <w:color w:val="000000" w:themeColor="text1"/>
          <w:lang w:val="es-MX"/>
        </w:rPr>
      </w:pPr>
    </w:p>
    <w:p w14:paraId="075311C8" w14:textId="77777777" w:rsidR="0007120B" w:rsidRDefault="0007120B" w:rsidP="002F6426">
      <w:pPr>
        <w:spacing w:after="0" w:line="240" w:lineRule="auto"/>
        <w:rPr>
          <w:rFonts w:ascii="Verdana" w:eastAsia="Geomanist Light" w:hAnsi="Verdana" w:cs="Arial"/>
          <w:color w:val="000000" w:themeColor="text1"/>
          <w:lang w:val="es-MX"/>
        </w:rPr>
      </w:pPr>
    </w:p>
    <w:p w14:paraId="118F42A6" w14:textId="77777777" w:rsidR="0007120B" w:rsidRDefault="0007120B" w:rsidP="002F6426">
      <w:pPr>
        <w:spacing w:after="0" w:line="240" w:lineRule="auto"/>
        <w:rPr>
          <w:rFonts w:ascii="Verdana" w:eastAsia="Geomanist Light" w:hAnsi="Verdana" w:cs="Arial"/>
          <w:color w:val="000000" w:themeColor="text1"/>
          <w:lang w:val="es-MX"/>
        </w:rPr>
      </w:pPr>
    </w:p>
    <w:p w14:paraId="56D24396" w14:textId="77777777" w:rsidR="0007120B" w:rsidRDefault="0007120B" w:rsidP="002F6426">
      <w:pPr>
        <w:spacing w:after="0" w:line="240" w:lineRule="auto"/>
        <w:rPr>
          <w:rFonts w:ascii="Verdana" w:eastAsia="Geomanist Light" w:hAnsi="Verdana" w:cs="Arial"/>
          <w:color w:val="000000" w:themeColor="text1"/>
          <w:lang w:val="es-MX"/>
        </w:rPr>
      </w:pPr>
    </w:p>
    <w:p w14:paraId="1A1FA01A" w14:textId="77777777" w:rsidR="0007120B" w:rsidRDefault="0007120B" w:rsidP="002F6426">
      <w:pPr>
        <w:spacing w:after="0" w:line="240" w:lineRule="auto"/>
        <w:rPr>
          <w:rFonts w:ascii="Verdana" w:eastAsia="Geomanist Light" w:hAnsi="Verdana" w:cs="Arial"/>
          <w:color w:val="000000" w:themeColor="text1"/>
          <w:lang w:val="es-MX"/>
        </w:rPr>
      </w:pPr>
    </w:p>
    <w:p w14:paraId="276D915A" w14:textId="77777777" w:rsidR="0007120B" w:rsidRDefault="0007120B" w:rsidP="002F6426">
      <w:pPr>
        <w:spacing w:after="0" w:line="240" w:lineRule="auto"/>
        <w:rPr>
          <w:rFonts w:ascii="Verdana" w:eastAsia="Geomanist Light" w:hAnsi="Verdana" w:cs="Arial"/>
          <w:color w:val="000000" w:themeColor="text1"/>
          <w:lang w:val="es-MX"/>
        </w:rPr>
      </w:pPr>
    </w:p>
    <w:p w14:paraId="5F492CF7" w14:textId="77777777" w:rsidR="0007120B" w:rsidRDefault="0007120B" w:rsidP="002F6426">
      <w:pPr>
        <w:spacing w:after="0" w:line="240" w:lineRule="auto"/>
        <w:rPr>
          <w:rFonts w:ascii="Verdana" w:eastAsia="Geomanist Light" w:hAnsi="Verdana" w:cs="Arial"/>
          <w:color w:val="000000" w:themeColor="text1"/>
          <w:lang w:val="es-MX"/>
        </w:rPr>
      </w:pPr>
    </w:p>
    <w:p w14:paraId="0E7EB662" w14:textId="77777777" w:rsidR="0007120B" w:rsidRDefault="0007120B" w:rsidP="002F6426">
      <w:pPr>
        <w:spacing w:after="0" w:line="240" w:lineRule="auto"/>
        <w:rPr>
          <w:rFonts w:ascii="Verdana" w:eastAsia="Geomanist Light" w:hAnsi="Verdana" w:cs="Arial"/>
          <w:color w:val="000000" w:themeColor="text1"/>
          <w:lang w:val="es-MX"/>
        </w:rPr>
      </w:pPr>
    </w:p>
    <w:p w14:paraId="3FF9869F" w14:textId="77777777" w:rsidR="0007120B" w:rsidRDefault="0007120B" w:rsidP="002F6426">
      <w:pPr>
        <w:spacing w:after="0" w:line="240" w:lineRule="auto"/>
        <w:rPr>
          <w:rFonts w:ascii="Verdana" w:eastAsia="Geomanist Light" w:hAnsi="Verdana" w:cs="Arial"/>
          <w:color w:val="000000" w:themeColor="text1"/>
          <w:lang w:val="es-MX"/>
        </w:rPr>
      </w:pPr>
    </w:p>
    <w:p w14:paraId="57E59EA1" w14:textId="77777777" w:rsidR="0007120B" w:rsidRDefault="0007120B" w:rsidP="002F6426">
      <w:pPr>
        <w:spacing w:after="0" w:line="240" w:lineRule="auto"/>
        <w:rPr>
          <w:rFonts w:ascii="Verdana" w:eastAsia="Geomanist Light" w:hAnsi="Verdana" w:cs="Arial"/>
          <w:color w:val="000000" w:themeColor="text1"/>
          <w:lang w:val="es-MX"/>
        </w:rPr>
      </w:pPr>
    </w:p>
    <w:p w14:paraId="63C09814" w14:textId="77777777" w:rsidR="0007120B" w:rsidRDefault="0007120B" w:rsidP="002F6426">
      <w:pPr>
        <w:spacing w:after="0" w:line="240" w:lineRule="auto"/>
        <w:rPr>
          <w:rFonts w:ascii="Verdana" w:eastAsia="Geomanist Light" w:hAnsi="Verdana" w:cs="Arial"/>
          <w:color w:val="000000" w:themeColor="text1"/>
          <w:lang w:val="es-MX"/>
        </w:rPr>
      </w:pPr>
    </w:p>
    <w:p w14:paraId="34A048AC" w14:textId="77777777" w:rsidR="0007120B" w:rsidRDefault="0007120B" w:rsidP="002F6426">
      <w:pPr>
        <w:spacing w:after="0" w:line="240" w:lineRule="auto"/>
        <w:rPr>
          <w:rFonts w:ascii="Verdana" w:eastAsia="Geomanist Light" w:hAnsi="Verdana" w:cs="Arial"/>
          <w:color w:val="000000" w:themeColor="text1"/>
          <w:lang w:val="es-MX"/>
        </w:rPr>
      </w:pPr>
    </w:p>
    <w:p w14:paraId="0FEB0BF8" w14:textId="77777777" w:rsidR="0007120B" w:rsidRDefault="0007120B" w:rsidP="002F6426">
      <w:pPr>
        <w:spacing w:after="0" w:line="240" w:lineRule="auto"/>
        <w:rPr>
          <w:rFonts w:ascii="Verdana" w:eastAsia="Geomanist Light" w:hAnsi="Verdana" w:cs="Arial"/>
          <w:color w:val="000000" w:themeColor="text1"/>
          <w:lang w:val="es-MX"/>
        </w:rPr>
      </w:pPr>
    </w:p>
    <w:p w14:paraId="20B847B1" w14:textId="77777777" w:rsidR="0007120B" w:rsidRDefault="0007120B" w:rsidP="002F6426">
      <w:pPr>
        <w:spacing w:after="0" w:line="240" w:lineRule="auto"/>
        <w:rPr>
          <w:rFonts w:ascii="Verdana" w:eastAsia="Geomanist Light" w:hAnsi="Verdana" w:cs="Arial"/>
          <w:color w:val="000000" w:themeColor="text1"/>
          <w:lang w:val="es-MX"/>
        </w:rPr>
      </w:pPr>
    </w:p>
    <w:p w14:paraId="6B8FF4A0" w14:textId="4736E9E8" w:rsidR="002F6426" w:rsidRDefault="0007120B" w:rsidP="002F6426">
      <w:pPr>
        <w:spacing w:after="0" w:line="240" w:lineRule="auto"/>
        <w:rPr>
          <w:rFonts w:ascii="Verdana" w:eastAsia="Geomanist Light" w:hAnsi="Verdana" w:cs="Arial"/>
          <w:color w:val="201F1E"/>
          <w:lang w:val="es-MX"/>
        </w:rPr>
      </w:pPr>
      <w:r>
        <w:rPr>
          <w:rFonts w:ascii="Verdana" w:eastAsia="Calibri" w:hAnsi="Verdana" w:cs="Arial"/>
          <w:noProof/>
          <w:lang w:val="es-ES" w:eastAsia="es-ES"/>
        </w:rPr>
        <w:drawing>
          <wp:anchor distT="0" distB="0" distL="114300" distR="114300" simplePos="0" relativeHeight="251658240" behindDoc="0" locked="0" layoutInCell="1" allowOverlap="1" wp14:anchorId="1512FE2B" wp14:editId="71E9A056">
            <wp:simplePos x="0" y="0"/>
            <wp:positionH relativeFrom="column">
              <wp:posOffset>3726815</wp:posOffset>
            </wp:positionH>
            <wp:positionV relativeFrom="paragraph">
              <wp:posOffset>635</wp:posOffset>
            </wp:positionV>
            <wp:extent cx="2552700" cy="81915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2552700" cy="819150"/>
                    </a:xfrm>
                    <a:prstGeom prst="rect">
                      <a:avLst/>
                    </a:prstGeom>
                  </pic:spPr>
                </pic:pic>
              </a:graphicData>
            </a:graphic>
            <wp14:sizeRelH relativeFrom="page">
              <wp14:pctWidth>0</wp14:pctWidth>
            </wp14:sizeRelH>
            <wp14:sizeRelV relativeFrom="page">
              <wp14:pctHeight>0</wp14:pctHeight>
            </wp14:sizeRelV>
          </wp:anchor>
        </w:drawing>
      </w:r>
      <w:r w:rsidR="002F6426">
        <w:rPr>
          <w:rFonts w:ascii="Verdana" w:eastAsia="Geomanist Light" w:hAnsi="Verdana" w:cs="Arial"/>
          <w:color w:val="000000" w:themeColor="text1"/>
          <w:lang w:val="es-MX"/>
        </w:rPr>
        <w:t>Bogotá D.C., </w:t>
      </w:r>
      <w:r>
        <w:rPr>
          <w:rFonts w:ascii="Verdana" w:eastAsia="Geomanist Light" w:hAnsi="Verdana" w:cs="Arial"/>
          <w:color w:val="201F1E"/>
          <w:lang w:val="es-MX"/>
        </w:rPr>
        <w:t>11</w:t>
      </w:r>
      <w:r w:rsidR="002F6426" w:rsidRPr="00593A5F">
        <w:rPr>
          <w:rFonts w:ascii="Verdana" w:eastAsia="Geomanist Light" w:hAnsi="Verdana" w:cs="Arial"/>
          <w:color w:val="201F1E"/>
          <w:lang w:val="es-MX"/>
        </w:rPr>
        <w:t xml:space="preserve"> de </w:t>
      </w:r>
      <w:proofErr w:type="gramStart"/>
      <w:r>
        <w:rPr>
          <w:rFonts w:ascii="Verdana" w:eastAsia="Geomanist Light" w:hAnsi="Verdana" w:cs="Arial"/>
          <w:color w:val="201F1E"/>
          <w:lang w:val="es-MX"/>
        </w:rPr>
        <w:t>Agosto</w:t>
      </w:r>
      <w:proofErr w:type="gramEnd"/>
      <w:r w:rsidR="002F6426" w:rsidRPr="00593A5F">
        <w:rPr>
          <w:rFonts w:ascii="Verdana" w:eastAsia="Geomanist Light" w:hAnsi="Verdana" w:cs="Arial"/>
          <w:color w:val="201F1E"/>
          <w:lang w:val="es-MX"/>
        </w:rPr>
        <w:t xml:space="preserve"> de </w:t>
      </w:r>
      <w:r>
        <w:rPr>
          <w:rFonts w:ascii="Verdana" w:eastAsia="Geomanist Light" w:hAnsi="Verdana" w:cs="Arial"/>
          <w:color w:val="201F1E"/>
          <w:lang w:val="es-MX"/>
        </w:rPr>
        <w:t>2025</w:t>
      </w:r>
    </w:p>
    <w:p w14:paraId="0CA87D96" w14:textId="05706311" w:rsidR="002F6426" w:rsidRDefault="002F6426" w:rsidP="002F6426">
      <w:pPr>
        <w:spacing w:after="0" w:line="240" w:lineRule="auto"/>
        <w:jc w:val="both"/>
        <w:rPr>
          <w:rFonts w:ascii="Verdana" w:eastAsia="Calibri" w:hAnsi="Verdana" w:cs="Arial"/>
          <w:color w:val="000000"/>
          <w:lang w:val="es-ES"/>
        </w:rPr>
      </w:pPr>
    </w:p>
    <w:p w14:paraId="36E6A6DB" w14:textId="2804B6F0" w:rsidR="002F6426" w:rsidRDefault="002F6426" w:rsidP="002F6426">
      <w:pPr>
        <w:spacing w:after="0" w:line="240" w:lineRule="auto"/>
        <w:jc w:val="both"/>
        <w:rPr>
          <w:rFonts w:ascii="Verdana" w:eastAsia="Calibri" w:hAnsi="Verdana" w:cs="Arial"/>
          <w:lang w:val="es-ES" w:eastAsia="es-ES"/>
        </w:rPr>
      </w:pPr>
      <w:r>
        <w:rPr>
          <w:rFonts w:ascii="Verdana" w:eastAsia="Calibri" w:hAnsi="Verdana" w:cs="Arial"/>
          <w:lang w:val="es-ES" w:eastAsia="es-ES"/>
        </w:rPr>
        <w:t>Señora</w:t>
      </w:r>
    </w:p>
    <w:p w14:paraId="499BDE59" w14:textId="77777777" w:rsidR="002F6426" w:rsidRDefault="002F6426" w:rsidP="002F6426">
      <w:pPr>
        <w:spacing w:after="0" w:line="240" w:lineRule="auto"/>
        <w:rPr>
          <w:rFonts w:ascii="Verdana" w:eastAsia="Calibri" w:hAnsi="Verdana" w:cs="Arial"/>
          <w:b/>
          <w:lang w:val="es-ES" w:eastAsia="es-ES"/>
        </w:rPr>
      </w:pPr>
      <w:proofErr w:type="spellStart"/>
      <w:r>
        <w:rPr>
          <w:rFonts w:ascii="Verdana" w:eastAsia="Calibri" w:hAnsi="Verdana" w:cs="Arial"/>
          <w:b/>
          <w:lang w:val="es-ES" w:eastAsia="es-ES"/>
        </w:rPr>
        <w:t>Mileddy</w:t>
      </w:r>
      <w:proofErr w:type="spellEnd"/>
      <w:r>
        <w:rPr>
          <w:rFonts w:ascii="Verdana" w:eastAsia="Calibri" w:hAnsi="Verdana" w:cs="Arial"/>
          <w:b/>
          <w:lang w:val="es-ES" w:eastAsia="es-ES"/>
        </w:rPr>
        <w:t xml:space="preserve"> Muñoz Collo</w:t>
      </w:r>
    </w:p>
    <w:p w14:paraId="142F3F59" w14:textId="77777777" w:rsidR="007D0BB2" w:rsidRPr="007811F0" w:rsidRDefault="007D0BB2" w:rsidP="007D0BB2">
      <w:pPr>
        <w:spacing w:after="0" w:line="240" w:lineRule="auto"/>
        <w:rPr>
          <w:rFonts w:ascii="Verdana" w:eastAsia="Calibri" w:hAnsi="Verdana" w:cs="Arial"/>
          <w:bCs/>
          <w:lang w:val="es-ES" w:eastAsia="es-ES"/>
        </w:rPr>
      </w:pPr>
      <w:r w:rsidRPr="007811F0">
        <w:rPr>
          <w:rFonts w:ascii="Verdana" w:eastAsia="Calibri" w:hAnsi="Verdana" w:cs="Arial"/>
          <w:bCs/>
          <w:lang w:val="es-ES" w:eastAsia="es-ES"/>
        </w:rPr>
        <w:t>Profesional Universitario</w:t>
      </w:r>
    </w:p>
    <w:p w14:paraId="4656A963" w14:textId="0305FF5F" w:rsidR="007D0BB2" w:rsidRDefault="007D0BB2" w:rsidP="007D0BB2">
      <w:pPr>
        <w:spacing w:after="0" w:line="240" w:lineRule="auto"/>
        <w:rPr>
          <w:rFonts w:ascii="Verdana" w:eastAsia="Calibri" w:hAnsi="Verdana" w:cs="Arial"/>
          <w:b/>
          <w:lang w:val="es-ES" w:eastAsia="es-ES"/>
        </w:rPr>
      </w:pPr>
      <w:r w:rsidRPr="007D0BB2">
        <w:rPr>
          <w:rFonts w:ascii="Verdana" w:eastAsia="Calibri" w:hAnsi="Verdana" w:cs="Arial"/>
          <w:b/>
          <w:lang w:val="es-ES" w:eastAsia="es-ES"/>
        </w:rPr>
        <w:t>Secretaría de Educación y Cultura del Cauc</w:t>
      </w:r>
      <w:r w:rsidR="00240F17">
        <w:rPr>
          <w:rFonts w:ascii="Verdana" w:eastAsia="Calibri" w:hAnsi="Verdana" w:cs="Arial"/>
          <w:b/>
          <w:lang w:val="es-ES" w:eastAsia="es-ES"/>
        </w:rPr>
        <w:t>a</w:t>
      </w:r>
    </w:p>
    <w:p w14:paraId="7BADDE69" w14:textId="4BBB34F2" w:rsidR="002F6426" w:rsidRDefault="002F6426" w:rsidP="002F6426">
      <w:pPr>
        <w:spacing w:after="0" w:line="240" w:lineRule="auto"/>
        <w:rPr>
          <w:rFonts w:ascii="ArialMT" w:hAnsi="ArialMT" w:cs="ArialMT"/>
        </w:rPr>
      </w:pPr>
      <w:hyperlink r:id="rId12" w:history="1">
        <w:r w:rsidRPr="00C43DF4">
          <w:rPr>
            <w:rStyle w:val="Hipervnculo"/>
            <w:rFonts w:ascii="ArialMT" w:hAnsi="ArialMT" w:cs="ArialMT"/>
          </w:rPr>
          <w:t>mileddy.munoz@cauca.gov.co</w:t>
        </w:r>
      </w:hyperlink>
      <w:r>
        <w:rPr>
          <w:rFonts w:ascii="ArialMT" w:hAnsi="ArialMT" w:cs="ArialMT"/>
        </w:rPr>
        <w:t xml:space="preserve"> </w:t>
      </w:r>
    </w:p>
    <w:p w14:paraId="583A596E" w14:textId="0B938DE8" w:rsidR="002F6426" w:rsidRDefault="002F6426" w:rsidP="002F6426">
      <w:pPr>
        <w:spacing w:after="0" w:line="240" w:lineRule="auto"/>
        <w:rPr>
          <w:rFonts w:ascii="ArialMT" w:hAnsi="ArialMT" w:cs="ArialMT"/>
        </w:rPr>
      </w:pPr>
      <w:r>
        <w:rPr>
          <w:rFonts w:ascii="Verdana" w:eastAsia="Calibri" w:hAnsi="Verdana" w:cs="Arial"/>
          <w:lang w:val="es-ES" w:eastAsia="es-ES"/>
        </w:rPr>
        <w:t>Popayán</w:t>
      </w:r>
      <w:r w:rsidR="009D7725">
        <w:rPr>
          <w:rFonts w:ascii="Verdana" w:eastAsia="Calibri" w:hAnsi="Verdana" w:cs="Arial"/>
          <w:lang w:val="es-ES" w:eastAsia="es-ES"/>
        </w:rPr>
        <w:t>, Cauca</w:t>
      </w:r>
    </w:p>
    <w:p w14:paraId="5185B165" w14:textId="77777777" w:rsidR="002F6426" w:rsidRDefault="002F6426" w:rsidP="002F6426">
      <w:pPr>
        <w:spacing w:after="0" w:line="240" w:lineRule="auto"/>
        <w:rPr>
          <w:rFonts w:ascii="Verdana" w:eastAsia="Calibri" w:hAnsi="Verdana" w:cs="Arial"/>
          <w:b/>
          <w:bCs/>
          <w:color w:val="000000"/>
          <w:lang w:val="es-ES_tradnl" w:eastAsia="es-ES_tradnl"/>
        </w:rPr>
      </w:pPr>
    </w:p>
    <w:p w14:paraId="10F340C4" w14:textId="77777777" w:rsidR="002F6426" w:rsidRDefault="002F6426" w:rsidP="002F6426">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F6426" w14:paraId="244A53DC" w14:textId="77777777" w:rsidTr="00B417E6">
        <w:trPr>
          <w:trHeight w:val="218"/>
        </w:trPr>
        <w:tc>
          <w:tcPr>
            <w:tcW w:w="2689" w:type="dxa"/>
          </w:tcPr>
          <w:p w14:paraId="5F086735" w14:textId="77777777" w:rsidR="002F6426" w:rsidRDefault="002F6426" w:rsidP="00B417E6">
            <w:pPr>
              <w:spacing w:line="240" w:lineRule="auto"/>
              <w:jc w:val="both"/>
              <w:rPr>
                <w:rFonts w:ascii="Verdana" w:eastAsia="Calibri" w:hAnsi="Verdana" w:cs="Arial"/>
                <w:b/>
                <w:bCs/>
                <w:color w:val="7030A0"/>
                <w:lang w:val="es-ES_tradnl" w:eastAsia="es-ES_tradnl"/>
              </w:rPr>
            </w:pPr>
          </w:p>
        </w:tc>
        <w:tc>
          <w:tcPr>
            <w:tcW w:w="6100" w:type="dxa"/>
            <w:hideMark/>
          </w:tcPr>
          <w:p w14:paraId="606C4B72" w14:textId="77777777" w:rsidR="002F6426" w:rsidRDefault="002F6426" w:rsidP="00B417E6">
            <w:pPr>
              <w:spacing w:line="240" w:lineRule="auto"/>
              <w:jc w:val="both"/>
              <w:rPr>
                <w:rFonts w:ascii="Verdana" w:eastAsia="Calibri" w:hAnsi="Verdana" w:cs="Arial"/>
                <w:b/>
                <w:bCs/>
                <w:lang w:val="es-ES" w:eastAsia="es-ES"/>
              </w:rPr>
            </w:pPr>
            <w:r>
              <w:rPr>
                <w:rFonts w:ascii="Verdana" w:eastAsia="Calibri" w:hAnsi="Verdana" w:cs="Arial"/>
                <w:b/>
                <w:bCs/>
                <w:lang w:val="es-ES" w:eastAsia="es-ES"/>
              </w:rPr>
              <w:t>Concepto C-843 de 2025</w:t>
            </w:r>
          </w:p>
          <w:p w14:paraId="35974389" w14:textId="77777777" w:rsidR="002F6426" w:rsidRDefault="002F6426" w:rsidP="00B417E6">
            <w:pPr>
              <w:spacing w:line="240" w:lineRule="auto"/>
              <w:jc w:val="both"/>
              <w:rPr>
                <w:rFonts w:ascii="Verdana" w:eastAsia="Calibri" w:hAnsi="Verdana" w:cs="Arial"/>
                <w:b/>
                <w:bCs/>
                <w:lang w:val="es-ES" w:eastAsia="es-ES"/>
              </w:rPr>
            </w:pPr>
          </w:p>
          <w:p w14:paraId="0706A08F" w14:textId="77777777" w:rsidR="002F6426" w:rsidRDefault="002F6426" w:rsidP="00B417E6">
            <w:pPr>
              <w:spacing w:line="240" w:lineRule="auto"/>
              <w:jc w:val="both"/>
              <w:rPr>
                <w:rFonts w:ascii="Verdana" w:eastAsia="Calibri" w:hAnsi="Verdana" w:cs="Arial"/>
                <w:b/>
                <w:bCs/>
                <w:lang w:val="es-ES" w:eastAsia="es-ES"/>
              </w:rPr>
            </w:pPr>
          </w:p>
        </w:tc>
      </w:tr>
      <w:tr w:rsidR="002F6426" w14:paraId="3580DDE6" w14:textId="77777777" w:rsidTr="00B417E6">
        <w:trPr>
          <w:trHeight w:val="884"/>
        </w:trPr>
        <w:tc>
          <w:tcPr>
            <w:tcW w:w="2689" w:type="dxa"/>
            <w:hideMark/>
          </w:tcPr>
          <w:p w14:paraId="527FE474" w14:textId="77777777" w:rsidR="002F6426" w:rsidRDefault="002F6426" w:rsidP="00B417E6">
            <w:pPr>
              <w:spacing w:line="240" w:lineRule="auto"/>
              <w:jc w:val="both"/>
              <w:rPr>
                <w:rFonts w:ascii="Verdana" w:eastAsia="Calibri" w:hAnsi="Verdana" w:cs="Arial"/>
                <w:color w:val="000000"/>
                <w:lang w:val="es-ES_tradnl" w:eastAsia="es-ES_tradnl"/>
              </w:rPr>
            </w:pPr>
            <w:r>
              <w:rPr>
                <w:rFonts w:ascii="Verdana" w:eastAsia="Calibri" w:hAnsi="Verdana" w:cs="Arial"/>
                <w:b/>
                <w:color w:val="000000"/>
                <w:lang w:val="es-ES_tradnl" w:eastAsia="es-ES_tradnl"/>
              </w:rPr>
              <w:t>Temas:</w:t>
            </w:r>
            <w:r>
              <w:rPr>
                <w:rFonts w:ascii="Verdana" w:eastAsia="Calibri" w:hAnsi="Verdana" w:cs="Arial"/>
                <w:color w:val="000000"/>
                <w:lang w:val="es-ES_tradnl" w:eastAsia="es-ES_tradnl"/>
              </w:rPr>
              <w:t xml:space="preserve">                   </w:t>
            </w:r>
          </w:p>
        </w:tc>
        <w:tc>
          <w:tcPr>
            <w:tcW w:w="6100" w:type="dxa"/>
            <w:hideMark/>
          </w:tcPr>
          <w:p w14:paraId="0F6C2590" w14:textId="4958242F" w:rsidR="002F6426" w:rsidRPr="0027034B" w:rsidRDefault="002F6426" w:rsidP="00B417E6">
            <w:pPr>
              <w:jc w:val="both"/>
              <w:rPr>
                <w:rFonts w:ascii="Verdana" w:hAnsi="Verdana" w:cs="Arial"/>
                <w:lang w:val="es-ES" w:eastAsia="es-ES"/>
              </w:rPr>
            </w:pPr>
            <w:r>
              <w:rPr>
                <w:rFonts w:ascii="Verdana" w:hAnsi="Verdana" w:cs="Arial"/>
                <w:lang w:val="es-ES" w:eastAsia="es-ES"/>
              </w:rPr>
              <w:t>PLAN ANUAL DE ADQUISICIONES – Guía para elaborar el plan anual de adquisiciones – Adquisiciones a relacionar – Reglas para actualizarlo /</w:t>
            </w:r>
            <w:r w:rsidR="00FF129E">
              <w:rPr>
                <w:rFonts w:ascii="Verdana" w:hAnsi="Verdana" w:cs="Arial"/>
                <w:lang w:val="es-ES" w:eastAsia="es-ES"/>
              </w:rPr>
              <w:t xml:space="preserve"> </w:t>
            </w:r>
            <w:r>
              <w:rPr>
                <w:rFonts w:ascii="Verdana" w:hAnsi="Verdana" w:cs="Arial"/>
                <w:lang w:val="es-ES" w:eastAsia="es-ES"/>
              </w:rPr>
              <w:t xml:space="preserve">FRACCIONAMIENTO CONTRACTUAL – Jurisprudencia – Elementos – Unidad de objeto </w:t>
            </w:r>
          </w:p>
          <w:p w14:paraId="42E9BC9C" w14:textId="77777777" w:rsidR="002F6426" w:rsidRDefault="002F6426" w:rsidP="00B417E6">
            <w:pPr>
              <w:spacing w:line="276" w:lineRule="auto"/>
              <w:jc w:val="both"/>
              <w:rPr>
                <w:rFonts w:ascii="Verdana" w:hAnsi="Verdana" w:cs="Arial"/>
                <w:bCs/>
                <w:lang w:val="es-ES_tradnl" w:eastAsia="es-ES"/>
              </w:rPr>
            </w:pPr>
          </w:p>
          <w:p w14:paraId="1BF58876" w14:textId="77777777" w:rsidR="002F6426" w:rsidRDefault="002F6426" w:rsidP="00B417E6">
            <w:pPr>
              <w:spacing w:line="276" w:lineRule="auto"/>
              <w:jc w:val="both"/>
              <w:rPr>
                <w:rFonts w:ascii="Verdana" w:eastAsia="Calibri" w:hAnsi="Verdana" w:cs="Arial"/>
                <w:lang w:val="es-ES" w:eastAsia="es-ES"/>
              </w:rPr>
            </w:pPr>
          </w:p>
        </w:tc>
      </w:tr>
      <w:tr w:rsidR="002F6426" w14:paraId="18DE7BDA" w14:textId="77777777" w:rsidTr="00B417E6">
        <w:tc>
          <w:tcPr>
            <w:tcW w:w="2689" w:type="dxa"/>
            <w:hideMark/>
          </w:tcPr>
          <w:p w14:paraId="2BCDA1E3" w14:textId="77777777" w:rsidR="002F6426" w:rsidRDefault="002F6426" w:rsidP="00B417E6">
            <w:pPr>
              <w:spacing w:line="240" w:lineRule="auto"/>
              <w:jc w:val="both"/>
              <w:rPr>
                <w:rFonts w:ascii="Verdana" w:eastAsia="Calibri" w:hAnsi="Verdana" w:cs="Arial"/>
                <w:b/>
                <w:color w:val="7030A0"/>
                <w:lang w:val="es-ES_tradnl" w:eastAsia="es-ES_tradnl"/>
              </w:rPr>
            </w:pPr>
            <w:r>
              <w:rPr>
                <w:rFonts w:ascii="Verdana" w:eastAsia="Calibri" w:hAnsi="Verdana" w:cs="Arial"/>
                <w:b/>
                <w:lang w:val="es-ES_tradnl" w:eastAsia="es-ES_tradnl"/>
              </w:rPr>
              <w:t>Radicación:</w:t>
            </w:r>
            <w:r>
              <w:rPr>
                <w:rFonts w:ascii="Verdana" w:eastAsia="Calibri" w:hAnsi="Verdana" w:cs="Arial"/>
                <w:lang w:val="es-ES_tradnl" w:eastAsia="es-ES_tradnl"/>
              </w:rPr>
              <w:t xml:space="preserve">               </w:t>
            </w:r>
          </w:p>
        </w:tc>
        <w:tc>
          <w:tcPr>
            <w:tcW w:w="6100" w:type="dxa"/>
          </w:tcPr>
          <w:p w14:paraId="0AC8596F" w14:textId="77777777" w:rsidR="002F6426" w:rsidRPr="00713796" w:rsidRDefault="002F6426" w:rsidP="00B417E6">
            <w:pPr>
              <w:spacing w:line="240" w:lineRule="auto"/>
              <w:jc w:val="both"/>
              <w:rPr>
                <w:rFonts w:ascii="Verdana" w:eastAsia="Calibri" w:hAnsi="Verdana" w:cs="Arial"/>
                <w:lang w:val="es-ES_tradnl" w:eastAsia="es-ES_tradnl"/>
              </w:rPr>
            </w:pPr>
            <w:r>
              <w:rPr>
                <w:rFonts w:ascii="Verdana" w:eastAsia="Calibri" w:hAnsi="Verdana" w:cs="Arial"/>
                <w:lang w:val="es-ES_tradnl" w:eastAsia="es-ES_tradnl"/>
              </w:rPr>
              <w:t xml:space="preserve">Respuesta a consulta con radicado No. </w:t>
            </w:r>
            <w:r w:rsidRPr="00B63A4C">
              <w:rPr>
                <w:rFonts w:ascii="Verdana" w:hAnsi="Verdana" w:cs="Calibri"/>
              </w:rPr>
              <w:t>1_2025_06_26_006379</w:t>
            </w:r>
          </w:p>
          <w:p w14:paraId="431BB43E" w14:textId="77777777" w:rsidR="002F6426" w:rsidRDefault="002F6426" w:rsidP="00B417E6">
            <w:pPr>
              <w:spacing w:line="240" w:lineRule="auto"/>
              <w:jc w:val="both"/>
              <w:rPr>
                <w:rFonts w:ascii="Verdana" w:eastAsia="Calibri" w:hAnsi="Verdana" w:cs="Arial"/>
                <w:lang w:val="es-ES_tradnl" w:eastAsia="es-ES_tradnl"/>
              </w:rPr>
            </w:pPr>
          </w:p>
        </w:tc>
      </w:tr>
    </w:tbl>
    <w:p w14:paraId="45AE3327" w14:textId="77777777" w:rsidR="002F6426" w:rsidRDefault="002F6426" w:rsidP="002F6426">
      <w:pPr>
        <w:spacing w:after="0" w:line="240" w:lineRule="auto"/>
        <w:jc w:val="both"/>
        <w:rPr>
          <w:rFonts w:ascii="Verdana" w:eastAsia="Calibri" w:hAnsi="Verdana" w:cs="Arial"/>
          <w:color w:val="000000"/>
          <w:lang w:val="es-ES_tradnl" w:eastAsia="es-ES_tradnl"/>
        </w:rPr>
      </w:pPr>
    </w:p>
    <w:p w14:paraId="46ED3B8E" w14:textId="77777777" w:rsidR="002F6426" w:rsidRDefault="002F6426" w:rsidP="002F6426">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Estimada señora Muñoz,</w:t>
      </w:r>
    </w:p>
    <w:p w14:paraId="16128F01" w14:textId="77777777" w:rsidR="002F6426" w:rsidRDefault="002F6426" w:rsidP="002F6426">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104D9BA" w14:textId="77777777" w:rsidR="002F6426" w:rsidRDefault="002F6426" w:rsidP="002F6426">
      <w:pPr>
        <w:spacing w:after="0" w:line="276" w:lineRule="auto"/>
        <w:ind w:right="49"/>
        <w:jc w:val="both"/>
        <w:rPr>
          <w:rFonts w:ascii="Verdana" w:eastAsia="Calibri" w:hAnsi="Verdana" w:cs="Arial"/>
          <w:color w:val="7030A0"/>
          <w:lang w:val="es-ES" w:eastAsia="es-ES"/>
        </w:rPr>
      </w:pPr>
      <w:r>
        <w:rPr>
          <w:rFonts w:ascii="Verdana" w:eastAsia="Calibri" w:hAnsi="Verdana" w:cs="Arial"/>
          <w:color w:val="000000" w:themeColor="text1"/>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rPr>
        <w:t xml:space="preserve">así como lo establecido en el artículo 4 de la Resolución 1707 de 2018 expedida por esta Entidad, </w:t>
      </w:r>
      <w:r>
        <w:rPr>
          <w:rFonts w:ascii="Verdana" w:eastAsia="Calibri" w:hAnsi="Verdana" w:cs="Arial"/>
          <w:lang w:val="es-ES" w:eastAsia="es-ES"/>
        </w:rPr>
        <w:t xml:space="preserve">la Agencia Nacional de Contratación Pública – Colombia Compra Eficiente– responde su solicitud de consulta de fecha 26 de junio de 2025, en la cual manifiesta lo siguiente: </w:t>
      </w:r>
    </w:p>
    <w:p w14:paraId="12218F89" w14:textId="77777777" w:rsidR="002F6426" w:rsidRDefault="002F6426" w:rsidP="002F6426">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C8C41E1" w14:textId="77777777" w:rsidR="002F6426" w:rsidRDefault="002F6426" w:rsidP="005D0607">
      <w:pPr>
        <w:spacing w:after="0" w:line="240" w:lineRule="auto"/>
        <w:ind w:left="709" w:right="709"/>
        <w:jc w:val="both"/>
        <w:rPr>
          <w:rFonts w:ascii="Verdana" w:eastAsia="Century Gothic" w:hAnsi="Verdana" w:cs="Century Gothic"/>
          <w:sz w:val="20"/>
          <w:szCs w:val="20"/>
          <w:lang w:val="es-ES"/>
        </w:rPr>
      </w:pPr>
      <w:r>
        <w:rPr>
          <w:rFonts w:ascii="Verdana" w:eastAsia="Century Gothic" w:hAnsi="Verdana" w:cs="Century Gothic"/>
          <w:sz w:val="20"/>
          <w:szCs w:val="20"/>
          <w:lang w:val="es-ES"/>
        </w:rPr>
        <w:t>“[…]</w:t>
      </w:r>
    </w:p>
    <w:p w14:paraId="1BC816AD" w14:textId="77777777" w:rsidR="002F6426" w:rsidRPr="008C1F0D" w:rsidRDefault="002F6426" w:rsidP="005D0607">
      <w:pPr>
        <w:spacing w:after="0" w:line="240" w:lineRule="auto"/>
        <w:ind w:left="709" w:right="709"/>
        <w:jc w:val="both"/>
        <w:rPr>
          <w:rFonts w:ascii="Verdana" w:eastAsia="Century Gothic" w:hAnsi="Verdana" w:cs="Century Gothic"/>
          <w:sz w:val="20"/>
          <w:szCs w:val="20"/>
          <w:lang w:val="es-ES"/>
        </w:rPr>
      </w:pPr>
      <w:r w:rsidRPr="008C1F0D">
        <w:rPr>
          <w:rFonts w:ascii="Verdana" w:eastAsia="Century Gothic" w:hAnsi="Verdana" w:cs="Century Gothic"/>
          <w:sz w:val="20"/>
          <w:szCs w:val="20"/>
          <w:lang w:val="es-ES"/>
        </w:rPr>
        <w:t>A partir de lo anterior, de manera respetuosa solicitamos a esa Dirección un concepto sobre la siguiente situación:</w:t>
      </w:r>
    </w:p>
    <w:p w14:paraId="0B42D742" w14:textId="77777777" w:rsidR="003C14D2" w:rsidRDefault="003C14D2" w:rsidP="00EF003F">
      <w:pPr>
        <w:spacing w:after="0" w:line="240" w:lineRule="auto"/>
        <w:ind w:left="709" w:right="709"/>
        <w:jc w:val="both"/>
        <w:rPr>
          <w:rFonts w:ascii="Verdana" w:eastAsia="Century Gothic" w:hAnsi="Verdana" w:cs="Century Gothic"/>
          <w:sz w:val="20"/>
          <w:szCs w:val="20"/>
          <w:lang w:val="es-ES"/>
        </w:rPr>
      </w:pPr>
    </w:p>
    <w:p w14:paraId="661ABEB1" w14:textId="77777777" w:rsidR="002F6426" w:rsidRPr="008C1F0D" w:rsidRDefault="002F6426" w:rsidP="005D0607">
      <w:pPr>
        <w:spacing w:after="0" w:line="240" w:lineRule="auto"/>
        <w:ind w:left="709" w:right="709"/>
        <w:jc w:val="both"/>
        <w:rPr>
          <w:rFonts w:ascii="Verdana" w:eastAsia="Century Gothic" w:hAnsi="Verdana" w:cs="Century Gothic"/>
          <w:sz w:val="20"/>
          <w:szCs w:val="20"/>
          <w:lang w:val="es-ES"/>
        </w:rPr>
      </w:pPr>
      <w:r w:rsidRPr="008C1F0D">
        <w:rPr>
          <w:rFonts w:ascii="Verdana" w:eastAsia="Century Gothic" w:hAnsi="Verdana" w:cs="Century Gothic"/>
          <w:sz w:val="20"/>
          <w:szCs w:val="20"/>
          <w:lang w:val="es-ES"/>
        </w:rPr>
        <w:t>¿Es jurídicamente viable y conveniente, desde la óptica de la planeación y la gestión contractual, ajustar el Plan Anual de Adquisiciones desagregando por cada establecimiento educativo, y realizar procesos contractuales de forma independiente para cada uno, en la medida que los recursos provienen de fuentes distintas y atienden necesidades específicas, sin que ello configure un fraccionamiento del objeto contractual?</w:t>
      </w:r>
    </w:p>
    <w:p w14:paraId="0879BBC0" w14:textId="77777777" w:rsidR="003C14D2" w:rsidRDefault="003C14D2" w:rsidP="00EF003F">
      <w:pPr>
        <w:spacing w:after="0" w:line="240" w:lineRule="auto"/>
        <w:ind w:left="709" w:right="709"/>
        <w:jc w:val="both"/>
        <w:rPr>
          <w:rFonts w:ascii="Verdana" w:eastAsia="Century Gothic" w:hAnsi="Verdana" w:cs="Century Gothic"/>
          <w:sz w:val="20"/>
          <w:szCs w:val="20"/>
          <w:lang w:val="es-ES"/>
        </w:rPr>
      </w:pPr>
    </w:p>
    <w:p w14:paraId="2B126FF5" w14:textId="77777777" w:rsidR="002F6426" w:rsidRDefault="002F6426" w:rsidP="005D0607">
      <w:pPr>
        <w:spacing w:after="0" w:line="240" w:lineRule="auto"/>
        <w:ind w:left="709" w:right="709"/>
        <w:jc w:val="both"/>
        <w:rPr>
          <w:rFonts w:ascii="Verdana" w:eastAsia="Century Gothic" w:hAnsi="Verdana" w:cs="Century Gothic"/>
          <w:sz w:val="20"/>
          <w:szCs w:val="20"/>
          <w:lang w:val="es-ES"/>
        </w:rPr>
      </w:pPr>
      <w:r w:rsidRPr="008C1F0D">
        <w:rPr>
          <w:rFonts w:ascii="Verdana" w:eastAsia="Century Gothic" w:hAnsi="Verdana" w:cs="Century Gothic"/>
          <w:sz w:val="20"/>
          <w:szCs w:val="20"/>
          <w:lang w:val="es-ES"/>
        </w:rPr>
        <w:t xml:space="preserve">Lo anterior, en aras de garantizar la ejecución oportuna de los recursos, el cumplimiento de las necesidades particulares de cada establecimiento, y el respeto por la autonomía de sus Consejos Directivos, sin transgredir el principio de planeación ni la normativa contractual </w:t>
      </w:r>
      <w:proofErr w:type="gramStart"/>
      <w:r w:rsidRPr="008C1F0D">
        <w:rPr>
          <w:rFonts w:ascii="Verdana" w:eastAsia="Century Gothic" w:hAnsi="Verdana" w:cs="Century Gothic"/>
          <w:sz w:val="20"/>
          <w:szCs w:val="20"/>
          <w:lang w:val="es-ES"/>
        </w:rPr>
        <w:t>vigente.</w:t>
      </w:r>
      <w:r>
        <w:rPr>
          <w:rFonts w:ascii="Verdana" w:eastAsia="Century Gothic" w:hAnsi="Verdana" w:cs="Century Gothic"/>
          <w:sz w:val="20"/>
          <w:szCs w:val="20"/>
          <w:lang w:val="es-ES"/>
        </w:rPr>
        <w:t>[</w:t>
      </w:r>
      <w:proofErr w:type="gramEnd"/>
      <w:r>
        <w:rPr>
          <w:rFonts w:ascii="Verdana" w:eastAsia="Century Gothic" w:hAnsi="Verdana" w:cs="Century Gothic"/>
          <w:sz w:val="20"/>
          <w:szCs w:val="20"/>
          <w:lang w:val="es-ES"/>
        </w:rPr>
        <w:t>…]”</w:t>
      </w:r>
    </w:p>
    <w:p w14:paraId="21C67F8C" w14:textId="77777777" w:rsidR="002D2F7F" w:rsidRDefault="002D2F7F" w:rsidP="002F6426">
      <w:pPr>
        <w:spacing w:after="0" w:line="240" w:lineRule="auto"/>
        <w:ind w:left="709" w:right="1858"/>
        <w:jc w:val="both"/>
        <w:rPr>
          <w:rStyle w:val="normaltextrun"/>
          <w:rFonts w:ascii="Verdana" w:hAnsi="Verdana" w:cs="Arial"/>
          <w:sz w:val="20"/>
          <w:szCs w:val="20"/>
          <w:shd w:val="clear" w:color="auto" w:fill="FFFFFF"/>
          <w:lang w:val="es-ES"/>
        </w:rPr>
      </w:pPr>
    </w:p>
    <w:p w14:paraId="7D5DD3CE" w14:textId="77777777" w:rsidR="002F6426" w:rsidRDefault="002F6426" w:rsidP="005D0607">
      <w:pPr>
        <w:spacing w:after="120" w:line="276" w:lineRule="auto"/>
        <w:ind w:firstLine="709"/>
        <w:jc w:val="both"/>
        <w:rPr>
          <w:rFonts w:ascii="Verdana" w:eastAsia="Calibri" w:hAnsi="Verdana" w:cs="Arial"/>
          <w:color w:val="000000"/>
          <w:szCs w:val="24"/>
          <w:lang w:val="es-ES_tradnl" w:eastAsia="es-ES_tradnl"/>
        </w:rPr>
      </w:pPr>
      <w:r>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Pr>
          <w:rFonts w:ascii="Verdana" w:eastAsia="Calibri" w:hAnsi="Verdana" w:cs="Arial"/>
          <w:color w:val="000000"/>
          <w:szCs w:val="24"/>
          <w:lang w:val="es-ES_tradnl" w:eastAsia="es-ES_tradnl"/>
        </w:rPr>
        <w:tab/>
      </w:r>
    </w:p>
    <w:p w14:paraId="139382D2" w14:textId="77777777" w:rsidR="002F6426" w:rsidRDefault="002F6426" w:rsidP="002F6426">
      <w:pPr>
        <w:spacing w:after="0" w:line="276" w:lineRule="auto"/>
        <w:ind w:right="49" w:firstLine="709"/>
        <w:jc w:val="both"/>
        <w:rPr>
          <w:rFonts w:ascii="Verdana" w:eastAsia="Calibri" w:hAnsi="Verdana" w:cs="Arial"/>
          <w:color w:val="000000"/>
          <w:lang w:val="es-ES" w:eastAsia="es-ES"/>
        </w:rPr>
      </w:pPr>
      <w:r>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w:t>
      </w:r>
      <w:r>
        <w:rPr>
          <w:rFonts w:ascii="Verdana" w:eastAsia="Calibri" w:hAnsi="Verdana" w:cs="Arial"/>
          <w:color w:val="7030A0"/>
          <w:lang w:val="es-ES" w:eastAsia="es-ES"/>
        </w:rPr>
        <w:t xml:space="preserve"> </w:t>
      </w:r>
      <w:r>
        <w:rPr>
          <w:rFonts w:ascii="Verdana" w:eastAsia="Calibri" w:hAnsi="Verdana" w:cs="Arial"/>
          <w:color w:val="000000"/>
          <w:lang w:val="es-ES" w:eastAsia="es-ES"/>
        </w:rPr>
        <w:t>problemas</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jurídicos</w:t>
      </w:r>
      <w:r>
        <w:rPr>
          <w:rFonts w:ascii="Verdana" w:eastAsia="Calibri" w:hAnsi="Verdana" w:cs="Arial"/>
          <w:color w:val="7030A0"/>
          <w:lang w:val="es-ES" w:eastAsia="es-ES"/>
        </w:rPr>
        <w:t xml:space="preserve"> </w:t>
      </w:r>
      <w:r>
        <w:rPr>
          <w:rFonts w:ascii="Verdana" w:eastAsia="Calibri" w:hAnsi="Verdana" w:cs="Arial"/>
          <w:color w:val="000000"/>
          <w:lang w:val="es-ES" w:eastAsia="es-ES"/>
        </w:rPr>
        <w:t xml:space="preserve">de su consulta. </w:t>
      </w:r>
    </w:p>
    <w:p w14:paraId="1D0E64DE" w14:textId="77777777" w:rsidR="002F6426" w:rsidRDefault="002F6426" w:rsidP="002F6426">
      <w:pPr>
        <w:spacing w:after="0" w:line="276" w:lineRule="auto"/>
        <w:ind w:right="49" w:firstLine="709"/>
        <w:jc w:val="both"/>
        <w:rPr>
          <w:rFonts w:ascii="Verdana" w:eastAsia="Calibri" w:hAnsi="Verdana" w:cs="Arial"/>
          <w:color w:val="000000"/>
          <w:lang w:val="es-ES" w:eastAsia="es-ES"/>
        </w:rPr>
      </w:pPr>
    </w:p>
    <w:p w14:paraId="4C40636D" w14:textId="77777777" w:rsidR="002F6426" w:rsidRDefault="002F6426" w:rsidP="005D0607">
      <w:pPr>
        <w:pStyle w:val="Prrafodelista"/>
        <w:numPr>
          <w:ilvl w:val="0"/>
          <w:numId w:val="16"/>
        </w:numPr>
        <w:tabs>
          <w:tab w:val="left" w:pos="142"/>
          <w:tab w:val="left" w:pos="284"/>
        </w:tabs>
        <w:spacing w:after="0" w:line="276" w:lineRule="auto"/>
        <w:ind w:left="0" w:right="49" w:firstLine="0"/>
        <w:contextualSpacing w:val="0"/>
        <w:jc w:val="both"/>
        <w:rPr>
          <w:rFonts w:ascii="Verdana" w:eastAsia="Century Gothic" w:hAnsi="Verdana" w:cs="Century Gothic"/>
          <w:b/>
          <w:bCs/>
        </w:rPr>
      </w:pPr>
      <w:r>
        <w:rPr>
          <w:rFonts w:ascii="Verdana" w:eastAsia="Century Gothic" w:hAnsi="Verdana" w:cs="Century Gothic"/>
          <w:b/>
          <w:bCs/>
        </w:rPr>
        <w:t>Problema planteado:</w:t>
      </w:r>
    </w:p>
    <w:p w14:paraId="5D333113" w14:textId="77777777" w:rsidR="002F6426" w:rsidRDefault="002F6426" w:rsidP="002F6426">
      <w:pPr>
        <w:tabs>
          <w:tab w:val="left" w:pos="426"/>
        </w:tabs>
        <w:spacing w:after="0" w:line="276" w:lineRule="auto"/>
        <w:ind w:right="49"/>
        <w:jc w:val="both"/>
        <w:rPr>
          <w:rFonts w:ascii="Verdana" w:eastAsia="Century Gothic" w:hAnsi="Verdana" w:cs="Century Gothic"/>
          <w:lang w:val="es-ES"/>
        </w:rPr>
      </w:pPr>
    </w:p>
    <w:p w14:paraId="0A0DA090" w14:textId="31360C42" w:rsidR="003C0B01" w:rsidRDefault="002F6426" w:rsidP="00CB4BD8">
      <w:pPr>
        <w:spacing w:after="0" w:line="276" w:lineRule="auto"/>
        <w:ind w:right="49"/>
        <w:jc w:val="both"/>
        <w:rPr>
          <w:rFonts w:ascii="Verdana" w:eastAsia="Century Gothic" w:hAnsi="Verdana" w:cs="Century Gothic"/>
        </w:rPr>
      </w:pPr>
      <w:r>
        <w:rPr>
          <w:rFonts w:ascii="Verdana" w:eastAsia="Century Gothic" w:hAnsi="Verdana" w:cs="Century Gothic"/>
        </w:rPr>
        <w:t xml:space="preserve">De acuerdo con el contenido de su solicitud, esta Agencia resolverá los siguientes problemas jurídicos: </w:t>
      </w:r>
      <w:r w:rsidRPr="007811F0">
        <w:rPr>
          <w:rFonts w:ascii="Verdana" w:eastAsia="Century Gothic" w:hAnsi="Verdana" w:cs="Century Gothic"/>
        </w:rPr>
        <w:t>¿</w:t>
      </w:r>
      <w:r w:rsidR="003C0B01" w:rsidRPr="005D0607">
        <w:rPr>
          <w:rFonts w:ascii="Verdana" w:eastAsia="Century Gothic" w:hAnsi="Verdana" w:cs="Century Gothic"/>
        </w:rPr>
        <w:t xml:space="preserve">Es </w:t>
      </w:r>
      <w:r w:rsidR="006878C4">
        <w:rPr>
          <w:rFonts w:ascii="Verdana" w:eastAsia="Century Gothic" w:hAnsi="Verdana" w:cs="Century Gothic"/>
        </w:rPr>
        <w:t>necesario</w:t>
      </w:r>
      <w:r w:rsidR="003C0B01" w:rsidRPr="005D0607">
        <w:rPr>
          <w:rFonts w:ascii="Verdana" w:eastAsia="Century Gothic" w:hAnsi="Verdana" w:cs="Century Gothic"/>
        </w:rPr>
        <w:t xml:space="preserve"> </w:t>
      </w:r>
      <w:r w:rsidR="00F438CD">
        <w:rPr>
          <w:rFonts w:ascii="Verdana" w:eastAsia="Century Gothic" w:hAnsi="Verdana" w:cs="Century Gothic"/>
        </w:rPr>
        <w:t>realizar un</w:t>
      </w:r>
      <w:r w:rsidR="003C0B01" w:rsidRPr="005D0607">
        <w:rPr>
          <w:rFonts w:ascii="Verdana" w:eastAsia="Century Gothic" w:hAnsi="Verdana" w:cs="Century Gothic"/>
        </w:rPr>
        <w:t xml:space="preserve"> Plan Anual de Adquisiciones por cada </w:t>
      </w:r>
      <w:r w:rsidR="006878C4">
        <w:rPr>
          <w:rFonts w:ascii="Verdana" w:eastAsia="Century Gothic" w:hAnsi="Verdana" w:cs="Century Gothic"/>
        </w:rPr>
        <w:t>sede del establecimiento</w:t>
      </w:r>
      <w:r w:rsidR="003C0B01" w:rsidRPr="005D0607">
        <w:rPr>
          <w:rFonts w:ascii="Verdana" w:eastAsia="Century Gothic" w:hAnsi="Verdana" w:cs="Century Gothic"/>
        </w:rPr>
        <w:t xml:space="preserve"> educativo</w:t>
      </w:r>
      <w:r w:rsidR="005940A2">
        <w:rPr>
          <w:rFonts w:ascii="Verdana" w:eastAsia="Century Gothic" w:hAnsi="Verdana" w:cs="Century Gothic"/>
        </w:rPr>
        <w:t>?</w:t>
      </w:r>
      <w:r w:rsidR="00975702">
        <w:rPr>
          <w:rFonts w:ascii="Verdana" w:eastAsia="Century Gothic" w:hAnsi="Verdana" w:cs="Century Gothic"/>
        </w:rPr>
        <w:t xml:space="preserve"> y</w:t>
      </w:r>
      <w:r w:rsidR="005940A2">
        <w:rPr>
          <w:rFonts w:ascii="Verdana" w:eastAsia="Century Gothic" w:hAnsi="Verdana" w:cs="Century Gothic"/>
        </w:rPr>
        <w:t xml:space="preserve"> ¿Desagregar las necesidades de cada sede </w:t>
      </w:r>
      <w:r w:rsidR="00975702">
        <w:rPr>
          <w:rFonts w:ascii="Verdana" w:eastAsia="Century Gothic" w:hAnsi="Verdana" w:cs="Century Gothic"/>
        </w:rPr>
        <w:t>del establecimiento puede llegar a</w:t>
      </w:r>
      <w:r w:rsidR="003C0B01" w:rsidRPr="005D0607">
        <w:rPr>
          <w:rFonts w:ascii="Verdana" w:eastAsia="Century Gothic" w:hAnsi="Verdana" w:cs="Century Gothic"/>
        </w:rPr>
        <w:t xml:space="preserve"> configur</w:t>
      </w:r>
      <w:r w:rsidR="00975702">
        <w:rPr>
          <w:rFonts w:ascii="Verdana" w:eastAsia="Century Gothic" w:hAnsi="Verdana" w:cs="Century Gothic"/>
        </w:rPr>
        <w:t>ar</w:t>
      </w:r>
      <w:r w:rsidR="003C0B01" w:rsidRPr="005D0607">
        <w:rPr>
          <w:rFonts w:ascii="Verdana" w:eastAsia="Century Gothic" w:hAnsi="Verdana" w:cs="Century Gothic"/>
        </w:rPr>
        <w:t xml:space="preserve"> un fraccionamiento del objeto contractual prohibido por la normativa vigente?</w:t>
      </w:r>
    </w:p>
    <w:p w14:paraId="60D8F894" w14:textId="77777777" w:rsidR="002F6426" w:rsidRDefault="002F6426" w:rsidP="002F6426">
      <w:pPr>
        <w:spacing w:after="0" w:line="276" w:lineRule="auto"/>
        <w:jc w:val="both"/>
        <w:rPr>
          <w:rFonts w:ascii="Verdana" w:eastAsia="Calibri" w:hAnsi="Verdana" w:cs="Arial"/>
          <w:color w:val="7030A0"/>
          <w:lang w:val="es-ES"/>
        </w:rPr>
      </w:pPr>
    </w:p>
    <w:p w14:paraId="7EC53687" w14:textId="77777777" w:rsidR="002F6426" w:rsidRDefault="002F6426" w:rsidP="005D060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Respuesta:</w:t>
      </w:r>
    </w:p>
    <w:p w14:paraId="6EC9E767" w14:textId="77777777" w:rsidR="002F6426" w:rsidRDefault="002F6426" w:rsidP="002F642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F6426" w14:paraId="4209AC4D" w14:textId="77777777" w:rsidTr="00B417E6">
        <w:tc>
          <w:tcPr>
            <w:tcW w:w="8828" w:type="dxa"/>
            <w:tcBorders>
              <w:top w:val="dotted" w:sz="4" w:space="0" w:color="auto"/>
              <w:left w:val="dotted" w:sz="4" w:space="0" w:color="auto"/>
              <w:bottom w:val="dotted" w:sz="4" w:space="0" w:color="auto"/>
              <w:right w:val="dotted" w:sz="4" w:space="0" w:color="auto"/>
            </w:tcBorders>
          </w:tcPr>
          <w:p w14:paraId="2C7D1761" w14:textId="2B1D1A25" w:rsidR="00C741F7" w:rsidRPr="004F551F" w:rsidRDefault="00C741F7" w:rsidP="004F551F">
            <w:pPr>
              <w:spacing w:after="120" w:line="276" w:lineRule="auto"/>
              <w:jc w:val="both"/>
              <w:rPr>
                <w:rFonts w:ascii="Verdana" w:eastAsia="Calibri" w:hAnsi="Verdana" w:cs="Arial"/>
              </w:rPr>
            </w:pPr>
            <w:r w:rsidRPr="004F551F">
              <w:rPr>
                <w:rFonts w:ascii="Verdana" w:eastAsia="Calibri" w:hAnsi="Verdana" w:cs="Arial"/>
              </w:rPr>
              <w:t xml:space="preserve">Conforme a lo dispuesto en el artículo 3.1.3.1.5 del Decreto 1075 de 2015, se entiende por establecimiento educativo toda entidad de carácter estatal, privada o de economía solidaria habilitada para prestar el servicio público </w:t>
            </w:r>
            <w:r w:rsidRPr="004F551F">
              <w:rPr>
                <w:rFonts w:ascii="Verdana" w:eastAsia="Calibri" w:hAnsi="Verdana" w:cs="Arial"/>
              </w:rPr>
              <w:lastRenderedPageBreak/>
              <w:t>educativo, en los términos fijados por la Ley 115 de 1994 o las normas que la modifiquen, sustituyan o deroguen.</w:t>
            </w:r>
            <w:r w:rsidR="00C65C7F" w:rsidRPr="004F551F">
              <w:rPr>
                <w:rFonts w:ascii="Verdana" w:eastAsia="Calibri" w:hAnsi="Verdana" w:cs="Arial"/>
              </w:rPr>
              <w:t xml:space="preserve"> Ahora bien</w:t>
            </w:r>
            <w:r w:rsidRPr="004F551F">
              <w:rPr>
                <w:rFonts w:ascii="Verdana" w:eastAsia="Calibri" w:hAnsi="Verdana" w:cs="Arial"/>
              </w:rPr>
              <w:t>, los </w:t>
            </w:r>
            <w:r w:rsidRPr="005D0607">
              <w:rPr>
                <w:rFonts w:ascii="Verdana" w:eastAsia="Calibri" w:hAnsi="Verdana" w:cs="Arial"/>
              </w:rPr>
              <w:t>establecimientos educativos oficiales</w:t>
            </w:r>
            <w:r w:rsidRPr="004F551F">
              <w:rPr>
                <w:rFonts w:ascii="Verdana" w:eastAsia="Calibri" w:hAnsi="Verdana" w:cs="Arial"/>
              </w:rPr>
              <w:t> comprenden las instituciones y centros educativos, incluidas la totalidad de sus sedes, que son administradas por las entidades territoriales certificadas en educación, a través de sus respectivas secretarías de educación o la dependencia que haga sus veces.</w:t>
            </w:r>
          </w:p>
          <w:p w14:paraId="55F6BDA0" w14:textId="77777777" w:rsidR="00C741F7" w:rsidRPr="004F551F" w:rsidRDefault="00C741F7" w:rsidP="005D0607">
            <w:pPr>
              <w:spacing w:after="120" w:line="276" w:lineRule="auto"/>
              <w:ind w:firstLine="709"/>
              <w:jc w:val="both"/>
              <w:rPr>
                <w:rFonts w:ascii="Verdana" w:eastAsia="Calibri" w:hAnsi="Verdana" w:cs="Arial"/>
              </w:rPr>
            </w:pPr>
            <w:r w:rsidRPr="004F551F">
              <w:rPr>
                <w:rFonts w:ascii="Verdana" w:eastAsia="Calibri" w:hAnsi="Verdana" w:cs="Arial"/>
              </w:rPr>
              <w:t>En este contexto, la </w:t>
            </w:r>
            <w:r w:rsidRPr="005D0607">
              <w:rPr>
                <w:rFonts w:ascii="Verdana" w:eastAsia="Calibri" w:hAnsi="Verdana" w:cs="Arial"/>
              </w:rPr>
              <w:t>sede</w:t>
            </w:r>
            <w:r w:rsidRPr="004F551F">
              <w:rPr>
                <w:rFonts w:ascii="Verdana" w:eastAsia="Calibri" w:hAnsi="Verdana" w:cs="Arial"/>
              </w:rPr>
              <w:t> se define como una planta física independiente que conforma una institución educativa, y puede corresponder a un centro educativo oficial. Por su parte, la </w:t>
            </w:r>
            <w:r w:rsidRPr="005D0607">
              <w:rPr>
                <w:rFonts w:ascii="Verdana" w:eastAsia="Calibri" w:hAnsi="Verdana" w:cs="Arial"/>
              </w:rPr>
              <w:t>sede principal</w:t>
            </w:r>
            <w:r w:rsidRPr="004F551F">
              <w:rPr>
                <w:rFonts w:ascii="Verdana" w:eastAsia="Calibri" w:hAnsi="Verdana" w:cs="Arial"/>
              </w:rPr>
              <w:t> es aquella en la que se encuentra ubicada el área administrativa del establecimiento educativo, desde la cual se ejerce la gestión institucional.</w:t>
            </w:r>
          </w:p>
          <w:p w14:paraId="1E2A133C" w14:textId="42CBAEE2" w:rsidR="00C741F7" w:rsidRPr="004F551F" w:rsidRDefault="00C741F7" w:rsidP="005D0607">
            <w:pPr>
              <w:spacing w:after="120" w:line="276" w:lineRule="auto"/>
              <w:ind w:firstLine="709"/>
              <w:jc w:val="both"/>
              <w:rPr>
                <w:rFonts w:ascii="Verdana" w:eastAsia="Calibri" w:hAnsi="Verdana" w:cs="Arial"/>
              </w:rPr>
            </w:pPr>
            <w:r w:rsidRPr="004F551F">
              <w:rPr>
                <w:rFonts w:ascii="Verdana" w:eastAsia="Calibri" w:hAnsi="Verdana" w:cs="Arial"/>
              </w:rPr>
              <w:t>Conforme a estas definiciones, y teniendo en cuenta que la creación de sedes constituye una manifestación de la </w:t>
            </w:r>
            <w:r w:rsidRPr="005D0607">
              <w:rPr>
                <w:rFonts w:ascii="Verdana" w:eastAsia="Calibri" w:hAnsi="Verdana" w:cs="Arial"/>
              </w:rPr>
              <w:t>desconcentración administrativa</w:t>
            </w:r>
            <w:r w:rsidRPr="004F551F">
              <w:rPr>
                <w:rFonts w:ascii="Verdana" w:eastAsia="Calibri" w:hAnsi="Verdana" w:cs="Arial"/>
              </w:rPr>
              <w:t>, pero que dichas sedes </w:t>
            </w:r>
            <w:r w:rsidRPr="005D0607">
              <w:rPr>
                <w:rFonts w:ascii="Verdana" w:eastAsia="Calibri" w:hAnsi="Verdana" w:cs="Arial"/>
              </w:rPr>
              <w:t>no configuran entidades autónomas</w:t>
            </w:r>
            <w:r w:rsidRPr="004F551F">
              <w:rPr>
                <w:rFonts w:ascii="Verdana" w:eastAsia="Calibri" w:hAnsi="Verdana" w:cs="Arial"/>
              </w:rPr>
              <w:t>, sino que forman parte integral del establecimiento educativo, </w:t>
            </w:r>
            <w:r w:rsidRPr="005D0607">
              <w:rPr>
                <w:rFonts w:ascii="Verdana" w:eastAsia="Calibri" w:hAnsi="Verdana" w:cs="Arial"/>
              </w:rPr>
              <w:t>es jurídicamente viable consolidar las necesidades de todas las sedes en el Plan Anual de Adquisiciones del establecimiento educativo</w:t>
            </w:r>
            <w:r w:rsidRPr="004F551F">
              <w:rPr>
                <w:rFonts w:ascii="Verdana" w:eastAsia="Calibri" w:hAnsi="Verdana" w:cs="Arial"/>
              </w:rPr>
              <w:t>. Por tanto, </w:t>
            </w:r>
            <w:r w:rsidRPr="005D0607">
              <w:rPr>
                <w:rFonts w:ascii="Verdana" w:eastAsia="Calibri" w:hAnsi="Verdana" w:cs="Arial"/>
              </w:rPr>
              <w:t>no resulta necesario elaborar un Plan Anual de Adquisiciones individual por cada sede</w:t>
            </w:r>
            <w:r w:rsidRPr="004F551F">
              <w:rPr>
                <w:rFonts w:ascii="Verdana" w:eastAsia="Calibri" w:hAnsi="Verdana" w:cs="Arial"/>
              </w:rPr>
              <w:t>, toda vez que la planificación puede realizarse de manera centralizada, respetando la estructura organizativa del sistema educativo oficial y garantizando la eficiencia en la gestión de recursos.</w:t>
            </w:r>
          </w:p>
          <w:p w14:paraId="4F30B0D9" w14:textId="6C72BFB1" w:rsidR="00C741F7" w:rsidRPr="004F551F" w:rsidRDefault="004A0231" w:rsidP="005D0607">
            <w:pPr>
              <w:spacing w:after="120" w:line="276" w:lineRule="auto"/>
              <w:ind w:firstLine="709"/>
              <w:jc w:val="both"/>
              <w:rPr>
                <w:rFonts w:ascii="Verdana" w:eastAsia="Calibri" w:hAnsi="Verdana" w:cs="Arial"/>
              </w:rPr>
            </w:pPr>
            <w:r w:rsidRPr="004F551F">
              <w:rPr>
                <w:rFonts w:ascii="Verdana" w:eastAsia="Calibri" w:hAnsi="Verdana" w:cs="Arial"/>
              </w:rPr>
              <w:t xml:space="preserve">No obstante, se recuerda que el Plan Anual de </w:t>
            </w:r>
            <w:r w:rsidR="004F551F" w:rsidRPr="004F551F">
              <w:rPr>
                <w:rFonts w:ascii="Verdana" w:eastAsia="Calibri" w:hAnsi="Verdana" w:cs="Arial"/>
              </w:rPr>
              <w:t>Adquisiciones</w:t>
            </w:r>
            <w:r w:rsidRPr="004F551F">
              <w:rPr>
                <w:rFonts w:ascii="Verdana" w:eastAsia="Calibri" w:hAnsi="Verdana" w:cs="Arial"/>
              </w:rPr>
              <w:t xml:space="preserve"> debe contener todos los </w:t>
            </w:r>
            <w:r w:rsidR="004F551F" w:rsidRPr="004F551F">
              <w:rPr>
                <w:rFonts w:ascii="Verdana" w:eastAsia="Calibri" w:hAnsi="Verdana" w:cs="Arial"/>
              </w:rPr>
              <w:t>bienes</w:t>
            </w:r>
            <w:r w:rsidRPr="004F551F">
              <w:rPr>
                <w:rFonts w:ascii="Verdana" w:eastAsia="Calibri" w:hAnsi="Verdana" w:cs="Arial"/>
              </w:rPr>
              <w:t xml:space="preserve">, obras o servicios que se pretende </w:t>
            </w:r>
            <w:r w:rsidR="004F551F" w:rsidRPr="004F551F">
              <w:rPr>
                <w:rFonts w:ascii="Verdana" w:eastAsia="Calibri" w:hAnsi="Verdana" w:cs="Arial"/>
              </w:rPr>
              <w:t>adquirir</w:t>
            </w:r>
            <w:r w:rsidRPr="004F551F">
              <w:rPr>
                <w:rFonts w:ascii="Verdana" w:eastAsia="Calibri" w:hAnsi="Verdana" w:cs="Arial"/>
              </w:rPr>
              <w:t xml:space="preserve"> durante la vigencia, por lo cual se deberán </w:t>
            </w:r>
            <w:r w:rsidR="004B2987" w:rsidRPr="004F551F">
              <w:rPr>
                <w:rFonts w:ascii="Verdana" w:eastAsia="Calibri" w:hAnsi="Verdana" w:cs="Arial"/>
              </w:rPr>
              <w:t xml:space="preserve">incorporar en este instrumento todas las necesidades de las sedes que integran el establecimiento educativo, sin que la </w:t>
            </w:r>
            <w:r w:rsidR="004F551F" w:rsidRPr="004F551F">
              <w:rPr>
                <w:rFonts w:ascii="Verdana" w:eastAsia="Calibri" w:hAnsi="Verdana" w:cs="Arial"/>
              </w:rPr>
              <w:t>desagregación</w:t>
            </w:r>
            <w:r w:rsidR="004B2987" w:rsidRPr="004F551F">
              <w:rPr>
                <w:rFonts w:ascii="Verdana" w:eastAsia="Calibri" w:hAnsi="Verdana" w:cs="Arial"/>
              </w:rPr>
              <w:t xml:space="preserve"> de cada una de las </w:t>
            </w:r>
            <w:r w:rsidR="004F551F" w:rsidRPr="004F551F">
              <w:rPr>
                <w:rFonts w:ascii="Verdana" w:eastAsia="Calibri" w:hAnsi="Verdana" w:cs="Arial"/>
              </w:rPr>
              <w:t xml:space="preserve">necesidades constituya un fraccionamiento del contrato. </w:t>
            </w:r>
            <w:r w:rsidR="00C741F7" w:rsidRPr="004F551F">
              <w:rPr>
                <w:rFonts w:ascii="Verdana" w:eastAsia="Calibri" w:hAnsi="Verdana" w:cs="Arial"/>
              </w:rPr>
              <w:t xml:space="preserve"> solución permite una mejor articulación entre las necesidades operativas de las sedes y la capacidad administrativa del establecimiento educativo, sin perjuicio de que cada sede pueda participar en la identificación de requerimientos, los cuales serán consolidados en un único plan institucional.</w:t>
            </w:r>
          </w:p>
          <w:p w14:paraId="24025DF3" w14:textId="77777777" w:rsidR="002F6426" w:rsidRPr="005D0607" w:rsidRDefault="002F6426" w:rsidP="005D0607">
            <w:pPr>
              <w:spacing w:after="120"/>
              <w:ind w:firstLine="709"/>
              <w:jc w:val="both"/>
              <w:rPr>
                <w:rFonts w:ascii="Verdana" w:eastAsia="Century Gothic" w:hAnsi="Verdana" w:cs="Century Gothic"/>
              </w:rPr>
            </w:pPr>
            <w:r w:rsidRPr="005D0607">
              <w:rPr>
                <w:rFonts w:ascii="Verdana" w:eastAsia="Century Gothic" w:hAnsi="Verdana" w:cs="Century Gothic"/>
              </w:rPr>
              <w:t xml:space="preserve">A la luz de la jurisprudencia solo habrá fraccionamiento del contrato cuando concurran los siguientes elementos: “i) que exista una separación artificial de un mismo objeto contractual y </w:t>
            </w:r>
            <w:proofErr w:type="spellStart"/>
            <w:r w:rsidRPr="005D0607">
              <w:rPr>
                <w:rFonts w:ascii="Verdana" w:eastAsia="Century Gothic" w:hAnsi="Verdana" w:cs="Century Gothic"/>
              </w:rPr>
              <w:t>ii</w:t>
            </w:r>
            <w:proofErr w:type="spellEnd"/>
            <w:r w:rsidRPr="005D0607">
              <w:rPr>
                <w:rFonts w:ascii="Verdana" w:eastAsia="Century Gothic" w:hAnsi="Verdana" w:cs="Century Gothic"/>
              </w:rPr>
              <w:t xml:space="preserve">) que dicha separación tenga como objetivo evitar procedimientos de convocatoria pública y de selección </w:t>
            </w:r>
            <w:r w:rsidRPr="005D0607">
              <w:rPr>
                <w:rFonts w:ascii="Verdana" w:eastAsia="Century Gothic" w:hAnsi="Verdana" w:cs="Century Gothic"/>
              </w:rPr>
              <w:lastRenderedPageBreak/>
              <w:t>objetiva”</w:t>
            </w:r>
            <w:r>
              <w:rPr>
                <w:rStyle w:val="Refdenotaalpie"/>
                <w:rFonts w:ascii="Verdana" w:eastAsia="Century Gothic" w:hAnsi="Verdana" w:cs="Century Gothic"/>
              </w:rPr>
              <w:footnoteReference w:id="2"/>
            </w:r>
            <w:r w:rsidRPr="007811F0">
              <w:rPr>
                <w:rFonts w:ascii="Verdana" w:eastAsia="Century Gothic" w:hAnsi="Verdana" w:cs="Century Gothic"/>
              </w:rPr>
              <w:t>. De manera que estos elementos deberán ser constatados por la autoridad judicial competente para declarar una eventual nulidad absoluta del contrato.</w:t>
            </w:r>
          </w:p>
          <w:p w14:paraId="52DEA26A" w14:textId="485A196A" w:rsidR="002F6426" w:rsidRPr="000108AE" w:rsidRDefault="002F6426" w:rsidP="005D0607">
            <w:pPr>
              <w:spacing w:after="120" w:line="276" w:lineRule="auto"/>
              <w:ind w:firstLine="709"/>
              <w:jc w:val="both"/>
              <w:rPr>
                <w:rFonts w:ascii="Verdana" w:eastAsia="Calibri" w:hAnsi="Verdana" w:cs="Arial"/>
                <w:color w:val="7030A0"/>
                <w:lang w:val="es-ES"/>
              </w:rPr>
            </w:pPr>
            <w:r>
              <w:rPr>
                <w:rFonts w:ascii="Verdana" w:eastAsia="Calibri" w:hAnsi="Verdana" w:cs="Arial"/>
                <w:bCs/>
                <w:color w:val="000000" w:themeColor="text1"/>
              </w:rPr>
              <w:t xml:space="preserve">En este contexto, el </w:t>
            </w:r>
            <w:r w:rsidRPr="008B6B73">
              <w:rPr>
                <w:rFonts w:ascii="Verdana" w:eastAsia="Calibri" w:hAnsi="Verdana" w:cs="Arial"/>
                <w:bCs/>
                <w:i/>
                <w:iCs/>
                <w:color w:val="000000" w:themeColor="text1"/>
              </w:rPr>
              <w:t>fraccionamiento</w:t>
            </w:r>
            <w:r>
              <w:rPr>
                <w:rFonts w:ascii="Verdana" w:eastAsia="Calibri" w:hAnsi="Verdana" w:cs="Arial"/>
                <w:bCs/>
                <w:color w:val="000000" w:themeColor="text1"/>
              </w:rPr>
              <w:t xml:space="preserve"> implica </w:t>
            </w:r>
            <w:r w:rsidRPr="000759FD">
              <w:rPr>
                <w:rFonts w:ascii="Verdana" w:eastAsia="Calibri" w:hAnsi="Verdana" w:cs="Arial"/>
                <w:bCs/>
                <w:color w:val="000000" w:themeColor="text1"/>
              </w:rPr>
              <w:t xml:space="preserve">dividir </w:t>
            </w:r>
            <w:r>
              <w:rPr>
                <w:rFonts w:ascii="Verdana" w:eastAsia="Calibri" w:hAnsi="Verdana" w:cs="Arial"/>
                <w:bCs/>
                <w:color w:val="000000" w:themeColor="text1"/>
              </w:rPr>
              <w:t xml:space="preserve">las </w:t>
            </w:r>
            <w:r w:rsidRPr="000759FD">
              <w:rPr>
                <w:rFonts w:ascii="Verdana" w:eastAsia="Calibri" w:hAnsi="Verdana" w:cs="Arial"/>
                <w:bCs/>
                <w:color w:val="000000" w:themeColor="text1"/>
              </w:rPr>
              <w:t>prestaciones en dos o más contratos que</w:t>
            </w:r>
            <w:r>
              <w:rPr>
                <w:rFonts w:ascii="Verdana" w:eastAsia="Calibri" w:hAnsi="Verdana" w:cs="Arial"/>
                <w:bCs/>
                <w:color w:val="000000" w:themeColor="text1"/>
              </w:rPr>
              <w:t xml:space="preserve"> pueden</w:t>
            </w:r>
            <w:r w:rsidRPr="000759FD">
              <w:rPr>
                <w:rFonts w:ascii="Verdana" w:eastAsia="Calibri" w:hAnsi="Verdana" w:cs="Arial"/>
                <w:bCs/>
                <w:color w:val="000000" w:themeColor="text1"/>
              </w:rPr>
              <w:t xml:space="preserve"> constituir un único </w:t>
            </w:r>
            <w:r>
              <w:rPr>
                <w:rFonts w:ascii="Verdana" w:eastAsia="Calibri" w:hAnsi="Verdana" w:cs="Arial"/>
                <w:bCs/>
                <w:color w:val="000000" w:themeColor="text1"/>
              </w:rPr>
              <w:t>negocio jurídico</w:t>
            </w:r>
            <w:r>
              <w:rPr>
                <w:rStyle w:val="Refdenotaalpie"/>
                <w:rFonts w:ascii="Verdana" w:eastAsia="Calibri" w:hAnsi="Verdana" w:cs="Arial"/>
                <w:bCs/>
                <w:color w:val="000000" w:themeColor="text1"/>
              </w:rPr>
              <w:footnoteReference w:id="3"/>
            </w:r>
            <w:r>
              <w:rPr>
                <w:rFonts w:ascii="Verdana" w:eastAsia="Calibri" w:hAnsi="Verdana" w:cs="Arial"/>
                <w:bCs/>
                <w:color w:val="000000" w:themeColor="text1"/>
              </w:rPr>
              <w:t xml:space="preserve">. </w:t>
            </w:r>
            <w:r w:rsidRPr="000759FD">
              <w:rPr>
                <w:rFonts w:ascii="Verdana" w:eastAsia="Calibri" w:hAnsi="Verdana" w:cs="Arial"/>
                <w:bCs/>
                <w:color w:val="000000" w:themeColor="text1"/>
              </w:rPr>
              <w:t>Para demostrar</w:t>
            </w:r>
            <w:r>
              <w:rPr>
                <w:rFonts w:ascii="Verdana" w:eastAsia="Calibri" w:hAnsi="Verdana" w:cs="Arial"/>
                <w:bCs/>
                <w:color w:val="000000" w:themeColor="text1"/>
              </w:rPr>
              <w:t xml:space="preserve">lo </w:t>
            </w:r>
            <w:r w:rsidRPr="000759FD">
              <w:rPr>
                <w:rFonts w:ascii="Verdana" w:eastAsia="Calibri" w:hAnsi="Verdana" w:cs="Arial"/>
                <w:bCs/>
                <w:color w:val="000000" w:themeColor="text1"/>
              </w:rPr>
              <w:t xml:space="preserve">deben concurrir las siguientes circunstancias: i) que sea posible demostrar la unidad del objeto en relación con el contrato cuya legalidad se cuestiona y, de ser así, </w:t>
            </w:r>
            <w:proofErr w:type="spellStart"/>
            <w:r w:rsidRPr="000759FD">
              <w:rPr>
                <w:rFonts w:ascii="Verdana" w:eastAsia="Calibri" w:hAnsi="Verdana" w:cs="Arial"/>
                <w:bCs/>
                <w:color w:val="000000" w:themeColor="text1"/>
              </w:rPr>
              <w:t>ii</w:t>
            </w:r>
            <w:proofErr w:type="spellEnd"/>
            <w:r w:rsidRPr="000759FD">
              <w:rPr>
                <w:rFonts w:ascii="Verdana" w:eastAsia="Calibri" w:hAnsi="Verdana" w:cs="Arial"/>
                <w:bCs/>
                <w:color w:val="000000" w:themeColor="text1"/>
              </w:rPr>
              <w:t xml:space="preserve">) determinar cuáles fueron las circunstancias que condujeron a la </w:t>
            </w:r>
            <w:r>
              <w:rPr>
                <w:rFonts w:ascii="Verdana" w:eastAsia="Calibri" w:hAnsi="Verdana" w:cs="Arial"/>
                <w:bCs/>
                <w:color w:val="000000" w:themeColor="text1"/>
              </w:rPr>
              <w:t>A</w:t>
            </w:r>
            <w:r w:rsidRPr="000759FD">
              <w:rPr>
                <w:rFonts w:ascii="Verdana" w:eastAsia="Calibri" w:hAnsi="Verdana" w:cs="Arial"/>
                <w:bCs/>
                <w:color w:val="000000" w:themeColor="text1"/>
              </w:rPr>
              <w:t>dministración a celebrar varios contratos, pues s</w:t>
            </w:r>
            <w:r>
              <w:rPr>
                <w:rFonts w:ascii="Verdana" w:eastAsia="Calibri" w:hAnsi="Verdana" w:cs="Arial"/>
                <w:bCs/>
                <w:color w:val="000000" w:themeColor="text1"/>
              </w:rPr>
              <w:t>ó</w:t>
            </w:r>
            <w:r w:rsidRPr="000759FD">
              <w:rPr>
                <w:rFonts w:ascii="Verdana" w:eastAsia="Calibri" w:hAnsi="Verdana" w:cs="Arial"/>
                <w:bCs/>
                <w:color w:val="000000" w:themeColor="text1"/>
              </w:rPr>
              <w:t>lo de esta manera puede inferir</w:t>
            </w:r>
            <w:r>
              <w:rPr>
                <w:rFonts w:ascii="Verdana" w:eastAsia="Calibri" w:hAnsi="Verdana" w:cs="Arial"/>
                <w:bCs/>
                <w:color w:val="000000" w:themeColor="text1"/>
              </w:rPr>
              <w:t>se</w:t>
            </w:r>
            <w:r w:rsidRPr="000759FD">
              <w:rPr>
                <w:rFonts w:ascii="Verdana" w:eastAsia="Calibri" w:hAnsi="Verdana" w:cs="Arial"/>
                <w:bCs/>
                <w:color w:val="000000" w:themeColor="text1"/>
              </w:rPr>
              <w:t xml:space="preserve"> si el actuar se basó en criterios razonables de interés público o</w:t>
            </w:r>
            <w:r>
              <w:rPr>
                <w:rFonts w:ascii="Verdana" w:eastAsia="Calibri" w:hAnsi="Verdana" w:cs="Arial"/>
                <w:bCs/>
                <w:color w:val="000000" w:themeColor="text1"/>
              </w:rPr>
              <w:t>,</w:t>
            </w:r>
            <w:r w:rsidRPr="000759FD">
              <w:rPr>
                <w:rFonts w:ascii="Verdana" w:eastAsia="Calibri" w:hAnsi="Verdana" w:cs="Arial"/>
                <w:bCs/>
                <w:color w:val="000000" w:themeColor="text1"/>
              </w:rPr>
              <w:t xml:space="preserve"> si por el contrario, los motivos fueron simulados y orientados a infringir las normas de la contratación pública</w:t>
            </w:r>
            <w:r>
              <w:rPr>
                <w:rStyle w:val="Refdenotaalpie"/>
                <w:rFonts w:ascii="Verdana" w:eastAsia="Calibri" w:hAnsi="Verdana" w:cs="Arial"/>
                <w:bCs/>
                <w:color w:val="000000" w:themeColor="text1"/>
              </w:rPr>
              <w:footnoteReference w:id="4"/>
            </w:r>
            <w:r w:rsidRPr="000759FD">
              <w:rPr>
                <w:rFonts w:ascii="Verdana" w:eastAsia="Calibri" w:hAnsi="Verdana" w:cs="Arial"/>
                <w:bCs/>
                <w:color w:val="000000" w:themeColor="text1"/>
              </w:rPr>
              <w:t>.</w:t>
            </w:r>
            <w:r>
              <w:rPr>
                <w:rFonts w:ascii="Verdana" w:eastAsia="Calibri" w:hAnsi="Verdana" w:cs="Arial"/>
                <w:bCs/>
                <w:color w:val="000000" w:themeColor="text1"/>
              </w:rPr>
              <w:t xml:space="preserve"> </w:t>
            </w:r>
          </w:p>
        </w:tc>
      </w:tr>
    </w:tbl>
    <w:p w14:paraId="63597FB7" w14:textId="77777777" w:rsidR="002F6426" w:rsidRDefault="002F6426" w:rsidP="002F6426">
      <w:pPr>
        <w:tabs>
          <w:tab w:val="left" w:pos="142"/>
          <w:tab w:val="left" w:pos="284"/>
        </w:tabs>
        <w:spacing w:after="0" w:line="276" w:lineRule="auto"/>
        <w:jc w:val="both"/>
        <w:rPr>
          <w:rFonts w:ascii="Verdana" w:eastAsia="Century Gothic" w:hAnsi="Verdana" w:cs="Century Gothic"/>
          <w:b/>
          <w:bCs/>
          <w:lang w:val="es-ES"/>
        </w:rPr>
      </w:pPr>
    </w:p>
    <w:p w14:paraId="7B857EBF" w14:textId="77777777" w:rsidR="002F6426" w:rsidRDefault="002F6426" w:rsidP="002F642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Razones de la respuesta:</w:t>
      </w:r>
    </w:p>
    <w:p w14:paraId="4B5C5B79" w14:textId="77777777" w:rsidR="002F6426" w:rsidRDefault="002F6426" w:rsidP="002F6426">
      <w:pPr>
        <w:spacing w:after="0" w:line="276" w:lineRule="auto"/>
        <w:jc w:val="both"/>
        <w:rPr>
          <w:rFonts w:ascii="Verdana" w:eastAsia="Calibri" w:hAnsi="Verdana" w:cs="Arial"/>
          <w:color w:val="7030A0"/>
          <w:lang w:val="es-ES"/>
        </w:rPr>
      </w:pPr>
    </w:p>
    <w:p w14:paraId="312E14FD" w14:textId="77777777" w:rsidR="002F6426" w:rsidRDefault="002F6426" w:rsidP="002F6426">
      <w:pPr>
        <w:spacing w:after="0" w:line="276" w:lineRule="auto"/>
        <w:ind w:right="49"/>
        <w:jc w:val="both"/>
        <w:rPr>
          <w:rFonts w:ascii="Verdana" w:eastAsia="Calibri" w:hAnsi="Verdana" w:cs="Arial"/>
          <w:lang w:val="es-ES"/>
        </w:rPr>
      </w:pPr>
      <w:r>
        <w:rPr>
          <w:rFonts w:ascii="Verdana" w:eastAsia="Calibri" w:hAnsi="Verdana" w:cs="Arial"/>
          <w:lang w:val="es-ES"/>
        </w:rPr>
        <w:t xml:space="preserve">Lo anterior se sustenta en las siguientes consideraciones: </w:t>
      </w:r>
    </w:p>
    <w:p w14:paraId="4FE7F431" w14:textId="77777777" w:rsidR="002F6426" w:rsidRDefault="002F6426" w:rsidP="002F6426">
      <w:pPr>
        <w:spacing w:after="0" w:line="276" w:lineRule="auto"/>
        <w:ind w:right="49"/>
        <w:jc w:val="both"/>
        <w:rPr>
          <w:rFonts w:ascii="Verdana" w:eastAsia="Calibri" w:hAnsi="Verdana" w:cs="Arial"/>
          <w:lang w:val="es-ES"/>
        </w:rPr>
      </w:pPr>
    </w:p>
    <w:p w14:paraId="1B1CDBED" w14:textId="711E3868" w:rsidR="00467990" w:rsidRPr="00DB118E" w:rsidRDefault="006878C4" w:rsidP="00467990">
      <w:pPr>
        <w:spacing w:after="120" w:line="276" w:lineRule="auto"/>
        <w:jc w:val="both"/>
        <w:rPr>
          <w:rFonts w:ascii="Verdana" w:eastAsia="Arial" w:hAnsi="Verdana" w:cs="Arial"/>
          <w:lang w:val="es-ES"/>
        </w:rPr>
      </w:pPr>
      <w:r>
        <w:rPr>
          <w:rFonts w:ascii="Verdana" w:eastAsia="Calibri" w:hAnsi="Verdana" w:cs="Arial"/>
        </w:rPr>
        <w:t xml:space="preserve">i) </w:t>
      </w:r>
      <w:r w:rsidR="00467990" w:rsidRPr="00DB118E">
        <w:rPr>
          <w:rFonts w:ascii="Verdana" w:eastAsia="Arial" w:hAnsi="Verdana" w:cs="Arial"/>
          <w:lang w:val="es-ES"/>
        </w:rPr>
        <w:t xml:space="preserve">El Plan Anual de Adquisiciones es un instrumento de planificación y orientación de la contratación de las Entidades Públicas,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 </w:t>
      </w:r>
    </w:p>
    <w:p w14:paraId="3D2DDBB4" w14:textId="77777777" w:rsidR="00467990" w:rsidRPr="00DB118E" w:rsidRDefault="00467990" w:rsidP="00467990">
      <w:pPr>
        <w:spacing w:after="120" w:line="276" w:lineRule="auto"/>
        <w:ind w:firstLine="708"/>
        <w:jc w:val="both"/>
        <w:rPr>
          <w:rFonts w:ascii="Verdana" w:hAnsi="Verdana" w:cs="Arial"/>
          <w:szCs w:val="24"/>
          <w:lang w:val="es-ES_tradnl" w:eastAsia="es-ES_tradnl"/>
        </w:rPr>
      </w:pPr>
      <w:r w:rsidRPr="00DB118E">
        <w:rPr>
          <w:rFonts w:ascii="Verdana" w:hAnsi="Verdana" w:cs="Arial"/>
          <w:szCs w:val="24"/>
          <w:lang w:val="es-ES_tradnl" w:eastAsia="es-ES_tradnl"/>
        </w:rPr>
        <w:t xml:space="preserve">El artículo 74 de la Ley 1474 dispone que </w:t>
      </w:r>
      <w:r>
        <w:rPr>
          <w:rFonts w:ascii="Verdana" w:hAnsi="Verdana" w:cs="Arial"/>
          <w:szCs w:val="24"/>
          <w:lang w:val="es-ES_tradnl" w:eastAsia="es-ES_tradnl"/>
        </w:rPr>
        <w:t>“</w:t>
      </w:r>
      <w:r w:rsidRPr="00DB118E">
        <w:rPr>
          <w:rFonts w:ascii="Verdana" w:hAnsi="Verdana" w:cs="Arial"/>
          <w:szCs w:val="24"/>
          <w:lang w:val="es-ES_tradnl" w:eastAsia="es-ES_tradnl"/>
        </w:rPr>
        <w:t>todas las entidades del Estado</w:t>
      </w:r>
      <w:r>
        <w:rPr>
          <w:rFonts w:ascii="Verdana" w:hAnsi="Verdana" w:cs="Arial"/>
          <w:szCs w:val="24"/>
          <w:lang w:val="es-ES_tradnl" w:eastAsia="es-ES_tradnl"/>
        </w:rPr>
        <w:t>”</w:t>
      </w:r>
      <w:r w:rsidRPr="00DB118E">
        <w:rPr>
          <w:rFonts w:ascii="Verdana" w:hAnsi="Verdana" w:cs="Arial"/>
          <w:szCs w:val="24"/>
          <w:lang w:val="es-ES_tradnl" w:eastAsia="es-ES_tradnl"/>
        </w:rPr>
        <w:t xml:space="preserve"> deben publicar, a más tardar el 31 de enero de cada año, en su respectiva página web, el plan de acción, en el cual se incluye el plan general de compras</w:t>
      </w:r>
      <w:r w:rsidRPr="00DB118E">
        <w:rPr>
          <w:rFonts w:ascii="Verdana" w:hAnsi="Verdana" w:cs="Arial"/>
          <w:szCs w:val="24"/>
          <w:vertAlign w:val="superscript"/>
          <w:lang w:val="es-ES_tradnl" w:eastAsia="es-ES_tradnl"/>
        </w:rPr>
        <w:footnoteReference w:id="5"/>
      </w:r>
      <w:r w:rsidRPr="00DB118E">
        <w:rPr>
          <w:rFonts w:ascii="Verdana" w:hAnsi="Verdana" w:cs="Arial"/>
          <w:szCs w:val="24"/>
          <w:lang w:val="es-ES_tradnl" w:eastAsia="es-ES_tradnl"/>
        </w:rPr>
        <w:t xml:space="preserve">. El plan </w:t>
      </w:r>
      <w:r w:rsidRPr="00DB118E">
        <w:rPr>
          <w:rFonts w:ascii="Verdana" w:hAnsi="Verdana" w:cs="Arial"/>
          <w:szCs w:val="24"/>
          <w:lang w:val="es-ES_tradnl" w:eastAsia="es-ES_tradnl"/>
        </w:rPr>
        <w:lastRenderedPageBreak/>
        <w:t>general de compras para el ordenamiento vigente corresponde con el concepto de Plan Anual de Adquisiciones como lo establece el artículo 2.2.1.1.1.3.1. del Decreto 1082 de 2015</w:t>
      </w:r>
      <w:r w:rsidRPr="00DB118E">
        <w:rPr>
          <w:rFonts w:ascii="Verdana" w:hAnsi="Verdana" w:cs="Arial"/>
          <w:szCs w:val="24"/>
          <w:vertAlign w:val="superscript"/>
          <w:lang w:val="es-ES_tradnl" w:eastAsia="es-ES_tradnl"/>
        </w:rPr>
        <w:footnoteReference w:id="6"/>
      </w:r>
      <w:r w:rsidRPr="00DB118E">
        <w:rPr>
          <w:rFonts w:ascii="Verdana" w:hAnsi="Verdana" w:cs="Arial"/>
          <w:szCs w:val="24"/>
          <w:lang w:val="es-ES_tradnl" w:eastAsia="es-ES_tradnl"/>
        </w:rPr>
        <w:t xml:space="preserve">.  </w:t>
      </w:r>
    </w:p>
    <w:p w14:paraId="2352629B" w14:textId="77777777" w:rsidR="00467990" w:rsidRPr="00DB118E" w:rsidRDefault="00467990" w:rsidP="00467990">
      <w:pPr>
        <w:spacing w:after="0" w:line="276" w:lineRule="auto"/>
        <w:ind w:firstLine="709"/>
        <w:jc w:val="both"/>
        <w:rPr>
          <w:rFonts w:ascii="Verdana" w:hAnsi="Verdana" w:cs="Arial"/>
          <w:szCs w:val="24"/>
          <w:lang w:val="es-ES_tradnl" w:eastAsia="es-ES_tradnl"/>
        </w:rPr>
      </w:pPr>
      <w:r w:rsidRPr="00DB118E">
        <w:rPr>
          <w:rFonts w:ascii="Verdana" w:hAnsi="Verdana" w:cs="Arial"/>
          <w:szCs w:val="24"/>
          <w:lang w:val="es-ES_tradnl" w:eastAsia="es-ES_tradnl"/>
        </w:rPr>
        <w:t>Para continuar con las normas generales sobre la publicidad del plan de compras, debe analizarse la Ley 1712 de 2014. El artículo 9, literal e), prescribe que todo sujeto obligado deberá publicar, en los sistemas de información del Estado o herramientas que lo sustituyan, su respectivo Plan de Compras Anual</w:t>
      </w:r>
      <w:r w:rsidRPr="00DB118E">
        <w:rPr>
          <w:rFonts w:ascii="Verdana" w:hAnsi="Verdana" w:cs="Arial"/>
          <w:szCs w:val="24"/>
          <w:vertAlign w:val="superscript"/>
          <w:lang w:val="es-ES_tradnl" w:eastAsia="es-ES_tradnl"/>
        </w:rPr>
        <w:footnoteReference w:id="7"/>
      </w:r>
      <w:r w:rsidRPr="00DB118E">
        <w:rPr>
          <w:rFonts w:ascii="Verdana" w:hAnsi="Verdana" w:cs="Arial"/>
          <w:szCs w:val="24"/>
          <w:lang w:val="es-ES_tradnl" w:eastAsia="es-ES_tradnl"/>
        </w:rPr>
        <w:t xml:space="preserve">. Para determinar los sujetos obligados a publicarlo es necesario remitirse al artículo 5 </w:t>
      </w:r>
      <w:r>
        <w:rPr>
          <w:rFonts w:ascii="Verdana" w:hAnsi="Verdana" w:cs="Arial"/>
          <w:szCs w:val="24"/>
          <w:lang w:val="es-ES_tradnl" w:eastAsia="es-ES_tradnl"/>
        </w:rPr>
        <w:t>ibidem</w:t>
      </w:r>
      <w:r w:rsidRPr="00DB118E">
        <w:rPr>
          <w:rFonts w:ascii="Verdana" w:hAnsi="Verdana" w:cs="Arial"/>
          <w:szCs w:val="24"/>
          <w:lang w:val="es-ES_tradnl" w:eastAsia="es-ES_tradnl"/>
        </w:rPr>
        <w:t xml:space="preserve">. Esta norma prescribe lo siguiente: </w:t>
      </w:r>
    </w:p>
    <w:p w14:paraId="2A9DA276" w14:textId="77777777" w:rsidR="00467990" w:rsidRPr="00DB118E" w:rsidRDefault="00467990" w:rsidP="00467990">
      <w:pPr>
        <w:tabs>
          <w:tab w:val="left" w:pos="709"/>
        </w:tabs>
        <w:spacing w:after="0" w:line="276" w:lineRule="auto"/>
        <w:ind w:left="709" w:right="760"/>
        <w:jc w:val="both"/>
        <w:rPr>
          <w:rFonts w:ascii="Verdana" w:hAnsi="Verdana" w:cs="Arial"/>
          <w:szCs w:val="24"/>
          <w:lang w:val="es-ES_tradnl" w:eastAsia="es-ES_tradnl"/>
        </w:rPr>
      </w:pPr>
    </w:p>
    <w:p w14:paraId="7C6E4DA6" w14:textId="77777777" w:rsidR="00467990" w:rsidRPr="00DB118E" w:rsidRDefault="00467990" w:rsidP="00467990">
      <w:pPr>
        <w:tabs>
          <w:tab w:val="left" w:pos="709"/>
        </w:tabs>
        <w:spacing w:after="0" w:line="240" w:lineRule="auto"/>
        <w:ind w:left="709" w:right="709"/>
        <w:jc w:val="both"/>
        <w:rPr>
          <w:rFonts w:ascii="Verdana" w:hAnsi="Verdana" w:cs="Arial"/>
          <w:sz w:val="20"/>
          <w:szCs w:val="20"/>
          <w:lang w:val="es-ES_tradnl" w:eastAsia="es-ES_tradnl"/>
        </w:rPr>
      </w:pPr>
      <w:r>
        <w:rPr>
          <w:rFonts w:ascii="Verdana" w:hAnsi="Verdana" w:cs="Arial"/>
          <w:sz w:val="20"/>
          <w:szCs w:val="20"/>
          <w:lang w:val="es-ES_tradnl" w:eastAsia="es-ES_tradnl"/>
        </w:rPr>
        <w:t>“</w:t>
      </w:r>
      <w:r w:rsidRPr="00DB118E">
        <w:rPr>
          <w:rFonts w:ascii="Verdana" w:hAnsi="Verdana" w:cs="Arial"/>
          <w:sz w:val="20"/>
          <w:szCs w:val="20"/>
          <w:lang w:val="es-ES_tradnl" w:eastAsia="es-ES_tradnl"/>
        </w:rPr>
        <w:t>Artículo 5. Las disposiciones de esta ley serán aplicables a las siguientes personas en calidad de sujetos obligados:</w:t>
      </w:r>
    </w:p>
    <w:p w14:paraId="2EA5CFC5" w14:textId="77777777" w:rsidR="00467990" w:rsidRDefault="00467990" w:rsidP="00467990">
      <w:pPr>
        <w:tabs>
          <w:tab w:val="left" w:pos="709"/>
        </w:tabs>
        <w:spacing w:after="0" w:line="240" w:lineRule="auto"/>
        <w:ind w:left="709" w:right="709"/>
        <w:jc w:val="both"/>
        <w:rPr>
          <w:rFonts w:ascii="Verdana" w:hAnsi="Verdana" w:cs="Arial"/>
          <w:sz w:val="20"/>
          <w:szCs w:val="20"/>
          <w:lang w:val="es-ES_tradnl" w:eastAsia="es-ES_tradnl"/>
        </w:rPr>
      </w:pPr>
    </w:p>
    <w:p w14:paraId="2A2072CA" w14:textId="77777777" w:rsidR="00467990" w:rsidRPr="00DB118E" w:rsidRDefault="00467990" w:rsidP="00467990">
      <w:pPr>
        <w:tabs>
          <w:tab w:val="left" w:pos="709"/>
        </w:tabs>
        <w:spacing w:after="0" w:line="240" w:lineRule="auto"/>
        <w:ind w:left="709" w:right="709"/>
        <w:jc w:val="both"/>
        <w:rPr>
          <w:rFonts w:ascii="Verdana" w:hAnsi="Verdana" w:cs="Arial"/>
          <w:sz w:val="20"/>
          <w:szCs w:val="20"/>
          <w:lang w:val="es-ES_tradnl" w:eastAsia="es-ES_tradnl"/>
        </w:rPr>
      </w:pPr>
      <w:r w:rsidRPr="00DB118E">
        <w:rPr>
          <w:rFonts w:ascii="Verdana" w:hAnsi="Verdana" w:cs="Arial"/>
          <w:sz w:val="20"/>
          <w:szCs w:val="20"/>
          <w:lang w:val="es-ES_tradnl" w:eastAsia="es-ES_tradnl"/>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39E06808" w14:textId="77777777" w:rsidR="00467990" w:rsidRDefault="00467990" w:rsidP="00467990">
      <w:pPr>
        <w:tabs>
          <w:tab w:val="left" w:pos="709"/>
        </w:tabs>
        <w:spacing w:after="0" w:line="240" w:lineRule="auto"/>
        <w:ind w:left="709" w:right="709"/>
        <w:jc w:val="both"/>
        <w:rPr>
          <w:rFonts w:ascii="Verdana" w:hAnsi="Verdana" w:cs="Arial"/>
          <w:sz w:val="20"/>
          <w:szCs w:val="20"/>
          <w:lang w:val="es-ES_tradnl" w:eastAsia="es-ES_tradnl"/>
        </w:rPr>
      </w:pPr>
    </w:p>
    <w:p w14:paraId="7103BAAB" w14:textId="77777777" w:rsidR="00467990" w:rsidRPr="00DB118E" w:rsidRDefault="00467990" w:rsidP="00467990">
      <w:pPr>
        <w:tabs>
          <w:tab w:val="left" w:pos="709"/>
        </w:tabs>
        <w:spacing w:after="0" w:line="240" w:lineRule="auto"/>
        <w:ind w:left="709" w:right="709"/>
        <w:jc w:val="both"/>
        <w:rPr>
          <w:rFonts w:ascii="Verdana" w:hAnsi="Verdana" w:cs="Arial"/>
          <w:sz w:val="20"/>
          <w:szCs w:val="20"/>
          <w:lang w:val="es-ES_tradnl" w:eastAsia="es-ES_tradnl"/>
        </w:rPr>
      </w:pPr>
      <w:r w:rsidRPr="00DB118E">
        <w:rPr>
          <w:rFonts w:ascii="Verdana" w:hAnsi="Verdana" w:cs="Arial"/>
          <w:sz w:val="20"/>
          <w:szCs w:val="20"/>
          <w:lang w:val="es-ES_tradnl" w:eastAsia="es-ES_tradnl"/>
        </w:rPr>
        <w:t>b) Los órganos, organismos y entidades estatales independientes o autónomos y de control.</w:t>
      </w:r>
    </w:p>
    <w:p w14:paraId="371D2211" w14:textId="77777777" w:rsidR="00467990" w:rsidRDefault="00467990" w:rsidP="00467990">
      <w:pPr>
        <w:tabs>
          <w:tab w:val="left" w:pos="709"/>
        </w:tabs>
        <w:spacing w:after="0" w:line="240" w:lineRule="auto"/>
        <w:ind w:left="709" w:right="709"/>
        <w:jc w:val="both"/>
        <w:rPr>
          <w:rFonts w:ascii="Verdana" w:hAnsi="Verdana" w:cs="Arial"/>
          <w:sz w:val="20"/>
          <w:szCs w:val="20"/>
          <w:lang w:val="es-ES_tradnl" w:eastAsia="es-ES_tradnl"/>
        </w:rPr>
      </w:pPr>
    </w:p>
    <w:p w14:paraId="73B0A809" w14:textId="77777777" w:rsidR="00467990" w:rsidRPr="00DB118E" w:rsidRDefault="00467990" w:rsidP="00467990">
      <w:pPr>
        <w:tabs>
          <w:tab w:val="left" w:pos="709"/>
        </w:tabs>
        <w:spacing w:after="0" w:line="240" w:lineRule="auto"/>
        <w:ind w:left="709" w:right="709"/>
        <w:jc w:val="both"/>
        <w:rPr>
          <w:rFonts w:ascii="Verdana" w:hAnsi="Verdana" w:cs="Arial"/>
          <w:sz w:val="20"/>
          <w:szCs w:val="20"/>
          <w:lang w:val="es-ES_tradnl" w:eastAsia="es-ES_tradnl"/>
        </w:rPr>
      </w:pPr>
      <w:r w:rsidRPr="00DB118E">
        <w:rPr>
          <w:rFonts w:ascii="Verdana" w:hAnsi="Verdana" w:cs="Arial"/>
          <w:sz w:val="20"/>
          <w:szCs w:val="20"/>
          <w:lang w:val="es-ES_tradnl" w:eastAsia="es-ES_tradnl"/>
        </w:rPr>
        <w:t>c) Las personas naturales y jurídicas, públicas o privadas, que presten función pública, que presten servicios públicos respecto de la información directamente relacionada con la prestación del servicio público.</w:t>
      </w:r>
    </w:p>
    <w:p w14:paraId="5B2B5482" w14:textId="77777777" w:rsidR="00467990" w:rsidRDefault="00467990" w:rsidP="00467990">
      <w:pPr>
        <w:tabs>
          <w:tab w:val="left" w:pos="709"/>
        </w:tabs>
        <w:spacing w:after="0" w:line="240" w:lineRule="auto"/>
        <w:ind w:left="709" w:right="709"/>
        <w:jc w:val="both"/>
        <w:rPr>
          <w:rFonts w:ascii="Verdana" w:hAnsi="Verdana" w:cs="Arial"/>
          <w:sz w:val="20"/>
          <w:szCs w:val="20"/>
          <w:lang w:val="es-ES_tradnl" w:eastAsia="es-ES_tradnl"/>
        </w:rPr>
      </w:pPr>
    </w:p>
    <w:p w14:paraId="2855E727" w14:textId="77777777" w:rsidR="00467990" w:rsidRPr="00DB118E" w:rsidRDefault="00467990" w:rsidP="00467990">
      <w:pPr>
        <w:tabs>
          <w:tab w:val="left" w:pos="709"/>
        </w:tabs>
        <w:spacing w:after="0" w:line="240" w:lineRule="auto"/>
        <w:ind w:left="709" w:right="709"/>
        <w:jc w:val="both"/>
        <w:rPr>
          <w:rFonts w:ascii="Verdana" w:hAnsi="Verdana" w:cs="Arial"/>
          <w:sz w:val="20"/>
          <w:szCs w:val="20"/>
          <w:lang w:val="es-ES" w:eastAsia="es-ES"/>
        </w:rPr>
      </w:pPr>
      <w:r w:rsidRPr="40DA2A3B">
        <w:rPr>
          <w:rFonts w:ascii="Verdana" w:hAnsi="Verdana" w:cs="Arial"/>
          <w:sz w:val="20"/>
          <w:szCs w:val="20"/>
          <w:lang w:val="es-ES" w:eastAsia="es-ES"/>
        </w:rPr>
        <w:t xml:space="preserve">d) Cualquier persona natural, jurídica o dependencia de persona jurídica que desempeñe función pública o de </w:t>
      </w:r>
      <w:proofErr w:type="gramStart"/>
      <w:r w:rsidRPr="40DA2A3B">
        <w:rPr>
          <w:rFonts w:ascii="Verdana" w:hAnsi="Verdana" w:cs="Arial"/>
          <w:sz w:val="20"/>
          <w:szCs w:val="20"/>
          <w:lang w:val="es-ES" w:eastAsia="es-ES"/>
        </w:rPr>
        <w:t>autoridad pública</w:t>
      </w:r>
      <w:proofErr w:type="gramEnd"/>
      <w:r w:rsidRPr="40DA2A3B">
        <w:rPr>
          <w:rFonts w:ascii="Verdana" w:hAnsi="Verdana" w:cs="Arial"/>
          <w:sz w:val="20"/>
          <w:szCs w:val="20"/>
          <w:lang w:val="es-ES" w:eastAsia="es-ES"/>
        </w:rPr>
        <w:t>, respecto de la información directamente relacionada con el desempeño de su función</w:t>
      </w:r>
    </w:p>
    <w:p w14:paraId="02919A8A" w14:textId="77777777" w:rsidR="00467990" w:rsidRDefault="00467990" w:rsidP="00467990">
      <w:pPr>
        <w:tabs>
          <w:tab w:val="left" w:pos="709"/>
        </w:tabs>
        <w:spacing w:after="0" w:line="240" w:lineRule="auto"/>
        <w:ind w:left="709" w:right="709"/>
        <w:jc w:val="both"/>
        <w:rPr>
          <w:rFonts w:ascii="Verdana" w:hAnsi="Verdana" w:cs="Arial"/>
          <w:sz w:val="20"/>
          <w:szCs w:val="20"/>
          <w:lang w:val="es-ES_tradnl" w:eastAsia="es-ES_tradnl"/>
        </w:rPr>
      </w:pPr>
    </w:p>
    <w:p w14:paraId="26E24BAB" w14:textId="77777777" w:rsidR="00467990" w:rsidRPr="00DB118E" w:rsidRDefault="00467990" w:rsidP="00467990">
      <w:pPr>
        <w:tabs>
          <w:tab w:val="left" w:pos="709"/>
        </w:tabs>
        <w:spacing w:after="0" w:line="240" w:lineRule="auto"/>
        <w:ind w:left="709" w:right="709"/>
        <w:jc w:val="both"/>
        <w:rPr>
          <w:rFonts w:ascii="Verdana" w:hAnsi="Verdana" w:cs="Arial"/>
          <w:sz w:val="20"/>
          <w:szCs w:val="20"/>
          <w:lang w:val="es-ES_tradnl" w:eastAsia="es-ES_tradnl"/>
        </w:rPr>
      </w:pPr>
      <w:r w:rsidRPr="00DB118E">
        <w:rPr>
          <w:rFonts w:ascii="Verdana" w:hAnsi="Verdana" w:cs="Arial"/>
          <w:sz w:val="20"/>
          <w:szCs w:val="20"/>
          <w:lang w:val="es-ES_tradnl" w:eastAsia="es-ES_tradnl"/>
        </w:rPr>
        <w:t>e)  Las empresas públicas creadas por ley, las empresas del Estado y sociedades en que este tenga participación.</w:t>
      </w:r>
    </w:p>
    <w:p w14:paraId="527DA70E" w14:textId="77777777" w:rsidR="00467990" w:rsidRDefault="00467990" w:rsidP="00467990">
      <w:pPr>
        <w:tabs>
          <w:tab w:val="left" w:pos="709"/>
        </w:tabs>
        <w:spacing w:after="0" w:line="240" w:lineRule="auto"/>
        <w:ind w:left="709" w:right="709"/>
        <w:jc w:val="both"/>
        <w:rPr>
          <w:rFonts w:ascii="Verdana" w:hAnsi="Verdana" w:cs="Arial"/>
          <w:sz w:val="20"/>
          <w:szCs w:val="20"/>
          <w:lang w:val="es-ES_tradnl" w:eastAsia="es-ES_tradnl"/>
        </w:rPr>
      </w:pPr>
    </w:p>
    <w:p w14:paraId="397E9CF4" w14:textId="77777777" w:rsidR="00467990" w:rsidRPr="00DB118E" w:rsidRDefault="00467990" w:rsidP="00467990">
      <w:pPr>
        <w:tabs>
          <w:tab w:val="left" w:pos="709"/>
        </w:tabs>
        <w:spacing w:after="0" w:line="240" w:lineRule="auto"/>
        <w:ind w:left="709" w:right="709"/>
        <w:jc w:val="both"/>
        <w:rPr>
          <w:rFonts w:ascii="Verdana" w:hAnsi="Verdana" w:cs="Arial"/>
          <w:sz w:val="20"/>
          <w:szCs w:val="20"/>
          <w:lang w:val="es-ES_tradnl" w:eastAsia="es-ES_tradnl"/>
        </w:rPr>
      </w:pPr>
      <w:r w:rsidRPr="00DB118E">
        <w:rPr>
          <w:rFonts w:ascii="Verdana" w:hAnsi="Verdana" w:cs="Arial"/>
          <w:sz w:val="20"/>
          <w:szCs w:val="20"/>
          <w:lang w:val="es-ES_tradnl" w:eastAsia="es-ES_tradnl"/>
        </w:rPr>
        <w:t>f) Los partidos o movimientos políticos y los grupos significativos de ciudadanos.</w:t>
      </w:r>
    </w:p>
    <w:p w14:paraId="49580073" w14:textId="77777777" w:rsidR="00467990" w:rsidRDefault="00467990" w:rsidP="00467990">
      <w:pPr>
        <w:tabs>
          <w:tab w:val="left" w:pos="709"/>
        </w:tabs>
        <w:spacing w:after="0" w:line="240" w:lineRule="auto"/>
        <w:ind w:left="709" w:right="709"/>
        <w:jc w:val="both"/>
        <w:rPr>
          <w:rFonts w:ascii="Verdana" w:hAnsi="Verdana" w:cs="Arial"/>
          <w:sz w:val="20"/>
          <w:szCs w:val="20"/>
          <w:lang w:val="es-ES_tradnl" w:eastAsia="es-ES_tradnl"/>
        </w:rPr>
      </w:pPr>
    </w:p>
    <w:p w14:paraId="50162460" w14:textId="77777777" w:rsidR="00467990" w:rsidRPr="00DB118E" w:rsidRDefault="00467990" w:rsidP="00467990">
      <w:pPr>
        <w:tabs>
          <w:tab w:val="left" w:pos="709"/>
        </w:tabs>
        <w:spacing w:after="0" w:line="240" w:lineRule="auto"/>
        <w:ind w:left="709" w:right="709"/>
        <w:jc w:val="both"/>
        <w:rPr>
          <w:rFonts w:ascii="Verdana" w:hAnsi="Verdana" w:cs="Arial"/>
          <w:sz w:val="20"/>
          <w:szCs w:val="20"/>
          <w:lang w:val="es-ES_tradnl" w:eastAsia="es-ES_tradnl"/>
        </w:rPr>
      </w:pPr>
      <w:r w:rsidRPr="00DB118E">
        <w:rPr>
          <w:rFonts w:ascii="Verdana" w:hAnsi="Verdana" w:cs="Arial"/>
          <w:sz w:val="20"/>
          <w:szCs w:val="20"/>
          <w:lang w:val="es-ES_tradnl" w:eastAsia="es-ES_tradnl"/>
        </w:rPr>
        <w:t>g) Las entidades que administren instituciones parafiscales, fondos o recursos de naturaleza u origen público.</w:t>
      </w:r>
    </w:p>
    <w:p w14:paraId="7C7E6697" w14:textId="77777777" w:rsidR="00467990" w:rsidRDefault="00467990" w:rsidP="00467990">
      <w:pPr>
        <w:tabs>
          <w:tab w:val="left" w:pos="709"/>
        </w:tabs>
        <w:spacing w:after="0" w:line="240" w:lineRule="auto"/>
        <w:ind w:left="709" w:right="709"/>
        <w:jc w:val="both"/>
        <w:rPr>
          <w:rFonts w:ascii="Verdana" w:hAnsi="Verdana" w:cs="Arial"/>
          <w:sz w:val="20"/>
          <w:szCs w:val="20"/>
          <w:lang w:val="es-ES_tradnl" w:eastAsia="es-ES_tradnl"/>
        </w:rPr>
      </w:pPr>
    </w:p>
    <w:p w14:paraId="1832A864" w14:textId="77777777" w:rsidR="00467990" w:rsidRPr="00DB118E" w:rsidRDefault="00467990" w:rsidP="00467990">
      <w:pPr>
        <w:tabs>
          <w:tab w:val="left" w:pos="709"/>
        </w:tabs>
        <w:spacing w:after="0" w:line="240" w:lineRule="auto"/>
        <w:ind w:left="709" w:right="709"/>
        <w:jc w:val="both"/>
        <w:rPr>
          <w:rFonts w:ascii="Verdana" w:hAnsi="Verdana" w:cs="Arial"/>
          <w:sz w:val="20"/>
          <w:szCs w:val="20"/>
          <w:lang w:val="es-ES_tradnl" w:eastAsia="es-ES_tradnl"/>
        </w:rPr>
      </w:pPr>
      <w:r w:rsidRPr="00DB118E">
        <w:rPr>
          <w:rFonts w:ascii="Verdana" w:hAnsi="Verdana" w:cs="Arial"/>
          <w:sz w:val="20"/>
          <w:szCs w:val="20"/>
          <w:lang w:val="es-ES_tradnl" w:eastAsia="es-ES_tradnl"/>
        </w:rPr>
        <w:t>Las personas naturales o jurídicas que reciban o intermedien fondos o beneficios públicos territoriales y nacionales y no cumplan ninguno de los otros requisitos para ser considerados sujetos obligados, solo deberán cumplir con la presente ley respecto de aquella información que se produzca en relación con fondos públicos que reciban o intermedien.</w:t>
      </w:r>
    </w:p>
    <w:p w14:paraId="6A72CFC7" w14:textId="77777777" w:rsidR="00467990" w:rsidRDefault="00467990" w:rsidP="00467990">
      <w:pPr>
        <w:tabs>
          <w:tab w:val="left" w:pos="709"/>
        </w:tabs>
        <w:spacing w:after="0" w:line="240" w:lineRule="auto"/>
        <w:ind w:left="709" w:right="709"/>
        <w:jc w:val="both"/>
        <w:rPr>
          <w:rFonts w:ascii="Verdana" w:hAnsi="Verdana" w:cs="Arial"/>
          <w:sz w:val="20"/>
          <w:szCs w:val="20"/>
          <w:lang w:val="es-ES_tradnl" w:eastAsia="es-ES_tradnl"/>
        </w:rPr>
      </w:pPr>
    </w:p>
    <w:p w14:paraId="519A021F" w14:textId="77777777" w:rsidR="00467990" w:rsidRPr="00DB118E" w:rsidRDefault="00467990" w:rsidP="00467990">
      <w:pPr>
        <w:tabs>
          <w:tab w:val="left" w:pos="709"/>
        </w:tabs>
        <w:spacing w:after="0" w:line="240" w:lineRule="auto"/>
        <w:ind w:left="709" w:right="709"/>
        <w:jc w:val="both"/>
        <w:rPr>
          <w:rFonts w:ascii="Verdana" w:hAnsi="Verdana" w:cs="Arial"/>
          <w:sz w:val="20"/>
          <w:szCs w:val="20"/>
          <w:lang w:val="es-ES_tradnl" w:eastAsia="es-ES_tradnl"/>
        </w:rPr>
      </w:pPr>
      <w:r w:rsidRPr="00DB118E">
        <w:rPr>
          <w:rFonts w:ascii="Verdana" w:hAnsi="Verdana" w:cs="Arial"/>
          <w:sz w:val="20"/>
          <w:szCs w:val="20"/>
          <w:lang w:val="es-ES_tradnl" w:eastAsia="es-ES_tradnl"/>
        </w:rPr>
        <w:t>PARÁGRAFO 1o. No serán sujetos obligados aquellas personas naturales o jurídicas de carácter privado que sean usuarios de información pública</w:t>
      </w:r>
      <w:r>
        <w:rPr>
          <w:rFonts w:ascii="Verdana" w:hAnsi="Verdana" w:cs="Arial"/>
          <w:sz w:val="20"/>
          <w:szCs w:val="20"/>
          <w:lang w:val="es-ES_tradnl" w:eastAsia="es-ES_tradnl"/>
        </w:rPr>
        <w:t>”</w:t>
      </w:r>
      <w:r w:rsidRPr="00DB118E">
        <w:rPr>
          <w:rFonts w:ascii="Verdana" w:hAnsi="Verdana" w:cs="Arial"/>
          <w:sz w:val="20"/>
          <w:szCs w:val="20"/>
          <w:lang w:val="es-ES_tradnl" w:eastAsia="es-ES_tradnl"/>
        </w:rPr>
        <w:t>.</w:t>
      </w:r>
    </w:p>
    <w:p w14:paraId="1C5050A1" w14:textId="77777777" w:rsidR="00467990" w:rsidRPr="00DB118E" w:rsidRDefault="00467990" w:rsidP="00467990">
      <w:pPr>
        <w:tabs>
          <w:tab w:val="left" w:pos="426"/>
        </w:tabs>
        <w:spacing w:after="0" w:line="276" w:lineRule="auto"/>
        <w:ind w:right="760"/>
        <w:jc w:val="both"/>
        <w:rPr>
          <w:rFonts w:ascii="Verdana" w:hAnsi="Verdana" w:cs="Arial"/>
          <w:color w:val="000000" w:themeColor="text1"/>
          <w:lang w:val="es-ES"/>
        </w:rPr>
      </w:pPr>
    </w:p>
    <w:p w14:paraId="50320382" w14:textId="77777777" w:rsidR="00467990" w:rsidRPr="00DB118E" w:rsidRDefault="00467990" w:rsidP="00467990">
      <w:pPr>
        <w:spacing w:after="0" w:line="276" w:lineRule="auto"/>
        <w:ind w:firstLine="709"/>
        <w:jc w:val="both"/>
        <w:rPr>
          <w:rFonts w:ascii="Verdana" w:hAnsi="Verdana" w:cs="Arial"/>
          <w:szCs w:val="24"/>
          <w:lang w:val="es-ES_tradnl" w:eastAsia="es-ES_tradnl"/>
        </w:rPr>
      </w:pPr>
      <w:r w:rsidRPr="00DB118E">
        <w:rPr>
          <w:rFonts w:ascii="Verdana" w:hAnsi="Verdana" w:cs="Arial"/>
          <w:szCs w:val="24"/>
          <w:lang w:val="es-ES_tradnl" w:eastAsia="es-ES_tradnl"/>
        </w:rPr>
        <w:t xml:space="preserve">La norma citada contiene una lista cuyo propósito es incluir a cualquier entidad, órgano, organismo, o persona natural que desempeñe funciones públicas o administre recursos públicos. De hecho, esta Agencia ha aclarado, en relación con el Plan Anual de Adquisiciones, que se encuentran obligadas todas las Entidades del Estado sin importar la rama a la cual pertenecen, o si se trata de entidades descentralizadas territorialmente o por servicios. También están incluidos todos los órganos con competencia para contratar, como los concejos municipales. Adicionalmente, la Agencia ha señalado que son sujetos obligados las empresas públicas, las empresas del Estado y las sociedades en las que el Estado tenga participación, sin que importe su monto. Esta obligación de origen legal tiene desarrollo reglamentario en el Decreto 103 de 2015, compilado por el Decreto 1081 de 2015. El artículo 2.1.1.2.1.10 del Decreto 1082 de 2015 dispone que: </w:t>
      </w:r>
    </w:p>
    <w:p w14:paraId="29BD75F5" w14:textId="77777777" w:rsidR="00467990" w:rsidRPr="00DB118E" w:rsidRDefault="00467990" w:rsidP="00467990">
      <w:pPr>
        <w:tabs>
          <w:tab w:val="left" w:pos="709"/>
          <w:tab w:val="left" w:pos="7938"/>
        </w:tabs>
        <w:spacing w:after="0" w:line="240" w:lineRule="auto"/>
        <w:ind w:left="709" w:right="760"/>
        <w:jc w:val="both"/>
        <w:rPr>
          <w:rFonts w:ascii="Verdana" w:hAnsi="Verdana" w:cs="Arial"/>
          <w:szCs w:val="24"/>
          <w:lang w:val="es-ES_tradnl" w:eastAsia="es-ES_tradnl"/>
        </w:rPr>
      </w:pPr>
    </w:p>
    <w:p w14:paraId="646308C6" w14:textId="77777777" w:rsidR="00467990" w:rsidRPr="000207C4" w:rsidRDefault="00467990" w:rsidP="00467990">
      <w:pPr>
        <w:tabs>
          <w:tab w:val="left" w:pos="709"/>
          <w:tab w:val="left" w:pos="7938"/>
        </w:tabs>
        <w:spacing w:after="0" w:line="240" w:lineRule="auto"/>
        <w:ind w:left="709" w:right="709"/>
        <w:jc w:val="both"/>
        <w:rPr>
          <w:rFonts w:ascii="Verdana" w:hAnsi="Verdana" w:cs="Arial"/>
          <w:sz w:val="20"/>
          <w:szCs w:val="20"/>
          <w:lang w:val="es-ES" w:eastAsia="es-ES"/>
        </w:rPr>
      </w:pPr>
      <w:r w:rsidRPr="40DA2A3B">
        <w:rPr>
          <w:rFonts w:ascii="Verdana" w:hAnsi="Verdana" w:cs="Arial"/>
          <w:sz w:val="20"/>
          <w:szCs w:val="20"/>
          <w:lang w:val="es-ES" w:eastAsia="es-ES"/>
        </w:rPr>
        <w:t xml:space="preserve">“Los sujetos obligados que contratan con cargo a recursos públicos deben publicar en su página web y en el </w:t>
      </w:r>
      <w:proofErr w:type="spellStart"/>
      <w:r w:rsidRPr="40DA2A3B">
        <w:rPr>
          <w:rFonts w:ascii="Verdana" w:hAnsi="Verdana" w:cs="Arial"/>
          <w:sz w:val="20"/>
          <w:szCs w:val="20"/>
          <w:lang w:val="es-ES" w:eastAsia="es-ES"/>
        </w:rPr>
        <w:t>Secop</w:t>
      </w:r>
      <w:proofErr w:type="spellEnd"/>
      <w:r w:rsidRPr="40DA2A3B">
        <w:rPr>
          <w:rFonts w:ascii="Verdana" w:hAnsi="Verdana" w:cs="Arial"/>
          <w:sz w:val="20"/>
          <w:szCs w:val="20"/>
          <w:lang w:val="es-ES" w:eastAsia="es-ES"/>
        </w:rPr>
        <w:t xml:space="preserve"> el Plan Anual de Adquisiciones, de acuerdo con lo previsto en el artículo 74 de la Ley 1474 de 2011, el literal e) del artículo 9° de la Ley 1712 de 2014 y el Decreto 1510 de 2013, o el que lo modifique, sustituya o adicione.</w:t>
      </w:r>
    </w:p>
    <w:p w14:paraId="46548CCA" w14:textId="77777777" w:rsidR="00467990" w:rsidRPr="000207C4" w:rsidRDefault="00467990" w:rsidP="00467990">
      <w:pPr>
        <w:tabs>
          <w:tab w:val="left" w:pos="709"/>
          <w:tab w:val="left" w:pos="7938"/>
        </w:tabs>
        <w:spacing w:after="0" w:line="240" w:lineRule="auto"/>
        <w:ind w:left="709" w:right="709"/>
        <w:jc w:val="both"/>
        <w:rPr>
          <w:rFonts w:ascii="Verdana" w:hAnsi="Verdana" w:cs="Arial"/>
          <w:sz w:val="20"/>
          <w:szCs w:val="20"/>
          <w:lang w:val="es-ES_tradnl" w:eastAsia="es-ES_tradnl"/>
        </w:rPr>
      </w:pPr>
    </w:p>
    <w:p w14:paraId="34A9FAB3" w14:textId="77777777" w:rsidR="00467990" w:rsidRPr="000207C4" w:rsidRDefault="00467990" w:rsidP="00467990">
      <w:pPr>
        <w:tabs>
          <w:tab w:val="left" w:pos="709"/>
          <w:tab w:val="left" w:pos="7938"/>
        </w:tabs>
        <w:spacing w:after="0" w:line="240" w:lineRule="auto"/>
        <w:ind w:left="709" w:right="709"/>
        <w:jc w:val="both"/>
        <w:rPr>
          <w:rFonts w:ascii="Verdana" w:hAnsi="Verdana" w:cs="Arial"/>
          <w:sz w:val="20"/>
          <w:szCs w:val="20"/>
          <w:lang w:val="es-ES_tradnl" w:eastAsia="es-ES_tradnl"/>
        </w:rPr>
      </w:pPr>
      <w:r w:rsidRPr="000207C4">
        <w:rPr>
          <w:rFonts w:ascii="Verdana" w:hAnsi="Verdana" w:cs="Arial"/>
          <w:sz w:val="20"/>
          <w:szCs w:val="20"/>
          <w:lang w:val="es-ES_tradnl" w:eastAsia="es-ES_tradnl"/>
        </w:rPr>
        <w:t xml:space="preserve">Los sujetos obligados que no contratan con cargo a recursos públicos no están obligados a publicar su Plan Anual de Adquisiciones. </w:t>
      </w:r>
    </w:p>
    <w:p w14:paraId="78036C48" w14:textId="77777777" w:rsidR="00467990" w:rsidRPr="000207C4" w:rsidRDefault="00467990" w:rsidP="00467990">
      <w:pPr>
        <w:tabs>
          <w:tab w:val="left" w:pos="709"/>
          <w:tab w:val="left" w:pos="7938"/>
        </w:tabs>
        <w:spacing w:after="0" w:line="240" w:lineRule="auto"/>
        <w:ind w:left="709" w:right="709"/>
        <w:jc w:val="both"/>
        <w:rPr>
          <w:rFonts w:ascii="Verdana" w:hAnsi="Verdana" w:cs="Arial"/>
          <w:sz w:val="20"/>
          <w:szCs w:val="20"/>
          <w:lang w:val="es-ES_tradnl" w:eastAsia="es-ES_tradnl"/>
        </w:rPr>
      </w:pPr>
    </w:p>
    <w:p w14:paraId="365DFC65" w14:textId="77777777" w:rsidR="00467990" w:rsidRPr="000207C4" w:rsidRDefault="00467990" w:rsidP="00467990">
      <w:pPr>
        <w:tabs>
          <w:tab w:val="left" w:pos="709"/>
          <w:tab w:val="left" w:pos="7938"/>
        </w:tabs>
        <w:spacing w:after="0" w:line="240" w:lineRule="auto"/>
        <w:ind w:left="709" w:right="709"/>
        <w:jc w:val="both"/>
        <w:rPr>
          <w:rFonts w:ascii="Verdana" w:hAnsi="Verdana" w:cs="Arial"/>
          <w:sz w:val="20"/>
          <w:szCs w:val="20"/>
          <w:lang w:val="es-ES" w:eastAsia="es-ES"/>
        </w:rPr>
      </w:pPr>
      <w:r w:rsidRPr="40DA2A3B">
        <w:rPr>
          <w:rFonts w:ascii="Verdana" w:hAnsi="Verdana" w:cs="Arial"/>
          <w:sz w:val="20"/>
          <w:szCs w:val="20"/>
          <w:lang w:val="es-ES" w:eastAsia="es-ES"/>
        </w:rPr>
        <w:t xml:space="preserve">Los sujetos obligados que contratan con cargo a recursos públicos y recursos </w:t>
      </w:r>
      <w:proofErr w:type="gramStart"/>
      <w:r w:rsidRPr="40DA2A3B">
        <w:rPr>
          <w:rFonts w:ascii="Verdana" w:hAnsi="Verdana" w:cs="Arial"/>
          <w:sz w:val="20"/>
          <w:szCs w:val="20"/>
          <w:lang w:val="es-ES" w:eastAsia="es-ES"/>
        </w:rPr>
        <w:t>privados,</w:t>
      </w:r>
      <w:proofErr w:type="gramEnd"/>
      <w:r w:rsidRPr="40DA2A3B">
        <w:rPr>
          <w:rFonts w:ascii="Verdana" w:hAnsi="Verdana" w:cs="Arial"/>
          <w:sz w:val="20"/>
          <w:szCs w:val="20"/>
          <w:lang w:val="es-ES" w:eastAsia="es-ES"/>
        </w:rPr>
        <w:t xml:space="preserve"> deben publicar en su página web y en el </w:t>
      </w:r>
      <w:proofErr w:type="spellStart"/>
      <w:r w:rsidRPr="40DA2A3B">
        <w:rPr>
          <w:rFonts w:ascii="Verdana" w:hAnsi="Verdana" w:cs="Arial"/>
          <w:sz w:val="20"/>
          <w:szCs w:val="20"/>
          <w:lang w:val="es-ES" w:eastAsia="es-ES"/>
        </w:rPr>
        <w:t>Secop</w:t>
      </w:r>
      <w:proofErr w:type="spellEnd"/>
      <w:r w:rsidRPr="40DA2A3B">
        <w:rPr>
          <w:rFonts w:ascii="Verdana" w:hAnsi="Verdana" w:cs="Arial"/>
          <w:sz w:val="20"/>
          <w:szCs w:val="20"/>
          <w:lang w:val="es-ES" w:eastAsia="es-ES"/>
        </w:rPr>
        <w:t xml:space="preserve"> el Plan Anual de Adquisiciones para los recursos de carácter público que ejecutarán en el año. </w:t>
      </w:r>
    </w:p>
    <w:p w14:paraId="4EA87A71" w14:textId="77777777" w:rsidR="00467990" w:rsidRPr="000207C4" w:rsidRDefault="00467990" w:rsidP="00467990">
      <w:pPr>
        <w:tabs>
          <w:tab w:val="left" w:pos="709"/>
          <w:tab w:val="left" w:pos="7938"/>
        </w:tabs>
        <w:spacing w:after="0" w:line="240" w:lineRule="auto"/>
        <w:ind w:left="709" w:right="709"/>
        <w:jc w:val="both"/>
        <w:rPr>
          <w:rFonts w:ascii="Verdana" w:hAnsi="Verdana" w:cs="Arial"/>
          <w:sz w:val="20"/>
          <w:szCs w:val="20"/>
          <w:lang w:val="es-ES_tradnl" w:eastAsia="es-ES_tradnl"/>
        </w:rPr>
      </w:pPr>
    </w:p>
    <w:p w14:paraId="306E3365" w14:textId="77777777" w:rsidR="00467990" w:rsidRPr="000207C4" w:rsidRDefault="00467990" w:rsidP="00467990">
      <w:pPr>
        <w:tabs>
          <w:tab w:val="left" w:pos="709"/>
          <w:tab w:val="left" w:pos="7938"/>
        </w:tabs>
        <w:spacing w:after="0" w:line="240" w:lineRule="auto"/>
        <w:ind w:left="709" w:right="709"/>
        <w:jc w:val="both"/>
        <w:rPr>
          <w:rFonts w:ascii="Verdana" w:hAnsi="Verdana" w:cs="Arial"/>
          <w:sz w:val="20"/>
          <w:szCs w:val="20"/>
          <w:lang w:val="es-ES_tradnl" w:eastAsia="es-ES_tradnl"/>
        </w:rPr>
      </w:pPr>
      <w:r w:rsidRPr="000207C4">
        <w:rPr>
          <w:rFonts w:ascii="Verdana" w:hAnsi="Verdana" w:cs="Arial"/>
          <w:sz w:val="20"/>
          <w:szCs w:val="20"/>
          <w:lang w:val="es-ES_tradnl" w:eastAsia="es-ES_tradnl"/>
        </w:rPr>
        <w:t>Se entenderá como definición de Plan Anual de Adquisiciones respecto a todos los sujetos obligados que contratan con recursos públicos, la prevista en el artículo 3° del Decreto 1510 de 2013, o el que lo modifique, sustituya o adicione</w:t>
      </w:r>
      <w:r>
        <w:rPr>
          <w:rFonts w:ascii="Verdana" w:hAnsi="Verdana" w:cs="Arial"/>
          <w:sz w:val="20"/>
          <w:szCs w:val="20"/>
          <w:lang w:val="es-ES_tradnl" w:eastAsia="es-ES_tradnl"/>
        </w:rPr>
        <w:t>”</w:t>
      </w:r>
      <w:r w:rsidRPr="000207C4">
        <w:rPr>
          <w:rFonts w:ascii="Verdana" w:hAnsi="Verdana" w:cs="Arial"/>
          <w:sz w:val="20"/>
          <w:szCs w:val="20"/>
          <w:lang w:val="es-ES_tradnl" w:eastAsia="es-ES_tradnl"/>
        </w:rPr>
        <w:t xml:space="preserve">. </w:t>
      </w:r>
    </w:p>
    <w:p w14:paraId="0EB66437" w14:textId="77777777" w:rsidR="00467990" w:rsidRPr="00DB118E" w:rsidRDefault="00467990" w:rsidP="00467990">
      <w:pPr>
        <w:tabs>
          <w:tab w:val="left" w:pos="8505"/>
        </w:tabs>
        <w:spacing w:after="0" w:line="276" w:lineRule="auto"/>
        <w:ind w:rightChars="709" w:right="1560"/>
        <w:rPr>
          <w:rFonts w:ascii="Verdana" w:hAnsi="Verdana" w:cs="Arial"/>
          <w:lang w:val="es-ES"/>
        </w:rPr>
      </w:pPr>
    </w:p>
    <w:p w14:paraId="062F4024" w14:textId="77777777" w:rsidR="00467990" w:rsidRPr="006878C4" w:rsidRDefault="00467990" w:rsidP="006878C4">
      <w:pPr>
        <w:spacing w:after="120" w:line="276" w:lineRule="auto"/>
        <w:ind w:firstLine="709"/>
        <w:jc w:val="both"/>
        <w:rPr>
          <w:rFonts w:ascii="Verdana" w:hAnsi="Verdana" w:cs="Arial"/>
          <w:lang w:val="es-ES" w:eastAsia="es-ES"/>
        </w:rPr>
      </w:pPr>
      <w:r w:rsidRPr="006878C4">
        <w:rPr>
          <w:rFonts w:ascii="Verdana" w:hAnsi="Verdana" w:cs="Arial"/>
          <w:lang w:val="es-ES" w:eastAsia="es-ES"/>
        </w:rPr>
        <w:t xml:space="preserve">El artículo citado prescribe que los sujetos obligados que contraten con cargo a recursos públicos tienen la obligación de publicar el Plan Anual de Adquisiciones en el SECOP. Los sujetos que no contratan con cargo a recursos públicos no están obligados a publicarlo, mientras que aquellos que contratan tanto con cargo a recursos públicos como recursos que no tienen esta naturaleza, solamente están obligados a publicar el Plan Anual de Adquisiciones para los recursos de carácter público que se ejecutarán durante la vigencia fiscal. </w:t>
      </w:r>
    </w:p>
    <w:p w14:paraId="5DBC545B" w14:textId="77777777" w:rsidR="00467990" w:rsidRPr="006878C4" w:rsidRDefault="00467990" w:rsidP="006878C4">
      <w:pPr>
        <w:spacing w:after="120" w:line="276" w:lineRule="auto"/>
        <w:ind w:firstLine="708"/>
        <w:jc w:val="both"/>
        <w:rPr>
          <w:rFonts w:ascii="Verdana" w:hAnsi="Verdana" w:cs="Arial"/>
          <w:lang w:val="es-ES" w:eastAsia="es-ES"/>
        </w:rPr>
      </w:pPr>
      <w:r w:rsidRPr="006878C4">
        <w:rPr>
          <w:rFonts w:ascii="Verdana" w:hAnsi="Verdana" w:cs="Arial"/>
          <w:lang w:val="es-ES" w:eastAsia="es-ES"/>
        </w:rPr>
        <w:t>Precisar el grado de vinculatoriedad del Plan Anual de Adquisiciones supone el análisis de lo dispuesto en los artículos 2.2.1.1.1.4.1, 2.2.1.1.1.4.3</w:t>
      </w:r>
      <w:r w:rsidRPr="006878C4">
        <w:rPr>
          <w:rFonts w:ascii="Verdana" w:hAnsi="Verdana" w:cs="Arial"/>
          <w:vertAlign w:val="superscript"/>
          <w:lang w:val="es-ES" w:eastAsia="es-ES"/>
        </w:rPr>
        <w:footnoteReference w:id="8"/>
      </w:r>
      <w:r w:rsidRPr="006878C4">
        <w:rPr>
          <w:rFonts w:ascii="Verdana" w:hAnsi="Verdana" w:cs="Arial"/>
          <w:lang w:val="es-ES" w:eastAsia="es-ES"/>
        </w:rPr>
        <w:t xml:space="preserve"> y 2.2.1.1.1.4.4</w:t>
      </w:r>
      <w:r w:rsidRPr="006878C4">
        <w:rPr>
          <w:rFonts w:ascii="Verdana" w:hAnsi="Verdana" w:cs="Arial"/>
          <w:vertAlign w:val="superscript"/>
          <w:lang w:val="es-ES" w:eastAsia="es-ES"/>
        </w:rPr>
        <w:footnoteReference w:id="9"/>
      </w:r>
      <w:r w:rsidRPr="006878C4">
        <w:rPr>
          <w:rFonts w:ascii="Verdana" w:hAnsi="Verdana" w:cs="Arial"/>
          <w:lang w:val="es-ES" w:eastAsia="es-ES"/>
        </w:rPr>
        <w:t xml:space="preserve"> del Decreto 1082 de 2015. El primer artículo establece el deber de las entidades de “elaborar el plan anual de adquisiciones, el cual debe contener la lista de bienes, obras y servicios que pretenden adquirir durante el año”. El aparte trascrito permite inferir que se trata de un documento estimativo, </w:t>
      </w:r>
      <w:r w:rsidRPr="006878C4">
        <w:rPr>
          <w:rFonts w:ascii="Verdana" w:hAnsi="Verdana" w:cs="Arial"/>
          <w:lang w:val="es-ES" w:eastAsia="es-ES"/>
        </w:rPr>
        <w:lastRenderedPageBreak/>
        <w:t xml:space="preserve">pues contiene un listado de bienes, obras o servicios que, producto del ejercicio de planeación de la entidad, esta pretende adquirir dentro de la vigencia correspondiente. Esta redacción advierte la naturaleza estimativa del documento, pues contiene los siguientes aspectos: i) la necesidad; </w:t>
      </w:r>
      <w:proofErr w:type="spellStart"/>
      <w:r w:rsidRPr="006878C4">
        <w:rPr>
          <w:rFonts w:ascii="Verdana" w:hAnsi="Verdana" w:cs="Arial"/>
          <w:lang w:val="es-ES" w:eastAsia="es-ES"/>
        </w:rPr>
        <w:t>ii</w:t>
      </w:r>
      <w:proofErr w:type="spellEnd"/>
      <w:r w:rsidRPr="006878C4">
        <w:rPr>
          <w:rFonts w:ascii="Verdana" w:hAnsi="Verdana" w:cs="Arial"/>
          <w:lang w:val="es-ES" w:eastAsia="es-ES"/>
        </w:rPr>
        <w:t xml:space="preserve">) la identificación en el clasificador si la entidad conoce el bien, obra o servicio que satisface la necesidad; </w:t>
      </w:r>
      <w:proofErr w:type="spellStart"/>
      <w:r w:rsidRPr="006878C4">
        <w:rPr>
          <w:rFonts w:ascii="Verdana" w:hAnsi="Verdana" w:cs="Arial"/>
          <w:lang w:val="es-ES" w:eastAsia="es-ES"/>
        </w:rPr>
        <w:t>iii</w:t>
      </w:r>
      <w:proofErr w:type="spellEnd"/>
      <w:r w:rsidRPr="006878C4">
        <w:rPr>
          <w:rFonts w:ascii="Verdana" w:hAnsi="Verdana" w:cs="Arial"/>
          <w:lang w:val="es-ES" w:eastAsia="es-ES"/>
        </w:rPr>
        <w:t xml:space="preserve">) el valor estimado del contrato; </w:t>
      </w:r>
      <w:proofErr w:type="spellStart"/>
      <w:r w:rsidRPr="006878C4">
        <w:rPr>
          <w:rFonts w:ascii="Verdana" w:hAnsi="Verdana" w:cs="Arial"/>
          <w:lang w:val="es-ES" w:eastAsia="es-ES"/>
        </w:rPr>
        <w:t>iv</w:t>
      </w:r>
      <w:proofErr w:type="spellEnd"/>
      <w:r w:rsidRPr="006878C4">
        <w:rPr>
          <w:rFonts w:ascii="Verdana" w:hAnsi="Verdana" w:cs="Arial"/>
          <w:lang w:val="es-ES" w:eastAsia="es-ES"/>
        </w:rPr>
        <w:t xml:space="preserve">) el tipo de recursos con cargo a los cuales la entidad pagará el bien, obra o servicio; v) la modalidad de selección del contratista y vi) la fecha aproximada en la cual la entidad indicará el procedimiento de selección. </w:t>
      </w:r>
    </w:p>
    <w:p w14:paraId="1CFD1881" w14:textId="77777777" w:rsidR="00467990" w:rsidRPr="006878C4" w:rsidRDefault="00467990" w:rsidP="006878C4">
      <w:pPr>
        <w:spacing w:after="120" w:line="276" w:lineRule="auto"/>
        <w:ind w:firstLine="709"/>
        <w:jc w:val="both"/>
        <w:rPr>
          <w:rFonts w:ascii="Verdana" w:hAnsi="Verdana" w:cs="Arial"/>
          <w:lang w:val="es-ES_tradnl" w:eastAsia="es-ES_tradnl"/>
        </w:rPr>
      </w:pPr>
      <w:r w:rsidRPr="006878C4">
        <w:rPr>
          <w:rFonts w:ascii="Verdana" w:hAnsi="Verdana" w:cs="Arial"/>
          <w:lang w:val="es-ES_tradnl" w:eastAsia="es-ES_tradnl"/>
        </w:rPr>
        <w:t>La norma referida establece la obligación de enunciar la información de manera indicativa, y no impone determinar valores precisos, tiempos, bienes, obras o servicios de manera exacta; todo lo contrario, permite realizar un pronóstico indicativo de las necesidades que debe contratar. Este carácter estimativo del Plan Anual de Adquisiciones fue reconocido por la Agencia Nacional de Contratación Pública – Colombia Compra Eficiente en la “</w:t>
      </w:r>
      <w:r w:rsidRPr="006878C4">
        <w:rPr>
          <w:rFonts w:ascii="Verdana" w:eastAsia="Calibri" w:hAnsi="Verdana" w:cs="Arial"/>
          <w:lang w:val="es-ES_tradnl" w:eastAsia="es-ES_tradnl"/>
        </w:rPr>
        <w:t>Guía para elaborar el plan anual de adquisiciones”</w:t>
      </w:r>
      <w:r w:rsidRPr="006878C4">
        <w:rPr>
          <w:rFonts w:ascii="Verdana" w:hAnsi="Verdana" w:cs="Arial"/>
          <w:lang w:val="es-ES_tradnl" w:eastAsia="es-ES_tradnl"/>
        </w:rPr>
        <w:t>, donde precisó, como una de sus finalidades, “servir como referente inicial para evaluar la ejecución de presupuesto y pronosticar la demanda de bienes y servicios de la entidad durante el año referido del plan”</w:t>
      </w:r>
      <w:r w:rsidRPr="006878C4">
        <w:rPr>
          <w:rFonts w:ascii="Verdana" w:hAnsi="Verdana" w:cs="Arial"/>
          <w:vertAlign w:val="superscript"/>
          <w:lang w:val="es-ES_tradnl" w:eastAsia="es-ES_tradnl"/>
        </w:rPr>
        <w:footnoteReference w:id="10"/>
      </w:r>
      <w:r w:rsidRPr="006878C4">
        <w:rPr>
          <w:rFonts w:ascii="Verdana" w:hAnsi="Verdana" w:cs="Arial"/>
          <w:vertAlign w:val="superscript"/>
          <w:lang w:val="es-ES_tradnl" w:eastAsia="es-ES_tradnl"/>
        </w:rPr>
        <w:t>.</w:t>
      </w:r>
      <w:r w:rsidRPr="006878C4">
        <w:rPr>
          <w:rFonts w:ascii="Verdana" w:hAnsi="Verdana" w:cs="Arial"/>
          <w:lang w:val="es-ES_tradnl" w:eastAsia="es-ES_tradnl"/>
        </w:rPr>
        <w:t xml:space="preserve"> </w:t>
      </w:r>
    </w:p>
    <w:p w14:paraId="34A1C07D" w14:textId="77777777" w:rsidR="00467990" w:rsidRPr="006878C4" w:rsidRDefault="00467990" w:rsidP="006878C4">
      <w:pPr>
        <w:spacing w:after="120" w:line="276" w:lineRule="auto"/>
        <w:ind w:firstLine="709"/>
        <w:jc w:val="both"/>
        <w:rPr>
          <w:rFonts w:ascii="Verdana" w:hAnsi="Verdana" w:cs="Arial"/>
          <w:lang w:val="es-ES" w:eastAsia="es-ES"/>
        </w:rPr>
      </w:pPr>
      <w:r w:rsidRPr="006878C4">
        <w:rPr>
          <w:rFonts w:ascii="Verdana" w:hAnsi="Verdana" w:cs="Arial"/>
          <w:lang w:val="es-ES" w:eastAsia="es-ES"/>
        </w:rPr>
        <w:t xml:space="preserve">La segunda disposición relevante –esto es, el artículo 2.2.1.1.1.4.3 del Decreto 1082 de 2015– establece el deber de publicidad de las Entidades Públicas del Plan Anual de Adquisiciones, en sus páginas web y en el SECOP II, con la información mínima señalada en el artículo 2.2.1.1.1.4.1. del Decreto 1082 de 2015. Asimismo, la norma impone a las entidades el deber de publicar las actualizaciones que realicen al Plan Anual. De esta manera, se faculta a la Administración para realizar cambios y modificaciones, por lo que no es un documento rígido que vincule la contratación, sino que, por el contrario, se trata de un instrumento de planificación que orienta y permite tener un referente de las necesidades de bienes, obras y servicio que debe contratar para la respectiva anualidad, y que además puede ser actualizado. </w:t>
      </w:r>
    </w:p>
    <w:p w14:paraId="3C625B05" w14:textId="77777777" w:rsidR="00467990" w:rsidRPr="006878C4" w:rsidRDefault="00467990" w:rsidP="006878C4">
      <w:pPr>
        <w:spacing w:after="120" w:line="276" w:lineRule="auto"/>
        <w:ind w:firstLine="709"/>
        <w:jc w:val="both"/>
        <w:rPr>
          <w:rFonts w:ascii="Verdana" w:hAnsi="Verdana" w:cs="Arial"/>
          <w:szCs w:val="24"/>
          <w:lang w:val="es-ES_tradnl" w:eastAsia="es-ES_tradnl"/>
        </w:rPr>
      </w:pPr>
      <w:r w:rsidRPr="006878C4">
        <w:rPr>
          <w:rFonts w:ascii="Verdana" w:hAnsi="Verdana" w:cs="Arial"/>
          <w:szCs w:val="24"/>
          <w:lang w:val="es-ES_tradnl" w:eastAsia="es-ES_tradnl"/>
        </w:rPr>
        <w:t xml:space="preserve">La tercera norma mencionada, el artículo 2.2.1.1.1.4.4. del Decreto 1082 de 2015, en el inciso 1, fijó, en criterio de esta Subdirección, el alcance de la </w:t>
      </w:r>
      <w:r w:rsidRPr="006878C4">
        <w:rPr>
          <w:rFonts w:ascii="Verdana" w:hAnsi="Verdana" w:cs="Arial"/>
          <w:szCs w:val="24"/>
          <w:lang w:val="es-ES_tradnl" w:eastAsia="es-ES_tradnl"/>
        </w:rPr>
        <w:lastRenderedPageBreak/>
        <w:t>facultad otorgada a las entidades para actualizar el plan anual de adquisiciones. Por ello es pertinente consultar el significado natural del verbo rector de la disposición y luego establecer los límites establecidos en la norma. El Diccionario de la Lengua Española define “actualizar” como “hacer actual algo, darle actualidad” o “poner al día datos, normas, precios rentas, salarios”. Es decir, “actualizar” se puede asociar con la acción de traer al presente un dato establecido en el pasado. Aplicada esta definición a la norma citada, se tendría que el reglamento facultó a las entidades públicas para poner al día la información contenida en el documento del plan anual de adquisiciones.</w:t>
      </w:r>
    </w:p>
    <w:p w14:paraId="244A9FF7" w14:textId="77777777" w:rsidR="00467990" w:rsidRPr="006878C4" w:rsidRDefault="00467990" w:rsidP="006878C4">
      <w:pPr>
        <w:spacing w:after="120" w:line="276" w:lineRule="auto"/>
        <w:ind w:firstLine="709"/>
        <w:jc w:val="both"/>
        <w:rPr>
          <w:rFonts w:ascii="Verdana" w:hAnsi="Verdana" w:cs="Arial"/>
          <w:szCs w:val="24"/>
          <w:lang w:val="es-ES_tradnl" w:eastAsia="es-ES_tradnl"/>
        </w:rPr>
      </w:pPr>
      <w:r w:rsidRPr="006878C4">
        <w:rPr>
          <w:rFonts w:ascii="Verdana" w:hAnsi="Verdana" w:cs="Arial"/>
          <w:szCs w:val="24"/>
          <w:lang w:val="es-ES_tradnl" w:eastAsia="es-ES_tradnl"/>
        </w:rPr>
        <w:t>El numeral 5.7 de la Circular Externa Única “Formas y oportunidades para actualizar el Plan Anual de Adquisiciones”</w:t>
      </w:r>
      <w:r w:rsidRPr="006878C4">
        <w:rPr>
          <w:rStyle w:val="Refdenotaalpie"/>
          <w:rFonts w:ascii="Verdana" w:hAnsi="Verdana" w:cs="Arial"/>
          <w:szCs w:val="24"/>
          <w:lang w:val="es-ES_tradnl" w:eastAsia="es-ES_tradnl"/>
        </w:rPr>
        <w:footnoteReference w:id="11"/>
      </w:r>
      <w:r w:rsidRPr="006878C4">
        <w:rPr>
          <w:rFonts w:ascii="Verdana" w:hAnsi="Verdana" w:cs="Arial"/>
          <w:szCs w:val="24"/>
          <w:lang w:val="es-ES_tradnl" w:eastAsia="es-ES_tradnl"/>
        </w:rPr>
        <w:t xml:space="preserve">, expedida por Agencia Nacional de Contratación Pública – Colombia Compra Eficiente, dispone que las Entidades Estatales deben actualizar su Plan Anual de Adquisiciones </w:t>
      </w:r>
      <w:r w:rsidRPr="006878C4">
        <w:rPr>
          <w:rFonts w:ascii="Verdana" w:hAnsi="Verdana" w:cs="Arial"/>
        </w:rPr>
        <w:t>cada vez que lo requieran utilizando el formato al que se refieren los numerales 5.6. y 5.7. de dicha Circular, según el caso. La actualización debe publicarse en la página web de la Entidad y en el SECOP, de tal manera que solo será visible el Plan Anual de Adquisiciones actualizado. En todo caso, las Entidades Estatales deben actualizarlo al menos una vez durante su vigencia</w:t>
      </w:r>
      <w:r w:rsidRPr="006878C4">
        <w:rPr>
          <w:rFonts w:ascii="Verdana" w:hAnsi="Verdana" w:cs="Arial"/>
          <w:szCs w:val="24"/>
          <w:lang w:val="es-ES_tradnl" w:eastAsia="es-ES_tradnl"/>
        </w:rPr>
        <w:t>. Esto en concordancia con el artículo 2.2.1.1.1.4.4 del Decreto 1082 de 2015, el cual señala que la Entidad Estatal debe actualizar el Plan Anual de Adquisiciones por lo menos una vez durante su vigencia, en la forma y la oportunidad que para el efecto disponga Colombia Compra Eficiente.</w:t>
      </w:r>
    </w:p>
    <w:p w14:paraId="5DE795B4" w14:textId="77777777" w:rsidR="00467990" w:rsidRPr="006878C4" w:rsidRDefault="00467990" w:rsidP="006878C4">
      <w:pPr>
        <w:spacing w:after="120" w:line="276" w:lineRule="auto"/>
        <w:ind w:firstLine="709"/>
        <w:jc w:val="both"/>
        <w:rPr>
          <w:rFonts w:ascii="Verdana" w:hAnsi="Verdana" w:cs="Arial"/>
          <w:lang w:val="es-ES" w:eastAsia="es-ES"/>
        </w:rPr>
      </w:pPr>
      <w:r w:rsidRPr="006878C4">
        <w:rPr>
          <w:rFonts w:ascii="Verdana" w:hAnsi="Verdana" w:cs="Arial"/>
          <w:lang w:val="es-ES" w:eastAsia="es-ES"/>
        </w:rPr>
        <w:t xml:space="preserve">Con el deber de actualizar el plan, una vez al año cuando menos, implícitamente se señala que el contenido inicial no es rígido ni inmodificable y, en consecuencia, por la misma dinámica de la actividad contractual de la Administración, estos datos necesariamente tendrán que modificarse. Además, la norma no limita la actualización del plan a un tope máximo, pero estableció un número mínimo, pues indicó que debían actualizarlo por lo menos una vez durante su vigencia. </w:t>
      </w:r>
    </w:p>
    <w:p w14:paraId="18670577" w14:textId="77777777" w:rsidR="00467990" w:rsidRPr="006878C4" w:rsidRDefault="00467990" w:rsidP="006878C4">
      <w:pPr>
        <w:spacing w:after="120" w:line="276" w:lineRule="auto"/>
        <w:ind w:firstLine="709"/>
        <w:jc w:val="both"/>
        <w:rPr>
          <w:rFonts w:ascii="Verdana" w:hAnsi="Verdana" w:cs="Arial"/>
          <w:lang w:val="es-ES" w:eastAsia="es-ES"/>
        </w:rPr>
      </w:pPr>
      <w:r w:rsidRPr="006878C4">
        <w:rPr>
          <w:rFonts w:ascii="Verdana" w:hAnsi="Verdana" w:cs="Arial"/>
          <w:lang w:val="es-ES" w:eastAsia="es-ES"/>
        </w:rPr>
        <w:t xml:space="preserve">El inciso 2 del artículo citado estableció cuatro (4) eventos en los que procede actualizar el plan anual de adquisiciones: i) ajustes en los cronogramas de adquisición, valores, modalidad de selección y origen de los recursos; </w:t>
      </w:r>
      <w:proofErr w:type="spellStart"/>
      <w:r w:rsidRPr="006878C4">
        <w:rPr>
          <w:rFonts w:ascii="Verdana" w:hAnsi="Verdana" w:cs="Arial"/>
          <w:lang w:val="es-ES" w:eastAsia="es-ES"/>
        </w:rPr>
        <w:t>ii</w:t>
      </w:r>
      <w:proofErr w:type="spellEnd"/>
      <w:r w:rsidRPr="006878C4">
        <w:rPr>
          <w:rFonts w:ascii="Verdana" w:hAnsi="Verdana" w:cs="Arial"/>
          <w:lang w:val="es-ES" w:eastAsia="es-ES"/>
        </w:rPr>
        <w:t xml:space="preserve">) para incluir nuevas obras, bienes o servicios; </w:t>
      </w:r>
      <w:proofErr w:type="spellStart"/>
      <w:r w:rsidRPr="006878C4">
        <w:rPr>
          <w:rFonts w:ascii="Verdana" w:hAnsi="Verdana" w:cs="Arial"/>
          <w:lang w:val="es-ES" w:eastAsia="es-ES"/>
        </w:rPr>
        <w:t>iii</w:t>
      </w:r>
      <w:proofErr w:type="spellEnd"/>
      <w:r w:rsidRPr="006878C4">
        <w:rPr>
          <w:rFonts w:ascii="Verdana" w:hAnsi="Verdana" w:cs="Arial"/>
          <w:lang w:val="es-ES" w:eastAsia="es-ES"/>
        </w:rPr>
        <w:t xml:space="preserve">) excluir obras, bienes o servicios y </w:t>
      </w:r>
      <w:proofErr w:type="spellStart"/>
      <w:r w:rsidRPr="006878C4">
        <w:rPr>
          <w:rFonts w:ascii="Verdana" w:hAnsi="Verdana" w:cs="Arial"/>
          <w:lang w:val="es-ES" w:eastAsia="es-ES"/>
        </w:rPr>
        <w:lastRenderedPageBreak/>
        <w:t>iv</w:t>
      </w:r>
      <w:proofErr w:type="spellEnd"/>
      <w:r w:rsidRPr="006878C4">
        <w:rPr>
          <w:rFonts w:ascii="Verdana" w:hAnsi="Verdana" w:cs="Arial"/>
          <w:lang w:val="es-ES" w:eastAsia="es-ES"/>
        </w:rPr>
        <w:t xml:space="preserve">) modificar el presupuesto anual de adquisiciones. El inciso citado solo estableció los eventos en los que tiene que actualizarse, sin limitar la modificación a ciertos topes, como, por ejemplo, aumentar o disminuir valores. La norma no enfatizó en este punto, por lo cual, en principio, podrá modificarse. </w:t>
      </w:r>
    </w:p>
    <w:p w14:paraId="43496F5C" w14:textId="77777777" w:rsidR="00467990" w:rsidRPr="006878C4" w:rsidRDefault="00467990" w:rsidP="006878C4">
      <w:pPr>
        <w:spacing w:after="120" w:line="276" w:lineRule="auto"/>
        <w:ind w:firstLine="709"/>
        <w:jc w:val="both"/>
        <w:rPr>
          <w:rFonts w:ascii="Verdana" w:hAnsi="Verdana" w:cs="Arial"/>
          <w:szCs w:val="24"/>
          <w:lang w:val="es-ES_tradnl" w:eastAsia="es-ES_tradnl"/>
        </w:rPr>
      </w:pPr>
      <w:r w:rsidRPr="006878C4">
        <w:rPr>
          <w:rFonts w:ascii="Verdana" w:hAnsi="Verdana" w:cs="Arial"/>
          <w:szCs w:val="24"/>
          <w:lang w:val="es-ES_tradnl" w:eastAsia="es-ES_tradnl"/>
        </w:rPr>
        <w:t xml:space="preserve">Así las cosas, la Subdirección de Gestión Contractual considera que el Plan Anual de Adquisiciones es un instrumento de planificación y orientación de la contratación de las Entidades Públicas,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 </w:t>
      </w:r>
    </w:p>
    <w:p w14:paraId="7342010C" w14:textId="77777777" w:rsidR="00467990" w:rsidRPr="006878C4" w:rsidRDefault="00467990" w:rsidP="006878C4">
      <w:pPr>
        <w:spacing w:after="120" w:line="276" w:lineRule="auto"/>
        <w:ind w:firstLine="709"/>
        <w:jc w:val="both"/>
        <w:rPr>
          <w:rFonts w:ascii="Verdana" w:hAnsi="Verdana" w:cs="Arial"/>
          <w:lang w:val="es-ES" w:eastAsia="es-ES"/>
        </w:rPr>
      </w:pPr>
      <w:r w:rsidRPr="006878C4">
        <w:rPr>
          <w:rFonts w:ascii="Verdana" w:hAnsi="Verdana" w:cs="Arial"/>
          <w:lang w:val="es-ES" w:eastAsia="es-ES"/>
        </w:rPr>
        <w:t xml:space="preserve">Las normas citadas permiten concluir que el objetivo del Plan Anual de Adquisiciones es indicar los bienes, obras y servicios que la entidad pretende adquirir, sin consideración a la forma en que estos deberán obtenerse, pues es el criterio de necesidad de aquellos el que fundamenta la inclusión o no en la lista del plan y no el carácter pecuniario de este ni su modalidad de contratación. Por tanto, bastará con que la entidad identifique la necesidad contractual para que deba incluirlo en el listado. </w:t>
      </w:r>
    </w:p>
    <w:p w14:paraId="72F670E9" w14:textId="19B7CFBA" w:rsidR="00467990" w:rsidRPr="006878C4" w:rsidRDefault="001211C8" w:rsidP="005D0607">
      <w:pPr>
        <w:spacing w:after="120" w:line="276" w:lineRule="auto"/>
        <w:ind w:firstLine="708"/>
        <w:jc w:val="both"/>
        <w:rPr>
          <w:rFonts w:ascii="Verdana" w:eastAsia="Calibri" w:hAnsi="Verdana" w:cs="Arial"/>
        </w:rPr>
      </w:pPr>
      <w:r w:rsidRPr="006878C4">
        <w:rPr>
          <w:rFonts w:ascii="Verdana" w:eastAsia="Calibri" w:hAnsi="Verdana" w:cs="Arial"/>
        </w:rPr>
        <w:t xml:space="preserve">Con el fin de dar respuesta al problema jurídico planteado </w:t>
      </w:r>
      <w:r w:rsidR="00145238" w:rsidRPr="006878C4">
        <w:rPr>
          <w:rFonts w:ascii="Verdana" w:eastAsia="Calibri" w:hAnsi="Verdana" w:cs="Arial"/>
        </w:rPr>
        <w:t xml:space="preserve">es importante clarificar algunas definiciones. </w:t>
      </w:r>
      <w:r w:rsidR="00467990" w:rsidRPr="006878C4">
        <w:rPr>
          <w:rFonts w:ascii="Verdana" w:eastAsia="Calibri" w:hAnsi="Verdana" w:cs="Arial"/>
        </w:rPr>
        <w:t>De acuerdo con el artículo 3.1.3.1.5. del Decreto 1075 de 2015 “Se entiende por establecimiento educativo toda entidad de carácter estatal, privada o de economía solidaria habilitada para prestar el servicio público educativo en los términos fijados por la Ley 115 de 1994 o las normas que la modifiquen, sustituyan o deroguen.” Y Establecimientos educativos oficiales. Para los efectos de este capítulo, se entiende por establecimientos educativos oficiales las instituciones y centros educativos (incluida la totalidad de sus sedes), que son administradas por las entidades territoriales certificadas en educación, a través de su secretaría de educación, o la dependencia que haga sus veces.</w:t>
      </w:r>
    </w:p>
    <w:p w14:paraId="73568CFB" w14:textId="77777777" w:rsidR="00467990" w:rsidRPr="006878C4" w:rsidRDefault="00467990" w:rsidP="005D0607">
      <w:pPr>
        <w:spacing w:after="120" w:line="276" w:lineRule="auto"/>
        <w:ind w:firstLine="708"/>
        <w:jc w:val="both"/>
        <w:rPr>
          <w:rFonts w:ascii="Verdana" w:eastAsia="Calibri" w:hAnsi="Verdana" w:cs="Arial"/>
        </w:rPr>
      </w:pPr>
      <w:r w:rsidRPr="006878C4">
        <w:rPr>
          <w:rFonts w:ascii="Verdana" w:eastAsia="Calibri" w:hAnsi="Verdana" w:cs="Arial"/>
        </w:rPr>
        <w:t xml:space="preserve">La sede es definida como “Son plantas físicas independientes que conforman una institución educativa. Una Sede puede ser un centro educativo </w:t>
      </w:r>
      <w:r w:rsidRPr="006878C4">
        <w:rPr>
          <w:rFonts w:ascii="Verdana" w:eastAsia="Calibri" w:hAnsi="Verdana" w:cs="Arial"/>
        </w:rPr>
        <w:lastRenderedPageBreak/>
        <w:t>oficial”. Y la sede principal “Es la Sede del centro educativo en la que se encuentra el área administrativa”</w:t>
      </w:r>
      <w:r w:rsidRPr="006878C4">
        <w:rPr>
          <w:rStyle w:val="Refdenotaalpie"/>
          <w:rFonts w:ascii="Verdana" w:eastAsia="Calibri" w:hAnsi="Verdana" w:cs="Arial"/>
        </w:rPr>
        <w:footnoteReference w:id="12"/>
      </w:r>
      <w:r w:rsidRPr="006878C4">
        <w:rPr>
          <w:rFonts w:ascii="Verdana" w:eastAsia="Calibri" w:hAnsi="Verdana" w:cs="Arial"/>
        </w:rPr>
        <w:t xml:space="preserve">. </w:t>
      </w:r>
    </w:p>
    <w:p w14:paraId="59DB36F3" w14:textId="6B5FB97F" w:rsidR="002F6426" w:rsidRPr="00E87868" w:rsidRDefault="001D3845" w:rsidP="007811F0">
      <w:pPr>
        <w:spacing w:after="120" w:line="276" w:lineRule="auto"/>
        <w:ind w:firstLine="708"/>
        <w:jc w:val="both"/>
        <w:rPr>
          <w:rFonts w:ascii="Verdana" w:eastAsia="Calibri" w:hAnsi="Verdana" w:cs="Arial"/>
        </w:rPr>
      </w:pPr>
      <w:r w:rsidRPr="006878C4">
        <w:rPr>
          <w:rFonts w:ascii="Verdana" w:eastAsia="Calibri" w:hAnsi="Verdana" w:cs="Arial"/>
        </w:rPr>
        <w:t>Conforme a las definiciones expuestas, y teniendo en cuenta que la creación de sedes en los establecimientos educativos constituye una manifestación de la desconcentración administrativa, pero que dichas sedes hacen parte integral del establecimiento educativ</w:t>
      </w:r>
      <w:r w:rsidR="006878C4" w:rsidRPr="006878C4">
        <w:rPr>
          <w:rFonts w:ascii="Verdana" w:eastAsia="Calibri" w:hAnsi="Verdana" w:cs="Arial"/>
        </w:rPr>
        <w:t>o</w:t>
      </w:r>
      <w:r w:rsidRPr="006878C4">
        <w:rPr>
          <w:rFonts w:ascii="Verdana" w:eastAsia="Calibri" w:hAnsi="Verdana" w:cs="Arial"/>
        </w:rPr>
        <w:t>, </w:t>
      </w:r>
      <w:r w:rsidRPr="005D0607">
        <w:rPr>
          <w:rFonts w:ascii="Verdana" w:eastAsia="Calibri" w:hAnsi="Verdana" w:cs="Arial"/>
        </w:rPr>
        <w:t>es jurídicamente viable consolidar las necesidades de todas las sedes en el Plan Anual de Adquisiciones del establecimiento educativo</w:t>
      </w:r>
      <w:r w:rsidRPr="006878C4">
        <w:rPr>
          <w:rFonts w:ascii="Verdana" w:eastAsia="Calibri" w:hAnsi="Verdana" w:cs="Arial"/>
        </w:rPr>
        <w:t>. En consecuencia, </w:t>
      </w:r>
      <w:r w:rsidRPr="005D0607">
        <w:rPr>
          <w:rFonts w:ascii="Verdana" w:eastAsia="Calibri" w:hAnsi="Verdana" w:cs="Arial"/>
        </w:rPr>
        <w:t>no resulta necesario elaborar un plan individual por cada sede</w:t>
      </w:r>
      <w:r w:rsidRPr="006878C4">
        <w:rPr>
          <w:rFonts w:ascii="Verdana" w:eastAsia="Calibri" w:hAnsi="Verdana" w:cs="Arial"/>
        </w:rPr>
        <w:t>, toda vez que la planificación puede realizarse de manera centralizada desde la sede principal, en atención a su función administrativa y de coordinación institucional.</w:t>
      </w:r>
      <w:r w:rsidR="0007120B">
        <w:rPr>
          <w:rFonts w:ascii="Verdana" w:eastAsia="Calibri" w:hAnsi="Verdana" w:cs="Arial"/>
        </w:rPr>
        <w:t xml:space="preserve"> </w:t>
      </w:r>
      <w:r w:rsidR="002F6426" w:rsidRPr="004675CD">
        <w:rPr>
          <w:rFonts w:ascii="Verdana" w:eastAsia="Calibri" w:hAnsi="Verdana" w:cs="Arial"/>
        </w:rPr>
        <w:t xml:space="preserve">Finalmente, debe advertirse que el análisis requerido para resolver problemas específicos </w:t>
      </w:r>
      <w:r w:rsidR="002F6426" w:rsidRPr="006B795B">
        <w:rPr>
          <w:rFonts w:ascii="Verdana" w:eastAsia="Calibri" w:hAnsi="Verdana" w:cs="Arial"/>
        </w:rPr>
        <w:t xml:space="preserve">en torno a </w:t>
      </w:r>
      <w:r w:rsidR="002F6426">
        <w:rPr>
          <w:rFonts w:ascii="Verdana" w:eastAsia="Calibri" w:hAnsi="Verdana" w:cs="Arial"/>
        </w:rPr>
        <w:t>la elaboración y actualización del PAA</w:t>
      </w:r>
      <w:r w:rsidR="002F6426" w:rsidRPr="004675CD">
        <w:rPr>
          <w:rFonts w:ascii="Verdana" w:eastAsia="Calibri" w:hAnsi="Verdana" w:cs="Arial"/>
        </w:rPr>
        <w:t xml:space="preserve">,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7441D3D9" w14:textId="77777777" w:rsidR="00514FF2" w:rsidRPr="00E87868" w:rsidRDefault="00514FF2" w:rsidP="005D0607">
      <w:pPr>
        <w:spacing w:after="0" w:line="276" w:lineRule="auto"/>
        <w:jc w:val="both"/>
        <w:rPr>
          <w:rFonts w:ascii="Verdana" w:eastAsia="Calibri" w:hAnsi="Verdana" w:cs="Arial"/>
        </w:rPr>
      </w:pPr>
    </w:p>
    <w:p w14:paraId="49D7DFB8" w14:textId="661917D4" w:rsidR="002F6426" w:rsidRPr="007811F0" w:rsidRDefault="006878C4" w:rsidP="005D0607">
      <w:pPr>
        <w:spacing w:after="0" w:line="276" w:lineRule="auto"/>
        <w:jc w:val="both"/>
        <w:rPr>
          <w:rFonts w:ascii="Verdana" w:eastAsia="Century Gothic" w:hAnsi="Verdana" w:cs="Century Gothic"/>
        </w:rPr>
      </w:pPr>
      <w:proofErr w:type="spellStart"/>
      <w:r>
        <w:rPr>
          <w:rFonts w:ascii="Verdana" w:eastAsia="Century Gothic" w:hAnsi="Verdana" w:cs="Century Gothic"/>
        </w:rPr>
        <w:t>ii</w:t>
      </w:r>
      <w:proofErr w:type="spellEnd"/>
      <w:r>
        <w:rPr>
          <w:rFonts w:ascii="Verdana" w:eastAsia="Century Gothic" w:hAnsi="Verdana" w:cs="Century Gothic"/>
        </w:rPr>
        <w:t xml:space="preserve">) </w:t>
      </w:r>
      <w:r w:rsidR="002F6426" w:rsidRPr="007811F0">
        <w:rPr>
          <w:rFonts w:ascii="Verdana" w:eastAsia="Century Gothic" w:hAnsi="Verdana" w:cs="Century Gothic"/>
        </w:rPr>
        <w:t>Sobre el fraccionamiento del contrato procede citar lo expuesto por el Consejo de Estado</w:t>
      </w:r>
      <w:r w:rsidR="002F6426" w:rsidRPr="00C06435">
        <w:rPr>
          <w:vertAlign w:val="superscript"/>
        </w:rPr>
        <w:footnoteReference w:id="13"/>
      </w:r>
      <w:r w:rsidR="002F6426" w:rsidRPr="007811F0">
        <w:rPr>
          <w:rFonts w:ascii="Verdana" w:eastAsia="Century Gothic" w:hAnsi="Verdana" w:cs="Century Gothic"/>
        </w:rPr>
        <w:t>, quien sobre el particular precisó:</w:t>
      </w:r>
    </w:p>
    <w:p w14:paraId="79AE6EB5" w14:textId="77777777" w:rsidR="002F6426" w:rsidRPr="00E24B82" w:rsidRDefault="002F6426" w:rsidP="002F6426">
      <w:pPr>
        <w:spacing w:after="0" w:line="276" w:lineRule="auto"/>
        <w:jc w:val="both"/>
        <w:rPr>
          <w:rFonts w:ascii="Verdana" w:eastAsia="Century Gothic" w:hAnsi="Verdana" w:cs="Century Gothic"/>
        </w:rPr>
      </w:pPr>
    </w:p>
    <w:p w14:paraId="33D9FFEE" w14:textId="77777777" w:rsidR="002F6426" w:rsidRPr="00E24B82" w:rsidRDefault="002F6426" w:rsidP="002F6426">
      <w:pPr>
        <w:spacing w:after="0" w:line="240" w:lineRule="auto"/>
        <w:ind w:left="709" w:right="709"/>
        <w:jc w:val="both"/>
        <w:rPr>
          <w:rFonts w:ascii="Verdana" w:eastAsia="Century Gothic" w:hAnsi="Verdana" w:cs="Century Gothic"/>
          <w:sz w:val="21"/>
          <w:szCs w:val="21"/>
        </w:rPr>
      </w:pPr>
      <w:r w:rsidRPr="00E24B82">
        <w:rPr>
          <w:rFonts w:ascii="Verdana" w:eastAsia="Century Gothic" w:hAnsi="Verdana" w:cs="Century Gothic"/>
          <w:sz w:val="21"/>
          <w:szCs w:val="21"/>
        </w:rPr>
        <w:t xml:space="preserve">“Cuando la contratación directa se realiza burlando el proceso licitatorio a través del fraccionamiento del contrato, es decir, buscando que ninguno de los contratos resultantes de dividir un mismo objeto supere el monto de la cuantía requerida para la licitación, se están desconociendo los principios que inspiran la contratación pública. Al respecto, aunque la conducta de fraccionar los contratos no está prohibida expresamente en la Ley 80 de 1993, la jurisprudencia y la </w:t>
      </w:r>
      <w:r w:rsidRPr="00E24B82">
        <w:rPr>
          <w:rFonts w:ascii="Verdana" w:eastAsia="Century Gothic" w:hAnsi="Verdana" w:cs="Century Gothic"/>
          <w:sz w:val="21"/>
          <w:szCs w:val="21"/>
        </w:rPr>
        <w:lastRenderedPageBreak/>
        <w:t>doctrina han sido claras en que la prohibición está implícita si tenemos en cuenta los aspectos esenciales de los principios y reglas que informan el estatuto contractual. En efecto, se ha considerado que “Si bien dicha figura no aparece dentro del estatuto actual en los mismos términos de los estatutos anteriores, ello obedece a la estructura misma de la ley 80, puesto que se pretendió terminar con la exagerada reglamentación y rigorismo y en cambio se determinaron pautas, reglas y principios, de los que se infiere la prohibición del fraccionamiento, y que se traduce en distintas disposiciones como la regla contenida en el numeral 8º del artículo 24, según la cual las autoridades no actuarán con desviación o abuso del poder y ejercerán sus competencias exclusivamente para los fines</w:t>
      </w:r>
      <w:r>
        <w:rPr>
          <w:rFonts w:ascii="Verdana" w:eastAsia="Century Gothic" w:hAnsi="Verdana" w:cs="Century Gothic"/>
          <w:sz w:val="21"/>
          <w:szCs w:val="21"/>
        </w:rPr>
        <w:t xml:space="preserve"> </w:t>
      </w:r>
      <w:r w:rsidRPr="00E24B82">
        <w:rPr>
          <w:rFonts w:ascii="Verdana" w:eastAsia="Century Gothic" w:hAnsi="Verdana" w:cs="Century Gothic"/>
          <w:sz w:val="21"/>
          <w:szCs w:val="21"/>
        </w:rPr>
        <w:t>previstos en la ley, y al propio tiempo les prohíbe eludir los procedimientos de selección objetiva y los demás requisitos previstos en dicho estatuto”.</w:t>
      </w:r>
    </w:p>
    <w:p w14:paraId="4D3C0FC6" w14:textId="77777777" w:rsidR="002F6426" w:rsidRPr="00E24B82" w:rsidRDefault="002F6426" w:rsidP="002F6426">
      <w:pPr>
        <w:spacing w:after="0" w:line="276" w:lineRule="auto"/>
        <w:jc w:val="both"/>
        <w:rPr>
          <w:rFonts w:ascii="Verdana" w:eastAsia="Century Gothic" w:hAnsi="Verdana" w:cs="Century Gothic"/>
        </w:rPr>
      </w:pPr>
    </w:p>
    <w:p w14:paraId="1435EF41" w14:textId="77777777" w:rsidR="002F6426" w:rsidRDefault="002F6426" w:rsidP="002F6426">
      <w:pPr>
        <w:spacing w:after="0" w:line="276" w:lineRule="auto"/>
        <w:ind w:firstLine="708"/>
        <w:jc w:val="both"/>
        <w:rPr>
          <w:rFonts w:ascii="Verdana" w:eastAsia="Century Gothic" w:hAnsi="Verdana" w:cs="Century Gothic"/>
        </w:rPr>
      </w:pPr>
      <w:r w:rsidRPr="00E24B82">
        <w:rPr>
          <w:rFonts w:ascii="Verdana" w:eastAsia="Century Gothic" w:hAnsi="Verdana" w:cs="Century Gothic"/>
        </w:rPr>
        <w:t xml:space="preserve">En esa misma línea, pero en la Sentencia del 31 de enero de 2011 proferida por la Sección Tercera de la Sala de lo Contencioso Administrativo del Consejo de Estado, expediente 17767 con ponencia de Olga </w:t>
      </w:r>
      <w:proofErr w:type="spellStart"/>
      <w:r w:rsidRPr="00E24B82">
        <w:rPr>
          <w:rFonts w:ascii="Verdana" w:eastAsia="Century Gothic" w:hAnsi="Verdana" w:cs="Century Gothic"/>
        </w:rPr>
        <w:t>Melida</w:t>
      </w:r>
      <w:proofErr w:type="spellEnd"/>
      <w:r w:rsidRPr="00E24B82">
        <w:rPr>
          <w:rFonts w:ascii="Verdana" w:eastAsia="Century Gothic" w:hAnsi="Verdana" w:cs="Century Gothic"/>
        </w:rPr>
        <w:t xml:space="preserve"> Valle de </w:t>
      </w:r>
      <w:proofErr w:type="spellStart"/>
      <w:r w:rsidRPr="00E24B82">
        <w:rPr>
          <w:rFonts w:ascii="Verdana" w:eastAsia="Century Gothic" w:hAnsi="Verdana" w:cs="Century Gothic"/>
        </w:rPr>
        <w:t>De</w:t>
      </w:r>
      <w:proofErr w:type="spellEnd"/>
      <w:r w:rsidRPr="00E24B82">
        <w:rPr>
          <w:rFonts w:ascii="Verdana" w:eastAsia="Century Gothic" w:hAnsi="Verdana" w:cs="Century Gothic"/>
        </w:rPr>
        <w:t xml:space="preserve"> La Hoz, se señaló:</w:t>
      </w:r>
    </w:p>
    <w:p w14:paraId="74285FA9" w14:textId="77777777" w:rsidR="002F6426" w:rsidRDefault="002F6426" w:rsidP="002F6426">
      <w:pPr>
        <w:spacing w:after="0" w:line="276" w:lineRule="auto"/>
        <w:ind w:firstLine="708"/>
        <w:jc w:val="both"/>
        <w:rPr>
          <w:rFonts w:ascii="Verdana" w:eastAsia="Century Gothic" w:hAnsi="Verdana" w:cs="Century Gothic"/>
        </w:rPr>
      </w:pPr>
    </w:p>
    <w:p w14:paraId="4BEAC86F" w14:textId="77777777" w:rsidR="002F6426" w:rsidRPr="00E24B82" w:rsidRDefault="002F6426" w:rsidP="002F6426">
      <w:pPr>
        <w:spacing w:after="0" w:line="240" w:lineRule="auto"/>
        <w:ind w:left="709" w:right="709"/>
        <w:jc w:val="both"/>
        <w:rPr>
          <w:rFonts w:ascii="Verdana" w:eastAsia="Century Gothic" w:hAnsi="Verdana" w:cs="Century Gothic"/>
          <w:sz w:val="21"/>
          <w:szCs w:val="21"/>
        </w:rPr>
      </w:pPr>
      <w:r w:rsidRPr="00E24B82">
        <w:rPr>
          <w:rFonts w:ascii="Verdana" w:eastAsia="Century Gothic" w:hAnsi="Verdana" w:cs="Century Gothic"/>
          <w:sz w:val="21"/>
          <w:szCs w:val="21"/>
        </w:rPr>
        <w:t xml:space="preserve">“La Corte Suprema de Justicia ha precisado que el fraccionamiento de contratos tiene lugar, “en los eventos en los cuales la administración para eludir el procedimiento de licitación </w:t>
      </w:r>
      <w:proofErr w:type="gramStart"/>
      <w:r w:rsidRPr="00E24B82">
        <w:rPr>
          <w:rFonts w:ascii="Verdana" w:eastAsia="Century Gothic" w:hAnsi="Verdana" w:cs="Century Gothic"/>
          <w:sz w:val="21"/>
          <w:szCs w:val="21"/>
        </w:rPr>
        <w:t>pública,</w:t>
      </w:r>
      <w:proofErr w:type="gramEnd"/>
      <w:r w:rsidRPr="00E24B82">
        <w:rPr>
          <w:rFonts w:ascii="Verdana" w:eastAsia="Century Gothic" w:hAnsi="Verdana" w:cs="Century Gothic"/>
          <w:sz w:val="21"/>
          <w:szCs w:val="21"/>
        </w:rPr>
        <w:t xml:space="preserve"> divide disimuladamente el objeto del contrato con el ánimo de favorecer a los contratistas. En su demostración, deben confluir las circunstancias siguientes: i) Que sea posible pregonar la unidad de objeto en relación con el contrato cuya legalidad se cuestiona y, de ser así, </w:t>
      </w:r>
      <w:proofErr w:type="spellStart"/>
      <w:r w:rsidRPr="00E24B82">
        <w:rPr>
          <w:rFonts w:ascii="Verdana" w:eastAsia="Century Gothic" w:hAnsi="Verdana" w:cs="Century Gothic"/>
          <w:sz w:val="21"/>
          <w:szCs w:val="21"/>
        </w:rPr>
        <w:t>ii</w:t>
      </w:r>
      <w:proofErr w:type="spellEnd"/>
      <w:r w:rsidRPr="00E24B82">
        <w:rPr>
          <w:rFonts w:ascii="Verdana" w:eastAsia="Century Gothic" w:hAnsi="Verdana" w:cs="Century Gothic"/>
          <w:sz w:val="21"/>
          <w:szCs w:val="21"/>
        </w:rPr>
        <w:t>) determinar cuáles fueron las circunstancias que condujeron a la administración a celebrar varios contratos, pues solo de esta manera se puede inferir si el actuar se cimentó en criterios razonables de interés público, o si por contraste, los motivos fueron simulados y orientados a soslayar las normas de la contratación pública”.</w:t>
      </w:r>
    </w:p>
    <w:p w14:paraId="091835DA" w14:textId="77777777" w:rsidR="002F6426" w:rsidRDefault="002F6426" w:rsidP="002F6426">
      <w:pPr>
        <w:spacing w:after="0" w:line="276" w:lineRule="auto"/>
        <w:jc w:val="both"/>
        <w:rPr>
          <w:rFonts w:ascii="Verdana" w:eastAsia="Century Gothic" w:hAnsi="Verdana" w:cs="Century Gothic"/>
        </w:rPr>
      </w:pPr>
    </w:p>
    <w:p w14:paraId="00D6926A" w14:textId="77777777" w:rsidR="002F6426" w:rsidRDefault="002F6426" w:rsidP="002F6426">
      <w:pPr>
        <w:spacing w:after="0" w:line="276" w:lineRule="auto"/>
        <w:ind w:firstLine="708"/>
        <w:jc w:val="both"/>
        <w:rPr>
          <w:rFonts w:ascii="Verdana" w:eastAsia="Century Gothic" w:hAnsi="Verdana" w:cs="Century Gothic"/>
        </w:rPr>
      </w:pPr>
      <w:r w:rsidRPr="0062139C">
        <w:rPr>
          <w:rFonts w:ascii="Verdana" w:eastAsia="Century Gothic" w:hAnsi="Verdana" w:cs="Century Gothic"/>
        </w:rPr>
        <w:t xml:space="preserve">Vale la pena destacar que se desconocen los principios que rigen la contratación estatal cuando “se celebran varios contratos, cada uno de menor cuantía y todos con el mismo objeto, si sumadas sus cuantías resulta ser que se contrató un objeto único, por cuantía superior, que por lo mismo debió ser materia de licitación o concurso (…) Pero ¿cuándo se trata de un mismo objeto? La ley no lo dice, pero un objeto es el mismo cuando es naturalmente uno. Dicho, </w:t>
      </w:r>
      <w:r w:rsidRPr="0062139C">
        <w:rPr>
          <w:rFonts w:ascii="Verdana" w:eastAsia="Century Gothic" w:hAnsi="Verdana" w:cs="Century Gothic"/>
        </w:rPr>
        <w:lastRenderedPageBreak/>
        <w:t>en otros términos, se fracciona un contrato cuando se quebranta y se divide la unidad natural de su objeto”</w:t>
      </w:r>
      <w:r>
        <w:rPr>
          <w:rStyle w:val="Refdenotaalpie"/>
          <w:rFonts w:ascii="Verdana" w:eastAsia="Century Gothic" w:hAnsi="Verdana" w:cs="Century Gothic"/>
        </w:rPr>
        <w:footnoteReference w:id="14"/>
      </w:r>
    </w:p>
    <w:p w14:paraId="30DEB047" w14:textId="77777777" w:rsidR="002F6426" w:rsidRDefault="002F6426" w:rsidP="002F6426">
      <w:pPr>
        <w:spacing w:after="0" w:line="276" w:lineRule="auto"/>
        <w:ind w:firstLine="708"/>
        <w:jc w:val="both"/>
        <w:rPr>
          <w:rFonts w:ascii="Verdana" w:eastAsia="Century Gothic" w:hAnsi="Verdana" w:cs="Century Gothic"/>
        </w:rPr>
      </w:pPr>
      <w:r w:rsidRPr="0062139C">
        <w:rPr>
          <w:rFonts w:ascii="Verdana" w:eastAsia="Century Gothic" w:hAnsi="Verdana" w:cs="Century Gothic"/>
        </w:rPr>
        <w:t>Fraccionar la unidad natural de un objeto contractual con el propósito de evadir una cuantía superior que implicaría un proceso de selección diferente,</w:t>
      </w:r>
      <w:r>
        <w:rPr>
          <w:rFonts w:ascii="Verdana" w:eastAsia="Century Gothic" w:hAnsi="Verdana" w:cs="Century Gothic"/>
        </w:rPr>
        <w:t xml:space="preserve"> </w:t>
      </w:r>
      <w:r w:rsidRPr="0062139C">
        <w:rPr>
          <w:rFonts w:ascii="Verdana" w:eastAsia="Century Gothic" w:hAnsi="Verdana" w:cs="Century Gothic"/>
        </w:rPr>
        <w:t>tiene como consecuencia la nulidad absoluta del contrato en los términos de los artículos 44 y 45 de la Ley 80 de 1993, aplicable en lo correspondiente a este tipo de contrato</w:t>
      </w:r>
      <w:r>
        <w:rPr>
          <w:rStyle w:val="Refdenotaalpie"/>
          <w:rFonts w:ascii="Verdana" w:eastAsia="Century Gothic" w:hAnsi="Verdana" w:cs="Century Gothic"/>
        </w:rPr>
        <w:footnoteReference w:id="15"/>
      </w:r>
      <w:r>
        <w:rPr>
          <w:rFonts w:ascii="Verdana" w:eastAsia="Century Gothic" w:hAnsi="Verdana" w:cs="Century Gothic"/>
        </w:rPr>
        <w:t>.</w:t>
      </w:r>
    </w:p>
    <w:p w14:paraId="01CDC206" w14:textId="77777777" w:rsidR="002F6426" w:rsidRDefault="002F6426" w:rsidP="002F6426">
      <w:pPr>
        <w:spacing w:after="0" w:line="276" w:lineRule="auto"/>
        <w:ind w:firstLine="708"/>
        <w:jc w:val="both"/>
        <w:rPr>
          <w:rFonts w:ascii="Verdana" w:eastAsia="Century Gothic" w:hAnsi="Verdana" w:cs="Century Gothic"/>
        </w:rPr>
      </w:pPr>
      <w:r w:rsidRPr="0049433C">
        <w:rPr>
          <w:rFonts w:ascii="Verdana" w:eastAsia="Century Gothic" w:hAnsi="Verdana" w:cs="Century Gothic"/>
        </w:rPr>
        <w:t xml:space="preserve">Ahora bien, a la luz de la jurisprudencia solo habrá fraccionamiento del contrato cuando concurran los siguientes elementos: </w:t>
      </w:r>
      <w:r>
        <w:rPr>
          <w:rFonts w:ascii="Verdana" w:eastAsia="Century Gothic" w:hAnsi="Verdana" w:cs="Century Gothic"/>
        </w:rPr>
        <w:t>“</w:t>
      </w:r>
      <w:r w:rsidRPr="0049433C">
        <w:rPr>
          <w:rFonts w:ascii="Verdana" w:eastAsia="Century Gothic" w:hAnsi="Verdana" w:cs="Century Gothic"/>
        </w:rPr>
        <w:t xml:space="preserve">i) que exista una separación artificial de un mismo objeto contractual y </w:t>
      </w:r>
      <w:proofErr w:type="spellStart"/>
      <w:r w:rsidRPr="0049433C">
        <w:rPr>
          <w:rFonts w:ascii="Verdana" w:eastAsia="Century Gothic" w:hAnsi="Verdana" w:cs="Century Gothic"/>
        </w:rPr>
        <w:t>ii</w:t>
      </w:r>
      <w:proofErr w:type="spellEnd"/>
      <w:r w:rsidRPr="0049433C">
        <w:rPr>
          <w:rFonts w:ascii="Verdana" w:eastAsia="Century Gothic" w:hAnsi="Verdana" w:cs="Century Gothic"/>
        </w:rPr>
        <w:t>) que dicha separación tenga como objetivo evitar procedimientos de convocatoria pública y de selección objetiva</w:t>
      </w:r>
      <w:r>
        <w:rPr>
          <w:rFonts w:ascii="Verdana" w:eastAsia="Century Gothic" w:hAnsi="Verdana" w:cs="Century Gothic"/>
        </w:rPr>
        <w:t>”</w:t>
      </w:r>
      <w:r>
        <w:rPr>
          <w:rStyle w:val="Refdenotaalpie"/>
          <w:rFonts w:ascii="Verdana" w:eastAsia="Century Gothic" w:hAnsi="Verdana" w:cs="Century Gothic"/>
        </w:rPr>
        <w:footnoteReference w:id="16"/>
      </w:r>
      <w:r w:rsidRPr="0049433C">
        <w:rPr>
          <w:rFonts w:ascii="Verdana" w:eastAsia="Century Gothic" w:hAnsi="Verdana" w:cs="Century Gothic"/>
        </w:rPr>
        <w:t>. De manera que estos elementos deberán ser constatados por la autoridad judicial competente para declarar una eventual nulidad absoluta del contrato.</w:t>
      </w:r>
    </w:p>
    <w:p w14:paraId="062373BC" w14:textId="77777777" w:rsidR="002F6426" w:rsidRDefault="002F6426" w:rsidP="002F6426">
      <w:pPr>
        <w:spacing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 xml:space="preserve">En este contexto, el </w:t>
      </w:r>
      <w:r w:rsidRPr="008B6B73">
        <w:rPr>
          <w:rFonts w:ascii="Verdana" w:eastAsia="Calibri" w:hAnsi="Verdana" w:cs="Arial"/>
          <w:bCs/>
          <w:i/>
          <w:iCs/>
          <w:color w:val="000000" w:themeColor="text1"/>
        </w:rPr>
        <w:t>fraccionamiento</w:t>
      </w:r>
      <w:r>
        <w:rPr>
          <w:rFonts w:ascii="Verdana" w:eastAsia="Calibri" w:hAnsi="Verdana" w:cs="Arial"/>
          <w:bCs/>
          <w:color w:val="000000" w:themeColor="text1"/>
        </w:rPr>
        <w:t xml:space="preserve"> implica </w:t>
      </w:r>
      <w:r w:rsidRPr="000759FD">
        <w:rPr>
          <w:rFonts w:ascii="Verdana" w:eastAsia="Calibri" w:hAnsi="Verdana" w:cs="Arial"/>
          <w:bCs/>
          <w:color w:val="000000" w:themeColor="text1"/>
        </w:rPr>
        <w:t xml:space="preserve">dividir </w:t>
      </w:r>
      <w:r>
        <w:rPr>
          <w:rFonts w:ascii="Verdana" w:eastAsia="Calibri" w:hAnsi="Verdana" w:cs="Arial"/>
          <w:bCs/>
          <w:color w:val="000000" w:themeColor="text1"/>
        </w:rPr>
        <w:t xml:space="preserve">las </w:t>
      </w:r>
      <w:r w:rsidRPr="000759FD">
        <w:rPr>
          <w:rFonts w:ascii="Verdana" w:eastAsia="Calibri" w:hAnsi="Verdana" w:cs="Arial"/>
          <w:bCs/>
          <w:color w:val="000000" w:themeColor="text1"/>
        </w:rPr>
        <w:t>prestaciones en dos o más contratos que</w:t>
      </w:r>
      <w:r>
        <w:rPr>
          <w:rFonts w:ascii="Verdana" w:eastAsia="Calibri" w:hAnsi="Verdana" w:cs="Arial"/>
          <w:bCs/>
          <w:color w:val="000000" w:themeColor="text1"/>
        </w:rPr>
        <w:t xml:space="preserve"> pueden</w:t>
      </w:r>
      <w:r w:rsidRPr="000759FD">
        <w:rPr>
          <w:rFonts w:ascii="Verdana" w:eastAsia="Calibri" w:hAnsi="Verdana" w:cs="Arial"/>
          <w:bCs/>
          <w:color w:val="000000" w:themeColor="text1"/>
        </w:rPr>
        <w:t xml:space="preserve"> constituir un único </w:t>
      </w:r>
      <w:r>
        <w:rPr>
          <w:rFonts w:ascii="Verdana" w:eastAsia="Calibri" w:hAnsi="Verdana" w:cs="Arial"/>
          <w:bCs/>
          <w:color w:val="000000" w:themeColor="text1"/>
        </w:rPr>
        <w:t>negocio jurídico</w:t>
      </w:r>
      <w:r>
        <w:rPr>
          <w:rStyle w:val="Refdenotaalpie"/>
          <w:rFonts w:ascii="Verdana" w:eastAsia="Calibri" w:hAnsi="Verdana" w:cs="Arial"/>
          <w:bCs/>
          <w:color w:val="000000" w:themeColor="text1"/>
        </w:rPr>
        <w:footnoteReference w:id="17"/>
      </w:r>
      <w:r>
        <w:rPr>
          <w:rFonts w:ascii="Verdana" w:eastAsia="Calibri" w:hAnsi="Verdana" w:cs="Arial"/>
          <w:bCs/>
          <w:color w:val="000000" w:themeColor="text1"/>
        </w:rPr>
        <w:t xml:space="preserve">. </w:t>
      </w:r>
      <w:r w:rsidRPr="000759FD">
        <w:rPr>
          <w:rFonts w:ascii="Verdana" w:eastAsia="Calibri" w:hAnsi="Verdana" w:cs="Arial"/>
          <w:bCs/>
          <w:color w:val="000000" w:themeColor="text1"/>
        </w:rPr>
        <w:t>Para demostrar</w:t>
      </w:r>
      <w:r>
        <w:rPr>
          <w:rFonts w:ascii="Verdana" w:eastAsia="Calibri" w:hAnsi="Verdana" w:cs="Arial"/>
          <w:bCs/>
          <w:color w:val="000000" w:themeColor="text1"/>
        </w:rPr>
        <w:t xml:space="preserve">lo </w:t>
      </w:r>
      <w:r w:rsidRPr="000759FD">
        <w:rPr>
          <w:rFonts w:ascii="Verdana" w:eastAsia="Calibri" w:hAnsi="Verdana" w:cs="Arial"/>
          <w:bCs/>
          <w:color w:val="000000" w:themeColor="text1"/>
        </w:rPr>
        <w:t xml:space="preserve">deben concurrir las siguientes circunstancias: i) que sea posible demostrar la unidad del objeto en relación con el contrato cuya legalidad se cuestiona y, de ser así, </w:t>
      </w:r>
      <w:proofErr w:type="spellStart"/>
      <w:r w:rsidRPr="000759FD">
        <w:rPr>
          <w:rFonts w:ascii="Verdana" w:eastAsia="Calibri" w:hAnsi="Verdana" w:cs="Arial"/>
          <w:bCs/>
          <w:color w:val="000000" w:themeColor="text1"/>
        </w:rPr>
        <w:t>ii</w:t>
      </w:r>
      <w:proofErr w:type="spellEnd"/>
      <w:r w:rsidRPr="000759FD">
        <w:rPr>
          <w:rFonts w:ascii="Verdana" w:eastAsia="Calibri" w:hAnsi="Verdana" w:cs="Arial"/>
          <w:bCs/>
          <w:color w:val="000000" w:themeColor="text1"/>
        </w:rPr>
        <w:t xml:space="preserve">) determinar cuáles fueron las circunstancias que condujeron a la </w:t>
      </w:r>
      <w:r>
        <w:rPr>
          <w:rFonts w:ascii="Verdana" w:eastAsia="Calibri" w:hAnsi="Verdana" w:cs="Arial"/>
          <w:bCs/>
          <w:color w:val="000000" w:themeColor="text1"/>
        </w:rPr>
        <w:t>A</w:t>
      </w:r>
      <w:r w:rsidRPr="000759FD">
        <w:rPr>
          <w:rFonts w:ascii="Verdana" w:eastAsia="Calibri" w:hAnsi="Verdana" w:cs="Arial"/>
          <w:bCs/>
          <w:color w:val="000000" w:themeColor="text1"/>
        </w:rPr>
        <w:t>dministración a celebrar varios contratos, pues s</w:t>
      </w:r>
      <w:r>
        <w:rPr>
          <w:rFonts w:ascii="Verdana" w:eastAsia="Calibri" w:hAnsi="Verdana" w:cs="Arial"/>
          <w:bCs/>
          <w:color w:val="000000" w:themeColor="text1"/>
        </w:rPr>
        <w:t>ó</w:t>
      </w:r>
      <w:r w:rsidRPr="000759FD">
        <w:rPr>
          <w:rFonts w:ascii="Verdana" w:eastAsia="Calibri" w:hAnsi="Verdana" w:cs="Arial"/>
          <w:bCs/>
          <w:color w:val="000000" w:themeColor="text1"/>
        </w:rPr>
        <w:t>lo de esta manera puede inferir</w:t>
      </w:r>
      <w:r>
        <w:rPr>
          <w:rFonts w:ascii="Verdana" w:eastAsia="Calibri" w:hAnsi="Verdana" w:cs="Arial"/>
          <w:bCs/>
          <w:color w:val="000000" w:themeColor="text1"/>
        </w:rPr>
        <w:t>se</w:t>
      </w:r>
      <w:r w:rsidRPr="000759FD">
        <w:rPr>
          <w:rFonts w:ascii="Verdana" w:eastAsia="Calibri" w:hAnsi="Verdana" w:cs="Arial"/>
          <w:bCs/>
          <w:color w:val="000000" w:themeColor="text1"/>
        </w:rPr>
        <w:t xml:space="preserve"> si el actuar se basó en criterios razonables de interés público o</w:t>
      </w:r>
      <w:r>
        <w:rPr>
          <w:rFonts w:ascii="Verdana" w:eastAsia="Calibri" w:hAnsi="Verdana" w:cs="Arial"/>
          <w:bCs/>
          <w:color w:val="000000" w:themeColor="text1"/>
        </w:rPr>
        <w:t>,</w:t>
      </w:r>
      <w:r w:rsidRPr="000759FD">
        <w:rPr>
          <w:rFonts w:ascii="Verdana" w:eastAsia="Calibri" w:hAnsi="Verdana" w:cs="Arial"/>
          <w:bCs/>
          <w:color w:val="000000" w:themeColor="text1"/>
        </w:rPr>
        <w:t xml:space="preserve"> si por el contrario, los motivos fueron simulados y orientados a infringir las normas de la contratación pública</w:t>
      </w:r>
      <w:r>
        <w:rPr>
          <w:rStyle w:val="Refdenotaalpie"/>
          <w:rFonts w:ascii="Verdana" w:eastAsia="Calibri" w:hAnsi="Verdana" w:cs="Arial"/>
          <w:bCs/>
          <w:color w:val="000000" w:themeColor="text1"/>
        </w:rPr>
        <w:footnoteReference w:id="18"/>
      </w:r>
      <w:r w:rsidRPr="000759FD">
        <w:rPr>
          <w:rFonts w:ascii="Verdana" w:eastAsia="Calibri" w:hAnsi="Verdana" w:cs="Arial"/>
          <w:bCs/>
          <w:color w:val="000000" w:themeColor="text1"/>
        </w:rPr>
        <w:t>.</w:t>
      </w:r>
      <w:r>
        <w:rPr>
          <w:rFonts w:ascii="Verdana" w:eastAsia="Calibri" w:hAnsi="Verdana" w:cs="Arial"/>
          <w:bCs/>
          <w:color w:val="000000" w:themeColor="text1"/>
        </w:rPr>
        <w:t xml:space="preserve"> </w:t>
      </w:r>
    </w:p>
    <w:p w14:paraId="52DFE25D" w14:textId="77777777" w:rsidR="002F6426" w:rsidRDefault="002F6426" w:rsidP="002F6426">
      <w:pPr>
        <w:spacing w:after="0" w:line="276" w:lineRule="auto"/>
        <w:ind w:firstLine="708"/>
        <w:jc w:val="both"/>
        <w:rPr>
          <w:rFonts w:ascii="Verdana" w:eastAsia="Century Gothic" w:hAnsi="Verdana" w:cs="Century Gothic"/>
        </w:rPr>
      </w:pPr>
      <w:r w:rsidRPr="00A35C49">
        <w:rPr>
          <w:rFonts w:ascii="Verdana" w:eastAsia="Century Gothic" w:hAnsi="Verdana" w:cs="Century Gothic"/>
        </w:rPr>
        <w:t xml:space="preserve">Así entonces, ha sido reiterada la posición del Consejo de Estado en el sentido de sostener que si bien es cierto la figura del fraccionamiento de los contratos no aparece prohibida expresamente en la Ley 80 de 1993, su </w:t>
      </w:r>
      <w:r w:rsidRPr="00A35C49">
        <w:rPr>
          <w:rFonts w:ascii="Verdana" w:eastAsia="Century Gothic" w:hAnsi="Verdana" w:cs="Century Gothic"/>
        </w:rPr>
        <w:lastRenderedPageBreak/>
        <w:t>aplicación se deriva de las pautas, reglas y principios establecidos por dicha Ley</w:t>
      </w:r>
      <w:r>
        <w:rPr>
          <w:rStyle w:val="Refdenotaalpie"/>
          <w:rFonts w:ascii="Verdana" w:eastAsia="Century Gothic" w:hAnsi="Verdana" w:cs="Century Gothic"/>
        </w:rPr>
        <w:footnoteReference w:id="19"/>
      </w:r>
      <w:r>
        <w:rPr>
          <w:rFonts w:ascii="Verdana" w:eastAsia="Century Gothic" w:hAnsi="Verdana" w:cs="Century Gothic"/>
        </w:rPr>
        <w:t>.</w:t>
      </w:r>
    </w:p>
    <w:p w14:paraId="71FBDF93" w14:textId="77777777" w:rsidR="002F6426" w:rsidRDefault="002F6426" w:rsidP="002F6426">
      <w:pPr>
        <w:spacing w:after="0" w:line="276" w:lineRule="auto"/>
        <w:ind w:firstLine="708"/>
        <w:jc w:val="both"/>
        <w:rPr>
          <w:rFonts w:ascii="Verdana" w:eastAsia="Century Gothic" w:hAnsi="Verdana" w:cs="Century Gothic"/>
        </w:rPr>
      </w:pPr>
    </w:p>
    <w:p w14:paraId="66BD09C7" w14:textId="77777777" w:rsidR="002F6426" w:rsidRPr="00C36508" w:rsidRDefault="002F6426" w:rsidP="002F6426">
      <w:pPr>
        <w:spacing w:after="0" w:line="276" w:lineRule="auto"/>
        <w:ind w:firstLine="708"/>
        <w:jc w:val="both"/>
        <w:rPr>
          <w:rFonts w:ascii="Verdana" w:hAnsi="Verdana"/>
        </w:rPr>
      </w:pPr>
      <w:r w:rsidRPr="00C36508">
        <w:rPr>
          <w:rFonts w:ascii="Verdana" w:hAnsi="Verdana"/>
        </w:rPr>
        <w:t>A su vez, la doctrina señala que “El fraccionamiento, hoy en día, se prueba a partir de la existencia de varios contratos estatales debidamente perfeccionados que tengan como objeto las mismas prestaciones, pese a que en algunos de ellos se puedan advertir pequeñas diferencias o variaciones que consistan en adiciones o disminuciones de las actividades que lo componen[...], sin embargo, es de creer que es imperioso que esos contratos, por lo menos en su proceso de formación, suscripción y duración tengan un grado inescindible de cercanía temporal”</w:t>
      </w:r>
      <w:r w:rsidRPr="005D0607">
        <w:rPr>
          <w:rFonts w:ascii="Verdana" w:hAnsi="Verdana"/>
          <w:vertAlign w:val="superscript"/>
        </w:rPr>
        <w:footnoteReference w:id="20"/>
      </w:r>
      <w:r w:rsidRPr="00C36508">
        <w:rPr>
          <w:rFonts w:ascii="Verdana" w:hAnsi="Verdana"/>
        </w:rPr>
        <w:t xml:space="preserve">. </w:t>
      </w:r>
    </w:p>
    <w:p w14:paraId="7D2D0F66" w14:textId="77777777" w:rsidR="002F6426" w:rsidRDefault="002F6426" w:rsidP="002F6426">
      <w:pPr>
        <w:widowControl w:val="0"/>
        <w:autoSpaceDE w:val="0"/>
        <w:autoSpaceDN w:val="0"/>
        <w:spacing w:after="0" w:line="276" w:lineRule="auto"/>
        <w:jc w:val="both"/>
        <w:rPr>
          <w:rFonts w:ascii="Verdana" w:eastAsia="Calibri" w:hAnsi="Verdana" w:cs="Arial"/>
          <w:color w:val="000000" w:themeColor="text1"/>
          <w:sz w:val="21"/>
          <w:szCs w:val="21"/>
        </w:rPr>
      </w:pPr>
    </w:p>
    <w:p w14:paraId="14734B38" w14:textId="77777777" w:rsidR="00D83677" w:rsidRDefault="002F6426" w:rsidP="002F6426">
      <w:pPr>
        <w:spacing w:after="120" w:line="276" w:lineRule="auto"/>
        <w:ind w:firstLine="708"/>
        <w:jc w:val="both"/>
        <w:rPr>
          <w:rFonts w:ascii="Verdana" w:eastAsia="Calibri" w:hAnsi="Verdana" w:cs="Arial"/>
        </w:rPr>
      </w:pPr>
      <w:r w:rsidRPr="004675CD">
        <w:rPr>
          <w:rFonts w:ascii="Verdana" w:eastAsia="Calibri" w:hAnsi="Verdana" w:cs="Arial"/>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44B4C2C7" w14:textId="46A3C96E" w:rsidR="002F6426" w:rsidRPr="000108AE" w:rsidRDefault="002F6426" w:rsidP="002F6426">
      <w:pPr>
        <w:spacing w:after="120" w:line="276" w:lineRule="auto"/>
        <w:ind w:firstLine="708"/>
        <w:jc w:val="both"/>
        <w:rPr>
          <w:rFonts w:ascii="Verdana" w:eastAsia="Calibri" w:hAnsi="Verdana" w:cs="Arial"/>
        </w:rPr>
      </w:pPr>
      <w:r w:rsidRPr="004675CD">
        <w:rPr>
          <w:rFonts w:ascii="Verdana" w:eastAsia="Calibri" w:hAnsi="Verdana" w:cs="Arial"/>
        </w:rPr>
        <w:t xml:space="preserve"> </w:t>
      </w:r>
    </w:p>
    <w:p w14:paraId="65A1168C" w14:textId="77777777" w:rsidR="002F6426" w:rsidRDefault="002F6426" w:rsidP="002F642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Referencias normativas, jurisprudenciales y otras fuentes:</w:t>
      </w:r>
    </w:p>
    <w:p w14:paraId="6FEAD2EC" w14:textId="77777777" w:rsidR="002F6426" w:rsidRDefault="002F6426" w:rsidP="002F6426">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2F6426" w14:paraId="77D123B5" w14:textId="77777777" w:rsidTr="00B417E6">
        <w:trPr>
          <w:trHeight w:val="870"/>
        </w:trPr>
        <w:tc>
          <w:tcPr>
            <w:tcW w:w="8647" w:type="dxa"/>
            <w:tcBorders>
              <w:top w:val="dotted" w:sz="4" w:space="0" w:color="auto"/>
              <w:left w:val="dotted" w:sz="4" w:space="0" w:color="auto"/>
              <w:bottom w:val="dotted" w:sz="4" w:space="0" w:color="auto"/>
              <w:right w:val="dotted" w:sz="4" w:space="0" w:color="auto"/>
            </w:tcBorders>
            <w:hideMark/>
          </w:tcPr>
          <w:p w14:paraId="1EAA8E50" w14:textId="77777777" w:rsidR="002F6426" w:rsidRPr="000108AE" w:rsidRDefault="002F6426" w:rsidP="005D0607">
            <w:pPr>
              <w:widowControl w:val="0"/>
              <w:numPr>
                <w:ilvl w:val="0"/>
                <w:numId w:val="17"/>
              </w:numPr>
              <w:autoSpaceDE w:val="0"/>
              <w:autoSpaceDN w:val="0"/>
              <w:spacing w:line="276" w:lineRule="auto"/>
              <w:jc w:val="both"/>
              <w:rPr>
                <w:rFonts w:ascii="Verdana" w:eastAsia="Aptos" w:hAnsi="Verdana" w:cs="Arial"/>
              </w:rPr>
            </w:pPr>
            <w:r>
              <w:rPr>
                <w:rFonts w:ascii="Verdana" w:eastAsia="Aptos" w:hAnsi="Verdana" w:cs="Arial"/>
              </w:rPr>
              <w:t>Ley 80 de 1993. Artículos 44 y 45</w:t>
            </w:r>
          </w:p>
          <w:p w14:paraId="1022602B" w14:textId="77777777" w:rsidR="002F6426" w:rsidRPr="00F43898" w:rsidRDefault="002F6426" w:rsidP="005D0607">
            <w:pPr>
              <w:widowControl w:val="0"/>
              <w:numPr>
                <w:ilvl w:val="0"/>
                <w:numId w:val="17"/>
              </w:numPr>
              <w:autoSpaceDE w:val="0"/>
              <w:autoSpaceDN w:val="0"/>
              <w:spacing w:line="276" w:lineRule="auto"/>
              <w:jc w:val="both"/>
              <w:rPr>
                <w:rFonts w:ascii="Verdana" w:eastAsia="Aptos" w:hAnsi="Verdana" w:cs="Arial"/>
              </w:rPr>
            </w:pPr>
            <w:r w:rsidRPr="00F43898">
              <w:rPr>
                <w:rFonts w:ascii="Verdana" w:eastAsia="Calibri" w:hAnsi="Verdana" w:cs="Arial"/>
                <w:lang w:val="es-ES"/>
              </w:rPr>
              <w:t xml:space="preserve">Decreto 1082 de 2015. Artículo </w:t>
            </w:r>
            <w:r w:rsidRPr="00F43898">
              <w:rPr>
                <w:rFonts w:ascii="Verdana" w:eastAsia="Calibri" w:hAnsi="Verdana" w:cs="Arial"/>
                <w:kern w:val="2"/>
                <w14:ligatures w14:val="standardContextual"/>
              </w:rPr>
              <w:t xml:space="preserve">2.2.1.1.1.3.1, 2.2.1.1.1.4.1, </w:t>
            </w:r>
            <w:r w:rsidRPr="00F43898">
              <w:rPr>
                <w:rFonts w:ascii="Verdana" w:eastAsia="Calibri" w:hAnsi="Verdana" w:cs="Arial"/>
                <w:noProof/>
                <w:lang w:val="es-ES_tradnl"/>
              </w:rPr>
              <w:t>2.2.1.1.1.4.3 y 2.2.1.1.1.4.4</w:t>
            </w:r>
          </w:p>
          <w:p w14:paraId="11D00194" w14:textId="77777777" w:rsidR="002F6426" w:rsidRPr="00F43898" w:rsidRDefault="002F6426" w:rsidP="005D0607">
            <w:pPr>
              <w:widowControl w:val="0"/>
              <w:numPr>
                <w:ilvl w:val="0"/>
                <w:numId w:val="17"/>
              </w:numPr>
              <w:autoSpaceDE w:val="0"/>
              <w:autoSpaceDN w:val="0"/>
              <w:spacing w:line="276" w:lineRule="auto"/>
              <w:jc w:val="both"/>
              <w:rPr>
                <w:rFonts w:ascii="Verdana" w:eastAsia="Aptos" w:hAnsi="Verdana" w:cs="Arial"/>
              </w:rPr>
            </w:pPr>
            <w:r w:rsidRPr="00F43898">
              <w:rPr>
                <w:rFonts w:ascii="Verdana" w:eastAsia="Calibri" w:hAnsi="Verdana" w:cs="Arial"/>
                <w:kern w:val="2"/>
                <w14:ligatures w14:val="standardContextual"/>
              </w:rPr>
              <w:t>Ley 1474 de 2011. Artículo 74</w:t>
            </w:r>
          </w:p>
          <w:p w14:paraId="73D947D4" w14:textId="77777777" w:rsidR="002F6426" w:rsidRPr="00F43898" w:rsidRDefault="002F6426" w:rsidP="005D0607">
            <w:pPr>
              <w:widowControl w:val="0"/>
              <w:numPr>
                <w:ilvl w:val="0"/>
                <w:numId w:val="17"/>
              </w:numPr>
              <w:autoSpaceDE w:val="0"/>
              <w:autoSpaceDN w:val="0"/>
              <w:spacing w:line="276" w:lineRule="auto"/>
              <w:jc w:val="both"/>
              <w:rPr>
                <w:rFonts w:ascii="Verdana" w:eastAsia="Aptos" w:hAnsi="Verdana" w:cs="Arial"/>
              </w:rPr>
            </w:pPr>
            <w:r w:rsidRPr="00F43898">
              <w:rPr>
                <w:rFonts w:ascii="Verdana" w:eastAsia="Calibri" w:hAnsi="Verdana" w:cs="Arial"/>
                <w:kern w:val="2"/>
                <w14:ligatures w14:val="standardContextual"/>
              </w:rPr>
              <w:t>Decreto 1081 de 2015. Artículo 2.1.1.2.1.10</w:t>
            </w:r>
          </w:p>
          <w:p w14:paraId="71A591A4" w14:textId="77777777" w:rsidR="002F6426" w:rsidRPr="008E3861" w:rsidRDefault="002F6426" w:rsidP="005D0607">
            <w:pPr>
              <w:widowControl w:val="0"/>
              <w:numPr>
                <w:ilvl w:val="0"/>
                <w:numId w:val="17"/>
              </w:numPr>
              <w:autoSpaceDE w:val="0"/>
              <w:autoSpaceDN w:val="0"/>
              <w:spacing w:line="276" w:lineRule="auto"/>
              <w:jc w:val="both"/>
              <w:rPr>
                <w:rFonts w:ascii="Verdana" w:eastAsia="Aptos" w:hAnsi="Verdana" w:cs="Arial"/>
              </w:rPr>
            </w:pPr>
            <w:r w:rsidRPr="00F43898">
              <w:rPr>
                <w:rFonts w:ascii="Verdana" w:eastAsia="Calibri" w:hAnsi="Verdana" w:cs="Arial"/>
                <w:kern w:val="2"/>
                <w14:ligatures w14:val="standardContextual"/>
              </w:rPr>
              <w:t xml:space="preserve">Guía para Elaborar el Plan Anual de Adquisiciones. </w:t>
            </w:r>
            <w:r w:rsidRPr="00D83677">
              <w:rPr>
                <w:rFonts w:ascii="Verdana" w:eastAsia="Calibri" w:hAnsi="Verdana" w:cs="Arial"/>
                <w:kern w:val="2"/>
                <w14:ligatures w14:val="standardContextual"/>
              </w:rPr>
              <w:t xml:space="preserve">Disponible </w:t>
            </w:r>
            <w:hyperlink r:id="rId13" w:history="1">
              <w:r w:rsidRPr="00D83677">
                <w:rPr>
                  <w:rFonts w:ascii="Verdana" w:eastAsia="Calibri" w:hAnsi="Verdana" w:cs="Arial"/>
                  <w:color w:val="467886"/>
                  <w:kern w:val="2"/>
                  <w:u w:val="single"/>
                  <w14:ligatures w14:val="standardContextual"/>
                </w:rPr>
                <w:t>aquí</w:t>
              </w:r>
            </w:hyperlink>
          </w:p>
        </w:tc>
      </w:tr>
    </w:tbl>
    <w:p w14:paraId="2D53BC95" w14:textId="77777777" w:rsidR="002F6426" w:rsidRDefault="002F6426" w:rsidP="002F6426">
      <w:pPr>
        <w:widowControl w:val="0"/>
        <w:autoSpaceDE w:val="0"/>
        <w:autoSpaceDN w:val="0"/>
        <w:spacing w:after="0" w:line="276" w:lineRule="auto"/>
        <w:jc w:val="both"/>
        <w:rPr>
          <w:rFonts w:ascii="Verdana" w:hAnsi="Verdana" w:cs="Arial"/>
        </w:rPr>
      </w:pPr>
    </w:p>
    <w:p w14:paraId="00767447" w14:textId="77777777" w:rsidR="002F6426" w:rsidRDefault="002F6426" w:rsidP="002F642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p>
    <w:p w14:paraId="5B577A98" w14:textId="77777777" w:rsidR="002F6426" w:rsidRDefault="002F6426" w:rsidP="002F6426">
      <w:pPr>
        <w:widowControl w:val="0"/>
        <w:autoSpaceDE w:val="0"/>
        <w:autoSpaceDN w:val="0"/>
        <w:spacing w:after="0" w:line="276" w:lineRule="auto"/>
        <w:jc w:val="both"/>
        <w:rPr>
          <w:rFonts w:ascii="Verdana" w:hAnsi="Verdana" w:cs="Arial"/>
        </w:rPr>
      </w:pPr>
    </w:p>
    <w:p w14:paraId="4606F8E7" w14:textId="77777777" w:rsidR="002F6426" w:rsidRPr="005D0607" w:rsidRDefault="002F6426" w:rsidP="002F6426">
      <w:pPr>
        <w:widowControl w:val="0"/>
        <w:autoSpaceDE w:val="0"/>
        <w:autoSpaceDN w:val="0"/>
        <w:spacing w:after="0" w:line="276" w:lineRule="auto"/>
        <w:jc w:val="both"/>
        <w:rPr>
          <w:rStyle w:val="normaltextrun"/>
          <w:rFonts w:ascii="Verdana" w:hAnsi="Verdana"/>
          <w:color w:val="FF0000"/>
          <w:shd w:val="clear" w:color="auto" w:fill="FFFFFF"/>
          <w:lang w:val="es-ES"/>
        </w:rPr>
      </w:pPr>
      <w:r>
        <w:rPr>
          <w:rFonts w:ascii="Verdana" w:eastAsia="Calibri" w:hAnsi="Verdana" w:cs="Times New Roman"/>
        </w:rPr>
        <w:lastRenderedPageBreak/>
        <w:t>S</w:t>
      </w:r>
      <w:r w:rsidRPr="006A02B1">
        <w:rPr>
          <w:rFonts w:ascii="Verdana" w:eastAsia="Calibri" w:hAnsi="Verdana" w:cs="Times New Roman"/>
        </w:rPr>
        <w:t xml:space="preserve">obre la </w:t>
      </w:r>
      <w:r>
        <w:rPr>
          <w:rFonts w:ascii="Verdana" w:eastAsia="Calibri" w:hAnsi="Verdana" w:cs="Times New Roman"/>
        </w:rPr>
        <w:t>elaboración y actualización del PAA</w:t>
      </w:r>
      <w:r w:rsidRPr="006A02B1">
        <w:rPr>
          <w:rFonts w:ascii="Verdana" w:eastAsia="Calibri" w:hAnsi="Verdana" w:cs="Times New Roman"/>
        </w:rPr>
        <w:t>, esta Subdirección se ha pronunciado en conceptos</w:t>
      </w:r>
      <w:r>
        <w:rPr>
          <w:rFonts w:ascii="Verdana" w:eastAsia="Calibri" w:hAnsi="Verdana" w:cs="Times New Roman"/>
        </w:rPr>
        <w:t xml:space="preserve"> C-438 del 31 de octubre de 2023, C-066 del 26 de febrero de 2025,</w:t>
      </w:r>
      <w:r w:rsidRPr="006A02B1">
        <w:rPr>
          <w:rFonts w:ascii="Verdana" w:eastAsia="Calibri" w:hAnsi="Verdana" w:cs="Times New Roman"/>
        </w:rPr>
        <w:t xml:space="preserve"> </w:t>
      </w:r>
      <w:r>
        <w:rPr>
          <w:rFonts w:ascii="Verdana" w:eastAsia="Calibri" w:hAnsi="Verdana" w:cs="Times New Roman"/>
        </w:rPr>
        <w:t xml:space="preserve">C-645 del 2 de julio de 2025, C-748 del 25 de julio de 2025,C-819 del 31 de julio de 2025,  </w:t>
      </w:r>
      <w:r w:rsidRPr="006A02B1">
        <w:rPr>
          <w:rFonts w:ascii="Verdana" w:eastAsia="Calibri" w:hAnsi="Verdana" w:cs="Times New Roman"/>
        </w:rPr>
        <w:t>entre otros</w:t>
      </w:r>
      <w:r>
        <w:rPr>
          <w:rFonts w:ascii="Verdana" w:eastAsia="Calibri" w:hAnsi="Verdana" w:cs="Times New Roman"/>
        </w:rPr>
        <w:t xml:space="preserve">; sobre el fraccionamiento contractual, esta Subdirección se ha pronunciado en conceptos C-122 del 23 de julio de 2024, C-086 del 17 de febrero de 2025, </w:t>
      </w:r>
      <w:r>
        <w:rPr>
          <w:rStyle w:val="normaltextrun"/>
          <w:rFonts w:ascii="Verdana" w:hAnsi="Verdana" w:cs="Arial"/>
          <w:shd w:val="clear" w:color="auto" w:fill="FFFFFF"/>
          <w:lang w:val="es-ES"/>
        </w:rPr>
        <w:t>Es</w:t>
      </w:r>
      <w:r>
        <w:rPr>
          <w:rFonts w:ascii="Verdana" w:hAnsi="Verdana"/>
        </w:rPr>
        <w:t>tos y otros conceptos se encuentran disponibles para consulta en el Sistema de relatoría de la Agencia, al cual se puede acceder a través del siguiente enlace:</w:t>
      </w:r>
      <w:r>
        <w:rPr>
          <w:rStyle w:val="normaltextrun"/>
          <w:rFonts w:ascii="Verdana" w:hAnsi="Verdana" w:cs="Arial"/>
          <w:shd w:val="clear" w:color="auto" w:fill="FFFFFF"/>
          <w:lang w:val="es-ES"/>
        </w:rPr>
        <w:t xml:space="preserve"> </w:t>
      </w:r>
      <w:hyperlink r:id="rId14" w:history="1">
        <w:r w:rsidRPr="00D83677">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lang w:val="es-ES"/>
        </w:rPr>
        <w:t xml:space="preserve">. </w:t>
      </w:r>
    </w:p>
    <w:p w14:paraId="14879980" w14:textId="77777777" w:rsidR="002F6426" w:rsidRDefault="002F6426" w:rsidP="002F6426">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31188656" w14:textId="77777777" w:rsidR="002F6426" w:rsidRPr="005D0607" w:rsidRDefault="002F6426" w:rsidP="002F6426">
      <w:pPr>
        <w:shd w:val="clear" w:color="auto" w:fill="FFFFFF"/>
        <w:spacing w:after="0" w:line="276" w:lineRule="auto"/>
        <w:jc w:val="both"/>
        <w:textAlignment w:val="baseline"/>
        <w:rPr>
          <w:rFonts w:ascii="Verdana" w:hAnsi="Verdana"/>
          <w:color w:val="467886"/>
          <w:u w:val="single"/>
          <w:bdr w:val="none" w:sz="0" w:space="0" w:color="auto" w:frame="1"/>
        </w:rPr>
      </w:pPr>
      <w:r>
        <w:rPr>
          <w:rFonts w:ascii="Verdana" w:hAnsi="Verdana"/>
          <w:color w:val="000000"/>
          <w:bdr w:val="none" w:sz="0" w:space="0" w:color="auto" w:frame="1"/>
        </w:rPr>
        <w:t>Le contamos que ya se encuentra disponible la </w:t>
      </w:r>
      <w:r>
        <w:rPr>
          <w:rFonts w:ascii="Verdana" w:hAnsi="Verdana"/>
          <w:b/>
          <w:bCs/>
          <w:color w:val="000000"/>
          <w:bdr w:val="none" w:sz="0" w:space="0" w:color="auto" w:frame="1"/>
        </w:rPr>
        <w:t>Guía de lineamientos de transparencia y selección objetiva para el departamento de La Guajira – Objetivo sexto constitucional de la Sentencia T-302 del 2017. </w:t>
      </w:r>
      <w:r>
        <w:rPr>
          <w:rFonts w:ascii="Verdana" w:hAnsi="Verdana"/>
          <w:color w:val="000000"/>
          <w:bdr w:val="none" w:sz="0" w:space="0" w:color="auto" w:frame="1"/>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Pr>
          <w:rFonts w:ascii="Verdana" w:hAnsi="Verdana"/>
          <w:color w:val="000000"/>
          <w:bdr w:val="none" w:sz="0" w:space="0" w:color="auto" w:frame="1"/>
        </w:rPr>
        <w:t>Wayúu</w:t>
      </w:r>
      <w:proofErr w:type="spellEnd"/>
      <w:r>
        <w:rPr>
          <w:rFonts w:ascii="Verdana" w:hAnsi="Verdana"/>
          <w:color w:val="000000"/>
          <w:bdr w:val="none" w:sz="0" w:space="0" w:color="auto" w:frame="1"/>
        </w:rPr>
        <w:t xml:space="preserve">. </w:t>
      </w:r>
      <w:r w:rsidRPr="00D83677">
        <w:rPr>
          <w:rFonts w:ascii="Verdana" w:hAnsi="Verdana"/>
          <w:color w:val="000000"/>
          <w:bdr w:val="none" w:sz="0" w:space="0" w:color="auto" w:frame="1"/>
        </w:rPr>
        <w:t>Puede consultar la guía en el siguiente enlace: </w:t>
      </w:r>
      <w:hyperlink r:id="rId15" w:tgtFrame="_blank" w:tooltip="Dirección URL original: https://www.colombiacompra.gov.co/wp-content/uploads/2025/05/GUIA-DE-LINEAMIENTOS-DE-TRANSPARENCIA-Y-SELECCION-OBJETIVA-1.0.pdf. Haga clic o pulse si confía en este vínculo." w:history="1">
        <w:r w:rsidRPr="00D83677">
          <w:rPr>
            <w:rStyle w:val="Hipervnculo"/>
            <w:rFonts w:ascii="Verdana" w:hAnsi="Verdana"/>
            <w:color w:val="467886"/>
            <w:bdr w:val="none" w:sz="0" w:space="0" w:color="auto" w:frame="1"/>
          </w:rPr>
          <w:t>Guía de lineamientos de transparencia y selección objetiva para el departamento de La Guajira – Objetivo sexto constitucional de la Sentencia T-302 del 2017</w:t>
        </w:r>
      </w:hyperlink>
      <w:r w:rsidRPr="00D83677">
        <w:rPr>
          <w:rFonts w:ascii="Verdana" w:hAnsi="Verdana"/>
          <w:color w:val="467886"/>
          <w:u w:val="single"/>
          <w:bdr w:val="none" w:sz="0" w:space="0" w:color="auto" w:frame="1"/>
        </w:rPr>
        <w:t>"</w:t>
      </w:r>
    </w:p>
    <w:p w14:paraId="14E66BFC" w14:textId="77777777" w:rsidR="002F6426" w:rsidRDefault="002F6426" w:rsidP="002F6426">
      <w:pPr>
        <w:spacing w:after="0" w:line="276" w:lineRule="auto"/>
        <w:jc w:val="both"/>
        <w:rPr>
          <w:rFonts w:ascii="Verdana" w:hAnsi="Verdana"/>
        </w:rPr>
      </w:pPr>
    </w:p>
    <w:p w14:paraId="66C954BF" w14:textId="77777777" w:rsidR="002F6426" w:rsidRDefault="002F6426" w:rsidP="002F6426">
      <w:pPr>
        <w:spacing w:after="0" w:line="276" w:lineRule="auto"/>
        <w:jc w:val="both"/>
        <w:rPr>
          <w:rFonts w:ascii="Verdana" w:hAnsi="Verdana"/>
        </w:rPr>
      </w:pPr>
      <w:r>
        <w:rPr>
          <w:rFonts w:ascii="Verdana" w:hAnsi="Verdana"/>
        </w:rPr>
        <w:t xml:space="preserve">Por último, lo invitamos a seguirnos en las redes sociales en las cuales se difunde información institucional: </w:t>
      </w:r>
    </w:p>
    <w:p w14:paraId="54C5180D" w14:textId="77777777" w:rsidR="002F6426" w:rsidRDefault="002F6426" w:rsidP="002F6426">
      <w:pPr>
        <w:spacing w:after="0" w:line="276" w:lineRule="auto"/>
        <w:jc w:val="both"/>
        <w:rPr>
          <w:rFonts w:ascii="Verdana" w:hAnsi="Verdana"/>
        </w:rPr>
      </w:pPr>
    </w:p>
    <w:p w14:paraId="28387D72" w14:textId="77777777" w:rsidR="002F6426" w:rsidRDefault="002F6426" w:rsidP="002F6426">
      <w:pPr>
        <w:spacing w:after="0" w:line="276" w:lineRule="auto"/>
        <w:jc w:val="both"/>
        <w:rPr>
          <w:rFonts w:ascii="Verdana" w:hAnsi="Verdana"/>
        </w:rPr>
      </w:pPr>
      <w:r>
        <w:rPr>
          <w:rFonts w:ascii="Verdana" w:hAnsi="Verdana"/>
        </w:rPr>
        <w:t xml:space="preserve">Twitter: </w:t>
      </w:r>
      <w:r>
        <w:rPr>
          <w:rStyle w:val="Hipervnculo"/>
          <w:rFonts w:ascii="Verdana" w:hAnsi="Verdana"/>
          <w:color w:val="4472C4" w:themeColor="accent1"/>
        </w:rPr>
        <w:t>@colombiacompra</w:t>
      </w:r>
      <w:r>
        <w:rPr>
          <w:rFonts w:ascii="Verdana" w:hAnsi="Verdana"/>
          <w:color w:val="4472C4" w:themeColor="accent1"/>
        </w:rPr>
        <w:t xml:space="preserve"> </w:t>
      </w:r>
    </w:p>
    <w:p w14:paraId="1A314646" w14:textId="77777777" w:rsidR="002F6426" w:rsidRDefault="002F6426" w:rsidP="002F6426">
      <w:pPr>
        <w:spacing w:after="0" w:line="276" w:lineRule="auto"/>
        <w:jc w:val="both"/>
        <w:rPr>
          <w:rFonts w:ascii="Verdana" w:hAnsi="Verdana"/>
        </w:rPr>
      </w:pPr>
      <w:r>
        <w:rPr>
          <w:rFonts w:ascii="Verdana" w:hAnsi="Verdana"/>
        </w:rPr>
        <w:t xml:space="preserve">Facebook: </w:t>
      </w:r>
      <w:proofErr w:type="spellStart"/>
      <w:r>
        <w:rPr>
          <w:rStyle w:val="Hipervnculo"/>
          <w:rFonts w:ascii="Verdana" w:hAnsi="Verdana"/>
          <w:color w:val="4472C4" w:themeColor="accent1"/>
        </w:rPr>
        <w:t>ColombiaCompraEficiente</w:t>
      </w:r>
      <w:proofErr w:type="spellEnd"/>
    </w:p>
    <w:p w14:paraId="6F61A652" w14:textId="77777777" w:rsidR="002F6426" w:rsidRDefault="002F6426" w:rsidP="002F6426">
      <w:pPr>
        <w:spacing w:after="0" w:line="276" w:lineRule="auto"/>
        <w:jc w:val="both"/>
        <w:rPr>
          <w:rFonts w:ascii="Verdana" w:hAnsi="Verdana"/>
        </w:rPr>
      </w:pPr>
      <w:r>
        <w:rPr>
          <w:rFonts w:ascii="Verdana" w:hAnsi="Verdana"/>
        </w:rPr>
        <w:t xml:space="preserve">LinkedIn: </w:t>
      </w:r>
      <w:r>
        <w:rPr>
          <w:rStyle w:val="Hipervnculo"/>
          <w:rFonts w:ascii="Verdana" w:hAnsi="Verdana"/>
          <w:color w:val="4472C4" w:themeColor="accent1"/>
        </w:rPr>
        <w:t>Agencia Nacional de Contratación Pública - Colombia Compra Eficiente</w:t>
      </w:r>
      <w:r>
        <w:rPr>
          <w:rFonts w:ascii="Verdana" w:hAnsi="Verdana"/>
          <w:color w:val="4472C4" w:themeColor="accent1"/>
        </w:rPr>
        <w:t xml:space="preserve"> </w:t>
      </w:r>
      <w:r>
        <w:rPr>
          <w:rFonts w:ascii="Verdana" w:hAnsi="Verdana"/>
        </w:rPr>
        <w:t xml:space="preserve">Instagram: </w:t>
      </w:r>
      <w:r>
        <w:rPr>
          <w:rStyle w:val="Hipervnculo"/>
          <w:rFonts w:ascii="Verdana" w:hAnsi="Verdana"/>
          <w:color w:val="4472C4" w:themeColor="accent1"/>
        </w:rPr>
        <w:t>@colombiacompraeficiente_cce</w:t>
      </w:r>
    </w:p>
    <w:p w14:paraId="10368F27" w14:textId="77777777" w:rsidR="002F6426" w:rsidRDefault="002F6426" w:rsidP="002F6426">
      <w:pPr>
        <w:widowControl w:val="0"/>
        <w:autoSpaceDE w:val="0"/>
        <w:autoSpaceDN w:val="0"/>
        <w:spacing w:after="0" w:line="276" w:lineRule="auto"/>
        <w:jc w:val="both"/>
        <w:rPr>
          <w:rFonts w:ascii="Verdana" w:hAnsi="Verdana" w:cs="Arial"/>
        </w:rPr>
      </w:pPr>
    </w:p>
    <w:p w14:paraId="181E8C49" w14:textId="77777777" w:rsidR="002F6426" w:rsidRDefault="002F6426" w:rsidP="002F6426">
      <w:pPr>
        <w:widowControl w:val="0"/>
        <w:autoSpaceDE w:val="0"/>
        <w:autoSpaceDN w:val="0"/>
        <w:spacing w:after="0" w:line="276" w:lineRule="auto"/>
        <w:jc w:val="both"/>
        <w:rPr>
          <w:rFonts w:ascii="Verdana" w:hAnsi="Verdana" w:cs="Arial"/>
          <w:lang w:val="es-ES_tradnl"/>
        </w:rPr>
      </w:pPr>
      <w:r>
        <w:rPr>
          <w:rFonts w:ascii="Verdana" w:hAnsi="Verdana" w:cs="Arial"/>
        </w:rPr>
        <w:t xml:space="preserve">Este concepto tiene el alcance previsto en el artículo 28 del Código de Procedimiento Administrativo y de lo Contencioso Administrativo </w:t>
      </w:r>
      <w:r>
        <w:rPr>
          <w:rFonts w:ascii="Verdana" w:hAnsi="Verdana" w:cs="Arial"/>
          <w:lang w:val="es-ES_tradnl"/>
        </w:rPr>
        <w:t>y las expresiones aquí utilizadas con mayúscula inicial deben ser entendidas con el significado que les otorga el artículo 2.2.1.1.1.3.1. del Decreto 1082 de 2015.</w:t>
      </w:r>
    </w:p>
    <w:p w14:paraId="66F87A13" w14:textId="77777777" w:rsidR="002F6426" w:rsidRDefault="002F6426" w:rsidP="002F6426">
      <w:pPr>
        <w:widowControl w:val="0"/>
        <w:autoSpaceDE w:val="0"/>
        <w:autoSpaceDN w:val="0"/>
        <w:spacing w:after="0" w:line="276" w:lineRule="auto"/>
        <w:jc w:val="both"/>
        <w:rPr>
          <w:rFonts w:ascii="Verdana" w:hAnsi="Verdana" w:cs="Arial"/>
        </w:rPr>
      </w:pPr>
    </w:p>
    <w:p w14:paraId="65701586" w14:textId="77777777" w:rsidR="002F6426" w:rsidRDefault="002F6426" w:rsidP="002F6426">
      <w:pPr>
        <w:spacing w:after="0" w:line="276" w:lineRule="auto"/>
        <w:rPr>
          <w:rFonts w:ascii="Verdana" w:hAnsi="Verdana" w:cs="Arial"/>
          <w:lang w:eastAsia="es-CO"/>
        </w:rPr>
      </w:pPr>
      <w:r>
        <w:rPr>
          <w:rFonts w:ascii="Verdana" w:eastAsia="Times New Roman" w:hAnsi="Verdana" w:cs="Arial"/>
          <w:lang w:eastAsia="es-CO"/>
        </w:rPr>
        <w:t>Atentamente,</w:t>
      </w:r>
      <w:r>
        <w:rPr>
          <w:rFonts w:ascii="Verdana" w:hAnsi="Verdana" w:cs="Arial"/>
          <w:lang w:eastAsia="es-CO"/>
        </w:rPr>
        <w:t xml:space="preserve"> </w:t>
      </w:r>
    </w:p>
    <w:p w14:paraId="6BA7338F" w14:textId="18F84D24" w:rsidR="002F6426" w:rsidRPr="005D0607" w:rsidRDefault="00A46CE4" w:rsidP="002F6426">
      <w:pPr>
        <w:spacing w:after="0" w:line="276" w:lineRule="auto"/>
        <w:jc w:val="center"/>
        <w:rPr>
          <w:rFonts w:ascii="Verdana" w:hAnsi="Verdana"/>
        </w:rPr>
      </w:pPr>
      <w:r>
        <w:rPr>
          <w:noProof/>
        </w:rPr>
        <w:lastRenderedPageBreak/>
        <w:drawing>
          <wp:inline distT="0" distB="0" distL="0" distR="0" wp14:anchorId="08B40FFC" wp14:editId="7ED5E8F8">
            <wp:extent cx="3768725" cy="1399540"/>
            <wp:effectExtent l="0" t="0" r="3175" b="0"/>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F6426" w14:paraId="287C0167" w14:textId="77777777" w:rsidTr="00B417E6">
        <w:trPr>
          <w:trHeight w:val="315"/>
        </w:trPr>
        <w:tc>
          <w:tcPr>
            <w:tcW w:w="893" w:type="dxa"/>
            <w:vAlign w:val="center"/>
            <w:hideMark/>
          </w:tcPr>
          <w:p w14:paraId="0871F0BC" w14:textId="77777777" w:rsidR="002F6426" w:rsidRDefault="002F6426" w:rsidP="00B417E6">
            <w:pPr>
              <w:spacing w:after="255" w:line="240" w:lineRule="auto"/>
              <w:contextualSpacing/>
              <w:rPr>
                <w:rFonts w:ascii="Verdana" w:hAnsi="Verdana" w:cs="Arial"/>
                <w:sz w:val="16"/>
                <w:szCs w:val="16"/>
                <w:lang w:val="es-ES" w:eastAsia="es-ES"/>
              </w:rPr>
            </w:pPr>
            <w:r>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62D1279" w14:textId="77777777" w:rsidR="002F6426" w:rsidRDefault="002F6426" w:rsidP="00B417E6">
            <w:pPr>
              <w:spacing w:after="255" w:line="240" w:lineRule="auto"/>
              <w:contextualSpacing/>
              <w:rPr>
                <w:rFonts w:ascii="Verdana" w:eastAsia="Arial" w:hAnsi="Verdana" w:cs="Arial"/>
                <w:sz w:val="16"/>
                <w:szCs w:val="16"/>
              </w:rPr>
            </w:pPr>
            <w:r>
              <w:rPr>
                <w:rStyle w:val="normaltextrun"/>
                <w:rFonts w:ascii="Verdana" w:hAnsi="Verdana"/>
                <w:sz w:val="16"/>
                <w:szCs w:val="16"/>
              </w:rPr>
              <w:t xml:space="preserve">Catalina Cubides </w:t>
            </w:r>
            <w:proofErr w:type="spellStart"/>
            <w:r>
              <w:rPr>
                <w:rStyle w:val="normaltextrun"/>
                <w:rFonts w:ascii="Verdana" w:hAnsi="Verdana"/>
                <w:sz w:val="16"/>
                <w:szCs w:val="16"/>
              </w:rPr>
              <w:t>Estupiñan</w:t>
            </w:r>
            <w:proofErr w:type="spellEnd"/>
          </w:p>
          <w:p w14:paraId="5A2A6BF2" w14:textId="77777777" w:rsidR="002F6426" w:rsidRDefault="002F6426" w:rsidP="00B417E6">
            <w:pPr>
              <w:spacing w:after="255" w:line="240" w:lineRule="auto"/>
              <w:contextualSpacing/>
              <w:rPr>
                <w:rFonts w:ascii="Verdana" w:eastAsia="Arial" w:hAnsi="Verdana" w:cs="Arial"/>
                <w:sz w:val="16"/>
                <w:szCs w:val="16"/>
              </w:rPr>
            </w:pPr>
            <w:r>
              <w:rPr>
                <w:rStyle w:val="normaltextrun"/>
                <w:rFonts w:ascii="Verdana" w:eastAsia="Arial" w:hAnsi="Verdana" w:cs="Arial"/>
                <w:sz w:val="16"/>
                <w:szCs w:val="16"/>
              </w:rPr>
              <w:t>C</w:t>
            </w:r>
            <w:r>
              <w:rPr>
                <w:rStyle w:val="normaltextrun"/>
                <w:rFonts w:ascii="Verdana" w:eastAsia="Arial" w:hAnsi="Verdana"/>
                <w:sz w:val="16"/>
                <w:szCs w:val="16"/>
              </w:rPr>
              <w:t>ontratista d</w:t>
            </w:r>
            <w:r>
              <w:rPr>
                <w:rStyle w:val="normaltextrun"/>
                <w:rFonts w:ascii="Verdana" w:eastAsia="Arial" w:hAnsi="Verdana" w:cs="Arial"/>
                <w:sz w:val="16"/>
                <w:szCs w:val="16"/>
              </w:rPr>
              <w:t>e la Subdirección de Gestión Contractual</w:t>
            </w:r>
          </w:p>
        </w:tc>
      </w:tr>
      <w:tr w:rsidR="002F6426" w14:paraId="3BD37824" w14:textId="77777777" w:rsidTr="00B417E6">
        <w:trPr>
          <w:trHeight w:val="330"/>
        </w:trPr>
        <w:tc>
          <w:tcPr>
            <w:tcW w:w="893" w:type="dxa"/>
            <w:vAlign w:val="center"/>
            <w:hideMark/>
          </w:tcPr>
          <w:p w14:paraId="384E81C5" w14:textId="77777777" w:rsidR="002F6426" w:rsidRDefault="002F6426" w:rsidP="00B417E6">
            <w:pPr>
              <w:spacing w:after="255" w:line="240" w:lineRule="auto"/>
              <w:contextualSpacing/>
              <w:rPr>
                <w:rFonts w:ascii="Verdana" w:hAnsi="Verdana" w:cs="Arial"/>
                <w:sz w:val="16"/>
                <w:szCs w:val="16"/>
                <w:lang w:val="es-ES" w:eastAsia="es-ES"/>
              </w:rPr>
            </w:pPr>
            <w:r>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6D522A2" w14:textId="77777777" w:rsidR="002F6426" w:rsidRDefault="002F6426" w:rsidP="00B417E6">
            <w:pPr>
              <w:pStyle w:val="paragraph"/>
              <w:spacing w:before="0" w:beforeAutospacing="0" w:after="0" w:afterAutospacing="0"/>
              <w:contextualSpacing/>
              <w:textAlignment w:val="baseline"/>
              <w:rPr>
                <w:rFonts w:ascii="Verdana" w:hAnsi="Verdana" w:cs="Segoe UI"/>
                <w:sz w:val="16"/>
                <w:szCs w:val="16"/>
                <w:lang w:eastAsia="es-ES_tradnl"/>
              </w:rPr>
            </w:pPr>
            <w:r>
              <w:rPr>
                <w:rFonts w:ascii="Verdana" w:hAnsi="Verdana" w:cs="Segoe UI"/>
                <w:sz w:val="16"/>
                <w:szCs w:val="16"/>
              </w:rPr>
              <w:t>Diana Lucia Saavedra</w:t>
            </w:r>
          </w:p>
          <w:p w14:paraId="299E5FF1" w14:textId="77777777" w:rsidR="002F6426" w:rsidRDefault="002F6426" w:rsidP="00B417E6">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Contratista de la Subdirección de Gestión Contractual</w:t>
            </w:r>
            <w:r>
              <w:rPr>
                <w:rStyle w:val="eop"/>
                <w:rFonts w:ascii="Verdana" w:hAnsi="Verdana" w:cs="Arial"/>
                <w:sz w:val="16"/>
                <w:szCs w:val="16"/>
              </w:rPr>
              <w:t> </w:t>
            </w:r>
          </w:p>
        </w:tc>
      </w:tr>
      <w:tr w:rsidR="002F6426" w14:paraId="25E03945" w14:textId="77777777" w:rsidTr="00B417E6">
        <w:trPr>
          <w:trHeight w:val="300"/>
        </w:trPr>
        <w:tc>
          <w:tcPr>
            <w:tcW w:w="893" w:type="dxa"/>
            <w:vAlign w:val="center"/>
            <w:hideMark/>
          </w:tcPr>
          <w:p w14:paraId="3AB4E3E1" w14:textId="77777777" w:rsidR="002F6426" w:rsidRDefault="002F6426" w:rsidP="00B417E6">
            <w:pPr>
              <w:spacing w:after="255" w:line="240" w:lineRule="auto"/>
              <w:contextualSpacing/>
              <w:rPr>
                <w:rFonts w:ascii="Verdana" w:hAnsi="Verdana" w:cs="Arial"/>
                <w:sz w:val="16"/>
                <w:szCs w:val="16"/>
                <w:lang w:val="es-ES" w:eastAsia="es-ES"/>
              </w:rPr>
            </w:pPr>
            <w:r>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89710AB" w14:textId="77777777" w:rsidR="002F6426" w:rsidRDefault="002F6426" w:rsidP="00B417E6">
            <w:pPr>
              <w:spacing w:after="255" w:line="240" w:lineRule="auto"/>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Carolina Quintero </w:t>
            </w:r>
            <w:proofErr w:type="spellStart"/>
            <w:r>
              <w:rPr>
                <w:rFonts w:ascii="Verdana" w:eastAsia="Calibri" w:hAnsi="Verdana" w:cs="Arial"/>
                <w:sz w:val="16"/>
                <w:szCs w:val="16"/>
                <w:lang w:val="pt-BR" w:eastAsia="es-ES"/>
              </w:rPr>
              <w:t>Gacharná</w:t>
            </w:r>
            <w:proofErr w:type="spellEnd"/>
          </w:p>
          <w:p w14:paraId="66675978" w14:textId="77777777" w:rsidR="002F6426" w:rsidRDefault="002F6426" w:rsidP="00B417E6">
            <w:pPr>
              <w:spacing w:after="255" w:line="240" w:lineRule="auto"/>
              <w:contextualSpacing/>
              <w:rPr>
                <w:rFonts w:ascii="Verdana" w:eastAsia="Calibri" w:hAnsi="Verdana" w:cs="Arial"/>
                <w:sz w:val="16"/>
                <w:szCs w:val="16"/>
                <w:lang w:val="pt-BR" w:eastAsia="es-ES"/>
              </w:rPr>
            </w:pPr>
            <w:r>
              <w:rPr>
                <w:rFonts w:ascii="Verdana" w:eastAsia="Calibri" w:hAnsi="Verdana" w:cs="Arial"/>
                <w:sz w:val="16"/>
                <w:szCs w:val="16"/>
                <w:lang w:eastAsia="es-ES"/>
              </w:rPr>
              <w:t>Subdirectora</w:t>
            </w:r>
            <w:r>
              <w:rPr>
                <w:rFonts w:ascii="Verdana" w:eastAsia="Calibri" w:hAnsi="Verdana" w:cs="Arial"/>
                <w:sz w:val="16"/>
                <w:szCs w:val="16"/>
                <w:lang w:val="pt-BR" w:eastAsia="es-ES"/>
              </w:rPr>
              <w:t xml:space="preserve"> de Gestión </w:t>
            </w:r>
            <w:proofErr w:type="spellStart"/>
            <w:r>
              <w:rPr>
                <w:rFonts w:ascii="Verdana" w:eastAsia="Calibri" w:hAnsi="Verdana" w:cs="Arial"/>
                <w:sz w:val="16"/>
                <w:szCs w:val="16"/>
                <w:lang w:val="pt-BR" w:eastAsia="es-ES"/>
              </w:rPr>
              <w:t>Contractual</w:t>
            </w:r>
            <w:proofErr w:type="spellEnd"/>
            <w:r>
              <w:rPr>
                <w:rFonts w:ascii="Verdana" w:eastAsia="Calibri" w:hAnsi="Verdana" w:cs="Arial"/>
                <w:sz w:val="16"/>
                <w:szCs w:val="16"/>
                <w:lang w:val="pt-BR" w:eastAsia="es-ES"/>
              </w:rPr>
              <w:t xml:space="preserve"> ANCP – CCE </w:t>
            </w:r>
          </w:p>
        </w:tc>
      </w:tr>
    </w:tbl>
    <w:p w14:paraId="2601DC64" w14:textId="77777777" w:rsidR="002F6426" w:rsidRDefault="002F6426" w:rsidP="002F6426">
      <w:pPr>
        <w:spacing w:after="0" w:line="240" w:lineRule="auto"/>
        <w:rPr>
          <w:rFonts w:ascii="Verdana" w:eastAsia="Times New Roman" w:hAnsi="Verdana" w:cs="Arial"/>
          <w:sz w:val="24"/>
          <w:szCs w:val="24"/>
          <w:lang w:eastAsia="es-ES"/>
        </w:rPr>
      </w:pPr>
    </w:p>
    <w:p w14:paraId="3070B761" w14:textId="77777777" w:rsidR="002F6426" w:rsidRPr="00BA2081" w:rsidRDefault="002F6426" w:rsidP="002F6426"/>
    <w:p w14:paraId="6F37CFEA" w14:textId="77777777" w:rsidR="002F6426" w:rsidRPr="00C767AB" w:rsidRDefault="002F6426" w:rsidP="002F6426"/>
    <w:p w14:paraId="3900974D" w14:textId="081D0144" w:rsidR="003D5B0D" w:rsidRPr="002F6426" w:rsidRDefault="003D5B0D" w:rsidP="002F6426"/>
    <w:sectPr w:rsidR="003D5B0D" w:rsidRPr="002F6426"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61F09" w14:textId="77777777" w:rsidR="00FE457A" w:rsidRDefault="00FE457A" w:rsidP="004A1847">
      <w:pPr>
        <w:spacing w:after="0" w:line="240" w:lineRule="auto"/>
      </w:pPr>
      <w:r>
        <w:separator/>
      </w:r>
    </w:p>
  </w:endnote>
  <w:endnote w:type="continuationSeparator" w:id="0">
    <w:p w14:paraId="15E9FDB9" w14:textId="77777777" w:rsidR="00FE457A" w:rsidRDefault="00FE457A" w:rsidP="004A1847">
      <w:pPr>
        <w:spacing w:after="0" w:line="240" w:lineRule="auto"/>
      </w:pPr>
      <w:r>
        <w:continuationSeparator/>
      </w:r>
    </w:p>
  </w:endnote>
  <w:endnote w:type="continuationNotice" w:id="1">
    <w:p w14:paraId="34895C44" w14:textId="77777777" w:rsidR="00FE457A" w:rsidRDefault="00FE45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orbe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MT">
    <w:altName w:val="Arial"/>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9F88B" w14:textId="77777777" w:rsidR="00FE457A" w:rsidRDefault="00FE457A" w:rsidP="004A1847">
      <w:pPr>
        <w:spacing w:after="0" w:line="240" w:lineRule="auto"/>
      </w:pPr>
      <w:r>
        <w:separator/>
      </w:r>
    </w:p>
  </w:footnote>
  <w:footnote w:type="continuationSeparator" w:id="0">
    <w:p w14:paraId="501B287E" w14:textId="77777777" w:rsidR="00FE457A" w:rsidRDefault="00FE457A" w:rsidP="004A1847">
      <w:pPr>
        <w:spacing w:after="0" w:line="240" w:lineRule="auto"/>
      </w:pPr>
      <w:r>
        <w:continuationSeparator/>
      </w:r>
    </w:p>
  </w:footnote>
  <w:footnote w:type="continuationNotice" w:id="1">
    <w:p w14:paraId="7405BE30" w14:textId="77777777" w:rsidR="00FE457A" w:rsidRDefault="00FE457A">
      <w:pPr>
        <w:spacing w:after="0" w:line="240" w:lineRule="auto"/>
      </w:pPr>
    </w:p>
  </w:footnote>
  <w:footnote w:id="2">
    <w:p w14:paraId="2304473D" w14:textId="77777777" w:rsidR="002F6426" w:rsidRDefault="002F6426" w:rsidP="002F6426">
      <w:pPr>
        <w:pStyle w:val="Textonotapie"/>
        <w:ind w:firstLine="708"/>
        <w:jc w:val="both"/>
        <w:rPr>
          <w:rFonts w:ascii="Verdana" w:hAnsi="Verdana"/>
          <w:sz w:val="16"/>
          <w:szCs w:val="16"/>
        </w:rPr>
      </w:pPr>
      <w:r w:rsidRPr="00C06435">
        <w:rPr>
          <w:rStyle w:val="Refdenotaalpie"/>
          <w:rFonts w:ascii="Verdana" w:hAnsi="Verdana"/>
          <w:sz w:val="16"/>
          <w:szCs w:val="16"/>
        </w:rPr>
        <w:footnoteRef/>
      </w:r>
      <w:r w:rsidRPr="00C06435">
        <w:rPr>
          <w:rFonts w:ascii="Verdana" w:hAnsi="Verdana"/>
          <w:sz w:val="16"/>
          <w:szCs w:val="16"/>
        </w:rPr>
        <w:t xml:space="preserve"> Consejo</w:t>
      </w:r>
      <w:r w:rsidRPr="00C06435">
        <w:rPr>
          <w:rFonts w:ascii="Verdana" w:hAnsi="Verdana"/>
          <w:spacing w:val="-5"/>
          <w:sz w:val="16"/>
          <w:szCs w:val="16"/>
        </w:rPr>
        <w:t xml:space="preserve"> </w:t>
      </w:r>
      <w:r w:rsidRPr="00C06435">
        <w:rPr>
          <w:rFonts w:ascii="Verdana" w:hAnsi="Verdana"/>
          <w:sz w:val="16"/>
          <w:szCs w:val="16"/>
        </w:rPr>
        <w:t>de</w:t>
      </w:r>
      <w:r w:rsidRPr="00C06435">
        <w:rPr>
          <w:rFonts w:ascii="Verdana" w:hAnsi="Verdana"/>
          <w:spacing w:val="-4"/>
          <w:sz w:val="16"/>
          <w:szCs w:val="16"/>
        </w:rPr>
        <w:t xml:space="preserve"> </w:t>
      </w:r>
      <w:r w:rsidRPr="00C06435">
        <w:rPr>
          <w:rFonts w:ascii="Verdana" w:hAnsi="Verdana"/>
          <w:sz w:val="16"/>
          <w:szCs w:val="16"/>
        </w:rPr>
        <w:t>Estado.</w:t>
      </w:r>
      <w:r w:rsidRPr="00C06435">
        <w:rPr>
          <w:rFonts w:ascii="Verdana" w:hAnsi="Verdana"/>
          <w:spacing w:val="-5"/>
          <w:sz w:val="16"/>
          <w:szCs w:val="16"/>
        </w:rPr>
        <w:t xml:space="preserve"> </w:t>
      </w:r>
      <w:r w:rsidRPr="00C06435">
        <w:rPr>
          <w:rFonts w:ascii="Verdana" w:hAnsi="Verdana"/>
          <w:sz w:val="16"/>
          <w:szCs w:val="16"/>
        </w:rPr>
        <w:t>Sentencia</w:t>
      </w:r>
      <w:r w:rsidRPr="00C06435">
        <w:rPr>
          <w:rFonts w:ascii="Verdana" w:hAnsi="Verdana"/>
          <w:spacing w:val="-5"/>
          <w:sz w:val="16"/>
          <w:szCs w:val="16"/>
        </w:rPr>
        <w:t xml:space="preserve"> </w:t>
      </w:r>
      <w:r w:rsidRPr="00C06435">
        <w:rPr>
          <w:rFonts w:ascii="Verdana" w:hAnsi="Verdana"/>
          <w:sz w:val="16"/>
          <w:szCs w:val="16"/>
        </w:rPr>
        <w:t>del</w:t>
      </w:r>
      <w:r w:rsidRPr="00C06435">
        <w:rPr>
          <w:rFonts w:ascii="Verdana" w:hAnsi="Verdana"/>
          <w:spacing w:val="-4"/>
          <w:sz w:val="16"/>
          <w:szCs w:val="16"/>
        </w:rPr>
        <w:t xml:space="preserve"> </w:t>
      </w:r>
      <w:r w:rsidRPr="00C06435">
        <w:rPr>
          <w:rFonts w:ascii="Verdana" w:hAnsi="Verdana"/>
          <w:sz w:val="16"/>
          <w:szCs w:val="16"/>
        </w:rPr>
        <w:t>10</w:t>
      </w:r>
      <w:r w:rsidRPr="00C06435">
        <w:rPr>
          <w:rFonts w:ascii="Verdana" w:hAnsi="Verdana"/>
          <w:spacing w:val="-5"/>
          <w:sz w:val="16"/>
          <w:szCs w:val="16"/>
        </w:rPr>
        <w:t xml:space="preserve"> </w:t>
      </w:r>
      <w:r w:rsidRPr="00C06435">
        <w:rPr>
          <w:rFonts w:ascii="Verdana" w:hAnsi="Verdana"/>
          <w:sz w:val="16"/>
          <w:szCs w:val="16"/>
        </w:rPr>
        <w:t>de</w:t>
      </w:r>
      <w:r w:rsidRPr="00C06435">
        <w:rPr>
          <w:rFonts w:ascii="Verdana" w:hAnsi="Verdana"/>
          <w:spacing w:val="-5"/>
          <w:sz w:val="16"/>
          <w:szCs w:val="16"/>
        </w:rPr>
        <w:t xml:space="preserve"> </w:t>
      </w:r>
      <w:r w:rsidRPr="00C06435">
        <w:rPr>
          <w:rFonts w:ascii="Verdana" w:hAnsi="Verdana"/>
          <w:sz w:val="16"/>
          <w:szCs w:val="16"/>
        </w:rPr>
        <w:t>febrero</w:t>
      </w:r>
      <w:r w:rsidRPr="00C06435">
        <w:rPr>
          <w:rFonts w:ascii="Verdana" w:hAnsi="Verdana"/>
          <w:spacing w:val="-4"/>
          <w:sz w:val="16"/>
          <w:szCs w:val="16"/>
        </w:rPr>
        <w:t xml:space="preserve"> </w:t>
      </w:r>
      <w:r w:rsidRPr="00C06435">
        <w:rPr>
          <w:rFonts w:ascii="Verdana" w:hAnsi="Verdana"/>
          <w:sz w:val="16"/>
          <w:szCs w:val="16"/>
        </w:rPr>
        <w:t>de</w:t>
      </w:r>
      <w:r w:rsidRPr="00C06435">
        <w:rPr>
          <w:rFonts w:ascii="Verdana" w:hAnsi="Verdana"/>
          <w:spacing w:val="-5"/>
          <w:sz w:val="16"/>
          <w:szCs w:val="16"/>
        </w:rPr>
        <w:t xml:space="preserve"> </w:t>
      </w:r>
      <w:r w:rsidRPr="00C06435">
        <w:rPr>
          <w:rFonts w:ascii="Verdana" w:hAnsi="Verdana"/>
          <w:sz w:val="16"/>
          <w:szCs w:val="16"/>
        </w:rPr>
        <w:t>2022.</w:t>
      </w:r>
      <w:r w:rsidRPr="00C06435">
        <w:rPr>
          <w:rFonts w:ascii="Verdana" w:hAnsi="Verdana"/>
          <w:spacing w:val="-4"/>
          <w:sz w:val="16"/>
          <w:szCs w:val="16"/>
        </w:rPr>
        <w:t xml:space="preserve"> </w:t>
      </w:r>
      <w:r w:rsidRPr="00C06435">
        <w:rPr>
          <w:rFonts w:ascii="Verdana" w:hAnsi="Verdana"/>
          <w:sz w:val="16"/>
          <w:szCs w:val="16"/>
        </w:rPr>
        <w:t>MP:</w:t>
      </w:r>
      <w:r w:rsidRPr="00C06435">
        <w:rPr>
          <w:rFonts w:ascii="Verdana" w:hAnsi="Verdana"/>
          <w:spacing w:val="-5"/>
          <w:sz w:val="16"/>
          <w:szCs w:val="16"/>
        </w:rPr>
        <w:t xml:space="preserve"> </w:t>
      </w:r>
      <w:r w:rsidRPr="00C06435">
        <w:rPr>
          <w:rFonts w:ascii="Verdana" w:hAnsi="Verdana"/>
          <w:sz w:val="16"/>
          <w:szCs w:val="16"/>
        </w:rPr>
        <w:t>César</w:t>
      </w:r>
      <w:r w:rsidRPr="00C06435">
        <w:rPr>
          <w:rFonts w:ascii="Verdana" w:hAnsi="Verdana"/>
          <w:spacing w:val="-5"/>
          <w:sz w:val="16"/>
          <w:szCs w:val="16"/>
        </w:rPr>
        <w:t xml:space="preserve"> </w:t>
      </w:r>
      <w:r w:rsidRPr="00C06435">
        <w:rPr>
          <w:rFonts w:ascii="Verdana" w:hAnsi="Verdana"/>
          <w:sz w:val="16"/>
          <w:szCs w:val="16"/>
        </w:rPr>
        <w:t>Palomino</w:t>
      </w:r>
      <w:r w:rsidRPr="00C06435">
        <w:rPr>
          <w:rFonts w:ascii="Verdana" w:hAnsi="Verdana"/>
          <w:spacing w:val="-4"/>
          <w:sz w:val="16"/>
          <w:szCs w:val="16"/>
        </w:rPr>
        <w:t xml:space="preserve"> </w:t>
      </w:r>
      <w:r w:rsidRPr="00C06435">
        <w:rPr>
          <w:rFonts w:ascii="Verdana" w:hAnsi="Verdana"/>
          <w:sz w:val="16"/>
          <w:szCs w:val="16"/>
        </w:rPr>
        <w:t>Cortés.</w:t>
      </w:r>
    </w:p>
    <w:p w14:paraId="762DC566" w14:textId="77777777" w:rsidR="002F6426" w:rsidRPr="00C06435" w:rsidRDefault="002F6426" w:rsidP="002F6426">
      <w:pPr>
        <w:pStyle w:val="Textonotapie"/>
        <w:ind w:firstLine="708"/>
        <w:jc w:val="both"/>
        <w:rPr>
          <w:rFonts w:ascii="Verdana" w:hAnsi="Verdana"/>
          <w:sz w:val="16"/>
          <w:szCs w:val="16"/>
          <w:lang w:val="es-CO"/>
        </w:rPr>
      </w:pPr>
    </w:p>
  </w:footnote>
  <w:footnote w:id="3">
    <w:p w14:paraId="54FADCE1" w14:textId="77777777" w:rsidR="002F6426" w:rsidRPr="00E931C6" w:rsidRDefault="002F6426" w:rsidP="002F6426">
      <w:pPr>
        <w:pStyle w:val="Textonotapie"/>
        <w:ind w:firstLine="708"/>
        <w:jc w:val="both"/>
        <w:rPr>
          <w:rFonts w:ascii="Verdana" w:hAnsi="Verdana"/>
          <w:sz w:val="16"/>
          <w:szCs w:val="16"/>
          <w:lang w:val="es-CO"/>
        </w:rPr>
      </w:pPr>
      <w:r w:rsidRPr="00E931C6">
        <w:rPr>
          <w:rStyle w:val="Refdenotaalpie"/>
          <w:rFonts w:ascii="Verdana" w:hAnsi="Verdana"/>
          <w:sz w:val="16"/>
          <w:szCs w:val="16"/>
        </w:rPr>
        <w:footnoteRef/>
      </w:r>
      <w:r w:rsidRPr="00E931C6">
        <w:rPr>
          <w:rFonts w:ascii="Verdana" w:hAnsi="Verdana"/>
          <w:sz w:val="16"/>
          <w:szCs w:val="16"/>
        </w:rPr>
        <w:t xml:space="preserve"> De acuerdo con la jurisprudencia, el fraccionamiento “[…] se configura, cuando la </w:t>
      </w:r>
      <w:proofErr w:type="spellStart"/>
      <w:r w:rsidRPr="00E931C6">
        <w:rPr>
          <w:rFonts w:ascii="Verdana" w:hAnsi="Verdana"/>
          <w:sz w:val="16"/>
          <w:szCs w:val="16"/>
        </w:rPr>
        <w:t>administración</w:t>
      </w:r>
      <w:proofErr w:type="spellEnd"/>
      <w:r w:rsidRPr="00E931C6">
        <w:rPr>
          <w:rFonts w:ascii="Verdana" w:hAnsi="Verdana"/>
          <w:sz w:val="16"/>
          <w:szCs w:val="16"/>
        </w:rPr>
        <w:t xml:space="preserve"> de manera artificiosa divide la unidad natural del objeto contractual, a fin de seleccionar directamente al contratista cuando </w:t>
      </w:r>
      <w:proofErr w:type="spellStart"/>
      <w:r w:rsidRPr="00E931C6">
        <w:rPr>
          <w:rFonts w:ascii="Verdana" w:hAnsi="Verdana"/>
          <w:sz w:val="16"/>
          <w:szCs w:val="16"/>
        </w:rPr>
        <w:t>debía</w:t>
      </w:r>
      <w:proofErr w:type="spellEnd"/>
      <w:r w:rsidRPr="00E931C6">
        <w:rPr>
          <w:rFonts w:ascii="Verdana" w:hAnsi="Verdana"/>
          <w:sz w:val="16"/>
          <w:szCs w:val="16"/>
        </w:rPr>
        <w:t xml:space="preserve"> convocar un proceso de </w:t>
      </w:r>
      <w:proofErr w:type="spellStart"/>
      <w:r w:rsidRPr="00E931C6">
        <w:rPr>
          <w:rFonts w:ascii="Verdana" w:hAnsi="Verdana"/>
          <w:sz w:val="16"/>
          <w:szCs w:val="16"/>
        </w:rPr>
        <w:t>licitación</w:t>
      </w:r>
      <w:proofErr w:type="spellEnd"/>
      <w:r w:rsidRPr="00E931C6">
        <w:rPr>
          <w:rFonts w:ascii="Verdana" w:hAnsi="Verdana"/>
          <w:sz w:val="16"/>
          <w:szCs w:val="16"/>
        </w:rPr>
        <w:t xml:space="preserve">, o para acomodarlo a un proceso menos estricto y riguroso de </w:t>
      </w:r>
      <w:proofErr w:type="spellStart"/>
      <w:r w:rsidRPr="00E931C6">
        <w:rPr>
          <w:rFonts w:ascii="Verdana" w:hAnsi="Verdana"/>
          <w:sz w:val="16"/>
          <w:szCs w:val="16"/>
        </w:rPr>
        <w:t>contratación</w:t>
      </w:r>
      <w:proofErr w:type="spellEnd"/>
      <w:r w:rsidRPr="00E931C6">
        <w:rPr>
          <w:rFonts w:ascii="Verdana" w:hAnsi="Verdana"/>
          <w:sz w:val="16"/>
          <w:szCs w:val="16"/>
        </w:rPr>
        <w:t xml:space="preserve"> en defecto del que se </w:t>
      </w:r>
      <w:proofErr w:type="spellStart"/>
      <w:r w:rsidRPr="00E931C6">
        <w:rPr>
          <w:rFonts w:ascii="Verdana" w:hAnsi="Verdana"/>
          <w:sz w:val="16"/>
          <w:szCs w:val="16"/>
        </w:rPr>
        <w:t>imponía</w:t>
      </w:r>
      <w:proofErr w:type="spellEnd"/>
      <w:r w:rsidRPr="00E931C6">
        <w:rPr>
          <w:rFonts w:ascii="Verdana" w:hAnsi="Verdana"/>
          <w:sz w:val="16"/>
          <w:szCs w:val="16"/>
        </w:rPr>
        <w:t xml:space="preserve"> seguir atendidos su objeto y </w:t>
      </w:r>
      <w:proofErr w:type="spellStart"/>
      <w:r w:rsidRPr="00E931C6">
        <w:rPr>
          <w:rFonts w:ascii="Verdana" w:hAnsi="Verdana"/>
          <w:sz w:val="16"/>
          <w:szCs w:val="16"/>
        </w:rPr>
        <w:t>cuantía</w:t>
      </w:r>
      <w:proofErr w:type="spellEnd"/>
      <w:r w:rsidRPr="00E931C6">
        <w:rPr>
          <w:rFonts w:ascii="Verdana" w:hAnsi="Verdana"/>
          <w:sz w:val="16"/>
          <w:szCs w:val="16"/>
        </w:rPr>
        <w:t xml:space="preserve">, </w:t>
      </w:r>
      <w:proofErr w:type="spellStart"/>
      <w:r w:rsidRPr="00E931C6">
        <w:rPr>
          <w:rFonts w:ascii="Verdana" w:hAnsi="Verdana"/>
          <w:sz w:val="16"/>
          <w:szCs w:val="16"/>
        </w:rPr>
        <w:t>práctica</w:t>
      </w:r>
      <w:proofErr w:type="spellEnd"/>
      <w:r w:rsidRPr="00E931C6">
        <w:rPr>
          <w:rFonts w:ascii="Verdana" w:hAnsi="Verdana"/>
          <w:sz w:val="16"/>
          <w:szCs w:val="16"/>
        </w:rPr>
        <w:t xml:space="preserve"> que </w:t>
      </w:r>
      <w:proofErr w:type="spellStart"/>
      <w:r w:rsidRPr="00E931C6">
        <w:rPr>
          <w:rFonts w:ascii="Verdana" w:hAnsi="Verdana"/>
          <w:sz w:val="16"/>
          <w:szCs w:val="16"/>
        </w:rPr>
        <w:t>riñe</w:t>
      </w:r>
      <w:proofErr w:type="spellEnd"/>
      <w:r w:rsidRPr="00E931C6">
        <w:rPr>
          <w:rFonts w:ascii="Verdana" w:hAnsi="Verdana"/>
          <w:sz w:val="16"/>
          <w:szCs w:val="16"/>
        </w:rPr>
        <w:t xml:space="preserve"> con las normas que rigen la </w:t>
      </w:r>
      <w:proofErr w:type="spellStart"/>
      <w:r w:rsidRPr="00E931C6">
        <w:rPr>
          <w:rFonts w:ascii="Verdana" w:hAnsi="Verdana"/>
          <w:sz w:val="16"/>
          <w:szCs w:val="16"/>
        </w:rPr>
        <w:t>contratación</w:t>
      </w:r>
      <w:proofErr w:type="spellEnd"/>
      <w:r w:rsidRPr="00E931C6">
        <w:rPr>
          <w:rFonts w:ascii="Verdana" w:hAnsi="Verdana"/>
          <w:sz w:val="16"/>
          <w:szCs w:val="16"/>
        </w:rPr>
        <w:t xml:space="preserve"> estatal, particularmente con los principios de transparencia y de </w:t>
      </w:r>
      <w:proofErr w:type="spellStart"/>
      <w:r w:rsidRPr="00E931C6">
        <w:rPr>
          <w:rFonts w:ascii="Verdana" w:hAnsi="Verdana"/>
          <w:sz w:val="16"/>
          <w:szCs w:val="16"/>
        </w:rPr>
        <w:t>selección</w:t>
      </w:r>
      <w:proofErr w:type="spellEnd"/>
      <w:r w:rsidRPr="00E931C6">
        <w:rPr>
          <w:rFonts w:ascii="Verdana" w:hAnsi="Verdana"/>
          <w:sz w:val="16"/>
          <w:szCs w:val="16"/>
        </w:rPr>
        <w:t xml:space="preserve"> objetiva” (CORTE SUPREMA DE JUSTICIA. Sala Especial de Primera Instancia. Sentencia del 17 de marzo de 2022. Rad. 00267. M.P. Ariel Augusto Torres Rojas).  </w:t>
      </w:r>
    </w:p>
  </w:footnote>
  <w:footnote w:id="4">
    <w:p w14:paraId="36F88346" w14:textId="77777777" w:rsidR="002F6426" w:rsidRPr="00E931C6" w:rsidRDefault="002F6426" w:rsidP="002F6426">
      <w:pPr>
        <w:pStyle w:val="Textonotapie"/>
        <w:ind w:firstLine="708"/>
        <w:jc w:val="both"/>
        <w:rPr>
          <w:rFonts w:ascii="Verdana" w:hAnsi="Verdana"/>
          <w:sz w:val="16"/>
          <w:szCs w:val="16"/>
          <w:lang w:val="es-CO"/>
        </w:rPr>
      </w:pPr>
      <w:r w:rsidRPr="00E931C6">
        <w:rPr>
          <w:rStyle w:val="Refdenotaalpie"/>
          <w:rFonts w:ascii="Verdana" w:hAnsi="Verdana"/>
          <w:sz w:val="16"/>
          <w:szCs w:val="16"/>
        </w:rPr>
        <w:footnoteRef/>
      </w:r>
      <w:r w:rsidRPr="00E931C6">
        <w:rPr>
          <w:rFonts w:ascii="Verdana" w:hAnsi="Verdana"/>
          <w:sz w:val="16"/>
          <w:szCs w:val="16"/>
        </w:rPr>
        <w:t xml:space="preserve"> Cfr. CORTE SUPREMA DE JUSTICIA. Sala Especial de Primera Instancia. Sentencia del 23 de marzo de 2006. Rad. 21780. M.P. Edgar Lombana Trujillo.</w:t>
      </w:r>
    </w:p>
  </w:footnote>
  <w:footnote w:id="5">
    <w:p w14:paraId="462F2764" w14:textId="77777777" w:rsidR="00467990" w:rsidRPr="005D0607" w:rsidRDefault="00467990" w:rsidP="00467990">
      <w:pPr>
        <w:pStyle w:val="NormalWeb"/>
        <w:shd w:val="clear" w:color="auto" w:fill="FFFFFF"/>
        <w:spacing w:before="0" w:beforeAutospacing="0" w:after="0" w:afterAutospacing="0"/>
        <w:ind w:firstLine="709"/>
        <w:jc w:val="both"/>
        <w:rPr>
          <w:rFonts w:ascii="Verdana" w:eastAsia="Calibri" w:hAnsi="Verdana" w:cs="Arial"/>
          <w:sz w:val="16"/>
          <w:szCs w:val="16"/>
          <w:lang w:val="es-ES_tradnl" w:eastAsia="es-ES_tradnl"/>
        </w:rPr>
      </w:pPr>
      <w:r w:rsidRPr="005D0607">
        <w:rPr>
          <w:rStyle w:val="Refdenotaalpie"/>
          <w:rFonts w:ascii="Verdana" w:hAnsi="Verdana" w:cs="Arial"/>
          <w:sz w:val="16"/>
          <w:szCs w:val="16"/>
        </w:rPr>
        <w:footnoteRef/>
      </w:r>
      <w:r w:rsidRPr="005D0607">
        <w:rPr>
          <w:rFonts w:ascii="Verdana" w:hAnsi="Verdana" w:cs="Arial"/>
          <w:sz w:val="16"/>
          <w:szCs w:val="16"/>
        </w:rPr>
        <w:t xml:space="preserve"> </w:t>
      </w:r>
      <w:r w:rsidRPr="005D0607">
        <w:rPr>
          <w:rFonts w:ascii="Verdana" w:eastAsia="Calibri" w:hAnsi="Verdana" w:cs="Arial"/>
          <w:sz w:val="16"/>
          <w:szCs w:val="16"/>
          <w:lang w:val="es-ES_tradnl" w:eastAsia="es-ES_tradnl"/>
        </w:rPr>
        <w:t xml:space="preserve">El artículo 74 de la Ley 1474 prescribe: “A partir de la vigencia de la presente ley, todas las entidades del Estado a más tardar el 31 de enero de cada </w:t>
      </w:r>
      <w:proofErr w:type="gramStart"/>
      <w:r w:rsidRPr="005D0607">
        <w:rPr>
          <w:rFonts w:ascii="Verdana" w:eastAsia="Calibri" w:hAnsi="Verdana" w:cs="Arial"/>
          <w:sz w:val="16"/>
          <w:szCs w:val="16"/>
          <w:lang w:val="es-ES_tradnl" w:eastAsia="es-ES_tradnl"/>
        </w:rPr>
        <w:t>año,</w:t>
      </w:r>
      <w:proofErr w:type="gramEnd"/>
      <w:r w:rsidRPr="005D0607">
        <w:rPr>
          <w:rFonts w:ascii="Verdana" w:eastAsia="Calibri" w:hAnsi="Verdana" w:cs="Arial"/>
          <w:sz w:val="16"/>
          <w:szCs w:val="16"/>
          <w:lang w:val="es-ES_tradnl" w:eastAsia="es-ES_tradnl"/>
        </w:rPr>
        <w:t xml:space="preserve">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w:t>
      </w:r>
    </w:p>
    <w:p w14:paraId="1A06EEE3" w14:textId="77777777" w:rsidR="00467990" w:rsidRPr="005D0607" w:rsidRDefault="00467990" w:rsidP="00467990">
      <w:pPr>
        <w:pStyle w:val="NormalWeb"/>
        <w:shd w:val="clear" w:color="auto" w:fill="FFFFFF"/>
        <w:spacing w:before="0" w:beforeAutospacing="0" w:after="0" w:afterAutospacing="0"/>
        <w:ind w:firstLine="709"/>
        <w:jc w:val="both"/>
        <w:rPr>
          <w:rFonts w:ascii="Verdana" w:eastAsia="Calibri" w:hAnsi="Verdana" w:cs="Arial"/>
          <w:sz w:val="16"/>
          <w:szCs w:val="16"/>
          <w:lang w:val="es-ES_tradnl" w:eastAsia="es-ES_tradnl"/>
        </w:rPr>
      </w:pPr>
      <w:r w:rsidRPr="005D0607">
        <w:rPr>
          <w:rFonts w:ascii="Verdana" w:eastAsia="Calibri" w:hAnsi="Verdana" w:cs="Arial"/>
          <w:sz w:val="16"/>
          <w:szCs w:val="16"/>
          <w:lang w:val="es-ES_tradnl" w:eastAsia="es-ES_tradnl"/>
        </w:rPr>
        <w:t>A partir del año siguiente, el Plan de Acción deberá estar acompañado del informe de gestión del año inmediatamente anterior.</w:t>
      </w:r>
    </w:p>
    <w:p w14:paraId="17073FDA" w14:textId="77777777" w:rsidR="00467990" w:rsidRPr="005D0607" w:rsidRDefault="00467990" w:rsidP="00467990">
      <w:pPr>
        <w:pStyle w:val="NormalWeb"/>
        <w:shd w:val="clear" w:color="auto" w:fill="FFFFFF"/>
        <w:spacing w:before="0" w:beforeAutospacing="0" w:after="0" w:afterAutospacing="0"/>
        <w:ind w:firstLine="709"/>
        <w:jc w:val="both"/>
        <w:rPr>
          <w:rFonts w:ascii="Verdana" w:eastAsia="Calibri" w:hAnsi="Verdana" w:cs="Arial"/>
          <w:sz w:val="16"/>
          <w:szCs w:val="16"/>
          <w:lang w:val="es-ES_tradnl" w:eastAsia="es-ES_tradnl"/>
        </w:rPr>
      </w:pPr>
      <w:r w:rsidRPr="005D0607">
        <w:rPr>
          <w:rFonts w:ascii="Verdana" w:eastAsia="Calibri" w:hAnsi="Verdana" w:cs="Arial"/>
          <w:sz w:val="16"/>
          <w:szCs w:val="16"/>
          <w:lang w:val="es-ES_tradnl" w:eastAsia="es-ES_tradnl"/>
        </w:rPr>
        <w:t>Igualmente publicarán por dicho medio su presupuesto debidamente desagregado, así como las modificaciones a este o a su desagregación.</w:t>
      </w:r>
      <w:r w:rsidRPr="005D0607">
        <w:rPr>
          <w:rFonts w:ascii="Verdana" w:eastAsia="Calibri" w:hAnsi="Verdana" w:cs="Arial"/>
          <w:sz w:val="16"/>
          <w:szCs w:val="16"/>
          <w:lang w:val="es-ES_tradnl" w:eastAsia="es-ES_tradnl"/>
        </w:rPr>
        <w:tab/>
      </w:r>
    </w:p>
    <w:p w14:paraId="0C294951" w14:textId="77777777" w:rsidR="00467990" w:rsidRPr="005D0607" w:rsidRDefault="00467990" w:rsidP="00467990">
      <w:pPr>
        <w:pStyle w:val="NormalWeb"/>
        <w:shd w:val="clear" w:color="auto" w:fill="FFFFFF"/>
        <w:spacing w:before="0" w:beforeAutospacing="0" w:after="0" w:afterAutospacing="0"/>
        <w:ind w:firstLine="709"/>
        <w:jc w:val="both"/>
        <w:rPr>
          <w:rFonts w:ascii="Verdana" w:eastAsia="Calibri" w:hAnsi="Verdana" w:cs="Arial"/>
          <w:i/>
          <w:iCs/>
          <w:sz w:val="16"/>
          <w:szCs w:val="16"/>
          <w:lang w:val="es-ES_tradnl" w:eastAsia="es-ES_tradnl"/>
        </w:rPr>
      </w:pPr>
      <w:proofErr w:type="gramStart"/>
      <w:r w:rsidRPr="005D0607">
        <w:rPr>
          <w:rFonts w:ascii="Verdana" w:eastAsia="Calibri" w:hAnsi="Verdana" w:cs="Arial"/>
          <w:sz w:val="16"/>
          <w:szCs w:val="16"/>
          <w:lang w:val="es-ES_tradnl" w:eastAsia="es-ES_tradnl"/>
        </w:rPr>
        <w:t>»Parágrafo</w:t>
      </w:r>
      <w:proofErr w:type="gramEnd"/>
      <w:r w:rsidRPr="005D0607">
        <w:rPr>
          <w:rFonts w:ascii="Verdana" w:eastAsia="Calibri" w:hAnsi="Verdana" w:cs="Arial"/>
          <w:sz w:val="16"/>
          <w:szCs w:val="16"/>
          <w:lang w:val="es-ES_tradnl" w:eastAsia="es-ES_tradnl"/>
        </w:rPr>
        <w:t>. Las empresas industriales y comerciales del Estado y las Sociedades de Economía Mixta estarán exentas de publicar la información relacionada con sus proyectos de inversión”.</w:t>
      </w:r>
    </w:p>
  </w:footnote>
  <w:footnote w:id="6">
    <w:p w14:paraId="26EE67F8" w14:textId="77777777" w:rsidR="00467990" w:rsidRPr="005D0607" w:rsidRDefault="00467990" w:rsidP="00467990">
      <w:pPr>
        <w:pStyle w:val="NormalWeb"/>
        <w:shd w:val="clear" w:color="auto" w:fill="FFFFFF"/>
        <w:spacing w:before="0" w:beforeAutospacing="0" w:after="0" w:afterAutospacing="0"/>
        <w:ind w:firstLine="709"/>
        <w:jc w:val="both"/>
        <w:rPr>
          <w:rFonts w:ascii="Verdana" w:eastAsia="Calibri" w:hAnsi="Verdana" w:cs="Arial"/>
          <w:i/>
          <w:iCs/>
          <w:sz w:val="16"/>
          <w:szCs w:val="16"/>
          <w:lang w:val="es-ES_tradnl" w:eastAsia="es-ES_tradnl"/>
        </w:rPr>
      </w:pPr>
    </w:p>
    <w:p w14:paraId="231749C5" w14:textId="77777777" w:rsidR="00467990" w:rsidRPr="005D0607" w:rsidRDefault="00467990" w:rsidP="00467990">
      <w:pPr>
        <w:pStyle w:val="NormalWeb"/>
        <w:shd w:val="clear" w:color="auto" w:fill="FFFFFF"/>
        <w:spacing w:before="0" w:beforeAutospacing="0" w:after="0" w:afterAutospacing="0"/>
        <w:ind w:firstLine="709"/>
        <w:jc w:val="both"/>
        <w:rPr>
          <w:rFonts w:ascii="Verdana" w:eastAsia="Calibri" w:hAnsi="Verdana" w:cs="Arial"/>
          <w:sz w:val="16"/>
          <w:szCs w:val="16"/>
          <w:lang w:val="es-ES_tradnl" w:eastAsia="es-ES_tradnl"/>
        </w:rPr>
      </w:pPr>
      <w:r w:rsidRPr="005D0607">
        <w:rPr>
          <w:rFonts w:ascii="Verdana" w:eastAsia="Calibri" w:hAnsi="Verdana" w:cs="Arial"/>
          <w:i/>
          <w:iCs/>
          <w:sz w:val="16"/>
          <w:szCs w:val="16"/>
          <w:vertAlign w:val="superscript"/>
          <w:lang w:val="es-ES_tradnl" w:eastAsia="es-ES_tradnl"/>
        </w:rPr>
        <w:footnoteRef/>
      </w:r>
      <w:r w:rsidRPr="005D0607">
        <w:rPr>
          <w:rFonts w:ascii="Verdana" w:eastAsia="Calibri" w:hAnsi="Verdana" w:cs="Arial"/>
          <w:i/>
          <w:iCs/>
          <w:sz w:val="16"/>
          <w:szCs w:val="16"/>
          <w:lang w:val="es-ES_tradnl" w:eastAsia="es-ES_tradnl"/>
        </w:rPr>
        <w:t xml:space="preserve"> </w:t>
      </w:r>
      <w:r w:rsidRPr="005D0607">
        <w:rPr>
          <w:rFonts w:ascii="Verdana" w:eastAsia="Calibri" w:hAnsi="Verdana" w:cs="Arial"/>
          <w:sz w:val="16"/>
          <w:szCs w:val="16"/>
          <w:lang w:val="es-ES_tradnl" w:eastAsia="es-ES_tradnl"/>
        </w:rPr>
        <w:t>“Artículo 2.2.1.1.1.3.1.</w:t>
      </w:r>
      <w:r w:rsidRPr="005D0607">
        <w:rPr>
          <w:rFonts w:ascii="Verdana" w:eastAsia="Calibri" w:hAnsi="Verdana" w:cs="Arial"/>
          <w:b/>
          <w:bCs/>
          <w:sz w:val="16"/>
          <w:szCs w:val="16"/>
          <w:lang w:val="es-ES_tradnl" w:eastAsia="es-ES_tradnl"/>
        </w:rPr>
        <w:t> </w:t>
      </w:r>
      <w:r w:rsidRPr="005D0607">
        <w:rPr>
          <w:rFonts w:ascii="Verdana" w:eastAsia="Calibri" w:hAnsi="Verdana" w:cs="Arial"/>
          <w:sz w:val="16"/>
          <w:szCs w:val="16"/>
          <w:lang w:val="es-ES_tradnl" w:eastAsia="es-ES_tradnl"/>
        </w:rPr>
        <w:t>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4F75D8A4" w14:textId="77777777" w:rsidR="00467990" w:rsidRPr="005D0607" w:rsidRDefault="00467990" w:rsidP="00467990">
      <w:pPr>
        <w:pStyle w:val="NormalWeb"/>
        <w:shd w:val="clear" w:color="auto" w:fill="FFFFFF"/>
        <w:spacing w:before="0" w:beforeAutospacing="0" w:after="0" w:afterAutospacing="0"/>
        <w:ind w:firstLine="709"/>
        <w:jc w:val="both"/>
        <w:rPr>
          <w:rFonts w:ascii="Verdana" w:eastAsia="Calibri" w:hAnsi="Verdana" w:cs="Arial"/>
          <w:sz w:val="16"/>
          <w:szCs w:val="16"/>
          <w:lang w:val="es-ES_tradnl" w:eastAsia="es-ES_tradnl"/>
        </w:rPr>
      </w:pPr>
      <w:r w:rsidRPr="005D0607">
        <w:rPr>
          <w:rFonts w:ascii="Verdana" w:eastAsia="Calibri" w:hAnsi="Verdana" w:cs="Arial"/>
          <w:sz w:val="16"/>
          <w:szCs w:val="16"/>
          <w:lang w:val="es-ES_tradnl" w:eastAsia="es-ES_tradnl"/>
        </w:rPr>
        <w:t>[…]</w:t>
      </w:r>
    </w:p>
    <w:p w14:paraId="7704EFC1" w14:textId="77777777" w:rsidR="00467990" w:rsidRPr="005D0607" w:rsidRDefault="00467990" w:rsidP="00467990">
      <w:pPr>
        <w:pStyle w:val="NormalWeb"/>
        <w:shd w:val="clear" w:color="auto" w:fill="FFFFFF"/>
        <w:spacing w:before="0" w:beforeAutospacing="0" w:after="0" w:afterAutospacing="0"/>
        <w:ind w:firstLine="709"/>
        <w:jc w:val="both"/>
        <w:rPr>
          <w:rFonts w:ascii="Verdana" w:hAnsi="Verdana" w:cs="Arial"/>
          <w:color w:val="000000" w:themeColor="text1"/>
          <w:sz w:val="16"/>
          <w:szCs w:val="16"/>
        </w:rPr>
      </w:pPr>
      <w:r w:rsidRPr="005D0607">
        <w:rPr>
          <w:rFonts w:ascii="Verdana" w:eastAsia="Calibri" w:hAnsi="Verdana" w:cs="Arial"/>
          <w:sz w:val="16"/>
          <w:szCs w:val="16"/>
          <w:lang w:val="es-ES_tradnl" w:eastAsia="es-ES_tradnl"/>
        </w:rPr>
        <w:t>Plan Anual de Adquisiciones: Plan general de compras al que se refiere el </w:t>
      </w:r>
      <w:hyperlink r:id="rId1" w:history="1">
        <w:r w:rsidRPr="005D0607">
          <w:rPr>
            <w:rFonts w:ascii="Verdana" w:eastAsia="Calibri" w:hAnsi="Verdana" w:cs="Arial"/>
            <w:sz w:val="16"/>
            <w:szCs w:val="16"/>
            <w:lang w:val="es-ES_tradnl" w:eastAsia="es-ES_tradnl"/>
          </w:rPr>
          <w:t>artículo 74 de la Ley 1474 de 2011</w:t>
        </w:r>
      </w:hyperlink>
      <w:r w:rsidRPr="005D0607">
        <w:rPr>
          <w:rFonts w:ascii="Verdana" w:eastAsia="Calibri" w:hAnsi="Verdana" w:cs="Arial"/>
          <w:sz w:val="16"/>
          <w:szCs w:val="16"/>
          <w:lang w:val="es-ES_tradnl" w:eastAsia="es-ES_tradnl"/>
        </w:rPr>
        <w:t> y el plan de compras al que se refiere la Ley Anual de Presupuesto. Es un instrumento de planeación contractual que las Entidades Estatales deben diligenciar, publicar y actualizar en los términos del presente título”.</w:t>
      </w:r>
    </w:p>
  </w:footnote>
  <w:footnote w:id="7">
    <w:p w14:paraId="136EB9B3" w14:textId="77777777" w:rsidR="00467990" w:rsidRPr="005D0607" w:rsidRDefault="00467990" w:rsidP="00467990">
      <w:pPr>
        <w:pStyle w:val="NormalWeb"/>
        <w:shd w:val="clear" w:color="auto" w:fill="FFFFFF"/>
        <w:spacing w:before="0" w:beforeAutospacing="0" w:after="0" w:afterAutospacing="0"/>
        <w:ind w:firstLine="709"/>
        <w:jc w:val="both"/>
        <w:rPr>
          <w:rFonts w:ascii="Verdana" w:hAnsi="Verdana" w:cs="Arial"/>
          <w:color w:val="000000" w:themeColor="text1"/>
          <w:sz w:val="16"/>
          <w:szCs w:val="16"/>
        </w:rPr>
      </w:pPr>
    </w:p>
    <w:p w14:paraId="19D6C1CD" w14:textId="77777777" w:rsidR="00467990" w:rsidRPr="005D0607" w:rsidRDefault="00467990" w:rsidP="00467990">
      <w:pPr>
        <w:pStyle w:val="NormalWeb"/>
        <w:shd w:val="clear" w:color="auto" w:fill="FFFFFF"/>
        <w:spacing w:before="0" w:beforeAutospacing="0" w:after="0" w:afterAutospacing="0"/>
        <w:ind w:firstLine="709"/>
        <w:jc w:val="both"/>
        <w:rPr>
          <w:rFonts w:ascii="Verdana" w:eastAsia="Calibri" w:hAnsi="Verdana" w:cs="Arial"/>
          <w:sz w:val="16"/>
          <w:szCs w:val="16"/>
          <w:lang w:val="es-ES_tradnl" w:eastAsia="es-ES_tradnl"/>
        </w:rPr>
      </w:pPr>
      <w:r w:rsidRPr="005D0607">
        <w:rPr>
          <w:rStyle w:val="Refdenotaalpie"/>
          <w:rFonts w:ascii="Verdana" w:hAnsi="Verdana" w:cs="Arial"/>
          <w:color w:val="000000" w:themeColor="text1"/>
          <w:sz w:val="16"/>
          <w:szCs w:val="16"/>
        </w:rPr>
        <w:footnoteRef/>
      </w:r>
      <w:r w:rsidRPr="005D0607">
        <w:rPr>
          <w:rFonts w:ascii="Verdana" w:hAnsi="Verdana" w:cs="Arial"/>
          <w:color w:val="000000" w:themeColor="text1"/>
          <w:sz w:val="16"/>
          <w:szCs w:val="16"/>
        </w:rPr>
        <w:t xml:space="preserve"> </w:t>
      </w:r>
      <w:r w:rsidRPr="005D0607">
        <w:rPr>
          <w:rFonts w:ascii="Verdana" w:hAnsi="Verdana" w:cs="Arial"/>
          <w:b/>
          <w:color w:val="000000" w:themeColor="text1"/>
          <w:sz w:val="16"/>
          <w:szCs w:val="16"/>
        </w:rPr>
        <w:t>“</w:t>
      </w:r>
      <w:r w:rsidRPr="005D0607">
        <w:rPr>
          <w:rFonts w:ascii="Verdana" w:eastAsia="Calibri" w:hAnsi="Verdana" w:cs="Arial"/>
          <w:sz w:val="16"/>
          <w:szCs w:val="16"/>
          <w:lang w:val="es-ES_tradnl" w:eastAsia="es-ES_tradnl"/>
        </w:rPr>
        <w:t>Todo sujeto obligado deberá publicar la siguiente información mínima obligatoria de manera proactiva en los sistemas de información del Estado o herramientas que lo sustituyan:</w:t>
      </w:r>
    </w:p>
    <w:p w14:paraId="5ED58AAC" w14:textId="77777777" w:rsidR="00467990" w:rsidRPr="005D0607" w:rsidRDefault="00467990" w:rsidP="00467990">
      <w:pPr>
        <w:pStyle w:val="NormalWeb"/>
        <w:shd w:val="clear" w:color="auto" w:fill="FFFFFF"/>
        <w:spacing w:before="0" w:beforeAutospacing="0" w:after="0" w:afterAutospacing="0"/>
        <w:ind w:firstLine="709"/>
        <w:jc w:val="both"/>
        <w:rPr>
          <w:rFonts w:ascii="Verdana" w:eastAsia="Calibri" w:hAnsi="Verdana" w:cs="Arial"/>
          <w:sz w:val="16"/>
          <w:szCs w:val="16"/>
          <w:lang w:val="es-ES_tradnl" w:eastAsia="es-ES_tradnl"/>
        </w:rPr>
      </w:pPr>
      <w:r w:rsidRPr="005D0607">
        <w:rPr>
          <w:rFonts w:ascii="Verdana" w:eastAsia="Calibri" w:hAnsi="Verdana" w:cs="Arial"/>
          <w:sz w:val="16"/>
          <w:szCs w:val="16"/>
          <w:lang w:val="es-ES_tradnl" w:eastAsia="es-ES_tradnl"/>
        </w:rPr>
        <w:t>[…]</w:t>
      </w:r>
    </w:p>
    <w:p w14:paraId="4135C0FA" w14:textId="77777777" w:rsidR="00467990" w:rsidRPr="005D0607" w:rsidRDefault="00467990" w:rsidP="00467990">
      <w:pPr>
        <w:pStyle w:val="NormalWeb"/>
        <w:shd w:val="clear" w:color="auto" w:fill="FFFFFF"/>
        <w:spacing w:before="0" w:beforeAutospacing="0" w:after="0" w:afterAutospacing="0"/>
        <w:ind w:firstLine="709"/>
        <w:jc w:val="both"/>
        <w:rPr>
          <w:rFonts w:ascii="Verdana" w:eastAsia="Calibri" w:hAnsi="Verdana" w:cs="Arial"/>
          <w:sz w:val="16"/>
          <w:szCs w:val="16"/>
          <w:lang w:val="es-ES_tradnl" w:eastAsia="es-ES_tradnl"/>
        </w:rPr>
      </w:pPr>
      <w:r w:rsidRPr="005D0607">
        <w:rPr>
          <w:rFonts w:ascii="Verdana" w:eastAsia="Calibri" w:hAnsi="Verdana" w:cs="Arial"/>
          <w:sz w:val="16"/>
          <w:szCs w:val="16"/>
          <w:lang w:val="es-ES_tradnl" w:eastAsia="es-ES_tradnl"/>
        </w:rPr>
        <w:t>e) Su respectivo plan de compras anual, así como las contrataciones adjudicadas para la correspondiente vigencia en lo relacionado con funcionamiento e inversión, las obras públicas, los bienes adquiridos, arrendados y en caso de los servicios de estudios o investigaciones deberá señalarse el tema específico, de conformidad con el artículo 74 de la Ley 1474 de 2011. En el caso de las personas naturales con contratos de prestación de servicios, deberá publicarse el objeto del contrato, monto de los honorarios y direcciones de correo electrónico, de conformidad con el formato de información de servidores públicos y contratistas […]”.</w:t>
      </w:r>
    </w:p>
    <w:p w14:paraId="4638FE27" w14:textId="77777777" w:rsidR="00467990" w:rsidRPr="005D0607" w:rsidRDefault="00467990" w:rsidP="00467990">
      <w:pPr>
        <w:pStyle w:val="NormalWeb"/>
        <w:shd w:val="clear" w:color="auto" w:fill="FFFFFF"/>
        <w:spacing w:before="0" w:beforeAutospacing="0" w:after="0" w:afterAutospacing="0"/>
        <w:ind w:firstLine="709"/>
        <w:jc w:val="both"/>
        <w:rPr>
          <w:rStyle w:val="nfasis"/>
          <w:rFonts w:ascii="Verdana" w:hAnsi="Verdana" w:cs="Arial"/>
          <w:color w:val="000000" w:themeColor="text1"/>
          <w:sz w:val="16"/>
          <w:szCs w:val="16"/>
        </w:rPr>
      </w:pPr>
    </w:p>
  </w:footnote>
  <w:footnote w:id="8">
    <w:p w14:paraId="137AF503" w14:textId="77777777" w:rsidR="00467990" w:rsidRPr="005D0607" w:rsidRDefault="00467990" w:rsidP="00467990">
      <w:pPr>
        <w:pStyle w:val="Textonotapie"/>
        <w:ind w:firstLine="708"/>
        <w:jc w:val="both"/>
        <w:rPr>
          <w:rFonts w:ascii="Verdana" w:eastAsia="Calibri" w:hAnsi="Verdana" w:cs="Arial"/>
          <w:sz w:val="16"/>
          <w:szCs w:val="16"/>
          <w:lang w:val="es-ES_tradnl" w:eastAsia="es-ES_tradnl"/>
        </w:rPr>
      </w:pPr>
      <w:r w:rsidRPr="005D0607">
        <w:rPr>
          <w:rStyle w:val="Refdenotaalpie"/>
          <w:rFonts w:ascii="Verdana" w:hAnsi="Verdana" w:cs="Arial"/>
          <w:sz w:val="16"/>
          <w:szCs w:val="16"/>
        </w:rPr>
        <w:footnoteRef/>
      </w:r>
      <w:r w:rsidRPr="005D0607">
        <w:rPr>
          <w:rFonts w:ascii="Verdana" w:hAnsi="Verdana" w:cs="Arial"/>
          <w:sz w:val="16"/>
          <w:szCs w:val="16"/>
        </w:rPr>
        <w:t xml:space="preserve"> </w:t>
      </w:r>
      <w:r w:rsidRPr="005D0607">
        <w:rPr>
          <w:rFonts w:ascii="Verdana" w:eastAsia="Calibri" w:hAnsi="Verdana" w:cs="Arial"/>
          <w:sz w:val="16"/>
          <w:szCs w:val="16"/>
          <w:lang w:val="es-ES_tradnl" w:eastAsia="es-ES_tradnl"/>
        </w:rPr>
        <w:t xml:space="preserve">Decreto 1082 de 2015: “Artículo 2.2.1.1.1.4.3. Publicación del Plan Anual de Adquisiciones. La Entidad Estatal debe publicar su Plan Anual de Adquisiciones y las actualizaciones </w:t>
      </w:r>
      <w:proofErr w:type="gramStart"/>
      <w:r w:rsidRPr="005D0607">
        <w:rPr>
          <w:rFonts w:ascii="Verdana" w:eastAsia="Calibri" w:hAnsi="Verdana" w:cs="Arial"/>
          <w:sz w:val="16"/>
          <w:szCs w:val="16"/>
          <w:lang w:val="es-ES_tradnl" w:eastAsia="es-ES_tradnl"/>
        </w:rPr>
        <w:t>del mismo</w:t>
      </w:r>
      <w:proofErr w:type="gramEnd"/>
      <w:r w:rsidRPr="005D0607">
        <w:rPr>
          <w:rFonts w:ascii="Verdana" w:eastAsia="Calibri" w:hAnsi="Verdana" w:cs="Arial"/>
          <w:sz w:val="16"/>
          <w:szCs w:val="16"/>
          <w:lang w:val="es-ES_tradnl" w:eastAsia="es-ES_tradnl"/>
        </w:rPr>
        <w:t xml:space="preserve"> en su página web y en el SECOP, en la forma que para el efecto disponga Colombia Compra Eficiente”. </w:t>
      </w:r>
    </w:p>
    <w:p w14:paraId="6F163B92" w14:textId="77777777" w:rsidR="00467990" w:rsidRPr="005D0607" w:rsidRDefault="00467990" w:rsidP="00467990">
      <w:pPr>
        <w:pStyle w:val="Textonotapie"/>
        <w:ind w:firstLine="708"/>
        <w:jc w:val="both"/>
        <w:rPr>
          <w:rFonts w:ascii="Verdana" w:hAnsi="Verdana" w:cs="Arial"/>
          <w:sz w:val="16"/>
          <w:szCs w:val="16"/>
        </w:rPr>
      </w:pPr>
    </w:p>
  </w:footnote>
  <w:footnote w:id="9">
    <w:p w14:paraId="42F834D1" w14:textId="77777777" w:rsidR="00467990" w:rsidRPr="005D0607" w:rsidRDefault="00467990" w:rsidP="00467990">
      <w:pPr>
        <w:pStyle w:val="NormalWeb"/>
        <w:shd w:val="clear" w:color="auto" w:fill="FFFFFF"/>
        <w:spacing w:before="0" w:beforeAutospacing="0" w:after="0" w:afterAutospacing="0"/>
        <w:ind w:firstLine="708"/>
        <w:jc w:val="both"/>
        <w:rPr>
          <w:rFonts w:ascii="Verdana" w:eastAsia="Calibri" w:hAnsi="Verdana" w:cs="Arial"/>
          <w:sz w:val="16"/>
          <w:szCs w:val="16"/>
          <w:lang w:val="es-ES_tradnl" w:eastAsia="es-ES_tradnl"/>
        </w:rPr>
      </w:pPr>
      <w:r w:rsidRPr="005D0607">
        <w:rPr>
          <w:rStyle w:val="Refdenotaalpie"/>
          <w:rFonts w:ascii="Verdana" w:hAnsi="Verdana" w:cs="Arial"/>
          <w:sz w:val="16"/>
          <w:szCs w:val="16"/>
        </w:rPr>
        <w:footnoteRef/>
      </w:r>
      <w:r w:rsidRPr="005D0607">
        <w:rPr>
          <w:rFonts w:ascii="Verdana" w:hAnsi="Verdana" w:cs="Arial"/>
          <w:sz w:val="16"/>
          <w:szCs w:val="16"/>
        </w:rPr>
        <w:t xml:space="preserve"> </w:t>
      </w:r>
      <w:r w:rsidRPr="005D0607">
        <w:rPr>
          <w:rFonts w:ascii="Verdana" w:eastAsia="Calibri" w:hAnsi="Verdana" w:cs="Arial"/>
          <w:sz w:val="16"/>
          <w:szCs w:val="16"/>
          <w:lang w:val="es-ES_tradnl" w:eastAsia="es-ES_tradnl"/>
        </w:rPr>
        <w:t>Decreto 1082 de 2015: “Artículo 2.2.1.1.1.4.4. Actualización del Plan Anual de Adquisiciones. La Entidad Estatal debe actualizar el Plan Anual de Adquisiciones por lo menos una vez durante su vigencia, en la forma y la oportunidad que para el efecto disponga Colombia Compra Eficiente.</w:t>
      </w:r>
    </w:p>
    <w:p w14:paraId="470F1B9A" w14:textId="77777777" w:rsidR="00467990" w:rsidRPr="005D0607" w:rsidRDefault="00467990" w:rsidP="00467990">
      <w:pPr>
        <w:pStyle w:val="NormalWeb"/>
        <w:shd w:val="clear" w:color="auto" w:fill="FFFFFF"/>
        <w:spacing w:before="0" w:beforeAutospacing="0" w:after="0" w:afterAutospacing="0"/>
        <w:ind w:firstLine="708"/>
        <w:jc w:val="both"/>
        <w:rPr>
          <w:rFonts w:ascii="Verdana" w:eastAsia="Calibri" w:hAnsi="Verdana" w:cs="Arial"/>
          <w:sz w:val="16"/>
          <w:szCs w:val="16"/>
          <w:lang w:val="es-MX" w:eastAsia="en-US"/>
        </w:rPr>
      </w:pPr>
      <w:r w:rsidRPr="005D0607">
        <w:rPr>
          <w:rFonts w:ascii="Verdana" w:eastAsia="Calibri" w:hAnsi="Verdana" w:cs="Arial"/>
          <w:sz w:val="16"/>
          <w:szCs w:val="16"/>
          <w:lang w:val="es-ES_tradnl" w:eastAsia="es-ES_tradnl"/>
        </w:rPr>
        <w:t>La Entidad Estatal debe actualizar el Plan Anual de Adquisiciones cuando: (i) haya ajustes en los cronogramas de adquisición, valores, modalidad de selección, origen de los recursos; (</w:t>
      </w:r>
      <w:proofErr w:type="spellStart"/>
      <w:r w:rsidRPr="005D0607">
        <w:rPr>
          <w:rFonts w:ascii="Verdana" w:eastAsia="Calibri" w:hAnsi="Verdana" w:cs="Arial"/>
          <w:sz w:val="16"/>
          <w:szCs w:val="16"/>
          <w:lang w:val="es-ES_tradnl" w:eastAsia="es-ES_tradnl"/>
        </w:rPr>
        <w:t>ii</w:t>
      </w:r>
      <w:proofErr w:type="spellEnd"/>
      <w:r w:rsidRPr="005D0607">
        <w:rPr>
          <w:rFonts w:ascii="Verdana" w:eastAsia="Calibri" w:hAnsi="Verdana" w:cs="Arial"/>
          <w:sz w:val="16"/>
          <w:szCs w:val="16"/>
          <w:lang w:val="es-ES_tradnl" w:eastAsia="es-ES_tradnl"/>
        </w:rPr>
        <w:t>) para incluir nuevas obras, bienes y/o servicios; (</w:t>
      </w:r>
      <w:proofErr w:type="spellStart"/>
      <w:r w:rsidRPr="005D0607">
        <w:rPr>
          <w:rFonts w:ascii="Verdana" w:eastAsia="Calibri" w:hAnsi="Verdana" w:cs="Arial"/>
          <w:sz w:val="16"/>
          <w:szCs w:val="16"/>
          <w:lang w:val="es-ES_tradnl" w:eastAsia="es-ES_tradnl"/>
        </w:rPr>
        <w:t>iii</w:t>
      </w:r>
      <w:proofErr w:type="spellEnd"/>
      <w:r w:rsidRPr="005D0607">
        <w:rPr>
          <w:rFonts w:ascii="Verdana" w:eastAsia="Calibri" w:hAnsi="Verdana" w:cs="Arial"/>
          <w:sz w:val="16"/>
          <w:szCs w:val="16"/>
          <w:lang w:val="es-ES_tradnl" w:eastAsia="es-ES_tradnl"/>
        </w:rPr>
        <w:t>) excluir obras, bienes y/o servicios; o (</w:t>
      </w:r>
      <w:proofErr w:type="spellStart"/>
      <w:r w:rsidRPr="005D0607">
        <w:rPr>
          <w:rFonts w:ascii="Verdana" w:eastAsia="Calibri" w:hAnsi="Verdana" w:cs="Arial"/>
          <w:sz w:val="16"/>
          <w:szCs w:val="16"/>
          <w:lang w:val="es-ES_tradnl" w:eastAsia="es-ES_tradnl"/>
        </w:rPr>
        <w:t>iv</w:t>
      </w:r>
      <w:proofErr w:type="spellEnd"/>
      <w:r w:rsidRPr="005D0607">
        <w:rPr>
          <w:rFonts w:ascii="Verdana" w:eastAsia="Calibri" w:hAnsi="Verdana" w:cs="Arial"/>
          <w:sz w:val="16"/>
          <w:szCs w:val="16"/>
          <w:lang w:val="es-ES_tradnl" w:eastAsia="es-ES_tradnl"/>
        </w:rPr>
        <w:t>) modificar el presupuesto anual de adquisiciones”.</w:t>
      </w:r>
    </w:p>
  </w:footnote>
  <w:footnote w:id="10">
    <w:p w14:paraId="29A2CF71" w14:textId="77777777" w:rsidR="00467990" w:rsidRPr="005D0607" w:rsidRDefault="00467990" w:rsidP="00467990">
      <w:pPr>
        <w:pStyle w:val="Textonotapie"/>
        <w:ind w:firstLine="708"/>
        <w:jc w:val="both"/>
        <w:rPr>
          <w:rFonts w:ascii="Verdana" w:eastAsia="Calibri" w:hAnsi="Verdana" w:cs="Arial"/>
          <w:sz w:val="16"/>
          <w:szCs w:val="16"/>
        </w:rPr>
      </w:pPr>
    </w:p>
    <w:p w14:paraId="65FCFC7D" w14:textId="77777777" w:rsidR="00467990" w:rsidRPr="005D0607" w:rsidRDefault="00467990" w:rsidP="00467990">
      <w:pPr>
        <w:pStyle w:val="Textonotapie"/>
        <w:ind w:firstLine="708"/>
        <w:jc w:val="both"/>
        <w:rPr>
          <w:rFonts w:ascii="Verdana" w:hAnsi="Verdana" w:cs="Arial"/>
          <w:sz w:val="16"/>
          <w:szCs w:val="16"/>
          <w:lang w:val="es-CO"/>
        </w:rPr>
      </w:pPr>
      <w:r w:rsidRPr="005D0607">
        <w:rPr>
          <w:rStyle w:val="Refdenotaalpie"/>
          <w:rFonts w:ascii="Verdana" w:hAnsi="Verdana" w:cs="Arial"/>
          <w:sz w:val="16"/>
          <w:szCs w:val="16"/>
        </w:rPr>
        <w:footnoteRef/>
      </w:r>
      <w:r w:rsidRPr="005D0607">
        <w:rPr>
          <w:rFonts w:ascii="Verdana" w:eastAsia="Calibri" w:hAnsi="Verdana" w:cs="Arial"/>
          <w:sz w:val="16"/>
          <w:szCs w:val="16"/>
        </w:rPr>
        <w:t xml:space="preserve"> </w:t>
      </w:r>
      <w:r w:rsidRPr="005D0607">
        <w:rPr>
          <w:rFonts w:ascii="Verdana" w:eastAsia="Calibri" w:hAnsi="Verdana" w:cs="Arial"/>
          <w:sz w:val="16"/>
          <w:szCs w:val="16"/>
          <w:lang w:val="es-ES_tradnl" w:eastAsia="es-ES_tradnl"/>
        </w:rPr>
        <w:t>Agencia Nacional de Contratación Pública ―Colombia Compra Eficiente. Guía para elaborar el plan anual de adquisiciones. Página 3.</w:t>
      </w:r>
      <w:r w:rsidRPr="005D0607">
        <w:rPr>
          <w:rFonts w:ascii="Verdana" w:hAnsi="Verdana" w:cs="Arial"/>
          <w:sz w:val="16"/>
          <w:szCs w:val="16"/>
          <w:lang w:val="es-CO"/>
        </w:rPr>
        <w:t xml:space="preserve"> Disponible en: </w:t>
      </w:r>
      <w:r w:rsidRPr="005D0607">
        <w:rPr>
          <w:rFonts w:ascii="Verdana" w:eastAsia="Calibri" w:hAnsi="Verdana" w:cs="Times New Roman"/>
          <w:color w:val="0000FF"/>
          <w:sz w:val="16"/>
          <w:szCs w:val="16"/>
          <w:u w:val="single"/>
          <w:lang w:val="es-CO"/>
        </w:rPr>
        <w:t>https://www.colombiacompra.gov.co/archivos/manual/guia-para-elaborar-el-plan-anual-de-adquisiciones</w:t>
      </w:r>
    </w:p>
    <w:p w14:paraId="356F2A77" w14:textId="77777777" w:rsidR="00467990" w:rsidRPr="005D0607" w:rsidRDefault="00467990" w:rsidP="00467990">
      <w:pPr>
        <w:pStyle w:val="Textonotapie"/>
        <w:ind w:firstLine="708"/>
        <w:jc w:val="both"/>
        <w:rPr>
          <w:rFonts w:ascii="Verdana" w:hAnsi="Verdana" w:cs="Arial"/>
          <w:sz w:val="16"/>
          <w:szCs w:val="16"/>
          <w:lang w:val="es-CO"/>
        </w:rPr>
      </w:pPr>
    </w:p>
  </w:footnote>
  <w:footnote w:id="11">
    <w:p w14:paraId="04BCF605" w14:textId="77777777" w:rsidR="00467990" w:rsidRPr="005D0607" w:rsidRDefault="00467990" w:rsidP="00467990">
      <w:pPr>
        <w:pStyle w:val="Textonotapie"/>
        <w:ind w:firstLine="709"/>
        <w:jc w:val="both"/>
        <w:rPr>
          <w:rFonts w:ascii="Verdana" w:eastAsia="Calibri" w:hAnsi="Verdana" w:cs="Arial"/>
          <w:sz w:val="16"/>
          <w:szCs w:val="16"/>
          <w:lang w:val="es-ES"/>
        </w:rPr>
      </w:pPr>
      <w:r w:rsidRPr="005D0607">
        <w:rPr>
          <w:rStyle w:val="Refdenotaalpie"/>
          <w:rFonts w:ascii="Verdana" w:hAnsi="Verdana" w:cs="Arial"/>
          <w:sz w:val="16"/>
          <w:szCs w:val="16"/>
        </w:rPr>
        <w:footnoteRef/>
      </w:r>
      <w:r w:rsidRPr="005D0607">
        <w:rPr>
          <w:rFonts w:ascii="Verdana" w:hAnsi="Verdana" w:cs="Arial"/>
          <w:sz w:val="16"/>
          <w:szCs w:val="16"/>
        </w:rPr>
        <w:t xml:space="preserve"> </w:t>
      </w:r>
      <w:r w:rsidRPr="005D0607">
        <w:rPr>
          <w:rFonts w:ascii="Verdana" w:eastAsia="Calibri" w:hAnsi="Verdana" w:cs="Arial"/>
          <w:sz w:val="16"/>
          <w:szCs w:val="16"/>
          <w:lang w:val="es-ES_tradnl" w:eastAsia="es-ES_tradnl"/>
        </w:rPr>
        <w:t xml:space="preserve">Agencia Nacional de Contratación Pública ―Colombia Compra Eficiente. </w:t>
      </w:r>
      <w:r w:rsidRPr="005D0607">
        <w:rPr>
          <w:rFonts w:ascii="Verdana" w:hAnsi="Verdana" w:cs="Arial"/>
          <w:sz w:val="16"/>
          <w:szCs w:val="16"/>
        </w:rPr>
        <w:t xml:space="preserve">Circular Externa única actualizada </w:t>
      </w:r>
      <w:r w:rsidRPr="005D0607">
        <w:rPr>
          <w:rFonts w:ascii="Verdana" w:eastAsia="Calibri" w:hAnsi="Verdana" w:cs="Arial"/>
          <w:sz w:val="16"/>
          <w:szCs w:val="16"/>
          <w:lang w:val="es-ES"/>
        </w:rPr>
        <w:t xml:space="preserve">Disponible en:  </w:t>
      </w:r>
      <w:hyperlink r:id="rId2" w:history="1">
        <w:r w:rsidRPr="005D0607">
          <w:rPr>
            <w:rStyle w:val="Hipervnculo"/>
            <w:rFonts w:ascii="Verdana" w:eastAsia="Calibri" w:hAnsi="Verdana" w:cs="Arial"/>
            <w:sz w:val="16"/>
            <w:szCs w:val="16"/>
            <w:lang w:val="es-ES"/>
          </w:rPr>
          <w:t>https://www.colombiacompra.gov.co/wp-content/uploads/2024/08/circular_externa_unica_version_3_vf49.pdf</w:t>
        </w:r>
      </w:hyperlink>
      <w:r w:rsidRPr="005D0607">
        <w:rPr>
          <w:rFonts w:ascii="Verdana" w:eastAsia="Calibri" w:hAnsi="Verdana" w:cs="Arial"/>
          <w:sz w:val="16"/>
          <w:szCs w:val="16"/>
          <w:lang w:val="es-ES"/>
        </w:rPr>
        <w:t xml:space="preserve"> </w:t>
      </w:r>
    </w:p>
    <w:p w14:paraId="6036C8AC" w14:textId="77777777" w:rsidR="00467990" w:rsidRPr="005D0607" w:rsidRDefault="00467990" w:rsidP="00467990">
      <w:pPr>
        <w:pStyle w:val="Textonotapie"/>
        <w:ind w:firstLine="709"/>
        <w:jc w:val="both"/>
        <w:rPr>
          <w:rFonts w:ascii="Verdana" w:hAnsi="Verdana" w:cs="Arial"/>
          <w:sz w:val="16"/>
          <w:szCs w:val="16"/>
          <w:lang w:val="es-CO"/>
        </w:rPr>
      </w:pPr>
    </w:p>
  </w:footnote>
  <w:footnote w:id="12">
    <w:p w14:paraId="5A6B8094" w14:textId="77777777" w:rsidR="00467990" w:rsidRPr="006878C4" w:rsidRDefault="00467990" w:rsidP="00467990">
      <w:pPr>
        <w:pStyle w:val="Textonotapie"/>
        <w:jc w:val="both"/>
        <w:rPr>
          <w:rFonts w:ascii="Verdana" w:hAnsi="Verdana"/>
          <w:sz w:val="16"/>
          <w:szCs w:val="16"/>
        </w:rPr>
      </w:pPr>
      <w:r w:rsidRPr="006878C4">
        <w:rPr>
          <w:rStyle w:val="Refdenotaalpie"/>
          <w:rFonts w:ascii="Verdana" w:hAnsi="Verdana"/>
          <w:sz w:val="16"/>
          <w:szCs w:val="16"/>
        </w:rPr>
        <w:footnoteRef/>
      </w:r>
      <w:r w:rsidRPr="006878C4">
        <w:rPr>
          <w:rFonts w:ascii="Verdana" w:hAnsi="Verdana"/>
          <w:sz w:val="16"/>
          <w:szCs w:val="16"/>
        </w:rPr>
        <w:t xml:space="preserve"> Ministerio de </w:t>
      </w:r>
      <w:proofErr w:type="spellStart"/>
      <w:r w:rsidRPr="006878C4">
        <w:rPr>
          <w:rFonts w:ascii="Verdana" w:hAnsi="Verdana"/>
          <w:sz w:val="16"/>
          <w:szCs w:val="16"/>
        </w:rPr>
        <w:t>Educacion</w:t>
      </w:r>
      <w:proofErr w:type="spellEnd"/>
      <w:r w:rsidRPr="006878C4">
        <w:rPr>
          <w:rFonts w:ascii="Verdana" w:hAnsi="Verdana"/>
          <w:sz w:val="16"/>
          <w:szCs w:val="16"/>
        </w:rPr>
        <w:t xml:space="preserve"> Nacional. Sistema de Información. Primera Infancia, Preescolar. Básica y media. Glosario. Directorio de Establecimiento Educativo. Disponible en: </w:t>
      </w:r>
      <w:hyperlink r:id="rId3" w:anchor=":~:text=Son%20plantas%20f%C3%ADsicas%20independientes%20que,ser%20un%20centro%20educativo%20oficial.&amp;text=Es%20la%20Sede%20del%20centro,se%20encuentra%20el%20%C3%A1rea%20administrativa" w:history="1">
        <w:r w:rsidRPr="006878C4">
          <w:rPr>
            <w:rStyle w:val="Hipervnculo"/>
            <w:rFonts w:ascii="Verdana" w:hAnsi="Verdana"/>
            <w:sz w:val="16"/>
            <w:szCs w:val="16"/>
          </w:rPr>
          <w:t>https://www.mineducacion.gov.co/sistemasinfo/sistemas/SINEB-Sistema-de-Informacion-Nacional-de-Educacion-Basica-y-Media/296906:Glosario-Directorio-de-Establecimiento-Educativo#:~:text=Son%20plantas%20f%C3%ADsicas%20independientes%20que,ser%20un%20centro%20educativo%20oficial.&amp;text=Es%20la%20Sede%20del%20centro,se%20encuentra%20el%20%C3%A1rea%20administrativa</w:t>
        </w:r>
      </w:hyperlink>
      <w:r w:rsidRPr="006878C4">
        <w:rPr>
          <w:rFonts w:ascii="Verdana" w:hAnsi="Verdana"/>
          <w:sz w:val="16"/>
          <w:szCs w:val="16"/>
        </w:rPr>
        <w:t xml:space="preserve"> </w:t>
      </w:r>
    </w:p>
  </w:footnote>
  <w:footnote w:id="13">
    <w:p w14:paraId="68EAEF69" w14:textId="77777777" w:rsidR="002F6426" w:rsidRPr="00C06435" w:rsidRDefault="002F6426" w:rsidP="002F6426">
      <w:pPr>
        <w:spacing w:after="0" w:line="240" w:lineRule="auto"/>
        <w:ind w:left="100" w:right="1010" w:firstLine="608"/>
        <w:jc w:val="both"/>
        <w:rPr>
          <w:rFonts w:ascii="Verdana" w:hAnsi="Verdana"/>
          <w:sz w:val="16"/>
          <w:szCs w:val="16"/>
        </w:rPr>
      </w:pPr>
      <w:r w:rsidRPr="00C06435">
        <w:rPr>
          <w:rStyle w:val="Refdenotaalpie"/>
          <w:rFonts w:ascii="Verdana" w:hAnsi="Verdana"/>
          <w:sz w:val="16"/>
          <w:szCs w:val="16"/>
        </w:rPr>
        <w:footnoteRef/>
      </w:r>
      <w:r w:rsidRPr="00C06435">
        <w:rPr>
          <w:rFonts w:ascii="Verdana" w:hAnsi="Verdana"/>
          <w:sz w:val="16"/>
          <w:szCs w:val="16"/>
        </w:rPr>
        <w:t xml:space="preserve"> Sección</w:t>
      </w:r>
      <w:r w:rsidRPr="00C06435">
        <w:rPr>
          <w:rFonts w:ascii="Verdana" w:hAnsi="Verdana"/>
          <w:spacing w:val="-5"/>
          <w:sz w:val="16"/>
          <w:szCs w:val="16"/>
        </w:rPr>
        <w:t xml:space="preserve"> </w:t>
      </w:r>
      <w:r w:rsidRPr="00C06435">
        <w:rPr>
          <w:rFonts w:ascii="Verdana" w:hAnsi="Verdana"/>
          <w:sz w:val="16"/>
          <w:szCs w:val="16"/>
        </w:rPr>
        <w:t>Tercera</w:t>
      </w:r>
      <w:r w:rsidRPr="00C06435">
        <w:rPr>
          <w:rFonts w:ascii="Verdana" w:hAnsi="Verdana"/>
          <w:spacing w:val="-5"/>
          <w:sz w:val="16"/>
          <w:szCs w:val="16"/>
        </w:rPr>
        <w:t xml:space="preserve"> </w:t>
      </w:r>
      <w:r w:rsidRPr="00C06435">
        <w:rPr>
          <w:rFonts w:ascii="Verdana" w:hAnsi="Verdana"/>
          <w:sz w:val="16"/>
          <w:szCs w:val="16"/>
        </w:rPr>
        <w:t>de</w:t>
      </w:r>
      <w:r w:rsidRPr="00C06435">
        <w:rPr>
          <w:rFonts w:ascii="Verdana" w:hAnsi="Verdana"/>
          <w:spacing w:val="-4"/>
          <w:sz w:val="16"/>
          <w:szCs w:val="16"/>
        </w:rPr>
        <w:t xml:space="preserve"> </w:t>
      </w:r>
      <w:r w:rsidRPr="00C06435">
        <w:rPr>
          <w:rFonts w:ascii="Verdana" w:hAnsi="Verdana"/>
          <w:sz w:val="16"/>
          <w:szCs w:val="16"/>
        </w:rPr>
        <w:t>la</w:t>
      </w:r>
      <w:r w:rsidRPr="00C06435">
        <w:rPr>
          <w:rFonts w:ascii="Verdana" w:hAnsi="Verdana"/>
          <w:spacing w:val="-5"/>
          <w:sz w:val="16"/>
          <w:szCs w:val="16"/>
        </w:rPr>
        <w:t xml:space="preserve"> </w:t>
      </w:r>
      <w:r w:rsidRPr="00C06435">
        <w:rPr>
          <w:rFonts w:ascii="Verdana" w:hAnsi="Verdana"/>
          <w:sz w:val="16"/>
          <w:szCs w:val="16"/>
        </w:rPr>
        <w:t>Sala</w:t>
      </w:r>
      <w:r w:rsidRPr="00C06435">
        <w:rPr>
          <w:rFonts w:ascii="Verdana" w:hAnsi="Verdana"/>
          <w:spacing w:val="-5"/>
          <w:sz w:val="16"/>
          <w:szCs w:val="16"/>
        </w:rPr>
        <w:t xml:space="preserve"> </w:t>
      </w:r>
      <w:r w:rsidRPr="00C06435">
        <w:rPr>
          <w:rFonts w:ascii="Verdana" w:hAnsi="Verdana"/>
          <w:sz w:val="16"/>
          <w:szCs w:val="16"/>
        </w:rPr>
        <w:t>de</w:t>
      </w:r>
      <w:r w:rsidRPr="00C06435">
        <w:rPr>
          <w:rFonts w:ascii="Verdana" w:hAnsi="Verdana"/>
          <w:spacing w:val="-5"/>
          <w:sz w:val="16"/>
          <w:szCs w:val="16"/>
        </w:rPr>
        <w:t xml:space="preserve"> </w:t>
      </w:r>
      <w:r w:rsidRPr="00C06435">
        <w:rPr>
          <w:rFonts w:ascii="Verdana" w:hAnsi="Verdana"/>
          <w:sz w:val="16"/>
          <w:szCs w:val="16"/>
        </w:rPr>
        <w:t>lo</w:t>
      </w:r>
      <w:r w:rsidRPr="00C06435">
        <w:rPr>
          <w:rFonts w:ascii="Verdana" w:hAnsi="Verdana"/>
          <w:spacing w:val="-5"/>
          <w:sz w:val="16"/>
          <w:szCs w:val="16"/>
        </w:rPr>
        <w:t xml:space="preserve"> </w:t>
      </w:r>
      <w:r w:rsidRPr="00C06435">
        <w:rPr>
          <w:rFonts w:ascii="Verdana" w:hAnsi="Verdana"/>
          <w:sz w:val="16"/>
          <w:szCs w:val="16"/>
        </w:rPr>
        <w:t>Contencioso</w:t>
      </w:r>
      <w:r w:rsidRPr="00C06435">
        <w:rPr>
          <w:rFonts w:ascii="Verdana" w:hAnsi="Verdana"/>
          <w:spacing w:val="-4"/>
          <w:sz w:val="16"/>
          <w:szCs w:val="16"/>
        </w:rPr>
        <w:t xml:space="preserve"> </w:t>
      </w:r>
      <w:r w:rsidRPr="00C06435">
        <w:rPr>
          <w:rFonts w:ascii="Verdana" w:hAnsi="Verdana"/>
          <w:sz w:val="16"/>
          <w:szCs w:val="16"/>
        </w:rPr>
        <w:t>Administrativo</w:t>
      </w:r>
      <w:r w:rsidRPr="00C06435">
        <w:rPr>
          <w:rFonts w:ascii="Verdana" w:hAnsi="Verdana"/>
          <w:spacing w:val="-5"/>
          <w:sz w:val="16"/>
          <w:szCs w:val="16"/>
        </w:rPr>
        <w:t xml:space="preserve"> </w:t>
      </w:r>
      <w:r w:rsidRPr="00C06435">
        <w:rPr>
          <w:rFonts w:ascii="Verdana" w:hAnsi="Verdana"/>
          <w:sz w:val="16"/>
          <w:szCs w:val="16"/>
        </w:rPr>
        <w:t>del</w:t>
      </w:r>
      <w:r w:rsidRPr="00C06435">
        <w:rPr>
          <w:rFonts w:ascii="Verdana" w:hAnsi="Verdana"/>
          <w:spacing w:val="-5"/>
          <w:sz w:val="16"/>
          <w:szCs w:val="16"/>
        </w:rPr>
        <w:t xml:space="preserve"> </w:t>
      </w:r>
      <w:r w:rsidRPr="00C06435">
        <w:rPr>
          <w:rFonts w:ascii="Verdana" w:hAnsi="Verdana"/>
          <w:sz w:val="16"/>
          <w:szCs w:val="16"/>
        </w:rPr>
        <w:t>Consejo</w:t>
      </w:r>
      <w:r w:rsidRPr="00C06435">
        <w:rPr>
          <w:rFonts w:ascii="Verdana" w:hAnsi="Verdana"/>
          <w:spacing w:val="-5"/>
          <w:sz w:val="16"/>
          <w:szCs w:val="16"/>
        </w:rPr>
        <w:t xml:space="preserve"> </w:t>
      </w:r>
      <w:r w:rsidRPr="00C06435">
        <w:rPr>
          <w:rFonts w:ascii="Verdana" w:hAnsi="Verdana"/>
          <w:sz w:val="16"/>
          <w:szCs w:val="16"/>
        </w:rPr>
        <w:t>de</w:t>
      </w:r>
      <w:r w:rsidRPr="00C06435">
        <w:rPr>
          <w:rFonts w:ascii="Verdana" w:hAnsi="Verdana"/>
          <w:spacing w:val="-4"/>
          <w:sz w:val="16"/>
          <w:szCs w:val="16"/>
        </w:rPr>
        <w:t xml:space="preserve"> </w:t>
      </w:r>
      <w:r w:rsidRPr="00C06435">
        <w:rPr>
          <w:rFonts w:ascii="Verdana" w:hAnsi="Verdana"/>
          <w:sz w:val="16"/>
          <w:szCs w:val="16"/>
        </w:rPr>
        <w:t>Estado,</w:t>
      </w:r>
      <w:r w:rsidRPr="00C06435">
        <w:rPr>
          <w:rFonts w:ascii="Verdana" w:hAnsi="Verdana"/>
          <w:spacing w:val="-5"/>
          <w:sz w:val="16"/>
          <w:szCs w:val="16"/>
        </w:rPr>
        <w:t xml:space="preserve"> </w:t>
      </w:r>
      <w:r w:rsidRPr="00C06435">
        <w:rPr>
          <w:rFonts w:ascii="Verdana" w:hAnsi="Verdana"/>
          <w:sz w:val="16"/>
          <w:szCs w:val="16"/>
        </w:rPr>
        <w:t>Sentencia</w:t>
      </w:r>
      <w:r w:rsidRPr="00C06435">
        <w:rPr>
          <w:rFonts w:ascii="Verdana" w:hAnsi="Verdana"/>
          <w:spacing w:val="-5"/>
          <w:sz w:val="16"/>
          <w:szCs w:val="16"/>
        </w:rPr>
        <w:t xml:space="preserve"> </w:t>
      </w:r>
      <w:r w:rsidRPr="00C06435">
        <w:rPr>
          <w:rFonts w:ascii="Verdana" w:hAnsi="Verdana"/>
          <w:sz w:val="16"/>
          <w:szCs w:val="16"/>
        </w:rPr>
        <w:t>del</w:t>
      </w:r>
      <w:r w:rsidRPr="00C06435">
        <w:rPr>
          <w:rFonts w:ascii="Verdana" w:hAnsi="Verdana"/>
          <w:spacing w:val="-5"/>
          <w:sz w:val="16"/>
          <w:szCs w:val="16"/>
        </w:rPr>
        <w:t xml:space="preserve"> </w:t>
      </w:r>
      <w:r w:rsidRPr="00C06435">
        <w:rPr>
          <w:rFonts w:ascii="Verdana" w:hAnsi="Verdana"/>
          <w:sz w:val="16"/>
          <w:szCs w:val="16"/>
        </w:rPr>
        <w:t>29</w:t>
      </w:r>
      <w:r w:rsidRPr="00C06435">
        <w:rPr>
          <w:rFonts w:ascii="Verdana" w:hAnsi="Verdana"/>
          <w:spacing w:val="-5"/>
          <w:sz w:val="16"/>
          <w:szCs w:val="16"/>
        </w:rPr>
        <w:t xml:space="preserve"> </w:t>
      </w:r>
      <w:r w:rsidRPr="00C06435">
        <w:rPr>
          <w:rFonts w:ascii="Verdana" w:hAnsi="Verdana"/>
          <w:sz w:val="16"/>
          <w:szCs w:val="16"/>
        </w:rPr>
        <w:t>de</w:t>
      </w:r>
      <w:r w:rsidRPr="00C06435">
        <w:rPr>
          <w:rFonts w:ascii="Verdana" w:hAnsi="Verdana"/>
          <w:spacing w:val="1"/>
          <w:sz w:val="16"/>
          <w:szCs w:val="16"/>
        </w:rPr>
        <w:t xml:space="preserve"> </w:t>
      </w:r>
      <w:r w:rsidRPr="00C06435">
        <w:rPr>
          <w:rFonts w:ascii="Verdana" w:hAnsi="Verdana"/>
          <w:sz w:val="16"/>
          <w:szCs w:val="16"/>
        </w:rPr>
        <w:t>abril</w:t>
      </w:r>
      <w:r w:rsidRPr="00C06435">
        <w:rPr>
          <w:rFonts w:ascii="Verdana" w:hAnsi="Verdana"/>
          <w:spacing w:val="-2"/>
          <w:sz w:val="16"/>
          <w:szCs w:val="16"/>
        </w:rPr>
        <w:t xml:space="preserve"> </w:t>
      </w:r>
      <w:r w:rsidRPr="00C06435">
        <w:rPr>
          <w:rFonts w:ascii="Verdana" w:hAnsi="Verdana"/>
          <w:sz w:val="16"/>
          <w:szCs w:val="16"/>
        </w:rPr>
        <w:t>de</w:t>
      </w:r>
      <w:r w:rsidRPr="00C06435">
        <w:rPr>
          <w:rFonts w:ascii="Verdana" w:hAnsi="Verdana"/>
          <w:spacing w:val="-2"/>
          <w:sz w:val="16"/>
          <w:szCs w:val="16"/>
        </w:rPr>
        <w:t xml:space="preserve"> </w:t>
      </w:r>
      <w:r w:rsidRPr="00C06435">
        <w:rPr>
          <w:rFonts w:ascii="Verdana" w:hAnsi="Verdana"/>
          <w:sz w:val="16"/>
          <w:szCs w:val="16"/>
        </w:rPr>
        <w:t>2015,</w:t>
      </w:r>
      <w:r w:rsidRPr="00C06435">
        <w:rPr>
          <w:rFonts w:ascii="Verdana" w:hAnsi="Verdana"/>
          <w:spacing w:val="-2"/>
          <w:sz w:val="16"/>
          <w:szCs w:val="16"/>
        </w:rPr>
        <w:t xml:space="preserve"> </w:t>
      </w:r>
      <w:r w:rsidRPr="00C06435">
        <w:rPr>
          <w:rFonts w:ascii="Verdana" w:hAnsi="Verdana"/>
          <w:sz w:val="16"/>
          <w:szCs w:val="16"/>
        </w:rPr>
        <w:t>expediente</w:t>
      </w:r>
      <w:r w:rsidRPr="00C06435">
        <w:rPr>
          <w:rFonts w:ascii="Verdana" w:hAnsi="Verdana"/>
          <w:spacing w:val="-2"/>
          <w:sz w:val="16"/>
          <w:szCs w:val="16"/>
        </w:rPr>
        <w:t xml:space="preserve"> </w:t>
      </w:r>
      <w:r w:rsidRPr="00C06435">
        <w:rPr>
          <w:rFonts w:ascii="Verdana" w:hAnsi="Verdana"/>
          <w:sz w:val="16"/>
          <w:szCs w:val="16"/>
        </w:rPr>
        <w:t>29201</w:t>
      </w:r>
      <w:r w:rsidRPr="00C06435">
        <w:rPr>
          <w:rFonts w:ascii="Verdana" w:hAnsi="Verdana"/>
          <w:spacing w:val="-2"/>
          <w:sz w:val="16"/>
          <w:szCs w:val="16"/>
        </w:rPr>
        <w:t xml:space="preserve"> </w:t>
      </w:r>
      <w:r w:rsidRPr="00C06435">
        <w:rPr>
          <w:rFonts w:ascii="Verdana" w:hAnsi="Verdana"/>
          <w:sz w:val="16"/>
          <w:szCs w:val="16"/>
        </w:rPr>
        <w:t>con</w:t>
      </w:r>
      <w:r w:rsidRPr="00C06435">
        <w:rPr>
          <w:rFonts w:ascii="Verdana" w:hAnsi="Verdana"/>
          <w:spacing w:val="-2"/>
          <w:sz w:val="16"/>
          <w:szCs w:val="16"/>
        </w:rPr>
        <w:t xml:space="preserve"> </w:t>
      </w:r>
      <w:r w:rsidRPr="00C06435">
        <w:rPr>
          <w:rFonts w:ascii="Verdana" w:hAnsi="Verdana"/>
          <w:sz w:val="16"/>
          <w:szCs w:val="16"/>
        </w:rPr>
        <w:t>ponencia</w:t>
      </w:r>
      <w:r w:rsidRPr="00C06435">
        <w:rPr>
          <w:rFonts w:ascii="Verdana" w:hAnsi="Verdana"/>
          <w:spacing w:val="-2"/>
          <w:sz w:val="16"/>
          <w:szCs w:val="16"/>
        </w:rPr>
        <w:t xml:space="preserve"> </w:t>
      </w:r>
      <w:r w:rsidRPr="00C06435">
        <w:rPr>
          <w:rFonts w:ascii="Verdana" w:hAnsi="Verdana"/>
          <w:sz w:val="16"/>
          <w:szCs w:val="16"/>
        </w:rPr>
        <w:t>de</w:t>
      </w:r>
      <w:r w:rsidRPr="00C06435">
        <w:rPr>
          <w:rFonts w:ascii="Verdana" w:hAnsi="Verdana"/>
          <w:spacing w:val="-2"/>
          <w:sz w:val="16"/>
          <w:szCs w:val="16"/>
        </w:rPr>
        <w:t xml:space="preserve"> </w:t>
      </w:r>
      <w:r w:rsidRPr="00C06435">
        <w:rPr>
          <w:rFonts w:ascii="Verdana" w:hAnsi="Verdana"/>
          <w:sz w:val="16"/>
          <w:szCs w:val="16"/>
        </w:rPr>
        <w:t>Olga</w:t>
      </w:r>
      <w:r w:rsidRPr="00C06435">
        <w:rPr>
          <w:rFonts w:ascii="Verdana" w:hAnsi="Verdana"/>
          <w:spacing w:val="-2"/>
          <w:sz w:val="16"/>
          <w:szCs w:val="16"/>
        </w:rPr>
        <w:t xml:space="preserve"> </w:t>
      </w:r>
      <w:proofErr w:type="spellStart"/>
      <w:r w:rsidRPr="00C06435">
        <w:rPr>
          <w:rFonts w:ascii="Verdana" w:hAnsi="Verdana"/>
          <w:sz w:val="16"/>
          <w:szCs w:val="16"/>
        </w:rPr>
        <w:t>Melida</w:t>
      </w:r>
      <w:proofErr w:type="spellEnd"/>
      <w:r w:rsidRPr="00C06435">
        <w:rPr>
          <w:rFonts w:ascii="Verdana" w:hAnsi="Verdana"/>
          <w:spacing w:val="-2"/>
          <w:sz w:val="16"/>
          <w:szCs w:val="16"/>
        </w:rPr>
        <w:t xml:space="preserve"> </w:t>
      </w:r>
      <w:r w:rsidRPr="00C06435">
        <w:rPr>
          <w:rFonts w:ascii="Verdana" w:hAnsi="Verdana"/>
          <w:sz w:val="16"/>
          <w:szCs w:val="16"/>
        </w:rPr>
        <w:t>Valle</w:t>
      </w:r>
      <w:r w:rsidRPr="00C06435">
        <w:rPr>
          <w:rFonts w:ascii="Verdana" w:hAnsi="Verdana"/>
          <w:spacing w:val="-2"/>
          <w:sz w:val="16"/>
          <w:szCs w:val="16"/>
        </w:rPr>
        <w:t xml:space="preserve"> </w:t>
      </w:r>
      <w:r w:rsidRPr="00C06435">
        <w:rPr>
          <w:rFonts w:ascii="Verdana" w:hAnsi="Verdana"/>
          <w:sz w:val="16"/>
          <w:szCs w:val="16"/>
        </w:rPr>
        <w:t>de</w:t>
      </w:r>
      <w:r w:rsidRPr="00C06435">
        <w:rPr>
          <w:rFonts w:ascii="Verdana" w:hAnsi="Verdana"/>
          <w:spacing w:val="-2"/>
          <w:sz w:val="16"/>
          <w:szCs w:val="16"/>
        </w:rPr>
        <w:t xml:space="preserve"> </w:t>
      </w:r>
      <w:proofErr w:type="spellStart"/>
      <w:r w:rsidRPr="00C06435">
        <w:rPr>
          <w:rFonts w:ascii="Verdana" w:hAnsi="Verdana"/>
          <w:sz w:val="16"/>
          <w:szCs w:val="16"/>
        </w:rPr>
        <w:t>De</w:t>
      </w:r>
      <w:proofErr w:type="spellEnd"/>
      <w:r w:rsidRPr="00C06435">
        <w:rPr>
          <w:rFonts w:ascii="Verdana" w:hAnsi="Verdana"/>
          <w:spacing w:val="-2"/>
          <w:sz w:val="16"/>
          <w:szCs w:val="16"/>
        </w:rPr>
        <w:t xml:space="preserve"> </w:t>
      </w:r>
      <w:r w:rsidRPr="00C06435">
        <w:rPr>
          <w:rFonts w:ascii="Verdana" w:hAnsi="Verdana"/>
          <w:sz w:val="16"/>
          <w:szCs w:val="16"/>
        </w:rPr>
        <w:t>La</w:t>
      </w:r>
      <w:r w:rsidRPr="00C06435">
        <w:rPr>
          <w:rFonts w:ascii="Verdana" w:hAnsi="Verdana"/>
          <w:spacing w:val="-2"/>
          <w:sz w:val="16"/>
          <w:szCs w:val="16"/>
        </w:rPr>
        <w:t xml:space="preserve"> </w:t>
      </w:r>
      <w:r w:rsidRPr="00C06435">
        <w:rPr>
          <w:rFonts w:ascii="Verdana" w:hAnsi="Verdana"/>
          <w:sz w:val="16"/>
          <w:szCs w:val="16"/>
        </w:rPr>
        <w:t>Hoz</w:t>
      </w:r>
    </w:p>
    <w:p w14:paraId="17EF8E4D" w14:textId="77777777" w:rsidR="002F6426" w:rsidRPr="00C06435" w:rsidRDefault="002F6426" w:rsidP="002F6426">
      <w:pPr>
        <w:pStyle w:val="Textonotapie"/>
        <w:jc w:val="both"/>
        <w:rPr>
          <w:rFonts w:ascii="Verdana" w:hAnsi="Verdana"/>
          <w:sz w:val="16"/>
          <w:szCs w:val="16"/>
          <w:lang w:val="es-CO"/>
        </w:rPr>
      </w:pPr>
    </w:p>
  </w:footnote>
  <w:footnote w:id="14">
    <w:p w14:paraId="5C32DCD0" w14:textId="77777777" w:rsidR="002F6426" w:rsidRDefault="002F6426" w:rsidP="002F6426">
      <w:pPr>
        <w:pStyle w:val="Textonotapie"/>
        <w:ind w:firstLine="708"/>
        <w:jc w:val="both"/>
        <w:rPr>
          <w:rFonts w:ascii="Verdana" w:hAnsi="Verdana"/>
          <w:sz w:val="16"/>
          <w:szCs w:val="16"/>
        </w:rPr>
      </w:pPr>
      <w:r w:rsidRPr="00C06435">
        <w:rPr>
          <w:rStyle w:val="Refdenotaalpie"/>
          <w:rFonts w:ascii="Verdana" w:hAnsi="Verdana"/>
          <w:sz w:val="16"/>
          <w:szCs w:val="16"/>
        </w:rPr>
        <w:footnoteRef/>
      </w:r>
      <w:r w:rsidRPr="00C06435">
        <w:rPr>
          <w:rFonts w:ascii="Verdana" w:hAnsi="Verdana"/>
          <w:sz w:val="16"/>
          <w:szCs w:val="16"/>
        </w:rPr>
        <w:t xml:space="preserve"> Sala</w:t>
      </w:r>
      <w:r w:rsidRPr="00C06435">
        <w:rPr>
          <w:rFonts w:ascii="Verdana" w:hAnsi="Verdana"/>
          <w:spacing w:val="4"/>
          <w:sz w:val="16"/>
          <w:szCs w:val="16"/>
        </w:rPr>
        <w:t xml:space="preserve"> </w:t>
      </w:r>
      <w:r w:rsidRPr="00C06435">
        <w:rPr>
          <w:rFonts w:ascii="Verdana" w:hAnsi="Verdana"/>
          <w:sz w:val="16"/>
          <w:szCs w:val="16"/>
        </w:rPr>
        <w:t>Plena</w:t>
      </w:r>
      <w:r w:rsidRPr="00C06435">
        <w:rPr>
          <w:rFonts w:ascii="Verdana" w:hAnsi="Verdana"/>
          <w:spacing w:val="4"/>
          <w:sz w:val="16"/>
          <w:szCs w:val="16"/>
        </w:rPr>
        <w:t xml:space="preserve"> </w:t>
      </w:r>
      <w:r w:rsidRPr="00C06435">
        <w:rPr>
          <w:rFonts w:ascii="Verdana" w:hAnsi="Verdana"/>
          <w:sz w:val="16"/>
          <w:szCs w:val="16"/>
        </w:rPr>
        <w:t>de</w:t>
      </w:r>
      <w:r w:rsidRPr="00C06435">
        <w:rPr>
          <w:rFonts w:ascii="Verdana" w:hAnsi="Verdana"/>
          <w:spacing w:val="3"/>
          <w:sz w:val="16"/>
          <w:szCs w:val="16"/>
        </w:rPr>
        <w:t xml:space="preserve"> </w:t>
      </w:r>
      <w:r w:rsidRPr="00C06435">
        <w:rPr>
          <w:rFonts w:ascii="Verdana" w:hAnsi="Verdana"/>
          <w:sz w:val="16"/>
          <w:szCs w:val="16"/>
        </w:rPr>
        <w:t>lo</w:t>
      </w:r>
      <w:r w:rsidRPr="00C06435">
        <w:rPr>
          <w:rFonts w:ascii="Verdana" w:hAnsi="Verdana"/>
          <w:spacing w:val="2"/>
          <w:sz w:val="16"/>
          <w:szCs w:val="16"/>
        </w:rPr>
        <w:t xml:space="preserve"> </w:t>
      </w:r>
      <w:r w:rsidRPr="00C06435">
        <w:rPr>
          <w:rFonts w:ascii="Verdana" w:hAnsi="Verdana"/>
          <w:sz w:val="16"/>
          <w:szCs w:val="16"/>
        </w:rPr>
        <w:t>Contencioso</w:t>
      </w:r>
      <w:r w:rsidRPr="00C06435">
        <w:rPr>
          <w:rFonts w:ascii="Verdana" w:hAnsi="Verdana"/>
          <w:spacing w:val="5"/>
          <w:sz w:val="16"/>
          <w:szCs w:val="16"/>
        </w:rPr>
        <w:t xml:space="preserve"> </w:t>
      </w:r>
      <w:r w:rsidRPr="00C06435">
        <w:rPr>
          <w:rFonts w:ascii="Verdana" w:hAnsi="Verdana"/>
          <w:sz w:val="16"/>
          <w:szCs w:val="16"/>
        </w:rPr>
        <w:t>Administrativa</w:t>
      </w:r>
      <w:r w:rsidRPr="00C06435">
        <w:rPr>
          <w:rFonts w:ascii="Verdana" w:hAnsi="Verdana"/>
          <w:spacing w:val="6"/>
          <w:sz w:val="16"/>
          <w:szCs w:val="16"/>
        </w:rPr>
        <w:t xml:space="preserve"> </w:t>
      </w:r>
      <w:r w:rsidRPr="00C06435">
        <w:rPr>
          <w:rFonts w:ascii="Verdana" w:hAnsi="Verdana"/>
          <w:sz w:val="16"/>
          <w:szCs w:val="16"/>
        </w:rPr>
        <w:t>del</w:t>
      </w:r>
      <w:r w:rsidRPr="00C06435">
        <w:rPr>
          <w:rFonts w:ascii="Verdana" w:hAnsi="Verdana"/>
          <w:spacing w:val="2"/>
          <w:sz w:val="16"/>
          <w:szCs w:val="16"/>
        </w:rPr>
        <w:t xml:space="preserve"> </w:t>
      </w:r>
      <w:r w:rsidRPr="00C06435">
        <w:rPr>
          <w:rFonts w:ascii="Verdana" w:hAnsi="Verdana"/>
          <w:sz w:val="16"/>
          <w:szCs w:val="16"/>
        </w:rPr>
        <w:t>Consejo</w:t>
      </w:r>
      <w:r w:rsidRPr="00C06435">
        <w:rPr>
          <w:rFonts w:ascii="Verdana" w:hAnsi="Verdana"/>
          <w:spacing w:val="4"/>
          <w:sz w:val="16"/>
          <w:szCs w:val="16"/>
        </w:rPr>
        <w:t xml:space="preserve"> </w:t>
      </w:r>
      <w:r w:rsidRPr="00C06435">
        <w:rPr>
          <w:rFonts w:ascii="Verdana" w:hAnsi="Verdana"/>
          <w:sz w:val="16"/>
          <w:szCs w:val="16"/>
        </w:rPr>
        <w:t>de</w:t>
      </w:r>
      <w:r w:rsidRPr="00C06435">
        <w:rPr>
          <w:rFonts w:ascii="Verdana" w:hAnsi="Verdana"/>
          <w:spacing w:val="3"/>
          <w:sz w:val="16"/>
          <w:szCs w:val="16"/>
        </w:rPr>
        <w:t xml:space="preserve"> </w:t>
      </w:r>
      <w:r w:rsidRPr="00C06435">
        <w:rPr>
          <w:rFonts w:ascii="Verdana" w:hAnsi="Verdana"/>
          <w:sz w:val="16"/>
          <w:szCs w:val="16"/>
        </w:rPr>
        <w:t>Estado,</w:t>
      </w:r>
      <w:r w:rsidRPr="00C06435">
        <w:rPr>
          <w:rFonts w:ascii="Verdana" w:hAnsi="Verdana"/>
          <w:spacing w:val="4"/>
          <w:sz w:val="16"/>
          <w:szCs w:val="16"/>
        </w:rPr>
        <w:t xml:space="preserve"> </w:t>
      </w:r>
      <w:r w:rsidRPr="00C06435">
        <w:rPr>
          <w:rFonts w:ascii="Verdana" w:hAnsi="Verdana"/>
          <w:sz w:val="16"/>
          <w:szCs w:val="16"/>
        </w:rPr>
        <w:t>Sentencia</w:t>
      </w:r>
      <w:r w:rsidRPr="00C06435">
        <w:rPr>
          <w:rFonts w:ascii="Verdana" w:hAnsi="Verdana"/>
          <w:spacing w:val="4"/>
          <w:sz w:val="16"/>
          <w:szCs w:val="16"/>
        </w:rPr>
        <w:t xml:space="preserve"> </w:t>
      </w:r>
      <w:r w:rsidRPr="00C06435">
        <w:rPr>
          <w:rFonts w:ascii="Verdana" w:hAnsi="Verdana"/>
          <w:sz w:val="16"/>
          <w:szCs w:val="16"/>
        </w:rPr>
        <w:t>del</w:t>
      </w:r>
      <w:r w:rsidRPr="00C06435">
        <w:rPr>
          <w:rFonts w:ascii="Verdana" w:hAnsi="Verdana"/>
          <w:spacing w:val="3"/>
          <w:sz w:val="16"/>
          <w:szCs w:val="16"/>
        </w:rPr>
        <w:t xml:space="preserve"> </w:t>
      </w:r>
      <w:r w:rsidRPr="00C06435">
        <w:rPr>
          <w:rFonts w:ascii="Verdana" w:hAnsi="Verdana"/>
          <w:sz w:val="16"/>
          <w:szCs w:val="16"/>
        </w:rPr>
        <w:t>3</w:t>
      </w:r>
      <w:r w:rsidRPr="00C06435">
        <w:rPr>
          <w:rFonts w:ascii="Verdana" w:hAnsi="Verdana"/>
          <w:spacing w:val="3"/>
          <w:sz w:val="16"/>
          <w:szCs w:val="16"/>
        </w:rPr>
        <w:t xml:space="preserve"> </w:t>
      </w:r>
      <w:r w:rsidRPr="00C06435">
        <w:rPr>
          <w:rFonts w:ascii="Verdana" w:hAnsi="Verdana"/>
          <w:sz w:val="16"/>
          <w:szCs w:val="16"/>
        </w:rPr>
        <w:t>de</w:t>
      </w:r>
      <w:r w:rsidRPr="00C06435">
        <w:rPr>
          <w:rFonts w:ascii="Verdana" w:hAnsi="Verdana"/>
          <w:spacing w:val="3"/>
          <w:sz w:val="16"/>
          <w:szCs w:val="16"/>
        </w:rPr>
        <w:t xml:space="preserve"> </w:t>
      </w:r>
      <w:r w:rsidRPr="00C06435">
        <w:rPr>
          <w:rFonts w:ascii="Verdana" w:hAnsi="Verdana"/>
          <w:sz w:val="16"/>
          <w:szCs w:val="16"/>
        </w:rPr>
        <w:t>octubre</w:t>
      </w:r>
      <w:r w:rsidRPr="00C06435">
        <w:rPr>
          <w:rFonts w:ascii="Verdana" w:hAnsi="Verdana"/>
          <w:spacing w:val="3"/>
          <w:sz w:val="16"/>
          <w:szCs w:val="16"/>
        </w:rPr>
        <w:t xml:space="preserve"> </w:t>
      </w:r>
      <w:r w:rsidRPr="00C06435">
        <w:rPr>
          <w:rFonts w:ascii="Verdana" w:hAnsi="Verdana"/>
          <w:sz w:val="16"/>
          <w:szCs w:val="16"/>
        </w:rPr>
        <w:t>de</w:t>
      </w:r>
      <w:r w:rsidRPr="00C06435">
        <w:rPr>
          <w:rFonts w:ascii="Verdana" w:hAnsi="Verdana"/>
          <w:spacing w:val="1"/>
          <w:sz w:val="16"/>
          <w:szCs w:val="16"/>
        </w:rPr>
        <w:t xml:space="preserve"> </w:t>
      </w:r>
      <w:r w:rsidRPr="00C06435">
        <w:rPr>
          <w:rFonts w:ascii="Verdana" w:hAnsi="Verdana"/>
          <w:sz w:val="16"/>
          <w:szCs w:val="16"/>
        </w:rPr>
        <w:t>2000,</w:t>
      </w:r>
      <w:r w:rsidRPr="00C06435">
        <w:rPr>
          <w:rFonts w:ascii="Verdana" w:hAnsi="Verdana"/>
          <w:spacing w:val="-3"/>
          <w:sz w:val="16"/>
          <w:szCs w:val="16"/>
        </w:rPr>
        <w:t xml:space="preserve"> </w:t>
      </w:r>
      <w:r w:rsidRPr="00C06435">
        <w:rPr>
          <w:rFonts w:ascii="Verdana" w:hAnsi="Verdana"/>
          <w:sz w:val="16"/>
          <w:szCs w:val="16"/>
        </w:rPr>
        <w:t>expedientes</w:t>
      </w:r>
      <w:r w:rsidRPr="00C06435">
        <w:rPr>
          <w:rFonts w:ascii="Verdana" w:hAnsi="Verdana"/>
          <w:spacing w:val="-2"/>
          <w:sz w:val="16"/>
          <w:szCs w:val="16"/>
        </w:rPr>
        <w:t xml:space="preserve"> </w:t>
      </w:r>
      <w:r w:rsidRPr="00C06435">
        <w:rPr>
          <w:rFonts w:ascii="Verdana" w:hAnsi="Verdana"/>
          <w:sz w:val="16"/>
          <w:szCs w:val="16"/>
        </w:rPr>
        <w:t>AC-10529</w:t>
      </w:r>
      <w:r w:rsidRPr="00C06435">
        <w:rPr>
          <w:rFonts w:ascii="Verdana" w:hAnsi="Verdana"/>
          <w:spacing w:val="-2"/>
          <w:sz w:val="16"/>
          <w:szCs w:val="16"/>
        </w:rPr>
        <w:t xml:space="preserve"> </w:t>
      </w:r>
      <w:r w:rsidRPr="00C06435">
        <w:rPr>
          <w:rFonts w:ascii="Verdana" w:hAnsi="Verdana"/>
          <w:sz w:val="16"/>
          <w:szCs w:val="16"/>
        </w:rPr>
        <w:t>y</w:t>
      </w:r>
      <w:r w:rsidRPr="00C06435">
        <w:rPr>
          <w:rFonts w:ascii="Verdana" w:hAnsi="Verdana"/>
          <w:spacing w:val="-2"/>
          <w:sz w:val="16"/>
          <w:szCs w:val="16"/>
        </w:rPr>
        <w:t xml:space="preserve"> </w:t>
      </w:r>
      <w:r w:rsidRPr="00C06435">
        <w:rPr>
          <w:rFonts w:ascii="Verdana" w:hAnsi="Verdana"/>
          <w:sz w:val="16"/>
          <w:szCs w:val="16"/>
        </w:rPr>
        <w:t>AC-10968</w:t>
      </w:r>
      <w:r w:rsidRPr="00C06435">
        <w:rPr>
          <w:rFonts w:ascii="Verdana" w:hAnsi="Verdana"/>
          <w:spacing w:val="-2"/>
          <w:sz w:val="16"/>
          <w:szCs w:val="16"/>
        </w:rPr>
        <w:t xml:space="preserve"> </w:t>
      </w:r>
      <w:r w:rsidRPr="00C06435">
        <w:rPr>
          <w:rFonts w:ascii="Verdana" w:hAnsi="Verdana"/>
          <w:sz w:val="16"/>
          <w:szCs w:val="16"/>
        </w:rPr>
        <w:t>con</w:t>
      </w:r>
      <w:r w:rsidRPr="00C06435">
        <w:rPr>
          <w:rFonts w:ascii="Verdana" w:hAnsi="Verdana"/>
          <w:spacing w:val="-2"/>
          <w:sz w:val="16"/>
          <w:szCs w:val="16"/>
        </w:rPr>
        <w:t xml:space="preserve"> </w:t>
      </w:r>
      <w:r w:rsidRPr="00C06435">
        <w:rPr>
          <w:rFonts w:ascii="Verdana" w:hAnsi="Verdana"/>
          <w:sz w:val="16"/>
          <w:szCs w:val="16"/>
        </w:rPr>
        <w:t>ponencia</w:t>
      </w:r>
      <w:r w:rsidRPr="00C06435">
        <w:rPr>
          <w:rFonts w:ascii="Verdana" w:hAnsi="Verdana"/>
          <w:spacing w:val="-2"/>
          <w:sz w:val="16"/>
          <w:szCs w:val="16"/>
        </w:rPr>
        <w:t xml:space="preserve"> </w:t>
      </w:r>
      <w:r w:rsidRPr="00C06435">
        <w:rPr>
          <w:rFonts w:ascii="Verdana" w:hAnsi="Verdana"/>
          <w:sz w:val="16"/>
          <w:szCs w:val="16"/>
        </w:rPr>
        <w:t>de</w:t>
      </w:r>
      <w:r w:rsidRPr="00C06435">
        <w:rPr>
          <w:rFonts w:ascii="Verdana" w:hAnsi="Verdana"/>
          <w:spacing w:val="-2"/>
          <w:sz w:val="16"/>
          <w:szCs w:val="16"/>
        </w:rPr>
        <w:t xml:space="preserve"> </w:t>
      </w:r>
      <w:r w:rsidRPr="00C06435">
        <w:rPr>
          <w:rFonts w:ascii="Verdana" w:hAnsi="Verdana"/>
          <w:sz w:val="16"/>
          <w:szCs w:val="16"/>
        </w:rPr>
        <w:t>Darío</w:t>
      </w:r>
      <w:r w:rsidRPr="00C06435">
        <w:rPr>
          <w:rFonts w:ascii="Verdana" w:hAnsi="Verdana"/>
          <w:spacing w:val="-2"/>
          <w:sz w:val="16"/>
          <w:szCs w:val="16"/>
        </w:rPr>
        <w:t xml:space="preserve"> </w:t>
      </w:r>
      <w:r w:rsidRPr="00C06435">
        <w:rPr>
          <w:rFonts w:ascii="Verdana" w:hAnsi="Verdana"/>
          <w:sz w:val="16"/>
          <w:szCs w:val="16"/>
        </w:rPr>
        <w:t>Quiñónez</w:t>
      </w:r>
      <w:r w:rsidRPr="00C06435">
        <w:rPr>
          <w:rFonts w:ascii="Verdana" w:hAnsi="Verdana"/>
          <w:spacing w:val="-2"/>
          <w:sz w:val="16"/>
          <w:szCs w:val="16"/>
        </w:rPr>
        <w:t xml:space="preserve"> </w:t>
      </w:r>
      <w:r w:rsidRPr="00C06435">
        <w:rPr>
          <w:rFonts w:ascii="Verdana" w:hAnsi="Verdana"/>
          <w:sz w:val="16"/>
          <w:szCs w:val="16"/>
        </w:rPr>
        <w:t>Pinilla</w:t>
      </w:r>
      <w:r>
        <w:rPr>
          <w:rFonts w:ascii="Verdana" w:hAnsi="Verdana"/>
          <w:sz w:val="16"/>
          <w:szCs w:val="16"/>
        </w:rPr>
        <w:t>.</w:t>
      </w:r>
    </w:p>
    <w:p w14:paraId="264E0449" w14:textId="77777777" w:rsidR="002F6426" w:rsidRPr="00C06435" w:rsidRDefault="002F6426" w:rsidP="002F6426">
      <w:pPr>
        <w:pStyle w:val="Textonotapie"/>
        <w:ind w:firstLine="708"/>
        <w:jc w:val="both"/>
        <w:rPr>
          <w:rFonts w:ascii="Verdana" w:hAnsi="Verdana"/>
          <w:sz w:val="16"/>
          <w:szCs w:val="16"/>
          <w:lang w:val="es-CO"/>
        </w:rPr>
      </w:pPr>
    </w:p>
  </w:footnote>
  <w:footnote w:id="15">
    <w:p w14:paraId="1A072D81" w14:textId="77777777" w:rsidR="002F6426" w:rsidRPr="00C06435" w:rsidRDefault="002F6426" w:rsidP="002F6426">
      <w:pPr>
        <w:pStyle w:val="Textonotapie"/>
        <w:ind w:firstLine="708"/>
        <w:jc w:val="both"/>
        <w:rPr>
          <w:rFonts w:ascii="Verdana" w:hAnsi="Verdana"/>
          <w:sz w:val="16"/>
          <w:szCs w:val="16"/>
          <w:lang w:val="es-CO"/>
        </w:rPr>
      </w:pPr>
      <w:r w:rsidRPr="00C06435">
        <w:rPr>
          <w:rStyle w:val="Refdenotaalpie"/>
          <w:rFonts w:ascii="Verdana" w:hAnsi="Verdana"/>
          <w:sz w:val="16"/>
          <w:szCs w:val="16"/>
        </w:rPr>
        <w:footnoteRef/>
      </w:r>
      <w:r w:rsidRPr="00C06435">
        <w:rPr>
          <w:rFonts w:ascii="Verdana" w:hAnsi="Verdana"/>
          <w:sz w:val="16"/>
          <w:szCs w:val="16"/>
        </w:rPr>
        <w:t xml:space="preserve"> </w:t>
      </w:r>
      <w:r w:rsidRPr="00C06435">
        <w:rPr>
          <w:rFonts w:ascii="Verdana" w:hAnsi="Verdana"/>
          <w:sz w:val="16"/>
          <w:szCs w:val="16"/>
          <w:lang w:val="es-CO"/>
        </w:rPr>
        <w:t>Ibidem</w:t>
      </w:r>
    </w:p>
  </w:footnote>
  <w:footnote w:id="16">
    <w:p w14:paraId="20695E32" w14:textId="77777777" w:rsidR="002F6426" w:rsidRDefault="002F6426" w:rsidP="002F6426">
      <w:pPr>
        <w:pStyle w:val="Textonotapie"/>
        <w:ind w:firstLine="708"/>
        <w:jc w:val="both"/>
        <w:rPr>
          <w:rFonts w:ascii="Verdana" w:hAnsi="Verdana"/>
          <w:sz w:val="16"/>
          <w:szCs w:val="16"/>
        </w:rPr>
      </w:pPr>
      <w:r w:rsidRPr="00C06435">
        <w:rPr>
          <w:rStyle w:val="Refdenotaalpie"/>
          <w:rFonts w:ascii="Verdana" w:hAnsi="Verdana"/>
          <w:sz w:val="16"/>
          <w:szCs w:val="16"/>
        </w:rPr>
        <w:footnoteRef/>
      </w:r>
      <w:r w:rsidRPr="00C06435">
        <w:rPr>
          <w:rFonts w:ascii="Verdana" w:hAnsi="Verdana"/>
          <w:sz w:val="16"/>
          <w:szCs w:val="16"/>
        </w:rPr>
        <w:t xml:space="preserve"> Consejo</w:t>
      </w:r>
      <w:r w:rsidRPr="00C06435">
        <w:rPr>
          <w:rFonts w:ascii="Verdana" w:hAnsi="Verdana"/>
          <w:spacing w:val="-5"/>
          <w:sz w:val="16"/>
          <w:szCs w:val="16"/>
        </w:rPr>
        <w:t xml:space="preserve"> </w:t>
      </w:r>
      <w:r w:rsidRPr="00C06435">
        <w:rPr>
          <w:rFonts w:ascii="Verdana" w:hAnsi="Verdana"/>
          <w:sz w:val="16"/>
          <w:szCs w:val="16"/>
        </w:rPr>
        <w:t>de</w:t>
      </w:r>
      <w:r w:rsidRPr="00C06435">
        <w:rPr>
          <w:rFonts w:ascii="Verdana" w:hAnsi="Verdana"/>
          <w:spacing w:val="-4"/>
          <w:sz w:val="16"/>
          <w:szCs w:val="16"/>
        </w:rPr>
        <w:t xml:space="preserve"> </w:t>
      </w:r>
      <w:r w:rsidRPr="00C06435">
        <w:rPr>
          <w:rFonts w:ascii="Verdana" w:hAnsi="Verdana"/>
          <w:sz w:val="16"/>
          <w:szCs w:val="16"/>
        </w:rPr>
        <w:t>Estado.</w:t>
      </w:r>
      <w:r w:rsidRPr="00C06435">
        <w:rPr>
          <w:rFonts w:ascii="Verdana" w:hAnsi="Verdana"/>
          <w:spacing w:val="-5"/>
          <w:sz w:val="16"/>
          <w:szCs w:val="16"/>
        </w:rPr>
        <w:t xml:space="preserve"> </w:t>
      </w:r>
      <w:r w:rsidRPr="00C06435">
        <w:rPr>
          <w:rFonts w:ascii="Verdana" w:hAnsi="Verdana"/>
          <w:sz w:val="16"/>
          <w:szCs w:val="16"/>
        </w:rPr>
        <w:t>Sentencia</w:t>
      </w:r>
      <w:r w:rsidRPr="00C06435">
        <w:rPr>
          <w:rFonts w:ascii="Verdana" w:hAnsi="Verdana"/>
          <w:spacing w:val="-5"/>
          <w:sz w:val="16"/>
          <w:szCs w:val="16"/>
        </w:rPr>
        <w:t xml:space="preserve"> </w:t>
      </w:r>
      <w:r w:rsidRPr="00C06435">
        <w:rPr>
          <w:rFonts w:ascii="Verdana" w:hAnsi="Verdana"/>
          <w:sz w:val="16"/>
          <w:szCs w:val="16"/>
        </w:rPr>
        <w:t>del</w:t>
      </w:r>
      <w:r w:rsidRPr="00C06435">
        <w:rPr>
          <w:rFonts w:ascii="Verdana" w:hAnsi="Verdana"/>
          <w:spacing w:val="-4"/>
          <w:sz w:val="16"/>
          <w:szCs w:val="16"/>
        </w:rPr>
        <w:t xml:space="preserve"> </w:t>
      </w:r>
      <w:r w:rsidRPr="00C06435">
        <w:rPr>
          <w:rFonts w:ascii="Verdana" w:hAnsi="Verdana"/>
          <w:sz w:val="16"/>
          <w:szCs w:val="16"/>
        </w:rPr>
        <w:t>10</w:t>
      </w:r>
      <w:r w:rsidRPr="00C06435">
        <w:rPr>
          <w:rFonts w:ascii="Verdana" w:hAnsi="Verdana"/>
          <w:spacing w:val="-5"/>
          <w:sz w:val="16"/>
          <w:szCs w:val="16"/>
        </w:rPr>
        <w:t xml:space="preserve"> </w:t>
      </w:r>
      <w:r w:rsidRPr="00C06435">
        <w:rPr>
          <w:rFonts w:ascii="Verdana" w:hAnsi="Verdana"/>
          <w:sz w:val="16"/>
          <w:szCs w:val="16"/>
        </w:rPr>
        <w:t>de</w:t>
      </w:r>
      <w:r w:rsidRPr="00C06435">
        <w:rPr>
          <w:rFonts w:ascii="Verdana" w:hAnsi="Verdana"/>
          <w:spacing w:val="-5"/>
          <w:sz w:val="16"/>
          <w:szCs w:val="16"/>
        </w:rPr>
        <w:t xml:space="preserve"> </w:t>
      </w:r>
      <w:r w:rsidRPr="00C06435">
        <w:rPr>
          <w:rFonts w:ascii="Verdana" w:hAnsi="Verdana"/>
          <w:sz w:val="16"/>
          <w:szCs w:val="16"/>
        </w:rPr>
        <w:t>febrero</w:t>
      </w:r>
      <w:r w:rsidRPr="00C06435">
        <w:rPr>
          <w:rFonts w:ascii="Verdana" w:hAnsi="Verdana"/>
          <w:spacing w:val="-4"/>
          <w:sz w:val="16"/>
          <w:szCs w:val="16"/>
        </w:rPr>
        <w:t xml:space="preserve"> </w:t>
      </w:r>
      <w:r w:rsidRPr="00C06435">
        <w:rPr>
          <w:rFonts w:ascii="Verdana" w:hAnsi="Verdana"/>
          <w:sz w:val="16"/>
          <w:szCs w:val="16"/>
        </w:rPr>
        <w:t>de</w:t>
      </w:r>
      <w:r w:rsidRPr="00C06435">
        <w:rPr>
          <w:rFonts w:ascii="Verdana" w:hAnsi="Verdana"/>
          <w:spacing w:val="-5"/>
          <w:sz w:val="16"/>
          <w:szCs w:val="16"/>
        </w:rPr>
        <w:t xml:space="preserve"> </w:t>
      </w:r>
      <w:r w:rsidRPr="00C06435">
        <w:rPr>
          <w:rFonts w:ascii="Verdana" w:hAnsi="Verdana"/>
          <w:sz w:val="16"/>
          <w:szCs w:val="16"/>
        </w:rPr>
        <w:t>2022.</w:t>
      </w:r>
      <w:r w:rsidRPr="00C06435">
        <w:rPr>
          <w:rFonts w:ascii="Verdana" w:hAnsi="Verdana"/>
          <w:spacing w:val="-4"/>
          <w:sz w:val="16"/>
          <w:szCs w:val="16"/>
        </w:rPr>
        <w:t xml:space="preserve"> </w:t>
      </w:r>
      <w:r w:rsidRPr="00C06435">
        <w:rPr>
          <w:rFonts w:ascii="Verdana" w:hAnsi="Verdana"/>
          <w:sz w:val="16"/>
          <w:szCs w:val="16"/>
        </w:rPr>
        <w:t>MP:</w:t>
      </w:r>
      <w:r w:rsidRPr="00C06435">
        <w:rPr>
          <w:rFonts w:ascii="Verdana" w:hAnsi="Verdana"/>
          <w:spacing w:val="-5"/>
          <w:sz w:val="16"/>
          <w:szCs w:val="16"/>
        </w:rPr>
        <w:t xml:space="preserve"> </w:t>
      </w:r>
      <w:r w:rsidRPr="00C06435">
        <w:rPr>
          <w:rFonts w:ascii="Verdana" w:hAnsi="Verdana"/>
          <w:sz w:val="16"/>
          <w:szCs w:val="16"/>
        </w:rPr>
        <w:t>César</w:t>
      </w:r>
      <w:r w:rsidRPr="00C06435">
        <w:rPr>
          <w:rFonts w:ascii="Verdana" w:hAnsi="Verdana"/>
          <w:spacing w:val="-5"/>
          <w:sz w:val="16"/>
          <w:szCs w:val="16"/>
        </w:rPr>
        <w:t xml:space="preserve"> </w:t>
      </w:r>
      <w:r w:rsidRPr="00C06435">
        <w:rPr>
          <w:rFonts w:ascii="Verdana" w:hAnsi="Verdana"/>
          <w:sz w:val="16"/>
          <w:szCs w:val="16"/>
        </w:rPr>
        <w:t>Palomino</w:t>
      </w:r>
      <w:r w:rsidRPr="00C06435">
        <w:rPr>
          <w:rFonts w:ascii="Verdana" w:hAnsi="Verdana"/>
          <w:spacing w:val="-4"/>
          <w:sz w:val="16"/>
          <w:szCs w:val="16"/>
        </w:rPr>
        <w:t xml:space="preserve"> </w:t>
      </w:r>
      <w:r w:rsidRPr="00C06435">
        <w:rPr>
          <w:rFonts w:ascii="Verdana" w:hAnsi="Verdana"/>
          <w:sz w:val="16"/>
          <w:szCs w:val="16"/>
        </w:rPr>
        <w:t>Cortés.</w:t>
      </w:r>
    </w:p>
    <w:p w14:paraId="054F5DB7" w14:textId="77777777" w:rsidR="002F6426" w:rsidRPr="00C06435" w:rsidRDefault="002F6426" w:rsidP="002F6426">
      <w:pPr>
        <w:pStyle w:val="Textonotapie"/>
        <w:ind w:firstLine="708"/>
        <w:jc w:val="both"/>
        <w:rPr>
          <w:rFonts w:ascii="Verdana" w:hAnsi="Verdana"/>
          <w:sz w:val="16"/>
          <w:szCs w:val="16"/>
          <w:lang w:val="es-CO"/>
        </w:rPr>
      </w:pPr>
    </w:p>
  </w:footnote>
  <w:footnote w:id="17">
    <w:p w14:paraId="50CAD5C6" w14:textId="77777777" w:rsidR="002F6426" w:rsidRPr="00E931C6" w:rsidRDefault="002F6426" w:rsidP="002F6426">
      <w:pPr>
        <w:pStyle w:val="Textonotapie"/>
        <w:ind w:firstLine="708"/>
        <w:jc w:val="both"/>
        <w:rPr>
          <w:rFonts w:ascii="Verdana" w:hAnsi="Verdana"/>
          <w:sz w:val="16"/>
          <w:szCs w:val="16"/>
          <w:lang w:val="es-CO"/>
        </w:rPr>
      </w:pPr>
      <w:r w:rsidRPr="00E931C6">
        <w:rPr>
          <w:rStyle w:val="Refdenotaalpie"/>
          <w:rFonts w:ascii="Verdana" w:hAnsi="Verdana"/>
          <w:sz w:val="16"/>
          <w:szCs w:val="16"/>
        </w:rPr>
        <w:footnoteRef/>
      </w:r>
      <w:r w:rsidRPr="00E931C6">
        <w:rPr>
          <w:rFonts w:ascii="Verdana" w:hAnsi="Verdana"/>
          <w:sz w:val="16"/>
          <w:szCs w:val="16"/>
        </w:rPr>
        <w:t xml:space="preserve"> De acuerdo con la jurisprudencia, el fraccionamiento “[…] se configura, cuando la </w:t>
      </w:r>
      <w:proofErr w:type="spellStart"/>
      <w:r w:rsidRPr="00E931C6">
        <w:rPr>
          <w:rFonts w:ascii="Verdana" w:hAnsi="Verdana"/>
          <w:sz w:val="16"/>
          <w:szCs w:val="16"/>
        </w:rPr>
        <w:t>administración</w:t>
      </w:r>
      <w:proofErr w:type="spellEnd"/>
      <w:r w:rsidRPr="00E931C6">
        <w:rPr>
          <w:rFonts w:ascii="Verdana" w:hAnsi="Verdana"/>
          <w:sz w:val="16"/>
          <w:szCs w:val="16"/>
        </w:rPr>
        <w:t xml:space="preserve"> de manera artificiosa divide la unidad natural del objeto contractual, a fin de seleccionar directamente al contratista cuando </w:t>
      </w:r>
      <w:proofErr w:type="spellStart"/>
      <w:r w:rsidRPr="00E931C6">
        <w:rPr>
          <w:rFonts w:ascii="Verdana" w:hAnsi="Verdana"/>
          <w:sz w:val="16"/>
          <w:szCs w:val="16"/>
        </w:rPr>
        <w:t>debía</w:t>
      </w:r>
      <w:proofErr w:type="spellEnd"/>
      <w:r w:rsidRPr="00E931C6">
        <w:rPr>
          <w:rFonts w:ascii="Verdana" w:hAnsi="Verdana"/>
          <w:sz w:val="16"/>
          <w:szCs w:val="16"/>
        </w:rPr>
        <w:t xml:space="preserve"> convocar un proceso de </w:t>
      </w:r>
      <w:proofErr w:type="spellStart"/>
      <w:r w:rsidRPr="00E931C6">
        <w:rPr>
          <w:rFonts w:ascii="Verdana" w:hAnsi="Verdana"/>
          <w:sz w:val="16"/>
          <w:szCs w:val="16"/>
        </w:rPr>
        <w:t>licitación</w:t>
      </w:r>
      <w:proofErr w:type="spellEnd"/>
      <w:r w:rsidRPr="00E931C6">
        <w:rPr>
          <w:rFonts w:ascii="Verdana" w:hAnsi="Verdana"/>
          <w:sz w:val="16"/>
          <w:szCs w:val="16"/>
        </w:rPr>
        <w:t xml:space="preserve">, o para acomodarlo a un proceso menos estricto y riguroso de </w:t>
      </w:r>
      <w:proofErr w:type="spellStart"/>
      <w:r w:rsidRPr="00E931C6">
        <w:rPr>
          <w:rFonts w:ascii="Verdana" w:hAnsi="Verdana"/>
          <w:sz w:val="16"/>
          <w:szCs w:val="16"/>
        </w:rPr>
        <w:t>contratación</w:t>
      </w:r>
      <w:proofErr w:type="spellEnd"/>
      <w:r w:rsidRPr="00E931C6">
        <w:rPr>
          <w:rFonts w:ascii="Verdana" w:hAnsi="Verdana"/>
          <w:sz w:val="16"/>
          <w:szCs w:val="16"/>
        </w:rPr>
        <w:t xml:space="preserve"> en defecto del que se </w:t>
      </w:r>
      <w:proofErr w:type="spellStart"/>
      <w:r w:rsidRPr="00E931C6">
        <w:rPr>
          <w:rFonts w:ascii="Verdana" w:hAnsi="Verdana"/>
          <w:sz w:val="16"/>
          <w:szCs w:val="16"/>
        </w:rPr>
        <w:t>imponía</w:t>
      </w:r>
      <w:proofErr w:type="spellEnd"/>
      <w:r w:rsidRPr="00E931C6">
        <w:rPr>
          <w:rFonts w:ascii="Verdana" w:hAnsi="Verdana"/>
          <w:sz w:val="16"/>
          <w:szCs w:val="16"/>
        </w:rPr>
        <w:t xml:space="preserve"> seguir atendidos su objeto y </w:t>
      </w:r>
      <w:proofErr w:type="spellStart"/>
      <w:r w:rsidRPr="00E931C6">
        <w:rPr>
          <w:rFonts w:ascii="Verdana" w:hAnsi="Verdana"/>
          <w:sz w:val="16"/>
          <w:szCs w:val="16"/>
        </w:rPr>
        <w:t>cuantía</w:t>
      </w:r>
      <w:proofErr w:type="spellEnd"/>
      <w:r w:rsidRPr="00E931C6">
        <w:rPr>
          <w:rFonts w:ascii="Verdana" w:hAnsi="Verdana"/>
          <w:sz w:val="16"/>
          <w:szCs w:val="16"/>
        </w:rPr>
        <w:t xml:space="preserve">, </w:t>
      </w:r>
      <w:proofErr w:type="spellStart"/>
      <w:r w:rsidRPr="00E931C6">
        <w:rPr>
          <w:rFonts w:ascii="Verdana" w:hAnsi="Verdana"/>
          <w:sz w:val="16"/>
          <w:szCs w:val="16"/>
        </w:rPr>
        <w:t>práctica</w:t>
      </w:r>
      <w:proofErr w:type="spellEnd"/>
      <w:r w:rsidRPr="00E931C6">
        <w:rPr>
          <w:rFonts w:ascii="Verdana" w:hAnsi="Verdana"/>
          <w:sz w:val="16"/>
          <w:szCs w:val="16"/>
        </w:rPr>
        <w:t xml:space="preserve"> que </w:t>
      </w:r>
      <w:proofErr w:type="spellStart"/>
      <w:r w:rsidRPr="00E931C6">
        <w:rPr>
          <w:rFonts w:ascii="Verdana" w:hAnsi="Verdana"/>
          <w:sz w:val="16"/>
          <w:szCs w:val="16"/>
        </w:rPr>
        <w:t>riñe</w:t>
      </w:r>
      <w:proofErr w:type="spellEnd"/>
      <w:r w:rsidRPr="00E931C6">
        <w:rPr>
          <w:rFonts w:ascii="Verdana" w:hAnsi="Verdana"/>
          <w:sz w:val="16"/>
          <w:szCs w:val="16"/>
        </w:rPr>
        <w:t xml:space="preserve"> con las normas que rigen la </w:t>
      </w:r>
      <w:proofErr w:type="spellStart"/>
      <w:r w:rsidRPr="00E931C6">
        <w:rPr>
          <w:rFonts w:ascii="Verdana" w:hAnsi="Verdana"/>
          <w:sz w:val="16"/>
          <w:szCs w:val="16"/>
        </w:rPr>
        <w:t>contratación</w:t>
      </w:r>
      <w:proofErr w:type="spellEnd"/>
      <w:r w:rsidRPr="00E931C6">
        <w:rPr>
          <w:rFonts w:ascii="Verdana" w:hAnsi="Verdana"/>
          <w:sz w:val="16"/>
          <w:szCs w:val="16"/>
        </w:rPr>
        <w:t xml:space="preserve"> estatal, particularmente con los principios de transparencia y de </w:t>
      </w:r>
      <w:proofErr w:type="spellStart"/>
      <w:r w:rsidRPr="00E931C6">
        <w:rPr>
          <w:rFonts w:ascii="Verdana" w:hAnsi="Verdana"/>
          <w:sz w:val="16"/>
          <w:szCs w:val="16"/>
        </w:rPr>
        <w:t>selección</w:t>
      </w:r>
      <w:proofErr w:type="spellEnd"/>
      <w:r w:rsidRPr="00E931C6">
        <w:rPr>
          <w:rFonts w:ascii="Verdana" w:hAnsi="Verdana"/>
          <w:sz w:val="16"/>
          <w:szCs w:val="16"/>
        </w:rPr>
        <w:t xml:space="preserve"> objetiva” (CORTE SUPREMA DE JUSTICIA. Sala Especial de Primera Instancia. Sentencia del 17 de marzo de 2022. Rad. 00267. M.P. Ariel Augusto Torres Rojas).  </w:t>
      </w:r>
    </w:p>
  </w:footnote>
  <w:footnote w:id="18">
    <w:p w14:paraId="1077F1C9" w14:textId="77777777" w:rsidR="002F6426" w:rsidRPr="00E931C6" w:rsidRDefault="002F6426" w:rsidP="002F6426">
      <w:pPr>
        <w:pStyle w:val="Textonotapie"/>
        <w:ind w:firstLine="708"/>
        <w:jc w:val="both"/>
        <w:rPr>
          <w:rFonts w:ascii="Verdana" w:hAnsi="Verdana"/>
          <w:sz w:val="16"/>
          <w:szCs w:val="16"/>
          <w:lang w:val="es-CO"/>
        </w:rPr>
      </w:pPr>
      <w:r w:rsidRPr="00E931C6">
        <w:rPr>
          <w:rStyle w:val="Refdenotaalpie"/>
          <w:rFonts w:ascii="Verdana" w:hAnsi="Verdana"/>
          <w:sz w:val="16"/>
          <w:szCs w:val="16"/>
        </w:rPr>
        <w:footnoteRef/>
      </w:r>
      <w:r w:rsidRPr="00E931C6">
        <w:rPr>
          <w:rFonts w:ascii="Verdana" w:hAnsi="Verdana"/>
          <w:sz w:val="16"/>
          <w:szCs w:val="16"/>
        </w:rPr>
        <w:t xml:space="preserve"> Cfr. CORTE SUPREMA DE JUSTICIA. Sala Especial de Primera Instancia. Sentencia del 23 de marzo de 2006. Rad. 21780. M.P. Edgar Lombana Trujillo.</w:t>
      </w:r>
    </w:p>
  </w:footnote>
  <w:footnote w:id="19">
    <w:p w14:paraId="6483723A" w14:textId="77777777" w:rsidR="002F6426" w:rsidRPr="00C06435" w:rsidRDefault="002F6426" w:rsidP="002F6426">
      <w:pPr>
        <w:pStyle w:val="Textonotapie"/>
        <w:ind w:firstLine="708"/>
        <w:jc w:val="both"/>
        <w:rPr>
          <w:rFonts w:ascii="Verdana" w:hAnsi="Verdana"/>
          <w:sz w:val="16"/>
          <w:szCs w:val="16"/>
          <w:lang w:val="es-CO"/>
        </w:rPr>
      </w:pPr>
      <w:r w:rsidRPr="00C06435">
        <w:rPr>
          <w:rStyle w:val="Refdenotaalpie"/>
          <w:rFonts w:ascii="Verdana" w:hAnsi="Verdana"/>
          <w:sz w:val="16"/>
          <w:szCs w:val="16"/>
        </w:rPr>
        <w:footnoteRef/>
      </w:r>
      <w:r w:rsidRPr="00C06435">
        <w:rPr>
          <w:rFonts w:ascii="Verdana" w:hAnsi="Verdana"/>
          <w:sz w:val="16"/>
          <w:szCs w:val="16"/>
        </w:rPr>
        <w:t xml:space="preserve"> </w:t>
      </w:r>
      <w:r w:rsidRPr="00C06435">
        <w:rPr>
          <w:rFonts w:ascii="Verdana" w:hAnsi="Verdana"/>
          <w:sz w:val="16"/>
          <w:szCs w:val="16"/>
          <w:lang w:val="es-CO"/>
        </w:rPr>
        <w:t>ibidem</w:t>
      </w:r>
    </w:p>
  </w:footnote>
  <w:footnote w:id="20">
    <w:p w14:paraId="21C1FC7B" w14:textId="77777777" w:rsidR="002F6426" w:rsidRDefault="002F6426" w:rsidP="002F6426">
      <w:pPr>
        <w:pStyle w:val="Textonotapie"/>
        <w:ind w:left="40" w:firstLine="668"/>
        <w:jc w:val="both"/>
        <w:rPr>
          <w:rFonts w:ascii="Verdana" w:hAnsi="Verdana" w:cs="Arial"/>
          <w:sz w:val="16"/>
          <w:szCs w:val="16"/>
          <w:vertAlign w:val="superscript"/>
        </w:rPr>
      </w:pPr>
    </w:p>
    <w:p w14:paraId="29FFB342" w14:textId="77777777" w:rsidR="002F6426" w:rsidRPr="00C06435" w:rsidRDefault="002F6426" w:rsidP="002F6426">
      <w:pPr>
        <w:pStyle w:val="Textonotapie"/>
        <w:ind w:left="40" w:firstLine="668"/>
        <w:jc w:val="both"/>
        <w:rPr>
          <w:rFonts w:ascii="Verdana" w:hAnsi="Verdana" w:cs="Arial"/>
          <w:sz w:val="16"/>
          <w:szCs w:val="16"/>
        </w:rPr>
      </w:pPr>
      <w:r w:rsidRPr="00C06435">
        <w:rPr>
          <w:rFonts w:ascii="Verdana" w:hAnsi="Verdana" w:cs="Arial"/>
          <w:sz w:val="16"/>
          <w:szCs w:val="16"/>
        </w:rPr>
        <w:footnoteRef/>
      </w:r>
      <w:r w:rsidRPr="00C06435">
        <w:rPr>
          <w:rFonts w:ascii="Verdana" w:hAnsi="Verdana" w:cs="Arial"/>
          <w:sz w:val="16"/>
          <w:szCs w:val="16"/>
          <w:vertAlign w:val="superscript"/>
        </w:rPr>
        <w:t xml:space="preserve"> </w:t>
      </w:r>
      <w:r w:rsidRPr="00C06435">
        <w:rPr>
          <w:rFonts w:ascii="Verdana" w:hAnsi="Verdana" w:cs="Arial"/>
          <w:sz w:val="16"/>
          <w:szCs w:val="16"/>
        </w:rPr>
        <w:t>Rodríguez Tamayo, Mauricio Fernando. Los contratos estatales, 3 edición, Bogotá, Tirant lo Blanch, 2022. Pág. 370.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0.5pt;height:10.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2BF5CD0"/>
    <w:multiLevelType w:val="hybridMultilevel"/>
    <w:tmpl w:val="6A1AE88A"/>
    <w:lvl w:ilvl="0" w:tplc="C8C6EE7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73804097"/>
    <w:multiLevelType w:val="hybridMultilevel"/>
    <w:tmpl w:val="403E0EB2"/>
    <w:lvl w:ilvl="0" w:tplc="D012D8E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771366143">
    <w:abstractNumId w:val="7"/>
  </w:num>
  <w:num w:numId="2" w16cid:durableId="1613903667">
    <w:abstractNumId w:val="2"/>
  </w:num>
  <w:num w:numId="3" w16cid:durableId="72702496">
    <w:abstractNumId w:val="5"/>
  </w:num>
  <w:num w:numId="4" w16cid:durableId="13129788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10031451">
    <w:abstractNumId w:val="2"/>
  </w:num>
  <w:num w:numId="6" w16cid:durableId="1617328982">
    <w:abstractNumId w:val="13"/>
  </w:num>
  <w:num w:numId="7" w16cid:durableId="51658579">
    <w:abstractNumId w:val="6"/>
  </w:num>
  <w:num w:numId="8" w16cid:durableId="2122872841">
    <w:abstractNumId w:val="12"/>
  </w:num>
  <w:num w:numId="9" w16cid:durableId="76368855">
    <w:abstractNumId w:val="8"/>
  </w:num>
  <w:num w:numId="10" w16cid:durableId="1297566434">
    <w:abstractNumId w:val="11"/>
  </w:num>
  <w:num w:numId="11" w16cid:durableId="1774780840">
    <w:abstractNumId w:val="9"/>
  </w:num>
  <w:num w:numId="12" w16cid:durableId="76679387">
    <w:abstractNumId w:val="1"/>
  </w:num>
  <w:num w:numId="13" w16cid:durableId="683169205">
    <w:abstractNumId w:val="4"/>
  </w:num>
  <w:num w:numId="14" w16cid:durableId="608665509">
    <w:abstractNumId w:val="14"/>
  </w:num>
  <w:num w:numId="15" w16cid:durableId="1202472210">
    <w:abstractNumId w:val="10"/>
  </w:num>
  <w:num w:numId="16" w16cid:durableId="120718111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8404729">
    <w:abstractNumId w:val="3"/>
  </w:num>
  <w:num w:numId="18" w16cid:durableId="1776055999">
    <w:abstractNumId w:val="15"/>
  </w:num>
  <w:num w:numId="19" w16cid:durableId="49356976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1F7A"/>
    <w:rsid w:val="00046945"/>
    <w:rsid w:val="00051FB7"/>
    <w:rsid w:val="00061B2A"/>
    <w:rsid w:val="0007120B"/>
    <w:rsid w:val="00082362"/>
    <w:rsid w:val="000A683E"/>
    <w:rsid w:val="000B19B9"/>
    <w:rsid w:val="000D0334"/>
    <w:rsid w:val="000D7F68"/>
    <w:rsid w:val="000F6486"/>
    <w:rsid w:val="001211C8"/>
    <w:rsid w:val="00125105"/>
    <w:rsid w:val="00127233"/>
    <w:rsid w:val="00134210"/>
    <w:rsid w:val="00145238"/>
    <w:rsid w:val="001511A0"/>
    <w:rsid w:val="0015380A"/>
    <w:rsid w:val="001D3845"/>
    <w:rsid w:val="001E4177"/>
    <w:rsid w:val="001F7DC6"/>
    <w:rsid w:val="00240F17"/>
    <w:rsid w:val="002421BB"/>
    <w:rsid w:val="00253CBB"/>
    <w:rsid w:val="0025796E"/>
    <w:rsid w:val="00262D83"/>
    <w:rsid w:val="002707A2"/>
    <w:rsid w:val="00271C70"/>
    <w:rsid w:val="002951A0"/>
    <w:rsid w:val="002962BC"/>
    <w:rsid w:val="002A093D"/>
    <w:rsid w:val="002A0DD0"/>
    <w:rsid w:val="002A49AC"/>
    <w:rsid w:val="002A64FD"/>
    <w:rsid w:val="002C7A84"/>
    <w:rsid w:val="002D2F7F"/>
    <w:rsid w:val="002E4FD9"/>
    <w:rsid w:val="002F6426"/>
    <w:rsid w:val="00322A85"/>
    <w:rsid w:val="00324168"/>
    <w:rsid w:val="0032635A"/>
    <w:rsid w:val="0033456F"/>
    <w:rsid w:val="003448F4"/>
    <w:rsid w:val="00374F5E"/>
    <w:rsid w:val="0037658D"/>
    <w:rsid w:val="00377E3E"/>
    <w:rsid w:val="003A779E"/>
    <w:rsid w:val="003C0B01"/>
    <w:rsid w:val="003C14D2"/>
    <w:rsid w:val="003C58B2"/>
    <w:rsid w:val="003D0F4D"/>
    <w:rsid w:val="003D5B0D"/>
    <w:rsid w:val="003E0499"/>
    <w:rsid w:val="003E0EB4"/>
    <w:rsid w:val="003F3941"/>
    <w:rsid w:val="00406575"/>
    <w:rsid w:val="00414C74"/>
    <w:rsid w:val="0042722E"/>
    <w:rsid w:val="0044528D"/>
    <w:rsid w:val="00462369"/>
    <w:rsid w:val="00467990"/>
    <w:rsid w:val="004A0231"/>
    <w:rsid w:val="004A1847"/>
    <w:rsid w:val="004A305D"/>
    <w:rsid w:val="004B2987"/>
    <w:rsid w:val="004C1AFA"/>
    <w:rsid w:val="004F21C4"/>
    <w:rsid w:val="004F3C42"/>
    <w:rsid w:val="004F551F"/>
    <w:rsid w:val="004F685F"/>
    <w:rsid w:val="0050396D"/>
    <w:rsid w:val="00514FF2"/>
    <w:rsid w:val="00532215"/>
    <w:rsid w:val="005566E8"/>
    <w:rsid w:val="00574867"/>
    <w:rsid w:val="005816D5"/>
    <w:rsid w:val="00591460"/>
    <w:rsid w:val="005940A2"/>
    <w:rsid w:val="005A2351"/>
    <w:rsid w:val="005B3816"/>
    <w:rsid w:val="005C2ABF"/>
    <w:rsid w:val="005C3777"/>
    <w:rsid w:val="005C5CDC"/>
    <w:rsid w:val="005D0607"/>
    <w:rsid w:val="005D476C"/>
    <w:rsid w:val="006219F8"/>
    <w:rsid w:val="00665D70"/>
    <w:rsid w:val="006878C4"/>
    <w:rsid w:val="006900D9"/>
    <w:rsid w:val="00706C16"/>
    <w:rsid w:val="00756841"/>
    <w:rsid w:val="007628B6"/>
    <w:rsid w:val="00763BED"/>
    <w:rsid w:val="007649AB"/>
    <w:rsid w:val="00771D0C"/>
    <w:rsid w:val="007811F0"/>
    <w:rsid w:val="007833AC"/>
    <w:rsid w:val="007B268C"/>
    <w:rsid w:val="007B7171"/>
    <w:rsid w:val="007C0C0F"/>
    <w:rsid w:val="007C3DC2"/>
    <w:rsid w:val="007D0BB2"/>
    <w:rsid w:val="007E5497"/>
    <w:rsid w:val="007F663B"/>
    <w:rsid w:val="00806F5F"/>
    <w:rsid w:val="00820278"/>
    <w:rsid w:val="00851ECE"/>
    <w:rsid w:val="00867F95"/>
    <w:rsid w:val="008843B6"/>
    <w:rsid w:val="00891928"/>
    <w:rsid w:val="008A446D"/>
    <w:rsid w:val="008D180B"/>
    <w:rsid w:val="008F0EA7"/>
    <w:rsid w:val="008F2584"/>
    <w:rsid w:val="00923EEF"/>
    <w:rsid w:val="009419F9"/>
    <w:rsid w:val="0095685E"/>
    <w:rsid w:val="00961B09"/>
    <w:rsid w:val="00965334"/>
    <w:rsid w:val="0097093E"/>
    <w:rsid w:val="00975702"/>
    <w:rsid w:val="00986AC5"/>
    <w:rsid w:val="0099281C"/>
    <w:rsid w:val="009A0DFA"/>
    <w:rsid w:val="009B2D26"/>
    <w:rsid w:val="009C71FA"/>
    <w:rsid w:val="009C72E7"/>
    <w:rsid w:val="009D3058"/>
    <w:rsid w:val="009D4113"/>
    <w:rsid w:val="009D7725"/>
    <w:rsid w:val="009F3A13"/>
    <w:rsid w:val="00A02E8A"/>
    <w:rsid w:val="00A122D3"/>
    <w:rsid w:val="00A17F13"/>
    <w:rsid w:val="00A20739"/>
    <w:rsid w:val="00A33C78"/>
    <w:rsid w:val="00A46CE4"/>
    <w:rsid w:val="00A57650"/>
    <w:rsid w:val="00A66B0F"/>
    <w:rsid w:val="00AA5636"/>
    <w:rsid w:val="00AB0ADB"/>
    <w:rsid w:val="00AD794C"/>
    <w:rsid w:val="00B01B1A"/>
    <w:rsid w:val="00B54D6B"/>
    <w:rsid w:val="00B62709"/>
    <w:rsid w:val="00B66319"/>
    <w:rsid w:val="00B72CD3"/>
    <w:rsid w:val="00B72FFF"/>
    <w:rsid w:val="00BB7F0F"/>
    <w:rsid w:val="00BC3D36"/>
    <w:rsid w:val="00BD7F72"/>
    <w:rsid w:val="00C04FB3"/>
    <w:rsid w:val="00C330EB"/>
    <w:rsid w:val="00C41061"/>
    <w:rsid w:val="00C447E6"/>
    <w:rsid w:val="00C65C7F"/>
    <w:rsid w:val="00C741F7"/>
    <w:rsid w:val="00C754BE"/>
    <w:rsid w:val="00C76B1C"/>
    <w:rsid w:val="00CA0766"/>
    <w:rsid w:val="00CB4BD8"/>
    <w:rsid w:val="00CB6357"/>
    <w:rsid w:val="00CC1B26"/>
    <w:rsid w:val="00CC6056"/>
    <w:rsid w:val="00D423A2"/>
    <w:rsid w:val="00D520D8"/>
    <w:rsid w:val="00D57509"/>
    <w:rsid w:val="00D63AC2"/>
    <w:rsid w:val="00D7383B"/>
    <w:rsid w:val="00D83677"/>
    <w:rsid w:val="00DA231B"/>
    <w:rsid w:val="00DC39FC"/>
    <w:rsid w:val="00DF5240"/>
    <w:rsid w:val="00DF5254"/>
    <w:rsid w:val="00E16408"/>
    <w:rsid w:val="00E20894"/>
    <w:rsid w:val="00E245AB"/>
    <w:rsid w:val="00E2764C"/>
    <w:rsid w:val="00E27F2E"/>
    <w:rsid w:val="00E50AFE"/>
    <w:rsid w:val="00E75C92"/>
    <w:rsid w:val="00E771DC"/>
    <w:rsid w:val="00E8772A"/>
    <w:rsid w:val="00E90F6B"/>
    <w:rsid w:val="00E92C27"/>
    <w:rsid w:val="00EA0E3D"/>
    <w:rsid w:val="00EA1FCE"/>
    <w:rsid w:val="00EC38A7"/>
    <w:rsid w:val="00ED7384"/>
    <w:rsid w:val="00EE1AA8"/>
    <w:rsid w:val="00EF003F"/>
    <w:rsid w:val="00F31EDC"/>
    <w:rsid w:val="00F373DD"/>
    <w:rsid w:val="00F438CD"/>
    <w:rsid w:val="00F462B3"/>
    <w:rsid w:val="00F5664F"/>
    <w:rsid w:val="00F666C4"/>
    <w:rsid w:val="00F76AFC"/>
    <w:rsid w:val="00FA47C0"/>
    <w:rsid w:val="00FB5DD1"/>
    <w:rsid w:val="00FC2B5D"/>
    <w:rsid w:val="00FE457A"/>
    <w:rsid w:val="00FF129E"/>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426"/>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2F6426"/>
    <w:rPr>
      <w:rFonts w:ascii="Geomanist Light" w:hAnsi="Geomanist Light"/>
      <w:lang w:val="es-ES"/>
    </w:rPr>
  </w:style>
  <w:style w:type="paragraph" w:customStyle="1" w:styleId="Appelnotedebasde">
    <w:name w:val="Appel note de bas de..."/>
    <w:basedOn w:val="Normal"/>
    <w:link w:val="Refdenotaalpie"/>
    <w:uiPriority w:val="99"/>
    <w:rsid w:val="002F6426"/>
    <w:pPr>
      <w:spacing w:line="240" w:lineRule="exact"/>
    </w:pPr>
    <w:rPr>
      <w:vertAlign w:val="superscript"/>
    </w:rPr>
  </w:style>
  <w:style w:type="character" w:styleId="Textoennegrita">
    <w:name w:val="Strong"/>
    <w:basedOn w:val="Fuentedeprrafopredeter"/>
    <w:uiPriority w:val="22"/>
    <w:qFormat/>
    <w:rsid w:val="002F6426"/>
    <w:rPr>
      <w:b/>
      <w:bCs/>
    </w:rPr>
  </w:style>
  <w:style w:type="character" w:styleId="nfasis">
    <w:name w:val="Emphasis"/>
    <w:basedOn w:val="Fuentedeprrafopredeter"/>
    <w:uiPriority w:val="20"/>
    <w:qFormat/>
    <w:rsid w:val="002F6426"/>
    <w:rPr>
      <w:i/>
      <w:iCs/>
    </w:rPr>
  </w:style>
  <w:style w:type="character" w:styleId="Refdecomentario">
    <w:name w:val="annotation reference"/>
    <w:basedOn w:val="Fuentedeprrafopredeter"/>
    <w:uiPriority w:val="99"/>
    <w:semiHidden/>
    <w:unhideWhenUsed/>
    <w:rsid w:val="009D4113"/>
    <w:rPr>
      <w:sz w:val="16"/>
      <w:szCs w:val="16"/>
    </w:rPr>
  </w:style>
  <w:style w:type="paragraph" w:styleId="Textocomentario">
    <w:name w:val="annotation text"/>
    <w:basedOn w:val="Normal"/>
    <w:link w:val="TextocomentarioCar"/>
    <w:uiPriority w:val="99"/>
    <w:unhideWhenUsed/>
    <w:rsid w:val="009D4113"/>
    <w:pPr>
      <w:spacing w:line="240" w:lineRule="auto"/>
    </w:pPr>
    <w:rPr>
      <w:sz w:val="20"/>
      <w:szCs w:val="20"/>
    </w:rPr>
  </w:style>
  <w:style w:type="character" w:customStyle="1" w:styleId="TextocomentarioCar">
    <w:name w:val="Texto comentario Car"/>
    <w:basedOn w:val="Fuentedeprrafopredeter"/>
    <w:link w:val="Textocomentario"/>
    <w:uiPriority w:val="99"/>
    <w:rsid w:val="009D4113"/>
    <w:rPr>
      <w:sz w:val="20"/>
      <w:szCs w:val="20"/>
    </w:rPr>
  </w:style>
  <w:style w:type="paragraph" w:styleId="Asuntodelcomentario">
    <w:name w:val="annotation subject"/>
    <w:basedOn w:val="Textocomentario"/>
    <w:next w:val="Textocomentario"/>
    <w:link w:val="AsuntodelcomentarioCar"/>
    <w:uiPriority w:val="99"/>
    <w:semiHidden/>
    <w:unhideWhenUsed/>
    <w:rsid w:val="009D4113"/>
    <w:rPr>
      <w:b/>
      <w:bCs/>
    </w:rPr>
  </w:style>
  <w:style w:type="character" w:customStyle="1" w:styleId="AsuntodelcomentarioCar">
    <w:name w:val="Asunto del comentario Car"/>
    <w:basedOn w:val="TextocomentarioCar"/>
    <w:link w:val="Asuntodelcomentario"/>
    <w:uiPriority w:val="99"/>
    <w:semiHidden/>
    <w:rsid w:val="009D4113"/>
    <w:rPr>
      <w:b/>
      <w:bCs/>
      <w:sz w:val="20"/>
      <w:szCs w:val="20"/>
    </w:rPr>
  </w:style>
  <w:style w:type="character" w:customStyle="1" w:styleId="NormalWebCar">
    <w:name w:val="Normal (Web) Car"/>
    <w:link w:val="NormalWeb"/>
    <w:uiPriority w:val="99"/>
    <w:rsid w:val="009D4113"/>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documents/guia_para_elaborar_el_plan_anual_de_adquisiciones_0.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ileddy.munoz@cauca.gov.c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tmp"/><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wp-content%2Fuploads%2F2025%2F05%2FGUIA-DE-LINEAMIENTOS-DE-TRANSPARENCIA-Y-SELECCION-OBJETIVA-1.0.pdf&amp;data=05%7C02%7Ccatalina.cubides%40colombiacompra.gov.co%7C7cfff6dece924643582c08dd97bfed90%7C7b09041e245149d08cb179d5e3d8c1be%7C0%7C0%7C638833572789617407%7CUnknown%7CTWFpbGZsb3d8eyJFbXB0eU1hcGkiOnRydWUsIlYiOiIwLjAuMDAwMCIsIlAiOiJXaW4zMiIsIkFOIjoiTWFpbCIsIldUIjoyfQ%3D%3D%7C0%7C%7C%7C&amp;sdata=9uKHGs1CT3BZvajf54ettWU83zMQL5yVTuUSLWeSBxw%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mineducacion.gov.co/sistemasinfo/sistemas/SINEB-Sistema-de-Informacion-Nacional-de-Educacion-Basica-y-Media/296906:Glosario-Directorio-de-Establecimiento-Educativo" TargetMode="External"/><Relationship Id="rId2" Type="http://schemas.openxmlformats.org/officeDocument/2006/relationships/hyperlink" Target="https://www.colombiacompra.gov.co/wp-content/uploads/2024/08/circular_externa_unica_version_3_vf49.pdf" TargetMode="External"/><Relationship Id="rId1" Type="http://schemas.openxmlformats.org/officeDocument/2006/relationships/hyperlink" Target="http://www.alcaldiabogota.gov.co/sisjur/normas/Norma1.jsp?i=4329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d3b1a209-6428-47ff-99e7-c80af9907737"/>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DCAB9FC2-F6BC-40EB-8C88-36EE308AAC8E}">
  <ds:schemaRefs>
    <ds:schemaRef ds:uri="http://schemas.openxmlformats.org/officeDocument/2006/bibliography"/>
  </ds:schemaRefs>
</ds:datastoreItem>
</file>

<file path=customXml/itemProps3.xml><?xml version="1.0" encoding="utf-8"?>
<ds:datastoreItem xmlns:ds="http://schemas.openxmlformats.org/officeDocument/2006/customXml" ds:itemID="{CD60D884-C65F-4963-B023-671E95449F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18</Pages>
  <Words>5253</Words>
  <Characters>28897</Characters>
  <Application>Microsoft Office Word</Application>
  <DocSecurity>0</DocSecurity>
  <Lines>240</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 del Pilar Lisa Cubides Estupinan</cp:lastModifiedBy>
  <cp:revision>2</cp:revision>
  <cp:lastPrinted>2023-01-10T21:18:00Z</cp:lastPrinted>
  <dcterms:created xsi:type="dcterms:W3CDTF">2025-08-14T21:29:00Z</dcterms:created>
  <dcterms:modified xsi:type="dcterms:W3CDTF">2025-08-14T21:29:00Z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