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3A3EE" w14:textId="77777777" w:rsidR="00687760" w:rsidRPr="00FE1493" w:rsidRDefault="00687760" w:rsidP="00A13505">
      <w:pPr>
        <w:spacing w:line="276" w:lineRule="auto"/>
        <w:jc w:val="both"/>
        <w:rPr>
          <w:rFonts w:ascii="Arial" w:eastAsia="Calibri" w:hAnsi="Arial" w:cs="Arial"/>
          <w:b/>
          <w:sz w:val="20"/>
          <w:szCs w:val="20"/>
          <w:lang w:val="es-ES"/>
        </w:rPr>
      </w:pPr>
      <w:r w:rsidRPr="0018211D">
        <w:rPr>
          <w:rFonts w:ascii="Arial" w:eastAsia="Calibri" w:hAnsi="Arial" w:cs="Arial"/>
          <w:b/>
          <w:sz w:val="20"/>
          <w:szCs w:val="20"/>
          <w:lang w:val="es-ES"/>
        </w:rPr>
        <w:t>GARANTÍAS</w:t>
      </w:r>
      <w:r w:rsidRPr="00FE1493">
        <w:rPr>
          <w:rFonts w:ascii="Arial" w:eastAsia="Calibri" w:hAnsi="Arial" w:cs="Arial"/>
          <w:b/>
          <w:sz w:val="20"/>
          <w:szCs w:val="20"/>
          <w:lang w:val="es-ES"/>
        </w:rPr>
        <w:t xml:space="preserve"> – Contratación estatal – Constitución de garantías – Finalidad – Cumplimiento – Obligaciones contractuales </w:t>
      </w:r>
    </w:p>
    <w:p w14:paraId="13716EBF" w14:textId="081A6C74" w:rsidR="00687760" w:rsidRPr="00FE1493" w:rsidRDefault="00687760" w:rsidP="00A13505">
      <w:pPr>
        <w:spacing w:line="276" w:lineRule="auto"/>
        <w:jc w:val="both"/>
        <w:rPr>
          <w:rFonts w:ascii="Arial" w:eastAsia="Calibri" w:hAnsi="Arial" w:cs="Arial"/>
          <w:sz w:val="20"/>
          <w:szCs w:val="20"/>
          <w:lang w:val="es-ES_tradnl"/>
        </w:rPr>
      </w:pPr>
      <w:r w:rsidRPr="00FE1493">
        <w:rPr>
          <w:rFonts w:ascii="Arial" w:eastAsia="Calibri" w:hAnsi="Arial" w:cs="Arial"/>
          <w:sz w:val="20"/>
          <w:szCs w:val="20"/>
          <w:lang w:val="es-ES_tradnl" w:eastAsia="es-ES_tradnl"/>
        </w:rPr>
        <w:t xml:space="preserve">El Estatuto General de Contratación de la Administración Pública exige, por regla general, en los procesos de contratación pública </w:t>
      </w:r>
      <w:r w:rsidRPr="00FE1493">
        <w:rPr>
          <w:rFonts w:ascii="Arial" w:eastAsia="Calibri" w:hAnsi="Arial" w:cs="Arial"/>
          <w:sz w:val="20"/>
          <w:szCs w:val="20"/>
          <w:lang w:val="es-ES" w:eastAsia="es-ES_tradnl"/>
        </w:rPr>
        <w:t xml:space="preserve">la constitución de </w:t>
      </w:r>
      <w:r w:rsidR="008A10C9" w:rsidRPr="00FE1493">
        <w:rPr>
          <w:rFonts w:ascii="Arial" w:eastAsia="Calibri" w:hAnsi="Arial" w:cs="Arial"/>
          <w:sz w:val="20"/>
          <w:szCs w:val="20"/>
          <w:lang w:val="es-ES" w:eastAsia="es-ES_tradnl"/>
        </w:rPr>
        <w:t>garantías</w:t>
      </w:r>
      <w:r w:rsidRPr="00FE1493">
        <w:rPr>
          <w:rFonts w:ascii="Arial" w:eastAsia="Calibri" w:hAnsi="Arial" w:cs="Arial"/>
          <w:sz w:val="20"/>
          <w:szCs w:val="20"/>
          <w:lang w:val="es-ES" w:eastAsia="es-ES_tradnl"/>
        </w:rPr>
        <w:t xml:space="preserve"> ya sea en la etapa precontractual, contractual o postcontractual, con el fin de evitar o mitigar posibles riesgos</w:t>
      </w:r>
      <w:r w:rsidRPr="00FE1493">
        <w:rPr>
          <w:rFonts w:ascii="Arial" w:eastAsia="Calibri" w:hAnsi="Arial" w:cs="Arial"/>
          <w:sz w:val="20"/>
          <w:szCs w:val="20"/>
          <w:lang w:val="es-ES_tradnl" w:eastAsia="es-ES_tradnl"/>
        </w:rPr>
        <w:t xml:space="preserve">. En esa orientación, </w:t>
      </w:r>
      <w:r w:rsidRPr="00FE1493">
        <w:rPr>
          <w:rFonts w:ascii="Arial" w:eastAsia="Calibri" w:hAnsi="Arial" w:cs="Arial"/>
          <w:sz w:val="20"/>
          <w:szCs w:val="20"/>
          <w:lang w:val="es-ES_tradnl"/>
        </w:rPr>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321ECB50" w14:textId="215EB13C" w:rsidR="00687760" w:rsidRPr="00FE1493" w:rsidRDefault="00687760" w:rsidP="00A13505">
      <w:pPr>
        <w:spacing w:line="276" w:lineRule="auto"/>
        <w:jc w:val="both"/>
        <w:rPr>
          <w:rFonts w:ascii="Arial" w:eastAsia="Calibri" w:hAnsi="Arial" w:cs="Arial"/>
          <w:b/>
          <w:sz w:val="20"/>
          <w:szCs w:val="20"/>
          <w:lang w:val="es-ES"/>
        </w:rPr>
      </w:pPr>
      <w:r w:rsidRPr="00FE1493">
        <w:rPr>
          <w:rFonts w:ascii="Arial" w:eastAsia="Calibri" w:hAnsi="Arial" w:cs="Arial"/>
          <w:b/>
          <w:sz w:val="20"/>
          <w:szCs w:val="20"/>
          <w:lang w:val="es-ES"/>
        </w:rPr>
        <w:t xml:space="preserve">TIPOS DE GARANTÍAS – Póliza de seguro – </w:t>
      </w:r>
      <w:r w:rsidRPr="00154E0A">
        <w:rPr>
          <w:rFonts w:ascii="Arial" w:eastAsia="Calibri" w:hAnsi="Arial" w:cs="Arial"/>
          <w:b/>
          <w:sz w:val="20"/>
          <w:szCs w:val="20"/>
          <w:lang w:val="es-ES"/>
        </w:rPr>
        <w:t>Garantía bancaria</w:t>
      </w:r>
      <w:r w:rsidRPr="00FE1493">
        <w:rPr>
          <w:rFonts w:ascii="Arial" w:eastAsia="Calibri" w:hAnsi="Arial" w:cs="Arial"/>
          <w:b/>
          <w:sz w:val="20"/>
          <w:szCs w:val="20"/>
          <w:lang w:val="es-ES"/>
        </w:rPr>
        <w:t xml:space="preserve">– </w:t>
      </w:r>
      <w:r w:rsidRPr="001D5452">
        <w:rPr>
          <w:rFonts w:ascii="Arial" w:eastAsia="Calibri" w:hAnsi="Arial" w:cs="Arial"/>
          <w:b/>
          <w:sz w:val="20"/>
          <w:szCs w:val="20"/>
          <w:lang w:val="es-ES"/>
        </w:rPr>
        <w:t>fiducia mercantil de garantía</w:t>
      </w:r>
      <w:r w:rsidRPr="00FE1493">
        <w:rPr>
          <w:rFonts w:ascii="Arial" w:eastAsia="Calibri" w:hAnsi="Arial" w:cs="Arial"/>
          <w:b/>
          <w:sz w:val="20"/>
          <w:szCs w:val="20"/>
          <w:lang w:val="es-ES"/>
        </w:rPr>
        <w:t xml:space="preserve"> </w:t>
      </w:r>
    </w:p>
    <w:p w14:paraId="2C43CBD5" w14:textId="71C96AA6" w:rsidR="00687760" w:rsidRPr="00FE1493" w:rsidRDefault="00687760" w:rsidP="00A13505">
      <w:pPr>
        <w:spacing w:line="276" w:lineRule="auto"/>
        <w:jc w:val="both"/>
        <w:rPr>
          <w:rFonts w:ascii="Arial" w:hAnsi="Arial" w:cs="Arial"/>
          <w:sz w:val="20"/>
          <w:szCs w:val="20"/>
        </w:rPr>
      </w:pPr>
      <w:r w:rsidRPr="00FE1493">
        <w:rPr>
          <w:rFonts w:ascii="Arial" w:eastAsia="Calibri" w:hAnsi="Arial" w:cs="Arial"/>
          <w:sz w:val="20"/>
          <w:szCs w:val="20"/>
          <w:lang w:val="es-ES"/>
        </w:rPr>
        <w:t xml:space="preserve">[…] </w:t>
      </w:r>
      <w:r w:rsidRPr="00FE1493">
        <w:rPr>
          <w:rFonts w:ascii="Arial" w:eastAsia="Calibri" w:hAnsi="Arial" w:cs="Arial"/>
          <w:sz w:val="20"/>
          <w:szCs w:val="20"/>
          <w:lang w:val="es-ES_tradnl"/>
        </w:rPr>
        <w:t>l</w:t>
      </w:r>
      <w:r w:rsidRPr="00FE1493">
        <w:rPr>
          <w:rFonts w:ascii="Arial" w:hAnsi="Arial" w:cs="Arial"/>
          <w:sz w:val="20"/>
          <w:szCs w:val="20"/>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FE1493">
        <w:rPr>
          <w:rFonts w:ascii="Arial" w:eastAsia="Calibri" w:hAnsi="Arial" w:cs="Arial"/>
          <w:sz w:val="20"/>
          <w:szCs w:val="20"/>
        </w:rPr>
        <w:t xml:space="preserve">para amparar los riesgos contractuales; </w:t>
      </w:r>
      <w:r w:rsidRPr="00FE1493">
        <w:rPr>
          <w:rFonts w:ascii="Arial" w:hAnsi="Arial" w:cs="Arial"/>
          <w:sz w:val="20"/>
          <w:szCs w:val="20"/>
        </w:rPr>
        <w:t xml:space="preserve">ii)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w:t>
      </w:r>
      <w:r w:rsidR="00A13505" w:rsidRPr="00FE1493">
        <w:rPr>
          <w:rFonts w:ascii="Arial" w:hAnsi="Arial" w:cs="Arial"/>
          <w:sz w:val="20"/>
          <w:szCs w:val="20"/>
        </w:rPr>
        <w:t>Entidad Estatal</w:t>
      </w:r>
      <w:r w:rsidRPr="00FE1493">
        <w:rPr>
          <w:rFonts w:ascii="Arial" w:hAnsi="Arial" w:cs="Arial"/>
          <w:sz w:val="20"/>
          <w:szCs w:val="20"/>
        </w:rPr>
        <w:t xml:space="preserve"> beneficiaria;  iii) garantías bancarias o cartas de crédito </w:t>
      </w:r>
      <w:r w:rsidRPr="00FE1493">
        <w:rPr>
          <w:rFonts w:ascii="Arial" w:hAnsi="Arial" w:cs="Arial"/>
          <w:i/>
          <w:iCs/>
          <w:sz w:val="20"/>
          <w:szCs w:val="20"/>
        </w:rPr>
        <w:t>stand</w:t>
      </w:r>
      <w:r w:rsidRPr="00FE1493">
        <w:rPr>
          <w:rFonts w:ascii="Arial" w:hAnsi="Arial" w:cs="Arial"/>
          <w:sz w:val="20"/>
          <w:szCs w:val="20"/>
        </w:rPr>
        <w:t xml:space="preserve"> </w:t>
      </w:r>
      <w:r w:rsidRPr="00FE1493">
        <w:rPr>
          <w:rFonts w:ascii="Arial" w:hAnsi="Arial" w:cs="Arial"/>
          <w:i/>
          <w:iCs/>
          <w:sz w:val="20"/>
          <w:szCs w:val="20"/>
        </w:rPr>
        <w:t>by</w:t>
      </w:r>
      <w:r w:rsidRPr="00FE1493">
        <w:rPr>
          <w:rFonts w:ascii="Arial" w:hAnsi="Arial" w:cs="Arial"/>
          <w:sz w:val="20"/>
          <w:szCs w:val="20"/>
        </w:rPr>
        <w:t xml:space="preserve">, que consisten en compromisos irrevocables o incondicionales asumidos por una entidad financiera de pagar una suma determinada de dinero. La suficiencia y la vigencia de las garantías deben ser las reguladas en los artículos 2.2.1.2.3.1.9 a 2.2.1.2.3.1.16 del Decreto 1082 de 2015. </w:t>
      </w:r>
    </w:p>
    <w:p w14:paraId="2FD6A1C3" w14:textId="437058C1" w:rsidR="003C3A1B" w:rsidRPr="00FE1493" w:rsidRDefault="003C3A1B" w:rsidP="00A13505">
      <w:pPr>
        <w:spacing w:line="276" w:lineRule="auto"/>
        <w:jc w:val="both"/>
        <w:rPr>
          <w:rFonts w:ascii="Arial" w:hAnsi="Arial" w:cs="Arial"/>
          <w:b/>
          <w:sz w:val="20"/>
          <w:szCs w:val="20"/>
          <w:lang w:val="es-ES_tradnl" w:eastAsia="es-ES"/>
        </w:rPr>
      </w:pPr>
      <w:r w:rsidRPr="00FE1493">
        <w:rPr>
          <w:rFonts w:ascii="Arial" w:hAnsi="Arial" w:cs="Arial"/>
          <w:b/>
          <w:sz w:val="20"/>
          <w:szCs w:val="20"/>
          <w:lang w:val="es-ES_tradnl" w:eastAsia="es-ES"/>
        </w:rPr>
        <w:t xml:space="preserve">GARANTÍA DE CUMPLIMIENTO – </w:t>
      </w:r>
      <w:r w:rsidR="0027292B" w:rsidRPr="00FE1493">
        <w:rPr>
          <w:rFonts w:ascii="Arial" w:hAnsi="Arial" w:cs="Arial"/>
          <w:b/>
          <w:sz w:val="20"/>
          <w:szCs w:val="20"/>
          <w:lang w:val="es-ES_tradnl" w:eastAsia="es-ES"/>
        </w:rPr>
        <w:t xml:space="preserve">Noción </w:t>
      </w:r>
    </w:p>
    <w:p w14:paraId="7837F9EB" w14:textId="71C5F4DC" w:rsidR="00124339" w:rsidRPr="00FE1493" w:rsidRDefault="00124339" w:rsidP="00A13505">
      <w:pPr>
        <w:spacing w:line="276" w:lineRule="auto"/>
        <w:jc w:val="both"/>
        <w:rPr>
          <w:rFonts w:ascii="Arial" w:hAnsi="Arial" w:cs="Arial"/>
          <w:bCs/>
          <w:sz w:val="20"/>
          <w:szCs w:val="20"/>
          <w:lang w:val="es-ES_tradnl" w:eastAsia="es-ES"/>
        </w:rPr>
      </w:pPr>
      <w:r w:rsidRPr="00FE1493">
        <w:rPr>
          <w:rFonts w:ascii="Arial" w:hAnsi="Arial" w:cs="Arial"/>
          <w:bCs/>
          <w:sz w:val="20"/>
          <w:szCs w:val="20"/>
          <w:lang w:val="es-ES_tradnl" w:eastAsia="es-ES"/>
        </w:rPr>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En efecto, según el 2.2.1.2.3.1.7. del Decreto 1082 de 2015,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entre otros. Por tanto, el amparo de cumplimiento, que constituye el objeto central de este concepto, es uno de los múltiples amparos que conforman la garantía única de cumplimiento. Al tenor de lo preceptuado en el artículo 2.2.1.2.3.1.7. </w:t>
      </w:r>
      <w:r w:rsidRPr="00FE1493">
        <w:rPr>
          <w:rFonts w:ascii="Arial" w:hAnsi="Arial" w:cs="Arial"/>
          <w:bCs/>
          <w:i/>
          <w:iCs/>
          <w:sz w:val="20"/>
          <w:szCs w:val="20"/>
          <w:lang w:val="es-ES_tradnl" w:eastAsia="es-ES"/>
        </w:rPr>
        <w:t>ibídem</w:t>
      </w:r>
      <w:r w:rsidRPr="00FE1493">
        <w:rPr>
          <w:rFonts w:ascii="Arial" w:hAnsi="Arial" w:cs="Arial"/>
          <w:bCs/>
          <w:sz w:val="20"/>
          <w:szCs w:val="20"/>
          <w:lang w:val="es-ES_tradnl" w:eastAsia="es-ES"/>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524F85CB" w14:textId="4FCCAFE9" w:rsidR="00124339" w:rsidRPr="00FE1493" w:rsidRDefault="00124339" w:rsidP="00A13505">
      <w:pPr>
        <w:spacing w:line="276" w:lineRule="auto"/>
        <w:jc w:val="both"/>
        <w:rPr>
          <w:rFonts w:ascii="Arial" w:hAnsi="Arial" w:cs="Arial"/>
          <w:bCs/>
          <w:sz w:val="20"/>
          <w:szCs w:val="20"/>
          <w:lang w:val="es-ES_tradnl" w:eastAsia="es-ES"/>
        </w:rPr>
      </w:pPr>
    </w:p>
    <w:p w14:paraId="0E7FE105" w14:textId="0263069A" w:rsidR="003C3A1B" w:rsidRPr="00FE1493" w:rsidRDefault="00124339" w:rsidP="00A13505">
      <w:pPr>
        <w:spacing w:line="276" w:lineRule="auto"/>
        <w:jc w:val="both"/>
        <w:rPr>
          <w:rFonts w:ascii="Arial" w:hAnsi="Arial" w:cs="Arial"/>
          <w:b/>
          <w:sz w:val="20"/>
          <w:szCs w:val="20"/>
          <w:lang w:val="es-ES_tradnl" w:eastAsia="es-ES"/>
        </w:rPr>
      </w:pPr>
      <w:r w:rsidRPr="00FE1493">
        <w:rPr>
          <w:rFonts w:ascii="Arial" w:hAnsi="Arial" w:cs="Arial"/>
          <w:b/>
          <w:sz w:val="20"/>
          <w:szCs w:val="20"/>
          <w:lang w:val="es-ES_tradnl" w:eastAsia="es-ES"/>
        </w:rPr>
        <w:t xml:space="preserve">GARANTÍA DE CUMPLIMIENTO – Vigencia / GARANTÍAS – Plazo para su reclamación </w:t>
      </w:r>
    </w:p>
    <w:p w14:paraId="1B0CC257" w14:textId="65514720" w:rsidR="003C3A1B" w:rsidRPr="00FE1493" w:rsidRDefault="00124339" w:rsidP="00A13505">
      <w:pPr>
        <w:spacing w:line="276" w:lineRule="auto"/>
        <w:jc w:val="both"/>
        <w:rPr>
          <w:rFonts w:ascii="Arial" w:hAnsi="Arial" w:cs="Arial"/>
          <w:bCs/>
          <w:sz w:val="20"/>
          <w:szCs w:val="20"/>
          <w:lang w:val="es-ES_tradnl"/>
        </w:rPr>
      </w:pPr>
      <w:r w:rsidRPr="00FE1493">
        <w:rPr>
          <w:rFonts w:ascii="Arial" w:hAnsi="Arial" w:cs="Arial"/>
          <w:bCs/>
          <w:sz w:val="20"/>
          <w:szCs w:val="20"/>
          <w:lang w:val="es-ES_tradnl"/>
        </w:rPr>
        <w:lastRenderedPageBreak/>
        <w:t xml:space="preserve">[…] en relación con la vigencia de las garantías, el artículo 2.2.1.2.3.1.12. del citado Decreto señala expresamente que «[l]a garantía de cumplimiento del contrato debe tener una vigencia mínima hasta la liquidación del contrato». Lo primero que debe ponerse de presente es que esta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Así, por ejemplo, el artículo 2.2.1.2.3.1.13 </w:t>
      </w:r>
      <w:r w:rsidRPr="00FE1493">
        <w:rPr>
          <w:rFonts w:ascii="Arial" w:hAnsi="Arial" w:cs="Arial"/>
          <w:bCs/>
          <w:i/>
          <w:iCs/>
          <w:sz w:val="20"/>
          <w:szCs w:val="20"/>
          <w:lang w:val="es-ES_tradnl"/>
        </w:rPr>
        <w:t>Ibidem</w:t>
      </w:r>
      <w:r w:rsidRPr="00FE1493">
        <w:rPr>
          <w:rFonts w:ascii="Arial" w:hAnsi="Arial" w:cs="Arial"/>
          <w:bCs/>
          <w:sz w:val="20"/>
          <w:szCs w:val="20"/>
          <w:lang w:val="es-ES_tradnl"/>
        </w:rPr>
        <w:t xml:space="preserve"> prescribe que la garantía de pago de salarios y prestaciones sociales debe estar vigente por el plazo del contrato y 3 años adicionales y, a su vez, el artículo 2.2.1.2.3.1.14 establece un término, por regla general, no inferior a 5 años para la garantía de estabilidad de la obra, contados a partir de la fecha en la cual la Entidad Estatal recibe a satisfacción la obra. Al respecto, tal como se indicó en Concepto C-479 de esta Agencia, es preciso distinguir dos conceptos jurídicos relevantes para comprender el alcance del artículo 2.2.1.2.3.1.12., esto es, de un lado, la vigencia de la garantía y, de otro, el plazo para su reclamación. Esta distinción es importante, pues para hacer una reclamación válida al garante no es indispensable que la garantía se encuentre vigente, sino que lo haya estado en el momento de la concreción de riesgo.</w:t>
      </w:r>
    </w:p>
    <w:p w14:paraId="36159EDB" w14:textId="6315A428" w:rsidR="003C3A1B" w:rsidRPr="00FE1493" w:rsidRDefault="004F10F7" w:rsidP="00A13505">
      <w:pPr>
        <w:spacing w:line="276" w:lineRule="auto"/>
        <w:jc w:val="both"/>
        <w:rPr>
          <w:rFonts w:ascii="Arial" w:eastAsia="Calibri" w:hAnsi="Arial" w:cs="Arial"/>
          <w:b/>
          <w:bCs/>
          <w:sz w:val="20"/>
          <w:szCs w:val="20"/>
          <w:lang w:val="es-ES_tradnl"/>
        </w:rPr>
      </w:pPr>
      <w:r w:rsidRPr="00FE1493">
        <w:rPr>
          <w:rFonts w:ascii="Arial" w:eastAsia="Calibri" w:hAnsi="Arial" w:cs="Arial"/>
          <w:b/>
          <w:bCs/>
          <w:sz w:val="20"/>
          <w:szCs w:val="20"/>
          <w:lang w:val="es-ES_tradnl"/>
        </w:rPr>
        <w:t xml:space="preserve">GARANTÍA DE ESTABILIDAD DE LA OBRA – </w:t>
      </w:r>
      <w:r w:rsidR="003105A5" w:rsidRPr="0018749E">
        <w:rPr>
          <w:rFonts w:ascii="Arial" w:eastAsia="Calibri" w:hAnsi="Arial" w:cs="Arial"/>
          <w:b/>
          <w:bCs/>
          <w:sz w:val="20"/>
          <w:szCs w:val="20"/>
          <w:lang w:val="es-ES_tradnl"/>
        </w:rPr>
        <w:t xml:space="preserve">concepto / responsabilidad exigible al contratista </w:t>
      </w:r>
      <w:r w:rsidRPr="0018749E">
        <w:rPr>
          <w:rFonts w:ascii="Arial" w:eastAsia="Calibri" w:hAnsi="Arial" w:cs="Arial"/>
          <w:b/>
          <w:bCs/>
          <w:sz w:val="20"/>
          <w:szCs w:val="20"/>
          <w:lang w:val="es-ES_tradnl"/>
        </w:rPr>
        <w:t xml:space="preserve">– </w:t>
      </w:r>
      <w:r w:rsidRPr="00006A5E">
        <w:rPr>
          <w:rFonts w:ascii="Arial" w:eastAsia="Calibri" w:hAnsi="Arial" w:cs="Arial"/>
          <w:b/>
          <w:bCs/>
          <w:sz w:val="20"/>
          <w:szCs w:val="20"/>
          <w:lang w:val="es-ES_tradnl"/>
        </w:rPr>
        <w:t>Garantía decenal</w:t>
      </w:r>
      <w:r w:rsidRPr="00FE1493">
        <w:rPr>
          <w:rFonts w:ascii="Arial" w:eastAsia="Calibri" w:hAnsi="Arial" w:cs="Arial"/>
          <w:b/>
          <w:bCs/>
          <w:sz w:val="20"/>
          <w:szCs w:val="20"/>
          <w:lang w:val="es-ES_tradnl"/>
        </w:rPr>
        <w:t xml:space="preserve"> </w:t>
      </w:r>
    </w:p>
    <w:p w14:paraId="666823B9" w14:textId="570D6774" w:rsidR="004F10F7" w:rsidRPr="00FE1493" w:rsidRDefault="004F10F7" w:rsidP="00A13505">
      <w:pPr>
        <w:spacing w:line="276" w:lineRule="auto"/>
        <w:jc w:val="both"/>
        <w:rPr>
          <w:rFonts w:ascii="Arial" w:eastAsia="Calibri" w:hAnsi="Arial" w:cs="Arial"/>
          <w:sz w:val="20"/>
          <w:szCs w:val="20"/>
          <w:lang w:val="es-ES_tradnl"/>
        </w:rPr>
      </w:pPr>
      <w:r w:rsidRPr="00FE1493">
        <w:rPr>
          <w:rFonts w:ascii="Arial" w:eastAsia="Calibri" w:hAnsi="Arial" w:cs="Arial"/>
          <w:sz w:val="20"/>
          <w:szCs w:val="20"/>
          <w:lang w:val="es-ES_tradnl"/>
        </w:rPr>
        <w:t>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w:t>
      </w:r>
      <w:r w:rsidRPr="00FE1493">
        <w:rPr>
          <w:rFonts w:ascii="Arial" w:hAnsi="Arial" w:cs="Arial"/>
          <w:bCs/>
          <w:sz w:val="20"/>
          <w:szCs w:val="20"/>
          <w:lang w:val="es-ES_tradnl" w:eastAsia="es-MX"/>
        </w:rPr>
        <w:t xml:space="preserve">  </w:t>
      </w:r>
      <w:r w:rsidRPr="00FE1493">
        <w:rPr>
          <w:rFonts w:ascii="Arial" w:hAnsi="Arial" w:cs="Arial"/>
          <w:sz w:val="20"/>
          <w:szCs w:val="20"/>
        </w:rPr>
        <w:t xml:space="preserve">Al respecto, la jurisprudencia de la sección tercera del Consejo de Estado ha manifestado que el recibo de la obra no implica la aceptación de su estabilidad y tampoco exonera de cumplir con la obligación de saneamiento por los vicios que son inherentes a la construcción de la obra. […] </w:t>
      </w:r>
      <w:r w:rsidRPr="00FE1493">
        <w:rPr>
          <w:rFonts w:ascii="Arial" w:eastAsia="Calibri" w:hAnsi="Arial" w:cs="Arial"/>
          <w:sz w:val="20"/>
          <w:szCs w:val="20"/>
          <w:lang w:val="es-ES_tradnl"/>
        </w:rPr>
        <w:t>es preciso mencionar que la jurisprudencia ha diferenciado la obligación de garantizar el contrato de obra pública mediante póliza, con la responsabilidad exigible al contratista en virtud del artículo 2060 del Código Civil, en tanto que las obligaciones de estabilidad de la obra tienen origen en el contrato</w:t>
      </w:r>
      <w:r w:rsidR="00E20193" w:rsidRPr="00FE1493">
        <w:rPr>
          <w:rFonts w:ascii="Arial" w:eastAsia="Calibri" w:hAnsi="Arial" w:cs="Arial"/>
          <w:sz w:val="20"/>
          <w:szCs w:val="20"/>
          <w:lang w:val="es-ES_tradnl"/>
        </w:rPr>
        <w:t xml:space="preserve">, </w:t>
      </w:r>
      <w:r w:rsidRPr="00FE1493">
        <w:rPr>
          <w:rFonts w:ascii="Arial" w:eastAsia="Calibri" w:hAnsi="Arial" w:cs="Arial"/>
          <w:sz w:val="20"/>
          <w:szCs w:val="20"/>
          <w:lang w:val="es-ES_tradnl"/>
        </w:rPr>
        <w:t xml:space="preserve">no lo libera de las obligaciones garantizadas por el término señalado en el Código Civil, por ello ha dicho: </w:t>
      </w:r>
      <w:r w:rsidRPr="00FE1493">
        <w:rPr>
          <w:rFonts w:ascii="Arial" w:hAnsi="Arial" w:cs="Arial"/>
          <w:sz w:val="20"/>
          <w:szCs w:val="20"/>
        </w:rPr>
        <w:t xml:space="preserve">Por eso, en principio, el hecho de que el contratista constructor constituya la garantía de estabilidad de la obra por un período menor a los diez años, no implica que por el tiempo faltante cese la obligación que la ley civil le impone de responder si se presentan vicios inherentes a la construcción y a la calidad de los materiales, sino que comporta que la entidad pública dueña de la obra pueda hacerla exigible con fundamento en la garantía de seguro constituida por el contratista constructor, si llegasen a aparecer en el período de garantía. Igualmente, el vencimiento de la garantía no libera al constructor de la responsabilidad que le incumbe por la estabilidad de la obra y la buena calidad de los materiales utilizados, durante el término que reste de la obligación decenal establecida en el artículo 2060 del Código Civil. </w:t>
      </w:r>
    </w:p>
    <w:p w14:paraId="15C68548" w14:textId="442F635F" w:rsidR="004F10F7" w:rsidRPr="007973FB" w:rsidRDefault="004F10F7" w:rsidP="00A13505">
      <w:pPr>
        <w:spacing w:line="276" w:lineRule="auto"/>
        <w:jc w:val="both"/>
        <w:rPr>
          <w:rFonts w:ascii="Arial" w:eastAsia="Calibri" w:hAnsi="Arial" w:cs="Arial"/>
          <w:lang w:val="es-ES_tradnl"/>
        </w:rPr>
      </w:pPr>
    </w:p>
    <w:p w14:paraId="40C65B38" w14:textId="77777777" w:rsidR="002B4449" w:rsidRPr="007973FB" w:rsidRDefault="002B4449" w:rsidP="00A13505">
      <w:pPr>
        <w:spacing w:line="276" w:lineRule="auto"/>
        <w:jc w:val="both"/>
        <w:rPr>
          <w:rFonts w:ascii="Arial" w:eastAsia="Calibri" w:hAnsi="Arial" w:cs="Arial"/>
          <w:bCs/>
          <w:lang w:val="es-ES_tradnl"/>
        </w:rPr>
      </w:pPr>
    </w:p>
    <w:p w14:paraId="300F38BC" w14:textId="77777777" w:rsidR="002B4449" w:rsidRPr="007973FB" w:rsidRDefault="002B4449" w:rsidP="00A13505">
      <w:pPr>
        <w:spacing w:line="276" w:lineRule="auto"/>
        <w:rPr>
          <w:rFonts w:ascii="Arial" w:hAnsi="Arial" w:cs="Arial"/>
        </w:rPr>
      </w:pPr>
      <w:r w:rsidRPr="007973FB">
        <w:rPr>
          <w:rFonts w:ascii="Arial" w:hAnsi="Arial" w:cs="Arial"/>
        </w:rPr>
        <w:br w:type="page"/>
      </w:r>
    </w:p>
    <w:p w14:paraId="17034078" w14:textId="77777777" w:rsidR="007F7564" w:rsidRDefault="007F7564" w:rsidP="00A13505">
      <w:pPr>
        <w:spacing w:line="276" w:lineRule="auto"/>
        <w:rPr>
          <w:rFonts w:ascii="Arial" w:eastAsia="Calibri" w:hAnsi="Arial" w:cs="Arial"/>
        </w:rPr>
      </w:pPr>
    </w:p>
    <w:p w14:paraId="3C9764B8" w14:textId="54C8343A" w:rsidR="007F7564" w:rsidRDefault="007F7564" w:rsidP="007F7564">
      <w:pPr>
        <w:spacing w:line="276" w:lineRule="auto"/>
        <w:jc w:val="right"/>
        <w:rPr>
          <w:rFonts w:ascii="Arial" w:eastAsia="Calibri" w:hAnsi="Arial" w:cs="Arial"/>
        </w:rPr>
      </w:pPr>
      <w:r>
        <w:rPr>
          <w:noProof/>
        </w:rPr>
        <w:drawing>
          <wp:inline distT="0" distB="0" distL="0" distR="0" wp14:anchorId="1F887FC5" wp14:editId="74334F42">
            <wp:extent cx="3032760" cy="8636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3032760" cy="863600"/>
                    </a:xfrm>
                    <a:prstGeom prst="rect">
                      <a:avLst/>
                    </a:prstGeom>
                  </pic:spPr>
                </pic:pic>
              </a:graphicData>
            </a:graphic>
          </wp:inline>
        </w:drawing>
      </w:r>
    </w:p>
    <w:p w14:paraId="460EC6F5" w14:textId="5603DB60" w:rsidR="002B09C0" w:rsidRPr="007973FB" w:rsidRDefault="001A63AA" w:rsidP="00A13505">
      <w:pPr>
        <w:spacing w:line="276" w:lineRule="auto"/>
        <w:rPr>
          <w:rFonts w:ascii="Arial" w:eastAsia="Calibri" w:hAnsi="Arial" w:cs="Arial"/>
        </w:rPr>
      </w:pPr>
      <w:r w:rsidRPr="34DA7199">
        <w:rPr>
          <w:rFonts w:ascii="Arial" w:eastAsia="Calibri" w:hAnsi="Arial" w:cs="Arial"/>
        </w:rPr>
        <w:t xml:space="preserve">Bogotá D.C., </w:t>
      </w:r>
      <w:r w:rsidR="4C2EE378" w:rsidRPr="34DA7199">
        <w:rPr>
          <w:rFonts w:ascii="Arial" w:eastAsia="Calibri" w:hAnsi="Arial" w:cs="Arial"/>
        </w:rPr>
        <w:t>07 diciembre de 2022</w:t>
      </w:r>
    </w:p>
    <w:p w14:paraId="647ABFAB" w14:textId="2F0A340E" w:rsidR="001A63AA" w:rsidRPr="007973FB" w:rsidRDefault="001A63AA" w:rsidP="00FE1493">
      <w:pPr>
        <w:spacing w:after="0" w:line="240" w:lineRule="auto"/>
        <w:rPr>
          <w:rFonts w:ascii="Arial" w:eastAsia="Calibri" w:hAnsi="Arial" w:cs="Arial"/>
        </w:rPr>
      </w:pPr>
      <w:r w:rsidRPr="007973FB">
        <w:rPr>
          <w:rFonts w:ascii="Arial" w:eastAsia="Calibri" w:hAnsi="Arial" w:cs="Arial"/>
        </w:rPr>
        <w:t>Señor</w:t>
      </w:r>
    </w:p>
    <w:p w14:paraId="357BD102" w14:textId="63A024F4" w:rsidR="001A63AA" w:rsidRPr="007973FB" w:rsidRDefault="001A63AA" w:rsidP="00FE1493">
      <w:pPr>
        <w:spacing w:after="0" w:line="240" w:lineRule="auto"/>
        <w:rPr>
          <w:rFonts w:ascii="Arial" w:eastAsia="Calibri" w:hAnsi="Arial" w:cs="Arial"/>
          <w:b/>
          <w:bCs/>
        </w:rPr>
      </w:pPr>
      <w:r w:rsidRPr="007973FB">
        <w:rPr>
          <w:rFonts w:ascii="Arial" w:eastAsia="Calibri" w:hAnsi="Arial" w:cs="Arial"/>
          <w:b/>
          <w:bCs/>
        </w:rPr>
        <w:t xml:space="preserve">Santiago Bernal Amado </w:t>
      </w:r>
    </w:p>
    <w:p w14:paraId="11B67EA2" w14:textId="14529A83" w:rsidR="002B09C0" w:rsidRPr="007973FB" w:rsidRDefault="000E7A1E" w:rsidP="00FE1493">
      <w:pPr>
        <w:spacing w:after="0" w:line="240" w:lineRule="auto"/>
        <w:rPr>
          <w:rFonts w:ascii="Arial" w:eastAsia="Calibri" w:hAnsi="Arial" w:cs="Arial"/>
          <w:b/>
          <w:bCs/>
        </w:rPr>
      </w:pPr>
      <w:hyperlink r:id="rId12" w:history="1">
        <w:r w:rsidR="002B09C0" w:rsidRPr="00FE1493">
          <w:rPr>
            <w:rStyle w:val="Hipervnculo"/>
            <w:rFonts w:ascii="Arial" w:eastAsia="Calibri" w:hAnsi="Arial" w:cs="Arial"/>
            <w:b/>
            <w:bCs/>
            <w:color w:val="auto"/>
          </w:rPr>
          <w:t>bernalsantiago60@gmail.com</w:t>
        </w:r>
      </w:hyperlink>
      <w:r w:rsidR="002B09C0" w:rsidRPr="007973FB">
        <w:rPr>
          <w:rFonts w:ascii="Arial" w:eastAsia="Calibri" w:hAnsi="Arial" w:cs="Arial"/>
          <w:b/>
          <w:bCs/>
        </w:rPr>
        <w:t xml:space="preserve"> </w:t>
      </w:r>
    </w:p>
    <w:p w14:paraId="3FFE54C7" w14:textId="4FC6D98E" w:rsidR="002B09C0" w:rsidRPr="007973FB" w:rsidRDefault="002B09C0" w:rsidP="00FE1493">
      <w:pPr>
        <w:spacing w:after="0" w:line="240" w:lineRule="auto"/>
        <w:rPr>
          <w:rFonts w:ascii="Arial" w:eastAsia="Calibri" w:hAnsi="Arial" w:cs="Arial"/>
          <w:b/>
          <w:bCs/>
        </w:rPr>
      </w:pPr>
      <w:r w:rsidRPr="007973FB">
        <w:rPr>
          <w:rFonts w:ascii="Arial" w:eastAsia="Calibri" w:hAnsi="Arial" w:cs="Arial"/>
          <w:b/>
          <w:bCs/>
        </w:rPr>
        <w:t xml:space="preserve">Villavicencio </w:t>
      </w:r>
    </w:p>
    <w:p w14:paraId="56E6F4C0" w14:textId="33EC12C5" w:rsidR="001A63AA" w:rsidRPr="007973FB" w:rsidRDefault="001A63AA" w:rsidP="00A13505">
      <w:pPr>
        <w:spacing w:line="276" w:lineRule="auto"/>
        <w:rPr>
          <w:rFonts w:ascii="Arial" w:eastAsia="Calibri" w:hAnsi="Arial" w:cs="Arial"/>
        </w:rPr>
      </w:pPr>
    </w:p>
    <w:p w14:paraId="73274910" w14:textId="38064EA7" w:rsidR="001A63AA" w:rsidRPr="007973FB" w:rsidRDefault="001A63AA" w:rsidP="00A13505">
      <w:pPr>
        <w:spacing w:line="276" w:lineRule="auto"/>
        <w:rPr>
          <w:rFonts w:ascii="Arial" w:eastAsia="Calibri" w:hAnsi="Arial" w:cs="Arial"/>
          <w:b/>
        </w:rPr>
      </w:pPr>
      <w:r w:rsidRPr="007973FB">
        <w:rPr>
          <w:rFonts w:ascii="Arial" w:eastAsia="Calibri" w:hAnsi="Arial" w:cs="Arial"/>
          <w:b/>
        </w:rPr>
        <w:t xml:space="preserve">                                       Concepto C – </w:t>
      </w:r>
      <w:r w:rsidR="00DC24CD" w:rsidRPr="007973FB">
        <w:rPr>
          <w:rFonts w:ascii="Arial" w:eastAsia="Calibri" w:hAnsi="Arial" w:cs="Arial"/>
          <w:b/>
        </w:rPr>
        <w:t>845</w:t>
      </w:r>
      <w:r w:rsidRPr="007973FB">
        <w:rPr>
          <w:rFonts w:ascii="Arial" w:eastAsia="Calibri" w:hAnsi="Arial" w:cs="Arial"/>
          <w:b/>
        </w:rPr>
        <w:t xml:space="preserve"> de 2022 </w:t>
      </w:r>
    </w:p>
    <w:p w14:paraId="452AEC10" w14:textId="77777777" w:rsidR="001A63AA" w:rsidRPr="007973FB" w:rsidRDefault="001A63AA" w:rsidP="00A13505">
      <w:pPr>
        <w:spacing w:line="276" w:lineRule="auto"/>
        <w:rPr>
          <w:rFonts w:ascii="Arial" w:eastAsia="Calibri" w:hAnsi="Arial" w:cs="Arial"/>
          <w:b/>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7973FB" w:rsidRPr="007973FB" w14:paraId="279EF7C5" w14:textId="77777777">
        <w:trPr>
          <w:trHeight w:val="823"/>
        </w:trPr>
        <w:tc>
          <w:tcPr>
            <w:tcW w:w="2410" w:type="dxa"/>
          </w:tcPr>
          <w:p w14:paraId="1AAF0864" w14:textId="5F506915" w:rsidR="001A63AA" w:rsidRPr="007973FB" w:rsidRDefault="001A63AA" w:rsidP="00A13505">
            <w:pPr>
              <w:spacing w:line="276" w:lineRule="auto"/>
              <w:rPr>
                <w:rFonts w:ascii="Arial" w:eastAsia="Calibri" w:hAnsi="Arial" w:cs="Arial"/>
              </w:rPr>
            </w:pPr>
            <w:r w:rsidRPr="007973FB">
              <w:rPr>
                <w:rFonts w:ascii="Arial" w:eastAsia="Calibri" w:hAnsi="Arial" w:cs="Arial"/>
                <w:b/>
              </w:rPr>
              <w:t>Temas:</w:t>
            </w:r>
            <w:r w:rsidRPr="007973FB">
              <w:rPr>
                <w:rFonts w:ascii="Arial" w:eastAsia="Calibri" w:hAnsi="Arial" w:cs="Arial"/>
              </w:rPr>
              <w:t xml:space="preserve">                                     </w:t>
            </w:r>
          </w:p>
        </w:tc>
        <w:tc>
          <w:tcPr>
            <w:tcW w:w="6516" w:type="dxa"/>
          </w:tcPr>
          <w:p w14:paraId="4A3CB7A0" w14:textId="77777777" w:rsidR="004F10F7" w:rsidRPr="007973FB" w:rsidRDefault="00124339" w:rsidP="00A13505">
            <w:pPr>
              <w:spacing w:line="276" w:lineRule="auto"/>
              <w:jc w:val="both"/>
              <w:rPr>
                <w:rFonts w:ascii="Arial" w:eastAsia="Calibri" w:hAnsi="Arial" w:cs="Arial"/>
                <w:b/>
                <w:bCs/>
                <w:lang w:val="es-ES_tradnl"/>
              </w:rPr>
            </w:pPr>
            <w:r w:rsidRPr="00FE1493">
              <w:rPr>
                <w:rFonts w:ascii="Arial" w:eastAsia="Calibri" w:hAnsi="Arial" w:cs="Arial"/>
                <w:bCs/>
                <w:lang w:val="es-ES"/>
              </w:rPr>
              <w:t xml:space="preserve">GARANTÍAS – Contratación estatal – Constitución de garantías – Finalidad – Cumplimiento – Obligaciones contractuales / TIPOS DE GARANTÍAS – Póliza de seguro – Garantía bancaria o cartas de crédito de stand by – fiducia mercantil de garantía / </w:t>
            </w:r>
            <w:r w:rsidRPr="007973FB">
              <w:rPr>
                <w:rFonts w:ascii="Arial" w:hAnsi="Arial" w:cs="Arial"/>
                <w:bCs/>
                <w:lang w:val="es-ES_tradnl" w:eastAsia="es-ES"/>
              </w:rPr>
              <w:t xml:space="preserve">GARANTÍA DE CUMPLIMIENTO – Noción / GARANTÍA DE CUMPLIMIENTO – Vigencia / GARANTÍAS – Plazo para su reclamación </w:t>
            </w:r>
            <w:r w:rsidR="004F10F7" w:rsidRPr="007973FB">
              <w:rPr>
                <w:rFonts w:ascii="Arial" w:hAnsi="Arial" w:cs="Arial"/>
                <w:bCs/>
                <w:lang w:val="es-ES_tradnl" w:eastAsia="es-ES"/>
              </w:rPr>
              <w:t xml:space="preserve">/ </w:t>
            </w:r>
            <w:r w:rsidR="004F10F7" w:rsidRPr="007973FB">
              <w:rPr>
                <w:rFonts w:ascii="Arial" w:eastAsia="Calibri" w:hAnsi="Arial" w:cs="Arial"/>
                <w:lang w:val="es-ES_tradnl"/>
              </w:rPr>
              <w:t>GARANTÍA DE ESTABILIDAD DE LA OBRA – Concepto / RESPONSABILIDAD EXIGIBLE AL CONTRATISTA – Garantía decenal</w:t>
            </w:r>
            <w:r w:rsidR="004F10F7" w:rsidRPr="007973FB">
              <w:rPr>
                <w:rFonts w:ascii="Arial" w:eastAsia="Calibri" w:hAnsi="Arial" w:cs="Arial"/>
                <w:b/>
                <w:bCs/>
                <w:lang w:val="es-ES_tradnl"/>
              </w:rPr>
              <w:t xml:space="preserve"> </w:t>
            </w:r>
          </w:p>
          <w:p w14:paraId="7F84E054" w14:textId="77777777" w:rsidR="001A63AA" w:rsidRPr="007973FB" w:rsidRDefault="001A63AA" w:rsidP="00A13505">
            <w:pPr>
              <w:pStyle w:val="Textoindependiente"/>
              <w:spacing w:after="160" w:line="276" w:lineRule="auto"/>
              <w:ind w:right="109"/>
              <w:jc w:val="both"/>
              <w:rPr>
                <w:bCs/>
                <w:sz w:val="22"/>
                <w:szCs w:val="22"/>
              </w:rPr>
            </w:pPr>
          </w:p>
        </w:tc>
      </w:tr>
      <w:tr w:rsidR="001A63AA" w:rsidRPr="007973FB" w14:paraId="632299EC" w14:textId="77777777">
        <w:tc>
          <w:tcPr>
            <w:tcW w:w="2410" w:type="dxa"/>
          </w:tcPr>
          <w:p w14:paraId="189400C8" w14:textId="77777777" w:rsidR="001A63AA" w:rsidRPr="007973FB" w:rsidRDefault="001A63AA" w:rsidP="00A13505">
            <w:pPr>
              <w:spacing w:line="276" w:lineRule="auto"/>
              <w:rPr>
                <w:rFonts w:ascii="Arial" w:eastAsia="Calibri" w:hAnsi="Arial" w:cs="Arial"/>
              </w:rPr>
            </w:pPr>
            <w:r w:rsidRPr="007973FB">
              <w:rPr>
                <w:rFonts w:ascii="Arial" w:eastAsia="Calibri" w:hAnsi="Arial" w:cs="Arial"/>
                <w:b/>
              </w:rPr>
              <w:t>Radicación:</w:t>
            </w:r>
            <w:r w:rsidRPr="007973FB">
              <w:rPr>
                <w:rFonts w:ascii="Arial" w:eastAsia="Calibri" w:hAnsi="Arial" w:cs="Arial"/>
              </w:rPr>
              <w:t xml:space="preserve">                              </w:t>
            </w:r>
          </w:p>
        </w:tc>
        <w:tc>
          <w:tcPr>
            <w:tcW w:w="6516" w:type="dxa"/>
          </w:tcPr>
          <w:p w14:paraId="00EEC5B0" w14:textId="2774257A" w:rsidR="001A63AA" w:rsidRPr="007973FB" w:rsidRDefault="001A63AA" w:rsidP="00A13505">
            <w:pPr>
              <w:spacing w:line="276" w:lineRule="auto"/>
              <w:jc w:val="both"/>
              <w:rPr>
                <w:rFonts w:ascii="Arial" w:hAnsi="Arial" w:cs="Arial"/>
              </w:rPr>
            </w:pPr>
            <w:r w:rsidRPr="007973FB">
              <w:rPr>
                <w:rFonts w:ascii="Arial" w:eastAsia="Calibri" w:hAnsi="Arial" w:cs="Arial"/>
              </w:rPr>
              <w:t xml:space="preserve">Respuesta a la consulta P20221024010723 </w:t>
            </w:r>
          </w:p>
        </w:tc>
      </w:tr>
    </w:tbl>
    <w:p w14:paraId="4177DA49" w14:textId="77777777" w:rsidR="001A63AA" w:rsidRPr="007973FB" w:rsidRDefault="001A63AA" w:rsidP="00A13505">
      <w:pPr>
        <w:spacing w:line="276" w:lineRule="auto"/>
        <w:rPr>
          <w:rFonts w:ascii="Arial" w:eastAsia="Calibri" w:hAnsi="Arial" w:cs="Arial"/>
        </w:rPr>
      </w:pPr>
    </w:p>
    <w:p w14:paraId="7A22B0D9" w14:textId="1C2DEB6A" w:rsidR="001A63AA" w:rsidRPr="007973FB" w:rsidRDefault="001A63AA" w:rsidP="00A13505">
      <w:pPr>
        <w:tabs>
          <w:tab w:val="left" w:pos="3736"/>
        </w:tabs>
        <w:spacing w:line="276" w:lineRule="auto"/>
        <w:rPr>
          <w:rFonts w:ascii="Arial" w:eastAsia="Calibri" w:hAnsi="Arial" w:cs="Arial"/>
        </w:rPr>
      </w:pPr>
      <w:r w:rsidRPr="007973FB">
        <w:rPr>
          <w:rFonts w:ascii="Arial" w:eastAsia="Calibri" w:hAnsi="Arial" w:cs="Arial"/>
        </w:rPr>
        <w:t>Estimado señor Bernal:</w:t>
      </w:r>
    </w:p>
    <w:p w14:paraId="09A4D882" w14:textId="28AD06D1" w:rsidR="001A63AA" w:rsidRPr="007973FB" w:rsidRDefault="001A63AA" w:rsidP="00A13505">
      <w:pPr>
        <w:spacing w:line="276" w:lineRule="auto"/>
        <w:jc w:val="both"/>
        <w:rPr>
          <w:rFonts w:ascii="Arial" w:eastAsia="Calibri" w:hAnsi="Arial" w:cs="Arial"/>
        </w:rPr>
      </w:pPr>
      <w:r w:rsidRPr="007973FB">
        <w:rPr>
          <w:rFonts w:ascii="Arial" w:eastAsia="Calibri" w:hAnsi="Arial" w:cs="Arial"/>
        </w:rPr>
        <w:t xml:space="preserve">La Agencia Nacional de Contratación Pública – Colombia Compra Eficiente, en ejercicio de la competencia otorgada por el numeral 8 del artículo 11 y el numeral 5 del artículo 3 del Decreto Ley 4170 de 2011, responde su consulta remitida el 11 de agosto de 2022. </w:t>
      </w:r>
    </w:p>
    <w:p w14:paraId="1412AB6D" w14:textId="77777777" w:rsidR="001A63AA" w:rsidRPr="007973FB" w:rsidRDefault="001A63AA" w:rsidP="00A13505">
      <w:pPr>
        <w:tabs>
          <w:tab w:val="left" w:pos="0"/>
        </w:tabs>
        <w:spacing w:line="276" w:lineRule="auto"/>
        <w:jc w:val="both"/>
        <w:rPr>
          <w:rFonts w:ascii="Arial" w:eastAsia="Calibri" w:hAnsi="Arial" w:cs="Arial"/>
          <w:b/>
        </w:rPr>
      </w:pPr>
      <w:r w:rsidRPr="007973FB">
        <w:rPr>
          <w:rFonts w:ascii="Arial" w:eastAsia="Calibri" w:hAnsi="Arial" w:cs="Arial"/>
          <w:b/>
        </w:rPr>
        <w:t>1. Problema planteado</w:t>
      </w:r>
    </w:p>
    <w:p w14:paraId="652C6350" w14:textId="77777777" w:rsidR="001A63AA" w:rsidRPr="007973FB" w:rsidRDefault="001A63AA" w:rsidP="00A13505">
      <w:pPr>
        <w:pStyle w:val="gmail-msonospacing"/>
        <w:spacing w:before="0" w:beforeAutospacing="0" w:after="160" w:afterAutospacing="0" w:line="276" w:lineRule="auto"/>
        <w:ind w:right="900"/>
        <w:jc w:val="both"/>
        <w:rPr>
          <w:rFonts w:ascii="Arial" w:eastAsia="Calibri" w:hAnsi="Arial" w:cs="Arial"/>
          <w:lang w:val="es-ES_tradnl"/>
        </w:rPr>
      </w:pPr>
      <w:r w:rsidRPr="007973FB">
        <w:rPr>
          <w:rFonts w:ascii="Arial" w:eastAsia="Calibri" w:hAnsi="Arial" w:cs="Arial"/>
          <w:lang w:val="es-ES_tradnl"/>
        </w:rPr>
        <w:t xml:space="preserve">Usted realiza la siguiente pregunta: </w:t>
      </w:r>
    </w:p>
    <w:p w14:paraId="1EBC994C" w14:textId="44C3F059" w:rsidR="001A63AA" w:rsidRPr="00FE1493" w:rsidRDefault="001A63AA" w:rsidP="00FE1493">
      <w:pPr>
        <w:autoSpaceDE w:val="0"/>
        <w:autoSpaceDN w:val="0"/>
        <w:adjustRightInd w:val="0"/>
        <w:spacing w:line="240" w:lineRule="auto"/>
        <w:ind w:left="709" w:right="709"/>
        <w:jc w:val="both"/>
        <w:rPr>
          <w:rFonts w:ascii="Arial" w:hAnsi="Arial" w:cs="Arial"/>
          <w:sz w:val="21"/>
          <w:szCs w:val="21"/>
        </w:rPr>
      </w:pPr>
      <w:r w:rsidRPr="00FE1493">
        <w:rPr>
          <w:rFonts w:ascii="Arial" w:hAnsi="Arial" w:cs="Arial"/>
          <w:sz w:val="21"/>
          <w:szCs w:val="21"/>
        </w:rPr>
        <w:t xml:space="preserve">«Mediante la presente solicito su colaboración, para que se me resuelva una duda que tengo acerca de las pólizas de cumplimiento de un contrato de obra. Una vez se vence </w:t>
      </w:r>
      <w:r w:rsidRPr="00FE1493">
        <w:rPr>
          <w:rFonts w:ascii="Arial" w:hAnsi="Arial" w:cs="Arial"/>
          <w:sz w:val="21"/>
          <w:szCs w:val="21"/>
        </w:rPr>
        <w:lastRenderedPageBreak/>
        <w:t>el tiempo de cobertura de la póliza de garantía de un contrato de obra, quien es el responsable ante el daño o la mala ejecución de la obra»</w:t>
      </w:r>
    </w:p>
    <w:p w14:paraId="4451C842" w14:textId="77777777" w:rsidR="001A63AA" w:rsidRPr="00FE1493" w:rsidRDefault="001A63AA" w:rsidP="00A13505">
      <w:pPr>
        <w:spacing w:line="276" w:lineRule="auto"/>
        <w:jc w:val="both"/>
        <w:rPr>
          <w:rFonts w:ascii="Arial" w:hAnsi="Arial" w:cs="Arial"/>
        </w:rPr>
      </w:pPr>
    </w:p>
    <w:p w14:paraId="107C690A" w14:textId="77777777" w:rsidR="001A63AA" w:rsidRPr="007973FB" w:rsidRDefault="001A63AA" w:rsidP="00A13505">
      <w:pPr>
        <w:pStyle w:val="NormalWeb"/>
        <w:spacing w:before="0" w:beforeAutospacing="0" w:after="160" w:afterAutospacing="0" w:line="276" w:lineRule="auto"/>
        <w:ind w:right="51"/>
        <w:contextualSpacing/>
        <w:jc w:val="both"/>
        <w:rPr>
          <w:rFonts w:ascii="Arial" w:eastAsia="Calibri" w:hAnsi="Arial" w:cs="Arial"/>
          <w:b/>
          <w:sz w:val="22"/>
          <w:szCs w:val="22"/>
        </w:rPr>
      </w:pPr>
      <w:r w:rsidRPr="007973FB">
        <w:rPr>
          <w:rFonts w:ascii="Arial" w:eastAsia="Calibri" w:hAnsi="Arial" w:cs="Arial"/>
          <w:b/>
          <w:sz w:val="22"/>
          <w:szCs w:val="22"/>
        </w:rPr>
        <w:t>2. Consideraciones</w:t>
      </w:r>
    </w:p>
    <w:p w14:paraId="0FD66F0A" w14:textId="77777777" w:rsidR="001A63AA" w:rsidRPr="007973FB" w:rsidRDefault="001A63AA" w:rsidP="00A13505">
      <w:pPr>
        <w:pStyle w:val="NormalWeb"/>
        <w:spacing w:before="0" w:beforeAutospacing="0" w:after="160" w:afterAutospacing="0" w:line="276" w:lineRule="auto"/>
        <w:ind w:right="51"/>
        <w:contextualSpacing/>
        <w:jc w:val="both"/>
        <w:rPr>
          <w:rFonts w:ascii="Arial" w:eastAsia="Calibri" w:hAnsi="Arial" w:cs="Arial"/>
          <w:b/>
          <w:sz w:val="22"/>
          <w:szCs w:val="22"/>
        </w:rPr>
      </w:pPr>
    </w:p>
    <w:p w14:paraId="306E9445" w14:textId="4D9D9179" w:rsidR="001A63AA" w:rsidRPr="007973FB" w:rsidRDefault="001A63AA" w:rsidP="00A13505">
      <w:pPr>
        <w:spacing w:line="276" w:lineRule="auto"/>
        <w:jc w:val="both"/>
        <w:rPr>
          <w:rFonts w:ascii="Arial" w:hAnsi="Arial" w:cs="Arial"/>
        </w:rPr>
      </w:pPr>
      <w:r w:rsidRPr="007973FB">
        <w:rPr>
          <w:rFonts w:ascii="Arial" w:hAnsi="Arial" w:cs="Arial"/>
          <w:bCs/>
        </w:rPr>
        <w:t xml:space="preserve">En ejercicio de las competencias establecidas en </w:t>
      </w:r>
      <w:r w:rsidR="002B09C0" w:rsidRPr="007973FB">
        <w:rPr>
          <w:rFonts w:ascii="Arial" w:hAnsi="Arial" w:cs="Arial"/>
          <w:bCs/>
        </w:rPr>
        <w:t xml:space="preserve">el numeral 5 del </w:t>
      </w:r>
      <w:r w:rsidRPr="007973FB">
        <w:rPr>
          <w:rFonts w:ascii="Arial" w:hAnsi="Arial" w:cs="Arial"/>
          <w:bCs/>
        </w:rPr>
        <w:t>artículo</w:t>
      </w:r>
      <w:r w:rsidR="002B09C0" w:rsidRPr="007973FB">
        <w:rPr>
          <w:rFonts w:ascii="Arial" w:hAnsi="Arial" w:cs="Arial"/>
          <w:bCs/>
        </w:rPr>
        <w:t xml:space="preserve"> </w:t>
      </w:r>
      <w:r w:rsidRPr="007973FB">
        <w:rPr>
          <w:rFonts w:ascii="Arial" w:hAnsi="Arial" w:cs="Arial"/>
          <w:bCs/>
        </w:rPr>
        <w:t xml:space="preserve">3 y </w:t>
      </w:r>
      <w:r w:rsidR="002B09C0" w:rsidRPr="007973FB">
        <w:rPr>
          <w:rFonts w:ascii="Arial" w:hAnsi="Arial" w:cs="Arial"/>
          <w:bCs/>
        </w:rPr>
        <w:t>el nu</w:t>
      </w:r>
      <w:r w:rsidR="00EB4475" w:rsidRPr="007973FB">
        <w:rPr>
          <w:rFonts w:ascii="Arial" w:hAnsi="Arial" w:cs="Arial"/>
          <w:bCs/>
        </w:rPr>
        <w:t xml:space="preserve">meral 8 del artículo </w:t>
      </w:r>
      <w:r w:rsidRPr="007973FB">
        <w:rPr>
          <w:rFonts w:ascii="Arial" w:hAnsi="Arial" w:cs="Arial"/>
          <w:bCs/>
        </w:rPr>
        <w:t>11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026958"/>
      <w:bookmarkStart w:id="1" w:name="_Hlk61701014"/>
      <w:bookmarkStart w:id="2" w:name="_Hlk62136649"/>
      <w:r w:rsidRPr="007973FB">
        <w:rPr>
          <w:rFonts w:ascii="Arial" w:hAnsi="Arial" w:cs="Arial"/>
        </w:rPr>
        <w:t xml:space="preserve"> En ese sentido, resolver casos particulares desborda las atribuciones asignadas por el legislador extraordinario, que no concibió a Colombia Compra Eficiente como una autoridad para solucionar problemas jurídicos particulares</w:t>
      </w:r>
      <w:r w:rsidRPr="007973FB">
        <w:rPr>
          <w:rFonts w:ascii="Arial" w:hAnsi="Arial" w:cs="Arial"/>
          <w:bCs/>
        </w:rPr>
        <w:t xml:space="preserve"> de todos los partícipes de la contratación estatal.</w:t>
      </w:r>
    </w:p>
    <w:p w14:paraId="1D3AF967" w14:textId="77777777" w:rsidR="001A63AA" w:rsidRPr="007973FB" w:rsidRDefault="001A63AA" w:rsidP="00A13505">
      <w:pPr>
        <w:spacing w:line="276" w:lineRule="auto"/>
        <w:ind w:firstLine="708"/>
        <w:jc w:val="both"/>
        <w:rPr>
          <w:rFonts w:ascii="Arial" w:hAnsi="Arial" w:cs="Arial"/>
        </w:rPr>
      </w:pPr>
      <w:r w:rsidRPr="007973FB">
        <w:rPr>
          <w:rFonts w:ascii="Arial" w:hAnsi="Arial" w:cs="Aria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973FB">
        <w:rPr>
          <w:rFonts w:ascii="Arial" w:hAnsi="Arial" w:cs="Arial"/>
          <w:vertAlign w:val="superscript"/>
        </w:rPr>
        <w:footnoteReference w:id="2"/>
      </w:r>
      <w:r w:rsidRPr="007973FB">
        <w:rPr>
          <w:rFonts w:ascii="Arial" w:hAnsi="Arial" w:cs="Aria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0"/>
      <w:r w:rsidRPr="007973FB">
        <w:rPr>
          <w:rFonts w:ascii="Arial" w:hAnsi="Arial" w:cs="Aria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1"/>
    </w:p>
    <w:p w14:paraId="7A7EB231" w14:textId="77777777" w:rsidR="001A63AA" w:rsidRPr="007973FB" w:rsidRDefault="001A63AA" w:rsidP="00A13505">
      <w:pPr>
        <w:spacing w:line="276" w:lineRule="auto"/>
        <w:ind w:firstLine="708"/>
        <w:jc w:val="both"/>
        <w:rPr>
          <w:rFonts w:ascii="Arial" w:hAnsi="Arial" w:cs="Arial"/>
          <w:bCs/>
        </w:rPr>
      </w:pPr>
      <w:r w:rsidRPr="007973FB">
        <w:rPr>
          <w:rFonts w:ascii="Arial" w:hAnsi="Arial" w:cs="Arial"/>
        </w:rPr>
        <w:t xml:space="preserve">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de la Ley 1437 de 2011, de acuerdo con el contenido sustituido por la Ley 1755 de 2015, el cual señala «[…]  los conceptos </w:t>
      </w:r>
      <w:r w:rsidRPr="007973FB">
        <w:rPr>
          <w:rFonts w:ascii="Arial" w:hAnsi="Arial" w:cs="Arial"/>
        </w:rPr>
        <w:lastRenderedPageBreak/>
        <w:t>emitidos por las autoridades como respuestas a peticiones realizadas en ejercicio del derecho a formular consultas no serán de obligatorio cumplimiento o ejecución». E</w:t>
      </w:r>
      <w:r w:rsidRPr="007973FB">
        <w:rPr>
          <w:rFonts w:ascii="Arial" w:hAnsi="Arial" w:cs="Arial"/>
          <w:bCs/>
        </w:rPr>
        <w:t>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7973FB">
        <w:rPr>
          <w:rFonts w:ascii="Arial" w:hAnsi="Arial" w:cs="Arial"/>
          <w:bCs/>
          <w:vertAlign w:val="superscript"/>
        </w:rPr>
        <w:footnoteReference w:id="3"/>
      </w:r>
      <w:r w:rsidRPr="007973FB">
        <w:rPr>
          <w:rFonts w:ascii="Arial" w:hAnsi="Arial" w:cs="Arial"/>
          <w:bCs/>
        </w:rPr>
        <w:t>.</w:t>
      </w:r>
    </w:p>
    <w:p w14:paraId="0A69608A" w14:textId="0477D482" w:rsidR="0027292B" w:rsidRPr="00FE1493" w:rsidRDefault="00F4436A" w:rsidP="00FE1493">
      <w:pPr>
        <w:spacing w:line="276" w:lineRule="auto"/>
        <w:ind w:firstLine="708"/>
        <w:jc w:val="both"/>
        <w:rPr>
          <w:rFonts w:ascii="Arial" w:hAnsi="Arial" w:cs="Arial"/>
          <w:b/>
          <w:bCs/>
        </w:rPr>
      </w:pPr>
      <w:r w:rsidRPr="00FE1493">
        <w:rPr>
          <w:rFonts w:ascii="Arial" w:hAnsi="Arial" w:cs="Arial"/>
        </w:rPr>
        <w:t xml:space="preserve">Sin perjuicio de lo anterior, </w:t>
      </w:r>
      <w:r w:rsidRPr="00FE1493">
        <w:rPr>
          <w:rFonts w:ascii="Arial" w:hAnsi="Arial" w:cs="Arial"/>
          <w:lang w:val="es-ES"/>
        </w:rPr>
        <w:t xml:space="preserve">la Subdirección de Gestión Contractual, dentro de los límites de sus atribuciones, esto es, </w:t>
      </w:r>
      <w:bookmarkStart w:id="3" w:name="_Hlk61025408"/>
      <w:r w:rsidRPr="00FE1493">
        <w:rPr>
          <w:rFonts w:ascii="Arial" w:hAnsi="Arial" w:cs="Arial"/>
          <w:lang w:val="es-ES"/>
        </w:rPr>
        <w:t>haciendo abstracción del caso particular expuesto por el peticionario,</w:t>
      </w:r>
      <w:bookmarkEnd w:id="3"/>
      <w:r w:rsidRPr="00FE1493">
        <w:rPr>
          <w:rFonts w:ascii="Arial" w:hAnsi="Arial" w:cs="Arial"/>
          <w:lang w:val="es-ES"/>
        </w:rPr>
        <w:t xml:space="preserve"> resolverá la consulta conforme a las normas generales en materia de contratación estatal. Con este objetivo se analizarán los siguientes temas</w:t>
      </w:r>
      <w:r w:rsidR="00185094" w:rsidRPr="00FE1493">
        <w:rPr>
          <w:rFonts w:ascii="Arial" w:eastAsia="Calibri" w:hAnsi="Arial" w:cs="Arial"/>
          <w:bCs/>
          <w:lang w:eastAsia="es-ES_tradnl"/>
        </w:rPr>
        <w:t xml:space="preserve">: </w:t>
      </w:r>
      <w:r w:rsidR="001A63AA" w:rsidRPr="00FE1493">
        <w:rPr>
          <w:rFonts w:ascii="Arial" w:eastAsia="Calibri" w:hAnsi="Arial" w:cs="Arial"/>
          <w:bCs/>
        </w:rPr>
        <w:t>i)</w:t>
      </w:r>
      <w:r w:rsidR="001A63AA" w:rsidRPr="00FE1493">
        <w:rPr>
          <w:rFonts w:ascii="Arial" w:eastAsia="Calibri" w:hAnsi="Arial" w:cs="Arial"/>
          <w:lang w:val="es-ES_tradnl" w:eastAsia="en-GB"/>
        </w:rPr>
        <w:t xml:space="preserve"> </w:t>
      </w:r>
      <w:r w:rsidR="00185094" w:rsidRPr="00FE1493">
        <w:rPr>
          <w:rFonts w:ascii="Arial" w:eastAsia="Calibri" w:hAnsi="Arial" w:cs="Arial"/>
          <w:bCs/>
          <w:lang w:val="es-ES_tradnl"/>
        </w:rPr>
        <w:t>Garantía en la contratación estatal como mecanismos de cobertura,</w:t>
      </w:r>
      <w:r w:rsidR="001A63AA" w:rsidRPr="00FE1493">
        <w:rPr>
          <w:rFonts w:ascii="Arial" w:eastAsia="Calibri" w:hAnsi="Arial" w:cs="Arial"/>
          <w:bCs/>
          <w:lang w:val="es-ES_tradnl"/>
        </w:rPr>
        <w:t xml:space="preserve"> ii) </w:t>
      </w:r>
      <w:bookmarkStart w:id="4" w:name="_Hlk38448224"/>
      <w:r w:rsidR="0027292B" w:rsidRPr="00FE1493">
        <w:rPr>
          <w:rFonts w:ascii="Arial" w:hAnsi="Arial" w:cs="Arial"/>
        </w:rPr>
        <w:t>Garantía de cumplimiento: noción y vigencia</w:t>
      </w:r>
      <w:r w:rsidR="0027292B" w:rsidRPr="00FE1493">
        <w:rPr>
          <w:rFonts w:ascii="Arial" w:hAnsi="Arial" w:cs="Arial"/>
          <w:b/>
          <w:bCs/>
        </w:rPr>
        <w:t xml:space="preserve">. </w:t>
      </w:r>
    </w:p>
    <w:p w14:paraId="7CB9280F" w14:textId="33DB982A" w:rsidR="001A63AA" w:rsidRPr="007973FB" w:rsidRDefault="001A63AA" w:rsidP="00A13505">
      <w:pPr>
        <w:spacing w:line="276" w:lineRule="auto"/>
        <w:jc w:val="both"/>
        <w:rPr>
          <w:rFonts w:ascii="Arial" w:hAnsi="Arial" w:cs="Arial"/>
        </w:rPr>
      </w:pPr>
      <w:r w:rsidRPr="007973FB">
        <w:rPr>
          <w:rFonts w:ascii="Arial" w:eastAsia="Calibri" w:hAnsi="Arial" w:cs="Arial"/>
        </w:rPr>
        <w:t xml:space="preserve">La Agencia </w:t>
      </w:r>
      <w:r w:rsidRPr="007973FB">
        <w:rPr>
          <w:rFonts w:ascii="Arial" w:eastAsia="Calibri" w:hAnsi="Arial" w:cs="Arial"/>
          <w:bCs/>
        </w:rPr>
        <w:t xml:space="preserve">Nacional de Contratación Pública – Colombia Compra Eficiente se </w:t>
      </w:r>
      <w:r w:rsidRPr="00FE1493">
        <w:rPr>
          <w:rFonts w:ascii="Arial" w:hAnsi="Arial" w:cs="Arial"/>
          <w:lang w:val="es-ES"/>
        </w:rPr>
        <w:t xml:space="preserve">pronunció en términos generales sobre las garantías en la contratación estatal, entre otros, en los conceptos 2201913000009075 del 9 de diciembre de 2019, C-080 del 8 de abril de 2021, C-525 del 27 de septiembre de 2021, </w:t>
      </w:r>
      <w:r w:rsidRPr="00FE1493">
        <w:rPr>
          <w:rFonts w:ascii="Arial" w:eastAsia="Calibri" w:hAnsi="Arial" w:cs="Arial"/>
        </w:rPr>
        <w:t xml:space="preserve">C- 567 del 08 de octubre del 2021, C-036 del 28 de febrero del 2022, y C-126 de 25 de marzo de 2022. </w:t>
      </w:r>
      <w:r w:rsidRPr="00FE1493">
        <w:rPr>
          <w:rFonts w:ascii="Arial" w:hAnsi="Arial" w:cs="Arial"/>
        </w:rPr>
        <w:t>Las tesis expuestas en estos conceptos se desarrollan y se complementan en lo pertinente a continuación.</w:t>
      </w:r>
      <w:bookmarkEnd w:id="4"/>
    </w:p>
    <w:bookmarkEnd w:id="2"/>
    <w:p w14:paraId="47A75D77" w14:textId="5978C7A3" w:rsidR="001A63AA" w:rsidRPr="00FE1493" w:rsidRDefault="001A63AA" w:rsidP="00A13505">
      <w:pPr>
        <w:spacing w:line="276" w:lineRule="auto"/>
        <w:jc w:val="both"/>
        <w:rPr>
          <w:rFonts w:ascii="Arial" w:eastAsia="Calibri" w:hAnsi="Arial" w:cs="Arial"/>
          <w:b/>
          <w:bCs/>
          <w:lang w:val="es-ES_tradnl" w:eastAsia="en-GB"/>
        </w:rPr>
      </w:pPr>
      <w:r w:rsidRPr="00FE1493">
        <w:rPr>
          <w:rFonts w:ascii="Arial" w:eastAsia="Calibri" w:hAnsi="Arial" w:cs="Arial"/>
          <w:b/>
          <w:bCs/>
          <w:lang w:eastAsia="en-GB"/>
        </w:rPr>
        <w:lastRenderedPageBreak/>
        <w:t xml:space="preserve">2.1. </w:t>
      </w:r>
      <w:r w:rsidR="00185094" w:rsidRPr="00FE1493">
        <w:rPr>
          <w:rFonts w:ascii="Arial" w:eastAsia="Calibri" w:hAnsi="Arial" w:cs="Arial"/>
          <w:b/>
          <w:bCs/>
          <w:lang w:val="es-ES_tradnl" w:eastAsia="en-GB"/>
        </w:rPr>
        <w:t xml:space="preserve">Garantías en la contratación estatal como mecanismos de cobertura </w:t>
      </w:r>
    </w:p>
    <w:p w14:paraId="7AB985C7" w14:textId="77777777" w:rsidR="001A63AA" w:rsidRPr="00FE1493" w:rsidRDefault="001A63AA" w:rsidP="00A13505">
      <w:pPr>
        <w:spacing w:line="276" w:lineRule="auto"/>
        <w:jc w:val="both"/>
        <w:rPr>
          <w:rFonts w:ascii="Arial" w:eastAsia="Calibri" w:hAnsi="Arial" w:cs="Arial"/>
          <w:b/>
          <w:bCs/>
          <w:lang w:eastAsia="en-GB"/>
        </w:rPr>
      </w:pPr>
    </w:p>
    <w:p w14:paraId="62DCCF12" w14:textId="5B771390" w:rsidR="001A63AA" w:rsidRPr="00FE1493" w:rsidRDefault="001A63AA" w:rsidP="00A13505">
      <w:pPr>
        <w:spacing w:line="276" w:lineRule="auto"/>
        <w:jc w:val="both"/>
        <w:rPr>
          <w:rFonts w:ascii="Arial" w:eastAsia="Calibri" w:hAnsi="Arial" w:cs="Arial"/>
          <w:lang w:val="es-ES_tradnl"/>
        </w:rPr>
      </w:pPr>
      <w:r w:rsidRPr="00FE1493">
        <w:rPr>
          <w:rFonts w:ascii="Arial" w:eastAsia="Calibri" w:hAnsi="Arial" w:cs="Arial"/>
          <w:lang w:val="es-ES_tradnl"/>
        </w:rPr>
        <w:t xml:space="preserve">De acuerdo con el Estatuto General de Contratación de la Administración Pública, por regla general, </w:t>
      </w:r>
      <w:r w:rsidRPr="00FE1493">
        <w:rPr>
          <w:rFonts w:ascii="Arial" w:eastAsia="Calibri" w:hAnsi="Arial" w:cs="Arial"/>
          <w:lang w:val="es-ES"/>
        </w:rPr>
        <w:t>para seleccionar los contratistas y para ejecutar los contratos se requiere la constitución de garantías</w:t>
      </w:r>
      <w:r w:rsidRPr="00FE1493">
        <w:rPr>
          <w:rFonts w:ascii="Arial" w:eastAsia="Calibri" w:hAnsi="Arial" w:cs="Arial"/>
          <w:lang w:val="es-ES_tradnl"/>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Esta norma señala lo siguiente:</w:t>
      </w:r>
    </w:p>
    <w:p w14:paraId="578EF1CF" w14:textId="6AC5600E" w:rsidR="001A63AA" w:rsidRPr="00FE1493" w:rsidRDefault="00F4436A" w:rsidP="00FE1493">
      <w:pPr>
        <w:spacing w:line="240" w:lineRule="auto"/>
        <w:ind w:left="709" w:right="709"/>
        <w:jc w:val="both"/>
        <w:rPr>
          <w:rFonts w:ascii="Arial" w:hAnsi="Arial" w:cs="Arial"/>
          <w:sz w:val="21"/>
          <w:szCs w:val="21"/>
          <w:lang w:eastAsia="es-CO"/>
        </w:rPr>
      </w:pPr>
      <w:r w:rsidRPr="00FE1493">
        <w:rPr>
          <w:rFonts w:ascii="Arial" w:hAnsi="Arial" w:cs="Arial"/>
          <w:sz w:val="21"/>
          <w:szCs w:val="21"/>
          <w:lang w:eastAsia="es-CO"/>
        </w:rPr>
        <w:t>«</w:t>
      </w:r>
      <w:r w:rsidR="001A63AA" w:rsidRPr="00FE1493">
        <w:rPr>
          <w:rFonts w:ascii="Arial" w:hAnsi="Arial" w:cs="Arial"/>
          <w:sz w:val="21"/>
          <w:szCs w:val="21"/>
          <w:lang w:eastAsia="es-CO"/>
        </w:rPr>
        <w:t>Artículo 7. Los contratistas prestarán garantía única para el cumplimiento de las obligaciones surgidas del contrato. Los proponentes prestarán garantía de seriedad de los ofrecimientos hechos. </w:t>
      </w:r>
    </w:p>
    <w:p w14:paraId="154E95A4" w14:textId="15C3187A" w:rsidR="001A63AA" w:rsidRPr="00FE1493" w:rsidRDefault="001A63AA" w:rsidP="00FE1493">
      <w:pPr>
        <w:spacing w:line="240" w:lineRule="auto"/>
        <w:ind w:left="709" w:right="709"/>
        <w:jc w:val="both"/>
        <w:rPr>
          <w:rFonts w:ascii="Arial" w:hAnsi="Arial" w:cs="Arial"/>
          <w:sz w:val="21"/>
          <w:szCs w:val="21"/>
          <w:lang w:eastAsia="es-CO"/>
        </w:rPr>
      </w:pPr>
      <w:r w:rsidRPr="00FE1493">
        <w:rPr>
          <w:rFonts w:ascii="Arial" w:hAnsi="Arial" w:cs="Arial"/>
          <w:sz w:val="21"/>
          <w:szCs w:val="21"/>
          <w:lang w:eastAsia="es-CO"/>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6BBD7CE6" w14:textId="7F6D4D8B" w:rsidR="001A63AA" w:rsidRPr="00FE1493" w:rsidRDefault="001A63AA" w:rsidP="00FE1493">
      <w:pPr>
        <w:spacing w:line="240" w:lineRule="auto"/>
        <w:ind w:left="709" w:right="709"/>
        <w:jc w:val="both"/>
        <w:rPr>
          <w:rFonts w:ascii="Arial" w:hAnsi="Arial" w:cs="Arial"/>
          <w:sz w:val="21"/>
          <w:szCs w:val="21"/>
          <w:lang w:eastAsia="es-CO"/>
        </w:rPr>
      </w:pPr>
      <w:r w:rsidRPr="00FE1493">
        <w:rPr>
          <w:rFonts w:ascii="Arial" w:hAnsi="Arial" w:cs="Arial"/>
          <w:sz w:val="21"/>
          <w:szCs w:val="21"/>
          <w:lang w:eastAsia="es-CO"/>
        </w:rPr>
        <w:t xml:space="preserve">El Gobierno Nacional señalará los criterios que seguirán las entidades para la exigencia de garantías, las clases y niveles de amparo de los riesgos de los contratos, así como los casos en </w:t>
      </w:r>
      <w:r w:rsidR="00A13505" w:rsidRPr="00FE1493">
        <w:rPr>
          <w:rFonts w:ascii="Arial" w:hAnsi="Arial" w:cs="Arial"/>
          <w:sz w:val="21"/>
          <w:szCs w:val="21"/>
          <w:lang w:eastAsia="es-CO"/>
        </w:rPr>
        <w:t>que,</w:t>
      </w:r>
      <w:r w:rsidRPr="00FE1493">
        <w:rPr>
          <w:rFonts w:ascii="Arial" w:hAnsi="Arial" w:cs="Arial"/>
          <w:sz w:val="21"/>
          <w:szCs w:val="21"/>
          <w:lang w:eastAsia="es-CO"/>
        </w:rPr>
        <w:t xml:space="preserve"> por las características y complejidad del contrato a celebrar, la garantía pueda ser dividida teniendo en cuenta las etapas o riesgos relativos a la ejecución del respectivo contrato. </w:t>
      </w:r>
    </w:p>
    <w:p w14:paraId="06703D39" w14:textId="42BCFDDA" w:rsidR="001A63AA" w:rsidRPr="00FE1493" w:rsidRDefault="001A63AA" w:rsidP="00FE1493">
      <w:pPr>
        <w:spacing w:line="240" w:lineRule="auto"/>
        <w:ind w:left="709" w:right="709"/>
        <w:jc w:val="both"/>
        <w:rPr>
          <w:rFonts w:ascii="Arial" w:hAnsi="Arial" w:cs="Arial"/>
          <w:sz w:val="21"/>
          <w:szCs w:val="21"/>
          <w:lang w:eastAsia="es-CO"/>
        </w:rPr>
      </w:pPr>
      <w:r w:rsidRPr="00FE1493">
        <w:rPr>
          <w:rFonts w:ascii="Arial" w:hAnsi="Arial" w:cs="Arial"/>
          <w:sz w:val="21"/>
          <w:szCs w:val="21"/>
          <w:lang w:eastAsia="es-CO"/>
        </w:rPr>
        <w:t>El acaecimiento del siniestro que amparan las garantías será comunicado por la entidad pública al respectivo asegurador mediante la notificación del acto administrativo que así lo declare. </w:t>
      </w:r>
    </w:p>
    <w:p w14:paraId="1AE969A8" w14:textId="7046E046" w:rsidR="001A63AA" w:rsidRPr="00FE1493" w:rsidRDefault="001A63AA" w:rsidP="00FE1493">
      <w:pPr>
        <w:spacing w:line="240" w:lineRule="auto"/>
        <w:ind w:left="709" w:right="709"/>
        <w:jc w:val="both"/>
        <w:rPr>
          <w:rFonts w:ascii="Arial" w:hAnsi="Arial" w:cs="Arial"/>
          <w:sz w:val="21"/>
          <w:szCs w:val="21"/>
          <w:lang w:eastAsia="es-CO"/>
        </w:rPr>
      </w:pPr>
      <w:r w:rsidRPr="00FE1493">
        <w:rPr>
          <w:rFonts w:ascii="Arial" w:hAnsi="Arial" w:cs="Arial"/>
          <w:sz w:val="21"/>
          <w:szCs w:val="21"/>
          <w:lang w:eastAsia="es-CO"/>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r w:rsidR="00F4436A" w:rsidRPr="00FE1493">
        <w:rPr>
          <w:rFonts w:ascii="Arial" w:hAnsi="Arial" w:cs="Arial"/>
          <w:sz w:val="21"/>
          <w:szCs w:val="21"/>
          <w:lang w:eastAsia="es-CO"/>
        </w:rPr>
        <w:t>»</w:t>
      </w:r>
    </w:p>
    <w:p w14:paraId="6668EA2B" w14:textId="2D35421E" w:rsidR="001A63AA" w:rsidRPr="00FE1493" w:rsidRDefault="001A63AA" w:rsidP="00A13505">
      <w:pPr>
        <w:spacing w:line="276" w:lineRule="auto"/>
        <w:ind w:firstLine="708"/>
        <w:jc w:val="both"/>
        <w:rPr>
          <w:rFonts w:ascii="Arial" w:hAnsi="Arial" w:cs="Arial"/>
          <w:lang w:val="es-MX"/>
        </w:rPr>
      </w:pPr>
      <w:r w:rsidRPr="00FE1493">
        <w:rPr>
          <w:rFonts w:ascii="Arial" w:hAnsi="Arial" w:cs="Arial"/>
          <w:lang w:val="es-MX"/>
        </w:rPr>
        <w:t xml:space="preserve">Las condiciones en las que debe cumplirse esta obligación fueron reglamentadas por el Decreto 1082 de 2015, el cual entre sus artículos 2.2.1.2.3.1.1. y 2.2.1.2.3.1.19 se refiere a asuntos como las clases de garantías permitidas, la indivisibilidad de </w:t>
      </w:r>
      <w:r w:rsidR="00A13505" w:rsidRPr="00FE1493">
        <w:rPr>
          <w:rFonts w:ascii="Arial" w:hAnsi="Arial" w:cs="Arial"/>
          <w:lang w:val="es-MX"/>
        </w:rPr>
        <w:t>estas</w:t>
      </w:r>
      <w:r w:rsidRPr="00FE1493">
        <w:rPr>
          <w:rFonts w:ascii="Arial" w:hAnsi="Arial" w:cs="Arial"/>
          <w:lang w:val="es-MX"/>
        </w:rPr>
        <w:t xml:space="preserve">,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390ACD8A" w14:textId="6F364EC4" w:rsidR="00185094" w:rsidRPr="00FE1493" w:rsidRDefault="00185094" w:rsidP="00A13505">
      <w:pPr>
        <w:spacing w:line="276" w:lineRule="auto"/>
        <w:ind w:firstLine="709"/>
        <w:jc w:val="both"/>
        <w:rPr>
          <w:rFonts w:ascii="Arial" w:hAnsi="Arial" w:cs="Arial"/>
        </w:rPr>
      </w:pPr>
      <w:r w:rsidRPr="00FE1493">
        <w:rPr>
          <w:rFonts w:ascii="Arial" w:eastAsia="Calibri" w:hAnsi="Arial" w:cs="Arial"/>
          <w:lang w:val="es-ES_tradnl"/>
        </w:rPr>
        <w:lastRenderedPageBreak/>
        <w:t>De acuerdo a lo expresado anteriormente, l</w:t>
      </w:r>
      <w:r w:rsidRPr="00FE1493">
        <w:rPr>
          <w:rFonts w:ascii="Arial" w:hAnsi="Arial" w:cs="Arial"/>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FE1493">
        <w:rPr>
          <w:rFonts w:ascii="Arial" w:eastAsia="Calibri" w:hAnsi="Arial" w:cs="Arial"/>
        </w:rPr>
        <w:t xml:space="preserve">para amparar los riesgos contractuales; </w:t>
      </w:r>
      <w:r w:rsidRPr="00FE1493">
        <w:rPr>
          <w:rFonts w:ascii="Arial" w:hAnsi="Arial" w:cs="Arial"/>
        </w:rPr>
        <w:t xml:space="preserve">ii)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w:t>
      </w:r>
      <w:r w:rsidR="00A13505" w:rsidRPr="00FE1493">
        <w:rPr>
          <w:rFonts w:ascii="Arial" w:hAnsi="Arial" w:cs="Arial"/>
        </w:rPr>
        <w:t>Entidad Estatal</w:t>
      </w:r>
      <w:r w:rsidRPr="00FE1493">
        <w:rPr>
          <w:rFonts w:ascii="Arial" w:hAnsi="Arial" w:cs="Arial"/>
        </w:rPr>
        <w:t xml:space="preserve"> beneficiaria</w:t>
      </w:r>
      <w:r w:rsidRPr="00FE1493">
        <w:rPr>
          <w:rStyle w:val="Refdenotaalpie"/>
          <w:rFonts w:ascii="Arial" w:hAnsi="Arial" w:cs="Arial"/>
        </w:rPr>
        <w:footnoteReference w:id="4"/>
      </w:r>
      <w:r w:rsidRPr="00FE1493">
        <w:rPr>
          <w:rFonts w:ascii="Arial" w:hAnsi="Arial" w:cs="Arial"/>
        </w:rPr>
        <w:t xml:space="preserve">;  iii) garantías bancarias o cartas de crédito </w:t>
      </w:r>
      <w:r w:rsidRPr="00FE1493">
        <w:rPr>
          <w:rFonts w:ascii="Arial" w:hAnsi="Arial" w:cs="Arial"/>
          <w:i/>
          <w:iCs/>
        </w:rPr>
        <w:t>stand</w:t>
      </w:r>
      <w:r w:rsidRPr="00FE1493">
        <w:rPr>
          <w:rFonts w:ascii="Arial" w:hAnsi="Arial" w:cs="Arial"/>
        </w:rPr>
        <w:t xml:space="preserve"> </w:t>
      </w:r>
      <w:r w:rsidRPr="00FE1493">
        <w:rPr>
          <w:rFonts w:ascii="Arial" w:hAnsi="Arial" w:cs="Arial"/>
          <w:i/>
          <w:iCs/>
        </w:rPr>
        <w:t>by</w:t>
      </w:r>
      <w:r w:rsidRPr="00FE1493">
        <w:rPr>
          <w:rFonts w:ascii="Arial" w:hAnsi="Arial" w:cs="Arial"/>
        </w:rPr>
        <w:t>, que consisten en compromisos irrevocables o incondicionales asumidos por una entidad financiera de pagar una suma determinada de dinero</w:t>
      </w:r>
      <w:r w:rsidRPr="00FE1493">
        <w:rPr>
          <w:rStyle w:val="Refdenotaalpie"/>
          <w:rFonts w:ascii="Arial" w:hAnsi="Arial" w:cs="Arial"/>
        </w:rPr>
        <w:footnoteReference w:id="5"/>
      </w:r>
      <w:r w:rsidRPr="00FE1493">
        <w:rPr>
          <w:rFonts w:ascii="Arial" w:hAnsi="Arial" w:cs="Arial"/>
        </w:rPr>
        <w:t xml:space="preserve">. La suficiencia y la vigencia de las garantías deben ser las reguladas en los artículos 2.2.1.2.3.1.9 a 2.2.1.2.3.1.16 del Decreto 1082 de 2015. </w:t>
      </w:r>
    </w:p>
    <w:p w14:paraId="6E7BFA00" w14:textId="51DDC66A" w:rsidR="00185094" w:rsidRPr="00FE1493" w:rsidRDefault="00185094" w:rsidP="00A13505">
      <w:pPr>
        <w:spacing w:line="276" w:lineRule="auto"/>
        <w:ind w:firstLine="709"/>
        <w:jc w:val="both"/>
        <w:rPr>
          <w:rFonts w:ascii="Arial" w:hAnsi="Arial" w:cs="Arial"/>
        </w:rPr>
      </w:pPr>
      <w:r w:rsidRPr="00FE1493">
        <w:rPr>
          <w:rFonts w:ascii="Arial" w:hAnsi="Arial" w:cs="Arial"/>
        </w:rPr>
        <w:t xml:space="preserve">Ahora bien, las garantías cubren ciertos riesgos identificados por las entidades estatales. Por ejemplo, en las modalidades de selección de contratación directa y mínima cuantía, así como en la contratación de seguros, la </w:t>
      </w:r>
      <w:r w:rsidR="00A13505" w:rsidRPr="00FE1493">
        <w:rPr>
          <w:rFonts w:ascii="Arial" w:hAnsi="Arial" w:cs="Arial"/>
        </w:rPr>
        <w:t>Entidad Estatal</w:t>
      </w:r>
      <w:r w:rsidRPr="00FE1493">
        <w:rPr>
          <w:rFonts w:ascii="Arial" w:hAnsi="Arial" w:cs="Arial"/>
        </w:rPr>
        <w:t xml:space="preserve"> debe justificar la necesidad de exigir la constitución de garantías. Con respecto a las demás modalidades de selección, en principio, son obligatorias las garantías de seriedad de la oferta y de cumplimiento, y la garantía de responsabilidad civil extracontractual es obligatoria en los contratos de obra y en aquellos en que por su objeto o naturaleza la </w:t>
      </w:r>
      <w:r w:rsidR="00A13505" w:rsidRPr="00FE1493">
        <w:rPr>
          <w:rFonts w:ascii="Arial" w:hAnsi="Arial" w:cs="Arial"/>
        </w:rPr>
        <w:t>Entidad Estatal</w:t>
      </w:r>
      <w:r w:rsidRPr="00FE1493">
        <w:rPr>
          <w:rFonts w:ascii="Arial" w:hAnsi="Arial" w:cs="Arial"/>
        </w:rPr>
        <w:t xml:space="preserve"> lo considere necesario.</w:t>
      </w:r>
    </w:p>
    <w:p w14:paraId="2532CE28" w14:textId="77777777" w:rsidR="00185094" w:rsidRPr="00FE1493" w:rsidRDefault="00185094" w:rsidP="00A13505">
      <w:pPr>
        <w:spacing w:line="276" w:lineRule="auto"/>
        <w:ind w:firstLine="709"/>
        <w:jc w:val="both"/>
        <w:rPr>
          <w:rFonts w:ascii="Arial" w:eastAsia="Calibri" w:hAnsi="Arial" w:cs="Arial"/>
          <w:lang w:val="es-ES_tradnl"/>
        </w:rPr>
      </w:pPr>
      <w:r w:rsidRPr="00FE1493">
        <w:rPr>
          <w:rFonts w:ascii="Arial" w:hAnsi="Arial" w:cs="Arial"/>
        </w:rPr>
        <w:t xml:space="preserve">Teniendo en cuenta este panorama general, se precisa que un tipo de mecanismo de cobertura del riesgo como la garantía </w:t>
      </w:r>
      <w:r w:rsidRPr="00FE1493">
        <w:rPr>
          <w:rFonts w:ascii="Arial" w:eastAsia="Calibri" w:hAnsi="Arial" w:cs="Arial"/>
          <w:lang w:val="es-ES_tradnl"/>
        </w:rPr>
        <w:t xml:space="preserve">bancaria solo puede emplearse para amparar la seriedad de la oferta y el cumplimiento, pues la cobertura del riesgo de responsabilidad civil extracontractual solamente puede ser amparada con un contrato de seguro, según el artículo 2.2.1.2.3.1.5. del Decreto 1082 de 2015. Por su parte, las pólizas de seguro pueden constituirse como garantías únicas de cumplimiento, garantías de seriedad de la oferta y garantías de responsabilidad civil extracontractual. </w:t>
      </w:r>
    </w:p>
    <w:p w14:paraId="291BAD9F" w14:textId="4411B955" w:rsidR="00185094" w:rsidRPr="00FE1493" w:rsidRDefault="00185094" w:rsidP="00A13505">
      <w:pPr>
        <w:spacing w:line="276" w:lineRule="auto"/>
        <w:ind w:firstLine="709"/>
        <w:jc w:val="both"/>
        <w:rPr>
          <w:rFonts w:ascii="Arial" w:eastAsia="Calibri" w:hAnsi="Arial" w:cs="Arial"/>
          <w:lang w:val="es-ES_tradnl"/>
        </w:rPr>
      </w:pPr>
      <w:r w:rsidRPr="00FE1493">
        <w:rPr>
          <w:rFonts w:ascii="Arial" w:eastAsia="Calibri" w:hAnsi="Arial" w:cs="Arial"/>
          <w:lang w:val="es-ES_tradnl"/>
        </w:rPr>
        <w:t xml:space="preserve">A partir de las fases del Proceso de Contratación, la </w:t>
      </w:r>
      <w:r w:rsidR="0093171B" w:rsidRPr="00FE1493">
        <w:rPr>
          <w:rFonts w:ascii="Arial" w:eastAsia="Calibri" w:hAnsi="Arial" w:cs="Arial"/>
          <w:lang w:val="es-ES_tradnl"/>
        </w:rPr>
        <w:t>«</w:t>
      </w:r>
      <w:r w:rsidRPr="00FE1493">
        <w:rPr>
          <w:rFonts w:ascii="Arial" w:eastAsia="Calibri" w:hAnsi="Arial" w:cs="Arial"/>
          <w:i/>
          <w:iCs/>
          <w:lang w:val="es-ES_tradnl"/>
        </w:rPr>
        <w:t xml:space="preserve">Guía de </w:t>
      </w:r>
      <w:r w:rsidR="0093171B" w:rsidRPr="00FE1493">
        <w:rPr>
          <w:rFonts w:ascii="Arial" w:eastAsia="Calibri" w:hAnsi="Arial" w:cs="Arial"/>
          <w:i/>
          <w:iCs/>
          <w:lang w:val="es-ES_tradnl"/>
        </w:rPr>
        <w:t>g</w:t>
      </w:r>
      <w:r w:rsidRPr="00FE1493">
        <w:rPr>
          <w:rFonts w:ascii="Arial" w:eastAsia="Calibri" w:hAnsi="Arial" w:cs="Arial"/>
          <w:i/>
          <w:iCs/>
          <w:lang w:val="es-ES_tradnl"/>
        </w:rPr>
        <w:t>arantía</w:t>
      </w:r>
      <w:r w:rsidR="0093171B" w:rsidRPr="00FE1493">
        <w:rPr>
          <w:rFonts w:ascii="Arial" w:eastAsia="Calibri" w:hAnsi="Arial" w:cs="Arial"/>
          <w:i/>
          <w:iCs/>
          <w:lang w:val="es-ES_tradnl"/>
        </w:rPr>
        <w:t>s</w:t>
      </w:r>
      <w:r w:rsidRPr="00FE1493">
        <w:rPr>
          <w:rFonts w:ascii="Arial" w:eastAsia="Calibri" w:hAnsi="Arial" w:cs="Arial"/>
          <w:i/>
          <w:iCs/>
          <w:lang w:val="es-ES_tradnl"/>
        </w:rPr>
        <w:t xml:space="preserve"> </w:t>
      </w:r>
      <w:r w:rsidR="0093171B" w:rsidRPr="00FE1493">
        <w:rPr>
          <w:rFonts w:ascii="Arial" w:eastAsia="Calibri" w:hAnsi="Arial" w:cs="Arial"/>
          <w:i/>
          <w:iCs/>
          <w:lang w:val="es-ES_tradnl"/>
        </w:rPr>
        <w:t>en los procesos de contratación»</w:t>
      </w:r>
      <w:r w:rsidR="0093171B" w:rsidRPr="00FE1493">
        <w:rPr>
          <w:rFonts w:ascii="Arial" w:eastAsia="Calibri" w:hAnsi="Arial" w:cs="Arial"/>
          <w:lang w:val="es-ES_tradnl"/>
        </w:rPr>
        <w:t xml:space="preserve"> </w:t>
      </w:r>
      <w:r w:rsidRPr="00FE1493">
        <w:rPr>
          <w:rFonts w:ascii="Arial" w:eastAsia="Calibri" w:hAnsi="Arial" w:cs="Arial"/>
          <w:lang w:val="es-ES_tradnl"/>
        </w:rPr>
        <w:t xml:space="preserve">expedida por la Agencia Nacional de Contratación Pública – Colombia Compra Eficiente expone los riesgos que deben cubrirse mediante las garantías: </w:t>
      </w:r>
    </w:p>
    <w:p w14:paraId="25E0857B" w14:textId="77777777" w:rsidR="00185094" w:rsidRPr="00FE1493" w:rsidRDefault="00185094" w:rsidP="00A13505">
      <w:pPr>
        <w:spacing w:line="276" w:lineRule="auto"/>
        <w:ind w:firstLine="709"/>
        <w:jc w:val="both"/>
        <w:rPr>
          <w:rFonts w:ascii="Arial" w:hAnsi="Arial" w:cs="Arial"/>
        </w:rPr>
      </w:pPr>
      <w:r w:rsidRPr="00FE1493">
        <w:rPr>
          <w:rFonts w:ascii="Arial" w:eastAsia="Calibri" w:hAnsi="Arial" w:cs="Arial"/>
          <w:lang w:val="es-ES_tradnl"/>
        </w:rPr>
        <w:lastRenderedPageBreak/>
        <w:t xml:space="preserve">i) </w:t>
      </w:r>
      <w:r w:rsidRPr="00FE1493">
        <w:rPr>
          <w:rFonts w:ascii="Arial" w:eastAsia="Calibri" w:hAnsi="Arial" w:cs="Arial"/>
          <w:i/>
          <w:iCs/>
          <w:lang w:val="es-ES_tradnl"/>
        </w:rPr>
        <w:t>Selección o etapa previa</w:t>
      </w:r>
      <w:r w:rsidRPr="00FE1493">
        <w:rPr>
          <w:rFonts w:ascii="Arial" w:eastAsia="Calibri" w:hAnsi="Arial" w:cs="Arial"/>
          <w:lang w:val="es-ES_tradnl"/>
        </w:rPr>
        <w:t xml:space="preserve">: el proponente debe otorgar </w:t>
      </w:r>
      <w:r w:rsidRPr="00FE1493">
        <w:rPr>
          <w:rFonts w:ascii="Arial" w:hAnsi="Arial" w:cs="Arial"/>
        </w:rPr>
        <w:t xml:space="preserve">garantía de seriedad de la oferta amparando los siguientes eventos: la no ampliación de la vigencia de la garantía cuando el plazo para la adjudicación o suscripción del contrato sea prorrogado, siempre que esa prórroga no exceda de tres (3) meses; retiro de la oferta después de vencido el plazo para su presentación; la no suscripción del contrato sin justa causa por parte del adjudicatario; la no constitución de la garantía de cumplimiento del contrato por parte del adjudicatario. </w:t>
      </w:r>
    </w:p>
    <w:p w14:paraId="316D758F" w14:textId="76FFD023" w:rsidR="00185094" w:rsidRPr="00FE1493" w:rsidRDefault="00185094" w:rsidP="00A13505">
      <w:pPr>
        <w:spacing w:line="276" w:lineRule="auto"/>
        <w:ind w:firstLine="709"/>
        <w:jc w:val="both"/>
        <w:rPr>
          <w:rFonts w:ascii="Arial" w:hAnsi="Arial" w:cs="Arial"/>
        </w:rPr>
      </w:pPr>
      <w:r w:rsidRPr="00FE1493">
        <w:rPr>
          <w:rFonts w:ascii="Arial" w:hAnsi="Arial" w:cs="Arial"/>
        </w:rPr>
        <w:t xml:space="preserve">ii) Contratación y ejecución: en esta fase la garantía debe cubrir los riesgos derivados del incumplimiento del contrato. Esta garantía puede cubrir todos o algunos de los siguientes amparos, </w:t>
      </w:r>
      <w:r w:rsidR="00A13505" w:rsidRPr="00FE1493">
        <w:rPr>
          <w:rFonts w:ascii="Arial" w:hAnsi="Arial" w:cs="Arial"/>
        </w:rPr>
        <w:t>de acuerdo con</w:t>
      </w:r>
      <w:r w:rsidRPr="00FE1493">
        <w:rPr>
          <w:rFonts w:ascii="Arial" w:hAnsi="Arial" w:cs="Arial"/>
        </w:rPr>
        <w:t xml:space="preserve"> las condiciones del contrato: buen manejo y correcta inversión del anticipo, devolución del pago anticipado, cumplimiento del contrato, pago de salarios, prestaciones sociales legales e indemnizaciones laborales. En adición a la garantía de cumplimiento, la Entidad Estatal puede solicitar un seguro de responsabilidad civil extracontractual para aquellos contratos en los que el desarrollo del objeto implica un riesgo de daños a terceros. En cuanto al amparo de pago de obligaciones laborales, el garante está obligado a pagar las obligaciones laborales y salariales que puedan presentarse por el incumplimiento del deber del pago por parte del contratista. </w:t>
      </w:r>
    </w:p>
    <w:p w14:paraId="4F43B96D" w14:textId="77777777" w:rsidR="00185094" w:rsidRPr="00FE1493" w:rsidRDefault="00185094" w:rsidP="00A13505">
      <w:pPr>
        <w:spacing w:line="276" w:lineRule="auto"/>
        <w:ind w:firstLine="709"/>
        <w:jc w:val="both"/>
        <w:rPr>
          <w:rFonts w:ascii="Arial" w:hAnsi="Arial" w:cs="Arial"/>
        </w:rPr>
      </w:pPr>
      <w:r w:rsidRPr="00FE1493">
        <w:rPr>
          <w:rFonts w:ascii="Arial" w:hAnsi="Arial" w:cs="Arial"/>
        </w:rPr>
        <w:t>iii) Garantías posteriores a la ejecución: cubren los riesgos que se presenten con posterioridad a la terminación del contrato y sus amparos pueden ser: estabilidad y calidad de la obra; calidad del servicio; y calidad y correcto funcionamiento de los bienes</w:t>
      </w:r>
      <w:r w:rsidRPr="00FE1493">
        <w:rPr>
          <w:rStyle w:val="Refdenotaalpie"/>
          <w:rFonts w:ascii="Arial" w:hAnsi="Arial" w:cs="Arial"/>
        </w:rPr>
        <w:footnoteReference w:id="6"/>
      </w:r>
      <w:r w:rsidRPr="00FE1493">
        <w:rPr>
          <w:rFonts w:ascii="Arial" w:hAnsi="Arial" w:cs="Arial"/>
        </w:rPr>
        <w:t>.</w:t>
      </w:r>
    </w:p>
    <w:p w14:paraId="742D7990" w14:textId="1E94BFF8" w:rsidR="00185094" w:rsidRPr="00FE1493" w:rsidRDefault="00185094" w:rsidP="00A13505">
      <w:pPr>
        <w:spacing w:line="276" w:lineRule="auto"/>
        <w:ind w:firstLine="709"/>
        <w:jc w:val="both"/>
        <w:rPr>
          <w:rFonts w:ascii="Arial" w:hAnsi="Arial" w:cs="Arial"/>
        </w:rPr>
      </w:pPr>
      <w:r w:rsidRPr="00FE1493">
        <w:rPr>
          <w:rFonts w:ascii="Arial" w:hAnsi="Arial" w:cs="Arial"/>
        </w:rPr>
        <w:t xml:space="preserve">En cada caso, la obligatoriedad de exigir garantías depende de los tipos contractuales y de las modalidades de selección que deban aplicarse, </w:t>
      </w:r>
      <w:r w:rsidR="00A13505" w:rsidRPr="00FE1493">
        <w:rPr>
          <w:rFonts w:ascii="Arial" w:hAnsi="Arial" w:cs="Arial"/>
        </w:rPr>
        <w:t>de acuerdo con el</w:t>
      </w:r>
      <w:r w:rsidRPr="00FE1493">
        <w:rPr>
          <w:rFonts w:ascii="Arial" w:hAnsi="Arial" w:cs="Arial"/>
        </w:rPr>
        <w:t xml:space="preserve"> objeto contenido en los procesos de contratación. Asimismo, los amparos que estarán inmersos en cada garantía </w:t>
      </w:r>
      <w:r w:rsidR="00A13505" w:rsidRPr="00FE1493">
        <w:rPr>
          <w:rFonts w:ascii="Arial" w:hAnsi="Arial" w:cs="Arial"/>
        </w:rPr>
        <w:t>dependerán</w:t>
      </w:r>
      <w:r w:rsidRPr="00FE1493">
        <w:rPr>
          <w:rFonts w:ascii="Arial" w:hAnsi="Arial" w:cs="Arial"/>
        </w:rPr>
        <w:t xml:space="preserve"> de los riesgos que son propios de cada tipo contractual. </w:t>
      </w:r>
    </w:p>
    <w:p w14:paraId="2EF64CC2" w14:textId="3FAB3917" w:rsidR="00185094" w:rsidRPr="00FE1493" w:rsidRDefault="00687760" w:rsidP="00A13505">
      <w:pPr>
        <w:spacing w:line="276" w:lineRule="auto"/>
        <w:jc w:val="both"/>
        <w:rPr>
          <w:rFonts w:ascii="Arial" w:hAnsi="Arial" w:cs="Arial"/>
          <w:b/>
          <w:bCs/>
        </w:rPr>
      </w:pPr>
      <w:r w:rsidRPr="00FE1493">
        <w:rPr>
          <w:rFonts w:ascii="Arial" w:hAnsi="Arial" w:cs="Arial"/>
          <w:b/>
          <w:bCs/>
        </w:rPr>
        <w:t xml:space="preserve">2.2. Garantía de cumplimiento: noción y vigencia </w:t>
      </w:r>
    </w:p>
    <w:p w14:paraId="4F53D539" w14:textId="26BA059E" w:rsidR="00DC3A09" w:rsidRPr="00FE1493" w:rsidRDefault="00DC3A09" w:rsidP="00A13505">
      <w:pPr>
        <w:spacing w:line="276" w:lineRule="auto"/>
        <w:jc w:val="both"/>
        <w:rPr>
          <w:rFonts w:ascii="Arial" w:hAnsi="Arial" w:cs="Arial"/>
          <w:bCs/>
          <w:lang w:val="es-ES_tradnl"/>
        </w:rPr>
      </w:pPr>
      <w:r w:rsidRPr="00FE1493">
        <w:rPr>
          <w:rFonts w:ascii="Arial" w:hAnsi="Arial" w:cs="Arial"/>
          <w:bCs/>
          <w:lang w:val="es-ES_tradnl"/>
        </w:rPr>
        <w:t>La Guía de Garantías en procesos de Contratación señala que «Las garantías son instrumentos de cobertura de algunos Riesgos comunes en Procesos de Contratación»</w:t>
      </w:r>
      <w:r w:rsidRPr="00FE1493">
        <w:rPr>
          <w:rStyle w:val="Refdenotaalpie"/>
          <w:rFonts w:ascii="Arial" w:hAnsi="Arial" w:cs="Arial"/>
          <w:bCs/>
          <w:lang w:val="es-ES_tradnl"/>
        </w:rPr>
        <w:footnoteReference w:id="7"/>
      </w:r>
      <w:r w:rsidRPr="00FE1493">
        <w:rPr>
          <w:rFonts w:ascii="Arial" w:hAnsi="Arial" w:cs="Arial"/>
          <w:bCs/>
          <w:lang w:val="es-ES_tradnl"/>
        </w:rPr>
        <w:t>.  En relación con la garantía de cumplimiento, la Agencia Nacional de Contratación Pública ha sostenido lo siguiente:</w:t>
      </w:r>
    </w:p>
    <w:p w14:paraId="5E27BCDA" w14:textId="2D8A202D" w:rsidR="00DC3A09" w:rsidRPr="00FE1493" w:rsidRDefault="0093171B" w:rsidP="00FE1493">
      <w:pPr>
        <w:spacing w:line="240" w:lineRule="auto"/>
        <w:ind w:left="709" w:right="758"/>
        <w:jc w:val="both"/>
        <w:rPr>
          <w:rFonts w:ascii="Arial" w:hAnsi="Arial" w:cs="Arial"/>
          <w:bCs/>
          <w:sz w:val="21"/>
          <w:szCs w:val="21"/>
          <w:lang w:val="es-ES_tradnl"/>
        </w:rPr>
      </w:pPr>
      <w:r w:rsidRPr="00FE1493">
        <w:rPr>
          <w:rFonts w:ascii="Arial" w:hAnsi="Arial" w:cs="Arial"/>
          <w:bCs/>
          <w:sz w:val="21"/>
          <w:szCs w:val="21"/>
          <w:lang w:val="es-ES_tradnl"/>
        </w:rPr>
        <w:t>«</w:t>
      </w:r>
      <w:r w:rsidR="00DC3A09" w:rsidRPr="00FE1493">
        <w:rPr>
          <w:rFonts w:ascii="Arial" w:hAnsi="Arial" w:cs="Arial"/>
          <w:bCs/>
          <w:sz w:val="21"/>
          <w:szCs w:val="21"/>
          <w:lang w:val="es-ES_tradnl"/>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23191FD1" w14:textId="29ECDC6B" w:rsidR="00DC3A09" w:rsidRPr="00FE1493" w:rsidRDefault="00DC3A09" w:rsidP="00FE1493">
      <w:pPr>
        <w:spacing w:line="240" w:lineRule="auto"/>
        <w:ind w:left="709" w:right="758"/>
        <w:jc w:val="both"/>
        <w:rPr>
          <w:rFonts w:ascii="Arial" w:hAnsi="Arial" w:cs="Arial"/>
          <w:bCs/>
          <w:sz w:val="21"/>
          <w:szCs w:val="21"/>
          <w:lang w:val="es-ES_tradnl"/>
        </w:rPr>
      </w:pPr>
      <w:r w:rsidRPr="00FE1493">
        <w:rPr>
          <w:rFonts w:ascii="Arial" w:hAnsi="Arial" w:cs="Arial"/>
          <w:bCs/>
          <w:sz w:val="21"/>
          <w:szCs w:val="21"/>
          <w:lang w:val="es-ES_tradnl"/>
        </w:rPr>
        <w:t xml:space="preserve">Tiene por finalidad asegurar la ejecución total y oportuna del objeto contratado y proteger el patrimonio público del daño que le puede ocasionar el posible </w:t>
      </w:r>
      <w:r w:rsidRPr="00FE1493">
        <w:rPr>
          <w:rFonts w:ascii="Arial" w:hAnsi="Arial" w:cs="Arial"/>
          <w:bCs/>
          <w:sz w:val="21"/>
          <w:szCs w:val="21"/>
          <w:lang w:val="es-ES_tradnl"/>
        </w:rPr>
        <w:lastRenderedPageBreak/>
        <w:t>incumplimiento de las obligaciones contractuales por parte del particular contratista. Esta cláusula es de forzosa estipulación, a tal punto que si no es pactada en aquellos contratos en los cuales la ley establece su obligatoriedad, se presume incorporada en el respectivo contrato y no podrá ser renunciada por la Administración</w:t>
      </w:r>
      <w:r w:rsidRPr="00FE1493">
        <w:rPr>
          <w:rStyle w:val="Refdenotaalpie"/>
          <w:rFonts w:ascii="Arial" w:hAnsi="Arial" w:cs="Arial"/>
          <w:bCs/>
          <w:sz w:val="21"/>
          <w:szCs w:val="21"/>
          <w:lang w:val="es-ES_tradnl"/>
        </w:rPr>
        <w:footnoteReference w:id="8"/>
      </w:r>
      <w:r w:rsidRPr="00FE1493">
        <w:rPr>
          <w:rFonts w:ascii="Arial" w:eastAsia="Calibri" w:hAnsi="Arial" w:cs="Arial"/>
          <w:sz w:val="21"/>
          <w:szCs w:val="21"/>
          <w:lang w:val="es-ES"/>
        </w:rPr>
        <w:t>.</w:t>
      </w:r>
      <w:r w:rsidR="0093171B" w:rsidRPr="00FE1493">
        <w:rPr>
          <w:rFonts w:ascii="Arial" w:eastAsia="Calibri" w:hAnsi="Arial" w:cs="Arial"/>
          <w:sz w:val="21"/>
          <w:szCs w:val="21"/>
          <w:lang w:val="es-ES"/>
        </w:rPr>
        <w:t>»</w:t>
      </w:r>
    </w:p>
    <w:p w14:paraId="15E65332" w14:textId="77777777" w:rsidR="00DC3A09" w:rsidRPr="00FE1493" w:rsidRDefault="00DC3A09" w:rsidP="00A13505">
      <w:pPr>
        <w:spacing w:line="276" w:lineRule="auto"/>
        <w:ind w:firstLine="709"/>
        <w:jc w:val="both"/>
        <w:rPr>
          <w:rFonts w:ascii="Arial" w:hAnsi="Arial" w:cs="Arial"/>
          <w:bCs/>
          <w:lang w:val="es-ES_tradnl"/>
        </w:rPr>
      </w:pPr>
      <w:r w:rsidRPr="00FE1493">
        <w:rPr>
          <w:rFonts w:ascii="Arial" w:hAnsi="Arial" w:cs="Arial"/>
          <w:bCs/>
          <w:lang w:val="es-ES_tradnl"/>
        </w:rPr>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40125678" w14:textId="77777777" w:rsidR="00DC3A09" w:rsidRPr="00FE1493" w:rsidRDefault="00DC3A09" w:rsidP="00A13505">
      <w:pPr>
        <w:spacing w:line="276" w:lineRule="auto"/>
        <w:ind w:firstLine="709"/>
        <w:jc w:val="both"/>
        <w:rPr>
          <w:rFonts w:ascii="Arial" w:hAnsi="Arial" w:cs="Arial"/>
          <w:bCs/>
          <w:lang w:val="es-ES_tradnl"/>
        </w:rPr>
      </w:pPr>
      <w:r w:rsidRPr="00FE1493">
        <w:rPr>
          <w:rFonts w:ascii="Arial" w:hAnsi="Arial" w:cs="Arial"/>
          <w:bCs/>
          <w:lang w:val="es-ES_tradnl"/>
        </w:rPr>
        <w:t>En efecto, según el 2.2.1.2.3.1.7. del Decreto 1082 de 2015</w:t>
      </w:r>
      <w:r w:rsidRPr="00FE1493">
        <w:rPr>
          <w:rStyle w:val="Refdenotaalpie"/>
          <w:rFonts w:ascii="Arial" w:hAnsi="Arial" w:cs="Arial"/>
          <w:bCs/>
          <w:lang w:val="es-ES_tradnl"/>
        </w:rPr>
        <w:footnoteReference w:id="9"/>
      </w:r>
      <w:r w:rsidRPr="00FE1493">
        <w:rPr>
          <w:rFonts w:ascii="Arial" w:hAnsi="Arial" w:cs="Arial"/>
          <w:bCs/>
          <w:lang w:val="es-ES_tradnl"/>
        </w:rPr>
        <w:t>,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entre otros.</w:t>
      </w:r>
    </w:p>
    <w:p w14:paraId="1A8C0101" w14:textId="77777777" w:rsidR="00DC3A09" w:rsidRPr="00FE1493" w:rsidRDefault="00DC3A09" w:rsidP="00A13505">
      <w:pPr>
        <w:spacing w:line="276" w:lineRule="auto"/>
        <w:ind w:firstLine="709"/>
        <w:jc w:val="both"/>
        <w:rPr>
          <w:rFonts w:ascii="Arial" w:hAnsi="Arial" w:cs="Arial"/>
          <w:bCs/>
          <w:lang w:val="es-ES_tradnl"/>
        </w:rPr>
      </w:pPr>
      <w:r w:rsidRPr="00FE1493">
        <w:rPr>
          <w:rFonts w:ascii="Arial" w:hAnsi="Arial" w:cs="Arial"/>
          <w:bCs/>
          <w:lang w:val="es-ES_tradnl"/>
        </w:rPr>
        <w:lastRenderedPageBreak/>
        <w:t xml:space="preserve">Por tanto, el amparo de cumplimiento, que constituye el objeto central de este concepto, es uno de los múltiples amparos que conforman la garantía única de cumplimiento. Al tenor de lo preceptuado en el artículo 2.2.1.2.3.1.7. </w:t>
      </w:r>
      <w:r w:rsidRPr="00FE1493">
        <w:rPr>
          <w:rFonts w:ascii="Arial" w:hAnsi="Arial" w:cs="Arial"/>
          <w:bCs/>
          <w:i/>
          <w:iCs/>
          <w:lang w:val="es-ES_tradnl"/>
        </w:rPr>
        <w:t>ibídem</w:t>
      </w:r>
      <w:r w:rsidRPr="00FE1493">
        <w:rPr>
          <w:rFonts w:ascii="Arial" w:hAnsi="Arial" w:cs="Arial"/>
          <w:bCs/>
          <w:lang w:val="es-ES_tradnl"/>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080F3AD0" w14:textId="77777777" w:rsidR="00DC3A09" w:rsidRPr="00FE1493" w:rsidRDefault="00DC3A09" w:rsidP="00A13505">
      <w:pPr>
        <w:spacing w:line="276" w:lineRule="auto"/>
        <w:ind w:firstLine="709"/>
        <w:jc w:val="both"/>
        <w:rPr>
          <w:rFonts w:ascii="Arial" w:hAnsi="Arial" w:cs="Arial"/>
          <w:bCs/>
          <w:lang w:val="es-ES_tradnl"/>
        </w:rPr>
      </w:pPr>
      <w:r w:rsidRPr="00FE1493">
        <w:rPr>
          <w:rFonts w:ascii="Arial" w:hAnsi="Arial" w:cs="Arial"/>
          <w:bCs/>
          <w:lang w:val="es-ES_tradnl"/>
        </w:rPr>
        <w:t xml:space="preserve">De otra parte, en relación con la vigencia de las garantías, el artículo 2.2.1.2.3.1.12. del citado Decreto señala expresamente que «[l]a garantía de cumplimiento del contrato debe tener una vigencia mínima hasta la liquidación del contrato». </w:t>
      </w:r>
    </w:p>
    <w:p w14:paraId="4B5000EC" w14:textId="276BD22B" w:rsidR="00DC3A09" w:rsidRPr="00FE1493" w:rsidRDefault="00DC3A09" w:rsidP="00A13505">
      <w:pPr>
        <w:spacing w:line="276" w:lineRule="auto"/>
        <w:ind w:firstLine="708"/>
        <w:jc w:val="both"/>
        <w:rPr>
          <w:rFonts w:ascii="Arial" w:hAnsi="Arial" w:cs="Arial"/>
          <w:bCs/>
          <w:lang w:val="es-ES_tradnl"/>
        </w:rPr>
      </w:pPr>
      <w:r w:rsidRPr="00FE1493">
        <w:rPr>
          <w:rFonts w:ascii="Arial" w:hAnsi="Arial" w:cs="Arial"/>
          <w:bCs/>
          <w:lang w:val="es-ES_tradnl"/>
        </w:rPr>
        <w:t xml:space="preserve">Lo primero que debe ponerse de presente es que esta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Así, por ejemplo, el artículo 2.2.1.2.3.1.13 </w:t>
      </w:r>
      <w:r w:rsidRPr="00FE1493">
        <w:rPr>
          <w:rFonts w:ascii="Arial" w:hAnsi="Arial" w:cs="Arial"/>
          <w:bCs/>
          <w:i/>
          <w:iCs/>
          <w:lang w:val="es-ES_tradnl"/>
        </w:rPr>
        <w:t>Ibidem</w:t>
      </w:r>
      <w:r w:rsidRPr="00FE1493">
        <w:rPr>
          <w:rFonts w:ascii="Arial" w:hAnsi="Arial" w:cs="Arial"/>
          <w:bCs/>
          <w:lang w:val="es-ES_tradnl"/>
        </w:rPr>
        <w:t xml:space="preserve"> prescribe que la garantía de pago de salarios y prestaciones sociales debe estar vigente por el plazo del contrato y 3 años adicionales y, a su vez, el artículo 2.2.1.2.3.1.14 establece un término, por regla general, no inferior a 5 años para la garantía de estabilidad de la obra, contados a partir de la fecha en la cual la Entidad Estatal recibe a satisfacción la obra. </w:t>
      </w:r>
    </w:p>
    <w:p w14:paraId="574042E3" w14:textId="73EECD24" w:rsidR="00DC3A09" w:rsidRPr="00FE1493" w:rsidRDefault="00DC3A09" w:rsidP="00A13505">
      <w:pPr>
        <w:spacing w:line="276" w:lineRule="auto"/>
        <w:ind w:firstLine="709"/>
        <w:jc w:val="both"/>
        <w:rPr>
          <w:rFonts w:ascii="Arial" w:hAnsi="Arial" w:cs="Arial"/>
          <w:bCs/>
          <w:lang w:val="es-ES_tradnl"/>
        </w:rPr>
      </w:pPr>
      <w:r w:rsidRPr="00FE1493">
        <w:rPr>
          <w:rFonts w:ascii="Arial" w:hAnsi="Arial" w:cs="Arial"/>
          <w:bCs/>
          <w:lang w:val="es-ES_tradnl"/>
        </w:rPr>
        <w:t xml:space="preserve">Al respecto, tal como se indicó en Concepto C-479 </w:t>
      </w:r>
      <w:r w:rsidR="00EF2EBD" w:rsidRPr="00FE1493">
        <w:rPr>
          <w:rFonts w:ascii="Arial" w:hAnsi="Arial" w:cs="Arial"/>
          <w:bCs/>
          <w:lang w:val="es-ES_tradnl"/>
        </w:rPr>
        <w:t xml:space="preserve">de 2021 </w:t>
      </w:r>
      <w:r w:rsidRPr="00FE1493">
        <w:rPr>
          <w:rFonts w:ascii="Arial" w:hAnsi="Arial" w:cs="Arial"/>
          <w:bCs/>
          <w:lang w:val="es-ES_tradnl"/>
        </w:rPr>
        <w:t>de esta Agencia, es preciso distinguir dos conceptos jurídicos relevantes para comprender el alcance del artículo 2.2.1.2.3.1.12., esto es, de un lado, la vigencia de la garantía y, de otro, el plazo para su reclamación. Esta distinción es importante, pues para hacer una reclamación válida al garante no es indispensable que la garantía se encuentre vigente, sino que lo haya estado en el momento de la concreción de riesgo, como se pasa a explicar.</w:t>
      </w:r>
    </w:p>
    <w:p w14:paraId="217D2BC9" w14:textId="5949CEAE" w:rsidR="00DC3A09" w:rsidRPr="00FE1493" w:rsidRDefault="00DC3A09" w:rsidP="00A13505">
      <w:pPr>
        <w:spacing w:line="276" w:lineRule="auto"/>
        <w:ind w:firstLine="709"/>
        <w:jc w:val="both"/>
        <w:rPr>
          <w:rFonts w:ascii="Arial" w:hAnsi="Arial" w:cs="Arial"/>
          <w:bCs/>
          <w:lang w:val="es-ES_tradnl"/>
        </w:rPr>
      </w:pPr>
      <w:r w:rsidRPr="00FE1493">
        <w:rPr>
          <w:rFonts w:ascii="Arial" w:hAnsi="Arial" w:cs="Arial"/>
          <w:bCs/>
          <w:lang w:val="es-ES_tradnl"/>
        </w:rPr>
        <w:t xml:space="preserve">En relación con este aspecto, el artículo 1047 del Código de Comercio establece que la póliza debe expresar, entre otros, «ii) la vigencia del contrato, con indicación de las fechas y horas de iniciación y vencimiento, o el modo de determinar unas y otras». El Consejo de Estado se pronunció sobre esta disposición en los siguientes términos: </w:t>
      </w:r>
    </w:p>
    <w:p w14:paraId="1EDCDB6E" w14:textId="742A9236" w:rsidR="00DC3A09" w:rsidRPr="00FE1493" w:rsidRDefault="00EF2EBD" w:rsidP="00EF2EBD">
      <w:pPr>
        <w:spacing w:after="0" w:line="240" w:lineRule="auto"/>
        <w:ind w:left="709" w:right="758"/>
        <w:jc w:val="both"/>
        <w:rPr>
          <w:rFonts w:ascii="Arial" w:hAnsi="Arial" w:cs="Arial"/>
          <w:bCs/>
          <w:lang w:val="es-ES_tradnl"/>
        </w:rPr>
      </w:pPr>
      <w:r w:rsidRPr="00FE1493">
        <w:rPr>
          <w:rFonts w:ascii="Arial" w:hAnsi="Arial" w:cs="Arial"/>
          <w:bCs/>
          <w:lang w:val="es-ES_tradnl"/>
        </w:rPr>
        <w:t>«</w:t>
      </w:r>
      <w:r w:rsidR="00DC3A09" w:rsidRPr="00FE1493">
        <w:rPr>
          <w:rFonts w:ascii="Arial" w:hAnsi="Arial" w:cs="Arial"/>
          <w:bCs/>
          <w:lang w:val="es-ES_tradnl"/>
        </w:rPr>
        <w:t xml:space="preserve">Dada la naturaleza de la obligación que contrae el asegurador, resulta de la mayor importancia la determinación del momento exacto a partir del cual aquel asume el riesgo que le es trasladado y así mismo, la hora y el día hasta los cuales va tal asunción, puesto que únicamente estará obligado a ejecutar la prestación a </w:t>
      </w:r>
      <w:r w:rsidR="00DC3A09" w:rsidRPr="00FE1493">
        <w:rPr>
          <w:rFonts w:ascii="Arial" w:hAnsi="Arial" w:cs="Arial"/>
          <w:bCs/>
          <w:lang w:val="es-ES_tradnl"/>
        </w:rPr>
        <w:lastRenderedPageBreak/>
        <w:t>su cargo cuando el riesgo se realice dentro de ese lapso, es decir si el siniestro se presenta dentro de esos límites temporales</w:t>
      </w:r>
      <w:r w:rsidR="00DC3A09" w:rsidRPr="00FE1493">
        <w:rPr>
          <w:rStyle w:val="Refdenotaalpie"/>
          <w:rFonts w:ascii="Arial" w:hAnsi="Arial" w:cs="Arial"/>
          <w:bCs/>
          <w:lang w:val="es-ES_tradnl"/>
        </w:rPr>
        <w:footnoteReference w:id="10"/>
      </w:r>
      <w:r w:rsidR="00DC3A09" w:rsidRPr="00FE1493">
        <w:rPr>
          <w:rFonts w:ascii="Arial" w:hAnsi="Arial" w:cs="Arial"/>
          <w:bCs/>
          <w:lang w:val="es-ES_tradnl"/>
        </w:rPr>
        <w:t>.</w:t>
      </w:r>
      <w:r w:rsidRPr="00FE1493">
        <w:rPr>
          <w:rFonts w:ascii="Arial" w:hAnsi="Arial" w:cs="Arial"/>
          <w:bCs/>
          <w:lang w:val="es-ES_tradnl"/>
        </w:rPr>
        <w:t>»</w:t>
      </w:r>
      <w:r w:rsidR="00DC3A09" w:rsidRPr="00FE1493">
        <w:rPr>
          <w:rFonts w:ascii="Arial" w:hAnsi="Arial" w:cs="Arial"/>
          <w:bCs/>
          <w:lang w:val="es-ES_tradnl"/>
        </w:rPr>
        <w:t xml:space="preserve"> </w:t>
      </w:r>
    </w:p>
    <w:p w14:paraId="2038154F" w14:textId="77777777" w:rsidR="00EF2EBD" w:rsidRPr="00FE1493" w:rsidRDefault="00EF2EBD" w:rsidP="00FE1493">
      <w:pPr>
        <w:spacing w:after="0" w:line="240" w:lineRule="auto"/>
        <w:ind w:left="709" w:right="758"/>
        <w:jc w:val="both"/>
        <w:rPr>
          <w:rFonts w:ascii="Arial" w:hAnsi="Arial" w:cs="Arial"/>
          <w:bCs/>
          <w:lang w:val="es-ES_tradnl"/>
        </w:rPr>
      </w:pPr>
    </w:p>
    <w:p w14:paraId="19DAD2F8" w14:textId="77777777" w:rsidR="00DC3A09" w:rsidRPr="00FE1493" w:rsidRDefault="00DC3A09" w:rsidP="00A13505">
      <w:pPr>
        <w:spacing w:line="276" w:lineRule="auto"/>
        <w:ind w:firstLine="709"/>
        <w:jc w:val="both"/>
        <w:rPr>
          <w:rFonts w:ascii="Arial" w:hAnsi="Arial" w:cs="Arial"/>
          <w:bCs/>
          <w:lang w:val="es-ES_tradnl"/>
        </w:rPr>
      </w:pPr>
      <w:r w:rsidRPr="00FE1493">
        <w:rPr>
          <w:rFonts w:ascii="Arial" w:hAnsi="Arial" w:cs="Arial"/>
          <w:bCs/>
          <w:lang w:val="es-ES_tradnl"/>
        </w:rPr>
        <w:t xml:space="preserve">Resulta claro que el riesgo que se traslada al garante solamente será aquel que se realice dentro del plazo de vigencia del contrato, es decir, si el siniestro se presenta dentro de esos límites temporales el garante deberá asumir sus consecuencias. Sin embargo, ello no puede confundirse con el término para hacer la reclamación de un riesgo ocurrido durante el término de vigencia de la garantía, pues para ello resulta necesario recurrir a las normas sobre prescripción de las acciones. </w:t>
      </w:r>
    </w:p>
    <w:p w14:paraId="7ADC3CEC" w14:textId="69F67761" w:rsidR="00DC3A09" w:rsidRPr="00FE1493" w:rsidRDefault="00DC3A09" w:rsidP="00A13505">
      <w:pPr>
        <w:spacing w:line="276" w:lineRule="auto"/>
        <w:ind w:firstLine="709"/>
        <w:jc w:val="both"/>
        <w:rPr>
          <w:rFonts w:ascii="Arial" w:hAnsi="Arial" w:cs="Arial"/>
          <w:bCs/>
          <w:lang w:val="es-ES_tradnl"/>
        </w:rPr>
      </w:pPr>
      <w:r w:rsidRPr="00FE1493">
        <w:rPr>
          <w:rFonts w:ascii="Arial" w:hAnsi="Arial" w:cs="Arial"/>
          <w:bCs/>
          <w:lang w:val="es-ES_tradnl"/>
        </w:rPr>
        <w:t>De otro lado, puede afirmarse que, en términos ideales, una vez culmina el plazo de ejecución, deja de existir también, en gran medida, el riesgo de incumplimiento por parte del contratista, pues los incumplimientos del contrato suelen ocurrir durante la etapa de cumplimiento, o ejecución de las obligaciones. Lo anterior no pretende desconocer que para ciertos contratos algunas obligaciones y su exigibilidad subsisten más allá del plazo acordado para la ejecución del objeto principal, tal puede ser el caso de los aportes a la seguridad social de los trabajadores vinculados a la ejecución del objeto del contrato</w:t>
      </w:r>
      <w:r w:rsidR="003C3A1B" w:rsidRPr="00FE1493">
        <w:rPr>
          <w:rFonts w:ascii="Arial" w:hAnsi="Arial" w:cs="Arial"/>
          <w:bCs/>
          <w:lang w:val="es-ES_tradnl"/>
        </w:rPr>
        <w:t xml:space="preserve"> o la estabilidad de la obra</w:t>
      </w:r>
      <w:r w:rsidRPr="00FE1493">
        <w:rPr>
          <w:rFonts w:ascii="Arial" w:hAnsi="Arial" w:cs="Arial"/>
          <w:bCs/>
          <w:lang w:val="es-ES_tradnl"/>
        </w:rPr>
        <w:t>. Sin perjuicio de lo anterior, el vencimiento del plazo de ejecución del contrato, cuando es suspensivo, sin que el contratista haya ejecutado sus obligaciones, también es determinante para constatar el incumplimiento del contratista. La apreciación general anterior, según lo explicado, indica que muchos de los incumplimientos pueden darse durante la ejecución del contrato, pero es posible que este también ocurra una vez vencido el plazo de ejecución</w:t>
      </w:r>
      <w:r w:rsidR="009D3937" w:rsidRPr="00FE1493">
        <w:rPr>
          <w:rFonts w:ascii="Arial" w:hAnsi="Arial" w:cs="Arial"/>
          <w:bCs/>
          <w:lang w:val="es-ES_tradnl"/>
        </w:rPr>
        <w:t>.</w:t>
      </w:r>
      <w:r w:rsidR="006A3E98" w:rsidRPr="00FE1493">
        <w:rPr>
          <w:rFonts w:ascii="Arial" w:hAnsi="Arial" w:cs="Arial"/>
          <w:bCs/>
          <w:lang w:val="es-ES_tradnl"/>
        </w:rPr>
        <w:t xml:space="preserve"> </w:t>
      </w:r>
    </w:p>
    <w:p w14:paraId="6E1A18DA" w14:textId="74D8264B" w:rsidR="00DC3A09" w:rsidRPr="00FE1493" w:rsidRDefault="00DC3A09" w:rsidP="00A13505">
      <w:pPr>
        <w:spacing w:line="276" w:lineRule="auto"/>
        <w:ind w:firstLine="709"/>
        <w:jc w:val="both"/>
        <w:rPr>
          <w:rFonts w:ascii="Arial" w:hAnsi="Arial" w:cs="Arial"/>
          <w:bCs/>
          <w:lang w:val="es-ES_tradnl"/>
        </w:rPr>
      </w:pPr>
      <w:r w:rsidRPr="00FE1493">
        <w:rPr>
          <w:rFonts w:ascii="Arial" w:hAnsi="Arial" w:cs="Arial"/>
          <w:bCs/>
          <w:lang w:val="es-ES_tradnl"/>
        </w:rPr>
        <w:t xml:space="preserve">Ahora, volviendo sobre la vigencia de la garantía de cumplimiento, en cuanto al amparo de cumplimiento del contrato, la norma reglamentaria citada con anterioridad es clara y exige que la garantía permanezca vigente hasta la liquidación del contrato, esto es, más allá del plazo de ejecución y de vigencia del contrato estatal. Por tanto, en virtud de dicha disposición, el contratista debe cumplir con la obligación consistente en mantener la vigencia mínima del amparo de cumplimiento hasta la liquidación del contrato. </w:t>
      </w:r>
    </w:p>
    <w:p w14:paraId="7A384B6B" w14:textId="2F4EA6B2" w:rsidR="00DC3A09" w:rsidRPr="00FE1493" w:rsidRDefault="00DC3A09" w:rsidP="00A13505">
      <w:pPr>
        <w:spacing w:line="276" w:lineRule="auto"/>
        <w:ind w:firstLine="708"/>
        <w:jc w:val="both"/>
        <w:rPr>
          <w:rFonts w:ascii="Arial" w:hAnsi="Arial" w:cs="Arial"/>
          <w:bCs/>
          <w:lang w:val="es-ES_tradnl"/>
        </w:rPr>
      </w:pPr>
      <w:r w:rsidRPr="00FE1493">
        <w:rPr>
          <w:rFonts w:ascii="Arial" w:hAnsi="Arial" w:cs="Arial"/>
          <w:bCs/>
          <w:lang w:val="es-ES_tradnl"/>
        </w:rPr>
        <w:t>Por lo tanto, la vigencia de dicha garantía no entra dentro del ámbito de discrecionalidad de la entidad contratante y, de este modo, es necesario concluir que la garantía debe mantenerse vigente durante los plazos dispuestos para la liquidación desarrollados en el numeral anterior o hasta que esta efectivamente se realice.</w:t>
      </w:r>
    </w:p>
    <w:p w14:paraId="23398806" w14:textId="1002CC6A" w:rsidR="008B6646" w:rsidRPr="007973FB" w:rsidRDefault="00BD6248" w:rsidP="00A13505">
      <w:pPr>
        <w:spacing w:line="276" w:lineRule="auto"/>
        <w:ind w:firstLine="708"/>
        <w:jc w:val="both"/>
        <w:rPr>
          <w:rFonts w:ascii="Arial" w:hAnsi="Arial" w:cs="Arial"/>
        </w:rPr>
      </w:pPr>
      <w:r w:rsidRPr="00FE1493">
        <w:rPr>
          <w:rFonts w:ascii="Arial" w:hAnsi="Arial" w:cs="Arial"/>
          <w:bCs/>
          <w:lang w:val="es-ES_tradnl"/>
        </w:rPr>
        <w:t>E</w:t>
      </w:r>
      <w:r w:rsidR="004973F5" w:rsidRPr="00FE1493">
        <w:rPr>
          <w:rFonts w:ascii="Arial" w:hAnsi="Arial" w:cs="Arial"/>
          <w:bCs/>
          <w:lang w:val="es-ES_tradnl"/>
        </w:rPr>
        <w:t xml:space="preserve">s preciso mencionar que el artículo 2.2.1.1.2.4.3 del Decreto 1082 de 2015, establece que existen obligaciones posteriores a la liquidación, y que: </w:t>
      </w:r>
      <w:r w:rsidR="004973F5" w:rsidRPr="007973FB">
        <w:rPr>
          <w:rFonts w:ascii="Arial" w:hAnsi="Arial" w:cs="Arial"/>
        </w:rPr>
        <w:t>«</w:t>
      </w:r>
      <w:r w:rsidR="004973F5" w:rsidRPr="00FE1493">
        <w:rPr>
          <w:rFonts w:ascii="Arial" w:hAnsi="Arial" w:cs="Arial"/>
          <w:shd w:val="clear" w:color="auto" w:fill="FFFFFF"/>
        </w:rPr>
        <w:t>v</w:t>
      </w:r>
      <w:r w:rsidR="008B6646" w:rsidRPr="00FE1493">
        <w:rPr>
          <w:rFonts w:ascii="Arial" w:hAnsi="Arial" w:cs="Arial"/>
          <w:shd w:val="clear" w:color="auto" w:fill="FFFFFF"/>
        </w:rPr>
        <w:t xml:space="preserve">encidos los términos de las garantías de calidad, estabilidad y mantenimiento, o las condiciones de disposición final o </w:t>
      </w:r>
      <w:r w:rsidR="008B6646" w:rsidRPr="00FE1493">
        <w:rPr>
          <w:rFonts w:ascii="Arial" w:hAnsi="Arial" w:cs="Arial"/>
          <w:shd w:val="clear" w:color="auto" w:fill="FFFFFF"/>
        </w:rPr>
        <w:lastRenderedPageBreak/>
        <w:t>recuperación ambiental de las obras o bienes, la Entidad Estatal debe dejar constancia del cierre del expediente del Proceso de Contratación.</w:t>
      </w:r>
      <w:r w:rsidR="004973F5" w:rsidRPr="007973FB">
        <w:rPr>
          <w:rFonts w:ascii="Arial" w:hAnsi="Arial" w:cs="Arial"/>
        </w:rPr>
        <w:t>»</w:t>
      </w:r>
    </w:p>
    <w:p w14:paraId="106AF818" w14:textId="4B955207" w:rsidR="009C4F7A" w:rsidRPr="00FE1493" w:rsidRDefault="007D6DD0" w:rsidP="00A13505">
      <w:pPr>
        <w:spacing w:line="276" w:lineRule="auto"/>
        <w:ind w:firstLine="709"/>
        <w:jc w:val="both"/>
        <w:rPr>
          <w:rFonts w:ascii="Arial" w:eastAsia="Calibri" w:hAnsi="Arial" w:cs="Arial"/>
          <w:lang w:val="es-ES_tradnl"/>
        </w:rPr>
      </w:pPr>
      <w:r w:rsidRPr="007973FB">
        <w:rPr>
          <w:rFonts w:ascii="Arial" w:hAnsi="Arial" w:cs="Arial"/>
        </w:rPr>
        <w:t xml:space="preserve">Ahora bien, </w:t>
      </w:r>
      <w:r w:rsidR="009C4F7A" w:rsidRPr="00FE1493">
        <w:rPr>
          <w:rFonts w:ascii="Arial" w:eastAsia="Calibri" w:hAnsi="Arial" w:cs="Arial"/>
        </w:rPr>
        <w:t>tratándose del amparo de estabilidad y calidad de la obra, sin perjuicio de la</w:t>
      </w:r>
      <w:r w:rsidR="009C4F7A" w:rsidRPr="00FE1493">
        <w:rPr>
          <w:rFonts w:ascii="Arial" w:eastAsia="Calibri" w:hAnsi="Arial" w:cs="Arial"/>
          <w:lang w:val="es-ES_tradnl"/>
        </w:rPr>
        <w:t xml:space="preserve"> garantía decenal de que trata el artículo 2060 del Código Civil</w:t>
      </w:r>
      <w:r w:rsidR="009C4F7A" w:rsidRPr="00FE1493">
        <w:rPr>
          <w:rFonts w:ascii="Arial" w:eastAsia="Calibri" w:hAnsi="Arial" w:cs="Arial"/>
          <w:vertAlign w:val="superscript"/>
          <w:lang w:val="es-ES_tradnl"/>
        </w:rPr>
        <w:footnoteReference w:id="11"/>
      </w:r>
      <w:r w:rsidR="009C4F7A" w:rsidRPr="00FE1493">
        <w:rPr>
          <w:rFonts w:ascii="Arial" w:eastAsia="Calibri" w:hAnsi="Arial" w:cs="Arial"/>
          <w:lang w:val="es-ES_tradnl"/>
        </w:rPr>
        <w:t>, el numeral 5 del artículo 2.2.1.3.1.7 del Decreto 1082 de 2015 dispone que «</w:t>
      </w:r>
      <w:r w:rsidR="009C4F7A" w:rsidRPr="00FE1493">
        <w:rPr>
          <w:rFonts w:ascii="Arial" w:hAnsi="Arial" w:cs="Arial"/>
          <w:lang w:val="es-MX"/>
        </w:rPr>
        <w:t xml:space="preserve">[…] </w:t>
      </w:r>
      <w:r w:rsidR="009C4F7A" w:rsidRPr="00FE1493">
        <w:rPr>
          <w:rFonts w:ascii="Arial" w:eastAsia="Calibri" w:hAnsi="Arial" w:cs="Arial"/>
          <w:lang w:val="es-ES_tradnl"/>
        </w:rPr>
        <w:t xml:space="preserve">cubre a la Entidad Estatal de los perjuicios ocasionados por cualquier tipo de daño o deterioro, imputable al contratista, sufrido por la obra entregada a satisfacción». </w:t>
      </w:r>
    </w:p>
    <w:p w14:paraId="6513D168" w14:textId="77777777" w:rsidR="00657BFF" w:rsidRPr="00FE1493" w:rsidRDefault="00657BFF" w:rsidP="00A13505">
      <w:pPr>
        <w:spacing w:line="276" w:lineRule="auto"/>
        <w:ind w:firstLine="709"/>
        <w:jc w:val="both"/>
        <w:rPr>
          <w:rFonts w:ascii="Arial" w:eastAsia="Calibri" w:hAnsi="Arial" w:cs="Arial"/>
          <w:lang w:val="es-ES_tradnl"/>
        </w:rPr>
      </w:pPr>
      <w:r w:rsidRPr="00FE1493">
        <w:rPr>
          <w:rFonts w:ascii="Arial" w:eastAsia="Calibri" w:hAnsi="Arial" w:cs="Arial"/>
          <w:lang w:val="es-ES_tradnl"/>
        </w:rPr>
        <w:t>Por otra parte, el artículo 2.2.1.2.3.1.14 prescribe que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 agregando que «La Entidad Estatal puede aceptar que esta garantía tenga una vigencia inferior a cinco (5) años previa justificación técnica de un experto en la materia objeto del contrato». A tales efectos, la norma establece que «Para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w:t>
      </w:r>
    </w:p>
    <w:p w14:paraId="792789B6" w14:textId="3A78B494" w:rsidR="005C694F" w:rsidRPr="007973FB" w:rsidRDefault="00657BFF" w:rsidP="00A13505">
      <w:pPr>
        <w:spacing w:line="276" w:lineRule="auto"/>
        <w:ind w:firstLine="708"/>
        <w:jc w:val="both"/>
        <w:rPr>
          <w:rFonts w:ascii="Arial" w:hAnsi="Arial" w:cs="Arial"/>
          <w:lang w:val="es-ES_tradnl"/>
        </w:rPr>
      </w:pPr>
      <w:r w:rsidRPr="00FE1493">
        <w:rPr>
          <w:rFonts w:ascii="Arial" w:eastAsia="Calibri" w:hAnsi="Arial" w:cs="Arial"/>
          <w:lang w:val="es-ES_tradnl"/>
        </w:rPr>
        <w:t>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w:t>
      </w:r>
      <w:r w:rsidRPr="00FE1493">
        <w:rPr>
          <w:rFonts w:ascii="Arial" w:hAnsi="Arial" w:cs="Arial"/>
          <w:bCs/>
          <w:lang w:val="es-ES_tradnl" w:eastAsia="es-MX"/>
        </w:rPr>
        <w:t xml:space="preserve">  </w:t>
      </w:r>
      <w:r w:rsidR="00ED4989" w:rsidRPr="007973FB">
        <w:rPr>
          <w:rFonts w:ascii="Arial" w:hAnsi="Arial" w:cs="Arial"/>
        </w:rPr>
        <w:t xml:space="preserve">Al respecto, la jurisprudencia de la sección tercera del Consejo de Estado ha manifestado que el recibo de la obra no implica la aceptación de su estabilidad y tampoco exonera de cumplir con la obligación de saneamiento por los vicios que son inherentes a la construcción de la obra, </w:t>
      </w:r>
      <w:r w:rsidR="005C694F" w:rsidRPr="007973FB">
        <w:rPr>
          <w:rFonts w:ascii="Arial" w:hAnsi="Arial" w:cs="Arial"/>
        </w:rPr>
        <w:t>y el contratista está llamado a responder por</w:t>
      </w:r>
      <w:r w:rsidR="007973FB">
        <w:rPr>
          <w:rFonts w:ascii="Arial" w:hAnsi="Arial" w:cs="Arial"/>
        </w:rPr>
        <w:t xml:space="preserve"> ello.</w:t>
      </w:r>
    </w:p>
    <w:p w14:paraId="4C70E04A" w14:textId="6241277B" w:rsidR="005C694F" w:rsidRPr="007973FB" w:rsidRDefault="005C694F" w:rsidP="00FE1493">
      <w:pPr>
        <w:spacing w:line="276" w:lineRule="auto"/>
        <w:ind w:firstLine="708"/>
        <w:jc w:val="both"/>
        <w:rPr>
          <w:rFonts w:ascii="Arial" w:eastAsia="Times New Roman" w:hAnsi="Arial" w:cs="Arial"/>
          <w:iCs/>
          <w:lang w:eastAsia="es-ES"/>
        </w:rPr>
      </w:pPr>
      <w:r w:rsidRPr="007973FB">
        <w:rPr>
          <w:rFonts w:ascii="Arial" w:hAnsi="Arial" w:cs="Arial"/>
          <w:iCs/>
        </w:rPr>
        <w:t xml:space="preserve">El Consejo de Estado ha delimitado la finalidad del amparo de estabilidad de la obra para indemnizar los perjuicios causados a la entidad contratante en aquellos eventos en los que la obra ejecutada amenace ruina o deterioro a consecuencia de vicio de construcción, o del suelo, </w:t>
      </w:r>
      <w:r w:rsidRPr="007973FB">
        <w:rPr>
          <w:rFonts w:ascii="Arial" w:hAnsi="Arial" w:cs="Arial"/>
          <w:iCs/>
        </w:rPr>
        <w:lastRenderedPageBreak/>
        <w:t xml:space="preserve">o de los materiales que el contratista ha debido conocer en razón de su profesión u oficio. Lo anterior se reafirma a partir de las exigencias que el Código Civil ha establecido para que resulte procedente predicar la responsabilidad contractual del constructor, contenidas en el numeral tercero del artículo 2060. </w:t>
      </w:r>
      <w:r w:rsidRPr="007973FB">
        <w:rPr>
          <w:rFonts w:ascii="Arial" w:eastAsia="Times New Roman" w:hAnsi="Arial" w:cs="Arial"/>
          <w:iCs/>
          <w:lang w:eastAsia="es-ES"/>
        </w:rPr>
        <w:t>Así las cosas, si bien la entidad estatal tiene la potestad de declarar el siniestro mediante acto administrativo, no por ello se le exime de demostrar el defecto de construcción y su atribución al contratista, en la medida en que no opera presunción alguna que desplace el deber de acreditar los elementos de la responsabilidad contractual. Patrocinar una presunción sobre este aspecto sería tanto como presumir la imputación por el solo estado de la vía, lo cual no resulta procedente en tanto es preciso demostrar que la afectación de la vía o las fallas presentadas en la misma son consecuencia de un defecto en la construcción, un vicio del suelo que el personal del contratista debiera conocer o vicios en los materiales suministrados, tal como se desprende de la normativa en cita</w:t>
      </w:r>
      <w:r w:rsidR="009C4F7A" w:rsidRPr="007973FB">
        <w:rPr>
          <w:rFonts w:ascii="Arial" w:eastAsia="Times New Roman" w:hAnsi="Arial" w:cs="Arial"/>
          <w:iCs/>
          <w:lang w:eastAsia="es-ES"/>
        </w:rPr>
        <w:t>.</w:t>
      </w:r>
      <w:r w:rsidR="009C4F7A" w:rsidRPr="007973FB">
        <w:rPr>
          <w:rStyle w:val="Refdenotaalpie"/>
          <w:rFonts w:ascii="Arial" w:eastAsia="Times New Roman" w:hAnsi="Arial" w:cs="Arial"/>
          <w:iCs/>
          <w:lang w:eastAsia="es-ES"/>
        </w:rPr>
        <w:footnoteReference w:id="12"/>
      </w:r>
    </w:p>
    <w:p w14:paraId="7A77BB01" w14:textId="43B46A08" w:rsidR="005C694F" w:rsidRPr="00FE1493" w:rsidRDefault="005456BF" w:rsidP="00A13505">
      <w:pPr>
        <w:spacing w:line="276" w:lineRule="auto"/>
        <w:ind w:firstLine="708"/>
        <w:jc w:val="both"/>
        <w:rPr>
          <w:rFonts w:ascii="Arial" w:eastAsia="Calibri" w:hAnsi="Arial" w:cs="Arial"/>
          <w:lang w:val="es-ES_tradnl"/>
        </w:rPr>
      </w:pPr>
      <w:r w:rsidRPr="007973FB">
        <w:rPr>
          <w:rFonts w:ascii="Arial" w:eastAsia="Times New Roman" w:hAnsi="Arial" w:cs="Arial"/>
          <w:iCs/>
          <w:lang w:eastAsia="es-ES"/>
        </w:rPr>
        <w:t xml:space="preserve">Entonces, se ha sostenido que </w:t>
      </w:r>
      <w:r w:rsidR="00657BFF" w:rsidRPr="007973FB">
        <w:rPr>
          <w:rFonts w:ascii="Arial" w:eastAsia="Times New Roman" w:hAnsi="Arial" w:cs="Arial"/>
          <w:iCs/>
          <w:lang w:eastAsia="es-ES"/>
        </w:rPr>
        <w:t>el amparo de la estabilidad de la obra tiene por objeto</w:t>
      </w:r>
      <w:r w:rsidRPr="007973FB">
        <w:rPr>
          <w:rFonts w:ascii="Arial" w:eastAsia="Times New Roman" w:hAnsi="Arial" w:cs="Arial"/>
          <w:iCs/>
          <w:lang w:eastAsia="es-ES"/>
        </w:rPr>
        <w:t xml:space="preserve"> </w:t>
      </w:r>
      <w:r w:rsidR="00657BFF" w:rsidRPr="00FE1493">
        <w:rPr>
          <w:rFonts w:ascii="Arial" w:eastAsia="Calibri" w:hAnsi="Arial" w:cs="Arial"/>
          <w:lang w:val="es-ES_tradnl"/>
        </w:rPr>
        <w:t>«</w:t>
      </w:r>
      <w:r w:rsidR="00657BFF" w:rsidRPr="007973FB">
        <w:rPr>
          <w:rFonts w:ascii="Arial" w:hAnsi="Arial" w:cs="Arial"/>
        </w:rPr>
        <w:t xml:space="preserve">la cobertura de los riegos que soporta la entidad contratante en aquellos eventos en los </w:t>
      </w:r>
      <w:r w:rsidR="00A13505" w:rsidRPr="007973FB">
        <w:rPr>
          <w:rFonts w:ascii="Arial" w:hAnsi="Arial" w:cs="Arial"/>
        </w:rPr>
        <w:t>que,</w:t>
      </w:r>
      <w:r w:rsidR="00657BFF" w:rsidRPr="007973FB">
        <w:rPr>
          <w:rFonts w:ascii="Arial" w:hAnsi="Arial" w:cs="Arial"/>
        </w:rPr>
        <w:t xml:space="preserve"> con posterioridad a la terminación y entrega a satisfacción de la construcción o edificación, se presenten graves deterioros que por causa de un vicio oculto no se podían advertir con anterioridad, e impidan su normal utilización</w:t>
      </w:r>
      <w:r w:rsidR="00657BFF" w:rsidRPr="00FE1493">
        <w:rPr>
          <w:rFonts w:ascii="Arial" w:eastAsia="Calibri" w:hAnsi="Arial" w:cs="Arial"/>
          <w:lang w:val="es-ES_tradnl"/>
        </w:rPr>
        <w:t>»</w:t>
      </w:r>
      <w:r w:rsidR="00AD0280" w:rsidRPr="00FE1493">
        <w:rPr>
          <w:rStyle w:val="Refdenotaalpie"/>
          <w:rFonts w:ascii="Arial" w:eastAsia="Calibri" w:hAnsi="Arial" w:cs="Arial"/>
          <w:lang w:val="es-ES_tradnl"/>
        </w:rPr>
        <w:footnoteReference w:id="13"/>
      </w:r>
    </w:p>
    <w:p w14:paraId="1007D909" w14:textId="7B548DB1" w:rsidR="009F6B00" w:rsidRPr="00FE1493" w:rsidRDefault="009F6B00" w:rsidP="00A13505">
      <w:pPr>
        <w:spacing w:line="276" w:lineRule="auto"/>
        <w:ind w:firstLine="708"/>
        <w:jc w:val="both"/>
        <w:rPr>
          <w:rFonts w:ascii="Arial" w:eastAsia="Calibri" w:hAnsi="Arial" w:cs="Arial"/>
          <w:lang w:val="es-ES_tradnl"/>
        </w:rPr>
      </w:pPr>
      <w:r w:rsidRPr="00FE1493">
        <w:rPr>
          <w:rFonts w:ascii="Arial" w:eastAsia="Calibri" w:hAnsi="Arial" w:cs="Arial"/>
          <w:lang w:val="es-ES_tradnl"/>
        </w:rPr>
        <w:t xml:space="preserve">Finalmente, es preciso mencionar que la jurisprudencia ha diferenciado la obligación de garantizar el contrato de obra pública mediante </w:t>
      </w:r>
      <w:r w:rsidR="00A20647">
        <w:rPr>
          <w:rFonts w:ascii="Arial" w:eastAsia="Calibri" w:hAnsi="Arial" w:cs="Arial"/>
          <w:lang w:val="es-ES_tradnl"/>
        </w:rPr>
        <w:t>garantías</w:t>
      </w:r>
      <w:r w:rsidRPr="00FE1493">
        <w:rPr>
          <w:rFonts w:ascii="Arial" w:eastAsia="Calibri" w:hAnsi="Arial" w:cs="Arial"/>
          <w:lang w:val="es-ES_tradnl"/>
        </w:rPr>
        <w:t xml:space="preserve">, con la responsabilidad exigible al contratista en virtud del artículo 2060 del Código Civil, en tanto que las obligaciones de estabilidad de la obra tienen origen en el contrato y esto no lo libera de las </w:t>
      </w:r>
      <w:r w:rsidR="00CB6690" w:rsidRPr="00FE1493">
        <w:rPr>
          <w:rFonts w:ascii="Arial" w:eastAsia="Calibri" w:hAnsi="Arial" w:cs="Arial"/>
          <w:lang w:val="es-ES_tradnl"/>
        </w:rPr>
        <w:t>obligaciones</w:t>
      </w:r>
      <w:r w:rsidRPr="00FE1493">
        <w:rPr>
          <w:rFonts w:ascii="Arial" w:eastAsia="Calibri" w:hAnsi="Arial" w:cs="Arial"/>
          <w:lang w:val="es-ES_tradnl"/>
        </w:rPr>
        <w:t xml:space="preserve"> garantizadas por el término señalado en el Código Civil</w:t>
      </w:r>
      <w:r w:rsidR="00A20647">
        <w:rPr>
          <w:rFonts w:ascii="Arial" w:eastAsia="Calibri" w:hAnsi="Arial" w:cs="Arial"/>
          <w:lang w:val="es-ES_tradnl"/>
        </w:rPr>
        <w:t xml:space="preserve"> para edificaciones</w:t>
      </w:r>
      <w:r w:rsidRPr="00FE1493">
        <w:rPr>
          <w:rFonts w:ascii="Arial" w:eastAsia="Calibri" w:hAnsi="Arial" w:cs="Arial"/>
          <w:lang w:val="es-ES_tradnl"/>
        </w:rPr>
        <w:t xml:space="preserve">, por ello ha dicho: </w:t>
      </w:r>
    </w:p>
    <w:p w14:paraId="54B00A7D" w14:textId="17B70FE4" w:rsidR="009F6B00" w:rsidRPr="00FE1493" w:rsidRDefault="00A20647" w:rsidP="00FE1493">
      <w:pPr>
        <w:pStyle w:val="Textoindependiente"/>
        <w:spacing w:after="160"/>
        <w:ind w:left="709" w:right="709"/>
        <w:jc w:val="both"/>
        <w:rPr>
          <w:sz w:val="21"/>
          <w:szCs w:val="21"/>
          <w:lang w:val="es-CO"/>
        </w:rPr>
      </w:pPr>
      <w:r w:rsidRPr="00FE1493">
        <w:rPr>
          <w:sz w:val="21"/>
          <w:szCs w:val="21"/>
          <w:lang w:val="es-CO"/>
        </w:rPr>
        <w:t>«</w:t>
      </w:r>
      <w:r w:rsidR="009F6B00" w:rsidRPr="00FE1493">
        <w:rPr>
          <w:sz w:val="21"/>
          <w:szCs w:val="21"/>
          <w:lang w:val="es-CO"/>
        </w:rPr>
        <w:t xml:space="preserve">Por eso, en principio, el hecho de que el contratista constructor constituya la garantía de estabilidad de la obra por un período menor a los diez años, no implica que por el tiempo faltante cese la obligación que la ley civil le impone de responder si se presentan vicios inherentes a la construcción y a la calidad de los materiales, sino que comporta que la entidad pública dueña de la obra pueda hacerla exigible con fundamento en la garantía de seguro constituida por el contratista constructor, si llegasen a aparecer en el período de garantía. </w:t>
      </w:r>
    </w:p>
    <w:p w14:paraId="008F32AF" w14:textId="77777777" w:rsidR="009F6B00" w:rsidRPr="00FE1493" w:rsidRDefault="009F6B00" w:rsidP="00FE1493">
      <w:pPr>
        <w:pStyle w:val="Textoindependiente"/>
        <w:spacing w:after="160"/>
        <w:ind w:left="709" w:right="709"/>
        <w:jc w:val="both"/>
        <w:rPr>
          <w:sz w:val="21"/>
          <w:szCs w:val="21"/>
        </w:rPr>
      </w:pPr>
      <w:r w:rsidRPr="00FE1493">
        <w:rPr>
          <w:sz w:val="21"/>
          <w:szCs w:val="21"/>
        </w:rPr>
        <w:t xml:space="preserve">Igualmente, el vencimiento de la garantía no libera al constructor de la responsabilidad que le incumbe por la estabilidad de la obra y la buena calidad de los materiales utilizados, durante el término que reste de la obligación decenal establecida en el artículo 2060 del Código Civil. </w:t>
      </w:r>
    </w:p>
    <w:p w14:paraId="10980BD0" w14:textId="77777777" w:rsidR="009F6B00" w:rsidRPr="00FE1493" w:rsidRDefault="009F6B00" w:rsidP="00FE1493">
      <w:pPr>
        <w:pStyle w:val="Textoindependiente"/>
        <w:spacing w:after="160"/>
        <w:ind w:left="709" w:right="709"/>
        <w:jc w:val="both"/>
        <w:rPr>
          <w:sz w:val="21"/>
          <w:szCs w:val="21"/>
        </w:rPr>
      </w:pPr>
    </w:p>
    <w:p w14:paraId="3409F2CC" w14:textId="4C42D95E" w:rsidR="009F6B00" w:rsidRPr="00FE1493" w:rsidRDefault="009F6B00" w:rsidP="00FE1493">
      <w:pPr>
        <w:pStyle w:val="Textoindependiente"/>
        <w:spacing w:after="160"/>
        <w:ind w:left="709" w:right="709"/>
        <w:jc w:val="both"/>
        <w:rPr>
          <w:sz w:val="21"/>
          <w:szCs w:val="21"/>
        </w:rPr>
      </w:pPr>
      <w:r w:rsidRPr="00FE1493">
        <w:rPr>
          <w:sz w:val="21"/>
          <w:szCs w:val="21"/>
        </w:rPr>
        <w:lastRenderedPageBreak/>
        <w:t xml:space="preserve">Por lo tanto, terminado el contrato de obra, </w:t>
      </w:r>
      <w:r w:rsidR="00A13505" w:rsidRPr="00FE1493">
        <w:rPr>
          <w:sz w:val="21"/>
          <w:szCs w:val="21"/>
        </w:rPr>
        <w:t>debido al</w:t>
      </w:r>
      <w:r w:rsidRPr="00FE1493">
        <w:rPr>
          <w:sz w:val="21"/>
          <w:szCs w:val="21"/>
        </w:rPr>
        <w:t xml:space="preserve"> interés público, el contratista tiene a su cargo la obligación de dejar indemne a la entidad contratante de los perjuicios relacionados con la destrucción y la amenaza de ruina de la obra por vicio de la construcción, o del suelo, o de los materiales, según el caso, por un término no inferior a diez años posteriores a la entrega, con independencia de que el plazo de vigencia de la garantía del seguro sea menor. Se dice término inferior, pues bien puede suceder que la naturaleza de la obra determine un plazo mayor de extensión de la responsabilidad.</w:t>
      </w:r>
      <w:r w:rsidRPr="00FE1493">
        <w:rPr>
          <w:rStyle w:val="Refdenotaalpie"/>
          <w:sz w:val="21"/>
          <w:szCs w:val="21"/>
        </w:rPr>
        <w:footnoteReference w:id="14"/>
      </w:r>
      <w:r w:rsidR="00A20647" w:rsidRPr="00FE1493">
        <w:rPr>
          <w:sz w:val="21"/>
          <w:szCs w:val="21"/>
        </w:rPr>
        <w:t>»</w:t>
      </w:r>
      <w:r w:rsidRPr="00FE1493">
        <w:rPr>
          <w:sz w:val="21"/>
          <w:szCs w:val="21"/>
        </w:rPr>
        <w:t xml:space="preserve"> </w:t>
      </w:r>
    </w:p>
    <w:p w14:paraId="458B8EA7" w14:textId="77777777" w:rsidR="001A63AA" w:rsidRPr="007973FB" w:rsidRDefault="001A63AA" w:rsidP="00A13505">
      <w:pPr>
        <w:tabs>
          <w:tab w:val="left" w:pos="709"/>
        </w:tabs>
        <w:spacing w:line="276" w:lineRule="auto"/>
        <w:contextualSpacing/>
        <w:jc w:val="both"/>
        <w:rPr>
          <w:rFonts w:ascii="Arial" w:eastAsia="Calibri" w:hAnsi="Arial" w:cs="Arial"/>
          <w:b/>
        </w:rPr>
      </w:pPr>
      <w:r w:rsidRPr="007973FB">
        <w:rPr>
          <w:rFonts w:ascii="Arial" w:eastAsia="Calibri" w:hAnsi="Arial" w:cs="Arial"/>
          <w:b/>
        </w:rPr>
        <w:t>3. Respuesta</w:t>
      </w:r>
    </w:p>
    <w:p w14:paraId="15EC7B01" w14:textId="77777777" w:rsidR="001A63AA" w:rsidRPr="007973FB" w:rsidRDefault="001A63AA" w:rsidP="00A13505">
      <w:pPr>
        <w:tabs>
          <w:tab w:val="left" w:pos="709"/>
        </w:tabs>
        <w:spacing w:line="276" w:lineRule="auto"/>
        <w:contextualSpacing/>
        <w:jc w:val="both"/>
        <w:rPr>
          <w:rFonts w:ascii="Arial" w:eastAsia="Calibri" w:hAnsi="Arial" w:cs="Arial"/>
          <w:b/>
        </w:rPr>
      </w:pPr>
    </w:p>
    <w:p w14:paraId="548120CC" w14:textId="77777777" w:rsidR="002B4449" w:rsidRPr="00FE1493" w:rsidRDefault="002B4449" w:rsidP="00FE1493">
      <w:pPr>
        <w:autoSpaceDE w:val="0"/>
        <w:autoSpaceDN w:val="0"/>
        <w:adjustRightInd w:val="0"/>
        <w:spacing w:line="240" w:lineRule="auto"/>
        <w:ind w:left="709" w:right="709"/>
        <w:jc w:val="both"/>
        <w:rPr>
          <w:rFonts w:ascii="Arial" w:hAnsi="Arial" w:cs="Arial"/>
          <w:sz w:val="21"/>
          <w:szCs w:val="21"/>
        </w:rPr>
      </w:pPr>
      <w:r w:rsidRPr="00FE1493">
        <w:rPr>
          <w:rFonts w:ascii="Arial" w:hAnsi="Arial" w:cs="Arial"/>
          <w:sz w:val="21"/>
          <w:szCs w:val="21"/>
        </w:rPr>
        <w:t>«Mediante la presente solicito su colaboración, para que se me resuelva una duda que tengo acerca de las pólizas de cumplimiento de un contrato de obra. Una vez se vence el tiempo de cobertura de la póliza de garantía de un contrato de obra, quien es el responsable ante el daño o la mala ejecución de la obra»</w:t>
      </w:r>
    </w:p>
    <w:p w14:paraId="4A777C7A" w14:textId="6633669D" w:rsidR="007B1432" w:rsidRPr="00FE1493" w:rsidRDefault="007B1432" w:rsidP="00A13505">
      <w:pPr>
        <w:pStyle w:val="NormalWeb"/>
        <w:shd w:val="clear" w:color="auto" w:fill="FFFFFF"/>
        <w:spacing w:before="0" w:beforeAutospacing="0" w:after="160" w:afterAutospacing="0" w:line="276" w:lineRule="auto"/>
        <w:jc w:val="both"/>
        <w:rPr>
          <w:rFonts w:ascii="Arial" w:eastAsia="Arial" w:hAnsi="Arial" w:cs="Arial"/>
          <w:sz w:val="22"/>
          <w:szCs w:val="22"/>
          <w:lang w:eastAsia="es-ES_tradnl"/>
        </w:rPr>
      </w:pPr>
      <w:r w:rsidRPr="00FE1493">
        <w:rPr>
          <w:rFonts w:ascii="Arial" w:eastAsia="Arial" w:hAnsi="Arial" w:cs="Arial"/>
          <w:sz w:val="22"/>
          <w:szCs w:val="22"/>
          <w:lang w:eastAsia="es-ES_tradnl"/>
        </w:rPr>
        <w:t xml:space="preserve">De acuerdo con lo manifestado </w:t>
      </w:r>
      <w:r w:rsidRPr="00FE1493">
        <w:rPr>
          <w:rFonts w:ascii="Arial" w:eastAsia="Arial" w:hAnsi="Arial" w:cs="Arial"/>
          <w:i/>
          <w:iCs/>
          <w:sz w:val="22"/>
          <w:szCs w:val="22"/>
          <w:lang w:eastAsia="es-ES_tradnl"/>
        </w:rPr>
        <w:t>ut supra</w:t>
      </w:r>
      <w:r w:rsidRPr="00FE1493">
        <w:rPr>
          <w:rFonts w:ascii="Arial" w:eastAsia="Arial" w:hAnsi="Arial" w:cs="Arial"/>
          <w:sz w:val="22"/>
          <w:szCs w:val="22"/>
          <w:lang w:eastAsia="es-ES_tradnl"/>
        </w:rPr>
        <w:t>, se precisa que la Agencia Nacional de Contratación Pública tiene competencia para atender consultas relativas a temas contractuales, pero solo para absolver consultas sobre la aplicación de normas de carácter general. Por ello, resolver casos particulares, conceptuar sobre el alcance de normas ajenas a la contratación estatal o brindar asesorías sobre situaciones específicas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47620D74" w14:textId="66EBC76B" w:rsidR="00023BED" w:rsidRPr="00FE1493" w:rsidRDefault="007B1432" w:rsidP="00A13505">
      <w:pPr>
        <w:pStyle w:val="NormalWeb"/>
        <w:shd w:val="clear" w:color="auto" w:fill="FFFFFF"/>
        <w:spacing w:before="0" w:beforeAutospacing="0" w:after="160" w:afterAutospacing="0" w:line="276" w:lineRule="auto"/>
        <w:jc w:val="both"/>
        <w:rPr>
          <w:rFonts w:ascii="Arial" w:eastAsia="Arial" w:hAnsi="Arial" w:cs="Arial"/>
          <w:sz w:val="22"/>
          <w:szCs w:val="22"/>
          <w:lang w:eastAsia="es-ES_tradnl"/>
        </w:rPr>
      </w:pPr>
      <w:r w:rsidRPr="00FE1493">
        <w:rPr>
          <w:rFonts w:ascii="Arial" w:eastAsia="Arial" w:hAnsi="Arial" w:cs="Arial"/>
          <w:sz w:val="22"/>
          <w:szCs w:val="22"/>
          <w:lang w:eastAsia="es-ES_tradnl"/>
        </w:rPr>
        <w:tab/>
        <w:t xml:space="preserve">Por </w:t>
      </w:r>
      <w:r w:rsidR="00C94138" w:rsidRPr="00FE1493">
        <w:rPr>
          <w:rFonts w:ascii="Arial" w:eastAsia="Arial" w:hAnsi="Arial" w:cs="Arial"/>
          <w:sz w:val="22"/>
          <w:szCs w:val="22"/>
          <w:lang w:eastAsia="es-ES_tradnl"/>
        </w:rPr>
        <w:t>demás</w:t>
      </w:r>
      <w:r w:rsidRPr="00FE1493">
        <w:rPr>
          <w:rFonts w:ascii="Arial" w:eastAsia="Arial" w:hAnsi="Arial" w:cs="Arial"/>
          <w:sz w:val="22"/>
          <w:szCs w:val="22"/>
          <w:lang w:eastAsia="es-ES_tradnl"/>
        </w:rPr>
        <w:t>, de acuerdo con las consideraciones</w:t>
      </w:r>
      <w:r w:rsidR="00C94138" w:rsidRPr="00FE1493">
        <w:rPr>
          <w:rFonts w:ascii="Arial" w:eastAsia="Arial" w:hAnsi="Arial" w:cs="Arial"/>
          <w:sz w:val="22"/>
          <w:szCs w:val="22"/>
          <w:lang w:eastAsia="es-ES_tradnl"/>
        </w:rPr>
        <w:t xml:space="preserve">, </w:t>
      </w:r>
      <w:r w:rsidR="00023BED" w:rsidRPr="00FE1493">
        <w:rPr>
          <w:rFonts w:ascii="Arial" w:eastAsia="Arial" w:hAnsi="Arial" w:cs="Arial"/>
          <w:sz w:val="22"/>
          <w:szCs w:val="22"/>
          <w:lang w:eastAsia="es-ES_tradnl"/>
        </w:rPr>
        <w:t xml:space="preserve">el riesgo que se traslada al garante </w:t>
      </w:r>
      <w:r w:rsidR="00023BED" w:rsidRPr="00FE1493">
        <w:rPr>
          <w:rFonts w:ascii="Arial" w:hAnsi="Arial" w:cs="Arial"/>
          <w:bCs/>
          <w:sz w:val="22"/>
          <w:szCs w:val="22"/>
        </w:rPr>
        <w:t xml:space="preserve">solamente será aquel que se realice dentro del plazo de vigencia del contrato, es decir, si el siniestro se presenta dentro de esos límites temporales el garante deberá asumir sus consecuencias. Sin embargo, ello no puede confundirse con el término para hacer la reclamación de un riesgo ocurrido durante el término de vigencia de la garantía, pues para ello resulta necesario recurrir a las normas sobre prescripción de las acciones. </w:t>
      </w:r>
    </w:p>
    <w:p w14:paraId="7901D6F8" w14:textId="72323684" w:rsidR="001A63AA" w:rsidRPr="00FE1493" w:rsidRDefault="00C94138" w:rsidP="00A13505">
      <w:pPr>
        <w:pStyle w:val="NormalWeb"/>
        <w:shd w:val="clear" w:color="auto" w:fill="FFFFFF"/>
        <w:spacing w:before="0" w:beforeAutospacing="0" w:after="160" w:afterAutospacing="0" w:line="276" w:lineRule="auto"/>
        <w:ind w:firstLine="708"/>
        <w:jc w:val="both"/>
        <w:rPr>
          <w:rFonts w:ascii="Arial" w:hAnsi="Arial" w:cs="Arial"/>
          <w:bCs/>
          <w:sz w:val="22"/>
          <w:szCs w:val="22"/>
        </w:rPr>
      </w:pPr>
      <w:r w:rsidRPr="00FE1493">
        <w:rPr>
          <w:rFonts w:ascii="Arial" w:hAnsi="Arial" w:cs="Arial"/>
          <w:bCs/>
          <w:sz w:val="22"/>
          <w:szCs w:val="22"/>
        </w:rPr>
        <w:t>En términos ideales, una vez culmina el plazo de ejecución, deja de existir también, en gran medida, el riesgo de incumplimiento por parte del contratista, pues los incumplimientos del contrato suelen ocurrir durante la etapa de cumplimiento, o ejecución de las obligaciones. Lo anterior no pretende desconocer que para ciertos contratos algunas obligaciones y su exigibilidad subsisten más allá del plazo acordado para la ejecución del objeto principal</w:t>
      </w:r>
      <w:r w:rsidR="00671AEF">
        <w:rPr>
          <w:rFonts w:ascii="Arial" w:hAnsi="Arial" w:cs="Arial"/>
          <w:bCs/>
          <w:sz w:val="22"/>
          <w:szCs w:val="22"/>
        </w:rPr>
        <w:t>. Sin embargo, la a</w:t>
      </w:r>
      <w:r w:rsidRPr="00FE1493">
        <w:rPr>
          <w:rFonts w:ascii="Arial" w:hAnsi="Arial" w:cs="Arial"/>
          <w:bCs/>
          <w:sz w:val="22"/>
          <w:szCs w:val="22"/>
        </w:rPr>
        <w:t xml:space="preserve">preciación general </w:t>
      </w:r>
      <w:r w:rsidR="00671AEF">
        <w:rPr>
          <w:rFonts w:ascii="Arial" w:hAnsi="Arial" w:cs="Arial"/>
          <w:bCs/>
          <w:sz w:val="22"/>
          <w:szCs w:val="22"/>
        </w:rPr>
        <w:t>es</w:t>
      </w:r>
      <w:r w:rsidRPr="00FE1493">
        <w:rPr>
          <w:rFonts w:ascii="Arial" w:hAnsi="Arial" w:cs="Arial"/>
          <w:bCs/>
          <w:sz w:val="22"/>
          <w:szCs w:val="22"/>
        </w:rPr>
        <w:t xml:space="preserve"> que muchos de los incumplimientos pueden darse durante la ejecución del contrato, pero es posible que este también ocurra una vez vencido el plazo de ejecución.</w:t>
      </w:r>
      <w:r w:rsidR="009F6B00" w:rsidRPr="00FE1493">
        <w:rPr>
          <w:rFonts w:ascii="Arial" w:hAnsi="Arial" w:cs="Arial"/>
          <w:bCs/>
          <w:sz w:val="22"/>
          <w:szCs w:val="22"/>
        </w:rPr>
        <w:t xml:space="preserve"> E</w:t>
      </w:r>
      <w:r w:rsidR="0027292B" w:rsidRPr="00FE1493">
        <w:rPr>
          <w:rFonts w:ascii="Arial" w:hAnsi="Arial" w:cs="Arial"/>
          <w:bCs/>
          <w:sz w:val="22"/>
          <w:szCs w:val="22"/>
        </w:rPr>
        <w:t xml:space="preserve">s </w:t>
      </w:r>
      <w:r w:rsidR="0027292B" w:rsidRPr="00FE1493">
        <w:rPr>
          <w:rFonts w:ascii="Arial" w:hAnsi="Arial" w:cs="Arial"/>
          <w:bCs/>
          <w:sz w:val="22"/>
          <w:szCs w:val="22"/>
        </w:rPr>
        <w:lastRenderedPageBreak/>
        <w:t xml:space="preserve">importante tener en cuenta el momento de la concreción del daño, porque independientemente que la garantía no esté vigente, se puede hacer una reclamación válida al garante. </w:t>
      </w:r>
    </w:p>
    <w:p w14:paraId="3B937770" w14:textId="0B626449" w:rsidR="007C013A" w:rsidRPr="00FE1493" w:rsidRDefault="007C013A" w:rsidP="00A13505">
      <w:pPr>
        <w:pStyle w:val="NormalWeb"/>
        <w:shd w:val="clear" w:color="auto" w:fill="FFFFFF"/>
        <w:spacing w:before="0" w:beforeAutospacing="0" w:after="160" w:afterAutospacing="0" w:line="276" w:lineRule="auto"/>
        <w:ind w:firstLine="708"/>
        <w:jc w:val="both"/>
        <w:rPr>
          <w:rFonts w:ascii="Arial" w:hAnsi="Arial" w:cs="Arial"/>
          <w:bCs/>
          <w:sz w:val="22"/>
          <w:szCs w:val="22"/>
        </w:rPr>
      </w:pPr>
      <w:r w:rsidRPr="00FE1493">
        <w:rPr>
          <w:rFonts w:ascii="Arial" w:hAnsi="Arial" w:cs="Arial"/>
          <w:bCs/>
          <w:sz w:val="22"/>
          <w:szCs w:val="22"/>
        </w:rPr>
        <w:t xml:space="preserve">Ahora bien, </w:t>
      </w:r>
      <w:r w:rsidR="005456BF" w:rsidRPr="00FE1493">
        <w:rPr>
          <w:rFonts w:ascii="Arial" w:hAnsi="Arial" w:cs="Arial"/>
          <w:bCs/>
          <w:sz w:val="22"/>
          <w:szCs w:val="22"/>
        </w:rPr>
        <w:t xml:space="preserve">la garantía de estabilidad de la obra tiene por objeto la </w:t>
      </w:r>
      <w:r w:rsidR="005456BF" w:rsidRPr="00FE1493">
        <w:rPr>
          <w:rFonts w:ascii="Arial" w:eastAsia="Calibri" w:hAnsi="Arial" w:cs="Arial"/>
          <w:sz w:val="22"/>
          <w:szCs w:val="22"/>
          <w:lang w:eastAsia="en-US"/>
        </w:rPr>
        <w:t>«</w:t>
      </w:r>
      <w:r w:rsidR="005456BF" w:rsidRPr="007973FB">
        <w:rPr>
          <w:rFonts w:ascii="Arial" w:hAnsi="Arial" w:cs="Arial"/>
          <w:sz w:val="22"/>
          <w:szCs w:val="22"/>
        </w:rPr>
        <w:t>cobertura de los riegos que soporta la entidad contratante en aquellos eventos en los que con posterioridad a la terminación y entrega a satisfacción de la construcción o edificación, se presenten graves deterioros que por causa de un vicio oculto no se podían advertir con anterioridad, e impidan su normal utilización</w:t>
      </w:r>
      <w:r w:rsidR="005456BF" w:rsidRPr="00FE1493">
        <w:rPr>
          <w:rFonts w:ascii="Arial" w:eastAsia="Calibri" w:hAnsi="Arial" w:cs="Arial"/>
          <w:sz w:val="22"/>
          <w:szCs w:val="22"/>
          <w:lang w:eastAsia="en-US"/>
        </w:rPr>
        <w:t>», y sin perjuicio de la garantía decenal de que trata el artículo 2060 del Código Civil</w:t>
      </w:r>
      <w:r w:rsidR="00671AEF">
        <w:rPr>
          <w:rFonts w:ascii="Arial" w:eastAsia="Calibri" w:hAnsi="Arial" w:cs="Arial"/>
          <w:sz w:val="22"/>
          <w:szCs w:val="22"/>
          <w:lang w:eastAsia="en-US"/>
        </w:rPr>
        <w:t xml:space="preserve"> para edificaciones</w:t>
      </w:r>
      <w:r w:rsidR="005456BF" w:rsidRPr="00FE1493">
        <w:rPr>
          <w:rFonts w:ascii="Arial" w:eastAsia="Calibri" w:hAnsi="Arial" w:cs="Arial"/>
          <w:sz w:val="22"/>
          <w:szCs w:val="22"/>
          <w:lang w:eastAsia="en-US"/>
        </w:rPr>
        <w:t xml:space="preserve">, el artículo 2.2.1.2.3.1.14 del Decreto 1082 de 2015 modificado por el Decreto 399 de 2021, establece que la garantía de estabilidad y calidad de la obra debe estar vigente por un término no inferior a 5 años contados a partir de la fecha en la cual la Entidad recibe a satisfacción la obra. </w:t>
      </w:r>
      <w:r w:rsidR="005456BF" w:rsidRPr="007973FB">
        <w:rPr>
          <w:rFonts w:ascii="Arial" w:hAnsi="Arial" w:cs="Arial"/>
          <w:bCs/>
          <w:sz w:val="22"/>
          <w:szCs w:val="22"/>
          <w:lang w:eastAsia="es-CO"/>
        </w:rPr>
        <w:t xml:space="preserve">La Entidad Estatal puede aceptar que esta garantía tenga una vigencia inferior a cinco (5) años previa justificación técnica de un experto en la materia objeto del contrato, lo cual se debe reflejar en los documentos del proceso. </w:t>
      </w:r>
    </w:p>
    <w:p w14:paraId="492CDA5F" w14:textId="192DF151" w:rsidR="007C013A" w:rsidRPr="00FE1493" w:rsidRDefault="009F6B00" w:rsidP="00A13505">
      <w:pPr>
        <w:pStyle w:val="NormalWeb"/>
        <w:shd w:val="clear" w:color="auto" w:fill="FFFFFF"/>
        <w:spacing w:before="0" w:beforeAutospacing="0" w:after="160" w:afterAutospacing="0" w:line="276" w:lineRule="auto"/>
        <w:ind w:firstLine="708"/>
        <w:jc w:val="both"/>
        <w:rPr>
          <w:rFonts w:ascii="Arial" w:hAnsi="Arial" w:cs="Arial"/>
          <w:bCs/>
          <w:sz w:val="22"/>
          <w:szCs w:val="22"/>
        </w:rPr>
      </w:pPr>
      <w:r w:rsidRPr="00FE1493">
        <w:rPr>
          <w:rFonts w:ascii="Arial" w:hAnsi="Arial" w:cs="Arial"/>
          <w:bCs/>
          <w:sz w:val="22"/>
          <w:szCs w:val="22"/>
        </w:rPr>
        <w:t>Sin embargo, como se dejó expuesto, aún vencida la garantía que ampare el riesgo, si se presenta</w:t>
      </w:r>
      <w:r w:rsidR="001650AF" w:rsidRPr="00FE1493">
        <w:rPr>
          <w:rFonts w:ascii="Arial" w:hAnsi="Arial" w:cs="Arial"/>
          <w:bCs/>
          <w:sz w:val="22"/>
          <w:szCs w:val="22"/>
        </w:rPr>
        <w:t xml:space="preserve"> algún vicio relacionado con la construcción, el suelo, o los materiales, según sea el caso, dentro de</w:t>
      </w:r>
      <w:r w:rsidRPr="00FE1493">
        <w:rPr>
          <w:rFonts w:ascii="Arial" w:hAnsi="Arial" w:cs="Arial"/>
          <w:bCs/>
          <w:sz w:val="22"/>
          <w:szCs w:val="22"/>
        </w:rPr>
        <w:t xml:space="preserve"> los 10 años contados desde la terminación y entrega de las obras</w:t>
      </w:r>
      <w:r w:rsidR="00CB6690" w:rsidRPr="00FE1493">
        <w:rPr>
          <w:rFonts w:ascii="Arial" w:hAnsi="Arial" w:cs="Arial"/>
          <w:bCs/>
          <w:sz w:val="22"/>
          <w:szCs w:val="22"/>
        </w:rPr>
        <w:t>, es posible instaurar el medio de control correspondiente para exigir la responsabilidad del contratista, de conformidad con la garantía decenal establecida en el artículo 2060 del Código Civil</w:t>
      </w:r>
      <w:r w:rsidR="00671AEF">
        <w:rPr>
          <w:rFonts w:ascii="Arial" w:hAnsi="Arial" w:cs="Arial"/>
          <w:bCs/>
          <w:sz w:val="22"/>
          <w:szCs w:val="22"/>
        </w:rPr>
        <w:t xml:space="preserve"> para edificaciones</w:t>
      </w:r>
      <w:r w:rsidR="00CB6690" w:rsidRPr="00FE1493">
        <w:rPr>
          <w:rFonts w:ascii="Arial" w:hAnsi="Arial" w:cs="Arial"/>
          <w:bCs/>
          <w:sz w:val="22"/>
          <w:szCs w:val="22"/>
        </w:rPr>
        <w:t xml:space="preserve">.  </w:t>
      </w:r>
    </w:p>
    <w:p w14:paraId="2D96FF77" w14:textId="77777777" w:rsidR="00A35731" w:rsidRPr="007973FB" w:rsidRDefault="00A35731" w:rsidP="00A13505">
      <w:pPr>
        <w:spacing w:line="276" w:lineRule="auto"/>
        <w:ind w:firstLine="708"/>
        <w:jc w:val="both"/>
        <w:rPr>
          <w:rFonts w:ascii="Arial" w:eastAsia="Times New Roman" w:hAnsi="Arial" w:cs="Arial"/>
          <w:lang w:eastAsia="es-ES_tradnl"/>
        </w:rPr>
      </w:pPr>
      <w:r w:rsidRPr="00FE1493">
        <w:rPr>
          <w:rFonts w:ascii="Arial" w:eastAsia="Times New Roman" w:hAnsi="Arial" w:cs="Arial"/>
          <w:lang w:val="es-ES"/>
        </w:rPr>
        <w:t xml:space="preserve">Este concepto tiene el alcance previsto en el artículo 28 del Código de Procedimiento Administrativo y de lo Contencioso Administrativo </w:t>
      </w:r>
      <w:r w:rsidRPr="00FE1493">
        <w:rPr>
          <w:rFonts w:ascii="Arial" w:hAnsi="Arial" w:cs="Arial"/>
          <w:bCs/>
        </w:rPr>
        <w:t xml:space="preserve">y </w:t>
      </w:r>
      <w:r w:rsidRPr="007973FB">
        <w:rPr>
          <w:rFonts w:ascii="Arial" w:hAnsi="Arial" w:cs="Arial"/>
        </w:rPr>
        <w:t>las expresiones aquí utilizadas con mayúscula inicial deben ser entendidas con el significado que les otorga el artículo 2.2.1.1.1.3.1. del Decreto 1082 de 2015.</w:t>
      </w:r>
    </w:p>
    <w:p w14:paraId="14D3549F" w14:textId="77777777" w:rsidR="00A35731" w:rsidRPr="00FE1493" w:rsidRDefault="00A35731" w:rsidP="00A13505">
      <w:pPr>
        <w:tabs>
          <w:tab w:val="left" w:pos="426"/>
        </w:tabs>
        <w:spacing w:line="276" w:lineRule="auto"/>
        <w:rPr>
          <w:rFonts w:ascii="Arial" w:hAnsi="Arial" w:cs="Arial"/>
          <w:lang w:val="es-ES"/>
        </w:rPr>
      </w:pPr>
      <w:r w:rsidRPr="00FE1493">
        <w:rPr>
          <w:rFonts w:ascii="Arial" w:hAnsi="Arial" w:cs="Arial"/>
          <w:lang w:val="es-ES"/>
        </w:rPr>
        <w:t>Atentamente,</w:t>
      </w:r>
    </w:p>
    <w:p w14:paraId="0A6209D1" w14:textId="02F3BF85" w:rsidR="00A35731" w:rsidRPr="007973FB" w:rsidRDefault="007F7564" w:rsidP="00A13505">
      <w:pPr>
        <w:spacing w:line="276" w:lineRule="auto"/>
        <w:jc w:val="center"/>
        <w:rPr>
          <w:rFonts w:ascii="Arial" w:hAnsi="Arial" w:cs="Arial"/>
        </w:rPr>
      </w:pPr>
      <w:r>
        <w:rPr>
          <w:noProof/>
        </w:rPr>
        <w:drawing>
          <wp:inline distT="0" distB="0" distL="0" distR="0" wp14:anchorId="5C06F9B4" wp14:editId="12A64490">
            <wp:extent cx="2775006" cy="1064730"/>
            <wp:effectExtent l="0" t="0" r="6350" b="2540"/>
            <wp:docPr id="6" name="Picture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717"/>
      </w:tblGrid>
      <w:tr w:rsidR="007973FB" w:rsidRPr="00671AEF" w14:paraId="4D1ACA3B" w14:textId="77777777">
        <w:trPr>
          <w:trHeight w:val="315"/>
        </w:trPr>
        <w:tc>
          <w:tcPr>
            <w:tcW w:w="812" w:type="dxa"/>
            <w:vAlign w:val="center"/>
            <w:hideMark/>
          </w:tcPr>
          <w:p w14:paraId="6E1F5749" w14:textId="77777777" w:rsidR="00A35731" w:rsidRPr="00FE1493" w:rsidRDefault="00A35731" w:rsidP="00A13505">
            <w:pPr>
              <w:spacing w:line="276" w:lineRule="auto"/>
              <w:rPr>
                <w:rFonts w:ascii="Arial" w:hAnsi="Arial" w:cs="Arial"/>
                <w:sz w:val="14"/>
                <w:szCs w:val="14"/>
                <w:lang w:eastAsia="es-ES"/>
              </w:rPr>
            </w:pPr>
            <w:r w:rsidRPr="00FE1493">
              <w:rPr>
                <w:rFonts w:ascii="Arial" w:hAnsi="Arial" w:cs="Arial"/>
                <w:sz w:val="14"/>
                <w:szCs w:val="14"/>
                <w:lang w:eastAsia="es-ES"/>
              </w:rPr>
              <w:t>Elaboró:</w:t>
            </w:r>
          </w:p>
        </w:tc>
        <w:tc>
          <w:tcPr>
            <w:tcW w:w="4717" w:type="dxa"/>
            <w:tcBorders>
              <w:top w:val="nil"/>
              <w:left w:val="nil"/>
              <w:bottom w:val="dotted" w:sz="4" w:space="0" w:color="7F7F7F" w:themeColor="text1" w:themeTint="80"/>
              <w:right w:val="nil"/>
            </w:tcBorders>
            <w:vAlign w:val="center"/>
            <w:hideMark/>
          </w:tcPr>
          <w:p w14:paraId="43648CD9" w14:textId="77777777" w:rsidR="00A35731" w:rsidRPr="00FE1493" w:rsidRDefault="00A35731" w:rsidP="00A13505">
            <w:pPr>
              <w:spacing w:line="276" w:lineRule="auto"/>
              <w:rPr>
                <w:rFonts w:ascii="Arial" w:hAnsi="Arial" w:cs="Arial"/>
                <w:sz w:val="14"/>
                <w:szCs w:val="14"/>
                <w:lang w:eastAsia="es-ES"/>
              </w:rPr>
            </w:pPr>
            <w:r w:rsidRPr="00FE1493">
              <w:rPr>
                <w:rFonts w:ascii="Arial" w:hAnsi="Arial" w:cs="Arial"/>
                <w:sz w:val="14"/>
                <w:szCs w:val="14"/>
                <w:lang w:eastAsia="es-ES"/>
              </w:rPr>
              <w:t>Álvaro Namén Vargas</w:t>
            </w:r>
          </w:p>
          <w:p w14:paraId="037C2818" w14:textId="77777777" w:rsidR="00A35731" w:rsidRPr="00FE1493" w:rsidRDefault="00A35731" w:rsidP="00A13505">
            <w:pPr>
              <w:spacing w:line="276" w:lineRule="auto"/>
              <w:rPr>
                <w:rFonts w:ascii="Arial" w:hAnsi="Arial" w:cs="Arial"/>
                <w:sz w:val="14"/>
                <w:szCs w:val="14"/>
                <w:lang w:eastAsia="es-ES"/>
              </w:rPr>
            </w:pPr>
            <w:r w:rsidRPr="00FE1493">
              <w:rPr>
                <w:rFonts w:ascii="Arial" w:hAnsi="Arial" w:cs="Arial"/>
                <w:sz w:val="14"/>
                <w:szCs w:val="14"/>
                <w:lang w:eastAsia="es-ES"/>
              </w:rPr>
              <w:t xml:space="preserve">Contratista de la Subdirección de Gestión Contractual  </w:t>
            </w:r>
          </w:p>
        </w:tc>
      </w:tr>
      <w:tr w:rsidR="007973FB" w:rsidRPr="00671AEF" w14:paraId="3C4BC571" w14:textId="77777777">
        <w:trPr>
          <w:trHeight w:val="330"/>
        </w:trPr>
        <w:tc>
          <w:tcPr>
            <w:tcW w:w="812" w:type="dxa"/>
            <w:vAlign w:val="center"/>
            <w:hideMark/>
          </w:tcPr>
          <w:p w14:paraId="17CD050A" w14:textId="77777777" w:rsidR="00A35731" w:rsidRPr="00FE1493" w:rsidRDefault="00A35731" w:rsidP="00A13505">
            <w:pPr>
              <w:spacing w:line="276" w:lineRule="auto"/>
              <w:rPr>
                <w:rFonts w:ascii="Arial" w:hAnsi="Arial" w:cs="Arial"/>
                <w:sz w:val="14"/>
                <w:szCs w:val="14"/>
                <w:lang w:eastAsia="es-ES"/>
              </w:rPr>
            </w:pPr>
            <w:r w:rsidRPr="00FE1493">
              <w:rPr>
                <w:rFonts w:ascii="Arial" w:hAnsi="Arial" w:cs="Arial"/>
                <w:sz w:val="14"/>
                <w:szCs w:val="14"/>
                <w:lang w:eastAsia="es-ES"/>
              </w:rPr>
              <w:t>Revisó: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2F470EAD" w14:textId="77777777" w:rsidR="00A35731" w:rsidRPr="00FE1493" w:rsidRDefault="00A35731" w:rsidP="00A13505">
            <w:pPr>
              <w:spacing w:line="276" w:lineRule="auto"/>
              <w:rPr>
                <w:rFonts w:ascii="Arial" w:hAnsi="Arial" w:cs="Arial"/>
                <w:sz w:val="14"/>
                <w:szCs w:val="14"/>
                <w:lang w:eastAsia="es-ES"/>
              </w:rPr>
            </w:pPr>
            <w:r w:rsidRPr="00FE1493">
              <w:rPr>
                <w:rFonts w:ascii="Arial" w:hAnsi="Arial" w:cs="Arial"/>
                <w:sz w:val="14"/>
                <w:szCs w:val="14"/>
                <w:lang w:eastAsia="es-ES"/>
              </w:rPr>
              <w:t xml:space="preserve">Any Alejandra Tovar Castillo </w:t>
            </w:r>
          </w:p>
          <w:p w14:paraId="540AC59C" w14:textId="77777777" w:rsidR="00A35731" w:rsidRPr="00FE1493" w:rsidRDefault="00A35731" w:rsidP="00A13505">
            <w:pPr>
              <w:spacing w:line="276" w:lineRule="auto"/>
              <w:rPr>
                <w:rFonts w:ascii="Arial" w:hAnsi="Arial" w:cs="Arial"/>
                <w:sz w:val="14"/>
                <w:szCs w:val="14"/>
                <w:lang w:eastAsia="es-ES"/>
              </w:rPr>
            </w:pPr>
            <w:r w:rsidRPr="00FE1493">
              <w:rPr>
                <w:rFonts w:ascii="Arial" w:hAnsi="Arial" w:cs="Arial"/>
                <w:sz w:val="14"/>
                <w:szCs w:val="14"/>
                <w:lang w:eastAsia="es-ES"/>
              </w:rPr>
              <w:t xml:space="preserve">Contratista de la Subdirección de Gestión Contractual  </w:t>
            </w:r>
          </w:p>
        </w:tc>
      </w:tr>
      <w:tr w:rsidR="007973FB" w:rsidRPr="00671AEF" w14:paraId="3A1304C2" w14:textId="77777777">
        <w:trPr>
          <w:trHeight w:val="300"/>
        </w:trPr>
        <w:tc>
          <w:tcPr>
            <w:tcW w:w="812" w:type="dxa"/>
            <w:vAlign w:val="center"/>
            <w:hideMark/>
          </w:tcPr>
          <w:p w14:paraId="41E25CBD" w14:textId="77777777" w:rsidR="00A35731" w:rsidRPr="00FE1493" w:rsidRDefault="00A35731" w:rsidP="00A13505">
            <w:pPr>
              <w:spacing w:line="276" w:lineRule="auto"/>
              <w:rPr>
                <w:rFonts w:ascii="Arial" w:hAnsi="Arial" w:cs="Arial"/>
                <w:sz w:val="14"/>
                <w:szCs w:val="14"/>
                <w:lang w:eastAsia="es-ES"/>
              </w:rPr>
            </w:pPr>
            <w:r w:rsidRPr="00FE1493">
              <w:rPr>
                <w:rFonts w:ascii="Arial" w:hAnsi="Arial" w:cs="Arial"/>
                <w:sz w:val="14"/>
                <w:szCs w:val="14"/>
                <w:lang w:eastAsia="es-ES"/>
              </w:rPr>
              <w:t>Aprobó: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240C8C96" w14:textId="77777777" w:rsidR="00A35731" w:rsidRPr="00FE1493" w:rsidRDefault="00A35731" w:rsidP="00A13505">
            <w:pPr>
              <w:spacing w:line="276" w:lineRule="auto"/>
              <w:rPr>
                <w:rFonts w:ascii="Arial" w:hAnsi="Arial" w:cs="Arial"/>
                <w:sz w:val="14"/>
                <w:szCs w:val="14"/>
                <w:lang w:eastAsia="es-ES"/>
              </w:rPr>
            </w:pPr>
            <w:r w:rsidRPr="00FE1493">
              <w:rPr>
                <w:rFonts w:ascii="Arial" w:hAnsi="Arial" w:cs="Arial"/>
                <w:sz w:val="14"/>
                <w:szCs w:val="14"/>
              </w:rPr>
              <w:t xml:space="preserve"> </w:t>
            </w:r>
            <w:r w:rsidRPr="00FE1493">
              <w:rPr>
                <w:rFonts w:ascii="Arial" w:hAnsi="Arial" w:cs="Arial"/>
                <w:sz w:val="14"/>
                <w:szCs w:val="14"/>
                <w:lang w:eastAsia="es-ES"/>
              </w:rPr>
              <w:t>Nohelia del Carmen Zawady Palacio</w:t>
            </w:r>
          </w:p>
          <w:p w14:paraId="107A2CBD" w14:textId="77777777" w:rsidR="00A35731" w:rsidRPr="00FE1493" w:rsidRDefault="00A35731" w:rsidP="00A13505">
            <w:pPr>
              <w:spacing w:line="276" w:lineRule="auto"/>
              <w:rPr>
                <w:rFonts w:ascii="Arial" w:hAnsi="Arial" w:cs="Arial"/>
                <w:sz w:val="14"/>
                <w:szCs w:val="14"/>
                <w:lang w:eastAsia="es-ES"/>
              </w:rPr>
            </w:pPr>
            <w:r w:rsidRPr="00FE1493">
              <w:rPr>
                <w:rFonts w:ascii="Arial" w:hAnsi="Arial" w:cs="Arial"/>
                <w:sz w:val="14"/>
                <w:szCs w:val="14"/>
                <w:lang w:eastAsia="es-ES"/>
              </w:rPr>
              <w:t>Subdirectora de Gestión Contractual ANCP – CCE</w:t>
            </w:r>
          </w:p>
        </w:tc>
      </w:tr>
    </w:tbl>
    <w:p w14:paraId="06AA65DD" w14:textId="77777777" w:rsidR="00A35731" w:rsidRPr="00FE1493" w:rsidRDefault="00A35731" w:rsidP="00A13505">
      <w:pPr>
        <w:tabs>
          <w:tab w:val="left" w:pos="426"/>
        </w:tabs>
        <w:spacing w:line="276" w:lineRule="auto"/>
        <w:rPr>
          <w:rFonts w:ascii="Arial" w:hAnsi="Arial" w:cs="Arial"/>
        </w:rPr>
      </w:pPr>
    </w:p>
    <w:p w14:paraId="5EBF9373" w14:textId="77777777" w:rsidR="001A63AA" w:rsidRPr="007973FB" w:rsidRDefault="001A63AA" w:rsidP="00A13505">
      <w:pPr>
        <w:spacing w:line="276" w:lineRule="auto"/>
        <w:jc w:val="both"/>
        <w:rPr>
          <w:rFonts w:ascii="Arial" w:hAnsi="Arial" w:cs="Arial"/>
        </w:rPr>
      </w:pPr>
    </w:p>
    <w:p w14:paraId="7D54A0D3" w14:textId="77777777" w:rsidR="00833452" w:rsidRPr="007973FB" w:rsidRDefault="00833452" w:rsidP="00A13505">
      <w:pPr>
        <w:spacing w:line="276" w:lineRule="auto"/>
        <w:rPr>
          <w:rFonts w:ascii="Arial" w:eastAsia="Times New Roman" w:hAnsi="Arial" w:cs="Arial"/>
          <w:b/>
          <w:bCs/>
          <w:lang w:eastAsia="es-CO"/>
        </w:rPr>
      </w:pPr>
    </w:p>
    <w:sectPr w:rsidR="00833452" w:rsidRPr="007973FB"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12610" w14:textId="77777777" w:rsidR="009019A4" w:rsidRDefault="009019A4" w:rsidP="004A1847">
      <w:pPr>
        <w:spacing w:after="0" w:line="240" w:lineRule="auto"/>
      </w:pPr>
      <w:r>
        <w:separator/>
      </w:r>
    </w:p>
  </w:endnote>
  <w:endnote w:type="continuationSeparator" w:id="0">
    <w:p w14:paraId="31A2191A" w14:textId="77777777" w:rsidR="009019A4" w:rsidRDefault="009019A4" w:rsidP="004A1847">
      <w:pPr>
        <w:spacing w:after="0" w:line="240" w:lineRule="auto"/>
      </w:pPr>
      <w:r>
        <w:continuationSeparator/>
      </w:r>
    </w:p>
  </w:endnote>
  <w:endnote w:type="continuationNotice" w:id="1">
    <w:p w14:paraId="35002BB2" w14:textId="77777777" w:rsidR="009019A4" w:rsidRDefault="009019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43D16" w14:textId="77777777" w:rsidR="009019A4" w:rsidRDefault="009019A4" w:rsidP="004A1847">
      <w:pPr>
        <w:spacing w:after="0" w:line="240" w:lineRule="auto"/>
      </w:pPr>
      <w:r>
        <w:separator/>
      </w:r>
    </w:p>
  </w:footnote>
  <w:footnote w:type="continuationSeparator" w:id="0">
    <w:p w14:paraId="2DDFF520" w14:textId="77777777" w:rsidR="009019A4" w:rsidRDefault="009019A4" w:rsidP="004A1847">
      <w:pPr>
        <w:spacing w:after="0" w:line="240" w:lineRule="auto"/>
      </w:pPr>
      <w:r>
        <w:continuationSeparator/>
      </w:r>
    </w:p>
  </w:footnote>
  <w:footnote w:type="continuationNotice" w:id="1">
    <w:p w14:paraId="326E2691" w14:textId="77777777" w:rsidR="009019A4" w:rsidRDefault="009019A4">
      <w:pPr>
        <w:spacing w:after="0" w:line="240" w:lineRule="auto"/>
      </w:pPr>
    </w:p>
  </w:footnote>
  <w:footnote w:id="2">
    <w:p w14:paraId="071EB851" w14:textId="77777777" w:rsidR="001A63AA" w:rsidRPr="00F4436A" w:rsidRDefault="001A63AA" w:rsidP="00F4436A">
      <w:pPr>
        <w:pStyle w:val="Textonotapie"/>
        <w:ind w:firstLine="708"/>
        <w:jc w:val="both"/>
        <w:rPr>
          <w:rFonts w:ascii="Arial" w:hAnsi="Arial" w:cs="Arial"/>
          <w:sz w:val="19"/>
          <w:szCs w:val="19"/>
          <w:lang w:val="es-ES"/>
        </w:rPr>
      </w:pPr>
      <w:r w:rsidRPr="00F4436A">
        <w:rPr>
          <w:rStyle w:val="Refdenotaalpie"/>
          <w:rFonts w:ascii="Arial" w:hAnsi="Arial" w:cs="Arial"/>
          <w:sz w:val="19"/>
          <w:szCs w:val="19"/>
        </w:rPr>
        <w:footnoteRef/>
      </w:r>
      <w:r w:rsidRPr="00F4436A">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4436A">
        <w:rPr>
          <w:rFonts w:ascii="Arial" w:hAnsi="Arial" w:cs="Arial"/>
          <w:i/>
          <w:iCs/>
          <w:sz w:val="19"/>
          <w:szCs w:val="19"/>
        </w:rPr>
        <w:t xml:space="preserve">ibidem </w:t>
      </w:r>
      <w:r w:rsidRPr="00F4436A">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091A742" w14:textId="77777777" w:rsidR="001A63AA" w:rsidRPr="00F4436A" w:rsidRDefault="001A63AA" w:rsidP="00FE1493">
      <w:pPr>
        <w:tabs>
          <w:tab w:val="left" w:pos="709"/>
        </w:tabs>
        <w:spacing w:line="240" w:lineRule="auto"/>
        <w:jc w:val="both"/>
        <w:rPr>
          <w:rFonts w:ascii="Arial" w:eastAsia="Calibri" w:hAnsi="Arial" w:cs="Arial"/>
          <w:bCs/>
          <w:sz w:val="19"/>
          <w:szCs w:val="19"/>
        </w:rPr>
      </w:pPr>
      <w:r w:rsidRPr="00F4436A">
        <w:rPr>
          <w:rFonts w:ascii="Arial" w:hAnsi="Arial" w:cs="Arial"/>
          <w:sz w:val="19"/>
          <w:szCs w:val="19"/>
        </w:rPr>
        <w:tab/>
      </w:r>
      <w:r w:rsidRPr="00F4436A">
        <w:rPr>
          <w:rStyle w:val="Refdenotaalpie"/>
          <w:rFonts w:ascii="Arial" w:hAnsi="Arial" w:cs="Arial"/>
          <w:sz w:val="19"/>
          <w:szCs w:val="19"/>
        </w:rPr>
        <w:footnoteRef/>
      </w:r>
      <w:r w:rsidRPr="00F4436A">
        <w:rPr>
          <w:rFonts w:ascii="Arial" w:hAnsi="Arial" w:cs="Arial"/>
          <w:sz w:val="19"/>
          <w:szCs w:val="19"/>
        </w:rPr>
        <w:t xml:space="preserve"> </w:t>
      </w:r>
      <w:r w:rsidRPr="00F4436A">
        <w:rPr>
          <w:rFonts w:ascii="Arial" w:eastAsia="Calibri" w:hAnsi="Arial" w:cs="Arial"/>
          <w:bCs/>
          <w:sz w:val="19"/>
          <w:szCs w:val="19"/>
        </w:rPr>
        <w:t xml:space="preserve">Al respecto, el profesor Enrique José Arboleda Perdomo, al interpretar el artículo transcrito, expuso lo siguiente: «El artículo 28 regula los efectos jurídicos de los conceptos que emita la entidad como respuesta a las consultas que le formulen los particulares, ordenando que </w:t>
      </w:r>
      <w:r w:rsidRPr="00F4436A">
        <w:rPr>
          <w:rFonts w:ascii="Arial" w:eastAsia="Calibri" w:hAnsi="Arial" w:cs="Arial"/>
          <w:bCs/>
          <w:i/>
          <w:iCs/>
          <w:sz w:val="19"/>
          <w:szCs w:val="19"/>
        </w:rPr>
        <w:t>no serán de obligatorio cumplimiento o ejecución</w:t>
      </w:r>
      <w:r w:rsidRPr="00F4436A">
        <w:rPr>
          <w:rFonts w:ascii="Arial" w:eastAsia="Calibri" w:hAnsi="Arial" w:cs="Arial"/>
          <w:bCs/>
          <w:sz w:val="19"/>
          <w:szCs w:val="19"/>
        </w:rPr>
        <w:t xml:space="preserve">. De este mandato surgen las siguientes consideraciones: </w:t>
      </w:r>
    </w:p>
    <w:p w14:paraId="2ECA72C8" w14:textId="77777777" w:rsidR="001A63AA" w:rsidRPr="00F4436A" w:rsidRDefault="001A63AA" w:rsidP="00FE1493">
      <w:pPr>
        <w:tabs>
          <w:tab w:val="left" w:pos="709"/>
        </w:tabs>
        <w:spacing w:line="240" w:lineRule="auto"/>
        <w:jc w:val="both"/>
        <w:rPr>
          <w:rFonts w:ascii="Arial" w:eastAsia="Calibri" w:hAnsi="Arial" w:cs="Arial"/>
          <w:bCs/>
          <w:sz w:val="19"/>
          <w:szCs w:val="19"/>
        </w:rPr>
      </w:pPr>
      <w:r w:rsidRPr="00F4436A">
        <w:rPr>
          <w:rFonts w:ascii="Arial" w:eastAsia="Calibri" w:hAnsi="Arial" w:cs="Arial"/>
          <w:bCs/>
          <w:sz w:val="19"/>
          <w:szCs w:val="19"/>
        </w:rPr>
        <w:tab/>
        <w:t>»La primera, 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27A23A66" w14:textId="77777777" w:rsidR="001A63AA" w:rsidRPr="00F4436A" w:rsidRDefault="001A63AA" w:rsidP="00FE1493">
      <w:pPr>
        <w:tabs>
          <w:tab w:val="left" w:pos="709"/>
        </w:tabs>
        <w:spacing w:line="240" w:lineRule="auto"/>
        <w:jc w:val="both"/>
        <w:rPr>
          <w:rFonts w:ascii="Arial" w:eastAsia="Calibri" w:hAnsi="Arial" w:cs="Arial"/>
          <w:bCs/>
          <w:sz w:val="19"/>
          <w:szCs w:val="19"/>
        </w:rPr>
      </w:pPr>
      <w:r w:rsidRPr="00F4436A">
        <w:rPr>
          <w:rFonts w:ascii="Arial" w:eastAsia="Calibri" w:hAnsi="Arial" w:cs="Arial"/>
          <w:bCs/>
          <w:sz w:val="19"/>
          <w:szCs w:val="19"/>
        </w:rPr>
        <w:tab/>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15A7296F" w14:textId="77777777" w:rsidR="001A63AA" w:rsidRPr="00F4436A" w:rsidRDefault="001A63AA" w:rsidP="00F4436A">
      <w:pPr>
        <w:pStyle w:val="Textonotapie"/>
        <w:ind w:firstLine="708"/>
        <w:jc w:val="both"/>
        <w:rPr>
          <w:rFonts w:ascii="Arial" w:eastAsia="Calibri" w:hAnsi="Arial" w:cs="Arial"/>
          <w:bCs/>
          <w:sz w:val="19"/>
          <w:szCs w:val="19"/>
          <w:lang w:val="es-CO"/>
        </w:rPr>
      </w:pPr>
      <w:r w:rsidRPr="00F4436A">
        <w:rPr>
          <w:rFonts w:ascii="Arial" w:eastAsia="Calibri" w:hAnsi="Arial" w:cs="Arial"/>
          <w:bCs/>
          <w:sz w:val="19"/>
          <w:szCs w:val="19"/>
        </w:rPr>
        <w:t>»La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 (</w:t>
      </w:r>
      <w:r w:rsidRPr="00F4436A">
        <w:rPr>
          <w:rFonts w:ascii="Arial" w:hAnsi="Arial" w:cs="Arial"/>
          <w:sz w:val="19"/>
          <w:szCs w:val="19"/>
        </w:rPr>
        <w:t>ARBOLEDA PERDOMO, Enrique José. Comentarios al Nuevo Código de Procedimiento Administrativo y de lo Contencioso Administrativo. 2ª ed. Editorial Legis. Bogotá. 2012. p.59).</w:t>
      </w:r>
    </w:p>
  </w:footnote>
  <w:footnote w:id="4">
    <w:p w14:paraId="0F9D89E5" w14:textId="77777777" w:rsidR="00185094" w:rsidRPr="00FE1493" w:rsidRDefault="00185094" w:rsidP="00F4436A">
      <w:pPr>
        <w:pStyle w:val="Textonotapie"/>
        <w:ind w:firstLine="708"/>
        <w:rPr>
          <w:rFonts w:ascii="Arial" w:hAnsi="Arial" w:cs="Arial"/>
          <w:sz w:val="19"/>
          <w:szCs w:val="19"/>
        </w:rPr>
      </w:pPr>
      <w:r w:rsidRPr="00FE1493">
        <w:rPr>
          <w:rStyle w:val="Refdenotaalpie"/>
          <w:rFonts w:ascii="Arial" w:hAnsi="Arial" w:cs="Arial"/>
          <w:sz w:val="19"/>
          <w:szCs w:val="19"/>
        </w:rPr>
        <w:footnoteRef/>
      </w:r>
      <w:r w:rsidRPr="00FE1493">
        <w:rPr>
          <w:rFonts w:ascii="Arial" w:hAnsi="Arial" w:cs="Arial"/>
          <w:sz w:val="19"/>
          <w:szCs w:val="19"/>
        </w:rPr>
        <w:t xml:space="preserve"> COLOMBIA COMPRA EFICIENTE. Guía de garantías en procesos de contratación. p. 12. Disponible en: </w:t>
      </w:r>
      <w:hyperlink r:id="rId1" w:history="1">
        <w:r w:rsidRPr="00FE1493">
          <w:rPr>
            <w:rStyle w:val="Hipervnculo"/>
            <w:sz w:val="19"/>
            <w:szCs w:val="19"/>
          </w:rPr>
          <w:t>https://www.colombiacompra.gov.co/manuales-guias-y-pliegos-tipo/manuales-y-guias</w:t>
        </w:r>
      </w:hyperlink>
      <w:r w:rsidRPr="00FE1493">
        <w:rPr>
          <w:rFonts w:ascii="Arial" w:hAnsi="Arial" w:cs="Arial"/>
          <w:sz w:val="19"/>
          <w:szCs w:val="19"/>
        </w:rPr>
        <w:t xml:space="preserve">. </w:t>
      </w:r>
    </w:p>
    <w:p w14:paraId="29BFBDFB" w14:textId="77777777" w:rsidR="00185094" w:rsidRPr="00FE1493" w:rsidRDefault="00185094" w:rsidP="00F4436A">
      <w:pPr>
        <w:pStyle w:val="Textonotapie"/>
        <w:ind w:firstLine="708"/>
        <w:rPr>
          <w:rFonts w:ascii="Arial" w:hAnsi="Arial" w:cs="Arial"/>
          <w:sz w:val="19"/>
          <w:szCs w:val="19"/>
          <w:lang w:val="es-CO"/>
        </w:rPr>
      </w:pPr>
    </w:p>
  </w:footnote>
  <w:footnote w:id="5">
    <w:p w14:paraId="3BE80AF8" w14:textId="77777777" w:rsidR="00185094" w:rsidRPr="00FE1493" w:rsidRDefault="00185094" w:rsidP="00F4436A">
      <w:pPr>
        <w:pStyle w:val="Textonotapie"/>
        <w:ind w:firstLine="708"/>
        <w:jc w:val="both"/>
        <w:rPr>
          <w:rFonts w:ascii="Arial" w:hAnsi="Arial" w:cs="Arial"/>
          <w:sz w:val="19"/>
          <w:szCs w:val="19"/>
        </w:rPr>
      </w:pPr>
      <w:r w:rsidRPr="00FE1493">
        <w:rPr>
          <w:rStyle w:val="Refdenotaalpie"/>
          <w:rFonts w:ascii="Arial" w:hAnsi="Arial" w:cs="Arial"/>
          <w:sz w:val="19"/>
          <w:szCs w:val="19"/>
        </w:rPr>
        <w:footnoteRef/>
      </w:r>
      <w:r w:rsidRPr="00FE1493">
        <w:rPr>
          <w:rFonts w:ascii="Arial" w:hAnsi="Arial" w:cs="Arial"/>
          <w:sz w:val="19"/>
          <w:szCs w:val="19"/>
        </w:rPr>
        <w:t xml:space="preserve"> Ibídem., p. 17. La guía además señala en relación con las 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6">
    <w:p w14:paraId="4FF99C31" w14:textId="77777777" w:rsidR="00185094" w:rsidRPr="00FE1493" w:rsidRDefault="00185094" w:rsidP="00F4436A">
      <w:pPr>
        <w:pStyle w:val="Textonotapie"/>
        <w:ind w:firstLine="708"/>
        <w:rPr>
          <w:sz w:val="19"/>
          <w:szCs w:val="19"/>
          <w:lang w:val="es-CO"/>
        </w:rPr>
      </w:pPr>
      <w:r w:rsidRPr="00FE1493">
        <w:rPr>
          <w:rStyle w:val="Refdenotaalpie"/>
          <w:sz w:val="19"/>
          <w:szCs w:val="19"/>
        </w:rPr>
        <w:footnoteRef/>
      </w:r>
      <w:r w:rsidRPr="00FE1493">
        <w:rPr>
          <w:sz w:val="19"/>
          <w:szCs w:val="19"/>
        </w:rPr>
        <w:t xml:space="preserve"> Ibíd., pp. 5-6. </w:t>
      </w:r>
    </w:p>
  </w:footnote>
  <w:footnote w:id="7">
    <w:p w14:paraId="5CB23B2F" w14:textId="77777777" w:rsidR="00DC3A09" w:rsidRPr="00F4436A" w:rsidRDefault="00DC3A09" w:rsidP="00F4436A">
      <w:pPr>
        <w:pStyle w:val="Textonotapie"/>
        <w:ind w:firstLine="708"/>
        <w:jc w:val="both"/>
        <w:rPr>
          <w:rFonts w:ascii="Arial" w:hAnsi="Arial" w:cs="Arial"/>
          <w:sz w:val="19"/>
          <w:szCs w:val="19"/>
          <w:lang w:val="es-ES"/>
        </w:rPr>
      </w:pPr>
      <w:r w:rsidRPr="00F4436A">
        <w:rPr>
          <w:rStyle w:val="Refdenotaalpie"/>
          <w:rFonts w:ascii="Arial" w:hAnsi="Arial" w:cs="Arial"/>
          <w:sz w:val="19"/>
          <w:szCs w:val="19"/>
        </w:rPr>
        <w:footnoteRef/>
      </w:r>
      <w:r w:rsidRPr="00F4436A">
        <w:rPr>
          <w:rFonts w:ascii="Arial" w:hAnsi="Arial" w:cs="Arial"/>
          <w:sz w:val="19"/>
          <w:szCs w:val="19"/>
        </w:rPr>
        <w:t xml:space="preserve"> </w:t>
      </w:r>
      <w:r w:rsidRPr="00F4436A">
        <w:rPr>
          <w:rFonts w:ascii="Arial" w:hAnsi="Arial" w:cs="Arial"/>
          <w:sz w:val="19"/>
          <w:szCs w:val="19"/>
          <w:lang w:val="es-ES"/>
        </w:rPr>
        <w:t xml:space="preserve">COLOMBIA COMPRA EFICIENTE. Guía de Garantías en Proceso de Contratación. Disponible en: </w:t>
      </w:r>
      <w:hyperlink r:id="rId2" w:history="1">
        <w:r w:rsidRPr="00F4436A">
          <w:rPr>
            <w:rStyle w:val="Hipervnculo"/>
            <w:sz w:val="19"/>
            <w:szCs w:val="19"/>
          </w:rPr>
          <w:t>https://www.colombiacompra.gov.co/sites/cce_public/files/cce_documents/cce_guia_garantias.pdf</w:t>
        </w:r>
      </w:hyperlink>
      <w:r w:rsidRPr="00F4436A">
        <w:rPr>
          <w:rFonts w:ascii="Arial" w:hAnsi="Arial" w:cs="Arial"/>
          <w:sz w:val="19"/>
          <w:szCs w:val="19"/>
          <w:lang w:val="es-ES"/>
        </w:rPr>
        <w:t xml:space="preserve"> </w:t>
      </w:r>
    </w:p>
    <w:p w14:paraId="3C9568E5" w14:textId="77777777" w:rsidR="00DC3A09" w:rsidRPr="00F4436A" w:rsidRDefault="00DC3A09" w:rsidP="00F4436A">
      <w:pPr>
        <w:pStyle w:val="Textonotapie"/>
        <w:jc w:val="both"/>
        <w:rPr>
          <w:rFonts w:ascii="Arial" w:hAnsi="Arial" w:cs="Arial"/>
          <w:sz w:val="19"/>
          <w:szCs w:val="19"/>
        </w:rPr>
      </w:pPr>
    </w:p>
  </w:footnote>
  <w:footnote w:id="8">
    <w:p w14:paraId="4AE5E578" w14:textId="77777777" w:rsidR="00DC3A09" w:rsidRPr="00F4436A" w:rsidRDefault="00DC3A09" w:rsidP="00F4436A">
      <w:pPr>
        <w:pStyle w:val="Textonotapie"/>
        <w:ind w:firstLine="708"/>
        <w:jc w:val="both"/>
        <w:rPr>
          <w:rFonts w:ascii="Arial" w:hAnsi="Arial" w:cs="Arial"/>
          <w:sz w:val="19"/>
          <w:szCs w:val="19"/>
          <w:lang w:val="es-ES"/>
        </w:rPr>
      </w:pPr>
      <w:r w:rsidRPr="00F4436A">
        <w:rPr>
          <w:rStyle w:val="Refdenotaalpie"/>
          <w:rFonts w:ascii="Arial" w:hAnsi="Arial" w:cs="Arial"/>
          <w:sz w:val="19"/>
          <w:szCs w:val="19"/>
        </w:rPr>
        <w:footnoteRef/>
      </w:r>
      <w:r w:rsidRPr="00F4436A">
        <w:rPr>
          <w:rFonts w:ascii="Arial" w:hAnsi="Arial" w:cs="Arial"/>
          <w:sz w:val="19"/>
          <w:szCs w:val="19"/>
        </w:rPr>
        <w:t xml:space="preserve"> </w:t>
      </w:r>
      <w:r w:rsidRPr="00F4436A">
        <w:rPr>
          <w:rFonts w:ascii="Arial" w:hAnsi="Arial" w:cs="Arial"/>
          <w:sz w:val="19"/>
          <w:szCs w:val="19"/>
          <w:lang w:val="es-ES"/>
        </w:rPr>
        <w:t xml:space="preserve">COLOMBIA COMPRA EFICIENTE. Síntesis: 8. Etapa precontractual: Garantía de cumplimiento del contrato estatal. </w:t>
      </w:r>
    </w:p>
    <w:p w14:paraId="70A102FC" w14:textId="77777777" w:rsidR="00DC3A09" w:rsidRPr="00F4436A" w:rsidRDefault="00DC3A09" w:rsidP="00F4436A">
      <w:pPr>
        <w:pStyle w:val="Textonotapie"/>
        <w:ind w:firstLine="708"/>
        <w:jc w:val="both"/>
        <w:rPr>
          <w:rFonts w:ascii="Arial" w:hAnsi="Arial" w:cs="Arial"/>
          <w:sz w:val="19"/>
          <w:szCs w:val="19"/>
        </w:rPr>
      </w:pPr>
    </w:p>
  </w:footnote>
  <w:footnote w:id="9">
    <w:p w14:paraId="6BFC67F1" w14:textId="77777777" w:rsidR="00DC3A09" w:rsidRPr="00F4436A" w:rsidRDefault="00DC3A09" w:rsidP="00F4436A">
      <w:pPr>
        <w:pStyle w:val="Textonotapie"/>
        <w:ind w:firstLine="708"/>
        <w:jc w:val="both"/>
        <w:rPr>
          <w:rFonts w:ascii="Arial" w:hAnsi="Arial" w:cs="Arial"/>
          <w:sz w:val="19"/>
          <w:szCs w:val="19"/>
        </w:rPr>
      </w:pPr>
      <w:r w:rsidRPr="00F4436A">
        <w:rPr>
          <w:rStyle w:val="Refdenotaalpie"/>
          <w:rFonts w:ascii="Arial" w:hAnsi="Arial" w:cs="Arial"/>
          <w:sz w:val="19"/>
          <w:szCs w:val="19"/>
        </w:rPr>
        <w:footnoteRef/>
      </w:r>
      <w:r w:rsidRPr="00F4436A">
        <w:rPr>
          <w:rFonts w:ascii="Arial" w:hAnsi="Arial" w:cs="Arial"/>
          <w:sz w:val="19"/>
          <w:szCs w:val="19"/>
        </w:rPr>
        <w:t xml:space="preserve"> La norma citada dispone: «Artículo 2.2.1.2.3.1.7. Garantía de cumplimiento. La garantía de cumplimiento del contrato debe cubrir:</w:t>
      </w:r>
    </w:p>
    <w:p w14:paraId="4D2C860E"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401FAA84"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»2.    Devolución del pago anticipado. Este amparo cubre los perjuicios sufridos por la Entidad Estatal por la no devolución total o parcial del dinero entregado al contratista a título de pago anticipado, cuando a ello hubiere lugar.</w:t>
      </w:r>
    </w:p>
    <w:p w14:paraId="19DD6538"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»3.    Cumplimiento del contrato. Este amparo cubre a la Entidad Estatal de los perjuicios derivados de:</w:t>
      </w:r>
    </w:p>
    <w:p w14:paraId="5D80D1F6"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»3.1.   El incumplimiento total o parcial del contrato, cuando el incumplimiento es imputable al contratista;</w:t>
      </w:r>
    </w:p>
    <w:p w14:paraId="3203A22F"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»3.2.   El cumplimiento tardío o defectuoso del contrato, cuando el incumplimiento es imputable al contratista;</w:t>
      </w:r>
    </w:p>
    <w:p w14:paraId="5071BA6B"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»3.3.   Los daños imputables al contratista por entregas parciales de la obra, cuando el contrato no prevé entregas parciales; y</w:t>
      </w:r>
    </w:p>
    <w:p w14:paraId="36097071"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»3.4.   El pago del valor de las multas y de la cláusula penal pecuniaria.</w:t>
      </w:r>
    </w:p>
    <w:p w14:paraId="232B632A"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5287FA01"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»La Entidad Estatal no debe exigir una garantía para cubrir este Riesgo en los contratos que se ejecuten fuera del territorio nacional con personal contratado bajo un régimen jurídico distinto al colombiano.</w:t>
      </w:r>
    </w:p>
    <w:p w14:paraId="458ED799"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»5.    Estabilidad y calidad de la obra. Este amparo cubre a la Entidad Estatal de los perjuicios ocasionados por cualquier tipo de daño o deterioro, imputable al contratista, sufrido por la obra entregada a satisfacción.</w:t>
      </w:r>
    </w:p>
    <w:p w14:paraId="13F1DD41"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»6.    Calidad del servicio. Este amparo cubre a la Entidad Estatal por los perjuicios deri­vados de la deficiente calidad del servicio prestado.</w:t>
      </w:r>
    </w:p>
    <w:p w14:paraId="40C1C3D4"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»7.    Calidad y correcto funcionamiento de los bienes. Este amparo debe cubrir la calidad y el correcto funcionamiento de los bienes que recibe la Entidad Estatal en cumplimiento de un contrato.</w:t>
      </w:r>
    </w:p>
    <w:p w14:paraId="64828537" w14:textId="77777777" w:rsidR="00DC3A09" w:rsidRPr="00F4436A" w:rsidRDefault="00DC3A09" w:rsidP="00F4436A">
      <w:pPr>
        <w:pStyle w:val="Textonotapie"/>
        <w:ind w:firstLine="708"/>
        <w:jc w:val="both"/>
        <w:rPr>
          <w:rFonts w:ascii="Arial" w:hAnsi="Arial" w:cs="Arial"/>
          <w:sz w:val="19"/>
          <w:szCs w:val="19"/>
        </w:rPr>
      </w:pPr>
      <w:r w:rsidRPr="00F4436A">
        <w:rPr>
          <w:rFonts w:ascii="Arial" w:hAnsi="Arial" w:cs="Arial"/>
          <w:sz w:val="19"/>
          <w:szCs w:val="19"/>
        </w:rPr>
        <w:t>»8.    Los demás incumplimientos de obligaciones que la Entidad Estatal considere deben ser amparados de manera proporcional y acorde a la naturaleza del contrato».</w:t>
      </w:r>
    </w:p>
  </w:footnote>
  <w:footnote w:id="10">
    <w:p w14:paraId="7E3D69B7" w14:textId="77777777" w:rsidR="00DC3A09" w:rsidRPr="00F4436A" w:rsidRDefault="00DC3A09" w:rsidP="00F4436A">
      <w:pPr>
        <w:pStyle w:val="Textonotapie"/>
        <w:ind w:firstLine="708"/>
        <w:jc w:val="both"/>
        <w:rPr>
          <w:rFonts w:ascii="Arial" w:hAnsi="Arial" w:cs="Arial"/>
          <w:sz w:val="19"/>
          <w:szCs w:val="19"/>
        </w:rPr>
      </w:pPr>
      <w:r w:rsidRPr="00F4436A">
        <w:rPr>
          <w:rStyle w:val="Refdenotaalpie"/>
          <w:rFonts w:ascii="Arial" w:hAnsi="Arial" w:cs="Arial"/>
          <w:sz w:val="19"/>
          <w:szCs w:val="19"/>
        </w:rPr>
        <w:footnoteRef/>
      </w:r>
      <w:r w:rsidRPr="00F4436A">
        <w:rPr>
          <w:rFonts w:ascii="Arial" w:hAnsi="Arial" w:cs="Arial"/>
          <w:sz w:val="19"/>
          <w:szCs w:val="19"/>
        </w:rPr>
        <w:t xml:space="preserve"> Consejo de Estado. Sección Tercera. Subsección B. Sentencia de 19 de junio de 2013. Exp. 25472. </w:t>
      </w:r>
    </w:p>
  </w:footnote>
  <w:footnote w:id="11">
    <w:p w14:paraId="3EB336FA" w14:textId="77777777" w:rsidR="009C4F7A" w:rsidRPr="00FE1493" w:rsidRDefault="009C4F7A" w:rsidP="00F4436A">
      <w:pPr>
        <w:pStyle w:val="Textonotapie"/>
        <w:ind w:firstLine="708"/>
        <w:rPr>
          <w:rFonts w:ascii="Arial" w:eastAsia="Calibri" w:hAnsi="Arial" w:cs="Arial"/>
          <w:sz w:val="19"/>
          <w:szCs w:val="19"/>
          <w:lang w:val="es-ES_tradnl"/>
        </w:rPr>
      </w:pPr>
      <w:r w:rsidRPr="00FE1493">
        <w:rPr>
          <w:rStyle w:val="Refdenotaalpie"/>
          <w:rFonts w:ascii="Arial" w:hAnsi="Arial" w:cs="Arial"/>
          <w:sz w:val="19"/>
          <w:szCs w:val="19"/>
        </w:rPr>
        <w:footnoteRef/>
      </w:r>
      <w:r w:rsidRPr="00FE1493">
        <w:rPr>
          <w:rFonts w:ascii="Arial" w:hAnsi="Arial" w:cs="Arial"/>
          <w:sz w:val="19"/>
          <w:szCs w:val="19"/>
        </w:rPr>
        <w:t xml:space="preserve"> </w:t>
      </w:r>
      <w:r w:rsidRPr="00FE1493">
        <w:rPr>
          <w:rFonts w:ascii="Arial" w:eastAsia="Calibri" w:hAnsi="Arial" w:cs="Arial"/>
          <w:sz w:val="19"/>
          <w:szCs w:val="19"/>
          <w:lang w:val="es-ES_tradnl"/>
        </w:rPr>
        <w:t xml:space="preserve">Esta norma dispone que «Los contratos para construcción de edificios, celebrados con un empresario que se encarga de toda la obra por un precio único prefijado, se sujetan además a las reglas siguientes: </w:t>
      </w:r>
    </w:p>
    <w:p w14:paraId="7C50EA76" w14:textId="77777777" w:rsidR="009C4F7A" w:rsidRPr="00FE1493" w:rsidRDefault="009C4F7A" w:rsidP="00F4436A">
      <w:pPr>
        <w:pStyle w:val="Textonotapie"/>
        <w:ind w:firstLine="708"/>
        <w:rPr>
          <w:rFonts w:ascii="Arial" w:eastAsia="Calibri" w:hAnsi="Arial" w:cs="Arial"/>
          <w:sz w:val="19"/>
          <w:szCs w:val="19"/>
          <w:lang w:val="es-ES_tradnl"/>
        </w:rPr>
      </w:pPr>
      <w:r w:rsidRPr="00FE1493">
        <w:rPr>
          <w:rFonts w:ascii="Arial" w:eastAsia="Calibri" w:hAnsi="Arial" w:cs="Arial"/>
          <w:sz w:val="19"/>
          <w:szCs w:val="19"/>
          <w:lang w:val="es-ES_tradnl"/>
        </w:rPr>
        <w:t xml:space="preserve">[…] </w:t>
      </w:r>
    </w:p>
    <w:p w14:paraId="473FA24F" w14:textId="77777777" w:rsidR="009C4F7A" w:rsidRPr="00FE1493" w:rsidRDefault="009C4F7A" w:rsidP="00F4436A">
      <w:pPr>
        <w:pStyle w:val="Textonotapie"/>
        <w:ind w:firstLine="708"/>
        <w:rPr>
          <w:rFonts w:ascii="Arial" w:hAnsi="Arial" w:cs="Arial"/>
          <w:sz w:val="19"/>
          <w:szCs w:val="19"/>
        </w:rPr>
      </w:pPr>
      <w:r w:rsidRPr="00FE1493">
        <w:rPr>
          <w:rFonts w:ascii="Arial" w:eastAsia="Calibri" w:hAnsi="Arial" w:cs="Arial"/>
          <w:sz w:val="19"/>
          <w:szCs w:val="19"/>
          <w:lang w:val="es-ES_tradnl"/>
        </w:rPr>
        <w:t>»3. Si el edificio perece o amenaza ruina, en todo o parte, en los diez años subsiguientes a su entrega, por vicio de la construcción, o por vicio del suelo que el empresario o las personas empleadas por él hayan debido conocer en razón de su oficio, o por vicio de los materiales, será responsable el empresario; si los materiales han sido suministrados por el dueño, no habrá lugar a la responsabilidad del empresario sino en conformidad al artículo 2041,2057 inciso final […]».</w:t>
      </w:r>
    </w:p>
    <w:p w14:paraId="6F428AD6" w14:textId="77777777" w:rsidR="009C4F7A" w:rsidRPr="00FE1493" w:rsidRDefault="009C4F7A" w:rsidP="00F4436A">
      <w:pPr>
        <w:pStyle w:val="Textonotapie"/>
        <w:ind w:firstLine="708"/>
        <w:rPr>
          <w:rFonts w:ascii="Arial" w:hAnsi="Arial" w:cs="Arial"/>
          <w:sz w:val="19"/>
          <w:szCs w:val="19"/>
          <w:lang w:val="es-ES"/>
        </w:rPr>
      </w:pPr>
    </w:p>
  </w:footnote>
  <w:footnote w:id="12">
    <w:p w14:paraId="7D40EF0B" w14:textId="58AE0196" w:rsidR="009C4F7A" w:rsidRPr="00FE1493" w:rsidRDefault="009C4F7A" w:rsidP="00F4436A">
      <w:pPr>
        <w:pStyle w:val="Textonotapie"/>
        <w:jc w:val="both"/>
        <w:rPr>
          <w:rFonts w:ascii="Arial" w:hAnsi="Arial" w:cs="Arial"/>
          <w:color w:val="000000"/>
          <w:sz w:val="19"/>
          <w:szCs w:val="19"/>
          <w:lang w:val="es-CO"/>
        </w:rPr>
      </w:pPr>
      <w:r w:rsidRPr="00FE1493">
        <w:rPr>
          <w:rStyle w:val="Refdenotaalpie"/>
          <w:rFonts w:ascii="Arial" w:hAnsi="Arial" w:cs="Arial"/>
          <w:sz w:val="19"/>
          <w:szCs w:val="19"/>
        </w:rPr>
        <w:footnoteRef/>
      </w:r>
      <w:r w:rsidRPr="00FE1493">
        <w:rPr>
          <w:rFonts w:ascii="Arial" w:hAnsi="Arial" w:cs="Arial"/>
          <w:sz w:val="19"/>
          <w:szCs w:val="19"/>
        </w:rPr>
        <w:t xml:space="preserve"> </w:t>
      </w:r>
      <w:r w:rsidRPr="00FE1493">
        <w:rPr>
          <w:rFonts w:ascii="Arial" w:hAnsi="Arial" w:cs="Arial"/>
          <w:color w:val="000000"/>
          <w:sz w:val="19"/>
          <w:szCs w:val="19"/>
          <w:lang w:val="es-CO"/>
        </w:rPr>
        <w:t xml:space="preserve">Consejo de Estado, Sala de lo Contencioso Administrativo, Sección Tercera, Subsección B, Sentencia de 23 de febrero de 2012, </w:t>
      </w:r>
      <w:r w:rsidR="00A13505" w:rsidRPr="00FE1493">
        <w:rPr>
          <w:rFonts w:ascii="Arial" w:hAnsi="Arial" w:cs="Arial"/>
          <w:color w:val="000000"/>
          <w:sz w:val="19"/>
          <w:szCs w:val="19"/>
          <w:lang w:val="es-CO"/>
        </w:rPr>
        <w:t>E</w:t>
      </w:r>
      <w:r w:rsidRPr="00FE1493">
        <w:rPr>
          <w:rFonts w:ascii="Arial" w:hAnsi="Arial" w:cs="Arial"/>
          <w:color w:val="000000"/>
          <w:sz w:val="19"/>
          <w:szCs w:val="19"/>
          <w:lang w:val="es-CO"/>
        </w:rPr>
        <w:t>xp. 20.810.</w:t>
      </w:r>
    </w:p>
  </w:footnote>
  <w:footnote w:id="13">
    <w:p w14:paraId="3E400163" w14:textId="64A8CE9B" w:rsidR="00AD0280" w:rsidRPr="00FE1493" w:rsidRDefault="00AD0280" w:rsidP="00F4436A">
      <w:pPr>
        <w:pStyle w:val="Textonotapie"/>
        <w:jc w:val="both"/>
        <w:rPr>
          <w:rFonts w:ascii="Arial" w:hAnsi="Arial" w:cs="Arial"/>
          <w:sz w:val="19"/>
          <w:szCs w:val="19"/>
          <w:lang w:val="es-CO"/>
        </w:rPr>
      </w:pPr>
      <w:r w:rsidRPr="00FE1493">
        <w:rPr>
          <w:rStyle w:val="Refdenotaalpie"/>
          <w:rFonts w:ascii="Arial" w:hAnsi="Arial" w:cs="Arial"/>
          <w:sz w:val="19"/>
          <w:szCs w:val="19"/>
        </w:rPr>
        <w:footnoteRef/>
      </w:r>
      <w:r w:rsidRPr="00FE1493">
        <w:rPr>
          <w:rFonts w:ascii="Arial" w:hAnsi="Arial" w:cs="Arial"/>
          <w:sz w:val="19"/>
          <w:szCs w:val="19"/>
        </w:rPr>
        <w:t xml:space="preserve"> </w:t>
      </w:r>
      <w:r w:rsidR="007C013A" w:rsidRPr="00FE1493">
        <w:rPr>
          <w:rFonts w:ascii="Arial" w:hAnsi="Arial" w:cs="Arial"/>
          <w:sz w:val="19"/>
          <w:szCs w:val="19"/>
        </w:rPr>
        <w:t>Consejo de Estado, Sala de lo Contencioso Administrativo, Sección Tercera. Subsección C, Sentencia de 28 de ferbero de 2020, exp. 46852</w:t>
      </w:r>
    </w:p>
  </w:footnote>
  <w:footnote w:id="14">
    <w:p w14:paraId="3198DEA8" w14:textId="267FB2C2" w:rsidR="009F6B00" w:rsidRPr="00FE1493" w:rsidRDefault="009F6B00" w:rsidP="00F4436A">
      <w:pPr>
        <w:pStyle w:val="Textonotapie"/>
        <w:rPr>
          <w:rFonts w:ascii="Arial" w:hAnsi="Arial" w:cs="Arial"/>
          <w:sz w:val="19"/>
          <w:szCs w:val="19"/>
          <w:lang w:val="es-CO"/>
        </w:rPr>
      </w:pPr>
      <w:r w:rsidRPr="00FE1493">
        <w:rPr>
          <w:rStyle w:val="Refdenotaalpie"/>
          <w:rFonts w:ascii="Arial" w:hAnsi="Arial" w:cs="Arial"/>
          <w:sz w:val="19"/>
          <w:szCs w:val="19"/>
        </w:rPr>
        <w:footnoteRef/>
      </w:r>
      <w:r w:rsidRPr="00FE1493">
        <w:rPr>
          <w:rFonts w:ascii="Arial" w:hAnsi="Arial" w:cs="Arial"/>
          <w:sz w:val="19"/>
          <w:szCs w:val="19"/>
        </w:rPr>
        <w:t xml:space="preserve"> </w:t>
      </w:r>
      <w:r w:rsidR="004F10F7" w:rsidRPr="00FE1493">
        <w:rPr>
          <w:rFonts w:ascii="Arial" w:hAnsi="Arial" w:cs="Arial"/>
          <w:sz w:val="19"/>
          <w:szCs w:val="19"/>
        </w:rPr>
        <w:t xml:space="preserve">Consejo de Estado, </w:t>
      </w:r>
      <w:r w:rsidR="004F10F7" w:rsidRPr="00FE1493">
        <w:rPr>
          <w:rFonts w:ascii="Arial" w:hAnsi="Arial" w:cs="Arial"/>
          <w:color w:val="000000"/>
          <w:sz w:val="19"/>
          <w:szCs w:val="19"/>
          <w:lang w:val="es-CO"/>
        </w:rPr>
        <w:t xml:space="preserve">Sala de lo Contencioso Administrativo, Sección Tercera, Subsección B, Sentencia del 15 de diciembre de 2011, </w:t>
      </w:r>
      <w:r w:rsidR="00A13505" w:rsidRPr="00FE1493">
        <w:rPr>
          <w:rFonts w:ascii="Arial" w:hAnsi="Arial" w:cs="Arial"/>
          <w:color w:val="000000"/>
          <w:sz w:val="19"/>
          <w:szCs w:val="19"/>
          <w:lang w:val="es-CO"/>
        </w:rPr>
        <w:t>E</w:t>
      </w:r>
      <w:r w:rsidR="004F10F7" w:rsidRPr="00FE1493">
        <w:rPr>
          <w:rFonts w:ascii="Arial" w:hAnsi="Arial" w:cs="Arial"/>
          <w:color w:val="000000"/>
          <w:sz w:val="19"/>
          <w:szCs w:val="19"/>
          <w:lang w:val="es-CO"/>
        </w:rPr>
        <w:t xml:space="preserve">xp. 40.586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4856BAC"/>
    <w:multiLevelType w:val="hybridMultilevel"/>
    <w:tmpl w:val="FE269584"/>
    <w:lvl w:ilvl="0" w:tplc="A4C23EA4">
      <w:start w:val="1"/>
      <w:numFmt w:val="bullet"/>
      <w:lvlText w:val="-"/>
      <w:lvlJc w:val="left"/>
      <w:pPr>
        <w:tabs>
          <w:tab w:val="num" w:pos="720"/>
        </w:tabs>
        <w:ind w:left="720" w:hanging="360"/>
      </w:pPr>
      <w:rPr>
        <w:rFonts w:ascii="Times New Roman" w:eastAsia="Times New Roman" w:hAnsi="Times New Roman" w:cs="Times New Roman" w:hint="default"/>
      </w:rPr>
    </w:lvl>
    <w:lvl w:ilvl="1" w:tplc="24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500395951">
    <w:abstractNumId w:val="2"/>
  </w:num>
  <w:num w:numId="2" w16cid:durableId="1408454564">
    <w:abstractNumId w:val="0"/>
  </w:num>
  <w:num w:numId="3" w16cid:durableId="1897622572">
    <w:abstractNumId w:val="1"/>
  </w:num>
  <w:num w:numId="4" w16cid:durableId="8888008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A5E"/>
    <w:rsid w:val="000239C0"/>
    <w:rsid w:val="00023BED"/>
    <w:rsid w:val="000766AC"/>
    <w:rsid w:val="00083334"/>
    <w:rsid w:val="000956CF"/>
    <w:rsid w:val="000A683E"/>
    <w:rsid w:val="000E7A1E"/>
    <w:rsid w:val="00107C98"/>
    <w:rsid w:val="0011595A"/>
    <w:rsid w:val="001220C5"/>
    <w:rsid w:val="00124339"/>
    <w:rsid w:val="001267F7"/>
    <w:rsid w:val="00127233"/>
    <w:rsid w:val="00130999"/>
    <w:rsid w:val="00154E0A"/>
    <w:rsid w:val="00164D81"/>
    <w:rsid w:val="001650AF"/>
    <w:rsid w:val="0018211D"/>
    <w:rsid w:val="00185094"/>
    <w:rsid w:val="0018749E"/>
    <w:rsid w:val="001A1011"/>
    <w:rsid w:val="001A48D0"/>
    <w:rsid w:val="001A63AA"/>
    <w:rsid w:val="001D5452"/>
    <w:rsid w:val="002014E6"/>
    <w:rsid w:val="00215EFE"/>
    <w:rsid w:val="002653C1"/>
    <w:rsid w:val="0027292B"/>
    <w:rsid w:val="002951A0"/>
    <w:rsid w:val="002A64FD"/>
    <w:rsid w:val="002B09C0"/>
    <w:rsid w:val="002B4449"/>
    <w:rsid w:val="003105A5"/>
    <w:rsid w:val="00310B9B"/>
    <w:rsid w:val="0036461C"/>
    <w:rsid w:val="00367884"/>
    <w:rsid w:val="0039439C"/>
    <w:rsid w:val="003B69E7"/>
    <w:rsid w:val="003C013B"/>
    <w:rsid w:val="003C3A1B"/>
    <w:rsid w:val="003D0F4D"/>
    <w:rsid w:val="003F58A1"/>
    <w:rsid w:val="00410DD6"/>
    <w:rsid w:val="004134C9"/>
    <w:rsid w:val="00433A7D"/>
    <w:rsid w:val="00462A59"/>
    <w:rsid w:val="004973F5"/>
    <w:rsid w:val="004A1847"/>
    <w:rsid w:val="004B6B0E"/>
    <w:rsid w:val="004D25B3"/>
    <w:rsid w:val="004F10F7"/>
    <w:rsid w:val="00511405"/>
    <w:rsid w:val="00526E9D"/>
    <w:rsid w:val="005456BF"/>
    <w:rsid w:val="00547A74"/>
    <w:rsid w:val="005566E8"/>
    <w:rsid w:val="0056528B"/>
    <w:rsid w:val="005746AB"/>
    <w:rsid w:val="005C694F"/>
    <w:rsid w:val="005C7E07"/>
    <w:rsid w:val="005D65C8"/>
    <w:rsid w:val="006219F8"/>
    <w:rsid w:val="00644ED0"/>
    <w:rsid w:val="00657BFF"/>
    <w:rsid w:val="00671AEF"/>
    <w:rsid w:val="00681FDB"/>
    <w:rsid w:val="00687760"/>
    <w:rsid w:val="006A3E98"/>
    <w:rsid w:val="006A7DAD"/>
    <w:rsid w:val="006D70BA"/>
    <w:rsid w:val="00712D6E"/>
    <w:rsid w:val="00726CC9"/>
    <w:rsid w:val="007411FA"/>
    <w:rsid w:val="007566FE"/>
    <w:rsid w:val="0077144B"/>
    <w:rsid w:val="00793403"/>
    <w:rsid w:val="007973FB"/>
    <w:rsid w:val="007B1432"/>
    <w:rsid w:val="007C013A"/>
    <w:rsid w:val="007D6DD0"/>
    <w:rsid w:val="007F2B7C"/>
    <w:rsid w:val="007F7564"/>
    <w:rsid w:val="00820F5B"/>
    <w:rsid w:val="008247B9"/>
    <w:rsid w:val="00833452"/>
    <w:rsid w:val="008614E5"/>
    <w:rsid w:val="008678EB"/>
    <w:rsid w:val="00881C10"/>
    <w:rsid w:val="008A10C9"/>
    <w:rsid w:val="008B6646"/>
    <w:rsid w:val="008C5047"/>
    <w:rsid w:val="008D5C70"/>
    <w:rsid w:val="009019A4"/>
    <w:rsid w:val="009025AF"/>
    <w:rsid w:val="00904F23"/>
    <w:rsid w:val="00906B3C"/>
    <w:rsid w:val="0093171B"/>
    <w:rsid w:val="009C4F7A"/>
    <w:rsid w:val="009D3937"/>
    <w:rsid w:val="009F33F2"/>
    <w:rsid w:val="009F6B00"/>
    <w:rsid w:val="00A07532"/>
    <w:rsid w:val="00A1085C"/>
    <w:rsid w:val="00A13505"/>
    <w:rsid w:val="00A20647"/>
    <w:rsid w:val="00A309E2"/>
    <w:rsid w:val="00A35731"/>
    <w:rsid w:val="00A8066E"/>
    <w:rsid w:val="00AA4B8A"/>
    <w:rsid w:val="00AA6BF7"/>
    <w:rsid w:val="00AD0280"/>
    <w:rsid w:val="00B01ED6"/>
    <w:rsid w:val="00B05F9E"/>
    <w:rsid w:val="00B06D09"/>
    <w:rsid w:val="00B42C86"/>
    <w:rsid w:val="00B771A9"/>
    <w:rsid w:val="00B809BB"/>
    <w:rsid w:val="00B813C0"/>
    <w:rsid w:val="00B8248A"/>
    <w:rsid w:val="00BA3351"/>
    <w:rsid w:val="00BD6248"/>
    <w:rsid w:val="00BF210C"/>
    <w:rsid w:val="00C30461"/>
    <w:rsid w:val="00C754BE"/>
    <w:rsid w:val="00C9405D"/>
    <w:rsid w:val="00C94138"/>
    <w:rsid w:val="00CB6690"/>
    <w:rsid w:val="00CC1B26"/>
    <w:rsid w:val="00CD284F"/>
    <w:rsid w:val="00CE16FD"/>
    <w:rsid w:val="00CF23AA"/>
    <w:rsid w:val="00D01921"/>
    <w:rsid w:val="00D427A4"/>
    <w:rsid w:val="00D752B7"/>
    <w:rsid w:val="00DA1854"/>
    <w:rsid w:val="00DC24CD"/>
    <w:rsid w:val="00DC3A09"/>
    <w:rsid w:val="00DC6B53"/>
    <w:rsid w:val="00E20193"/>
    <w:rsid w:val="00E20894"/>
    <w:rsid w:val="00E26B7C"/>
    <w:rsid w:val="00E36AE8"/>
    <w:rsid w:val="00E40EDB"/>
    <w:rsid w:val="00E90498"/>
    <w:rsid w:val="00E977A2"/>
    <w:rsid w:val="00EA238D"/>
    <w:rsid w:val="00EB3C91"/>
    <w:rsid w:val="00EB4475"/>
    <w:rsid w:val="00EB66DA"/>
    <w:rsid w:val="00ED4989"/>
    <w:rsid w:val="00EF2EBD"/>
    <w:rsid w:val="00F4436A"/>
    <w:rsid w:val="00F52CC3"/>
    <w:rsid w:val="00F605F2"/>
    <w:rsid w:val="00F76AFC"/>
    <w:rsid w:val="00F80D4A"/>
    <w:rsid w:val="00FA5516"/>
    <w:rsid w:val="00FC3226"/>
    <w:rsid w:val="00FD6F73"/>
    <w:rsid w:val="00FE1493"/>
    <w:rsid w:val="2220A1FB"/>
    <w:rsid w:val="34DA7199"/>
    <w:rsid w:val="4C2EE37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946F2DC-68B8-4141-90DE-724E29265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aliases w:val="Footnote Text Char Char Char Char Car,texto de nota al pie Car,Footnote Text Char Car,Footnote Text Char Char Char Char Char Char Char Char Car"/>
    <w:basedOn w:val="Fuentedeprrafopredeter"/>
    <w:uiPriority w:val="99"/>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A63AA"/>
    <w:rPr>
      <w:rFonts w:ascii="Geomanist Light" w:hAnsi="Geomanist Light"/>
      <w:lang w:val="es-ES"/>
    </w:rPr>
  </w:style>
  <w:style w:type="paragraph" w:styleId="Textoindependiente">
    <w:name w:val="Body Text"/>
    <w:basedOn w:val="Normal"/>
    <w:link w:val="TextoindependienteCar"/>
    <w:uiPriority w:val="1"/>
    <w:qFormat/>
    <w:rsid w:val="001A63AA"/>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1A63A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1A63AA"/>
    <w:pPr>
      <w:spacing w:line="240" w:lineRule="exact"/>
    </w:pPr>
    <w:rPr>
      <w:vertAlign w:val="superscript"/>
    </w:rPr>
  </w:style>
  <w:style w:type="character" w:styleId="Hipervnculo">
    <w:name w:val="Hyperlink"/>
    <w:basedOn w:val="Fuentedeprrafopredeter"/>
    <w:uiPriority w:val="99"/>
    <w:unhideWhenUsed/>
    <w:rsid w:val="001A63AA"/>
    <w:rPr>
      <w:color w:val="0000FF"/>
      <w:u w:val="single"/>
    </w:rPr>
  </w:style>
  <w:style w:type="paragraph" w:styleId="NormalWeb">
    <w:name w:val="Normal (Web)"/>
    <w:basedOn w:val="Normal"/>
    <w:link w:val="NormalWebCar"/>
    <w:uiPriority w:val="99"/>
    <w:unhideWhenUsed/>
    <w:rsid w:val="001A63AA"/>
    <w:pPr>
      <w:spacing w:before="100" w:beforeAutospacing="1" w:after="100" w:afterAutospacing="1" w:line="240" w:lineRule="auto"/>
    </w:pPr>
    <w:rPr>
      <w:rFonts w:ascii="Times New Roman" w:eastAsia="Times New Roman" w:hAnsi="Times New Roman" w:cs="Times New Roman"/>
      <w:sz w:val="24"/>
      <w:szCs w:val="24"/>
      <w:lang w:val="es-ES_tradnl" w:eastAsia="es-MX"/>
    </w:rPr>
  </w:style>
  <w:style w:type="character" w:customStyle="1" w:styleId="NormalWebCar">
    <w:name w:val="Normal (Web) Car"/>
    <w:link w:val="NormalWeb"/>
    <w:uiPriority w:val="99"/>
    <w:rsid w:val="001A63AA"/>
    <w:rPr>
      <w:rFonts w:ascii="Times New Roman" w:eastAsia="Times New Roman" w:hAnsi="Times New Roman" w:cs="Times New Roman"/>
      <w:sz w:val="24"/>
      <w:szCs w:val="24"/>
      <w:lang w:val="es-ES_tradnl" w:eastAsia="es-MX"/>
    </w:rPr>
  </w:style>
  <w:style w:type="paragraph" w:customStyle="1" w:styleId="gmail-msonospacing">
    <w:name w:val="gmail-msonospacing"/>
    <w:basedOn w:val="Normal"/>
    <w:rsid w:val="001A63AA"/>
    <w:pPr>
      <w:spacing w:before="100" w:beforeAutospacing="1" w:after="100" w:afterAutospacing="1" w:line="240" w:lineRule="auto"/>
    </w:pPr>
    <w:rPr>
      <w:rFonts w:ascii="Calibri" w:hAnsi="Calibri" w:cs="Calibri"/>
      <w:lang w:val="es-ES" w:eastAsia="es-ES"/>
    </w:rPr>
  </w:style>
  <w:style w:type="table" w:customStyle="1" w:styleId="Tablaconcuadrcula1">
    <w:name w:val="Tabla con cuadrícula1"/>
    <w:basedOn w:val="Tablanormal"/>
    <w:next w:val="Tablaconcuadrcula"/>
    <w:uiPriority w:val="59"/>
    <w:qFormat/>
    <w:rsid w:val="001A6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1A63AA"/>
    <w:rPr>
      <w:b/>
      <w:bCs/>
    </w:rPr>
  </w:style>
  <w:style w:type="character" w:styleId="nfasis">
    <w:name w:val="Emphasis"/>
    <w:basedOn w:val="Fuentedeprrafopredeter"/>
    <w:uiPriority w:val="20"/>
    <w:qFormat/>
    <w:rsid w:val="001A63AA"/>
    <w:rPr>
      <w:i/>
      <w:iCs/>
    </w:rPr>
  </w:style>
  <w:style w:type="character" w:styleId="Hipervnculovisitado">
    <w:name w:val="FollowedHyperlink"/>
    <w:basedOn w:val="Fuentedeprrafopredeter"/>
    <w:uiPriority w:val="99"/>
    <w:semiHidden/>
    <w:unhideWhenUsed/>
    <w:rsid w:val="0027292B"/>
    <w:rPr>
      <w:color w:val="954F72" w:themeColor="followedHyperlink"/>
      <w:u w:val="single"/>
    </w:rPr>
  </w:style>
  <w:style w:type="character" w:styleId="Mencinsinresolver">
    <w:name w:val="Unresolved Mention"/>
    <w:basedOn w:val="Fuentedeprrafopredeter"/>
    <w:uiPriority w:val="99"/>
    <w:semiHidden/>
    <w:unhideWhenUsed/>
    <w:rsid w:val="00ED49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ernalsantiago60@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garantias.pdf"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05B04A37-4410-4522-9DE4-1053621A5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openxmlformats.org/package/2006/metadata/core-properties"/>
    <ds:schemaRef ds:uri="http://purl.org/dc/elements/1.1/"/>
    <ds:schemaRef ds:uri="http://schemas.microsoft.com/office/infopath/2007/PartnerControls"/>
    <ds:schemaRef ds:uri="http://www.w3.org/XML/1998/namespace"/>
    <ds:schemaRef ds:uri="http://schemas.microsoft.com/office/2006/documentManagement/types"/>
    <ds:schemaRef ds:uri="a6cb9e4b-f1d1-4245-83ec-6cad768d538a"/>
    <ds:schemaRef ds:uri="9d85dbaf-23eb-4e57-a637-93dcacc8b1a1"/>
    <ds:schemaRef ds:uri="http://schemas.microsoft.com/office/2006/metadata/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5947</Words>
  <Characters>32709</Characters>
  <Application>Microsoft Office Word</Application>
  <DocSecurity>0</DocSecurity>
  <Lines>272</Lines>
  <Paragraphs>77</Paragraphs>
  <ScaleCrop>false</ScaleCrop>
  <Company/>
  <LinksUpToDate>false</LinksUpToDate>
  <CharactersWithSpaces>38579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2023-03-02T14:51:00Z</dcterms:created>
  <dcterms:modified xsi:type="dcterms:W3CDTF">2023-03-02T14:51:00Z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